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9963" w14:textId="77777777" w:rsidR="00C10B8A" w:rsidRPr="001F7BB9" w:rsidRDefault="00C10B8A" w:rsidP="00E2267D">
      <w:pPr>
        <w:jc w:val="center"/>
        <w:rPr>
          <w:rFonts w:ascii="Arial" w:hAnsi="Arial" w:cs="Arial"/>
          <w:b/>
        </w:rPr>
      </w:pPr>
      <w:r w:rsidRPr="001F7BB9">
        <w:rPr>
          <w:rFonts w:ascii="Arial" w:hAnsi="Arial" w:cs="Arial"/>
          <w:b/>
        </w:rPr>
        <w:t xml:space="preserve">Minutes of the ONR Board </w:t>
      </w:r>
    </w:p>
    <w:p w14:paraId="6E243EE2" w14:textId="65D4F25D" w:rsidR="00C10B8A" w:rsidRPr="001F7BB9" w:rsidRDefault="00220EB0" w:rsidP="00E2267D">
      <w:pPr>
        <w:jc w:val="center"/>
        <w:rPr>
          <w:rFonts w:ascii="Arial" w:hAnsi="Arial" w:cs="Arial"/>
          <w:b/>
        </w:rPr>
      </w:pPr>
      <w:r w:rsidRPr="001F7BB9">
        <w:rPr>
          <w:rFonts w:ascii="Arial" w:hAnsi="Arial" w:cs="Arial"/>
          <w:b/>
        </w:rPr>
        <w:t>30 April</w:t>
      </w:r>
      <w:r w:rsidR="008D7D9D" w:rsidRPr="001F7BB9">
        <w:rPr>
          <w:rFonts w:ascii="Arial" w:hAnsi="Arial" w:cs="Arial"/>
          <w:b/>
        </w:rPr>
        <w:t xml:space="preserve"> 2025</w:t>
      </w:r>
    </w:p>
    <w:p w14:paraId="7F8D4EB9" w14:textId="3890E1B6" w:rsidR="00C10B8A" w:rsidRPr="001F7BB9" w:rsidRDefault="00BE2DA2" w:rsidP="00E2267D">
      <w:pPr>
        <w:jc w:val="center"/>
        <w:rPr>
          <w:rFonts w:ascii="Arial" w:hAnsi="Arial" w:cs="Arial"/>
          <w:b/>
        </w:rPr>
      </w:pPr>
      <w:r w:rsidRPr="001F7BB9">
        <w:rPr>
          <w:rFonts w:ascii="Arial" w:hAnsi="Arial" w:cs="Arial"/>
          <w:b/>
        </w:rPr>
        <w:t xml:space="preserve">The </w:t>
      </w:r>
      <w:r w:rsidR="006E2C1D" w:rsidRPr="001F7BB9">
        <w:rPr>
          <w:rFonts w:ascii="Arial" w:hAnsi="Arial" w:cs="Arial"/>
          <w:b/>
        </w:rPr>
        <w:t>Boardroom, Buckingham</w:t>
      </w:r>
      <w:r w:rsidR="00025BEB" w:rsidRPr="001F7BB9">
        <w:rPr>
          <w:rFonts w:ascii="Arial" w:hAnsi="Arial" w:cs="Arial"/>
          <w:b/>
        </w:rPr>
        <w:t xml:space="preserve"> Palace Road</w:t>
      </w:r>
    </w:p>
    <w:p w14:paraId="6B11FB54" w14:textId="77777777" w:rsidR="00C10B8A" w:rsidRPr="001F7BB9" w:rsidRDefault="00C10B8A" w:rsidP="00E2267D">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631"/>
      </w:tblGrid>
      <w:tr w:rsidR="00C10B8A" w:rsidRPr="001F7BB9" w14:paraId="76D8A026" w14:textId="77777777" w:rsidTr="00A41B00">
        <w:tc>
          <w:tcPr>
            <w:tcW w:w="4395" w:type="dxa"/>
          </w:tcPr>
          <w:p w14:paraId="2BE3A38D" w14:textId="77777777" w:rsidR="00C10B8A" w:rsidRPr="001F7BB9" w:rsidRDefault="00C10B8A" w:rsidP="00E2267D">
            <w:pPr>
              <w:rPr>
                <w:rFonts w:ascii="Arial" w:hAnsi="Arial" w:cs="Arial"/>
                <w:b/>
              </w:rPr>
            </w:pPr>
            <w:r w:rsidRPr="001F7BB9">
              <w:rPr>
                <w:rFonts w:ascii="Arial" w:hAnsi="Arial" w:cs="Arial"/>
                <w:b/>
              </w:rPr>
              <w:t xml:space="preserve">Present: </w:t>
            </w:r>
          </w:p>
          <w:p w14:paraId="57063090" w14:textId="7C758DB8" w:rsidR="00C10B8A" w:rsidRPr="001F7BB9" w:rsidRDefault="00950B7D" w:rsidP="00E2267D">
            <w:pPr>
              <w:rPr>
                <w:rFonts w:ascii="Arial" w:hAnsi="Arial" w:cs="Arial"/>
              </w:rPr>
            </w:pPr>
            <w:r w:rsidRPr="001F7BB9">
              <w:rPr>
                <w:rFonts w:ascii="Arial" w:hAnsi="Arial" w:cs="Arial"/>
              </w:rPr>
              <w:t>Nick</w:t>
            </w:r>
            <w:r w:rsidR="00FF5CA2" w:rsidRPr="001F7BB9">
              <w:rPr>
                <w:rFonts w:ascii="Arial" w:hAnsi="Arial" w:cs="Arial"/>
              </w:rPr>
              <w:t>i</w:t>
            </w:r>
            <w:r w:rsidRPr="001F7BB9">
              <w:rPr>
                <w:rFonts w:ascii="Arial" w:hAnsi="Arial" w:cs="Arial"/>
              </w:rPr>
              <w:t xml:space="preserve"> Crauford</w:t>
            </w:r>
            <w:r w:rsidR="00C10B8A" w:rsidRPr="001F7BB9">
              <w:rPr>
                <w:rFonts w:ascii="Arial" w:hAnsi="Arial" w:cs="Arial"/>
              </w:rPr>
              <w:t xml:space="preserve"> - Chair</w:t>
            </w:r>
            <w:r w:rsidR="00C10B8A" w:rsidRPr="001F7BB9">
              <w:rPr>
                <w:rFonts w:ascii="Arial" w:hAnsi="Arial" w:cs="Arial"/>
              </w:rPr>
              <w:tab/>
            </w:r>
          </w:p>
          <w:p w14:paraId="21A271DC" w14:textId="77777777" w:rsidR="00C10B8A" w:rsidRPr="001F7BB9" w:rsidRDefault="00C10B8A" w:rsidP="00E2267D">
            <w:pPr>
              <w:rPr>
                <w:rFonts w:ascii="Arial" w:hAnsi="Arial" w:cs="Arial"/>
              </w:rPr>
            </w:pPr>
            <w:r w:rsidRPr="001F7BB9">
              <w:rPr>
                <w:rFonts w:ascii="Arial" w:hAnsi="Arial" w:cs="Arial"/>
              </w:rPr>
              <w:t>Jean Llewellyn - Non-Executive Director</w:t>
            </w:r>
          </w:p>
          <w:p w14:paraId="74FECE52" w14:textId="29C51EE9" w:rsidR="00FA7352" w:rsidRPr="001F7BB9" w:rsidRDefault="00FA7352" w:rsidP="00E2267D">
            <w:pPr>
              <w:rPr>
                <w:rFonts w:ascii="Arial" w:hAnsi="Arial" w:cs="Arial"/>
              </w:rPr>
            </w:pPr>
            <w:r w:rsidRPr="001F7BB9">
              <w:rPr>
                <w:rFonts w:ascii="Arial" w:hAnsi="Arial" w:cs="Arial"/>
              </w:rPr>
              <w:t>Roger Hardy</w:t>
            </w:r>
            <w:r w:rsidR="00854DF7" w:rsidRPr="001F7BB9">
              <w:rPr>
                <w:rFonts w:ascii="Arial" w:hAnsi="Arial" w:cs="Arial"/>
              </w:rPr>
              <w:t xml:space="preserve"> </w:t>
            </w:r>
            <w:r w:rsidR="00C85518" w:rsidRPr="001F7BB9">
              <w:rPr>
                <w:rFonts w:ascii="Arial" w:hAnsi="Arial" w:cs="Arial"/>
              </w:rPr>
              <w:t>-</w:t>
            </w:r>
            <w:r w:rsidRPr="001F7BB9">
              <w:rPr>
                <w:rFonts w:ascii="Arial" w:hAnsi="Arial" w:cs="Arial"/>
              </w:rPr>
              <w:t xml:space="preserve"> Non-E</w:t>
            </w:r>
            <w:r w:rsidR="00C80E71" w:rsidRPr="001F7BB9">
              <w:rPr>
                <w:rFonts w:ascii="Arial" w:hAnsi="Arial" w:cs="Arial"/>
              </w:rPr>
              <w:t>xecutive Director</w:t>
            </w:r>
          </w:p>
          <w:p w14:paraId="44F10CCC" w14:textId="5B2FA440" w:rsidR="00950B7D" w:rsidRPr="001F7BB9" w:rsidRDefault="00950B7D" w:rsidP="00E2267D">
            <w:pPr>
              <w:rPr>
                <w:rFonts w:ascii="Arial" w:hAnsi="Arial" w:cs="Arial"/>
              </w:rPr>
            </w:pPr>
            <w:r w:rsidRPr="001F7BB9">
              <w:rPr>
                <w:rFonts w:ascii="Arial" w:hAnsi="Arial" w:cs="Arial"/>
              </w:rPr>
              <w:t>Janet Wilson</w:t>
            </w:r>
            <w:r w:rsidR="00854DF7" w:rsidRPr="001F7BB9">
              <w:rPr>
                <w:rFonts w:ascii="Arial" w:hAnsi="Arial" w:cs="Arial"/>
              </w:rPr>
              <w:t xml:space="preserve"> </w:t>
            </w:r>
            <w:r w:rsidRPr="001F7BB9">
              <w:rPr>
                <w:rFonts w:ascii="Arial" w:hAnsi="Arial" w:cs="Arial"/>
              </w:rPr>
              <w:t>- Non-Executive Director</w:t>
            </w:r>
          </w:p>
          <w:p w14:paraId="6CFF17E2" w14:textId="71B5FAE2" w:rsidR="00950B7D" w:rsidRPr="001F7BB9" w:rsidRDefault="00950B7D" w:rsidP="00E2267D">
            <w:pPr>
              <w:rPr>
                <w:rFonts w:ascii="Arial" w:hAnsi="Arial" w:cs="Arial"/>
              </w:rPr>
            </w:pPr>
            <w:r w:rsidRPr="001F7BB9">
              <w:rPr>
                <w:rFonts w:ascii="Arial" w:hAnsi="Arial" w:cs="Arial"/>
              </w:rPr>
              <w:t>Tracey Matthews</w:t>
            </w:r>
            <w:r w:rsidR="00854DF7" w:rsidRPr="001F7BB9">
              <w:rPr>
                <w:rFonts w:ascii="Arial" w:hAnsi="Arial" w:cs="Arial"/>
              </w:rPr>
              <w:t xml:space="preserve"> </w:t>
            </w:r>
            <w:r w:rsidRPr="001F7BB9">
              <w:rPr>
                <w:rFonts w:ascii="Arial" w:hAnsi="Arial" w:cs="Arial"/>
              </w:rPr>
              <w:t>- Non-Executive Director</w:t>
            </w:r>
          </w:p>
          <w:p w14:paraId="5C1203F3" w14:textId="6818F1DE" w:rsidR="0073328E" w:rsidRPr="001F7BB9" w:rsidRDefault="0073328E" w:rsidP="00E2267D">
            <w:pPr>
              <w:rPr>
                <w:rFonts w:ascii="Arial" w:hAnsi="Arial" w:cs="Arial"/>
              </w:rPr>
            </w:pPr>
            <w:r w:rsidRPr="001F7BB9">
              <w:rPr>
                <w:rFonts w:ascii="Arial" w:hAnsi="Arial" w:cs="Arial"/>
              </w:rPr>
              <w:t>Mark Foy</w:t>
            </w:r>
            <w:r w:rsidR="00854DF7" w:rsidRPr="001F7BB9">
              <w:rPr>
                <w:rFonts w:ascii="Arial" w:hAnsi="Arial" w:cs="Arial"/>
              </w:rPr>
              <w:t xml:space="preserve"> </w:t>
            </w:r>
            <w:r w:rsidRPr="001F7BB9">
              <w:rPr>
                <w:rFonts w:ascii="Arial" w:hAnsi="Arial" w:cs="Arial"/>
              </w:rPr>
              <w:t xml:space="preserve">- Chief Executive and </w:t>
            </w:r>
            <w:r w:rsidR="00144568" w:rsidRPr="001F7BB9">
              <w:rPr>
                <w:rFonts w:ascii="Arial" w:hAnsi="Arial" w:cs="Arial"/>
              </w:rPr>
              <w:t>Chief Nuclear Inspector</w:t>
            </w:r>
            <w:r w:rsidR="00063B76" w:rsidRPr="001F7BB9">
              <w:rPr>
                <w:rFonts w:ascii="Arial" w:hAnsi="Arial" w:cs="Arial"/>
              </w:rPr>
              <w:t xml:space="preserve"> (CE/CNI)</w:t>
            </w:r>
          </w:p>
          <w:p w14:paraId="4217D934" w14:textId="4EC75C97" w:rsidR="003D6ECB" w:rsidRPr="001F7BB9" w:rsidRDefault="003D6ECB" w:rsidP="003D6ECB">
            <w:pPr>
              <w:rPr>
                <w:rFonts w:ascii="Arial" w:hAnsi="Arial" w:cs="Arial"/>
              </w:rPr>
            </w:pPr>
            <w:r w:rsidRPr="001F7BB9">
              <w:rPr>
                <w:rFonts w:ascii="Arial" w:hAnsi="Arial" w:cs="Arial"/>
              </w:rPr>
              <w:t>Paul Fyfe</w:t>
            </w:r>
            <w:r w:rsidR="00854DF7" w:rsidRPr="001F7BB9">
              <w:rPr>
                <w:rFonts w:ascii="Arial" w:hAnsi="Arial" w:cs="Arial"/>
              </w:rPr>
              <w:t xml:space="preserve"> -</w:t>
            </w:r>
            <w:r w:rsidRPr="001F7BB9">
              <w:rPr>
                <w:rFonts w:ascii="Arial" w:hAnsi="Arial" w:cs="Arial"/>
              </w:rPr>
              <w:t xml:space="preserve"> Deputy Chief Nuclear Inspector and Senior Director </w:t>
            </w:r>
            <w:r w:rsidR="00854DF7" w:rsidRPr="001F7BB9">
              <w:rPr>
                <w:rFonts w:ascii="Arial" w:hAnsi="Arial" w:cs="Arial"/>
              </w:rPr>
              <w:t xml:space="preserve">of </w:t>
            </w:r>
            <w:r w:rsidRPr="001F7BB9">
              <w:rPr>
                <w:rFonts w:ascii="Arial" w:hAnsi="Arial" w:cs="Arial"/>
              </w:rPr>
              <w:t>Regulation</w:t>
            </w:r>
          </w:p>
          <w:p w14:paraId="27F47071" w14:textId="01172C29" w:rsidR="003D6ECB" w:rsidRPr="001F7BB9" w:rsidRDefault="003D6ECB" w:rsidP="003D6ECB">
            <w:pPr>
              <w:rPr>
                <w:rFonts w:ascii="Arial" w:hAnsi="Arial" w:cs="Arial"/>
              </w:rPr>
            </w:pPr>
            <w:r w:rsidRPr="001F7BB9">
              <w:rPr>
                <w:rFonts w:ascii="Arial" w:hAnsi="Arial" w:cs="Arial"/>
              </w:rPr>
              <w:t>Linda Aylmore</w:t>
            </w:r>
            <w:r w:rsidR="00854DF7" w:rsidRPr="001F7BB9">
              <w:rPr>
                <w:rFonts w:ascii="Arial" w:hAnsi="Arial" w:cs="Arial"/>
              </w:rPr>
              <w:t xml:space="preserve"> -</w:t>
            </w:r>
            <w:r w:rsidRPr="001F7BB9">
              <w:rPr>
                <w:rFonts w:ascii="Arial" w:hAnsi="Arial" w:cs="Arial"/>
              </w:rPr>
              <w:t xml:space="preserve"> Finance Director</w:t>
            </w:r>
          </w:p>
          <w:p w14:paraId="64418F00" w14:textId="77777777" w:rsidR="003D6ECB" w:rsidRPr="001F7BB9" w:rsidRDefault="003D6ECB" w:rsidP="00E2267D">
            <w:pPr>
              <w:rPr>
                <w:rFonts w:ascii="Arial" w:hAnsi="Arial" w:cs="Arial"/>
              </w:rPr>
            </w:pPr>
          </w:p>
          <w:p w14:paraId="3008A050" w14:textId="77777777" w:rsidR="00C10B8A" w:rsidRPr="001F7BB9" w:rsidRDefault="00C10B8A" w:rsidP="001C7A06">
            <w:pPr>
              <w:rPr>
                <w:rFonts w:ascii="Arial" w:hAnsi="Arial" w:cs="Arial"/>
              </w:rPr>
            </w:pPr>
          </w:p>
        </w:tc>
        <w:tc>
          <w:tcPr>
            <w:tcW w:w="4631" w:type="dxa"/>
          </w:tcPr>
          <w:p w14:paraId="3C595B03" w14:textId="77777777" w:rsidR="001C7A06" w:rsidRPr="001F7BB9" w:rsidRDefault="001C7A06" w:rsidP="00E2267D">
            <w:pPr>
              <w:rPr>
                <w:rFonts w:ascii="Arial" w:hAnsi="Arial" w:cs="Arial"/>
              </w:rPr>
            </w:pPr>
          </w:p>
          <w:p w14:paraId="55A38DE4" w14:textId="0AA792BB" w:rsidR="00F0601D" w:rsidRPr="001F7BB9" w:rsidRDefault="00F0601D" w:rsidP="00F0601D">
            <w:pPr>
              <w:rPr>
                <w:rFonts w:ascii="Arial" w:hAnsi="Arial" w:cs="Arial"/>
                <w:b/>
                <w:bCs/>
              </w:rPr>
            </w:pPr>
            <w:r w:rsidRPr="001F7BB9">
              <w:rPr>
                <w:rFonts w:ascii="Arial" w:hAnsi="Arial" w:cs="Arial"/>
                <w:b/>
                <w:bCs/>
              </w:rPr>
              <w:t>In Attendance:</w:t>
            </w:r>
          </w:p>
          <w:p w14:paraId="7E8735CC" w14:textId="72783826" w:rsidR="00F0601D" w:rsidRPr="001F7BB9" w:rsidRDefault="00F0601D" w:rsidP="00F0601D">
            <w:pPr>
              <w:rPr>
                <w:rFonts w:ascii="Arial" w:hAnsi="Arial" w:cs="Arial"/>
              </w:rPr>
            </w:pPr>
            <w:r w:rsidRPr="001F7BB9">
              <w:rPr>
                <w:rFonts w:ascii="Arial" w:hAnsi="Arial" w:cs="Arial"/>
              </w:rPr>
              <w:t>Sarah Brown</w:t>
            </w:r>
            <w:r w:rsidR="00854DF7" w:rsidRPr="001F7BB9">
              <w:rPr>
                <w:rFonts w:ascii="Arial" w:hAnsi="Arial" w:cs="Arial"/>
              </w:rPr>
              <w:t xml:space="preserve"> -</w:t>
            </w:r>
            <w:r w:rsidRPr="001F7BB9">
              <w:rPr>
                <w:rFonts w:ascii="Arial" w:hAnsi="Arial" w:cs="Arial"/>
              </w:rPr>
              <w:t xml:space="preserve"> Head of Policy</w:t>
            </w:r>
            <w:r w:rsidR="001904DC" w:rsidRPr="001F7BB9">
              <w:rPr>
                <w:rStyle w:val="FootnoteReference"/>
                <w:rFonts w:ascii="Arial" w:hAnsi="Arial" w:cs="Arial"/>
              </w:rPr>
              <w:footnoteReference w:id="1"/>
            </w:r>
          </w:p>
          <w:p w14:paraId="68B5318B" w14:textId="6977CB8A" w:rsidR="00F0601D" w:rsidRPr="001F7BB9" w:rsidRDefault="00F0601D" w:rsidP="00E2267D">
            <w:pPr>
              <w:rPr>
                <w:rFonts w:ascii="Arial" w:hAnsi="Arial" w:cs="Arial"/>
              </w:rPr>
            </w:pPr>
            <w:r w:rsidRPr="001F7BB9">
              <w:rPr>
                <w:rFonts w:ascii="Arial" w:hAnsi="Arial" w:cs="Arial"/>
              </w:rPr>
              <w:t>Rachel Grant</w:t>
            </w:r>
            <w:r w:rsidR="00854DF7" w:rsidRPr="001F7BB9">
              <w:rPr>
                <w:rFonts w:ascii="Arial" w:hAnsi="Arial" w:cs="Arial"/>
              </w:rPr>
              <w:t xml:space="preserve"> -</w:t>
            </w:r>
            <w:r w:rsidRPr="001F7BB9">
              <w:rPr>
                <w:rFonts w:ascii="Arial" w:hAnsi="Arial" w:cs="Arial"/>
              </w:rPr>
              <w:t xml:space="preserve"> Director, Strategy and Corporate Affairs</w:t>
            </w:r>
            <w:r w:rsidR="001904DC" w:rsidRPr="001F7BB9">
              <w:rPr>
                <w:rStyle w:val="FootnoteReference"/>
                <w:rFonts w:ascii="Arial" w:hAnsi="Arial" w:cs="Arial"/>
              </w:rPr>
              <w:footnoteReference w:id="2"/>
            </w:r>
          </w:p>
          <w:p w14:paraId="2549F6DB" w14:textId="7367483C" w:rsidR="00F0601D" w:rsidRPr="001F7BB9" w:rsidRDefault="00F0601D" w:rsidP="00E2267D">
            <w:pPr>
              <w:rPr>
                <w:rFonts w:ascii="Arial" w:hAnsi="Arial" w:cs="Arial"/>
              </w:rPr>
            </w:pPr>
            <w:r w:rsidRPr="001F7BB9">
              <w:rPr>
                <w:rFonts w:ascii="Arial" w:hAnsi="Arial" w:cs="Arial"/>
              </w:rPr>
              <w:t>Paul Dicks</w:t>
            </w:r>
            <w:r w:rsidR="00854DF7" w:rsidRPr="001F7BB9">
              <w:rPr>
                <w:rFonts w:ascii="Arial" w:hAnsi="Arial" w:cs="Arial"/>
              </w:rPr>
              <w:t xml:space="preserve"> -</w:t>
            </w:r>
            <w:r w:rsidRPr="001F7BB9">
              <w:rPr>
                <w:rFonts w:ascii="Arial" w:hAnsi="Arial" w:cs="Arial"/>
              </w:rPr>
              <w:t xml:space="preserve"> </w:t>
            </w:r>
            <w:r w:rsidRPr="001F7BB9">
              <w:rPr>
                <w:rFonts w:asciiTheme="minorBidi" w:hAnsiTheme="minorBidi"/>
              </w:rPr>
              <w:t xml:space="preserve">Director of Regulation – </w:t>
            </w:r>
            <w:r w:rsidR="003D6ECB" w:rsidRPr="001F7BB9">
              <w:rPr>
                <w:rFonts w:asciiTheme="minorBidi" w:hAnsiTheme="minorBidi"/>
              </w:rPr>
              <w:t xml:space="preserve">Sellafield, </w:t>
            </w:r>
            <w:r w:rsidR="00097657" w:rsidRPr="001F7BB9">
              <w:rPr>
                <w:rFonts w:asciiTheme="minorBidi" w:hAnsiTheme="minorBidi"/>
              </w:rPr>
              <w:t>D</w:t>
            </w:r>
            <w:r w:rsidR="003D6ECB" w:rsidRPr="001F7BB9">
              <w:rPr>
                <w:rFonts w:asciiTheme="minorBidi" w:hAnsiTheme="minorBidi"/>
              </w:rPr>
              <w:t xml:space="preserve">ecommissioning, </w:t>
            </w:r>
            <w:r w:rsidR="00097657" w:rsidRPr="001F7BB9">
              <w:rPr>
                <w:rFonts w:asciiTheme="minorBidi" w:hAnsiTheme="minorBidi"/>
              </w:rPr>
              <w:t>F</w:t>
            </w:r>
            <w:r w:rsidR="003D6ECB" w:rsidRPr="001F7BB9">
              <w:rPr>
                <w:rFonts w:asciiTheme="minorBidi" w:hAnsiTheme="minorBidi"/>
              </w:rPr>
              <w:t xml:space="preserve">uel and </w:t>
            </w:r>
            <w:r w:rsidR="00097657" w:rsidRPr="001F7BB9">
              <w:rPr>
                <w:rFonts w:asciiTheme="minorBidi" w:hAnsiTheme="minorBidi"/>
              </w:rPr>
              <w:t>W</w:t>
            </w:r>
            <w:r w:rsidR="003D6ECB" w:rsidRPr="001F7BB9">
              <w:rPr>
                <w:rFonts w:asciiTheme="minorBidi" w:hAnsiTheme="minorBidi"/>
              </w:rPr>
              <w:t>aste (</w:t>
            </w:r>
            <w:r w:rsidRPr="001F7BB9">
              <w:rPr>
                <w:rFonts w:asciiTheme="minorBidi" w:hAnsiTheme="minorBidi"/>
              </w:rPr>
              <w:t>SDFW</w:t>
            </w:r>
            <w:r w:rsidR="003D6ECB" w:rsidRPr="001F7BB9">
              <w:rPr>
                <w:rFonts w:asciiTheme="minorBidi" w:hAnsiTheme="minorBidi"/>
              </w:rPr>
              <w:t>)</w:t>
            </w:r>
            <w:r w:rsidR="001904DC" w:rsidRPr="001F7BB9">
              <w:rPr>
                <w:rStyle w:val="FootnoteReference"/>
                <w:rFonts w:asciiTheme="minorBidi" w:hAnsiTheme="minorBidi"/>
              </w:rPr>
              <w:footnoteReference w:id="3"/>
            </w:r>
          </w:p>
          <w:p w14:paraId="273F842C" w14:textId="73D36585" w:rsidR="00C10B8A" w:rsidRPr="001F7BB9" w:rsidRDefault="00C10B8A" w:rsidP="00E2267D">
            <w:pPr>
              <w:rPr>
                <w:rFonts w:ascii="Arial" w:hAnsi="Arial" w:cs="Arial"/>
                <w:b/>
                <w:bCs/>
              </w:rPr>
            </w:pPr>
            <w:r w:rsidRPr="001F7BB9">
              <w:rPr>
                <w:rFonts w:ascii="Arial" w:hAnsi="Arial" w:cs="Arial"/>
                <w:b/>
                <w:bCs/>
              </w:rPr>
              <w:t xml:space="preserve">Observer: </w:t>
            </w:r>
          </w:p>
          <w:p w14:paraId="52DAF0E9" w14:textId="0AD0F398" w:rsidR="008D7D9D" w:rsidRPr="001F7BB9" w:rsidRDefault="00220EB0" w:rsidP="00C85139">
            <w:pPr>
              <w:rPr>
                <w:rFonts w:ascii="Arial" w:hAnsi="Arial" w:cs="Arial"/>
              </w:rPr>
            </w:pPr>
            <w:r w:rsidRPr="001F7BB9">
              <w:rPr>
                <w:rFonts w:ascii="Arial" w:hAnsi="Arial" w:cs="Arial"/>
              </w:rPr>
              <w:t>Peter Thompson</w:t>
            </w:r>
            <w:r w:rsidR="00854DF7" w:rsidRPr="001F7BB9">
              <w:rPr>
                <w:rFonts w:ascii="Arial" w:hAnsi="Arial" w:cs="Arial"/>
              </w:rPr>
              <w:t xml:space="preserve"> -</w:t>
            </w:r>
            <w:r w:rsidRPr="001F7BB9">
              <w:rPr>
                <w:rFonts w:ascii="Arial" w:hAnsi="Arial" w:cs="Arial"/>
              </w:rPr>
              <w:t xml:space="preserve"> HR Director</w:t>
            </w:r>
          </w:p>
          <w:p w14:paraId="04F64599" w14:textId="0961AB22" w:rsidR="00903A32" w:rsidRPr="001F7BB9" w:rsidRDefault="00903A32" w:rsidP="00903A32">
            <w:pPr>
              <w:rPr>
                <w:rFonts w:ascii="Arial" w:hAnsi="Arial" w:cs="Arial"/>
              </w:rPr>
            </w:pPr>
          </w:p>
        </w:tc>
      </w:tr>
    </w:tbl>
    <w:p w14:paraId="201A42DE" w14:textId="347E9554" w:rsidR="00467635" w:rsidRPr="001F7BB9" w:rsidRDefault="00C10B8A" w:rsidP="00E2267D">
      <w:pPr>
        <w:rPr>
          <w:rFonts w:ascii="Arial" w:hAnsi="Arial" w:cs="Arial"/>
          <w:bCs/>
        </w:rPr>
      </w:pPr>
      <w:r w:rsidRPr="001F7BB9">
        <w:rPr>
          <w:rFonts w:ascii="Arial" w:hAnsi="Arial" w:cs="Arial"/>
          <w:b/>
        </w:rPr>
        <w:t xml:space="preserve">Secretariat: </w:t>
      </w:r>
      <w:r w:rsidRPr="001F7BB9">
        <w:rPr>
          <w:rFonts w:ascii="Arial" w:hAnsi="Arial" w:cs="Arial"/>
          <w:bCs/>
        </w:rPr>
        <w:t>Nidhi Misri, Head of Corporate Governance and Compliance (Board Secretary)</w:t>
      </w:r>
    </w:p>
    <w:p w14:paraId="77337421" w14:textId="74A2D0CA" w:rsidR="00C10B8A" w:rsidRPr="001F7BB9" w:rsidRDefault="00C10B8A" w:rsidP="00E2267D">
      <w:pPr>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7875"/>
      </w:tblGrid>
      <w:tr w:rsidR="000A5AC2" w:rsidRPr="001F7BB9" w14:paraId="3390E441" w14:textId="77777777" w:rsidTr="00D4484E">
        <w:tc>
          <w:tcPr>
            <w:tcW w:w="1141" w:type="dxa"/>
          </w:tcPr>
          <w:p w14:paraId="1D59C22B" w14:textId="77777777" w:rsidR="000A5AC2" w:rsidRPr="001F7BB9" w:rsidRDefault="000A5AC2" w:rsidP="00E2267D">
            <w:pPr>
              <w:tabs>
                <w:tab w:val="left" w:pos="5347"/>
              </w:tabs>
              <w:rPr>
                <w:rFonts w:ascii="Arial" w:hAnsi="Arial" w:cs="Arial"/>
                <w:b/>
              </w:rPr>
            </w:pPr>
            <w:r w:rsidRPr="001F7BB9">
              <w:rPr>
                <w:rFonts w:ascii="Arial" w:hAnsi="Arial" w:cs="Arial"/>
                <w:b/>
              </w:rPr>
              <w:t>1</w:t>
            </w:r>
          </w:p>
        </w:tc>
        <w:tc>
          <w:tcPr>
            <w:tcW w:w="7875" w:type="dxa"/>
          </w:tcPr>
          <w:p w14:paraId="177ABECB" w14:textId="77777777" w:rsidR="000A5AC2" w:rsidRPr="001F7BB9" w:rsidRDefault="000A5AC2" w:rsidP="00E2267D">
            <w:pPr>
              <w:tabs>
                <w:tab w:val="left" w:pos="5347"/>
              </w:tabs>
              <w:rPr>
                <w:rFonts w:ascii="Arial" w:hAnsi="Arial" w:cs="Arial"/>
                <w:b/>
              </w:rPr>
            </w:pPr>
            <w:r w:rsidRPr="001F7BB9">
              <w:rPr>
                <w:rFonts w:ascii="Arial" w:hAnsi="Arial" w:cs="Arial"/>
                <w:b/>
              </w:rPr>
              <w:t xml:space="preserve">Welcome, Apologies for Absence and Declarations of Interest </w:t>
            </w:r>
          </w:p>
          <w:p w14:paraId="5AF63D0C" w14:textId="77777777" w:rsidR="000A5AC2" w:rsidRPr="001F7BB9" w:rsidRDefault="000A5AC2" w:rsidP="00E2267D">
            <w:pPr>
              <w:tabs>
                <w:tab w:val="left" w:pos="5347"/>
              </w:tabs>
              <w:rPr>
                <w:rFonts w:ascii="Arial" w:hAnsi="Arial" w:cs="Arial"/>
                <w:b/>
              </w:rPr>
            </w:pPr>
          </w:p>
        </w:tc>
      </w:tr>
      <w:tr w:rsidR="000A5AC2" w:rsidRPr="001F7BB9" w14:paraId="0B576307" w14:textId="77777777" w:rsidTr="00D4484E">
        <w:tc>
          <w:tcPr>
            <w:tcW w:w="1141" w:type="dxa"/>
          </w:tcPr>
          <w:p w14:paraId="589164DC" w14:textId="77777777" w:rsidR="000A5AC2" w:rsidRPr="001F7BB9" w:rsidRDefault="000A5AC2" w:rsidP="00E2267D">
            <w:pPr>
              <w:tabs>
                <w:tab w:val="left" w:pos="5347"/>
              </w:tabs>
              <w:rPr>
                <w:rFonts w:ascii="Arial" w:hAnsi="Arial" w:cs="Arial"/>
              </w:rPr>
            </w:pPr>
            <w:r w:rsidRPr="001F7BB9">
              <w:rPr>
                <w:rFonts w:ascii="Arial" w:hAnsi="Arial" w:cs="Arial"/>
              </w:rPr>
              <w:t>1.1</w:t>
            </w:r>
          </w:p>
          <w:p w14:paraId="5CD71E31" w14:textId="77777777" w:rsidR="000A5AC2" w:rsidRPr="001F7BB9" w:rsidRDefault="000A5AC2" w:rsidP="00E2267D">
            <w:pPr>
              <w:tabs>
                <w:tab w:val="left" w:pos="5347"/>
              </w:tabs>
              <w:rPr>
                <w:rFonts w:ascii="Arial" w:hAnsi="Arial" w:cs="Arial"/>
              </w:rPr>
            </w:pPr>
          </w:p>
        </w:tc>
        <w:tc>
          <w:tcPr>
            <w:tcW w:w="7875" w:type="dxa"/>
          </w:tcPr>
          <w:p w14:paraId="504760BF" w14:textId="60F3F5AC" w:rsidR="00BC0353" w:rsidRPr="001F7BB9" w:rsidRDefault="00320E0F" w:rsidP="00220EB0">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r w:rsidRPr="001F7BB9">
              <w:rPr>
                <w:rFonts w:ascii="Arial" w:hAnsi="Arial" w:cs="Arial"/>
              </w:rPr>
              <w:t>The Chair welcomed everyone to the meeting. She noted apologies from the Director</w:t>
            </w:r>
            <w:r w:rsidR="00097657" w:rsidRPr="001F7BB9">
              <w:rPr>
                <w:rFonts w:ascii="Arial" w:hAnsi="Arial" w:cs="Arial"/>
              </w:rPr>
              <w:t>,</w:t>
            </w:r>
            <w:r w:rsidRPr="001F7BB9">
              <w:rPr>
                <w:rFonts w:ascii="Arial" w:hAnsi="Arial" w:cs="Arial"/>
              </w:rPr>
              <w:t xml:space="preserve"> Strategy and Corporate Affairs</w:t>
            </w:r>
            <w:r w:rsidR="00C240F0" w:rsidRPr="001F7BB9">
              <w:rPr>
                <w:rFonts w:ascii="Arial" w:hAnsi="Arial" w:cs="Arial"/>
              </w:rPr>
              <w:t xml:space="preserve"> who would not be attending the full meeting</w:t>
            </w:r>
            <w:r w:rsidRPr="001F7BB9">
              <w:rPr>
                <w:rFonts w:ascii="Arial" w:hAnsi="Arial" w:cs="Arial"/>
              </w:rPr>
              <w:t>.</w:t>
            </w:r>
          </w:p>
          <w:p w14:paraId="43AE2893" w14:textId="425E9FFB" w:rsidR="002E3313" w:rsidRPr="001F7BB9" w:rsidRDefault="002E3313" w:rsidP="00220EB0">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p>
        </w:tc>
      </w:tr>
      <w:tr w:rsidR="000A5AC2" w:rsidRPr="001F7BB9" w14:paraId="7883C0BE" w14:textId="77777777" w:rsidTr="00D4484E">
        <w:tc>
          <w:tcPr>
            <w:tcW w:w="1141" w:type="dxa"/>
          </w:tcPr>
          <w:p w14:paraId="7EA358AF" w14:textId="154441B7" w:rsidR="000A5AC2" w:rsidRPr="001F7BB9" w:rsidRDefault="000A5AC2" w:rsidP="00E2267D">
            <w:pPr>
              <w:tabs>
                <w:tab w:val="left" w:pos="5347"/>
              </w:tabs>
              <w:rPr>
                <w:rFonts w:ascii="Arial" w:hAnsi="Arial" w:cs="Arial"/>
              </w:rPr>
            </w:pPr>
            <w:r w:rsidRPr="001F7BB9">
              <w:rPr>
                <w:rFonts w:ascii="Arial" w:hAnsi="Arial" w:cs="Arial"/>
              </w:rPr>
              <w:t>1.</w:t>
            </w:r>
            <w:r w:rsidR="008D12A0" w:rsidRPr="001F7BB9">
              <w:rPr>
                <w:rFonts w:ascii="Arial" w:hAnsi="Arial" w:cs="Arial"/>
              </w:rPr>
              <w:t>2</w:t>
            </w:r>
          </w:p>
        </w:tc>
        <w:tc>
          <w:tcPr>
            <w:tcW w:w="7875" w:type="dxa"/>
          </w:tcPr>
          <w:p w14:paraId="5D5769EF" w14:textId="1CD4B9D7" w:rsidR="002E3313" w:rsidRPr="001F7BB9" w:rsidRDefault="002E3313" w:rsidP="002E3313">
            <w:pPr>
              <w:rPr>
                <w:rFonts w:asciiTheme="minorBidi" w:hAnsiTheme="minorBidi" w:cstheme="minorBidi"/>
              </w:rPr>
            </w:pPr>
            <w:r w:rsidRPr="001F7BB9">
              <w:rPr>
                <w:rFonts w:asciiTheme="minorBidi" w:hAnsiTheme="minorBidi" w:cstheme="minorBidi"/>
              </w:rPr>
              <w:t xml:space="preserve">She welcomed Peter Thompson as observer, and </w:t>
            </w:r>
            <w:r w:rsidR="00097657" w:rsidRPr="001F7BB9">
              <w:rPr>
                <w:rFonts w:asciiTheme="minorBidi" w:hAnsiTheme="minorBidi" w:cstheme="minorBidi"/>
              </w:rPr>
              <w:t xml:space="preserve">to </w:t>
            </w:r>
            <w:r w:rsidRPr="001F7BB9">
              <w:rPr>
                <w:rFonts w:asciiTheme="minorBidi" w:hAnsiTheme="minorBidi" w:cstheme="minorBidi"/>
              </w:rPr>
              <w:t>his first ONR Board since joining the organisation as HR Director on 31 March</w:t>
            </w:r>
            <w:r w:rsidR="00B21822" w:rsidRPr="001F7BB9">
              <w:rPr>
                <w:rFonts w:asciiTheme="minorBidi" w:hAnsiTheme="minorBidi" w:cstheme="minorBidi"/>
              </w:rPr>
              <w:t xml:space="preserve"> 2025</w:t>
            </w:r>
            <w:r w:rsidRPr="001F7BB9">
              <w:rPr>
                <w:rFonts w:asciiTheme="minorBidi" w:hAnsiTheme="minorBidi" w:cstheme="minorBidi"/>
              </w:rPr>
              <w:t>.</w:t>
            </w:r>
          </w:p>
          <w:p w14:paraId="7A5A628D" w14:textId="3F1AE9D7" w:rsidR="004B663F" w:rsidRPr="001F7BB9" w:rsidRDefault="004B663F" w:rsidP="00220EB0">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right="34"/>
              <w:rPr>
                <w:rFonts w:ascii="Arial" w:eastAsia="Arial" w:hAnsi="Arial" w:cs="Arial"/>
                <w:bCs/>
                <w:color w:val="auto"/>
              </w:rPr>
            </w:pPr>
          </w:p>
        </w:tc>
      </w:tr>
      <w:tr w:rsidR="002E3313" w:rsidRPr="001F7BB9" w14:paraId="27BF2F2E" w14:textId="77777777" w:rsidTr="00D4484E">
        <w:tc>
          <w:tcPr>
            <w:tcW w:w="1141" w:type="dxa"/>
          </w:tcPr>
          <w:p w14:paraId="359D54F0" w14:textId="09949909" w:rsidR="002E3313" w:rsidRPr="001F7BB9" w:rsidRDefault="002E3313" w:rsidP="00E2267D">
            <w:pPr>
              <w:tabs>
                <w:tab w:val="left" w:pos="5347"/>
              </w:tabs>
              <w:rPr>
                <w:rFonts w:ascii="Arial" w:hAnsi="Arial" w:cs="Arial"/>
              </w:rPr>
            </w:pPr>
            <w:r w:rsidRPr="001F7BB9">
              <w:rPr>
                <w:rFonts w:ascii="Arial" w:hAnsi="Arial" w:cs="Arial"/>
              </w:rPr>
              <w:t xml:space="preserve">1.3 </w:t>
            </w:r>
          </w:p>
        </w:tc>
        <w:tc>
          <w:tcPr>
            <w:tcW w:w="7875" w:type="dxa"/>
          </w:tcPr>
          <w:p w14:paraId="57E934E5" w14:textId="77777777" w:rsidR="00447F09" w:rsidRPr="001F7BB9" w:rsidRDefault="00447F09" w:rsidP="00447F09">
            <w:pPr>
              <w:rPr>
                <w:rFonts w:asciiTheme="minorBidi" w:hAnsiTheme="minorBidi" w:cstheme="minorBidi"/>
              </w:rPr>
            </w:pPr>
            <w:r w:rsidRPr="001F7BB9">
              <w:rPr>
                <w:rFonts w:asciiTheme="minorBidi" w:hAnsiTheme="minorBidi" w:cstheme="minorBidi"/>
              </w:rPr>
              <w:t xml:space="preserve">There were no declarations of interest. </w:t>
            </w:r>
          </w:p>
          <w:p w14:paraId="6FD05E51" w14:textId="4EDA9D3B" w:rsidR="002E3313" w:rsidRPr="001F7BB9" w:rsidRDefault="002E3313" w:rsidP="002E3313">
            <w:pPr>
              <w:rPr>
                <w:rFonts w:asciiTheme="minorBidi" w:hAnsiTheme="minorBidi" w:cstheme="minorBidi"/>
              </w:rPr>
            </w:pPr>
          </w:p>
        </w:tc>
      </w:tr>
      <w:tr w:rsidR="000A5AC2" w:rsidRPr="001F7BB9" w14:paraId="2BE6D30E" w14:textId="77777777" w:rsidTr="00D4484E">
        <w:tc>
          <w:tcPr>
            <w:tcW w:w="1141" w:type="dxa"/>
          </w:tcPr>
          <w:p w14:paraId="71862D3C" w14:textId="77777777" w:rsidR="000A5AC2" w:rsidRPr="001F7BB9" w:rsidRDefault="000A5AC2" w:rsidP="00E2267D">
            <w:pPr>
              <w:tabs>
                <w:tab w:val="left" w:pos="5347"/>
              </w:tabs>
              <w:rPr>
                <w:rFonts w:ascii="Arial" w:hAnsi="Arial" w:cs="Arial"/>
                <w:b/>
              </w:rPr>
            </w:pPr>
            <w:r w:rsidRPr="001F7BB9">
              <w:rPr>
                <w:rFonts w:ascii="Arial" w:hAnsi="Arial" w:cs="Arial"/>
                <w:b/>
              </w:rPr>
              <w:t>2</w:t>
            </w:r>
          </w:p>
        </w:tc>
        <w:tc>
          <w:tcPr>
            <w:tcW w:w="7875" w:type="dxa"/>
          </w:tcPr>
          <w:p w14:paraId="43824C82" w14:textId="21BBBBA1" w:rsidR="000A5AC2" w:rsidRPr="001F7BB9" w:rsidRDefault="000A5AC2" w:rsidP="00E2267D">
            <w:pPr>
              <w:tabs>
                <w:tab w:val="left" w:pos="5347"/>
              </w:tabs>
              <w:rPr>
                <w:rFonts w:ascii="Arial" w:hAnsi="Arial" w:cs="Arial"/>
                <w:b/>
              </w:rPr>
            </w:pPr>
            <w:r w:rsidRPr="001F7BB9">
              <w:rPr>
                <w:rFonts w:ascii="Arial" w:hAnsi="Arial" w:cs="Arial"/>
                <w:b/>
              </w:rPr>
              <w:t xml:space="preserve">Minutes, </w:t>
            </w:r>
            <w:r w:rsidR="00815624" w:rsidRPr="001F7BB9">
              <w:rPr>
                <w:rFonts w:ascii="Arial" w:hAnsi="Arial" w:cs="Arial"/>
                <w:b/>
              </w:rPr>
              <w:t>m</w:t>
            </w:r>
            <w:r w:rsidRPr="001F7BB9">
              <w:rPr>
                <w:rFonts w:ascii="Arial" w:hAnsi="Arial" w:cs="Arial"/>
                <w:b/>
              </w:rPr>
              <w:t xml:space="preserve">atters </w:t>
            </w:r>
            <w:r w:rsidR="00815624" w:rsidRPr="001F7BB9">
              <w:rPr>
                <w:rFonts w:ascii="Arial" w:hAnsi="Arial" w:cs="Arial"/>
                <w:b/>
              </w:rPr>
              <w:t>a</w:t>
            </w:r>
            <w:r w:rsidRPr="001F7BB9">
              <w:rPr>
                <w:rFonts w:ascii="Arial" w:hAnsi="Arial" w:cs="Arial"/>
                <w:b/>
              </w:rPr>
              <w:t xml:space="preserve">rising and </w:t>
            </w:r>
            <w:r w:rsidR="00815624" w:rsidRPr="001F7BB9">
              <w:rPr>
                <w:rFonts w:ascii="Arial" w:hAnsi="Arial" w:cs="Arial"/>
                <w:b/>
              </w:rPr>
              <w:t>a</w:t>
            </w:r>
            <w:r w:rsidRPr="001F7BB9">
              <w:rPr>
                <w:rFonts w:ascii="Arial" w:hAnsi="Arial" w:cs="Arial"/>
                <w:b/>
              </w:rPr>
              <w:t xml:space="preserve">ction </w:t>
            </w:r>
            <w:r w:rsidR="00815624" w:rsidRPr="001F7BB9">
              <w:rPr>
                <w:rFonts w:ascii="Arial" w:hAnsi="Arial" w:cs="Arial"/>
                <w:b/>
              </w:rPr>
              <w:t>p</w:t>
            </w:r>
            <w:r w:rsidRPr="001F7BB9">
              <w:rPr>
                <w:rFonts w:ascii="Arial" w:hAnsi="Arial" w:cs="Arial"/>
                <w:b/>
              </w:rPr>
              <w:t xml:space="preserve">oints </w:t>
            </w:r>
          </w:p>
          <w:p w14:paraId="78BDFED9" w14:textId="7818B67B" w:rsidR="000A5AC2" w:rsidRPr="001F7BB9" w:rsidRDefault="000A5AC2" w:rsidP="00E2267D">
            <w:pPr>
              <w:tabs>
                <w:tab w:val="left" w:pos="5347"/>
              </w:tabs>
              <w:rPr>
                <w:rFonts w:ascii="Arial" w:hAnsi="Arial" w:cs="Arial"/>
                <w:b/>
              </w:rPr>
            </w:pPr>
          </w:p>
        </w:tc>
      </w:tr>
      <w:tr w:rsidR="000A5AC2" w:rsidRPr="001F7BB9" w14:paraId="5CE35502" w14:textId="77777777" w:rsidTr="00D4484E">
        <w:tc>
          <w:tcPr>
            <w:tcW w:w="1141" w:type="dxa"/>
          </w:tcPr>
          <w:p w14:paraId="513B7C41" w14:textId="77777777" w:rsidR="000A5AC2" w:rsidRPr="001F7BB9" w:rsidRDefault="000A5AC2" w:rsidP="00E2267D">
            <w:pPr>
              <w:tabs>
                <w:tab w:val="left" w:pos="5347"/>
              </w:tabs>
              <w:rPr>
                <w:rFonts w:ascii="Arial" w:hAnsi="Arial" w:cs="Arial"/>
              </w:rPr>
            </w:pPr>
            <w:r w:rsidRPr="001F7BB9">
              <w:rPr>
                <w:rFonts w:ascii="Arial" w:hAnsi="Arial" w:cs="Arial"/>
              </w:rPr>
              <w:t>2.1</w:t>
            </w:r>
          </w:p>
        </w:tc>
        <w:tc>
          <w:tcPr>
            <w:tcW w:w="7875" w:type="dxa"/>
          </w:tcPr>
          <w:p w14:paraId="156CED24" w14:textId="1B4A9508" w:rsidR="000A5AC2" w:rsidRPr="001F7BB9" w:rsidRDefault="00734B22" w:rsidP="00E2267D">
            <w:pPr>
              <w:contextualSpacing/>
              <w:rPr>
                <w:rFonts w:ascii="Arial" w:hAnsi="Arial"/>
                <w:bCs/>
                <w:color w:val="000000" w:themeColor="text1"/>
                <w:lang w:eastAsia="en-US"/>
              </w:rPr>
            </w:pPr>
            <w:r w:rsidRPr="001F7BB9">
              <w:rPr>
                <w:rFonts w:ascii="Arial" w:hAnsi="Arial"/>
                <w:bCs/>
                <w:color w:val="000000" w:themeColor="text1"/>
                <w:lang w:eastAsia="en-US"/>
              </w:rPr>
              <w:t>The minutes of the meeting held on 26 March 2025 were approved as a correct record subject to a few amendments noted in the meeting</w:t>
            </w:r>
            <w:r w:rsidR="000B4319" w:rsidRPr="001F7BB9">
              <w:rPr>
                <w:rFonts w:ascii="Arial" w:hAnsi="Arial"/>
                <w:bCs/>
                <w:color w:val="000000" w:themeColor="text1"/>
                <w:lang w:eastAsia="en-US"/>
              </w:rPr>
              <w:t xml:space="preserve"> and agreed by the Chair</w:t>
            </w:r>
            <w:r w:rsidRPr="001F7BB9">
              <w:rPr>
                <w:rFonts w:ascii="Arial" w:hAnsi="Arial"/>
                <w:bCs/>
                <w:color w:val="000000" w:themeColor="text1"/>
                <w:lang w:eastAsia="en-US"/>
              </w:rPr>
              <w:t>.</w:t>
            </w:r>
          </w:p>
          <w:p w14:paraId="022B9442" w14:textId="7A10F03B" w:rsidR="00734B22" w:rsidRPr="001F7BB9" w:rsidRDefault="00734B22" w:rsidP="00E2267D">
            <w:pPr>
              <w:contextualSpacing/>
              <w:rPr>
                <w:rFonts w:ascii="Arial" w:hAnsi="Arial"/>
                <w:bCs/>
                <w:color w:val="000000" w:themeColor="text1"/>
                <w:lang w:eastAsia="en-US"/>
              </w:rPr>
            </w:pPr>
          </w:p>
        </w:tc>
      </w:tr>
      <w:tr w:rsidR="000A5AC2" w:rsidRPr="001F7BB9" w14:paraId="7CA64719" w14:textId="77777777" w:rsidTr="00D4484E">
        <w:trPr>
          <w:trHeight w:val="399"/>
        </w:trPr>
        <w:tc>
          <w:tcPr>
            <w:tcW w:w="1141" w:type="dxa"/>
          </w:tcPr>
          <w:p w14:paraId="12C0835C" w14:textId="5D1B9999" w:rsidR="000A5AC2" w:rsidRPr="001F7BB9" w:rsidRDefault="000A5AC2" w:rsidP="00E2267D">
            <w:pPr>
              <w:tabs>
                <w:tab w:val="left" w:pos="5347"/>
              </w:tabs>
              <w:rPr>
                <w:rFonts w:ascii="Arial" w:hAnsi="Arial" w:cs="Arial"/>
              </w:rPr>
            </w:pPr>
            <w:r w:rsidRPr="001F7BB9">
              <w:rPr>
                <w:rFonts w:ascii="Arial" w:hAnsi="Arial" w:cs="Arial"/>
              </w:rPr>
              <w:t>2.2</w:t>
            </w:r>
          </w:p>
        </w:tc>
        <w:tc>
          <w:tcPr>
            <w:tcW w:w="7875" w:type="dxa"/>
          </w:tcPr>
          <w:p w14:paraId="7E7C2BB9" w14:textId="41A236C3" w:rsidR="00BC0353" w:rsidRPr="001F7BB9" w:rsidRDefault="000A5AC2" w:rsidP="00685EDF">
            <w:pPr>
              <w:rPr>
                <w:rFonts w:ascii="Arial" w:hAnsi="Arial" w:cs="Arial"/>
                <w:bCs/>
              </w:rPr>
            </w:pPr>
            <w:r w:rsidRPr="001F7BB9">
              <w:rPr>
                <w:rFonts w:ascii="Arial" w:hAnsi="Arial" w:cs="Arial"/>
                <w:bCs/>
              </w:rPr>
              <w:t>The Board noted that all actions were either complete or on track.</w:t>
            </w:r>
            <w:r w:rsidR="008B1EB0" w:rsidRPr="001F7BB9">
              <w:rPr>
                <w:rFonts w:ascii="Arial" w:hAnsi="Arial" w:cs="Arial"/>
                <w:bCs/>
              </w:rPr>
              <w:t xml:space="preserve"> </w:t>
            </w:r>
          </w:p>
        </w:tc>
      </w:tr>
      <w:tr w:rsidR="008C531E" w:rsidRPr="001F7BB9" w14:paraId="6E520564" w14:textId="77777777" w:rsidTr="00D4484E">
        <w:trPr>
          <w:trHeight w:val="399"/>
        </w:trPr>
        <w:tc>
          <w:tcPr>
            <w:tcW w:w="1141" w:type="dxa"/>
          </w:tcPr>
          <w:p w14:paraId="517943E3" w14:textId="7AC03BD5" w:rsidR="008C531E" w:rsidRPr="001F7BB9" w:rsidRDefault="008C531E" w:rsidP="00FD070D">
            <w:pPr>
              <w:tabs>
                <w:tab w:val="left" w:pos="5347"/>
              </w:tabs>
              <w:rPr>
                <w:rFonts w:ascii="Arial" w:hAnsi="Arial" w:cs="Arial"/>
                <w:b/>
                <w:bCs/>
              </w:rPr>
            </w:pPr>
            <w:r w:rsidRPr="001F7BB9">
              <w:rPr>
                <w:rFonts w:ascii="Arial" w:hAnsi="Arial" w:cs="Arial"/>
                <w:b/>
                <w:bCs/>
              </w:rPr>
              <w:t>3</w:t>
            </w:r>
          </w:p>
        </w:tc>
        <w:tc>
          <w:tcPr>
            <w:tcW w:w="7875" w:type="dxa"/>
          </w:tcPr>
          <w:p w14:paraId="0DDF6161" w14:textId="65636476" w:rsidR="008C531E" w:rsidRPr="001F7BB9" w:rsidRDefault="008C531E" w:rsidP="00FD070D">
            <w:pPr>
              <w:tabs>
                <w:tab w:val="left" w:pos="5347"/>
              </w:tabs>
              <w:rPr>
                <w:rFonts w:ascii="Arial" w:hAnsi="Arial" w:cs="Arial"/>
                <w:b/>
              </w:rPr>
            </w:pPr>
            <w:r w:rsidRPr="001F7BB9">
              <w:rPr>
                <w:rFonts w:ascii="Arial" w:hAnsi="Arial" w:cs="Arial"/>
                <w:b/>
              </w:rPr>
              <w:t xml:space="preserve">Chair’s </w:t>
            </w:r>
            <w:r w:rsidR="00815624" w:rsidRPr="001F7BB9">
              <w:rPr>
                <w:rFonts w:ascii="Arial" w:hAnsi="Arial" w:cs="Arial"/>
                <w:b/>
              </w:rPr>
              <w:t>r</w:t>
            </w:r>
            <w:r w:rsidRPr="001F7BB9">
              <w:rPr>
                <w:rFonts w:ascii="Arial" w:hAnsi="Arial" w:cs="Arial"/>
                <w:b/>
              </w:rPr>
              <w:t>eport</w:t>
            </w:r>
          </w:p>
          <w:p w14:paraId="342E4677" w14:textId="77777777" w:rsidR="008C531E" w:rsidRPr="001F7BB9" w:rsidRDefault="008C531E" w:rsidP="00FD070D">
            <w:pPr>
              <w:tabs>
                <w:tab w:val="left" w:pos="5347"/>
              </w:tabs>
              <w:rPr>
                <w:rFonts w:ascii="Arial" w:hAnsi="Arial" w:cs="Arial"/>
                <w:bCs/>
              </w:rPr>
            </w:pPr>
          </w:p>
        </w:tc>
      </w:tr>
      <w:tr w:rsidR="00FD070D" w:rsidRPr="001F7BB9" w14:paraId="07E049FD" w14:textId="77777777" w:rsidTr="00D4484E">
        <w:trPr>
          <w:trHeight w:val="399"/>
        </w:trPr>
        <w:tc>
          <w:tcPr>
            <w:tcW w:w="1141" w:type="dxa"/>
          </w:tcPr>
          <w:p w14:paraId="65F34E0E" w14:textId="78AAE182" w:rsidR="00FD070D" w:rsidRPr="001F7BB9" w:rsidRDefault="00FD070D" w:rsidP="00E2267D">
            <w:pPr>
              <w:tabs>
                <w:tab w:val="left" w:pos="5347"/>
              </w:tabs>
              <w:rPr>
                <w:rFonts w:ascii="Arial" w:hAnsi="Arial" w:cs="Arial"/>
              </w:rPr>
            </w:pPr>
            <w:r w:rsidRPr="001F7BB9">
              <w:rPr>
                <w:rFonts w:ascii="Arial" w:hAnsi="Arial" w:cs="Arial"/>
              </w:rPr>
              <w:t>3.</w:t>
            </w:r>
            <w:r w:rsidR="003450C4" w:rsidRPr="001F7BB9">
              <w:rPr>
                <w:rFonts w:ascii="Arial" w:hAnsi="Arial" w:cs="Arial"/>
              </w:rPr>
              <w:t>1</w:t>
            </w:r>
          </w:p>
        </w:tc>
        <w:tc>
          <w:tcPr>
            <w:tcW w:w="7875" w:type="dxa"/>
          </w:tcPr>
          <w:p w14:paraId="451F8ABA" w14:textId="525CE494" w:rsidR="00C74247" w:rsidRPr="001F7BB9" w:rsidRDefault="00BE188E" w:rsidP="00623C2E">
            <w:pPr>
              <w:tabs>
                <w:tab w:val="left" w:pos="5347"/>
              </w:tabs>
              <w:rPr>
                <w:rFonts w:asciiTheme="minorBidi" w:hAnsiTheme="minorBidi"/>
              </w:rPr>
            </w:pPr>
            <w:r w:rsidRPr="001F7BB9">
              <w:rPr>
                <w:rFonts w:asciiTheme="minorBidi" w:hAnsiTheme="minorBidi"/>
              </w:rPr>
              <w:t>A report from the Chair ha</w:t>
            </w:r>
            <w:r w:rsidR="00944A6F" w:rsidRPr="001F7BB9">
              <w:rPr>
                <w:rFonts w:asciiTheme="minorBidi" w:hAnsiTheme="minorBidi"/>
              </w:rPr>
              <w:t>d</w:t>
            </w:r>
            <w:r w:rsidRPr="001F7BB9">
              <w:rPr>
                <w:rFonts w:asciiTheme="minorBidi" w:hAnsiTheme="minorBidi"/>
              </w:rPr>
              <w:t xml:space="preserve"> been shared by correspondence with the Board, reflecting on her first two months in the organisation, and </w:t>
            </w:r>
            <w:r w:rsidR="00944A6F" w:rsidRPr="001F7BB9">
              <w:rPr>
                <w:rFonts w:asciiTheme="minorBidi" w:hAnsiTheme="minorBidi"/>
              </w:rPr>
              <w:t xml:space="preserve">providing an overview of </w:t>
            </w:r>
            <w:r w:rsidRPr="001F7BB9">
              <w:rPr>
                <w:rFonts w:asciiTheme="minorBidi" w:hAnsiTheme="minorBidi"/>
              </w:rPr>
              <w:t>her internal and external meetings.</w:t>
            </w:r>
          </w:p>
          <w:p w14:paraId="42065464" w14:textId="5E0C4063" w:rsidR="00BE188E" w:rsidRPr="001F7BB9" w:rsidRDefault="00BE188E" w:rsidP="00623C2E">
            <w:pPr>
              <w:tabs>
                <w:tab w:val="left" w:pos="5347"/>
              </w:tabs>
              <w:rPr>
                <w:rFonts w:asciiTheme="minorBidi" w:hAnsiTheme="minorBidi"/>
              </w:rPr>
            </w:pPr>
          </w:p>
        </w:tc>
      </w:tr>
      <w:tr w:rsidR="00BE188E" w:rsidRPr="001F7BB9" w14:paraId="5B0B111F" w14:textId="77777777" w:rsidTr="00D4484E">
        <w:trPr>
          <w:trHeight w:val="399"/>
        </w:trPr>
        <w:tc>
          <w:tcPr>
            <w:tcW w:w="1141" w:type="dxa"/>
          </w:tcPr>
          <w:p w14:paraId="7D950FA3" w14:textId="31C5810D" w:rsidR="00BE188E" w:rsidRPr="001F7BB9" w:rsidRDefault="00BE188E" w:rsidP="00E2267D">
            <w:pPr>
              <w:tabs>
                <w:tab w:val="left" w:pos="5347"/>
              </w:tabs>
              <w:rPr>
                <w:rFonts w:ascii="Arial" w:hAnsi="Arial" w:cs="Arial"/>
              </w:rPr>
            </w:pPr>
            <w:r w:rsidRPr="001F7BB9">
              <w:rPr>
                <w:rFonts w:ascii="Arial" w:hAnsi="Arial" w:cs="Arial"/>
              </w:rPr>
              <w:lastRenderedPageBreak/>
              <w:t>3.2</w:t>
            </w:r>
          </w:p>
        </w:tc>
        <w:tc>
          <w:tcPr>
            <w:tcW w:w="7875" w:type="dxa"/>
          </w:tcPr>
          <w:p w14:paraId="0D6CF3A7" w14:textId="1D67987B" w:rsidR="00BE188E" w:rsidRPr="001F7BB9" w:rsidRDefault="00E760CD" w:rsidP="00623C2E">
            <w:pPr>
              <w:tabs>
                <w:tab w:val="left" w:pos="5347"/>
              </w:tabs>
              <w:rPr>
                <w:rFonts w:asciiTheme="minorBidi" w:hAnsiTheme="minorBidi"/>
              </w:rPr>
            </w:pPr>
            <w:r w:rsidRPr="001F7BB9">
              <w:rPr>
                <w:rFonts w:asciiTheme="minorBidi" w:hAnsiTheme="minorBidi"/>
              </w:rPr>
              <w:t xml:space="preserve">The Board noted the </w:t>
            </w:r>
            <w:r w:rsidR="00097657" w:rsidRPr="001F7BB9">
              <w:rPr>
                <w:rFonts w:asciiTheme="minorBidi" w:hAnsiTheme="minorBidi"/>
              </w:rPr>
              <w:t>significant level</w:t>
            </w:r>
            <w:r w:rsidRPr="001F7BB9">
              <w:rPr>
                <w:rFonts w:asciiTheme="minorBidi" w:hAnsiTheme="minorBidi"/>
              </w:rPr>
              <w:t xml:space="preserve"> of activity </w:t>
            </w:r>
            <w:r w:rsidR="00153498" w:rsidRPr="001F7BB9">
              <w:rPr>
                <w:rFonts w:asciiTheme="minorBidi" w:hAnsiTheme="minorBidi"/>
              </w:rPr>
              <w:t>that</w:t>
            </w:r>
            <w:r w:rsidRPr="001F7BB9">
              <w:rPr>
                <w:rFonts w:asciiTheme="minorBidi" w:hAnsiTheme="minorBidi"/>
              </w:rPr>
              <w:t xml:space="preserve"> had taken place over a short period of time as part of the Chair’s induction.</w:t>
            </w:r>
          </w:p>
          <w:p w14:paraId="5A85D361" w14:textId="797F33D8" w:rsidR="00E760CD" w:rsidRPr="001F7BB9" w:rsidRDefault="00E760CD" w:rsidP="00623C2E">
            <w:pPr>
              <w:tabs>
                <w:tab w:val="left" w:pos="5347"/>
              </w:tabs>
              <w:rPr>
                <w:rFonts w:asciiTheme="minorBidi" w:hAnsiTheme="minorBidi"/>
              </w:rPr>
            </w:pPr>
          </w:p>
        </w:tc>
      </w:tr>
      <w:tr w:rsidR="0097193F" w:rsidRPr="001F7BB9" w14:paraId="376739F6" w14:textId="77777777" w:rsidTr="00D4484E">
        <w:trPr>
          <w:trHeight w:val="399"/>
        </w:trPr>
        <w:tc>
          <w:tcPr>
            <w:tcW w:w="1141" w:type="dxa"/>
          </w:tcPr>
          <w:p w14:paraId="051FB799" w14:textId="3585AAC2" w:rsidR="0097193F" w:rsidRPr="001F7BB9" w:rsidRDefault="0097193F" w:rsidP="00E2267D">
            <w:pPr>
              <w:tabs>
                <w:tab w:val="left" w:pos="5347"/>
              </w:tabs>
              <w:rPr>
                <w:rFonts w:ascii="Arial" w:hAnsi="Arial" w:cs="Arial"/>
                <w:b/>
                <w:bCs/>
              </w:rPr>
            </w:pPr>
            <w:r w:rsidRPr="001F7BB9">
              <w:rPr>
                <w:rFonts w:ascii="Arial" w:hAnsi="Arial" w:cs="Arial"/>
                <w:b/>
                <w:bCs/>
              </w:rPr>
              <w:t xml:space="preserve">4. </w:t>
            </w:r>
          </w:p>
        </w:tc>
        <w:tc>
          <w:tcPr>
            <w:tcW w:w="7875" w:type="dxa"/>
          </w:tcPr>
          <w:p w14:paraId="2CD30B5A" w14:textId="5307FB97" w:rsidR="0097193F" w:rsidRPr="001F7BB9" w:rsidRDefault="000A1C48" w:rsidP="004B663F">
            <w:pPr>
              <w:tabs>
                <w:tab w:val="left" w:pos="5347"/>
              </w:tabs>
              <w:rPr>
                <w:rFonts w:ascii="Arial" w:hAnsi="Arial" w:cs="Arial"/>
                <w:b/>
              </w:rPr>
            </w:pPr>
            <w:r w:rsidRPr="001F7BB9">
              <w:rPr>
                <w:rFonts w:ascii="Arial" w:hAnsi="Arial" w:cs="Arial"/>
                <w:b/>
              </w:rPr>
              <w:t>CE/CNI</w:t>
            </w:r>
            <w:r w:rsidR="0097193F" w:rsidRPr="001F7BB9">
              <w:rPr>
                <w:rFonts w:ascii="Arial" w:hAnsi="Arial" w:cs="Arial"/>
                <w:b/>
              </w:rPr>
              <w:t xml:space="preserve"> </w:t>
            </w:r>
            <w:r w:rsidR="00815624" w:rsidRPr="001F7BB9">
              <w:rPr>
                <w:rFonts w:ascii="Arial" w:hAnsi="Arial" w:cs="Arial"/>
                <w:b/>
              </w:rPr>
              <w:t>r</w:t>
            </w:r>
            <w:r w:rsidR="0097193F" w:rsidRPr="001F7BB9">
              <w:rPr>
                <w:rFonts w:ascii="Arial" w:hAnsi="Arial" w:cs="Arial"/>
                <w:b/>
              </w:rPr>
              <w:t>eport</w:t>
            </w:r>
          </w:p>
        </w:tc>
      </w:tr>
      <w:tr w:rsidR="0097193F" w:rsidRPr="001F7BB9" w14:paraId="55C30C86" w14:textId="77777777" w:rsidTr="00D4484E">
        <w:trPr>
          <w:trHeight w:val="399"/>
        </w:trPr>
        <w:tc>
          <w:tcPr>
            <w:tcW w:w="1141" w:type="dxa"/>
          </w:tcPr>
          <w:p w14:paraId="765F329A" w14:textId="56EF0D37" w:rsidR="0097193F" w:rsidRPr="001F7BB9" w:rsidRDefault="0097193F" w:rsidP="00E2267D">
            <w:pPr>
              <w:tabs>
                <w:tab w:val="left" w:pos="5347"/>
              </w:tabs>
              <w:rPr>
                <w:rFonts w:ascii="Arial" w:hAnsi="Arial" w:cs="Arial"/>
              </w:rPr>
            </w:pPr>
            <w:r w:rsidRPr="001F7BB9">
              <w:rPr>
                <w:rFonts w:ascii="Arial" w:hAnsi="Arial" w:cs="Arial"/>
              </w:rPr>
              <w:t>4.1</w:t>
            </w:r>
          </w:p>
        </w:tc>
        <w:tc>
          <w:tcPr>
            <w:tcW w:w="7875" w:type="dxa"/>
          </w:tcPr>
          <w:p w14:paraId="5C81CAD0" w14:textId="4F98A3D1" w:rsidR="00995595" w:rsidRPr="001F7BB9" w:rsidRDefault="00D55738" w:rsidP="00C11E61">
            <w:pPr>
              <w:rPr>
                <w:rFonts w:asciiTheme="minorBidi" w:hAnsiTheme="minorBidi" w:cstheme="minorBidi"/>
              </w:rPr>
            </w:pPr>
            <w:r w:rsidRPr="001F7BB9">
              <w:rPr>
                <w:rFonts w:asciiTheme="minorBidi" w:hAnsiTheme="minorBidi" w:cstheme="minorBidi"/>
              </w:rPr>
              <w:t xml:space="preserve">The CE/CNI provided </w:t>
            </w:r>
            <w:r w:rsidR="003A1C5A" w:rsidRPr="001F7BB9">
              <w:rPr>
                <w:rFonts w:asciiTheme="minorBidi" w:hAnsiTheme="minorBidi" w:cstheme="minorBidi"/>
              </w:rPr>
              <w:t xml:space="preserve">an </w:t>
            </w:r>
            <w:r w:rsidRPr="001F7BB9">
              <w:rPr>
                <w:rFonts w:asciiTheme="minorBidi" w:hAnsiTheme="minorBidi" w:cstheme="minorBidi"/>
              </w:rPr>
              <w:t>update to the Board on key corporate, regulatory, finance, risk and assurance matters.</w:t>
            </w:r>
          </w:p>
          <w:p w14:paraId="3D2529D8" w14:textId="5B917CE7" w:rsidR="00D55738" w:rsidRPr="001F7BB9" w:rsidRDefault="00D55738" w:rsidP="00C11E61">
            <w:pPr>
              <w:rPr>
                <w:rFonts w:asciiTheme="minorBidi" w:hAnsiTheme="minorBidi" w:cstheme="minorBidi"/>
              </w:rPr>
            </w:pPr>
          </w:p>
        </w:tc>
      </w:tr>
      <w:tr w:rsidR="000C3952" w:rsidRPr="001F7BB9" w14:paraId="0D75534B" w14:textId="77777777" w:rsidTr="00D4484E">
        <w:trPr>
          <w:trHeight w:val="399"/>
        </w:trPr>
        <w:tc>
          <w:tcPr>
            <w:tcW w:w="1141" w:type="dxa"/>
          </w:tcPr>
          <w:p w14:paraId="6F2ADA8B" w14:textId="554B35F0" w:rsidR="000C3952" w:rsidRPr="001F7BB9" w:rsidRDefault="000C3952" w:rsidP="00E2267D">
            <w:pPr>
              <w:tabs>
                <w:tab w:val="left" w:pos="5347"/>
              </w:tabs>
              <w:rPr>
                <w:rFonts w:ascii="Arial" w:hAnsi="Arial" w:cs="Arial"/>
              </w:rPr>
            </w:pPr>
            <w:r w:rsidRPr="001F7BB9">
              <w:rPr>
                <w:rFonts w:ascii="Arial" w:hAnsi="Arial" w:cs="Arial"/>
              </w:rPr>
              <w:t>4.2</w:t>
            </w:r>
          </w:p>
        </w:tc>
        <w:tc>
          <w:tcPr>
            <w:tcW w:w="7875" w:type="dxa"/>
          </w:tcPr>
          <w:p w14:paraId="6E3E6AE0" w14:textId="77777777" w:rsidR="000C3952" w:rsidRPr="001F7BB9" w:rsidRDefault="00DD44C4" w:rsidP="00C16F7B">
            <w:pPr>
              <w:rPr>
                <w:rFonts w:ascii="Arial" w:hAnsi="Arial" w:cs="Arial"/>
                <w:bCs/>
              </w:rPr>
            </w:pPr>
            <w:r w:rsidRPr="001F7BB9">
              <w:rPr>
                <w:rFonts w:ascii="Arial" w:hAnsi="Arial" w:cs="Arial"/>
                <w:bCs/>
              </w:rPr>
              <w:t xml:space="preserve">He welcomed the </w:t>
            </w:r>
            <w:r w:rsidR="00153498" w:rsidRPr="001F7BB9">
              <w:rPr>
                <w:rFonts w:ascii="Arial" w:hAnsi="Arial" w:cs="Arial"/>
                <w:bCs/>
              </w:rPr>
              <w:t>arrival</w:t>
            </w:r>
            <w:r w:rsidRPr="001F7BB9">
              <w:rPr>
                <w:rFonts w:ascii="Arial" w:hAnsi="Arial" w:cs="Arial"/>
                <w:bCs/>
              </w:rPr>
              <w:t xml:space="preserve"> of Peter Thompson as ONR’s new HR Director.</w:t>
            </w:r>
          </w:p>
          <w:p w14:paraId="5A0F0666" w14:textId="5D177DC9" w:rsidR="00A43AB4" w:rsidRPr="001F7BB9" w:rsidRDefault="00A43AB4" w:rsidP="00C16F7B">
            <w:pPr>
              <w:rPr>
                <w:rFonts w:ascii="Arial" w:hAnsi="Arial" w:cs="Arial"/>
                <w:bCs/>
              </w:rPr>
            </w:pPr>
          </w:p>
        </w:tc>
      </w:tr>
      <w:tr w:rsidR="000C3952" w:rsidRPr="001F7BB9" w14:paraId="27CE6204" w14:textId="77777777" w:rsidTr="00D4484E">
        <w:trPr>
          <w:trHeight w:val="399"/>
        </w:trPr>
        <w:tc>
          <w:tcPr>
            <w:tcW w:w="1141" w:type="dxa"/>
          </w:tcPr>
          <w:p w14:paraId="12F3BE90" w14:textId="1B63A1F4" w:rsidR="000C3952" w:rsidRPr="001F7BB9" w:rsidRDefault="00C16F7B" w:rsidP="00E2267D">
            <w:pPr>
              <w:tabs>
                <w:tab w:val="left" w:pos="5347"/>
              </w:tabs>
              <w:rPr>
                <w:rFonts w:ascii="Arial" w:hAnsi="Arial" w:cs="Arial"/>
              </w:rPr>
            </w:pPr>
            <w:r w:rsidRPr="001F7BB9">
              <w:rPr>
                <w:rFonts w:ascii="Arial" w:hAnsi="Arial" w:cs="Arial"/>
              </w:rPr>
              <w:t>4.3</w:t>
            </w:r>
          </w:p>
        </w:tc>
        <w:tc>
          <w:tcPr>
            <w:tcW w:w="7875" w:type="dxa"/>
          </w:tcPr>
          <w:p w14:paraId="5848D678" w14:textId="2A516D7E" w:rsidR="00C16F7B" w:rsidRPr="001F7BB9" w:rsidRDefault="00C16F7B" w:rsidP="00C16F7B">
            <w:pPr>
              <w:rPr>
                <w:rFonts w:ascii="Arial" w:hAnsi="Arial" w:cs="Arial"/>
                <w:bCs/>
              </w:rPr>
            </w:pPr>
            <w:r w:rsidRPr="001F7BB9">
              <w:rPr>
                <w:rFonts w:ascii="Arial" w:hAnsi="Arial" w:cs="Arial"/>
                <w:bCs/>
              </w:rPr>
              <w:t>He highlighted the public announcement of John Fingleton as the Nuclear Regulatory Taskforce</w:t>
            </w:r>
            <w:r w:rsidR="00F43B1C" w:rsidRPr="001F7BB9">
              <w:rPr>
                <w:rFonts w:ascii="Arial" w:hAnsi="Arial" w:cs="Arial"/>
                <w:bCs/>
              </w:rPr>
              <w:t xml:space="preserve"> lead</w:t>
            </w:r>
            <w:r w:rsidRPr="001F7BB9">
              <w:rPr>
                <w:rFonts w:ascii="Arial" w:hAnsi="Arial" w:cs="Arial"/>
                <w:bCs/>
              </w:rPr>
              <w:t>. The final terms of reference had been shared with the Board</w:t>
            </w:r>
            <w:r w:rsidR="00153498" w:rsidRPr="001F7BB9">
              <w:rPr>
                <w:rFonts w:ascii="Arial" w:hAnsi="Arial" w:cs="Arial"/>
                <w:bCs/>
              </w:rPr>
              <w:t xml:space="preserve">. The Taskforce </w:t>
            </w:r>
            <w:r w:rsidRPr="001F7BB9">
              <w:rPr>
                <w:rFonts w:ascii="Arial" w:hAnsi="Arial" w:cs="Arial"/>
                <w:bCs/>
              </w:rPr>
              <w:t>would continue to remain a substantive agenda item at future Board meetings.</w:t>
            </w:r>
          </w:p>
          <w:p w14:paraId="2BE26877" w14:textId="77777777" w:rsidR="000C3952" w:rsidRPr="001F7BB9" w:rsidRDefault="000C3952" w:rsidP="00C11E61">
            <w:pPr>
              <w:rPr>
                <w:rFonts w:asciiTheme="minorBidi" w:hAnsiTheme="minorBidi" w:cstheme="minorBidi"/>
              </w:rPr>
            </w:pPr>
          </w:p>
        </w:tc>
      </w:tr>
      <w:tr w:rsidR="000C3952" w:rsidRPr="001F7BB9" w14:paraId="474D95F9" w14:textId="77777777" w:rsidTr="00D4484E">
        <w:trPr>
          <w:trHeight w:val="399"/>
        </w:trPr>
        <w:tc>
          <w:tcPr>
            <w:tcW w:w="1141" w:type="dxa"/>
          </w:tcPr>
          <w:p w14:paraId="3393038D" w14:textId="5566D2F8" w:rsidR="000C3952" w:rsidRPr="001F7BB9" w:rsidRDefault="005F5FF1" w:rsidP="00E2267D">
            <w:pPr>
              <w:tabs>
                <w:tab w:val="left" w:pos="5347"/>
              </w:tabs>
              <w:rPr>
                <w:rFonts w:ascii="Arial" w:hAnsi="Arial" w:cs="Arial"/>
              </w:rPr>
            </w:pPr>
            <w:r w:rsidRPr="001F7BB9">
              <w:rPr>
                <w:rFonts w:ascii="Arial" w:hAnsi="Arial" w:cs="Arial"/>
              </w:rPr>
              <w:t>4.4</w:t>
            </w:r>
          </w:p>
        </w:tc>
        <w:tc>
          <w:tcPr>
            <w:tcW w:w="7875" w:type="dxa"/>
          </w:tcPr>
          <w:p w14:paraId="3B767115" w14:textId="007186B5" w:rsidR="005F5FF1" w:rsidRPr="001F7BB9" w:rsidRDefault="00A12149" w:rsidP="005F5FF1">
            <w:pPr>
              <w:rPr>
                <w:rFonts w:ascii="Arial" w:hAnsi="Arial" w:cs="Arial"/>
                <w:bCs/>
              </w:rPr>
            </w:pPr>
            <w:r w:rsidRPr="001F7BB9">
              <w:rPr>
                <w:rFonts w:ascii="Arial" w:hAnsi="Arial" w:cs="Arial"/>
                <w:bCs/>
              </w:rPr>
              <w:t>He noted that t</w:t>
            </w:r>
            <w:r w:rsidR="005F5FF1" w:rsidRPr="001F7BB9">
              <w:rPr>
                <w:rFonts w:ascii="Arial" w:hAnsi="Arial" w:cs="Arial"/>
                <w:bCs/>
              </w:rPr>
              <w:t>he updated interim strategy statement had been shared with Board</w:t>
            </w:r>
            <w:r w:rsidRPr="001F7BB9">
              <w:rPr>
                <w:rFonts w:ascii="Arial" w:hAnsi="Arial" w:cs="Arial"/>
                <w:bCs/>
              </w:rPr>
              <w:t>,</w:t>
            </w:r>
            <w:r w:rsidR="005F5FF1" w:rsidRPr="001F7BB9">
              <w:rPr>
                <w:rFonts w:ascii="Arial" w:hAnsi="Arial" w:cs="Arial"/>
                <w:bCs/>
              </w:rPr>
              <w:t xml:space="preserve"> addressing comments made </w:t>
            </w:r>
            <w:r w:rsidRPr="001F7BB9">
              <w:rPr>
                <w:rFonts w:ascii="Arial" w:hAnsi="Arial" w:cs="Arial"/>
                <w:bCs/>
              </w:rPr>
              <w:t>at</w:t>
            </w:r>
            <w:r w:rsidR="005F5FF1" w:rsidRPr="001F7BB9">
              <w:rPr>
                <w:rFonts w:ascii="Arial" w:hAnsi="Arial" w:cs="Arial"/>
                <w:bCs/>
              </w:rPr>
              <w:t xml:space="preserve"> the March </w:t>
            </w:r>
            <w:r w:rsidR="00E320C1" w:rsidRPr="001F7BB9">
              <w:rPr>
                <w:rFonts w:ascii="Arial" w:hAnsi="Arial" w:cs="Arial"/>
                <w:bCs/>
              </w:rPr>
              <w:t>b</w:t>
            </w:r>
            <w:r w:rsidR="005F5FF1" w:rsidRPr="001F7BB9">
              <w:rPr>
                <w:rFonts w:ascii="Arial" w:hAnsi="Arial" w:cs="Arial"/>
                <w:bCs/>
              </w:rPr>
              <w:t>oard meeting</w:t>
            </w:r>
            <w:r w:rsidRPr="001F7BB9">
              <w:rPr>
                <w:rFonts w:ascii="Arial" w:hAnsi="Arial" w:cs="Arial"/>
                <w:bCs/>
              </w:rPr>
              <w:t xml:space="preserve"> and through correspondence</w:t>
            </w:r>
            <w:r w:rsidR="005F5FF1" w:rsidRPr="001F7BB9">
              <w:rPr>
                <w:rFonts w:ascii="Arial" w:hAnsi="Arial" w:cs="Arial"/>
                <w:bCs/>
              </w:rPr>
              <w:t>. This was due to be published within the week.</w:t>
            </w:r>
          </w:p>
          <w:p w14:paraId="29FC18BB" w14:textId="77777777" w:rsidR="000C3952" w:rsidRPr="001F7BB9" w:rsidRDefault="000C3952" w:rsidP="00C11E61">
            <w:pPr>
              <w:rPr>
                <w:rFonts w:asciiTheme="minorBidi" w:hAnsiTheme="minorBidi" w:cstheme="minorBidi"/>
              </w:rPr>
            </w:pPr>
          </w:p>
        </w:tc>
      </w:tr>
      <w:tr w:rsidR="000C3952" w:rsidRPr="001F7BB9" w14:paraId="00A4998F" w14:textId="77777777" w:rsidTr="00D4484E">
        <w:trPr>
          <w:trHeight w:val="399"/>
        </w:trPr>
        <w:tc>
          <w:tcPr>
            <w:tcW w:w="1141" w:type="dxa"/>
          </w:tcPr>
          <w:p w14:paraId="6A4E5D99" w14:textId="647445EB" w:rsidR="000C3952" w:rsidRPr="001F7BB9" w:rsidRDefault="005F5FF1" w:rsidP="00E2267D">
            <w:pPr>
              <w:tabs>
                <w:tab w:val="left" w:pos="5347"/>
              </w:tabs>
              <w:rPr>
                <w:rFonts w:ascii="Arial" w:hAnsi="Arial" w:cs="Arial"/>
              </w:rPr>
            </w:pPr>
            <w:r w:rsidRPr="001F7BB9">
              <w:rPr>
                <w:rFonts w:ascii="Arial" w:hAnsi="Arial" w:cs="Arial"/>
              </w:rPr>
              <w:t>4.5</w:t>
            </w:r>
          </w:p>
        </w:tc>
        <w:tc>
          <w:tcPr>
            <w:tcW w:w="7875" w:type="dxa"/>
          </w:tcPr>
          <w:p w14:paraId="4733BB43" w14:textId="1CF04AF4" w:rsidR="009B5158" w:rsidRPr="001F7BB9" w:rsidRDefault="009B5158" w:rsidP="009B5158">
            <w:pPr>
              <w:rPr>
                <w:rFonts w:ascii="Arial" w:hAnsi="Arial" w:cs="Arial"/>
                <w:bCs/>
              </w:rPr>
            </w:pPr>
            <w:r w:rsidRPr="001F7BB9">
              <w:rPr>
                <w:rFonts w:ascii="Arial" w:hAnsi="Arial" w:cs="Arial"/>
                <w:bCs/>
              </w:rPr>
              <w:t xml:space="preserve">As part of a Synergy Cluster, he noted that ONR had played an active role in securing a three-year extension to the Shared Services Framework Agreement with </w:t>
            </w:r>
            <w:r w:rsidR="00153498" w:rsidRPr="001F7BB9">
              <w:rPr>
                <w:rFonts w:ascii="Arial" w:hAnsi="Arial" w:cs="Arial"/>
                <w:color w:val="333333"/>
                <w:shd w:val="clear" w:color="auto" w:fill="FCFCFC"/>
              </w:rPr>
              <w:t>Shared Services Connected Ltd (</w:t>
            </w:r>
            <w:r w:rsidRPr="001F7BB9">
              <w:rPr>
                <w:rFonts w:ascii="Arial" w:hAnsi="Arial" w:cs="Arial"/>
                <w:bCs/>
              </w:rPr>
              <w:t>SSCL</w:t>
            </w:r>
            <w:r w:rsidR="00153498" w:rsidRPr="001F7BB9">
              <w:rPr>
                <w:rFonts w:ascii="Arial" w:hAnsi="Arial" w:cs="Arial"/>
                <w:bCs/>
              </w:rPr>
              <w:t>)</w:t>
            </w:r>
            <w:r w:rsidRPr="001F7BB9">
              <w:rPr>
                <w:rFonts w:ascii="Arial" w:hAnsi="Arial" w:cs="Arial"/>
                <w:bCs/>
              </w:rPr>
              <w:t xml:space="preserve">. The agreement provides </w:t>
            </w:r>
            <w:r w:rsidR="00A12149" w:rsidRPr="001F7BB9">
              <w:rPr>
                <w:rFonts w:ascii="Arial" w:hAnsi="Arial" w:cs="Arial"/>
                <w:bCs/>
              </w:rPr>
              <w:t>ONR</w:t>
            </w:r>
            <w:r w:rsidRPr="001F7BB9">
              <w:rPr>
                <w:rFonts w:ascii="Arial" w:hAnsi="Arial" w:cs="Arial"/>
                <w:bCs/>
              </w:rPr>
              <w:t xml:space="preserve"> with improved commercial terms and flexibility to transition in line with programme timelines.</w:t>
            </w:r>
          </w:p>
          <w:p w14:paraId="5B69B07D" w14:textId="77777777" w:rsidR="000C3952" w:rsidRPr="001F7BB9" w:rsidRDefault="000C3952" w:rsidP="00C11E61">
            <w:pPr>
              <w:rPr>
                <w:rFonts w:asciiTheme="minorBidi" w:hAnsiTheme="minorBidi" w:cstheme="minorBidi"/>
              </w:rPr>
            </w:pPr>
          </w:p>
        </w:tc>
      </w:tr>
      <w:tr w:rsidR="000C3952" w:rsidRPr="001F7BB9" w14:paraId="3306C844" w14:textId="77777777" w:rsidTr="00D4484E">
        <w:trPr>
          <w:trHeight w:val="399"/>
        </w:trPr>
        <w:tc>
          <w:tcPr>
            <w:tcW w:w="1141" w:type="dxa"/>
          </w:tcPr>
          <w:p w14:paraId="45A3B6E0" w14:textId="71F821EA" w:rsidR="000C3952" w:rsidRPr="001F7BB9" w:rsidRDefault="005F5FF1" w:rsidP="00E2267D">
            <w:pPr>
              <w:tabs>
                <w:tab w:val="left" w:pos="5347"/>
              </w:tabs>
              <w:rPr>
                <w:rFonts w:ascii="Arial" w:hAnsi="Arial" w:cs="Arial"/>
              </w:rPr>
            </w:pPr>
            <w:r w:rsidRPr="001F7BB9">
              <w:rPr>
                <w:rFonts w:ascii="Arial" w:hAnsi="Arial" w:cs="Arial"/>
              </w:rPr>
              <w:t>4.6</w:t>
            </w:r>
          </w:p>
        </w:tc>
        <w:tc>
          <w:tcPr>
            <w:tcW w:w="7875" w:type="dxa"/>
          </w:tcPr>
          <w:p w14:paraId="1EA1BCBC" w14:textId="5B7CCCC4" w:rsidR="00537E90" w:rsidRPr="001F7BB9" w:rsidRDefault="00537E90" w:rsidP="00537E90">
            <w:pPr>
              <w:rPr>
                <w:rFonts w:ascii="Arial" w:hAnsi="Arial" w:cs="Arial"/>
                <w:bCs/>
              </w:rPr>
            </w:pPr>
            <w:r w:rsidRPr="001F7BB9">
              <w:rPr>
                <w:rFonts w:ascii="Arial" w:hAnsi="Arial" w:cs="Arial"/>
                <w:bCs/>
              </w:rPr>
              <w:t xml:space="preserve">He highlighted </w:t>
            </w:r>
            <w:r w:rsidR="00A12149" w:rsidRPr="001F7BB9">
              <w:rPr>
                <w:rFonts w:ascii="Arial" w:hAnsi="Arial" w:cs="Arial"/>
                <w:bCs/>
              </w:rPr>
              <w:t xml:space="preserve">that </w:t>
            </w:r>
            <w:r w:rsidRPr="001F7BB9">
              <w:rPr>
                <w:rFonts w:ascii="Arial" w:hAnsi="Arial" w:cs="Arial"/>
                <w:bCs/>
              </w:rPr>
              <w:t>the consolidation of Building 4, Redgrave Court from seven to four wings had been completed on schedule. This milestone brings to a successful close ONR’s 18-month estates strategy. The programme had delivered a 42% reduction in occupied space, generating ongoing annual savings of approximately £2.7 million, whil</w:t>
            </w:r>
            <w:r w:rsidR="00153498" w:rsidRPr="001F7BB9">
              <w:rPr>
                <w:rFonts w:ascii="Arial" w:hAnsi="Arial" w:cs="Arial"/>
                <w:bCs/>
              </w:rPr>
              <w:t>st</w:t>
            </w:r>
            <w:r w:rsidRPr="001F7BB9">
              <w:rPr>
                <w:rFonts w:ascii="Arial" w:hAnsi="Arial" w:cs="Arial"/>
                <w:bCs/>
              </w:rPr>
              <w:t xml:space="preserve"> significantly improving the quality of the working environment for teams. </w:t>
            </w:r>
          </w:p>
          <w:p w14:paraId="34AB847F" w14:textId="77777777" w:rsidR="000C3952" w:rsidRPr="001F7BB9" w:rsidRDefault="000C3952" w:rsidP="00C11E61">
            <w:pPr>
              <w:rPr>
                <w:rFonts w:asciiTheme="minorBidi" w:hAnsiTheme="minorBidi" w:cstheme="minorBidi"/>
              </w:rPr>
            </w:pPr>
          </w:p>
        </w:tc>
      </w:tr>
      <w:tr w:rsidR="000C3952" w:rsidRPr="001F7BB9" w14:paraId="65FB6460" w14:textId="77777777" w:rsidTr="00D4484E">
        <w:trPr>
          <w:trHeight w:val="399"/>
        </w:trPr>
        <w:tc>
          <w:tcPr>
            <w:tcW w:w="1141" w:type="dxa"/>
          </w:tcPr>
          <w:p w14:paraId="263DA129" w14:textId="618DD357" w:rsidR="000C3952" w:rsidRPr="001F7BB9" w:rsidRDefault="005F5FF1" w:rsidP="00E2267D">
            <w:pPr>
              <w:tabs>
                <w:tab w:val="left" w:pos="5347"/>
              </w:tabs>
              <w:rPr>
                <w:rFonts w:ascii="Arial" w:hAnsi="Arial" w:cs="Arial"/>
              </w:rPr>
            </w:pPr>
            <w:r w:rsidRPr="001F7BB9">
              <w:rPr>
                <w:rFonts w:ascii="Arial" w:hAnsi="Arial" w:cs="Arial"/>
              </w:rPr>
              <w:t>4.7</w:t>
            </w:r>
          </w:p>
        </w:tc>
        <w:tc>
          <w:tcPr>
            <w:tcW w:w="7875" w:type="dxa"/>
          </w:tcPr>
          <w:p w14:paraId="1F02334C" w14:textId="77777777" w:rsidR="00C87D30" w:rsidRPr="001F7BB9" w:rsidRDefault="00C87D30" w:rsidP="00C87D30">
            <w:pPr>
              <w:rPr>
                <w:rFonts w:ascii="Arial" w:hAnsi="Arial" w:cs="Arial"/>
                <w:bCs/>
              </w:rPr>
            </w:pPr>
            <w:r w:rsidRPr="001F7BB9">
              <w:rPr>
                <w:rFonts w:ascii="Arial" w:hAnsi="Arial" w:cs="Arial"/>
                <w:bCs/>
              </w:rPr>
              <w:t xml:space="preserve">The first go live of the SharePoint Transformation Programme saw ONR’s new management system platform, How2 Hub, successfully launched at the end of March. It had involved a huge team effort to build the site and securely migrate all the data. </w:t>
            </w:r>
          </w:p>
          <w:p w14:paraId="255C6E2C" w14:textId="77777777" w:rsidR="000C3952" w:rsidRPr="001F7BB9" w:rsidRDefault="000C3952" w:rsidP="00C11E61">
            <w:pPr>
              <w:rPr>
                <w:rFonts w:asciiTheme="minorBidi" w:hAnsiTheme="minorBidi" w:cstheme="minorBidi"/>
              </w:rPr>
            </w:pPr>
          </w:p>
        </w:tc>
      </w:tr>
      <w:tr w:rsidR="000C3952" w:rsidRPr="001F7BB9" w14:paraId="1C65B179" w14:textId="77777777" w:rsidTr="00D4484E">
        <w:trPr>
          <w:trHeight w:val="399"/>
        </w:trPr>
        <w:tc>
          <w:tcPr>
            <w:tcW w:w="1141" w:type="dxa"/>
          </w:tcPr>
          <w:p w14:paraId="7846A145" w14:textId="5964E5B9" w:rsidR="000C3952" w:rsidRPr="001F7BB9" w:rsidRDefault="005F5FF1" w:rsidP="00E2267D">
            <w:pPr>
              <w:tabs>
                <w:tab w:val="left" w:pos="5347"/>
              </w:tabs>
              <w:rPr>
                <w:rFonts w:ascii="Arial" w:hAnsi="Arial" w:cs="Arial"/>
              </w:rPr>
            </w:pPr>
            <w:r w:rsidRPr="001F7BB9">
              <w:rPr>
                <w:rFonts w:ascii="Arial" w:hAnsi="Arial" w:cs="Arial"/>
              </w:rPr>
              <w:t>4.8</w:t>
            </w:r>
          </w:p>
        </w:tc>
        <w:tc>
          <w:tcPr>
            <w:tcW w:w="7875" w:type="dxa"/>
          </w:tcPr>
          <w:p w14:paraId="3524C79C" w14:textId="61DAD1F9" w:rsidR="000116C5" w:rsidRPr="001F7BB9" w:rsidRDefault="000116C5" w:rsidP="000116C5">
            <w:pPr>
              <w:rPr>
                <w:rFonts w:ascii="Arial" w:hAnsi="Arial" w:cs="Arial"/>
                <w:bCs/>
              </w:rPr>
            </w:pPr>
            <w:r w:rsidRPr="001F7BB9">
              <w:rPr>
                <w:rFonts w:ascii="Arial" w:hAnsi="Arial" w:cs="Arial"/>
                <w:bCs/>
              </w:rPr>
              <w:t>In line with previous Board discussions he highlighted th</w:t>
            </w:r>
            <w:r w:rsidR="00F43B1C" w:rsidRPr="001F7BB9">
              <w:rPr>
                <w:rFonts w:ascii="Arial" w:hAnsi="Arial" w:cs="Arial"/>
                <w:bCs/>
              </w:rPr>
              <w:t>e</w:t>
            </w:r>
            <w:r w:rsidRPr="001F7BB9">
              <w:rPr>
                <w:rFonts w:ascii="Arial" w:hAnsi="Arial" w:cs="Arial"/>
                <w:bCs/>
              </w:rPr>
              <w:t xml:space="preserve"> active approach being taken</w:t>
            </w:r>
            <w:r w:rsidR="00F43B1C" w:rsidRPr="001F7BB9">
              <w:rPr>
                <w:rFonts w:ascii="Arial" w:hAnsi="Arial" w:cs="Arial"/>
                <w:bCs/>
              </w:rPr>
              <w:t xml:space="preserve"> to media</w:t>
            </w:r>
            <w:r w:rsidRPr="001F7BB9">
              <w:rPr>
                <w:rFonts w:ascii="Arial" w:hAnsi="Arial" w:cs="Arial"/>
                <w:bCs/>
              </w:rPr>
              <w:t>, with members of the leadership team actively engag</w:t>
            </w:r>
            <w:r w:rsidR="00A12149" w:rsidRPr="001F7BB9">
              <w:rPr>
                <w:rFonts w:ascii="Arial" w:hAnsi="Arial" w:cs="Arial"/>
                <w:bCs/>
              </w:rPr>
              <w:t>ing</w:t>
            </w:r>
            <w:r w:rsidRPr="001F7BB9">
              <w:rPr>
                <w:rFonts w:ascii="Arial" w:hAnsi="Arial" w:cs="Arial"/>
                <w:bCs/>
              </w:rPr>
              <w:t xml:space="preserve"> with media and stakeholders, to present ONR’s regulatory approach in a balanced and appropriate way, ensuring articles and views were accurate and well informed. </w:t>
            </w:r>
          </w:p>
          <w:p w14:paraId="48A5D192" w14:textId="77777777" w:rsidR="000C3952" w:rsidRPr="001F7BB9" w:rsidRDefault="000C3952" w:rsidP="00C11E61">
            <w:pPr>
              <w:rPr>
                <w:rFonts w:asciiTheme="minorBidi" w:hAnsiTheme="minorBidi" w:cstheme="minorBidi"/>
              </w:rPr>
            </w:pPr>
          </w:p>
        </w:tc>
      </w:tr>
      <w:tr w:rsidR="000C3952" w:rsidRPr="001F7BB9" w14:paraId="3DD11055" w14:textId="77777777" w:rsidTr="00D4484E">
        <w:trPr>
          <w:trHeight w:val="399"/>
        </w:trPr>
        <w:tc>
          <w:tcPr>
            <w:tcW w:w="1141" w:type="dxa"/>
          </w:tcPr>
          <w:p w14:paraId="5FEC64F2" w14:textId="148669FC" w:rsidR="000C3952" w:rsidRPr="001F7BB9" w:rsidRDefault="005F5FF1" w:rsidP="00E2267D">
            <w:pPr>
              <w:tabs>
                <w:tab w:val="left" w:pos="5347"/>
              </w:tabs>
              <w:rPr>
                <w:rFonts w:ascii="Arial" w:hAnsi="Arial" w:cs="Arial"/>
              </w:rPr>
            </w:pPr>
            <w:r w:rsidRPr="001F7BB9">
              <w:rPr>
                <w:rFonts w:ascii="Arial" w:hAnsi="Arial" w:cs="Arial"/>
              </w:rPr>
              <w:t>4.9</w:t>
            </w:r>
          </w:p>
        </w:tc>
        <w:tc>
          <w:tcPr>
            <w:tcW w:w="7875" w:type="dxa"/>
          </w:tcPr>
          <w:p w14:paraId="65D99A8E" w14:textId="77777777" w:rsidR="00995E00" w:rsidRPr="001F7BB9" w:rsidRDefault="00995E00" w:rsidP="00995E00">
            <w:pPr>
              <w:rPr>
                <w:rFonts w:ascii="Arial" w:hAnsi="Arial" w:cs="Arial"/>
                <w:bCs/>
              </w:rPr>
            </w:pPr>
            <w:r w:rsidRPr="001F7BB9">
              <w:rPr>
                <w:rFonts w:ascii="Arial" w:hAnsi="Arial" w:cs="Arial"/>
                <w:bCs/>
              </w:rPr>
              <w:t xml:space="preserve">The Finance Director reported that at the end of March 2025 (Period 12), the expected provisional outturn position was £105.6m, an £8.5m underspend on ONR’s budget of £114.1m. This was a further reduction </w:t>
            </w:r>
            <w:r w:rsidRPr="001F7BB9">
              <w:rPr>
                <w:rFonts w:ascii="Arial" w:hAnsi="Arial" w:cs="Arial"/>
                <w:bCs/>
              </w:rPr>
              <w:lastRenderedPageBreak/>
              <w:t>from the Q3 forecast of £1.3m as reported in the last board report at £106.9m.</w:t>
            </w:r>
          </w:p>
          <w:p w14:paraId="0AE993A0" w14:textId="77777777" w:rsidR="000C3952" w:rsidRPr="001F7BB9" w:rsidRDefault="000C3952" w:rsidP="00C11E61">
            <w:pPr>
              <w:rPr>
                <w:rFonts w:asciiTheme="minorBidi" w:hAnsiTheme="minorBidi" w:cstheme="minorBidi"/>
              </w:rPr>
            </w:pPr>
          </w:p>
        </w:tc>
      </w:tr>
      <w:tr w:rsidR="000C3952" w:rsidRPr="001F7BB9" w14:paraId="5A4B170D" w14:textId="77777777" w:rsidTr="00D4484E">
        <w:trPr>
          <w:trHeight w:val="399"/>
        </w:trPr>
        <w:tc>
          <w:tcPr>
            <w:tcW w:w="1141" w:type="dxa"/>
          </w:tcPr>
          <w:p w14:paraId="186C50FE" w14:textId="47CF6931" w:rsidR="000C3952" w:rsidRPr="001F7BB9" w:rsidRDefault="005F5FF1" w:rsidP="00E2267D">
            <w:pPr>
              <w:tabs>
                <w:tab w:val="left" w:pos="5347"/>
              </w:tabs>
              <w:rPr>
                <w:rFonts w:ascii="Arial" w:hAnsi="Arial" w:cs="Arial"/>
              </w:rPr>
            </w:pPr>
            <w:r w:rsidRPr="001F7BB9">
              <w:rPr>
                <w:rFonts w:ascii="Arial" w:hAnsi="Arial" w:cs="Arial"/>
              </w:rPr>
              <w:lastRenderedPageBreak/>
              <w:t>4.10</w:t>
            </w:r>
          </w:p>
        </w:tc>
        <w:tc>
          <w:tcPr>
            <w:tcW w:w="7875" w:type="dxa"/>
          </w:tcPr>
          <w:p w14:paraId="7859419D" w14:textId="3155CDFD" w:rsidR="003B7FA2" w:rsidRPr="001F7BB9" w:rsidRDefault="003B7FA2" w:rsidP="003B7FA2">
            <w:pPr>
              <w:rPr>
                <w:rFonts w:ascii="Arial" w:hAnsi="Arial" w:cs="Arial"/>
                <w:bCs/>
              </w:rPr>
            </w:pPr>
            <w:r w:rsidRPr="001F7BB9">
              <w:rPr>
                <w:rFonts w:ascii="Arial" w:hAnsi="Arial" w:cs="Arial"/>
                <w:bCs/>
              </w:rPr>
              <w:t xml:space="preserve">On efficiencies she highlighted that ONR were seeking to foster a mindset of continuous improvement to drive the efficiency agenda and realise further efficiencies in its cost base. A 2% cashable savings target had been included in the 2025/26 budget in line with government </w:t>
            </w:r>
            <w:r w:rsidR="00DC2C1B" w:rsidRPr="001F7BB9">
              <w:rPr>
                <w:rFonts w:ascii="Arial" w:hAnsi="Arial" w:cs="Arial"/>
                <w:bCs/>
              </w:rPr>
              <w:t xml:space="preserve">guidance </w:t>
            </w:r>
            <w:r w:rsidRPr="001F7BB9">
              <w:rPr>
                <w:rFonts w:ascii="Arial" w:hAnsi="Arial" w:cs="Arial"/>
                <w:bCs/>
              </w:rPr>
              <w:t xml:space="preserve">and ONR were seeking to deliver more with the same resources through productivity savings. </w:t>
            </w:r>
          </w:p>
          <w:p w14:paraId="0E6BD806" w14:textId="77777777" w:rsidR="000C3952" w:rsidRPr="001F7BB9" w:rsidRDefault="000C3952" w:rsidP="00C11E61">
            <w:pPr>
              <w:rPr>
                <w:rFonts w:asciiTheme="minorBidi" w:hAnsiTheme="minorBidi" w:cstheme="minorBidi"/>
              </w:rPr>
            </w:pPr>
          </w:p>
        </w:tc>
      </w:tr>
      <w:tr w:rsidR="000C3952" w:rsidRPr="001F7BB9" w14:paraId="1A5E627C" w14:textId="77777777" w:rsidTr="00D4484E">
        <w:trPr>
          <w:trHeight w:val="399"/>
        </w:trPr>
        <w:tc>
          <w:tcPr>
            <w:tcW w:w="1141" w:type="dxa"/>
          </w:tcPr>
          <w:p w14:paraId="0DC02265" w14:textId="7DE564E0" w:rsidR="000C3952" w:rsidRPr="001F7BB9" w:rsidRDefault="005F5FF1" w:rsidP="00E2267D">
            <w:pPr>
              <w:tabs>
                <w:tab w:val="left" w:pos="5347"/>
              </w:tabs>
              <w:rPr>
                <w:rFonts w:ascii="Arial" w:hAnsi="Arial" w:cs="Arial"/>
              </w:rPr>
            </w:pPr>
            <w:r w:rsidRPr="001F7BB9">
              <w:rPr>
                <w:rFonts w:ascii="Arial" w:hAnsi="Arial" w:cs="Arial"/>
              </w:rPr>
              <w:t>4.11</w:t>
            </w:r>
          </w:p>
        </w:tc>
        <w:tc>
          <w:tcPr>
            <w:tcW w:w="7875" w:type="dxa"/>
          </w:tcPr>
          <w:p w14:paraId="61429840" w14:textId="0F30D943" w:rsidR="000A5CBD" w:rsidRPr="001F7BB9" w:rsidRDefault="000A5CBD" w:rsidP="000A5CBD">
            <w:pPr>
              <w:rPr>
                <w:rFonts w:ascii="Arial" w:hAnsi="Arial" w:cs="Arial"/>
                <w:bCs/>
              </w:rPr>
            </w:pPr>
            <w:r w:rsidRPr="001F7BB9">
              <w:rPr>
                <w:rFonts w:ascii="Arial" w:hAnsi="Arial" w:cs="Arial"/>
                <w:bCs/>
              </w:rPr>
              <w:t xml:space="preserve">She noted that </w:t>
            </w:r>
            <w:r w:rsidR="00813DC9" w:rsidRPr="001F7BB9">
              <w:rPr>
                <w:rFonts w:ascii="Arial" w:hAnsi="Arial" w:cs="Arial"/>
                <w:bCs/>
              </w:rPr>
              <w:t>Directorate B</w:t>
            </w:r>
            <w:r w:rsidRPr="001F7BB9">
              <w:rPr>
                <w:rFonts w:ascii="Arial" w:hAnsi="Arial" w:cs="Arial"/>
                <w:bCs/>
              </w:rPr>
              <w:t xml:space="preserve">usiness </w:t>
            </w:r>
            <w:r w:rsidR="00813DC9" w:rsidRPr="001F7BB9">
              <w:rPr>
                <w:rFonts w:ascii="Arial" w:hAnsi="Arial" w:cs="Arial"/>
                <w:bCs/>
              </w:rPr>
              <w:t>P</w:t>
            </w:r>
            <w:r w:rsidRPr="001F7BB9">
              <w:rPr>
                <w:rFonts w:ascii="Arial" w:hAnsi="Arial" w:cs="Arial"/>
                <w:bCs/>
              </w:rPr>
              <w:t>lans had now been published internally, showing delivery expectations, milestones and resource allocations</w:t>
            </w:r>
            <w:r w:rsidR="00813DC9" w:rsidRPr="001F7BB9">
              <w:rPr>
                <w:rFonts w:ascii="Arial" w:hAnsi="Arial" w:cs="Arial"/>
                <w:bCs/>
              </w:rPr>
              <w:t xml:space="preserve"> in support of the Corporate Plan</w:t>
            </w:r>
            <w:r w:rsidRPr="001F7BB9">
              <w:rPr>
                <w:rFonts w:ascii="Arial" w:hAnsi="Arial" w:cs="Arial"/>
                <w:bCs/>
              </w:rPr>
              <w:t>. First draft letters of delegation had been proposed to all directors and would be issued for signature shortly. These letters focused on enhancing financial accountabilities.</w:t>
            </w:r>
          </w:p>
          <w:p w14:paraId="1EF439E9" w14:textId="77777777" w:rsidR="000C3952" w:rsidRPr="001F7BB9" w:rsidRDefault="000C3952" w:rsidP="00C11E61">
            <w:pPr>
              <w:rPr>
                <w:rFonts w:asciiTheme="minorBidi" w:hAnsiTheme="minorBidi" w:cstheme="minorBidi"/>
              </w:rPr>
            </w:pPr>
          </w:p>
        </w:tc>
      </w:tr>
      <w:tr w:rsidR="000C3952" w:rsidRPr="001F7BB9" w14:paraId="259E4CC6" w14:textId="77777777" w:rsidTr="00D4484E">
        <w:trPr>
          <w:trHeight w:val="399"/>
        </w:trPr>
        <w:tc>
          <w:tcPr>
            <w:tcW w:w="1141" w:type="dxa"/>
          </w:tcPr>
          <w:p w14:paraId="31F4E36C" w14:textId="43F783BE" w:rsidR="000C3952" w:rsidRPr="001F7BB9" w:rsidRDefault="005F5FF1" w:rsidP="00E2267D">
            <w:pPr>
              <w:tabs>
                <w:tab w:val="left" w:pos="5347"/>
              </w:tabs>
              <w:rPr>
                <w:rFonts w:ascii="Arial" w:hAnsi="Arial" w:cs="Arial"/>
              </w:rPr>
            </w:pPr>
            <w:r w:rsidRPr="001F7BB9">
              <w:rPr>
                <w:rFonts w:ascii="Arial" w:hAnsi="Arial" w:cs="Arial"/>
              </w:rPr>
              <w:t>4.12</w:t>
            </w:r>
          </w:p>
        </w:tc>
        <w:tc>
          <w:tcPr>
            <w:tcW w:w="7875" w:type="dxa"/>
          </w:tcPr>
          <w:p w14:paraId="1D3440B9" w14:textId="22DF946E" w:rsidR="000C5B37" w:rsidRPr="001F7BB9" w:rsidRDefault="000C5B37" w:rsidP="000C5B37">
            <w:pPr>
              <w:rPr>
                <w:rFonts w:ascii="Arial" w:hAnsi="Arial" w:cs="Arial"/>
                <w:bCs/>
              </w:rPr>
            </w:pPr>
            <w:r w:rsidRPr="001F7BB9">
              <w:rPr>
                <w:rFonts w:ascii="Arial" w:hAnsi="Arial" w:cs="Arial"/>
                <w:bCs/>
              </w:rPr>
              <w:t>The CE/CNI provided the Board with progress against the organisational effectiveness indicators in</w:t>
            </w:r>
            <w:r w:rsidR="00813DC9" w:rsidRPr="001F7BB9">
              <w:rPr>
                <w:rFonts w:ascii="Arial" w:hAnsi="Arial" w:cs="Arial"/>
                <w:bCs/>
              </w:rPr>
              <w:t xml:space="preserve"> the</w:t>
            </w:r>
            <w:r w:rsidRPr="001F7BB9">
              <w:rPr>
                <w:rFonts w:ascii="Arial" w:hAnsi="Arial" w:cs="Arial"/>
                <w:bCs/>
              </w:rPr>
              <w:t xml:space="preserve"> 2025 strategy. He noted the deferral of two </w:t>
            </w:r>
            <w:r w:rsidR="007F5EF5">
              <w:rPr>
                <w:rFonts w:ascii="Arial" w:hAnsi="Arial" w:cs="Arial"/>
                <w:bCs/>
              </w:rPr>
              <w:t>items</w:t>
            </w:r>
            <w:r w:rsidRPr="001F7BB9">
              <w:rPr>
                <w:rFonts w:ascii="Arial" w:hAnsi="Arial" w:cs="Arial"/>
                <w:bCs/>
              </w:rPr>
              <w:t>; publication of the CNI themed inspection summary report and Conclusion of High Temperature Gas Reactors Phase B which had moved into Q1 and Q3 delivery respectively.</w:t>
            </w:r>
          </w:p>
          <w:p w14:paraId="1AC57ECD" w14:textId="77777777" w:rsidR="000C3952" w:rsidRPr="001F7BB9" w:rsidRDefault="000C3952" w:rsidP="00C11E61">
            <w:pPr>
              <w:rPr>
                <w:rFonts w:asciiTheme="minorBidi" w:hAnsiTheme="minorBidi" w:cstheme="minorBidi"/>
              </w:rPr>
            </w:pPr>
          </w:p>
        </w:tc>
      </w:tr>
      <w:tr w:rsidR="006E5D4A" w:rsidRPr="001F7BB9" w14:paraId="52411074" w14:textId="77777777" w:rsidTr="00D4484E">
        <w:trPr>
          <w:trHeight w:val="399"/>
        </w:trPr>
        <w:tc>
          <w:tcPr>
            <w:tcW w:w="1141" w:type="dxa"/>
          </w:tcPr>
          <w:p w14:paraId="3048F060" w14:textId="6ED192D4" w:rsidR="006E5D4A" w:rsidRPr="001F7BB9" w:rsidRDefault="00622126" w:rsidP="00E2267D">
            <w:pPr>
              <w:tabs>
                <w:tab w:val="left" w:pos="5347"/>
              </w:tabs>
              <w:rPr>
                <w:rFonts w:ascii="Arial" w:hAnsi="Arial" w:cs="Arial"/>
              </w:rPr>
            </w:pPr>
            <w:r w:rsidRPr="001F7BB9">
              <w:rPr>
                <w:rFonts w:ascii="Arial" w:hAnsi="Arial" w:cs="Arial"/>
              </w:rPr>
              <w:t>4.1</w:t>
            </w:r>
            <w:r w:rsidR="005F5FF1" w:rsidRPr="001F7BB9">
              <w:rPr>
                <w:rFonts w:ascii="Arial" w:hAnsi="Arial" w:cs="Arial"/>
              </w:rPr>
              <w:t>3</w:t>
            </w:r>
          </w:p>
        </w:tc>
        <w:tc>
          <w:tcPr>
            <w:tcW w:w="7875" w:type="dxa"/>
          </w:tcPr>
          <w:p w14:paraId="0AEA2AF0" w14:textId="77777777" w:rsidR="00D5375C" w:rsidRPr="001F7BB9" w:rsidRDefault="00D5375C" w:rsidP="00D5375C">
            <w:pPr>
              <w:autoSpaceDE w:val="0"/>
              <w:autoSpaceDN w:val="0"/>
              <w:adjustRightInd w:val="0"/>
              <w:rPr>
                <w:rFonts w:ascii="Arial" w:hAnsi="Arial" w:cs="Arial"/>
              </w:rPr>
            </w:pPr>
            <w:r w:rsidRPr="001F7BB9">
              <w:rPr>
                <w:rFonts w:ascii="Arial" w:hAnsi="Arial" w:cs="Arial"/>
              </w:rPr>
              <w:t>In discussion the Board:</w:t>
            </w:r>
          </w:p>
          <w:p w14:paraId="547DFB59" w14:textId="77777777" w:rsidR="00D5375C" w:rsidRPr="001F7BB9" w:rsidRDefault="00D5375C" w:rsidP="00D5375C">
            <w:pPr>
              <w:autoSpaceDE w:val="0"/>
              <w:autoSpaceDN w:val="0"/>
              <w:adjustRightInd w:val="0"/>
              <w:rPr>
                <w:rFonts w:asciiTheme="minorBidi" w:hAnsiTheme="minorBidi" w:cstheme="minorBidi"/>
              </w:rPr>
            </w:pPr>
          </w:p>
          <w:p w14:paraId="54E393EB" w14:textId="71288871" w:rsidR="00074D86" w:rsidRPr="001F7BB9" w:rsidRDefault="00074D86" w:rsidP="00074D86">
            <w:pPr>
              <w:pStyle w:val="ListParagraph"/>
              <w:numPr>
                <w:ilvl w:val="0"/>
                <w:numId w:val="35"/>
              </w:numPr>
              <w:spacing w:after="160" w:line="259" w:lineRule="auto"/>
              <w:rPr>
                <w:rFonts w:asciiTheme="minorBidi" w:hAnsiTheme="minorBidi" w:cstheme="minorBidi"/>
                <w:bCs/>
              </w:rPr>
            </w:pPr>
            <w:r w:rsidRPr="001F7BB9">
              <w:rPr>
                <w:rFonts w:asciiTheme="minorBidi" w:hAnsiTheme="minorBidi" w:cstheme="minorBidi"/>
                <w:bCs/>
              </w:rPr>
              <w:t>Noted th</w:t>
            </w:r>
            <w:r w:rsidR="00D913C4" w:rsidRPr="001F7BB9">
              <w:rPr>
                <w:rFonts w:asciiTheme="minorBidi" w:hAnsiTheme="minorBidi" w:cstheme="minorBidi"/>
                <w:bCs/>
              </w:rPr>
              <w:t xml:space="preserve">at ONR were </w:t>
            </w:r>
            <w:r w:rsidR="00EF746D" w:rsidRPr="001F7BB9">
              <w:rPr>
                <w:rFonts w:asciiTheme="minorBidi" w:hAnsiTheme="minorBidi" w:cstheme="minorBidi"/>
                <w:bCs/>
              </w:rPr>
              <w:t xml:space="preserve">working with EDF NGL to </w:t>
            </w:r>
            <w:r w:rsidR="00D913C4" w:rsidRPr="001F7BB9">
              <w:rPr>
                <w:rFonts w:asciiTheme="minorBidi" w:hAnsiTheme="minorBidi" w:cstheme="minorBidi"/>
                <w:bCs/>
              </w:rPr>
              <w:t xml:space="preserve">develop </w:t>
            </w:r>
            <w:r w:rsidR="00904114" w:rsidRPr="001F7BB9">
              <w:rPr>
                <w:rFonts w:asciiTheme="minorBidi" w:hAnsiTheme="minorBidi" w:cstheme="minorBidi"/>
                <w:bCs/>
              </w:rPr>
              <w:t xml:space="preserve">an </w:t>
            </w:r>
            <w:r w:rsidR="00D913C4" w:rsidRPr="001F7BB9">
              <w:rPr>
                <w:rFonts w:asciiTheme="minorBidi" w:hAnsiTheme="minorBidi" w:cstheme="minorBidi"/>
                <w:bCs/>
              </w:rPr>
              <w:t xml:space="preserve"> approach to return </w:t>
            </w:r>
            <w:r w:rsidR="00904114" w:rsidRPr="001F7BB9">
              <w:rPr>
                <w:rFonts w:asciiTheme="minorBidi" w:hAnsiTheme="minorBidi" w:cstheme="minorBidi"/>
                <w:bCs/>
              </w:rPr>
              <w:t xml:space="preserve">Hartlepool </w:t>
            </w:r>
            <w:r w:rsidR="00D913C4" w:rsidRPr="001F7BB9">
              <w:rPr>
                <w:rFonts w:asciiTheme="minorBidi" w:hAnsiTheme="minorBidi" w:cstheme="minorBidi"/>
                <w:bCs/>
              </w:rPr>
              <w:t xml:space="preserve">to routine attention in an appropriate timeline following </w:t>
            </w:r>
            <w:r w:rsidR="00E77644" w:rsidRPr="001F7BB9">
              <w:rPr>
                <w:rFonts w:asciiTheme="minorBidi" w:hAnsiTheme="minorBidi" w:cstheme="minorBidi"/>
                <w:bCs/>
              </w:rPr>
              <w:t xml:space="preserve">its move </w:t>
            </w:r>
            <w:r w:rsidR="00D913C4" w:rsidRPr="001F7BB9">
              <w:rPr>
                <w:rFonts w:asciiTheme="minorBidi" w:hAnsiTheme="minorBidi" w:cstheme="minorBidi"/>
                <w:bCs/>
              </w:rPr>
              <w:t xml:space="preserve">to Enhanced Regulatory Attention. </w:t>
            </w:r>
          </w:p>
          <w:p w14:paraId="39AE7391" w14:textId="77777777" w:rsidR="00074D86" w:rsidRPr="001F7BB9" w:rsidRDefault="00074D86" w:rsidP="00074D86">
            <w:pPr>
              <w:pStyle w:val="ListParagraph"/>
              <w:numPr>
                <w:ilvl w:val="0"/>
                <w:numId w:val="35"/>
              </w:numPr>
              <w:spacing w:after="160" w:line="259" w:lineRule="auto"/>
              <w:rPr>
                <w:rFonts w:ascii="Arial" w:hAnsi="Arial" w:cs="Arial"/>
                <w:bCs/>
              </w:rPr>
            </w:pPr>
            <w:r w:rsidRPr="001F7BB9">
              <w:rPr>
                <w:rFonts w:ascii="Arial" w:hAnsi="Arial" w:cs="Arial"/>
                <w:bCs/>
              </w:rPr>
              <w:t>Noted that the appeal to the improvement notice to Direct Rail Services had been withdrawn and an exercise was being undertaken to explore the differing opinions on the level of information provided leading up to the appeal being submitted.</w:t>
            </w:r>
          </w:p>
          <w:p w14:paraId="7494494E" w14:textId="05972AB8" w:rsidR="00074D86" w:rsidRPr="001F7BB9" w:rsidRDefault="006D67D8" w:rsidP="00074D86">
            <w:pPr>
              <w:pStyle w:val="ListParagraph"/>
              <w:numPr>
                <w:ilvl w:val="0"/>
                <w:numId w:val="35"/>
              </w:numPr>
              <w:spacing w:after="160" w:line="259" w:lineRule="auto"/>
              <w:rPr>
                <w:rFonts w:ascii="Arial" w:hAnsi="Arial" w:cs="Arial"/>
                <w:bCs/>
              </w:rPr>
            </w:pPr>
            <w:r w:rsidRPr="001F7BB9">
              <w:rPr>
                <w:rFonts w:ascii="Arial" w:hAnsi="Arial" w:cs="Arial"/>
                <w:bCs/>
              </w:rPr>
              <w:t xml:space="preserve">Discussed the </w:t>
            </w:r>
            <w:r w:rsidR="00074D86" w:rsidRPr="001F7BB9">
              <w:rPr>
                <w:rFonts w:ascii="Arial" w:hAnsi="Arial" w:cs="Arial"/>
                <w:bCs/>
              </w:rPr>
              <w:t xml:space="preserve">HMT </w:t>
            </w:r>
            <w:r w:rsidRPr="001F7BB9">
              <w:rPr>
                <w:rFonts w:ascii="Arial" w:hAnsi="Arial" w:cs="Arial"/>
                <w:bCs/>
              </w:rPr>
              <w:t>tolerance limit on the budget and the</w:t>
            </w:r>
            <w:r w:rsidR="00074D86" w:rsidRPr="001F7BB9">
              <w:rPr>
                <w:rFonts w:ascii="Arial" w:hAnsi="Arial" w:cs="Arial"/>
                <w:bCs/>
              </w:rPr>
              <w:t xml:space="preserve"> need to be much better in predictability. </w:t>
            </w:r>
            <w:r w:rsidR="00CE7D99" w:rsidRPr="001F7BB9">
              <w:rPr>
                <w:rFonts w:ascii="Arial" w:hAnsi="Arial" w:cs="Arial"/>
                <w:bCs/>
              </w:rPr>
              <w:t>There would be strong e</w:t>
            </w:r>
            <w:r w:rsidR="00074D86" w:rsidRPr="001F7BB9">
              <w:rPr>
                <w:rFonts w:ascii="Arial" w:hAnsi="Arial" w:cs="Arial"/>
                <w:bCs/>
              </w:rPr>
              <w:t xml:space="preserve">xpectations for </w:t>
            </w:r>
            <w:r w:rsidR="00E320C1" w:rsidRPr="001F7BB9">
              <w:rPr>
                <w:rFonts w:ascii="Arial" w:hAnsi="Arial" w:cs="Arial"/>
                <w:bCs/>
              </w:rPr>
              <w:t>Arm’s Length</w:t>
            </w:r>
            <w:r w:rsidR="00CE7D99" w:rsidRPr="001F7BB9">
              <w:rPr>
                <w:rFonts w:ascii="Arial" w:hAnsi="Arial" w:cs="Arial"/>
                <w:bCs/>
              </w:rPr>
              <w:t xml:space="preserve"> Bodies</w:t>
            </w:r>
            <w:r w:rsidR="00074D86" w:rsidRPr="001F7BB9">
              <w:rPr>
                <w:rFonts w:ascii="Arial" w:hAnsi="Arial" w:cs="Arial"/>
                <w:bCs/>
              </w:rPr>
              <w:t xml:space="preserve"> to monitor </w:t>
            </w:r>
            <w:r w:rsidR="00CE7D99" w:rsidRPr="001F7BB9">
              <w:rPr>
                <w:rFonts w:ascii="Arial" w:hAnsi="Arial" w:cs="Arial"/>
                <w:bCs/>
              </w:rPr>
              <w:t xml:space="preserve">their </w:t>
            </w:r>
            <w:r w:rsidR="00074D86" w:rsidRPr="001F7BB9">
              <w:rPr>
                <w:rFonts w:ascii="Arial" w:hAnsi="Arial" w:cs="Arial"/>
                <w:bCs/>
              </w:rPr>
              <w:t>tolerance limit.</w:t>
            </w:r>
          </w:p>
          <w:p w14:paraId="18EC8E0B" w14:textId="23C33A5F" w:rsidR="0091050A" w:rsidRPr="001F7BB9" w:rsidRDefault="0091050A" w:rsidP="00074D86">
            <w:pPr>
              <w:pStyle w:val="ListParagraph"/>
              <w:numPr>
                <w:ilvl w:val="0"/>
                <w:numId w:val="35"/>
              </w:numPr>
              <w:spacing w:after="160" w:line="259" w:lineRule="auto"/>
              <w:rPr>
                <w:rFonts w:ascii="Arial" w:hAnsi="Arial" w:cs="Arial"/>
                <w:bCs/>
              </w:rPr>
            </w:pPr>
            <w:r w:rsidRPr="001F7BB9">
              <w:rPr>
                <w:rFonts w:ascii="Arial" w:hAnsi="Arial" w:cs="Arial"/>
                <w:bCs/>
              </w:rPr>
              <w:t xml:space="preserve">Noted the impact on the budget through IT, which had delivered significant work, contributing </w:t>
            </w:r>
            <w:r w:rsidR="00A0784C" w:rsidRPr="001F7BB9">
              <w:rPr>
                <w:rFonts w:ascii="Arial" w:hAnsi="Arial" w:cs="Arial"/>
                <w:bCs/>
              </w:rPr>
              <w:t>positively</w:t>
            </w:r>
            <w:r w:rsidRPr="001F7BB9">
              <w:rPr>
                <w:rFonts w:ascii="Arial" w:hAnsi="Arial" w:cs="Arial"/>
                <w:bCs/>
              </w:rPr>
              <w:t xml:space="preserve"> to efficiencies over the last 12 months, but which </w:t>
            </w:r>
            <w:r w:rsidR="00A0784C" w:rsidRPr="001F7BB9">
              <w:rPr>
                <w:rFonts w:ascii="Arial" w:hAnsi="Arial" w:cs="Arial"/>
                <w:bCs/>
              </w:rPr>
              <w:t>conversely</w:t>
            </w:r>
            <w:r w:rsidRPr="001F7BB9">
              <w:rPr>
                <w:rFonts w:ascii="Arial" w:hAnsi="Arial" w:cs="Arial"/>
                <w:bCs/>
              </w:rPr>
              <w:t xml:space="preserve"> then contributed to the year’s underspend.</w:t>
            </w:r>
          </w:p>
          <w:p w14:paraId="14865829" w14:textId="348978D0" w:rsidR="00074D86" w:rsidRPr="001F7BB9" w:rsidRDefault="00074D86" w:rsidP="00074D86">
            <w:pPr>
              <w:pStyle w:val="ListParagraph"/>
              <w:numPr>
                <w:ilvl w:val="0"/>
                <w:numId w:val="35"/>
              </w:numPr>
              <w:spacing w:after="160" w:line="259" w:lineRule="auto"/>
              <w:rPr>
                <w:rFonts w:ascii="Arial" w:hAnsi="Arial" w:cs="Arial"/>
                <w:bCs/>
              </w:rPr>
            </w:pPr>
            <w:r w:rsidRPr="001F7BB9">
              <w:rPr>
                <w:rFonts w:ascii="Arial" w:hAnsi="Arial" w:cs="Arial"/>
                <w:bCs/>
              </w:rPr>
              <w:t xml:space="preserve">Commented that when looking at partially achieved project delivery, the commentary should be on </w:t>
            </w:r>
            <w:r w:rsidR="00CE7D99" w:rsidRPr="001F7BB9">
              <w:rPr>
                <w:rFonts w:ascii="Arial" w:hAnsi="Arial" w:cs="Arial"/>
                <w:bCs/>
              </w:rPr>
              <w:t>‘</w:t>
            </w:r>
            <w:r w:rsidRPr="001F7BB9">
              <w:rPr>
                <w:rFonts w:ascii="Arial" w:hAnsi="Arial" w:cs="Arial"/>
                <w:bCs/>
              </w:rPr>
              <w:t>required</w:t>
            </w:r>
            <w:r w:rsidR="00CE7D99" w:rsidRPr="001F7BB9">
              <w:rPr>
                <w:rFonts w:ascii="Arial" w:hAnsi="Arial" w:cs="Arial"/>
                <w:bCs/>
              </w:rPr>
              <w:t>’</w:t>
            </w:r>
            <w:r w:rsidRPr="001F7BB9">
              <w:rPr>
                <w:rFonts w:ascii="Arial" w:hAnsi="Arial" w:cs="Arial"/>
                <w:bCs/>
              </w:rPr>
              <w:t xml:space="preserve"> rather than </w:t>
            </w:r>
            <w:r w:rsidR="00CE7D99" w:rsidRPr="001F7BB9">
              <w:rPr>
                <w:rFonts w:ascii="Arial" w:hAnsi="Arial" w:cs="Arial"/>
                <w:bCs/>
              </w:rPr>
              <w:t>‘</w:t>
            </w:r>
            <w:r w:rsidRPr="001F7BB9">
              <w:rPr>
                <w:rFonts w:ascii="Arial" w:hAnsi="Arial" w:cs="Arial"/>
                <w:bCs/>
              </w:rPr>
              <w:t>desired</w:t>
            </w:r>
            <w:r w:rsidR="00CE7D99" w:rsidRPr="001F7BB9">
              <w:rPr>
                <w:rFonts w:ascii="Arial" w:hAnsi="Arial" w:cs="Arial"/>
                <w:bCs/>
              </w:rPr>
              <w:t>’</w:t>
            </w:r>
            <w:r w:rsidRPr="001F7BB9">
              <w:rPr>
                <w:rFonts w:ascii="Arial" w:hAnsi="Arial" w:cs="Arial"/>
                <w:bCs/>
              </w:rPr>
              <w:t xml:space="preserve"> outcomes. This would improve the structure of project delivery.</w:t>
            </w:r>
          </w:p>
          <w:p w14:paraId="00F0E3DB" w14:textId="77777777" w:rsidR="00074D86" w:rsidRPr="001F7BB9" w:rsidRDefault="00074D86" w:rsidP="00074D86">
            <w:pPr>
              <w:pStyle w:val="ListParagraph"/>
              <w:numPr>
                <w:ilvl w:val="0"/>
                <w:numId w:val="35"/>
              </w:numPr>
              <w:spacing w:after="160" w:line="259" w:lineRule="auto"/>
              <w:rPr>
                <w:rFonts w:ascii="Arial" w:hAnsi="Arial" w:cs="Arial"/>
                <w:bCs/>
              </w:rPr>
            </w:pPr>
            <w:r w:rsidRPr="001F7BB9">
              <w:rPr>
                <w:rFonts w:ascii="Arial" w:hAnsi="Arial" w:cs="Arial"/>
                <w:bCs/>
              </w:rPr>
              <w:t>Noted that an impact measure was being developed against milestone delivery.</w:t>
            </w:r>
          </w:p>
          <w:p w14:paraId="3461FC8F" w14:textId="44BD8F3D" w:rsidR="00074D86" w:rsidRPr="001F7BB9" w:rsidRDefault="00074D86" w:rsidP="00074D86">
            <w:pPr>
              <w:pStyle w:val="ListParagraph"/>
              <w:numPr>
                <w:ilvl w:val="0"/>
                <w:numId w:val="35"/>
              </w:numPr>
              <w:spacing w:after="160" w:line="259" w:lineRule="auto"/>
              <w:rPr>
                <w:rFonts w:ascii="Arial" w:hAnsi="Arial" w:cs="Arial"/>
                <w:bCs/>
              </w:rPr>
            </w:pPr>
            <w:r w:rsidRPr="001F7BB9">
              <w:rPr>
                <w:rFonts w:ascii="Arial" w:hAnsi="Arial" w:cs="Arial"/>
                <w:bCs/>
              </w:rPr>
              <w:lastRenderedPageBreak/>
              <w:t xml:space="preserve">Discussed the </w:t>
            </w:r>
            <w:r w:rsidR="00CE7D99" w:rsidRPr="001F7BB9">
              <w:rPr>
                <w:rFonts w:ascii="Arial" w:hAnsi="Arial" w:cs="Arial"/>
                <w:bCs/>
              </w:rPr>
              <w:t>extent</w:t>
            </w:r>
            <w:r w:rsidRPr="001F7BB9">
              <w:rPr>
                <w:rFonts w:ascii="Arial" w:hAnsi="Arial" w:cs="Arial"/>
                <w:bCs/>
              </w:rPr>
              <w:t xml:space="preserve"> to which </w:t>
            </w:r>
            <w:r w:rsidR="00CE7D99" w:rsidRPr="001F7BB9">
              <w:rPr>
                <w:rFonts w:ascii="Arial" w:hAnsi="Arial" w:cs="Arial"/>
                <w:bCs/>
              </w:rPr>
              <w:t>d</w:t>
            </w:r>
            <w:r w:rsidRPr="001F7BB9">
              <w:rPr>
                <w:rFonts w:ascii="Arial" w:hAnsi="Arial" w:cs="Arial"/>
                <w:bCs/>
              </w:rPr>
              <w:t>irectors had an understanding of costs to dutyholders against forecast and how this was monitored.</w:t>
            </w:r>
          </w:p>
          <w:p w14:paraId="2E22D60A" w14:textId="77777777" w:rsidR="00074D86" w:rsidRPr="001F7BB9" w:rsidRDefault="00074D86" w:rsidP="00074D86">
            <w:pPr>
              <w:pStyle w:val="ListParagraph"/>
              <w:numPr>
                <w:ilvl w:val="0"/>
                <w:numId w:val="35"/>
              </w:numPr>
              <w:spacing w:after="160" w:line="259" w:lineRule="auto"/>
              <w:rPr>
                <w:rFonts w:ascii="Arial" w:hAnsi="Arial" w:cs="Arial"/>
                <w:bCs/>
              </w:rPr>
            </w:pPr>
            <w:r w:rsidRPr="001F7BB9">
              <w:rPr>
                <w:rFonts w:ascii="Arial" w:hAnsi="Arial" w:cs="Arial"/>
                <w:bCs/>
              </w:rPr>
              <w:t>Noted the reasons for the 2024-25 final underspend and queried whether different decisions could have been made to reduce this figure.</w:t>
            </w:r>
          </w:p>
          <w:p w14:paraId="097A05AE" w14:textId="77777777" w:rsidR="00074D86" w:rsidRPr="001F7BB9" w:rsidRDefault="00074D86" w:rsidP="00074D86">
            <w:pPr>
              <w:pStyle w:val="ListParagraph"/>
              <w:numPr>
                <w:ilvl w:val="0"/>
                <w:numId w:val="35"/>
              </w:numPr>
              <w:spacing w:after="160" w:line="259" w:lineRule="auto"/>
              <w:rPr>
                <w:rFonts w:ascii="Arial" w:hAnsi="Arial" w:cs="Arial"/>
                <w:bCs/>
              </w:rPr>
            </w:pPr>
            <w:r w:rsidRPr="001F7BB9">
              <w:rPr>
                <w:rFonts w:ascii="Arial" w:hAnsi="Arial" w:cs="Arial"/>
                <w:bCs/>
              </w:rPr>
              <w:t>Noted the ongoing discussions with the senior leadership team on staff efficiencies.</w:t>
            </w:r>
          </w:p>
          <w:p w14:paraId="793A7255" w14:textId="10E24734" w:rsidR="001141B6" w:rsidRPr="001F7BB9" w:rsidRDefault="00807326" w:rsidP="00074D86">
            <w:pPr>
              <w:pStyle w:val="ListParagraph"/>
              <w:numPr>
                <w:ilvl w:val="0"/>
                <w:numId w:val="35"/>
              </w:numPr>
              <w:spacing w:after="160" w:line="259" w:lineRule="auto"/>
              <w:rPr>
                <w:rFonts w:ascii="Arial" w:hAnsi="Arial" w:cs="Arial"/>
                <w:bCs/>
              </w:rPr>
            </w:pPr>
            <w:r w:rsidRPr="001F7BB9">
              <w:rPr>
                <w:rFonts w:ascii="Arial" w:hAnsi="Arial" w:cs="Arial"/>
                <w:bCs/>
              </w:rPr>
              <w:t xml:space="preserve">Reminded the leadership to use appropriate terminology when referring to right sizing the organisation. </w:t>
            </w:r>
          </w:p>
        </w:tc>
      </w:tr>
      <w:tr w:rsidR="004057BA" w:rsidRPr="001F7BB9" w14:paraId="6BEBB6AF" w14:textId="77777777" w:rsidTr="00D4484E">
        <w:trPr>
          <w:trHeight w:val="399"/>
        </w:trPr>
        <w:tc>
          <w:tcPr>
            <w:tcW w:w="1141" w:type="dxa"/>
          </w:tcPr>
          <w:p w14:paraId="0DBBC9FE" w14:textId="47CA163A" w:rsidR="004057BA" w:rsidRPr="001F7BB9" w:rsidRDefault="004057BA" w:rsidP="00E2267D">
            <w:pPr>
              <w:tabs>
                <w:tab w:val="left" w:pos="5347"/>
              </w:tabs>
              <w:rPr>
                <w:rFonts w:ascii="Arial" w:hAnsi="Arial" w:cs="Arial"/>
              </w:rPr>
            </w:pPr>
            <w:r w:rsidRPr="001F7BB9">
              <w:rPr>
                <w:rFonts w:ascii="Arial" w:hAnsi="Arial" w:cs="Arial"/>
                <w:bCs/>
              </w:rPr>
              <w:lastRenderedPageBreak/>
              <w:t>4.</w:t>
            </w:r>
            <w:r w:rsidR="00D915B8" w:rsidRPr="001F7BB9">
              <w:rPr>
                <w:rFonts w:ascii="Arial" w:hAnsi="Arial" w:cs="Arial"/>
                <w:bCs/>
              </w:rPr>
              <w:t>1</w:t>
            </w:r>
            <w:r w:rsidR="005F5FF1" w:rsidRPr="001F7BB9">
              <w:rPr>
                <w:rFonts w:ascii="Arial" w:hAnsi="Arial" w:cs="Arial"/>
                <w:bCs/>
              </w:rPr>
              <w:t>4</w:t>
            </w:r>
          </w:p>
        </w:tc>
        <w:tc>
          <w:tcPr>
            <w:tcW w:w="7875" w:type="dxa"/>
          </w:tcPr>
          <w:p w14:paraId="210B4102" w14:textId="06A0D20F" w:rsidR="004057BA" w:rsidRPr="001F7BB9" w:rsidRDefault="004057BA" w:rsidP="00387679">
            <w:pPr>
              <w:tabs>
                <w:tab w:val="left" w:pos="5347"/>
              </w:tabs>
              <w:rPr>
                <w:rFonts w:ascii="Arial" w:hAnsi="Arial" w:cs="Arial"/>
                <w:bCs/>
              </w:rPr>
            </w:pPr>
            <w:r w:rsidRPr="001F7BB9">
              <w:rPr>
                <w:rFonts w:ascii="Arial" w:hAnsi="Arial" w:cs="Arial"/>
                <w:bCs/>
              </w:rPr>
              <w:t xml:space="preserve">The Board noted the </w:t>
            </w:r>
            <w:r w:rsidR="00387679" w:rsidRPr="001F7BB9">
              <w:rPr>
                <w:rFonts w:ascii="Arial" w:hAnsi="Arial" w:cs="Arial"/>
                <w:bCs/>
              </w:rPr>
              <w:t>report</w:t>
            </w:r>
            <w:r w:rsidR="00685EDF" w:rsidRPr="001F7BB9">
              <w:rPr>
                <w:rFonts w:ascii="Arial" w:hAnsi="Arial" w:cs="Arial"/>
                <w:bCs/>
              </w:rPr>
              <w:t xml:space="preserve"> and confirmed their endorsement for the interim strategy statement to be published</w:t>
            </w:r>
            <w:r w:rsidR="00387679" w:rsidRPr="001F7BB9">
              <w:rPr>
                <w:rFonts w:ascii="Arial" w:hAnsi="Arial" w:cs="Arial"/>
                <w:bCs/>
              </w:rPr>
              <w:t>.</w:t>
            </w:r>
          </w:p>
          <w:p w14:paraId="7840E059" w14:textId="785D0B6F" w:rsidR="00733156" w:rsidRPr="001F7BB9" w:rsidRDefault="00733156" w:rsidP="00074D86">
            <w:pPr>
              <w:tabs>
                <w:tab w:val="left" w:pos="5347"/>
              </w:tabs>
              <w:rPr>
                <w:rFonts w:ascii="Arial" w:hAnsi="Arial" w:cs="Arial"/>
                <w:bCs/>
              </w:rPr>
            </w:pPr>
          </w:p>
        </w:tc>
      </w:tr>
      <w:tr w:rsidR="004057BA" w:rsidRPr="001F7BB9" w14:paraId="34D0B807" w14:textId="77777777" w:rsidTr="00D4484E">
        <w:trPr>
          <w:trHeight w:val="399"/>
        </w:trPr>
        <w:tc>
          <w:tcPr>
            <w:tcW w:w="1141" w:type="dxa"/>
          </w:tcPr>
          <w:p w14:paraId="27A77C1A" w14:textId="249699DB" w:rsidR="004057BA" w:rsidRPr="001F7BB9" w:rsidRDefault="00DE5E5A" w:rsidP="00E2267D">
            <w:pPr>
              <w:tabs>
                <w:tab w:val="left" w:pos="5347"/>
              </w:tabs>
              <w:rPr>
                <w:rFonts w:ascii="Arial" w:hAnsi="Arial" w:cs="Arial"/>
                <w:b/>
                <w:bCs/>
              </w:rPr>
            </w:pPr>
            <w:r w:rsidRPr="001F7BB9">
              <w:rPr>
                <w:rFonts w:ascii="Arial" w:hAnsi="Arial" w:cs="Arial"/>
                <w:b/>
                <w:bCs/>
              </w:rPr>
              <w:t>5</w:t>
            </w:r>
          </w:p>
        </w:tc>
        <w:tc>
          <w:tcPr>
            <w:tcW w:w="7875" w:type="dxa"/>
          </w:tcPr>
          <w:p w14:paraId="5F50AB83" w14:textId="7982F766" w:rsidR="004057BA" w:rsidRPr="001F7BB9" w:rsidRDefault="00E70F5B" w:rsidP="00BC0353">
            <w:pPr>
              <w:tabs>
                <w:tab w:val="left" w:pos="5347"/>
              </w:tabs>
              <w:rPr>
                <w:rFonts w:asciiTheme="minorBidi" w:hAnsiTheme="minorBidi"/>
              </w:rPr>
            </w:pPr>
            <w:r w:rsidRPr="001F7BB9">
              <w:rPr>
                <w:rFonts w:ascii="Arial" w:hAnsi="Arial" w:cs="Arial"/>
                <w:b/>
              </w:rPr>
              <w:t>Regulation of Nuclear Restoration Services</w:t>
            </w:r>
          </w:p>
        </w:tc>
      </w:tr>
      <w:tr w:rsidR="009A33F7" w:rsidRPr="001F7BB9" w14:paraId="146198E0" w14:textId="77777777" w:rsidTr="00D4484E">
        <w:trPr>
          <w:trHeight w:val="399"/>
        </w:trPr>
        <w:tc>
          <w:tcPr>
            <w:tcW w:w="1141" w:type="dxa"/>
          </w:tcPr>
          <w:p w14:paraId="5B575548" w14:textId="30B3F64B" w:rsidR="009A33F7" w:rsidRPr="001F7BB9" w:rsidRDefault="00263DA1" w:rsidP="00E2267D">
            <w:pPr>
              <w:tabs>
                <w:tab w:val="left" w:pos="5347"/>
              </w:tabs>
              <w:rPr>
                <w:rFonts w:ascii="Arial" w:hAnsi="Arial" w:cs="Arial"/>
              </w:rPr>
            </w:pPr>
            <w:r w:rsidRPr="001F7BB9">
              <w:rPr>
                <w:rFonts w:ascii="Arial" w:hAnsi="Arial" w:cs="Arial"/>
              </w:rPr>
              <w:t>5</w:t>
            </w:r>
            <w:r w:rsidR="00C250AC" w:rsidRPr="001F7BB9">
              <w:rPr>
                <w:rFonts w:ascii="Arial" w:hAnsi="Arial" w:cs="Arial"/>
              </w:rPr>
              <w:t>.</w:t>
            </w:r>
            <w:r w:rsidR="00603806" w:rsidRPr="001F7BB9">
              <w:rPr>
                <w:rFonts w:ascii="Arial" w:hAnsi="Arial" w:cs="Arial"/>
              </w:rPr>
              <w:t>1</w:t>
            </w:r>
          </w:p>
        </w:tc>
        <w:tc>
          <w:tcPr>
            <w:tcW w:w="7875" w:type="dxa"/>
          </w:tcPr>
          <w:p w14:paraId="6661382B" w14:textId="690A9D92" w:rsidR="00BF37B4" w:rsidRPr="001F7BB9" w:rsidRDefault="00613EE3" w:rsidP="00E760CD">
            <w:pPr>
              <w:rPr>
                <w:rFonts w:asciiTheme="minorBidi" w:hAnsiTheme="minorBidi"/>
              </w:rPr>
            </w:pPr>
            <w:r w:rsidRPr="001F7BB9">
              <w:rPr>
                <w:rFonts w:asciiTheme="minorBidi" w:hAnsiTheme="minorBidi"/>
              </w:rPr>
              <w:t>The Director of Regulation</w:t>
            </w:r>
            <w:r w:rsidR="00C3269E" w:rsidRPr="001F7BB9">
              <w:rPr>
                <w:rFonts w:asciiTheme="minorBidi" w:hAnsiTheme="minorBidi"/>
              </w:rPr>
              <w:t>,</w:t>
            </w:r>
            <w:r w:rsidRPr="001F7BB9">
              <w:rPr>
                <w:rFonts w:asciiTheme="minorBidi" w:hAnsiTheme="minorBidi"/>
              </w:rPr>
              <w:t xml:space="preserve"> SDFW presented the item which was a deep dive into the regulation of Nuclear Restoration Services (NRS). He provided to the Board a summary of the current priority areas</w:t>
            </w:r>
            <w:r w:rsidR="000D3365" w:rsidRPr="001F7BB9">
              <w:rPr>
                <w:rFonts w:asciiTheme="minorBidi" w:hAnsiTheme="minorBidi"/>
              </w:rPr>
              <w:t>,</w:t>
            </w:r>
            <w:r w:rsidRPr="001F7BB9">
              <w:rPr>
                <w:rFonts w:asciiTheme="minorBidi" w:hAnsiTheme="minorBidi"/>
              </w:rPr>
              <w:t xml:space="preserve"> which included asset management and health and safety.</w:t>
            </w:r>
          </w:p>
          <w:p w14:paraId="406F9987" w14:textId="0002A8EB" w:rsidR="00613EE3" w:rsidRPr="001F7BB9" w:rsidRDefault="00613EE3" w:rsidP="00E760CD">
            <w:pPr>
              <w:rPr>
                <w:rFonts w:asciiTheme="minorBidi" w:hAnsiTheme="minorBidi"/>
              </w:rPr>
            </w:pPr>
          </w:p>
        </w:tc>
      </w:tr>
      <w:tr w:rsidR="00BF37B4" w:rsidRPr="001F7BB9" w14:paraId="2B9C2CA2" w14:textId="77777777" w:rsidTr="00D4484E">
        <w:trPr>
          <w:trHeight w:val="399"/>
        </w:trPr>
        <w:tc>
          <w:tcPr>
            <w:tcW w:w="1141" w:type="dxa"/>
          </w:tcPr>
          <w:p w14:paraId="46630E85" w14:textId="1623A964" w:rsidR="00BF37B4" w:rsidRPr="001F7BB9" w:rsidRDefault="00BF37B4" w:rsidP="00E2267D">
            <w:pPr>
              <w:tabs>
                <w:tab w:val="left" w:pos="5347"/>
              </w:tabs>
              <w:rPr>
                <w:rFonts w:ascii="Arial" w:hAnsi="Arial" w:cs="Arial"/>
              </w:rPr>
            </w:pPr>
            <w:r w:rsidRPr="001F7BB9">
              <w:rPr>
                <w:rFonts w:ascii="Arial" w:hAnsi="Arial" w:cs="Arial"/>
              </w:rPr>
              <w:t>5.2</w:t>
            </w:r>
          </w:p>
        </w:tc>
        <w:tc>
          <w:tcPr>
            <w:tcW w:w="7875" w:type="dxa"/>
          </w:tcPr>
          <w:p w14:paraId="344F70B0" w14:textId="7A4707D9" w:rsidR="00993239" w:rsidRPr="001F7BB9" w:rsidRDefault="003D6ECB" w:rsidP="00993239">
            <w:pPr>
              <w:rPr>
                <w:rFonts w:asciiTheme="minorBidi" w:hAnsiTheme="minorBidi" w:cstheme="minorBidi"/>
              </w:rPr>
            </w:pPr>
            <w:r w:rsidRPr="001F7BB9">
              <w:rPr>
                <w:rFonts w:asciiTheme="minorBidi" w:hAnsiTheme="minorBidi" w:cstheme="minorBidi"/>
              </w:rPr>
              <w:t>He provided an overview of some of the common</w:t>
            </w:r>
            <w:r w:rsidR="00993239" w:rsidRPr="001F7BB9">
              <w:rPr>
                <w:rFonts w:asciiTheme="minorBidi" w:hAnsiTheme="minorBidi" w:cstheme="minorBidi"/>
              </w:rPr>
              <w:t xml:space="preserve"> themes </w:t>
            </w:r>
            <w:r w:rsidRPr="001F7BB9">
              <w:rPr>
                <w:rFonts w:asciiTheme="minorBidi" w:hAnsiTheme="minorBidi" w:cstheme="minorBidi"/>
              </w:rPr>
              <w:t xml:space="preserve">and challenges </w:t>
            </w:r>
            <w:r w:rsidR="00993239" w:rsidRPr="001F7BB9">
              <w:rPr>
                <w:rFonts w:asciiTheme="minorBidi" w:hAnsiTheme="minorBidi" w:cstheme="minorBidi"/>
              </w:rPr>
              <w:t>that were seen across NRS</w:t>
            </w:r>
            <w:r w:rsidRPr="001F7BB9">
              <w:rPr>
                <w:rFonts w:asciiTheme="minorBidi" w:hAnsiTheme="minorBidi" w:cstheme="minorBidi"/>
              </w:rPr>
              <w:t xml:space="preserve">; </w:t>
            </w:r>
            <w:r w:rsidR="00993239" w:rsidRPr="001F7BB9">
              <w:rPr>
                <w:rFonts w:asciiTheme="minorBidi" w:hAnsiTheme="minorBidi" w:cstheme="minorBidi"/>
              </w:rPr>
              <w:t>increasing asset management issues associated with lack of accelerated decommissioning, the impact of climate change on infrastructure and leadership challenges.</w:t>
            </w:r>
          </w:p>
          <w:p w14:paraId="6130E3B3" w14:textId="655E7561" w:rsidR="00BF37B4" w:rsidRPr="001F7BB9" w:rsidRDefault="00BF37B4" w:rsidP="007016D3">
            <w:pPr>
              <w:rPr>
                <w:rFonts w:asciiTheme="minorBidi" w:hAnsiTheme="minorBidi"/>
              </w:rPr>
            </w:pPr>
          </w:p>
        </w:tc>
      </w:tr>
      <w:tr w:rsidR="00993239" w:rsidRPr="001F7BB9" w14:paraId="15DF4885" w14:textId="77777777" w:rsidTr="00D4484E">
        <w:trPr>
          <w:trHeight w:val="399"/>
        </w:trPr>
        <w:tc>
          <w:tcPr>
            <w:tcW w:w="1141" w:type="dxa"/>
          </w:tcPr>
          <w:p w14:paraId="00DF697D" w14:textId="3D4308EF" w:rsidR="00993239" w:rsidRPr="001F7BB9" w:rsidRDefault="00993239" w:rsidP="00E2267D">
            <w:pPr>
              <w:tabs>
                <w:tab w:val="left" w:pos="5347"/>
              </w:tabs>
              <w:rPr>
                <w:rFonts w:ascii="Arial" w:hAnsi="Arial" w:cs="Arial"/>
              </w:rPr>
            </w:pPr>
            <w:r w:rsidRPr="001F7BB9">
              <w:rPr>
                <w:rFonts w:ascii="Arial" w:hAnsi="Arial" w:cs="Arial"/>
              </w:rPr>
              <w:t>5.3</w:t>
            </w:r>
          </w:p>
        </w:tc>
        <w:tc>
          <w:tcPr>
            <w:tcW w:w="7875" w:type="dxa"/>
          </w:tcPr>
          <w:p w14:paraId="226D060F" w14:textId="77777777" w:rsidR="00993239" w:rsidRPr="001F7BB9" w:rsidRDefault="00965464" w:rsidP="00965464">
            <w:pPr>
              <w:rPr>
                <w:rFonts w:asciiTheme="minorBidi" w:hAnsiTheme="minorBidi" w:cstheme="minorBidi"/>
              </w:rPr>
            </w:pPr>
            <w:r w:rsidRPr="001F7BB9">
              <w:rPr>
                <w:rFonts w:asciiTheme="minorBidi" w:hAnsiTheme="minorBidi" w:cstheme="minorBidi"/>
              </w:rPr>
              <w:t>He noted that Dounreay had re-entered Enhance</w:t>
            </w:r>
            <w:r w:rsidR="00CE7D99" w:rsidRPr="001F7BB9">
              <w:rPr>
                <w:rFonts w:asciiTheme="minorBidi" w:hAnsiTheme="minorBidi" w:cstheme="minorBidi"/>
              </w:rPr>
              <w:t>d</w:t>
            </w:r>
            <w:r w:rsidRPr="001F7BB9">
              <w:rPr>
                <w:rFonts w:asciiTheme="minorBidi" w:hAnsiTheme="minorBidi" w:cstheme="minorBidi"/>
              </w:rPr>
              <w:t xml:space="preserve"> Regulatory Attention for safety due to long-term systemic failings with regard to organisational leadership, ageing asset management and absence of a credible plan to deal with legacy sodium.</w:t>
            </w:r>
          </w:p>
          <w:p w14:paraId="15DE8D4C" w14:textId="6CDFC0C1" w:rsidR="003D6ECB" w:rsidRPr="001F7BB9" w:rsidRDefault="003D6ECB" w:rsidP="00965464">
            <w:pPr>
              <w:rPr>
                <w:rFonts w:asciiTheme="minorBidi" w:hAnsiTheme="minorBidi" w:cstheme="minorBidi"/>
              </w:rPr>
            </w:pPr>
          </w:p>
        </w:tc>
      </w:tr>
      <w:tr w:rsidR="00BF37B4" w:rsidRPr="001F7BB9" w14:paraId="01C5AE25" w14:textId="77777777" w:rsidTr="00D4484E">
        <w:trPr>
          <w:trHeight w:val="399"/>
        </w:trPr>
        <w:tc>
          <w:tcPr>
            <w:tcW w:w="1141" w:type="dxa"/>
          </w:tcPr>
          <w:p w14:paraId="726185E4" w14:textId="51250D4E" w:rsidR="00BF37B4" w:rsidRPr="001F7BB9" w:rsidRDefault="00993239" w:rsidP="00E2267D">
            <w:pPr>
              <w:tabs>
                <w:tab w:val="left" w:pos="5347"/>
              </w:tabs>
              <w:rPr>
                <w:rFonts w:ascii="Arial" w:hAnsi="Arial" w:cs="Arial"/>
              </w:rPr>
            </w:pPr>
            <w:r w:rsidRPr="001F7BB9">
              <w:rPr>
                <w:rFonts w:ascii="Arial" w:hAnsi="Arial" w:cs="Arial"/>
              </w:rPr>
              <w:t>5.4</w:t>
            </w:r>
          </w:p>
        </w:tc>
        <w:tc>
          <w:tcPr>
            <w:tcW w:w="7875" w:type="dxa"/>
          </w:tcPr>
          <w:p w14:paraId="2B3C4A14" w14:textId="7FBF6365" w:rsidR="008953D8" w:rsidRPr="001F7BB9" w:rsidRDefault="008953D8" w:rsidP="008953D8">
            <w:pPr>
              <w:rPr>
                <w:rFonts w:asciiTheme="minorBidi" w:hAnsiTheme="minorBidi" w:cstheme="minorBidi"/>
              </w:rPr>
            </w:pPr>
            <w:r w:rsidRPr="001F7BB9">
              <w:rPr>
                <w:rFonts w:asciiTheme="minorBidi" w:hAnsiTheme="minorBidi" w:cstheme="minorBidi"/>
              </w:rPr>
              <w:t xml:space="preserve">He noted the successes that Sellafield </w:t>
            </w:r>
            <w:r w:rsidR="00CE7D99" w:rsidRPr="001F7BB9">
              <w:rPr>
                <w:rFonts w:asciiTheme="minorBidi" w:hAnsiTheme="minorBidi" w:cstheme="minorBidi"/>
              </w:rPr>
              <w:t xml:space="preserve">had seen </w:t>
            </w:r>
            <w:r w:rsidRPr="001F7BB9">
              <w:rPr>
                <w:rFonts w:asciiTheme="minorBidi" w:hAnsiTheme="minorBidi" w:cstheme="minorBidi"/>
              </w:rPr>
              <w:t>in relation to decommissioning, and elements of this were being picked up and being deployed to other sites</w:t>
            </w:r>
            <w:r w:rsidR="003B1C5E" w:rsidRPr="001F7BB9">
              <w:rPr>
                <w:rFonts w:asciiTheme="minorBidi" w:hAnsiTheme="minorBidi" w:cstheme="minorBidi"/>
              </w:rPr>
              <w:t>.</w:t>
            </w:r>
            <w:r w:rsidRPr="001F7BB9">
              <w:rPr>
                <w:rFonts w:asciiTheme="minorBidi" w:hAnsiTheme="minorBidi" w:cstheme="minorBidi"/>
              </w:rPr>
              <w:t xml:space="preserve"> </w:t>
            </w:r>
            <w:r w:rsidR="003B1C5E" w:rsidRPr="001F7BB9">
              <w:rPr>
                <w:rFonts w:asciiTheme="minorBidi" w:hAnsiTheme="minorBidi" w:cstheme="minorBidi"/>
              </w:rPr>
              <w:t xml:space="preserve">As an example, he noted </w:t>
            </w:r>
            <w:r w:rsidRPr="001F7BB9">
              <w:rPr>
                <w:rFonts w:asciiTheme="minorBidi" w:hAnsiTheme="minorBidi" w:cstheme="minorBidi"/>
              </w:rPr>
              <w:t xml:space="preserve">the collaborative approach with stakeholders to identify and remove blockers (G6) that had been successful at Sellafield. </w:t>
            </w:r>
          </w:p>
          <w:p w14:paraId="225A6AF3" w14:textId="77777777" w:rsidR="00BF37B4" w:rsidRPr="001F7BB9" w:rsidRDefault="00BF37B4" w:rsidP="007016D3">
            <w:pPr>
              <w:rPr>
                <w:rFonts w:asciiTheme="minorBidi" w:hAnsiTheme="minorBidi"/>
              </w:rPr>
            </w:pPr>
          </w:p>
        </w:tc>
      </w:tr>
      <w:tr w:rsidR="008953D8" w:rsidRPr="001F7BB9" w14:paraId="63725394" w14:textId="77777777" w:rsidTr="00D4484E">
        <w:trPr>
          <w:trHeight w:val="399"/>
        </w:trPr>
        <w:tc>
          <w:tcPr>
            <w:tcW w:w="1141" w:type="dxa"/>
          </w:tcPr>
          <w:p w14:paraId="258762B3" w14:textId="13DC0F2B" w:rsidR="008953D8" w:rsidRPr="001F7BB9" w:rsidRDefault="008953D8" w:rsidP="00E2267D">
            <w:pPr>
              <w:tabs>
                <w:tab w:val="left" w:pos="5347"/>
              </w:tabs>
              <w:rPr>
                <w:rFonts w:ascii="Arial" w:hAnsi="Arial" w:cs="Arial"/>
              </w:rPr>
            </w:pPr>
            <w:r w:rsidRPr="001F7BB9">
              <w:rPr>
                <w:rFonts w:ascii="Arial" w:hAnsi="Arial" w:cs="Arial"/>
              </w:rPr>
              <w:t>5.5</w:t>
            </w:r>
          </w:p>
        </w:tc>
        <w:tc>
          <w:tcPr>
            <w:tcW w:w="7875" w:type="dxa"/>
          </w:tcPr>
          <w:p w14:paraId="0376E475" w14:textId="73295B0B" w:rsidR="00B931E2" w:rsidRPr="001F7BB9" w:rsidRDefault="00B931E2" w:rsidP="00B931E2">
            <w:pPr>
              <w:rPr>
                <w:rFonts w:asciiTheme="minorBidi" w:hAnsiTheme="minorBidi" w:cstheme="minorBidi"/>
              </w:rPr>
            </w:pPr>
            <w:r w:rsidRPr="001F7BB9">
              <w:rPr>
                <w:rFonts w:asciiTheme="minorBidi" w:hAnsiTheme="minorBidi" w:cstheme="minorBidi"/>
              </w:rPr>
              <w:t xml:space="preserve">He highlighted the challenges associated with pace of delivery and </w:t>
            </w:r>
            <w:r w:rsidR="00C9376D" w:rsidRPr="001F7BB9">
              <w:rPr>
                <w:rFonts w:asciiTheme="minorBidi" w:hAnsiTheme="minorBidi" w:cstheme="minorBidi"/>
              </w:rPr>
              <w:t xml:space="preserve">noted </w:t>
            </w:r>
            <w:r w:rsidRPr="001F7BB9">
              <w:rPr>
                <w:rFonts w:asciiTheme="minorBidi" w:hAnsiTheme="minorBidi" w:cstheme="minorBidi"/>
              </w:rPr>
              <w:t>that this needed to increase.</w:t>
            </w:r>
          </w:p>
          <w:p w14:paraId="55E23E06" w14:textId="77777777" w:rsidR="008953D8" w:rsidRPr="001F7BB9" w:rsidRDefault="008953D8" w:rsidP="008953D8">
            <w:pPr>
              <w:rPr>
                <w:rFonts w:asciiTheme="minorBidi" w:hAnsiTheme="minorBidi" w:cstheme="minorBidi"/>
              </w:rPr>
            </w:pPr>
          </w:p>
        </w:tc>
      </w:tr>
      <w:tr w:rsidR="008953D8" w:rsidRPr="001F7BB9" w14:paraId="1D24CAB1" w14:textId="77777777" w:rsidTr="00D4484E">
        <w:trPr>
          <w:trHeight w:val="399"/>
        </w:trPr>
        <w:tc>
          <w:tcPr>
            <w:tcW w:w="1141" w:type="dxa"/>
          </w:tcPr>
          <w:p w14:paraId="35A3C192" w14:textId="7AA960B2" w:rsidR="008953D8" w:rsidRPr="001F7BB9" w:rsidRDefault="008953D8" w:rsidP="00E2267D">
            <w:pPr>
              <w:tabs>
                <w:tab w:val="left" w:pos="5347"/>
              </w:tabs>
              <w:rPr>
                <w:rFonts w:ascii="Arial" w:hAnsi="Arial" w:cs="Arial"/>
              </w:rPr>
            </w:pPr>
            <w:r w:rsidRPr="001F7BB9">
              <w:rPr>
                <w:rFonts w:ascii="Arial" w:hAnsi="Arial" w:cs="Arial"/>
              </w:rPr>
              <w:t>5.6</w:t>
            </w:r>
          </w:p>
        </w:tc>
        <w:tc>
          <w:tcPr>
            <w:tcW w:w="7875" w:type="dxa"/>
          </w:tcPr>
          <w:p w14:paraId="727994B7" w14:textId="77777777" w:rsidR="00C77E92" w:rsidRPr="001F7BB9" w:rsidRDefault="00C77E92" w:rsidP="00C77E92">
            <w:pPr>
              <w:rPr>
                <w:rFonts w:asciiTheme="minorBidi" w:hAnsiTheme="minorBidi" w:cstheme="minorBidi"/>
              </w:rPr>
            </w:pPr>
            <w:r w:rsidRPr="001F7BB9">
              <w:rPr>
                <w:rFonts w:asciiTheme="minorBidi" w:hAnsiTheme="minorBidi" w:cstheme="minorBidi"/>
              </w:rPr>
              <w:t>He reflected on the benefits that had been achieved through the restructuring of the directorate within ONR, which had been refreshed and was inclusive of people with different skillsets (such as conventional health and safety).</w:t>
            </w:r>
          </w:p>
          <w:p w14:paraId="6645C1B3" w14:textId="77777777" w:rsidR="008953D8" w:rsidRPr="001F7BB9" w:rsidRDefault="008953D8" w:rsidP="008953D8">
            <w:pPr>
              <w:rPr>
                <w:rFonts w:asciiTheme="minorBidi" w:hAnsiTheme="minorBidi" w:cstheme="minorBidi"/>
              </w:rPr>
            </w:pPr>
          </w:p>
        </w:tc>
      </w:tr>
      <w:tr w:rsidR="004057BA" w:rsidRPr="001F7BB9" w14:paraId="31F0155A" w14:textId="77777777" w:rsidTr="00D4484E">
        <w:trPr>
          <w:trHeight w:val="399"/>
        </w:trPr>
        <w:tc>
          <w:tcPr>
            <w:tcW w:w="1141" w:type="dxa"/>
          </w:tcPr>
          <w:p w14:paraId="24707140" w14:textId="57E57840" w:rsidR="004057BA" w:rsidRPr="001F7BB9" w:rsidRDefault="007F0E92" w:rsidP="00E2267D">
            <w:pPr>
              <w:tabs>
                <w:tab w:val="left" w:pos="5347"/>
              </w:tabs>
              <w:rPr>
                <w:rFonts w:ascii="Arial" w:hAnsi="Arial" w:cs="Arial"/>
              </w:rPr>
            </w:pPr>
            <w:r w:rsidRPr="001F7BB9">
              <w:rPr>
                <w:rFonts w:ascii="Arial" w:hAnsi="Arial" w:cs="Arial"/>
              </w:rPr>
              <w:t>5</w:t>
            </w:r>
            <w:r w:rsidR="00BC0353" w:rsidRPr="001F7BB9">
              <w:rPr>
                <w:rFonts w:ascii="Arial" w:hAnsi="Arial" w:cs="Arial"/>
              </w:rPr>
              <w:t>.</w:t>
            </w:r>
            <w:r w:rsidR="00511A32" w:rsidRPr="001F7BB9">
              <w:rPr>
                <w:rFonts w:ascii="Arial" w:hAnsi="Arial" w:cs="Arial"/>
              </w:rPr>
              <w:t>7</w:t>
            </w:r>
          </w:p>
        </w:tc>
        <w:tc>
          <w:tcPr>
            <w:tcW w:w="7875" w:type="dxa"/>
          </w:tcPr>
          <w:p w14:paraId="66820D98" w14:textId="77777777" w:rsidR="00BC0353" w:rsidRPr="001F7BB9" w:rsidRDefault="00BC0353" w:rsidP="00BC0353">
            <w:pPr>
              <w:tabs>
                <w:tab w:val="left" w:pos="5347"/>
              </w:tabs>
              <w:rPr>
                <w:rFonts w:ascii="Arial" w:hAnsi="Arial" w:cs="Arial"/>
                <w:bCs/>
              </w:rPr>
            </w:pPr>
            <w:r w:rsidRPr="001F7BB9">
              <w:rPr>
                <w:rFonts w:ascii="Arial" w:hAnsi="Arial" w:cs="Arial"/>
                <w:bCs/>
              </w:rPr>
              <w:t>In discussion the Board:</w:t>
            </w:r>
          </w:p>
          <w:p w14:paraId="746A0385" w14:textId="77777777" w:rsidR="00F52994" w:rsidRPr="001F7BB9" w:rsidRDefault="00F52994" w:rsidP="00BC0353">
            <w:pPr>
              <w:tabs>
                <w:tab w:val="left" w:pos="5347"/>
              </w:tabs>
              <w:rPr>
                <w:rFonts w:ascii="Arial" w:hAnsi="Arial" w:cs="Arial"/>
                <w:bCs/>
              </w:rPr>
            </w:pPr>
          </w:p>
          <w:p w14:paraId="1A8CCA2E" w14:textId="4B3378F5" w:rsidR="00511A32" w:rsidRPr="001F7BB9" w:rsidRDefault="00511A32" w:rsidP="00511A32">
            <w:pPr>
              <w:pStyle w:val="ListParagraph"/>
              <w:numPr>
                <w:ilvl w:val="0"/>
                <w:numId w:val="37"/>
              </w:numPr>
              <w:rPr>
                <w:rFonts w:asciiTheme="minorBidi" w:hAnsiTheme="minorBidi" w:cstheme="minorBidi"/>
              </w:rPr>
            </w:pPr>
            <w:r w:rsidRPr="001F7BB9">
              <w:rPr>
                <w:rFonts w:asciiTheme="minorBidi" w:hAnsiTheme="minorBidi" w:cstheme="minorBidi"/>
              </w:rPr>
              <w:t>Questioned</w:t>
            </w:r>
            <w:r w:rsidR="00C3269E" w:rsidRPr="001F7BB9">
              <w:rPr>
                <w:rFonts w:asciiTheme="minorBidi" w:hAnsiTheme="minorBidi" w:cstheme="minorBidi"/>
              </w:rPr>
              <w:t>,</w:t>
            </w:r>
            <w:r w:rsidRPr="001F7BB9">
              <w:rPr>
                <w:rFonts w:asciiTheme="minorBidi" w:hAnsiTheme="minorBidi" w:cstheme="minorBidi"/>
              </w:rPr>
              <w:t xml:space="preserve"> in relation to leadership</w:t>
            </w:r>
            <w:r w:rsidR="00C3269E" w:rsidRPr="001F7BB9">
              <w:rPr>
                <w:rFonts w:asciiTheme="minorBidi" w:hAnsiTheme="minorBidi" w:cstheme="minorBidi"/>
              </w:rPr>
              <w:t>,</w:t>
            </w:r>
            <w:r w:rsidRPr="001F7BB9">
              <w:rPr>
                <w:rFonts w:asciiTheme="minorBidi" w:hAnsiTheme="minorBidi" w:cstheme="minorBidi"/>
              </w:rPr>
              <w:t xml:space="preserve"> whether there was an agreed action plan between ONR and the dutyholder</w:t>
            </w:r>
            <w:r w:rsidR="00A26262" w:rsidRPr="001F7BB9">
              <w:rPr>
                <w:rFonts w:asciiTheme="minorBidi" w:hAnsiTheme="minorBidi" w:cstheme="minorBidi"/>
              </w:rPr>
              <w:t>.</w:t>
            </w:r>
            <w:r w:rsidRPr="001F7BB9">
              <w:rPr>
                <w:rFonts w:asciiTheme="minorBidi" w:hAnsiTheme="minorBidi" w:cstheme="minorBidi"/>
              </w:rPr>
              <w:t xml:space="preserve"> </w:t>
            </w:r>
            <w:r w:rsidR="00A26262" w:rsidRPr="001F7BB9">
              <w:rPr>
                <w:rFonts w:asciiTheme="minorBidi" w:hAnsiTheme="minorBidi" w:cstheme="minorBidi"/>
              </w:rPr>
              <w:t xml:space="preserve">They </w:t>
            </w:r>
            <w:r w:rsidRPr="001F7BB9">
              <w:rPr>
                <w:rFonts w:asciiTheme="minorBidi" w:hAnsiTheme="minorBidi" w:cstheme="minorBidi"/>
              </w:rPr>
              <w:t xml:space="preserve">noted that there was a clear list of </w:t>
            </w:r>
            <w:r w:rsidR="0031722E" w:rsidRPr="001F7BB9">
              <w:rPr>
                <w:rFonts w:asciiTheme="minorBidi" w:hAnsiTheme="minorBidi" w:cstheme="minorBidi"/>
              </w:rPr>
              <w:t>priorities, targets</w:t>
            </w:r>
            <w:r w:rsidRPr="001F7BB9">
              <w:rPr>
                <w:rFonts w:asciiTheme="minorBidi" w:hAnsiTheme="minorBidi" w:cstheme="minorBidi"/>
              </w:rPr>
              <w:t xml:space="preserve"> and milestones </w:t>
            </w:r>
            <w:r w:rsidRPr="001F7BB9">
              <w:rPr>
                <w:rFonts w:asciiTheme="minorBidi" w:hAnsiTheme="minorBidi" w:cstheme="minorBidi"/>
              </w:rPr>
              <w:lastRenderedPageBreak/>
              <w:t>which</w:t>
            </w:r>
            <w:r w:rsidR="00A26262" w:rsidRPr="001F7BB9">
              <w:rPr>
                <w:rFonts w:asciiTheme="minorBidi" w:hAnsiTheme="minorBidi" w:cstheme="minorBidi"/>
              </w:rPr>
              <w:t xml:space="preserve"> ONR, NRS and</w:t>
            </w:r>
            <w:r w:rsidRPr="001F7BB9">
              <w:rPr>
                <w:rFonts w:asciiTheme="minorBidi" w:hAnsiTheme="minorBidi" w:cstheme="minorBidi"/>
              </w:rPr>
              <w:t xml:space="preserve"> Nuclear Decommissioning Authority (NDA) were </w:t>
            </w:r>
            <w:r w:rsidR="00A26262" w:rsidRPr="001F7BB9">
              <w:rPr>
                <w:rFonts w:asciiTheme="minorBidi" w:hAnsiTheme="minorBidi" w:cstheme="minorBidi"/>
              </w:rPr>
              <w:t xml:space="preserve">all </w:t>
            </w:r>
            <w:r w:rsidRPr="001F7BB9">
              <w:rPr>
                <w:rFonts w:asciiTheme="minorBidi" w:hAnsiTheme="minorBidi" w:cstheme="minorBidi"/>
              </w:rPr>
              <w:t>sighted</w:t>
            </w:r>
            <w:r w:rsidR="00A26262" w:rsidRPr="001F7BB9">
              <w:rPr>
                <w:rFonts w:asciiTheme="minorBidi" w:hAnsiTheme="minorBidi" w:cstheme="minorBidi"/>
              </w:rPr>
              <w:t xml:space="preserve"> and working together on</w:t>
            </w:r>
            <w:r w:rsidR="00695139" w:rsidRPr="001F7BB9">
              <w:rPr>
                <w:rFonts w:asciiTheme="minorBidi" w:hAnsiTheme="minorBidi" w:cstheme="minorBidi"/>
              </w:rPr>
              <w:t>.</w:t>
            </w:r>
          </w:p>
          <w:p w14:paraId="2634FD09" w14:textId="77777777" w:rsidR="00511A32" w:rsidRPr="001F7BB9" w:rsidRDefault="00511A32" w:rsidP="00511A32">
            <w:pPr>
              <w:pStyle w:val="ListParagraph"/>
              <w:numPr>
                <w:ilvl w:val="0"/>
                <w:numId w:val="37"/>
              </w:numPr>
              <w:rPr>
                <w:rFonts w:asciiTheme="minorBidi" w:hAnsiTheme="minorBidi" w:cstheme="minorBidi"/>
              </w:rPr>
            </w:pPr>
            <w:r w:rsidRPr="001F7BB9">
              <w:rPr>
                <w:rFonts w:asciiTheme="minorBidi" w:hAnsiTheme="minorBidi" w:cstheme="minorBidi"/>
              </w:rPr>
              <w:t>Commented on the impact of devolution of decision making between NDA and licence holders.</w:t>
            </w:r>
          </w:p>
          <w:p w14:paraId="59DC1032" w14:textId="7CF4B3E2" w:rsidR="00511A32" w:rsidRPr="001F7BB9" w:rsidRDefault="00511A32" w:rsidP="00511A32">
            <w:pPr>
              <w:pStyle w:val="ListParagraph"/>
              <w:numPr>
                <w:ilvl w:val="0"/>
                <w:numId w:val="37"/>
              </w:numPr>
              <w:rPr>
                <w:rFonts w:asciiTheme="minorBidi" w:hAnsiTheme="minorBidi" w:cstheme="minorBidi"/>
              </w:rPr>
            </w:pPr>
            <w:r w:rsidRPr="001F7BB9">
              <w:rPr>
                <w:rFonts w:asciiTheme="minorBidi" w:hAnsiTheme="minorBidi" w:cstheme="minorBidi"/>
              </w:rPr>
              <w:t xml:space="preserve">Discussed </w:t>
            </w:r>
            <w:r w:rsidR="00477689">
              <w:rPr>
                <w:rFonts w:asciiTheme="minorBidi" w:hAnsiTheme="minorBidi" w:cstheme="minorBidi"/>
              </w:rPr>
              <w:t xml:space="preserve">the </w:t>
            </w:r>
            <w:r w:rsidR="00D40677">
              <w:rPr>
                <w:rFonts w:asciiTheme="minorBidi" w:hAnsiTheme="minorBidi" w:cstheme="minorBidi"/>
              </w:rPr>
              <w:t xml:space="preserve">relationship </w:t>
            </w:r>
            <w:r w:rsidR="00477689">
              <w:rPr>
                <w:rFonts w:asciiTheme="minorBidi" w:hAnsiTheme="minorBidi" w:cstheme="minorBidi"/>
              </w:rPr>
              <w:t xml:space="preserve">between </w:t>
            </w:r>
            <w:r w:rsidRPr="001F7BB9">
              <w:rPr>
                <w:rFonts w:asciiTheme="minorBidi" w:hAnsiTheme="minorBidi" w:cstheme="minorBidi"/>
              </w:rPr>
              <w:t xml:space="preserve">leadership </w:t>
            </w:r>
            <w:r w:rsidR="00477689">
              <w:rPr>
                <w:rFonts w:asciiTheme="minorBidi" w:hAnsiTheme="minorBidi" w:cstheme="minorBidi"/>
              </w:rPr>
              <w:t xml:space="preserve">and </w:t>
            </w:r>
            <w:r w:rsidRPr="001F7BB9">
              <w:rPr>
                <w:rFonts w:asciiTheme="minorBidi" w:hAnsiTheme="minorBidi" w:cstheme="minorBidi"/>
              </w:rPr>
              <w:t>delivery</w:t>
            </w:r>
            <w:r w:rsidR="00865D40">
              <w:rPr>
                <w:rFonts w:asciiTheme="minorBidi" w:hAnsiTheme="minorBidi" w:cstheme="minorBidi"/>
              </w:rPr>
              <w:t>.</w:t>
            </w:r>
          </w:p>
          <w:p w14:paraId="6A662467" w14:textId="3AC6C610" w:rsidR="00511A32" w:rsidRPr="001F7BB9" w:rsidRDefault="00511A32" w:rsidP="00511A32">
            <w:pPr>
              <w:pStyle w:val="ListParagraph"/>
              <w:numPr>
                <w:ilvl w:val="0"/>
                <w:numId w:val="37"/>
              </w:numPr>
              <w:rPr>
                <w:rFonts w:asciiTheme="minorBidi" w:hAnsiTheme="minorBidi" w:cstheme="minorBidi"/>
              </w:rPr>
            </w:pPr>
            <w:r w:rsidRPr="001F7BB9">
              <w:rPr>
                <w:rFonts w:asciiTheme="minorBidi" w:hAnsiTheme="minorBidi" w:cstheme="minorBidi"/>
              </w:rPr>
              <w:t>Noted the challenges on pace, and the G6 approach introduced at Sellafield which had</w:t>
            </w:r>
            <w:r w:rsidR="00975ADF" w:rsidRPr="001F7BB9">
              <w:rPr>
                <w:rFonts w:asciiTheme="minorBidi" w:hAnsiTheme="minorBidi" w:cstheme="minorBidi"/>
              </w:rPr>
              <w:t xml:space="preserve"> significant positive impacts on</w:t>
            </w:r>
            <w:r w:rsidRPr="001F7BB9">
              <w:rPr>
                <w:rFonts w:asciiTheme="minorBidi" w:hAnsiTheme="minorBidi" w:cstheme="minorBidi"/>
              </w:rPr>
              <w:t xml:space="preserve"> mindset and culture</w:t>
            </w:r>
            <w:r w:rsidR="00975ADF" w:rsidRPr="001F7BB9">
              <w:rPr>
                <w:rFonts w:asciiTheme="minorBidi" w:hAnsiTheme="minorBidi" w:cstheme="minorBidi"/>
              </w:rPr>
              <w:t>.</w:t>
            </w:r>
          </w:p>
          <w:p w14:paraId="6B8F863E" w14:textId="15945371" w:rsidR="00511A32" w:rsidRPr="001F7BB9" w:rsidRDefault="00511A32" w:rsidP="00511A32">
            <w:pPr>
              <w:pStyle w:val="ListParagraph"/>
              <w:numPr>
                <w:ilvl w:val="0"/>
                <w:numId w:val="37"/>
              </w:numPr>
              <w:rPr>
                <w:rFonts w:asciiTheme="minorBidi" w:hAnsiTheme="minorBidi" w:cstheme="minorBidi"/>
              </w:rPr>
            </w:pPr>
            <w:r w:rsidRPr="001F7BB9">
              <w:rPr>
                <w:rFonts w:asciiTheme="minorBidi" w:hAnsiTheme="minorBidi" w:cstheme="minorBidi"/>
              </w:rPr>
              <w:t>Discussed the advantages and disadvantages of remote monitoring, and the need to ensure that the same standards</w:t>
            </w:r>
            <w:r w:rsidR="00807326" w:rsidRPr="001F7BB9">
              <w:rPr>
                <w:rFonts w:asciiTheme="minorBidi" w:hAnsiTheme="minorBidi" w:cstheme="minorBidi"/>
              </w:rPr>
              <w:t xml:space="preserve"> as conventional monitoring</w:t>
            </w:r>
            <w:r w:rsidRPr="001F7BB9">
              <w:rPr>
                <w:rFonts w:asciiTheme="minorBidi" w:hAnsiTheme="minorBidi" w:cstheme="minorBidi"/>
              </w:rPr>
              <w:t xml:space="preserve"> were met.</w:t>
            </w:r>
          </w:p>
          <w:p w14:paraId="0286078B" w14:textId="77777777" w:rsidR="005D467E" w:rsidRPr="001F7BB9" w:rsidRDefault="00511A32" w:rsidP="00511A32">
            <w:pPr>
              <w:pStyle w:val="ListParagraph"/>
              <w:numPr>
                <w:ilvl w:val="0"/>
                <w:numId w:val="37"/>
              </w:numPr>
              <w:rPr>
                <w:rFonts w:asciiTheme="minorBidi" w:hAnsiTheme="minorBidi" w:cstheme="minorBidi"/>
              </w:rPr>
            </w:pPr>
            <w:r w:rsidRPr="001F7BB9">
              <w:rPr>
                <w:rFonts w:asciiTheme="minorBidi" w:hAnsiTheme="minorBidi" w:cstheme="minorBidi"/>
              </w:rPr>
              <w:t xml:space="preserve">Discussed the need for a joined up picture and questioned how ONR and NDA could implement the same mode of operating and having the right conversations focused on outcomes. </w:t>
            </w:r>
          </w:p>
          <w:p w14:paraId="08B564FE" w14:textId="4773DEFF" w:rsidR="001F5433" w:rsidRPr="001F7BB9" w:rsidRDefault="001F5433" w:rsidP="001F5433">
            <w:pPr>
              <w:pStyle w:val="ListParagraph"/>
              <w:rPr>
                <w:rFonts w:asciiTheme="minorBidi" w:hAnsiTheme="minorBidi" w:cstheme="minorBidi"/>
              </w:rPr>
            </w:pPr>
          </w:p>
        </w:tc>
      </w:tr>
      <w:tr w:rsidR="00A84CE0" w:rsidRPr="001F7BB9" w14:paraId="7A64B082" w14:textId="77777777" w:rsidTr="00D4484E">
        <w:trPr>
          <w:trHeight w:val="399"/>
        </w:trPr>
        <w:tc>
          <w:tcPr>
            <w:tcW w:w="1141" w:type="dxa"/>
          </w:tcPr>
          <w:p w14:paraId="09FA6B05" w14:textId="3CEB7B94" w:rsidR="00A84CE0" w:rsidRPr="001F7BB9" w:rsidRDefault="007F0E92" w:rsidP="004E210C">
            <w:pPr>
              <w:tabs>
                <w:tab w:val="left" w:pos="5347"/>
              </w:tabs>
              <w:rPr>
                <w:rFonts w:ascii="Arial" w:hAnsi="Arial" w:cs="Arial"/>
              </w:rPr>
            </w:pPr>
            <w:r w:rsidRPr="001F7BB9">
              <w:rPr>
                <w:rFonts w:ascii="Arial" w:hAnsi="Arial" w:cs="Arial"/>
              </w:rPr>
              <w:lastRenderedPageBreak/>
              <w:t>5</w:t>
            </w:r>
            <w:r w:rsidR="00A95620" w:rsidRPr="001F7BB9">
              <w:rPr>
                <w:rFonts w:ascii="Arial" w:hAnsi="Arial" w:cs="Arial"/>
              </w:rPr>
              <w:t>.</w:t>
            </w:r>
            <w:r w:rsidR="00511A32" w:rsidRPr="001F7BB9">
              <w:rPr>
                <w:rFonts w:ascii="Arial" w:hAnsi="Arial" w:cs="Arial"/>
              </w:rPr>
              <w:t>8</w:t>
            </w:r>
          </w:p>
        </w:tc>
        <w:tc>
          <w:tcPr>
            <w:tcW w:w="7875" w:type="dxa"/>
          </w:tcPr>
          <w:p w14:paraId="66E85729" w14:textId="1F6DDD91" w:rsidR="00362477" w:rsidRPr="001F7BB9" w:rsidRDefault="001F5433" w:rsidP="001F5433">
            <w:pPr>
              <w:spacing w:after="160" w:line="259" w:lineRule="auto"/>
              <w:rPr>
                <w:rFonts w:ascii="Arial" w:hAnsi="Arial" w:cs="Arial"/>
                <w:bCs/>
              </w:rPr>
            </w:pPr>
            <w:r w:rsidRPr="001F7BB9">
              <w:rPr>
                <w:rFonts w:ascii="Arial" w:hAnsi="Arial" w:cs="Arial"/>
                <w:bCs/>
              </w:rPr>
              <w:t xml:space="preserve">The Chair thanked the </w:t>
            </w:r>
            <w:r w:rsidR="00C3269E" w:rsidRPr="001F7BB9">
              <w:rPr>
                <w:rFonts w:ascii="Arial" w:hAnsi="Arial" w:cs="Arial"/>
                <w:bCs/>
              </w:rPr>
              <w:t>Director</w:t>
            </w:r>
            <w:r w:rsidRPr="001F7BB9">
              <w:rPr>
                <w:rFonts w:ascii="Arial" w:hAnsi="Arial" w:cs="Arial"/>
                <w:bCs/>
              </w:rPr>
              <w:t xml:space="preserve"> of Regulation, SDFW for </w:t>
            </w:r>
            <w:r w:rsidR="000C2396" w:rsidRPr="001F7BB9">
              <w:rPr>
                <w:rFonts w:ascii="Arial" w:hAnsi="Arial" w:cs="Arial"/>
                <w:bCs/>
              </w:rPr>
              <w:t>his</w:t>
            </w:r>
            <w:r w:rsidRPr="001F7BB9">
              <w:rPr>
                <w:rFonts w:ascii="Arial" w:hAnsi="Arial" w:cs="Arial"/>
                <w:bCs/>
              </w:rPr>
              <w:t xml:space="preserve"> update.</w:t>
            </w:r>
          </w:p>
        </w:tc>
      </w:tr>
      <w:tr w:rsidR="004E210C" w:rsidRPr="001F7BB9" w14:paraId="33193583" w14:textId="77777777" w:rsidTr="00D4484E">
        <w:trPr>
          <w:trHeight w:val="399"/>
        </w:trPr>
        <w:tc>
          <w:tcPr>
            <w:tcW w:w="1141" w:type="dxa"/>
          </w:tcPr>
          <w:p w14:paraId="4AA1EF81" w14:textId="4CA55BA6" w:rsidR="004E210C" w:rsidRPr="001F7BB9" w:rsidRDefault="00DE5E5A" w:rsidP="004E210C">
            <w:pPr>
              <w:tabs>
                <w:tab w:val="left" w:pos="5347"/>
              </w:tabs>
              <w:rPr>
                <w:rFonts w:ascii="Arial" w:hAnsi="Arial" w:cs="Arial"/>
                <w:b/>
                <w:bCs/>
              </w:rPr>
            </w:pPr>
            <w:r w:rsidRPr="001F7BB9">
              <w:rPr>
                <w:rFonts w:ascii="Arial" w:hAnsi="Arial" w:cs="Arial"/>
                <w:b/>
                <w:bCs/>
              </w:rPr>
              <w:t>6</w:t>
            </w:r>
          </w:p>
        </w:tc>
        <w:tc>
          <w:tcPr>
            <w:tcW w:w="7875" w:type="dxa"/>
          </w:tcPr>
          <w:p w14:paraId="416DF9E9" w14:textId="34209F07" w:rsidR="004E210C" w:rsidRPr="001F7BB9" w:rsidRDefault="001F5433" w:rsidP="004E210C">
            <w:pPr>
              <w:tabs>
                <w:tab w:val="left" w:pos="5347"/>
              </w:tabs>
              <w:rPr>
                <w:rFonts w:ascii="Arial" w:hAnsi="Arial" w:cs="Arial"/>
                <w:b/>
              </w:rPr>
            </w:pPr>
            <w:r w:rsidRPr="001F7BB9">
              <w:rPr>
                <w:rFonts w:ascii="Arial" w:hAnsi="Arial" w:cs="Arial"/>
                <w:b/>
              </w:rPr>
              <w:t>Nuclear Regulatory Taskforce</w:t>
            </w:r>
          </w:p>
        </w:tc>
      </w:tr>
      <w:tr w:rsidR="004E210C" w:rsidRPr="001F7BB9" w14:paraId="0CFBA047" w14:textId="77777777" w:rsidTr="00D4484E">
        <w:trPr>
          <w:trHeight w:val="399"/>
        </w:trPr>
        <w:tc>
          <w:tcPr>
            <w:tcW w:w="1141" w:type="dxa"/>
          </w:tcPr>
          <w:p w14:paraId="6926C292" w14:textId="5F5086ED" w:rsidR="004E210C" w:rsidRPr="001F7BB9" w:rsidRDefault="007F0E92" w:rsidP="004E210C">
            <w:pPr>
              <w:tabs>
                <w:tab w:val="left" w:pos="5347"/>
              </w:tabs>
              <w:rPr>
                <w:rFonts w:ascii="Arial" w:hAnsi="Arial" w:cs="Arial"/>
                <w:b/>
                <w:bCs/>
              </w:rPr>
            </w:pPr>
            <w:r w:rsidRPr="001F7BB9">
              <w:rPr>
                <w:rFonts w:ascii="Arial" w:hAnsi="Arial" w:cs="Arial"/>
              </w:rPr>
              <w:t>6</w:t>
            </w:r>
            <w:r w:rsidR="004E210C" w:rsidRPr="001F7BB9">
              <w:rPr>
                <w:rFonts w:ascii="Arial" w:hAnsi="Arial" w:cs="Arial"/>
              </w:rPr>
              <w:t>.1</w:t>
            </w:r>
          </w:p>
        </w:tc>
        <w:tc>
          <w:tcPr>
            <w:tcW w:w="7875" w:type="dxa"/>
          </w:tcPr>
          <w:p w14:paraId="0F8F3CBE" w14:textId="5B544A1B" w:rsidR="00797A2D" w:rsidRPr="001F7BB9" w:rsidRDefault="00552726" w:rsidP="00552726">
            <w:pPr>
              <w:rPr>
                <w:rFonts w:ascii="Arial" w:hAnsi="Arial" w:cs="Arial"/>
                <w:bCs/>
              </w:rPr>
            </w:pPr>
            <w:r w:rsidRPr="001F7BB9">
              <w:rPr>
                <w:rFonts w:ascii="Arial" w:hAnsi="Arial" w:cs="Arial"/>
                <w:bCs/>
              </w:rPr>
              <w:t>The Director</w:t>
            </w:r>
            <w:r w:rsidR="002B5E51" w:rsidRPr="001F7BB9">
              <w:rPr>
                <w:rFonts w:ascii="Arial" w:hAnsi="Arial" w:cs="Arial"/>
                <w:bCs/>
              </w:rPr>
              <w:t>,</w:t>
            </w:r>
            <w:r w:rsidRPr="001F7BB9">
              <w:rPr>
                <w:rFonts w:ascii="Arial" w:hAnsi="Arial" w:cs="Arial"/>
                <w:bCs/>
              </w:rPr>
              <w:t xml:space="preserve"> Strategy and Corporate </w:t>
            </w:r>
            <w:r w:rsidR="001F5433" w:rsidRPr="001F7BB9">
              <w:rPr>
                <w:rFonts w:ascii="Arial" w:hAnsi="Arial" w:cs="Arial"/>
                <w:bCs/>
              </w:rPr>
              <w:t>A</w:t>
            </w:r>
            <w:r w:rsidRPr="001F7BB9">
              <w:rPr>
                <w:rFonts w:ascii="Arial" w:hAnsi="Arial" w:cs="Arial"/>
                <w:bCs/>
              </w:rPr>
              <w:t xml:space="preserve">ffairs </w:t>
            </w:r>
            <w:r w:rsidR="001F5433" w:rsidRPr="001F7BB9">
              <w:rPr>
                <w:rFonts w:ascii="Arial" w:hAnsi="Arial" w:cs="Arial"/>
                <w:bCs/>
              </w:rPr>
              <w:t>and Head of Policy</w:t>
            </w:r>
            <w:r w:rsidR="00975ADF" w:rsidRPr="001F7BB9">
              <w:rPr>
                <w:rFonts w:ascii="Arial" w:hAnsi="Arial" w:cs="Arial"/>
                <w:bCs/>
              </w:rPr>
              <w:t xml:space="preserve"> </w:t>
            </w:r>
            <w:r w:rsidR="00963F63" w:rsidRPr="001F7BB9">
              <w:rPr>
                <w:rFonts w:ascii="Arial" w:hAnsi="Arial" w:cs="Arial"/>
                <w:bCs/>
              </w:rPr>
              <w:t>provided an update on the ongoing Nuclear Regulatory Taskforce.</w:t>
            </w:r>
          </w:p>
          <w:p w14:paraId="0F034F08" w14:textId="3D41E0EC" w:rsidR="000144F0" w:rsidRPr="001F7BB9" w:rsidRDefault="000144F0" w:rsidP="00552726">
            <w:pPr>
              <w:rPr>
                <w:rFonts w:ascii="Arial" w:hAnsi="Arial" w:cs="Arial"/>
                <w:bCs/>
              </w:rPr>
            </w:pPr>
          </w:p>
        </w:tc>
      </w:tr>
      <w:tr w:rsidR="005D53F9" w:rsidRPr="001F7BB9" w14:paraId="176F8124" w14:textId="77777777" w:rsidTr="00D4484E">
        <w:trPr>
          <w:trHeight w:val="399"/>
        </w:trPr>
        <w:tc>
          <w:tcPr>
            <w:tcW w:w="1141" w:type="dxa"/>
          </w:tcPr>
          <w:p w14:paraId="17FF0A1E" w14:textId="39983C44" w:rsidR="005D53F9" w:rsidRPr="001F7BB9" w:rsidRDefault="00764363" w:rsidP="004E210C">
            <w:pPr>
              <w:tabs>
                <w:tab w:val="left" w:pos="5347"/>
              </w:tabs>
              <w:rPr>
                <w:rFonts w:ascii="Arial" w:hAnsi="Arial" w:cs="Arial"/>
              </w:rPr>
            </w:pPr>
            <w:r w:rsidRPr="001F7BB9">
              <w:rPr>
                <w:rFonts w:ascii="Arial" w:hAnsi="Arial" w:cs="Arial"/>
              </w:rPr>
              <w:t>6.2</w:t>
            </w:r>
          </w:p>
        </w:tc>
        <w:tc>
          <w:tcPr>
            <w:tcW w:w="7875" w:type="dxa"/>
          </w:tcPr>
          <w:p w14:paraId="2E33E1F0" w14:textId="53D253DB" w:rsidR="005D53F9" w:rsidRPr="001F7BB9" w:rsidRDefault="005D53F9" w:rsidP="00764363">
            <w:pPr>
              <w:spacing w:after="160" w:line="259" w:lineRule="auto"/>
              <w:rPr>
                <w:rFonts w:ascii="Arial" w:hAnsi="Arial" w:cs="Arial"/>
                <w:bCs/>
              </w:rPr>
            </w:pPr>
            <w:r w:rsidRPr="001F7BB9">
              <w:rPr>
                <w:rFonts w:ascii="Arial" w:hAnsi="Arial" w:cs="Arial"/>
                <w:bCs/>
              </w:rPr>
              <w:t>The Head of Policy outlined the approach being taken</w:t>
            </w:r>
            <w:r w:rsidR="00963F63" w:rsidRPr="001F7BB9">
              <w:rPr>
                <w:rFonts w:ascii="Arial" w:hAnsi="Arial" w:cs="Arial"/>
                <w:bCs/>
              </w:rPr>
              <w:t xml:space="preserve"> and </w:t>
            </w:r>
            <w:r w:rsidRPr="001F7BB9">
              <w:rPr>
                <w:rFonts w:ascii="Arial" w:hAnsi="Arial" w:cs="Arial"/>
                <w:bCs/>
              </w:rPr>
              <w:t xml:space="preserve">objectives </w:t>
            </w:r>
            <w:r w:rsidR="00963F63" w:rsidRPr="001F7BB9">
              <w:rPr>
                <w:rFonts w:ascii="Arial" w:hAnsi="Arial" w:cs="Arial"/>
                <w:bCs/>
              </w:rPr>
              <w:t xml:space="preserve">which had been </w:t>
            </w:r>
            <w:r w:rsidR="003B1AF1" w:rsidRPr="001F7BB9">
              <w:rPr>
                <w:rFonts w:ascii="Arial" w:hAnsi="Arial" w:cs="Arial"/>
                <w:bCs/>
              </w:rPr>
              <w:t xml:space="preserve">decided </w:t>
            </w:r>
            <w:r w:rsidR="002B5E51" w:rsidRPr="001F7BB9">
              <w:rPr>
                <w:rFonts w:ascii="Arial" w:hAnsi="Arial" w:cs="Arial"/>
                <w:bCs/>
              </w:rPr>
              <w:t>up</w:t>
            </w:r>
            <w:r w:rsidR="003B1AF1" w:rsidRPr="001F7BB9">
              <w:rPr>
                <w:rFonts w:ascii="Arial" w:hAnsi="Arial" w:cs="Arial"/>
                <w:bCs/>
              </w:rPr>
              <w:t xml:space="preserve">on, </w:t>
            </w:r>
            <w:r w:rsidRPr="001F7BB9">
              <w:rPr>
                <w:rFonts w:ascii="Arial" w:hAnsi="Arial" w:cs="Arial"/>
                <w:bCs/>
              </w:rPr>
              <w:t xml:space="preserve">following discussions with </w:t>
            </w:r>
            <w:r w:rsidR="003B1AF1" w:rsidRPr="001F7BB9">
              <w:rPr>
                <w:rFonts w:ascii="Arial" w:hAnsi="Arial" w:cs="Arial"/>
                <w:bCs/>
              </w:rPr>
              <w:t>d</w:t>
            </w:r>
            <w:r w:rsidRPr="001F7BB9">
              <w:rPr>
                <w:rFonts w:ascii="Arial" w:hAnsi="Arial" w:cs="Arial"/>
                <w:bCs/>
              </w:rPr>
              <w:t xml:space="preserve">irectors. The </w:t>
            </w:r>
            <w:r w:rsidR="002B5E51" w:rsidRPr="001F7BB9">
              <w:rPr>
                <w:rFonts w:ascii="Arial" w:hAnsi="Arial" w:cs="Arial"/>
                <w:bCs/>
              </w:rPr>
              <w:t>T</w:t>
            </w:r>
            <w:r w:rsidRPr="001F7BB9">
              <w:rPr>
                <w:rFonts w:ascii="Arial" w:hAnsi="Arial" w:cs="Arial"/>
                <w:bCs/>
              </w:rPr>
              <w:t xml:space="preserve">askforce </w:t>
            </w:r>
            <w:r w:rsidR="003B1AF1" w:rsidRPr="001F7BB9">
              <w:rPr>
                <w:rFonts w:ascii="Arial" w:hAnsi="Arial" w:cs="Arial"/>
                <w:bCs/>
              </w:rPr>
              <w:t>i</w:t>
            </w:r>
            <w:r w:rsidRPr="001F7BB9">
              <w:rPr>
                <w:rFonts w:ascii="Arial" w:hAnsi="Arial" w:cs="Arial"/>
                <w:bCs/>
              </w:rPr>
              <w:t xml:space="preserve">s an opportunity to </w:t>
            </w:r>
            <w:r w:rsidR="002B5E51" w:rsidRPr="001F7BB9">
              <w:rPr>
                <w:rFonts w:ascii="Arial" w:hAnsi="Arial" w:cs="Arial"/>
                <w:bCs/>
              </w:rPr>
              <w:t xml:space="preserve">drive </w:t>
            </w:r>
            <w:r w:rsidRPr="001F7BB9">
              <w:rPr>
                <w:rFonts w:ascii="Arial" w:hAnsi="Arial" w:cs="Arial"/>
                <w:bCs/>
              </w:rPr>
              <w:t xml:space="preserve">faster </w:t>
            </w:r>
            <w:r w:rsidR="002B5E51" w:rsidRPr="001F7BB9">
              <w:rPr>
                <w:rFonts w:ascii="Arial" w:hAnsi="Arial" w:cs="Arial"/>
                <w:bCs/>
              </w:rPr>
              <w:t xml:space="preserve">delivery of </w:t>
            </w:r>
            <w:r w:rsidRPr="001F7BB9">
              <w:rPr>
                <w:rFonts w:ascii="Arial" w:hAnsi="Arial" w:cs="Arial"/>
                <w:bCs/>
              </w:rPr>
              <w:t>nuclear and it was important that ONR was seen as openminded and supportive of these goals.</w:t>
            </w:r>
          </w:p>
        </w:tc>
      </w:tr>
      <w:tr w:rsidR="00764363" w:rsidRPr="001F7BB9" w14:paraId="6A6AF1FA" w14:textId="77777777" w:rsidTr="00D4484E">
        <w:trPr>
          <w:trHeight w:val="399"/>
        </w:trPr>
        <w:tc>
          <w:tcPr>
            <w:tcW w:w="1141" w:type="dxa"/>
          </w:tcPr>
          <w:p w14:paraId="534F98C8" w14:textId="4989F8D1" w:rsidR="00764363" w:rsidRPr="001F7BB9" w:rsidRDefault="00764363" w:rsidP="004E210C">
            <w:pPr>
              <w:tabs>
                <w:tab w:val="left" w:pos="5347"/>
              </w:tabs>
              <w:rPr>
                <w:rFonts w:ascii="Arial" w:hAnsi="Arial" w:cs="Arial"/>
              </w:rPr>
            </w:pPr>
            <w:r w:rsidRPr="001F7BB9">
              <w:rPr>
                <w:rFonts w:ascii="Arial" w:hAnsi="Arial" w:cs="Arial"/>
              </w:rPr>
              <w:t>6.3</w:t>
            </w:r>
          </w:p>
        </w:tc>
        <w:tc>
          <w:tcPr>
            <w:tcW w:w="7875" w:type="dxa"/>
          </w:tcPr>
          <w:p w14:paraId="2FA51031" w14:textId="366B413A" w:rsidR="00764363" w:rsidRPr="001F7BB9" w:rsidRDefault="00764363" w:rsidP="005D53F9">
            <w:pPr>
              <w:spacing w:after="160" w:line="259" w:lineRule="auto"/>
              <w:rPr>
                <w:rFonts w:ascii="Arial" w:hAnsi="Arial" w:cs="Arial"/>
                <w:bCs/>
              </w:rPr>
            </w:pPr>
            <w:r w:rsidRPr="001F7BB9">
              <w:rPr>
                <w:rFonts w:ascii="Arial" w:hAnsi="Arial" w:cs="Arial"/>
                <w:bCs/>
              </w:rPr>
              <w:t xml:space="preserve">She noted that there seemed to be consensus and confidence </w:t>
            </w:r>
            <w:r w:rsidR="003B1AF1" w:rsidRPr="001F7BB9">
              <w:rPr>
                <w:rFonts w:ascii="Arial" w:hAnsi="Arial" w:cs="Arial"/>
                <w:bCs/>
              </w:rPr>
              <w:t>within</w:t>
            </w:r>
            <w:r w:rsidRPr="001F7BB9">
              <w:rPr>
                <w:rFonts w:ascii="Arial" w:hAnsi="Arial" w:cs="Arial"/>
                <w:bCs/>
              </w:rPr>
              <w:t xml:space="preserve"> government of ONR’s role as an independent regulator. The Taskforce would be an opportunity to modernise, innovate and accelerate regulation. She noted that ONR was seeking actionable recommendations from the </w:t>
            </w:r>
            <w:r w:rsidR="002B5E51" w:rsidRPr="001F7BB9">
              <w:rPr>
                <w:rFonts w:ascii="Arial" w:hAnsi="Arial" w:cs="Arial"/>
                <w:bCs/>
              </w:rPr>
              <w:t>T</w:t>
            </w:r>
            <w:r w:rsidRPr="001F7BB9">
              <w:rPr>
                <w:rFonts w:ascii="Arial" w:hAnsi="Arial" w:cs="Arial"/>
                <w:bCs/>
              </w:rPr>
              <w:t>askforce.</w:t>
            </w:r>
          </w:p>
        </w:tc>
      </w:tr>
      <w:tr w:rsidR="005D53F9" w:rsidRPr="001F7BB9" w14:paraId="26FCA194" w14:textId="77777777" w:rsidTr="00D4484E">
        <w:trPr>
          <w:trHeight w:val="399"/>
        </w:trPr>
        <w:tc>
          <w:tcPr>
            <w:tcW w:w="1141" w:type="dxa"/>
          </w:tcPr>
          <w:p w14:paraId="1ECF96DD" w14:textId="01844727" w:rsidR="005D53F9" w:rsidRPr="001F7BB9" w:rsidRDefault="00764363" w:rsidP="004E210C">
            <w:pPr>
              <w:tabs>
                <w:tab w:val="left" w:pos="5347"/>
              </w:tabs>
              <w:rPr>
                <w:rFonts w:ascii="Arial" w:hAnsi="Arial" w:cs="Arial"/>
              </w:rPr>
            </w:pPr>
            <w:r w:rsidRPr="001F7BB9">
              <w:rPr>
                <w:rFonts w:ascii="Arial" w:hAnsi="Arial" w:cs="Arial"/>
              </w:rPr>
              <w:t>6.4</w:t>
            </w:r>
          </w:p>
        </w:tc>
        <w:tc>
          <w:tcPr>
            <w:tcW w:w="7875" w:type="dxa"/>
          </w:tcPr>
          <w:p w14:paraId="1CDB5FF3" w14:textId="41D56D59" w:rsidR="005D53F9" w:rsidRPr="001F7BB9" w:rsidRDefault="00A07CF9" w:rsidP="00A07CF9">
            <w:pPr>
              <w:spacing w:after="160" w:line="259" w:lineRule="auto"/>
              <w:rPr>
                <w:rFonts w:ascii="Arial" w:hAnsi="Arial" w:cs="Arial"/>
                <w:bCs/>
              </w:rPr>
            </w:pPr>
            <w:r w:rsidRPr="001F7BB9">
              <w:rPr>
                <w:rFonts w:ascii="Arial" w:hAnsi="Arial" w:cs="Arial"/>
                <w:bCs/>
              </w:rPr>
              <w:t xml:space="preserve">She highlighted that the team had been developing a skeleton response for the call for evidence to ensure that </w:t>
            </w:r>
            <w:r w:rsidR="0022174E" w:rsidRPr="001F7BB9">
              <w:rPr>
                <w:rFonts w:ascii="Arial" w:hAnsi="Arial" w:cs="Arial"/>
                <w:bCs/>
              </w:rPr>
              <w:t xml:space="preserve">a golden thread between ONR’s engagement with the </w:t>
            </w:r>
            <w:r w:rsidR="002B5E51" w:rsidRPr="001F7BB9">
              <w:rPr>
                <w:rFonts w:ascii="Arial" w:hAnsi="Arial" w:cs="Arial"/>
                <w:bCs/>
              </w:rPr>
              <w:t>T</w:t>
            </w:r>
            <w:r w:rsidR="0022174E" w:rsidRPr="001F7BB9">
              <w:rPr>
                <w:rFonts w:ascii="Arial" w:hAnsi="Arial" w:cs="Arial"/>
                <w:bCs/>
              </w:rPr>
              <w:t>askforce and the organisation’s submission to the call for evidence</w:t>
            </w:r>
            <w:r w:rsidRPr="001F7BB9">
              <w:rPr>
                <w:rFonts w:ascii="Arial" w:hAnsi="Arial" w:cs="Arial"/>
                <w:bCs/>
              </w:rPr>
              <w:t xml:space="preserve">. </w:t>
            </w:r>
          </w:p>
        </w:tc>
      </w:tr>
      <w:tr w:rsidR="00A07CF9" w:rsidRPr="001F7BB9" w14:paraId="742E1116" w14:textId="77777777" w:rsidTr="00D4484E">
        <w:trPr>
          <w:trHeight w:val="399"/>
        </w:trPr>
        <w:tc>
          <w:tcPr>
            <w:tcW w:w="1141" w:type="dxa"/>
          </w:tcPr>
          <w:p w14:paraId="13010963" w14:textId="486EDABA" w:rsidR="00A07CF9" w:rsidRPr="001F7BB9" w:rsidRDefault="00764363" w:rsidP="004E210C">
            <w:pPr>
              <w:tabs>
                <w:tab w:val="left" w:pos="5347"/>
              </w:tabs>
              <w:rPr>
                <w:rFonts w:ascii="Arial" w:hAnsi="Arial" w:cs="Arial"/>
              </w:rPr>
            </w:pPr>
            <w:r w:rsidRPr="001F7BB9">
              <w:rPr>
                <w:rFonts w:ascii="Arial" w:hAnsi="Arial" w:cs="Arial"/>
              </w:rPr>
              <w:t>6.5</w:t>
            </w:r>
          </w:p>
        </w:tc>
        <w:tc>
          <w:tcPr>
            <w:tcW w:w="7875" w:type="dxa"/>
          </w:tcPr>
          <w:p w14:paraId="691D0DEF" w14:textId="1901DBA2" w:rsidR="00764363" w:rsidRPr="001F7BB9" w:rsidRDefault="00764363" w:rsidP="00764363">
            <w:pPr>
              <w:spacing w:after="160" w:line="259" w:lineRule="auto"/>
              <w:rPr>
                <w:rFonts w:ascii="Arial" w:hAnsi="Arial" w:cs="Arial"/>
                <w:bCs/>
              </w:rPr>
            </w:pPr>
            <w:r w:rsidRPr="001F7BB9">
              <w:rPr>
                <w:rFonts w:ascii="Arial" w:hAnsi="Arial" w:cs="Arial"/>
                <w:bCs/>
              </w:rPr>
              <w:t xml:space="preserve">She highlighted the top five challenges of the current regulatory system that would be shared with the </w:t>
            </w:r>
            <w:r w:rsidR="002B5E51" w:rsidRPr="001F7BB9">
              <w:rPr>
                <w:rFonts w:ascii="Arial" w:hAnsi="Arial" w:cs="Arial"/>
                <w:bCs/>
              </w:rPr>
              <w:t>T</w:t>
            </w:r>
            <w:r w:rsidRPr="001F7BB9">
              <w:rPr>
                <w:rFonts w:ascii="Arial" w:hAnsi="Arial" w:cs="Arial"/>
                <w:bCs/>
              </w:rPr>
              <w:t>askforce. These were:</w:t>
            </w:r>
          </w:p>
          <w:p w14:paraId="1AAC884E" w14:textId="30BB78D2" w:rsidR="00764363" w:rsidRPr="001F7BB9" w:rsidRDefault="00764363" w:rsidP="00764363">
            <w:pPr>
              <w:pStyle w:val="Default"/>
              <w:numPr>
                <w:ilvl w:val="0"/>
                <w:numId w:val="45"/>
              </w:numPr>
            </w:pPr>
            <w:r w:rsidRPr="001F7BB9">
              <w:t>Alignment and co-ordination across all the nuclear regulators and government departments</w:t>
            </w:r>
            <w:r w:rsidR="00F41C52" w:rsidRPr="001F7BB9">
              <w:t>.</w:t>
            </w:r>
          </w:p>
          <w:p w14:paraId="67F5E330" w14:textId="43BC2C83" w:rsidR="00764363" w:rsidRPr="001F7BB9" w:rsidRDefault="00764363" w:rsidP="00764363">
            <w:pPr>
              <w:pStyle w:val="Default"/>
              <w:numPr>
                <w:ilvl w:val="0"/>
                <w:numId w:val="45"/>
              </w:numPr>
              <w:spacing w:after="54"/>
            </w:pPr>
            <w:r w:rsidRPr="001F7BB9">
              <w:t>Need for further international harmonisation</w:t>
            </w:r>
            <w:r w:rsidR="00F41C52" w:rsidRPr="001F7BB9">
              <w:t>.</w:t>
            </w:r>
            <w:r w:rsidRPr="001F7BB9">
              <w:t xml:space="preserve"> </w:t>
            </w:r>
          </w:p>
          <w:p w14:paraId="5F1993E2" w14:textId="35F7290F" w:rsidR="00764363" w:rsidRPr="001F7BB9" w:rsidRDefault="00764363" w:rsidP="00764363">
            <w:pPr>
              <w:pStyle w:val="Default"/>
              <w:numPr>
                <w:ilvl w:val="0"/>
                <w:numId w:val="45"/>
              </w:numPr>
              <w:spacing w:after="54"/>
            </w:pPr>
            <w:r w:rsidRPr="001F7BB9">
              <w:t>Implementation of As-Low-As-Reasonably-Practicable (ALARP)</w:t>
            </w:r>
            <w:r w:rsidR="00F41C52" w:rsidRPr="001F7BB9">
              <w:t>.</w:t>
            </w:r>
          </w:p>
          <w:p w14:paraId="734B3112" w14:textId="6224D550" w:rsidR="00764363" w:rsidRPr="001F7BB9" w:rsidRDefault="00764363" w:rsidP="00764363">
            <w:pPr>
              <w:pStyle w:val="Default"/>
              <w:numPr>
                <w:ilvl w:val="0"/>
                <w:numId w:val="45"/>
              </w:numPr>
              <w:spacing w:after="54"/>
            </w:pPr>
            <w:r w:rsidRPr="001F7BB9">
              <w:t>Proportionate regulation after de-licensing</w:t>
            </w:r>
            <w:r w:rsidR="00F41C52" w:rsidRPr="001F7BB9">
              <w:t>.</w:t>
            </w:r>
            <w:r w:rsidRPr="001F7BB9">
              <w:t xml:space="preserve"> </w:t>
            </w:r>
          </w:p>
          <w:p w14:paraId="155E24C5" w14:textId="57B5653E" w:rsidR="00A07CF9" w:rsidRPr="001F7BB9" w:rsidRDefault="00764363" w:rsidP="00C80C2D">
            <w:pPr>
              <w:pStyle w:val="Default"/>
              <w:numPr>
                <w:ilvl w:val="0"/>
                <w:numId w:val="45"/>
              </w:numPr>
            </w:pPr>
            <w:r w:rsidRPr="001F7BB9">
              <w:t>Time and resource to address multiple stages of appeal processes</w:t>
            </w:r>
            <w:r w:rsidR="00C80C2D" w:rsidRPr="001F7BB9">
              <w:t>.</w:t>
            </w:r>
            <w:r w:rsidRPr="001F7BB9">
              <w:t xml:space="preserve"> </w:t>
            </w:r>
          </w:p>
          <w:p w14:paraId="29D1E43F" w14:textId="6FEF2C99" w:rsidR="00C80C2D" w:rsidRPr="001F7BB9" w:rsidRDefault="00C80C2D" w:rsidP="00C80C2D">
            <w:pPr>
              <w:pStyle w:val="Default"/>
              <w:ind w:left="720"/>
            </w:pPr>
          </w:p>
        </w:tc>
      </w:tr>
      <w:tr w:rsidR="00356FFD" w:rsidRPr="001F7BB9" w14:paraId="0B26B180" w14:textId="77777777" w:rsidTr="00D4484E">
        <w:trPr>
          <w:trHeight w:val="399"/>
        </w:trPr>
        <w:tc>
          <w:tcPr>
            <w:tcW w:w="1141" w:type="dxa"/>
          </w:tcPr>
          <w:p w14:paraId="7BF4ACDA" w14:textId="5E50A439" w:rsidR="00356FFD" w:rsidRPr="001F7BB9" w:rsidRDefault="007F0E92" w:rsidP="004E210C">
            <w:pPr>
              <w:tabs>
                <w:tab w:val="left" w:pos="5347"/>
              </w:tabs>
              <w:rPr>
                <w:rFonts w:ascii="Arial" w:hAnsi="Arial" w:cs="Arial"/>
              </w:rPr>
            </w:pPr>
            <w:r w:rsidRPr="001F7BB9">
              <w:rPr>
                <w:rFonts w:ascii="Arial" w:hAnsi="Arial" w:cs="Arial"/>
              </w:rPr>
              <w:lastRenderedPageBreak/>
              <w:t>6</w:t>
            </w:r>
            <w:r w:rsidR="00D65586" w:rsidRPr="001F7BB9">
              <w:rPr>
                <w:rFonts w:ascii="Arial" w:hAnsi="Arial" w:cs="Arial"/>
              </w:rPr>
              <w:t>.</w:t>
            </w:r>
            <w:r w:rsidR="00764363" w:rsidRPr="001F7BB9">
              <w:rPr>
                <w:rFonts w:ascii="Arial" w:hAnsi="Arial" w:cs="Arial"/>
              </w:rPr>
              <w:t>6</w:t>
            </w:r>
          </w:p>
        </w:tc>
        <w:tc>
          <w:tcPr>
            <w:tcW w:w="7875" w:type="dxa"/>
          </w:tcPr>
          <w:p w14:paraId="34F04A85" w14:textId="77777777" w:rsidR="00356FFD" w:rsidRPr="001F7BB9" w:rsidRDefault="00356FFD" w:rsidP="00356FFD">
            <w:pPr>
              <w:tabs>
                <w:tab w:val="left" w:pos="5347"/>
              </w:tabs>
              <w:rPr>
                <w:rFonts w:ascii="Arial" w:hAnsi="Arial" w:cs="Arial"/>
                <w:bCs/>
              </w:rPr>
            </w:pPr>
            <w:r w:rsidRPr="001F7BB9">
              <w:rPr>
                <w:rFonts w:ascii="Arial" w:hAnsi="Arial" w:cs="Arial"/>
                <w:bCs/>
              </w:rPr>
              <w:t>In discussion the Board:</w:t>
            </w:r>
          </w:p>
          <w:p w14:paraId="2D774272" w14:textId="77777777" w:rsidR="00C0492A" w:rsidRPr="001F7BB9" w:rsidRDefault="00C0492A" w:rsidP="00356FFD">
            <w:pPr>
              <w:tabs>
                <w:tab w:val="left" w:pos="5347"/>
              </w:tabs>
              <w:rPr>
                <w:rFonts w:ascii="Arial" w:hAnsi="Arial" w:cs="Arial"/>
                <w:bCs/>
              </w:rPr>
            </w:pPr>
          </w:p>
          <w:p w14:paraId="413C7183" w14:textId="4B5FE37D" w:rsidR="00C80C2D" w:rsidRPr="001F7BB9" w:rsidRDefault="00C80C2D" w:rsidP="00C80C2D">
            <w:pPr>
              <w:pStyle w:val="ListParagraph"/>
              <w:numPr>
                <w:ilvl w:val="0"/>
                <w:numId w:val="22"/>
              </w:numPr>
              <w:tabs>
                <w:tab w:val="left" w:pos="5347"/>
              </w:tabs>
              <w:spacing w:after="160" w:line="259" w:lineRule="auto"/>
              <w:rPr>
                <w:rFonts w:ascii="Arial" w:hAnsi="Arial" w:cs="Arial"/>
                <w:bCs/>
              </w:rPr>
            </w:pPr>
            <w:r w:rsidRPr="001F7BB9">
              <w:rPr>
                <w:rFonts w:ascii="Arial" w:hAnsi="Arial" w:cs="Arial"/>
                <w:bCs/>
              </w:rPr>
              <w:t xml:space="preserve">Queried whether the calls for evidence to other parties would be </w:t>
            </w:r>
            <w:r w:rsidR="00F07450" w:rsidRPr="001F7BB9">
              <w:rPr>
                <w:rFonts w:ascii="Arial" w:hAnsi="Arial" w:cs="Arial"/>
                <w:bCs/>
              </w:rPr>
              <w:t>restricted</w:t>
            </w:r>
            <w:r w:rsidR="0022174E" w:rsidRPr="001F7BB9">
              <w:rPr>
                <w:rFonts w:ascii="Arial" w:hAnsi="Arial" w:cs="Arial"/>
                <w:bCs/>
              </w:rPr>
              <w:t xml:space="preserve"> </w:t>
            </w:r>
            <w:r w:rsidRPr="001F7BB9">
              <w:rPr>
                <w:rFonts w:ascii="Arial" w:hAnsi="Arial" w:cs="Arial"/>
                <w:bCs/>
              </w:rPr>
              <w:t xml:space="preserve">or </w:t>
            </w:r>
            <w:r w:rsidR="002B5E51" w:rsidRPr="001F7BB9">
              <w:rPr>
                <w:rFonts w:ascii="Arial" w:hAnsi="Arial" w:cs="Arial"/>
                <w:bCs/>
              </w:rPr>
              <w:t>open to</w:t>
            </w:r>
            <w:r w:rsidRPr="001F7BB9">
              <w:rPr>
                <w:rFonts w:ascii="Arial" w:hAnsi="Arial" w:cs="Arial"/>
                <w:bCs/>
              </w:rPr>
              <w:t xml:space="preserve"> ONR</w:t>
            </w:r>
            <w:r w:rsidR="002B5E51" w:rsidRPr="001F7BB9">
              <w:rPr>
                <w:rFonts w:ascii="Arial" w:hAnsi="Arial" w:cs="Arial"/>
                <w:bCs/>
              </w:rPr>
              <w:t xml:space="preserve"> on request</w:t>
            </w:r>
            <w:r w:rsidRPr="001F7BB9">
              <w:rPr>
                <w:rFonts w:ascii="Arial" w:hAnsi="Arial" w:cs="Arial"/>
                <w:bCs/>
              </w:rPr>
              <w:t xml:space="preserve">, noting that ONR’s evidence submission would be written on the basis that </w:t>
            </w:r>
            <w:r w:rsidR="002B5E51" w:rsidRPr="001F7BB9">
              <w:rPr>
                <w:rFonts w:ascii="Arial" w:hAnsi="Arial" w:cs="Arial"/>
                <w:bCs/>
              </w:rPr>
              <w:t>it</w:t>
            </w:r>
            <w:r w:rsidRPr="001F7BB9">
              <w:rPr>
                <w:rFonts w:ascii="Arial" w:hAnsi="Arial" w:cs="Arial"/>
                <w:bCs/>
              </w:rPr>
              <w:t xml:space="preserve"> could be made public.</w:t>
            </w:r>
          </w:p>
          <w:p w14:paraId="46DB9817" w14:textId="40A64482" w:rsidR="00C80C2D" w:rsidRPr="001F7BB9" w:rsidRDefault="00C80C2D" w:rsidP="00C80C2D">
            <w:pPr>
              <w:pStyle w:val="ListParagraph"/>
              <w:numPr>
                <w:ilvl w:val="0"/>
                <w:numId w:val="22"/>
              </w:numPr>
              <w:tabs>
                <w:tab w:val="left" w:pos="5347"/>
              </w:tabs>
              <w:spacing w:after="160" w:line="259" w:lineRule="auto"/>
              <w:rPr>
                <w:rFonts w:ascii="Arial" w:hAnsi="Arial" w:cs="Arial"/>
                <w:bCs/>
              </w:rPr>
            </w:pPr>
            <w:r w:rsidRPr="001F7BB9">
              <w:rPr>
                <w:rFonts w:ascii="Arial" w:hAnsi="Arial" w:cs="Arial"/>
                <w:bCs/>
              </w:rPr>
              <w:t>Noted the 19 May deadline for the call for evidence</w:t>
            </w:r>
            <w:r w:rsidR="00784DD6" w:rsidRPr="001F7BB9">
              <w:rPr>
                <w:rFonts w:ascii="Arial" w:hAnsi="Arial" w:cs="Arial"/>
                <w:bCs/>
              </w:rPr>
              <w:t>.</w:t>
            </w:r>
          </w:p>
          <w:p w14:paraId="71667A9A" w14:textId="77777777" w:rsidR="00C80C2D" w:rsidRPr="001F7BB9" w:rsidRDefault="00C80C2D" w:rsidP="00C80C2D">
            <w:pPr>
              <w:pStyle w:val="ListParagraph"/>
              <w:numPr>
                <w:ilvl w:val="0"/>
                <w:numId w:val="22"/>
              </w:numPr>
              <w:tabs>
                <w:tab w:val="left" w:pos="5347"/>
              </w:tabs>
              <w:spacing w:after="160" w:line="259" w:lineRule="auto"/>
              <w:rPr>
                <w:rFonts w:ascii="Arial" w:hAnsi="Arial" w:cs="Arial"/>
                <w:bCs/>
              </w:rPr>
            </w:pPr>
            <w:r w:rsidRPr="001F7BB9">
              <w:rPr>
                <w:rFonts w:ascii="Arial" w:hAnsi="Arial" w:cs="Arial"/>
                <w:bCs/>
              </w:rPr>
              <w:t>Noted the agenda for the initial strategic level and technical level topics and how initial conversations would be structured.</w:t>
            </w:r>
          </w:p>
          <w:p w14:paraId="74982094" w14:textId="663D9C62" w:rsidR="007920A8" w:rsidRPr="001F7BB9" w:rsidRDefault="00C80C2D" w:rsidP="00C80C2D">
            <w:pPr>
              <w:pStyle w:val="ListParagraph"/>
              <w:numPr>
                <w:ilvl w:val="0"/>
                <w:numId w:val="22"/>
              </w:numPr>
              <w:tabs>
                <w:tab w:val="left" w:pos="5347"/>
              </w:tabs>
              <w:spacing w:after="160" w:line="259" w:lineRule="auto"/>
              <w:rPr>
                <w:rFonts w:ascii="Arial" w:hAnsi="Arial" w:cs="Arial"/>
                <w:bCs/>
              </w:rPr>
            </w:pPr>
            <w:r w:rsidRPr="001F7BB9">
              <w:rPr>
                <w:rFonts w:ascii="Arial" w:hAnsi="Arial" w:cs="Arial"/>
                <w:bCs/>
              </w:rPr>
              <w:t>Highlighted the need to consider any themes from the current reviews of Ofgem and Ofwat that ONR should consider</w:t>
            </w:r>
            <w:r w:rsidR="00F11EB4" w:rsidRPr="001F7BB9">
              <w:rPr>
                <w:rFonts w:ascii="Arial" w:hAnsi="Arial" w:cs="Arial"/>
                <w:bCs/>
              </w:rPr>
              <w:t xml:space="preserve"> and be prepared for</w:t>
            </w:r>
            <w:r w:rsidRPr="001F7BB9">
              <w:rPr>
                <w:rFonts w:ascii="Arial" w:hAnsi="Arial" w:cs="Arial"/>
                <w:bCs/>
              </w:rPr>
              <w:t>.</w:t>
            </w:r>
          </w:p>
        </w:tc>
      </w:tr>
      <w:tr w:rsidR="00356FFD" w:rsidRPr="001F7BB9" w14:paraId="4B405E48" w14:textId="77777777" w:rsidTr="00D4484E">
        <w:trPr>
          <w:trHeight w:val="399"/>
        </w:trPr>
        <w:tc>
          <w:tcPr>
            <w:tcW w:w="1141" w:type="dxa"/>
          </w:tcPr>
          <w:p w14:paraId="667425FB" w14:textId="020BD8C4" w:rsidR="00356FFD" w:rsidRPr="001F7BB9" w:rsidRDefault="007F0E92" w:rsidP="004E210C">
            <w:pPr>
              <w:tabs>
                <w:tab w:val="left" w:pos="5347"/>
              </w:tabs>
              <w:rPr>
                <w:rFonts w:ascii="Arial" w:hAnsi="Arial" w:cs="Arial"/>
              </w:rPr>
            </w:pPr>
            <w:r w:rsidRPr="001F7BB9">
              <w:rPr>
                <w:rFonts w:ascii="Arial" w:hAnsi="Arial" w:cs="Arial"/>
              </w:rPr>
              <w:t>6</w:t>
            </w:r>
            <w:r w:rsidR="00356FFD" w:rsidRPr="001F7BB9">
              <w:rPr>
                <w:rFonts w:ascii="Arial" w:hAnsi="Arial" w:cs="Arial"/>
              </w:rPr>
              <w:t>.</w:t>
            </w:r>
            <w:r w:rsidR="00784DD6" w:rsidRPr="001F7BB9">
              <w:rPr>
                <w:rFonts w:ascii="Arial" w:hAnsi="Arial" w:cs="Arial"/>
              </w:rPr>
              <w:t>7</w:t>
            </w:r>
          </w:p>
        </w:tc>
        <w:tc>
          <w:tcPr>
            <w:tcW w:w="7875" w:type="dxa"/>
          </w:tcPr>
          <w:p w14:paraId="08475DCC" w14:textId="3F227E89" w:rsidR="008E2AB9" w:rsidRPr="001F7BB9" w:rsidRDefault="00356FFD" w:rsidP="008E2AB9">
            <w:pPr>
              <w:tabs>
                <w:tab w:val="left" w:pos="5347"/>
              </w:tabs>
              <w:rPr>
                <w:rFonts w:ascii="Arial" w:hAnsi="Arial" w:cs="Arial"/>
              </w:rPr>
            </w:pPr>
            <w:r w:rsidRPr="001F7BB9">
              <w:rPr>
                <w:rFonts w:ascii="Arial" w:hAnsi="Arial" w:cs="Arial"/>
              </w:rPr>
              <w:t xml:space="preserve">The </w:t>
            </w:r>
            <w:r w:rsidR="00C80C2D" w:rsidRPr="001F7BB9">
              <w:rPr>
                <w:rFonts w:ascii="Arial" w:hAnsi="Arial" w:cs="Arial"/>
              </w:rPr>
              <w:t>Chair thanked the team for their update.</w:t>
            </w:r>
          </w:p>
          <w:p w14:paraId="10E20E04" w14:textId="0260CB75" w:rsidR="00797A2D" w:rsidRPr="001F7BB9" w:rsidRDefault="00797A2D" w:rsidP="008E2AB9">
            <w:pPr>
              <w:rPr>
                <w:rFonts w:ascii="Arial" w:hAnsi="Arial" w:cs="Arial"/>
              </w:rPr>
            </w:pPr>
          </w:p>
        </w:tc>
      </w:tr>
      <w:tr w:rsidR="008E2AB9" w:rsidRPr="001F7BB9" w14:paraId="468F1A52" w14:textId="77777777" w:rsidTr="00D4484E">
        <w:trPr>
          <w:trHeight w:val="399"/>
        </w:trPr>
        <w:tc>
          <w:tcPr>
            <w:tcW w:w="1141" w:type="dxa"/>
          </w:tcPr>
          <w:p w14:paraId="1950B6A5" w14:textId="6D78C95D" w:rsidR="008E2AB9" w:rsidRPr="001F7BB9" w:rsidRDefault="008E2AB9" w:rsidP="004E210C">
            <w:pPr>
              <w:tabs>
                <w:tab w:val="left" w:pos="5347"/>
              </w:tabs>
              <w:rPr>
                <w:rFonts w:ascii="Arial" w:hAnsi="Arial" w:cs="Arial"/>
                <w:b/>
                <w:bCs/>
              </w:rPr>
            </w:pPr>
            <w:r w:rsidRPr="001F7BB9">
              <w:rPr>
                <w:rFonts w:ascii="Arial" w:hAnsi="Arial" w:cs="Arial"/>
                <w:b/>
                <w:bCs/>
              </w:rPr>
              <w:t>7</w:t>
            </w:r>
          </w:p>
        </w:tc>
        <w:tc>
          <w:tcPr>
            <w:tcW w:w="7875" w:type="dxa"/>
          </w:tcPr>
          <w:p w14:paraId="487B8AF8" w14:textId="2056E0A4" w:rsidR="008E2AB9" w:rsidRPr="001F7BB9" w:rsidRDefault="008E2AB9" w:rsidP="004E210C">
            <w:pPr>
              <w:tabs>
                <w:tab w:val="left" w:pos="5347"/>
              </w:tabs>
              <w:rPr>
                <w:rFonts w:ascii="Arial" w:hAnsi="Arial" w:cs="Arial"/>
                <w:b/>
              </w:rPr>
            </w:pPr>
            <w:r w:rsidRPr="001F7BB9">
              <w:rPr>
                <w:rFonts w:ascii="Arial" w:hAnsi="Arial" w:cs="Arial"/>
                <w:b/>
              </w:rPr>
              <w:t>Future Funding Options</w:t>
            </w:r>
          </w:p>
        </w:tc>
      </w:tr>
      <w:tr w:rsidR="008E2AB9" w:rsidRPr="001F7BB9" w14:paraId="056421FE" w14:textId="77777777" w:rsidTr="00D4484E">
        <w:trPr>
          <w:trHeight w:val="399"/>
        </w:trPr>
        <w:tc>
          <w:tcPr>
            <w:tcW w:w="1141" w:type="dxa"/>
          </w:tcPr>
          <w:p w14:paraId="7AF1878A" w14:textId="4C3EB7B6" w:rsidR="008E2AB9" w:rsidRPr="001F7BB9" w:rsidRDefault="0073344F" w:rsidP="004E210C">
            <w:pPr>
              <w:tabs>
                <w:tab w:val="left" w:pos="5347"/>
              </w:tabs>
              <w:rPr>
                <w:rFonts w:ascii="Arial" w:hAnsi="Arial" w:cs="Arial"/>
              </w:rPr>
            </w:pPr>
            <w:r w:rsidRPr="001F7BB9">
              <w:rPr>
                <w:rFonts w:ascii="Arial" w:hAnsi="Arial" w:cs="Arial"/>
              </w:rPr>
              <w:t>7.1</w:t>
            </w:r>
          </w:p>
        </w:tc>
        <w:tc>
          <w:tcPr>
            <w:tcW w:w="7875" w:type="dxa"/>
          </w:tcPr>
          <w:p w14:paraId="5B213DE9" w14:textId="46E7DAB7" w:rsidR="008E2AB9" w:rsidRPr="001F7BB9" w:rsidRDefault="0073344F" w:rsidP="004E210C">
            <w:pPr>
              <w:tabs>
                <w:tab w:val="left" w:pos="5347"/>
              </w:tabs>
              <w:rPr>
                <w:rFonts w:ascii="Arial" w:hAnsi="Arial" w:cs="Arial"/>
                <w:bCs/>
              </w:rPr>
            </w:pPr>
            <w:r w:rsidRPr="001F7BB9">
              <w:rPr>
                <w:rFonts w:ascii="Arial" w:hAnsi="Arial" w:cs="Arial"/>
                <w:bCs/>
              </w:rPr>
              <w:t>The Finance Director introduced the paper which updated the Board on the Funding Options study that was commissioned six weeks ago with external consultants to</w:t>
            </w:r>
            <w:r w:rsidR="00455AD1" w:rsidRPr="001F7BB9">
              <w:rPr>
                <w:rFonts w:ascii="Arial" w:hAnsi="Arial" w:cs="Arial"/>
                <w:bCs/>
              </w:rPr>
              <w:t>:</w:t>
            </w:r>
            <w:r w:rsidRPr="001F7BB9">
              <w:rPr>
                <w:rFonts w:ascii="Arial" w:hAnsi="Arial" w:cs="Arial"/>
                <w:bCs/>
              </w:rPr>
              <w:t xml:space="preserve"> evaluate ONR’s charging strategy</w:t>
            </w:r>
            <w:r w:rsidR="00455AD1" w:rsidRPr="001F7BB9">
              <w:rPr>
                <w:rFonts w:ascii="Arial" w:hAnsi="Arial" w:cs="Arial"/>
                <w:bCs/>
              </w:rPr>
              <w:t>;</w:t>
            </w:r>
            <w:r w:rsidRPr="001F7BB9">
              <w:rPr>
                <w:rFonts w:ascii="Arial" w:hAnsi="Arial" w:cs="Arial"/>
                <w:bCs/>
              </w:rPr>
              <w:t xml:space="preserve"> and to test Board appetite</w:t>
            </w:r>
            <w:r w:rsidR="00455AD1" w:rsidRPr="001F7BB9">
              <w:rPr>
                <w:rFonts w:ascii="Arial" w:hAnsi="Arial" w:cs="Arial"/>
                <w:bCs/>
              </w:rPr>
              <w:t xml:space="preserve"> </w:t>
            </w:r>
            <w:r w:rsidRPr="001F7BB9">
              <w:rPr>
                <w:rFonts w:ascii="Arial" w:hAnsi="Arial" w:cs="Arial"/>
                <w:bCs/>
              </w:rPr>
              <w:t>and seek approval for launching a proposal for financial reform.</w:t>
            </w:r>
          </w:p>
          <w:p w14:paraId="1EE9AB7A" w14:textId="5147F0B7" w:rsidR="0073344F" w:rsidRPr="001F7BB9" w:rsidRDefault="0073344F" w:rsidP="004E210C">
            <w:pPr>
              <w:tabs>
                <w:tab w:val="left" w:pos="5347"/>
              </w:tabs>
              <w:rPr>
                <w:rFonts w:ascii="Arial" w:hAnsi="Arial" w:cs="Arial"/>
                <w:bCs/>
              </w:rPr>
            </w:pPr>
          </w:p>
        </w:tc>
      </w:tr>
      <w:tr w:rsidR="0073344F" w:rsidRPr="001F7BB9" w14:paraId="5292D99F" w14:textId="77777777" w:rsidTr="00D4484E">
        <w:trPr>
          <w:trHeight w:val="399"/>
        </w:trPr>
        <w:tc>
          <w:tcPr>
            <w:tcW w:w="1141" w:type="dxa"/>
          </w:tcPr>
          <w:p w14:paraId="1E50B67D" w14:textId="5B6B4D46" w:rsidR="0073344F" w:rsidRPr="001F7BB9" w:rsidRDefault="0073344F" w:rsidP="004E210C">
            <w:pPr>
              <w:tabs>
                <w:tab w:val="left" w:pos="5347"/>
              </w:tabs>
              <w:rPr>
                <w:rFonts w:ascii="Arial" w:hAnsi="Arial" w:cs="Arial"/>
              </w:rPr>
            </w:pPr>
            <w:r w:rsidRPr="001F7BB9">
              <w:rPr>
                <w:rFonts w:ascii="Arial" w:hAnsi="Arial" w:cs="Arial"/>
              </w:rPr>
              <w:t>7.2</w:t>
            </w:r>
          </w:p>
        </w:tc>
        <w:tc>
          <w:tcPr>
            <w:tcW w:w="7875" w:type="dxa"/>
          </w:tcPr>
          <w:p w14:paraId="1975ADA2" w14:textId="7C85536F" w:rsidR="00720AFB" w:rsidRPr="001F7BB9" w:rsidRDefault="00720AFB" w:rsidP="00DC2C1B">
            <w:pPr>
              <w:tabs>
                <w:tab w:val="left" w:pos="5347"/>
              </w:tabs>
              <w:rPr>
                <w:rFonts w:ascii="Arial" w:hAnsi="Arial" w:cs="Arial"/>
                <w:bCs/>
              </w:rPr>
            </w:pPr>
            <w:r w:rsidRPr="001F7BB9">
              <w:rPr>
                <w:rFonts w:ascii="Arial" w:hAnsi="Arial" w:cs="Arial"/>
                <w:bCs/>
              </w:rPr>
              <w:t xml:space="preserve">She noted that there was opportunity for this work to feed into the current Taskforce. She highlighted that the six week study had been short but </w:t>
            </w:r>
            <w:r w:rsidR="00DC2C1B" w:rsidRPr="001F7BB9">
              <w:rPr>
                <w:rFonts w:ascii="Arial" w:hAnsi="Arial" w:cs="Arial"/>
                <w:bCs/>
              </w:rPr>
              <w:t xml:space="preserve">covered </w:t>
            </w:r>
            <w:r w:rsidRPr="001F7BB9">
              <w:rPr>
                <w:rFonts w:ascii="Arial" w:hAnsi="Arial" w:cs="Arial"/>
                <w:bCs/>
              </w:rPr>
              <w:t xml:space="preserve">a lot of information </w:t>
            </w:r>
            <w:r w:rsidR="00455AD1" w:rsidRPr="001F7BB9">
              <w:rPr>
                <w:rFonts w:ascii="Arial" w:hAnsi="Arial" w:cs="Arial"/>
                <w:bCs/>
              </w:rPr>
              <w:t>for</w:t>
            </w:r>
            <w:r w:rsidRPr="001F7BB9">
              <w:rPr>
                <w:rFonts w:ascii="Arial" w:hAnsi="Arial" w:cs="Arial"/>
                <w:bCs/>
              </w:rPr>
              <w:t xml:space="preserve"> consider</w:t>
            </w:r>
            <w:r w:rsidR="00455AD1" w:rsidRPr="001F7BB9">
              <w:rPr>
                <w:rFonts w:ascii="Arial" w:hAnsi="Arial" w:cs="Arial"/>
                <w:bCs/>
              </w:rPr>
              <w:t>ation</w:t>
            </w:r>
            <w:r w:rsidRPr="001F7BB9">
              <w:rPr>
                <w:rFonts w:ascii="Arial" w:hAnsi="Arial" w:cs="Arial"/>
                <w:bCs/>
              </w:rPr>
              <w:t xml:space="preserve">. </w:t>
            </w:r>
            <w:r w:rsidR="00DC2C1B" w:rsidRPr="001F7BB9">
              <w:rPr>
                <w:rFonts w:ascii="Arial" w:hAnsi="Arial" w:cs="Arial"/>
                <w:bCs/>
              </w:rPr>
              <w:t xml:space="preserve">The legislation landscape is complex with multiple sets of fee regulations. </w:t>
            </w:r>
            <w:r w:rsidR="0010482C" w:rsidRPr="001F7BB9">
              <w:rPr>
                <w:rFonts w:ascii="Arial" w:hAnsi="Arial" w:cs="Arial"/>
                <w:bCs/>
              </w:rPr>
              <w:br/>
            </w:r>
          </w:p>
        </w:tc>
      </w:tr>
      <w:tr w:rsidR="00720AFB" w:rsidRPr="001F7BB9" w14:paraId="08316BB1" w14:textId="77777777" w:rsidTr="00D4484E">
        <w:trPr>
          <w:trHeight w:val="399"/>
        </w:trPr>
        <w:tc>
          <w:tcPr>
            <w:tcW w:w="1141" w:type="dxa"/>
          </w:tcPr>
          <w:p w14:paraId="1DD0AB76" w14:textId="78F91CE9" w:rsidR="00720AFB" w:rsidRPr="001F7BB9" w:rsidRDefault="00720AFB" w:rsidP="004E210C">
            <w:pPr>
              <w:tabs>
                <w:tab w:val="left" w:pos="5347"/>
              </w:tabs>
              <w:rPr>
                <w:rFonts w:ascii="Arial" w:hAnsi="Arial" w:cs="Arial"/>
              </w:rPr>
            </w:pPr>
            <w:r w:rsidRPr="001F7BB9">
              <w:rPr>
                <w:rFonts w:ascii="Arial" w:hAnsi="Arial" w:cs="Arial"/>
              </w:rPr>
              <w:t>7.3</w:t>
            </w:r>
          </w:p>
        </w:tc>
        <w:tc>
          <w:tcPr>
            <w:tcW w:w="7875" w:type="dxa"/>
          </w:tcPr>
          <w:p w14:paraId="328C8CAC" w14:textId="77777777" w:rsidR="00274D1D" w:rsidRPr="001F7BB9" w:rsidRDefault="00C8438E" w:rsidP="006837A8">
            <w:pPr>
              <w:tabs>
                <w:tab w:val="left" w:pos="5347"/>
              </w:tabs>
              <w:rPr>
                <w:rFonts w:ascii="Arial" w:hAnsi="Arial" w:cs="Arial"/>
                <w:bCs/>
              </w:rPr>
            </w:pPr>
            <w:r w:rsidRPr="001F7BB9">
              <w:rPr>
                <w:rFonts w:ascii="Arial" w:hAnsi="Arial" w:cs="Arial"/>
                <w:bCs/>
              </w:rPr>
              <w:t xml:space="preserve">She noted that the study had tested legislation and looked at benchmarking against both domestic and international regulators to understand why ONR was set up in the way that it was. She noted that the review had sought to look at ONR’s statutory and non-statutory activities </w:t>
            </w:r>
            <w:r w:rsidR="006837A8" w:rsidRPr="001F7BB9">
              <w:rPr>
                <w:rFonts w:ascii="Arial" w:hAnsi="Arial" w:cs="Arial"/>
                <w:bCs/>
              </w:rPr>
              <w:t>[</w:t>
            </w:r>
            <w:r w:rsidRPr="001F7BB9">
              <w:rPr>
                <w:rFonts w:ascii="Arial" w:hAnsi="Arial" w:cs="Arial"/>
                <w:bCs/>
              </w:rPr>
              <w:t>in order to str</w:t>
            </w:r>
            <w:r w:rsidR="00455AD1" w:rsidRPr="001F7BB9">
              <w:rPr>
                <w:rFonts w:ascii="Arial" w:hAnsi="Arial" w:cs="Arial"/>
                <w:bCs/>
              </w:rPr>
              <w:t>i</w:t>
            </w:r>
            <w:r w:rsidRPr="001F7BB9">
              <w:rPr>
                <w:rFonts w:ascii="Arial" w:hAnsi="Arial" w:cs="Arial"/>
                <w:bCs/>
              </w:rPr>
              <w:t xml:space="preserve">p back what </w:t>
            </w:r>
            <w:r w:rsidR="00807326" w:rsidRPr="001F7BB9">
              <w:rPr>
                <w:rFonts w:ascii="Arial" w:hAnsi="Arial" w:cs="Arial"/>
                <w:bCs/>
              </w:rPr>
              <w:t>ONR’s</w:t>
            </w:r>
            <w:r w:rsidRPr="001F7BB9">
              <w:rPr>
                <w:rFonts w:ascii="Arial" w:hAnsi="Arial" w:cs="Arial"/>
                <w:bCs/>
              </w:rPr>
              <w:t xml:space="preserve"> core activities were</w:t>
            </w:r>
            <w:r w:rsidR="006837A8" w:rsidRPr="001F7BB9">
              <w:rPr>
                <w:rFonts w:ascii="Arial" w:hAnsi="Arial" w:cs="Arial"/>
                <w:bCs/>
              </w:rPr>
              <w:t>]</w:t>
            </w:r>
            <w:r w:rsidRPr="001F7BB9">
              <w:rPr>
                <w:rFonts w:ascii="Arial" w:hAnsi="Arial" w:cs="Arial"/>
                <w:bCs/>
              </w:rPr>
              <w:t xml:space="preserve"> and how ONR was funded against each of those categories.</w:t>
            </w:r>
            <w:r w:rsidR="006837A8" w:rsidRPr="001F7BB9">
              <w:rPr>
                <w:rFonts w:ascii="Arial" w:hAnsi="Arial" w:cs="Arial"/>
                <w:bCs/>
              </w:rPr>
              <w:t xml:space="preserve"> </w:t>
            </w:r>
          </w:p>
          <w:p w14:paraId="694E9EDD" w14:textId="74E2C9ED" w:rsidR="00807326" w:rsidRPr="001F7BB9" w:rsidRDefault="00807326" w:rsidP="006837A8">
            <w:pPr>
              <w:tabs>
                <w:tab w:val="left" w:pos="5347"/>
              </w:tabs>
              <w:rPr>
                <w:rFonts w:ascii="Arial" w:hAnsi="Arial" w:cs="Arial"/>
                <w:bCs/>
              </w:rPr>
            </w:pPr>
          </w:p>
        </w:tc>
      </w:tr>
      <w:tr w:rsidR="00720AFB" w:rsidRPr="001F7BB9" w14:paraId="7A01C713" w14:textId="77777777" w:rsidTr="00D4484E">
        <w:trPr>
          <w:trHeight w:val="399"/>
        </w:trPr>
        <w:tc>
          <w:tcPr>
            <w:tcW w:w="1141" w:type="dxa"/>
          </w:tcPr>
          <w:p w14:paraId="6AFD0BE3" w14:textId="5CBF8762" w:rsidR="00720AFB" w:rsidRPr="001F7BB9" w:rsidRDefault="00C8438E" w:rsidP="004E210C">
            <w:pPr>
              <w:tabs>
                <w:tab w:val="left" w:pos="5347"/>
              </w:tabs>
              <w:rPr>
                <w:rFonts w:ascii="Arial" w:hAnsi="Arial" w:cs="Arial"/>
              </w:rPr>
            </w:pPr>
            <w:r w:rsidRPr="001F7BB9">
              <w:rPr>
                <w:rFonts w:ascii="Arial" w:hAnsi="Arial" w:cs="Arial"/>
              </w:rPr>
              <w:t>7.4</w:t>
            </w:r>
          </w:p>
        </w:tc>
        <w:tc>
          <w:tcPr>
            <w:tcW w:w="7875" w:type="dxa"/>
          </w:tcPr>
          <w:p w14:paraId="08BDF236" w14:textId="262863DE" w:rsidR="00720AFB" w:rsidRPr="001F7BB9" w:rsidRDefault="00274D1D" w:rsidP="00274D1D">
            <w:pPr>
              <w:spacing w:after="160" w:line="259" w:lineRule="auto"/>
              <w:rPr>
                <w:rFonts w:ascii="Arial" w:hAnsi="Arial" w:cs="Arial"/>
                <w:bCs/>
              </w:rPr>
            </w:pPr>
            <w:r w:rsidRPr="001F7BB9">
              <w:rPr>
                <w:rFonts w:ascii="Arial" w:hAnsi="Arial" w:cs="Arial"/>
                <w:bCs/>
              </w:rPr>
              <w:t xml:space="preserve">She </w:t>
            </w:r>
            <w:r w:rsidR="00906F28" w:rsidRPr="001F7BB9">
              <w:rPr>
                <w:rFonts w:ascii="Arial" w:hAnsi="Arial" w:cs="Arial"/>
                <w:bCs/>
              </w:rPr>
              <w:t>highlighted</w:t>
            </w:r>
            <w:r w:rsidRPr="001F7BB9">
              <w:rPr>
                <w:rFonts w:ascii="Arial" w:hAnsi="Arial" w:cs="Arial"/>
                <w:bCs/>
              </w:rPr>
              <w:t xml:space="preserve"> the need for further investigation as to underlying justification for operating on a net nil basis. ONR is unusual as a public corporation operating on a net nil basis. Removal of the net nil basis approach or at least reducing the activities to which net nil applies could introduce useful flexibility for ONR.</w:t>
            </w:r>
          </w:p>
        </w:tc>
      </w:tr>
      <w:tr w:rsidR="00274D1D" w:rsidRPr="001F7BB9" w14:paraId="78084E75" w14:textId="77777777" w:rsidTr="00D4484E">
        <w:trPr>
          <w:trHeight w:val="399"/>
        </w:trPr>
        <w:tc>
          <w:tcPr>
            <w:tcW w:w="1141" w:type="dxa"/>
          </w:tcPr>
          <w:p w14:paraId="0B1ACFA5" w14:textId="5F9192FD" w:rsidR="00274D1D" w:rsidRPr="001F7BB9" w:rsidRDefault="00274D1D" w:rsidP="004E210C">
            <w:pPr>
              <w:tabs>
                <w:tab w:val="left" w:pos="5347"/>
              </w:tabs>
              <w:rPr>
                <w:rFonts w:ascii="Arial" w:hAnsi="Arial" w:cs="Arial"/>
              </w:rPr>
            </w:pPr>
            <w:r w:rsidRPr="001F7BB9">
              <w:rPr>
                <w:rFonts w:ascii="Arial" w:hAnsi="Arial" w:cs="Arial"/>
              </w:rPr>
              <w:t>7.5</w:t>
            </w:r>
          </w:p>
        </w:tc>
        <w:tc>
          <w:tcPr>
            <w:tcW w:w="7875" w:type="dxa"/>
          </w:tcPr>
          <w:p w14:paraId="1E9C94E1" w14:textId="1719D57F" w:rsidR="00274D1D" w:rsidRPr="001F7BB9" w:rsidRDefault="006A2BCC" w:rsidP="007563CC">
            <w:pPr>
              <w:spacing w:after="160" w:line="259" w:lineRule="auto"/>
              <w:rPr>
                <w:rFonts w:ascii="Arial" w:hAnsi="Arial" w:cs="Arial"/>
                <w:bCs/>
              </w:rPr>
            </w:pPr>
            <w:r w:rsidRPr="001F7BB9">
              <w:rPr>
                <w:rFonts w:ascii="Arial" w:hAnsi="Arial" w:cs="Arial"/>
                <w:bCs/>
              </w:rPr>
              <w:t>She noted the regulatory requirement to update ONR’s Framework Agreement. This was currently overdue but the update could provide ONR with the ability to articulate its medium and long-term strategy thereby facilitating discussions with</w:t>
            </w:r>
            <w:r w:rsidR="00750D8B" w:rsidRPr="001F7BB9">
              <w:rPr>
                <w:rFonts w:ascii="Arial" w:hAnsi="Arial" w:cs="Arial"/>
                <w:bCs/>
              </w:rPr>
              <w:t xml:space="preserve"> the</w:t>
            </w:r>
            <w:r w:rsidRPr="001F7BB9">
              <w:rPr>
                <w:rFonts w:ascii="Arial" w:hAnsi="Arial" w:cs="Arial"/>
                <w:bCs/>
              </w:rPr>
              <w:t xml:space="preserve"> D</w:t>
            </w:r>
            <w:r w:rsidR="00750D8B" w:rsidRPr="001F7BB9">
              <w:rPr>
                <w:rFonts w:ascii="Arial" w:hAnsi="Arial" w:cs="Arial"/>
                <w:bCs/>
              </w:rPr>
              <w:t xml:space="preserve">epartment for </w:t>
            </w:r>
            <w:r w:rsidRPr="001F7BB9">
              <w:rPr>
                <w:rFonts w:ascii="Arial" w:hAnsi="Arial" w:cs="Arial"/>
                <w:bCs/>
              </w:rPr>
              <w:t>W</w:t>
            </w:r>
            <w:r w:rsidR="00750D8B" w:rsidRPr="001F7BB9">
              <w:rPr>
                <w:rFonts w:ascii="Arial" w:hAnsi="Arial" w:cs="Arial"/>
                <w:bCs/>
              </w:rPr>
              <w:t xml:space="preserve">ork and </w:t>
            </w:r>
            <w:r w:rsidRPr="001F7BB9">
              <w:rPr>
                <w:rFonts w:ascii="Arial" w:hAnsi="Arial" w:cs="Arial"/>
                <w:bCs/>
              </w:rPr>
              <w:t>P</w:t>
            </w:r>
            <w:r w:rsidR="00750D8B" w:rsidRPr="001F7BB9">
              <w:rPr>
                <w:rFonts w:ascii="Arial" w:hAnsi="Arial" w:cs="Arial"/>
                <w:bCs/>
              </w:rPr>
              <w:t>ensions (DWP)</w:t>
            </w:r>
            <w:r w:rsidRPr="001F7BB9">
              <w:rPr>
                <w:rFonts w:ascii="Arial" w:hAnsi="Arial" w:cs="Arial"/>
                <w:bCs/>
              </w:rPr>
              <w:t xml:space="preserve">, supporting grant funding applications and providing the basis for other </w:t>
            </w:r>
            <w:r w:rsidR="002F531A" w:rsidRPr="001F7BB9">
              <w:rPr>
                <w:rFonts w:ascii="Arial" w:hAnsi="Arial" w:cs="Arial"/>
                <w:bCs/>
              </w:rPr>
              <w:t>f</w:t>
            </w:r>
            <w:r w:rsidRPr="001F7BB9">
              <w:rPr>
                <w:rFonts w:ascii="Arial" w:hAnsi="Arial" w:cs="Arial"/>
                <w:bCs/>
              </w:rPr>
              <w:t xml:space="preserve">unding </w:t>
            </w:r>
            <w:r w:rsidR="002F531A" w:rsidRPr="001F7BB9">
              <w:rPr>
                <w:rFonts w:ascii="Arial" w:hAnsi="Arial" w:cs="Arial"/>
                <w:bCs/>
              </w:rPr>
              <w:t>a</w:t>
            </w:r>
            <w:r w:rsidRPr="001F7BB9">
              <w:rPr>
                <w:rFonts w:ascii="Arial" w:hAnsi="Arial" w:cs="Arial"/>
                <w:bCs/>
              </w:rPr>
              <w:t xml:space="preserve">greements. </w:t>
            </w:r>
          </w:p>
        </w:tc>
      </w:tr>
      <w:tr w:rsidR="00274D1D" w:rsidRPr="001F7BB9" w14:paraId="70DFA42C" w14:textId="77777777" w:rsidTr="00D4484E">
        <w:trPr>
          <w:trHeight w:val="399"/>
        </w:trPr>
        <w:tc>
          <w:tcPr>
            <w:tcW w:w="1141" w:type="dxa"/>
          </w:tcPr>
          <w:p w14:paraId="71B6CCB9" w14:textId="374F3233" w:rsidR="00274D1D" w:rsidRPr="001F7BB9" w:rsidRDefault="00274D1D" w:rsidP="004E210C">
            <w:pPr>
              <w:tabs>
                <w:tab w:val="left" w:pos="5347"/>
              </w:tabs>
              <w:rPr>
                <w:rFonts w:ascii="Arial" w:hAnsi="Arial" w:cs="Arial"/>
              </w:rPr>
            </w:pPr>
            <w:r w:rsidRPr="001F7BB9">
              <w:rPr>
                <w:rFonts w:ascii="Arial" w:hAnsi="Arial" w:cs="Arial"/>
              </w:rPr>
              <w:t>7.6</w:t>
            </w:r>
          </w:p>
        </w:tc>
        <w:tc>
          <w:tcPr>
            <w:tcW w:w="7875" w:type="dxa"/>
          </w:tcPr>
          <w:p w14:paraId="0CD8B68B" w14:textId="7CBC6C7A" w:rsidR="007563CC" w:rsidRPr="001F7BB9" w:rsidRDefault="007563CC" w:rsidP="007563CC">
            <w:pPr>
              <w:spacing w:after="160" w:line="259" w:lineRule="auto"/>
              <w:rPr>
                <w:rFonts w:ascii="Arial" w:hAnsi="Arial" w:cs="Arial"/>
                <w:bCs/>
              </w:rPr>
            </w:pPr>
            <w:r w:rsidRPr="001F7BB9">
              <w:rPr>
                <w:rFonts w:ascii="Arial" w:hAnsi="Arial" w:cs="Arial"/>
                <w:bCs/>
              </w:rPr>
              <w:t>She highlighted the option to create a commercial subsidiary but the</w:t>
            </w:r>
            <w:r w:rsidR="00750D8B" w:rsidRPr="001F7BB9">
              <w:rPr>
                <w:rFonts w:ascii="Arial" w:hAnsi="Arial" w:cs="Arial"/>
                <w:bCs/>
              </w:rPr>
              <w:t>re was a</w:t>
            </w:r>
            <w:r w:rsidRPr="001F7BB9">
              <w:rPr>
                <w:rFonts w:ascii="Arial" w:hAnsi="Arial" w:cs="Arial"/>
                <w:bCs/>
              </w:rPr>
              <w:t xml:space="preserve"> need to understand what that would mean, any impact on ONR’s </w:t>
            </w:r>
            <w:r w:rsidRPr="001F7BB9">
              <w:rPr>
                <w:rFonts w:ascii="Arial" w:hAnsi="Arial" w:cs="Arial"/>
                <w:bCs/>
              </w:rPr>
              <w:lastRenderedPageBreak/>
              <w:t>vires and options and how that would be taken forward.</w:t>
            </w:r>
            <w:r w:rsidR="00DC2C1B" w:rsidRPr="001F7BB9">
              <w:rPr>
                <w:rFonts w:ascii="Arial" w:hAnsi="Arial" w:cs="Arial"/>
                <w:bCs/>
              </w:rPr>
              <w:t xml:space="preserve"> </w:t>
            </w:r>
            <w:r w:rsidR="00EA3533" w:rsidRPr="001F7BB9">
              <w:rPr>
                <w:rFonts w:ascii="Arial" w:hAnsi="Arial" w:cs="Arial"/>
                <w:bCs/>
              </w:rPr>
              <w:t>She note</w:t>
            </w:r>
            <w:r w:rsidR="0060059A" w:rsidRPr="001F7BB9">
              <w:rPr>
                <w:rFonts w:ascii="Arial" w:hAnsi="Arial" w:cs="Arial"/>
                <w:bCs/>
              </w:rPr>
              <w:t>d</w:t>
            </w:r>
            <w:r w:rsidR="00EA3533" w:rsidRPr="001F7BB9">
              <w:rPr>
                <w:rFonts w:ascii="Arial" w:hAnsi="Arial" w:cs="Arial"/>
                <w:bCs/>
              </w:rPr>
              <w:t xml:space="preserve"> that the use of the </w:t>
            </w:r>
            <w:r w:rsidR="00DC2C1B" w:rsidRPr="001F7BB9">
              <w:rPr>
                <w:rFonts w:ascii="Arial" w:hAnsi="Arial" w:cs="Arial"/>
                <w:bCs/>
              </w:rPr>
              <w:t xml:space="preserve">term </w:t>
            </w:r>
            <w:r w:rsidR="00EA3533" w:rsidRPr="001F7BB9">
              <w:rPr>
                <w:rFonts w:ascii="Arial" w:hAnsi="Arial" w:cs="Arial"/>
                <w:bCs/>
              </w:rPr>
              <w:t>‘</w:t>
            </w:r>
            <w:r w:rsidR="00DC2C1B" w:rsidRPr="001F7BB9">
              <w:rPr>
                <w:rFonts w:ascii="Arial" w:hAnsi="Arial" w:cs="Arial"/>
                <w:bCs/>
              </w:rPr>
              <w:t>commercial</w:t>
            </w:r>
            <w:r w:rsidR="00EA3533" w:rsidRPr="001F7BB9">
              <w:rPr>
                <w:rFonts w:ascii="Arial" w:hAnsi="Arial" w:cs="Arial"/>
                <w:bCs/>
              </w:rPr>
              <w:t>’</w:t>
            </w:r>
            <w:r w:rsidR="00DC2C1B" w:rsidRPr="001F7BB9">
              <w:rPr>
                <w:rFonts w:ascii="Arial" w:hAnsi="Arial" w:cs="Arial"/>
                <w:bCs/>
              </w:rPr>
              <w:t xml:space="preserve"> may </w:t>
            </w:r>
            <w:r w:rsidR="00EA3533" w:rsidRPr="001F7BB9">
              <w:rPr>
                <w:rFonts w:ascii="Arial" w:hAnsi="Arial" w:cs="Arial"/>
                <w:bCs/>
              </w:rPr>
              <w:t xml:space="preserve">not be appropriate for </w:t>
            </w:r>
            <w:r w:rsidR="00DC2C1B" w:rsidRPr="001F7BB9">
              <w:rPr>
                <w:rFonts w:ascii="Arial" w:hAnsi="Arial" w:cs="Arial"/>
                <w:bCs/>
              </w:rPr>
              <w:t>ONR</w:t>
            </w:r>
            <w:r w:rsidR="0060059A" w:rsidRPr="001F7BB9">
              <w:rPr>
                <w:rFonts w:ascii="Arial" w:hAnsi="Arial" w:cs="Arial"/>
                <w:bCs/>
              </w:rPr>
              <w:t>.</w:t>
            </w:r>
          </w:p>
        </w:tc>
      </w:tr>
      <w:tr w:rsidR="00274D1D" w:rsidRPr="001F7BB9" w14:paraId="34325423" w14:textId="77777777" w:rsidTr="00D4484E">
        <w:trPr>
          <w:trHeight w:val="399"/>
        </w:trPr>
        <w:tc>
          <w:tcPr>
            <w:tcW w:w="1141" w:type="dxa"/>
          </w:tcPr>
          <w:p w14:paraId="219A88C6" w14:textId="5D8E8C96" w:rsidR="00274D1D" w:rsidRPr="001F7BB9" w:rsidRDefault="00274D1D" w:rsidP="004E210C">
            <w:pPr>
              <w:tabs>
                <w:tab w:val="left" w:pos="5347"/>
              </w:tabs>
              <w:rPr>
                <w:rFonts w:ascii="Arial" w:hAnsi="Arial" w:cs="Arial"/>
              </w:rPr>
            </w:pPr>
            <w:r w:rsidRPr="001F7BB9">
              <w:rPr>
                <w:rFonts w:ascii="Arial" w:hAnsi="Arial" w:cs="Arial"/>
              </w:rPr>
              <w:lastRenderedPageBreak/>
              <w:t>7.7</w:t>
            </w:r>
          </w:p>
        </w:tc>
        <w:tc>
          <w:tcPr>
            <w:tcW w:w="7875" w:type="dxa"/>
          </w:tcPr>
          <w:p w14:paraId="407DC66F" w14:textId="03BAE211" w:rsidR="00274D1D" w:rsidRPr="001F7BB9" w:rsidRDefault="00C321F5" w:rsidP="00C321F5">
            <w:pPr>
              <w:spacing w:after="160" w:line="259" w:lineRule="auto"/>
              <w:rPr>
                <w:rFonts w:ascii="Arial" w:hAnsi="Arial" w:cs="Arial"/>
                <w:bCs/>
              </w:rPr>
            </w:pPr>
            <w:r w:rsidRPr="001F7BB9">
              <w:rPr>
                <w:rFonts w:ascii="Arial" w:hAnsi="Arial" w:cs="Arial"/>
                <w:bCs/>
              </w:rPr>
              <w:t>She also highlighted other opportunities, which included revised fee structures for ONR.</w:t>
            </w:r>
          </w:p>
        </w:tc>
      </w:tr>
      <w:tr w:rsidR="00C321F5" w:rsidRPr="001F7BB9" w14:paraId="5022465C" w14:textId="77777777" w:rsidTr="00D4484E">
        <w:trPr>
          <w:trHeight w:val="399"/>
        </w:trPr>
        <w:tc>
          <w:tcPr>
            <w:tcW w:w="1141" w:type="dxa"/>
          </w:tcPr>
          <w:p w14:paraId="148ADCA5" w14:textId="5B937DB9" w:rsidR="00C321F5" w:rsidRPr="001F7BB9" w:rsidRDefault="00C321F5" w:rsidP="004E210C">
            <w:pPr>
              <w:tabs>
                <w:tab w:val="left" w:pos="5347"/>
              </w:tabs>
              <w:rPr>
                <w:rFonts w:ascii="Arial" w:hAnsi="Arial" w:cs="Arial"/>
              </w:rPr>
            </w:pPr>
            <w:r w:rsidRPr="001F7BB9">
              <w:rPr>
                <w:rFonts w:ascii="Arial" w:hAnsi="Arial" w:cs="Arial"/>
              </w:rPr>
              <w:t>7.8</w:t>
            </w:r>
          </w:p>
        </w:tc>
        <w:tc>
          <w:tcPr>
            <w:tcW w:w="7875" w:type="dxa"/>
          </w:tcPr>
          <w:p w14:paraId="686D3C47" w14:textId="77777777" w:rsidR="000854D2" w:rsidRPr="001F7BB9" w:rsidRDefault="000854D2" w:rsidP="000854D2">
            <w:pPr>
              <w:spacing w:after="160" w:line="259" w:lineRule="auto"/>
              <w:rPr>
                <w:rFonts w:ascii="Arial" w:hAnsi="Arial" w:cs="Arial"/>
                <w:bCs/>
              </w:rPr>
            </w:pPr>
            <w:r w:rsidRPr="001F7BB9">
              <w:rPr>
                <w:rFonts w:ascii="Arial" w:hAnsi="Arial" w:cs="Arial"/>
                <w:bCs/>
              </w:rPr>
              <w:t>In discussion the Board:</w:t>
            </w:r>
          </w:p>
          <w:p w14:paraId="41AE4C55" w14:textId="2BB43C0C" w:rsidR="000854D2" w:rsidRPr="001F7BB9" w:rsidRDefault="000854D2" w:rsidP="000854D2">
            <w:pPr>
              <w:pStyle w:val="ListParagraph"/>
              <w:numPr>
                <w:ilvl w:val="0"/>
                <w:numId w:val="38"/>
              </w:numPr>
              <w:spacing w:after="160" w:line="259" w:lineRule="auto"/>
              <w:rPr>
                <w:rFonts w:ascii="Arial" w:hAnsi="Arial" w:cs="Arial"/>
                <w:bCs/>
              </w:rPr>
            </w:pPr>
            <w:r w:rsidRPr="001F7BB9">
              <w:rPr>
                <w:rFonts w:ascii="Arial" w:hAnsi="Arial" w:cs="Arial"/>
                <w:bCs/>
              </w:rPr>
              <w:t>Questioned whether conversations with DWP and the Department for Energy Security and Net Zero (DESNZ) had taken place on this work and noted DWP’s support for ONR thinking creatively on its approach to funding</w:t>
            </w:r>
            <w:r w:rsidR="002F531A" w:rsidRPr="001F7BB9">
              <w:rPr>
                <w:rFonts w:ascii="Arial" w:hAnsi="Arial" w:cs="Arial"/>
                <w:bCs/>
              </w:rPr>
              <w:t>.</w:t>
            </w:r>
          </w:p>
          <w:p w14:paraId="56B32455" w14:textId="02B1CCE2" w:rsidR="000854D2" w:rsidRPr="001F7BB9" w:rsidRDefault="000854D2" w:rsidP="000854D2">
            <w:pPr>
              <w:pStyle w:val="ListParagraph"/>
              <w:numPr>
                <w:ilvl w:val="0"/>
                <w:numId w:val="38"/>
              </w:numPr>
              <w:spacing w:after="160" w:line="259" w:lineRule="auto"/>
              <w:rPr>
                <w:rFonts w:ascii="Arial" w:hAnsi="Arial" w:cs="Arial"/>
                <w:bCs/>
              </w:rPr>
            </w:pPr>
            <w:r w:rsidRPr="001F7BB9">
              <w:rPr>
                <w:rFonts w:ascii="Arial" w:hAnsi="Arial" w:cs="Arial"/>
                <w:bCs/>
              </w:rPr>
              <w:t>Note</w:t>
            </w:r>
            <w:r w:rsidR="002F531A" w:rsidRPr="001F7BB9">
              <w:rPr>
                <w:rFonts w:ascii="Arial" w:hAnsi="Arial" w:cs="Arial"/>
                <w:bCs/>
              </w:rPr>
              <w:t>d</w:t>
            </w:r>
            <w:r w:rsidRPr="001F7BB9">
              <w:rPr>
                <w:rFonts w:ascii="Arial" w:hAnsi="Arial" w:cs="Arial"/>
                <w:bCs/>
              </w:rPr>
              <w:t xml:space="preserve"> the need to shift the wording from ‘commercial’ to ‘statutory and non-statutory charging model’</w:t>
            </w:r>
            <w:r w:rsidR="00101E8F" w:rsidRPr="001F7BB9">
              <w:rPr>
                <w:rFonts w:ascii="Arial" w:hAnsi="Arial" w:cs="Arial"/>
                <w:bCs/>
              </w:rPr>
              <w:t>.</w:t>
            </w:r>
          </w:p>
          <w:p w14:paraId="3185A759" w14:textId="15CC97FB" w:rsidR="000854D2" w:rsidRPr="001F7BB9" w:rsidRDefault="000854D2" w:rsidP="00807326">
            <w:pPr>
              <w:pStyle w:val="ListParagraph"/>
              <w:numPr>
                <w:ilvl w:val="0"/>
                <w:numId w:val="38"/>
              </w:numPr>
              <w:spacing w:after="160" w:line="259" w:lineRule="auto"/>
              <w:rPr>
                <w:rFonts w:ascii="Arial" w:hAnsi="Arial" w:cs="Arial"/>
                <w:bCs/>
              </w:rPr>
            </w:pPr>
            <w:r w:rsidRPr="001F7BB9">
              <w:rPr>
                <w:rFonts w:ascii="Arial" w:hAnsi="Arial" w:cs="Arial"/>
                <w:bCs/>
              </w:rPr>
              <w:t>Highlighted that some regulators</w:t>
            </w:r>
            <w:r w:rsidR="002160B5" w:rsidRPr="001F7BB9">
              <w:rPr>
                <w:rFonts w:ascii="Arial" w:hAnsi="Arial" w:cs="Arial"/>
                <w:bCs/>
              </w:rPr>
              <w:t xml:space="preserve"> </w:t>
            </w:r>
            <w:r w:rsidR="00C122B7" w:rsidRPr="001F7BB9">
              <w:rPr>
                <w:rFonts w:ascii="Arial" w:hAnsi="Arial" w:cs="Arial"/>
                <w:bCs/>
              </w:rPr>
              <w:t>delineated</w:t>
            </w:r>
            <w:r w:rsidR="002160B5" w:rsidRPr="001F7BB9">
              <w:rPr>
                <w:rFonts w:ascii="Arial" w:hAnsi="Arial" w:cs="Arial"/>
                <w:bCs/>
              </w:rPr>
              <w:t xml:space="preserve"> regulation </w:t>
            </w:r>
            <w:r w:rsidR="005870DE" w:rsidRPr="001F7BB9">
              <w:rPr>
                <w:rFonts w:ascii="Arial" w:hAnsi="Arial" w:cs="Arial"/>
                <w:bCs/>
              </w:rPr>
              <w:t>more structurally between regulation and advice and guidance. A greater</w:t>
            </w:r>
            <w:r w:rsidRPr="001F7BB9">
              <w:rPr>
                <w:rFonts w:ascii="Arial" w:hAnsi="Arial" w:cs="Arial"/>
                <w:bCs/>
              </w:rPr>
              <w:t xml:space="preserve"> </w:t>
            </w:r>
            <w:r w:rsidR="00750D8B" w:rsidRPr="001F7BB9">
              <w:rPr>
                <w:rFonts w:ascii="Arial" w:hAnsi="Arial" w:cs="Arial"/>
                <w:bCs/>
              </w:rPr>
              <w:t xml:space="preserve">focus on </w:t>
            </w:r>
            <w:r w:rsidRPr="001F7BB9">
              <w:rPr>
                <w:rFonts w:ascii="Arial" w:hAnsi="Arial" w:cs="Arial"/>
                <w:bCs/>
              </w:rPr>
              <w:t>regulat</w:t>
            </w:r>
            <w:r w:rsidR="00750D8B" w:rsidRPr="001F7BB9">
              <w:rPr>
                <w:rFonts w:ascii="Arial" w:hAnsi="Arial" w:cs="Arial"/>
                <w:bCs/>
              </w:rPr>
              <w:t>i</w:t>
            </w:r>
            <w:r w:rsidRPr="001F7BB9">
              <w:rPr>
                <w:rFonts w:ascii="Arial" w:hAnsi="Arial" w:cs="Arial"/>
                <w:bCs/>
              </w:rPr>
              <w:t>o</w:t>
            </w:r>
            <w:r w:rsidR="00750D8B" w:rsidRPr="001F7BB9">
              <w:rPr>
                <w:rFonts w:ascii="Arial" w:hAnsi="Arial" w:cs="Arial"/>
                <w:bCs/>
              </w:rPr>
              <w:t>n</w:t>
            </w:r>
            <w:r w:rsidRPr="001F7BB9">
              <w:rPr>
                <w:rFonts w:ascii="Arial" w:hAnsi="Arial" w:cs="Arial"/>
                <w:bCs/>
              </w:rPr>
              <w:t xml:space="preserve"> and</w:t>
            </w:r>
            <w:r w:rsidR="005870DE" w:rsidRPr="001F7BB9">
              <w:rPr>
                <w:rFonts w:ascii="Arial" w:hAnsi="Arial" w:cs="Arial"/>
                <w:bCs/>
              </w:rPr>
              <w:t xml:space="preserve"> using the Academy </w:t>
            </w:r>
            <w:r w:rsidR="00C122B7" w:rsidRPr="001F7BB9">
              <w:rPr>
                <w:rFonts w:ascii="Arial" w:hAnsi="Arial" w:cs="Arial"/>
                <w:bCs/>
              </w:rPr>
              <w:t xml:space="preserve">more </w:t>
            </w:r>
            <w:r w:rsidR="00DA09CF" w:rsidRPr="001F7BB9">
              <w:rPr>
                <w:rFonts w:ascii="Arial" w:hAnsi="Arial" w:cs="Arial"/>
                <w:bCs/>
              </w:rPr>
              <w:t>to provide the learning and guidance aspect to dutyholders, could</w:t>
            </w:r>
            <w:r w:rsidR="00B33824" w:rsidRPr="001F7BB9">
              <w:rPr>
                <w:rFonts w:ascii="Arial" w:hAnsi="Arial" w:cs="Arial"/>
                <w:bCs/>
              </w:rPr>
              <w:t xml:space="preserve"> </w:t>
            </w:r>
            <w:r w:rsidR="00DA09CF" w:rsidRPr="001F7BB9">
              <w:rPr>
                <w:rFonts w:ascii="Arial" w:hAnsi="Arial" w:cs="Arial"/>
                <w:bCs/>
              </w:rPr>
              <w:t>be an alternative option to</w:t>
            </w:r>
            <w:r w:rsidRPr="001F7BB9">
              <w:rPr>
                <w:rFonts w:ascii="Arial" w:hAnsi="Arial" w:cs="Arial"/>
                <w:bCs/>
              </w:rPr>
              <w:t xml:space="preserve"> a commercial model.</w:t>
            </w:r>
            <w:r w:rsidR="00750D8B" w:rsidRPr="001F7BB9">
              <w:rPr>
                <w:rFonts w:ascii="Arial" w:hAnsi="Arial" w:cs="Arial"/>
                <w:bCs/>
              </w:rPr>
              <w:t xml:space="preserve"> </w:t>
            </w:r>
          </w:p>
          <w:p w14:paraId="6F71CC55" w14:textId="20686464" w:rsidR="000854D2" w:rsidRPr="001F7BB9" w:rsidRDefault="000854D2" w:rsidP="000854D2">
            <w:pPr>
              <w:pStyle w:val="ListParagraph"/>
              <w:numPr>
                <w:ilvl w:val="0"/>
                <w:numId w:val="38"/>
              </w:numPr>
              <w:spacing w:after="160" w:line="259" w:lineRule="auto"/>
              <w:rPr>
                <w:rFonts w:ascii="Arial" w:hAnsi="Arial" w:cs="Arial"/>
                <w:bCs/>
              </w:rPr>
            </w:pPr>
            <w:r w:rsidRPr="001F7BB9">
              <w:rPr>
                <w:rFonts w:ascii="Arial" w:hAnsi="Arial" w:cs="Arial"/>
                <w:bCs/>
              </w:rPr>
              <w:t xml:space="preserve">Questioned what the problem statement was and what benefits </w:t>
            </w:r>
            <w:r w:rsidR="00701602" w:rsidRPr="001F7BB9">
              <w:rPr>
                <w:rFonts w:ascii="Arial" w:hAnsi="Arial" w:cs="Arial"/>
                <w:bCs/>
              </w:rPr>
              <w:t>ONR would get from a changed funding model</w:t>
            </w:r>
            <w:r w:rsidRPr="001F7BB9">
              <w:rPr>
                <w:rFonts w:ascii="Arial" w:hAnsi="Arial" w:cs="Arial"/>
                <w:bCs/>
              </w:rPr>
              <w:t>.</w:t>
            </w:r>
          </w:p>
          <w:p w14:paraId="7BB8D242" w14:textId="37EC7B46" w:rsidR="000854D2" w:rsidRPr="001F7BB9" w:rsidRDefault="000854D2" w:rsidP="000854D2">
            <w:pPr>
              <w:pStyle w:val="ListParagraph"/>
              <w:numPr>
                <w:ilvl w:val="0"/>
                <w:numId w:val="38"/>
              </w:numPr>
              <w:spacing w:after="160" w:line="259" w:lineRule="auto"/>
              <w:rPr>
                <w:rFonts w:ascii="Arial" w:hAnsi="Arial" w:cs="Arial"/>
                <w:bCs/>
              </w:rPr>
            </w:pPr>
            <w:r w:rsidRPr="001F7BB9">
              <w:rPr>
                <w:rFonts w:ascii="Arial" w:hAnsi="Arial" w:cs="Arial"/>
                <w:bCs/>
              </w:rPr>
              <w:t>Noted the ability for changes to secondary legislation subject to appetite,</w:t>
            </w:r>
            <w:r w:rsidR="00701602" w:rsidRPr="001F7BB9">
              <w:rPr>
                <w:rFonts w:ascii="Arial" w:hAnsi="Arial" w:cs="Arial"/>
                <w:bCs/>
              </w:rPr>
              <w:t xml:space="preserve"> and how</w:t>
            </w:r>
            <w:r w:rsidRPr="001F7BB9">
              <w:rPr>
                <w:rFonts w:ascii="Arial" w:hAnsi="Arial" w:cs="Arial"/>
                <w:bCs/>
              </w:rPr>
              <w:t xml:space="preserve"> this would enable changes to ONR’s charging abilities.</w:t>
            </w:r>
          </w:p>
          <w:p w14:paraId="2E3F5EBD" w14:textId="293C34CE" w:rsidR="00C321F5" w:rsidRPr="001F7BB9" w:rsidRDefault="000854D2" w:rsidP="00933968">
            <w:pPr>
              <w:pStyle w:val="ListParagraph"/>
              <w:numPr>
                <w:ilvl w:val="0"/>
                <w:numId w:val="38"/>
              </w:numPr>
              <w:spacing w:after="160" w:line="259" w:lineRule="auto"/>
              <w:rPr>
                <w:rFonts w:ascii="Arial" w:hAnsi="Arial" w:cs="Arial"/>
                <w:bCs/>
              </w:rPr>
            </w:pPr>
            <w:r w:rsidRPr="001F7BB9">
              <w:rPr>
                <w:rFonts w:ascii="Arial" w:hAnsi="Arial" w:cs="Arial"/>
                <w:bCs/>
              </w:rPr>
              <w:t xml:space="preserve">Noted the opportunity for this work to run in parallel with the nuclear </w:t>
            </w:r>
            <w:r w:rsidR="00750D8B" w:rsidRPr="001F7BB9">
              <w:rPr>
                <w:rFonts w:ascii="Arial" w:hAnsi="Arial" w:cs="Arial"/>
                <w:bCs/>
              </w:rPr>
              <w:t>T</w:t>
            </w:r>
            <w:r w:rsidRPr="001F7BB9">
              <w:rPr>
                <w:rFonts w:ascii="Arial" w:hAnsi="Arial" w:cs="Arial"/>
                <w:bCs/>
              </w:rPr>
              <w:t>askforce</w:t>
            </w:r>
            <w:r w:rsidR="005D3854" w:rsidRPr="001F7BB9">
              <w:rPr>
                <w:rFonts w:ascii="Arial" w:hAnsi="Arial" w:cs="Arial"/>
                <w:bCs/>
              </w:rPr>
              <w:t>.</w:t>
            </w:r>
          </w:p>
        </w:tc>
      </w:tr>
      <w:tr w:rsidR="00C321F5" w:rsidRPr="001F7BB9" w14:paraId="20821741" w14:textId="77777777" w:rsidTr="00D4484E">
        <w:trPr>
          <w:trHeight w:val="399"/>
        </w:trPr>
        <w:tc>
          <w:tcPr>
            <w:tcW w:w="1141" w:type="dxa"/>
          </w:tcPr>
          <w:p w14:paraId="4DF21F1F" w14:textId="6A453828" w:rsidR="00C321F5" w:rsidRPr="001F7BB9" w:rsidRDefault="00C321F5" w:rsidP="004E210C">
            <w:pPr>
              <w:tabs>
                <w:tab w:val="left" w:pos="5347"/>
              </w:tabs>
              <w:rPr>
                <w:rFonts w:ascii="Arial" w:hAnsi="Arial" w:cs="Arial"/>
              </w:rPr>
            </w:pPr>
            <w:r w:rsidRPr="001F7BB9">
              <w:rPr>
                <w:rFonts w:ascii="Arial" w:hAnsi="Arial" w:cs="Arial"/>
              </w:rPr>
              <w:t>7.9</w:t>
            </w:r>
          </w:p>
        </w:tc>
        <w:tc>
          <w:tcPr>
            <w:tcW w:w="7875" w:type="dxa"/>
          </w:tcPr>
          <w:p w14:paraId="5CA0D116" w14:textId="442CA526" w:rsidR="00C321F5" w:rsidRPr="001F7BB9" w:rsidRDefault="00933968" w:rsidP="00933968">
            <w:pPr>
              <w:spacing w:after="160" w:line="259" w:lineRule="auto"/>
              <w:rPr>
                <w:rFonts w:ascii="Arial" w:hAnsi="Arial" w:cs="Arial"/>
                <w:bCs/>
              </w:rPr>
            </w:pPr>
            <w:r w:rsidRPr="001F7BB9">
              <w:rPr>
                <w:rFonts w:ascii="Arial" w:hAnsi="Arial" w:cs="Arial"/>
                <w:bCs/>
              </w:rPr>
              <w:t>The CE/CNI thanked the Finance Director for her work on this, and recognised the scrutiny and challenge she had brought to ONR’s way of working to date.</w:t>
            </w:r>
          </w:p>
        </w:tc>
      </w:tr>
      <w:tr w:rsidR="00933968" w:rsidRPr="001F7BB9" w14:paraId="7746D59F" w14:textId="77777777" w:rsidTr="00D4484E">
        <w:trPr>
          <w:trHeight w:val="399"/>
        </w:trPr>
        <w:tc>
          <w:tcPr>
            <w:tcW w:w="1141" w:type="dxa"/>
          </w:tcPr>
          <w:p w14:paraId="4CEAF7F4" w14:textId="49F0F5ED" w:rsidR="00933968" w:rsidRPr="001F7BB9" w:rsidRDefault="00933968" w:rsidP="004E210C">
            <w:pPr>
              <w:tabs>
                <w:tab w:val="left" w:pos="5347"/>
              </w:tabs>
              <w:rPr>
                <w:rFonts w:ascii="Arial" w:hAnsi="Arial" w:cs="Arial"/>
              </w:rPr>
            </w:pPr>
            <w:r w:rsidRPr="001F7BB9">
              <w:rPr>
                <w:rFonts w:ascii="Arial" w:hAnsi="Arial" w:cs="Arial"/>
              </w:rPr>
              <w:t>7.10</w:t>
            </w:r>
          </w:p>
        </w:tc>
        <w:tc>
          <w:tcPr>
            <w:tcW w:w="7875" w:type="dxa"/>
          </w:tcPr>
          <w:p w14:paraId="6D372301" w14:textId="56B00F1D" w:rsidR="00933968" w:rsidRPr="001F7BB9" w:rsidRDefault="000B4DFB" w:rsidP="000B4DFB">
            <w:pPr>
              <w:spacing w:after="160" w:line="259" w:lineRule="auto"/>
              <w:rPr>
                <w:rFonts w:ascii="Arial" w:hAnsi="Arial" w:cs="Arial"/>
                <w:bCs/>
              </w:rPr>
            </w:pPr>
            <w:r w:rsidRPr="001F7BB9">
              <w:rPr>
                <w:rFonts w:ascii="Arial" w:hAnsi="Arial" w:cs="Arial"/>
                <w:bCs/>
              </w:rPr>
              <w:t xml:space="preserve">The Chair summed up the discussion, noting the need to be really clear in what ONR was trying to achieve and articulating </w:t>
            </w:r>
            <w:r w:rsidR="00750D8B" w:rsidRPr="001F7BB9">
              <w:rPr>
                <w:rFonts w:ascii="Arial" w:hAnsi="Arial" w:cs="Arial"/>
                <w:bCs/>
              </w:rPr>
              <w:t>it</w:t>
            </w:r>
            <w:r w:rsidRPr="001F7BB9">
              <w:rPr>
                <w:rFonts w:ascii="Arial" w:hAnsi="Arial" w:cs="Arial"/>
                <w:bCs/>
              </w:rPr>
              <w:t xml:space="preserve"> clearly in a way that would enable ONR </w:t>
            </w:r>
            <w:r w:rsidR="000C2396" w:rsidRPr="001F7BB9">
              <w:rPr>
                <w:rFonts w:ascii="Arial" w:hAnsi="Arial" w:cs="Arial"/>
                <w:bCs/>
              </w:rPr>
              <w:t>funding</w:t>
            </w:r>
            <w:r w:rsidRPr="001F7BB9">
              <w:rPr>
                <w:rFonts w:ascii="Arial" w:hAnsi="Arial" w:cs="Arial"/>
                <w:bCs/>
              </w:rPr>
              <w:t xml:space="preserve"> in the future. The Board endorsed the proposed options for financial reform</w:t>
            </w:r>
            <w:r w:rsidR="00D5654E" w:rsidRPr="001F7BB9">
              <w:rPr>
                <w:rFonts w:ascii="Arial" w:hAnsi="Arial" w:cs="Arial"/>
                <w:bCs/>
              </w:rPr>
              <w:t>, subject to comments noted,</w:t>
            </w:r>
            <w:r w:rsidRPr="001F7BB9">
              <w:rPr>
                <w:rFonts w:ascii="Arial" w:hAnsi="Arial" w:cs="Arial"/>
                <w:bCs/>
              </w:rPr>
              <w:t xml:space="preserve"> and </w:t>
            </w:r>
            <w:r w:rsidR="00A444E0" w:rsidRPr="001F7BB9">
              <w:rPr>
                <w:rFonts w:ascii="Arial" w:hAnsi="Arial" w:cs="Arial"/>
                <w:bCs/>
              </w:rPr>
              <w:t>supported</w:t>
            </w:r>
            <w:r w:rsidRPr="001F7BB9">
              <w:rPr>
                <w:rFonts w:ascii="Arial" w:hAnsi="Arial" w:cs="Arial"/>
                <w:bCs/>
              </w:rPr>
              <w:t xml:space="preserve"> the approach in the options paper and the opportunities to influence the </w:t>
            </w:r>
            <w:r w:rsidR="005E27DD" w:rsidRPr="001F7BB9">
              <w:rPr>
                <w:rFonts w:ascii="Arial" w:hAnsi="Arial" w:cs="Arial"/>
                <w:bCs/>
              </w:rPr>
              <w:t>T</w:t>
            </w:r>
            <w:r w:rsidRPr="001F7BB9">
              <w:rPr>
                <w:rFonts w:ascii="Arial" w:hAnsi="Arial" w:cs="Arial"/>
                <w:bCs/>
              </w:rPr>
              <w:t xml:space="preserve">askforce review as appropriate. </w:t>
            </w:r>
          </w:p>
        </w:tc>
      </w:tr>
      <w:tr w:rsidR="00422DC6" w:rsidRPr="001F7BB9" w14:paraId="48F88092" w14:textId="77777777" w:rsidTr="00D4484E">
        <w:trPr>
          <w:trHeight w:val="399"/>
        </w:trPr>
        <w:tc>
          <w:tcPr>
            <w:tcW w:w="1141" w:type="dxa"/>
          </w:tcPr>
          <w:p w14:paraId="042C039A" w14:textId="5E6F4DA5" w:rsidR="00422DC6" w:rsidRPr="001F7BB9" w:rsidRDefault="00422DC6" w:rsidP="004E210C">
            <w:pPr>
              <w:tabs>
                <w:tab w:val="left" w:pos="5347"/>
              </w:tabs>
              <w:rPr>
                <w:rFonts w:ascii="Arial" w:hAnsi="Arial" w:cs="Arial"/>
                <w:b/>
                <w:bCs/>
              </w:rPr>
            </w:pPr>
            <w:r w:rsidRPr="001F7BB9">
              <w:rPr>
                <w:rFonts w:ascii="Arial" w:hAnsi="Arial" w:cs="Arial"/>
                <w:b/>
                <w:bCs/>
              </w:rPr>
              <w:t>8.</w:t>
            </w:r>
          </w:p>
        </w:tc>
        <w:tc>
          <w:tcPr>
            <w:tcW w:w="7875" w:type="dxa"/>
          </w:tcPr>
          <w:p w14:paraId="3B0A94B6" w14:textId="77777777" w:rsidR="005E27DD" w:rsidRPr="001F7BB9" w:rsidRDefault="00422DC6" w:rsidP="00422DC6">
            <w:pPr>
              <w:tabs>
                <w:tab w:val="left" w:pos="851"/>
              </w:tabs>
              <w:ind w:right="-766"/>
              <w:rPr>
                <w:rFonts w:ascii="Arial" w:hAnsi="Arial" w:cs="Arial"/>
                <w:b/>
                <w:bCs/>
              </w:rPr>
            </w:pPr>
            <w:r w:rsidRPr="001F7BB9">
              <w:rPr>
                <w:rFonts w:ascii="Arial" w:hAnsi="Arial" w:cs="Arial"/>
                <w:b/>
                <w:bCs/>
              </w:rPr>
              <w:t xml:space="preserve">‘Value for Money’ assessment and the benefits of the previous </w:t>
            </w:r>
          </w:p>
          <w:p w14:paraId="073A77E2" w14:textId="04C6006A" w:rsidR="00422DC6" w:rsidRPr="001F7BB9" w:rsidRDefault="00422DC6" w:rsidP="00422DC6">
            <w:pPr>
              <w:tabs>
                <w:tab w:val="left" w:pos="851"/>
              </w:tabs>
              <w:ind w:right="-766"/>
              <w:rPr>
                <w:rFonts w:ascii="Arial" w:hAnsi="Arial" w:cs="Arial"/>
                <w:b/>
                <w:bCs/>
                <w:highlight w:val="yellow"/>
              </w:rPr>
            </w:pPr>
            <w:r w:rsidRPr="001F7BB9">
              <w:rPr>
                <w:rFonts w:ascii="Arial" w:hAnsi="Arial" w:cs="Arial"/>
                <w:b/>
                <w:bCs/>
              </w:rPr>
              <w:t>Organisational Review Project</w:t>
            </w:r>
            <w:r w:rsidRPr="001F7BB9">
              <w:rPr>
                <w:rFonts w:ascii="Arial" w:hAnsi="Arial" w:cs="Arial"/>
                <w:b/>
                <w:bCs/>
                <w:highlight w:val="yellow"/>
              </w:rPr>
              <w:t xml:space="preserve"> </w:t>
            </w:r>
          </w:p>
          <w:p w14:paraId="2792E218" w14:textId="0DA302B9" w:rsidR="00422DC6" w:rsidRPr="001F7BB9" w:rsidRDefault="00422DC6" w:rsidP="00422DC6">
            <w:pPr>
              <w:tabs>
                <w:tab w:val="left" w:pos="851"/>
              </w:tabs>
              <w:ind w:right="-766"/>
              <w:rPr>
                <w:rFonts w:ascii="Arial" w:hAnsi="Arial" w:cs="Arial"/>
                <w:b/>
                <w:bCs/>
                <w:highlight w:val="yellow"/>
              </w:rPr>
            </w:pPr>
          </w:p>
        </w:tc>
      </w:tr>
      <w:tr w:rsidR="00422DC6" w:rsidRPr="001F7BB9" w14:paraId="7D7FC23B" w14:textId="77777777" w:rsidTr="0022432D">
        <w:trPr>
          <w:trHeight w:val="399"/>
        </w:trPr>
        <w:tc>
          <w:tcPr>
            <w:tcW w:w="1141" w:type="dxa"/>
          </w:tcPr>
          <w:p w14:paraId="6782AE9F" w14:textId="53509492" w:rsidR="00422DC6" w:rsidRPr="001F7BB9" w:rsidRDefault="00422DC6" w:rsidP="004E210C">
            <w:pPr>
              <w:tabs>
                <w:tab w:val="left" w:pos="5347"/>
              </w:tabs>
              <w:rPr>
                <w:rFonts w:ascii="Arial" w:hAnsi="Arial" w:cs="Arial"/>
              </w:rPr>
            </w:pPr>
            <w:r w:rsidRPr="001F7BB9">
              <w:rPr>
                <w:rFonts w:ascii="Arial" w:hAnsi="Arial" w:cs="Arial"/>
              </w:rPr>
              <w:t>8.1</w:t>
            </w:r>
          </w:p>
        </w:tc>
        <w:tc>
          <w:tcPr>
            <w:tcW w:w="7875" w:type="dxa"/>
          </w:tcPr>
          <w:p w14:paraId="08DE64BE" w14:textId="77777777" w:rsidR="003A2A03" w:rsidRPr="001F7BB9" w:rsidRDefault="003A2A03" w:rsidP="003A2A03">
            <w:pPr>
              <w:rPr>
                <w:rFonts w:ascii="Arial" w:hAnsi="Arial" w:cs="Arial"/>
                <w:bCs/>
              </w:rPr>
            </w:pPr>
            <w:r w:rsidRPr="001F7BB9">
              <w:rPr>
                <w:rFonts w:ascii="Arial" w:hAnsi="Arial" w:cs="Arial"/>
                <w:bCs/>
              </w:rPr>
              <w:t>The CE/CNI introduced the item which set out the scope of the proposed external value for money review of ONR, while providing Board with the context associated with the benefits of the previous Organisational Review project.</w:t>
            </w:r>
          </w:p>
          <w:p w14:paraId="1B71F2E3" w14:textId="77777777" w:rsidR="00422DC6" w:rsidRPr="001F7BB9" w:rsidRDefault="00422DC6" w:rsidP="00422DC6">
            <w:pPr>
              <w:tabs>
                <w:tab w:val="left" w:pos="851"/>
              </w:tabs>
              <w:ind w:right="-766"/>
              <w:rPr>
                <w:rFonts w:ascii="Arial" w:hAnsi="Arial" w:cs="Arial"/>
                <w:b/>
                <w:bCs/>
              </w:rPr>
            </w:pPr>
          </w:p>
        </w:tc>
      </w:tr>
      <w:tr w:rsidR="003A2A03" w:rsidRPr="001F7BB9" w14:paraId="7C22CC33" w14:textId="77777777" w:rsidTr="00D4484E">
        <w:trPr>
          <w:trHeight w:val="399"/>
        </w:trPr>
        <w:tc>
          <w:tcPr>
            <w:tcW w:w="1141" w:type="dxa"/>
          </w:tcPr>
          <w:p w14:paraId="401066E5" w14:textId="5345E581" w:rsidR="003A2A03" w:rsidRPr="001F7BB9" w:rsidRDefault="003A2A03" w:rsidP="004E210C">
            <w:pPr>
              <w:tabs>
                <w:tab w:val="left" w:pos="5347"/>
              </w:tabs>
              <w:rPr>
                <w:rFonts w:ascii="Arial" w:hAnsi="Arial" w:cs="Arial"/>
              </w:rPr>
            </w:pPr>
            <w:r w:rsidRPr="001F7BB9">
              <w:rPr>
                <w:rFonts w:ascii="Arial" w:hAnsi="Arial" w:cs="Arial"/>
              </w:rPr>
              <w:t>8.2</w:t>
            </w:r>
          </w:p>
        </w:tc>
        <w:tc>
          <w:tcPr>
            <w:tcW w:w="7875" w:type="dxa"/>
          </w:tcPr>
          <w:p w14:paraId="21533337" w14:textId="77777777" w:rsidR="00074399" w:rsidRPr="001F7BB9" w:rsidRDefault="00074399" w:rsidP="00074399">
            <w:pPr>
              <w:pStyle w:val="Default"/>
            </w:pPr>
            <w:r w:rsidRPr="001F7BB9">
              <w:t>He reflected on the previous Organisational Review project which had closed in summer 2024 and had at its close:</w:t>
            </w:r>
          </w:p>
          <w:p w14:paraId="0FE09229" w14:textId="77777777" w:rsidR="00074399" w:rsidRPr="001F7BB9" w:rsidRDefault="00074399" w:rsidP="00074399">
            <w:pPr>
              <w:pStyle w:val="Default"/>
            </w:pPr>
          </w:p>
          <w:p w14:paraId="3553E5D1" w14:textId="3D2E1738" w:rsidR="00074399" w:rsidRPr="001F7BB9" w:rsidRDefault="00074399" w:rsidP="00074399">
            <w:pPr>
              <w:pStyle w:val="Default"/>
              <w:numPr>
                <w:ilvl w:val="0"/>
                <w:numId w:val="40"/>
              </w:numPr>
              <w:spacing w:after="52"/>
            </w:pPr>
            <w:r w:rsidRPr="001F7BB9">
              <w:t>Implemented improvements in pay alignment across ONR</w:t>
            </w:r>
            <w:r w:rsidR="00B50D7A" w:rsidRPr="001F7BB9">
              <w:t>.</w:t>
            </w:r>
            <w:r w:rsidRPr="001F7BB9">
              <w:t xml:space="preserve"> </w:t>
            </w:r>
          </w:p>
          <w:p w14:paraId="6EA4623B" w14:textId="54F2FF4D" w:rsidR="00074399" w:rsidRPr="001F7BB9" w:rsidRDefault="00074399" w:rsidP="00074399">
            <w:pPr>
              <w:pStyle w:val="Default"/>
              <w:numPr>
                <w:ilvl w:val="0"/>
                <w:numId w:val="40"/>
              </w:numPr>
              <w:spacing w:after="52"/>
            </w:pPr>
            <w:r w:rsidRPr="001F7BB9">
              <w:lastRenderedPageBreak/>
              <w:t>With the direct support of RD, integrated our safety and security purposes, embedding more staff into operational divisions</w:t>
            </w:r>
            <w:r w:rsidR="00B50D7A" w:rsidRPr="001F7BB9">
              <w:t>.</w:t>
            </w:r>
            <w:r w:rsidRPr="001F7BB9">
              <w:t xml:space="preserve"> </w:t>
            </w:r>
          </w:p>
          <w:p w14:paraId="3359736F" w14:textId="4439DC83" w:rsidR="00074399" w:rsidRPr="001F7BB9" w:rsidRDefault="00074399" w:rsidP="00074399">
            <w:pPr>
              <w:pStyle w:val="Default"/>
              <w:numPr>
                <w:ilvl w:val="0"/>
                <w:numId w:val="40"/>
              </w:numPr>
              <w:spacing w:after="52"/>
            </w:pPr>
            <w:r w:rsidRPr="001F7BB9">
              <w:t xml:space="preserve">Introduced some limited changes to the organisational structure. </w:t>
            </w:r>
          </w:p>
          <w:p w14:paraId="50482E3D" w14:textId="77777777" w:rsidR="003A2A03" w:rsidRPr="001F7BB9" w:rsidRDefault="003A2A03" w:rsidP="003A2A03">
            <w:pPr>
              <w:rPr>
                <w:rFonts w:ascii="Arial" w:hAnsi="Arial" w:cs="Arial"/>
                <w:bCs/>
              </w:rPr>
            </w:pPr>
          </w:p>
        </w:tc>
      </w:tr>
      <w:tr w:rsidR="003A2A03" w:rsidRPr="001F7BB9" w14:paraId="64C6D0F6" w14:textId="77777777" w:rsidTr="0022432D">
        <w:trPr>
          <w:trHeight w:val="399"/>
        </w:trPr>
        <w:tc>
          <w:tcPr>
            <w:tcW w:w="1141" w:type="dxa"/>
          </w:tcPr>
          <w:p w14:paraId="5E00ABE6" w14:textId="158D8296" w:rsidR="003A2A03" w:rsidRPr="001F7BB9" w:rsidRDefault="00074399" w:rsidP="004E210C">
            <w:pPr>
              <w:tabs>
                <w:tab w:val="left" w:pos="5347"/>
              </w:tabs>
              <w:rPr>
                <w:rFonts w:ascii="Arial" w:hAnsi="Arial" w:cs="Arial"/>
              </w:rPr>
            </w:pPr>
            <w:r w:rsidRPr="001F7BB9">
              <w:rPr>
                <w:rFonts w:ascii="Arial" w:hAnsi="Arial" w:cs="Arial"/>
              </w:rPr>
              <w:lastRenderedPageBreak/>
              <w:t>8.3</w:t>
            </w:r>
          </w:p>
        </w:tc>
        <w:tc>
          <w:tcPr>
            <w:tcW w:w="7875" w:type="dxa"/>
          </w:tcPr>
          <w:p w14:paraId="2B233E77" w14:textId="173B4178" w:rsidR="003A2A03" w:rsidRPr="001F7BB9" w:rsidRDefault="001F7BB9" w:rsidP="00995E00">
            <w:pPr>
              <w:pStyle w:val="Default"/>
            </w:pPr>
            <w:r>
              <w:t>H</w:t>
            </w:r>
            <w:r w:rsidR="001E096F" w:rsidRPr="001F7BB9">
              <w:t xml:space="preserve">e highlighted that while the organisational review delivered a range of benefits, examining whether ONR's structure and working practices promoted increased value for money and efficiency was outside the project's scope and therefore not specifically addressed. </w:t>
            </w:r>
            <w:r w:rsidR="00825783" w:rsidRPr="001F7BB9">
              <w:t xml:space="preserve">The proposed Value for Money (VfM) assessment is a forward-looking review and would not revisit the scope of the previous </w:t>
            </w:r>
            <w:r w:rsidR="00E52489" w:rsidRPr="001F7BB9">
              <w:t>o</w:t>
            </w:r>
            <w:r w:rsidR="00825783" w:rsidRPr="001F7BB9">
              <w:t xml:space="preserve">rganisational </w:t>
            </w:r>
            <w:r w:rsidR="00E52489" w:rsidRPr="001F7BB9">
              <w:t>r</w:t>
            </w:r>
            <w:r w:rsidR="00825783" w:rsidRPr="001F7BB9">
              <w:t xml:space="preserve">eview </w:t>
            </w:r>
            <w:r w:rsidR="00E52489" w:rsidRPr="001F7BB9">
              <w:t>p</w:t>
            </w:r>
            <w:r w:rsidR="00825783" w:rsidRPr="001F7BB9">
              <w:t>roject.</w:t>
            </w:r>
          </w:p>
          <w:p w14:paraId="5ACF7BA2" w14:textId="014F8632" w:rsidR="00B2545A" w:rsidRPr="001F7BB9" w:rsidRDefault="00B2545A" w:rsidP="00995E00">
            <w:pPr>
              <w:pStyle w:val="Default"/>
            </w:pPr>
          </w:p>
        </w:tc>
      </w:tr>
      <w:tr w:rsidR="0022432D" w:rsidRPr="001F7BB9" w14:paraId="459C5F1B" w14:textId="77777777" w:rsidTr="0022432D">
        <w:trPr>
          <w:trHeight w:val="399"/>
        </w:trPr>
        <w:tc>
          <w:tcPr>
            <w:tcW w:w="1141" w:type="dxa"/>
          </w:tcPr>
          <w:p w14:paraId="49773978" w14:textId="77777777" w:rsidR="0022432D" w:rsidRPr="001F7BB9" w:rsidRDefault="0022432D" w:rsidP="004E210C">
            <w:pPr>
              <w:tabs>
                <w:tab w:val="left" w:pos="5347"/>
              </w:tabs>
              <w:rPr>
                <w:rFonts w:ascii="Arial" w:hAnsi="Arial" w:cs="Arial"/>
              </w:rPr>
            </w:pPr>
          </w:p>
        </w:tc>
        <w:tc>
          <w:tcPr>
            <w:tcW w:w="7875" w:type="dxa"/>
          </w:tcPr>
          <w:p w14:paraId="4784F604" w14:textId="77777777" w:rsidR="0022432D" w:rsidRPr="001F7BB9" w:rsidRDefault="0022432D" w:rsidP="0022432D">
            <w:pPr>
              <w:pStyle w:val="Default"/>
            </w:pPr>
            <w:r w:rsidRPr="001F7BB9">
              <w:t>In discussion the Board:</w:t>
            </w:r>
          </w:p>
          <w:p w14:paraId="52DEDCE8" w14:textId="77777777" w:rsidR="0022432D" w:rsidRPr="001F7BB9" w:rsidRDefault="0022432D" w:rsidP="0022432D">
            <w:pPr>
              <w:pStyle w:val="Default"/>
            </w:pPr>
          </w:p>
          <w:p w14:paraId="4ACD87DF" w14:textId="77777777" w:rsidR="0022432D" w:rsidRPr="001F7BB9" w:rsidRDefault="0022432D" w:rsidP="0022432D">
            <w:pPr>
              <w:pStyle w:val="Default"/>
              <w:numPr>
                <w:ilvl w:val="1"/>
                <w:numId w:val="41"/>
              </w:numPr>
            </w:pPr>
            <w:r w:rsidRPr="001F7BB9">
              <w:t>Questioned whether there was a clear view on the cost of the study and the benefits it would realise.</w:t>
            </w:r>
          </w:p>
          <w:p w14:paraId="49E25CD0" w14:textId="77777777" w:rsidR="0022432D" w:rsidRPr="001F7BB9" w:rsidRDefault="0022432D" w:rsidP="0022432D">
            <w:pPr>
              <w:pStyle w:val="Default"/>
              <w:numPr>
                <w:ilvl w:val="1"/>
                <w:numId w:val="41"/>
              </w:numPr>
            </w:pPr>
            <w:r w:rsidRPr="001F7BB9">
              <w:t>Noted this was to close out conversations on the previous organisational review and look ahead, highlighting the mistake of labelling the previous review an organisational review when it was not focused on value for money and realising efficiencies, but was about addressing inequities in the organisation.</w:t>
            </w:r>
          </w:p>
          <w:p w14:paraId="0C0F797F" w14:textId="77777777" w:rsidR="0022432D" w:rsidRPr="001F7BB9" w:rsidRDefault="0022432D" w:rsidP="0022432D">
            <w:pPr>
              <w:pStyle w:val="Default"/>
              <w:numPr>
                <w:ilvl w:val="1"/>
                <w:numId w:val="41"/>
              </w:numPr>
            </w:pPr>
            <w:r w:rsidRPr="001F7BB9">
              <w:t>Noted that the proposed VfM study would determine whether ONR was the right size organisation, giving the right value and looking past capabilities. The approach would look at ONR’s statutory and non-statutory obligations and the enablers that allow ONR to deliver those effectively.</w:t>
            </w:r>
          </w:p>
          <w:p w14:paraId="48B4C01F" w14:textId="77777777" w:rsidR="0022432D" w:rsidRPr="001F7BB9" w:rsidRDefault="0022432D" w:rsidP="0022432D">
            <w:pPr>
              <w:pStyle w:val="Default"/>
              <w:numPr>
                <w:ilvl w:val="1"/>
                <w:numId w:val="41"/>
              </w:numPr>
            </w:pPr>
            <w:r w:rsidRPr="001F7BB9">
              <w:t>Highlighted that supply chain engagement would be key but noted the limits of public procurement rules which ONR were bound by.</w:t>
            </w:r>
          </w:p>
          <w:p w14:paraId="593B4DEF" w14:textId="77777777" w:rsidR="0022432D" w:rsidRPr="001F7BB9" w:rsidRDefault="0022432D" w:rsidP="0022432D">
            <w:pPr>
              <w:pStyle w:val="Default"/>
              <w:numPr>
                <w:ilvl w:val="1"/>
                <w:numId w:val="41"/>
              </w:numPr>
            </w:pPr>
            <w:r w:rsidRPr="001F7BB9">
              <w:t>Debated whether the VfM review could be carried out internally rather than outsourced. Board noted the benefits with outsourcing, and that the Finance Director had demonstrated the ability to commission a short, sharp piece of work with clear outputs and hold oversight of consultancy activity.</w:t>
            </w:r>
          </w:p>
          <w:p w14:paraId="5329C083" w14:textId="77777777" w:rsidR="0022432D" w:rsidRPr="001F7BB9" w:rsidRDefault="0022432D" w:rsidP="0022432D">
            <w:pPr>
              <w:pStyle w:val="Default"/>
              <w:numPr>
                <w:ilvl w:val="1"/>
                <w:numId w:val="41"/>
              </w:numPr>
            </w:pPr>
            <w:r w:rsidRPr="001F7BB9">
              <w:rPr>
                <w:noProof/>
              </w:rPr>
              <mc:AlternateContent>
                <mc:Choice Requires="wpi">
                  <w:drawing>
                    <wp:anchor distT="0" distB="0" distL="114300" distR="114300" simplePos="0" relativeHeight="251659264" behindDoc="0" locked="0" layoutInCell="1" allowOverlap="1" wp14:anchorId="39651F64" wp14:editId="7771FF9D">
                      <wp:simplePos x="0" y="0"/>
                      <wp:positionH relativeFrom="column">
                        <wp:posOffset>2288928</wp:posOffset>
                      </wp:positionH>
                      <wp:positionV relativeFrom="paragraph">
                        <wp:posOffset>65611</wp:posOffset>
                      </wp:positionV>
                      <wp:extent cx="35640" cy="23400"/>
                      <wp:effectExtent l="38100" t="38100" r="40640" b="53340"/>
                      <wp:wrapNone/>
                      <wp:docPr id="580911737"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5640" cy="23400"/>
                            </w14:xfrm>
                          </w14:contentPart>
                        </a:graphicData>
                      </a:graphic>
                    </wp:anchor>
                  </w:drawing>
                </mc:Choice>
                <mc:Fallback>
                  <w:pict>
                    <v:shapetype w14:anchorId="103BBD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79.75pt;margin-top:4.7pt;width:3.75pt;height:2.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">
                      <v:imagedata r:id="rId16" o:title=""/>
                    </v:shape>
                  </w:pict>
                </mc:Fallback>
              </mc:AlternateContent>
            </w:r>
            <w:r w:rsidRPr="001F7BB9">
              <w:t>Highlighted the benefits of an external contractor with broader experience coming into review ONR.</w:t>
            </w:r>
          </w:p>
          <w:p w14:paraId="03CB30A5" w14:textId="77777777" w:rsidR="0022432D" w:rsidRPr="001F7BB9" w:rsidRDefault="0022432D" w:rsidP="0022432D">
            <w:pPr>
              <w:pStyle w:val="Default"/>
              <w:numPr>
                <w:ilvl w:val="1"/>
                <w:numId w:val="41"/>
              </w:numPr>
            </w:pPr>
            <w:r w:rsidRPr="001F7BB9">
              <w:t>Noted that expenditure would need to proceed with caution if carried out.</w:t>
            </w:r>
          </w:p>
          <w:p w14:paraId="2515CF42" w14:textId="77777777" w:rsidR="0022432D" w:rsidRPr="001F7BB9" w:rsidRDefault="0022432D" w:rsidP="0022432D">
            <w:pPr>
              <w:pStyle w:val="Default"/>
              <w:numPr>
                <w:ilvl w:val="1"/>
                <w:numId w:val="41"/>
              </w:numPr>
            </w:pPr>
            <w:r w:rsidRPr="001F7BB9">
              <w:t>Questioned whether this was the right time for the review as uncertainty on the outputs of the Taskforce.</w:t>
            </w:r>
          </w:p>
          <w:p w14:paraId="50BCDBFC" w14:textId="77777777" w:rsidR="0022432D" w:rsidRPr="001F7BB9" w:rsidRDefault="0022432D" w:rsidP="0022432D">
            <w:pPr>
              <w:pStyle w:val="Default"/>
              <w:numPr>
                <w:ilvl w:val="1"/>
                <w:numId w:val="41"/>
              </w:numPr>
            </w:pPr>
            <w:r w:rsidRPr="001F7BB9">
              <w:t>Highlighted that ONR was currently in an uncertain period before a new strategy has been developed but that this work could link to a new strategic direction.</w:t>
            </w:r>
          </w:p>
          <w:p w14:paraId="7AAC8987" w14:textId="77777777" w:rsidR="0022432D" w:rsidRDefault="0022432D" w:rsidP="0022432D">
            <w:pPr>
              <w:pStyle w:val="Default"/>
              <w:numPr>
                <w:ilvl w:val="1"/>
                <w:numId w:val="41"/>
              </w:numPr>
            </w:pPr>
            <w:r w:rsidRPr="001F7BB9">
              <w:t xml:space="preserve">Highlighted the need to softly land this work and link to the funding options work, and categorise work under the umbrella of funding options. This would help ONR to </w:t>
            </w:r>
            <w:r w:rsidRPr="001F7BB9">
              <w:lastRenderedPageBreak/>
              <w:t>understand the veins from where efficiencies could be mined.</w:t>
            </w:r>
          </w:p>
          <w:p w14:paraId="4DCC6B1D" w14:textId="77777777" w:rsidR="0022432D" w:rsidRDefault="0022432D" w:rsidP="0022432D">
            <w:pPr>
              <w:pStyle w:val="Default"/>
              <w:numPr>
                <w:ilvl w:val="1"/>
                <w:numId w:val="41"/>
              </w:numPr>
            </w:pPr>
            <w:r w:rsidRPr="0022432D">
              <w:t>Noted the open Board action for a three year financial plan would not be possible to achieve without a strategy in place. Highlighted that previous Board appetite for this work to be delivered at pace had been considered prior to the announcement of the current Nuclear Regulatory Taskforce.</w:t>
            </w:r>
          </w:p>
          <w:p w14:paraId="7DE497B1" w14:textId="37455A78" w:rsidR="0022432D" w:rsidRPr="0022432D" w:rsidRDefault="0022432D" w:rsidP="0022432D">
            <w:pPr>
              <w:pStyle w:val="Default"/>
              <w:ind w:left="1440"/>
            </w:pPr>
          </w:p>
        </w:tc>
      </w:tr>
      <w:tr w:rsidR="00537D03" w:rsidRPr="001F7BB9" w14:paraId="631D7B86" w14:textId="77777777" w:rsidTr="0022432D">
        <w:trPr>
          <w:trHeight w:val="399"/>
        </w:trPr>
        <w:tc>
          <w:tcPr>
            <w:tcW w:w="1141" w:type="dxa"/>
          </w:tcPr>
          <w:p w14:paraId="221C06B7" w14:textId="5530EB6E" w:rsidR="00537D03" w:rsidRPr="001F7BB9" w:rsidRDefault="00537D03" w:rsidP="004E210C">
            <w:pPr>
              <w:tabs>
                <w:tab w:val="left" w:pos="5347"/>
              </w:tabs>
              <w:rPr>
                <w:rFonts w:ascii="Arial" w:hAnsi="Arial" w:cs="Arial"/>
              </w:rPr>
            </w:pPr>
            <w:r w:rsidRPr="001F7BB9">
              <w:rPr>
                <w:rFonts w:ascii="Arial" w:hAnsi="Arial" w:cs="Arial"/>
              </w:rPr>
              <w:lastRenderedPageBreak/>
              <w:t>8.</w:t>
            </w:r>
            <w:r w:rsidR="0022432D">
              <w:rPr>
                <w:rFonts w:ascii="Arial" w:hAnsi="Arial" w:cs="Arial"/>
              </w:rPr>
              <w:t>4</w:t>
            </w:r>
          </w:p>
        </w:tc>
        <w:tc>
          <w:tcPr>
            <w:tcW w:w="7875" w:type="dxa"/>
          </w:tcPr>
          <w:p w14:paraId="7D18A8FB" w14:textId="7139470E" w:rsidR="00537D03" w:rsidRPr="001F7BB9" w:rsidRDefault="00537D03" w:rsidP="00537D03">
            <w:pPr>
              <w:pStyle w:val="Default"/>
            </w:pPr>
            <w:r w:rsidRPr="001F7BB9">
              <w:t>The Chair summed up the discussion and noted that the Board had been asked to note the report</w:t>
            </w:r>
            <w:r w:rsidR="00742D65" w:rsidRPr="001F7BB9">
              <w:t>;</w:t>
            </w:r>
            <w:r w:rsidRPr="001F7BB9">
              <w:t xml:space="preserve"> it would be for the Executive </w:t>
            </w:r>
            <w:r w:rsidR="00AD072B" w:rsidRPr="001F7BB9">
              <w:t>and S</w:t>
            </w:r>
            <w:r w:rsidR="00742D65" w:rsidRPr="001F7BB9">
              <w:t xml:space="preserve">enior </w:t>
            </w:r>
            <w:r w:rsidR="00AD072B" w:rsidRPr="001F7BB9">
              <w:t>L</w:t>
            </w:r>
            <w:r w:rsidR="00742D65" w:rsidRPr="001F7BB9">
              <w:t xml:space="preserve">eadership </w:t>
            </w:r>
            <w:r w:rsidR="00AD072B" w:rsidRPr="001F7BB9">
              <w:t>T</w:t>
            </w:r>
            <w:r w:rsidR="00742D65" w:rsidRPr="001F7BB9">
              <w:t>eam</w:t>
            </w:r>
            <w:r w:rsidR="00AD072B" w:rsidRPr="001F7BB9">
              <w:t xml:space="preserve"> </w:t>
            </w:r>
            <w:r w:rsidR="00F07450" w:rsidRPr="001F7BB9">
              <w:t xml:space="preserve">(SLT) </w:t>
            </w:r>
            <w:r w:rsidRPr="001F7BB9">
              <w:t>to take a decision on whether to proceed with the piece of work, noting the comments from Board on timetable and whether this was the right time for the work to take place. The Chair asked the CE/CNI to return to the Board with a timeline of activity for the next twelve months</w:t>
            </w:r>
            <w:r w:rsidR="00742D65" w:rsidRPr="001F7BB9">
              <w:t xml:space="preserve"> and </w:t>
            </w:r>
            <w:r w:rsidRPr="001F7BB9">
              <w:t>a roadmap of priorities</w:t>
            </w:r>
            <w:r w:rsidR="00AD072B" w:rsidRPr="001F7BB9">
              <w:t xml:space="preserve"> for ONR</w:t>
            </w:r>
            <w:r w:rsidRPr="001F7BB9">
              <w:t>.</w:t>
            </w:r>
          </w:p>
          <w:p w14:paraId="619C598C" w14:textId="0AE1C336" w:rsidR="001904DC" w:rsidRPr="001F7BB9" w:rsidRDefault="001904DC" w:rsidP="001904DC">
            <w:pPr>
              <w:pStyle w:val="Default"/>
              <w:jc w:val="right"/>
              <w:rPr>
                <w:b/>
              </w:rPr>
            </w:pPr>
            <w:r w:rsidRPr="001F7BB9">
              <w:rPr>
                <w:b/>
              </w:rPr>
              <w:t>Action: CE/CNI to develop a roadmap of key milestones and activity for the next 12 months with the ONR Board.</w:t>
            </w:r>
          </w:p>
          <w:p w14:paraId="283A6410" w14:textId="77777777" w:rsidR="00537D03" w:rsidRPr="001F7BB9" w:rsidRDefault="00537D03" w:rsidP="004E210C">
            <w:pPr>
              <w:tabs>
                <w:tab w:val="left" w:pos="5347"/>
              </w:tabs>
              <w:rPr>
                <w:rFonts w:ascii="Arial" w:hAnsi="Arial" w:cs="Arial"/>
                <w:b/>
              </w:rPr>
            </w:pPr>
          </w:p>
        </w:tc>
      </w:tr>
      <w:tr w:rsidR="009A30EB" w:rsidRPr="001F7BB9" w14:paraId="759ED66C" w14:textId="77777777" w:rsidTr="0022432D">
        <w:trPr>
          <w:trHeight w:val="399"/>
        </w:trPr>
        <w:tc>
          <w:tcPr>
            <w:tcW w:w="1141" w:type="dxa"/>
          </w:tcPr>
          <w:p w14:paraId="46040A78" w14:textId="5C92174E" w:rsidR="009A30EB" w:rsidRPr="001F7BB9" w:rsidRDefault="009A30EB" w:rsidP="004E210C">
            <w:pPr>
              <w:tabs>
                <w:tab w:val="left" w:pos="5347"/>
              </w:tabs>
              <w:rPr>
                <w:rFonts w:ascii="Arial" w:hAnsi="Arial" w:cs="Arial"/>
              </w:rPr>
            </w:pPr>
            <w:r w:rsidRPr="001F7BB9">
              <w:rPr>
                <w:rFonts w:ascii="Arial" w:hAnsi="Arial" w:cs="Arial"/>
              </w:rPr>
              <w:t>9.</w:t>
            </w:r>
          </w:p>
        </w:tc>
        <w:tc>
          <w:tcPr>
            <w:tcW w:w="7875" w:type="dxa"/>
          </w:tcPr>
          <w:p w14:paraId="6B9500F9" w14:textId="77777777" w:rsidR="009A30EB" w:rsidRPr="001F7BB9" w:rsidRDefault="009A30EB" w:rsidP="009A30EB">
            <w:pPr>
              <w:tabs>
                <w:tab w:val="left" w:pos="851"/>
              </w:tabs>
              <w:ind w:right="-766"/>
              <w:rPr>
                <w:rFonts w:ascii="Arial" w:hAnsi="Arial" w:cs="Arial"/>
                <w:b/>
                <w:bCs/>
                <w:iCs/>
              </w:rPr>
            </w:pPr>
            <w:r w:rsidRPr="001F7BB9">
              <w:rPr>
                <w:rFonts w:ascii="Arial" w:hAnsi="Arial" w:cs="Arial"/>
                <w:b/>
                <w:bCs/>
                <w:iCs/>
              </w:rPr>
              <w:t xml:space="preserve">2025 Pay Offer </w:t>
            </w:r>
          </w:p>
          <w:p w14:paraId="241285AC" w14:textId="77777777" w:rsidR="009A30EB" w:rsidRPr="001F7BB9" w:rsidRDefault="009A30EB" w:rsidP="00537D03">
            <w:pPr>
              <w:pStyle w:val="Default"/>
            </w:pPr>
          </w:p>
        </w:tc>
      </w:tr>
      <w:tr w:rsidR="009A30EB" w:rsidRPr="001F7BB9" w14:paraId="1008CFB7" w14:textId="77777777" w:rsidTr="00D4484E">
        <w:trPr>
          <w:trHeight w:val="399"/>
        </w:trPr>
        <w:tc>
          <w:tcPr>
            <w:tcW w:w="1141" w:type="dxa"/>
          </w:tcPr>
          <w:p w14:paraId="7A38314C" w14:textId="16A280B8" w:rsidR="009A30EB" w:rsidRPr="001F7BB9" w:rsidRDefault="00FE5C60" w:rsidP="004E210C">
            <w:pPr>
              <w:tabs>
                <w:tab w:val="left" w:pos="5347"/>
              </w:tabs>
              <w:rPr>
                <w:rFonts w:ascii="Arial" w:hAnsi="Arial" w:cs="Arial"/>
              </w:rPr>
            </w:pPr>
            <w:r w:rsidRPr="001F7BB9">
              <w:rPr>
                <w:rFonts w:ascii="Arial" w:hAnsi="Arial" w:cs="Arial"/>
              </w:rPr>
              <w:t>9.1</w:t>
            </w:r>
          </w:p>
        </w:tc>
        <w:tc>
          <w:tcPr>
            <w:tcW w:w="7875" w:type="dxa"/>
          </w:tcPr>
          <w:p w14:paraId="58C81CE1" w14:textId="061351C6" w:rsidR="009A30EB" w:rsidRPr="001F7BB9" w:rsidRDefault="00FE5C60" w:rsidP="00687363">
            <w:pPr>
              <w:spacing w:after="160" w:line="259" w:lineRule="auto"/>
              <w:rPr>
                <w:rFonts w:ascii="Arial" w:hAnsi="Arial" w:cs="Arial"/>
                <w:bCs/>
              </w:rPr>
            </w:pPr>
            <w:r w:rsidRPr="001F7BB9">
              <w:rPr>
                <w:rFonts w:ascii="Arial" w:hAnsi="Arial" w:cs="Arial"/>
                <w:bCs/>
              </w:rPr>
              <w:t xml:space="preserve">The HR Director introduced the paper which set out the context around the 2025 </w:t>
            </w:r>
            <w:r w:rsidR="00BD7723" w:rsidRPr="001F7BB9">
              <w:rPr>
                <w:rFonts w:ascii="Arial" w:hAnsi="Arial" w:cs="Arial"/>
                <w:bCs/>
              </w:rPr>
              <w:t>p</w:t>
            </w:r>
            <w:r w:rsidRPr="001F7BB9">
              <w:rPr>
                <w:rFonts w:ascii="Arial" w:hAnsi="Arial" w:cs="Arial"/>
                <w:bCs/>
              </w:rPr>
              <w:t xml:space="preserve">ay </w:t>
            </w:r>
            <w:r w:rsidR="00BD7723" w:rsidRPr="001F7BB9">
              <w:rPr>
                <w:rFonts w:ascii="Arial" w:hAnsi="Arial" w:cs="Arial"/>
                <w:bCs/>
              </w:rPr>
              <w:t>o</w:t>
            </w:r>
            <w:r w:rsidRPr="001F7BB9">
              <w:rPr>
                <w:rFonts w:ascii="Arial" w:hAnsi="Arial" w:cs="Arial"/>
                <w:bCs/>
              </w:rPr>
              <w:t xml:space="preserve">ffer and sought agreement on how ONR will progress negotiations with ONR’s recognised Trade Unions (TU), Prospect and </w:t>
            </w:r>
            <w:r w:rsidR="00742D65" w:rsidRPr="001F7BB9">
              <w:rPr>
                <w:rFonts w:ascii="Arial" w:hAnsi="Arial" w:cs="Arial"/>
                <w:bCs/>
              </w:rPr>
              <w:t>the Public and Commercial Services Union (</w:t>
            </w:r>
            <w:r w:rsidRPr="001F7BB9">
              <w:rPr>
                <w:rFonts w:ascii="Arial" w:hAnsi="Arial" w:cs="Arial"/>
                <w:bCs/>
              </w:rPr>
              <w:t>PCS</w:t>
            </w:r>
            <w:r w:rsidR="00742D65" w:rsidRPr="001F7BB9">
              <w:rPr>
                <w:rFonts w:ascii="Arial" w:hAnsi="Arial" w:cs="Arial"/>
                <w:bCs/>
              </w:rPr>
              <w:t>)</w:t>
            </w:r>
            <w:r w:rsidRPr="001F7BB9">
              <w:rPr>
                <w:rFonts w:ascii="Arial" w:hAnsi="Arial" w:cs="Arial"/>
                <w:bCs/>
              </w:rPr>
              <w:t>.</w:t>
            </w:r>
          </w:p>
        </w:tc>
      </w:tr>
      <w:tr w:rsidR="009A30EB" w:rsidRPr="001F7BB9" w14:paraId="66AFFAB0" w14:textId="77777777" w:rsidTr="00D4484E">
        <w:trPr>
          <w:trHeight w:val="399"/>
        </w:trPr>
        <w:tc>
          <w:tcPr>
            <w:tcW w:w="1141" w:type="dxa"/>
          </w:tcPr>
          <w:p w14:paraId="165820CD" w14:textId="0475D294" w:rsidR="009A30EB" w:rsidRPr="001F7BB9" w:rsidRDefault="00687363" w:rsidP="004E210C">
            <w:pPr>
              <w:tabs>
                <w:tab w:val="left" w:pos="5347"/>
              </w:tabs>
              <w:rPr>
                <w:rFonts w:ascii="Arial" w:hAnsi="Arial" w:cs="Arial"/>
              </w:rPr>
            </w:pPr>
            <w:r w:rsidRPr="001F7BB9">
              <w:rPr>
                <w:rFonts w:ascii="Arial" w:hAnsi="Arial" w:cs="Arial"/>
              </w:rPr>
              <w:t>9.2</w:t>
            </w:r>
          </w:p>
        </w:tc>
        <w:tc>
          <w:tcPr>
            <w:tcW w:w="7875" w:type="dxa"/>
          </w:tcPr>
          <w:p w14:paraId="371C1AFC" w14:textId="77777777" w:rsidR="00687363" w:rsidRPr="001F7BB9" w:rsidRDefault="00687363" w:rsidP="00687363">
            <w:pPr>
              <w:spacing w:after="160" w:line="259" w:lineRule="auto"/>
              <w:rPr>
                <w:rFonts w:ascii="Arial" w:hAnsi="Arial" w:cs="Arial"/>
                <w:bCs/>
              </w:rPr>
            </w:pPr>
            <w:r w:rsidRPr="001F7BB9">
              <w:rPr>
                <w:rFonts w:ascii="Arial" w:hAnsi="Arial" w:cs="Arial"/>
                <w:bCs/>
              </w:rPr>
              <w:t>In discussion the Board:</w:t>
            </w:r>
          </w:p>
          <w:p w14:paraId="4C43F742" w14:textId="77777777" w:rsidR="00687363" w:rsidRPr="001F7BB9" w:rsidRDefault="00687363" w:rsidP="00687363">
            <w:pPr>
              <w:pStyle w:val="ListParagraph"/>
              <w:numPr>
                <w:ilvl w:val="0"/>
                <w:numId w:val="42"/>
              </w:numPr>
              <w:spacing w:after="160" w:line="259" w:lineRule="auto"/>
              <w:rPr>
                <w:rFonts w:ascii="Arial" w:hAnsi="Arial" w:cs="Arial"/>
                <w:bCs/>
              </w:rPr>
            </w:pPr>
            <w:r w:rsidRPr="001F7BB9">
              <w:rPr>
                <w:rFonts w:ascii="Arial" w:hAnsi="Arial" w:cs="Arial"/>
                <w:bCs/>
              </w:rPr>
              <w:t>Questioned when the DWP pay remit would be published and formalised.</w:t>
            </w:r>
          </w:p>
          <w:p w14:paraId="66718447" w14:textId="19866450" w:rsidR="00687363" w:rsidRPr="001F7BB9" w:rsidRDefault="00687363" w:rsidP="00687363">
            <w:pPr>
              <w:pStyle w:val="ListParagraph"/>
              <w:numPr>
                <w:ilvl w:val="0"/>
                <w:numId w:val="42"/>
              </w:numPr>
              <w:spacing w:after="160" w:line="259" w:lineRule="auto"/>
              <w:rPr>
                <w:rFonts w:ascii="Arial" w:hAnsi="Arial" w:cs="Arial"/>
                <w:bCs/>
              </w:rPr>
            </w:pPr>
            <w:r w:rsidRPr="001F7BB9">
              <w:rPr>
                <w:rFonts w:ascii="Arial" w:hAnsi="Arial" w:cs="Arial"/>
                <w:bCs/>
              </w:rPr>
              <w:t>Questioned why the proposed offer went above the amount agreed in the 2024-25 budget</w:t>
            </w:r>
            <w:r w:rsidR="00AB3CC5" w:rsidRPr="001F7BB9">
              <w:rPr>
                <w:rFonts w:ascii="Arial" w:hAnsi="Arial" w:cs="Arial"/>
                <w:bCs/>
              </w:rPr>
              <w:t>, the amount equating to 2.8%</w:t>
            </w:r>
            <w:r w:rsidR="0005117F" w:rsidRPr="001F7BB9">
              <w:rPr>
                <w:rFonts w:ascii="Arial" w:hAnsi="Arial" w:cs="Arial"/>
                <w:bCs/>
              </w:rPr>
              <w:t>.</w:t>
            </w:r>
          </w:p>
          <w:p w14:paraId="2BEC87D0" w14:textId="17BE036B" w:rsidR="00687363" w:rsidRPr="001F7BB9" w:rsidRDefault="00687363" w:rsidP="00687363">
            <w:pPr>
              <w:pStyle w:val="ListParagraph"/>
              <w:numPr>
                <w:ilvl w:val="0"/>
                <w:numId w:val="42"/>
              </w:numPr>
              <w:spacing w:after="160" w:line="259" w:lineRule="auto"/>
              <w:rPr>
                <w:rFonts w:ascii="Arial" w:hAnsi="Arial" w:cs="Arial"/>
                <w:bCs/>
              </w:rPr>
            </w:pPr>
            <w:r w:rsidRPr="001F7BB9">
              <w:rPr>
                <w:rFonts w:ascii="Arial" w:hAnsi="Arial" w:cs="Arial"/>
                <w:bCs/>
              </w:rPr>
              <w:t xml:space="preserve">Noted the need to start speaking with </w:t>
            </w:r>
            <w:r w:rsidR="00742D65" w:rsidRPr="001F7BB9">
              <w:rPr>
                <w:rFonts w:ascii="Arial" w:hAnsi="Arial" w:cs="Arial"/>
                <w:bCs/>
              </w:rPr>
              <w:t>the TUs</w:t>
            </w:r>
            <w:r w:rsidRPr="001F7BB9">
              <w:rPr>
                <w:rFonts w:ascii="Arial" w:hAnsi="Arial" w:cs="Arial"/>
                <w:bCs/>
              </w:rPr>
              <w:t xml:space="preserve"> as planned and in advance of pay remit guidance. This has been standard practice for ONR in previous years, </w:t>
            </w:r>
            <w:r w:rsidR="00742D65" w:rsidRPr="001F7BB9">
              <w:rPr>
                <w:rFonts w:ascii="Arial" w:hAnsi="Arial" w:cs="Arial"/>
                <w:bCs/>
              </w:rPr>
              <w:t>given that</w:t>
            </w:r>
            <w:r w:rsidRPr="001F7BB9">
              <w:rPr>
                <w:rFonts w:ascii="Arial" w:hAnsi="Arial" w:cs="Arial"/>
                <w:bCs/>
              </w:rPr>
              <w:t xml:space="preserve"> the organisation </w:t>
            </w:r>
            <w:r w:rsidR="00742D65" w:rsidRPr="001F7BB9">
              <w:rPr>
                <w:rFonts w:ascii="Arial" w:hAnsi="Arial" w:cs="Arial"/>
                <w:bCs/>
              </w:rPr>
              <w:t xml:space="preserve">has pay freedoms </w:t>
            </w:r>
            <w:r w:rsidRPr="001F7BB9">
              <w:rPr>
                <w:rFonts w:ascii="Arial" w:hAnsi="Arial" w:cs="Arial"/>
                <w:bCs/>
              </w:rPr>
              <w:t>but</w:t>
            </w:r>
            <w:r w:rsidR="00F07450" w:rsidRPr="001F7BB9">
              <w:rPr>
                <w:rFonts w:ascii="Arial" w:hAnsi="Arial" w:cs="Arial"/>
                <w:bCs/>
              </w:rPr>
              <w:t xml:space="preserve"> is</w:t>
            </w:r>
            <w:r w:rsidRPr="001F7BB9">
              <w:rPr>
                <w:rFonts w:ascii="Arial" w:hAnsi="Arial" w:cs="Arial"/>
                <w:bCs/>
              </w:rPr>
              <w:t xml:space="preserve"> informed by the DWP remit and timeframes.</w:t>
            </w:r>
          </w:p>
          <w:p w14:paraId="4DEF0C19" w14:textId="3C00778C" w:rsidR="009A30EB" w:rsidRPr="001F7BB9" w:rsidRDefault="00687363" w:rsidP="00687363">
            <w:pPr>
              <w:pStyle w:val="ListParagraph"/>
              <w:numPr>
                <w:ilvl w:val="0"/>
                <w:numId w:val="42"/>
              </w:numPr>
              <w:spacing w:after="160" w:line="259" w:lineRule="auto"/>
              <w:rPr>
                <w:rFonts w:ascii="Arial" w:hAnsi="Arial" w:cs="Arial"/>
                <w:bCs/>
              </w:rPr>
            </w:pPr>
            <w:r w:rsidRPr="001F7BB9">
              <w:rPr>
                <w:rFonts w:ascii="Arial" w:hAnsi="Arial" w:cs="Arial"/>
                <w:bCs/>
              </w:rPr>
              <w:t>Noted the 1.2% for competency pay progression that had been agreed in the budget.</w:t>
            </w:r>
          </w:p>
        </w:tc>
      </w:tr>
      <w:tr w:rsidR="009A30EB" w:rsidRPr="001F7BB9" w14:paraId="3B6D83D3" w14:textId="77777777" w:rsidTr="00D4484E">
        <w:trPr>
          <w:trHeight w:val="399"/>
        </w:trPr>
        <w:tc>
          <w:tcPr>
            <w:tcW w:w="1141" w:type="dxa"/>
          </w:tcPr>
          <w:p w14:paraId="08312974" w14:textId="5C215572" w:rsidR="009A30EB" w:rsidRPr="001F7BB9" w:rsidRDefault="00687363" w:rsidP="004E210C">
            <w:pPr>
              <w:tabs>
                <w:tab w:val="left" w:pos="5347"/>
              </w:tabs>
              <w:rPr>
                <w:rFonts w:ascii="Arial" w:hAnsi="Arial" w:cs="Arial"/>
              </w:rPr>
            </w:pPr>
            <w:r w:rsidRPr="001F7BB9">
              <w:rPr>
                <w:rFonts w:ascii="Arial" w:hAnsi="Arial" w:cs="Arial"/>
              </w:rPr>
              <w:t>9.3</w:t>
            </w:r>
          </w:p>
        </w:tc>
        <w:tc>
          <w:tcPr>
            <w:tcW w:w="7875" w:type="dxa"/>
          </w:tcPr>
          <w:p w14:paraId="5D5D4201" w14:textId="18EAA000" w:rsidR="00135637" w:rsidRPr="001F7BB9" w:rsidRDefault="00135637" w:rsidP="00135637">
            <w:pPr>
              <w:rPr>
                <w:rFonts w:ascii="Arial" w:hAnsi="Arial" w:cs="Arial"/>
                <w:bCs/>
              </w:rPr>
            </w:pPr>
            <w:r w:rsidRPr="001F7BB9">
              <w:rPr>
                <w:rFonts w:ascii="Arial" w:hAnsi="Arial" w:cs="Arial"/>
                <w:bCs/>
              </w:rPr>
              <w:t xml:space="preserve">The Board agreed that a fuller discussion at the </w:t>
            </w:r>
            <w:r w:rsidR="00742D65" w:rsidRPr="001F7BB9">
              <w:rPr>
                <w:rFonts w:ascii="Arial" w:hAnsi="Arial" w:cs="Arial"/>
                <w:bCs/>
              </w:rPr>
              <w:t>Remuneration and Resilience Committee (</w:t>
            </w:r>
            <w:r w:rsidRPr="001F7BB9">
              <w:rPr>
                <w:rFonts w:ascii="Arial" w:hAnsi="Arial" w:cs="Arial"/>
                <w:bCs/>
              </w:rPr>
              <w:t>RRC</w:t>
            </w:r>
            <w:r w:rsidR="00742D65" w:rsidRPr="001F7BB9">
              <w:rPr>
                <w:rFonts w:ascii="Arial" w:hAnsi="Arial" w:cs="Arial"/>
                <w:bCs/>
              </w:rPr>
              <w:t>)</w:t>
            </w:r>
            <w:r w:rsidRPr="001F7BB9">
              <w:rPr>
                <w:rFonts w:ascii="Arial" w:hAnsi="Arial" w:cs="Arial"/>
                <w:bCs/>
              </w:rPr>
              <w:t xml:space="preserve"> would be needed </w:t>
            </w:r>
            <w:r w:rsidR="00742D65" w:rsidRPr="001F7BB9">
              <w:rPr>
                <w:rFonts w:ascii="Arial" w:hAnsi="Arial" w:cs="Arial"/>
                <w:bCs/>
              </w:rPr>
              <w:t xml:space="preserve">and </w:t>
            </w:r>
            <w:r w:rsidRPr="001F7BB9">
              <w:rPr>
                <w:rFonts w:ascii="Arial" w:hAnsi="Arial" w:cs="Arial"/>
                <w:bCs/>
              </w:rPr>
              <w:t>the pay offer would be delegated to RRC for approval.</w:t>
            </w:r>
            <w:r w:rsidR="00B2545A" w:rsidRPr="001F7BB9">
              <w:rPr>
                <w:rStyle w:val="FootnoteReference"/>
                <w:rFonts w:ascii="Arial" w:hAnsi="Arial" w:cs="Arial"/>
                <w:bCs/>
              </w:rPr>
              <w:footnoteReference w:id="4"/>
            </w:r>
          </w:p>
          <w:p w14:paraId="610FEFC0" w14:textId="28E13221" w:rsidR="009A30EB" w:rsidRPr="001F7BB9" w:rsidRDefault="009A30EB" w:rsidP="00537D03">
            <w:pPr>
              <w:pStyle w:val="Default"/>
            </w:pPr>
          </w:p>
        </w:tc>
      </w:tr>
      <w:tr w:rsidR="009A30EB" w:rsidRPr="001F7BB9" w14:paraId="759E7551" w14:textId="77777777" w:rsidTr="00D4484E">
        <w:trPr>
          <w:trHeight w:val="399"/>
        </w:trPr>
        <w:tc>
          <w:tcPr>
            <w:tcW w:w="1141" w:type="dxa"/>
          </w:tcPr>
          <w:p w14:paraId="7DDB7F42" w14:textId="42E72C9A" w:rsidR="009A30EB" w:rsidRPr="001F7BB9" w:rsidRDefault="00135637" w:rsidP="004E210C">
            <w:pPr>
              <w:tabs>
                <w:tab w:val="left" w:pos="5347"/>
              </w:tabs>
              <w:rPr>
                <w:rFonts w:ascii="Arial" w:hAnsi="Arial" w:cs="Arial"/>
              </w:rPr>
            </w:pPr>
            <w:r w:rsidRPr="001F7BB9">
              <w:rPr>
                <w:rFonts w:ascii="Arial" w:hAnsi="Arial" w:cs="Arial"/>
              </w:rPr>
              <w:t>10.</w:t>
            </w:r>
          </w:p>
        </w:tc>
        <w:tc>
          <w:tcPr>
            <w:tcW w:w="7875" w:type="dxa"/>
          </w:tcPr>
          <w:p w14:paraId="6312098F" w14:textId="77777777" w:rsidR="008C2123" w:rsidRPr="001F7BB9" w:rsidRDefault="008C2123" w:rsidP="008C2123">
            <w:pPr>
              <w:tabs>
                <w:tab w:val="left" w:pos="5347"/>
              </w:tabs>
              <w:rPr>
                <w:rFonts w:ascii="Arial" w:hAnsi="Arial" w:cs="Arial"/>
                <w:b/>
              </w:rPr>
            </w:pPr>
            <w:r w:rsidRPr="001F7BB9">
              <w:rPr>
                <w:rFonts w:ascii="Arial" w:hAnsi="Arial" w:cs="Arial"/>
                <w:b/>
              </w:rPr>
              <w:t>Check-in Survey High-Level Results 2025</w:t>
            </w:r>
          </w:p>
          <w:p w14:paraId="68ADFBB6" w14:textId="77777777" w:rsidR="009A30EB" w:rsidRPr="001F7BB9" w:rsidRDefault="009A30EB" w:rsidP="00537D03">
            <w:pPr>
              <w:pStyle w:val="Default"/>
            </w:pPr>
          </w:p>
        </w:tc>
      </w:tr>
      <w:tr w:rsidR="009A30EB" w:rsidRPr="001F7BB9" w14:paraId="788955F1" w14:textId="77777777" w:rsidTr="00D4484E">
        <w:trPr>
          <w:trHeight w:val="399"/>
        </w:trPr>
        <w:tc>
          <w:tcPr>
            <w:tcW w:w="1141" w:type="dxa"/>
          </w:tcPr>
          <w:p w14:paraId="5B079C76" w14:textId="121F36EE" w:rsidR="009A30EB" w:rsidRPr="001F7BB9" w:rsidRDefault="008C2123" w:rsidP="004E210C">
            <w:pPr>
              <w:tabs>
                <w:tab w:val="left" w:pos="5347"/>
              </w:tabs>
              <w:rPr>
                <w:rFonts w:ascii="Arial" w:hAnsi="Arial" w:cs="Arial"/>
              </w:rPr>
            </w:pPr>
            <w:r w:rsidRPr="001F7BB9">
              <w:rPr>
                <w:rFonts w:ascii="Arial" w:hAnsi="Arial" w:cs="Arial"/>
              </w:rPr>
              <w:t>10.1</w:t>
            </w:r>
          </w:p>
        </w:tc>
        <w:tc>
          <w:tcPr>
            <w:tcW w:w="7875" w:type="dxa"/>
          </w:tcPr>
          <w:p w14:paraId="657C98C5" w14:textId="6F95DD62" w:rsidR="00D60239" w:rsidRPr="001F7BB9" w:rsidRDefault="00D60239" w:rsidP="00D60239">
            <w:pPr>
              <w:tabs>
                <w:tab w:val="left" w:pos="5347"/>
              </w:tabs>
              <w:rPr>
                <w:rFonts w:ascii="Arial" w:hAnsi="Arial" w:cs="Arial"/>
                <w:bCs/>
              </w:rPr>
            </w:pPr>
            <w:r w:rsidRPr="001F7BB9">
              <w:rPr>
                <w:rFonts w:ascii="Arial" w:hAnsi="Arial" w:cs="Arial"/>
                <w:bCs/>
              </w:rPr>
              <w:t>The HR Director introduced the item which introduced high-level findings for the 2025 staff Check-in Survey.</w:t>
            </w:r>
          </w:p>
          <w:p w14:paraId="4E0A3468" w14:textId="77777777" w:rsidR="009A30EB" w:rsidRPr="001F7BB9" w:rsidRDefault="009A30EB" w:rsidP="00537D03">
            <w:pPr>
              <w:pStyle w:val="Default"/>
            </w:pPr>
          </w:p>
        </w:tc>
      </w:tr>
      <w:tr w:rsidR="009A30EB" w:rsidRPr="001F7BB9" w14:paraId="407DABDD" w14:textId="77777777" w:rsidTr="00D4484E">
        <w:trPr>
          <w:trHeight w:val="399"/>
        </w:trPr>
        <w:tc>
          <w:tcPr>
            <w:tcW w:w="1141" w:type="dxa"/>
          </w:tcPr>
          <w:p w14:paraId="47B2E86D" w14:textId="54EA8E1F" w:rsidR="009A30EB" w:rsidRPr="001F7BB9" w:rsidRDefault="00FE1B2A" w:rsidP="004E210C">
            <w:pPr>
              <w:tabs>
                <w:tab w:val="left" w:pos="5347"/>
              </w:tabs>
              <w:rPr>
                <w:rFonts w:ascii="Arial" w:hAnsi="Arial" w:cs="Arial"/>
              </w:rPr>
            </w:pPr>
            <w:r w:rsidRPr="001F7BB9">
              <w:rPr>
                <w:rFonts w:ascii="Arial" w:hAnsi="Arial" w:cs="Arial"/>
              </w:rPr>
              <w:lastRenderedPageBreak/>
              <w:t>10.2</w:t>
            </w:r>
          </w:p>
        </w:tc>
        <w:tc>
          <w:tcPr>
            <w:tcW w:w="7875" w:type="dxa"/>
          </w:tcPr>
          <w:p w14:paraId="455B1D0B" w14:textId="7B31EFCE" w:rsidR="00FE1B2A" w:rsidRPr="001F7BB9" w:rsidRDefault="00FE1B2A" w:rsidP="00FE1B2A">
            <w:pPr>
              <w:tabs>
                <w:tab w:val="left" w:pos="5347"/>
              </w:tabs>
              <w:rPr>
                <w:rFonts w:ascii="Arial" w:hAnsi="Arial" w:cs="Arial"/>
                <w:bCs/>
              </w:rPr>
            </w:pPr>
            <w:r w:rsidRPr="001F7BB9">
              <w:rPr>
                <w:rFonts w:ascii="Arial" w:hAnsi="Arial" w:cs="Arial"/>
                <w:bCs/>
              </w:rPr>
              <w:t>He noted the high response rate from staff</w:t>
            </w:r>
            <w:r w:rsidR="00DE7FC6" w:rsidRPr="001F7BB9">
              <w:rPr>
                <w:rFonts w:ascii="Arial" w:hAnsi="Arial" w:cs="Arial"/>
                <w:bCs/>
              </w:rPr>
              <w:t xml:space="preserve"> of</w:t>
            </w:r>
            <w:r w:rsidRPr="001F7BB9">
              <w:rPr>
                <w:rFonts w:ascii="Arial" w:hAnsi="Arial" w:cs="Arial"/>
                <w:bCs/>
              </w:rPr>
              <w:t xml:space="preserve"> 85%</w:t>
            </w:r>
            <w:r w:rsidR="00DE7FC6" w:rsidRPr="001F7BB9">
              <w:rPr>
                <w:rFonts w:ascii="Arial" w:hAnsi="Arial" w:cs="Arial"/>
                <w:bCs/>
              </w:rPr>
              <w:t xml:space="preserve"> which</w:t>
            </w:r>
            <w:r w:rsidRPr="001F7BB9">
              <w:rPr>
                <w:rFonts w:ascii="Arial" w:hAnsi="Arial" w:cs="Arial"/>
                <w:bCs/>
              </w:rPr>
              <w:t xml:space="preserve"> was in line with the response rate achieved in 2022 and was significantly higher than the latest Civil Service survey response rate of 61% (2024). He highlighted that ONR’s performance </w:t>
            </w:r>
            <w:r w:rsidR="00DE7FC6" w:rsidRPr="001F7BB9">
              <w:rPr>
                <w:rFonts w:ascii="Arial" w:hAnsi="Arial" w:cs="Arial"/>
                <w:bCs/>
              </w:rPr>
              <w:t xml:space="preserve">was strong </w:t>
            </w:r>
            <w:r w:rsidRPr="001F7BB9">
              <w:rPr>
                <w:rFonts w:ascii="Arial" w:hAnsi="Arial" w:cs="Arial"/>
                <w:bCs/>
              </w:rPr>
              <w:t xml:space="preserve">compared to the public sector benchmark of the 2024 Civil Service People Survey (CSPS). Our </w:t>
            </w:r>
            <w:r w:rsidR="00B661F9" w:rsidRPr="001F7BB9">
              <w:rPr>
                <w:rFonts w:ascii="Arial" w:hAnsi="Arial" w:cs="Arial"/>
                <w:bCs/>
              </w:rPr>
              <w:t>e</w:t>
            </w:r>
            <w:r w:rsidRPr="001F7BB9">
              <w:rPr>
                <w:rFonts w:ascii="Arial" w:hAnsi="Arial" w:cs="Arial"/>
                <w:bCs/>
              </w:rPr>
              <w:t xml:space="preserve">ngagement </w:t>
            </w:r>
            <w:r w:rsidR="00B661F9" w:rsidRPr="001F7BB9">
              <w:rPr>
                <w:rFonts w:ascii="Arial" w:hAnsi="Arial" w:cs="Arial"/>
                <w:bCs/>
              </w:rPr>
              <w:t>i</w:t>
            </w:r>
            <w:r w:rsidRPr="001F7BB9">
              <w:rPr>
                <w:rFonts w:ascii="Arial" w:hAnsi="Arial" w:cs="Arial"/>
                <w:bCs/>
              </w:rPr>
              <w:t>ndex score was 71, which is 7 points higher than the latest comparable CSPS engagement index score of 64 (2024).</w:t>
            </w:r>
          </w:p>
          <w:p w14:paraId="358B6A66" w14:textId="77777777" w:rsidR="009A30EB" w:rsidRPr="001F7BB9" w:rsidRDefault="009A30EB" w:rsidP="00537D03">
            <w:pPr>
              <w:pStyle w:val="Default"/>
            </w:pPr>
          </w:p>
        </w:tc>
      </w:tr>
      <w:tr w:rsidR="00FE1B2A" w:rsidRPr="001F7BB9" w14:paraId="76EC8031" w14:textId="77777777" w:rsidTr="00D4484E">
        <w:trPr>
          <w:trHeight w:val="399"/>
        </w:trPr>
        <w:tc>
          <w:tcPr>
            <w:tcW w:w="1141" w:type="dxa"/>
          </w:tcPr>
          <w:p w14:paraId="13E7A180" w14:textId="076E95C2" w:rsidR="00FE1B2A" w:rsidRPr="001F7BB9" w:rsidRDefault="00FE1B2A" w:rsidP="004E210C">
            <w:pPr>
              <w:tabs>
                <w:tab w:val="left" w:pos="5347"/>
              </w:tabs>
              <w:rPr>
                <w:rFonts w:ascii="Arial" w:hAnsi="Arial" w:cs="Arial"/>
              </w:rPr>
            </w:pPr>
            <w:r w:rsidRPr="001F7BB9">
              <w:rPr>
                <w:rFonts w:ascii="Arial" w:hAnsi="Arial" w:cs="Arial"/>
              </w:rPr>
              <w:t>10.3</w:t>
            </w:r>
          </w:p>
        </w:tc>
        <w:tc>
          <w:tcPr>
            <w:tcW w:w="7875" w:type="dxa"/>
          </w:tcPr>
          <w:p w14:paraId="4036B443" w14:textId="41E4295A" w:rsidR="00CF5283" w:rsidRPr="001F7BB9" w:rsidRDefault="00CF5283" w:rsidP="00CF5283">
            <w:pPr>
              <w:tabs>
                <w:tab w:val="left" w:pos="5347"/>
              </w:tabs>
              <w:rPr>
                <w:rFonts w:ascii="Arial" w:hAnsi="Arial" w:cs="Arial"/>
                <w:bCs/>
              </w:rPr>
            </w:pPr>
            <w:r w:rsidRPr="001F7BB9">
              <w:rPr>
                <w:rFonts w:ascii="Arial" w:hAnsi="Arial" w:cs="Arial"/>
                <w:bCs/>
              </w:rPr>
              <w:t>He highlighted ONR’s strengths relative to the 2024 Civil Service people survey benchmarks, which included strong feedback on line management within ONR and of the organisation’s learning and development offer.</w:t>
            </w:r>
            <w:r w:rsidR="000C75DB" w:rsidRPr="001F7BB9">
              <w:rPr>
                <w:rFonts w:ascii="Arial" w:hAnsi="Arial" w:cs="Arial"/>
                <w:bCs/>
              </w:rPr>
              <w:t xml:space="preserve"> ONR’s perceived weaknesses included career development and progression, alongside leadership visibility, strategic direction and change fatigue.</w:t>
            </w:r>
          </w:p>
          <w:p w14:paraId="382B79CD" w14:textId="77777777" w:rsidR="00FE1B2A" w:rsidRPr="001F7BB9" w:rsidRDefault="00FE1B2A" w:rsidP="00FE1B2A">
            <w:pPr>
              <w:tabs>
                <w:tab w:val="left" w:pos="5347"/>
              </w:tabs>
              <w:rPr>
                <w:rFonts w:ascii="Arial" w:hAnsi="Arial" w:cs="Arial"/>
                <w:bCs/>
              </w:rPr>
            </w:pPr>
          </w:p>
        </w:tc>
      </w:tr>
      <w:tr w:rsidR="00347A9B" w:rsidRPr="001F7BB9" w14:paraId="0504C10C" w14:textId="77777777" w:rsidTr="00D4484E">
        <w:trPr>
          <w:trHeight w:val="399"/>
        </w:trPr>
        <w:tc>
          <w:tcPr>
            <w:tcW w:w="1141" w:type="dxa"/>
          </w:tcPr>
          <w:p w14:paraId="1D685E29" w14:textId="164A17EA" w:rsidR="00347A9B" w:rsidRPr="001F7BB9" w:rsidRDefault="00964CF8" w:rsidP="004E210C">
            <w:pPr>
              <w:tabs>
                <w:tab w:val="left" w:pos="5347"/>
              </w:tabs>
              <w:rPr>
                <w:rFonts w:ascii="Arial" w:hAnsi="Arial" w:cs="Arial"/>
              </w:rPr>
            </w:pPr>
            <w:r w:rsidRPr="001F7BB9">
              <w:rPr>
                <w:rFonts w:ascii="Arial" w:hAnsi="Arial" w:cs="Arial"/>
              </w:rPr>
              <w:t>10.</w:t>
            </w:r>
            <w:r w:rsidR="000C75DB" w:rsidRPr="001F7BB9">
              <w:rPr>
                <w:rFonts w:ascii="Arial" w:hAnsi="Arial" w:cs="Arial"/>
              </w:rPr>
              <w:t>4</w:t>
            </w:r>
          </w:p>
        </w:tc>
        <w:tc>
          <w:tcPr>
            <w:tcW w:w="7875" w:type="dxa"/>
          </w:tcPr>
          <w:p w14:paraId="79290BE5" w14:textId="7D63ED44" w:rsidR="00964CF8" w:rsidRPr="001F7BB9" w:rsidRDefault="00964CF8" w:rsidP="00964CF8">
            <w:pPr>
              <w:tabs>
                <w:tab w:val="left" w:pos="5347"/>
              </w:tabs>
              <w:rPr>
                <w:rFonts w:asciiTheme="minorBidi" w:hAnsiTheme="minorBidi" w:cstheme="minorBidi"/>
                <w:bCs/>
              </w:rPr>
            </w:pPr>
            <w:r w:rsidRPr="001F7BB9">
              <w:rPr>
                <w:rFonts w:ascii="Arial" w:hAnsi="Arial" w:cs="Arial"/>
                <w:bCs/>
              </w:rPr>
              <w:t>He noted the next steps which would include working at a local level to provide detailed analysis by directorate</w:t>
            </w:r>
            <w:r w:rsidR="00DE7FC6" w:rsidRPr="001F7BB9">
              <w:rPr>
                <w:rFonts w:ascii="Arial" w:hAnsi="Arial" w:cs="Arial"/>
                <w:bCs/>
              </w:rPr>
              <w:t>,</w:t>
            </w:r>
            <w:r w:rsidRPr="001F7BB9">
              <w:rPr>
                <w:rFonts w:ascii="Arial" w:hAnsi="Arial" w:cs="Arial"/>
                <w:bCs/>
              </w:rPr>
              <w:t xml:space="preserve"> band and protected characteristics to directors. This </w:t>
            </w:r>
            <w:r w:rsidRPr="001F7BB9">
              <w:rPr>
                <w:rFonts w:asciiTheme="minorBidi" w:hAnsiTheme="minorBidi" w:cstheme="minorBidi"/>
                <w:bCs/>
              </w:rPr>
              <w:t>would enable those results to be used to inform and support delivery of ONR’s future 5-year strategy.</w:t>
            </w:r>
          </w:p>
          <w:p w14:paraId="47F10976" w14:textId="77777777" w:rsidR="00347A9B" w:rsidRPr="001F7BB9" w:rsidRDefault="00347A9B" w:rsidP="00FE1B2A">
            <w:pPr>
              <w:tabs>
                <w:tab w:val="left" w:pos="5347"/>
              </w:tabs>
              <w:rPr>
                <w:rFonts w:ascii="Arial" w:hAnsi="Arial" w:cs="Arial"/>
                <w:bCs/>
              </w:rPr>
            </w:pPr>
          </w:p>
        </w:tc>
      </w:tr>
      <w:tr w:rsidR="00347A9B" w:rsidRPr="001F7BB9" w14:paraId="04632663" w14:textId="77777777" w:rsidTr="00D4484E">
        <w:trPr>
          <w:trHeight w:val="399"/>
        </w:trPr>
        <w:tc>
          <w:tcPr>
            <w:tcW w:w="1141" w:type="dxa"/>
          </w:tcPr>
          <w:p w14:paraId="0AC8B5DF" w14:textId="6F064639" w:rsidR="00347A9B" w:rsidRPr="001F7BB9" w:rsidRDefault="00964CF8" w:rsidP="004E210C">
            <w:pPr>
              <w:tabs>
                <w:tab w:val="left" w:pos="5347"/>
              </w:tabs>
              <w:rPr>
                <w:rFonts w:ascii="Arial" w:hAnsi="Arial" w:cs="Arial"/>
              </w:rPr>
            </w:pPr>
            <w:r w:rsidRPr="001F7BB9">
              <w:rPr>
                <w:rFonts w:ascii="Arial" w:hAnsi="Arial" w:cs="Arial"/>
              </w:rPr>
              <w:t>10.</w:t>
            </w:r>
            <w:r w:rsidR="000C75DB" w:rsidRPr="001F7BB9">
              <w:rPr>
                <w:rFonts w:ascii="Arial" w:hAnsi="Arial" w:cs="Arial"/>
              </w:rPr>
              <w:t>5</w:t>
            </w:r>
          </w:p>
        </w:tc>
        <w:tc>
          <w:tcPr>
            <w:tcW w:w="7875" w:type="dxa"/>
          </w:tcPr>
          <w:p w14:paraId="009BAFAC" w14:textId="77777777" w:rsidR="00D5094E" w:rsidRPr="001F7BB9" w:rsidRDefault="00D5094E" w:rsidP="00D5094E">
            <w:pPr>
              <w:tabs>
                <w:tab w:val="left" w:pos="5347"/>
              </w:tabs>
              <w:rPr>
                <w:rFonts w:asciiTheme="minorBidi" w:hAnsiTheme="minorBidi" w:cstheme="minorBidi"/>
              </w:rPr>
            </w:pPr>
            <w:r w:rsidRPr="001F7BB9">
              <w:rPr>
                <w:rFonts w:asciiTheme="minorBidi" w:hAnsiTheme="minorBidi" w:cstheme="minorBidi"/>
              </w:rPr>
              <w:t>In discussion the Board:</w:t>
            </w:r>
          </w:p>
          <w:p w14:paraId="6FAF0684" w14:textId="77777777" w:rsidR="00D5094E" w:rsidRPr="001F7BB9" w:rsidRDefault="00D5094E" w:rsidP="00D5094E">
            <w:pPr>
              <w:tabs>
                <w:tab w:val="left" w:pos="5347"/>
              </w:tabs>
            </w:pPr>
          </w:p>
          <w:p w14:paraId="2899D62A" w14:textId="2C9B2E80" w:rsidR="00D5094E" w:rsidRPr="001F7BB9" w:rsidRDefault="00D5094E" w:rsidP="00D5094E">
            <w:pPr>
              <w:pStyle w:val="ListParagraph"/>
              <w:numPr>
                <w:ilvl w:val="0"/>
                <w:numId w:val="43"/>
              </w:numPr>
              <w:tabs>
                <w:tab w:val="left" w:pos="5347"/>
              </w:tabs>
            </w:pPr>
            <w:r w:rsidRPr="001F7BB9">
              <w:rPr>
                <w:rFonts w:asciiTheme="minorBidi" w:hAnsiTheme="minorBidi" w:cstheme="minorBidi"/>
              </w:rPr>
              <w:t xml:space="preserve">Noted that it was helpful to see the areas where scores were lower so that </w:t>
            </w:r>
            <w:r w:rsidR="000C75DB" w:rsidRPr="001F7BB9">
              <w:rPr>
                <w:rFonts w:asciiTheme="minorBidi" w:hAnsiTheme="minorBidi" w:cstheme="minorBidi"/>
              </w:rPr>
              <w:t>d</w:t>
            </w:r>
            <w:r w:rsidRPr="001F7BB9">
              <w:rPr>
                <w:rFonts w:asciiTheme="minorBidi" w:hAnsiTheme="minorBidi" w:cstheme="minorBidi"/>
              </w:rPr>
              <w:t>irectors could focus on specific areas and had a clear direction.</w:t>
            </w:r>
          </w:p>
          <w:p w14:paraId="30B9D0F7" w14:textId="76B08A9E" w:rsidR="00D5094E" w:rsidRPr="001F7BB9" w:rsidRDefault="00D5094E" w:rsidP="00D5094E">
            <w:pPr>
              <w:pStyle w:val="ListParagraph"/>
              <w:numPr>
                <w:ilvl w:val="0"/>
                <w:numId w:val="43"/>
              </w:numPr>
              <w:tabs>
                <w:tab w:val="left" w:pos="5347"/>
              </w:tabs>
            </w:pPr>
            <w:r w:rsidRPr="001F7BB9">
              <w:rPr>
                <w:rFonts w:asciiTheme="minorBidi" w:hAnsiTheme="minorBidi" w:cstheme="minorBidi"/>
              </w:rPr>
              <w:t xml:space="preserve">Recognised that these were strong results despite the high amount of change and </w:t>
            </w:r>
            <w:r w:rsidR="00797079" w:rsidRPr="001F7BB9">
              <w:rPr>
                <w:rFonts w:asciiTheme="minorBidi" w:hAnsiTheme="minorBidi" w:cstheme="minorBidi"/>
              </w:rPr>
              <w:t>in</w:t>
            </w:r>
            <w:r w:rsidRPr="001F7BB9">
              <w:rPr>
                <w:rFonts w:asciiTheme="minorBidi" w:hAnsiTheme="minorBidi" w:cstheme="minorBidi"/>
              </w:rPr>
              <w:t xml:space="preserve">stability in ONR at the current time and in the advent of the Nuclear </w:t>
            </w:r>
            <w:r w:rsidR="00DE7FC6" w:rsidRPr="001F7BB9">
              <w:rPr>
                <w:rFonts w:asciiTheme="minorBidi" w:hAnsiTheme="minorBidi" w:cstheme="minorBidi"/>
              </w:rPr>
              <w:t>T</w:t>
            </w:r>
            <w:r w:rsidRPr="001F7BB9">
              <w:rPr>
                <w:rFonts w:asciiTheme="minorBidi" w:hAnsiTheme="minorBidi" w:cstheme="minorBidi"/>
              </w:rPr>
              <w:t xml:space="preserve">askforce and absence of the 5-year strategy </w:t>
            </w:r>
            <w:r w:rsidR="00DE7FC6" w:rsidRPr="001F7BB9">
              <w:rPr>
                <w:rFonts w:asciiTheme="minorBidi" w:hAnsiTheme="minorBidi" w:cstheme="minorBidi"/>
              </w:rPr>
              <w:t>leading to</w:t>
            </w:r>
            <w:r w:rsidRPr="001F7BB9">
              <w:rPr>
                <w:rFonts w:asciiTheme="minorBidi" w:hAnsiTheme="minorBidi" w:cstheme="minorBidi"/>
              </w:rPr>
              <w:t xml:space="preserve"> further uncertainty </w:t>
            </w:r>
            <w:r w:rsidR="00DE7FC6" w:rsidRPr="001F7BB9">
              <w:rPr>
                <w:rFonts w:asciiTheme="minorBidi" w:hAnsiTheme="minorBidi" w:cstheme="minorBidi"/>
              </w:rPr>
              <w:t>for</w:t>
            </w:r>
            <w:r w:rsidRPr="001F7BB9">
              <w:rPr>
                <w:rFonts w:asciiTheme="minorBidi" w:hAnsiTheme="minorBidi" w:cstheme="minorBidi"/>
              </w:rPr>
              <w:t xml:space="preserve"> staff.</w:t>
            </w:r>
          </w:p>
          <w:p w14:paraId="50F5E51B" w14:textId="77777777" w:rsidR="00347A9B" w:rsidRPr="001F7BB9" w:rsidRDefault="00347A9B" w:rsidP="00FE1B2A">
            <w:pPr>
              <w:tabs>
                <w:tab w:val="left" w:pos="5347"/>
              </w:tabs>
              <w:rPr>
                <w:rFonts w:ascii="Arial" w:hAnsi="Arial" w:cs="Arial"/>
                <w:bCs/>
              </w:rPr>
            </w:pPr>
          </w:p>
        </w:tc>
      </w:tr>
      <w:tr w:rsidR="00347A9B" w:rsidRPr="001F7BB9" w14:paraId="7D3A277F" w14:textId="77777777" w:rsidTr="00D4484E">
        <w:trPr>
          <w:trHeight w:val="399"/>
        </w:trPr>
        <w:tc>
          <w:tcPr>
            <w:tcW w:w="1141" w:type="dxa"/>
          </w:tcPr>
          <w:p w14:paraId="6AC454D1" w14:textId="191C14D6" w:rsidR="00347A9B" w:rsidRPr="001F7BB9" w:rsidRDefault="00D5094E" w:rsidP="004E210C">
            <w:pPr>
              <w:tabs>
                <w:tab w:val="left" w:pos="5347"/>
              </w:tabs>
              <w:rPr>
                <w:rFonts w:ascii="Arial" w:hAnsi="Arial" w:cs="Arial"/>
              </w:rPr>
            </w:pPr>
            <w:r w:rsidRPr="001F7BB9">
              <w:rPr>
                <w:rFonts w:ascii="Arial" w:hAnsi="Arial" w:cs="Arial"/>
              </w:rPr>
              <w:t>10.</w:t>
            </w:r>
            <w:r w:rsidR="00332AB2" w:rsidRPr="001F7BB9">
              <w:rPr>
                <w:rFonts w:ascii="Arial" w:hAnsi="Arial" w:cs="Arial"/>
              </w:rPr>
              <w:t>6</w:t>
            </w:r>
          </w:p>
        </w:tc>
        <w:tc>
          <w:tcPr>
            <w:tcW w:w="7875" w:type="dxa"/>
          </w:tcPr>
          <w:p w14:paraId="6D2D6CC6" w14:textId="77777777" w:rsidR="00790045" w:rsidRPr="001F7BB9" w:rsidRDefault="00790045" w:rsidP="00790045">
            <w:pPr>
              <w:tabs>
                <w:tab w:val="left" w:pos="5347"/>
              </w:tabs>
              <w:rPr>
                <w:rFonts w:asciiTheme="minorBidi" w:hAnsiTheme="minorBidi" w:cstheme="minorBidi"/>
              </w:rPr>
            </w:pPr>
            <w:r w:rsidRPr="001F7BB9">
              <w:rPr>
                <w:rFonts w:asciiTheme="minorBidi" w:hAnsiTheme="minorBidi" w:cstheme="minorBidi"/>
              </w:rPr>
              <w:t>The Chair thanked the Director of HR for the update, noting the strong results and next steps being undertaken by the team.</w:t>
            </w:r>
          </w:p>
          <w:p w14:paraId="08F6C041" w14:textId="77777777" w:rsidR="00347A9B" w:rsidRPr="001F7BB9" w:rsidRDefault="00347A9B" w:rsidP="00FE1B2A">
            <w:pPr>
              <w:tabs>
                <w:tab w:val="left" w:pos="5347"/>
              </w:tabs>
              <w:rPr>
                <w:rFonts w:ascii="Arial" w:hAnsi="Arial" w:cs="Arial"/>
                <w:bCs/>
              </w:rPr>
            </w:pPr>
          </w:p>
        </w:tc>
      </w:tr>
      <w:tr w:rsidR="00B661F2" w:rsidRPr="001F7BB9" w14:paraId="5C78010C" w14:textId="77777777" w:rsidTr="00D4484E">
        <w:trPr>
          <w:trHeight w:val="399"/>
        </w:trPr>
        <w:tc>
          <w:tcPr>
            <w:tcW w:w="1141" w:type="dxa"/>
          </w:tcPr>
          <w:p w14:paraId="18988FAE" w14:textId="365548D3" w:rsidR="00B661F2" w:rsidRPr="001F7BB9" w:rsidRDefault="00B661F2" w:rsidP="004E210C">
            <w:pPr>
              <w:tabs>
                <w:tab w:val="left" w:pos="5347"/>
              </w:tabs>
              <w:rPr>
                <w:rFonts w:ascii="Arial" w:hAnsi="Arial" w:cs="Arial"/>
                <w:b/>
                <w:bCs/>
              </w:rPr>
            </w:pPr>
            <w:r w:rsidRPr="001F7BB9">
              <w:rPr>
                <w:rFonts w:ascii="Arial" w:hAnsi="Arial" w:cs="Arial"/>
                <w:b/>
                <w:bCs/>
              </w:rPr>
              <w:t>11.</w:t>
            </w:r>
          </w:p>
        </w:tc>
        <w:tc>
          <w:tcPr>
            <w:tcW w:w="7875" w:type="dxa"/>
          </w:tcPr>
          <w:p w14:paraId="00D78C91" w14:textId="77777777" w:rsidR="00B661F2" w:rsidRPr="001F7BB9" w:rsidRDefault="00B661F2" w:rsidP="00B661F2">
            <w:pPr>
              <w:tabs>
                <w:tab w:val="left" w:pos="5347"/>
              </w:tabs>
              <w:rPr>
                <w:rFonts w:ascii="Arial" w:hAnsi="Arial" w:cs="Arial"/>
                <w:b/>
              </w:rPr>
            </w:pPr>
            <w:r w:rsidRPr="001F7BB9">
              <w:rPr>
                <w:rFonts w:ascii="Arial" w:hAnsi="Arial" w:cs="Arial"/>
                <w:b/>
              </w:rPr>
              <w:t>ONR Board Effectiveness Review</w:t>
            </w:r>
          </w:p>
          <w:p w14:paraId="2FCCBCE9" w14:textId="77777777" w:rsidR="00B661F2" w:rsidRPr="001F7BB9" w:rsidRDefault="00B661F2" w:rsidP="00790045">
            <w:pPr>
              <w:tabs>
                <w:tab w:val="left" w:pos="5347"/>
              </w:tabs>
              <w:rPr>
                <w:rFonts w:asciiTheme="minorBidi" w:hAnsiTheme="minorBidi" w:cstheme="minorBidi"/>
              </w:rPr>
            </w:pPr>
          </w:p>
        </w:tc>
      </w:tr>
      <w:tr w:rsidR="00B661F2" w:rsidRPr="001F7BB9" w14:paraId="3031E441" w14:textId="77777777" w:rsidTr="00D4484E">
        <w:trPr>
          <w:trHeight w:val="399"/>
        </w:trPr>
        <w:tc>
          <w:tcPr>
            <w:tcW w:w="1141" w:type="dxa"/>
          </w:tcPr>
          <w:p w14:paraId="02CD115D" w14:textId="41EA7E0C" w:rsidR="00B661F2" w:rsidRPr="001F7BB9" w:rsidRDefault="00B661F2" w:rsidP="004E210C">
            <w:pPr>
              <w:tabs>
                <w:tab w:val="left" w:pos="5347"/>
              </w:tabs>
              <w:rPr>
                <w:rFonts w:ascii="Arial" w:hAnsi="Arial" w:cs="Arial"/>
              </w:rPr>
            </w:pPr>
            <w:r w:rsidRPr="001F7BB9">
              <w:rPr>
                <w:rFonts w:ascii="Arial" w:hAnsi="Arial" w:cs="Arial"/>
              </w:rPr>
              <w:t>11.1</w:t>
            </w:r>
          </w:p>
        </w:tc>
        <w:tc>
          <w:tcPr>
            <w:tcW w:w="7875" w:type="dxa"/>
          </w:tcPr>
          <w:p w14:paraId="101FD4C3" w14:textId="7F3113F8" w:rsidR="00B661F2" w:rsidRPr="001F7BB9" w:rsidRDefault="005003EA" w:rsidP="005003EA">
            <w:pPr>
              <w:tabs>
                <w:tab w:val="left" w:pos="5347"/>
              </w:tabs>
              <w:spacing w:after="160" w:line="259" w:lineRule="auto"/>
              <w:rPr>
                <w:rFonts w:ascii="Arial" w:hAnsi="Arial" w:cs="Arial"/>
                <w:bCs/>
              </w:rPr>
            </w:pPr>
            <w:r w:rsidRPr="001F7BB9">
              <w:rPr>
                <w:rFonts w:ascii="Arial" w:hAnsi="Arial" w:cs="Arial"/>
                <w:bCs/>
              </w:rPr>
              <w:t>Radojka Miljevic, Campbell Tickell joined the meeting and introduced the external report on ONR’s Board Effectiveness.</w:t>
            </w:r>
          </w:p>
        </w:tc>
      </w:tr>
      <w:tr w:rsidR="00B661F2" w:rsidRPr="001F7BB9" w14:paraId="7AB31E56" w14:textId="77777777" w:rsidTr="00D4484E">
        <w:trPr>
          <w:trHeight w:val="399"/>
        </w:trPr>
        <w:tc>
          <w:tcPr>
            <w:tcW w:w="1141" w:type="dxa"/>
          </w:tcPr>
          <w:p w14:paraId="551BC0F8" w14:textId="501CD0D0" w:rsidR="00B661F2" w:rsidRPr="001F7BB9" w:rsidRDefault="005003EA" w:rsidP="004E210C">
            <w:pPr>
              <w:tabs>
                <w:tab w:val="left" w:pos="5347"/>
              </w:tabs>
              <w:rPr>
                <w:rFonts w:ascii="Arial" w:hAnsi="Arial" w:cs="Arial"/>
              </w:rPr>
            </w:pPr>
            <w:r w:rsidRPr="001F7BB9">
              <w:rPr>
                <w:rFonts w:ascii="Arial" w:hAnsi="Arial" w:cs="Arial"/>
              </w:rPr>
              <w:t>11.2</w:t>
            </w:r>
          </w:p>
        </w:tc>
        <w:tc>
          <w:tcPr>
            <w:tcW w:w="7875" w:type="dxa"/>
          </w:tcPr>
          <w:p w14:paraId="24C6D3AB" w14:textId="3C5AD1D8" w:rsidR="00B661F2" w:rsidRPr="001F7BB9" w:rsidRDefault="00354493" w:rsidP="00354493">
            <w:pPr>
              <w:tabs>
                <w:tab w:val="left" w:pos="5347"/>
              </w:tabs>
              <w:spacing w:after="160" w:line="259" w:lineRule="auto"/>
              <w:rPr>
                <w:rFonts w:ascii="Arial" w:hAnsi="Arial" w:cs="Arial"/>
                <w:bCs/>
              </w:rPr>
            </w:pPr>
            <w:r w:rsidRPr="001F7BB9">
              <w:rPr>
                <w:rFonts w:ascii="Arial" w:hAnsi="Arial" w:cs="Arial"/>
                <w:bCs/>
              </w:rPr>
              <w:t>She recognised the skills and abilities of ONR that had come through in the report, and the credibility and strong relationships ONR had with stakeholders. She noted that ONR</w:t>
            </w:r>
            <w:r w:rsidR="00DE7FC6" w:rsidRPr="001F7BB9">
              <w:rPr>
                <w:rFonts w:ascii="Arial" w:hAnsi="Arial" w:cs="Arial"/>
                <w:bCs/>
              </w:rPr>
              <w:t>’s</w:t>
            </w:r>
            <w:r w:rsidRPr="001F7BB9">
              <w:rPr>
                <w:rFonts w:ascii="Arial" w:hAnsi="Arial" w:cs="Arial"/>
                <w:bCs/>
              </w:rPr>
              <w:t xml:space="preserve"> leadership had been recognised for their strong and consistent openness and engagement outside of the organisation.</w:t>
            </w:r>
          </w:p>
        </w:tc>
      </w:tr>
      <w:tr w:rsidR="00B661F2" w:rsidRPr="001F7BB9" w14:paraId="6CC2F92D" w14:textId="77777777" w:rsidTr="00D4484E">
        <w:trPr>
          <w:trHeight w:val="399"/>
        </w:trPr>
        <w:tc>
          <w:tcPr>
            <w:tcW w:w="1141" w:type="dxa"/>
          </w:tcPr>
          <w:p w14:paraId="449FB391" w14:textId="63B4EE60" w:rsidR="00B661F2" w:rsidRPr="001F7BB9" w:rsidRDefault="00354493" w:rsidP="004E210C">
            <w:pPr>
              <w:tabs>
                <w:tab w:val="left" w:pos="5347"/>
              </w:tabs>
              <w:rPr>
                <w:rFonts w:ascii="Arial" w:hAnsi="Arial" w:cs="Arial"/>
              </w:rPr>
            </w:pPr>
            <w:r w:rsidRPr="001F7BB9">
              <w:rPr>
                <w:rFonts w:ascii="Arial" w:hAnsi="Arial" w:cs="Arial"/>
              </w:rPr>
              <w:t>11.3</w:t>
            </w:r>
          </w:p>
        </w:tc>
        <w:tc>
          <w:tcPr>
            <w:tcW w:w="7875" w:type="dxa"/>
          </w:tcPr>
          <w:p w14:paraId="3DB891ED" w14:textId="797C0861" w:rsidR="00B661F2" w:rsidRPr="001F7BB9" w:rsidRDefault="00B445F8" w:rsidP="00B445F8">
            <w:pPr>
              <w:tabs>
                <w:tab w:val="left" w:pos="5347"/>
              </w:tabs>
              <w:spacing w:after="160" w:line="259" w:lineRule="auto"/>
              <w:rPr>
                <w:rFonts w:ascii="Arial" w:hAnsi="Arial" w:cs="Arial"/>
                <w:bCs/>
              </w:rPr>
            </w:pPr>
            <w:r w:rsidRPr="001F7BB9">
              <w:rPr>
                <w:rFonts w:ascii="Arial" w:hAnsi="Arial" w:cs="Arial"/>
                <w:bCs/>
              </w:rPr>
              <w:t>She noted that among ONR’s strengths was the machinery of governance which ran well but had been challenging during an underlying period of turbulent leadership changes and uncertainty in ONR.</w:t>
            </w:r>
          </w:p>
        </w:tc>
      </w:tr>
      <w:tr w:rsidR="00B661F2" w:rsidRPr="001F7BB9" w14:paraId="25B5B492" w14:textId="77777777" w:rsidTr="00D4484E">
        <w:trPr>
          <w:trHeight w:val="399"/>
        </w:trPr>
        <w:tc>
          <w:tcPr>
            <w:tcW w:w="1141" w:type="dxa"/>
          </w:tcPr>
          <w:p w14:paraId="0CB4921B" w14:textId="7FC368A2" w:rsidR="00B661F2" w:rsidRPr="001F7BB9" w:rsidRDefault="00B445F8" w:rsidP="004E210C">
            <w:pPr>
              <w:tabs>
                <w:tab w:val="left" w:pos="5347"/>
              </w:tabs>
              <w:rPr>
                <w:rFonts w:ascii="Arial" w:hAnsi="Arial" w:cs="Arial"/>
              </w:rPr>
            </w:pPr>
            <w:r w:rsidRPr="001F7BB9">
              <w:rPr>
                <w:rFonts w:ascii="Arial" w:hAnsi="Arial" w:cs="Arial"/>
              </w:rPr>
              <w:lastRenderedPageBreak/>
              <w:t>11.4</w:t>
            </w:r>
          </w:p>
        </w:tc>
        <w:tc>
          <w:tcPr>
            <w:tcW w:w="7875" w:type="dxa"/>
          </w:tcPr>
          <w:p w14:paraId="0655D414" w14:textId="5A7BA21A" w:rsidR="00B661F2" w:rsidRPr="001F7BB9" w:rsidRDefault="00D86388" w:rsidP="00D86388">
            <w:pPr>
              <w:tabs>
                <w:tab w:val="left" w:pos="5347"/>
              </w:tabs>
              <w:spacing w:after="160" w:line="259" w:lineRule="auto"/>
              <w:rPr>
                <w:rFonts w:ascii="Arial" w:hAnsi="Arial" w:cs="Arial"/>
                <w:bCs/>
              </w:rPr>
            </w:pPr>
            <w:r w:rsidRPr="001F7BB9">
              <w:rPr>
                <w:rFonts w:ascii="Arial" w:hAnsi="Arial" w:cs="Arial"/>
                <w:bCs/>
              </w:rPr>
              <w:t xml:space="preserve">She highlighted one of the key themes from the report was the misalignment between Non-Executive and Executive expectations of each other. She </w:t>
            </w:r>
            <w:r w:rsidR="00DE7FC6" w:rsidRPr="001F7BB9">
              <w:rPr>
                <w:rFonts w:ascii="Arial" w:hAnsi="Arial" w:cs="Arial"/>
                <w:bCs/>
              </w:rPr>
              <w:t>reflected</w:t>
            </w:r>
            <w:r w:rsidRPr="001F7BB9">
              <w:rPr>
                <w:rFonts w:ascii="Arial" w:hAnsi="Arial" w:cs="Arial"/>
                <w:bCs/>
              </w:rPr>
              <w:t xml:space="preserve"> the need for Board to be clear on how to hold the Executive to account and have a more robust grip on challenge.</w:t>
            </w:r>
          </w:p>
        </w:tc>
      </w:tr>
      <w:tr w:rsidR="00B661F2" w:rsidRPr="001F7BB9" w14:paraId="3073276F" w14:textId="77777777" w:rsidTr="00D4484E">
        <w:trPr>
          <w:trHeight w:val="399"/>
        </w:trPr>
        <w:tc>
          <w:tcPr>
            <w:tcW w:w="1141" w:type="dxa"/>
          </w:tcPr>
          <w:p w14:paraId="46DD0C72" w14:textId="40591D0A" w:rsidR="00B661F2" w:rsidRPr="001F7BB9" w:rsidRDefault="00D86388" w:rsidP="004E210C">
            <w:pPr>
              <w:tabs>
                <w:tab w:val="left" w:pos="5347"/>
              </w:tabs>
              <w:rPr>
                <w:rFonts w:ascii="Arial" w:hAnsi="Arial" w:cs="Arial"/>
              </w:rPr>
            </w:pPr>
            <w:r w:rsidRPr="001F7BB9">
              <w:rPr>
                <w:rFonts w:ascii="Arial" w:hAnsi="Arial" w:cs="Arial"/>
              </w:rPr>
              <w:t>11.5</w:t>
            </w:r>
          </w:p>
        </w:tc>
        <w:tc>
          <w:tcPr>
            <w:tcW w:w="7875" w:type="dxa"/>
          </w:tcPr>
          <w:p w14:paraId="29334F3A" w14:textId="4BEBC801" w:rsidR="00B661F2" w:rsidRPr="001F7BB9" w:rsidRDefault="00DE7FC6" w:rsidP="009726CD">
            <w:pPr>
              <w:tabs>
                <w:tab w:val="left" w:pos="5347"/>
              </w:tabs>
              <w:spacing w:after="160" w:line="259" w:lineRule="auto"/>
              <w:rPr>
                <w:rFonts w:ascii="Arial" w:hAnsi="Arial" w:cs="Arial"/>
                <w:bCs/>
              </w:rPr>
            </w:pPr>
            <w:r w:rsidRPr="001F7BB9">
              <w:rPr>
                <w:rFonts w:ascii="Arial" w:hAnsi="Arial" w:cs="Arial"/>
                <w:bCs/>
              </w:rPr>
              <w:t>C</w:t>
            </w:r>
            <w:r w:rsidR="009726CD" w:rsidRPr="001F7BB9">
              <w:rPr>
                <w:rFonts w:ascii="Arial" w:hAnsi="Arial" w:cs="Arial"/>
                <w:bCs/>
              </w:rPr>
              <w:t>hange</w:t>
            </w:r>
            <w:r w:rsidR="00D473E0" w:rsidRPr="001F7BB9">
              <w:rPr>
                <w:rFonts w:ascii="Arial" w:hAnsi="Arial" w:cs="Arial"/>
                <w:bCs/>
              </w:rPr>
              <w:t>s</w:t>
            </w:r>
            <w:r w:rsidR="009726CD" w:rsidRPr="001F7BB9">
              <w:rPr>
                <w:rFonts w:ascii="Arial" w:hAnsi="Arial" w:cs="Arial"/>
                <w:bCs/>
              </w:rPr>
              <w:t xml:space="preserve"> in leadership on the Board </w:t>
            </w:r>
            <w:r w:rsidRPr="001F7BB9">
              <w:rPr>
                <w:rFonts w:ascii="Arial" w:hAnsi="Arial" w:cs="Arial"/>
                <w:bCs/>
              </w:rPr>
              <w:t>w</w:t>
            </w:r>
            <w:r w:rsidR="00F07450" w:rsidRPr="001F7BB9">
              <w:rPr>
                <w:rFonts w:ascii="Arial" w:hAnsi="Arial" w:cs="Arial"/>
                <w:bCs/>
              </w:rPr>
              <w:t>ere</w:t>
            </w:r>
            <w:r w:rsidRPr="001F7BB9">
              <w:rPr>
                <w:rFonts w:ascii="Arial" w:hAnsi="Arial" w:cs="Arial"/>
                <w:bCs/>
              </w:rPr>
              <w:t xml:space="preserve"> highlighted </w:t>
            </w:r>
            <w:r w:rsidR="009726CD" w:rsidRPr="001F7BB9">
              <w:rPr>
                <w:rFonts w:ascii="Arial" w:hAnsi="Arial" w:cs="Arial"/>
                <w:bCs/>
              </w:rPr>
              <w:t>as an opportunity to reboot ways of working and good practice and come together as a unitary Board.</w:t>
            </w:r>
          </w:p>
        </w:tc>
      </w:tr>
      <w:tr w:rsidR="00B661F2" w:rsidRPr="001F7BB9" w14:paraId="66687C52" w14:textId="77777777" w:rsidTr="00D4484E">
        <w:trPr>
          <w:trHeight w:val="399"/>
        </w:trPr>
        <w:tc>
          <w:tcPr>
            <w:tcW w:w="1141" w:type="dxa"/>
          </w:tcPr>
          <w:p w14:paraId="4CBC8C1D" w14:textId="3CFEA9AD" w:rsidR="00B661F2" w:rsidRPr="001F7BB9" w:rsidRDefault="009726CD" w:rsidP="004E210C">
            <w:pPr>
              <w:tabs>
                <w:tab w:val="left" w:pos="5347"/>
              </w:tabs>
              <w:rPr>
                <w:rFonts w:ascii="Arial" w:hAnsi="Arial" w:cs="Arial"/>
              </w:rPr>
            </w:pPr>
            <w:r w:rsidRPr="001F7BB9">
              <w:rPr>
                <w:rFonts w:ascii="Arial" w:hAnsi="Arial" w:cs="Arial"/>
              </w:rPr>
              <w:t>11.6</w:t>
            </w:r>
          </w:p>
        </w:tc>
        <w:tc>
          <w:tcPr>
            <w:tcW w:w="7875" w:type="dxa"/>
          </w:tcPr>
          <w:p w14:paraId="7858169D" w14:textId="6567E5B8" w:rsidR="00B661F2" w:rsidRPr="001F7BB9" w:rsidRDefault="009D4096" w:rsidP="009D4096">
            <w:pPr>
              <w:tabs>
                <w:tab w:val="left" w:pos="5347"/>
              </w:tabs>
              <w:spacing w:after="160" w:line="259" w:lineRule="auto"/>
              <w:rPr>
                <w:rFonts w:ascii="Arial" w:hAnsi="Arial" w:cs="Arial"/>
                <w:bCs/>
              </w:rPr>
            </w:pPr>
            <w:r w:rsidRPr="001F7BB9">
              <w:rPr>
                <w:rFonts w:ascii="Arial" w:hAnsi="Arial" w:cs="Arial"/>
                <w:bCs/>
              </w:rPr>
              <w:t>She took the Board through recommendations highlighted in the report, which included some areas of risk and assurance which could be strengthened, Boardroom dynamics and probity on performance at the Board.</w:t>
            </w:r>
          </w:p>
        </w:tc>
      </w:tr>
      <w:tr w:rsidR="00B661F2" w:rsidRPr="001F7BB9" w14:paraId="231D35AA" w14:textId="77777777" w:rsidTr="00D4484E">
        <w:trPr>
          <w:trHeight w:val="399"/>
        </w:trPr>
        <w:tc>
          <w:tcPr>
            <w:tcW w:w="1141" w:type="dxa"/>
          </w:tcPr>
          <w:p w14:paraId="51763639" w14:textId="22B01DFE" w:rsidR="00B661F2" w:rsidRPr="001F7BB9" w:rsidRDefault="009D4096" w:rsidP="004E210C">
            <w:pPr>
              <w:tabs>
                <w:tab w:val="left" w:pos="5347"/>
              </w:tabs>
              <w:rPr>
                <w:rFonts w:ascii="Arial" w:hAnsi="Arial" w:cs="Arial"/>
              </w:rPr>
            </w:pPr>
            <w:r w:rsidRPr="001F7BB9">
              <w:rPr>
                <w:rFonts w:ascii="Arial" w:hAnsi="Arial" w:cs="Arial"/>
              </w:rPr>
              <w:t>11.7</w:t>
            </w:r>
          </w:p>
        </w:tc>
        <w:tc>
          <w:tcPr>
            <w:tcW w:w="7875" w:type="dxa"/>
          </w:tcPr>
          <w:p w14:paraId="6F279900" w14:textId="77777777" w:rsidR="00D50B02" w:rsidRPr="001F7BB9" w:rsidRDefault="00D50B02" w:rsidP="00D50B02">
            <w:pPr>
              <w:tabs>
                <w:tab w:val="left" w:pos="5347"/>
              </w:tabs>
              <w:spacing w:after="160" w:line="259" w:lineRule="auto"/>
              <w:rPr>
                <w:rFonts w:ascii="Arial" w:hAnsi="Arial" w:cs="Arial"/>
                <w:bCs/>
              </w:rPr>
            </w:pPr>
            <w:r w:rsidRPr="001F7BB9">
              <w:rPr>
                <w:rFonts w:ascii="Arial" w:hAnsi="Arial" w:cs="Arial"/>
                <w:bCs/>
              </w:rPr>
              <w:t>In discussion the Board:</w:t>
            </w:r>
          </w:p>
          <w:p w14:paraId="5D2574AF" w14:textId="6181F265" w:rsidR="00D50B02" w:rsidRPr="001F7BB9" w:rsidRDefault="00D50B02"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 xml:space="preserve">Highlighted the mismatch of expectations between </w:t>
            </w:r>
            <w:r w:rsidR="003E3585" w:rsidRPr="001F7BB9">
              <w:rPr>
                <w:rFonts w:ascii="Arial" w:hAnsi="Arial" w:cs="Arial"/>
                <w:bCs/>
              </w:rPr>
              <w:t xml:space="preserve">the </w:t>
            </w:r>
            <w:r w:rsidR="00243EB4" w:rsidRPr="001F7BB9">
              <w:rPr>
                <w:rFonts w:ascii="Arial" w:hAnsi="Arial" w:cs="Arial"/>
                <w:bCs/>
              </w:rPr>
              <w:t>S</w:t>
            </w:r>
            <w:r w:rsidR="00274E22" w:rsidRPr="001F7BB9">
              <w:rPr>
                <w:rFonts w:ascii="Arial" w:hAnsi="Arial" w:cs="Arial"/>
                <w:bCs/>
              </w:rPr>
              <w:t xml:space="preserve">enior </w:t>
            </w:r>
            <w:r w:rsidR="00243EB4" w:rsidRPr="001F7BB9">
              <w:rPr>
                <w:rFonts w:ascii="Arial" w:hAnsi="Arial" w:cs="Arial"/>
                <w:bCs/>
              </w:rPr>
              <w:t>L</w:t>
            </w:r>
            <w:r w:rsidR="00274E22" w:rsidRPr="001F7BB9">
              <w:rPr>
                <w:rFonts w:ascii="Arial" w:hAnsi="Arial" w:cs="Arial"/>
                <w:bCs/>
              </w:rPr>
              <w:t xml:space="preserve">eadership </w:t>
            </w:r>
            <w:r w:rsidR="00243EB4" w:rsidRPr="001F7BB9">
              <w:rPr>
                <w:rFonts w:ascii="Arial" w:hAnsi="Arial" w:cs="Arial"/>
                <w:bCs/>
              </w:rPr>
              <w:t>T</w:t>
            </w:r>
            <w:r w:rsidR="00274E22" w:rsidRPr="001F7BB9">
              <w:rPr>
                <w:rFonts w:ascii="Arial" w:hAnsi="Arial" w:cs="Arial"/>
                <w:bCs/>
              </w:rPr>
              <w:t>eam (SLT)</w:t>
            </w:r>
            <w:r w:rsidRPr="001F7BB9">
              <w:rPr>
                <w:rFonts w:ascii="Arial" w:hAnsi="Arial" w:cs="Arial"/>
                <w:bCs/>
              </w:rPr>
              <w:t>, Executive Directors on the Board and Non-Executive Directors</w:t>
            </w:r>
            <w:r w:rsidR="00243EB4" w:rsidRPr="001F7BB9">
              <w:rPr>
                <w:rFonts w:ascii="Arial" w:hAnsi="Arial" w:cs="Arial"/>
                <w:bCs/>
              </w:rPr>
              <w:t xml:space="preserve"> (NEDs)</w:t>
            </w:r>
            <w:r w:rsidRPr="001F7BB9">
              <w:rPr>
                <w:rFonts w:ascii="Arial" w:hAnsi="Arial" w:cs="Arial"/>
                <w:bCs/>
              </w:rPr>
              <w:t>.</w:t>
            </w:r>
          </w:p>
          <w:p w14:paraId="00FA35C5" w14:textId="4A247ABF" w:rsidR="00D50B02" w:rsidRPr="001F7BB9" w:rsidRDefault="00D473E0"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 xml:space="preserve">Acknowledged </w:t>
            </w:r>
            <w:r w:rsidR="00D50B02" w:rsidRPr="001F7BB9">
              <w:rPr>
                <w:rFonts w:ascii="Arial" w:hAnsi="Arial" w:cs="Arial"/>
                <w:bCs/>
              </w:rPr>
              <w:t xml:space="preserve">that the review had taken place when leadership felt in a less certain and stable position, </w:t>
            </w:r>
            <w:r w:rsidR="00243EB4" w:rsidRPr="001F7BB9">
              <w:rPr>
                <w:rFonts w:ascii="Arial" w:hAnsi="Arial" w:cs="Arial"/>
                <w:bCs/>
              </w:rPr>
              <w:t>when</w:t>
            </w:r>
            <w:r w:rsidR="00D50B02" w:rsidRPr="001F7BB9">
              <w:rPr>
                <w:rFonts w:ascii="Arial" w:hAnsi="Arial" w:cs="Arial"/>
                <w:bCs/>
              </w:rPr>
              <w:t xml:space="preserve"> the new CE/CNI</w:t>
            </w:r>
            <w:r w:rsidR="00243EB4" w:rsidRPr="001F7BB9">
              <w:rPr>
                <w:rFonts w:ascii="Arial" w:hAnsi="Arial" w:cs="Arial"/>
                <w:bCs/>
              </w:rPr>
              <w:t xml:space="preserve"> and permanent</w:t>
            </w:r>
            <w:r w:rsidR="00B1748A" w:rsidRPr="001F7BB9">
              <w:rPr>
                <w:rFonts w:ascii="Arial" w:hAnsi="Arial" w:cs="Arial"/>
                <w:bCs/>
              </w:rPr>
              <w:t xml:space="preserve"> </w:t>
            </w:r>
            <w:r w:rsidR="00D50B02" w:rsidRPr="001F7BB9">
              <w:rPr>
                <w:rFonts w:ascii="Arial" w:hAnsi="Arial" w:cs="Arial"/>
                <w:bCs/>
              </w:rPr>
              <w:t>Chair of ONR</w:t>
            </w:r>
            <w:r w:rsidR="00243EB4" w:rsidRPr="001F7BB9">
              <w:rPr>
                <w:rFonts w:ascii="Arial" w:hAnsi="Arial" w:cs="Arial"/>
                <w:bCs/>
              </w:rPr>
              <w:t xml:space="preserve"> had not </w:t>
            </w:r>
            <w:r w:rsidR="00F07450" w:rsidRPr="001F7BB9">
              <w:rPr>
                <w:rFonts w:ascii="Arial" w:hAnsi="Arial" w:cs="Arial"/>
                <w:bCs/>
              </w:rPr>
              <w:t xml:space="preserve">yet </w:t>
            </w:r>
            <w:r w:rsidR="00243EB4" w:rsidRPr="001F7BB9">
              <w:rPr>
                <w:rFonts w:ascii="Arial" w:hAnsi="Arial" w:cs="Arial"/>
                <w:bCs/>
              </w:rPr>
              <w:t>been announced</w:t>
            </w:r>
            <w:r w:rsidR="00D50B02" w:rsidRPr="001F7BB9">
              <w:rPr>
                <w:rFonts w:ascii="Arial" w:hAnsi="Arial" w:cs="Arial"/>
                <w:bCs/>
              </w:rPr>
              <w:t>.</w:t>
            </w:r>
          </w:p>
          <w:p w14:paraId="19ED7207" w14:textId="75815B70" w:rsidR="00D50B02" w:rsidRPr="001F7BB9" w:rsidRDefault="00D50B02"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 xml:space="preserve">Agreed with the recommendation of a team building event </w:t>
            </w:r>
            <w:r w:rsidR="00243EB4" w:rsidRPr="001F7BB9">
              <w:rPr>
                <w:rFonts w:ascii="Arial" w:hAnsi="Arial" w:cs="Arial"/>
                <w:bCs/>
              </w:rPr>
              <w:t xml:space="preserve">for Board </w:t>
            </w:r>
            <w:r w:rsidRPr="001F7BB9">
              <w:rPr>
                <w:rFonts w:ascii="Arial" w:hAnsi="Arial" w:cs="Arial"/>
                <w:bCs/>
              </w:rPr>
              <w:t>but</w:t>
            </w:r>
            <w:r w:rsidR="00D473E0" w:rsidRPr="001F7BB9">
              <w:rPr>
                <w:rFonts w:ascii="Arial" w:hAnsi="Arial" w:cs="Arial"/>
                <w:bCs/>
              </w:rPr>
              <w:t xml:space="preserve"> highlighted</w:t>
            </w:r>
            <w:r w:rsidRPr="001F7BB9">
              <w:rPr>
                <w:rFonts w:ascii="Arial" w:hAnsi="Arial" w:cs="Arial"/>
                <w:bCs/>
              </w:rPr>
              <w:t xml:space="preserve"> the need to better understand from SLT colleagues what they are looking for from the Board</w:t>
            </w:r>
            <w:r w:rsidR="00D473E0" w:rsidRPr="001F7BB9">
              <w:rPr>
                <w:rFonts w:ascii="Arial" w:hAnsi="Arial" w:cs="Arial"/>
                <w:bCs/>
              </w:rPr>
              <w:t xml:space="preserve"> in advance of the event</w:t>
            </w:r>
            <w:r w:rsidRPr="001F7BB9">
              <w:rPr>
                <w:rFonts w:ascii="Arial" w:hAnsi="Arial" w:cs="Arial"/>
                <w:bCs/>
              </w:rPr>
              <w:t>.</w:t>
            </w:r>
          </w:p>
          <w:p w14:paraId="453C3782" w14:textId="77777777" w:rsidR="00D50B02" w:rsidRPr="001F7BB9" w:rsidRDefault="00D50B02"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Commented on ONR’s ability to politically influence.</w:t>
            </w:r>
          </w:p>
          <w:p w14:paraId="322A47B6" w14:textId="37890D35" w:rsidR="00D50B02" w:rsidRPr="001F7BB9" w:rsidRDefault="00D50B02"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 xml:space="preserve">Discussed the Board as a decision making body but </w:t>
            </w:r>
            <w:r w:rsidR="00332AB2" w:rsidRPr="001F7BB9">
              <w:rPr>
                <w:rFonts w:ascii="Arial" w:hAnsi="Arial" w:cs="Arial"/>
                <w:bCs/>
              </w:rPr>
              <w:t xml:space="preserve">also </w:t>
            </w:r>
            <w:r w:rsidRPr="001F7BB9">
              <w:rPr>
                <w:rFonts w:ascii="Arial" w:hAnsi="Arial" w:cs="Arial"/>
                <w:bCs/>
              </w:rPr>
              <w:t xml:space="preserve">highlighted its </w:t>
            </w:r>
            <w:r w:rsidR="00332AB2" w:rsidRPr="001F7BB9">
              <w:rPr>
                <w:rFonts w:ascii="Arial" w:hAnsi="Arial" w:cs="Arial"/>
                <w:bCs/>
              </w:rPr>
              <w:t xml:space="preserve">important </w:t>
            </w:r>
            <w:r w:rsidRPr="001F7BB9">
              <w:rPr>
                <w:rFonts w:ascii="Arial" w:hAnsi="Arial" w:cs="Arial"/>
                <w:bCs/>
              </w:rPr>
              <w:t>role in setting the tone, direction and</w:t>
            </w:r>
            <w:r w:rsidR="00332AB2" w:rsidRPr="001F7BB9">
              <w:rPr>
                <w:rFonts w:ascii="Arial" w:hAnsi="Arial" w:cs="Arial"/>
                <w:bCs/>
              </w:rPr>
              <w:t xml:space="preserve"> providing</w:t>
            </w:r>
            <w:r w:rsidRPr="001F7BB9">
              <w:rPr>
                <w:rFonts w:ascii="Arial" w:hAnsi="Arial" w:cs="Arial"/>
                <w:bCs/>
              </w:rPr>
              <w:t xml:space="preserve"> active steer</w:t>
            </w:r>
            <w:r w:rsidR="00243EB4" w:rsidRPr="001F7BB9">
              <w:rPr>
                <w:rFonts w:ascii="Arial" w:hAnsi="Arial" w:cs="Arial"/>
                <w:bCs/>
              </w:rPr>
              <w:t>s for</w:t>
            </w:r>
            <w:r w:rsidRPr="001F7BB9">
              <w:rPr>
                <w:rFonts w:ascii="Arial" w:hAnsi="Arial" w:cs="Arial"/>
                <w:bCs/>
              </w:rPr>
              <w:t xml:space="preserve"> the organisation.</w:t>
            </w:r>
          </w:p>
          <w:p w14:paraId="1B0DEC3C" w14:textId="66AC3696" w:rsidR="00D50B02" w:rsidRPr="001F7BB9" w:rsidRDefault="00D50B02"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 xml:space="preserve">Commented on the need for a roadmap of priorities </w:t>
            </w:r>
            <w:r w:rsidR="00CD7195" w:rsidRPr="001F7BB9">
              <w:rPr>
                <w:rFonts w:ascii="Arial" w:hAnsi="Arial" w:cs="Arial"/>
                <w:bCs/>
              </w:rPr>
              <w:t xml:space="preserve">to help steer ONR </w:t>
            </w:r>
            <w:r w:rsidRPr="001F7BB9">
              <w:rPr>
                <w:rFonts w:ascii="Arial" w:hAnsi="Arial" w:cs="Arial"/>
                <w:bCs/>
              </w:rPr>
              <w:t xml:space="preserve">during the </w:t>
            </w:r>
            <w:r w:rsidR="00243EB4" w:rsidRPr="001F7BB9">
              <w:rPr>
                <w:rFonts w:ascii="Arial" w:hAnsi="Arial" w:cs="Arial"/>
                <w:bCs/>
              </w:rPr>
              <w:t xml:space="preserve">transitional </w:t>
            </w:r>
            <w:r w:rsidRPr="001F7BB9">
              <w:rPr>
                <w:rFonts w:ascii="Arial" w:hAnsi="Arial" w:cs="Arial"/>
                <w:bCs/>
              </w:rPr>
              <w:t xml:space="preserve">period </w:t>
            </w:r>
            <w:r w:rsidR="002E4009" w:rsidRPr="001F7BB9">
              <w:rPr>
                <w:rFonts w:ascii="Arial" w:hAnsi="Arial" w:cs="Arial"/>
                <w:bCs/>
              </w:rPr>
              <w:t>when</w:t>
            </w:r>
            <w:r w:rsidRPr="001F7BB9">
              <w:rPr>
                <w:rFonts w:ascii="Arial" w:hAnsi="Arial" w:cs="Arial"/>
                <w:bCs/>
              </w:rPr>
              <w:t xml:space="preserve"> the </w:t>
            </w:r>
            <w:r w:rsidR="00332AB2" w:rsidRPr="001F7BB9">
              <w:rPr>
                <w:rFonts w:ascii="Arial" w:hAnsi="Arial" w:cs="Arial"/>
                <w:bCs/>
              </w:rPr>
              <w:t>five</w:t>
            </w:r>
            <w:r w:rsidRPr="001F7BB9">
              <w:rPr>
                <w:rFonts w:ascii="Arial" w:hAnsi="Arial" w:cs="Arial"/>
                <w:bCs/>
              </w:rPr>
              <w:t xml:space="preserve"> year strategy was not in place</w:t>
            </w:r>
            <w:r w:rsidR="00CD7195" w:rsidRPr="001F7BB9">
              <w:rPr>
                <w:rFonts w:ascii="Arial" w:hAnsi="Arial" w:cs="Arial"/>
                <w:bCs/>
              </w:rPr>
              <w:t>.</w:t>
            </w:r>
          </w:p>
          <w:p w14:paraId="002C687B" w14:textId="2A6D1F84" w:rsidR="00D50B02" w:rsidRPr="001F7BB9" w:rsidRDefault="00D50B02"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Noted the disconnect between Executives, SLT</w:t>
            </w:r>
            <w:r w:rsidR="005F3936" w:rsidRPr="001F7BB9">
              <w:rPr>
                <w:rFonts w:ascii="Arial" w:hAnsi="Arial" w:cs="Arial"/>
                <w:bCs/>
              </w:rPr>
              <w:t xml:space="preserve"> member</w:t>
            </w:r>
            <w:r w:rsidRPr="001F7BB9">
              <w:rPr>
                <w:rFonts w:ascii="Arial" w:hAnsi="Arial" w:cs="Arial"/>
                <w:bCs/>
              </w:rPr>
              <w:t>s and NEDs and how Directors could be developed to better understand their roles, build mutual understanding and build relationships with Board members which would be key to succession planning.</w:t>
            </w:r>
          </w:p>
          <w:p w14:paraId="42B0F061" w14:textId="77777777" w:rsidR="00D50B02" w:rsidRPr="001F7BB9" w:rsidRDefault="00D50B02"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Commented on the need for regulatory matters to continue coming to the Board to support a better understanding of what the business does and how it goes about it.</w:t>
            </w:r>
          </w:p>
          <w:p w14:paraId="19028DD6" w14:textId="379452FB" w:rsidR="00D50B02" w:rsidRPr="001F7BB9" w:rsidRDefault="00D50B02"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 xml:space="preserve">Discussed methods for having greater involvement from the wider SLT at </w:t>
            </w:r>
            <w:r w:rsidR="00555081" w:rsidRPr="001F7BB9">
              <w:rPr>
                <w:rFonts w:ascii="Arial" w:hAnsi="Arial" w:cs="Arial"/>
                <w:bCs/>
              </w:rPr>
              <w:t xml:space="preserve">each </w:t>
            </w:r>
            <w:r w:rsidRPr="001F7BB9">
              <w:rPr>
                <w:rFonts w:ascii="Arial" w:hAnsi="Arial" w:cs="Arial"/>
                <w:bCs/>
              </w:rPr>
              <w:t>Board meeting.</w:t>
            </w:r>
          </w:p>
          <w:p w14:paraId="12080F61" w14:textId="580902FD" w:rsidR="00D50B02" w:rsidRPr="001F7BB9" w:rsidRDefault="00D50B02"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Agreed with the recommendation to review and update the Terms of Reference for the Security Committee</w:t>
            </w:r>
            <w:r w:rsidR="00854DF7" w:rsidRPr="001F7BB9">
              <w:rPr>
                <w:rFonts w:ascii="Arial" w:hAnsi="Arial" w:cs="Arial"/>
                <w:bCs/>
              </w:rPr>
              <w:t xml:space="preserve"> (SC)</w:t>
            </w:r>
            <w:r w:rsidRPr="001F7BB9">
              <w:rPr>
                <w:rFonts w:ascii="Arial" w:hAnsi="Arial" w:cs="Arial"/>
                <w:bCs/>
              </w:rPr>
              <w:t xml:space="preserve"> to bring clarity about its primary purpose.</w:t>
            </w:r>
          </w:p>
          <w:p w14:paraId="5A42BE66" w14:textId="1B137728" w:rsidR="00D50B02" w:rsidRPr="001F7BB9" w:rsidRDefault="00D50B02"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lastRenderedPageBreak/>
              <w:t>Highlighted the need to be careful about blurring the lines of accountability when looking at relationships between Board and SLT.</w:t>
            </w:r>
          </w:p>
          <w:p w14:paraId="4D8F37CE" w14:textId="7F5FB5FB" w:rsidR="00D50B02" w:rsidRPr="001F7BB9" w:rsidRDefault="00D50B02"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 xml:space="preserve">Considered whether coaching from NEDs could be provided to SLT but concluded that this could undermine the collective role of the Board and needed to be thought </w:t>
            </w:r>
            <w:r w:rsidR="00243EB4" w:rsidRPr="001F7BB9">
              <w:rPr>
                <w:rFonts w:ascii="Arial" w:hAnsi="Arial" w:cs="Arial"/>
                <w:bCs/>
              </w:rPr>
              <w:t>through</w:t>
            </w:r>
            <w:r w:rsidRPr="001F7BB9">
              <w:rPr>
                <w:rFonts w:ascii="Arial" w:hAnsi="Arial" w:cs="Arial"/>
                <w:bCs/>
              </w:rPr>
              <w:t xml:space="preserve"> more widely and in the sense of </w:t>
            </w:r>
            <w:r w:rsidR="00274C27" w:rsidRPr="001F7BB9">
              <w:rPr>
                <w:rFonts w:ascii="Arial" w:hAnsi="Arial" w:cs="Arial"/>
                <w:bCs/>
              </w:rPr>
              <w:t xml:space="preserve">building </w:t>
            </w:r>
            <w:r w:rsidRPr="001F7BB9">
              <w:rPr>
                <w:rFonts w:ascii="Arial" w:hAnsi="Arial" w:cs="Arial"/>
                <w:bCs/>
              </w:rPr>
              <w:t>capability</w:t>
            </w:r>
            <w:r w:rsidR="00274C27" w:rsidRPr="001F7BB9">
              <w:rPr>
                <w:rFonts w:ascii="Arial" w:hAnsi="Arial" w:cs="Arial"/>
                <w:bCs/>
              </w:rPr>
              <w:t>.</w:t>
            </w:r>
            <w:r w:rsidR="00243EB4" w:rsidRPr="001F7BB9">
              <w:rPr>
                <w:rFonts w:ascii="Arial" w:hAnsi="Arial" w:cs="Arial"/>
                <w:bCs/>
              </w:rPr>
              <w:t xml:space="preserve"> </w:t>
            </w:r>
          </w:p>
          <w:p w14:paraId="0A5CB122" w14:textId="77777777" w:rsidR="00D50B02" w:rsidRPr="001F7BB9" w:rsidRDefault="00D50B02" w:rsidP="00D50B02">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Highlighted the need to be clear on boundaries, and that they be reset so that everyone is clear on expectations and responsibilities.</w:t>
            </w:r>
          </w:p>
          <w:p w14:paraId="3F0AF9C8" w14:textId="7B0F52DC" w:rsidR="00B661F2" w:rsidRPr="001F7BB9" w:rsidRDefault="00D50B02" w:rsidP="008E0F2F">
            <w:pPr>
              <w:pStyle w:val="ListParagraph"/>
              <w:numPr>
                <w:ilvl w:val="0"/>
                <w:numId w:val="44"/>
              </w:numPr>
              <w:tabs>
                <w:tab w:val="left" w:pos="5347"/>
              </w:tabs>
              <w:spacing w:after="160" w:line="259" w:lineRule="auto"/>
              <w:rPr>
                <w:rFonts w:ascii="Arial" w:hAnsi="Arial" w:cs="Arial"/>
                <w:bCs/>
              </w:rPr>
            </w:pPr>
            <w:r w:rsidRPr="001F7BB9">
              <w:rPr>
                <w:rFonts w:ascii="Arial" w:hAnsi="Arial" w:cs="Arial"/>
                <w:bCs/>
              </w:rPr>
              <w:t>Noted that a recent GIAA report on corporate governance would complement the external review.</w:t>
            </w:r>
          </w:p>
        </w:tc>
      </w:tr>
      <w:tr w:rsidR="00D50B02" w:rsidRPr="001F7BB9" w14:paraId="6BE3885F" w14:textId="77777777" w:rsidTr="00D4484E">
        <w:trPr>
          <w:trHeight w:val="399"/>
        </w:trPr>
        <w:tc>
          <w:tcPr>
            <w:tcW w:w="1141" w:type="dxa"/>
          </w:tcPr>
          <w:p w14:paraId="0936A582" w14:textId="740B686B" w:rsidR="00D50B02" w:rsidRPr="001F7BB9" w:rsidRDefault="00D50B02" w:rsidP="004E210C">
            <w:pPr>
              <w:tabs>
                <w:tab w:val="left" w:pos="5347"/>
              </w:tabs>
              <w:rPr>
                <w:rFonts w:ascii="Arial" w:hAnsi="Arial" w:cs="Arial"/>
              </w:rPr>
            </w:pPr>
            <w:r w:rsidRPr="001F7BB9">
              <w:rPr>
                <w:rFonts w:ascii="Arial" w:hAnsi="Arial" w:cs="Arial"/>
              </w:rPr>
              <w:lastRenderedPageBreak/>
              <w:t>11.8</w:t>
            </w:r>
          </w:p>
        </w:tc>
        <w:tc>
          <w:tcPr>
            <w:tcW w:w="7875" w:type="dxa"/>
          </w:tcPr>
          <w:p w14:paraId="10782301" w14:textId="7ED6ADD6" w:rsidR="00D50B02" w:rsidRPr="001F7BB9" w:rsidRDefault="008E0F2F" w:rsidP="006F7C06">
            <w:pPr>
              <w:tabs>
                <w:tab w:val="left" w:pos="5347"/>
              </w:tabs>
              <w:spacing w:after="160" w:line="259" w:lineRule="auto"/>
              <w:rPr>
                <w:rFonts w:ascii="Arial" w:hAnsi="Arial" w:cs="Arial"/>
                <w:bCs/>
              </w:rPr>
            </w:pPr>
            <w:r w:rsidRPr="001F7BB9">
              <w:rPr>
                <w:rFonts w:ascii="Arial" w:hAnsi="Arial" w:cs="Arial"/>
                <w:bCs/>
              </w:rPr>
              <w:t xml:space="preserve">The Chair thanked Campbell Tickell for their report and confirmed that she would work with the </w:t>
            </w:r>
            <w:r w:rsidR="006F7C06" w:rsidRPr="001F7BB9">
              <w:rPr>
                <w:rFonts w:ascii="Arial" w:hAnsi="Arial" w:cs="Arial"/>
                <w:bCs/>
              </w:rPr>
              <w:t>Head of Corporate Governance and Compliance</w:t>
            </w:r>
            <w:r w:rsidRPr="001F7BB9">
              <w:rPr>
                <w:rFonts w:ascii="Arial" w:hAnsi="Arial" w:cs="Arial"/>
                <w:bCs/>
              </w:rPr>
              <w:t xml:space="preserve"> on recommendations and next steps which would be taken forward and </w:t>
            </w:r>
            <w:r w:rsidR="00106330" w:rsidRPr="001F7BB9">
              <w:rPr>
                <w:rFonts w:ascii="Arial" w:hAnsi="Arial" w:cs="Arial"/>
                <w:bCs/>
              </w:rPr>
              <w:t xml:space="preserve">then </w:t>
            </w:r>
            <w:r w:rsidRPr="001F7BB9">
              <w:rPr>
                <w:rFonts w:ascii="Arial" w:hAnsi="Arial" w:cs="Arial"/>
                <w:bCs/>
              </w:rPr>
              <w:t>circulated to Board for comment and agreement.</w:t>
            </w:r>
          </w:p>
        </w:tc>
      </w:tr>
      <w:tr w:rsidR="004E210C" w:rsidRPr="001F7BB9" w14:paraId="0DA1DAED" w14:textId="77777777" w:rsidTr="00D4484E">
        <w:trPr>
          <w:trHeight w:val="399"/>
        </w:trPr>
        <w:tc>
          <w:tcPr>
            <w:tcW w:w="1141" w:type="dxa"/>
          </w:tcPr>
          <w:p w14:paraId="2950FF90" w14:textId="33164AF9" w:rsidR="004E210C" w:rsidRPr="001F7BB9" w:rsidRDefault="008E0F2F" w:rsidP="004E210C">
            <w:pPr>
              <w:tabs>
                <w:tab w:val="left" w:pos="5347"/>
              </w:tabs>
              <w:rPr>
                <w:rFonts w:ascii="Arial" w:hAnsi="Arial" w:cs="Arial"/>
                <w:b/>
                <w:bCs/>
              </w:rPr>
            </w:pPr>
            <w:r w:rsidRPr="001F7BB9">
              <w:rPr>
                <w:rFonts w:ascii="Arial" w:hAnsi="Arial" w:cs="Arial"/>
                <w:b/>
                <w:bCs/>
              </w:rPr>
              <w:t>12</w:t>
            </w:r>
          </w:p>
        </w:tc>
        <w:tc>
          <w:tcPr>
            <w:tcW w:w="7875" w:type="dxa"/>
          </w:tcPr>
          <w:p w14:paraId="4E9E7F99" w14:textId="77777777" w:rsidR="004E210C" w:rsidRPr="001F7BB9" w:rsidRDefault="004E210C" w:rsidP="004E210C">
            <w:pPr>
              <w:tabs>
                <w:tab w:val="left" w:pos="5347"/>
              </w:tabs>
              <w:rPr>
                <w:rFonts w:ascii="Arial" w:hAnsi="Arial" w:cs="Arial"/>
                <w:b/>
              </w:rPr>
            </w:pPr>
            <w:r w:rsidRPr="001F7BB9">
              <w:rPr>
                <w:rFonts w:ascii="Arial" w:hAnsi="Arial" w:cs="Arial"/>
                <w:b/>
              </w:rPr>
              <w:t>Summing up and Close</w:t>
            </w:r>
          </w:p>
          <w:p w14:paraId="2368FC40" w14:textId="77777777" w:rsidR="004E210C" w:rsidRPr="001F7BB9" w:rsidRDefault="004E210C" w:rsidP="004E210C">
            <w:pPr>
              <w:tabs>
                <w:tab w:val="left" w:pos="5347"/>
              </w:tabs>
              <w:rPr>
                <w:rFonts w:ascii="Arial" w:hAnsi="Arial" w:cs="Arial"/>
                <w:bCs/>
              </w:rPr>
            </w:pPr>
          </w:p>
        </w:tc>
      </w:tr>
      <w:tr w:rsidR="00191EF3" w:rsidRPr="001F7BB9" w14:paraId="7C3EE10A" w14:textId="77777777" w:rsidTr="00D4484E">
        <w:trPr>
          <w:trHeight w:val="399"/>
        </w:trPr>
        <w:tc>
          <w:tcPr>
            <w:tcW w:w="1141" w:type="dxa"/>
          </w:tcPr>
          <w:p w14:paraId="117D8A0D" w14:textId="43DABECB" w:rsidR="00191EF3" w:rsidRPr="001F7BB9" w:rsidRDefault="008E0F2F" w:rsidP="004E210C">
            <w:pPr>
              <w:tabs>
                <w:tab w:val="left" w:pos="5347"/>
              </w:tabs>
              <w:rPr>
                <w:rFonts w:ascii="Arial" w:hAnsi="Arial" w:cs="Arial"/>
              </w:rPr>
            </w:pPr>
            <w:r w:rsidRPr="001F7BB9">
              <w:rPr>
                <w:rFonts w:ascii="Arial" w:hAnsi="Arial" w:cs="Arial"/>
              </w:rPr>
              <w:t>12.1</w:t>
            </w:r>
          </w:p>
        </w:tc>
        <w:tc>
          <w:tcPr>
            <w:tcW w:w="7875" w:type="dxa"/>
          </w:tcPr>
          <w:p w14:paraId="2F61C682" w14:textId="4CAC77B2" w:rsidR="00FB57AE" w:rsidRPr="001F7BB9" w:rsidRDefault="00191EF3" w:rsidP="008D7D9D">
            <w:pPr>
              <w:tabs>
                <w:tab w:val="left" w:pos="5347"/>
              </w:tabs>
              <w:rPr>
                <w:rFonts w:asciiTheme="minorBidi" w:hAnsiTheme="minorBidi" w:cstheme="minorBidi"/>
              </w:rPr>
            </w:pPr>
            <w:r w:rsidRPr="001F7BB9">
              <w:rPr>
                <w:rFonts w:asciiTheme="minorBidi" w:hAnsiTheme="minorBidi" w:cstheme="minorBidi"/>
              </w:rPr>
              <w:t>The Chair invited the observer to share h</w:t>
            </w:r>
            <w:r w:rsidR="008E0F2F" w:rsidRPr="001F7BB9">
              <w:rPr>
                <w:rFonts w:asciiTheme="minorBidi" w:hAnsiTheme="minorBidi" w:cstheme="minorBidi"/>
              </w:rPr>
              <w:t>is</w:t>
            </w:r>
            <w:r w:rsidRPr="001F7BB9">
              <w:rPr>
                <w:rFonts w:asciiTheme="minorBidi" w:hAnsiTheme="minorBidi" w:cstheme="minorBidi"/>
              </w:rPr>
              <w:t xml:space="preserve"> reflections of the meeting.</w:t>
            </w:r>
            <w:r w:rsidR="00695A2E" w:rsidRPr="001F7BB9">
              <w:rPr>
                <w:rFonts w:asciiTheme="minorBidi" w:hAnsiTheme="minorBidi" w:cstheme="minorBidi"/>
              </w:rPr>
              <w:t xml:space="preserve"> He commented on the dynamics of the Board and the constructive challenge that had been observed</w:t>
            </w:r>
            <w:r w:rsidR="00FB57AE" w:rsidRPr="001F7BB9">
              <w:rPr>
                <w:rFonts w:asciiTheme="minorBidi" w:hAnsiTheme="minorBidi" w:cstheme="minorBidi"/>
              </w:rPr>
              <w:t xml:space="preserve"> </w:t>
            </w:r>
            <w:r w:rsidR="00695A2E" w:rsidRPr="001F7BB9">
              <w:rPr>
                <w:rFonts w:asciiTheme="minorBidi" w:hAnsiTheme="minorBidi" w:cstheme="minorBidi"/>
              </w:rPr>
              <w:t>but reflected on the risk of closing discussions too early and allowing for longer discussion time on agenda items.</w:t>
            </w:r>
          </w:p>
          <w:p w14:paraId="1825C68D" w14:textId="7DA0B933" w:rsidR="0047059E" w:rsidRPr="001F7BB9" w:rsidRDefault="0047059E" w:rsidP="008D7D9D">
            <w:pPr>
              <w:tabs>
                <w:tab w:val="left" w:pos="5347"/>
              </w:tabs>
              <w:rPr>
                <w:rFonts w:asciiTheme="minorBidi" w:hAnsiTheme="minorBidi" w:cstheme="minorBidi"/>
                <w:highlight w:val="yellow"/>
              </w:rPr>
            </w:pPr>
          </w:p>
        </w:tc>
      </w:tr>
      <w:tr w:rsidR="00424ADE" w:rsidRPr="001F7BB9" w14:paraId="1A89D77A" w14:textId="77777777" w:rsidTr="00D4484E">
        <w:trPr>
          <w:trHeight w:val="399"/>
        </w:trPr>
        <w:tc>
          <w:tcPr>
            <w:tcW w:w="1141" w:type="dxa"/>
          </w:tcPr>
          <w:p w14:paraId="7D29735C" w14:textId="2819EA00" w:rsidR="00424ADE" w:rsidRPr="001F7BB9" w:rsidRDefault="00EA35FD" w:rsidP="004E210C">
            <w:pPr>
              <w:tabs>
                <w:tab w:val="left" w:pos="5347"/>
              </w:tabs>
              <w:rPr>
                <w:rFonts w:ascii="Arial" w:hAnsi="Arial" w:cs="Arial"/>
              </w:rPr>
            </w:pPr>
            <w:r w:rsidRPr="001F7BB9">
              <w:rPr>
                <w:rFonts w:ascii="Arial" w:hAnsi="Arial" w:cs="Arial"/>
              </w:rPr>
              <w:t>12</w:t>
            </w:r>
            <w:r w:rsidR="007F0E92" w:rsidRPr="001F7BB9">
              <w:rPr>
                <w:rFonts w:ascii="Arial" w:hAnsi="Arial" w:cs="Arial"/>
              </w:rPr>
              <w:t>.2</w:t>
            </w:r>
          </w:p>
        </w:tc>
        <w:tc>
          <w:tcPr>
            <w:tcW w:w="7875" w:type="dxa"/>
          </w:tcPr>
          <w:p w14:paraId="6473B551" w14:textId="0C459001" w:rsidR="00EA35FD" w:rsidRPr="001F7BB9" w:rsidRDefault="00ED24F0" w:rsidP="00EA35FD">
            <w:pPr>
              <w:tabs>
                <w:tab w:val="left" w:pos="5347"/>
              </w:tabs>
              <w:rPr>
                <w:rFonts w:asciiTheme="minorBidi" w:hAnsiTheme="minorBidi" w:cstheme="minorBidi"/>
              </w:rPr>
            </w:pPr>
            <w:r w:rsidRPr="001F7BB9">
              <w:rPr>
                <w:rFonts w:asciiTheme="minorBidi" w:hAnsiTheme="minorBidi" w:cstheme="minorBidi"/>
              </w:rPr>
              <w:t>The A</w:t>
            </w:r>
            <w:r w:rsidR="00243EB4" w:rsidRPr="001F7BB9">
              <w:rPr>
                <w:rFonts w:asciiTheme="minorBidi" w:hAnsiTheme="minorBidi" w:cstheme="minorBidi"/>
              </w:rPr>
              <w:t xml:space="preserve">udit and </w:t>
            </w:r>
            <w:r w:rsidRPr="001F7BB9">
              <w:rPr>
                <w:rFonts w:asciiTheme="minorBidi" w:hAnsiTheme="minorBidi" w:cstheme="minorBidi"/>
              </w:rPr>
              <w:t>R</w:t>
            </w:r>
            <w:r w:rsidR="00243EB4" w:rsidRPr="001F7BB9">
              <w:rPr>
                <w:rFonts w:asciiTheme="minorBidi" w:hAnsiTheme="minorBidi" w:cstheme="minorBidi"/>
              </w:rPr>
              <w:t xml:space="preserve">isk </w:t>
            </w:r>
            <w:r w:rsidRPr="001F7BB9">
              <w:rPr>
                <w:rFonts w:asciiTheme="minorBidi" w:hAnsiTheme="minorBidi" w:cstheme="minorBidi"/>
              </w:rPr>
              <w:t>A</w:t>
            </w:r>
            <w:r w:rsidR="00243EB4" w:rsidRPr="001F7BB9">
              <w:rPr>
                <w:rFonts w:asciiTheme="minorBidi" w:hAnsiTheme="minorBidi" w:cstheme="minorBidi"/>
              </w:rPr>
              <w:t xml:space="preserve">ssurance </w:t>
            </w:r>
            <w:r w:rsidRPr="001F7BB9">
              <w:rPr>
                <w:rFonts w:asciiTheme="minorBidi" w:hAnsiTheme="minorBidi" w:cstheme="minorBidi"/>
              </w:rPr>
              <w:t>C</w:t>
            </w:r>
            <w:r w:rsidR="00243EB4" w:rsidRPr="001F7BB9">
              <w:rPr>
                <w:rFonts w:asciiTheme="minorBidi" w:hAnsiTheme="minorBidi" w:cstheme="minorBidi"/>
              </w:rPr>
              <w:t>ommittee</w:t>
            </w:r>
            <w:r w:rsidR="00854DF7" w:rsidRPr="001F7BB9">
              <w:rPr>
                <w:rFonts w:asciiTheme="minorBidi" w:hAnsiTheme="minorBidi" w:cstheme="minorBidi"/>
              </w:rPr>
              <w:t xml:space="preserve"> (ARAC)</w:t>
            </w:r>
            <w:r w:rsidRPr="001F7BB9">
              <w:rPr>
                <w:rFonts w:asciiTheme="minorBidi" w:hAnsiTheme="minorBidi" w:cstheme="minorBidi"/>
              </w:rPr>
              <w:t xml:space="preserve"> Chair </w:t>
            </w:r>
            <w:r w:rsidR="00243EB4" w:rsidRPr="001F7BB9">
              <w:rPr>
                <w:rFonts w:asciiTheme="minorBidi" w:hAnsiTheme="minorBidi" w:cstheme="minorBidi"/>
              </w:rPr>
              <w:t xml:space="preserve">confirmed his intention to </w:t>
            </w:r>
            <w:r w:rsidRPr="001F7BB9">
              <w:rPr>
                <w:rFonts w:asciiTheme="minorBidi" w:hAnsiTheme="minorBidi" w:cstheme="minorBidi"/>
              </w:rPr>
              <w:t xml:space="preserve">circulate to the Board a note </w:t>
            </w:r>
            <w:r w:rsidR="00EA35FD" w:rsidRPr="001F7BB9">
              <w:rPr>
                <w:rFonts w:asciiTheme="minorBidi" w:hAnsiTheme="minorBidi" w:cstheme="minorBidi"/>
              </w:rPr>
              <w:t>summarising the discussions from the April A</w:t>
            </w:r>
            <w:r w:rsidR="00854DF7" w:rsidRPr="001F7BB9">
              <w:rPr>
                <w:rFonts w:asciiTheme="minorBidi" w:hAnsiTheme="minorBidi" w:cstheme="minorBidi"/>
              </w:rPr>
              <w:t>RAC</w:t>
            </w:r>
            <w:r w:rsidR="00EA35FD" w:rsidRPr="001F7BB9">
              <w:rPr>
                <w:rFonts w:asciiTheme="minorBidi" w:hAnsiTheme="minorBidi" w:cstheme="minorBidi"/>
              </w:rPr>
              <w:t xml:space="preserve"> meeting.</w:t>
            </w:r>
          </w:p>
          <w:p w14:paraId="3A3B932C" w14:textId="315E57A6" w:rsidR="00EA35FD" w:rsidRPr="001F7BB9" w:rsidRDefault="00EA35FD" w:rsidP="00EA35FD">
            <w:pPr>
              <w:tabs>
                <w:tab w:val="left" w:pos="5347"/>
              </w:tabs>
              <w:rPr>
                <w:rFonts w:asciiTheme="minorBidi" w:hAnsiTheme="minorBidi" w:cstheme="minorBidi"/>
                <w:caps/>
              </w:rPr>
            </w:pPr>
          </w:p>
        </w:tc>
      </w:tr>
      <w:tr w:rsidR="00EA35FD" w:rsidRPr="001F7BB9" w14:paraId="606F153A" w14:textId="77777777" w:rsidTr="00D4484E">
        <w:trPr>
          <w:trHeight w:val="399"/>
        </w:trPr>
        <w:tc>
          <w:tcPr>
            <w:tcW w:w="1141" w:type="dxa"/>
          </w:tcPr>
          <w:p w14:paraId="1A99004C" w14:textId="50F618BC" w:rsidR="00EA35FD" w:rsidRPr="001F7BB9" w:rsidRDefault="00EA35FD" w:rsidP="004E210C">
            <w:pPr>
              <w:tabs>
                <w:tab w:val="left" w:pos="5347"/>
              </w:tabs>
              <w:rPr>
                <w:rFonts w:ascii="Arial" w:hAnsi="Arial" w:cs="Arial"/>
              </w:rPr>
            </w:pPr>
            <w:r w:rsidRPr="001F7BB9">
              <w:rPr>
                <w:rFonts w:ascii="Arial" w:hAnsi="Arial" w:cs="Arial"/>
              </w:rPr>
              <w:t>12.3</w:t>
            </w:r>
          </w:p>
        </w:tc>
        <w:tc>
          <w:tcPr>
            <w:tcW w:w="7875" w:type="dxa"/>
          </w:tcPr>
          <w:p w14:paraId="6CD92047" w14:textId="394EF173" w:rsidR="00EA35FD" w:rsidRPr="001F7BB9" w:rsidRDefault="00CF52D8" w:rsidP="00362477">
            <w:pPr>
              <w:tabs>
                <w:tab w:val="left" w:pos="5347"/>
              </w:tabs>
              <w:rPr>
                <w:rFonts w:asciiTheme="minorBidi" w:hAnsiTheme="minorBidi" w:cstheme="minorBidi"/>
              </w:rPr>
            </w:pPr>
            <w:r w:rsidRPr="001F7BB9">
              <w:rPr>
                <w:rFonts w:asciiTheme="minorBidi" w:hAnsiTheme="minorBidi" w:cstheme="minorBidi"/>
              </w:rPr>
              <w:t>The S</w:t>
            </w:r>
            <w:r w:rsidR="00854DF7" w:rsidRPr="001F7BB9">
              <w:rPr>
                <w:rFonts w:asciiTheme="minorBidi" w:hAnsiTheme="minorBidi" w:cstheme="minorBidi"/>
              </w:rPr>
              <w:t>C</w:t>
            </w:r>
            <w:r w:rsidRPr="001F7BB9">
              <w:rPr>
                <w:rFonts w:asciiTheme="minorBidi" w:hAnsiTheme="minorBidi" w:cstheme="minorBidi"/>
              </w:rPr>
              <w:t xml:space="preserve"> Chair provided an update from the recent meeting which had looked at the </w:t>
            </w:r>
            <w:r w:rsidR="008B6584" w:rsidRPr="001F7BB9">
              <w:rPr>
                <w:rFonts w:asciiTheme="minorBidi" w:hAnsiTheme="minorBidi" w:cstheme="minorBidi"/>
              </w:rPr>
              <w:t xml:space="preserve">Annual Review of Security. A reduction in the </w:t>
            </w:r>
            <w:r w:rsidR="00EB1876" w:rsidRPr="001F7BB9">
              <w:rPr>
                <w:rFonts w:asciiTheme="minorBidi" w:hAnsiTheme="minorBidi" w:cstheme="minorBidi"/>
              </w:rPr>
              <w:t xml:space="preserve">level </w:t>
            </w:r>
            <w:r w:rsidR="00854DF7" w:rsidRPr="001F7BB9">
              <w:rPr>
                <w:rFonts w:asciiTheme="minorBidi" w:hAnsiTheme="minorBidi" w:cstheme="minorBidi"/>
              </w:rPr>
              <w:t xml:space="preserve">of </w:t>
            </w:r>
            <w:r w:rsidR="00EB1876" w:rsidRPr="001F7BB9">
              <w:rPr>
                <w:rFonts w:asciiTheme="minorBidi" w:hAnsiTheme="minorBidi" w:cstheme="minorBidi"/>
              </w:rPr>
              <w:t>detail in some of the papers</w:t>
            </w:r>
            <w:r w:rsidR="008B6584" w:rsidRPr="001F7BB9">
              <w:rPr>
                <w:rFonts w:asciiTheme="minorBidi" w:hAnsiTheme="minorBidi" w:cstheme="minorBidi"/>
              </w:rPr>
              <w:t xml:space="preserve"> had resulted in </w:t>
            </w:r>
            <w:r w:rsidR="00854DF7" w:rsidRPr="001F7BB9">
              <w:rPr>
                <w:rFonts w:asciiTheme="minorBidi" w:hAnsiTheme="minorBidi" w:cstheme="minorBidi"/>
              </w:rPr>
              <w:t xml:space="preserve">generating </w:t>
            </w:r>
            <w:r w:rsidR="008B6584" w:rsidRPr="001F7BB9">
              <w:rPr>
                <w:rFonts w:asciiTheme="minorBidi" w:hAnsiTheme="minorBidi" w:cstheme="minorBidi"/>
              </w:rPr>
              <w:t>a greater level of discussion</w:t>
            </w:r>
            <w:r w:rsidR="005E5CD5" w:rsidRPr="001F7BB9">
              <w:rPr>
                <w:rFonts w:asciiTheme="minorBidi" w:hAnsiTheme="minorBidi" w:cstheme="minorBidi"/>
              </w:rPr>
              <w:t>, and noted the benefits of having representatives from other gov</w:t>
            </w:r>
            <w:r w:rsidR="00132FE4" w:rsidRPr="001F7BB9">
              <w:rPr>
                <w:rFonts w:asciiTheme="minorBidi" w:hAnsiTheme="minorBidi" w:cstheme="minorBidi"/>
              </w:rPr>
              <w:t>ernment departments in attendance.</w:t>
            </w:r>
          </w:p>
          <w:p w14:paraId="7AAD2B9D" w14:textId="25818045" w:rsidR="00132FE4" w:rsidRPr="001F7BB9" w:rsidRDefault="00132FE4" w:rsidP="00362477">
            <w:pPr>
              <w:tabs>
                <w:tab w:val="left" w:pos="5347"/>
              </w:tabs>
              <w:rPr>
                <w:rFonts w:asciiTheme="minorBidi" w:hAnsiTheme="minorBidi" w:cstheme="minorBidi"/>
              </w:rPr>
            </w:pPr>
          </w:p>
        </w:tc>
      </w:tr>
      <w:tr w:rsidR="00695A2E" w:rsidRPr="001F7BB9" w14:paraId="0BB2945E" w14:textId="77777777" w:rsidTr="00D4484E">
        <w:trPr>
          <w:trHeight w:val="399"/>
        </w:trPr>
        <w:tc>
          <w:tcPr>
            <w:tcW w:w="1141" w:type="dxa"/>
          </w:tcPr>
          <w:p w14:paraId="1843CD60" w14:textId="4CD0572C" w:rsidR="00695A2E" w:rsidRPr="001F7BB9" w:rsidRDefault="00695A2E" w:rsidP="004E210C">
            <w:pPr>
              <w:tabs>
                <w:tab w:val="left" w:pos="5347"/>
              </w:tabs>
              <w:rPr>
                <w:rFonts w:ascii="Arial" w:hAnsi="Arial" w:cs="Arial"/>
              </w:rPr>
            </w:pPr>
            <w:r w:rsidRPr="001F7BB9">
              <w:rPr>
                <w:rFonts w:ascii="Arial" w:hAnsi="Arial" w:cs="Arial"/>
              </w:rPr>
              <w:t>12.4</w:t>
            </w:r>
          </w:p>
        </w:tc>
        <w:tc>
          <w:tcPr>
            <w:tcW w:w="7875" w:type="dxa"/>
          </w:tcPr>
          <w:p w14:paraId="23F6B948" w14:textId="1448C686" w:rsidR="00695A2E" w:rsidRPr="001F7BB9" w:rsidRDefault="00695A2E" w:rsidP="00695A2E">
            <w:pPr>
              <w:tabs>
                <w:tab w:val="left" w:pos="5347"/>
              </w:tabs>
              <w:rPr>
                <w:rFonts w:asciiTheme="minorBidi" w:hAnsiTheme="minorBidi" w:cstheme="minorBidi"/>
              </w:rPr>
            </w:pPr>
            <w:r w:rsidRPr="001F7BB9">
              <w:rPr>
                <w:rFonts w:asciiTheme="minorBidi" w:hAnsiTheme="minorBidi" w:cstheme="minorBidi"/>
              </w:rPr>
              <w:t xml:space="preserve">The Board requested a short health and safety briefing before future </w:t>
            </w:r>
            <w:r w:rsidR="00F07450" w:rsidRPr="001F7BB9">
              <w:rPr>
                <w:rFonts w:asciiTheme="minorBidi" w:hAnsiTheme="minorBidi" w:cstheme="minorBidi"/>
              </w:rPr>
              <w:t>B</w:t>
            </w:r>
            <w:r w:rsidRPr="001F7BB9">
              <w:rPr>
                <w:rFonts w:asciiTheme="minorBidi" w:hAnsiTheme="minorBidi" w:cstheme="minorBidi"/>
              </w:rPr>
              <w:t xml:space="preserve">oard meetings to advise of any expected activity such as fire alarm </w:t>
            </w:r>
            <w:r w:rsidR="00F07450" w:rsidRPr="001F7BB9">
              <w:rPr>
                <w:rFonts w:asciiTheme="minorBidi" w:hAnsiTheme="minorBidi" w:cstheme="minorBidi"/>
              </w:rPr>
              <w:t xml:space="preserve">tests or </w:t>
            </w:r>
            <w:r w:rsidRPr="001F7BB9">
              <w:rPr>
                <w:rFonts w:asciiTheme="minorBidi" w:hAnsiTheme="minorBidi" w:cstheme="minorBidi"/>
              </w:rPr>
              <w:t>drills.</w:t>
            </w:r>
          </w:p>
          <w:p w14:paraId="7C2AA96C" w14:textId="0A996DC4" w:rsidR="00695A2E" w:rsidRPr="001F7BB9" w:rsidRDefault="00695A2E" w:rsidP="00695A2E">
            <w:pPr>
              <w:tabs>
                <w:tab w:val="left" w:pos="5347"/>
              </w:tabs>
              <w:rPr>
                <w:rFonts w:asciiTheme="minorBidi" w:hAnsiTheme="minorBidi" w:cstheme="minorBidi"/>
              </w:rPr>
            </w:pPr>
          </w:p>
        </w:tc>
      </w:tr>
      <w:tr w:rsidR="000845E9" w:rsidRPr="001F7BB9" w14:paraId="4DBB6F37" w14:textId="77777777" w:rsidTr="00D4484E">
        <w:trPr>
          <w:trHeight w:val="399"/>
        </w:trPr>
        <w:tc>
          <w:tcPr>
            <w:tcW w:w="1141" w:type="dxa"/>
          </w:tcPr>
          <w:p w14:paraId="1682B5BE" w14:textId="5CC64CD7" w:rsidR="000845E9" w:rsidRPr="001F7BB9" w:rsidRDefault="00EA35FD" w:rsidP="004E210C">
            <w:pPr>
              <w:tabs>
                <w:tab w:val="left" w:pos="5347"/>
              </w:tabs>
              <w:rPr>
                <w:rFonts w:ascii="Arial" w:hAnsi="Arial" w:cs="Arial"/>
              </w:rPr>
            </w:pPr>
            <w:r w:rsidRPr="001F7BB9">
              <w:rPr>
                <w:rFonts w:ascii="Arial" w:hAnsi="Arial" w:cs="Arial"/>
              </w:rPr>
              <w:t>12</w:t>
            </w:r>
            <w:r w:rsidR="007F0E92" w:rsidRPr="001F7BB9">
              <w:rPr>
                <w:rFonts w:ascii="Arial" w:hAnsi="Arial" w:cs="Arial"/>
              </w:rPr>
              <w:t>.</w:t>
            </w:r>
            <w:r w:rsidR="00695A2E" w:rsidRPr="001F7BB9">
              <w:rPr>
                <w:rFonts w:ascii="Arial" w:hAnsi="Arial" w:cs="Arial"/>
              </w:rPr>
              <w:t>5</w:t>
            </w:r>
          </w:p>
        </w:tc>
        <w:tc>
          <w:tcPr>
            <w:tcW w:w="7875" w:type="dxa"/>
          </w:tcPr>
          <w:p w14:paraId="49C6AEFA" w14:textId="77777777" w:rsidR="00362477" w:rsidRDefault="000845E9" w:rsidP="00695A2E">
            <w:pPr>
              <w:tabs>
                <w:tab w:val="left" w:pos="5347"/>
              </w:tabs>
              <w:rPr>
                <w:rFonts w:asciiTheme="minorBidi" w:hAnsiTheme="minorBidi" w:cstheme="minorBidi"/>
              </w:rPr>
            </w:pPr>
            <w:r w:rsidRPr="001F7BB9">
              <w:rPr>
                <w:rFonts w:asciiTheme="minorBidi" w:hAnsiTheme="minorBidi" w:cstheme="minorBidi"/>
              </w:rPr>
              <w:t>There was no other business raised. The Chair formally closed the meeting.</w:t>
            </w:r>
          </w:p>
          <w:p w14:paraId="2F82F345" w14:textId="2D4768C8" w:rsidR="0022432D" w:rsidRPr="001F7BB9" w:rsidRDefault="0022432D" w:rsidP="00695A2E">
            <w:pPr>
              <w:tabs>
                <w:tab w:val="left" w:pos="5347"/>
              </w:tabs>
              <w:rPr>
                <w:rFonts w:asciiTheme="minorBidi" w:hAnsiTheme="minorBidi" w:cstheme="minorBidi"/>
              </w:rPr>
            </w:pPr>
          </w:p>
        </w:tc>
      </w:tr>
      <w:tr w:rsidR="004E210C" w:rsidRPr="001F7BB9" w14:paraId="69897DBE" w14:textId="77777777" w:rsidTr="00D4484E">
        <w:trPr>
          <w:trHeight w:val="399"/>
        </w:trPr>
        <w:tc>
          <w:tcPr>
            <w:tcW w:w="1141" w:type="dxa"/>
          </w:tcPr>
          <w:p w14:paraId="008EBE2D" w14:textId="77777777" w:rsidR="004E210C" w:rsidRPr="001F7BB9" w:rsidRDefault="004E210C" w:rsidP="004E210C">
            <w:pPr>
              <w:tabs>
                <w:tab w:val="left" w:pos="5347"/>
              </w:tabs>
              <w:rPr>
                <w:rFonts w:ascii="Arial" w:hAnsi="Arial" w:cs="Arial"/>
              </w:rPr>
            </w:pPr>
          </w:p>
        </w:tc>
        <w:tc>
          <w:tcPr>
            <w:tcW w:w="7875" w:type="dxa"/>
          </w:tcPr>
          <w:p w14:paraId="3E0944AB" w14:textId="6A258442" w:rsidR="004E210C" w:rsidRPr="001F7BB9" w:rsidRDefault="004E210C" w:rsidP="004E210C">
            <w:pPr>
              <w:tabs>
                <w:tab w:val="left" w:pos="5347"/>
              </w:tabs>
              <w:rPr>
                <w:rFonts w:ascii="Arial" w:hAnsi="Arial" w:cs="Arial"/>
                <w:bCs/>
              </w:rPr>
            </w:pPr>
            <w:r w:rsidRPr="001F7BB9">
              <w:rPr>
                <w:rFonts w:ascii="Arial" w:hAnsi="Arial" w:cs="Arial"/>
                <w:b/>
              </w:rPr>
              <w:t xml:space="preserve">Date and Location of Next Meeting: </w:t>
            </w:r>
            <w:r w:rsidR="0047114A" w:rsidRPr="001F7BB9">
              <w:rPr>
                <w:rFonts w:ascii="Arial" w:hAnsi="Arial" w:cs="Arial"/>
                <w:bCs/>
              </w:rPr>
              <w:t>4</w:t>
            </w:r>
            <w:r w:rsidR="0047114A" w:rsidRPr="001F7BB9">
              <w:rPr>
                <w:rFonts w:ascii="Arial" w:hAnsi="Arial" w:cs="Arial"/>
                <w:b/>
              </w:rPr>
              <w:t xml:space="preserve"> </w:t>
            </w:r>
            <w:r w:rsidR="00563E8C" w:rsidRPr="001F7BB9">
              <w:rPr>
                <w:rFonts w:ascii="Arial" w:hAnsi="Arial" w:cs="Arial"/>
                <w:bCs/>
              </w:rPr>
              <w:t>June</w:t>
            </w:r>
            <w:r w:rsidR="00AA2C30" w:rsidRPr="001F7BB9">
              <w:rPr>
                <w:rStyle w:val="FootnoteReference"/>
                <w:rFonts w:ascii="Arial" w:hAnsi="Arial" w:cs="Arial"/>
                <w:bCs/>
              </w:rPr>
              <w:footnoteReference w:id="5"/>
            </w:r>
            <w:r w:rsidR="00563E8C" w:rsidRPr="001F7BB9">
              <w:rPr>
                <w:rFonts w:ascii="Arial" w:hAnsi="Arial" w:cs="Arial"/>
                <w:bCs/>
              </w:rPr>
              <w:t>, Redgrave Court, Bootle</w:t>
            </w:r>
            <w:r w:rsidR="00854DF7" w:rsidRPr="001F7BB9">
              <w:rPr>
                <w:rFonts w:ascii="Arial" w:hAnsi="Arial" w:cs="Arial"/>
                <w:bCs/>
              </w:rPr>
              <w:t>.</w:t>
            </w:r>
          </w:p>
          <w:p w14:paraId="7F227FB0" w14:textId="77777777" w:rsidR="004E210C" w:rsidRPr="001F7BB9" w:rsidRDefault="004E210C" w:rsidP="004E210C">
            <w:pPr>
              <w:tabs>
                <w:tab w:val="left" w:pos="5347"/>
              </w:tabs>
              <w:rPr>
                <w:rFonts w:ascii="Arial" w:hAnsi="Arial" w:cs="Arial"/>
                <w:bCs/>
              </w:rPr>
            </w:pPr>
          </w:p>
        </w:tc>
      </w:tr>
      <w:tr w:rsidR="004E210C" w:rsidRPr="001F7BB9" w14:paraId="6A4E8A17" w14:textId="77777777" w:rsidTr="00D4484E">
        <w:trPr>
          <w:trHeight w:val="399"/>
        </w:trPr>
        <w:tc>
          <w:tcPr>
            <w:tcW w:w="1141" w:type="dxa"/>
          </w:tcPr>
          <w:p w14:paraId="5D647D92" w14:textId="77777777" w:rsidR="004E210C" w:rsidRPr="001F7BB9" w:rsidRDefault="004E210C" w:rsidP="004E210C">
            <w:pPr>
              <w:tabs>
                <w:tab w:val="left" w:pos="5347"/>
              </w:tabs>
              <w:rPr>
                <w:rFonts w:ascii="Arial" w:hAnsi="Arial" w:cs="Arial"/>
              </w:rPr>
            </w:pPr>
          </w:p>
        </w:tc>
        <w:tc>
          <w:tcPr>
            <w:tcW w:w="7875" w:type="dxa"/>
          </w:tcPr>
          <w:p w14:paraId="18264D42" w14:textId="5635F6E9" w:rsidR="00377A00" w:rsidRPr="001F7BB9" w:rsidRDefault="004E210C" w:rsidP="008E0F2F">
            <w:pPr>
              <w:tabs>
                <w:tab w:val="left" w:pos="5347"/>
              </w:tabs>
              <w:rPr>
                <w:rFonts w:ascii="Arial" w:hAnsi="Arial" w:cs="Arial"/>
                <w:b/>
              </w:rPr>
            </w:pPr>
            <w:r w:rsidRPr="001F7BB9">
              <w:rPr>
                <w:rFonts w:ascii="Arial" w:hAnsi="Arial" w:cs="Arial"/>
                <w:b/>
              </w:rPr>
              <w:t>Reports for Information:</w:t>
            </w:r>
          </w:p>
          <w:p w14:paraId="73324358" w14:textId="59136BAC" w:rsidR="00695A2E" w:rsidRPr="007F5EF5" w:rsidRDefault="008E0F2F" w:rsidP="007F5EF5">
            <w:pPr>
              <w:pStyle w:val="ListParagraph"/>
              <w:tabs>
                <w:tab w:val="left" w:pos="352"/>
              </w:tabs>
              <w:ind w:left="360" w:right="-766"/>
              <w:jc w:val="both"/>
              <w:rPr>
                <w:rFonts w:ascii="Arial" w:hAnsi="Arial" w:cs="Arial"/>
              </w:rPr>
            </w:pPr>
            <w:r w:rsidRPr="001F7BB9">
              <w:rPr>
                <w:rFonts w:ascii="Arial" w:hAnsi="Arial" w:cs="Arial"/>
              </w:rPr>
              <w:t>13</w:t>
            </w:r>
            <w:r w:rsidR="00377A00" w:rsidRPr="001F7BB9">
              <w:rPr>
                <w:rFonts w:ascii="Arial" w:hAnsi="Arial" w:cs="Arial"/>
              </w:rPr>
              <w:t>.</w:t>
            </w:r>
            <w:r w:rsidR="00D70173" w:rsidRPr="001F7BB9">
              <w:rPr>
                <w:rFonts w:ascii="Arial" w:hAnsi="Arial" w:cs="Arial"/>
              </w:rPr>
              <w:t xml:space="preserve"> </w:t>
            </w:r>
            <w:r w:rsidR="00377A00" w:rsidRPr="001F7BB9">
              <w:rPr>
                <w:rFonts w:ascii="Arial" w:hAnsi="Arial" w:cs="Arial"/>
              </w:rPr>
              <w:t>Board Forward Look</w:t>
            </w:r>
          </w:p>
        </w:tc>
      </w:tr>
    </w:tbl>
    <w:p w14:paraId="4FB944BC" w14:textId="77777777" w:rsidR="00594AAC" w:rsidRPr="001F7BB9" w:rsidRDefault="00594AAC" w:rsidP="00E2267D">
      <w:pPr>
        <w:tabs>
          <w:tab w:val="left" w:pos="5347"/>
        </w:tabs>
        <w:rPr>
          <w:rFonts w:ascii="Arial" w:hAnsi="Arial" w:cs="Arial"/>
          <w:bCs/>
        </w:rPr>
      </w:pPr>
    </w:p>
    <w:sectPr w:rsidR="00594AAC" w:rsidRPr="001F7BB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AFD3" w14:textId="77777777" w:rsidR="008F4370" w:rsidRDefault="008F4370" w:rsidP="00C10B8A">
      <w:r>
        <w:separator/>
      </w:r>
    </w:p>
  </w:endnote>
  <w:endnote w:type="continuationSeparator" w:id="0">
    <w:p w14:paraId="02C13E67" w14:textId="77777777" w:rsidR="008F4370" w:rsidRDefault="008F4370" w:rsidP="00C1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269D" w14:textId="6D07CAF4" w:rsidR="00C10B8A" w:rsidRDefault="00C1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2305891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63501E1" w14:textId="713B72A5" w:rsidR="00BC0353" w:rsidRPr="00BC0353" w:rsidRDefault="00BC0353">
            <w:pPr>
              <w:pStyle w:val="Footer"/>
              <w:jc w:val="right"/>
              <w:rPr>
                <w:rFonts w:ascii="Arial" w:hAnsi="Arial" w:cs="Arial"/>
              </w:rPr>
            </w:pPr>
            <w:r w:rsidRPr="00BC0353">
              <w:rPr>
                <w:rFonts w:ascii="Arial" w:hAnsi="Arial" w:cs="Arial"/>
              </w:rPr>
              <w:t xml:space="preserve">Page </w:t>
            </w:r>
            <w:r w:rsidRPr="00BC0353">
              <w:rPr>
                <w:rFonts w:ascii="Arial" w:hAnsi="Arial" w:cs="Arial"/>
              </w:rPr>
              <w:fldChar w:fldCharType="begin"/>
            </w:r>
            <w:r w:rsidRPr="00BC0353">
              <w:rPr>
                <w:rFonts w:ascii="Arial" w:hAnsi="Arial" w:cs="Arial"/>
              </w:rPr>
              <w:instrText>PAGE</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r w:rsidRPr="00BC0353">
              <w:rPr>
                <w:rFonts w:ascii="Arial" w:hAnsi="Arial" w:cs="Arial"/>
              </w:rPr>
              <w:t xml:space="preserve"> of </w:t>
            </w:r>
            <w:r w:rsidRPr="00BC0353">
              <w:rPr>
                <w:rFonts w:ascii="Arial" w:hAnsi="Arial" w:cs="Arial"/>
              </w:rPr>
              <w:fldChar w:fldCharType="begin"/>
            </w:r>
            <w:r w:rsidRPr="00BC0353">
              <w:rPr>
                <w:rFonts w:ascii="Arial" w:hAnsi="Arial" w:cs="Arial"/>
              </w:rPr>
              <w:instrText>NUMPAGES</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p>
        </w:sdtContent>
      </w:sdt>
    </w:sdtContent>
  </w:sdt>
  <w:p w14:paraId="3F0B1E1B" w14:textId="7B4D0E92" w:rsidR="00C10B8A" w:rsidRDefault="00C10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7849" w14:textId="6DC300EF" w:rsidR="00C10B8A" w:rsidRDefault="00C10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5EB0A" w14:textId="77777777" w:rsidR="008F4370" w:rsidRDefault="008F4370" w:rsidP="00C10B8A">
      <w:r>
        <w:separator/>
      </w:r>
    </w:p>
  </w:footnote>
  <w:footnote w:type="continuationSeparator" w:id="0">
    <w:p w14:paraId="0C7FD609" w14:textId="77777777" w:rsidR="008F4370" w:rsidRDefault="008F4370" w:rsidP="00C10B8A">
      <w:r>
        <w:continuationSeparator/>
      </w:r>
    </w:p>
  </w:footnote>
  <w:footnote w:id="1">
    <w:p w14:paraId="3E637419" w14:textId="2812B85D" w:rsidR="001904DC" w:rsidRDefault="001904DC">
      <w:pPr>
        <w:pStyle w:val="FootnoteText"/>
      </w:pPr>
      <w:r>
        <w:rPr>
          <w:rStyle w:val="FootnoteReference"/>
        </w:rPr>
        <w:footnoteRef/>
      </w:r>
      <w:r>
        <w:t xml:space="preserve"> Joined for Item 6</w:t>
      </w:r>
    </w:p>
  </w:footnote>
  <w:footnote w:id="2">
    <w:p w14:paraId="794F81B2" w14:textId="2B9F217D" w:rsidR="001904DC" w:rsidRDefault="001904DC">
      <w:pPr>
        <w:pStyle w:val="FootnoteText"/>
      </w:pPr>
      <w:r>
        <w:rPr>
          <w:rStyle w:val="FootnoteReference"/>
        </w:rPr>
        <w:footnoteRef/>
      </w:r>
      <w:r>
        <w:t xml:space="preserve"> Was unable to attend the full meeting but joined for Item 6</w:t>
      </w:r>
    </w:p>
  </w:footnote>
  <w:footnote w:id="3">
    <w:p w14:paraId="7E1888A5" w14:textId="5F2D5929" w:rsidR="001904DC" w:rsidRDefault="001904DC">
      <w:pPr>
        <w:pStyle w:val="FootnoteText"/>
      </w:pPr>
      <w:r>
        <w:rPr>
          <w:rStyle w:val="FootnoteReference"/>
        </w:rPr>
        <w:footnoteRef/>
      </w:r>
      <w:r>
        <w:t xml:space="preserve"> Joined for Item 5</w:t>
      </w:r>
    </w:p>
  </w:footnote>
  <w:footnote w:id="4">
    <w:p w14:paraId="652C4F88" w14:textId="7FA630C1" w:rsidR="00B2545A" w:rsidRDefault="00B2545A">
      <w:pPr>
        <w:pStyle w:val="FootnoteText"/>
      </w:pPr>
      <w:r>
        <w:rPr>
          <w:rStyle w:val="FootnoteReference"/>
        </w:rPr>
        <w:footnoteRef/>
      </w:r>
      <w:r>
        <w:t xml:space="preserve"> In line with ONR’s Corporate Governance framework, discussion would be held at RRC, with any decision confirmed and agreed by the Board.</w:t>
      </w:r>
    </w:p>
  </w:footnote>
  <w:footnote w:id="5">
    <w:p w14:paraId="4F92DD94" w14:textId="03E8AB42" w:rsidR="0024424B" w:rsidRPr="0024424B" w:rsidRDefault="00AA2C30" w:rsidP="0024424B">
      <w:pPr>
        <w:pStyle w:val="FootnoteText"/>
      </w:pPr>
      <w:r>
        <w:rPr>
          <w:rStyle w:val="FootnoteReference"/>
        </w:rPr>
        <w:footnoteRef/>
      </w:r>
      <w:r>
        <w:t xml:space="preserve"> Board Secretary to explore a</w:t>
      </w:r>
      <w:r w:rsidR="0024424B">
        <w:t>n alternate date for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96F9" w14:textId="38A35A11" w:rsidR="00C10B8A" w:rsidRDefault="00C1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3324" w14:textId="744F4C91" w:rsidR="00C10B8A" w:rsidRPr="00B711AC" w:rsidRDefault="00B711AC" w:rsidP="00B711AC">
    <w:pPr>
      <w:pStyle w:val="Header"/>
      <w:jc w:val="center"/>
      <w:rPr>
        <w:rFonts w:asciiTheme="minorBidi" w:hAnsiTheme="minorBidi" w:cstheme="minorBidi"/>
      </w:rPr>
    </w:pPr>
    <w:r w:rsidRPr="00B711AC">
      <w:rPr>
        <w:rFonts w:asciiTheme="minorBidi" w:hAnsiTheme="minorBidi" w:cstheme="minorBidi"/>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397F" w14:textId="691A7FBD" w:rsidR="00C10B8A" w:rsidRDefault="00C10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3E4B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658A7"/>
    <w:multiLevelType w:val="hybridMultilevel"/>
    <w:tmpl w:val="860E6D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208D7"/>
    <w:multiLevelType w:val="hybridMultilevel"/>
    <w:tmpl w:val="10A25446"/>
    <w:lvl w:ilvl="0" w:tplc="08090001">
      <w:start w:val="1"/>
      <w:numFmt w:val="bullet"/>
      <w:lvlText w:val=""/>
      <w:lvlJc w:val="left"/>
      <w:pPr>
        <w:ind w:left="360" w:hanging="360"/>
      </w:pPr>
      <w:rPr>
        <w:rFonts w:ascii="Symbol" w:hAnsi="Symbol" w:hint="default"/>
        <w:strike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904BEA"/>
    <w:multiLevelType w:val="hybridMultilevel"/>
    <w:tmpl w:val="199A94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A0ECA"/>
    <w:multiLevelType w:val="hybridMultilevel"/>
    <w:tmpl w:val="66ECD7C8"/>
    <w:lvl w:ilvl="0" w:tplc="530411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A0FC6"/>
    <w:multiLevelType w:val="hybridMultilevel"/>
    <w:tmpl w:val="933000B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4F2612"/>
    <w:multiLevelType w:val="hybridMultilevel"/>
    <w:tmpl w:val="54ACC83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2E521B8"/>
    <w:multiLevelType w:val="hybridMultilevel"/>
    <w:tmpl w:val="8E3631A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C00ED"/>
    <w:multiLevelType w:val="hybridMultilevel"/>
    <w:tmpl w:val="D8C6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B7E2F"/>
    <w:multiLevelType w:val="hybridMultilevel"/>
    <w:tmpl w:val="A7888EAE"/>
    <w:lvl w:ilvl="0" w:tplc="9F0C00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A21053"/>
    <w:multiLevelType w:val="hybridMultilevel"/>
    <w:tmpl w:val="C2746E1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E06D53"/>
    <w:multiLevelType w:val="hybridMultilevel"/>
    <w:tmpl w:val="ED6ABD68"/>
    <w:lvl w:ilvl="0" w:tplc="A85694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235074"/>
    <w:multiLevelType w:val="hybridMultilevel"/>
    <w:tmpl w:val="843EC058"/>
    <w:lvl w:ilvl="0" w:tplc="77AC9226">
      <w:start w:val="1"/>
      <w:numFmt w:val="upperRoman"/>
      <w:lvlText w:val="%1."/>
      <w:lvlJc w:val="right"/>
      <w:pPr>
        <w:ind w:left="720" w:hanging="360"/>
      </w:pPr>
      <w:rPr>
        <w:rFonts w:asciiTheme="minorBidi" w:hAnsiTheme="minorBid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A87C83"/>
    <w:multiLevelType w:val="hybridMultilevel"/>
    <w:tmpl w:val="DDFCA42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F20586"/>
    <w:multiLevelType w:val="hybridMultilevel"/>
    <w:tmpl w:val="5002B8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175A58"/>
    <w:multiLevelType w:val="hybridMultilevel"/>
    <w:tmpl w:val="7B0E4D16"/>
    <w:lvl w:ilvl="0" w:tplc="08090013">
      <w:start w:val="1"/>
      <w:numFmt w:val="upp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13D4B0A"/>
    <w:multiLevelType w:val="hybridMultilevel"/>
    <w:tmpl w:val="24E6F5DE"/>
    <w:lvl w:ilvl="0" w:tplc="08090013">
      <w:start w:val="1"/>
      <w:numFmt w:val="upp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4B57946"/>
    <w:multiLevelType w:val="hybridMultilevel"/>
    <w:tmpl w:val="B14A0454"/>
    <w:lvl w:ilvl="0" w:tplc="AC8271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BF4732"/>
    <w:multiLevelType w:val="hybridMultilevel"/>
    <w:tmpl w:val="0DCA3E7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026505"/>
    <w:multiLevelType w:val="hybridMultilevel"/>
    <w:tmpl w:val="C5F0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B536E4"/>
    <w:multiLevelType w:val="hybridMultilevel"/>
    <w:tmpl w:val="20E2C2C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7B464E3"/>
    <w:multiLevelType w:val="hybridMultilevel"/>
    <w:tmpl w:val="A8963488"/>
    <w:lvl w:ilvl="0" w:tplc="CF0808E2">
      <w:start w:val="1"/>
      <w:numFmt w:val="bullet"/>
      <w:lvlText w:val=""/>
      <w:lvlJc w:val="left"/>
      <w:pPr>
        <w:ind w:left="720" w:hanging="360"/>
      </w:pPr>
      <w:rPr>
        <w:rFonts w:ascii="Symbol" w:hAnsi="Symbol" w:hint="default"/>
        <w:color w:val="auto"/>
      </w:rPr>
    </w:lvl>
    <w:lvl w:ilvl="1" w:tplc="08090013">
      <w:start w:val="1"/>
      <w:numFmt w:val="upperRoman"/>
      <w:lvlText w:val="%2."/>
      <w:lvlJc w:val="righ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7F7E38"/>
    <w:multiLevelType w:val="hybridMultilevel"/>
    <w:tmpl w:val="B9CA337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E0C4218"/>
    <w:multiLevelType w:val="hybridMultilevel"/>
    <w:tmpl w:val="691829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1B07A9"/>
    <w:multiLevelType w:val="hybridMultilevel"/>
    <w:tmpl w:val="3542853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85470C"/>
    <w:multiLevelType w:val="hybridMultilevel"/>
    <w:tmpl w:val="A2089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17035E"/>
    <w:multiLevelType w:val="hybridMultilevel"/>
    <w:tmpl w:val="A9F25B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CC6C38"/>
    <w:multiLevelType w:val="hybridMultilevel"/>
    <w:tmpl w:val="BD9C867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ED2D56"/>
    <w:multiLevelType w:val="hybridMultilevel"/>
    <w:tmpl w:val="B1B86EF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7A4D7E"/>
    <w:multiLevelType w:val="hybridMultilevel"/>
    <w:tmpl w:val="CEA665AA"/>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053FD4"/>
    <w:multiLevelType w:val="hybridMultilevel"/>
    <w:tmpl w:val="FCE0A656"/>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136772"/>
    <w:multiLevelType w:val="hybridMultilevel"/>
    <w:tmpl w:val="7F28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9E32E9"/>
    <w:multiLevelType w:val="hybridMultilevel"/>
    <w:tmpl w:val="AAF069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C67AAC"/>
    <w:multiLevelType w:val="hybridMultilevel"/>
    <w:tmpl w:val="9E7C719E"/>
    <w:lvl w:ilvl="0" w:tplc="FFFFFFFF">
      <w:start w:val="1"/>
      <w:numFmt w:val="decimal"/>
      <w:lvlText w:val="%1."/>
      <w:lvlJc w:val="left"/>
      <w:pPr>
        <w:ind w:left="720" w:hanging="360"/>
      </w:pPr>
      <w:rPr>
        <w:rFonts w:hint="default"/>
      </w:rPr>
    </w:lvl>
    <w:lvl w:ilvl="1" w:tplc="08090013">
      <w:start w:val="1"/>
      <w:numFmt w:val="upperRoman"/>
      <w:lvlText w:val="%2."/>
      <w:lvlJc w:val="right"/>
      <w:pPr>
        <w:ind w:left="1440" w:hanging="360"/>
      </w:pPr>
    </w:lvl>
    <w:lvl w:ilvl="2" w:tplc="6B4CD342">
      <w:start w:val="1"/>
      <w:numFmt w:val="lowerRoman"/>
      <w:lvlText w:val="%3."/>
      <w:lvlJc w:val="left"/>
      <w:pPr>
        <w:ind w:left="1570" w:hanging="720"/>
      </w:pPr>
      <w:rPr>
        <w:rFonts w:hint="default"/>
      </w:rPr>
    </w:lvl>
    <w:lvl w:ilvl="3" w:tplc="5306984A">
      <w:start w:val="2025"/>
      <w:numFmt w:val="decimal"/>
      <w:lvlText w:val="%4"/>
      <w:lvlJc w:val="left"/>
      <w:pPr>
        <w:ind w:left="3060" w:hanging="54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3A41D2"/>
    <w:multiLevelType w:val="hybridMultilevel"/>
    <w:tmpl w:val="045489C2"/>
    <w:lvl w:ilvl="0" w:tplc="A85694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8924AF"/>
    <w:multiLevelType w:val="hybridMultilevel"/>
    <w:tmpl w:val="06F89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A133F8"/>
    <w:multiLevelType w:val="hybridMultilevel"/>
    <w:tmpl w:val="5AC498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4E08C0"/>
    <w:multiLevelType w:val="hybridMultilevel"/>
    <w:tmpl w:val="CF824E5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907F08"/>
    <w:multiLevelType w:val="hybridMultilevel"/>
    <w:tmpl w:val="6F9ACB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CA497E"/>
    <w:multiLevelType w:val="hybridMultilevel"/>
    <w:tmpl w:val="627499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7A5BE8"/>
    <w:multiLevelType w:val="hybridMultilevel"/>
    <w:tmpl w:val="1A625F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5B728E"/>
    <w:multiLevelType w:val="hybridMultilevel"/>
    <w:tmpl w:val="FC166E5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1E1E6E"/>
    <w:multiLevelType w:val="hybridMultilevel"/>
    <w:tmpl w:val="37B2398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626A7D"/>
    <w:multiLevelType w:val="hybridMultilevel"/>
    <w:tmpl w:val="211EC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247AEC"/>
    <w:multiLevelType w:val="hybridMultilevel"/>
    <w:tmpl w:val="7140153C"/>
    <w:lvl w:ilvl="0" w:tplc="A77238F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1B161D"/>
    <w:multiLevelType w:val="hybridMultilevel"/>
    <w:tmpl w:val="26C0126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C55D0A"/>
    <w:multiLevelType w:val="hybridMultilevel"/>
    <w:tmpl w:val="4E7EADF2"/>
    <w:lvl w:ilvl="0" w:tplc="9E4AF88E">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3626D7"/>
    <w:multiLevelType w:val="hybridMultilevel"/>
    <w:tmpl w:val="933000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0757897">
    <w:abstractNumId w:val="29"/>
  </w:num>
  <w:num w:numId="2" w16cid:durableId="529875642">
    <w:abstractNumId w:val="2"/>
  </w:num>
  <w:num w:numId="3" w16cid:durableId="93284682">
    <w:abstractNumId w:val="6"/>
  </w:num>
  <w:num w:numId="4" w16cid:durableId="696543276">
    <w:abstractNumId w:val="20"/>
  </w:num>
  <w:num w:numId="5" w16cid:durableId="1627545679">
    <w:abstractNumId w:val="1"/>
  </w:num>
  <w:num w:numId="6" w16cid:durableId="1987394272">
    <w:abstractNumId w:val="39"/>
  </w:num>
  <w:num w:numId="7" w16cid:durableId="1622879227">
    <w:abstractNumId w:val="47"/>
  </w:num>
  <w:num w:numId="8" w16cid:durableId="1069965898">
    <w:abstractNumId w:val="3"/>
  </w:num>
  <w:num w:numId="9" w16cid:durableId="195966875">
    <w:abstractNumId w:val="43"/>
  </w:num>
  <w:num w:numId="10" w16cid:durableId="1222447632">
    <w:abstractNumId w:val="25"/>
  </w:num>
  <w:num w:numId="11" w16cid:durableId="1251961508">
    <w:abstractNumId w:val="17"/>
  </w:num>
  <w:num w:numId="12" w16cid:durableId="1588266778">
    <w:abstractNumId w:val="5"/>
  </w:num>
  <w:num w:numId="13" w16cid:durableId="1521966217">
    <w:abstractNumId w:val="31"/>
  </w:num>
  <w:num w:numId="14" w16cid:durableId="1545677019">
    <w:abstractNumId w:val="19"/>
  </w:num>
  <w:num w:numId="15" w16cid:durableId="1349867624">
    <w:abstractNumId w:val="34"/>
  </w:num>
  <w:num w:numId="16" w16cid:durableId="20935687">
    <w:abstractNumId w:val="11"/>
  </w:num>
  <w:num w:numId="17" w16cid:durableId="1839811200">
    <w:abstractNumId w:val="22"/>
  </w:num>
  <w:num w:numId="18" w16cid:durableId="1326085034">
    <w:abstractNumId w:val="16"/>
  </w:num>
  <w:num w:numId="19" w16cid:durableId="1961718798">
    <w:abstractNumId w:val="7"/>
  </w:num>
  <w:num w:numId="20" w16cid:durableId="1959485438">
    <w:abstractNumId w:val="41"/>
  </w:num>
  <w:num w:numId="21" w16cid:durableId="1769502257">
    <w:abstractNumId w:val="45"/>
  </w:num>
  <w:num w:numId="22" w16cid:durableId="102039907">
    <w:abstractNumId w:val="36"/>
  </w:num>
  <w:num w:numId="23" w16cid:durableId="1136026060">
    <w:abstractNumId w:val="10"/>
  </w:num>
  <w:num w:numId="24" w16cid:durableId="204492302">
    <w:abstractNumId w:val="18"/>
  </w:num>
  <w:num w:numId="25" w16cid:durableId="708722483">
    <w:abstractNumId w:val="28"/>
  </w:num>
  <w:num w:numId="26" w16cid:durableId="489441543">
    <w:abstractNumId w:val="38"/>
  </w:num>
  <w:num w:numId="27" w16cid:durableId="1466779267">
    <w:abstractNumId w:val="44"/>
  </w:num>
  <w:num w:numId="28" w16cid:durableId="1078207860">
    <w:abstractNumId w:val="8"/>
  </w:num>
  <w:num w:numId="29" w16cid:durableId="718282097">
    <w:abstractNumId w:val="4"/>
  </w:num>
  <w:num w:numId="30" w16cid:durableId="1164128719">
    <w:abstractNumId w:val="13"/>
  </w:num>
  <w:num w:numId="31" w16cid:durableId="632180711">
    <w:abstractNumId w:val="14"/>
  </w:num>
  <w:num w:numId="32" w16cid:durableId="1406756316">
    <w:abstractNumId w:val="0"/>
  </w:num>
  <w:num w:numId="33" w16cid:durableId="295532806">
    <w:abstractNumId w:val="21"/>
  </w:num>
  <w:num w:numId="34" w16cid:durableId="387992671">
    <w:abstractNumId w:val="23"/>
  </w:num>
  <w:num w:numId="35" w16cid:durableId="1900360998">
    <w:abstractNumId w:val="26"/>
  </w:num>
  <w:num w:numId="36" w16cid:durableId="1463232399">
    <w:abstractNumId w:val="9"/>
  </w:num>
  <w:num w:numId="37" w16cid:durableId="31006477">
    <w:abstractNumId w:val="40"/>
  </w:num>
  <w:num w:numId="38" w16cid:durableId="1975939367">
    <w:abstractNumId w:val="32"/>
  </w:num>
  <w:num w:numId="39" w16cid:durableId="897788427">
    <w:abstractNumId w:val="46"/>
  </w:num>
  <w:num w:numId="40" w16cid:durableId="539322015">
    <w:abstractNumId w:val="15"/>
  </w:num>
  <w:num w:numId="41" w16cid:durableId="1803040051">
    <w:abstractNumId w:val="33"/>
  </w:num>
  <w:num w:numId="42" w16cid:durableId="1610166370">
    <w:abstractNumId w:val="37"/>
  </w:num>
  <w:num w:numId="43" w16cid:durableId="1941600187">
    <w:abstractNumId w:val="12"/>
  </w:num>
  <w:num w:numId="44" w16cid:durableId="200438269">
    <w:abstractNumId w:val="30"/>
  </w:num>
  <w:num w:numId="45" w16cid:durableId="1121925291">
    <w:abstractNumId w:val="27"/>
  </w:num>
  <w:num w:numId="46" w16cid:durableId="1345084711">
    <w:abstractNumId w:val="42"/>
  </w:num>
  <w:num w:numId="47" w16cid:durableId="583074680">
    <w:abstractNumId w:val="24"/>
  </w:num>
  <w:num w:numId="48" w16cid:durableId="1296957581">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8A"/>
    <w:rsid w:val="0000068F"/>
    <w:rsid w:val="00000D1C"/>
    <w:rsid w:val="00001205"/>
    <w:rsid w:val="000039E0"/>
    <w:rsid w:val="00003EBF"/>
    <w:rsid w:val="00004A09"/>
    <w:rsid w:val="00005498"/>
    <w:rsid w:val="000065AC"/>
    <w:rsid w:val="00006A47"/>
    <w:rsid w:val="00006A53"/>
    <w:rsid w:val="000073A6"/>
    <w:rsid w:val="00007466"/>
    <w:rsid w:val="000116C5"/>
    <w:rsid w:val="00012FF3"/>
    <w:rsid w:val="00013410"/>
    <w:rsid w:val="000140BB"/>
    <w:rsid w:val="000144F0"/>
    <w:rsid w:val="00014AD3"/>
    <w:rsid w:val="00016075"/>
    <w:rsid w:val="0001660D"/>
    <w:rsid w:val="0001685A"/>
    <w:rsid w:val="00017198"/>
    <w:rsid w:val="00020D0D"/>
    <w:rsid w:val="00021138"/>
    <w:rsid w:val="000211D8"/>
    <w:rsid w:val="0002151F"/>
    <w:rsid w:val="0002220A"/>
    <w:rsid w:val="0002247F"/>
    <w:rsid w:val="00022C37"/>
    <w:rsid w:val="00022F23"/>
    <w:rsid w:val="00022F6C"/>
    <w:rsid w:val="0002330B"/>
    <w:rsid w:val="00023CC8"/>
    <w:rsid w:val="00024115"/>
    <w:rsid w:val="00025377"/>
    <w:rsid w:val="00025BEB"/>
    <w:rsid w:val="000273F5"/>
    <w:rsid w:val="00027A66"/>
    <w:rsid w:val="000308FA"/>
    <w:rsid w:val="00031F93"/>
    <w:rsid w:val="0003263C"/>
    <w:rsid w:val="00032984"/>
    <w:rsid w:val="00033939"/>
    <w:rsid w:val="00033FE4"/>
    <w:rsid w:val="000342D0"/>
    <w:rsid w:val="000348FC"/>
    <w:rsid w:val="000349FC"/>
    <w:rsid w:val="00035048"/>
    <w:rsid w:val="00035E57"/>
    <w:rsid w:val="000360C3"/>
    <w:rsid w:val="0004055E"/>
    <w:rsid w:val="00043CA4"/>
    <w:rsid w:val="000443BF"/>
    <w:rsid w:val="00045031"/>
    <w:rsid w:val="00045D88"/>
    <w:rsid w:val="00046692"/>
    <w:rsid w:val="000469B6"/>
    <w:rsid w:val="00047CFE"/>
    <w:rsid w:val="0005117F"/>
    <w:rsid w:val="00051A45"/>
    <w:rsid w:val="00053F20"/>
    <w:rsid w:val="0005548E"/>
    <w:rsid w:val="00055734"/>
    <w:rsid w:val="000603E8"/>
    <w:rsid w:val="000610E8"/>
    <w:rsid w:val="00062586"/>
    <w:rsid w:val="00063B76"/>
    <w:rsid w:val="00067AD0"/>
    <w:rsid w:val="00067F7B"/>
    <w:rsid w:val="000729B5"/>
    <w:rsid w:val="00072F71"/>
    <w:rsid w:val="00073222"/>
    <w:rsid w:val="00073235"/>
    <w:rsid w:val="00074399"/>
    <w:rsid w:val="00074D86"/>
    <w:rsid w:val="000751CD"/>
    <w:rsid w:val="00075A87"/>
    <w:rsid w:val="000779DC"/>
    <w:rsid w:val="00080C5C"/>
    <w:rsid w:val="00081D01"/>
    <w:rsid w:val="0008220C"/>
    <w:rsid w:val="000824B2"/>
    <w:rsid w:val="000845E9"/>
    <w:rsid w:val="0008483B"/>
    <w:rsid w:val="00084C49"/>
    <w:rsid w:val="00084D63"/>
    <w:rsid w:val="0008506E"/>
    <w:rsid w:val="000853CB"/>
    <w:rsid w:val="000854D2"/>
    <w:rsid w:val="0008552D"/>
    <w:rsid w:val="0008553C"/>
    <w:rsid w:val="000867BF"/>
    <w:rsid w:val="00086A57"/>
    <w:rsid w:val="00087B96"/>
    <w:rsid w:val="00090767"/>
    <w:rsid w:val="00090D63"/>
    <w:rsid w:val="00090E5C"/>
    <w:rsid w:val="0009156D"/>
    <w:rsid w:val="000919FC"/>
    <w:rsid w:val="00091E65"/>
    <w:rsid w:val="00092A7A"/>
    <w:rsid w:val="00093D09"/>
    <w:rsid w:val="0009448A"/>
    <w:rsid w:val="00095754"/>
    <w:rsid w:val="0009617F"/>
    <w:rsid w:val="0009741C"/>
    <w:rsid w:val="00097628"/>
    <w:rsid w:val="00097657"/>
    <w:rsid w:val="00097CC9"/>
    <w:rsid w:val="000A08BB"/>
    <w:rsid w:val="000A12E7"/>
    <w:rsid w:val="000A141A"/>
    <w:rsid w:val="000A16C4"/>
    <w:rsid w:val="000A1C48"/>
    <w:rsid w:val="000A2EBE"/>
    <w:rsid w:val="000A2FBA"/>
    <w:rsid w:val="000A327F"/>
    <w:rsid w:val="000A3287"/>
    <w:rsid w:val="000A58EB"/>
    <w:rsid w:val="000A5AC2"/>
    <w:rsid w:val="000A5CBD"/>
    <w:rsid w:val="000A6EB5"/>
    <w:rsid w:val="000A72A1"/>
    <w:rsid w:val="000A736C"/>
    <w:rsid w:val="000A7DDF"/>
    <w:rsid w:val="000B2D14"/>
    <w:rsid w:val="000B3714"/>
    <w:rsid w:val="000B4319"/>
    <w:rsid w:val="000B4DFB"/>
    <w:rsid w:val="000B5E73"/>
    <w:rsid w:val="000B711E"/>
    <w:rsid w:val="000B7ED5"/>
    <w:rsid w:val="000B7F38"/>
    <w:rsid w:val="000C02F7"/>
    <w:rsid w:val="000C09E4"/>
    <w:rsid w:val="000C1174"/>
    <w:rsid w:val="000C2396"/>
    <w:rsid w:val="000C23E1"/>
    <w:rsid w:val="000C25FC"/>
    <w:rsid w:val="000C2DB1"/>
    <w:rsid w:val="000C3952"/>
    <w:rsid w:val="000C3E04"/>
    <w:rsid w:val="000C4570"/>
    <w:rsid w:val="000C5B10"/>
    <w:rsid w:val="000C5B37"/>
    <w:rsid w:val="000C5D22"/>
    <w:rsid w:val="000C6806"/>
    <w:rsid w:val="000C75DB"/>
    <w:rsid w:val="000C76B7"/>
    <w:rsid w:val="000D0698"/>
    <w:rsid w:val="000D0C76"/>
    <w:rsid w:val="000D135B"/>
    <w:rsid w:val="000D201A"/>
    <w:rsid w:val="000D2BD9"/>
    <w:rsid w:val="000D3365"/>
    <w:rsid w:val="000D3985"/>
    <w:rsid w:val="000D3F18"/>
    <w:rsid w:val="000D3F37"/>
    <w:rsid w:val="000D444E"/>
    <w:rsid w:val="000D7428"/>
    <w:rsid w:val="000E14DE"/>
    <w:rsid w:val="000E3599"/>
    <w:rsid w:val="000E4E2F"/>
    <w:rsid w:val="000E4E48"/>
    <w:rsid w:val="000E5BD2"/>
    <w:rsid w:val="000E6902"/>
    <w:rsid w:val="000E7288"/>
    <w:rsid w:val="000E75E8"/>
    <w:rsid w:val="000F06A7"/>
    <w:rsid w:val="000F1866"/>
    <w:rsid w:val="000F1D7D"/>
    <w:rsid w:val="000F5B1E"/>
    <w:rsid w:val="000F617B"/>
    <w:rsid w:val="000F6FED"/>
    <w:rsid w:val="000F776A"/>
    <w:rsid w:val="00100208"/>
    <w:rsid w:val="00101E8F"/>
    <w:rsid w:val="00101F01"/>
    <w:rsid w:val="00103144"/>
    <w:rsid w:val="0010355E"/>
    <w:rsid w:val="0010482C"/>
    <w:rsid w:val="00104C5B"/>
    <w:rsid w:val="00106330"/>
    <w:rsid w:val="00106C8F"/>
    <w:rsid w:val="001076E8"/>
    <w:rsid w:val="00107CA5"/>
    <w:rsid w:val="00110A60"/>
    <w:rsid w:val="00112809"/>
    <w:rsid w:val="001135A7"/>
    <w:rsid w:val="001138B8"/>
    <w:rsid w:val="001141B6"/>
    <w:rsid w:val="001149DE"/>
    <w:rsid w:val="00114A61"/>
    <w:rsid w:val="00115741"/>
    <w:rsid w:val="001161A2"/>
    <w:rsid w:val="00116373"/>
    <w:rsid w:val="00120815"/>
    <w:rsid w:val="0012154E"/>
    <w:rsid w:val="001216F7"/>
    <w:rsid w:val="00122296"/>
    <w:rsid w:val="001234E8"/>
    <w:rsid w:val="00124358"/>
    <w:rsid w:val="001249B4"/>
    <w:rsid w:val="0012602F"/>
    <w:rsid w:val="001260BB"/>
    <w:rsid w:val="0013244F"/>
    <w:rsid w:val="00132D3F"/>
    <w:rsid w:val="00132FE4"/>
    <w:rsid w:val="0013331D"/>
    <w:rsid w:val="00133705"/>
    <w:rsid w:val="00135520"/>
    <w:rsid w:val="00135637"/>
    <w:rsid w:val="00135844"/>
    <w:rsid w:val="00135F77"/>
    <w:rsid w:val="001375EA"/>
    <w:rsid w:val="00137D46"/>
    <w:rsid w:val="00140A98"/>
    <w:rsid w:val="00141E66"/>
    <w:rsid w:val="00143656"/>
    <w:rsid w:val="00143AD6"/>
    <w:rsid w:val="00144568"/>
    <w:rsid w:val="00146249"/>
    <w:rsid w:val="00146DBB"/>
    <w:rsid w:val="00146FD2"/>
    <w:rsid w:val="00147C00"/>
    <w:rsid w:val="00147D35"/>
    <w:rsid w:val="00150B75"/>
    <w:rsid w:val="00150DB3"/>
    <w:rsid w:val="00152C0F"/>
    <w:rsid w:val="00153404"/>
    <w:rsid w:val="00153498"/>
    <w:rsid w:val="001534E5"/>
    <w:rsid w:val="00153B78"/>
    <w:rsid w:val="00154F15"/>
    <w:rsid w:val="0015529A"/>
    <w:rsid w:val="00155F78"/>
    <w:rsid w:val="0016109C"/>
    <w:rsid w:val="00161BE7"/>
    <w:rsid w:val="00162755"/>
    <w:rsid w:val="00163055"/>
    <w:rsid w:val="00164248"/>
    <w:rsid w:val="0016453D"/>
    <w:rsid w:val="00164957"/>
    <w:rsid w:val="001668E6"/>
    <w:rsid w:val="001676B9"/>
    <w:rsid w:val="00167ADF"/>
    <w:rsid w:val="0017056E"/>
    <w:rsid w:val="0017155F"/>
    <w:rsid w:val="001719C9"/>
    <w:rsid w:val="00171FD8"/>
    <w:rsid w:val="00173B2A"/>
    <w:rsid w:val="001748D6"/>
    <w:rsid w:val="00175A40"/>
    <w:rsid w:val="0017625E"/>
    <w:rsid w:val="00177289"/>
    <w:rsid w:val="001802B7"/>
    <w:rsid w:val="001823AB"/>
    <w:rsid w:val="0018289F"/>
    <w:rsid w:val="00182924"/>
    <w:rsid w:val="00183115"/>
    <w:rsid w:val="00184B93"/>
    <w:rsid w:val="00184DDD"/>
    <w:rsid w:val="00186FA5"/>
    <w:rsid w:val="00187046"/>
    <w:rsid w:val="001904DC"/>
    <w:rsid w:val="00190611"/>
    <w:rsid w:val="00191EF3"/>
    <w:rsid w:val="00192641"/>
    <w:rsid w:val="00192BED"/>
    <w:rsid w:val="00192FE0"/>
    <w:rsid w:val="0019321C"/>
    <w:rsid w:val="00193ABD"/>
    <w:rsid w:val="00194C9D"/>
    <w:rsid w:val="00195F73"/>
    <w:rsid w:val="00197E61"/>
    <w:rsid w:val="001A0EB2"/>
    <w:rsid w:val="001A17A9"/>
    <w:rsid w:val="001A187D"/>
    <w:rsid w:val="001A1D6F"/>
    <w:rsid w:val="001A24A9"/>
    <w:rsid w:val="001A36D0"/>
    <w:rsid w:val="001A3D29"/>
    <w:rsid w:val="001A6D48"/>
    <w:rsid w:val="001A78C8"/>
    <w:rsid w:val="001B0167"/>
    <w:rsid w:val="001B07D2"/>
    <w:rsid w:val="001B26BE"/>
    <w:rsid w:val="001B2E99"/>
    <w:rsid w:val="001B2FE4"/>
    <w:rsid w:val="001B3ED5"/>
    <w:rsid w:val="001B42F1"/>
    <w:rsid w:val="001B536E"/>
    <w:rsid w:val="001B59DE"/>
    <w:rsid w:val="001B60F7"/>
    <w:rsid w:val="001B69FC"/>
    <w:rsid w:val="001B6F50"/>
    <w:rsid w:val="001B7BA3"/>
    <w:rsid w:val="001C1143"/>
    <w:rsid w:val="001C388F"/>
    <w:rsid w:val="001C434F"/>
    <w:rsid w:val="001C506D"/>
    <w:rsid w:val="001C5490"/>
    <w:rsid w:val="001C636D"/>
    <w:rsid w:val="001C6E32"/>
    <w:rsid w:val="001C73A2"/>
    <w:rsid w:val="001C7A06"/>
    <w:rsid w:val="001D044B"/>
    <w:rsid w:val="001D14CF"/>
    <w:rsid w:val="001D1526"/>
    <w:rsid w:val="001D17E8"/>
    <w:rsid w:val="001D1EAE"/>
    <w:rsid w:val="001D5848"/>
    <w:rsid w:val="001D5A77"/>
    <w:rsid w:val="001D62E6"/>
    <w:rsid w:val="001D6DE7"/>
    <w:rsid w:val="001E096F"/>
    <w:rsid w:val="001E119B"/>
    <w:rsid w:val="001E1412"/>
    <w:rsid w:val="001E1FC1"/>
    <w:rsid w:val="001E3E47"/>
    <w:rsid w:val="001E4406"/>
    <w:rsid w:val="001E76A6"/>
    <w:rsid w:val="001F13C1"/>
    <w:rsid w:val="001F1EF8"/>
    <w:rsid w:val="001F29C7"/>
    <w:rsid w:val="001F2F49"/>
    <w:rsid w:val="001F4FFA"/>
    <w:rsid w:val="001F5433"/>
    <w:rsid w:val="001F685F"/>
    <w:rsid w:val="001F796F"/>
    <w:rsid w:val="001F7BB9"/>
    <w:rsid w:val="002006B2"/>
    <w:rsid w:val="00201FA8"/>
    <w:rsid w:val="00202C97"/>
    <w:rsid w:val="00202F9E"/>
    <w:rsid w:val="00206181"/>
    <w:rsid w:val="00206736"/>
    <w:rsid w:val="00206BC7"/>
    <w:rsid w:val="00207473"/>
    <w:rsid w:val="00207B3A"/>
    <w:rsid w:val="002102D9"/>
    <w:rsid w:val="00210CB5"/>
    <w:rsid w:val="00212F92"/>
    <w:rsid w:val="00212FB5"/>
    <w:rsid w:val="002160B5"/>
    <w:rsid w:val="00216CC2"/>
    <w:rsid w:val="0021731F"/>
    <w:rsid w:val="002177EC"/>
    <w:rsid w:val="00220EB0"/>
    <w:rsid w:val="00220EE5"/>
    <w:rsid w:val="002216DC"/>
    <w:rsid w:val="0022174E"/>
    <w:rsid w:val="00221985"/>
    <w:rsid w:val="00221BAE"/>
    <w:rsid w:val="0022299D"/>
    <w:rsid w:val="0022432D"/>
    <w:rsid w:val="00224909"/>
    <w:rsid w:val="002250FA"/>
    <w:rsid w:val="00225B40"/>
    <w:rsid w:val="00232FB0"/>
    <w:rsid w:val="00233181"/>
    <w:rsid w:val="00234EE6"/>
    <w:rsid w:val="00236039"/>
    <w:rsid w:val="002362E6"/>
    <w:rsid w:val="00241712"/>
    <w:rsid w:val="00242956"/>
    <w:rsid w:val="00243EB4"/>
    <w:rsid w:val="00243EB5"/>
    <w:rsid w:val="0024424B"/>
    <w:rsid w:val="0024610D"/>
    <w:rsid w:val="0024614D"/>
    <w:rsid w:val="0024657C"/>
    <w:rsid w:val="002466B5"/>
    <w:rsid w:val="002517BE"/>
    <w:rsid w:val="00251A65"/>
    <w:rsid w:val="002541B9"/>
    <w:rsid w:val="0025445A"/>
    <w:rsid w:val="0025581A"/>
    <w:rsid w:val="002560A4"/>
    <w:rsid w:val="00256F36"/>
    <w:rsid w:val="002579FD"/>
    <w:rsid w:val="00260F02"/>
    <w:rsid w:val="00261870"/>
    <w:rsid w:val="002636F0"/>
    <w:rsid w:val="00263DA1"/>
    <w:rsid w:val="0026585E"/>
    <w:rsid w:val="00265CD3"/>
    <w:rsid w:val="002664F4"/>
    <w:rsid w:val="00266B20"/>
    <w:rsid w:val="00266FBF"/>
    <w:rsid w:val="002675A7"/>
    <w:rsid w:val="00271958"/>
    <w:rsid w:val="00271D6E"/>
    <w:rsid w:val="00274C27"/>
    <w:rsid w:val="00274D1D"/>
    <w:rsid w:val="00274E22"/>
    <w:rsid w:val="002753F6"/>
    <w:rsid w:val="002766FD"/>
    <w:rsid w:val="002767F7"/>
    <w:rsid w:val="00277406"/>
    <w:rsid w:val="00277AD2"/>
    <w:rsid w:val="0028042F"/>
    <w:rsid w:val="00280754"/>
    <w:rsid w:val="0028080A"/>
    <w:rsid w:val="00282402"/>
    <w:rsid w:val="00282A83"/>
    <w:rsid w:val="00283957"/>
    <w:rsid w:val="00283A37"/>
    <w:rsid w:val="002845FE"/>
    <w:rsid w:val="00284C5A"/>
    <w:rsid w:val="00285FDC"/>
    <w:rsid w:val="00286416"/>
    <w:rsid w:val="00286448"/>
    <w:rsid w:val="00286862"/>
    <w:rsid w:val="0028698D"/>
    <w:rsid w:val="00286B45"/>
    <w:rsid w:val="00287179"/>
    <w:rsid w:val="00291E04"/>
    <w:rsid w:val="00292106"/>
    <w:rsid w:val="00293179"/>
    <w:rsid w:val="00293416"/>
    <w:rsid w:val="00293940"/>
    <w:rsid w:val="002940D6"/>
    <w:rsid w:val="00294C83"/>
    <w:rsid w:val="00294DBD"/>
    <w:rsid w:val="002961B7"/>
    <w:rsid w:val="0029697E"/>
    <w:rsid w:val="002972FD"/>
    <w:rsid w:val="002A216C"/>
    <w:rsid w:val="002A2C84"/>
    <w:rsid w:val="002A40DF"/>
    <w:rsid w:val="002A4FED"/>
    <w:rsid w:val="002A511E"/>
    <w:rsid w:val="002A51CB"/>
    <w:rsid w:val="002A7EE3"/>
    <w:rsid w:val="002B0052"/>
    <w:rsid w:val="002B01ED"/>
    <w:rsid w:val="002B21C3"/>
    <w:rsid w:val="002B2BFC"/>
    <w:rsid w:val="002B2D31"/>
    <w:rsid w:val="002B3DDE"/>
    <w:rsid w:val="002B3F0B"/>
    <w:rsid w:val="002B4AD5"/>
    <w:rsid w:val="002B4BD1"/>
    <w:rsid w:val="002B5A52"/>
    <w:rsid w:val="002B5E51"/>
    <w:rsid w:val="002B6D21"/>
    <w:rsid w:val="002C04DB"/>
    <w:rsid w:val="002C07E1"/>
    <w:rsid w:val="002C12E1"/>
    <w:rsid w:val="002C150C"/>
    <w:rsid w:val="002C19C2"/>
    <w:rsid w:val="002C1E77"/>
    <w:rsid w:val="002C27A8"/>
    <w:rsid w:val="002C29D6"/>
    <w:rsid w:val="002C46D9"/>
    <w:rsid w:val="002C4A20"/>
    <w:rsid w:val="002C7FAF"/>
    <w:rsid w:val="002D0C5C"/>
    <w:rsid w:val="002D130D"/>
    <w:rsid w:val="002D1AC0"/>
    <w:rsid w:val="002D1E15"/>
    <w:rsid w:val="002D1EF1"/>
    <w:rsid w:val="002D256C"/>
    <w:rsid w:val="002D2CA1"/>
    <w:rsid w:val="002D3132"/>
    <w:rsid w:val="002D31DB"/>
    <w:rsid w:val="002D4571"/>
    <w:rsid w:val="002D622A"/>
    <w:rsid w:val="002D6B78"/>
    <w:rsid w:val="002D74D1"/>
    <w:rsid w:val="002D7C62"/>
    <w:rsid w:val="002E01DC"/>
    <w:rsid w:val="002E078F"/>
    <w:rsid w:val="002E2C6E"/>
    <w:rsid w:val="002E2E24"/>
    <w:rsid w:val="002E3313"/>
    <w:rsid w:val="002E4009"/>
    <w:rsid w:val="002E4B2F"/>
    <w:rsid w:val="002E4DE8"/>
    <w:rsid w:val="002E7046"/>
    <w:rsid w:val="002E727F"/>
    <w:rsid w:val="002E77FC"/>
    <w:rsid w:val="002E7AA5"/>
    <w:rsid w:val="002E7F15"/>
    <w:rsid w:val="002F0AC5"/>
    <w:rsid w:val="002F1C11"/>
    <w:rsid w:val="002F1D03"/>
    <w:rsid w:val="002F2936"/>
    <w:rsid w:val="002F3361"/>
    <w:rsid w:val="002F41C4"/>
    <w:rsid w:val="002F421A"/>
    <w:rsid w:val="002F531A"/>
    <w:rsid w:val="002F6FAF"/>
    <w:rsid w:val="002F7652"/>
    <w:rsid w:val="003037AF"/>
    <w:rsid w:val="00303B43"/>
    <w:rsid w:val="00303D83"/>
    <w:rsid w:val="00305120"/>
    <w:rsid w:val="003057DF"/>
    <w:rsid w:val="00305F8B"/>
    <w:rsid w:val="0030638A"/>
    <w:rsid w:val="003075F0"/>
    <w:rsid w:val="003124BC"/>
    <w:rsid w:val="00312F30"/>
    <w:rsid w:val="00313AA0"/>
    <w:rsid w:val="003164DE"/>
    <w:rsid w:val="0031722E"/>
    <w:rsid w:val="00317AFB"/>
    <w:rsid w:val="003207D0"/>
    <w:rsid w:val="00320E0F"/>
    <w:rsid w:val="00320E2D"/>
    <w:rsid w:val="003215BC"/>
    <w:rsid w:val="0032162C"/>
    <w:rsid w:val="00322489"/>
    <w:rsid w:val="00322D1E"/>
    <w:rsid w:val="00322E83"/>
    <w:rsid w:val="00322F96"/>
    <w:rsid w:val="003240ED"/>
    <w:rsid w:val="00324418"/>
    <w:rsid w:val="00324957"/>
    <w:rsid w:val="003272EB"/>
    <w:rsid w:val="003301D3"/>
    <w:rsid w:val="003321B8"/>
    <w:rsid w:val="00332AB2"/>
    <w:rsid w:val="00332B29"/>
    <w:rsid w:val="00334AE5"/>
    <w:rsid w:val="00334AF0"/>
    <w:rsid w:val="00335075"/>
    <w:rsid w:val="00336B5A"/>
    <w:rsid w:val="0033744A"/>
    <w:rsid w:val="00340A40"/>
    <w:rsid w:val="003414CA"/>
    <w:rsid w:val="003415EE"/>
    <w:rsid w:val="003432CF"/>
    <w:rsid w:val="00343D98"/>
    <w:rsid w:val="003450C4"/>
    <w:rsid w:val="0034515D"/>
    <w:rsid w:val="00347A9B"/>
    <w:rsid w:val="00351232"/>
    <w:rsid w:val="003529E8"/>
    <w:rsid w:val="003529EC"/>
    <w:rsid w:val="00353DC6"/>
    <w:rsid w:val="003543D2"/>
    <w:rsid w:val="00354493"/>
    <w:rsid w:val="0035472C"/>
    <w:rsid w:val="00355733"/>
    <w:rsid w:val="00355836"/>
    <w:rsid w:val="00356714"/>
    <w:rsid w:val="00356759"/>
    <w:rsid w:val="00356A92"/>
    <w:rsid w:val="00356CC0"/>
    <w:rsid w:val="00356FFD"/>
    <w:rsid w:val="003570FD"/>
    <w:rsid w:val="00360297"/>
    <w:rsid w:val="003612D2"/>
    <w:rsid w:val="00362477"/>
    <w:rsid w:val="003645D9"/>
    <w:rsid w:val="003648EA"/>
    <w:rsid w:val="00364935"/>
    <w:rsid w:val="00365C82"/>
    <w:rsid w:val="00366148"/>
    <w:rsid w:val="00366AF7"/>
    <w:rsid w:val="00367CCE"/>
    <w:rsid w:val="0037195E"/>
    <w:rsid w:val="003719F3"/>
    <w:rsid w:val="00371FB7"/>
    <w:rsid w:val="0037253C"/>
    <w:rsid w:val="00372DFB"/>
    <w:rsid w:val="003744F3"/>
    <w:rsid w:val="00374795"/>
    <w:rsid w:val="00374EA2"/>
    <w:rsid w:val="00376096"/>
    <w:rsid w:val="00376901"/>
    <w:rsid w:val="00376991"/>
    <w:rsid w:val="00377355"/>
    <w:rsid w:val="00377A00"/>
    <w:rsid w:val="00377F6A"/>
    <w:rsid w:val="003810F7"/>
    <w:rsid w:val="00383BA2"/>
    <w:rsid w:val="003841CD"/>
    <w:rsid w:val="0038449F"/>
    <w:rsid w:val="0038622C"/>
    <w:rsid w:val="00386877"/>
    <w:rsid w:val="00386D06"/>
    <w:rsid w:val="00387201"/>
    <w:rsid w:val="00387209"/>
    <w:rsid w:val="00387679"/>
    <w:rsid w:val="00387805"/>
    <w:rsid w:val="00387AA5"/>
    <w:rsid w:val="00387E16"/>
    <w:rsid w:val="0039145B"/>
    <w:rsid w:val="00392744"/>
    <w:rsid w:val="00394D10"/>
    <w:rsid w:val="00395290"/>
    <w:rsid w:val="00395B9C"/>
    <w:rsid w:val="003960DF"/>
    <w:rsid w:val="00396218"/>
    <w:rsid w:val="00396856"/>
    <w:rsid w:val="00396EA7"/>
    <w:rsid w:val="003970B1"/>
    <w:rsid w:val="0039712B"/>
    <w:rsid w:val="00397D8B"/>
    <w:rsid w:val="003A0015"/>
    <w:rsid w:val="003A06F7"/>
    <w:rsid w:val="003A0933"/>
    <w:rsid w:val="003A1153"/>
    <w:rsid w:val="003A1300"/>
    <w:rsid w:val="003A18B2"/>
    <w:rsid w:val="003A1C5A"/>
    <w:rsid w:val="003A2A03"/>
    <w:rsid w:val="003A321C"/>
    <w:rsid w:val="003A354F"/>
    <w:rsid w:val="003A3794"/>
    <w:rsid w:val="003A737C"/>
    <w:rsid w:val="003A7561"/>
    <w:rsid w:val="003A7599"/>
    <w:rsid w:val="003A7D2E"/>
    <w:rsid w:val="003A7FB6"/>
    <w:rsid w:val="003B086C"/>
    <w:rsid w:val="003B110C"/>
    <w:rsid w:val="003B138B"/>
    <w:rsid w:val="003B1AF1"/>
    <w:rsid w:val="003B1C5E"/>
    <w:rsid w:val="003B1E2A"/>
    <w:rsid w:val="003B45CB"/>
    <w:rsid w:val="003B4866"/>
    <w:rsid w:val="003B65BA"/>
    <w:rsid w:val="003B7318"/>
    <w:rsid w:val="003B759C"/>
    <w:rsid w:val="003B770C"/>
    <w:rsid w:val="003B7FA2"/>
    <w:rsid w:val="003C1B1F"/>
    <w:rsid w:val="003C1CCF"/>
    <w:rsid w:val="003C4E07"/>
    <w:rsid w:val="003C5009"/>
    <w:rsid w:val="003C7802"/>
    <w:rsid w:val="003D0694"/>
    <w:rsid w:val="003D1BE9"/>
    <w:rsid w:val="003D2307"/>
    <w:rsid w:val="003D44EF"/>
    <w:rsid w:val="003D5097"/>
    <w:rsid w:val="003D6678"/>
    <w:rsid w:val="003D6ECB"/>
    <w:rsid w:val="003E1BE5"/>
    <w:rsid w:val="003E1CD1"/>
    <w:rsid w:val="003E23F2"/>
    <w:rsid w:val="003E3463"/>
    <w:rsid w:val="003E3585"/>
    <w:rsid w:val="003E5845"/>
    <w:rsid w:val="003E6193"/>
    <w:rsid w:val="003E62F3"/>
    <w:rsid w:val="003E71C2"/>
    <w:rsid w:val="003E79B4"/>
    <w:rsid w:val="003F0CB4"/>
    <w:rsid w:val="003F143D"/>
    <w:rsid w:val="003F4808"/>
    <w:rsid w:val="003F4BA1"/>
    <w:rsid w:val="003F7506"/>
    <w:rsid w:val="003F788B"/>
    <w:rsid w:val="00400E55"/>
    <w:rsid w:val="00401717"/>
    <w:rsid w:val="00404388"/>
    <w:rsid w:val="004051A8"/>
    <w:rsid w:val="004057BA"/>
    <w:rsid w:val="00405855"/>
    <w:rsid w:val="00406DAE"/>
    <w:rsid w:val="004071CD"/>
    <w:rsid w:val="00407FFB"/>
    <w:rsid w:val="00411C2B"/>
    <w:rsid w:val="00411F2C"/>
    <w:rsid w:val="0041397D"/>
    <w:rsid w:val="00413F3C"/>
    <w:rsid w:val="00414160"/>
    <w:rsid w:val="004146CE"/>
    <w:rsid w:val="004148E2"/>
    <w:rsid w:val="00415837"/>
    <w:rsid w:val="00415B65"/>
    <w:rsid w:val="00415DF3"/>
    <w:rsid w:val="00415F72"/>
    <w:rsid w:val="00416875"/>
    <w:rsid w:val="0041756C"/>
    <w:rsid w:val="00420618"/>
    <w:rsid w:val="00420DA9"/>
    <w:rsid w:val="00422DC6"/>
    <w:rsid w:val="00424315"/>
    <w:rsid w:val="00424ADE"/>
    <w:rsid w:val="0042595A"/>
    <w:rsid w:val="004263A0"/>
    <w:rsid w:val="004300E9"/>
    <w:rsid w:val="00430EE3"/>
    <w:rsid w:val="0043106A"/>
    <w:rsid w:val="00431BB1"/>
    <w:rsid w:val="00431D18"/>
    <w:rsid w:val="00433C00"/>
    <w:rsid w:val="00433CBC"/>
    <w:rsid w:val="00433CC1"/>
    <w:rsid w:val="00435527"/>
    <w:rsid w:val="00436B8B"/>
    <w:rsid w:val="00436D66"/>
    <w:rsid w:val="00436FB4"/>
    <w:rsid w:val="00437A89"/>
    <w:rsid w:val="00437AC3"/>
    <w:rsid w:val="00437B09"/>
    <w:rsid w:val="004401D4"/>
    <w:rsid w:val="004410F4"/>
    <w:rsid w:val="0044112B"/>
    <w:rsid w:val="00441B7F"/>
    <w:rsid w:val="00441FC5"/>
    <w:rsid w:val="0044228E"/>
    <w:rsid w:val="004426C0"/>
    <w:rsid w:val="004429C2"/>
    <w:rsid w:val="00444403"/>
    <w:rsid w:val="00445510"/>
    <w:rsid w:val="00447C0A"/>
    <w:rsid w:val="00447E90"/>
    <w:rsid w:val="00447F09"/>
    <w:rsid w:val="00451426"/>
    <w:rsid w:val="0045185F"/>
    <w:rsid w:val="00452376"/>
    <w:rsid w:val="00452B63"/>
    <w:rsid w:val="004544C2"/>
    <w:rsid w:val="0045484A"/>
    <w:rsid w:val="004552EA"/>
    <w:rsid w:val="00455AD1"/>
    <w:rsid w:val="00457F35"/>
    <w:rsid w:val="00460CEE"/>
    <w:rsid w:val="00462922"/>
    <w:rsid w:val="004629B3"/>
    <w:rsid w:val="00462AAC"/>
    <w:rsid w:val="004632CD"/>
    <w:rsid w:val="0046377C"/>
    <w:rsid w:val="00463F4B"/>
    <w:rsid w:val="004644C6"/>
    <w:rsid w:val="00464834"/>
    <w:rsid w:val="00464C5B"/>
    <w:rsid w:val="00464C7C"/>
    <w:rsid w:val="0046553B"/>
    <w:rsid w:val="00467635"/>
    <w:rsid w:val="00467FB4"/>
    <w:rsid w:val="0047059E"/>
    <w:rsid w:val="0047114A"/>
    <w:rsid w:val="00471819"/>
    <w:rsid w:val="00471C1A"/>
    <w:rsid w:val="004748A7"/>
    <w:rsid w:val="00474FBC"/>
    <w:rsid w:val="004758BF"/>
    <w:rsid w:val="00476A3A"/>
    <w:rsid w:val="00477114"/>
    <w:rsid w:val="00477689"/>
    <w:rsid w:val="00482180"/>
    <w:rsid w:val="00482A33"/>
    <w:rsid w:val="00484ECF"/>
    <w:rsid w:val="004851C4"/>
    <w:rsid w:val="004855CD"/>
    <w:rsid w:val="00485889"/>
    <w:rsid w:val="00485C1D"/>
    <w:rsid w:val="004865D9"/>
    <w:rsid w:val="00487C67"/>
    <w:rsid w:val="0049019E"/>
    <w:rsid w:val="00490234"/>
    <w:rsid w:val="00490A71"/>
    <w:rsid w:val="00491804"/>
    <w:rsid w:val="00492271"/>
    <w:rsid w:val="00492DFF"/>
    <w:rsid w:val="00494B48"/>
    <w:rsid w:val="00496F10"/>
    <w:rsid w:val="004975CF"/>
    <w:rsid w:val="00497A08"/>
    <w:rsid w:val="004A0858"/>
    <w:rsid w:val="004A08DE"/>
    <w:rsid w:val="004A27D4"/>
    <w:rsid w:val="004A294B"/>
    <w:rsid w:val="004A2CDC"/>
    <w:rsid w:val="004A37C0"/>
    <w:rsid w:val="004A42FF"/>
    <w:rsid w:val="004A46AC"/>
    <w:rsid w:val="004A538D"/>
    <w:rsid w:val="004A5E8F"/>
    <w:rsid w:val="004A612A"/>
    <w:rsid w:val="004A6C3E"/>
    <w:rsid w:val="004A764A"/>
    <w:rsid w:val="004B02FF"/>
    <w:rsid w:val="004B0A39"/>
    <w:rsid w:val="004B1069"/>
    <w:rsid w:val="004B35C5"/>
    <w:rsid w:val="004B4DD7"/>
    <w:rsid w:val="004B56C3"/>
    <w:rsid w:val="004B663F"/>
    <w:rsid w:val="004B7586"/>
    <w:rsid w:val="004B7725"/>
    <w:rsid w:val="004C098E"/>
    <w:rsid w:val="004C1D83"/>
    <w:rsid w:val="004C274F"/>
    <w:rsid w:val="004C2791"/>
    <w:rsid w:val="004C4863"/>
    <w:rsid w:val="004C5338"/>
    <w:rsid w:val="004C6B4E"/>
    <w:rsid w:val="004C6D24"/>
    <w:rsid w:val="004C77EA"/>
    <w:rsid w:val="004C79C0"/>
    <w:rsid w:val="004C7E40"/>
    <w:rsid w:val="004D0732"/>
    <w:rsid w:val="004D54A5"/>
    <w:rsid w:val="004D6367"/>
    <w:rsid w:val="004D714A"/>
    <w:rsid w:val="004E03CE"/>
    <w:rsid w:val="004E0662"/>
    <w:rsid w:val="004E1210"/>
    <w:rsid w:val="004E210C"/>
    <w:rsid w:val="004E2BE5"/>
    <w:rsid w:val="004E2D23"/>
    <w:rsid w:val="004E377F"/>
    <w:rsid w:val="004E3B50"/>
    <w:rsid w:val="004E4454"/>
    <w:rsid w:val="004E48FA"/>
    <w:rsid w:val="004E62ED"/>
    <w:rsid w:val="004E63A4"/>
    <w:rsid w:val="004E70F0"/>
    <w:rsid w:val="004E7B50"/>
    <w:rsid w:val="004F0722"/>
    <w:rsid w:val="004F0809"/>
    <w:rsid w:val="004F0A85"/>
    <w:rsid w:val="004F0C4B"/>
    <w:rsid w:val="004F260E"/>
    <w:rsid w:val="004F3024"/>
    <w:rsid w:val="004F3FE1"/>
    <w:rsid w:val="004F4E87"/>
    <w:rsid w:val="004F5437"/>
    <w:rsid w:val="004F549C"/>
    <w:rsid w:val="004F5571"/>
    <w:rsid w:val="004F5E71"/>
    <w:rsid w:val="004F5EEF"/>
    <w:rsid w:val="004F78F8"/>
    <w:rsid w:val="00500283"/>
    <w:rsid w:val="005003EA"/>
    <w:rsid w:val="005012B3"/>
    <w:rsid w:val="00503A79"/>
    <w:rsid w:val="00503A8C"/>
    <w:rsid w:val="005043F0"/>
    <w:rsid w:val="005056B7"/>
    <w:rsid w:val="00507367"/>
    <w:rsid w:val="00510A36"/>
    <w:rsid w:val="0051149A"/>
    <w:rsid w:val="00511A32"/>
    <w:rsid w:val="00511B67"/>
    <w:rsid w:val="005122E9"/>
    <w:rsid w:val="005124A9"/>
    <w:rsid w:val="00513610"/>
    <w:rsid w:val="005140DB"/>
    <w:rsid w:val="00514D6E"/>
    <w:rsid w:val="00515494"/>
    <w:rsid w:val="00515BF0"/>
    <w:rsid w:val="00515E93"/>
    <w:rsid w:val="00517447"/>
    <w:rsid w:val="005178E2"/>
    <w:rsid w:val="00521BE3"/>
    <w:rsid w:val="0052307E"/>
    <w:rsid w:val="00523259"/>
    <w:rsid w:val="00526305"/>
    <w:rsid w:val="0052659C"/>
    <w:rsid w:val="0052665D"/>
    <w:rsid w:val="005269C7"/>
    <w:rsid w:val="005269CA"/>
    <w:rsid w:val="005273C5"/>
    <w:rsid w:val="00532292"/>
    <w:rsid w:val="005329C4"/>
    <w:rsid w:val="00532EC8"/>
    <w:rsid w:val="005333F4"/>
    <w:rsid w:val="0053340F"/>
    <w:rsid w:val="005357B8"/>
    <w:rsid w:val="00537528"/>
    <w:rsid w:val="00537BFF"/>
    <w:rsid w:val="00537D03"/>
    <w:rsid w:val="00537E90"/>
    <w:rsid w:val="00537F19"/>
    <w:rsid w:val="00540DA0"/>
    <w:rsid w:val="005410A5"/>
    <w:rsid w:val="00541ABB"/>
    <w:rsid w:val="00541E9A"/>
    <w:rsid w:val="00543331"/>
    <w:rsid w:val="00545676"/>
    <w:rsid w:val="0054629C"/>
    <w:rsid w:val="00546735"/>
    <w:rsid w:val="00552545"/>
    <w:rsid w:val="00552726"/>
    <w:rsid w:val="00553A83"/>
    <w:rsid w:val="00553E44"/>
    <w:rsid w:val="0055443F"/>
    <w:rsid w:val="0055482A"/>
    <w:rsid w:val="00555081"/>
    <w:rsid w:val="005552A4"/>
    <w:rsid w:val="005553AE"/>
    <w:rsid w:val="005576C1"/>
    <w:rsid w:val="005602A6"/>
    <w:rsid w:val="00560346"/>
    <w:rsid w:val="00560528"/>
    <w:rsid w:val="005615F5"/>
    <w:rsid w:val="00561A2A"/>
    <w:rsid w:val="005628C2"/>
    <w:rsid w:val="00563454"/>
    <w:rsid w:val="00563AC0"/>
    <w:rsid w:val="00563E8C"/>
    <w:rsid w:val="00564F39"/>
    <w:rsid w:val="00564F58"/>
    <w:rsid w:val="00565A27"/>
    <w:rsid w:val="005702E9"/>
    <w:rsid w:val="00570AD0"/>
    <w:rsid w:val="00570C70"/>
    <w:rsid w:val="00570DC0"/>
    <w:rsid w:val="00571E5C"/>
    <w:rsid w:val="00572343"/>
    <w:rsid w:val="00572632"/>
    <w:rsid w:val="005730DD"/>
    <w:rsid w:val="00575C04"/>
    <w:rsid w:val="00575E1F"/>
    <w:rsid w:val="005760A8"/>
    <w:rsid w:val="00577733"/>
    <w:rsid w:val="00577C74"/>
    <w:rsid w:val="00580473"/>
    <w:rsid w:val="00581278"/>
    <w:rsid w:val="005813A5"/>
    <w:rsid w:val="00581547"/>
    <w:rsid w:val="00583624"/>
    <w:rsid w:val="005870DE"/>
    <w:rsid w:val="0058757D"/>
    <w:rsid w:val="0058785F"/>
    <w:rsid w:val="00587C18"/>
    <w:rsid w:val="00590AC6"/>
    <w:rsid w:val="005910CF"/>
    <w:rsid w:val="00592657"/>
    <w:rsid w:val="0059319A"/>
    <w:rsid w:val="00594AAC"/>
    <w:rsid w:val="00594CA6"/>
    <w:rsid w:val="0059558D"/>
    <w:rsid w:val="0059664F"/>
    <w:rsid w:val="005968DD"/>
    <w:rsid w:val="00597978"/>
    <w:rsid w:val="005A0B9A"/>
    <w:rsid w:val="005A28FB"/>
    <w:rsid w:val="005A32FA"/>
    <w:rsid w:val="005A37FE"/>
    <w:rsid w:val="005A5CE9"/>
    <w:rsid w:val="005A6755"/>
    <w:rsid w:val="005A6E4F"/>
    <w:rsid w:val="005A75B8"/>
    <w:rsid w:val="005B060D"/>
    <w:rsid w:val="005B2882"/>
    <w:rsid w:val="005B2FA8"/>
    <w:rsid w:val="005B404B"/>
    <w:rsid w:val="005B4ABA"/>
    <w:rsid w:val="005B4AF4"/>
    <w:rsid w:val="005B4DFC"/>
    <w:rsid w:val="005B4E81"/>
    <w:rsid w:val="005B6390"/>
    <w:rsid w:val="005B6D1F"/>
    <w:rsid w:val="005B702E"/>
    <w:rsid w:val="005B7714"/>
    <w:rsid w:val="005B7D1A"/>
    <w:rsid w:val="005C0125"/>
    <w:rsid w:val="005C2D47"/>
    <w:rsid w:val="005C305D"/>
    <w:rsid w:val="005C3490"/>
    <w:rsid w:val="005C4295"/>
    <w:rsid w:val="005C5B0C"/>
    <w:rsid w:val="005C5DF1"/>
    <w:rsid w:val="005C6C03"/>
    <w:rsid w:val="005C7821"/>
    <w:rsid w:val="005D1B04"/>
    <w:rsid w:val="005D231D"/>
    <w:rsid w:val="005D3854"/>
    <w:rsid w:val="005D3C55"/>
    <w:rsid w:val="005D41C4"/>
    <w:rsid w:val="005D42CF"/>
    <w:rsid w:val="005D467E"/>
    <w:rsid w:val="005D53F9"/>
    <w:rsid w:val="005D59F2"/>
    <w:rsid w:val="005D5C8F"/>
    <w:rsid w:val="005D5F4A"/>
    <w:rsid w:val="005E02CB"/>
    <w:rsid w:val="005E27DD"/>
    <w:rsid w:val="005E3B74"/>
    <w:rsid w:val="005E4197"/>
    <w:rsid w:val="005E48CE"/>
    <w:rsid w:val="005E4F86"/>
    <w:rsid w:val="005E5090"/>
    <w:rsid w:val="005E5268"/>
    <w:rsid w:val="005E5BF2"/>
    <w:rsid w:val="005E5CD5"/>
    <w:rsid w:val="005E5E49"/>
    <w:rsid w:val="005E69E0"/>
    <w:rsid w:val="005E7257"/>
    <w:rsid w:val="005E7D0C"/>
    <w:rsid w:val="005E7F6C"/>
    <w:rsid w:val="005F0EE9"/>
    <w:rsid w:val="005F2B67"/>
    <w:rsid w:val="005F37E6"/>
    <w:rsid w:val="005F3936"/>
    <w:rsid w:val="005F3E64"/>
    <w:rsid w:val="005F5A3D"/>
    <w:rsid w:val="005F5FF1"/>
    <w:rsid w:val="005F718A"/>
    <w:rsid w:val="005F77D4"/>
    <w:rsid w:val="00600352"/>
    <w:rsid w:val="0060036F"/>
    <w:rsid w:val="0060059A"/>
    <w:rsid w:val="00602248"/>
    <w:rsid w:val="0060283C"/>
    <w:rsid w:val="00602ABC"/>
    <w:rsid w:val="00602B2B"/>
    <w:rsid w:val="00603806"/>
    <w:rsid w:val="00604B3D"/>
    <w:rsid w:val="0060578C"/>
    <w:rsid w:val="00605C45"/>
    <w:rsid w:val="00605EC9"/>
    <w:rsid w:val="00606009"/>
    <w:rsid w:val="006062F1"/>
    <w:rsid w:val="006064B1"/>
    <w:rsid w:val="006064DD"/>
    <w:rsid w:val="00607F82"/>
    <w:rsid w:val="00612FB6"/>
    <w:rsid w:val="00613ACC"/>
    <w:rsid w:val="00613CFF"/>
    <w:rsid w:val="00613EE3"/>
    <w:rsid w:val="006144BD"/>
    <w:rsid w:val="00614AA3"/>
    <w:rsid w:val="00614D97"/>
    <w:rsid w:val="00615056"/>
    <w:rsid w:val="00615518"/>
    <w:rsid w:val="00615546"/>
    <w:rsid w:val="006159E8"/>
    <w:rsid w:val="00616336"/>
    <w:rsid w:val="006164D5"/>
    <w:rsid w:val="00617571"/>
    <w:rsid w:val="00617E3F"/>
    <w:rsid w:val="00617FAF"/>
    <w:rsid w:val="00621DEC"/>
    <w:rsid w:val="00622126"/>
    <w:rsid w:val="006222A2"/>
    <w:rsid w:val="00622435"/>
    <w:rsid w:val="00622E75"/>
    <w:rsid w:val="00623C2E"/>
    <w:rsid w:val="006250E5"/>
    <w:rsid w:val="00626635"/>
    <w:rsid w:val="006268EE"/>
    <w:rsid w:val="00626C85"/>
    <w:rsid w:val="006277DD"/>
    <w:rsid w:val="00627A08"/>
    <w:rsid w:val="006306EC"/>
    <w:rsid w:val="00631579"/>
    <w:rsid w:val="006363EB"/>
    <w:rsid w:val="00636869"/>
    <w:rsid w:val="00636FF4"/>
    <w:rsid w:val="0064070C"/>
    <w:rsid w:val="006409E1"/>
    <w:rsid w:val="00641D4E"/>
    <w:rsid w:val="006436E5"/>
    <w:rsid w:val="00643CBE"/>
    <w:rsid w:val="006443DE"/>
    <w:rsid w:val="006457EA"/>
    <w:rsid w:val="00645AF7"/>
    <w:rsid w:val="00645E0D"/>
    <w:rsid w:val="00646CEE"/>
    <w:rsid w:val="006475A2"/>
    <w:rsid w:val="0064780D"/>
    <w:rsid w:val="006479F5"/>
    <w:rsid w:val="00650669"/>
    <w:rsid w:val="00651CCF"/>
    <w:rsid w:val="00652170"/>
    <w:rsid w:val="0065244F"/>
    <w:rsid w:val="00652A8C"/>
    <w:rsid w:val="00656697"/>
    <w:rsid w:val="00657B1A"/>
    <w:rsid w:val="00657D96"/>
    <w:rsid w:val="006600AC"/>
    <w:rsid w:val="0066134C"/>
    <w:rsid w:val="00661E7B"/>
    <w:rsid w:val="00661FFD"/>
    <w:rsid w:val="006629FF"/>
    <w:rsid w:val="00663801"/>
    <w:rsid w:val="00664C6C"/>
    <w:rsid w:val="00665EC6"/>
    <w:rsid w:val="006661B3"/>
    <w:rsid w:val="00667675"/>
    <w:rsid w:val="006702BA"/>
    <w:rsid w:val="00670352"/>
    <w:rsid w:val="006703BC"/>
    <w:rsid w:val="00670FDE"/>
    <w:rsid w:val="00672F97"/>
    <w:rsid w:val="00673B5C"/>
    <w:rsid w:val="006742A5"/>
    <w:rsid w:val="00680052"/>
    <w:rsid w:val="006807C9"/>
    <w:rsid w:val="00681E6F"/>
    <w:rsid w:val="00682EB3"/>
    <w:rsid w:val="006833FD"/>
    <w:rsid w:val="006837A8"/>
    <w:rsid w:val="00683844"/>
    <w:rsid w:val="006844AE"/>
    <w:rsid w:val="00684D57"/>
    <w:rsid w:val="00685EDF"/>
    <w:rsid w:val="00687327"/>
    <w:rsid w:val="00687363"/>
    <w:rsid w:val="00690044"/>
    <w:rsid w:val="00690A7B"/>
    <w:rsid w:val="006914AF"/>
    <w:rsid w:val="00691747"/>
    <w:rsid w:val="00691961"/>
    <w:rsid w:val="00692C58"/>
    <w:rsid w:val="006932B4"/>
    <w:rsid w:val="006939E2"/>
    <w:rsid w:val="00693C76"/>
    <w:rsid w:val="0069403B"/>
    <w:rsid w:val="006941F2"/>
    <w:rsid w:val="00694A17"/>
    <w:rsid w:val="00694F76"/>
    <w:rsid w:val="00695139"/>
    <w:rsid w:val="0069516E"/>
    <w:rsid w:val="00695A2E"/>
    <w:rsid w:val="006975E6"/>
    <w:rsid w:val="006A0367"/>
    <w:rsid w:val="006A0EEC"/>
    <w:rsid w:val="006A199B"/>
    <w:rsid w:val="006A1D9A"/>
    <w:rsid w:val="006A2BCC"/>
    <w:rsid w:val="006A38D4"/>
    <w:rsid w:val="006A3B2C"/>
    <w:rsid w:val="006A48AF"/>
    <w:rsid w:val="006A4E22"/>
    <w:rsid w:val="006A5ED6"/>
    <w:rsid w:val="006A6E66"/>
    <w:rsid w:val="006B254B"/>
    <w:rsid w:val="006B31E8"/>
    <w:rsid w:val="006B4D00"/>
    <w:rsid w:val="006B753F"/>
    <w:rsid w:val="006B7BA0"/>
    <w:rsid w:val="006C1748"/>
    <w:rsid w:val="006C1B34"/>
    <w:rsid w:val="006C1D76"/>
    <w:rsid w:val="006C2468"/>
    <w:rsid w:val="006C38B2"/>
    <w:rsid w:val="006C4EBE"/>
    <w:rsid w:val="006C537C"/>
    <w:rsid w:val="006C6471"/>
    <w:rsid w:val="006C6DD5"/>
    <w:rsid w:val="006C74BE"/>
    <w:rsid w:val="006C7C8E"/>
    <w:rsid w:val="006D032F"/>
    <w:rsid w:val="006D1839"/>
    <w:rsid w:val="006D1A47"/>
    <w:rsid w:val="006D1D7E"/>
    <w:rsid w:val="006D2203"/>
    <w:rsid w:val="006D2414"/>
    <w:rsid w:val="006D2557"/>
    <w:rsid w:val="006D31E0"/>
    <w:rsid w:val="006D6683"/>
    <w:rsid w:val="006D67D8"/>
    <w:rsid w:val="006D7206"/>
    <w:rsid w:val="006D7489"/>
    <w:rsid w:val="006E0670"/>
    <w:rsid w:val="006E09FD"/>
    <w:rsid w:val="006E0B25"/>
    <w:rsid w:val="006E1B9A"/>
    <w:rsid w:val="006E249B"/>
    <w:rsid w:val="006E2708"/>
    <w:rsid w:val="006E2C1D"/>
    <w:rsid w:val="006E335F"/>
    <w:rsid w:val="006E4094"/>
    <w:rsid w:val="006E5D4A"/>
    <w:rsid w:val="006E61E0"/>
    <w:rsid w:val="006E7455"/>
    <w:rsid w:val="006E7AA8"/>
    <w:rsid w:val="006E7F60"/>
    <w:rsid w:val="006F04B8"/>
    <w:rsid w:val="006F0576"/>
    <w:rsid w:val="006F09B5"/>
    <w:rsid w:val="006F09CB"/>
    <w:rsid w:val="006F0A11"/>
    <w:rsid w:val="006F0CFF"/>
    <w:rsid w:val="006F17DE"/>
    <w:rsid w:val="006F4FAF"/>
    <w:rsid w:val="006F531B"/>
    <w:rsid w:val="006F5811"/>
    <w:rsid w:val="006F5A7E"/>
    <w:rsid w:val="006F5E9F"/>
    <w:rsid w:val="006F6CEF"/>
    <w:rsid w:val="006F7607"/>
    <w:rsid w:val="006F7C06"/>
    <w:rsid w:val="006F7F61"/>
    <w:rsid w:val="00700530"/>
    <w:rsid w:val="00700DB0"/>
    <w:rsid w:val="00701602"/>
    <w:rsid w:val="007016D3"/>
    <w:rsid w:val="00701B26"/>
    <w:rsid w:val="00702B3C"/>
    <w:rsid w:val="00702E5E"/>
    <w:rsid w:val="007032F1"/>
    <w:rsid w:val="00705B21"/>
    <w:rsid w:val="00707225"/>
    <w:rsid w:val="00707C89"/>
    <w:rsid w:val="00707EA3"/>
    <w:rsid w:val="00710102"/>
    <w:rsid w:val="00710AE1"/>
    <w:rsid w:val="00711CE9"/>
    <w:rsid w:val="00711E68"/>
    <w:rsid w:val="00713359"/>
    <w:rsid w:val="007133E4"/>
    <w:rsid w:val="00713C0F"/>
    <w:rsid w:val="0071449F"/>
    <w:rsid w:val="00714EB8"/>
    <w:rsid w:val="00715E07"/>
    <w:rsid w:val="00715EBF"/>
    <w:rsid w:val="007168E7"/>
    <w:rsid w:val="0071693F"/>
    <w:rsid w:val="007178F3"/>
    <w:rsid w:val="007209EA"/>
    <w:rsid w:val="00720AFB"/>
    <w:rsid w:val="00721D44"/>
    <w:rsid w:val="00722EF0"/>
    <w:rsid w:val="007231B1"/>
    <w:rsid w:val="00723643"/>
    <w:rsid w:val="00723CE0"/>
    <w:rsid w:val="007241F2"/>
    <w:rsid w:val="00724545"/>
    <w:rsid w:val="00725175"/>
    <w:rsid w:val="007266A4"/>
    <w:rsid w:val="00727487"/>
    <w:rsid w:val="007274D0"/>
    <w:rsid w:val="0073041C"/>
    <w:rsid w:val="00731668"/>
    <w:rsid w:val="0073225F"/>
    <w:rsid w:val="00732B46"/>
    <w:rsid w:val="00733156"/>
    <w:rsid w:val="0073328E"/>
    <w:rsid w:val="0073344F"/>
    <w:rsid w:val="00733A3B"/>
    <w:rsid w:val="00734B22"/>
    <w:rsid w:val="00734C21"/>
    <w:rsid w:val="00735491"/>
    <w:rsid w:val="00735710"/>
    <w:rsid w:val="00735DFD"/>
    <w:rsid w:val="00736315"/>
    <w:rsid w:val="00737B49"/>
    <w:rsid w:val="00740602"/>
    <w:rsid w:val="007407B4"/>
    <w:rsid w:val="007417C7"/>
    <w:rsid w:val="00741B13"/>
    <w:rsid w:val="00742D65"/>
    <w:rsid w:val="00743136"/>
    <w:rsid w:val="007435E6"/>
    <w:rsid w:val="007436C3"/>
    <w:rsid w:val="00743D35"/>
    <w:rsid w:val="00744773"/>
    <w:rsid w:val="00746591"/>
    <w:rsid w:val="007465C4"/>
    <w:rsid w:val="00746C22"/>
    <w:rsid w:val="00747CFF"/>
    <w:rsid w:val="00750D8B"/>
    <w:rsid w:val="007515D3"/>
    <w:rsid w:val="007519C3"/>
    <w:rsid w:val="00753BAB"/>
    <w:rsid w:val="00753C00"/>
    <w:rsid w:val="00753D45"/>
    <w:rsid w:val="00755887"/>
    <w:rsid w:val="00755ADE"/>
    <w:rsid w:val="007563CC"/>
    <w:rsid w:val="00757241"/>
    <w:rsid w:val="00757AA7"/>
    <w:rsid w:val="007618FC"/>
    <w:rsid w:val="00761D1F"/>
    <w:rsid w:val="0076338D"/>
    <w:rsid w:val="00763765"/>
    <w:rsid w:val="00763A4B"/>
    <w:rsid w:val="00763EBA"/>
    <w:rsid w:val="00764088"/>
    <w:rsid w:val="007640DB"/>
    <w:rsid w:val="0076416B"/>
    <w:rsid w:val="0076417B"/>
    <w:rsid w:val="00764363"/>
    <w:rsid w:val="0076522B"/>
    <w:rsid w:val="007707B8"/>
    <w:rsid w:val="007712D2"/>
    <w:rsid w:val="00773488"/>
    <w:rsid w:val="00773D7F"/>
    <w:rsid w:val="007740E9"/>
    <w:rsid w:val="007742E8"/>
    <w:rsid w:val="00774E66"/>
    <w:rsid w:val="00775194"/>
    <w:rsid w:val="0077642D"/>
    <w:rsid w:val="00776EE3"/>
    <w:rsid w:val="0077713A"/>
    <w:rsid w:val="00777A8A"/>
    <w:rsid w:val="00781696"/>
    <w:rsid w:val="00781B70"/>
    <w:rsid w:val="007823C8"/>
    <w:rsid w:val="00782531"/>
    <w:rsid w:val="00782D05"/>
    <w:rsid w:val="00784754"/>
    <w:rsid w:val="007849A4"/>
    <w:rsid w:val="00784DD6"/>
    <w:rsid w:val="00784FC9"/>
    <w:rsid w:val="00785032"/>
    <w:rsid w:val="00785822"/>
    <w:rsid w:val="00785934"/>
    <w:rsid w:val="00786B30"/>
    <w:rsid w:val="00786CF1"/>
    <w:rsid w:val="00787A23"/>
    <w:rsid w:val="00787D99"/>
    <w:rsid w:val="00790045"/>
    <w:rsid w:val="007907A6"/>
    <w:rsid w:val="00791B87"/>
    <w:rsid w:val="00791E33"/>
    <w:rsid w:val="007920A8"/>
    <w:rsid w:val="00792820"/>
    <w:rsid w:val="00792832"/>
    <w:rsid w:val="007928D3"/>
    <w:rsid w:val="00793186"/>
    <w:rsid w:val="00793634"/>
    <w:rsid w:val="00793A00"/>
    <w:rsid w:val="00793A2E"/>
    <w:rsid w:val="00794D1B"/>
    <w:rsid w:val="00794DBB"/>
    <w:rsid w:val="007965BA"/>
    <w:rsid w:val="007966F1"/>
    <w:rsid w:val="00797079"/>
    <w:rsid w:val="007976B8"/>
    <w:rsid w:val="00797A2D"/>
    <w:rsid w:val="00797ADD"/>
    <w:rsid w:val="00797B43"/>
    <w:rsid w:val="007A0C67"/>
    <w:rsid w:val="007A1763"/>
    <w:rsid w:val="007A18B7"/>
    <w:rsid w:val="007A2737"/>
    <w:rsid w:val="007A2CC5"/>
    <w:rsid w:val="007A34FE"/>
    <w:rsid w:val="007A3A94"/>
    <w:rsid w:val="007A4DA1"/>
    <w:rsid w:val="007A639E"/>
    <w:rsid w:val="007A7916"/>
    <w:rsid w:val="007B00C5"/>
    <w:rsid w:val="007B018A"/>
    <w:rsid w:val="007B16A8"/>
    <w:rsid w:val="007B1A3C"/>
    <w:rsid w:val="007B24E2"/>
    <w:rsid w:val="007B3444"/>
    <w:rsid w:val="007B43F2"/>
    <w:rsid w:val="007B52E5"/>
    <w:rsid w:val="007B5AAC"/>
    <w:rsid w:val="007B6B37"/>
    <w:rsid w:val="007B7DBC"/>
    <w:rsid w:val="007B7E96"/>
    <w:rsid w:val="007C1497"/>
    <w:rsid w:val="007C17B2"/>
    <w:rsid w:val="007C22AA"/>
    <w:rsid w:val="007C3F16"/>
    <w:rsid w:val="007C4454"/>
    <w:rsid w:val="007C44BF"/>
    <w:rsid w:val="007C4554"/>
    <w:rsid w:val="007C50FD"/>
    <w:rsid w:val="007C6776"/>
    <w:rsid w:val="007C697C"/>
    <w:rsid w:val="007C7E2F"/>
    <w:rsid w:val="007D0114"/>
    <w:rsid w:val="007D3002"/>
    <w:rsid w:val="007D3D91"/>
    <w:rsid w:val="007D443D"/>
    <w:rsid w:val="007D69A5"/>
    <w:rsid w:val="007E1213"/>
    <w:rsid w:val="007E2324"/>
    <w:rsid w:val="007E3734"/>
    <w:rsid w:val="007E5421"/>
    <w:rsid w:val="007E5B02"/>
    <w:rsid w:val="007E635E"/>
    <w:rsid w:val="007E768E"/>
    <w:rsid w:val="007F0436"/>
    <w:rsid w:val="007F04CB"/>
    <w:rsid w:val="007F071D"/>
    <w:rsid w:val="007F0E92"/>
    <w:rsid w:val="007F1DC4"/>
    <w:rsid w:val="007F22AE"/>
    <w:rsid w:val="007F2A6E"/>
    <w:rsid w:val="007F356D"/>
    <w:rsid w:val="007F3CAE"/>
    <w:rsid w:val="007F4A81"/>
    <w:rsid w:val="007F5854"/>
    <w:rsid w:val="007F5EF5"/>
    <w:rsid w:val="007F6E99"/>
    <w:rsid w:val="007F736C"/>
    <w:rsid w:val="007F781E"/>
    <w:rsid w:val="0080272D"/>
    <w:rsid w:val="00802BC8"/>
    <w:rsid w:val="00803D00"/>
    <w:rsid w:val="00804302"/>
    <w:rsid w:val="0080457F"/>
    <w:rsid w:val="0080557E"/>
    <w:rsid w:val="00806AEC"/>
    <w:rsid w:val="00807132"/>
    <w:rsid w:val="00807326"/>
    <w:rsid w:val="00807358"/>
    <w:rsid w:val="00810619"/>
    <w:rsid w:val="00811C9F"/>
    <w:rsid w:val="0081226D"/>
    <w:rsid w:val="00812A23"/>
    <w:rsid w:val="00812B6E"/>
    <w:rsid w:val="00813DC9"/>
    <w:rsid w:val="00815624"/>
    <w:rsid w:val="0081576A"/>
    <w:rsid w:val="00816750"/>
    <w:rsid w:val="00817560"/>
    <w:rsid w:val="00817AD8"/>
    <w:rsid w:val="008202EB"/>
    <w:rsid w:val="008212D7"/>
    <w:rsid w:val="0082136D"/>
    <w:rsid w:val="0082165D"/>
    <w:rsid w:val="008219DD"/>
    <w:rsid w:val="00822DF0"/>
    <w:rsid w:val="008242B3"/>
    <w:rsid w:val="008247CF"/>
    <w:rsid w:val="00825783"/>
    <w:rsid w:val="00825DF6"/>
    <w:rsid w:val="008268E0"/>
    <w:rsid w:val="00826C00"/>
    <w:rsid w:val="00827072"/>
    <w:rsid w:val="008278BD"/>
    <w:rsid w:val="00827968"/>
    <w:rsid w:val="00831785"/>
    <w:rsid w:val="00831D01"/>
    <w:rsid w:val="0083407A"/>
    <w:rsid w:val="008346EA"/>
    <w:rsid w:val="008355C7"/>
    <w:rsid w:val="00835A7C"/>
    <w:rsid w:val="00835E59"/>
    <w:rsid w:val="00836A72"/>
    <w:rsid w:val="00836FA4"/>
    <w:rsid w:val="0083758B"/>
    <w:rsid w:val="00840012"/>
    <w:rsid w:val="00840E7C"/>
    <w:rsid w:val="0084128E"/>
    <w:rsid w:val="008419EC"/>
    <w:rsid w:val="00841CE6"/>
    <w:rsid w:val="0084225C"/>
    <w:rsid w:val="00842700"/>
    <w:rsid w:val="008433F1"/>
    <w:rsid w:val="00844B1C"/>
    <w:rsid w:val="00844DCE"/>
    <w:rsid w:val="00845C32"/>
    <w:rsid w:val="008471F1"/>
    <w:rsid w:val="0084771A"/>
    <w:rsid w:val="00852F64"/>
    <w:rsid w:val="0085319A"/>
    <w:rsid w:val="00854DF7"/>
    <w:rsid w:val="00854E82"/>
    <w:rsid w:val="0085718A"/>
    <w:rsid w:val="00857DD0"/>
    <w:rsid w:val="00860D70"/>
    <w:rsid w:val="00860F7F"/>
    <w:rsid w:val="008615E1"/>
    <w:rsid w:val="008641BB"/>
    <w:rsid w:val="00864CEE"/>
    <w:rsid w:val="00865D40"/>
    <w:rsid w:val="00866651"/>
    <w:rsid w:val="008669D0"/>
    <w:rsid w:val="008705DF"/>
    <w:rsid w:val="00870611"/>
    <w:rsid w:val="00873954"/>
    <w:rsid w:val="008753C9"/>
    <w:rsid w:val="00877ACD"/>
    <w:rsid w:val="00877BBE"/>
    <w:rsid w:val="00877D92"/>
    <w:rsid w:val="0088082F"/>
    <w:rsid w:val="00881903"/>
    <w:rsid w:val="00881CDD"/>
    <w:rsid w:val="008841F7"/>
    <w:rsid w:val="0088474C"/>
    <w:rsid w:val="00885BC4"/>
    <w:rsid w:val="00886601"/>
    <w:rsid w:val="00886B06"/>
    <w:rsid w:val="00886DB2"/>
    <w:rsid w:val="0088782A"/>
    <w:rsid w:val="00887F46"/>
    <w:rsid w:val="00890017"/>
    <w:rsid w:val="00890EAE"/>
    <w:rsid w:val="00891A3D"/>
    <w:rsid w:val="00891EF9"/>
    <w:rsid w:val="008921AB"/>
    <w:rsid w:val="008926E2"/>
    <w:rsid w:val="00892D9A"/>
    <w:rsid w:val="00892DC4"/>
    <w:rsid w:val="0089473B"/>
    <w:rsid w:val="00895085"/>
    <w:rsid w:val="008953A4"/>
    <w:rsid w:val="008953D8"/>
    <w:rsid w:val="00896243"/>
    <w:rsid w:val="00896B53"/>
    <w:rsid w:val="00896E83"/>
    <w:rsid w:val="008A2159"/>
    <w:rsid w:val="008A2BC7"/>
    <w:rsid w:val="008A2BEF"/>
    <w:rsid w:val="008A2DCD"/>
    <w:rsid w:val="008A414C"/>
    <w:rsid w:val="008A466D"/>
    <w:rsid w:val="008A65E2"/>
    <w:rsid w:val="008A7412"/>
    <w:rsid w:val="008B012E"/>
    <w:rsid w:val="008B0C0E"/>
    <w:rsid w:val="008B0D32"/>
    <w:rsid w:val="008B1EB0"/>
    <w:rsid w:val="008B27E7"/>
    <w:rsid w:val="008B2A67"/>
    <w:rsid w:val="008B2ACD"/>
    <w:rsid w:val="008B39E9"/>
    <w:rsid w:val="008B3AED"/>
    <w:rsid w:val="008B561A"/>
    <w:rsid w:val="008B5F22"/>
    <w:rsid w:val="008B6584"/>
    <w:rsid w:val="008B6EF7"/>
    <w:rsid w:val="008C0CDD"/>
    <w:rsid w:val="008C131C"/>
    <w:rsid w:val="008C2123"/>
    <w:rsid w:val="008C27C7"/>
    <w:rsid w:val="008C2AC8"/>
    <w:rsid w:val="008C3684"/>
    <w:rsid w:val="008C3D72"/>
    <w:rsid w:val="008C3D84"/>
    <w:rsid w:val="008C40DC"/>
    <w:rsid w:val="008C531E"/>
    <w:rsid w:val="008C533F"/>
    <w:rsid w:val="008C5B64"/>
    <w:rsid w:val="008C6200"/>
    <w:rsid w:val="008D038B"/>
    <w:rsid w:val="008D0EB5"/>
    <w:rsid w:val="008D12A0"/>
    <w:rsid w:val="008D16E1"/>
    <w:rsid w:val="008D2407"/>
    <w:rsid w:val="008D2920"/>
    <w:rsid w:val="008D33F1"/>
    <w:rsid w:val="008D3414"/>
    <w:rsid w:val="008D531A"/>
    <w:rsid w:val="008D5D50"/>
    <w:rsid w:val="008D67B1"/>
    <w:rsid w:val="008D6A3F"/>
    <w:rsid w:val="008D7547"/>
    <w:rsid w:val="008D78A2"/>
    <w:rsid w:val="008D7D9D"/>
    <w:rsid w:val="008E0632"/>
    <w:rsid w:val="008E0790"/>
    <w:rsid w:val="008E0F2F"/>
    <w:rsid w:val="008E1933"/>
    <w:rsid w:val="008E2A6D"/>
    <w:rsid w:val="008E2AB9"/>
    <w:rsid w:val="008E2F0F"/>
    <w:rsid w:val="008E4229"/>
    <w:rsid w:val="008E5BB0"/>
    <w:rsid w:val="008E5EA6"/>
    <w:rsid w:val="008E6179"/>
    <w:rsid w:val="008E78E0"/>
    <w:rsid w:val="008F1F26"/>
    <w:rsid w:val="008F2A0C"/>
    <w:rsid w:val="008F313E"/>
    <w:rsid w:val="008F3DB4"/>
    <w:rsid w:val="008F3DD8"/>
    <w:rsid w:val="008F4370"/>
    <w:rsid w:val="008F506E"/>
    <w:rsid w:val="008F5D67"/>
    <w:rsid w:val="008F5EB1"/>
    <w:rsid w:val="008F6FF1"/>
    <w:rsid w:val="008F73E7"/>
    <w:rsid w:val="008F7FFC"/>
    <w:rsid w:val="009005E7"/>
    <w:rsid w:val="009012C3"/>
    <w:rsid w:val="009027B8"/>
    <w:rsid w:val="00902C9C"/>
    <w:rsid w:val="00903A32"/>
    <w:rsid w:val="00904114"/>
    <w:rsid w:val="0090564C"/>
    <w:rsid w:val="009064A1"/>
    <w:rsid w:val="00906F28"/>
    <w:rsid w:val="009076F0"/>
    <w:rsid w:val="0091050A"/>
    <w:rsid w:val="00910DCB"/>
    <w:rsid w:val="00911645"/>
    <w:rsid w:val="009117C4"/>
    <w:rsid w:val="00912AF5"/>
    <w:rsid w:val="00914866"/>
    <w:rsid w:val="00914C8E"/>
    <w:rsid w:val="0091632A"/>
    <w:rsid w:val="00916C05"/>
    <w:rsid w:val="0091700B"/>
    <w:rsid w:val="00917A67"/>
    <w:rsid w:val="00917ACF"/>
    <w:rsid w:val="0092031B"/>
    <w:rsid w:val="00922B3E"/>
    <w:rsid w:val="0092322C"/>
    <w:rsid w:val="0092420D"/>
    <w:rsid w:val="0092587C"/>
    <w:rsid w:val="00927D32"/>
    <w:rsid w:val="00930A05"/>
    <w:rsid w:val="00930A75"/>
    <w:rsid w:val="00931226"/>
    <w:rsid w:val="00932595"/>
    <w:rsid w:val="00932762"/>
    <w:rsid w:val="00932877"/>
    <w:rsid w:val="00933968"/>
    <w:rsid w:val="00935521"/>
    <w:rsid w:val="009356F5"/>
    <w:rsid w:val="00937D12"/>
    <w:rsid w:val="00937DC4"/>
    <w:rsid w:val="0094001E"/>
    <w:rsid w:val="00941129"/>
    <w:rsid w:val="00941753"/>
    <w:rsid w:val="00941B04"/>
    <w:rsid w:val="00941E1C"/>
    <w:rsid w:val="00942AFB"/>
    <w:rsid w:val="009430D0"/>
    <w:rsid w:val="0094373A"/>
    <w:rsid w:val="009444BC"/>
    <w:rsid w:val="0094481E"/>
    <w:rsid w:val="00944A6F"/>
    <w:rsid w:val="00945B46"/>
    <w:rsid w:val="00947490"/>
    <w:rsid w:val="00947523"/>
    <w:rsid w:val="00950B7D"/>
    <w:rsid w:val="0095223F"/>
    <w:rsid w:val="0095418F"/>
    <w:rsid w:val="0095480B"/>
    <w:rsid w:val="00957723"/>
    <w:rsid w:val="00960314"/>
    <w:rsid w:val="00961166"/>
    <w:rsid w:val="00961892"/>
    <w:rsid w:val="0096256D"/>
    <w:rsid w:val="00962A8A"/>
    <w:rsid w:val="0096375F"/>
    <w:rsid w:val="00963F63"/>
    <w:rsid w:val="009642ED"/>
    <w:rsid w:val="00964CF8"/>
    <w:rsid w:val="00964F24"/>
    <w:rsid w:val="00965464"/>
    <w:rsid w:val="00966EB1"/>
    <w:rsid w:val="00966FFE"/>
    <w:rsid w:val="009677EB"/>
    <w:rsid w:val="009715A1"/>
    <w:rsid w:val="0097193F"/>
    <w:rsid w:val="009726CD"/>
    <w:rsid w:val="00972D58"/>
    <w:rsid w:val="00972DCE"/>
    <w:rsid w:val="0097394E"/>
    <w:rsid w:val="00973BDF"/>
    <w:rsid w:val="009753DB"/>
    <w:rsid w:val="00975ADF"/>
    <w:rsid w:val="00975C18"/>
    <w:rsid w:val="00975DE0"/>
    <w:rsid w:val="00976508"/>
    <w:rsid w:val="009770DD"/>
    <w:rsid w:val="00980CD9"/>
    <w:rsid w:val="009816A5"/>
    <w:rsid w:val="00982419"/>
    <w:rsid w:val="00982CF3"/>
    <w:rsid w:val="00983D52"/>
    <w:rsid w:val="0098426B"/>
    <w:rsid w:val="0098651C"/>
    <w:rsid w:val="009865BD"/>
    <w:rsid w:val="00986A25"/>
    <w:rsid w:val="00986E69"/>
    <w:rsid w:val="00990780"/>
    <w:rsid w:val="00993227"/>
    <w:rsid w:val="00993239"/>
    <w:rsid w:val="00993AC3"/>
    <w:rsid w:val="00994BEC"/>
    <w:rsid w:val="00995595"/>
    <w:rsid w:val="00995E00"/>
    <w:rsid w:val="00995E41"/>
    <w:rsid w:val="00996E4D"/>
    <w:rsid w:val="00996ECF"/>
    <w:rsid w:val="009972FE"/>
    <w:rsid w:val="0099736A"/>
    <w:rsid w:val="009A15B0"/>
    <w:rsid w:val="009A20F9"/>
    <w:rsid w:val="009A29E6"/>
    <w:rsid w:val="009A30EB"/>
    <w:rsid w:val="009A33F7"/>
    <w:rsid w:val="009A3B07"/>
    <w:rsid w:val="009A3C43"/>
    <w:rsid w:val="009A5053"/>
    <w:rsid w:val="009A7FCF"/>
    <w:rsid w:val="009B0A7D"/>
    <w:rsid w:val="009B3F65"/>
    <w:rsid w:val="009B5158"/>
    <w:rsid w:val="009B765A"/>
    <w:rsid w:val="009B7C2F"/>
    <w:rsid w:val="009C0B2B"/>
    <w:rsid w:val="009C18F4"/>
    <w:rsid w:val="009C213B"/>
    <w:rsid w:val="009C2DD2"/>
    <w:rsid w:val="009C36AA"/>
    <w:rsid w:val="009C3F95"/>
    <w:rsid w:val="009C3FCD"/>
    <w:rsid w:val="009C5B3B"/>
    <w:rsid w:val="009C6EE5"/>
    <w:rsid w:val="009C76B3"/>
    <w:rsid w:val="009C7804"/>
    <w:rsid w:val="009D2886"/>
    <w:rsid w:val="009D29B0"/>
    <w:rsid w:val="009D320D"/>
    <w:rsid w:val="009D3FD7"/>
    <w:rsid w:val="009D4096"/>
    <w:rsid w:val="009D444A"/>
    <w:rsid w:val="009D4F49"/>
    <w:rsid w:val="009D60E7"/>
    <w:rsid w:val="009D7145"/>
    <w:rsid w:val="009D71AB"/>
    <w:rsid w:val="009D7701"/>
    <w:rsid w:val="009E03CA"/>
    <w:rsid w:val="009E1152"/>
    <w:rsid w:val="009E2220"/>
    <w:rsid w:val="009E2E4A"/>
    <w:rsid w:val="009E39F0"/>
    <w:rsid w:val="009E6D92"/>
    <w:rsid w:val="009F0244"/>
    <w:rsid w:val="009F04FA"/>
    <w:rsid w:val="009F15D6"/>
    <w:rsid w:val="009F2BFC"/>
    <w:rsid w:val="009F42FE"/>
    <w:rsid w:val="009F4637"/>
    <w:rsid w:val="009F4B77"/>
    <w:rsid w:val="009F7856"/>
    <w:rsid w:val="009F79E3"/>
    <w:rsid w:val="00A003A3"/>
    <w:rsid w:val="00A00D35"/>
    <w:rsid w:val="00A01795"/>
    <w:rsid w:val="00A01A8D"/>
    <w:rsid w:val="00A03242"/>
    <w:rsid w:val="00A03732"/>
    <w:rsid w:val="00A06A82"/>
    <w:rsid w:val="00A0738D"/>
    <w:rsid w:val="00A077B3"/>
    <w:rsid w:val="00A0784C"/>
    <w:rsid w:val="00A07CF9"/>
    <w:rsid w:val="00A114FD"/>
    <w:rsid w:val="00A120F5"/>
    <w:rsid w:val="00A12149"/>
    <w:rsid w:val="00A12770"/>
    <w:rsid w:val="00A12EF0"/>
    <w:rsid w:val="00A13CB5"/>
    <w:rsid w:val="00A13D2C"/>
    <w:rsid w:val="00A13DA7"/>
    <w:rsid w:val="00A13F86"/>
    <w:rsid w:val="00A15345"/>
    <w:rsid w:val="00A15B33"/>
    <w:rsid w:val="00A16773"/>
    <w:rsid w:val="00A16A7E"/>
    <w:rsid w:val="00A17A7D"/>
    <w:rsid w:val="00A220AB"/>
    <w:rsid w:val="00A23147"/>
    <w:rsid w:val="00A2379D"/>
    <w:rsid w:val="00A23B38"/>
    <w:rsid w:val="00A24F24"/>
    <w:rsid w:val="00A259C2"/>
    <w:rsid w:val="00A25B04"/>
    <w:rsid w:val="00A26262"/>
    <w:rsid w:val="00A268AB"/>
    <w:rsid w:val="00A31B14"/>
    <w:rsid w:val="00A3250B"/>
    <w:rsid w:val="00A32723"/>
    <w:rsid w:val="00A328EC"/>
    <w:rsid w:val="00A33FFF"/>
    <w:rsid w:val="00A360BD"/>
    <w:rsid w:val="00A37711"/>
    <w:rsid w:val="00A378F3"/>
    <w:rsid w:val="00A405D3"/>
    <w:rsid w:val="00A40729"/>
    <w:rsid w:val="00A40EDF"/>
    <w:rsid w:val="00A411EF"/>
    <w:rsid w:val="00A41A09"/>
    <w:rsid w:val="00A43AB4"/>
    <w:rsid w:val="00A4420F"/>
    <w:rsid w:val="00A444E0"/>
    <w:rsid w:val="00A4486A"/>
    <w:rsid w:val="00A45C14"/>
    <w:rsid w:val="00A45D58"/>
    <w:rsid w:val="00A46B0D"/>
    <w:rsid w:val="00A50177"/>
    <w:rsid w:val="00A504C7"/>
    <w:rsid w:val="00A50E6F"/>
    <w:rsid w:val="00A539BE"/>
    <w:rsid w:val="00A53ECC"/>
    <w:rsid w:val="00A544B6"/>
    <w:rsid w:val="00A55692"/>
    <w:rsid w:val="00A55A36"/>
    <w:rsid w:val="00A565DA"/>
    <w:rsid w:val="00A568E9"/>
    <w:rsid w:val="00A56AEC"/>
    <w:rsid w:val="00A56EB5"/>
    <w:rsid w:val="00A5703E"/>
    <w:rsid w:val="00A5725B"/>
    <w:rsid w:val="00A57F46"/>
    <w:rsid w:val="00A6193F"/>
    <w:rsid w:val="00A6214E"/>
    <w:rsid w:val="00A63268"/>
    <w:rsid w:val="00A657B3"/>
    <w:rsid w:val="00A6618A"/>
    <w:rsid w:val="00A665DF"/>
    <w:rsid w:val="00A70405"/>
    <w:rsid w:val="00A705EB"/>
    <w:rsid w:val="00A7205D"/>
    <w:rsid w:val="00A72F90"/>
    <w:rsid w:val="00A75892"/>
    <w:rsid w:val="00A764C5"/>
    <w:rsid w:val="00A77083"/>
    <w:rsid w:val="00A77490"/>
    <w:rsid w:val="00A779D3"/>
    <w:rsid w:val="00A80E11"/>
    <w:rsid w:val="00A811B6"/>
    <w:rsid w:val="00A83411"/>
    <w:rsid w:val="00A83E63"/>
    <w:rsid w:val="00A84CE0"/>
    <w:rsid w:val="00A8542F"/>
    <w:rsid w:val="00A86C53"/>
    <w:rsid w:val="00A8755E"/>
    <w:rsid w:val="00A87D92"/>
    <w:rsid w:val="00A9000E"/>
    <w:rsid w:val="00A90EB4"/>
    <w:rsid w:val="00A913E6"/>
    <w:rsid w:val="00A9213D"/>
    <w:rsid w:val="00A9451A"/>
    <w:rsid w:val="00A94712"/>
    <w:rsid w:val="00A94CE3"/>
    <w:rsid w:val="00A94D96"/>
    <w:rsid w:val="00A95620"/>
    <w:rsid w:val="00A96B16"/>
    <w:rsid w:val="00AA01B8"/>
    <w:rsid w:val="00AA071C"/>
    <w:rsid w:val="00AA0CE0"/>
    <w:rsid w:val="00AA0E53"/>
    <w:rsid w:val="00AA1938"/>
    <w:rsid w:val="00AA1D69"/>
    <w:rsid w:val="00AA2C30"/>
    <w:rsid w:val="00AA2EEB"/>
    <w:rsid w:val="00AA2F80"/>
    <w:rsid w:val="00AA48F1"/>
    <w:rsid w:val="00AA52E2"/>
    <w:rsid w:val="00AA57F1"/>
    <w:rsid w:val="00AA7D30"/>
    <w:rsid w:val="00AB02F0"/>
    <w:rsid w:val="00AB0625"/>
    <w:rsid w:val="00AB1D70"/>
    <w:rsid w:val="00AB21F7"/>
    <w:rsid w:val="00AB2633"/>
    <w:rsid w:val="00AB2EC5"/>
    <w:rsid w:val="00AB3CC5"/>
    <w:rsid w:val="00AB4A08"/>
    <w:rsid w:val="00AB4B6A"/>
    <w:rsid w:val="00AB5A3B"/>
    <w:rsid w:val="00AB610B"/>
    <w:rsid w:val="00AC0B09"/>
    <w:rsid w:val="00AC1104"/>
    <w:rsid w:val="00AC1396"/>
    <w:rsid w:val="00AC231E"/>
    <w:rsid w:val="00AC338E"/>
    <w:rsid w:val="00AC353A"/>
    <w:rsid w:val="00AC3C14"/>
    <w:rsid w:val="00AC4641"/>
    <w:rsid w:val="00AC50D8"/>
    <w:rsid w:val="00AC56AA"/>
    <w:rsid w:val="00AC6645"/>
    <w:rsid w:val="00AC6BB9"/>
    <w:rsid w:val="00AC7953"/>
    <w:rsid w:val="00AD072B"/>
    <w:rsid w:val="00AD0885"/>
    <w:rsid w:val="00AD30AE"/>
    <w:rsid w:val="00AD3567"/>
    <w:rsid w:val="00AD3DD6"/>
    <w:rsid w:val="00AD4119"/>
    <w:rsid w:val="00AD4506"/>
    <w:rsid w:val="00AD462D"/>
    <w:rsid w:val="00AD470A"/>
    <w:rsid w:val="00AD4D6E"/>
    <w:rsid w:val="00AD4E80"/>
    <w:rsid w:val="00AD5EF4"/>
    <w:rsid w:val="00AD6632"/>
    <w:rsid w:val="00AD6CB9"/>
    <w:rsid w:val="00AD7449"/>
    <w:rsid w:val="00AD7D3C"/>
    <w:rsid w:val="00AE0121"/>
    <w:rsid w:val="00AE1A30"/>
    <w:rsid w:val="00AE31DE"/>
    <w:rsid w:val="00AE38B7"/>
    <w:rsid w:val="00AE3982"/>
    <w:rsid w:val="00AE4C1A"/>
    <w:rsid w:val="00AE6D0B"/>
    <w:rsid w:val="00AF087E"/>
    <w:rsid w:val="00AF0FBA"/>
    <w:rsid w:val="00AF2208"/>
    <w:rsid w:val="00AF3254"/>
    <w:rsid w:val="00AF518E"/>
    <w:rsid w:val="00AF77E0"/>
    <w:rsid w:val="00B00E34"/>
    <w:rsid w:val="00B01105"/>
    <w:rsid w:val="00B01AB4"/>
    <w:rsid w:val="00B029AE"/>
    <w:rsid w:val="00B031AD"/>
    <w:rsid w:val="00B0350E"/>
    <w:rsid w:val="00B03912"/>
    <w:rsid w:val="00B04838"/>
    <w:rsid w:val="00B05B55"/>
    <w:rsid w:val="00B05D43"/>
    <w:rsid w:val="00B06A2B"/>
    <w:rsid w:val="00B071D0"/>
    <w:rsid w:val="00B12E11"/>
    <w:rsid w:val="00B130F7"/>
    <w:rsid w:val="00B1323E"/>
    <w:rsid w:val="00B15B4D"/>
    <w:rsid w:val="00B17199"/>
    <w:rsid w:val="00B172EB"/>
    <w:rsid w:val="00B1748A"/>
    <w:rsid w:val="00B20282"/>
    <w:rsid w:val="00B20762"/>
    <w:rsid w:val="00B20D77"/>
    <w:rsid w:val="00B21016"/>
    <w:rsid w:val="00B21822"/>
    <w:rsid w:val="00B22018"/>
    <w:rsid w:val="00B2545A"/>
    <w:rsid w:val="00B25753"/>
    <w:rsid w:val="00B2627D"/>
    <w:rsid w:val="00B26ACF"/>
    <w:rsid w:val="00B3064A"/>
    <w:rsid w:val="00B30688"/>
    <w:rsid w:val="00B30AFC"/>
    <w:rsid w:val="00B30DF9"/>
    <w:rsid w:val="00B312FF"/>
    <w:rsid w:val="00B31391"/>
    <w:rsid w:val="00B315F4"/>
    <w:rsid w:val="00B32D98"/>
    <w:rsid w:val="00B32DC5"/>
    <w:rsid w:val="00B3360C"/>
    <w:rsid w:val="00B33824"/>
    <w:rsid w:val="00B35B8A"/>
    <w:rsid w:val="00B35ED8"/>
    <w:rsid w:val="00B378F7"/>
    <w:rsid w:val="00B407E2"/>
    <w:rsid w:val="00B41A22"/>
    <w:rsid w:val="00B43768"/>
    <w:rsid w:val="00B437C2"/>
    <w:rsid w:val="00B43CD8"/>
    <w:rsid w:val="00B443FB"/>
    <w:rsid w:val="00B445F8"/>
    <w:rsid w:val="00B4491C"/>
    <w:rsid w:val="00B451A1"/>
    <w:rsid w:val="00B45587"/>
    <w:rsid w:val="00B50D7A"/>
    <w:rsid w:val="00B5112F"/>
    <w:rsid w:val="00B51E56"/>
    <w:rsid w:val="00B525CF"/>
    <w:rsid w:val="00B5277B"/>
    <w:rsid w:val="00B52D21"/>
    <w:rsid w:val="00B53B6C"/>
    <w:rsid w:val="00B5479D"/>
    <w:rsid w:val="00B5529D"/>
    <w:rsid w:val="00B552B3"/>
    <w:rsid w:val="00B56EA1"/>
    <w:rsid w:val="00B57336"/>
    <w:rsid w:val="00B574A6"/>
    <w:rsid w:val="00B579C5"/>
    <w:rsid w:val="00B60166"/>
    <w:rsid w:val="00B60F9B"/>
    <w:rsid w:val="00B639E0"/>
    <w:rsid w:val="00B64E88"/>
    <w:rsid w:val="00B653E3"/>
    <w:rsid w:val="00B661F2"/>
    <w:rsid w:val="00B661F9"/>
    <w:rsid w:val="00B70510"/>
    <w:rsid w:val="00B711AC"/>
    <w:rsid w:val="00B71FF0"/>
    <w:rsid w:val="00B720DA"/>
    <w:rsid w:val="00B74EC2"/>
    <w:rsid w:val="00B75676"/>
    <w:rsid w:val="00B759F7"/>
    <w:rsid w:val="00B76C97"/>
    <w:rsid w:val="00B76D8D"/>
    <w:rsid w:val="00B8193F"/>
    <w:rsid w:val="00B81BE3"/>
    <w:rsid w:val="00B81C33"/>
    <w:rsid w:val="00B81E13"/>
    <w:rsid w:val="00B821D2"/>
    <w:rsid w:val="00B8286A"/>
    <w:rsid w:val="00B83883"/>
    <w:rsid w:val="00B839F7"/>
    <w:rsid w:val="00B83BC6"/>
    <w:rsid w:val="00B83F96"/>
    <w:rsid w:val="00B83FC0"/>
    <w:rsid w:val="00B840FD"/>
    <w:rsid w:val="00B84112"/>
    <w:rsid w:val="00B84536"/>
    <w:rsid w:val="00B85C0C"/>
    <w:rsid w:val="00B86C8B"/>
    <w:rsid w:val="00B873A1"/>
    <w:rsid w:val="00B87DBD"/>
    <w:rsid w:val="00B90373"/>
    <w:rsid w:val="00B90484"/>
    <w:rsid w:val="00B907A8"/>
    <w:rsid w:val="00B931E2"/>
    <w:rsid w:val="00B96946"/>
    <w:rsid w:val="00BA0D73"/>
    <w:rsid w:val="00BA2197"/>
    <w:rsid w:val="00BA24E4"/>
    <w:rsid w:val="00BA2BF4"/>
    <w:rsid w:val="00BA3D59"/>
    <w:rsid w:val="00BA4D62"/>
    <w:rsid w:val="00BA5817"/>
    <w:rsid w:val="00BA5819"/>
    <w:rsid w:val="00BA6252"/>
    <w:rsid w:val="00BA7908"/>
    <w:rsid w:val="00BA798D"/>
    <w:rsid w:val="00BB0C03"/>
    <w:rsid w:val="00BB1A57"/>
    <w:rsid w:val="00BB2076"/>
    <w:rsid w:val="00BB3BCE"/>
    <w:rsid w:val="00BB45C6"/>
    <w:rsid w:val="00BB5249"/>
    <w:rsid w:val="00BB716A"/>
    <w:rsid w:val="00BC001B"/>
    <w:rsid w:val="00BC0353"/>
    <w:rsid w:val="00BC09C3"/>
    <w:rsid w:val="00BC0B3B"/>
    <w:rsid w:val="00BC0D6A"/>
    <w:rsid w:val="00BC10B2"/>
    <w:rsid w:val="00BC1574"/>
    <w:rsid w:val="00BC1E8F"/>
    <w:rsid w:val="00BC2A48"/>
    <w:rsid w:val="00BC3A4B"/>
    <w:rsid w:val="00BC42C1"/>
    <w:rsid w:val="00BC54F0"/>
    <w:rsid w:val="00BC56CD"/>
    <w:rsid w:val="00BC5AE0"/>
    <w:rsid w:val="00BC5C08"/>
    <w:rsid w:val="00BC61A2"/>
    <w:rsid w:val="00BC6FA8"/>
    <w:rsid w:val="00BC6FBF"/>
    <w:rsid w:val="00BC7CCA"/>
    <w:rsid w:val="00BC7D8D"/>
    <w:rsid w:val="00BD09FF"/>
    <w:rsid w:val="00BD0C6D"/>
    <w:rsid w:val="00BD0CBC"/>
    <w:rsid w:val="00BD12CD"/>
    <w:rsid w:val="00BD1DA0"/>
    <w:rsid w:val="00BD4183"/>
    <w:rsid w:val="00BD44BD"/>
    <w:rsid w:val="00BD66F1"/>
    <w:rsid w:val="00BD7485"/>
    <w:rsid w:val="00BD7723"/>
    <w:rsid w:val="00BD772B"/>
    <w:rsid w:val="00BE076C"/>
    <w:rsid w:val="00BE079E"/>
    <w:rsid w:val="00BE1218"/>
    <w:rsid w:val="00BE188E"/>
    <w:rsid w:val="00BE2599"/>
    <w:rsid w:val="00BE2DA2"/>
    <w:rsid w:val="00BE602E"/>
    <w:rsid w:val="00BE72E7"/>
    <w:rsid w:val="00BE7318"/>
    <w:rsid w:val="00BE756E"/>
    <w:rsid w:val="00BE7645"/>
    <w:rsid w:val="00BF2D39"/>
    <w:rsid w:val="00BF3214"/>
    <w:rsid w:val="00BF37B4"/>
    <w:rsid w:val="00BF37E8"/>
    <w:rsid w:val="00BF5742"/>
    <w:rsid w:val="00BF60DE"/>
    <w:rsid w:val="00BF6765"/>
    <w:rsid w:val="00BF69E9"/>
    <w:rsid w:val="00BF6FCD"/>
    <w:rsid w:val="00C00573"/>
    <w:rsid w:val="00C01607"/>
    <w:rsid w:val="00C0174B"/>
    <w:rsid w:val="00C018C4"/>
    <w:rsid w:val="00C020B5"/>
    <w:rsid w:val="00C0492A"/>
    <w:rsid w:val="00C05BA0"/>
    <w:rsid w:val="00C06D5C"/>
    <w:rsid w:val="00C071DC"/>
    <w:rsid w:val="00C079A4"/>
    <w:rsid w:val="00C10B8A"/>
    <w:rsid w:val="00C11228"/>
    <w:rsid w:val="00C11E61"/>
    <w:rsid w:val="00C1207E"/>
    <w:rsid w:val="00C122B7"/>
    <w:rsid w:val="00C13629"/>
    <w:rsid w:val="00C13654"/>
    <w:rsid w:val="00C13A66"/>
    <w:rsid w:val="00C145C7"/>
    <w:rsid w:val="00C147DC"/>
    <w:rsid w:val="00C14E31"/>
    <w:rsid w:val="00C15B26"/>
    <w:rsid w:val="00C16F7B"/>
    <w:rsid w:val="00C207FD"/>
    <w:rsid w:val="00C20C52"/>
    <w:rsid w:val="00C20D7F"/>
    <w:rsid w:val="00C223AC"/>
    <w:rsid w:val="00C2377F"/>
    <w:rsid w:val="00C23FFD"/>
    <w:rsid w:val="00C240F0"/>
    <w:rsid w:val="00C243E5"/>
    <w:rsid w:val="00C246FF"/>
    <w:rsid w:val="00C250AC"/>
    <w:rsid w:val="00C26E1B"/>
    <w:rsid w:val="00C272DE"/>
    <w:rsid w:val="00C27543"/>
    <w:rsid w:val="00C304A1"/>
    <w:rsid w:val="00C30C01"/>
    <w:rsid w:val="00C30F39"/>
    <w:rsid w:val="00C31DFC"/>
    <w:rsid w:val="00C321F5"/>
    <w:rsid w:val="00C3269E"/>
    <w:rsid w:val="00C32870"/>
    <w:rsid w:val="00C32C21"/>
    <w:rsid w:val="00C341DF"/>
    <w:rsid w:val="00C34C58"/>
    <w:rsid w:val="00C35B38"/>
    <w:rsid w:val="00C3615D"/>
    <w:rsid w:val="00C36980"/>
    <w:rsid w:val="00C40375"/>
    <w:rsid w:val="00C40A3F"/>
    <w:rsid w:val="00C42BCE"/>
    <w:rsid w:val="00C43464"/>
    <w:rsid w:val="00C44521"/>
    <w:rsid w:val="00C449BB"/>
    <w:rsid w:val="00C4728B"/>
    <w:rsid w:val="00C478D4"/>
    <w:rsid w:val="00C50054"/>
    <w:rsid w:val="00C50091"/>
    <w:rsid w:val="00C50967"/>
    <w:rsid w:val="00C510EE"/>
    <w:rsid w:val="00C51BDD"/>
    <w:rsid w:val="00C53619"/>
    <w:rsid w:val="00C558C2"/>
    <w:rsid w:val="00C5666D"/>
    <w:rsid w:val="00C569E1"/>
    <w:rsid w:val="00C56C94"/>
    <w:rsid w:val="00C60985"/>
    <w:rsid w:val="00C613AC"/>
    <w:rsid w:val="00C61837"/>
    <w:rsid w:val="00C61D3C"/>
    <w:rsid w:val="00C62D3C"/>
    <w:rsid w:val="00C635DB"/>
    <w:rsid w:val="00C63CE3"/>
    <w:rsid w:val="00C64055"/>
    <w:rsid w:val="00C650F0"/>
    <w:rsid w:val="00C656F8"/>
    <w:rsid w:val="00C6655E"/>
    <w:rsid w:val="00C70016"/>
    <w:rsid w:val="00C70C30"/>
    <w:rsid w:val="00C73992"/>
    <w:rsid w:val="00C74247"/>
    <w:rsid w:val="00C76144"/>
    <w:rsid w:val="00C77699"/>
    <w:rsid w:val="00C77E92"/>
    <w:rsid w:val="00C800C8"/>
    <w:rsid w:val="00C80526"/>
    <w:rsid w:val="00C807C7"/>
    <w:rsid w:val="00C80C2D"/>
    <w:rsid w:val="00C80E71"/>
    <w:rsid w:val="00C812BD"/>
    <w:rsid w:val="00C8438E"/>
    <w:rsid w:val="00C85139"/>
    <w:rsid w:val="00C85518"/>
    <w:rsid w:val="00C85650"/>
    <w:rsid w:val="00C858CA"/>
    <w:rsid w:val="00C858F0"/>
    <w:rsid w:val="00C85E30"/>
    <w:rsid w:val="00C87D30"/>
    <w:rsid w:val="00C91339"/>
    <w:rsid w:val="00C91938"/>
    <w:rsid w:val="00C924DC"/>
    <w:rsid w:val="00C92998"/>
    <w:rsid w:val="00C933FA"/>
    <w:rsid w:val="00C9376D"/>
    <w:rsid w:val="00C94E8A"/>
    <w:rsid w:val="00C94EDE"/>
    <w:rsid w:val="00C951D8"/>
    <w:rsid w:val="00C961BB"/>
    <w:rsid w:val="00C97012"/>
    <w:rsid w:val="00C97756"/>
    <w:rsid w:val="00C97C28"/>
    <w:rsid w:val="00CA0D7A"/>
    <w:rsid w:val="00CA24AF"/>
    <w:rsid w:val="00CA276C"/>
    <w:rsid w:val="00CA278F"/>
    <w:rsid w:val="00CA2C5D"/>
    <w:rsid w:val="00CA5C35"/>
    <w:rsid w:val="00CA5E14"/>
    <w:rsid w:val="00CA7D40"/>
    <w:rsid w:val="00CB069F"/>
    <w:rsid w:val="00CB0812"/>
    <w:rsid w:val="00CB0962"/>
    <w:rsid w:val="00CB3C96"/>
    <w:rsid w:val="00CB4ECB"/>
    <w:rsid w:val="00CB4F61"/>
    <w:rsid w:val="00CB6740"/>
    <w:rsid w:val="00CB6ABB"/>
    <w:rsid w:val="00CB7C2B"/>
    <w:rsid w:val="00CB7EDD"/>
    <w:rsid w:val="00CC0896"/>
    <w:rsid w:val="00CC1DFB"/>
    <w:rsid w:val="00CC2169"/>
    <w:rsid w:val="00CC51A2"/>
    <w:rsid w:val="00CC72B0"/>
    <w:rsid w:val="00CC7350"/>
    <w:rsid w:val="00CC73F0"/>
    <w:rsid w:val="00CC76B9"/>
    <w:rsid w:val="00CC7D15"/>
    <w:rsid w:val="00CC7F75"/>
    <w:rsid w:val="00CD01AC"/>
    <w:rsid w:val="00CD21B0"/>
    <w:rsid w:val="00CD467D"/>
    <w:rsid w:val="00CD4904"/>
    <w:rsid w:val="00CD52F9"/>
    <w:rsid w:val="00CD5D97"/>
    <w:rsid w:val="00CD604B"/>
    <w:rsid w:val="00CD7195"/>
    <w:rsid w:val="00CE00BC"/>
    <w:rsid w:val="00CE0275"/>
    <w:rsid w:val="00CE02A5"/>
    <w:rsid w:val="00CE07AA"/>
    <w:rsid w:val="00CE0FC1"/>
    <w:rsid w:val="00CE17A4"/>
    <w:rsid w:val="00CE1FA2"/>
    <w:rsid w:val="00CE1FFF"/>
    <w:rsid w:val="00CE28FB"/>
    <w:rsid w:val="00CE2E44"/>
    <w:rsid w:val="00CE3059"/>
    <w:rsid w:val="00CE38E2"/>
    <w:rsid w:val="00CE5A06"/>
    <w:rsid w:val="00CE5A66"/>
    <w:rsid w:val="00CE6DF4"/>
    <w:rsid w:val="00CE6E42"/>
    <w:rsid w:val="00CE7A17"/>
    <w:rsid w:val="00CE7D99"/>
    <w:rsid w:val="00CF051E"/>
    <w:rsid w:val="00CF0622"/>
    <w:rsid w:val="00CF07C2"/>
    <w:rsid w:val="00CF3EFB"/>
    <w:rsid w:val="00CF4BDD"/>
    <w:rsid w:val="00CF5283"/>
    <w:rsid w:val="00CF52D8"/>
    <w:rsid w:val="00CF5BC6"/>
    <w:rsid w:val="00CF5C1A"/>
    <w:rsid w:val="00CF60EF"/>
    <w:rsid w:val="00CF6B7A"/>
    <w:rsid w:val="00CF6FA8"/>
    <w:rsid w:val="00CF7574"/>
    <w:rsid w:val="00CF76A5"/>
    <w:rsid w:val="00CF7763"/>
    <w:rsid w:val="00CF77CC"/>
    <w:rsid w:val="00CF7D9C"/>
    <w:rsid w:val="00D00BBA"/>
    <w:rsid w:val="00D0206D"/>
    <w:rsid w:val="00D0306D"/>
    <w:rsid w:val="00D0423D"/>
    <w:rsid w:val="00D046A6"/>
    <w:rsid w:val="00D04A97"/>
    <w:rsid w:val="00D04C6C"/>
    <w:rsid w:val="00D05690"/>
    <w:rsid w:val="00D05EA1"/>
    <w:rsid w:val="00D07DE5"/>
    <w:rsid w:val="00D10078"/>
    <w:rsid w:val="00D115A8"/>
    <w:rsid w:val="00D11877"/>
    <w:rsid w:val="00D1252A"/>
    <w:rsid w:val="00D127ED"/>
    <w:rsid w:val="00D161C8"/>
    <w:rsid w:val="00D20D8B"/>
    <w:rsid w:val="00D20F00"/>
    <w:rsid w:val="00D21683"/>
    <w:rsid w:val="00D2407E"/>
    <w:rsid w:val="00D24BF4"/>
    <w:rsid w:val="00D25332"/>
    <w:rsid w:val="00D25605"/>
    <w:rsid w:val="00D25FD4"/>
    <w:rsid w:val="00D27E9A"/>
    <w:rsid w:val="00D304F5"/>
    <w:rsid w:val="00D30740"/>
    <w:rsid w:val="00D31907"/>
    <w:rsid w:val="00D33C0F"/>
    <w:rsid w:val="00D34486"/>
    <w:rsid w:val="00D3452D"/>
    <w:rsid w:val="00D35E65"/>
    <w:rsid w:val="00D365EA"/>
    <w:rsid w:val="00D3688E"/>
    <w:rsid w:val="00D36A88"/>
    <w:rsid w:val="00D36CFC"/>
    <w:rsid w:val="00D36DC2"/>
    <w:rsid w:val="00D37150"/>
    <w:rsid w:val="00D402E4"/>
    <w:rsid w:val="00D404E7"/>
    <w:rsid w:val="00D40677"/>
    <w:rsid w:val="00D40D32"/>
    <w:rsid w:val="00D41B49"/>
    <w:rsid w:val="00D4220F"/>
    <w:rsid w:val="00D42F15"/>
    <w:rsid w:val="00D4484E"/>
    <w:rsid w:val="00D45E3D"/>
    <w:rsid w:val="00D465FB"/>
    <w:rsid w:val="00D46DA5"/>
    <w:rsid w:val="00D46EB2"/>
    <w:rsid w:val="00D473E0"/>
    <w:rsid w:val="00D47CA8"/>
    <w:rsid w:val="00D5094E"/>
    <w:rsid w:val="00D50B02"/>
    <w:rsid w:val="00D5273B"/>
    <w:rsid w:val="00D52A27"/>
    <w:rsid w:val="00D52BBF"/>
    <w:rsid w:val="00D533DA"/>
    <w:rsid w:val="00D53426"/>
    <w:rsid w:val="00D53598"/>
    <w:rsid w:val="00D5375C"/>
    <w:rsid w:val="00D53E07"/>
    <w:rsid w:val="00D546D4"/>
    <w:rsid w:val="00D55738"/>
    <w:rsid w:val="00D558EE"/>
    <w:rsid w:val="00D5654E"/>
    <w:rsid w:val="00D5674C"/>
    <w:rsid w:val="00D56812"/>
    <w:rsid w:val="00D56B3C"/>
    <w:rsid w:val="00D578F7"/>
    <w:rsid w:val="00D60239"/>
    <w:rsid w:val="00D604B3"/>
    <w:rsid w:val="00D61B75"/>
    <w:rsid w:val="00D62B89"/>
    <w:rsid w:val="00D62D9D"/>
    <w:rsid w:val="00D63360"/>
    <w:rsid w:val="00D63BE0"/>
    <w:rsid w:val="00D64A20"/>
    <w:rsid w:val="00D65586"/>
    <w:rsid w:val="00D65923"/>
    <w:rsid w:val="00D65C6D"/>
    <w:rsid w:val="00D7013A"/>
    <w:rsid w:val="00D70173"/>
    <w:rsid w:val="00D706BD"/>
    <w:rsid w:val="00D70CEE"/>
    <w:rsid w:val="00D71C7C"/>
    <w:rsid w:val="00D71FD8"/>
    <w:rsid w:val="00D744AA"/>
    <w:rsid w:val="00D753D0"/>
    <w:rsid w:val="00D806E9"/>
    <w:rsid w:val="00D8225F"/>
    <w:rsid w:val="00D8236F"/>
    <w:rsid w:val="00D82F3C"/>
    <w:rsid w:val="00D8334F"/>
    <w:rsid w:val="00D837D2"/>
    <w:rsid w:val="00D838F2"/>
    <w:rsid w:val="00D840BF"/>
    <w:rsid w:val="00D8438E"/>
    <w:rsid w:val="00D85950"/>
    <w:rsid w:val="00D86388"/>
    <w:rsid w:val="00D8676C"/>
    <w:rsid w:val="00D86A72"/>
    <w:rsid w:val="00D86B54"/>
    <w:rsid w:val="00D87B2F"/>
    <w:rsid w:val="00D9014C"/>
    <w:rsid w:val="00D901A4"/>
    <w:rsid w:val="00D913C4"/>
    <w:rsid w:val="00D915B8"/>
    <w:rsid w:val="00D9256F"/>
    <w:rsid w:val="00D92E56"/>
    <w:rsid w:val="00D93D81"/>
    <w:rsid w:val="00D945DC"/>
    <w:rsid w:val="00D945F6"/>
    <w:rsid w:val="00D9668D"/>
    <w:rsid w:val="00D973D1"/>
    <w:rsid w:val="00DA0874"/>
    <w:rsid w:val="00DA09C6"/>
    <w:rsid w:val="00DA09CF"/>
    <w:rsid w:val="00DA1AC9"/>
    <w:rsid w:val="00DA20FF"/>
    <w:rsid w:val="00DA2BC4"/>
    <w:rsid w:val="00DA4080"/>
    <w:rsid w:val="00DA46EF"/>
    <w:rsid w:val="00DA4E01"/>
    <w:rsid w:val="00DA582E"/>
    <w:rsid w:val="00DA5EE5"/>
    <w:rsid w:val="00DA602F"/>
    <w:rsid w:val="00DA67CD"/>
    <w:rsid w:val="00DA701C"/>
    <w:rsid w:val="00DA7962"/>
    <w:rsid w:val="00DB077A"/>
    <w:rsid w:val="00DB117F"/>
    <w:rsid w:val="00DB336B"/>
    <w:rsid w:val="00DB39DE"/>
    <w:rsid w:val="00DB4F0E"/>
    <w:rsid w:val="00DB4F10"/>
    <w:rsid w:val="00DB5A4A"/>
    <w:rsid w:val="00DB63F6"/>
    <w:rsid w:val="00DB7C5D"/>
    <w:rsid w:val="00DC0696"/>
    <w:rsid w:val="00DC2C1B"/>
    <w:rsid w:val="00DC49C4"/>
    <w:rsid w:val="00DC5DB7"/>
    <w:rsid w:val="00DC66DF"/>
    <w:rsid w:val="00DC7080"/>
    <w:rsid w:val="00DD0FBF"/>
    <w:rsid w:val="00DD27EC"/>
    <w:rsid w:val="00DD3482"/>
    <w:rsid w:val="00DD44C4"/>
    <w:rsid w:val="00DD5452"/>
    <w:rsid w:val="00DD5965"/>
    <w:rsid w:val="00DD6442"/>
    <w:rsid w:val="00DD6733"/>
    <w:rsid w:val="00DD69CA"/>
    <w:rsid w:val="00DD71FA"/>
    <w:rsid w:val="00DD7EC3"/>
    <w:rsid w:val="00DE0C5C"/>
    <w:rsid w:val="00DE2062"/>
    <w:rsid w:val="00DE29A9"/>
    <w:rsid w:val="00DE32EA"/>
    <w:rsid w:val="00DE406C"/>
    <w:rsid w:val="00DE5662"/>
    <w:rsid w:val="00DE5C7B"/>
    <w:rsid w:val="00DE5E5A"/>
    <w:rsid w:val="00DE673B"/>
    <w:rsid w:val="00DE71D5"/>
    <w:rsid w:val="00DE7707"/>
    <w:rsid w:val="00DE7910"/>
    <w:rsid w:val="00DE7FC6"/>
    <w:rsid w:val="00DF060B"/>
    <w:rsid w:val="00E004E6"/>
    <w:rsid w:val="00E01935"/>
    <w:rsid w:val="00E033B4"/>
    <w:rsid w:val="00E03686"/>
    <w:rsid w:val="00E041E4"/>
    <w:rsid w:val="00E04349"/>
    <w:rsid w:val="00E04550"/>
    <w:rsid w:val="00E04A16"/>
    <w:rsid w:val="00E055A3"/>
    <w:rsid w:val="00E05998"/>
    <w:rsid w:val="00E06DAC"/>
    <w:rsid w:val="00E07BAC"/>
    <w:rsid w:val="00E13C6F"/>
    <w:rsid w:val="00E13DF9"/>
    <w:rsid w:val="00E14B86"/>
    <w:rsid w:val="00E160C1"/>
    <w:rsid w:val="00E16B0B"/>
    <w:rsid w:val="00E16FCA"/>
    <w:rsid w:val="00E17912"/>
    <w:rsid w:val="00E20D03"/>
    <w:rsid w:val="00E2134E"/>
    <w:rsid w:val="00E2205C"/>
    <w:rsid w:val="00E2267D"/>
    <w:rsid w:val="00E2394E"/>
    <w:rsid w:val="00E25323"/>
    <w:rsid w:val="00E2706B"/>
    <w:rsid w:val="00E2732F"/>
    <w:rsid w:val="00E30884"/>
    <w:rsid w:val="00E316FF"/>
    <w:rsid w:val="00E320C1"/>
    <w:rsid w:val="00E325C0"/>
    <w:rsid w:val="00E350B5"/>
    <w:rsid w:val="00E35795"/>
    <w:rsid w:val="00E364F1"/>
    <w:rsid w:val="00E36B0F"/>
    <w:rsid w:val="00E36D3B"/>
    <w:rsid w:val="00E374FF"/>
    <w:rsid w:val="00E402EB"/>
    <w:rsid w:val="00E412E7"/>
    <w:rsid w:val="00E41CF4"/>
    <w:rsid w:val="00E42539"/>
    <w:rsid w:val="00E4271E"/>
    <w:rsid w:val="00E4286F"/>
    <w:rsid w:val="00E43BC5"/>
    <w:rsid w:val="00E4437F"/>
    <w:rsid w:val="00E44DB6"/>
    <w:rsid w:val="00E45E65"/>
    <w:rsid w:val="00E47048"/>
    <w:rsid w:val="00E47074"/>
    <w:rsid w:val="00E47C91"/>
    <w:rsid w:val="00E47CE1"/>
    <w:rsid w:val="00E47DD7"/>
    <w:rsid w:val="00E51F75"/>
    <w:rsid w:val="00E52489"/>
    <w:rsid w:val="00E52A29"/>
    <w:rsid w:val="00E52C32"/>
    <w:rsid w:val="00E53E5D"/>
    <w:rsid w:val="00E55E44"/>
    <w:rsid w:val="00E57968"/>
    <w:rsid w:val="00E61FED"/>
    <w:rsid w:val="00E620BC"/>
    <w:rsid w:val="00E627C3"/>
    <w:rsid w:val="00E62C0F"/>
    <w:rsid w:val="00E636CD"/>
    <w:rsid w:val="00E641E3"/>
    <w:rsid w:val="00E65343"/>
    <w:rsid w:val="00E65A7E"/>
    <w:rsid w:val="00E660B2"/>
    <w:rsid w:val="00E663DD"/>
    <w:rsid w:val="00E66616"/>
    <w:rsid w:val="00E70F5B"/>
    <w:rsid w:val="00E71823"/>
    <w:rsid w:val="00E72FC2"/>
    <w:rsid w:val="00E735BF"/>
    <w:rsid w:val="00E735E9"/>
    <w:rsid w:val="00E74C27"/>
    <w:rsid w:val="00E75E49"/>
    <w:rsid w:val="00E760CD"/>
    <w:rsid w:val="00E771AA"/>
    <w:rsid w:val="00E77644"/>
    <w:rsid w:val="00E81A7C"/>
    <w:rsid w:val="00E82600"/>
    <w:rsid w:val="00E84012"/>
    <w:rsid w:val="00E848E8"/>
    <w:rsid w:val="00E85D88"/>
    <w:rsid w:val="00E86B51"/>
    <w:rsid w:val="00E8757D"/>
    <w:rsid w:val="00E875DD"/>
    <w:rsid w:val="00E8772D"/>
    <w:rsid w:val="00E9106E"/>
    <w:rsid w:val="00E92C09"/>
    <w:rsid w:val="00E93383"/>
    <w:rsid w:val="00E9352E"/>
    <w:rsid w:val="00E9413C"/>
    <w:rsid w:val="00E94E79"/>
    <w:rsid w:val="00E95493"/>
    <w:rsid w:val="00E9555B"/>
    <w:rsid w:val="00E9630E"/>
    <w:rsid w:val="00E97071"/>
    <w:rsid w:val="00E97175"/>
    <w:rsid w:val="00E9779B"/>
    <w:rsid w:val="00E97D34"/>
    <w:rsid w:val="00EA080E"/>
    <w:rsid w:val="00EA1E00"/>
    <w:rsid w:val="00EA2571"/>
    <w:rsid w:val="00EA2FCD"/>
    <w:rsid w:val="00EA3533"/>
    <w:rsid w:val="00EA35FD"/>
    <w:rsid w:val="00EA425F"/>
    <w:rsid w:val="00EA4815"/>
    <w:rsid w:val="00EA5399"/>
    <w:rsid w:val="00EA5E87"/>
    <w:rsid w:val="00EA6089"/>
    <w:rsid w:val="00EA6A16"/>
    <w:rsid w:val="00EA6B54"/>
    <w:rsid w:val="00EA705B"/>
    <w:rsid w:val="00EB014B"/>
    <w:rsid w:val="00EB1876"/>
    <w:rsid w:val="00EB1D24"/>
    <w:rsid w:val="00EB231A"/>
    <w:rsid w:val="00EB26B9"/>
    <w:rsid w:val="00EB338E"/>
    <w:rsid w:val="00EB34B5"/>
    <w:rsid w:val="00EB3AED"/>
    <w:rsid w:val="00EB5F51"/>
    <w:rsid w:val="00EB6284"/>
    <w:rsid w:val="00EB6EE9"/>
    <w:rsid w:val="00EB73A7"/>
    <w:rsid w:val="00EB7681"/>
    <w:rsid w:val="00EC17FB"/>
    <w:rsid w:val="00EC2096"/>
    <w:rsid w:val="00EC2112"/>
    <w:rsid w:val="00EC23BC"/>
    <w:rsid w:val="00EC268F"/>
    <w:rsid w:val="00EC2B92"/>
    <w:rsid w:val="00EC3084"/>
    <w:rsid w:val="00EC3199"/>
    <w:rsid w:val="00EC4D68"/>
    <w:rsid w:val="00EC535B"/>
    <w:rsid w:val="00EC5662"/>
    <w:rsid w:val="00EC58A1"/>
    <w:rsid w:val="00EC5AFF"/>
    <w:rsid w:val="00EC6D8B"/>
    <w:rsid w:val="00EC7F21"/>
    <w:rsid w:val="00ED1AE6"/>
    <w:rsid w:val="00ED24F0"/>
    <w:rsid w:val="00ED2A14"/>
    <w:rsid w:val="00ED2ABE"/>
    <w:rsid w:val="00ED2C4A"/>
    <w:rsid w:val="00ED2D6A"/>
    <w:rsid w:val="00ED331C"/>
    <w:rsid w:val="00ED3C2A"/>
    <w:rsid w:val="00ED4066"/>
    <w:rsid w:val="00ED5345"/>
    <w:rsid w:val="00ED5621"/>
    <w:rsid w:val="00ED6346"/>
    <w:rsid w:val="00ED7152"/>
    <w:rsid w:val="00ED73A8"/>
    <w:rsid w:val="00ED76B8"/>
    <w:rsid w:val="00EE0690"/>
    <w:rsid w:val="00EE144A"/>
    <w:rsid w:val="00EE26CF"/>
    <w:rsid w:val="00EE4BD6"/>
    <w:rsid w:val="00EE5781"/>
    <w:rsid w:val="00EE5D2E"/>
    <w:rsid w:val="00EE68AE"/>
    <w:rsid w:val="00EE7082"/>
    <w:rsid w:val="00EE7A3A"/>
    <w:rsid w:val="00EF03B2"/>
    <w:rsid w:val="00EF052B"/>
    <w:rsid w:val="00EF10C0"/>
    <w:rsid w:val="00EF1CB6"/>
    <w:rsid w:val="00EF2B8A"/>
    <w:rsid w:val="00EF3776"/>
    <w:rsid w:val="00EF4185"/>
    <w:rsid w:val="00EF51FA"/>
    <w:rsid w:val="00EF554A"/>
    <w:rsid w:val="00EF5727"/>
    <w:rsid w:val="00EF742B"/>
    <w:rsid w:val="00EF746D"/>
    <w:rsid w:val="00F00CC5"/>
    <w:rsid w:val="00F01D6A"/>
    <w:rsid w:val="00F01FAA"/>
    <w:rsid w:val="00F029BD"/>
    <w:rsid w:val="00F03173"/>
    <w:rsid w:val="00F04200"/>
    <w:rsid w:val="00F04C6B"/>
    <w:rsid w:val="00F04FEF"/>
    <w:rsid w:val="00F05B2F"/>
    <w:rsid w:val="00F0601D"/>
    <w:rsid w:val="00F06554"/>
    <w:rsid w:val="00F07450"/>
    <w:rsid w:val="00F10E53"/>
    <w:rsid w:val="00F1178A"/>
    <w:rsid w:val="00F11CB8"/>
    <w:rsid w:val="00F11EB4"/>
    <w:rsid w:val="00F11FB0"/>
    <w:rsid w:val="00F12677"/>
    <w:rsid w:val="00F1385A"/>
    <w:rsid w:val="00F14A41"/>
    <w:rsid w:val="00F153D4"/>
    <w:rsid w:val="00F15B3D"/>
    <w:rsid w:val="00F15C7F"/>
    <w:rsid w:val="00F17024"/>
    <w:rsid w:val="00F21547"/>
    <w:rsid w:val="00F218F6"/>
    <w:rsid w:val="00F21EDC"/>
    <w:rsid w:val="00F220EF"/>
    <w:rsid w:val="00F2244F"/>
    <w:rsid w:val="00F2301F"/>
    <w:rsid w:val="00F233BE"/>
    <w:rsid w:val="00F23F1B"/>
    <w:rsid w:val="00F247D9"/>
    <w:rsid w:val="00F2542B"/>
    <w:rsid w:val="00F3147E"/>
    <w:rsid w:val="00F3508B"/>
    <w:rsid w:val="00F369DE"/>
    <w:rsid w:val="00F3705D"/>
    <w:rsid w:val="00F3768A"/>
    <w:rsid w:val="00F40F69"/>
    <w:rsid w:val="00F412E4"/>
    <w:rsid w:val="00F416E9"/>
    <w:rsid w:val="00F41C52"/>
    <w:rsid w:val="00F429B7"/>
    <w:rsid w:val="00F43B1C"/>
    <w:rsid w:val="00F45F44"/>
    <w:rsid w:val="00F464F6"/>
    <w:rsid w:val="00F477A4"/>
    <w:rsid w:val="00F47871"/>
    <w:rsid w:val="00F47B7C"/>
    <w:rsid w:val="00F50D97"/>
    <w:rsid w:val="00F51A58"/>
    <w:rsid w:val="00F528A1"/>
    <w:rsid w:val="00F52994"/>
    <w:rsid w:val="00F53F56"/>
    <w:rsid w:val="00F54289"/>
    <w:rsid w:val="00F54696"/>
    <w:rsid w:val="00F55625"/>
    <w:rsid w:val="00F557AB"/>
    <w:rsid w:val="00F56110"/>
    <w:rsid w:val="00F56D8A"/>
    <w:rsid w:val="00F56DC5"/>
    <w:rsid w:val="00F57508"/>
    <w:rsid w:val="00F61067"/>
    <w:rsid w:val="00F610BB"/>
    <w:rsid w:val="00F618F5"/>
    <w:rsid w:val="00F61B93"/>
    <w:rsid w:val="00F61E9F"/>
    <w:rsid w:val="00F62CC7"/>
    <w:rsid w:val="00F66211"/>
    <w:rsid w:val="00F66C94"/>
    <w:rsid w:val="00F66D91"/>
    <w:rsid w:val="00F66FCF"/>
    <w:rsid w:val="00F672F5"/>
    <w:rsid w:val="00F70EAA"/>
    <w:rsid w:val="00F729D5"/>
    <w:rsid w:val="00F73AAF"/>
    <w:rsid w:val="00F73AB2"/>
    <w:rsid w:val="00F7442E"/>
    <w:rsid w:val="00F74EC3"/>
    <w:rsid w:val="00F74F04"/>
    <w:rsid w:val="00F76958"/>
    <w:rsid w:val="00F769CA"/>
    <w:rsid w:val="00F773CB"/>
    <w:rsid w:val="00F77F6D"/>
    <w:rsid w:val="00F80F63"/>
    <w:rsid w:val="00F8120A"/>
    <w:rsid w:val="00F81322"/>
    <w:rsid w:val="00F81F89"/>
    <w:rsid w:val="00F81FA7"/>
    <w:rsid w:val="00F820D5"/>
    <w:rsid w:val="00F8238F"/>
    <w:rsid w:val="00F82B5F"/>
    <w:rsid w:val="00F8312D"/>
    <w:rsid w:val="00F83DB0"/>
    <w:rsid w:val="00F83F08"/>
    <w:rsid w:val="00F84D85"/>
    <w:rsid w:val="00F86CB2"/>
    <w:rsid w:val="00F902A2"/>
    <w:rsid w:val="00F9167D"/>
    <w:rsid w:val="00F91ACA"/>
    <w:rsid w:val="00F92DA4"/>
    <w:rsid w:val="00F92F00"/>
    <w:rsid w:val="00F939C4"/>
    <w:rsid w:val="00F93FE5"/>
    <w:rsid w:val="00F942FC"/>
    <w:rsid w:val="00F95F24"/>
    <w:rsid w:val="00F9778C"/>
    <w:rsid w:val="00FA0C24"/>
    <w:rsid w:val="00FA0E57"/>
    <w:rsid w:val="00FA17DD"/>
    <w:rsid w:val="00FA459E"/>
    <w:rsid w:val="00FA7352"/>
    <w:rsid w:val="00FB035D"/>
    <w:rsid w:val="00FB0F87"/>
    <w:rsid w:val="00FB11C9"/>
    <w:rsid w:val="00FB4702"/>
    <w:rsid w:val="00FB575C"/>
    <w:rsid w:val="00FB57AE"/>
    <w:rsid w:val="00FB5C7F"/>
    <w:rsid w:val="00FB5E2A"/>
    <w:rsid w:val="00FB703A"/>
    <w:rsid w:val="00FC3390"/>
    <w:rsid w:val="00FC47E4"/>
    <w:rsid w:val="00FC4DE2"/>
    <w:rsid w:val="00FC5463"/>
    <w:rsid w:val="00FC5D61"/>
    <w:rsid w:val="00FC682C"/>
    <w:rsid w:val="00FC7B53"/>
    <w:rsid w:val="00FC7E07"/>
    <w:rsid w:val="00FD070D"/>
    <w:rsid w:val="00FD07B1"/>
    <w:rsid w:val="00FD0BF0"/>
    <w:rsid w:val="00FD1C4C"/>
    <w:rsid w:val="00FD2975"/>
    <w:rsid w:val="00FD3031"/>
    <w:rsid w:val="00FD35F7"/>
    <w:rsid w:val="00FD3F7C"/>
    <w:rsid w:val="00FD464C"/>
    <w:rsid w:val="00FD50AD"/>
    <w:rsid w:val="00FD55B6"/>
    <w:rsid w:val="00FD5CA1"/>
    <w:rsid w:val="00FD65D1"/>
    <w:rsid w:val="00FD6943"/>
    <w:rsid w:val="00FD6C09"/>
    <w:rsid w:val="00FD7C33"/>
    <w:rsid w:val="00FE0128"/>
    <w:rsid w:val="00FE0B10"/>
    <w:rsid w:val="00FE1B2A"/>
    <w:rsid w:val="00FE2425"/>
    <w:rsid w:val="00FE41CD"/>
    <w:rsid w:val="00FE4BDC"/>
    <w:rsid w:val="00FE505F"/>
    <w:rsid w:val="00FE5C60"/>
    <w:rsid w:val="00FE632C"/>
    <w:rsid w:val="00FE740D"/>
    <w:rsid w:val="00FE7751"/>
    <w:rsid w:val="00FF0F0B"/>
    <w:rsid w:val="00FF1140"/>
    <w:rsid w:val="00FF1314"/>
    <w:rsid w:val="00FF29D0"/>
    <w:rsid w:val="00FF307B"/>
    <w:rsid w:val="00FF376C"/>
    <w:rsid w:val="00FF443C"/>
    <w:rsid w:val="00FF5CA2"/>
    <w:rsid w:val="00FF6BB6"/>
    <w:rsid w:val="00FF7C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1561"/>
  <w15:chartTrackingRefBased/>
  <w15:docId w15:val="{91C7BE04-CF5B-4F16-8746-351BA3CC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8A"/>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1141B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B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Colorful List - Accent 11,Normal numbered,List Paragraph11,OBC Bullet"/>
    <w:basedOn w:val="Normal"/>
    <w:link w:val="ListParagraphChar"/>
    <w:uiPriority w:val="34"/>
    <w:qFormat/>
    <w:rsid w:val="00C10B8A"/>
    <w:pPr>
      <w:ind w:left="720"/>
      <w:contextualSpacing/>
    </w:pPr>
  </w:style>
  <w:style w:type="paragraph" w:styleId="Header">
    <w:name w:val="header"/>
    <w:basedOn w:val="Normal"/>
    <w:link w:val="HeaderChar"/>
    <w:uiPriority w:val="99"/>
    <w:unhideWhenUsed/>
    <w:rsid w:val="00C10B8A"/>
    <w:pPr>
      <w:tabs>
        <w:tab w:val="center" w:pos="4513"/>
        <w:tab w:val="right" w:pos="9026"/>
      </w:tabs>
    </w:pPr>
  </w:style>
  <w:style w:type="character" w:customStyle="1" w:styleId="HeaderChar">
    <w:name w:val="Header Char"/>
    <w:basedOn w:val="DefaultParagraphFont"/>
    <w:link w:val="Header"/>
    <w:uiPriority w:val="99"/>
    <w:rsid w:val="00C10B8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10B8A"/>
    <w:pPr>
      <w:tabs>
        <w:tab w:val="center" w:pos="4513"/>
        <w:tab w:val="right" w:pos="9026"/>
      </w:tabs>
    </w:pPr>
  </w:style>
  <w:style w:type="character" w:customStyle="1" w:styleId="FooterChar">
    <w:name w:val="Footer Char"/>
    <w:basedOn w:val="DefaultParagraphFont"/>
    <w:link w:val="Footer"/>
    <w:uiPriority w:val="99"/>
    <w:rsid w:val="00C10B8A"/>
    <w:rPr>
      <w:rFonts w:ascii="Times New Roman" w:eastAsia="Times New Roman" w:hAnsi="Times New Roman" w:cs="Times New Roman"/>
      <w:sz w:val="24"/>
      <w:szCs w:val="24"/>
      <w:lang w:eastAsia="en-GB"/>
    </w:rPr>
  </w:style>
  <w:style w:type="paragraph" w:customStyle="1" w:styleId="Default">
    <w:name w:val="Default"/>
    <w:rsid w:val="00EE144A"/>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0A5A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styleId="Revision">
    <w:name w:val="Revision"/>
    <w:hidden/>
    <w:uiPriority w:val="99"/>
    <w:semiHidden/>
    <w:rsid w:val="001D1EAE"/>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basedOn w:val="DefaultParagraphFont"/>
    <w:link w:val="ListParagraph"/>
    <w:uiPriority w:val="34"/>
    <w:locked/>
    <w:rsid w:val="00BC035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E2220"/>
    <w:rPr>
      <w:sz w:val="16"/>
      <w:szCs w:val="16"/>
    </w:rPr>
  </w:style>
  <w:style w:type="paragraph" w:styleId="CommentText">
    <w:name w:val="annotation text"/>
    <w:basedOn w:val="Normal"/>
    <w:link w:val="CommentTextChar"/>
    <w:uiPriority w:val="99"/>
    <w:unhideWhenUsed/>
    <w:rsid w:val="009E2220"/>
    <w:rPr>
      <w:sz w:val="20"/>
      <w:szCs w:val="20"/>
    </w:rPr>
  </w:style>
  <w:style w:type="character" w:customStyle="1" w:styleId="CommentTextChar">
    <w:name w:val="Comment Text Char"/>
    <w:basedOn w:val="DefaultParagraphFont"/>
    <w:link w:val="CommentText"/>
    <w:uiPriority w:val="99"/>
    <w:rsid w:val="009E222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2220"/>
    <w:rPr>
      <w:b/>
      <w:bCs/>
    </w:rPr>
  </w:style>
  <w:style w:type="character" w:customStyle="1" w:styleId="CommentSubjectChar">
    <w:name w:val="Comment Subject Char"/>
    <w:basedOn w:val="CommentTextChar"/>
    <w:link w:val="CommentSubject"/>
    <w:uiPriority w:val="99"/>
    <w:semiHidden/>
    <w:rsid w:val="009E2220"/>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892DC4"/>
    <w:rPr>
      <w:sz w:val="20"/>
      <w:szCs w:val="20"/>
    </w:rPr>
  </w:style>
  <w:style w:type="character" w:customStyle="1" w:styleId="FootnoteTextChar">
    <w:name w:val="Footnote Text Char"/>
    <w:basedOn w:val="DefaultParagraphFont"/>
    <w:link w:val="FootnoteText"/>
    <w:uiPriority w:val="99"/>
    <w:semiHidden/>
    <w:rsid w:val="00892DC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92DC4"/>
    <w:rPr>
      <w:vertAlign w:val="superscript"/>
    </w:rPr>
  </w:style>
  <w:style w:type="paragraph" w:styleId="EndnoteText">
    <w:name w:val="endnote text"/>
    <w:basedOn w:val="Normal"/>
    <w:link w:val="EndnoteTextChar"/>
    <w:uiPriority w:val="99"/>
    <w:semiHidden/>
    <w:unhideWhenUsed/>
    <w:rsid w:val="007712D2"/>
    <w:rPr>
      <w:sz w:val="20"/>
      <w:szCs w:val="20"/>
    </w:rPr>
  </w:style>
  <w:style w:type="character" w:customStyle="1" w:styleId="EndnoteTextChar">
    <w:name w:val="Endnote Text Char"/>
    <w:basedOn w:val="DefaultParagraphFont"/>
    <w:link w:val="EndnoteText"/>
    <w:uiPriority w:val="99"/>
    <w:semiHidden/>
    <w:rsid w:val="007712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712D2"/>
    <w:rPr>
      <w:vertAlign w:val="superscript"/>
    </w:rPr>
  </w:style>
  <w:style w:type="character" w:customStyle="1" w:styleId="Heading2Char">
    <w:name w:val="Heading 2 Char"/>
    <w:basedOn w:val="DefaultParagraphFont"/>
    <w:link w:val="Heading2"/>
    <w:uiPriority w:val="9"/>
    <w:semiHidden/>
    <w:rsid w:val="001141B6"/>
    <w:rPr>
      <w:rFonts w:asciiTheme="majorHAnsi" w:eastAsiaTheme="majorEastAsia" w:hAnsiTheme="majorHAnsi" w:cstheme="majorBidi"/>
      <w:color w:val="2F5496" w:themeColor="accent1" w:themeShade="BF"/>
      <w:kern w:val="2"/>
      <w:sz w:val="32"/>
      <w:szCs w:val="32"/>
      <w14:ligatures w14:val="standardContextual"/>
    </w:rPr>
  </w:style>
  <w:style w:type="paragraph" w:styleId="ListBullet">
    <w:name w:val="List Bullet"/>
    <w:basedOn w:val="Normal"/>
    <w:uiPriority w:val="99"/>
    <w:unhideWhenUsed/>
    <w:rsid w:val="00184DDD"/>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928">
      <w:bodyDiv w:val="1"/>
      <w:marLeft w:val="0"/>
      <w:marRight w:val="0"/>
      <w:marTop w:val="0"/>
      <w:marBottom w:val="0"/>
      <w:divBdr>
        <w:top w:val="none" w:sz="0" w:space="0" w:color="auto"/>
        <w:left w:val="none" w:sz="0" w:space="0" w:color="auto"/>
        <w:bottom w:val="none" w:sz="0" w:space="0" w:color="auto"/>
        <w:right w:val="none" w:sz="0" w:space="0" w:color="auto"/>
      </w:divBdr>
    </w:div>
    <w:div w:id="59257657">
      <w:bodyDiv w:val="1"/>
      <w:marLeft w:val="0"/>
      <w:marRight w:val="0"/>
      <w:marTop w:val="0"/>
      <w:marBottom w:val="0"/>
      <w:divBdr>
        <w:top w:val="none" w:sz="0" w:space="0" w:color="auto"/>
        <w:left w:val="none" w:sz="0" w:space="0" w:color="auto"/>
        <w:bottom w:val="none" w:sz="0" w:space="0" w:color="auto"/>
        <w:right w:val="none" w:sz="0" w:space="0" w:color="auto"/>
      </w:divBdr>
    </w:div>
    <w:div w:id="390227331">
      <w:bodyDiv w:val="1"/>
      <w:marLeft w:val="0"/>
      <w:marRight w:val="0"/>
      <w:marTop w:val="0"/>
      <w:marBottom w:val="0"/>
      <w:divBdr>
        <w:top w:val="none" w:sz="0" w:space="0" w:color="auto"/>
        <w:left w:val="none" w:sz="0" w:space="0" w:color="auto"/>
        <w:bottom w:val="none" w:sz="0" w:space="0" w:color="auto"/>
        <w:right w:val="none" w:sz="0" w:space="0" w:color="auto"/>
      </w:divBdr>
    </w:div>
    <w:div w:id="420221154">
      <w:bodyDiv w:val="1"/>
      <w:marLeft w:val="0"/>
      <w:marRight w:val="0"/>
      <w:marTop w:val="0"/>
      <w:marBottom w:val="0"/>
      <w:divBdr>
        <w:top w:val="none" w:sz="0" w:space="0" w:color="auto"/>
        <w:left w:val="none" w:sz="0" w:space="0" w:color="auto"/>
        <w:bottom w:val="none" w:sz="0" w:space="0" w:color="auto"/>
        <w:right w:val="none" w:sz="0" w:space="0" w:color="auto"/>
      </w:divBdr>
    </w:div>
    <w:div w:id="555092482">
      <w:bodyDiv w:val="1"/>
      <w:marLeft w:val="0"/>
      <w:marRight w:val="0"/>
      <w:marTop w:val="0"/>
      <w:marBottom w:val="0"/>
      <w:divBdr>
        <w:top w:val="none" w:sz="0" w:space="0" w:color="auto"/>
        <w:left w:val="none" w:sz="0" w:space="0" w:color="auto"/>
        <w:bottom w:val="none" w:sz="0" w:space="0" w:color="auto"/>
        <w:right w:val="none" w:sz="0" w:space="0" w:color="auto"/>
      </w:divBdr>
    </w:div>
    <w:div w:id="721560073">
      <w:bodyDiv w:val="1"/>
      <w:marLeft w:val="0"/>
      <w:marRight w:val="0"/>
      <w:marTop w:val="0"/>
      <w:marBottom w:val="0"/>
      <w:divBdr>
        <w:top w:val="none" w:sz="0" w:space="0" w:color="auto"/>
        <w:left w:val="none" w:sz="0" w:space="0" w:color="auto"/>
        <w:bottom w:val="none" w:sz="0" w:space="0" w:color="auto"/>
        <w:right w:val="none" w:sz="0" w:space="0" w:color="auto"/>
      </w:divBdr>
    </w:div>
    <w:div w:id="958950908">
      <w:bodyDiv w:val="1"/>
      <w:marLeft w:val="0"/>
      <w:marRight w:val="0"/>
      <w:marTop w:val="0"/>
      <w:marBottom w:val="0"/>
      <w:divBdr>
        <w:top w:val="none" w:sz="0" w:space="0" w:color="auto"/>
        <w:left w:val="none" w:sz="0" w:space="0" w:color="auto"/>
        <w:bottom w:val="none" w:sz="0" w:space="0" w:color="auto"/>
        <w:right w:val="none" w:sz="0" w:space="0" w:color="auto"/>
      </w:divBdr>
    </w:div>
    <w:div w:id="1002850790">
      <w:bodyDiv w:val="1"/>
      <w:marLeft w:val="0"/>
      <w:marRight w:val="0"/>
      <w:marTop w:val="0"/>
      <w:marBottom w:val="0"/>
      <w:divBdr>
        <w:top w:val="none" w:sz="0" w:space="0" w:color="auto"/>
        <w:left w:val="none" w:sz="0" w:space="0" w:color="auto"/>
        <w:bottom w:val="none" w:sz="0" w:space="0" w:color="auto"/>
        <w:right w:val="none" w:sz="0" w:space="0" w:color="auto"/>
      </w:divBdr>
    </w:div>
    <w:div w:id="1368290190">
      <w:bodyDiv w:val="1"/>
      <w:marLeft w:val="0"/>
      <w:marRight w:val="0"/>
      <w:marTop w:val="0"/>
      <w:marBottom w:val="0"/>
      <w:divBdr>
        <w:top w:val="none" w:sz="0" w:space="0" w:color="auto"/>
        <w:left w:val="none" w:sz="0" w:space="0" w:color="auto"/>
        <w:bottom w:val="none" w:sz="0" w:space="0" w:color="auto"/>
        <w:right w:val="none" w:sz="0" w:space="0" w:color="auto"/>
      </w:divBdr>
    </w:div>
    <w:div w:id="1610352048">
      <w:bodyDiv w:val="1"/>
      <w:marLeft w:val="0"/>
      <w:marRight w:val="0"/>
      <w:marTop w:val="0"/>
      <w:marBottom w:val="0"/>
      <w:divBdr>
        <w:top w:val="none" w:sz="0" w:space="0" w:color="auto"/>
        <w:left w:val="none" w:sz="0" w:space="0" w:color="auto"/>
        <w:bottom w:val="none" w:sz="0" w:space="0" w:color="auto"/>
        <w:right w:val="none" w:sz="0" w:space="0" w:color="auto"/>
      </w:divBdr>
    </w:div>
    <w:div w:id="1735397569">
      <w:bodyDiv w:val="1"/>
      <w:marLeft w:val="0"/>
      <w:marRight w:val="0"/>
      <w:marTop w:val="0"/>
      <w:marBottom w:val="0"/>
      <w:divBdr>
        <w:top w:val="none" w:sz="0" w:space="0" w:color="auto"/>
        <w:left w:val="none" w:sz="0" w:space="0" w:color="auto"/>
        <w:bottom w:val="none" w:sz="0" w:space="0" w:color="auto"/>
        <w:right w:val="none" w:sz="0" w:space="0" w:color="auto"/>
      </w:divBdr>
    </w:div>
    <w:div w:id="1810004269">
      <w:bodyDiv w:val="1"/>
      <w:marLeft w:val="0"/>
      <w:marRight w:val="0"/>
      <w:marTop w:val="0"/>
      <w:marBottom w:val="0"/>
      <w:divBdr>
        <w:top w:val="none" w:sz="0" w:space="0" w:color="auto"/>
        <w:left w:val="none" w:sz="0" w:space="0" w:color="auto"/>
        <w:bottom w:val="none" w:sz="0" w:space="0" w:color="auto"/>
        <w:right w:val="none" w:sz="0" w:space="0" w:color="auto"/>
      </w:divBdr>
    </w:div>
    <w:div w:id="1915317624">
      <w:bodyDiv w:val="1"/>
      <w:marLeft w:val="0"/>
      <w:marRight w:val="0"/>
      <w:marTop w:val="0"/>
      <w:marBottom w:val="0"/>
      <w:divBdr>
        <w:top w:val="none" w:sz="0" w:space="0" w:color="auto"/>
        <w:left w:val="none" w:sz="0" w:space="0" w:color="auto"/>
        <w:bottom w:val="none" w:sz="0" w:space="0" w:color="auto"/>
        <w:right w:val="none" w:sz="0" w:space="0" w:color="auto"/>
      </w:divBdr>
    </w:div>
    <w:div w:id="20099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5-08T10:28:58.896"/>
    </inkml:context>
    <inkml:brush xml:id="br0">
      <inkml:brushProperty name="width" value="0.035" units="cm"/>
      <inkml:brushProperty name="height" value="0.035" units="cm"/>
    </inkml:brush>
  </inkml:definitions>
  <inkml:trace contextRef="#ctx0" brushRef="#br0">1 65 4607 0 0,'1'-3'134'0'0,"0"0"-1"0"0,1 0 0 0 0,-1 0 1 0 0,1 0-1 0 0,0 1 0 0 0,0-1 1 0 0,0 1-1 0 0,0-1 0 0 0,0 1 1 0 0,0 0-1 0 0,1 0 0 0 0,4-3 1 0 0,1-1-16 0 0,0 1 0 0 0,17-8 0 0 0,-11 9 198 0 0,-14 4-315 0 0,1 0 0 0 0,0-1-1 0 0,-1 1 1 0 0,1 0 0 0 0,-1 0 0 0 0,1 0 0 0 0,0 0 0 0 0,-1 0 0 0 0,1 0 0 0 0,-1 0 0 0 0,1 0 0 0 0,-1 0 0 0 0,1 1 0 0 0,0-1 0 0 0,-1 0-1 0 0,1 0 1 0 0,-1 0 0 0 0,1 1 0 0 0,-1-1 0 0 0,2 1 0 0 0,-1 1-128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203b807-d1e5-460a-860c-1c5411a6cf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9143D9C49E8944B1B598046721F147" ma:contentTypeVersion="10" ma:contentTypeDescription="Create a new document." ma:contentTypeScope="" ma:versionID="029a2a2ca55d1d30792d5983e56e2859">
  <xsd:schema xmlns:xsd="http://www.w3.org/2001/XMLSchema" xmlns:xs="http://www.w3.org/2001/XMLSchema" xmlns:p="http://schemas.microsoft.com/office/2006/metadata/properties" xmlns:ns3="8203b807-d1e5-460a-860c-1c5411a6cfc6" targetNamespace="http://schemas.microsoft.com/office/2006/metadata/properties" ma:root="true" ma:fieldsID="88679ac8c2affdba2c50dface8339f4e" ns3:_="">
    <xsd:import namespace="8203b807-d1e5-460a-860c-1c5411a6cf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3b807-d1e5-460a-860c-1c5411a6cf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A78A6-7063-4D90-9A3F-E7CAE7A77662}">
  <ds:schemaRefs>
    <ds:schemaRef ds:uri="http://schemas.microsoft.com/sharepoint/v3/contenttype/forms"/>
  </ds:schemaRefs>
</ds:datastoreItem>
</file>

<file path=customXml/itemProps2.xml><?xml version="1.0" encoding="utf-8"?>
<ds:datastoreItem xmlns:ds="http://schemas.openxmlformats.org/officeDocument/2006/customXml" ds:itemID="{F1EBC07F-F865-46E3-8E43-074087E824AF}">
  <ds:schemaRefs>
    <ds:schemaRef ds:uri="http://schemas.openxmlformats.org/officeDocument/2006/bibliography"/>
  </ds:schemaRefs>
</ds:datastoreItem>
</file>

<file path=customXml/itemProps3.xml><?xml version="1.0" encoding="utf-8"?>
<ds:datastoreItem xmlns:ds="http://schemas.openxmlformats.org/officeDocument/2006/customXml" ds:itemID="{DFA3BB01-09D8-4C7F-B9F0-E003E415D01E}">
  <ds:schemaRefs>
    <ds:schemaRef ds:uri="http://schemas.microsoft.com/office/2006/metadata/properties"/>
    <ds:schemaRef ds:uri="http://schemas.microsoft.com/office/infopath/2007/PartnerControls"/>
    <ds:schemaRef ds:uri="8203b807-d1e5-460a-860c-1c5411a6cfc6"/>
  </ds:schemaRefs>
</ds:datastoreItem>
</file>

<file path=customXml/itemProps4.xml><?xml version="1.0" encoding="utf-8"?>
<ds:datastoreItem xmlns:ds="http://schemas.openxmlformats.org/officeDocument/2006/customXml" ds:itemID="{CB336147-988F-450C-AD27-AC61A07FD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3b807-d1e5-460a-860c-1c5411a6c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3957</Words>
  <Characters>22561</Characters>
  <Application>Microsoft Office Word</Application>
  <DocSecurity>4</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2025-05-08T06:50:00Z</cp:lastPrinted>
  <dcterms:created xsi:type="dcterms:W3CDTF">2026-01-30T11:55:00Z</dcterms:created>
  <dcterms:modified xsi:type="dcterms:W3CDTF">2026-01-30T11:55:00Z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vt:lpwstr>
  </property>
  <property fmtid="{D5CDD505-2E9C-101B-9397-08002B2CF9AE}" pid="3" name="ClassificationContentMarkingHeaderFontProps">
    <vt:lpwstr>#000000,12,Calibri</vt:lpwstr>
  </property>
  <property fmtid="{D5CDD505-2E9C-101B-9397-08002B2CF9AE}" pid="4" name="ClassificationContentMarkingHeaderText">
    <vt:lpwstr>OFFICIAL-SENSITIVE</vt:lpwstr>
  </property>
  <property fmtid="{D5CDD505-2E9C-101B-9397-08002B2CF9AE}" pid="5" name="ClassificationContentMarkingFooterShapeIds">
    <vt:lpwstr>6</vt:lpwstr>
  </property>
  <property fmtid="{D5CDD505-2E9C-101B-9397-08002B2CF9AE}" pid="6" name="ClassificationContentMarkingFooterFontProps">
    <vt:lpwstr>#000000,12,Calibri</vt:lpwstr>
  </property>
  <property fmtid="{D5CDD505-2E9C-101B-9397-08002B2CF9AE}" pid="7" name="ClassificationContentMarkingFooterText">
    <vt:lpwstr>OFFICIAL-SENSITIVE</vt:lpwstr>
  </property>
  <property fmtid="{D5CDD505-2E9C-101B-9397-08002B2CF9AE}" pid="8" name="ContentTypeId">
    <vt:lpwstr>0x010100529143D9C49E8944B1B598046721F147</vt:lpwstr>
  </property>
  <property fmtid="{D5CDD505-2E9C-101B-9397-08002B2CF9AE}" pid="9" name="MSIP_Label_9e5e003a-90eb-47c9-a506-ad47e7a0b281_Enabled">
    <vt:lpwstr>true</vt:lpwstr>
  </property>
  <property fmtid="{D5CDD505-2E9C-101B-9397-08002B2CF9AE}" pid="10" name="MSIP_Label_9e5e003a-90eb-47c9-a506-ad47e7a0b281_SetDate">
    <vt:lpwstr>2026-01-30T11:55:00Z</vt:lpwstr>
  </property>
  <property fmtid="{D5CDD505-2E9C-101B-9397-08002B2CF9AE}" pid="11" name="MSIP_Label_9e5e003a-90eb-47c9-a506-ad47e7a0b281_Method">
    <vt:lpwstr>Privileged</vt:lpwstr>
  </property>
  <property fmtid="{D5CDD505-2E9C-101B-9397-08002B2CF9AE}" pid="12" name="MSIP_Label_9e5e003a-90eb-47c9-a506-ad47e7a0b281_Name">
    <vt:lpwstr>OFFICIAL</vt:lpwstr>
  </property>
  <property fmtid="{D5CDD505-2E9C-101B-9397-08002B2CF9AE}" pid="13" name="MSIP_Label_9e5e003a-90eb-47c9-a506-ad47e7a0b281_SiteId">
    <vt:lpwstr>742775df-8077-48d6-81d0-1e82a1f52cb8</vt:lpwstr>
  </property>
  <property fmtid="{D5CDD505-2E9C-101B-9397-08002B2CF9AE}" pid="14" name="MSIP_Label_9e5e003a-90eb-47c9-a506-ad47e7a0b281_ActionId">
    <vt:lpwstr>c059eb69-fcdb-4fd8-8d61-3bf41bffc383</vt:lpwstr>
  </property>
  <property fmtid="{D5CDD505-2E9C-101B-9397-08002B2CF9AE}" pid="15" name="MSIP_Label_9e5e003a-90eb-47c9-a506-ad47e7a0b281_ContentBits">
    <vt:lpwstr>0</vt:lpwstr>
  </property>
  <property fmtid="{D5CDD505-2E9C-101B-9397-08002B2CF9AE}" pid="16" name="MSIP_Label_9e5e003a-90eb-47c9-a506-ad47e7a0b281_Tag">
    <vt:lpwstr>10, 0, 1, 1</vt:lpwstr>
  </property>
</Properties>
</file>