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753712" w14:textId="7DDD940C" w:rsidR="00FE77C1" w:rsidRPr="00FE77C1" w:rsidRDefault="00FE77C1" w:rsidP="00FE77C1">
      <w:pPr>
        <w:spacing w:after="0" w:line="240" w:lineRule="auto"/>
        <w:textAlignment w:val="baseline"/>
        <w:rPr>
          <w:rFonts w:ascii="Segoe UI" w:eastAsia="Times New Roman" w:hAnsi="Segoe UI" w:cs="Segoe UI"/>
          <w:kern w:val="0"/>
          <w:sz w:val="18"/>
          <w:szCs w:val="18"/>
          <w:lang w:eastAsia="en-GB"/>
          <w14:ligatures w14:val="none"/>
        </w:rPr>
      </w:pPr>
      <w:r w:rsidRPr="00FE77C1">
        <w:rPr>
          <w:rFonts w:ascii="Segoe UI" w:eastAsia="Times New Roman" w:hAnsi="Segoe UI" w:cs="Segoe UI"/>
          <w:noProof/>
          <w:kern w:val="0"/>
          <w:sz w:val="18"/>
          <w:szCs w:val="18"/>
          <w:lang w:eastAsia="en-GB"/>
          <w14:ligatures w14:val="none"/>
        </w:rPr>
        <w:drawing>
          <wp:inline distT="0" distB="0" distL="0" distR="0" wp14:anchorId="350A5353" wp14:editId="682B666D">
            <wp:extent cx="2900045" cy="648335"/>
            <wp:effectExtent l="0" t="0" r="0" b="0"/>
            <wp:docPr id="6" name="Picture 3" descr="ONRlogoA4col_h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ONRlogoA4col_hi"/>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00045" cy="648335"/>
                    </a:xfrm>
                    <a:prstGeom prst="rect">
                      <a:avLst/>
                    </a:prstGeom>
                    <a:noFill/>
                    <a:ln>
                      <a:noFill/>
                    </a:ln>
                  </pic:spPr>
                </pic:pic>
              </a:graphicData>
            </a:graphic>
          </wp:inline>
        </w:drawing>
      </w:r>
    </w:p>
    <w:p w14:paraId="7EA7A953" w14:textId="3FDABDDD" w:rsidR="00FE77C1" w:rsidRDefault="00FE77C1" w:rsidP="00FE77C1">
      <w:pPr>
        <w:spacing w:after="0" w:line="240" w:lineRule="auto"/>
        <w:textAlignment w:val="baseline"/>
        <w:rPr>
          <w:rFonts w:ascii="Aptos" w:eastAsia="Times New Roman" w:hAnsi="Aptos" w:cs="Segoe UI"/>
          <w:kern w:val="0"/>
          <w:bdr w:val="none" w:sz="0" w:space="0" w:color="auto" w:frame="1"/>
          <w:shd w:val="clear" w:color="auto" w:fill="C6C6C6"/>
          <w:lang w:eastAsia="en-GB"/>
          <w14:ligatures w14:val="none"/>
        </w:rPr>
      </w:pPr>
    </w:p>
    <w:p w14:paraId="72858727" w14:textId="77777777" w:rsidR="00DF298A" w:rsidRDefault="00DF298A" w:rsidP="00FE77C1">
      <w:pPr>
        <w:spacing w:after="0" w:line="240" w:lineRule="auto"/>
        <w:textAlignment w:val="baseline"/>
        <w:rPr>
          <w:rFonts w:ascii="Segoe UI" w:eastAsia="Times New Roman" w:hAnsi="Segoe UI" w:cs="Segoe UI"/>
          <w:kern w:val="0"/>
          <w:sz w:val="18"/>
          <w:szCs w:val="18"/>
          <w:lang w:eastAsia="en-GB"/>
          <w14:ligatures w14:val="none"/>
        </w:rPr>
      </w:pPr>
    </w:p>
    <w:p w14:paraId="7609BF4E" w14:textId="77777777" w:rsidR="00DF298A" w:rsidRPr="00FE77C1" w:rsidRDefault="00DF298A" w:rsidP="00FE77C1">
      <w:pPr>
        <w:spacing w:after="0" w:line="240" w:lineRule="auto"/>
        <w:textAlignment w:val="baseline"/>
        <w:rPr>
          <w:rFonts w:ascii="Segoe UI" w:eastAsia="Times New Roman" w:hAnsi="Segoe UI" w:cs="Segoe UI"/>
          <w:kern w:val="0"/>
          <w:sz w:val="18"/>
          <w:szCs w:val="18"/>
          <w:lang w:eastAsia="en-GB"/>
          <w14:ligatures w14:val="none"/>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787"/>
        <w:gridCol w:w="3239"/>
      </w:tblGrid>
      <w:tr w:rsidR="00FE77C1" w:rsidRPr="00FE77C1" w14:paraId="7BF1EE36" w14:textId="77777777">
        <w:trPr>
          <w:trHeight w:val="765"/>
        </w:trPr>
        <w:tc>
          <w:tcPr>
            <w:tcW w:w="6285" w:type="dxa"/>
            <w:tcBorders>
              <w:top w:val="nil"/>
              <w:left w:val="nil"/>
              <w:bottom w:val="nil"/>
              <w:right w:val="nil"/>
            </w:tcBorders>
            <w:shd w:val="clear" w:color="auto" w:fill="FFFFFF"/>
            <w:hideMark/>
          </w:tcPr>
          <w:p w14:paraId="0117DEE0" w14:textId="1123A479" w:rsidR="00FE77C1" w:rsidRPr="00FE77C1" w:rsidRDefault="00CF0E7E" w:rsidP="00FE77C1">
            <w:pPr>
              <w:spacing w:after="0" w:line="240" w:lineRule="auto"/>
              <w:textAlignment w:val="baseline"/>
              <w:rPr>
                <w:rFonts w:ascii="Times New Roman" w:eastAsia="Times New Roman" w:hAnsi="Times New Roman" w:cs="Times New Roman"/>
                <w:kern w:val="0"/>
                <w:lang w:eastAsia="en-GB"/>
                <w14:ligatures w14:val="none"/>
              </w:rPr>
            </w:pPr>
            <w:r>
              <w:rPr>
                <w:rFonts w:ascii="Arial" w:eastAsia="Times New Roman" w:hAnsi="Arial" w:cs="Arial"/>
                <w:kern w:val="0"/>
                <w:lang w:eastAsia="en-GB"/>
                <w14:ligatures w14:val="none"/>
              </w:rPr>
              <w:t>28</w:t>
            </w:r>
            <w:r w:rsidR="00FE77C1" w:rsidRPr="00FE77C1">
              <w:rPr>
                <w:rFonts w:ascii="Arial" w:eastAsia="Times New Roman" w:hAnsi="Arial" w:cs="Arial"/>
                <w:kern w:val="0"/>
                <w:lang w:eastAsia="en-GB"/>
                <w14:ligatures w14:val="none"/>
              </w:rPr>
              <w:t xml:space="preserve"> </w:t>
            </w:r>
            <w:r w:rsidR="0098162D">
              <w:rPr>
                <w:rFonts w:ascii="Arial" w:eastAsia="Times New Roman" w:hAnsi="Arial" w:cs="Arial"/>
                <w:kern w:val="0"/>
                <w:lang w:eastAsia="en-GB"/>
                <w14:ligatures w14:val="none"/>
              </w:rPr>
              <w:t>August</w:t>
            </w:r>
            <w:r w:rsidR="00FE77C1" w:rsidRPr="00FE77C1">
              <w:rPr>
                <w:rFonts w:ascii="Arial" w:eastAsia="Times New Roman" w:hAnsi="Arial" w:cs="Arial"/>
                <w:kern w:val="0"/>
                <w:lang w:eastAsia="en-GB"/>
                <w14:ligatures w14:val="none"/>
              </w:rPr>
              <w:t xml:space="preserve"> 202</w:t>
            </w:r>
            <w:r w:rsidR="0098162D">
              <w:rPr>
                <w:rFonts w:ascii="Arial" w:eastAsia="Times New Roman" w:hAnsi="Arial" w:cs="Arial"/>
                <w:kern w:val="0"/>
                <w:lang w:eastAsia="en-GB"/>
                <w14:ligatures w14:val="none"/>
              </w:rPr>
              <w:t>6</w:t>
            </w:r>
            <w:r w:rsidR="00FE77C1" w:rsidRPr="00FE77C1">
              <w:rPr>
                <w:rFonts w:ascii="Arial" w:eastAsia="Times New Roman" w:hAnsi="Arial" w:cs="Arial"/>
                <w:kern w:val="0"/>
                <w:lang w:eastAsia="en-GB"/>
                <w14:ligatures w14:val="none"/>
              </w:rPr>
              <w:t> </w:t>
            </w:r>
          </w:p>
        </w:tc>
        <w:tc>
          <w:tcPr>
            <w:tcW w:w="3345" w:type="dxa"/>
            <w:vMerge w:val="restart"/>
            <w:tcBorders>
              <w:top w:val="nil"/>
              <w:left w:val="nil"/>
              <w:bottom w:val="nil"/>
              <w:right w:val="nil"/>
            </w:tcBorders>
            <w:shd w:val="clear" w:color="auto" w:fill="FFFFFF"/>
            <w:hideMark/>
          </w:tcPr>
          <w:p w14:paraId="0BCDE576" w14:textId="77777777" w:rsidR="00FE77C1" w:rsidRPr="00FE77C1" w:rsidRDefault="00FE77C1" w:rsidP="00FE77C1">
            <w:pPr>
              <w:spacing w:after="0" w:line="240" w:lineRule="auto"/>
              <w:ind w:left="133" w:hanging="60"/>
              <w:textAlignment w:val="baseline"/>
              <w:rPr>
                <w:rFonts w:ascii="Times New Roman" w:eastAsia="Times New Roman" w:hAnsi="Times New Roman" w:cs="Times New Roman"/>
                <w:kern w:val="0"/>
                <w:lang w:eastAsia="en-GB"/>
                <w14:ligatures w14:val="none"/>
              </w:rPr>
            </w:pPr>
            <w:r w:rsidRPr="00FE77C1">
              <w:rPr>
                <w:rFonts w:ascii="Arial" w:eastAsia="Times New Roman" w:hAnsi="Arial" w:cs="Arial"/>
                <w:kern w:val="0"/>
                <w:lang w:eastAsia="en-GB"/>
                <w14:ligatures w14:val="none"/>
              </w:rPr>
              <w:t>Redgrave Court </w:t>
            </w:r>
          </w:p>
          <w:p w14:paraId="74E8882D" w14:textId="77777777" w:rsidR="00FE77C1" w:rsidRPr="00FE77C1" w:rsidRDefault="00FE77C1" w:rsidP="00FE77C1">
            <w:pPr>
              <w:spacing w:after="0" w:line="240" w:lineRule="auto"/>
              <w:ind w:left="133" w:hanging="60"/>
              <w:textAlignment w:val="baseline"/>
              <w:rPr>
                <w:rFonts w:ascii="Times New Roman" w:eastAsia="Times New Roman" w:hAnsi="Times New Roman" w:cs="Times New Roman"/>
                <w:kern w:val="0"/>
                <w:lang w:eastAsia="en-GB"/>
                <w14:ligatures w14:val="none"/>
              </w:rPr>
            </w:pPr>
            <w:r w:rsidRPr="00FE77C1">
              <w:rPr>
                <w:rFonts w:ascii="Arial" w:eastAsia="Times New Roman" w:hAnsi="Arial" w:cs="Arial"/>
                <w:kern w:val="0"/>
                <w:lang w:eastAsia="en-GB"/>
                <w14:ligatures w14:val="none"/>
              </w:rPr>
              <w:t>Merton Road  </w:t>
            </w:r>
          </w:p>
          <w:p w14:paraId="17BD276A" w14:textId="77777777" w:rsidR="00FE77C1" w:rsidRPr="00FE77C1" w:rsidRDefault="00FE77C1" w:rsidP="00FE77C1">
            <w:pPr>
              <w:spacing w:after="0" w:line="240" w:lineRule="auto"/>
              <w:ind w:left="133" w:hanging="60"/>
              <w:textAlignment w:val="baseline"/>
              <w:rPr>
                <w:rFonts w:ascii="Times New Roman" w:eastAsia="Times New Roman" w:hAnsi="Times New Roman" w:cs="Times New Roman"/>
                <w:kern w:val="0"/>
                <w:lang w:eastAsia="en-GB"/>
                <w14:ligatures w14:val="none"/>
              </w:rPr>
            </w:pPr>
            <w:r w:rsidRPr="00FE77C1">
              <w:rPr>
                <w:rFonts w:ascii="Arial" w:eastAsia="Times New Roman" w:hAnsi="Arial" w:cs="Arial"/>
                <w:kern w:val="0"/>
                <w:lang w:eastAsia="en-GB"/>
                <w14:ligatures w14:val="none"/>
              </w:rPr>
              <w:t>Bootle </w:t>
            </w:r>
          </w:p>
          <w:p w14:paraId="4E9DCF85" w14:textId="77777777" w:rsidR="00FE77C1" w:rsidRPr="00FE77C1" w:rsidRDefault="00FE77C1" w:rsidP="00FE77C1">
            <w:pPr>
              <w:spacing w:after="0" w:line="240" w:lineRule="auto"/>
              <w:ind w:left="133" w:hanging="60"/>
              <w:textAlignment w:val="baseline"/>
              <w:rPr>
                <w:rFonts w:ascii="Times New Roman" w:eastAsia="Times New Roman" w:hAnsi="Times New Roman" w:cs="Times New Roman"/>
                <w:kern w:val="0"/>
                <w:lang w:eastAsia="en-GB"/>
                <w14:ligatures w14:val="none"/>
              </w:rPr>
            </w:pPr>
            <w:r w:rsidRPr="00FE77C1">
              <w:rPr>
                <w:rFonts w:ascii="Arial" w:eastAsia="Times New Roman" w:hAnsi="Arial" w:cs="Arial"/>
                <w:kern w:val="0"/>
                <w:lang w:eastAsia="en-GB"/>
                <w14:ligatures w14:val="none"/>
              </w:rPr>
              <w:t>Merseyside  </w:t>
            </w:r>
          </w:p>
          <w:p w14:paraId="172EFC22" w14:textId="77777777" w:rsidR="00FE77C1" w:rsidRPr="00FE77C1" w:rsidRDefault="00FE77C1" w:rsidP="00FE77C1">
            <w:pPr>
              <w:spacing w:after="0" w:line="240" w:lineRule="auto"/>
              <w:ind w:left="133" w:hanging="60"/>
              <w:textAlignment w:val="baseline"/>
              <w:rPr>
                <w:rFonts w:ascii="Times New Roman" w:eastAsia="Times New Roman" w:hAnsi="Times New Roman" w:cs="Times New Roman"/>
                <w:kern w:val="0"/>
                <w:lang w:eastAsia="en-GB"/>
                <w14:ligatures w14:val="none"/>
              </w:rPr>
            </w:pPr>
            <w:r w:rsidRPr="00FE77C1">
              <w:rPr>
                <w:rFonts w:ascii="Arial" w:eastAsia="Times New Roman" w:hAnsi="Arial" w:cs="Arial"/>
                <w:kern w:val="0"/>
                <w:lang w:eastAsia="en-GB"/>
                <w14:ligatures w14:val="none"/>
              </w:rPr>
              <w:t>L20 7HS  </w:t>
            </w:r>
          </w:p>
          <w:p w14:paraId="008B5D87" w14:textId="77777777" w:rsidR="00FE77C1" w:rsidRPr="00FE77C1" w:rsidRDefault="00FE77C1" w:rsidP="00FE77C1">
            <w:pPr>
              <w:spacing w:after="0" w:line="240" w:lineRule="auto"/>
              <w:ind w:left="133" w:hanging="60"/>
              <w:textAlignment w:val="baseline"/>
              <w:rPr>
                <w:rFonts w:ascii="Times New Roman" w:eastAsia="Times New Roman" w:hAnsi="Times New Roman" w:cs="Times New Roman"/>
                <w:kern w:val="0"/>
                <w:lang w:eastAsia="en-GB"/>
                <w14:ligatures w14:val="none"/>
              </w:rPr>
            </w:pPr>
            <w:r w:rsidRPr="00FE77C1">
              <w:rPr>
                <w:rFonts w:ascii="Arial" w:eastAsia="Times New Roman" w:hAnsi="Arial" w:cs="Arial"/>
                <w:kern w:val="0"/>
                <w:lang w:eastAsia="en-GB"/>
                <w14:ligatures w14:val="none"/>
              </w:rPr>
              <w:t> </w:t>
            </w:r>
          </w:p>
          <w:p w14:paraId="7D8FA7DB" w14:textId="77777777" w:rsidR="00FE77C1" w:rsidRPr="00FE77C1" w:rsidRDefault="00FE77C1" w:rsidP="00FE77C1">
            <w:pPr>
              <w:spacing w:after="0" w:line="240" w:lineRule="auto"/>
              <w:textAlignment w:val="baseline"/>
              <w:rPr>
                <w:rFonts w:ascii="Times New Roman" w:eastAsia="Times New Roman" w:hAnsi="Times New Roman" w:cs="Times New Roman"/>
                <w:kern w:val="0"/>
                <w:lang w:eastAsia="en-GB"/>
                <w14:ligatures w14:val="none"/>
              </w:rPr>
            </w:pPr>
            <w:r w:rsidRPr="00FE77C1">
              <w:rPr>
                <w:rFonts w:ascii="Arial" w:eastAsia="Times New Roman" w:hAnsi="Arial" w:cs="Arial"/>
                <w:kern w:val="0"/>
                <w:lang w:eastAsia="en-GB"/>
                <w14:ligatures w14:val="none"/>
              </w:rPr>
              <w:t> </w:t>
            </w:r>
            <w:hyperlink r:id="rId10" w:tgtFrame="_blank" w:history="1">
              <w:r w:rsidRPr="00FE77C1">
                <w:rPr>
                  <w:rFonts w:ascii="Arial" w:eastAsia="Times New Roman" w:hAnsi="Arial" w:cs="Arial"/>
                  <w:color w:val="006D68"/>
                  <w:kern w:val="0"/>
                  <w:u w:val="single"/>
                  <w:lang w:eastAsia="en-GB"/>
                  <w14:ligatures w14:val="none"/>
                </w:rPr>
                <w:t>Contact@onr.gov.uk</w:t>
              </w:r>
            </w:hyperlink>
            <w:r w:rsidRPr="00FE77C1">
              <w:rPr>
                <w:rFonts w:ascii="Arial" w:eastAsia="Times New Roman" w:hAnsi="Arial" w:cs="Arial"/>
                <w:color w:val="006D68"/>
                <w:kern w:val="0"/>
                <w:lang w:eastAsia="en-GB"/>
                <w14:ligatures w14:val="none"/>
              </w:rPr>
              <w:t>   </w:t>
            </w:r>
          </w:p>
          <w:p w14:paraId="0B277606" w14:textId="77777777" w:rsidR="00FE77C1" w:rsidRPr="00FE77C1" w:rsidRDefault="00FE77C1" w:rsidP="00FE77C1">
            <w:pPr>
              <w:spacing w:after="0" w:line="240" w:lineRule="auto"/>
              <w:ind w:left="133" w:hanging="60"/>
              <w:textAlignment w:val="baseline"/>
              <w:rPr>
                <w:rFonts w:ascii="Times New Roman" w:eastAsia="Times New Roman" w:hAnsi="Times New Roman" w:cs="Times New Roman"/>
                <w:kern w:val="0"/>
                <w:lang w:eastAsia="en-GB"/>
                <w14:ligatures w14:val="none"/>
              </w:rPr>
            </w:pPr>
            <w:r w:rsidRPr="00FE77C1">
              <w:rPr>
                <w:rFonts w:ascii="Arial" w:eastAsia="Times New Roman" w:hAnsi="Arial" w:cs="Arial"/>
                <w:kern w:val="0"/>
                <w:lang w:eastAsia="en-GB"/>
                <w14:ligatures w14:val="none"/>
              </w:rPr>
              <w:t> </w:t>
            </w:r>
          </w:p>
          <w:p w14:paraId="11B90611" w14:textId="77777777" w:rsidR="005C1C0D" w:rsidRDefault="005C1C0D" w:rsidP="00FC7805">
            <w:pPr>
              <w:spacing w:after="0" w:line="240" w:lineRule="auto"/>
              <w:ind w:left="133" w:hanging="60"/>
              <w:textAlignment w:val="baseline"/>
              <w:rPr>
                <w:rFonts w:ascii="Arial" w:eastAsia="Times New Roman" w:hAnsi="Arial" w:cs="Arial"/>
                <w:kern w:val="0"/>
                <w:lang w:eastAsia="en-GB"/>
                <w14:ligatures w14:val="none"/>
              </w:rPr>
            </w:pPr>
          </w:p>
          <w:p w14:paraId="606ACAC6" w14:textId="4A85FFF4" w:rsidR="00FE77C1" w:rsidRPr="00FC7805" w:rsidRDefault="00FE77C1" w:rsidP="00FC7805">
            <w:pPr>
              <w:spacing w:after="0" w:line="240" w:lineRule="auto"/>
              <w:ind w:left="133" w:hanging="60"/>
              <w:textAlignment w:val="baseline"/>
              <w:rPr>
                <w:rFonts w:ascii="Arial" w:eastAsia="Times New Roman" w:hAnsi="Arial" w:cs="Arial"/>
                <w:kern w:val="0"/>
                <w:lang w:eastAsia="en-GB"/>
                <w14:ligatures w14:val="none"/>
              </w:rPr>
            </w:pPr>
            <w:r w:rsidRPr="00FE77C1">
              <w:rPr>
                <w:rFonts w:ascii="Arial" w:eastAsia="Times New Roman" w:hAnsi="Arial" w:cs="Arial"/>
                <w:kern w:val="0"/>
                <w:lang w:eastAsia="en-GB"/>
                <w14:ligatures w14:val="none"/>
              </w:rPr>
              <w:t> </w:t>
            </w:r>
          </w:p>
        </w:tc>
      </w:tr>
      <w:tr w:rsidR="00FE77C1" w:rsidRPr="00FE77C1" w14:paraId="21C4AC57" w14:textId="77777777">
        <w:trPr>
          <w:trHeight w:val="765"/>
        </w:trPr>
        <w:tc>
          <w:tcPr>
            <w:tcW w:w="6285" w:type="dxa"/>
            <w:tcBorders>
              <w:top w:val="nil"/>
              <w:left w:val="nil"/>
              <w:bottom w:val="nil"/>
              <w:right w:val="nil"/>
            </w:tcBorders>
            <w:shd w:val="clear" w:color="auto" w:fill="FFFFFF"/>
            <w:hideMark/>
          </w:tcPr>
          <w:p w14:paraId="0B4C771F" w14:textId="77777777" w:rsidR="00FE77C1" w:rsidRPr="00FE77C1" w:rsidRDefault="00FE77C1" w:rsidP="00FE77C1">
            <w:pPr>
              <w:spacing w:after="0" w:line="240" w:lineRule="auto"/>
              <w:textAlignment w:val="baseline"/>
              <w:rPr>
                <w:rFonts w:ascii="Times New Roman" w:eastAsia="Times New Roman" w:hAnsi="Times New Roman" w:cs="Times New Roman"/>
                <w:kern w:val="0"/>
                <w:lang w:eastAsia="en-GB"/>
                <w14:ligatures w14:val="none"/>
              </w:rPr>
            </w:pPr>
            <w:r w:rsidRPr="00FE77C1">
              <w:rPr>
                <w:rFonts w:ascii="Arial" w:eastAsia="Times New Roman" w:hAnsi="Arial" w:cs="Arial"/>
                <w:kern w:val="0"/>
                <w:lang w:eastAsia="en-GB"/>
                <w14:ligatures w14:val="none"/>
              </w:rPr>
              <w:t> </w:t>
            </w:r>
          </w:p>
          <w:p w14:paraId="0F828A26" w14:textId="77777777" w:rsidR="00FE77C1" w:rsidRPr="00FE77C1" w:rsidRDefault="00FE77C1" w:rsidP="00FE77C1">
            <w:pPr>
              <w:spacing w:after="0" w:line="240" w:lineRule="auto"/>
              <w:textAlignment w:val="baseline"/>
              <w:rPr>
                <w:rFonts w:ascii="Times New Roman" w:eastAsia="Times New Roman" w:hAnsi="Times New Roman" w:cs="Times New Roman"/>
                <w:kern w:val="0"/>
                <w:lang w:eastAsia="en-GB"/>
                <w14:ligatures w14:val="none"/>
              </w:rPr>
            </w:pPr>
            <w:r w:rsidRPr="00FE77C1">
              <w:rPr>
                <w:rFonts w:ascii="Arial" w:eastAsia="Times New Roman" w:hAnsi="Arial" w:cs="Arial"/>
                <w:kern w:val="0"/>
                <w:lang w:eastAsia="en-GB"/>
                <w14:ligatures w14:val="none"/>
              </w:rPr>
              <w:t> </w:t>
            </w:r>
          </w:p>
          <w:p w14:paraId="1DFA9BE3" w14:textId="5A958251" w:rsidR="00FE77C1" w:rsidRPr="00FB1115" w:rsidRDefault="00FB1115" w:rsidP="00FB1115">
            <w:pPr>
              <w:spacing w:after="0" w:line="240" w:lineRule="auto"/>
              <w:textAlignment w:val="baseline"/>
              <w:rPr>
                <w:rFonts w:asciiTheme="minorBidi" w:eastAsia="Times New Roman" w:hAnsiTheme="minorBidi"/>
                <w:kern w:val="0"/>
                <w:lang w:eastAsia="en-GB"/>
                <w14:ligatures w14:val="none"/>
              </w:rPr>
            </w:pPr>
            <w:hyperlink r:id="rId11" w:history="1">
              <w:r w:rsidRPr="00FB1115">
                <w:rPr>
                  <w:rStyle w:val="Hyperlink"/>
                  <w:rFonts w:asciiTheme="minorBidi" w:eastAsia="Times New Roman" w:hAnsiTheme="minorBidi"/>
                  <w:kern w:val="0"/>
                  <w:lang w:eastAsia="en-GB"/>
                  <w14:ligatures w14:val="none"/>
                </w:rPr>
                <w:t>NIRAB@niro.org.uk</w:t>
              </w:r>
            </w:hyperlink>
          </w:p>
        </w:tc>
        <w:tc>
          <w:tcPr>
            <w:tcW w:w="0" w:type="auto"/>
            <w:vMerge/>
            <w:tcBorders>
              <w:top w:val="nil"/>
              <w:left w:val="nil"/>
              <w:bottom w:val="nil"/>
              <w:right w:val="nil"/>
            </w:tcBorders>
            <w:vAlign w:val="center"/>
            <w:hideMark/>
          </w:tcPr>
          <w:p w14:paraId="323B2344" w14:textId="77777777" w:rsidR="00FE77C1" w:rsidRPr="00FE77C1" w:rsidRDefault="00FE77C1" w:rsidP="00FE77C1">
            <w:pPr>
              <w:spacing w:after="0" w:line="240" w:lineRule="auto"/>
              <w:rPr>
                <w:rFonts w:ascii="Times New Roman" w:eastAsia="Times New Roman" w:hAnsi="Times New Roman" w:cs="Times New Roman"/>
                <w:kern w:val="0"/>
                <w:lang w:eastAsia="en-GB"/>
                <w14:ligatures w14:val="none"/>
              </w:rPr>
            </w:pPr>
          </w:p>
        </w:tc>
      </w:tr>
    </w:tbl>
    <w:p w14:paraId="521212F4" w14:textId="6FA7E9E8" w:rsidR="00FE77C1" w:rsidRPr="00FE77C1" w:rsidRDefault="00FE77C1" w:rsidP="00FE77C1">
      <w:pPr>
        <w:spacing w:after="0" w:line="240" w:lineRule="auto"/>
        <w:textAlignment w:val="baseline"/>
        <w:rPr>
          <w:rFonts w:ascii="Segoe UI" w:eastAsia="Times New Roman" w:hAnsi="Segoe UI" w:cs="Segoe UI"/>
          <w:kern w:val="0"/>
          <w:sz w:val="18"/>
          <w:szCs w:val="18"/>
          <w:lang w:eastAsia="en-GB"/>
          <w14:ligatures w14:val="none"/>
        </w:rPr>
      </w:pPr>
    </w:p>
    <w:p w14:paraId="0F862859" w14:textId="453CD868" w:rsidR="00FE77C1" w:rsidRPr="00B22D6D" w:rsidRDefault="00FE77C1" w:rsidP="00B22D6D">
      <w:pPr>
        <w:pStyle w:val="Heading1"/>
      </w:pPr>
      <w:r w:rsidRPr="00B22D6D">
        <w:t xml:space="preserve">ONR’s Response – NIRAB </w:t>
      </w:r>
      <w:r w:rsidR="0077211A" w:rsidRPr="00B22D6D">
        <w:t>Call for Evidence – Recommendation 6 of the Nuclear Regulatory Review</w:t>
      </w:r>
      <w:r w:rsidRPr="00B22D6D">
        <w:t> </w:t>
      </w:r>
    </w:p>
    <w:p w14:paraId="7D5899A9" w14:textId="77777777" w:rsidR="00FE77C1" w:rsidRDefault="00FE77C1" w:rsidP="00FE77C1">
      <w:pPr>
        <w:spacing w:after="0" w:line="240" w:lineRule="auto"/>
        <w:textAlignment w:val="baseline"/>
        <w:rPr>
          <w:rFonts w:ascii="Arial" w:eastAsia="Times New Roman" w:hAnsi="Arial" w:cs="Arial"/>
          <w:kern w:val="0"/>
          <w:lang w:eastAsia="en-GB"/>
          <w14:ligatures w14:val="none"/>
        </w:rPr>
      </w:pPr>
    </w:p>
    <w:p w14:paraId="687A01CE" w14:textId="3F6A653C" w:rsidR="00FE77C1" w:rsidRPr="00FE77C1" w:rsidDel="00181CAF" w:rsidRDefault="00570999" w:rsidP="00181CAF">
      <w:pPr>
        <w:spacing w:after="0" w:line="240" w:lineRule="auto"/>
        <w:textAlignment w:val="baseline"/>
      </w:pPr>
      <w:r>
        <w:rPr>
          <w:rFonts w:ascii="Arial" w:eastAsia="Times New Roman" w:hAnsi="Arial" w:cs="Arial"/>
          <w:kern w:val="0"/>
          <w:lang w:eastAsia="en-GB"/>
          <w14:ligatures w14:val="none"/>
        </w:rPr>
        <w:t>Dear Chair</w:t>
      </w:r>
      <w:r w:rsidR="0077211A" w:rsidRPr="0CD93CAC">
        <w:rPr>
          <w:rFonts w:ascii="Arial" w:eastAsia="Times New Roman" w:hAnsi="Arial" w:cs="Arial"/>
          <w:lang w:eastAsia="en-GB"/>
        </w:rPr>
        <w:t>, </w:t>
      </w:r>
    </w:p>
    <w:p w14:paraId="2037F51A" w14:textId="03EC9D8E" w:rsidR="00181CAF" w:rsidRPr="00FE77C1" w:rsidRDefault="00181CAF" w:rsidP="00181CAF">
      <w:pPr>
        <w:spacing w:after="0" w:line="240" w:lineRule="auto"/>
        <w:textAlignment w:val="baseline"/>
        <w:rPr>
          <w:rFonts w:ascii="Arial" w:eastAsia="Times New Roman" w:hAnsi="Arial" w:cs="Arial"/>
          <w:lang w:eastAsia="en-GB"/>
        </w:rPr>
      </w:pPr>
    </w:p>
    <w:p w14:paraId="4466485D" w14:textId="2EDB3F23" w:rsidR="00181CAF" w:rsidRPr="00181CAF" w:rsidRDefault="00181CAF" w:rsidP="00181CAF">
      <w:pPr>
        <w:spacing w:after="0" w:line="240" w:lineRule="auto"/>
        <w:textAlignment w:val="baseline"/>
        <w:rPr>
          <w:rFonts w:ascii="Arial" w:eastAsia="Times New Roman" w:hAnsi="Arial" w:cs="Arial"/>
          <w:kern w:val="0"/>
          <w:lang w:eastAsia="en-GB"/>
          <w14:ligatures w14:val="none"/>
        </w:rPr>
      </w:pPr>
      <w:r w:rsidRPr="3E771BA5">
        <w:rPr>
          <w:rFonts w:ascii="Arial" w:eastAsia="Times New Roman" w:hAnsi="Arial" w:cs="Arial"/>
          <w:lang w:eastAsia="en-GB"/>
        </w:rPr>
        <w:t>Thank you for the opportunity to provide evidence to the Nuclear Innovation and Research Advisory Board (NIRAB) in support of its consideration of Recommendation 6 of the Nuclear Regulatory Review 2025. This letter and attached submission set out the Office for Nuclear Regulation's (ONR) response to the call for evidence.</w:t>
      </w:r>
    </w:p>
    <w:p w14:paraId="22F2EDA8" w14:textId="77777777" w:rsidR="00181CAF" w:rsidRPr="00181CAF" w:rsidRDefault="00181CAF" w:rsidP="00181CAF">
      <w:pPr>
        <w:spacing w:after="0" w:line="240" w:lineRule="auto"/>
        <w:textAlignment w:val="baseline"/>
        <w:rPr>
          <w:rFonts w:ascii="Arial" w:eastAsia="Times New Roman" w:hAnsi="Arial" w:cs="Arial"/>
          <w:kern w:val="0"/>
          <w:lang w:eastAsia="en-GB"/>
          <w14:ligatures w14:val="none"/>
        </w:rPr>
      </w:pPr>
    </w:p>
    <w:p w14:paraId="5C93FFA6" w14:textId="29F40A0F" w:rsidR="00181CAF" w:rsidRPr="00181CAF" w:rsidRDefault="00181CAF" w:rsidP="00181CAF">
      <w:pPr>
        <w:spacing w:after="0" w:line="240" w:lineRule="auto"/>
        <w:textAlignment w:val="baseline"/>
        <w:rPr>
          <w:rFonts w:ascii="Arial" w:eastAsia="Times New Roman" w:hAnsi="Arial" w:cs="Arial"/>
          <w:kern w:val="0"/>
          <w:lang w:eastAsia="en-GB"/>
          <w14:ligatures w14:val="none"/>
        </w:rPr>
      </w:pPr>
      <w:r w:rsidRPr="00181CAF">
        <w:rPr>
          <w:rFonts w:ascii="Arial" w:eastAsia="Times New Roman" w:hAnsi="Arial" w:cs="Arial"/>
          <w:kern w:val="0"/>
          <w:lang w:eastAsia="en-GB"/>
          <w14:ligatures w14:val="none"/>
        </w:rPr>
        <w:t xml:space="preserve">ONR is the independent regulator for </w:t>
      </w:r>
      <w:r w:rsidRPr="0CD93CAC">
        <w:rPr>
          <w:rFonts w:ascii="Arial" w:eastAsia="Times New Roman" w:hAnsi="Arial" w:cs="Arial"/>
          <w:lang w:eastAsia="en-GB"/>
        </w:rPr>
        <w:t>nuclear safety, security,</w:t>
      </w:r>
      <w:r w:rsidR="7A11C0F7" w:rsidRPr="0CD93CAC">
        <w:rPr>
          <w:rFonts w:ascii="Arial" w:eastAsia="Times New Roman" w:hAnsi="Arial" w:cs="Arial"/>
          <w:lang w:eastAsia="en-GB"/>
        </w:rPr>
        <w:t xml:space="preserve"> </w:t>
      </w:r>
      <w:r w:rsidRPr="0CD93CAC">
        <w:rPr>
          <w:rFonts w:ascii="Arial" w:eastAsia="Times New Roman" w:hAnsi="Arial" w:cs="Arial"/>
          <w:lang w:eastAsia="en-GB"/>
        </w:rPr>
        <w:t>safeguards and conventional health and safety at nuclear sites in Great Britain. We welcome the opportunity to contribute our experience of applying tolerability of risk principles within the nuclear sector and to support NIRAB's advice to Government.</w:t>
      </w:r>
    </w:p>
    <w:p w14:paraId="34C3774B" w14:textId="77777777" w:rsidR="00181CAF" w:rsidRPr="00181CAF" w:rsidRDefault="00181CAF" w:rsidP="00181CAF">
      <w:pPr>
        <w:spacing w:after="0" w:line="240" w:lineRule="auto"/>
        <w:textAlignment w:val="baseline"/>
        <w:rPr>
          <w:rFonts w:ascii="Arial" w:eastAsia="Times New Roman" w:hAnsi="Arial" w:cs="Arial"/>
          <w:kern w:val="0"/>
          <w:lang w:eastAsia="en-GB"/>
          <w14:ligatures w14:val="none"/>
        </w:rPr>
      </w:pPr>
    </w:p>
    <w:p w14:paraId="49C458FA" w14:textId="77777777" w:rsidR="00181CAF" w:rsidRPr="00181CAF" w:rsidRDefault="00181CAF" w:rsidP="00181CAF">
      <w:pPr>
        <w:spacing w:after="0" w:line="240" w:lineRule="auto"/>
        <w:textAlignment w:val="baseline"/>
        <w:rPr>
          <w:rFonts w:ascii="Arial" w:eastAsia="Times New Roman" w:hAnsi="Arial" w:cs="Arial"/>
          <w:kern w:val="0"/>
          <w:lang w:eastAsia="en-GB"/>
          <w14:ligatures w14:val="none"/>
        </w:rPr>
      </w:pPr>
      <w:r w:rsidRPr="00181CAF">
        <w:rPr>
          <w:rFonts w:ascii="Arial" w:eastAsia="Times New Roman" w:hAnsi="Arial" w:cs="Arial"/>
          <w:kern w:val="0"/>
          <w:lang w:eastAsia="en-GB"/>
          <w14:ligatures w14:val="none"/>
        </w:rPr>
        <w:t>We recognise the importance of understanding how tolerability of risk is defined and applied across the sector, and how it interacts with regulatory decision-making, proportionality, innovation, delivery and public confidence. We have therefore responded to those areas of the call for evidence where ONR can provide relevant regulatory insight and practical experience.</w:t>
      </w:r>
    </w:p>
    <w:p w14:paraId="541C6980" w14:textId="77777777" w:rsidR="004C03F3" w:rsidRPr="00FE77C1" w:rsidRDefault="004C03F3" w:rsidP="00FE77C1">
      <w:pPr>
        <w:spacing w:after="0" w:line="240" w:lineRule="auto"/>
        <w:textAlignment w:val="baseline"/>
        <w:rPr>
          <w:rFonts w:ascii="Segoe UI" w:eastAsia="Times New Roman" w:hAnsi="Segoe UI" w:cs="Segoe UI"/>
          <w:color w:val="000000"/>
          <w:kern w:val="0"/>
          <w:sz w:val="18"/>
          <w:szCs w:val="18"/>
          <w:lang w:eastAsia="en-GB"/>
          <w14:ligatures w14:val="none"/>
        </w:rPr>
      </w:pPr>
    </w:p>
    <w:p w14:paraId="68DFC7EA" w14:textId="0D37D036" w:rsidR="00FE77C1" w:rsidRPr="00FE77C1" w:rsidRDefault="461AB905" w:rsidP="00FE77C1">
      <w:pPr>
        <w:spacing w:after="0" w:line="240" w:lineRule="auto"/>
        <w:textAlignment w:val="baseline"/>
      </w:pPr>
      <w:r w:rsidRPr="00FE77C1">
        <w:rPr>
          <w:rFonts w:ascii="Arial" w:eastAsia="Times New Roman" w:hAnsi="Arial" w:cs="Arial"/>
          <w:kern w:val="0"/>
          <w:lang w:eastAsia="en-GB"/>
          <w14:ligatures w14:val="none"/>
        </w:rPr>
        <w:t xml:space="preserve">Yours </w:t>
      </w:r>
      <w:r w:rsidRPr="00DF298A">
        <w:rPr>
          <w:rFonts w:ascii="Arial" w:eastAsia="Times New Roman" w:hAnsi="Arial" w:cs="Arial"/>
          <w:kern w:val="0"/>
          <w:lang w:eastAsia="en-GB"/>
          <w14:ligatures w14:val="none"/>
        </w:rPr>
        <w:t>sincerel</w:t>
      </w:r>
      <w:r w:rsidR="00DF298A">
        <w:rPr>
          <w:rFonts w:ascii="Arial" w:eastAsia="Times New Roman" w:hAnsi="Arial" w:cs="Arial"/>
          <w:kern w:val="0"/>
          <w:lang w:eastAsia="en-GB"/>
          <w14:ligatures w14:val="none"/>
        </w:rPr>
        <w:t>y,</w:t>
      </w:r>
    </w:p>
    <w:p w14:paraId="39C21E6A" w14:textId="6D60039A" w:rsidR="312D2786" w:rsidRDefault="312D2786" w:rsidP="312D2786">
      <w:pPr>
        <w:spacing w:after="0" w:line="240" w:lineRule="auto"/>
        <w:rPr>
          <w:rFonts w:ascii="Arial" w:eastAsia="Times New Roman" w:hAnsi="Arial" w:cs="Arial"/>
          <w:lang w:eastAsia="en-GB"/>
        </w:rPr>
      </w:pPr>
    </w:p>
    <w:p w14:paraId="7B3A52E4" w14:textId="3BFA8B6F" w:rsidR="00FE77C1" w:rsidRPr="00FE77C1" w:rsidRDefault="461AB905" w:rsidP="312D2786">
      <w:pPr>
        <w:spacing w:after="0" w:line="240" w:lineRule="auto"/>
        <w:textAlignment w:val="baseline"/>
        <w:rPr>
          <w:rFonts w:ascii="Arial" w:eastAsia="Times New Roman" w:hAnsi="Arial" w:cs="Arial"/>
          <w:kern w:val="0"/>
          <w:lang w:eastAsia="en-GB"/>
          <w14:ligatures w14:val="none"/>
        </w:rPr>
      </w:pPr>
      <w:r w:rsidRPr="312D2786">
        <w:rPr>
          <w:rFonts w:ascii="Arial" w:eastAsia="Times New Roman" w:hAnsi="Arial" w:cs="Arial"/>
          <w:lang w:eastAsia="en-GB"/>
        </w:rPr>
        <w:t> </w:t>
      </w:r>
      <w:r w:rsidR="1EA2FC34">
        <w:rPr>
          <w:noProof/>
        </w:rPr>
        <w:drawing>
          <wp:inline distT="0" distB="0" distL="0" distR="0" wp14:anchorId="4F76FB62" wp14:editId="5F6D1849">
            <wp:extent cx="1511808" cy="749808"/>
            <wp:effectExtent l="0" t="0" r="0" b="0"/>
            <wp:docPr id="800781238" name="drawin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781238" name="drawing">
                      <a:extLst>
                        <a:ext uri="{C183D7F6-B498-43B3-948B-1728B52AA6E4}">
                          <adec:decorative xmlns:adec="http://schemas.microsoft.com/office/drawing/2017/decorative" val="1"/>
                        </a:ext>
                      </a:extLst>
                    </pic:cNvPr>
                    <pic:cNvPicPr/>
                  </pic:nvPicPr>
                  <pic:blipFill>
                    <a:blip r:embed="rId12">
                      <a:extLst>
                        <a:ext uri="{28A0092B-C50C-407E-A947-70E740481C1C}">
                          <a14:useLocalDpi xmlns:a14="http://schemas.microsoft.com/office/drawing/2010/main"/>
                        </a:ext>
                      </a:extLst>
                    </a:blip>
                    <a:stretch>
                      <a:fillRect/>
                    </a:stretch>
                  </pic:blipFill>
                  <pic:spPr>
                    <a:xfrm>
                      <a:off x="0" y="0"/>
                      <a:ext cx="1511808" cy="749808"/>
                    </a:xfrm>
                    <a:prstGeom prst="rect">
                      <a:avLst/>
                    </a:prstGeom>
                  </pic:spPr>
                </pic:pic>
              </a:graphicData>
            </a:graphic>
          </wp:inline>
        </w:drawing>
      </w:r>
    </w:p>
    <w:p w14:paraId="5DE6ACB5" w14:textId="08E0B47E" w:rsidR="00FE77C1" w:rsidRPr="00FE77C1" w:rsidRDefault="00FE77C1" w:rsidP="004D2AA2">
      <w:pPr>
        <w:spacing w:after="0" w:line="240" w:lineRule="auto"/>
        <w:textAlignment w:val="baseline"/>
        <w:rPr>
          <w:rFonts w:ascii="Segoe UI" w:eastAsia="Times New Roman" w:hAnsi="Segoe UI" w:cs="Segoe UI"/>
          <w:color w:val="000000"/>
          <w:kern w:val="0"/>
          <w:sz w:val="18"/>
          <w:szCs w:val="18"/>
          <w:lang w:eastAsia="en-GB"/>
          <w14:ligatures w14:val="none"/>
        </w:rPr>
      </w:pPr>
    </w:p>
    <w:p w14:paraId="222CCFF9" w14:textId="5A45DFE7" w:rsidR="00FE77C1" w:rsidRDefault="0098162D" w:rsidP="312D2786">
      <w:pPr>
        <w:rPr>
          <w:rFonts w:asciiTheme="minorBidi" w:hAnsiTheme="minorBidi"/>
        </w:rPr>
      </w:pPr>
      <w:r w:rsidRPr="312D2786">
        <w:rPr>
          <w:rFonts w:asciiTheme="minorBidi" w:hAnsiTheme="minorBidi"/>
        </w:rPr>
        <w:t>Colin Tait</w:t>
      </w:r>
    </w:p>
    <w:p w14:paraId="657B246C" w14:textId="37244AFC" w:rsidR="00D50B4F" w:rsidRPr="00AA0A37" w:rsidRDefault="01DD671B" w:rsidP="004C2F97">
      <w:r w:rsidRPr="312D2786">
        <w:rPr>
          <w:rFonts w:asciiTheme="minorBidi" w:hAnsiTheme="minorBidi"/>
        </w:rPr>
        <w:t>Deputy Director – Capability and Standards</w:t>
      </w:r>
      <w:r w:rsidR="00D50B4F">
        <w:br w:type="page"/>
      </w:r>
    </w:p>
    <w:p w14:paraId="1198FC10" w14:textId="060C3C5F" w:rsidR="00D50B4F" w:rsidRPr="00AA0A37" w:rsidRDefault="00D50B4F" w:rsidP="00D50B4F">
      <w:pPr>
        <w:rPr>
          <w:rFonts w:asciiTheme="minorBidi" w:hAnsiTheme="minorBidi"/>
          <w:u w:val="single"/>
        </w:rPr>
      </w:pPr>
      <w:r w:rsidRPr="00AA0A37">
        <w:rPr>
          <w:rFonts w:asciiTheme="minorBidi" w:hAnsiTheme="minorBidi"/>
          <w:u w:val="single"/>
        </w:rPr>
        <w:lastRenderedPageBreak/>
        <w:t>Introduction</w:t>
      </w:r>
    </w:p>
    <w:p w14:paraId="6EC244F1" w14:textId="669D86B0" w:rsidR="001A2130" w:rsidRPr="001A2130" w:rsidRDefault="001A2130" w:rsidP="001A2130">
      <w:pPr>
        <w:jc w:val="both"/>
        <w:rPr>
          <w:rFonts w:asciiTheme="minorBidi" w:hAnsiTheme="minorBidi"/>
        </w:rPr>
      </w:pPr>
      <w:r w:rsidRPr="001A2130">
        <w:rPr>
          <w:rFonts w:asciiTheme="minorBidi" w:hAnsiTheme="minorBidi"/>
        </w:rPr>
        <w:t>ONR welcomes the opportunity to provide evidence to the Nuclear Innovation Research Advisory Board on Recommendation 6 of the Nuclear Regulatory Review 2025.</w:t>
      </w:r>
      <w:r w:rsidR="00A6028E">
        <w:rPr>
          <w:rFonts w:asciiTheme="minorBidi" w:hAnsiTheme="minorBidi"/>
        </w:rPr>
        <w:t xml:space="preserve"> </w:t>
      </w:r>
      <w:r w:rsidR="00F719D7">
        <w:rPr>
          <w:rFonts w:asciiTheme="minorBidi" w:hAnsiTheme="minorBidi"/>
        </w:rPr>
        <w:t>We</w:t>
      </w:r>
      <w:r w:rsidRPr="001A2130">
        <w:rPr>
          <w:rFonts w:asciiTheme="minorBidi" w:hAnsiTheme="minorBidi"/>
        </w:rPr>
        <w:t xml:space="preserve"> support the objective of ensuring that the UK’s approach to tolerability of risk is clear, coherent, proportionate and capable of supporting safe delivery across the nuclear sector. This includes ensuring that regulatory decision-making remains focused on real risks and is applied consistently and transparently.</w:t>
      </w:r>
    </w:p>
    <w:p w14:paraId="6B277647" w14:textId="394A05F0" w:rsidR="006C769E" w:rsidRPr="006C769E" w:rsidRDefault="008918D3" w:rsidP="00430EC5">
      <w:pPr>
        <w:jc w:val="both"/>
        <w:rPr>
          <w:rFonts w:asciiTheme="minorBidi" w:hAnsiTheme="minorBidi"/>
        </w:rPr>
      </w:pPr>
      <w:r w:rsidRPr="008918D3">
        <w:rPr>
          <w:rFonts w:asciiTheme="minorBidi" w:hAnsiTheme="minorBidi"/>
        </w:rPr>
        <w:t xml:space="preserve">The UK’s approach to tolerability of risk is founded on the Health and Safety Executive’s </w:t>
      </w:r>
      <w:r w:rsidRPr="008918D3">
        <w:rPr>
          <w:rFonts w:asciiTheme="minorBidi" w:hAnsiTheme="minorBidi"/>
          <w:i/>
          <w:iCs/>
        </w:rPr>
        <w:t>Reducing Risks, Protecting People</w:t>
      </w:r>
      <w:r w:rsidRPr="008918D3">
        <w:rPr>
          <w:rFonts w:asciiTheme="minorBidi" w:hAnsiTheme="minorBidi"/>
        </w:rPr>
        <w:t xml:space="preserve"> (R2P2) framework and the legal requirement for dutyholders to reduce risks so far as is reasonably practicable (ALARP). </w:t>
      </w:r>
      <w:r w:rsidR="00043D2A" w:rsidRPr="00043D2A">
        <w:rPr>
          <w:rFonts w:asciiTheme="minorBidi" w:hAnsiTheme="minorBidi"/>
        </w:rPr>
        <w:t>ONR’s evidence explains how these principles are applied in the nuclear context and identifies considerations that may be relevant to discussions about policy, guidance and regulatory practice.</w:t>
      </w:r>
    </w:p>
    <w:p w14:paraId="728CF84C" w14:textId="0C695AA7" w:rsidR="00D50B4F" w:rsidRPr="00AA0A37" w:rsidRDefault="006C769E" w:rsidP="00D50B4F">
      <w:pPr>
        <w:rPr>
          <w:rFonts w:asciiTheme="minorBidi" w:hAnsiTheme="minorBidi"/>
          <w:u w:val="single"/>
        </w:rPr>
      </w:pPr>
      <w:r w:rsidRPr="00AA0A37">
        <w:rPr>
          <w:rFonts w:asciiTheme="minorBidi" w:hAnsiTheme="minorBidi"/>
          <w:u w:val="single"/>
        </w:rPr>
        <w:t>Tolerability of risk: history</w:t>
      </w:r>
      <w:r w:rsidR="0079381C" w:rsidRPr="00AA0A37">
        <w:rPr>
          <w:rFonts w:asciiTheme="minorBidi" w:hAnsiTheme="minorBidi"/>
          <w:u w:val="single"/>
        </w:rPr>
        <w:t xml:space="preserve"> and application</w:t>
      </w:r>
    </w:p>
    <w:p w14:paraId="7AEB0236" w14:textId="1A7879F3" w:rsidR="006C769E" w:rsidRPr="006C769E" w:rsidRDefault="006C769E" w:rsidP="006C769E">
      <w:pPr>
        <w:jc w:val="both"/>
        <w:rPr>
          <w:rFonts w:asciiTheme="minorBidi" w:hAnsiTheme="minorBidi"/>
        </w:rPr>
      </w:pPr>
      <w:r w:rsidRPr="006C769E">
        <w:rPr>
          <w:rFonts w:asciiTheme="minorBidi" w:hAnsiTheme="minorBidi"/>
        </w:rPr>
        <w:t>The concept of tolerability of risk developed following the 1987 Sizewell B inquiry. In his inquiry report, Sir Frank Layfield recommended that HSE should formulate and publish guidance on tolerable levels of individual and societal risk to workers and the public from nuclear power stations. This led to the development of the Tolerability of Risk</w:t>
      </w:r>
      <w:r w:rsidR="00DF48F7">
        <w:rPr>
          <w:rFonts w:asciiTheme="minorBidi" w:hAnsiTheme="minorBidi"/>
        </w:rPr>
        <w:t xml:space="preserve"> (</w:t>
      </w:r>
      <w:proofErr w:type="spellStart"/>
      <w:r w:rsidR="00DF48F7">
        <w:rPr>
          <w:rFonts w:asciiTheme="minorBidi" w:hAnsiTheme="minorBidi"/>
        </w:rPr>
        <w:t>ToR</w:t>
      </w:r>
      <w:proofErr w:type="spellEnd"/>
      <w:r w:rsidR="00DF48F7">
        <w:rPr>
          <w:rFonts w:asciiTheme="minorBidi" w:hAnsiTheme="minorBidi"/>
        </w:rPr>
        <w:t>)</w:t>
      </w:r>
      <w:r w:rsidRPr="006C769E">
        <w:rPr>
          <w:rFonts w:asciiTheme="minorBidi" w:hAnsiTheme="minorBidi"/>
        </w:rPr>
        <w:t xml:space="preserve"> framework, formalised in HSE’s 1992 publication, </w:t>
      </w:r>
      <w:r w:rsidRPr="006C769E">
        <w:rPr>
          <w:rFonts w:asciiTheme="minorBidi" w:hAnsiTheme="minorBidi"/>
          <w:i/>
          <w:iCs/>
        </w:rPr>
        <w:t>The Tolerability of Risk from Nuclear Power Stations</w:t>
      </w:r>
      <w:r w:rsidRPr="006C769E">
        <w:rPr>
          <w:rFonts w:asciiTheme="minorBidi" w:hAnsiTheme="minorBidi"/>
        </w:rPr>
        <w:t>.</w:t>
      </w:r>
    </w:p>
    <w:p w14:paraId="24C0C828" w14:textId="60D0DFE8" w:rsidR="006C769E" w:rsidRDefault="006C769E" w:rsidP="006C769E">
      <w:pPr>
        <w:jc w:val="both"/>
        <w:rPr>
          <w:rFonts w:asciiTheme="minorBidi" w:hAnsiTheme="minorBidi"/>
        </w:rPr>
      </w:pPr>
      <w:r w:rsidRPr="006C769E">
        <w:rPr>
          <w:rFonts w:asciiTheme="minorBidi" w:hAnsiTheme="minorBidi"/>
        </w:rPr>
        <w:t xml:space="preserve">In 2001, HSE published </w:t>
      </w:r>
      <w:r w:rsidRPr="006C769E">
        <w:rPr>
          <w:rFonts w:asciiTheme="minorBidi" w:hAnsiTheme="minorBidi"/>
          <w:i/>
          <w:iCs/>
        </w:rPr>
        <w:t>Reducing Risks, Protecting People</w:t>
      </w:r>
      <w:r w:rsidRPr="006C769E">
        <w:rPr>
          <w:rFonts w:asciiTheme="minorBidi" w:hAnsiTheme="minorBidi"/>
        </w:rPr>
        <w:t xml:space="preserve"> (R2P2), which developed these principles into a general framework applicable across </w:t>
      </w:r>
      <w:r w:rsidR="00F612C4">
        <w:rPr>
          <w:rFonts w:asciiTheme="minorBidi" w:hAnsiTheme="minorBidi"/>
        </w:rPr>
        <w:t xml:space="preserve">all </w:t>
      </w:r>
      <w:r w:rsidRPr="006C769E">
        <w:rPr>
          <w:rFonts w:asciiTheme="minorBidi" w:hAnsiTheme="minorBidi"/>
        </w:rPr>
        <w:t xml:space="preserve">industries. R2P2 now provides the overarching policy framework through which health and safety regulators, including ONR, HSE, </w:t>
      </w:r>
      <w:r w:rsidR="00D32C4D">
        <w:rPr>
          <w:rFonts w:asciiTheme="minorBidi" w:hAnsiTheme="minorBidi"/>
        </w:rPr>
        <w:t xml:space="preserve">HSE Northern Ireland, </w:t>
      </w:r>
      <w:r w:rsidRPr="006C769E">
        <w:rPr>
          <w:rFonts w:asciiTheme="minorBidi" w:hAnsiTheme="minorBidi"/>
        </w:rPr>
        <w:t xml:space="preserve">the Office of Rail and Road and </w:t>
      </w:r>
      <w:r w:rsidR="00416826">
        <w:rPr>
          <w:rFonts w:asciiTheme="minorBidi" w:hAnsiTheme="minorBidi"/>
        </w:rPr>
        <w:t>all UK</w:t>
      </w:r>
      <w:r w:rsidR="007B1327">
        <w:rPr>
          <w:rFonts w:asciiTheme="minorBidi" w:hAnsiTheme="minorBidi"/>
        </w:rPr>
        <w:t xml:space="preserve"> </w:t>
      </w:r>
      <w:r w:rsidRPr="006C769E">
        <w:rPr>
          <w:rFonts w:asciiTheme="minorBidi" w:hAnsiTheme="minorBidi"/>
        </w:rPr>
        <w:t>local authorities, interpret risk tolerability and support the application of health and safety law.</w:t>
      </w:r>
    </w:p>
    <w:p w14:paraId="7F9ACEB2" w14:textId="77777777" w:rsidR="00A3171A" w:rsidRPr="00A3171A" w:rsidRDefault="00A3171A" w:rsidP="0079381C">
      <w:pPr>
        <w:jc w:val="both"/>
        <w:rPr>
          <w:rFonts w:asciiTheme="minorBidi" w:hAnsiTheme="minorBidi"/>
        </w:rPr>
      </w:pPr>
      <w:r w:rsidRPr="00A3171A">
        <w:rPr>
          <w:rFonts w:asciiTheme="minorBidi" w:hAnsiTheme="minorBidi"/>
        </w:rPr>
        <w:t xml:space="preserve">Unless otherwise stated, references in this paper to the "tolerability of risk framework" refer to the general framework set out in R2P2, rather than the specific guidance contained in </w:t>
      </w:r>
      <w:r w:rsidRPr="000F6E92">
        <w:rPr>
          <w:rFonts w:asciiTheme="minorBidi" w:hAnsiTheme="minorBidi"/>
          <w:i/>
          <w:iCs/>
        </w:rPr>
        <w:t>The Tolerability of Risk from Nuclear Power Stations.</w:t>
      </w:r>
    </w:p>
    <w:p w14:paraId="788EAA72" w14:textId="10B15F1E" w:rsidR="0079381C" w:rsidRPr="0079381C" w:rsidRDefault="0079381C" w:rsidP="0079381C">
      <w:pPr>
        <w:jc w:val="both"/>
        <w:rPr>
          <w:rFonts w:asciiTheme="minorBidi" w:hAnsiTheme="minorBidi"/>
          <w:u w:val="single"/>
        </w:rPr>
      </w:pPr>
      <w:r w:rsidRPr="0079381C">
        <w:rPr>
          <w:rFonts w:asciiTheme="minorBidi" w:hAnsiTheme="minorBidi"/>
          <w:u w:val="single"/>
        </w:rPr>
        <w:t>The three regions of risk</w:t>
      </w:r>
    </w:p>
    <w:p w14:paraId="586657EE" w14:textId="0B3F2BA1" w:rsidR="00173555" w:rsidRPr="00173555" w:rsidRDefault="00173555" w:rsidP="00173555">
      <w:pPr>
        <w:jc w:val="both"/>
        <w:rPr>
          <w:rFonts w:asciiTheme="minorBidi" w:hAnsiTheme="minorBidi"/>
        </w:rPr>
      </w:pPr>
      <w:r w:rsidRPr="00173555">
        <w:rPr>
          <w:rFonts w:asciiTheme="minorBidi" w:hAnsiTheme="minorBidi"/>
        </w:rPr>
        <w:t xml:space="preserve">A central feature of the </w:t>
      </w:r>
      <w:proofErr w:type="spellStart"/>
      <w:r w:rsidRPr="00173555">
        <w:rPr>
          <w:rFonts w:asciiTheme="minorBidi" w:hAnsiTheme="minorBidi"/>
        </w:rPr>
        <w:t>ToR</w:t>
      </w:r>
      <w:proofErr w:type="spellEnd"/>
      <w:r w:rsidRPr="00173555">
        <w:rPr>
          <w:rFonts w:asciiTheme="minorBidi" w:hAnsiTheme="minorBidi"/>
        </w:rPr>
        <w:t xml:space="preserve"> framework is the division of risk into three broad regions: unacceptable, tolerable, and broadly acceptable. These regions provide a framework for considering the tolerability of risk and are illustrated in terms of indicative levels of individual risk of death to workers and the public. They do not replace or modify underlying legal duties. Rather, they help inform regulatory judgements about the degree of attention and effort that may be required to reduce risk. The three regions are illustrated in </w:t>
      </w:r>
      <w:r w:rsidRPr="00173555">
        <w:rPr>
          <w:rFonts w:asciiTheme="minorBidi" w:hAnsiTheme="minorBidi"/>
          <w:i/>
          <w:iCs/>
        </w:rPr>
        <w:t>The Tolerability of Risk from Nuclear Power Stations</w:t>
      </w:r>
      <w:r w:rsidRPr="00173555">
        <w:rPr>
          <w:rFonts w:asciiTheme="minorBidi" w:hAnsiTheme="minorBidi"/>
        </w:rPr>
        <w:t>, as reproduced below.</w:t>
      </w:r>
    </w:p>
    <w:p w14:paraId="44F38556" w14:textId="77777777" w:rsidR="0079381C" w:rsidRPr="00E662FB" w:rsidRDefault="0079381C" w:rsidP="0079381C">
      <w:pPr>
        <w:jc w:val="both"/>
      </w:pPr>
      <w:r>
        <w:rPr>
          <w:noProof/>
        </w:rPr>
        <w:lastRenderedPageBreak/>
        <w:drawing>
          <wp:inline distT="0" distB="0" distL="0" distR="0" wp14:anchorId="67CCED54" wp14:editId="30D5F01F">
            <wp:extent cx="5421419" cy="6955783"/>
            <wp:effectExtent l="0" t="0" r="8255" b="0"/>
            <wp:docPr id="1355163736" name="Picture 1" descr="Levels of risk and ALARP diagram">
              <a:extLst xmlns:a="http://schemas.openxmlformats.org/drawingml/2006/main">
                <a:ext uri="{FF2B5EF4-FFF2-40B4-BE49-F238E27FC236}">
                  <a16:creationId xmlns:a16="http://schemas.microsoft.com/office/drawing/2014/main" id="{37694684-A0D5-42EA-9777-BB0B5A0F333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163736" name="Picture 1" descr="Levels of risk and ALARP diagram"/>
                    <pic:cNvPicPr/>
                  </pic:nvPicPr>
                  <pic:blipFill>
                    <a:blip r:embed="rId13"/>
                    <a:stretch>
                      <a:fillRect/>
                    </a:stretch>
                  </pic:blipFill>
                  <pic:spPr>
                    <a:xfrm>
                      <a:off x="0" y="0"/>
                      <a:ext cx="5429915" cy="6966684"/>
                    </a:xfrm>
                    <a:prstGeom prst="rect">
                      <a:avLst/>
                    </a:prstGeom>
                  </pic:spPr>
                </pic:pic>
              </a:graphicData>
            </a:graphic>
          </wp:inline>
        </w:drawing>
      </w:r>
      <w:r>
        <w:t xml:space="preserve"> </w:t>
      </w:r>
    </w:p>
    <w:p w14:paraId="7B033D26" w14:textId="614ED7BF" w:rsidR="0079381C" w:rsidRPr="0079381C" w:rsidRDefault="0079381C" w:rsidP="0079381C">
      <w:pPr>
        <w:jc w:val="both"/>
        <w:rPr>
          <w:rFonts w:asciiTheme="minorBidi" w:hAnsiTheme="minorBidi"/>
        </w:rPr>
      </w:pPr>
      <w:r w:rsidRPr="00356ECC">
        <w:rPr>
          <w:rFonts w:asciiTheme="minorBidi" w:hAnsiTheme="minorBidi"/>
        </w:rPr>
        <w:t xml:space="preserve">The </w:t>
      </w:r>
      <w:r w:rsidRPr="0079381C">
        <w:rPr>
          <w:rFonts w:asciiTheme="minorBidi" w:hAnsiTheme="minorBidi"/>
          <w:b/>
          <w:bCs/>
        </w:rPr>
        <w:t>unacceptable region</w:t>
      </w:r>
      <w:r w:rsidRPr="0079381C">
        <w:rPr>
          <w:rFonts w:asciiTheme="minorBidi" w:hAnsiTheme="minorBidi"/>
        </w:rPr>
        <w:t xml:space="preserve"> covers risks that are generally too high to be justified in normal circumstances</w:t>
      </w:r>
      <w:r w:rsidR="003D54E3">
        <w:rPr>
          <w:rFonts w:asciiTheme="minorBidi" w:hAnsiTheme="minorBidi"/>
        </w:rPr>
        <w:t xml:space="preserve"> and</w:t>
      </w:r>
      <w:r w:rsidRPr="0079381C">
        <w:rPr>
          <w:rFonts w:asciiTheme="minorBidi" w:hAnsiTheme="minorBidi"/>
        </w:rPr>
        <w:t xml:space="preserve"> where demonstrating ALARP </w:t>
      </w:r>
      <w:r w:rsidR="00EF780B">
        <w:rPr>
          <w:rFonts w:asciiTheme="minorBidi" w:hAnsiTheme="minorBidi"/>
        </w:rPr>
        <w:t>is usually</w:t>
      </w:r>
      <w:r w:rsidRPr="0079381C">
        <w:rPr>
          <w:rFonts w:asciiTheme="minorBidi" w:hAnsiTheme="minorBidi"/>
        </w:rPr>
        <w:t xml:space="preserve"> challenging. Risks in this region will attract significant regulatory attention to ensure that the legal duty is met and that all reasonably practicable measures are being taken to reduce the risk. </w:t>
      </w:r>
    </w:p>
    <w:p w14:paraId="2F5455F2" w14:textId="7E86034B" w:rsidR="00356ECC" w:rsidRDefault="0079381C" w:rsidP="0079381C">
      <w:pPr>
        <w:jc w:val="both"/>
        <w:rPr>
          <w:rFonts w:asciiTheme="minorBidi" w:hAnsiTheme="minorBidi"/>
        </w:rPr>
      </w:pPr>
      <w:r w:rsidRPr="00356ECC">
        <w:rPr>
          <w:rFonts w:asciiTheme="minorBidi" w:hAnsiTheme="minorBidi"/>
        </w:rPr>
        <w:t xml:space="preserve">The </w:t>
      </w:r>
      <w:r w:rsidRPr="0079381C">
        <w:rPr>
          <w:rFonts w:asciiTheme="minorBidi" w:hAnsiTheme="minorBidi"/>
          <w:b/>
          <w:bCs/>
        </w:rPr>
        <w:t>tolerable region</w:t>
      </w:r>
      <w:r w:rsidRPr="0079381C">
        <w:rPr>
          <w:rFonts w:asciiTheme="minorBidi" w:hAnsiTheme="minorBidi"/>
        </w:rPr>
        <w:t xml:space="preserve"> covers risks that may be tolerated </w:t>
      </w:r>
      <w:r w:rsidR="00387284">
        <w:rPr>
          <w:rFonts w:asciiTheme="minorBidi" w:hAnsiTheme="minorBidi"/>
        </w:rPr>
        <w:t>once</w:t>
      </w:r>
      <w:r w:rsidRPr="0079381C">
        <w:rPr>
          <w:rFonts w:asciiTheme="minorBidi" w:hAnsiTheme="minorBidi"/>
        </w:rPr>
        <w:t xml:space="preserve"> they have been reduced so far as is reasonably practicable. Dutyholders are expected to implement further risk-reduction measures unless the sacrifice involved would be grossly </w:t>
      </w:r>
      <w:r w:rsidRPr="0079381C">
        <w:rPr>
          <w:rFonts w:asciiTheme="minorBidi" w:hAnsiTheme="minorBidi"/>
        </w:rPr>
        <w:lastRenderedPageBreak/>
        <w:t xml:space="preserve">disproportionate to the safety benefit achieved. This is the principal operating region of ALARP and where </w:t>
      </w:r>
      <w:r w:rsidR="00E0063D">
        <w:rPr>
          <w:rFonts w:asciiTheme="minorBidi" w:hAnsiTheme="minorBidi"/>
        </w:rPr>
        <w:t>most</w:t>
      </w:r>
      <w:r w:rsidRPr="0079381C">
        <w:rPr>
          <w:rFonts w:asciiTheme="minorBidi" w:hAnsiTheme="minorBidi"/>
        </w:rPr>
        <w:t xml:space="preserve"> of ONR’s regulatory activity takes place.</w:t>
      </w:r>
    </w:p>
    <w:p w14:paraId="34F160CD" w14:textId="7D39D95A" w:rsidR="0079381C" w:rsidRDefault="0079381C" w:rsidP="0079381C">
      <w:pPr>
        <w:jc w:val="both"/>
        <w:rPr>
          <w:rFonts w:asciiTheme="minorBidi" w:hAnsiTheme="minorBidi"/>
        </w:rPr>
      </w:pPr>
      <w:r w:rsidRPr="00356ECC">
        <w:rPr>
          <w:rFonts w:asciiTheme="minorBidi" w:hAnsiTheme="minorBidi"/>
        </w:rPr>
        <w:t xml:space="preserve">The </w:t>
      </w:r>
      <w:r w:rsidRPr="0079381C">
        <w:rPr>
          <w:rFonts w:asciiTheme="minorBidi" w:hAnsiTheme="minorBidi"/>
          <w:b/>
          <w:bCs/>
        </w:rPr>
        <w:t>broadly acceptable region</w:t>
      </w:r>
      <w:r w:rsidRPr="0079381C">
        <w:rPr>
          <w:rFonts w:asciiTheme="minorBidi" w:hAnsiTheme="minorBidi"/>
        </w:rPr>
        <w:t xml:space="preserve"> covers risks that are sufficiently low that detailed regulatory scrutiny of further potential improvements will not normally be warranted, provided ONR is satisfied that the risk falls within this region. The legal duty to reduce risks so far as is reasonably practicable continues to apply, but examining marginal improvements at </w:t>
      </w:r>
      <w:r w:rsidR="00D44E79">
        <w:rPr>
          <w:rFonts w:asciiTheme="minorBidi" w:hAnsiTheme="minorBidi"/>
        </w:rPr>
        <w:t xml:space="preserve">these </w:t>
      </w:r>
      <w:r w:rsidRPr="0079381C">
        <w:rPr>
          <w:rFonts w:asciiTheme="minorBidi" w:hAnsiTheme="minorBidi"/>
        </w:rPr>
        <w:t xml:space="preserve">very low levels of risk would not normally represent a proportionate use of regulatory resources. </w:t>
      </w:r>
    </w:p>
    <w:p w14:paraId="7E5553D3" w14:textId="16C48390" w:rsidR="00280411" w:rsidRPr="0079381C" w:rsidRDefault="00280411" w:rsidP="00280411">
      <w:pPr>
        <w:jc w:val="both"/>
        <w:rPr>
          <w:rFonts w:asciiTheme="minorBidi" w:hAnsiTheme="minorBidi"/>
        </w:rPr>
      </w:pPr>
      <w:r>
        <w:rPr>
          <w:rFonts w:asciiTheme="minorBidi" w:hAnsiTheme="minorBidi"/>
        </w:rPr>
        <w:t>T</w:t>
      </w:r>
      <w:r w:rsidRPr="006C769E">
        <w:rPr>
          <w:rFonts w:asciiTheme="minorBidi" w:hAnsiTheme="minorBidi"/>
        </w:rPr>
        <w:t>he legal duties in sections 2(1) and 3(1) of HSWA require risks to be reduced ALARP</w:t>
      </w:r>
      <w:r>
        <w:rPr>
          <w:rFonts w:asciiTheme="minorBidi" w:hAnsiTheme="minorBidi"/>
        </w:rPr>
        <w:t xml:space="preserve"> </w:t>
      </w:r>
      <w:r w:rsidRPr="006C769E">
        <w:rPr>
          <w:rFonts w:asciiTheme="minorBidi" w:hAnsiTheme="minorBidi"/>
        </w:rPr>
        <w:t xml:space="preserve">at all levels of risk. The </w:t>
      </w:r>
      <w:proofErr w:type="spellStart"/>
      <w:r w:rsidRPr="006C769E">
        <w:rPr>
          <w:rFonts w:asciiTheme="minorBidi" w:hAnsiTheme="minorBidi"/>
        </w:rPr>
        <w:t>ToR</w:t>
      </w:r>
      <w:proofErr w:type="spellEnd"/>
      <w:r w:rsidRPr="006C769E">
        <w:rPr>
          <w:rFonts w:asciiTheme="minorBidi" w:hAnsiTheme="minorBidi"/>
        </w:rPr>
        <w:t xml:space="preserve"> framework does not </w:t>
      </w:r>
      <w:r w:rsidR="00334AD0">
        <w:rPr>
          <w:rFonts w:asciiTheme="minorBidi" w:hAnsiTheme="minorBidi"/>
        </w:rPr>
        <w:t xml:space="preserve">and cannot </w:t>
      </w:r>
      <w:r w:rsidRPr="006C769E">
        <w:rPr>
          <w:rFonts w:asciiTheme="minorBidi" w:hAnsiTheme="minorBidi"/>
        </w:rPr>
        <w:t>replace or qualify the</w:t>
      </w:r>
      <w:r w:rsidR="00502AFC">
        <w:rPr>
          <w:rFonts w:asciiTheme="minorBidi" w:hAnsiTheme="minorBidi"/>
        </w:rPr>
        <w:t>se duties</w:t>
      </w:r>
      <w:r w:rsidRPr="006C769E">
        <w:rPr>
          <w:rFonts w:asciiTheme="minorBidi" w:hAnsiTheme="minorBidi"/>
        </w:rPr>
        <w:t xml:space="preserve">. Instead, it </w:t>
      </w:r>
      <w:r w:rsidR="0047114A">
        <w:rPr>
          <w:rFonts w:asciiTheme="minorBidi" w:hAnsiTheme="minorBidi"/>
        </w:rPr>
        <w:t xml:space="preserve">gives context and </w:t>
      </w:r>
      <w:r w:rsidR="00C435BF">
        <w:rPr>
          <w:rFonts w:asciiTheme="minorBidi" w:hAnsiTheme="minorBidi"/>
        </w:rPr>
        <w:t xml:space="preserve">an evidence-based underpinning as to the </w:t>
      </w:r>
      <w:r w:rsidR="00334AD0">
        <w:rPr>
          <w:rFonts w:asciiTheme="minorBidi" w:hAnsiTheme="minorBidi"/>
        </w:rPr>
        <w:t>acceptability of risk</w:t>
      </w:r>
      <w:r w:rsidR="00C435BF">
        <w:rPr>
          <w:rFonts w:asciiTheme="minorBidi" w:hAnsiTheme="minorBidi"/>
        </w:rPr>
        <w:t>s</w:t>
      </w:r>
      <w:r w:rsidR="00334AD0">
        <w:rPr>
          <w:rFonts w:asciiTheme="minorBidi" w:hAnsiTheme="minorBidi"/>
        </w:rPr>
        <w:t>,</w:t>
      </w:r>
      <w:r w:rsidRPr="006C769E">
        <w:rPr>
          <w:rFonts w:asciiTheme="minorBidi" w:hAnsiTheme="minorBidi"/>
        </w:rPr>
        <w:t xml:space="preserve"> help</w:t>
      </w:r>
      <w:r w:rsidR="00334AD0">
        <w:rPr>
          <w:rFonts w:asciiTheme="minorBidi" w:hAnsiTheme="minorBidi"/>
        </w:rPr>
        <w:t>ing</w:t>
      </w:r>
      <w:r w:rsidRPr="006C769E">
        <w:rPr>
          <w:rFonts w:asciiTheme="minorBidi" w:hAnsiTheme="minorBidi"/>
        </w:rPr>
        <w:t xml:space="preserve"> regulators target their attention and make proportionate decisions when exercising permissioning, licensing and enforcement functions.</w:t>
      </w:r>
    </w:p>
    <w:p w14:paraId="6473D436" w14:textId="05B67468" w:rsidR="0079381C" w:rsidRPr="00EB72AE" w:rsidRDefault="0079381C" w:rsidP="006C769E">
      <w:pPr>
        <w:jc w:val="both"/>
        <w:rPr>
          <w:rFonts w:asciiTheme="minorBidi" w:hAnsiTheme="minorBidi"/>
          <w:u w:val="single"/>
        </w:rPr>
      </w:pPr>
      <w:r w:rsidRPr="00EB72AE">
        <w:rPr>
          <w:rFonts w:asciiTheme="minorBidi" w:hAnsiTheme="minorBidi"/>
          <w:u w:val="single"/>
        </w:rPr>
        <w:t>Societal risk tolerance and numerical reference points</w:t>
      </w:r>
    </w:p>
    <w:p w14:paraId="1514F456" w14:textId="5DE9B71E" w:rsidR="0079381C" w:rsidRPr="0079381C" w:rsidRDefault="0079381C" w:rsidP="0079381C">
      <w:pPr>
        <w:jc w:val="both"/>
        <w:rPr>
          <w:rFonts w:asciiTheme="minorBidi" w:hAnsiTheme="minorBidi"/>
        </w:rPr>
      </w:pPr>
      <w:r w:rsidRPr="0079381C">
        <w:rPr>
          <w:rFonts w:asciiTheme="minorBidi" w:hAnsiTheme="minorBidi"/>
        </w:rPr>
        <w:t xml:space="preserve">R2P2 identifies </w:t>
      </w:r>
      <w:r w:rsidR="00823214">
        <w:rPr>
          <w:rFonts w:asciiTheme="minorBidi" w:hAnsiTheme="minorBidi"/>
        </w:rPr>
        <w:t>three</w:t>
      </w:r>
      <w:r w:rsidRPr="0079381C">
        <w:rPr>
          <w:rFonts w:asciiTheme="minorBidi" w:hAnsiTheme="minorBidi"/>
        </w:rPr>
        <w:t xml:space="preserve"> underpinning premises on which ONR’s numerical reference points are largely founded:</w:t>
      </w:r>
    </w:p>
    <w:p w14:paraId="5FEE3D1D" w14:textId="51E80394" w:rsidR="0079381C" w:rsidRPr="0079381C" w:rsidRDefault="0079381C" w:rsidP="0079381C">
      <w:pPr>
        <w:numPr>
          <w:ilvl w:val="0"/>
          <w:numId w:val="10"/>
        </w:numPr>
        <w:jc w:val="both"/>
        <w:rPr>
          <w:rFonts w:asciiTheme="minorBidi" w:hAnsiTheme="minorBidi"/>
        </w:rPr>
      </w:pPr>
      <w:r w:rsidRPr="0079381C">
        <w:rPr>
          <w:rFonts w:asciiTheme="minorBidi" w:hAnsiTheme="minorBidi"/>
        </w:rPr>
        <w:t xml:space="preserve">An individual risk of death of </w:t>
      </w:r>
      <w:r w:rsidRPr="0079381C">
        <w:rPr>
          <w:rFonts w:asciiTheme="minorBidi" w:hAnsiTheme="minorBidi"/>
          <w:b/>
          <w:bCs/>
        </w:rPr>
        <w:t>1 in 1,000 per year</w:t>
      </w:r>
      <w:r w:rsidRPr="0079381C">
        <w:rPr>
          <w:rFonts w:asciiTheme="minorBidi" w:hAnsiTheme="minorBidi"/>
        </w:rPr>
        <w:t xml:space="preserve"> </w:t>
      </w:r>
      <w:r w:rsidR="00EE7BAB">
        <w:rPr>
          <w:rFonts w:asciiTheme="minorBidi" w:hAnsiTheme="minorBidi"/>
        </w:rPr>
        <w:t xml:space="preserve">for </w:t>
      </w:r>
      <w:r w:rsidR="00904578">
        <w:rPr>
          <w:rFonts w:asciiTheme="minorBidi" w:hAnsiTheme="minorBidi"/>
        </w:rPr>
        <w:t>wo</w:t>
      </w:r>
      <w:r w:rsidR="00787EFD">
        <w:rPr>
          <w:rFonts w:asciiTheme="minorBidi" w:hAnsiTheme="minorBidi"/>
        </w:rPr>
        <w:t>rker</w:t>
      </w:r>
      <w:r w:rsidR="00E161C8">
        <w:rPr>
          <w:rFonts w:asciiTheme="minorBidi" w:hAnsiTheme="minorBidi"/>
        </w:rPr>
        <w:t xml:space="preserve">s </w:t>
      </w:r>
      <w:r w:rsidR="00E50DB4">
        <w:rPr>
          <w:rFonts w:asciiTheme="minorBidi" w:hAnsiTheme="minorBidi"/>
        </w:rPr>
        <w:t>that</w:t>
      </w:r>
      <w:r w:rsidR="00E161C8">
        <w:rPr>
          <w:rFonts w:asciiTheme="minorBidi" w:hAnsiTheme="minorBidi"/>
        </w:rPr>
        <w:t xml:space="preserve"> </w:t>
      </w:r>
      <w:r w:rsidRPr="0079381C">
        <w:rPr>
          <w:rFonts w:asciiTheme="minorBidi" w:hAnsiTheme="minorBidi"/>
        </w:rPr>
        <w:t>represents the dividing line between a risk that might be regarded as just tolerable for a substantial category of workers for a significant part of their working lives and one that would be unacceptable other than for exceptional groups.</w:t>
      </w:r>
    </w:p>
    <w:p w14:paraId="3155125E" w14:textId="1E40FBF9" w:rsidR="004E34E2" w:rsidRDefault="00C1409C" w:rsidP="0079381C">
      <w:pPr>
        <w:numPr>
          <w:ilvl w:val="0"/>
          <w:numId w:val="10"/>
        </w:numPr>
        <w:jc w:val="both"/>
        <w:rPr>
          <w:rFonts w:asciiTheme="minorBidi" w:hAnsiTheme="minorBidi"/>
        </w:rPr>
      </w:pPr>
      <w:r>
        <w:rPr>
          <w:rFonts w:asciiTheme="minorBidi" w:hAnsiTheme="minorBidi"/>
        </w:rPr>
        <w:t>An indiv</w:t>
      </w:r>
      <w:r w:rsidR="00760AEB">
        <w:rPr>
          <w:rFonts w:asciiTheme="minorBidi" w:hAnsiTheme="minorBidi"/>
        </w:rPr>
        <w:t>idual risk of d</w:t>
      </w:r>
      <w:r w:rsidR="00B80A47">
        <w:rPr>
          <w:rFonts w:asciiTheme="minorBidi" w:hAnsiTheme="minorBidi"/>
        </w:rPr>
        <w:t xml:space="preserve">eath of </w:t>
      </w:r>
      <w:r w:rsidR="00B80A47" w:rsidRPr="00EA4EF0">
        <w:rPr>
          <w:rFonts w:asciiTheme="minorBidi" w:hAnsiTheme="minorBidi"/>
          <w:b/>
          <w:bCs/>
        </w:rPr>
        <w:t>1 in 10</w:t>
      </w:r>
      <w:r w:rsidR="00FD52A6" w:rsidRPr="00EA4EF0">
        <w:rPr>
          <w:rFonts w:asciiTheme="minorBidi" w:hAnsiTheme="minorBidi"/>
          <w:b/>
          <w:bCs/>
        </w:rPr>
        <w:t>,000</w:t>
      </w:r>
      <w:r w:rsidR="00A86C8C" w:rsidRPr="00EA4EF0">
        <w:rPr>
          <w:rFonts w:asciiTheme="minorBidi" w:hAnsiTheme="minorBidi"/>
          <w:b/>
          <w:bCs/>
        </w:rPr>
        <w:t xml:space="preserve"> per yea</w:t>
      </w:r>
      <w:r w:rsidR="001E23DF" w:rsidRPr="00EA4EF0">
        <w:rPr>
          <w:rFonts w:asciiTheme="minorBidi" w:hAnsiTheme="minorBidi"/>
          <w:b/>
          <w:bCs/>
        </w:rPr>
        <w:t>r</w:t>
      </w:r>
      <w:r w:rsidR="001E23DF">
        <w:rPr>
          <w:rFonts w:asciiTheme="minorBidi" w:hAnsiTheme="minorBidi"/>
        </w:rPr>
        <w:t xml:space="preserve"> for </w:t>
      </w:r>
      <w:r w:rsidR="00DA71CA">
        <w:rPr>
          <w:rFonts w:asciiTheme="minorBidi" w:hAnsiTheme="minorBidi"/>
        </w:rPr>
        <w:t>membe</w:t>
      </w:r>
      <w:r w:rsidR="00B808AB">
        <w:rPr>
          <w:rFonts w:asciiTheme="minorBidi" w:hAnsiTheme="minorBidi"/>
        </w:rPr>
        <w:t>rs of th</w:t>
      </w:r>
      <w:r w:rsidR="00221342">
        <w:rPr>
          <w:rFonts w:asciiTheme="minorBidi" w:hAnsiTheme="minorBidi"/>
        </w:rPr>
        <w:t>e public</w:t>
      </w:r>
      <w:r w:rsidR="00814C51">
        <w:rPr>
          <w:rFonts w:asciiTheme="minorBidi" w:hAnsiTheme="minorBidi"/>
        </w:rPr>
        <w:t xml:space="preserve"> who have</w:t>
      </w:r>
      <w:r w:rsidR="0068736B">
        <w:rPr>
          <w:rFonts w:asciiTheme="minorBidi" w:hAnsiTheme="minorBidi"/>
        </w:rPr>
        <w:t xml:space="preserve"> a risk </w:t>
      </w:r>
      <w:r w:rsidR="009A2EEC">
        <w:rPr>
          <w:rFonts w:asciiTheme="minorBidi" w:hAnsiTheme="minorBidi"/>
        </w:rPr>
        <w:t xml:space="preserve">imposed </w:t>
      </w:r>
      <w:r w:rsidR="00EE41AF">
        <w:rPr>
          <w:rFonts w:asciiTheme="minorBidi" w:hAnsiTheme="minorBidi"/>
        </w:rPr>
        <w:t>upo</w:t>
      </w:r>
      <w:r w:rsidR="00AA2D69">
        <w:rPr>
          <w:rFonts w:asciiTheme="minorBidi" w:hAnsiTheme="minorBidi"/>
        </w:rPr>
        <w:t>n the</w:t>
      </w:r>
      <w:r w:rsidR="00DF1133">
        <w:rPr>
          <w:rFonts w:asciiTheme="minorBidi" w:hAnsiTheme="minorBidi"/>
        </w:rPr>
        <w:t>m</w:t>
      </w:r>
      <w:r w:rsidR="00FB4C1C">
        <w:rPr>
          <w:rFonts w:asciiTheme="minorBidi" w:hAnsiTheme="minorBidi"/>
        </w:rPr>
        <w:t xml:space="preserve"> that represents</w:t>
      </w:r>
      <w:r w:rsidR="008006CE">
        <w:rPr>
          <w:rFonts w:asciiTheme="minorBidi" w:hAnsiTheme="minorBidi"/>
        </w:rPr>
        <w:t xml:space="preserve"> </w:t>
      </w:r>
      <w:r w:rsidR="00A805EA">
        <w:rPr>
          <w:rFonts w:asciiTheme="minorBidi" w:hAnsiTheme="minorBidi"/>
        </w:rPr>
        <w:t>that would be regarded as just tolerable.</w:t>
      </w:r>
    </w:p>
    <w:p w14:paraId="51AB7260" w14:textId="27EE745A" w:rsidR="0079381C" w:rsidRPr="0079381C" w:rsidRDefault="0079381C" w:rsidP="0079381C">
      <w:pPr>
        <w:numPr>
          <w:ilvl w:val="0"/>
          <w:numId w:val="10"/>
        </w:numPr>
        <w:jc w:val="both"/>
        <w:rPr>
          <w:rFonts w:asciiTheme="minorBidi" w:hAnsiTheme="minorBidi"/>
        </w:rPr>
      </w:pPr>
      <w:r w:rsidRPr="0079381C">
        <w:rPr>
          <w:rFonts w:asciiTheme="minorBidi" w:hAnsiTheme="minorBidi"/>
        </w:rPr>
        <w:t xml:space="preserve">An individual risk of death of </w:t>
      </w:r>
      <w:r w:rsidRPr="0079381C">
        <w:rPr>
          <w:rFonts w:asciiTheme="minorBidi" w:hAnsiTheme="minorBidi"/>
          <w:b/>
          <w:bCs/>
        </w:rPr>
        <w:t>1 in 1 million per year</w:t>
      </w:r>
      <w:r w:rsidRPr="0079381C">
        <w:rPr>
          <w:rFonts w:asciiTheme="minorBidi" w:hAnsiTheme="minorBidi"/>
        </w:rPr>
        <w:t xml:space="preserve"> for both workers and the public provides a guideline for the boundary between the broadly acceptable and tolerable regions.</w:t>
      </w:r>
    </w:p>
    <w:p w14:paraId="394FBBD8" w14:textId="7747CB3A" w:rsidR="0079381C" w:rsidRPr="0079381C" w:rsidRDefault="0079381C" w:rsidP="0079381C">
      <w:pPr>
        <w:jc w:val="both"/>
        <w:rPr>
          <w:rFonts w:asciiTheme="minorBidi" w:hAnsiTheme="minorBidi"/>
        </w:rPr>
      </w:pPr>
      <w:r w:rsidRPr="0079381C">
        <w:rPr>
          <w:rFonts w:asciiTheme="minorBidi" w:hAnsiTheme="minorBidi"/>
        </w:rPr>
        <w:t>These figures reflect the understanding of worker and public risk tolerability on which R2P2 was based when it was published in 2001</w:t>
      </w:r>
      <w:r w:rsidR="0D2A2F16" w:rsidRPr="312D2786">
        <w:rPr>
          <w:rFonts w:asciiTheme="minorBidi" w:hAnsiTheme="minorBidi"/>
        </w:rPr>
        <w:t xml:space="preserve"> (with underlying data from </w:t>
      </w:r>
      <w:r w:rsidR="1F6DAD88" w:rsidRPr="312D2786">
        <w:rPr>
          <w:rFonts w:asciiTheme="minorBidi" w:hAnsiTheme="minorBidi"/>
        </w:rPr>
        <w:t>earlier decades)</w:t>
      </w:r>
      <w:r w:rsidRPr="312D2786">
        <w:rPr>
          <w:rFonts w:asciiTheme="minorBidi" w:hAnsiTheme="minorBidi"/>
        </w:rPr>
        <w:t>.</w:t>
      </w:r>
      <w:r w:rsidRPr="0079381C">
        <w:rPr>
          <w:rFonts w:asciiTheme="minorBidi" w:hAnsiTheme="minorBidi"/>
        </w:rPr>
        <w:t xml:space="preserve"> ONR does not claim ownership of these reference points</w:t>
      </w:r>
      <w:r w:rsidR="7F1096A0" w:rsidRPr="312D2786">
        <w:rPr>
          <w:rFonts w:asciiTheme="minorBidi" w:hAnsiTheme="minorBidi"/>
        </w:rPr>
        <w:t>.</w:t>
      </w:r>
    </w:p>
    <w:p w14:paraId="32DC23FF" w14:textId="77777777" w:rsidR="00FE7C9E" w:rsidRPr="00AA0A37" w:rsidRDefault="00FE7C9E" w:rsidP="00FE7C9E">
      <w:pPr>
        <w:rPr>
          <w:rFonts w:asciiTheme="minorBidi" w:hAnsiTheme="minorBidi"/>
          <w:u w:val="single"/>
        </w:rPr>
      </w:pPr>
      <w:r w:rsidRPr="00AA0A37">
        <w:rPr>
          <w:rFonts w:asciiTheme="minorBidi" w:hAnsiTheme="minorBidi"/>
          <w:u w:val="single"/>
        </w:rPr>
        <w:t>ONR’s use of numerical reference points</w:t>
      </w:r>
    </w:p>
    <w:p w14:paraId="35725CC4" w14:textId="7732AD39" w:rsidR="002F765C" w:rsidRPr="002F765C" w:rsidRDefault="002F765C" w:rsidP="002F765C">
      <w:pPr>
        <w:jc w:val="both"/>
        <w:rPr>
          <w:rFonts w:asciiTheme="minorBidi" w:hAnsiTheme="minorBidi"/>
        </w:rPr>
      </w:pPr>
      <w:r w:rsidRPr="002F765C">
        <w:rPr>
          <w:rFonts w:asciiTheme="minorBidi" w:hAnsiTheme="minorBidi"/>
        </w:rPr>
        <w:t xml:space="preserve">The current Safety Assessment Principles (SAPs) translate R2P2’s broad expressions of risk tolerability into more specific numerical reference points for nuclear safety. Expressed through radiation doses and annualised frequencies, these provide practical and industry-recognised </w:t>
      </w:r>
      <w:r w:rsidR="00CA7B27">
        <w:rPr>
          <w:rFonts w:asciiTheme="minorBidi" w:hAnsiTheme="minorBidi"/>
        </w:rPr>
        <w:t>metrics</w:t>
      </w:r>
      <w:r w:rsidRPr="002F765C">
        <w:rPr>
          <w:rFonts w:asciiTheme="minorBidi" w:hAnsiTheme="minorBidi"/>
        </w:rPr>
        <w:t xml:space="preserve"> for interpreting radiological risk assessments and nuclear safety fault analysis.</w:t>
      </w:r>
    </w:p>
    <w:p w14:paraId="3BEECAE9" w14:textId="7F4E54C9" w:rsidR="0083035E" w:rsidRPr="003641BB" w:rsidRDefault="0C4AC4FC" w:rsidP="0083035E">
      <w:pPr>
        <w:jc w:val="both"/>
        <w:rPr>
          <w:rFonts w:asciiTheme="minorBidi" w:hAnsiTheme="minorBidi"/>
        </w:rPr>
      </w:pPr>
      <w:r w:rsidRPr="0CD93CAC">
        <w:rPr>
          <w:rFonts w:asciiTheme="minorBidi" w:hAnsiTheme="minorBidi"/>
        </w:rPr>
        <w:t xml:space="preserve">In the </w:t>
      </w:r>
      <w:r w:rsidR="002F765C">
        <w:rPr>
          <w:rFonts w:asciiTheme="minorBidi" w:hAnsiTheme="minorBidi"/>
        </w:rPr>
        <w:t>current</w:t>
      </w:r>
      <w:r w:rsidRPr="0CD93CAC">
        <w:rPr>
          <w:rFonts w:asciiTheme="minorBidi" w:hAnsiTheme="minorBidi"/>
        </w:rPr>
        <w:t xml:space="preserve"> SAPs, </w:t>
      </w:r>
      <w:r w:rsidR="0083035E" w:rsidRPr="003641BB">
        <w:rPr>
          <w:rFonts w:asciiTheme="minorBidi" w:hAnsiTheme="minorBidi"/>
        </w:rPr>
        <w:t xml:space="preserve">Basic Safety </w:t>
      </w:r>
      <w:r w:rsidR="0083035E">
        <w:rPr>
          <w:rFonts w:asciiTheme="minorBidi" w:hAnsiTheme="minorBidi"/>
        </w:rPr>
        <w:t>Levels</w:t>
      </w:r>
      <w:r w:rsidR="0083035E" w:rsidRPr="003641BB">
        <w:rPr>
          <w:rFonts w:asciiTheme="minorBidi" w:hAnsiTheme="minorBidi"/>
        </w:rPr>
        <w:t xml:space="preserve"> (BSLs) broadly indicate levels of risk above which the risk would normally be regarded as unacceptable, while Basic Safety Objectives (BSOs) broadly indicate levels below which the risk may be regarded as </w:t>
      </w:r>
      <w:r w:rsidR="0083035E" w:rsidRPr="003641BB">
        <w:rPr>
          <w:rFonts w:asciiTheme="minorBidi" w:hAnsiTheme="minorBidi"/>
        </w:rPr>
        <w:lastRenderedPageBreak/>
        <w:t xml:space="preserve">broadly acceptable. The BSLs and BSOs are derived in large part by reference to the figures in R2P2. </w:t>
      </w:r>
      <w:r w:rsidR="00C069D5">
        <w:rPr>
          <w:rFonts w:asciiTheme="minorBidi" w:hAnsiTheme="minorBidi"/>
        </w:rPr>
        <w:t xml:space="preserve">BSLs and BSOs are not themselves legal limits, although in some cases the BSL </w:t>
      </w:r>
      <w:r w:rsidR="00D418B2">
        <w:rPr>
          <w:rFonts w:asciiTheme="minorBidi" w:hAnsiTheme="minorBidi"/>
        </w:rPr>
        <w:t>is chosen to align to a legal limit</w:t>
      </w:r>
      <w:r w:rsidR="0083035E" w:rsidRPr="003641BB">
        <w:rPr>
          <w:rFonts w:asciiTheme="minorBidi" w:hAnsiTheme="minorBidi"/>
        </w:rPr>
        <w:t>. They support consistent and transparent regulatory judgement and help inform the level of regulatory attention, while the underlying legal requirement remains that risks must be reduced so far as is reasonably practicable.</w:t>
      </w:r>
    </w:p>
    <w:p w14:paraId="1F5C0BCB" w14:textId="009F0289" w:rsidR="00FE7C9E" w:rsidRPr="004A112B" w:rsidRDefault="00FE7C9E" w:rsidP="00FE7C9E">
      <w:pPr>
        <w:jc w:val="both"/>
        <w:rPr>
          <w:rFonts w:asciiTheme="minorBidi" w:hAnsiTheme="minorBidi"/>
        </w:rPr>
      </w:pPr>
      <w:r w:rsidRPr="004A112B">
        <w:rPr>
          <w:rFonts w:asciiTheme="minorBidi" w:hAnsiTheme="minorBidi"/>
        </w:rPr>
        <w:t xml:space="preserve">The Nuclear Regulatory Taskforce identified that terminology such as “targets” and “objectives” had contributed to misunderstanding, both within industry and ONR. In some cases, Basic Safety </w:t>
      </w:r>
      <w:r w:rsidR="00566271">
        <w:rPr>
          <w:rFonts w:asciiTheme="minorBidi" w:hAnsiTheme="minorBidi"/>
        </w:rPr>
        <w:t>Levels</w:t>
      </w:r>
      <w:r w:rsidRPr="004A112B">
        <w:rPr>
          <w:rFonts w:asciiTheme="minorBidi" w:hAnsiTheme="minorBidi"/>
        </w:rPr>
        <w:t xml:space="preserve"> (BSLs) had come to be treated as </w:t>
      </w:r>
      <w:r w:rsidR="00A86F0C" w:rsidRPr="004A112B">
        <w:rPr>
          <w:rFonts w:asciiTheme="minorBidi" w:hAnsiTheme="minorBidi"/>
        </w:rPr>
        <w:t>l</w:t>
      </w:r>
      <w:r w:rsidR="00A86F0C">
        <w:rPr>
          <w:rFonts w:asciiTheme="minorBidi" w:hAnsiTheme="minorBidi"/>
        </w:rPr>
        <w:t>imit</w:t>
      </w:r>
      <w:r w:rsidR="00B84431">
        <w:rPr>
          <w:rFonts w:asciiTheme="minorBidi" w:hAnsiTheme="minorBidi"/>
        </w:rPr>
        <w:t>s</w:t>
      </w:r>
      <w:r w:rsidR="00A86F0C" w:rsidRPr="004A112B">
        <w:rPr>
          <w:rFonts w:asciiTheme="minorBidi" w:hAnsiTheme="minorBidi"/>
        </w:rPr>
        <w:t xml:space="preserve"> </w:t>
      </w:r>
      <w:r w:rsidRPr="004A112B">
        <w:rPr>
          <w:rFonts w:asciiTheme="minorBidi" w:hAnsiTheme="minorBidi"/>
        </w:rPr>
        <w:t>that dutyholders “must” achieve, while Basic Safety Objectives (BSOs) were seen as levels they strongly “should” achieve.</w:t>
      </w:r>
      <w:r w:rsidRPr="004A112B">
        <w:rPr>
          <w:rFonts w:ascii="Segoe UI" w:eastAsia="Times New Roman" w:hAnsi="Segoe UI" w:cs="Segoe UI"/>
          <w:kern w:val="0"/>
          <w:sz w:val="21"/>
          <w:szCs w:val="21"/>
          <w:lang w:eastAsia="en-GB"/>
          <w14:ligatures w14:val="none"/>
        </w:rPr>
        <w:t xml:space="preserve"> </w:t>
      </w:r>
      <w:r w:rsidRPr="004A112B">
        <w:rPr>
          <w:rFonts w:asciiTheme="minorBidi" w:hAnsiTheme="minorBidi"/>
        </w:rPr>
        <w:t>This risked conflating the numerical framework with the separate legal test of whether risks have been reduced so far as is reasonably practicable.</w:t>
      </w:r>
    </w:p>
    <w:p w14:paraId="0C7ACE38" w14:textId="2FDD05E6" w:rsidR="00F86AEA" w:rsidRPr="00F86AEA" w:rsidRDefault="009E7888" w:rsidP="009E7888">
      <w:pPr>
        <w:jc w:val="both"/>
        <w:rPr>
          <w:rFonts w:asciiTheme="minorBidi" w:hAnsiTheme="minorBidi"/>
        </w:rPr>
      </w:pPr>
      <w:r w:rsidRPr="003F1733">
        <w:rPr>
          <w:rFonts w:asciiTheme="minorBidi" w:hAnsiTheme="minorBidi"/>
        </w:rPr>
        <w:t xml:space="preserve">ONR has recently published </w:t>
      </w:r>
      <w:hyperlink r:id="rId14">
        <w:r w:rsidRPr="003F1733">
          <w:rPr>
            <w:rStyle w:val="Hyperlink"/>
            <w:rFonts w:asciiTheme="minorBidi" w:hAnsiTheme="minorBidi"/>
          </w:rPr>
          <w:t>draft revised SAPs for consultation</w:t>
        </w:r>
      </w:hyperlink>
      <w:r w:rsidRPr="003F1733">
        <w:rPr>
          <w:rFonts w:asciiTheme="minorBidi" w:hAnsiTheme="minorBidi"/>
        </w:rPr>
        <w:t xml:space="preserve">. These clarify the intended meaning and use of the numerical reference points and propose replacing the term </w:t>
      </w:r>
      <w:r w:rsidRPr="003F1733">
        <w:rPr>
          <w:rFonts w:asciiTheme="minorBidi" w:hAnsiTheme="minorBidi"/>
          <w:i/>
        </w:rPr>
        <w:t>Basic Safety Objective</w:t>
      </w:r>
      <w:r w:rsidRPr="003F1733">
        <w:rPr>
          <w:rFonts w:asciiTheme="minorBidi" w:hAnsiTheme="minorBidi"/>
        </w:rPr>
        <w:t xml:space="preserve"> with </w:t>
      </w:r>
      <w:r w:rsidRPr="003F1733">
        <w:rPr>
          <w:rFonts w:asciiTheme="minorBidi" w:hAnsiTheme="minorBidi"/>
          <w:i/>
        </w:rPr>
        <w:t>Regulatory Focus Level</w:t>
      </w:r>
      <w:r w:rsidRPr="003F1733">
        <w:rPr>
          <w:rFonts w:asciiTheme="minorBidi" w:hAnsiTheme="minorBidi"/>
        </w:rPr>
        <w:t xml:space="preserve"> (RFL). </w:t>
      </w:r>
      <w:r w:rsidR="00F86AEA" w:rsidRPr="00F86AEA">
        <w:rPr>
          <w:rFonts w:asciiTheme="minorBidi" w:hAnsiTheme="minorBidi"/>
        </w:rPr>
        <w:t>Closely</w:t>
      </w:r>
      <w:r w:rsidR="00361AD1">
        <w:rPr>
          <w:rFonts w:asciiTheme="minorBidi" w:hAnsiTheme="minorBidi"/>
        </w:rPr>
        <w:t>-</w:t>
      </w:r>
      <w:r w:rsidR="00F86AEA" w:rsidRPr="00F86AEA">
        <w:rPr>
          <w:rFonts w:asciiTheme="minorBidi" w:hAnsiTheme="minorBidi"/>
        </w:rPr>
        <w:t xml:space="preserve">related risk indicators have also been consolidated where appropriate to simplify the framework and improve clarity. </w:t>
      </w:r>
    </w:p>
    <w:p w14:paraId="61164EAF" w14:textId="71E6CC04" w:rsidR="00631BD7" w:rsidRPr="00631BD7" w:rsidRDefault="007529DA" w:rsidP="00631BD7">
      <w:pPr>
        <w:jc w:val="both"/>
        <w:rPr>
          <w:rFonts w:asciiTheme="minorBidi" w:hAnsiTheme="minorBidi"/>
        </w:rPr>
      </w:pPr>
      <w:r>
        <w:rPr>
          <w:rFonts w:asciiTheme="minorBidi" w:hAnsiTheme="minorBidi"/>
        </w:rPr>
        <w:t xml:space="preserve">The revised SAPs make clear that </w:t>
      </w:r>
      <w:r w:rsidR="00631BD7" w:rsidRPr="00631BD7">
        <w:rPr>
          <w:rFonts w:asciiTheme="minorBidi" w:hAnsiTheme="minorBidi"/>
        </w:rPr>
        <w:t xml:space="preserve">Regulatory Focus Levels (RFLs) indicate levels of risk below which it would not normally be a reasonable use of ONR's resources to seek further risk reduction. It is ONR policy that inspectors will not normally target their attention or seek additional improvements at these low levels of risk, provided the risk estimate is credible. The revised SAPs make clear that RFLs are therefore intended to guide inspectors on where to focus regulatory attention and should not be regarded as targets or objectives for dutyholders. </w:t>
      </w:r>
      <w:r w:rsidR="004B1BDA">
        <w:rPr>
          <w:rFonts w:asciiTheme="minorBidi" w:hAnsiTheme="minorBidi"/>
        </w:rPr>
        <w:t>T</w:t>
      </w:r>
      <w:r w:rsidR="00631BD7" w:rsidRPr="00631BD7">
        <w:rPr>
          <w:rFonts w:asciiTheme="minorBidi" w:hAnsiTheme="minorBidi"/>
        </w:rPr>
        <w:t xml:space="preserve">he revised SAPs </w:t>
      </w:r>
      <w:r w:rsidR="004B1BDA">
        <w:rPr>
          <w:rFonts w:asciiTheme="minorBidi" w:hAnsiTheme="minorBidi"/>
        </w:rPr>
        <w:t xml:space="preserve">also </w:t>
      </w:r>
      <w:r w:rsidR="00631BD7" w:rsidRPr="00631BD7">
        <w:rPr>
          <w:rFonts w:asciiTheme="minorBidi" w:hAnsiTheme="minorBidi"/>
        </w:rPr>
        <w:t xml:space="preserve">make clear that dutyholders </w:t>
      </w:r>
      <w:r w:rsidR="004036E2">
        <w:rPr>
          <w:rFonts w:asciiTheme="minorBidi" w:hAnsiTheme="minorBidi"/>
        </w:rPr>
        <w:t>should</w:t>
      </w:r>
      <w:r w:rsidR="00631BD7" w:rsidRPr="00631BD7">
        <w:rPr>
          <w:rFonts w:asciiTheme="minorBidi" w:hAnsiTheme="minorBidi"/>
        </w:rPr>
        <w:t xml:space="preserve"> select and justify the risk metrics and criteria they use to support their own decision-making and operations</w:t>
      </w:r>
      <w:r w:rsidR="00BA57E3">
        <w:rPr>
          <w:rFonts w:asciiTheme="minorBidi" w:hAnsiTheme="minorBidi"/>
        </w:rPr>
        <w:t xml:space="preserve">, not simply </w:t>
      </w:r>
      <w:r w:rsidR="005122CF">
        <w:rPr>
          <w:rFonts w:asciiTheme="minorBidi" w:hAnsiTheme="minorBidi"/>
        </w:rPr>
        <w:t xml:space="preserve">continue to </w:t>
      </w:r>
      <w:r w:rsidR="00C33120">
        <w:rPr>
          <w:rFonts w:asciiTheme="minorBidi" w:hAnsiTheme="minorBidi"/>
        </w:rPr>
        <w:t xml:space="preserve">automatically </w:t>
      </w:r>
      <w:r w:rsidR="00BA57E3">
        <w:rPr>
          <w:rFonts w:asciiTheme="minorBidi" w:hAnsiTheme="minorBidi"/>
        </w:rPr>
        <w:t xml:space="preserve">transpose </w:t>
      </w:r>
      <w:r w:rsidR="003520A3">
        <w:rPr>
          <w:rFonts w:asciiTheme="minorBidi" w:hAnsiTheme="minorBidi"/>
        </w:rPr>
        <w:t xml:space="preserve">ONR’s RFLs into their </w:t>
      </w:r>
      <w:r w:rsidR="005122CF">
        <w:rPr>
          <w:rFonts w:asciiTheme="minorBidi" w:hAnsiTheme="minorBidi"/>
        </w:rPr>
        <w:t xml:space="preserve">internal </w:t>
      </w:r>
      <w:r w:rsidR="003520A3">
        <w:rPr>
          <w:rFonts w:asciiTheme="minorBidi" w:hAnsiTheme="minorBidi"/>
        </w:rPr>
        <w:t>processes</w:t>
      </w:r>
      <w:r w:rsidR="00631BD7" w:rsidRPr="00631BD7">
        <w:rPr>
          <w:rFonts w:asciiTheme="minorBidi" w:hAnsiTheme="minorBidi"/>
        </w:rPr>
        <w:t>.</w:t>
      </w:r>
    </w:p>
    <w:p w14:paraId="3796A05E" w14:textId="10D8FB83" w:rsidR="00FE7C9E" w:rsidRDefault="00FE7C9E" w:rsidP="00FE7C9E">
      <w:pPr>
        <w:jc w:val="both"/>
        <w:rPr>
          <w:rFonts w:asciiTheme="minorBidi" w:hAnsiTheme="minorBidi"/>
        </w:rPr>
      </w:pPr>
      <w:r w:rsidRPr="0088060B">
        <w:rPr>
          <w:rFonts w:asciiTheme="minorBidi" w:hAnsiTheme="minorBidi"/>
        </w:rPr>
        <w:t>The revised SAPs also make clear that BSLs indicate levels of risk above which the risk would</w:t>
      </w:r>
      <w:r w:rsidR="006C6D2B">
        <w:rPr>
          <w:rFonts w:asciiTheme="minorBidi" w:hAnsiTheme="minorBidi"/>
        </w:rPr>
        <w:t xml:space="preserve">, </w:t>
      </w:r>
      <w:r w:rsidR="007B0F9A" w:rsidRPr="007B0F9A">
        <w:rPr>
          <w:rFonts w:asciiTheme="minorBidi" w:hAnsiTheme="minorBidi"/>
        </w:rPr>
        <w:t xml:space="preserve">consistent with </w:t>
      </w:r>
      <w:r w:rsidR="002E3A4F">
        <w:rPr>
          <w:rFonts w:asciiTheme="minorBidi" w:hAnsiTheme="minorBidi"/>
        </w:rPr>
        <w:t>R2P2,</w:t>
      </w:r>
      <w:r w:rsidRPr="0088060B">
        <w:rPr>
          <w:rFonts w:asciiTheme="minorBidi" w:hAnsiTheme="minorBidi"/>
        </w:rPr>
        <w:t xml:space="preserve"> normally be regarded as </w:t>
      </w:r>
      <w:r w:rsidR="00EE55DD">
        <w:rPr>
          <w:rFonts w:asciiTheme="minorBidi" w:hAnsiTheme="minorBidi"/>
        </w:rPr>
        <w:t>intolerable</w:t>
      </w:r>
      <w:r w:rsidR="007B0F9A" w:rsidRPr="007B0F9A">
        <w:rPr>
          <w:rFonts w:asciiTheme="minorBidi" w:hAnsiTheme="minorBidi"/>
        </w:rPr>
        <w:t>.</w:t>
      </w:r>
      <w:r w:rsidRPr="0088060B">
        <w:rPr>
          <w:rFonts w:asciiTheme="minorBidi" w:hAnsiTheme="minorBidi"/>
        </w:rPr>
        <w:t xml:space="preserve"> Risks approaching or exceeding a BSL </w:t>
      </w:r>
      <w:r w:rsidR="007B0F9A" w:rsidRPr="007B0F9A">
        <w:rPr>
          <w:rFonts w:asciiTheme="minorBidi" w:hAnsiTheme="minorBidi"/>
        </w:rPr>
        <w:t>will</w:t>
      </w:r>
      <w:r w:rsidRPr="0088060B">
        <w:rPr>
          <w:rFonts w:asciiTheme="minorBidi" w:hAnsiTheme="minorBidi"/>
        </w:rPr>
        <w:t xml:space="preserve"> therefore attract significant regulatory attention.</w:t>
      </w:r>
      <w:r w:rsidR="0002312E">
        <w:rPr>
          <w:rFonts w:asciiTheme="minorBidi" w:hAnsiTheme="minorBidi"/>
        </w:rPr>
        <w:t xml:space="preserve"> </w:t>
      </w:r>
      <w:r w:rsidR="00D969E4" w:rsidRPr="00D969E4">
        <w:rPr>
          <w:rFonts w:asciiTheme="minorBidi" w:hAnsiTheme="minorBidi"/>
        </w:rPr>
        <w:t xml:space="preserve">However, exceeding a BSL does not, in itself, establish non-compliance with the legal obligation to reduce risks ALARP. Compliance must </w:t>
      </w:r>
      <w:r w:rsidR="001C7EC2">
        <w:rPr>
          <w:rFonts w:asciiTheme="minorBidi" w:hAnsiTheme="minorBidi"/>
        </w:rPr>
        <w:t>still</w:t>
      </w:r>
      <w:r w:rsidR="00D969E4" w:rsidRPr="00D969E4">
        <w:rPr>
          <w:rFonts w:asciiTheme="minorBidi" w:hAnsiTheme="minorBidi"/>
        </w:rPr>
        <w:t xml:space="preserve"> be determined by considering whether all</w:t>
      </w:r>
      <w:r w:rsidR="00AD1D85">
        <w:rPr>
          <w:rFonts w:asciiTheme="minorBidi" w:hAnsiTheme="minorBidi"/>
        </w:rPr>
        <w:t xml:space="preserve"> re</w:t>
      </w:r>
      <w:r w:rsidR="00CF7357">
        <w:rPr>
          <w:rFonts w:asciiTheme="minorBidi" w:hAnsiTheme="minorBidi"/>
        </w:rPr>
        <w:t xml:space="preserve">asonably </w:t>
      </w:r>
      <w:r w:rsidR="00635D8D">
        <w:rPr>
          <w:rFonts w:asciiTheme="minorBidi" w:hAnsiTheme="minorBidi"/>
        </w:rPr>
        <w:t>practic</w:t>
      </w:r>
      <w:r w:rsidR="00325E0B">
        <w:rPr>
          <w:rFonts w:asciiTheme="minorBidi" w:hAnsiTheme="minorBidi"/>
        </w:rPr>
        <w:t xml:space="preserve">able </w:t>
      </w:r>
      <w:r w:rsidR="00D969E4" w:rsidRPr="00D969E4">
        <w:rPr>
          <w:rFonts w:asciiTheme="minorBidi" w:hAnsiTheme="minorBidi"/>
        </w:rPr>
        <w:t xml:space="preserve">measures </w:t>
      </w:r>
      <w:r w:rsidR="009663A5">
        <w:rPr>
          <w:rFonts w:asciiTheme="minorBidi" w:hAnsiTheme="minorBidi"/>
        </w:rPr>
        <w:t xml:space="preserve">to </w:t>
      </w:r>
      <w:r w:rsidR="009519AE">
        <w:rPr>
          <w:rFonts w:asciiTheme="minorBidi" w:hAnsiTheme="minorBidi"/>
        </w:rPr>
        <w:t xml:space="preserve">reduce </w:t>
      </w:r>
      <w:r w:rsidR="00D969E4" w:rsidRPr="00D969E4">
        <w:rPr>
          <w:rFonts w:asciiTheme="minorBidi" w:hAnsiTheme="minorBidi"/>
        </w:rPr>
        <w:t>the risk have been taken.</w:t>
      </w:r>
      <w:r w:rsidR="001038A4">
        <w:rPr>
          <w:rFonts w:asciiTheme="minorBidi" w:hAnsiTheme="minorBidi"/>
        </w:rPr>
        <w:t xml:space="preserve"> </w:t>
      </w:r>
    </w:p>
    <w:p w14:paraId="2FB80445" w14:textId="0445E816" w:rsidR="00724EEC" w:rsidRPr="0088060B" w:rsidRDefault="34AF4393" w:rsidP="00182EDC">
      <w:pPr>
        <w:jc w:val="both"/>
        <w:rPr>
          <w:rFonts w:asciiTheme="minorBidi" w:hAnsiTheme="minorBidi"/>
        </w:rPr>
      </w:pPr>
      <w:r w:rsidRPr="5476F1C4">
        <w:rPr>
          <w:rFonts w:asciiTheme="minorBidi" w:hAnsiTheme="minorBidi"/>
        </w:rPr>
        <w:t xml:space="preserve">ONR continues to consider BSLs and RFLs valuable regulatory tools. Used as intended, they provide a clear and consistent basis for directing regulatory attention across different facilities and activities. The purpose of the revised framework is not to move away from numerical reference points, but to clarify their role. They support regulatory </w:t>
      </w:r>
      <w:r w:rsidR="00D24DFC">
        <w:rPr>
          <w:rFonts w:asciiTheme="minorBidi" w:hAnsiTheme="minorBidi"/>
        </w:rPr>
        <w:t xml:space="preserve">focus </w:t>
      </w:r>
      <w:r w:rsidR="008B2031">
        <w:rPr>
          <w:rFonts w:asciiTheme="minorBidi" w:hAnsiTheme="minorBidi"/>
        </w:rPr>
        <w:t>and ai</w:t>
      </w:r>
      <w:r w:rsidR="00377391">
        <w:rPr>
          <w:rFonts w:asciiTheme="minorBidi" w:hAnsiTheme="minorBidi"/>
        </w:rPr>
        <w:t xml:space="preserve">d </w:t>
      </w:r>
      <w:r w:rsidRPr="5476F1C4">
        <w:rPr>
          <w:rFonts w:asciiTheme="minorBidi" w:hAnsiTheme="minorBidi"/>
        </w:rPr>
        <w:t xml:space="preserve">judgement </w:t>
      </w:r>
      <w:r w:rsidR="00BE544D">
        <w:rPr>
          <w:rFonts w:asciiTheme="minorBidi" w:hAnsiTheme="minorBidi"/>
        </w:rPr>
        <w:t xml:space="preserve">but </w:t>
      </w:r>
      <w:r w:rsidR="00E52D5C">
        <w:rPr>
          <w:rFonts w:asciiTheme="minorBidi" w:hAnsiTheme="minorBidi"/>
        </w:rPr>
        <w:t xml:space="preserve">they </w:t>
      </w:r>
      <w:r w:rsidR="003668FF">
        <w:rPr>
          <w:rFonts w:asciiTheme="minorBidi" w:hAnsiTheme="minorBidi"/>
        </w:rPr>
        <w:t>do not an</w:t>
      </w:r>
      <w:r w:rsidR="00C52A4D">
        <w:rPr>
          <w:rFonts w:asciiTheme="minorBidi" w:hAnsiTheme="minorBidi"/>
        </w:rPr>
        <w:t>d cannot</w:t>
      </w:r>
      <w:r w:rsidR="002A6740">
        <w:rPr>
          <w:rFonts w:asciiTheme="minorBidi" w:hAnsiTheme="minorBidi"/>
        </w:rPr>
        <w:t xml:space="preserve"> </w:t>
      </w:r>
      <w:r w:rsidR="004234DD">
        <w:rPr>
          <w:rFonts w:asciiTheme="minorBidi" w:hAnsiTheme="minorBidi"/>
        </w:rPr>
        <w:t>chang</w:t>
      </w:r>
      <w:r w:rsidR="006674C4">
        <w:rPr>
          <w:rFonts w:asciiTheme="minorBidi" w:hAnsiTheme="minorBidi"/>
        </w:rPr>
        <w:t xml:space="preserve">e the </w:t>
      </w:r>
      <w:r w:rsidR="00F40BA3">
        <w:rPr>
          <w:rFonts w:asciiTheme="minorBidi" w:hAnsiTheme="minorBidi"/>
        </w:rPr>
        <w:t>legal du</w:t>
      </w:r>
      <w:r w:rsidR="00174D98">
        <w:rPr>
          <w:rFonts w:asciiTheme="minorBidi" w:hAnsiTheme="minorBidi"/>
        </w:rPr>
        <w:t xml:space="preserve">ty to </w:t>
      </w:r>
      <w:r w:rsidR="009C2EAA">
        <w:rPr>
          <w:rFonts w:asciiTheme="minorBidi" w:hAnsiTheme="minorBidi"/>
        </w:rPr>
        <w:t xml:space="preserve">reduce </w:t>
      </w:r>
      <w:r w:rsidR="00FB3D19">
        <w:rPr>
          <w:rFonts w:asciiTheme="minorBidi" w:hAnsiTheme="minorBidi"/>
        </w:rPr>
        <w:t xml:space="preserve">risks so </w:t>
      </w:r>
      <w:r w:rsidR="004276BB">
        <w:rPr>
          <w:rFonts w:asciiTheme="minorBidi" w:hAnsiTheme="minorBidi"/>
        </w:rPr>
        <w:t>far as i</w:t>
      </w:r>
      <w:r w:rsidR="00C2262B">
        <w:rPr>
          <w:rFonts w:asciiTheme="minorBidi" w:hAnsiTheme="minorBidi"/>
        </w:rPr>
        <w:t>s reasonabl</w:t>
      </w:r>
      <w:r w:rsidR="009C3D24">
        <w:rPr>
          <w:rFonts w:asciiTheme="minorBidi" w:hAnsiTheme="minorBidi"/>
        </w:rPr>
        <w:t>y pr</w:t>
      </w:r>
      <w:r w:rsidR="00BC20E4">
        <w:rPr>
          <w:rFonts w:asciiTheme="minorBidi" w:hAnsiTheme="minorBidi"/>
        </w:rPr>
        <w:t>acticabl</w:t>
      </w:r>
      <w:r w:rsidR="00036FEB">
        <w:rPr>
          <w:rFonts w:asciiTheme="minorBidi" w:hAnsiTheme="minorBidi"/>
        </w:rPr>
        <w:t>e</w:t>
      </w:r>
      <w:r w:rsidR="00C6102D">
        <w:rPr>
          <w:rFonts w:asciiTheme="minorBidi" w:hAnsiTheme="minorBidi"/>
        </w:rPr>
        <w:t xml:space="preserve">, which </w:t>
      </w:r>
      <w:r w:rsidR="00AA01BD">
        <w:rPr>
          <w:rFonts w:asciiTheme="minorBidi" w:hAnsiTheme="minorBidi"/>
        </w:rPr>
        <w:t>appl</w:t>
      </w:r>
      <w:r w:rsidR="005059B6">
        <w:rPr>
          <w:rFonts w:asciiTheme="minorBidi" w:hAnsiTheme="minorBidi"/>
        </w:rPr>
        <w:t>ies</w:t>
      </w:r>
      <w:r w:rsidR="00AD5206">
        <w:rPr>
          <w:rFonts w:asciiTheme="minorBidi" w:hAnsiTheme="minorBidi"/>
        </w:rPr>
        <w:t xml:space="preserve"> </w:t>
      </w:r>
      <w:r w:rsidR="00AD2DA5">
        <w:rPr>
          <w:rFonts w:asciiTheme="minorBidi" w:hAnsiTheme="minorBidi"/>
        </w:rPr>
        <w:t>regardles</w:t>
      </w:r>
      <w:r w:rsidR="00BC2ED1">
        <w:rPr>
          <w:rFonts w:asciiTheme="minorBidi" w:hAnsiTheme="minorBidi"/>
        </w:rPr>
        <w:t>s of the siz</w:t>
      </w:r>
      <w:r w:rsidR="005F5417">
        <w:rPr>
          <w:rFonts w:asciiTheme="minorBidi" w:hAnsiTheme="minorBidi"/>
        </w:rPr>
        <w:t>e of t</w:t>
      </w:r>
      <w:r w:rsidR="00FB4F16">
        <w:rPr>
          <w:rFonts w:asciiTheme="minorBidi" w:hAnsiTheme="minorBidi"/>
        </w:rPr>
        <w:t xml:space="preserve">he risk. </w:t>
      </w:r>
    </w:p>
    <w:p w14:paraId="4FD4439B" w14:textId="0E753183" w:rsidR="00F047B2" w:rsidRPr="00F047B2" w:rsidRDefault="00F047B2" w:rsidP="00FE7C9E">
      <w:pPr>
        <w:jc w:val="both"/>
        <w:rPr>
          <w:rFonts w:asciiTheme="minorBidi" w:hAnsiTheme="minorBidi"/>
          <w:u w:val="single"/>
        </w:rPr>
      </w:pPr>
      <w:r w:rsidRPr="00F047B2">
        <w:rPr>
          <w:rFonts w:asciiTheme="minorBidi" w:hAnsiTheme="minorBidi"/>
          <w:u w:val="single"/>
        </w:rPr>
        <w:lastRenderedPageBreak/>
        <w:t>Numerical reference point values</w:t>
      </w:r>
    </w:p>
    <w:p w14:paraId="771F74D2" w14:textId="4D381308" w:rsidR="00FE7C9E" w:rsidRPr="0088060B" w:rsidRDefault="00FE7C9E" w:rsidP="00FE7C9E">
      <w:pPr>
        <w:jc w:val="both"/>
        <w:rPr>
          <w:rFonts w:asciiTheme="minorBidi" w:hAnsiTheme="minorBidi"/>
        </w:rPr>
      </w:pPr>
      <w:r w:rsidRPr="0088060B">
        <w:rPr>
          <w:rFonts w:asciiTheme="minorBidi" w:hAnsiTheme="minorBidi"/>
        </w:rPr>
        <w:t xml:space="preserve">The numerical values of the RFLs have been </w:t>
      </w:r>
      <w:r w:rsidR="00CA6FBD">
        <w:rPr>
          <w:rFonts w:asciiTheme="minorBidi" w:hAnsiTheme="minorBidi"/>
        </w:rPr>
        <w:t>revised</w:t>
      </w:r>
      <w:r w:rsidRPr="0088060B">
        <w:rPr>
          <w:rFonts w:asciiTheme="minorBidi" w:hAnsiTheme="minorBidi"/>
        </w:rPr>
        <w:t xml:space="preserve"> to reflect current standards for normal operation and fault conditions. In </w:t>
      </w:r>
      <w:r w:rsidR="00CA6FBD">
        <w:rPr>
          <w:rFonts w:asciiTheme="minorBidi" w:hAnsiTheme="minorBidi"/>
        </w:rPr>
        <w:t>updating</w:t>
      </w:r>
      <w:r w:rsidRPr="0088060B">
        <w:rPr>
          <w:rFonts w:asciiTheme="minorBidi" w:hAnsiTheme="minorBidi"/>
        </w:rPr>
        <w:t xml:space="preserve"> these values, ONR has had regard to the relevant legal dose limits within the Ionising Radiations Regulations 2017</w:t>
      </w:r>
      <w:r w:rsidR="00681B71">
        <w:rPr>
          <w:rFonts w:asciiTheme="minorBidi" w:hAnsiTheme="minorBidi"/>
        </w:rPr>
        <w:t xml:space="preserve"> (IRR17)</w:t>
      </w:r>
      <w:r w:rsidRPr="0088060B">
        <w:rPr>
          <w:rFonts w:asciiTheme="minorBidi" w:hAnsiTheme="minorBidi"/>
        </w:rPr>
        <w:t>, alongside the requirement to restrict exposure so far as is reasonably practicable, supporting guidance, practical experience of doses around nuclear sites and the ability to measure very low levels of exposure.</w:t>
      </w:r>
      <w:r w:rsidR="00C779B9">
        <w:rPr>
          <w:rFonts w:asciiTheme="minorBidi" w:hAnsiTheme="minorBidi"/>
        </w:rPr>
        <w:t xml:space="preserve"> </w:t>
      </w:r>
      <w:r w:rsidR="00E37DF3">
        <w:rPr>
          <w:rFonts w:asciiTheme="minorBidi" w:hAnsiTheme="minorBidi"/>
        </w:rPr>
        <w:t xml:space="preserve">To avoid </w:t>
      </w:r>
      <w:r w:rsidR="00EF444D">
        <w:rPr>
          <w:rFonts w:asciiTheme="minorBidi" w:hAnsiTheme="minorBidi"/>
        </w:rPr>
        <w:t>giving</w:t>
      </w:r>
      <w:r w:rsidR="00C9728F">
        <w:rPr>
          <w:rFonts w:asciiTheme="minorBidi" w:hAnsiTheme="minorBidi"/>
        </w:rPr>
        <w:t xml:space="preserve"> any im</w:t>
      </w:r>
      <w:r w:rsidR="00A27A14">
        <w:rPr>
          <w:rFonts w:asciiTheme="minorBidi" w:hAnsiTheme="minorBidi"/>
        </w:rPr>
        <w:t xml:space="preserve">pression </w:t>
      </w:r>
      <w:r w:rsidR="00786D2C">
        <w:rPr>
          <w:rFonts w:asciiTheme="minorBidi" w:hAnsiTheme="minorBidi"/>
        </w:rPr>
        <w:t xml:space="preserve">of </w:t>
      </w:r>
      <w:r w:rsidR="006F3FF4">
        <w:rPr>
          <w:rFonts w:asciiTheme="minorBidi" w:hAnsiTheme="minorBidi"/>
        </w:rPr>
        <w:t>fals</w:t>
      </w:r>
      <w:r w:rsidR="00290A0A">
        <w:rPr>
          <w:rFonts w:asciiTheme="minorBidi" w:hAnsiTheme="minorBidi"/>
        </w:rPr>
        <w:t>e pre</w:t>
      </w:r>
      <w:r w:rsidR="00C540ED">
        <w:rPr>
          <w:rFonts w:asciiTheme="minorBidi" w:hAnsiTheme="minorBidi"/>
        </w:rPr>
        <w:t xml:space="preserve">cision, </w:t>
      </w:r>
      <w:r w:rsidR="001F2190">
        <w:rPr>
          <w:rFonts w:asciiTheme="minorBidi" w:hAnsiTheme="minorBidi"/>
        </w:rPr>
        <w:t>we typic</w:t>
      </w:r>
      <w:r w:rsidR="00D26245">
        <w:rPr>
          <w:rFonts w:asciiTheme="minorBidi" w:hAnsiTheme="minorBidi"/>
        </w:rPr>
        <w:t>ally r</w:t>
      </w:r>
      <w:r w:rsidR="00485FB0">
        <w:rPr>
          <w:rFonts w:asciiTheme="minorBidi" w:hAnsiTheme="minorBidi"/>
        </w:rPr>
        <w:t xml:space="preserve">ound </w:t>
      </w:r>
      <w:r w:rsidR="00F54216">
        <w:rPr>
          <w:rFonts w:asciiTheme="minorBidi" w:hAnsiTheme="minorBidi"/>
        </w:rPr>
        <w:t xml:space="preserve">our </w:t>
      </w:r>
      <w:r w:rsidR="00E71212">
        <w:rPr>
          <w:rFonts w:asciiTheme="minorBidi" w:hAnsiTheme="minorBidi"/>
        </w:rPr>
        <w:t>numer</w:t>
      </w:r>
      <w:r w:rsidR="005F0CC1">
        <w:rPr>
          <w:rFonts w:asciiTheme="minorBidi" w:hAnsiTheme="minorBidi"/>
        </w:rPr>
        <w:t>ica</w:t>
      </w:r>
      <w:r w:rsidR="00B778CB">
        <w:rPr>
          <w:rFonts w:asciiTheme="minorBidi" w:hAnsiTheme="minorBidi"/>
        </w:rPr>
        <w:t>l re</w:t>
      </w:r>
      <w:r w:rsidR="003E4D96">
        <w:rPr>
          <w:rFonts w:asciiTheme="minorBidi" w:hAnsiTheme="minorBidi"/>
        </w:rPr>
        <w:t>ference p</w:t>
      </w:r>
      <w:r w:rsidR="00F50019">
        <w:rPr>
          <w:rFonts w:asciiTheme="minorBidi" w:hAnsiTheme="minorBidi"/>
        </w:rPr>
        <w:t xml:space="preserve">oints to </w:t>
      </w:r>
      <w:r w:rsidR="00E83018">
        <w:rPr>
          <w:rFonts w:asciiTheme="minorBidi" w:hAnsiTheme="minorBidi"/>
        </w:rPr>
        <w:t>an order-</w:t>
      </w:r>
      <w:r w:rsidR="005A02B4">
        <w:rPr>
          <w:rFonts w:asciiTheme="minorBidi" w:hAnsiTheme="minorBidi"/>
        </w:rPr>
        <w:t>of</w:t>
      </w:r>
      <w:r w:rsidR="00BD275A">
        <w:rPr>
          <w:rFonts w:asciiTheme="minorBidi" w:hAnsiTheme="minorBidi"/>
        </w:rPr>
        <w:t>-</w:t>
      </w:r>
      <w:r w:rsidR="007A767A">
        <w:rPr>
          <w:rFonts w:asciiTheme="minorBidi" w:hAnsiTheme="minorBidi"/>
        </w:rPr>
        <w:t>mag</w:t>
      </w:r>
      <w:r w:rsidR="00C13544">
        <w:rPr>
          <w:rFonts w:asciiTheme="minorBidi" w:hAnsiTheme="minorBidi"/>
        </w:rPr>
        <w:t>nitude</w:t>
      </w:r>
      <w:r w:rsidR="001560BE">
        <w:rPr>
          <w:rFonts w:asciiTheme="minorBidi" w:hAnsiTheme="minorBidi"/>
        </w:rPr>
        <w:t xml:space="preserve">, </w:t>
      </w:r>
      <w:r w:rsidR="00687AF0">
        <w:rPr>
          <w:rFonts w:asciiTheme="minorBidi" w:hAnsiTheme="minorBidi"/>
        </w:rPr>
        <w:t xml:space="preserve">although </w:t>
      </w:r>
      <w:r w:rsidR="0063189F">
        <w:rPr>
          <w:rFonts w:asciiTheme="minorBidi" w:hAnsiTheme="minorBidi"/>
        </w:rPr>
        <w:t>wher</w:t>
      </w:r>
      <w:r w:rsidR="009A2A9B">
        <w:rPr>
          <w:rFonts w:asciiTheme="minorBidi" w:hAnsiTheme="minorBidi"/>
        </w:rPr>
        <w:t>e approp</w:t>
      </w:r>
      <w:r w:rsidR="006C4400">
        <w:rPr>
          <w:rFonts w:asciiTheme="minorBidi" w:hAnsiTheme="minorBidi"/>
        </w:rPr>
        <w:t xml:space="preserve">riate </w:t>
      </w:r>
      <w:r w:rsidR="00086447">
        <w:rPr>
          <w:rFonts w:asciiTheme="minorBidi" w:hAnsiTheme="minorBidi"/>
        </w:rPr>
        <w:t xml:space="preserve">we </w:t>
      </w:r>
      <w:r w:rsidR="00DD4438">
        <w:rPr>
          <w:rFonts w:asciiTheme="minorBidi" w:hAnsiTheme="minorBidi"/>
        </w:rPr>
        <w:t>make e</w:t>
      </w:r>
      <w:r w:rsidR="002970F5">
        <w:rPr>
          <w:rFonts w:asciiTheme="minorBidi" w:hAnsiTheme="minorBidi"/>
        </w:rPr>
        <w:t>xceptio</w:t>
      </w:r>
      <w:r w:rsidR="005237C2">
        <w:rPr>
          <w:rFonts w:asciiTheme="minorBidi" w:hAnsiTheme="minorBidi"/>
        </w:rPr>
        <w:t xml:space="preserve">ns </w:t>
      </w:r>
      <w:r w:rsidR="00EE14C2">
        <w:rPr>
          <w:rFonts w:asciiTheme="minorBidi" w:hAnsiTheme="minorBidi"/>
        </w:rPr>
        <w:t>(</w:t>
      </w:r>
      <w:r w:rsidR="00A32BF2">
        <w:rPr>
          <w:rFonts w:asciiTheme="minorBidi" w:hAnsiTheme="minorBidi"/>
        </w:rPr>
        <w:t>e.g. t</w:t>
      </w:r>
      <w:r w:rsidR="00C72412">
        <w:rPr>
          <w:rFonts w:asciiTheme="minorBidi" w:hAnsiTheme="minorBidi"/>
        </w:rPr>
        <w:t>o align</w:t>
      </w:r>
      <w:r w:rsidR="00556028">
        <w:rPr>
          <w:rFonts w:asciiTheme="minorBidi" w:hAnsiTheme="minorBidi"/>
        </w:rPr>
        <w:t xml:space="preserve"> to a </w:t>
      </w:r>
      <w:r w:rsidR="00C66C11">
        <w:rPr>
          <w:rFonts w:asciiTheme="minorBidi" w:hAnsiTheme="minorBidi"/>
        </w:rPr>
        <w:t xml:space="preserve">legal </w:t>
      </w:r>
      <w:r w:rsidR="00E75511">
        <w:rPr>
          <w:rFonts w:asciiTheme="minorBidi" w:hAnsiTheme="minorBidi"/>
        </w:rPr>
        <w:t>limit)</w:t>
      </w:r>
      <w:r w:rsidR="008B7C41">
        <w:rPr>
          <w:rFonts w:asciiTheme="minorBidi" w:hAnsiTheme="minorBidi"/>
        </w:rPr>
        <w:t>.</w:t>
      </w:r>
      <w:r w:rsidR="000A3240">
        <w:rPr>
          <w:rFonts w:asciiTheme="minorBidi" w:hAnsiTheme="minorBidi"/>
        </w:rPr>
        <w:t xml:space="preserve"> </w:t>
      </w:r>
      <w:r w:rsidR="00A93BD3">
        <w:rPr>
          <w:rFonts w:asciiTheme="minorBidi" w:hAnsiTheme="minorBidi"/>
        </w:rPr>
        <w:t xml:space="preserve">We have </w:t>
      </w:r>
      <w:r w:rsidR="00507732">
        <w:rPr>
          <w:rFonts w:asciiTheme="minorBidi" w:hAnsiTheme="minorBidi"/>
        </w:rPr>
        <w:t>also</w:t>
      </w:r>
      <w:r w:rsidR="00C96A70">
        <w:rPr>
          <w:rFonts w:asciiTheme="minorBidi" w:hAnsiTheme="minorBidi"/>
        </w:rPr>
        <w:t xml:space="preserve"> considere</w:t>
      </w:r>
      <w:r w:rsidR="00916232">
        <w:rPr>
          <w:rFonts w:asciiTheme="minorBidi" w:hAnsiTheme="minorBidi"/>
        </w:rPr>
        <w:t>d the need</w:t>
      </w:r>
      <w:r w:rsidR="009C6D71">
        <w:rPr>
          <w:rFonts w:asciiTheme="minorBidi" w:hAnsiTheme="minorBidi"/>
        </w:rPr>
        <w:t xml:space="preserve"> for an appropria</w:t>
      </w:r>
      <w:r w:rsidR="005840E7">
        <w:rPr>
          <w:rFonts w:asciiTheme="minorBidi" w:hAnsiTheme="minorBidi"/>
        </w:rPr>
        <w:t xml:space="preserve">te </w:t>
      </w:r>
      <w:r w:rsidR="00B9608C">
        <w:rPr>
          <w:rFonts w:asciiTheme="minorBidi" w:hAnsiTheme="minorBidi"/>
        </w:rPr>
        <w:t xml:space="preserve">window between </w:t>
      </w:r>
      <w:r w:rsidR="00345AB5">
        <w:rPr>
          <w:rFonts w:asciiTheme="minorBidi" w:hAnsiTheme="minorBidi"/>
        </w:rPr>
        <w:t>the R</w:t>
      </w:r>
      <w:r w:rsidR="00D573D3">
        <w:rPr>
          <w:rFonts w:asciiTheme="minorBidi" w:hAnsiTheme="minorBidi"/>
        </w:rPr>
        <w:t>F</w:t>
      </w:r>
      <w:r w:rsidR="00D73E8D">
        <w:rPr>
          <w:rFonts w:asciiTheme="minorBidi" w:hAnsiTheme="minorBidi"/>
        </w:rPr>
        <w:t>L and</w:t>
      </w:r>
      <w:r w:rsidR="00875730">
        <w:rPr>
          <w:rFonts w:asciiTheme="minorBidi" w:hAnsiTheme="minorBidi"/>
        </w:rPr>
        <w:t xml:space="preserve"> BSL </w:t>
      </w:r>
      <w:r w:rsidR="006E1D11">
        <w:rPr>
          <w:rFonts w:asciiTheme="minorBidi" w:hAnsiTheme="minorBidi"/>
        </w:rPr>
        <w:t>so th</w:t>
      </w:r>
      <w:r w:rsidR="00997DA4">
        <w:rPr>
          <w:rFonts w:asciiTheme="minorBidi" w:hAnsiTheme="minorBidi"/>
        </w:rPr>
        <w:t>at regulatory att</w:t>
      </w:r>
      <w:r w:rsidR="00077FA3">
        <w:rPr>
          <w:rFonts w:asciiTheme="minorBidi" w:hAnsiTheme="minorBidi"/>
        </w:rPr>
        <w:t xml:space="preserve">ention </w:t>
      </w:r>
      <w:r w:rsidR="00203A9B">
        <w:rPr>
          <w:rFonts w:asciiTheme="minorBidi" w:hAnsiTheme="minorBidi"/>
        </w:rPr>
        <w:t>scal</w:t>
      </w:r>
      <w:r w:rsidR="00176C2D">
        <w:rPr>
          <w:rFonts w:asciiTheme="minorBidi" w:hAnsiTheme="minorBidi"/>
        </w:rPr>
        <w:t xml:space="preserve">es with </w:t>
      </w:r>
      <w:r w:rsidR="00947926">
        <w:rPr>
          <w:rFonts w:asciiTheme="minorBidi" w:hAnsiTheme="minorBidi"/>
        </w:rPr>
        <w:t xml:space="preserve">risk </w:t>
      </w:r>
      <w:r w:rsidR="005D3F35">
        <w:rPr>
          <w:rFonts w:asciiTheme="minorBidi" w:hAnsiTheme="minorBidi"/>
        </w:rPr>
        <w:t xml:space="preserve">over </w:t>
      </w:r>
      <w:r w:rsidR="00127669">
        <w:rPr>
          <w:rFonts w:asciiTheme="minorBidi" w:hAnsiTheme="minorBidi"/>
        </w:rPr>
        <w:t xml:space="preserve">a </w:t>
      </w:r>
      <w:r w:rsidR="00EF25CB">
        <w:rPr>
          <w:rFonts w:asciiTheme="minorBidi" w:hAnsiTheme="minorBidi"/>
        </w:rPr>
        <w:t>sensib</w:t>
      </w:r>
      <w:r w:rsidR="003A3DBD">
        <w:rPr>
          <w:rFonts w:asciiTheme="minorBidi" w:hAnsiTheme="minorBidi"/>
        </w:rPr>
        <w:t xml:space="preserve">le </w:t>
      </w:r>
      <w:r w:rsidR="00107445">
        <w:rPr>
          <w:rFonts w:asciiTheme="minorBidi" w:hAnsiTheme="minorBidi"/>
        </w:rPr>
        <w:t>range</w:t>
      </w:r>
      <w:r w:rsidR="00A6758F">
        <w:rPr>
          <w:rFonts w:asciiTheme="minorBidi" w:hAnsiTheme="minorBidi"/>
        </w:rPr>
        <w:t xml:space="preserve"> (this is</w:t>
      </w:r>
      <w:r w:rsidR="008171C5">
        <w:rPr>
          <w:rFonts w:asciiTheme="minorBidi" w:hAnsiTheme="minorBidi"/>
        </w:rPr>
        <w:t xml:space="preserve"> typicall</w:t>
      </w:r>
      <w:r w:rsidR="00357358">
        <w:rPr>
          <w:rFonts w:asciiTheme="minorBidi" w:hAnsiTheme="minorBidi"/>
        </w:rPr>
        <w:t xml:space="preserve">y between </w:t>
      </w:r>
      <w:r w:rsidR="005F60FD">
        <w:rPr>
          <w:rFonts w:asciiTheme="minorBidi" w:hAnsiTheme="minorBidi"/>
        </w:rPr>
        <w:t>one</w:t>
      </w:r>
      <w:r w:rsidR="0061015C">
        <w:rPr>
          <w:rFonts w:asciiTheme="minorBidi" w:hAnsiTheme="minorBidi"/>
        </w:rPr>
        <w:t xml:space="preserve"> to </w:t>
      </w:r>
      <w:r w:rsidR="005F60FD">
        <w:rPr>
          <w:rFonts w:asciiTheme="minorBidi" w:hAnsiTheme="minorBidi"/>
        </w:rPr>
        <w:t>two</w:t>
      </w:r>
      <w:r w:rsidR="0061015C">
        <w:rPr>
          <w:rFonts w:asciiTheme="minorBidi" w:hAnsiTheme="minorBidi"/>
        </w:rPr>
        <w:t xml:space="preserve"> or</w:t>
      </w:r>
      <w:r w:rsidR="00592297">
        <w:rPr>
          <w:rFonts w:asciiTheme="minorBidi" w:hAnsiTheme="minorBidi"/>
        </w:rPr>
        <w:t>ders-o</w:t>
      </w:r>
      <w:r w:rsidR="0042294B">
        <w:rPr>
          <w:rFonts w:asciiTheme="minorBidi" w:hAnsiTheme="minorBidi"/>
        </w:rPr>
        <w:t>f-</w:t>
      </w:r>
      <w:r w:rsidR="0021178F">
        <w:rPr>
          <w:rFonts w:asciiTheme="minorBidi" w:hAnsiTheme="minorBidi"/>
        </w:rPr>
        <w:t>mag</w:t>
      </w:r>
      <w:r w:rsidR="00AF2A53">
        <w:rPr>
          <w:rFonts w:asciiTheme="minorBidi" w:hAnsiTheme="minorBidi"/>
        </w:rPr>
        <w:t>nitude</w:t>
      </w:r>
      <w:r w:rsidR="00754829">
        <w:rPr>
          <w:rFonts w:asciiTheme="minorBidi" w:hAnsiTheme="minorBidi"/>
        </w:rPr>
        <w:t>)</w:t>
      </w:r>
      <w:r w:rsidR="007C62D7">
        <w:rPr>
          <w:rFonts w:asciiTheme="minorBidi" w:hAnsiTheme="minorBidi"/>
        </w:rPr>
        <w:t>.</w:t>
      </w:r>
    </w:p>
    <w:p w14:paraId="0CD18B7C" w14:textId="13221E8D" w:rsidR="00FE7C9E" w:rsidRPr="0088060B" w:rsidRDefault="00A65B96" w:rsidP="00FE7C9E">
      <w:pPr>
        <w:jc w:val="both"/>
        <w:rPr>
          <w:rFonts w:asciiTheme="minorBidi" w:hAnsiTheme="minorBidi"/>
        </w:rPr>
      </w:pPr>
      <w:r>
        <w:rPr>
          <w:rFonts w:asciiTheme="minorBidi" w:hAnsiTheme="minorBidi"/>
        </w:rPr>
        <w:t xml:space="preserve">Here we highlight the </w:t>
      </w:r>
      <w:r w:rsidR="00A17DB2">
        <w:rPr>
          <w:rFonts w:asciiTheme="minorBidi" w:hAnsiTheme="minorBidi"/>
        </w:rPr>
        <w:t xml:space="preserve">proposed </w:t>
      </w:r>
      <w:r>
        <w:rPr>
          <w:rFonts w:asciiTheme="minorBidi" w:hAnsiTheme="minorBidi"/>
        </w:rPr>
        <w:t xml:space="preserve">changes </w:t>
      </w:r>
      <w:r w:rsidR="00D5540A">
        <w:rPr>
          <w:rFonts w:asciiTheme="minorBidi" w:hAnsiTheme="minorBidi"/>
        </w:rPr>
        <w:t xml:space="preserve">in numerical reference points relating to </w:t>
      </w:r>
      <w:r w:rsidR="00FE7C9E" w:rsidRPr="0088060B">
        <w:rPr>
          <w:rFonts w:asciiTheme="minorBidi" w:hAnsiTheme="minorBidi"/>
        </w:rPr>
        <w:t xml:space="preserve"> exposure</w:t>
      </w:r>
      <w:r w:rsidR="00D5540A">
        <w:rPr>
          <w:rFonts w:asciiTheme="minorBidi" w:hAnsiTheme="minorBidi"/>
        </w:rPr>
        <w:t>s</w:t>
      </w:r>
      <w:r w:rsidR="00FE7C9E" w:rsidRPr="0088060B">
        <w:rPr>
          <w:rFonts w:asciiTheme="minorBidi" w:hAnsiTheme="minorBidi"/>
        </w:rPr>
        <w:t xml:space="preserve"> during normal operation</w:t>
      </w:r>
      <w:r w:rsidR="00450C6C">
        <w:rPr>
          <w:rFonts w:asciiTheme="minorBidi" w:hAnsiTheme="minorBidi"/>
        </w:rPr>
        <w:t xml:space="preserve"> in Risk Indicators 1 and 3 respectively</w:t>
      </w:r>
      <w:r w:rsidR="00FE7C9E" w:rsidRPr="0088060B">
        <w:rPr>
          <w:rFonts w:asciiTheme="minorBidi" w:hAnsiTheme="minorBidi"/>
        </w:rPr>
        <w:t>:</w:t>
      </w:r>
    </w:p>
    <w:p w14:paraId="22C24A8B" w14:textId="77777777" w:rsidR="00530485" w:rsidRDefault="00530485" w:rsidP="00530485">
      <w:pPr>
        <w:pStyle w:val="ListParagraph"/>
        <w:numPr>
          <w:ilvl w:val="0"/>
          <w:numId w:val="17"/>
        </w:numPr>
        <w:jc w:val="both"/>
        <w:rPr>
          <w:rFonts w:asciiTheme="minorBidi" w:hAnsiTheme="minorBidi"/>
        </w:rPr>
      </w:pPr>
      <w:r w:rsidRPr="00530485">
        <w:rPr>
          <w:rFonts w:asciiTheme="minorBidi" w:hAnsiTheme="minorBidi"/>
        </w:rPr>
        <w:t>The RFL for an employee on a nuclear site who does not work directly with ionising radiation is 0.5 mSv per year (the corresponding BSO was 0.1 mSv per year).</w:t>
      </w:r>
    </w:p>
    <w:p w14:paraId="375BFF1C" w14:textId="77777777" w:rsidR="00E640B2" w:rsidRPr="00530485" w:rsidRDefault="00E640B2" w:rsidP="00E640B2">
      <w:pPr>
        <w:pStyle w:val="ListParagraph"/>
        <w:jc w:val="both"/>
        <w:rPr>
          <w:rFonts w:asciiTheme="minorBidi" w:hAnsiTheme="minorBidi"/>
        </w:rPr>
      </w:pPr>
    </w:p>
    <w:p w14:paraId="245F91E6" w14:textId="77777777" w:rsidR="00530485" w:rsidRPr="00530485" w:rsidRDefault="00530485" w:rsidP="00530485">
      <w:pPr>
        <w:pStyle w:val="ListParagraph"/>
        <w:numPr>
          <w:ilvl w:val="0"/>
          <w:numId w:val="17"/>
        </w:numPr>
        <w:jc w:val="both"/>
        <w:rPr>
          <w:rFonts w:asciiTheme="minorBidi" w:hAnsiTheme="minorBidi"/>
        </w:rPr>
      </w:pPr>
      <w:r w:rsidRPr="00530485">
        <w:rPr>
          <w:rFonts w:asciiTheme="minorBidi" w:hAnsiTheme="minorBidi"/>
        </w:rPr>
        <w:t>The RFL for any person off-site is 0.1 mSv per year (the corresponding BSO was 0.02 mSv per year).</w:t>
      </w:r>
    </w:p>
    <w:p w14:paraId="4FB69C08" w14:textId="449F0A6B" w:rsidR="00FE7C9E" w:rsidRPr="0088060B" w:rsidRDefault="007843F5" w:rsidP="00FE7C9E">
      <w:pPr>
        <w:jc w:val="both"/>
        <w:rPr>
          <w:rFonts w:asciiTheme="minorBidi" w:hAnsiTheme="minorBidi"/>
        </w:rPr>
      </w:pPr>
      <w:r>
        <w:rPr>
          <w:rFonts w:asciiTheme="minorBidi" w:hAnsiTheme="minorBidi"/>
        </w:rPr>
        <w:t xml:space="preserve">We have </w:t>
      </w:r>
      <w:r w:rsidR="00E17772">
        <w:rPr>
          <w:rFonts w:asciiTheme="minorBidi" w:hAnsiTheme="minorBidi"/>
        </w:rPr>
        <w:t xml:space="preserve">also </w:t>
      </w:r>
      <w:r>
        <w:rPr>
          <w:rFonts w:asciiTheme="minorBidi" w:hAnsiTheme="minorBidi"/>
        </w:rPr>
        <w:t xml:space="preserve">revised the RFLs in Risk Indicator 4 to </w:t>
      </w:r>
      <w:r w:rsidR="00E17772">
        <w:rPr>
          <w:rFonts w:asciiTheme="minorBidi" w:hAnsiTheme="minorBidi"/>
        </w:rPr>
        <w:t xml:space="preserve">maintain alignment to these values. </w:t>
      </w:r>
      <w:r w:rsidR="00663487">
        <w:rPr>
          <w:rFonts w:asciiTheme="minorBidi" w:hAnsiTheme="minorBidi"/>
        </w:rPr>
        <w:t>T</w:t>
      </w:r>
      <w:r w:rsidR="00F46F96">
        <w:rPr>
          <w:rFonts w:asciiTheme="minorBidi" w:hAnsiTheme="minorBidi"/>
        </w:rPr>
        <w:t>he SAPs consultation document</w:t>
      </w:r>
      <w:r w:rsidR="004414D8">
        <w:rPr>
          <w:rFonts w:asciiTheme="minorBidi" w:hAnsiTheme="minorBidi"/>
        </w:rPr>
        <w:t xml:space="preserve"> (page 6)</w:t>
      </w:r>
      <w:r w:rsidR="00663487">
        <w:rPr>
          <w:rFonts w:asciiTheme="minorBidi" w:hAnsiTheme="minorBidi"/>
        </w:rPr>
        <w:t xml:space="preserve"> describes why</w:t>
      </w:r>
      <w:r w:rsidR="004414D8">
        <w:rPr>
          <w:rFonts w:asciiTheme="minorBidi" w:hAnsiTheme="minorBidi"/>
        </w:rPr>
        <w:t xml:space="preserve"> </w:t>
      </w:r>
      <w:r w:rsidR="00FE7C9E" w:rsidRPr="0088060B">
        <w:rPr>
          <w:rFonts w:asciiTheme="minorBidi" w:hAnsiTheme="minorBidi"/>
        </w:rPr>
        <w:t xml:space="preserve">ONR considers that these values provide proportionate benchmarks for directing regulatory attention. </w:t>
      </w:r>
    </w:p>
    <w:p w14:paraId="2B8CCACE" w14:textId="3F03B558" w:rsidR="00FE7C9E" w:rsidRDefault="00FE7C9E" w:rsidP="00FE7C9E">
      <w:pPr>
        <w:jc w:val="both"/>
        <w:rPr>
          <w:rFonts w:asciiTheme="minorBidi" w:hAnsiTheme="minorBidi"/>
        </w:rPr>
      </w:pPr>
      <w:r w:rsidRPr="0088060B">
        <w:rPr>
          <w:rFonts w:asciiTheme="minorBidi" w:hAnsiTheme="minorBidi"/>
        </w:rPr>
        <w:t xml:space="preserve">Risk indicator 2, concerning average doses to groups of employees on a site, remains unchanged. Average dose provides </w:t>
      </w:r>
      <w:r w:rsidR="00DF1ADA">
        <w:rPr>
          <w:rFonts w:asciiTheme="minorBidi" w:hAnsiTheme="minorBidi"/>
        </w:rPr>
        <w:t>the</w:t>
      </w:r>
      <w:r w:rsidR="00FF4FD7">
        <w:rPr>
          <w:rFonts w:asciiTheme="minorBidi" w:hAnsiTheme="minorBidi"/>
        </w:rPr>
        <w:t xml:space="preserve"> (only)</w:t>
      </w:r>
      <w:r w:rsidRPr="0088060B">
        <w:rPr>
          <w:rFonts w:asciiTheme="minorBidi" w:hAnsiTheme="minorBidi"/>
        </w:rPr>
        <w:t xml:space="preserve"> basis for considering collective exposure because safety cases commonly use dose budgets that relate collective dose to the number of workers involved. A single generally applicable numerical value for total collective dose would not be appropriate because workforce numbers and the nature of the work vary. Risk indicator 2 therefore supports inspectors in making informed judgements about the adequacy of controls over collective dose</w:t>
      </w:r>
      <w:r w:rsidR="005B26A2">
        <w:rPr>
          <w:rFonts w:asciiTheme="minorBidi" w:hAnsiTheme="minorBidi"/>
        </w:rPr>
        <w:t xml:space="preserve">, for example </w:t>
      </w:r>
      <w:r w:rsidR="00254646">
        <w:rPr>
          <w:rFonts w:asciiTheme="minorBidi" w:hAnsiTheme="minorBidi"/>
        </w:rPr>
        <w:t>in design of</w:t>
      </w:r>
      <w:r w:rsidR="005B26A2">
        <w:rPr>
          <w:rFonts w:asciiTheme="minorBidi" w:hAnsiTheme="minorBidi"/>
        </w:rPr>
        <w:t xml:space="preserve"> new facilities or reactor outage</w:t>
      </w:r>
      <w:r w:rsidR="004C6266">
        <w:rPr>
          <w:rFonts w:asciiTheme="minorBidi" w:hAnsiTheme="minorBidi"/>
        </w:rPr>
        <w:t xml:space="preserve"> planning</w:t>
      </w:r>
      <w:r w:rsidRPr="0088060B">
        <w:rPr>
          <w:rFonts w:asciiTheme="minorBidi" w:hAnsiTheme="minorBidi"/>
        </w:rPr>
        <w:t>.</w:t>
      </w:r>
      <w:r w:rsidR="00B6176D" w:rsidRPr="00B6176D">
        <w:rPr>
          <w:rFonts w:ascii="Segoe UI" w:eastAsia="Times New Roman" w:hAnsi="Segoe UI" w:cs="Segoe UI"/>
          <w:kern w:val="0"/>
          <w:sz w:val="21"/>
          <w:szCs w:val="21"/>
          <w:lang w:eastAsia="en-GB"/>
          <w14:ligatures w14:val="none"/>
        </w:rPr>
        <w:t xml:space="preserve"> </w:t>
      </w:r>
      <w:r w:rsidR="00B6176D" w:rsidRPr="00B6176D">
        <w:rPr>
          <w:rFonts w:asciiTheme="minorBidi" w:hAnsiTheme="minorBidi"/>
        </w:rPr>
        <w:t xml:space="preserve">However, this type of indicator has traditionally been specific to the nuclear sector, reflecting the scale of work involving ionising radiation, and there is no equivalent numerical indicator under IRR17 or in HSE guidance. ONR would therefore welcome the Panel’s </w:t>
      </w:r>
      <w:r w:rsidR="00B6176D">
        <w:rPr>
          <w:rFonts w:asciiTheme="minorBidi" w:hAnsiTheme="minorBidi"/>
        </w:rPr>
        <w:t>view</w:t>
      </w:r>
      <w:r w:rsidR="00B6176D" w:rsidRPr="00B6176D">
        <w:rPr>
          <w:rFonts w:asciiTheme="minorBidi" w:hAnsiTheme="minorBidi"/>
        </w:rPr>
        <w:t xml:space="preserve"> on whether </w:t>
      </w:r>
      <w:r w:rsidR="00CD058A">
        <w:rPr>
          <w:rFonts w:asciiTheme="minorBidi" w:hAnsiTheme="minorBidi"/>
        </w:rPr>
        <w:t>it is sufficient, or, alternatively,</w:t>
      </w:r>
      <w:r w:rsidR="00CD058A" w:rsidRPr="00B6176D">
        <w:rPr>
          <w:rFonts w:asciiTheme="minorBidi" w:hAnsiTheme="minorBidi"/>
        </w:rPr>
        <w:t xml:space="preserve"> </w:t>
      </w:r>
      <w:r w:rsidR="00B6176D" w:rsidRPr="00B6176D">
        <w:rPr>
          <w:rFonts w:asciiTheme="minorBidi" w:hAnsiTheme="minorBidi"/>
        </w:rPr>
        <w:t>its continued inclusion in the SAPs remains appropriate.</w:t>
      </w:r>
    </w:p>
    <w:p w14:paraId="534D09E4" w14:textId="77777777" w:rsidR="00FE7C9E" w:rsidRPr="00AA0A37" w:rsidRDefault="00FE7C9E" w:rsidP="00FE7C9E">
      <w:pPr>
        <w:jc w:val="both"/>
        <w:rPr>
          <w:rFonts w:asciiTheme="minorBidi" w:hAnsiTheme="minorBidi"/>
          <w:u w:val="single"/>
        </w:rPr>
      </w:pPr>
      <w:r w:rsidRPr="00AA0A37">
        <w:rPr>
          <w:rFonts w:asciiTheme="minorBidi" w:hAnsiTheme="minorBidi"/>
          <w:u w:val="single"/>
        </w:rPr>
        <w:t>Wider changes in the 2026 SAPs</w:t>
      </w:r>
    </w:p>
    <w:p w14:paraId="27E80222" w14:textId="77777777" w:rsidR="00FE7C9E" w:rsidRPr="00123C23" w:rsidRDefault="00FE7C9E" w:rsidP="00FE7C9E">
      <w:pPr>
        <w:jc w:val="both"/>
        <w:rPr>
          <w:rFonts w:asciiTheme="minorBidi" w:hAnsiTheme="minorBidi"/>
        </w:rPr>
      </w:pPr>
      <w:r w:rsidRPr="00123C23">
        <w:rPr>
          <w:rFonts w:asciiTheme="minorBidi" w:hAnsiTheme="minorBidi"/>
        </w:rPr>
        <w:t>The proposed 2026 SAPs place greater emphasis on proportionate, risk-informed and outcome-focused regulation. They provide greater flexibility to match the safety demonstration and regulatory approach to the nature and scale of the hazard and risk.</w:t>
      </w:r>
    </w:p>
    <w:p w14:paraId="7FA4C02C" w14:textId="77777777" w:rsidR="00FE7C9E" w:rsidRPr="00123C23" w:rsidRDefault="00FE7C9E" w:rsidP="00FE7C9E">
      <w:pPr>
        <w:jc w:val="both"/>
        <w:rPr>
          <w:rFonts w:asciiTheme="minorBidi" w:hAnsiTheme="minorBidi"/>
        </w:rPr>
      </w:pPr>
      <w:r w:rsidRPr="00123C23">
        <w:rPr>
          <w:rFonts w:asciiTheme="minorBidi" w:hAnsiTheme="minorBidi"/>
        </w:rPr>
        <w:lastRenderedPageBreak/>
        <w:t>A clearer graded approach runs throughout the revised SAPs. This recognises that different facilities and activities present different levels and types of risk and should not all be subject to the same depth of analysis or regulatory attention. Dutyholders should provide evidence appropriate to their circumstances, concentrating on the matters that make a material contribution to safety</w:t>
      </w:r>
      <w:r>
        <w:rPr>
          <w:rFonts w:asciiTheme="minorBidi" w:hAnsiTheme="minorBidi"/>
        </w:rPr>
        <w:t>.</w:t>
      </w:r>
      <w:r w:rsidR="00DC6FB8">
        <w:rPr>
          <w:rFonts w:asciiTheme="minorBidi" w:hAnsiTheme="minorBidi"/>
        </w:rPr>
        <w:t xml:space="preserve"> </w:t>
      </w:r>
    </w:p>
    <w:p w14:paraId="16EB281C" w14:textId="10AE093A" w:rsidR="00D86879" w:rsidRPr="00D86879" w:rsidRDefault="00D86879" w:rsidP="00DC6FB8">
      <w:pPr>
        <w:jc w:val="both"/>
        <w:rPr>
          <w:rFonts w:asciiTheme="minorBidi" w:hAnsiTheme="minorBidi"/>
        </w:rPr>
      </w:pPr>
      <w:r w:rsidRPr="00D86879">
        <w:rPr>
          <w:rFonts w:asciiTheme="minorBidi" w:hAnsiTheme="minorBidi"/>
        </w:rPr>
        <w:t>The revised SAPs also provide greater flexibility in how risks are assessed and safety measures identified. Rather than prescribing a standard approach to fault analysis, they make clear that its scope and depth should reflect the complexity of the facility and its hazard potential. This will usually involve an appropriate combination of deterministic and probabilistic analysis and, for very high-hazard facilities, severe accident analysis, consistent with international standards and expectations.</w:t>
      </w:r>
    </w:p>
    <w:p w14:paraId="2543BDFC" w14:textId="0239849A" w:rsidR="00FE7C9E" w:rsidRPr="004A112B" w:rsidRDefault="00FE7C9E" w:rsidP="00724EEC">
      <w:pPr>
        <w:jc w:val="both"/>
        <w:rPr>
          <w:rFonts w:asciiTheme="minorBidi" w:hAnsiTheme="minorBidi"/>
        </w:rPr>
      </w:pPr>
      <w:r w:rsidRPr="00123C23">
        <w:rPr>
          <w:rFonts w:asciiTheme="minorBidi" w:hAnsiTheme="minorBidi"/>
        </w:rPr>
        <w:t xml:space="preserve">The changes build on improvements to ONR’s inspector training and decision-making over recent years, including </w:t>
      </w:r>
      <w:hyperlink r:id="rId15" w:history="1">
        <w:r w:rsidR="00D66162" w:rsidRPr="00D66162">
          <w:rPr>
            <w:rStyle w:val="Hyperlink"/>
            <w:rFonts w:asciiTheme="minorBidi" w:hAnsiTheme="minorBidi"/>
          </w:rPr>
          <w:t>Risk-Informed Regulatory Decision-Making</w:t>
        </w:r>
      </w:hyperlink>
      <w:r w:rsidRPr="00123C23">
        <w:rPr>
          <w:rFonts w:asciiTheme="minorBidi" w:hAnsiTheme="minorBidi"/>
        </w:rPr>
        <w:t xml:space="preserve">, </w:t>
      </w:r>
      <w:r w:rsidR="003B2DCF">
        <w:rPr>
          <w:rFonts w:asciiTheme="minorBidi" w:hAnsiTheme="minorBidi"/>
        </w:rPr>
        <w:t xml:space="preserve">our </w:t>
      </w:r>
      <w:hyperlink r:id="rId16" w:history="1">
        <w:r w:rsidR="00A36D39" w:rsidRPr="00A36D39">
          <w:rPr>
            <w:rStyle w:val="Hyperlink"/>
            <w:rFonts w:asciiTheme="minorBidi" w:hAnsiTheme="minorBidi"/>
          </w:rPr>
          <w:t>Risk-Informed and Targeted Engagements (RITE) policy</w:t>
        </w:r>
      </w:hyperlink>
      <w:r w:rsidR="008A66B5">
        <w:rPr>
          <w:rFonts w:asciiTheme="minorBidi" w:hAnsiTheme="minorBidi"/>
        </w:rPr>
        <w:t>,</w:t>
      </w:r>
      <w:r w:rsidRPr="00123C23">
        <w:rPr>
          <w:rFonts w:asciiTheme="minorBidi" w:hAnsiTheme="minorBidi"/>
        </w:rPr>
        <w:t xml:space="preserve"> and</w:t>
      </w:r>
      <w:r w:rsidR="00FB5DD5">
        <w:rPr>
          <w:rFonts w:asciiTheme="minorBidi" w:hAnsiTheme="minorBidi"/>
        </w:rPr>
        <w:t xml:space="preserve"> intern</w:t>
      </w:r>
      <w:r w:rsidR="001400B2">
        <w:rPr>
          <w:rFonts w:asciiTheme="minorBidi" w:hAnsiTheme="minorBidi"/>
        </w:rPr>
        <w:t>al</w:t>
      </w:r>
      <w:r w:rsidRPr="00123C23">
        <w:rPr>
          <w:rFonts w:asciiTheme="minorBidi" w:hAnsiTheme="minorBidi"/>
        </w:rPr>
        <w:t xml:space="preserve"> ALARP training. Together, these changes will support confident and consistent regulatory judgement, help inspectors focus on the issues that matter most to safety, and maintain high standards while supporting innovation and efficient delivery.</w:t>
      </w:r>
    </w:p>
    <w:p w14:paraId="40649B5A" w14:textId="77777777" w:rsidR="00DB1FA5" w:rsidRPr="00AA0A37" w:rsidRDefault="00DB1FA5" w:rsidP="00DB1FA5">
      <w:pPr>
        <w:rPr>
          <w:rFonts w:asciiTheme="minorBidi" w:hAnsiTheme="minorBidi"/>
          <w:u w:val="single"/>
        </w:rPr>
      </w:pPr>
      <w:r w:rsidRPr="00AA0A37">
        <w:rPr>
          <w:rFonts w:asciiTheme="minorBidi" w:hAnsiTheme="minorBidi"/>
          <w:u w:val="single"/>
        </w:rPr>
        <w:t>Maintaining a common health and safety framework</w:t>
      </w:r>
    </w:p>
    <w:p w14:paraId="13552251" w14:textId="28C45653" w:rsidR="00F5532E" w:rsidRDefault="00DB1FA5" w:rsidP="00F5532E">
      <w:pPr>
        <w:jc w:val="both"/>
        <w:rPr>
          <w:rFonts w:asciiTheme="minorBidi" w:hAnsiTheme="minorBidi"/>
        </w:rPr>
      </w:pPr>
      <w:r w:rsidRPr="00747310">
        <w:rPr>
          <w:rFonts w:asciiTheme="minorBidi" w:hAnsiTheme="minorBidi"/>
        </w:rPr>
        <w:t xml:space="preserve">ONR considers that its approach should remain </w:t>
      </w:r>
      <w:r w:rsidR="00F07F54">
        <w:rPr>
          <w:rFonts w:asciiTheme="minorBidi" w:hAnsiTheme="minorBidi"/>
        </w:rPr>
        <w:t xml:space="preserve">firmly </w:t>
      </w:r>
      <w:r w:rsidRPr="00747310">
        <w:rPr>
          <w:rFonts w:asciiTheme="minorBidi" w:hAnsiTheme="minorBidi"/>
        </w:rPr>
        <w:t xml:space="preserve">grounded in R2P2 and aligned with that of HSE, the Office of Rail and Road and other health and safety regulators. </w:t>
      </w:r>
      <w:r w:rsidR="00D86879">
        <w:rPr>
          <w:rFonts w:asciiTheme="minorBidi" w:hAnsiTheme="minorBidi"/>
        </w:rPr>
        <w:t>Working</w:t>
      </w:r>
      <w:r w:rsidR="009E59E8">
        <w:rPr>
          <w:rFonts w:asciiTheme="minorBidi" w:hAnsiTheme="minorBidi"/>
        </w:rPr>
        <w:t xml:space="preserve"> to </w:t>
      </w:r>
      <w:r w:rsidR="00DB0D2E">
        <w:rPr>
          <w:rFonts w:asciiTheme="minorBidi" w:hAnsiTheme="minorBidi"/>
        </w:rPr>
        <w:t>a</w:t>
      </w:r>
      <w:r w:rsidRPr="00747310">
        <w:rPr>
          <w:rFonts w:asciiTheme="minorBidi" w:hAnsiTheme="minorBidi"/>
        </w:rPr>
        <w:t xml:space="preserve"> common framework supports consistent regulatory decision-making </w:t>
      </w:r>
      <w:r w:rsidR="0082234B">
        <w:rPr>
          <w:rFonts w:asciiTheme="minorBidi" w:hAnsiTheme="minorBidi"/>
        </w:rPr>
        <w:t xml:space="preserve">that </w:t>
      </w:r>
      <w:r w:rsidR="00B814C4">
        <w:rPr>
          <w:rFonts w:asciiTheme="minorBidi" w:hAnsiTheme="minorBidi"/>
        </w:rPr>
        <w:t>ensures</w:t>
      </w:r>
      <w:r w:rsidRPr="00747310">
        <w:rPr>
          <w:rFonts w:asciiTheme="minorBidi" w:hAnsiTheme="minorBidi"/>
        </w:rPr>
        <w:t xml:space="preserve"> comparable risks </w:t>
      </w:r>
      <w:r w:rsidR="00B814C4">
        <w:rPr>
          <w:rFonts w:asciiTheme="minorBidi" w:hAnsiTheme="minorBidi"/>
        </w:rPr>
        <w:t xml:space="preserve">and benefits </w:t>
      </w:r>
      <w:r w:rsidRPr="00747310">
        <w:rPr>
          <w:rFonts w:asciiTheme="minorBidi" w:hAnsiTheme="minorBidi"/>
        </w:rPr>
        <w:t xml:space="preserve">are treated </w:t>
      </w:r>
      <w:r w:rsidR="00965BDC">
        <w:rPr>
          <w:rFonts w:asciiTheme="minorBidi" w:hAnsiTheme="minorBidi"/>
        </w:rPr>
        <w:t>e</w:t>
      </w:r>
      <w:r w:rsidR="00EB6A66">
        <w:rPr>
          <w:rFonts w:asciiTheme="minorBidi" w:hAnsiTheme="minorBidi"/>
        </w:rPr>
        <w:t>qually</w:t>
      </w:r>
      <w:r w:rsidRPr="00747310">
        <w:rPr>
          <w:rFonts w:asciiTheme="minorBidi" w:hAnsiTheme="minorBidi"/>
        </w:rPr>
        <w:t xml:space="preserve"> across sectors</w:t>
      </w:r>
      <w:r w:rsidR="0085777F">
        <w:rPr>
          <w:rFonts w:asciiTheme="minorBidi" w:hAnsiTheme="minorBidi"/>
        </w:rPr>
        <w:t xml:space="preserve"> </w:t>
      </w:r>
      <w:r w:rsidR="003B0F8C">
        <w:rPr>
          <w:rFonts w:asciiTheme="minorBidi" w:hAnsiTheme="minorBidi"/>
        </w:rPr>
        <w:t xml:space="preserve">and </w:t>
      </w:r>
      <w:r w:rsidR="00D340F7">
        <w:rPr>
          <w:rFonts w:asciiTheme="minorBidi" w:hAnsiTheme="minorBidi"/>
        </w:rPr>
        <w:t>interface</w:t>
      </w:r>
      <w:r w:rsidR="00614F22">
        <w:rPr>
          <w:rFonts w:asciiTheme="minorBidi" w:hAnsiTheme="minorBidi"/>
        </w:rPr>
        <w:t>s</w:t>
      </w:r>
      <w:r w:rsidR="00D35C63">
        <w:rPr>
          <w:rFonts w:asciiTheme="minorBidi" w:hAnsiTheme="minorBidi"/>
        </w:rPr>
        <w:t xml:space="preserve"> (</w:t>
      </w:r>
      <w:r w:rsidR="00984804">
        <w:rPr>
          <w:rFonts w:asciiTheme="minorBidi" w:hAnsiTheme="minorBidi"/>
        </w:rPr>
        <w:t xml:space="preserve">e.g. </w:t>
      </w:r>
      <w:r w:rsidR="00EA66CD">
        <w:rPr>
          <w:rFonts w:asciiTheme="minorBidi" w:hAnsiTheme="minorBidi"/>
        </w:rPr>
        <w:t>at</w:t>
      </w:r>
      <w:r w:rsidR="00984804">
        <w:rPr>
          <w:rFonts w:asciiTheme="minorBidi" w:hAnsiTheme="minorBidi"/>
        </w:rPr>
        <w:t xml:space="preserve"> </w:t>
      </w:r>
      <w:r w:rsidR="003763EF">
        <w:rPr>
          <w:rFonts w:asciiTheme="minorBidi" w:hAnsiTheme="minorBidi"/>
        </w:rPr>
        <w:t xml:space="preserve">a nuclear </w:t>
      </w:r>
      <w:r w:rsidR="00F57C10">
        <w:rPr>
          <w:rFonts w:asciiTheme="minorBidi" w:hAnsiTheme="minorBidi"/>
        </w:rPr>
        <w:t>licensed site</w:t>
      </w:r>
      <w:r w:rsidR="00435CF2">
        <w:rPr>
          <w:rFonts w:asciiTheme="minorBidi" w:hAnsiTheme="minorBidi"/>
        </w:rPr>
        <w:t xml:space="preserve"> boundary</w:t>
      </w:r>
      <w:r w:rsidR="00D00B91">
        <w:rPr>
          <w:rFonts w:asciiTheme="minorBidi" w:hAnsiTheme="minorBidi"/>
        </w:rPr>
        <w:t xml:space="preserve">, </w:t>
      </w:r>
      <w:r w:rsidR="00EA3CE9">
        <w:rPr>
          <w:rFonts w:asciiTheme="minorBidi" w:hAnsiTheme="minorBidi"/>
        </w:rPr>
        <w:t>or in relation to risks that could take place on or off a licensed site and be subject to different enforcing authorities</w:t>
      </w:r>
      <w:r w:rsidR="006D5234">
        <w:rPr>
          <w:rFonts w:asciiTheme="minorBidi" w:hAnsiTheme="minorBidi"/>
        </w:rPr>
        <w:t>)</w:t>
      </w:r>
      <w:r w:rsidR="00D86879">
        <w:rPr>
          <w:rFonts w:asciiTheme="minorBidi" w:hAnsiTheme="minorBidi"/>
        </w:rPr>
        <w:t>.</w:t>
      </w:r>
    </w:p>
    <w:p w14:paraId="55A438CC" w14:textId="2CB54406" w:rsidR="00DB1FA5" w:rsidRPr="00747310" w:rsidRDefault="00DB1FA5" w:rsidP="00F5532E">
      <w:pPr>
        <w:jc w:val="both"/>
        <w:rPr>
          <w:rFonts w:asciiTheme="minorBidi" w:hAnsiTheme="minorBidi"/>
        </w:rPr>
      </w:pPr>
      <w:r w:rsidRPr="00747310">
        <w:rPr>
          <w:rFonts w:asciiTheme="minorBidi" w:hAnsiTheme="minorBidi"/>
        </w:rPr>
        <w:t>ONR’s position is that societal tolerance of health and safety risk should not differ between the nuclear sector and other sectors. Separating nuclear risks from the wider R2P2 framework could weaken its coherence, add complexity and create greater scope for inconsistent interpretation</w:t>
      </w:r>
      <w:r w:rsidR="005D1058">
        <w:rPr>
          <w:rFonts w:asciiTheme="minorBidi" w:hAnsiTheme="minorBidi"/>
        </w:rPr>
        <w:t xml:space="preserve"> and legal challenge</w:t>
      </w:r>
      <w:r w:rsidRPr="00747310">
        <w:rPr>
          <w:rFonts w:asciiTheme="minorBidi" w:hAnsiTheme="minorBidi"/>
        </w:rPr>
        <w:t xml:space="preserve">. </w:t>
      </w:r>
      <w:r w:rsidR="00D622D8">
        <w:rPr>
          <w:rFonts w:asciiTheme="minorBidi" w:hAnsiTheme="minorBidi"/>
        </w:rPr>
        <w:t>We believe that any</w:t>
      </w:r>
      <w:r w:rsidRPr="00747310">
        <w:rPr>
          <w:rFonts w:asciiTheme="minorBidi" w:hAnsiTheme="minorBidi"/>
        </w:rPr>
        <w:t xml:space="preserve"> review of societal risk tolerance should therefore consider the framework as a whole rather than establish a separate approach for the nuclear sector.</w:t>
      </w:r>
    </w:p>
    <w:p w14:paraId="36B9A7DF" w14:textId="3F6C8927" w:rsidR="008135D0" w:rsidRDefault="00DB1FA5" w:rsidP="00B343B1">
      <w:pPr>
        <w:jc w:val="both"/>
        <w:rPr>
          <w:rFonts w:asciiTheme="minorBidi" w:hAnsiTheme="minorBidi"/>
        </w:rPr>
      </w:pPr>
      <w:r w:rsidRPr="00747310">
        <w:rPr>
          <w:rFonts w:asciiTheme="minorBidi" w:hAnsiTheme="minorBidi"/>
        </w:rPr>
        <w:t xml:space="preserve">Within this common framework, the regulatory approach should reflect the nature and scale of the risk, regardless of whether it is categorised as nuclear, radiological or conventional. </w:t>
      </w:r>
      <w:r w:rsidRPr="007C2C88">
        <w:rPr>
          <w:rFonts w:asciiTheme="minorBidi" w:hAnsiTheme="minorBidi"/>
        </w:rPr>
        <w:t>As part of its response to Recommendation 10 of the Nuclear Regulatory Taskforce, ONR is building on this approach through work to ensure that its policy and guidance continue to support the proportionate treatment of nuclear</w:t>
      </w:r>
      <w:r w:rsidR="000D6FA6">
        <w:rPr>
          <w:rFonts w:asciiTheme="minorBidi" w:hAnsiTheme="minorBidi"/>
        </w:rPr>
        <w:t>, radiological</w:t>
      </w:r>
      <w:r w:rsidRPr="007C2C88">
        <w:rPr>
          <w:rFonts w:asciiTheme="minorBidi" w:hAnsiTheme="minorBidi"/>
        </w:rPr>
        <w:t xml:space="preserve"> and conventional safety risks. </w:t>
      </w:r>
    </w:p>
    <w:p w14:paraId="37A1F804" w14:textId="216239FA" w:rsidR="00842208" w:rsidRPr="00AA0A37" w:rsidRDefault="00842208" w:rsidP="00842208">
      <w:pPr>
        <w:jc w:val="both"/>
        <w:rPr>
          <w:rFonts w:asciiTheme="minorBidi" w:hAnsiTheme="minorBidi"/>
          <w:u w:val="single"/>
        </w:rPr>
      </w:pPr>
      <w:r w:rsidRPr="00AA0A37">
        <w:rPr>
          <w:rFonts w:asciiTheme="minorBidi" w:hAnsiTheme="minorBidi"/>
          <w:u w:val="single"/>
        </w:rPr>
        <w:t>Linear No Threshold (LNT) model</w:t>
      </w:r>
    </w:p>
    <w:p w14:paraId="21276F87" w14:textId="151D9A4D" w:rsidR="004C4B7B" w:rsidRPr="00595BAF" w:rsidRDefault="004C4B7B" w:rsidP="004C4B7B">
      <w:pPr>
        <w:jc w:val="both"/>
        <w:rPr>
          <w:rFonts w:asciiTheme="minorBidi" w:hAnsiTheme="minorBidi"/>
        </w:rPr>
      </w:pPr>
      <w:r w:rsidRPr="004C4B7B">
        <w:rPr>
          <w:rFonts w:asciiTheme="minorBidi" w:hAnsiTheme="minorBidi"/>
        </w:rPr>
        <w:t>The Linear No-Threshold (LNT) model is used to estimate the risk of</w:t>
      </w:r>
      <w:r w:rsidR="00D222FE">
        <w:rPr>
          <w:rFonts w:asciiTheme="minorBidi" w:hAnsiTheme="minorBidi"/>
        </w:rPr>
        <w:t xml:space="preserve"> </w:t>
      </w:r>
      <w:r w:rsidR="00A74975">
        <w:rPr>
          <w:rFonts w:asciiTheme="minorBidi" w:hAnsiTheme="minorBidi"/>
        </w:rPr>
        <w:t>stochastic</w:t>
      </w:r>
      <w:r w:rsidR="00E9399C">
        <w:rPr>
          <w:rFonts w:asciiTheme="minorBidi" w:hAnsiTheme="minorBidi"/>
        </w:rPr>
        <w:t xml:space="preserve"> </w:t>
      </w:r>
      <w:r w:rsidR="00925BBF">
        <w:rPr>
          <w:rFonts w:asciiTheme="minorBidi" w:hAnsiTheme="minorBidi"/>
        </w:rPr>
        <w:t>effects</w:t>
      </w:r>
      <w:r w:rsidR="00DE73E3">
        <w:rPr>
          <w:rFonts w:asciiTheme="minorBidi" w:hAnsiTheme="minorBidi"/>
        </w:rPr>
        <w:t>,</w:t>
      </w:r>
      <w:r w:rsidR="00925BBF">
        <w:rPr>
          <w:rFonts w:asciiTheme="minorBidi" w:hAnsiTheme="minorBidi"/>
        </w:rPr>
        <w:t xml:space="preserve"> </w:t>
      </w:r>
      <w:r w:rsidR="00501E9B">
        <w:rPr>
          <w:rFonts w:asciiTheme="minorBidi" w:hAnsiTheme="minorBidi"/>
        </w:rPr>
        <w:t>pr</w:t>
      </w:r>
      <w:r w:rsidR="005F5E1F">
        <w:rPr>
          <w:rFonts w:asciiTheme="minorBidi" w:hAnsiTheme="minorBidi"/>
        </w:rPr>
        <w:t>inci</w:t>
      </w:r>
      <w:r w:rsidR="00CA5B31">
        <w:rPr>
          <w:rFonts w:asciiTheme="minorBidi" w:hAnsiTheme="minorBidi"/>
        </w:rPr>
        <w:t>pall</w:t>
      </w:r>
      <w:r w:rsidR="00342224">
        <w:rPr>
          <w:rFonts w:asciiTheme="minorBidi" w:hAnsiTheme="minorBidi"/>
        </w:rPr>
        <w:t>y</w:t>
      </w:r>
      <w:r w:rsidRPr="004C4B7B">
        <w:rPr>
          <w:rFonts w:asciiTheme="minorBidi" w:hAnsiTheme="minorBidi"/>
        </w:rPr>
        <w:t xml:space="preserve"> cancer</w:t>
      </w:r>
      <w:r w:rsidR="00532FF3">
        <w:rPr>
          <w:rFonts w:asciiTheme="minorBidi" w:hAnsiTheme="minorBidi"/>
        </w:rPr>
        <w:t>,</w:t>
      </w:r>
      <w:r w:rsidRPr="004C4B7B">
        <w:rPr>
          <w:rFonts w:asciiTheme="minorBidi" w:hAnsiTheme="minorBidi"/>
        </w:rPr>
        <w:t xml:space="preserve"> from exposure to ionising radiation, particularly at low doses where </w:t>
      </w:r>
      <w:r w:rsidRPr="004C4B7B">
        <w:rPr>
          <w:rFonts w:asciiTheme="minorBidi" w:hAnsiTheme="minorBidi"/>
        </w:rPr>
        <w:lastRenderedPageBreak/>
        <w:t xml:space="preserve">the precise level of risk cannot be measured reliably. It assumes that the risk increases in direct proportion to dose and that no threshold can be identified below which the risk is necessarily zero. Under the model, halving the dose halves the estimated additional risk. This does not mean that </w:t>
      </w:r>
      <w:r w:rsidRPr="00595BAF">
        <w:rPr>
          <w:rFonts w:asciiTheme="minorBidi" w:hAnsiTheme="minorBidi"/>
        </w:rPr>
        <w:t xml:space="preserve">every exposure will cause harm. It provides a basis for radiation protection where there is uncertainty about the effects of low-dose exposure. </w:t>
      </w:r>
    </w:p>
    <w:p w14:paraId="00EE52C2" w14:textId="5C5581CE" w:rsidR="004C4B7B" w:rsidRPr="00595BAF" w:rsidRDefault="004C4B7B" w:rsidP="004C4B7B">
      <w:pPr>
        <w:jc w:val="both"/>
        <w:rPr>
          <w:rFonts w:asciiTheme="minorBidi" w:hAnsiTheme="minorBidi"/>
        </w:rPr>
      </w:pPr>
      <w:r w:rsidRPr="00595BAF">
        <w:rPr>
          <w:rFonts w:asciiTheme="minorBidi" w:hAnsiTheme="minorBidi"/>
        </w:rPr>
        <w:t>ONR follows LNT because it underpins the internationally established system of radiological protection developed by the International Commission on Radiological Protection (ICRP)</w:t>
      </w:r>
      <w:r w:rsidR="00807B00">
        <w:rPr>
          <w:rFonts w:asciiTheme="minorBidi" w:hAnsiTheme="minorBidi"/>
        </w:rPr>
        <w:t xml:space="preserve">, </w:t>
      </w:r>
      <w:r w:rsidR="004A0A6F">
        <w:rPr>
          <w:rFonts w:asciiTheme="minorBidi" w:hAnsiTheme="minorBidi"/>
        </w:rPr>
        <w:t>based on</w:t>
      </w:r>
      <w:r w:rsidR="00807B00">
        <w:rPr>
          <w:rFonts w:asciiTheme="minorBidi" w:hAnsiTheme="minorBidi"/>
        </w:rPr>
        <w:t xml:space="preserve"> </w:t>
      </w:r>
      <w:r w:rsidR="003E71F1">
        <w:rPr>
          <w:rFonts w:asciiTheme="minorBidi" w:hAnsiTheme="minorBidi"/>
        </w:rPr>
        <w:t xml:space="preserve">the </w:t>
      </w:r>
      <w:r w:rsidR="00811335" w:rsidRPr="00811335">
        <w:rPr>
          <w:rFonts w:asciiTheme="minorBidi" w:hAnsiTheme="minorBidi"/>
        </w:rPr>
        <w:t xml:space="preserve">United Nations Scientific Committee on the Effects of Atomic Radiation </w:t>
      </w:r>
      <w:r w:rsidR="00811335">
        <w:rPr>
          <w:rFonts w:asciiTheme="minorBidi" w:hAnsiTheme="minorBidi"/>
        </w:rPr>
        <w:t xml:space="preserve">(UNSCEAR) </w:t>
      </w:r>
      <w:r w:rsidR="00F93FB0">
        <w:rPr>
          <w:rFonts w:asciiTheme="minorBidi" w:hAnsiTheme="minorBidi"/>
        </w:rPr>
        <w:t>resea</w:t>
      </w:r>
      <w:r w:rsidR="004A0A6F">
        <w:rPr>
          <w:rFonts w:asciiTheme="minorBidi" w:hAnsiTheme="minorBidi"/>
        </w:rPr>
        <w:t>r</w:t>
      </w:r>
      <w:r w:rsidR="00F93FB0">
        <w:rPr>
          <w:rFonts w:asciiTheme="minorBidi" w:hAnsiTheme="minorBidi"/>
        </w:rPr>
        <w:t>ch</w:t>
      </w:r>
      <w:r w:rsidR="009C7FFE">
        <w:rPr>
          <w:rFonts w:asciiTheme="minorBidi" w:hAnsiTheme="minorBidi"/>
        </w:rPr>
        <w:t>, and implemented by the IAEA in</w:t>
      </w:r>
      <w:r w:rsidR="006C0C64">
        <w:rPr>
          <w:rFonts w:asciiTheme="minorBidi" w:hAnsiTheme="minorBidi"/>
        </w:rPr>
        <w:t xml:space="preserve"> the international safety standards</w:t>
      </w:r>
      <w:r w:rsidRPr="00595BAF">
        <w:rPr>
          <w:rFonts w:asciiTheme="minorBidi" w:hAnsiTheme="minorBidi"/>
        </w:rPr>
        <w:t xml:space="preserve">. ICRP uses LNT to estimate risks at low doses by extrapolating from epidemiological evidence at moderate and higher doses, while recognising the uncertainties involved. </w:t>
      </w:r>
    </w:p>
    <w:p w14:paraId="05C35228" w14:textId="20C1A09C" w:rsidR="004C4B7B" w:rsidRPr="004C4B7B" w:rsidRDefault="54631CD2" w:rsidP="5476F1C4">
      <w:pPr>
        <w:jc w:val="both"/>
        <w:rPr>
          <w:rFonts w:asciiTheme="minorBidi" w:hAnsiTheme="minorBidi"/>
        </w:rPr>
      </w:pPr>
      <w:r w:rsidRPr="5476F1C4">
        <w:rPr>
          <w:rFonts w:asciiTheme="minorBidi" w:hAnsiTheme="minorBidi"/>
        </w:rPr>
        <w:t xml:space="preserve">UKHSA is the statutory </w:t>
      </w:r>
      <w:r w:rsidR="00CB73A0">
        <w:rPr>
          <w:rFonts w:asciiTheme="minorBidi" w:hAnsiTheme="minorBidi"/>
        </w:rPr>
        <w:t>independent</w:t>
      </w:r>
      <w:r w:rsidRPr="5476F1C4">
        <w:rPr>
          <w:rFonts w:asciiTheme="minorBidi" w:hAnsiTheme="minorBidi"/>
        </w:rPr>
        <w:t xml:space="preserve"> adviser to UK </w:t>
      </w:r>
      <w:r w:rsidR="00434279">
        <w:rPr>
          <w:rFonts w:asciiTheme="minorBidi" w:hAnsiTheme="minorBidi"/>
        </w:rPr>
        <w:t>g</w:t>
      </w:r>
      <w:r w:rsidRPr="5476F1C4">
        <w:rPr>
          <w:rFonts w:asciiTheme="minorBidi" w:hAnsiTheme="minorBidi"/>
        </w:rPr>
        <w:t xml:space="preserve">overnment on </w:t>
      </w:r>
      <w:r w:rsidR="00E965CC">
        <w:rPr>
          <w:rFonts w:asciiTheme="minorBidi" w:hAnsiTheme="minorBidi"/>
        </w:rPr>
        <w:t xml:space="preserve">the health </w:t>
      </w:r>
      <w:r w:rsidR="00F967AB">
        <w:rPr>
          <w:rFonts w:asciiTheme="minorBidi" w:hAnsiTheme="minorBidi"/>
        </w:rPr>
        <w:t xml:space="preserve">effects of </w:t>
      </w:r>
      <w:r w:rsidR="00F86293">
        <w:rPr>
          <w:rFonts w:asciiTheme="minorBidi" w:hAnsiTheme="minorBidi"/>
        </w:rPr>
        <w:t>ionising radiation</w:t>
      </w:r>
      <w:r w:rsidRPr="5476F1C4">
        <w:rPr>
          <w:rFonts w:asciiTheme="minorBidi" w:hAnsiTheme="minorBidi"/>
        </w:rPr>
        <w:t xml:space="preserve"> and provides the relevant national scientific and public-health expertise.</w:t>
      </w:r>
      <w:r w:rsidR="145082BF" w:rsidRPr="5476F1C4">
        <w:rPr>
          <w:rFonts w:asciiTheme="minorBidi" w:hAnsiTheme="minorBidi"/>
        </w:rPr>
        <w:t xml:space="preserve"> </w:t>
      </w:r>
      <w:r w:rsidRPr="5476F1C4">
        <w:rPr>
          <w:rFonts w:asciiTheme="minorBidi" w:hAnsiTheme="minorBidi"/>
        </w:rPr>
        <w:t xml:space="preserve">UKHSA’s position is that LNT remains the appropriate model for radiation-protection purposes at low doses. It recognises that the precise magnitude of risk at these levels is uncertain and that the LNT model has been challenged by arguments that low-dose risks may be either greater or lower than it predicts. However, UKHSA’s published work identifies the prevailing national and international scientific consensus as favouring LNT as the most appropriate dose-response model for radiological protection. </w:t>
      </w:r>
      <w:r w:rsidR="00327B95">
        <w:rPr>
          <w:rFonts w:asciiTheme="minorBidi" w:hAnsiTheme="minorBidi"/>
        </w:rPr>
        <w:t>The</w:t>
      </w:r>
      <w:r w:rsidR="00EA013E">
        <w:rPr>
          <w:rFonts w:asciiTheme="minorBidi" w:hAnsiTheme="minorBidi"/>
        </w:rPr>
        <w:t xml:space="preserve"> </w:t>
      </w:r>
      <w:r w:rsidR="005C53B9">
        <w:rPr>
          <w:rFonts w:asciiTheme="minorBidi" w:hAnsiTheme="minorBidi"/>
        </w:rPr>
        <w:t>Government</w:t>
      </w:r>
      <w:r w:rsidR="009A5EC3">
        <w:rPr>
          <w:rFonts w:asciiTheme="minorBidi" w:hAnsiTheme="minorBidi"/>
        </w:rPr>
        <w:t xml:space="preserve"> response to the Taskforce Report acknowledges LNT as</w:t>
      </w:r>
      <w:r w:rsidR="009A5EC3" w:rsidRPr="009A5EC3">
        <w:rPr>
          <w:rFonts w:asciiTheme="minorBidi" w:hAnsiTheme="minorBidi"/>
        </w:rPr>
        <w:t xml:space="preserve"> </w:t>
      </w:r>
      <w:r w:rsidR="005C53B9">
        <w:rPr>
          <w:rFonts w:asciiTheme="minorBidi" w:hAnsiTheme="minorBidi"/>
        </w:rPr>
        <w:t>“</w:t>
      </w:r>
      <w:r w:rsidR="009A5EC3" w:rsidRPr="0082234B">
        <w:rPr>
          <w:rFonts w:asciiTheme="minorBidi" w:hAnsiTheme="minorBidi"/>
          <w:i/>
        </w:rPr>
        <w:t>the international standard, and the best toolkit we have available</w:t>
      </w:r>
      <w:r w:rsidR="005C53B9">
        <w:rPr>
          <w:rFonts w:asciiTheme="minorBidi" w:hAnsiTheme="minorBidi"/>
        </w:rPr>
        <w:t>.”</w:t>
      </w:r>
    </w:p>
    <w:p w14:paraId="208D9A5D" w14:textId="47793E2F" w:rsidR="004C4B7B" w:rsidRPr="004C4B7B" w:rsidRDefault="54631CD2" w:rsidP="5476F1C4">
      <w:pPr>
        <w:jc w:val="both"/>
        <w:rPr>
          <w:rFonts w:asciiTheme="minorBidi" w:hAnsiTheme="minorBidi"/>
        </w:rPr>
      </w:pPr>
      <w:r w:rsidRPr="5476F1C4">
        <w:rPr>
          <w:rFonts w:asciiTheme="minorBidi" w:hAnsiTheme="minorBidi"/>
        </w:rPr>
        <w:t xml:space="preserve">ONR uses LNT within this established UK system when regulating exposure to ionising radiation, including through the </w:t>
      </w:r>
      <w:r w:rsidR="00AB1E71">
        <w:rPr>
          <w:rFonts w:asciiTheme="minorBidi" w:hAnsiTheme="minorBidi"/>
        </w:rPr>
        <w:t>IRR17</w:t>
      </w:r>
      <w:r w:rsidRPr="5476F1C4">
        <w:rPr>
          <w:rFonts w:asciiTheme="minorBidi" w:hAnsiTheme="minorBidi"/>
        </w:rPr>
        <w:t xml:space="preserve"> and when assessing radiological protection in nuclear safety cases. The model provides a basis for estimating radiation risk and considering the benefit of reducing exposure. It is applied alongside legal dose limits and the requirement to </w:t>
      </w:r>
      <w:r w:rsidR="00966CAE">
        <w:rPr>
          <w:rFonts w:asciiTheme="minorBidi" w:hAnsiTheme="minorBidi"/>
        </w:rPr>
        <w:t>reduc</w:t>
      </w:r>
      <w:r w:rsidR="008B5BC1">
        <w:rPr>
          <w:rFonts w:asciiTheme="minorBidi" w:hAnsiTheme="minorBidi"/>
        </w:rPr>
        <w:t>e risks A</w:t>
      </w:r>
      <w:r w:rsidR="00A1227F">
        <w:rPr>
          <w:rFonts w:asciiTheme="minorBidi" w:hAnsiTheme="minorBidi"/>
        </w:rPr>
        <w:t>LARP.</w:t>
      </w:r>
    </w:p>
    <w:p w14:paraId="11F3FB34" w14:textId="6DE51A96" w:rsidR="00E5516E" w:rsidRDefault="002E1F9C" w:rsidP="003B73AA">
      <w:pPr>
        <w:jc w:val="both"/>
        <w:rPr>
          <w:rFonts w:asciiTheme="minorBidi" w:hAnsiTheme="minorBidi"/>
        </w:rPr>
      </w:pPr>
      <w:r w:rsidRPr="002E1F9C">
        <w:rPr>
          <w:rFonts w:asciiTheme="minorBidi" w:hAnsiTheme="minorBidi"/>
        </w:rPr>
        <w:t xml:space="preserve">ONR is leading efforts to reduce the disproportionate emphasis on occupational radiological protection at very low doses (e.g. 10 </w:t>
      </w:r>
      <w:r w:rsidR="009B67BB">
        <w:rPr>
          <w:rFonts w:asciiTheme="minorBidi" w:hAnsiTheme="minorBidi"/>
        </w:rPr>
        <w:t>µ</w:t>
      </w:r>
      <w:r w:rsidRPr="002E1F9C">
        <w:rPr>
          <w:rFonts w:asciiTheme="minorBidi" w:hAnsiTheme="minorBidi"/>
        </w:rPr>
        <w:t>Sv/y), as reflected in our proposed SAPs RFL changes and wider engagement with the</w:t>
      </w:r>
      <w:r w:rsidRPr="002E1F9C">
        <w:t xml:space="preserve"> </w:t>
      </w:r>
      <w:r w:rsidRPr="002E1F9C">
        <w:rPr>
          <w:rFonts w:asciiTheme="minorBidi" w:hAnsiTheme="minorBidi"/>
        </w:rPr>
        <w:t>UK and international radiological protection communit</w:t>
      </w:r>
      <w:r>
        <w:rPr>
          <w:rFonts w:asciiTheme="minorBidi" w:hAnsiTheme="minorBidi"/>
        </w:rPr>
        <w:t>ies</w:t>
      </w:r>
      <w:r w:rsidRPr="002E1F9C">
        <w:rPr>
          <w:rFonts w:asciiTheme="minorBidi" w:hAnsiTheme="minorBidi"/>
        </w:rPr>
        <w:t>.</w:t>
      </w:r>
    </w:p>
    <w:p w14:paraId="287B4E41" w14:textId="2257BDF2" w:rsidR="00AD37EB" w:rsidRPr="004F0729" w:rsidRDefault="00A311EF" w:rsidP="00AD37EB">
      <w:pPr>
        <w:jc w:val="both"/>
        <w:rPr>
          <w:rFonts w:asciiTheme="minorBidi" w:hAnsiTheme="minorBidi"/>
          <w:b/>
        </w:rPr>
      </w:pPr>
      <w:r w:rsidRPr="004F0729">
        <w:rPr>
          <w:rFonts w:asciiTheme="minorBidi" w:hAnsiTheme="minorBidi"/>
          <w:b/>
        </w:rPr>
        <w:t>International approaches and comparisons</w:t>
      </w:r>
    </w:p>
    <w:p w14:paraId="1EFC69A1" w14:textId="656BF7DF" w:rsidR="00531B39" w:rsidRDefault="00531B39" w:rsidP="00025A3F">
      <w:pPr>
        <w:jc w:val="both"/>
        <w:rPr>
          <w:rFonts w:asciiTheme="minorBidi" w:hAnsiTheme="minorBidi"/>
          <w:u w:val="single"/>
        </w:rPr>
      </w:pPr>
      <w:r>
        <w:rPr>
          <w:rFonts w:asciiTheme="minorBidi" w:hAnsiTheme="minorBidi"/>
          <w:u w:val="single"/>
        </w:rPr>
        <w:t xml:space="preserve">Risk Indicators </w:t>
      </w:r>
      <w:r w:rsidR="000B53A7">
        <w:rPr>
          <w:rFonts w:asciiTheme="minorBidi" w:hAnsiTheme="minorBidi"/>
          <w:u w:val="single"/>
        </w:rPr>
        <w:t>5</w:t>
      </w:r>
      <w:r>
        <w:rPr>
          <w:rFonts w:asciiTheme="minorBidi" w:hAnsiTheme="minorBidi"/>
          <w:u w:val="single"/>
        </w:rPr>
        <w:t xml:space="preserve"> to 8</w:t>
      </w:r>
    </w:p>
    <w:p w14:paraId="447EA83A" w14:textId="6C1D69A2" w:rsidR="00531B39" w:rsidRPr="00871679" w:rsidRDefault="00531B39" w:rsidP="00025A3F">
      <w:pPr>
        <w:jc w:val="both"/>
        <w:rPr>
          <w:rFonts w:asciiTheme="minorBidi" w:hAnsiTheme="minorBidi"/>
        </w:rPr>
      </w:pPr>
      <w:r w:rsidRPr="00871679">
        <w:rPr>
          <w:rFonts w:asciiTheme="minorBidi" w:hAnsiTheme="minorBidi"/>
        </w:rPr>
        <w:t xml:space="preserve">We have reviewed our </w:t>
      </w:r>
      <w:r w:rsidR="00064EC1">
        <w:rPr>
          <w:rFonts w:asciiTheme="minorBidi" w:hAnsiTheme="minorBidi"/>
        </w:rPr>
        <w:t>R</w:t>
      </w:r>
      <w:r w:rsidRPr="00871679">
        <w:rPr>
          <w:rFonts w:asciiTheme="minorBidi" w:hAnsiTheme="minorBidi"/>
        </w:rPr>
        <w:t xml:space="preserve">isk </w:t>
      </w:r>
      <w:r w:rsidR="00064EC1">
        <w:rPr>
          <w:rFonts w:asciiTheme="minorBidi" w:hAnsiTheme="minorBidi"/>
        </w:rPr>
        <w:t>I</w:t>
      </w:r>
      <w:r w:rsidRPr="00871679">
        <w:rPr>
          <w:rFonts w:asciiTheme="minorBidi" w:hAnsiTheme="minorBidi"/>
        </w:rPr>
        <w:t xml:space="preserve">ndicators </w:t>
      </w:r>
      <w:r w:rsidR="00064EC1">
        <w:rPr>
          <w:rFonts w:asciiTheme="minorBidi" w:hAnsiTheme="minorBidi"/>
        </w:rPr>
        <w:t>5 to 8</w:t>
      </w:r>
      <w:r w:rsidRPr="00871679">
        <w:rPr>
          <w:rFonts w:asciiTheme="minorBidi" w:hAnsiTheme="minorBidi"/>
        </w:rPr>
        <w:t xml:space="preserve"> </w:t>
      </w:r>
      <w:r w:rsidR="003729BF">
        <w:rPr>
          <w:rFonts w:asciiTheme="minorBidi" w:hAnsiTheme="minorBidi"/>
        </w:rPr>
        <w:t xml:space="preserve">that </w:t>
      </w:r>
      <w:r w:rsidR="002E1B84">
        <w:rPr>
          <w:rFonts w:asciiTheme="minorBidi" w:hAnsiTheme="minorBidi"/>
        </w:rPr>
        <w:t xml:space="preserve">set </w:t>
      </w:r>
      <w:r w:rsidR="008D45A6">
        <w:rPr>
          <w:rFonts w:asciiTheme="minorBidi" w:hAnsiTheme="minorBidi"/>
        </w:rPr>
        <w:t xml:space="preserve">our regulatory focus with regard to the </w:t>
      </w:r>
      <w:r w:rsidR="002F3344">
        <w:rPr>
          <w:rFonts w:asciiTheme="minorBidi" w:hAnsiTheme="minorBidi"/>
        </w:rPr>
        <w:t xml:space="preserve">risk to people as a result of faults and hazards at nuclear facilities. </w:t>
      </w:r>
      <w:r w:rsidR="00180640">
        <w:rPr>
          <w:rFonts w:asciiTheme="minorBidi" w:hAnsiTheme="minorBidi"/>
        </w:rPr>
        <w:t>This review has looked at</w:t>
      </w:r>
      <w:r w:rsidRPr="00871679">
        <w:rPr>
          <w:rFonts w:asciiTheme="minorBidi" w:hAnsiTheme="minorBidi"/>
        </w:rPr>
        <w:t xml:space="preserve"> </w:t>
      </w:r>
      <w:r w:rsidR="0070429C">
        <w:rPr>
          <w:rFonts w:asciiTheme="minorBidi" w:hAnsiTheme="minorBidi"/>
        </w:rPr>
        <w:t xml:space="preserve">the </w:t>
      </w:r>
      <w:r w:rsidR="00180640">
        <w:rPr>
          <w:rFonts w:asciiTheme="minorBidi" w:hAnsiTheme="minorBidi"/>
        </w:rPr>
        <w:t>relevant</w:t>
      </w:r>
      <w:r w:rsidRPr="00871679">
        <w:rPr>
          <w:rFonts w:asciiTheme="minorBidi" w:hAnsiTheme="minorBidi"/>
        </w:rPr>
        <w:t xml:space="preserve"> international standards and other nations’ approaches and </w:t>
      </w:r>
      <w:r w:rsidR="005C1188">
        <w:rPr>
          <w:rFonts w:asciiTheme="minorBidi" w:hAnsiTheme="minorBidi"/>
        </w:rPr>
        <w:t xml:space="preserve">concludes </w:t>
      </w:r>
      <w:r w:rsidRPr="00871679">
        <w:rPr>
          <w:rFonts w:asciiTheme="minorBidi" w:hAnsiTheme="minorBidi"/>
        </w:rPr>
        <w:t xml:space="preserve">we </w:t>
      </w:r>
      <w:r w:rsidR="00036F0D">
        <w:rPr>
          <w:rFonts w:asciiTheme="minorBidi" w:hAnsiTheme="minorBidi"/>
        </w:rPr>
        <w:t>aligns</w:t>
      </w:r>
      <w:r w:rsidR="00871679" w:rsidRPr="00871679">
        <w:rPr>
          <w:rFonts w:asciiTheme="minorBidi" w:hAnsiTheme="minorBidi"/>
        </w:rPr>
        <w:t xml:space="preserve"> well with the</w:t>
      </w:r>
      <w:r w:rsidR="002403FC">
        <w:rPr>
          <w:rFonts w:asciiTheme="minorBidi" w:hAnsiTheme="minorBidi"/>
        </w:rPr>
        <w:t xml:space="preserve"> international</w:t>
      </w:r>
      <w:r w:rsidR="00871679" w:rsidRPr="00871679">
        <w:rPr>
          <w:rFonts w:asciiTheme="minorBidi" w:hAnsiTheme="minorBidi"/>
        </w:rPr>
        <w:t xml:space="preserve"> consensus</w:t>
      </w:r>
      <w:r w:rsidR="006C0C48">
        <w:rPr>
          <w:rFonts w:asciiTheme="minorBidi" w:hAnsiTheme="minorBidi"/>
        </w:rPr>
        <w:t xml:space="preserve">. </w:t>
      </w:r>
      <w:r w:rsidR="0098673A">
        <w:rPr>
          <w:rFonts w:asciiTheme="minorBidi" w:hAnsiTheme="minorBidi"/>
        </w:rPr>
        <w:t xml:space="preserve"> </w:t>
      </w:r>
      <w:r w:rsidR="00721259">
        <w:rPr>
          <w:rFonts w:asciiTheme="minorBidi" w:hAnsiTheme="minorBidi"/>
        </w:rPr>
        <w:t>I</w:t>
      </w:r>
      <w:r w:rsidR="0098673A">
        <w:rPr>
          <w:rFonts w:asciiTheme="minorBidi" w:hAnsiTheme="minorBidi"/>
        </w:rPr>
        <w:t xml:space="preserve">n the draft 2026 SAPs </w:t>
      </w:r>
      <w:r w:rsidR="00721259">
        <w:rPr>
          <w:rFonts w:asciiTheme="minorBidi" w:hAnsiTheme="minorBidi"/>
        </w:rPr>
        <w:t xml:space="preserve">we propose to </w:t>
      </w:r>
      <w:r w:rsidR="0098673A">
        <w:rPr>
          <w:rFonts w:asciiTheme="minorBidi" w:hAnsiTheme="minorBidi"/>
        </w:rPr>
        <w:t>combin</w:t>
      </w:r>
      <w:r w:rsidR="00721259">
        <w:rPr>
          <w:rFonts w:asciiTheme="minorBidi" w:hAnsiTheme="minorBidi"/>
        </w:rPr>
        <w:t>e</w:t>
      </w:r>
      <w:r w:rsidR="0098673A">
        <w:rPr>
          <w:rFonts w:asciiTheme="minorBidi" w:hAnsiTheme="minorBidi"/>
        </w:rPr>
        <w:t xml:space="preserve">  Risk Indicators 5 (relating to on-site risk of death) and 7 (relating to off-site risk of death) into a single indicator. This is </w:t>
      </w:r>
      <w:r w:rsidR="00D606E7">
        <w:rPr>
          <w:rFonts w:asciiTheme="minorBidi" w:hAnsiTheme="minorBidi"/>
        </w:rPr>
        <w:t xml:space="preserve">because the BSL and RFL are </w:t>
      </w:r>
      <w:r w:rsidR="00D606E7">
        <w:rPr>
          <w:rFonts w:asciiTheme="minorBidi" w:hAnsiTheme="minorBidi"/>
        </w:rPr>
        <w:lastRenderedPageBreak/>
        <w:t xml:space="preserve">the same (though not for the all the same reasons) and </w:t>
      </w:r>
      <w:r w:rsidR="00177866">
        <w:rPr>
          <w:rFonts w:asciiTheme="minorBidi" w:hAnsiTheme="minorBidi"/>
        </w:rPr>
        <w:t xml:space="preserve">thus the </w:t>
      </w:r>
      <w:r w:rsidR="00D11156">
        <w:rPr>
          <w:rFonts w:asciiTheme="minorBidi" w:hAnsiTheme="minorBidi"/>
        </w:rPr>
        <w:t xml:space="preserve">metric can be expressed as </w:t>
      </w:r>
      <w:r w:rsidR="00B062DF">
        <w:rPr>
          <w:rFonts w:asciiTheme="minorBidi" w:hAnsiTheme="minorBidi"/>
        </w:rPr>
        <w:t>the risk of death to an individual</w:t>
      </w:r>
      <w:r w:rsidR="00BC0CFE">
        <w:rPr>
          <w:rFonts w:asciiTheme="minorBidi" w:hAnsiTheme="minorBidi"/>
        </w:rPr>
        <w:t xml:space="preserve">, whether </w:t>
      </w:r>
      <w:r w:rsidR="00B062DF">
        <w:rPr>
          <w:rFonts w:asciiTheme="minorBidi" w:hAnsiTheme="minorBidi"/>
        </w:rPr>
        <w:t>on or off the sit</w:t>
      </w:r>
      <w:r w:rsidR="00BC0CFE">
        <w:rPr>
          <w:rFonts w:asciiTheme="minorBidi" w:hAnsiTheme="minorBidi"/>
        </w:rPr>
        <w:t>e</w:t>
      </w:r>
      <w:r w:rsidR="00B062DF">
        <w:rPr>
          <w:rFonts w:asciiTheme="minorBidi" w:hAnsiTheme="minorBidi"/>
        </w:rPr>
        <w:t xml:space="preserve">. </w:t>
      </w:r>
    </w:p>
    <w:p w14:paraId="20B7071B" w14:textId="249805EC" w:rsidR="00025A3F" w:rsidRDefault="008F39F0" w:rsidP="00025A3F">
      <w:pPr>
        <w:jc w:val="both"/>
        <w:rPr>
          <w:rFonts w:asciiTheme="minorBidi" w:hAnsiTheme="minorBidi"/>
          <w:u w:val="single"/>
        </w:rPr>
      </w:pPr>
      <w:r>
        <w:rPr>
          <w:rFonts w:asciiTheme="minorBidi" w:hAnsiTheme="minorBidi"/>
          <w:u w:val="single"/>
        </w:rPr>
        <w:t xml:space="preserve">Risk Indicator 9, </w:t>
      </w:r>
      <w:r w:rsidR="00025A3F" w:rsidRPr="00025A3F">
        <w:rPr>
          <w:rFonts w:asciiTheme="minorBidi" w:hAnsiTheme="minorBidi"/>
          <w:u w:val="single"/>
        </w:rPr>
        <w:t xml:space="preserve">Core Damage Frequency </w:t>
      </w:r>
      <w:r w:rsidR="004C45C4">
        <w:rPr>
          <w:rFonts w:asciiTheme="minorBidi" w:hAnsiTheme="minorBidi"/>
          <w:u w:val="single"/>
        </w:rPr>
        <w:t>and</w:t>
      </w:r>
      <w:r w:rsidR="00025A3F" w:rsidRPr="00025A3F">
        <w:rPr>
          <w:rFonts w:asciiTheme="minorBidi" w:hAnsiTheme="minorBidi"/>
          <w:u w:val="single"/>
        </w:rPr>
        <w:t xml:space="preserve"> Large Release Frequenc</w:t>
      </w:r>
      <w:r w:rsidR="00025A3F">
        <w:rPr>
          <w:rFonts w:asciiTheme="minorBidi" w:hAnsiTheme="minorBidi"/>
          <w:u w:val="single"/>
        </w:rPr>
        <w:t>y</w:t>
      </w:r>
    </w:p>
    <w:p w14:paraId="6AE9B42A" w14:textId="1A402E90" w:rsidR="004E4244" w:rsidRPr="004E4244" w:rsidRDefault="008F0659" w:rsidP="004E4244">
      <w:pPr>
        <w:jc w:val="both"/>
        <w:rPr>
          <w:rFonts w:asciiTheme="minorBidi" w:hAnsiTheme="minorBidi"/>
        </w:rPr>
      </w:pPr>
      <w:r>
        <w:rPr>
          <w:rFonts w:asciiTheme="minorBidi" w:hAnsiTheme="minorBidi"/>
        </w:rPr>
        <w:t>Some</w:t>
      </w:r>
      <w:r w:rsidR="004E4244" w:rsidRPr="004E4244">
        <w:rPr>
          <w:rFonts w:asciiTheme="minorBidi" w:hAnsiTheme="minorBidi"/>
        </w:rPr>
        <w:t xml:space="preserve"> regulators </w:t>
      </w:r>
      <w:r>
        <w:rPr>
          <w:rFonts w:asciiTheme="minorBidi" w:hAnsiTheme="minorBidi"/>
        </w:rPr>
        <w:t>and dutyholders</w:t>
      </w:r>
      <w:r w:rsidR="004E4244" w:rsidRPr="004E4244">
        <w:rPr>
          <w:rFonts w:asciiTheme="minorBidi" w:hAnsiTheme="minorBidi"/>
        </w:rPr>
        <w:t xml:space="preserve"> use </w:t>
      </w:r>
      <w:r w:rsidR="00A0207D" w:rsidRPr="00A0207D">
        <w:rPr>
          <w:rFonts w:asciiTheme="minorBidi" w:hAnsiTheme="minorBidi"/>
          <w:i/>
          <w:iCs/>
        </w:rPr>
        <w:t>c</w:t>
      </w:r>
      <w:r w:rsidR="004E4244" w:rsidRPr="00A0207D">
        <w:rPr>
          <w:rFonts w:asciiTheme="minorBidi" w:hAnsiTheme="minorBidi"/>
          <w:i/>
          <w:iCs/>
        </w:rPr>
        <w:t xml:space="preserve">ore </w:t>
      </w:r>
      <w:r w:rsidR="00A0207D" w:rsidRPr="00A0207D">
        <w:rPr>
          <w:rFonts w:asciiTheme="minorBidi" w:hAnsiTheme="minorBidi"/>
          <w:i/>
          <w:iCs/>
        </w:rPr>
        <w:t>d</w:t>
      </w:r>
      <w:r w:rsidR="004E4244" w:rsidRPr="00A0207D">
        <w:rPr>
          <w:rFonts w:asciiTheme="minorBidi" w:hAnsiTheme="minorBidi"/>
          <w:i/>
          <w:iCs/>
        </w:rPr>
        <w:t xml:space="preserve">amage </w:t>
      </w:r>
      <w:r w:rsidR="00A0207D" w:rsidRPr="00A0207D">
        <w:rPr>
          <w:rFonts w:asciiTheme="minorBidi" w:hAnsiTheme="minorBidi"/>
          <w:i/>
          <w:iCs/>
        </w:rPr>
        <w:t>f</w:t>
      </w:r>
      <w:r w:rsidR="004E4244" w:rsidRPr="00A0207D">
        <w:rPr>
          <w:rFonts w:asciiTheme="minorBidi" w:hAnsiTheme="minorBidi"/>
          <w:i/>
          <w:iCs/>
        </w:rPr>
        <w:t>requency</w:t>
      </w:r>
      <w:r w:rsidR="004E4244" w:rsidRPr="004E4244">
        <w:rPr>
          <w:rFonts w:asciiTheme="minorBidi" w:hAnsiTheme="minorBidi"/>
        </w:rPr>
        <w:t xml:space="preserve"> (CDF) and </w:t>
      </w:r>
      <w:r w:rsidR="00A0207D" w:rsidRPr="00A0207D">
        <w:rPr>
          <w:rFonts w:asciiTheme="minorBidi" w:hAnsiTheme="minorBidi"/>
          <w:i/>
          <w:iCs/>
        </w:rPr>
        <w:t>l</w:t>
      </w:r>
      <w:r w:rsidR="004E4244" w:rsidRPr="00A0207D">
        <w:rPr>
          <w:rFonts w:asciiTheme="minorBidi" w:hAnsiTheme="minorBidi"/>
          <w:i/>
          <w:iCs/>
        </w:rPr>
        <w:t xml:space="preserve">arge </w:t>
      </w:r>
      <w:r w:rsidR="00A0207D" w:rsidRPr="00A0207D">
        <w:rPr>
          <w:rFonts w:asciiTheme="minorBidi" w:hAnsiTheme="minorBidi"/>
          <w:i/>
          <w:iCs/>
        </w:rPr>
        <w:t>r</w:t>
      </w:r>
      <w:r w:rsidR="004E4244" w:rsidRPr="00A0207D">
        <w:rPr>
          <w:rFonts w:asciiTheme="minorBidi" w:hAnsiTheme="minorBidi"/>
          <w:i/>
          <w:iCs/>
        </w:rPr>
        <w:t xml:space="preserve">elease </w:t>
      </w:r>
      <w:r w:rsidR="00A0207D" w:rsidRPr="00A0207D">
        <w:rPr>
          <w:rFonts w:asciiTheme="minorBidi" w:hAnsiTheme="minorBidi"/>
          <w:i/>
          <w:iCs/>
        </w:rPr>
        <w:t>f</w:t>
      </w:r>
      <w:r w:rsidR="004E4244" w:rsidRPr="00A0207D">
        <w:rPr>
          <w:rFonts w:asciiTheme="minorBidi" w:hAnsiTheme="minorBidi"/>
          <w:i/>
          <w:iCs/>
        </w:rPr>
        <w:t>requency</w:t>
      </w:r>
      <w:r w:rsidR="004E4244" w:rsidRPr="004E4244">
        <w:rPr>
          <w:rFonts w:asciiTheme="minorBidi" w:hAnsiTheme="minorBidi"/>
        </w:rPr>
        <w:t xml:space="preserve"> or </w:t>
      </w:r>
      <w:r w:rsidR="00A0207D" w:rsidRPr="00A0207D">
        <w:rPr>
          <w:rFonts w:asciiTheme="minorBidi" w:hAnsiTheme="minorBidi"/>
          <w:i/>
          <w:iCs/>
        </w:rPr>
        <w:t>l</w:t>
      </w:r>
      <w:r w:rsidR="004E4244" w:rsidRPr="00A0207D">
        <w:rPr>
          <w:rFonts w:asciiTheme="minorBidi" w:hAnsiTheme="minorBidi"/>
          <w:i/>
          <w:iCs/>
        </w:rPr>
        <w:t xml:space="preserve">arge </w:t>
      </w:r>
      <w:r w:rsidR="00A0207D" w:rsidRPr="00A0207D">
        <w:rPr>
          <w:rFonts w:asciiTheme="minorBidi" w:hAnsiTheme="minorBidi"/>
          <w:i/>
          <w:iCs/>
        </w:rPr>
        <w:t>e</w:t>
      </w:r>
      <w:r w:rsidR="004E4244" w:rsidRPr="00A0207D">
        <w:rPr>
          <w:rFonts w:asciiTheme="minorBidi" w:hAnsiTheme="minorBidi"/>
          <w:i/>
          <w:iCs/>
        </w:rPr>
        <w:t xml:space="preserve">arly </w:t>
      </w:r>
      <w:r w:rsidR="00A0207D" w:rsidRPr="00A0207D">
        <w:rPr>
          <w:rFonts w:asciiTheme="minorBidi" w:hAnsiTheme="minorBidi"/>
          <w:i/>
          <w:iCs/>
        </w:rPr>
        <w:t>r</w:t>
      </w:r>
      <w:r w:rsidR="004E4244" w:rsidRPr="00A0207D">
        <w:rPr>
          <w:rFonts w:asciiTheme="minorBidi" w:hAnsiTheme="minorBidi"/>
          <w:i/>
          <w:iCs/>
        </w:rPr>
        <w:t xml:space="preserve">elease </w:t>
      </w:r>
      <w:r w:rsidR="00A0207D" w:rsidRPr="00A0207D">
        <w:rPr>
          <w:rFonts w:asciiTheme="minorBidi" w:hAnsiTheme="minorBidi"/>
          <w:i/>
          <w:iCs/>
        </w:rPr>
        <w:t>f</w:t>
      </w:r>
      <w:r w:rsidR="004E4244" w:rsidRPr="00A0207D">
        <w:rPr>
          <w:rFonts w:asciiTheme="minorBidi" w:hAnsiTheme="minorBidi"/>
          <w:i/>
          <w:iCs/>
        </w:rPr>
        <w:t>requency</w:t>
      </w:r>
      <w:r w:rsidR="004E4244" w:rsidRPr="004E4244">
        <w:rPr>
          <w:rFonts w:asciiTheme="minorBidi" w:hAnsiTheme="minorBidi"/>
        </w:rPr>
        <w:t xml:space="preserve"> (LRF/LERF) as probabilistic safety assessment metrics for nuclear power plants. However, th</w:t>
      </w:r>
      <w:r w:rsidR="00883E0F">
        <w:rPr>
          <w:rFonts w:asciiTheme="minorBidi" w:hAnsiTheme="minorBidi"/>
        </w:rPr>
        <w:t>is</w:t>
      </w:r>
      <w:r w:rsidR="004E4244" w:rsidRPr="004E4244">
        <w:rPr>
          <w:rFonts w:asciiTheme="minorBidi" w:hAnsiTheme="minorBidi"/>
        </w:rPr>
        <w:t xml:space="preserve"> use is </w:t>
      </w:r>
      <w:r w:rsidR="00883E0F">
        <w:rPr>
          <w:rFonts w:asciiTheme="minorBidi" w:hAnsiTheme="minorBidi"/>
        </w:rPr>
        <w:t>far from</w:t>
      </w:r>
      <w:r w:rsidR="004E4244" w:rsidRPr="004E4244">
        <w:rPr>
          <w:rFonts w:asciiTheme="minorBidi" w:hAnsiTheme="minorBidi"/>
        </w:rPr>
        <w:t xml:space="preserve"> uniform.</w:t>
      </w:r>
    </w:p>
    <w:p w14:paraId="22B1A8F2" w14:textId="6E5D625F" w:rsidR="004E4244" w:rsidRPr="004E4244" w:rsidRDefault="004E4244" w:rsidP="004E4244">
      <w:pPr>
        <w:jc w:val="both"/>
        <w:rPr>
          <w:rFonts w:asciiTheme="minorBidi" w:hAnsiTheme="minorBidi"/>
        </w:rPr>
      </w:pPr>
      <w:r w:rsidRPr="004E4244">
        <w:rPr>
          <w:rFonts w:asciiTheme="minorBidi" w:hAnsiTheme="minorBidi"/>
        </w:rPr>
        <w:t>CDF and LRF were developed for light</w:t>
      </w:r>
      <w:r w:rsidR="00E41368">
        <w:rPr>
          <w:rFonts w:asciiTheme="minorBidi" w:hAnsiTheme="minorBidi"/>
        </w:rPr>
        <w:t xml:space="preserve"> </w:t>
      </w:r>
      <w:r w:rsidRPr="004E4244">
        <w:rPr>
          <w:rFonts w:asciiTheme="minorBidi" w:hAnsiTheme="minorBidi"/>
        </w:rPr>
        <w:t xml:space="preserve">water reactors. CDF is a </w:t>
      </w:r>
      <w:r w:rsidR="00390ACF">
        <w:rPr>
          <w:rFonts w:asciiTheme="minorBidi" w:hAnsiTheme="minorBidi"/>
        </w:rPr>
        <w:t>highly</w:t>
      </w:r>
      <w:r w:rsidR="51ABCCA3" w:rsidRPr="56AD593B">
        <w:rPr>
          <w:rFonts w:asciiTheme="minorBidi" w:hAnsiTheme="minorBidi"/>
        </w:rPr>
        <w:t xml:space="preserve"> </w:t>
      </w:r>
      <w:r w:rsidRPr="004E4244">
        <w:rPr>
          <w:rFonts w:asciiTheme="minorBidi" w:hAnsiTheme="minorBidi"/>
        </w:rPr>
        <w:t xml:space="preserve">technology-specific </w:t>
      </w:r>
      <w:r w:rsidR="4DEE211F" w:rsidRPr="56AD593B">
        <w:rPr>
          <w:rFonts w:asciiTheme="minorBidi" w:hAnsiTheme="minorBidi"/>
        </w:rPr>
        <w:t>metric</w:t>
      </w:r>
      <w:r w:rsidRPr="004E4244">
        <w:rPr>
          <w:rFonts w:asciiTheme="minorBidi" w:hAnsiTheme="minorBidi"/>
        </w:rPr>
        <w:t xml:space="preserve"> and does not account for differences in reactor </w:t>
      </w:r>
      <w:r w:rsidR="002D449E">
        <w:rPr>
          <w:rFonts w:asciiTheme="minorBidi" w:hAnsiTheme="minorBidi"/>
        </w:rPr>
        <w:t>type</w:t>
      </w:r>
      <w:r w:rsidR="71E59DCC" w:rsidRPr="56AD593B">
        <w:rPr>
          <w:rFonts w:asciiTheme="minorBidi" w:hAnsiTheme="minorBidi"/>
        </w:rPr>
        <w:t>,</w:t>
      </w:r>
      <w:r w:rsidRPr="004E4244">
        <w:rPr>
          <w:rFonts w:asciiTheme="minorBidi" w:hAnsiTheme="minorBidi"/>
        </w:rPr>
        <w:t xml:space="preserve"> power, radioactive inventory, location or </w:t>
      </w:r>
      <w:r w:rsidR="001508AE">
        <w:rPr>
          <w:rFonts w:asciiTheme="minorBidi" w:hAnsiTheme="minorBidi"/>
        </w:rPr>
        <w:t>local</w:t>
      </w:r>
      <w:r w:rsidRPr="004E4244">
        <w:rPr>
          <w:rFonts w:asciiTheme="minorBidi" w:hAnsiTheme="minorBidi"/>
        </w:rPr>
        <w:t xml:space="preserve"> population. It may also exclude events that could result in a significant off-site release without causing damage to the reactor core. LRF is more closely related to potential consequences, but its application depends on how a large release is defined</w:t>
      </w:r>
      <w:r w:rsidR="00032E21">
        <w:rPr>
          <w:rFonts w:asciiTheme="minorBidi" w:hAnsiTheme="minorBidi"/>
        </w:rPr>
        <w:t xml:space="preserve"> and </w:t>
      </w:r>
      <w:r w:rsidR="009A041D">
        <w:rPr>
          <w:rFonts w:asciiTheme="minorBidi" w:hAnsiTheme="minorBidi"/>
        </w:rPr>
        <w:t xml:space="preserve">also </w:t>
      </w:r>
      <w:r w:rsidR="007F540F">
        <w:rPr>
          <w:rFonts w:asciiTheme="minorBidi" w:hAnsiTheme="minorBidi"/>
        </w:rPr>
        <w:t xml:space="preserve">takes </w:t>
      </w:r>
      <w:r w:rsidR="00D65472">
        <w:rPr>
          <w:rFonts w:asciiTheme="minorBidi" w:hAnsiTheme="minorBidi"/>
        </w:rPr>
        <w:t>no accou</w:t>
      </w:r>
      <w:r w:rsidR="008A655F">
        <w:rPr>
          <w:rFonts w:asciiTheme="minorBidi" w:hAnsiTheme="minorBidi"/>
        </w:rPr>
        <w:t xml:space="preserve">nt of </w:t>
      </w:r>
      <w:r w:rsidR="006E3EA3">
        <w:rPr>
          <w:rFonts w:asciiTheme="minorBidi" w:hAnsiTheme="minorBidi"/>
        </w:rPr>
        <w:t>site loca</w:t>
      </w:r>
      <w:r w:rsidR="00492727">
        <w:rPr>
          <w:rFonts w:asciiTheme="minorBidi" w:hAnsiTheme="minorBidi"/>
        </w:rPr>
        <w:t>tion or surro</w:t>
      </w:r>
      <w:r w:rsidR="00523E5C">
        <w:rPr>
          <w:rFonts w:asciiTheme="minorBidi" w:hAnsiTheme="minorBidi"/>
        </w:rPr>
        <w:t>unding po</w:t>
      </w:r>
      <w:r w:rsidR="00880C9D">
        <w:rPr>
          <w:rFonts w:asciiTheme="minorBidi" w:hAnsiTheme="minorBidi"/>
        </w:rPr>
        <w:t>pulation</w:t>
      </w:r>
      <w:r w:rsidRPr="004E4244">
        <w:rPr>
          <w:rFonts w:asciiTheme="minorBidi" w:hAnsiTheme="minorBidi"/>
        </w:rPr>
        <w:t>.</w:t>
      </w:r>
    </w:p>
    <w:p w14:paraId="7EFD7208" w14:textId="5021E650" w:rsidR="004E4244" w:rsidRPr="004E4244" w:rsidRDefault="004E4244" w:rsidP="004E4244">
      <w:pPr>
        <w:jc w:val="both"/>
        <w:rPr>
          <w:rFonts w:asciiTheme="minorBidi" w:hAnsiTheme="minorBidi"/>
        </w:rPr>
      </w:pPr>
      <w:r w:rsidRPr="004E4244">
        <w:rPr>
          <w:rFonts w:asciiTheme="minorBidi" w:hAnsiTheme="minorBidi"/>
        </w:rPr>
        <w:t xml:space="preserve">Earlier editions of ONR’s </w:t>
      </w:r>
      <w:r w:rsidR="00F13BFF">
        <w:rPr>
          <w:rFonts w:asciiTheme="minorBidi" w:hAnsiTheme="minorBidi"/>
        </w:rPr>
        <w:t>SA</w:t>
      </w:r>
      <w:r w:rsidR="00804A1E">
        <w:rPr>
          <w:rFonts w:asciiTheme="minorBidi" w:hAnsiTheme="minorBidi"/>
        </w:rPr>
        <w:t>P</w:t>
      </w:r>
      <w:r w:rsidR="00F13BFF">
        <w:rPr>
          <w:rFonts w:asciiTheme="minorBidi" w:hAnsiTheme="minorBidi"/>
        </w:rPr>
        <w:t>s</w:t>
      </w:r>
      <w:r w:rsidRPr="004E4244">
        <w:rPr>
          <w:rFonts w:asciiTheme="minorBidi" w:hAnsiTheme="minorBidi"/>
        </w:rPr>
        <w:t xml:space="preserve"> included measures broadly equivalent to CDF and LRF. These were removed in the 2006 revision as part of a move towards a more technology-neutral framework focused directly on potential harm to workers and the public. CDF and LRF nevertheless </w:t>
      </w:r>
      <w:r w:rsidR="00FC60D9">
        <w:rPr>
          <w:rFonts w:asciiTheme="minorBidi" w:hAnsiTheme="minorBidi"/>
        </w:rPr>
        <w:t>can be u</w:t>
      </w:r>
      <w:r w:rsidR="003965C5">
        <w:rPr>
          <w:rFonts w:asciiTheme="minorBidi" w:hAnsiTheme="minorBidi"/>
        </w:rPr>
        <w:t>seful</w:t>
      </w:r>
      <w:r w:rsidR="00A655EF">
        <w:rPr>
          <w:rFonts w:asciiTheme="minorBidi" w:hAnsiTheme="minorBidi"/>
        </w:rPr>
        <w:t xml:space="preserve"> </w:t>
      </w:r>
      <w:r w:rsidR="006215F7">
        <w:rPr>
          <w:rFonts w:asciiTheme="minorBidi" w:hAnsiTheme="minorBidi"/>
        </w:rPr>
        <w:t xml:space="preserve">in </w:t>
      </w:r>
      <w:r w:rsidRPr="004E4244">
        <w:rPr>
          <w:rFonts w:asciiTheme="minorBidi" w:hAnsiTheme="minorBidi"/>
        </w:rPr>
        <w:t xml:space="preserve">assessing reactor safety </w:t>
      </w:r>
      <w:r w:rsidR="002C0856">
        <w:rPr>
          <w:rFonts w:asciiTheme="minorBidi" w:hAnsiTheme="minorBidi"/>
        </w:rPr>
        <w:t>(</w:t>
      </w:r>
      <w:r w:rsidR="00326126">
        <w:rPr>
          <w:rFonts w:asciiTheme="minorBidi" w:hAnsiTheme="minorBidi"/>
        </w:rPr>
        <w:t>withi</w:t>
      </w:r>
      <w:r w:rsidR="00F8115E">
        <w:rPr>
          <w:rFonts w:asciiTheme="minorBidi" w:hAnsiTheme="minorBidi"/>
        </w:rPr>
        <w:t>n some</w:t>
      </w:r>
      <w:r w:rsidR="00D87E33">
        <w:rPr>
          <w:rFonts w:asciiTheme="minorBidi" w:hAnsiTheme="minorBidi"/>
        </w:rPr>
        <w:t xml:space="preserve"> t</w:t>
      </w:r>
      <w:r w:rsidR="00697936">
        <w:rPr>
          <w:rFonts w:asciiTheme="minorBidi" w:hAnsiTheme="minorBidi"/>
        </w:rPr>
        <w:t>echnol</w:t>
      </w:r>
      <w:r w:rsidR="0038467E">
        <w:rPr>
          <w:rFonts w:asciiTheme="minorBidi" w:hAnsiTheme="minorBidi"/>
        </w:rPr>
        <w:t>o</w:t>
      </w:r>
      <w:r w:rsidR="00836BBD">
        <w:rPr>
          <w:rFonts w:asciiTheme="minorBidi" w:hAnsiTheme="minorBidi"/>
        </w:rPr>
        <w:t>gy l</w:t>
      </w:r>
      <w:r w:rsidR="000A6151">
        <w:rPr>
          <w:rFonts w:asciiTheme="minorBidi" w:hAnsiTheme="minorBidi"/>
        </w:rPr>
        <w:t xml:space="preserve">imits </w:t>
      </w:r>
      <w:r w:rsidR="009455D9">
        <w:rPr>
          <w:rFonts w:asciiTheme="minorBidi" w:hAnsiTheme="minorBidi"/>
        </w:rPr>
        <w:t xml:space="preserve">and </w:t>
      </w:r>
      <w:r w:rsidR="0029691B">
        <w:rPr>
          <w:rFonts w:asciiTheme="minorBidi" w:hAnsiTheme="minorBidi"/>
        </w:rPr>
        <w:t>pop</w:t>
      </w:r>
      <w:r w:rsidR="009B6A4E">
        <w:rPr>
          <w:rFonts w:asciiTheme="minorBidi" w:hAnsiTheme="minorBidi"/>
        </w:rPr>
        <w:t xml:space="preserve">ulation </w:t>
      </w:r>
      <w:r w:rsidR="00704122">
        <w:rPr>
          <w:rFonts w:asciiTheme="minorBidi" w:hAnsiTheme="minorBidi"/>
        </w:rPr>
        <w:t>assump</w:t>
      </w:r>
      <w:r w:rsidR="003059B0">
        <w:rPr>
          <w:rFonts w:asciiTheme="minorBidi" w:hAnsiTheme="minorBidi"/>
        </w:rPr>
        <w:t xml:space="preserve">tions) </w:t>
      </w:r>
      <w:r w:rsidRPr="004E4244">
        <w:rPr>
          <w:rFonts w:asciiTheme="minorBidi" w:hAnsiTheme="minorBidi"/>
        </w:rPr>
        <w:t xml:space="preserve">and are recognised in ONR’s guidance on probabilistic safety analysis. ONR considers them as part of the wider safety case, but does not use them as universal risk indicators across its remit.  </w:t>
      </w:r>
    </w:p>
    <w:p w14:paraId="5C0C9743" w14:textId="467CA281" w:rsidR="004E4244" w:rsidRPr="004E4244" w:rsidRDefault="004E4244" w:rsidP="004E4244">
      <w:pPr>
        <w:jc w:val="both"/>
        <w:rPr>
          <w:rFonts w:asciiTheme="minorBidi" w:hAnsiTheme="minorBidi"/>
        </w:rPr>
      </w:pPr>
      <w:r w:rsidRPr="004E4244">
        <w:rPr>
          <w:rFonts w:asciiTheme="minorBidi" w:hAnsiTheme="minorBidi"/>
        </w:rPr>
        <w:t xml:space="preserve">ONR’s Risk Indicator 9 considers the </w:t>
      </w:r>
      <w:r w:rsidR="0004101E">
        <w:rPr>
          <w:rFonts w:asciiTheme="minorBidi" w:hAnsiTheme="minorBidi"/>
        </w:rPr>
        <w:t>risk f</w:t>
      </w:r>
      <w:r w:rsidR="004366BF">
        <w:rPr>
          <w:rFonts w:asciiTheme="minorBidi" w:hAnsiTheme="minorBidi"/>
        </w:rPr>
        <w:t>rom larg</w:t>
      </w:r>
      <w:r w:rsidR="003009C8">
        <w:rPr>
          <w:rFonts w:asciiTheme="minorBidi" w:hAnsiTheme="minorBidi"/>
        </w:rPr>
        <w:t>e</w:t>
      </w:r>
      <w:r w:rsidRPr="004E4244">
        <w:rPr>
          <w:rFonts w:asciiTheme="minorBidi" w:hAnsiTheme="minorBidi"/>
        </w:rPr>
        <w:t xml:space="preserve"> radioactive releases </w:t>
      </w:r>
      <w:r w:rsidR="002C666B">
        <w:rPr>
          <w:rFonts w:asciiTheme="minorBidi" w:hAnsiTheme="minorBidi"/>
        </w:rPr>
        <w:t xml:space="preserve">that have </w:t>
      </w:r>
      <w:r w:rsidR="00811897">
        <w:rPr>
          <w:rFonts w:asciiTheme="minorBidi" w:hAnsiTheme="minorBidi"/>
        </w:rPr>
        <w:t xml:space="preserve">the potential to </w:t>
      </w:r>
      <w:r w:rsidR="007D370F">
        <w:rPr>
          <w:rFonts w:asciiTheme="minorBidi" w:hAnsiTheme="minorBidi"/>
        </w:rPr>
        <w:t xml:space="preserve">lead to </w:t>
      </w:r>
      <w:r w:rsidR="00E04872">
        <w:rPr>
          <w:rFonts w:asciiTheme="minorBidi" w:hAnsiTheme="minorBidi"/>
        </w:rPr>
        <w:t>w</w:t>
      </w:r>
      <w:r w:rsidR="00EF6695">
        <w:rPr>
          <w:rFonts w:asciiTheme="minorBidi" w:hAnsiTheme="minorBidi"/>
        </w:rPr>
        <w:t>idespre</w:t>
      </w:r>
      <w:r w:rsidR="00C816DE">
        <w:rPr>
          <w:rFonts w:asciiTheme="minorBidi" w:hAnsiTheme="minorBidi"/>
        </w:rPr>
        <w:t xml:space="preserve">ad health </w:t>
      </w:r>
      <w:r w:rsidR="00F8065A">
        <w:rPr>
          <w:rFonts w:asciiTheme="minorBidi" w:hAnsiTheme="minorBidi"/>
        </w:rPr>
        <w:t>im</w:t>
      </w:r>
      <w:r w:rsidR="00B95329">
        <w:rPr>
          <w:rFonts w:asciiTheme="minorBidi" w:hAnsiTheme="minorBidi"/>
        </w:rPr>
        <w:t>pa</w:t>
      </w:r>
      <w:r w:rsidR="006A2A9F">
        <w:rPr>
          <w:rFonts w:asciiTheme="minorBidi" w:hAnsiTheme="minorBidi"/>
        </w:rPr>
        <w:t xml:space="preserve">cts </w:t>
      </w:r>
      <w:r w:rsidR="00982E07">
        <w:rPr>
          <w:rFonts w:asciiTheme="minorBidi" w:hAnsiTheme="minorBidi"/>
        </w:rPr>
        <w:t>and</w:t>
      </w:r>
      <w:r w:rsidR="00430CA5">
        <w:rPr>
          <w:rFonts w:asciiTheme="minorBidi" w:hAnsiTheme="minorBidi"/>
        </w:rPr>
        <w:t>/</w:t>
      </w:r>
      <w:r w:rsidR="00923766">
        <w:rPr>
          <w:rFonts w:asciiTheme="minorBidi" w:hAnsiTheme="minorBidi"/>
        </w:rPr>
        <w:t xml:space="preserve">or </w:t>
      </w:r>
      <w:r w:rsidR="003060A8">
        <w:rPr>
          <w:rFonts w:asciiTheme="minorBidi" w:hAnsiTheme="minorBidi"/>
        </w:rPr>
        <w:t>broad</w:t>
      </w:r>
      <w:r w:rsidR="003E4C29">
        <w:rPr>
          <w:rFonts w:asciiTheme="minorBidi" w:hAnsiTheme="minorBidi"/>
        </w:rPr>
        <w:t>er soc</w:t>
      </w:r>
      <w:r w:rsidR="00B01C32">
        <w:rPr>
          <w:rFonts w:asciiTheme="minorBidi" w:hAnsiTheme="minorBidi"/>
        </w:rPr>
        <w:t>io-</w:t>
      </w:r>
      <w:r w:rsidR="006F350D">
        <w:rPr>
          <w:rFonts w:asciiTheme="minorBidi" w:hAnsiTheme="minorBidi"/>
        </w:rPr>
        <w:t>economi</w:t>
      </w:r>
      <w:r w:rsidR="003C2572">
        <w:rPr>
          <w:rFonts w:asciiTheme="minorBidi" w:hAnsiTheme="minorBidi"/>
        </w:rPr>
        <w:t>c damage.</w:t>
      </w:r>
      <w:r w:rsidRPr="004E4244">
        <w:rPr>
          <w:rFonts w:asciiTheme="minorBidi" w:hAnsiTheme="minorBidi"/>
        </w:rPr>
        <w:t xml:space="preserve"> Unlike CDF</w:t>
      </w:r>
      <w:r w:rsidR="0068311C">
        <w:rPr>
          <w:rFonts w:asciiTheme="minorBidi" w:hAnsiTheme="minorBidi"/>
        </w:rPr>
        <w:t xml:space="preserve"> </w:t>
      </w:r>
      <w:r w:rsidR="00F7788A">
        <w:rPr>
          <w:rFonts w:asciiTheme="minorBidi" w:hAnsiTheme="minorBidi"/>
        </w:rPr>
        <w:t xml:space="preserve">or </w:t>
      </w:r>
      <w:r w:rsidR="006A4BA4">
        <w:rPr>
          <w:rFonts w:asciiTheme="minorBidi" w:hAnsiTheme="minorBidi"/>
        </w:rPr>
        <w:t>LRF</w:t>
      </w:r>
      <w:r w:rsidRPr="004E4244">
        <w:rPr>
          <w:rFonts w:asciiTheme="minorBidi" w:hAnsiTheme="minorBidi"/>
        </w:rPr>
        <w:t xml:space="preserve">, it can be applied across different technologies and facilities, including those for which core damage is not a relevant concept. Its focus on </w:t>
      </w:r>
      <w:r w:rsidR="00FA237A">
        <w:rPr>
          <w:rFonts w:asciiTheme="minorBidi" w:hAnsiTheme="minorBidi"/>
        </w:rPr>
        <w:t>deaths from</w:t>
      </w:r>
      <w:r w:rsidRPr="004E4244">
        <w:rPr>
          <w:rFonts w:asciiTheme="minorBidi" w:hAnsiTheme="minorBidi"/>
        </w:rPr>
        <w:t xml:space="preserve"> radioactive release also enables the potential consequences for people to be considered in the context of the facility and its location. </w:t>
      </w:r>
      <w:r w:rsidR="00205EDE">
        <w:rPr>
          <w:rFonts w:asciiTheme="minorBidi" w:hAnsiTheme="minorBidi"/>
        </w:rPr>
        <w:t>I</w:t>
      </w:r>
      <w:r w:rsidR="006D32B2">
        <w:rPr>
          <w:rFonts w:asciiTheme="minorBidi" w:hAnsiTheme="minorBidi"/>
        </w:rPr>
        <w:t xml:space="preserve">t </w:t>
      </w:r>
      <w:r w:rsidR="009D7827">
        <w:rPr>
          <w:rFonts w:asciiTheme="minorBidi" w:hAnsiTheme="minorBidi"/>
        </w:rPr>
        <w:t xml:space="preserve">is </w:t>
      </w:r>
      <w:r w:rsidR="007D502E">
        <w:rPr>
          <w:rFonts w:asciiTheme="minorBidi" w:hAnsiTheme="minorBidi"/>
        </w:rPr>
        <w:t>in</w:t>
      </w:r>
      <w:r w:rsidR="00CB1401">
        <w:rPr>
          <w:rFonts w:asciiTheme="minorBidi" w:hAnsiTheme="minorBidi"/>
        </w:rPr>
        <w:t xml:space="preserve">tended to </w:t>
      </w:r>
      <w:r w:rsidR="00A40DEA">
        <w:rPr>
          <w:rFonts w:asciiTheme="minorBidi" w:hAnsiTheme="minorBidi"/>
        </w:rPr>
        <w:t>reflect</w:t>
      </w:r>
      <w:r w:rsidR="00B52247">
        <w:rPr>
          <w:rFonts w:asciiTheme="minorBidi" w:hAnsiTheme="minorBidi"/>
        </w:rPr>
        <w:t xml:space="preserve">, through </w:t>
      </w:r>
      <w:r w:rsidR="001F4FC1">
        <w:rPr>
          <w:rFonts w:asciiTheme="minorBidi" w:hAnsiTheme="minorBidi"/>
        </w:rPr>
        <w:t>a simple</w:t>
      </w:r>
      <w:r w:rsidR="000409CC">
        <w:rPr>
          <w:rFonts w:asciiTheme="minorBidi" w:hAnsiTheme="minorBidi"/>
        </w:rPr>
        <w:t xml:space="preserve"> met</w:t>
      </w:r>
      <w:r w:rsidR="00AD2701">
        <w:rPr>
          <w:rFonts w:asciiTheme="minorBidi" w:hAnsiTheme="minorBidi"/>
        </w:rPr>
        <w:t>ric (</w:t>
      </w:r>
      <w:r w:rsidR="005E52B4">
        <w:rPr>
          <w:rFonts w:asciiTheme="minorBidi" w:hAnsiTheme="minorBidi"/>
        </w:rPr>
        <w:t>100 o</w:t>
      </w:r>
      <w:r w:rsidR="003D4AD8">
        <w:rPr>
          <w:rFonts w:asciiTheme="minorBidi" w:hAnsiTheme="minorBidi"/>
        </w:rPr>
        <w:t xml:space="preserve">r more </w:t>
      </w:r>
      <w:r w:rsidR="00B6206B">
        <w:rPr>
          <w:rFonts w:asciiTheme="minorBidi" w:hAnsiTheme="minorBidi"/>
        </w:rPr>
        <w:t>eventual f</w:t>
      </w:r>
      <w:r w:rsidR="00216890">
        <w:rPr>
          <w:rFonts w:asciiTheme="minorBidi" w:hAnsiTheme="minorBidi"/>
        </w:rPr>
        <w:t>atalities</w:t>
      </w:r>
      <w:r w:rsidR="00E83308">
        <w:rPr>
          <w:rFonts w:asciiTheme="minorBidi" w:hAnsiTheme="minorBidi"/>
        </w:rPr>
        <w:t>)</w:t>
      </w:r>
      <w:r w:rsidR="00E0094D">
        <w:rPr>
          <w:rFonts w:asciiTheme="minorBidi" w:hAnsiTheme="minorBidi"/>
        </w:rPr>
        <w:t>,</w:t>
      </w:r>
      <w:r w:rsidR="001734EE">
        <w:rPr>
          <w:rFonts w:asciiTheme="minorBidi" w:hAnsiTheme="minorBidi"/>
        </w:rPr>
        <w:t xml:space="preserve"> </w:t>
      </w:r>
      <w:r w:rsidR="00182790">
        <w:rPr>
          <w:rFonts w:asciiTheme="minorBidi" w:hAnsiTheme="minorBidi"/>
        </w:rPr>
        <w:t>what</w:t>
      </w:r>
      <w:r w:rsidR="00760EA7">
        <w:rPr>
          <w:rFonts w:asciiTheme="minorBidi" w:hAnsiTheme="minorBidi"/>
        </w:rPr>
        <w:t xml:space="preserve"> </w:t>
      </w:r>
      <w:r w:rsidR="0073076C">
        <w:rPr>
          <w:rFonts w:asciiTheme="minorBidi" w:hAnsiTheme="minorBidi"/>
        </w:rPr>
        <w:t xml:space="preserve">could be </w:t>
      </w:r>
      <w:r w:rsidR="00C44E10">
        <w:rPr>
          <w:rFonts w:asciiTheme="minorBidi" w:hAnsiTheme="minorBidi"/>
        </w:rPr>
        <w:t>consid</w:t>
      </w:r>
      <w:r w:rsidR="00937E5C">
        <w:rPr>
          <w:rFonts w:asciiTheme="minorBidi" w:hAnsiTheme="minorBidi"/>
        </w:rPr>
        <w:t xml:space="preserve">ered </w:t>
      </w:r>
      <w:r w:rsidR="00115009">
        <w:rPr>
          <w:rFonts w:asciiTheme="minorBidi" w:hAnsiTheme="minorBidi"/>
        </w:rPr>
        <w:t>to repre</w:t>
      </w:r>
      <w:r w:rsidR="009853A1">
        <w:rPr>
          <w:rFonts w:asciiTheme="minorBidi" w:hAnsiTheme="minorBidi"/>
        </w:rPr>
        <w:t xml:space="preserve">sent </w:t>
      </w:r>
      <w:r w:rsidR="000C2428">
        <w:rPr>
          <w:rFonts w:asciiTheme="minorBidi" w:hAnsiTheme="minorBidi"/>
        </w:rPr>
        <w:t xml:space="preserve">a </w:t>
      </w:r>
      <w:r w:rsidR="0006400B">
        <w:rPr>
          <w:rFonts w:asciiTheme="minorBidi" w:hAnsiTheme="minorBidi"/>
        </w:rPr>
        <w:t>si</w:t>
      </w:r>
      <w:r w:rsidR="006334E0">
        <w:rPr>
          <w:rFonts w:asciiTheme="minorBidi" w:hAnsiTheme="minorBidi"/>
        </w:rPr>
        <w:t>gnifica</w:t>
      </w:r>
      <w:r w:rsidR="00F37ADF">
        <w:rPr>
          <w:rFonts w:asciiTheme="minorBidi" w:hAnsiTheme="minorBidi"/>
        </w:rPr>
        <w:t>nt accid</w:t>
      </w:r>
      <w:r w:rsidR="006D4D4B">
        <w:rPr>
          <w:rFonts w:asciiTheme="minorBidi" w:hAnsiTheme="minorBidi"/>
        </w:rPr>
        <w:t>ent with o</w:t>
      </w:r>
      <w:r w:rsidR="005320CF">
        <w:rPr>
          <w:rFonts w:asciiTheme="minorBidi" w:hAnsiTheme="minorBidi"/>
        </w:rPr>
        <w:t>ff-site s</w:t>
      </w:r>
      <w:r w:rsidR="00D60626">
        <w:rPr>
          <w:rFonts w:asciiTheme="minorBidi" w:hAnsiTheme="minorBidi"/>
        </w:rPr>
        <w:t>ocie</w:t>
      </w:r>
      <w:r w:rsidR="008D1EE0">
        <w:rPr>
          <w:rFonts w:asciiTheme="minorBidi" w:hAnsiTheme="minorBidi"/>
        </w:rPr>
        <w:t xml:space="preserve">tal </w:t>
      </w:r>
      <w:r w:rsidR="008E201A">
        <w:rPr>
          <w:rFonts w:asciiTheme="minorBidi" w:hAnsiTheme="minorBidi"/>
        </w:rPr>
        <w:t>consequ</w:t>
      </w:r>
      <w:r w:rsidR="00EA4DDE">
        <w:rPr>
          <w:rFonts w:asciiTheme="minorBidi" w:hAnsiTheme="minorBidi"/>
        </w:rPr>
        <w:t>ences</w:t>
      </w:r>
      <w:r w:rsidR="00B46C33">
        <w:rPr>
          <w:rFonts w:asciiTheme="minorBidi" w:hAnsiTheme="minorBidi"/>
        </w:rPr>
        <w:t>.</w:t>
      </w:r>
    </w:p>
    <w:p w14:paraId="25D21115" w14:textId="61547CC5" w:rsidR="00191824" w:rsidRDefault="00AD37EB" w:rsidP="00191824">
      <w:pPr>
        <w:jc w:val="both"/>
        <w:rPr>
          <w:rFonts w:asciiTheme="minorBidi" w:hAnsiTheme="minorBidi"/>
        </w:rPr>
      </w:pPr>
      <w:r w:rsidRPr="00AD37EB">
        <w:rPr>
          <w:rFonts w:asciiTheme="minorBidi" w:hAnsiTheme="minorBidi"/>
        </w:rPr>
        <w:t>International practice is also continuing to develop</w:t>
      </w:r>
      <w:r w:rsidR="62CB0B1D" w:rsidRPr="6758CE68">
        <w:rPr>
          <w:rFonts w:asciiTheme="minorBidi" w:hAnsiTheme="minorBidi"/>
        </w:rPr>
        <w:t xml:space="preserve"> and is tending towards a more technology neutral approach as non-LWR reactor technologies are developed and considered for deployment</w:t>
      </w:r>
      <w:r w:rsidRPr="6758CE68">
        <w:rPr>
          <w:rFonts w:asciiTheme="minorBidi" w:hAnsiTheme="minorBidi"/>
        </w:rPr>
        <w:t xml:space="preserve">. </w:t>
      </w:r>
      <w:r w:rsidR="59516C69" w:rsidRPr="6758CE68">
        <w:rPr>
          <w:rFonts w:asciiTheme="minorBidi" w:hAnsiTheme="minorBidi"/>
        </w:rPr>
        <w:t xml:space="preserve">For example, US NRC have recently adopted a technology neutral approach </w:t>
      </w:r>
      <w:r w:rsidR="4A8F97CC" w:rsidRPr="6758CE68">
        <w:rPr>
          <w:rFonts w:asciiTheme="minorBidi" w:hAnsiTheme="minorBidi"/>
        </w:rPr>
        <w:t>which has been applied to reactor designs now being considered for deployment in the UK</w:t>
      </w:r>
      <w:r w:rsidR="59516C69" w:rsidRPr="6758CE68">
        <w:rPr>
          <w:rFonts w:asciiTheme="minorBidi" w:hAnsiTheme="minorBidi"/>
        </w:rPr>
        <w:t>.</w:t>
      </w:r>
      <w:r w:rsidRPr="00AD37EB">
        <w:rPr>
          <w:rFonts w:asciiTheme="minorBidi" w:hAnsiTheme="minorBidi"/>
        </w:rPr>
        <w:t xml:space="preserve"> Discussions within the OECD Nuclear Energy Agency’s Working Group on Risk Assessment </w:t>
      </w:r>
      <w:r w:rsidR="41EC0BB3" w:rsidRPr="6758CE68">
        <w:rPr>
          <w:rFonts w:asciiTheme="minorBidi" w:hAnsiTheme="minorBidi"/>
        </w:rPr>
        <w:t xml:space="preserve">have also </w:t>
      </w:r>
      <w:r w:rsidRPr="6758CE68">
        <w:rPr>
          <w:rFonts w:asciiTheme="minorBidi" w:hAnsiTheme="minorBidi"/>
        </w:rPr>
        <w:t>indicate</w:t>
      </w:r>
      <w:r w:rsidR="0A59EAC2" w:rsidRPr="6758CE68">
        <w:rPr>
          <w:rFonts w:asciiTheme="minorBidi" w:hAnsiTheme="minorBidi"/>
        </w:rPr>
        <w:t>d</w:t>
      </w:r>
      <w:r w:rsidRPr="6758CE68">
        <w:rPr>
          <w:rFonts w:asciiTheme="minorBidi" w:hAnsiTheme="minorBidi"/>
        </w:rPr>
        <w:t xml:space="preserve"> </w:t>
      </w:r>
      <w:r w:rsidR="16ECCEAD" w:rsidRPr="6758CE68">
        <w:rPr>
          <w:rFonts w:asciiTheme="minorBidi" w:hAnsiTheme="minorBidi"/>
        </w:rPr>
        <w:t>international</w:t>
      </w:r>
      <w:r w:rsidRPr="00AD37EB">
        <w:rPr>
          <w:rFonts w:asciiTheme="minorBidi" w:hAnsiTheme="minorBidi"/>
        </w:rPr>
        <w:t xml:space="preserve"> interest in approaches capable of accommodating advanced and non-light-water reactor technologies</w:t>
      </w:r>
      <w:r w:rsidR="20320C3C" w:rsidRPr="6758CE68">
        <w:rPr>
          <w:rFonts w:asciiTheme="minorBidi" w:hAnsiTheme="minorBidi"/>
        </w:rPr>
        <w:t>, with informal requests to the ONR representative on ONR’s technology neutral, goal setting approach</w:t>
      </w:r>
      <w:r w:rsidRPr="6758CE68">
        <w:rPr>
          <w:rFonts w:asciiTheme="minorBidi" w:hAnsiTheme="minorBidi"/>
        </w:rPr>
        <w:t>.</w:t>
      </w:r>
      <w:r w:rsidRPr="00AD37EB">
        <w:rPr>
          <w:rFonts w:asciiTheme="minorBidi" w:hAnsiTheme="minorBidi"/>
        </w:rPr>
        <w:t xml:space="preserve"> ONR is also aware of examples in which other regulators </w:t>
      </w:r>
      <w:r w:rsidR="43F29D17" w:rsidRPr="6758CE68">
        <w:rPr>
          <w:rFonts w:asciiTheme="minorBidi" w:hAnsiTheme="minorBidi"/>
        </w:rPr>
        <w:t>or technology vendors</w:t>
      </w:r>
      <w:r w:rsidRPr="6758CE68">
        <w:rPr>
          <w:rFonts w:asciiTheme="minorBidi" w:hAnsiTheme="minorBidi"/>
        </w:rPr>
        <w:t xml:space="preserve"> have </w:t>
      </w:r>
      <w:r w:rsidR="786C634A" w:rsidRPr="6758CE68">
        <w:rPr>
          <w:rFonts w:asciiTheme="minorBidi" w:hAnsiTheme="minorBidi"/>
        </w:rPr>
        <w:t>directly</w:t>
      </w:r>
      <w:r w:rsidRPr="00AD37EB">
        <w:rPr>
          <w:rFonts w:asciiTheme="minorBidi" w:hAnsiTheme="minorBidi"/>
        </w:rPr>
        <w:t xml:space="preserve"> drawn on the SAPs numerical framework when their established reactor-specific metrics were not readily </w:t>
      </w:r>
      <w:r w:rsidR="0061331C" w:rsidRPr="00AD37EB">
        <w:rPr>
          <w:rFonts w:asciiTheme="minorBidi" w:hAnsiTheme="minorBidi"/>
        </w:rPr>
        <w:t>applicable</w:t>
      </w:r>
      <w:r w:rsidR="0061331C">
        <w:rPr>
          <w:rFonts w:asciiTheme="minorBidi" w:hAnsiTheme="minorBidi"/>
        </w:rPr>
        <w:t>.</w:t>
      </w:r>
    </w:p>
    <w:p w14:paraId="521DA853" w14:textId="77777777" w:rsidR="000F7264" w:rsidRDefault="000F7264" w:rsidP="00191824">
      <w:pPr>
        <w:jc w:val="both"/>
        <w:rPr>
          <w:rFonts w:asciiTheme="minorBidi" w:hAnsiTheme="minorBidi"/>
        </w:rPr>
      </w:pPr>
    </w:p>
    <w:p w14:paraId="416D0FF2" w14:textId="161E128A" w:rsidR="00484153" w:rsidRPr="00B062DF" w:rsidRDefault="00057929" w:rsidP="00484153">
      <w:pPr>
        <w:jc w:val="both"/>
        <w:rPr>
          <w:rFonts w:asciiTheme="minorBidi" w:hAnsiTheme="minorBidi"/>
          <w:b/>
        </w:rPr>
      </w:pPr>
      <w:r w:rsidRPr="00B062DF">
        <w:rPr>
          <w:rFonts w:asciiTheme="minorBidi" w:hAnsiTheme="minorBidi"/>
          <w:b/>
        </w:rPr>
        <w:lastRenderedPageBreak/>
        <w:t>Annex 1:</w:t>
      </w:r>
      <w:r w:rsidR="00E41211" w:rsidRPr="00B062DF">
        <w:rPr>
          <w:rFonts w:asciiTheme="minorBidi" w:hAnsiTheme="minorBidi"/>
          <w:b/>
        </w:rPr>
        <w:t xml:space="preserve"> </w:t>
      </w:r>
      <w:r w:rsidR="00B062DF">
        <w:rPr>
          <w:rFonts w:asciiTheme="minorBidi" w:hAnsiTheme="minorBidi"/>
          <w:b/>
        </w:rPr>
        <w:t>Rationale for p</w:t>
      </w:r>
      <w:r w:rsidR="00CE1DCB" w:rsidRPr="00B062DF">
        <w:rPr>
          <w:rFonts w:asciiTheme="minorBidi" w:hAnsiTheme="minorBidi"/>
          <w:b/>
        </w:rPr>
        <w:t xml:space="preserve">roposed </w:t>
      </w:r>
      <w:r w:rsidR="00B062DF">
        <w:rPr>
          <w:rFonts w:asciiTheme="minorBidi" w:hAnsiTheme="minorBidi"/>
          <w:b/>
        </w:rPr>
        <w:t>c</w:t>
      </w:r>
      <w:r w:rsidRPr="00B062DF">
        <w:rPr>
          <w:rFonts w:asciiTheme="minorBidi" w:hAnsiTheme="minorBidi"/>
          <w:b/>
        </w:rPr>
        <w:t xml:space="preserve">hanges to </w:t>
      </w:r>
      <w:r w:rsidR="00B062DF">
        <w:rPr>
          <w:rFonts w:asciiTheme="minorBidi" w:hAnsiTheme="minorBidi"/>
          <w:b/>
        </w:rPr>
        <w:t>n</w:t>
      </w:r>
      <w:r w:rsidRPr="00B062DF">
        <w:rPr>
          <w:rFonts w:asciiTheme="minorBidi" w:hAnsiTheme="minorBidi"/>
          <w:b/>
        </w:rPr>
        <w:t xml:space="preserve">umerical </w:t>
      </w:r>
      <w:r w:rsidR="00B062DF">
        <w:rPr>
          <w:rFonts w:asciiTheme="minorBidi" w:hAnsiTheme="minorBidi"/>
          <w:b/>
        </w:rPr>
        <w:t>v</w:t>
      </w:r>
      <w:r w:rsidRPr="00B062DF">
        <w:rPr>
          <w:rFonts w:asciiTheme="minorBidi" w:hAnsiTheme="minorBidi"/>
          <w:b/>
        </w:rPr>
        <w:t>alues</w:t>
      </w:r>
    </w:p>
    <w:p w14:paraId="0FCF7E48" w14:textId="1E133FAE" w:rsidR="00057929" w:rsidRPr="00B062DF" w:rsidRDefault="00057929" w:rsidP="00B062DF">
      <w:pPr>
        <w:jc w:val="both"/>
        <w:rPr>
          <w:rFonts w:asciiTheme="minorBidi" w:hAnsiTheme="minorBidi"/>
          <w:u w:val="single"/>
        </w:rPr>
      </w:pPr>
      <w:r w:rsidRPr="00B062DF">
        <w:rPr>
          <w:rFonts w:asciiTheme="minorBidi" w:hAnsiTheme="minorBidi"/>
          <w:u w:val="single"/>
        </w:rPr>
        <w:t xml:space="preserve">Target 1: Normal Operations Other Workers </w:t>
      </w:r>
      <w:r w:rsidR="00D629C7" w:rsidRPr="00B062DF">
        <w:rPr>
          <w:rFonts w:asciiTheme="minorBidi" w:hAnsiTheme="minorBidi"/>
          <w:u w:val="single"/>
        </w:rPr>
        <w:t>–</w:t>
      </w:r>
      <w:r w:rsidRPr="00B062DF">
        <w:rPr>
          <w:rFonts w:asciiTheme="minorBidi" w:hAnsiTheme="minorBidi"/>
          <w:u w:val="single"/>
        </w:rPr>
        <w:t xml:space="preserve"> </w:t>
      </w:r>
      <w:r w:rsidR="00D629C7" w:rsidRPr="00B062DF">
        <w:rPr>
          <w:rFonts w:asciiTheme="minorBidi" w:hAnsiTheme="minorBidi"/>
          <w:u w:val="single"/>
        </w:rPr>
        <w:t>BSO</w:t>
      </w:r>
      <w:r w:rsidRPr="00B062DF">
        <w:rPr>
          <w:rFonts w:asciiTheme="minorBidi" w:hAnsiTheme="minorBidi"/>
          <w:u w:val="single"/>
        </w:rPr>
        <w:t xml:space="preserve"> </w:t>
      </w:r>
    </w:p>
    <w:p w14:paraId="44D3C048" w14:textId="77777777" w:rsidR="00A81BA7" w:rsidRPr="00A81BA7" w:rsidRDefault="00A81BA7" w:rsidP="00A81BA7">
      <w:pPr>
        <w:jc w:val="both"/>
      </w:pPr>
      <w:r w:rsidRPr="00A81BA7">
        <w:rPr>
          <w:i/>
          <w:iCs/>
        </w:rPr>
        <w:t>For ease of reading, the term BSO is used consistently throughout. However, the revised SAPs propose replacing the term BSO with Regulatory Focus Level (RFL).</w:t>
      </w:r>
    </w:p>
    <w:p w14:paraId="0A8AECCA" w14:textId="77777777" w:rsidR="007E48FC" w:rsidRPr="007E48FC" w:rsidRDefault="007E48FC" w:rsidP="007E48FC">
      <w:pPr>
        <w:jc w:val="both"/>
        <w:rPr>
          <w:rFonts w:asciiTheme="minorBidi" w:eastAsia="Segoe UI" w:hAnsiTheme="minorBidi"/>
        </w:rPr>
      </w:pPr>
      <w:r w:rsidRPr="007E48FC">
        <w:rPr>
          <w:rFonts w:asciiTheme="minorBidi" w:eastAsia="Segoe UI" w:hAnsiTheme="minorBidi"/>
        </w:rPr>
        <w:t>The current BSO of 0.1 mSv per year for ‘other employees on the site’ reflects downward trends in dose and is lower than the corresponding 0.5 mSv per year BSO in the 1992 SAPs. It is a factor of 20 below the BSL and equates to an annual fatality risk of approximately 1 in 200,000. This was considered appropriate in light of the conservatisms often incorporated into dose estimates of this kind.</w:t>
      </w:r>
    </w:p>
    <w:p w14:paraId="2BBF7BA1" w14:textId="46D9102D" w:rsidR="004D19D4" w:rsidRPr="00E41211" w:rsidRDefault="001250A4" w:rsidP="00F265BC">
      <w:pPr>
        <w:jc w:val="both"/>
        <w:rPr>
          <w:rFonts w:asciiTheme="minorBidi" w:eastAsia="Segoe UI" w:hAnsiTheme="minorBidi"/>
        </w:rPr>
      </w:pPr>
      <w:r>
        <w:rPr>
          <w:rFonts w:asciiTheme="minorBidi" w:eastAsia="Segoe UI" w:hAnsiTheme="minorBidi"/>
        </w:rPr>
        <w:t>A</w:t>
      </w:r>
      <w:r w:rsidR="00057929" w:rsidRPr="00E41211">
        <w:rPr>
          <w:rFonts w:asciiTheme="minorBidi" w:eastAsia="Segoe UI" w:hAnsiTheme="minorBidi"/>
        </w:rPr>
        <w:t xml:space="preserve"> </w:t>
      </w:r>
      <w:r w:rsidR="00616ECE">
        <w:rPr>
          <w:rFonts w:asciiTheme="minorBidi" w:eastAsia="Segoe UI" w:hAnsiTheme="minorBidi"/>
        </w:rPr>
        <w:t xml:space="preserve">BSO </w:t>
      </w:r>
      <w:r w:rsidR="00057929" w:rsidRPr="00E41211">
        <w:rPr>
          <w:rFonts w:asciiTheme="minorBidi" w:eastAsia="Segoe UI" w:hAnsiTheme="minorBidi"/>
        </w:rPr>
        <w:t xml:space="preserve">value of 0.5 mSv </w:t>
      </w:r>
      <w:r w:rsidR="00F27BF5">
        <w:rPr>
          <w:rFonts w:asciiTheme="minorBidi" w:eastAsia="Segoe UI" w:hAnsiTheme="minorBidi"/>
        </w:rPr>
        <w:t>per year</w:t>
      </w:r>
      <w:r w:rsidR="00057929" w:rsidRPr="00E41211">
        <w:rPr>
          <w:rFonts w:asciiTheme="minorBidi" w:eastAsia="Segoe UI" w:hAnsiTheme="minorBidi"/>
        </w:rPr>
        <w:t xml:space="preserve"> is now </w:t>
      </w:r>
      <w:r w:rsidR="00C42776">
        <w:rPr>
          <w:rFonts w:asciiTheme="minorBidi" w:eastAsia="Segoe UI" w:hAnsiTheme="minorBidi"/>
        </w:rPr>
        <w:t>proposed in the SAPs consultation</w:t>
      </w:r>
      <w:r w:rsidR="00057929" w:rsidRPr="00E41211">
        <w:rPr>
          <w:rFonts w:asciiTheme="minorBidi" w:eastAsia="Segoe UI" w:hAnsiTheme="minorBidi"/>
        </w:rPr>
        <w:t>. It is ONR’s view that a</w:t>
      </w:r>
      <w:r w:rsidR="00D629C7">
        <w:rPr>
          <w:rFonts w:asciiTheme="minorBidi" w:eastAsia="Segoe UI" w:hAnsiTheme="minorBidi"/>
        </w:rPr>
        <w:t xml:space="preserve">n </w:t>
      </w:r>
      <w:r w:rsidR="006B6033">
        <w:rPr>
          <w:rFonts w:asciiTheme="minorBidi" w:eastAsia="Segoe UI" w:hAnsiTheme="minorBidi"/>
        </w:rPr>
        <w:t>accumulated</w:t>
      </w:r>
      <w:r w:rsidR="00AF76A9">
        <w:rPr>
          <w:rFonts w:asciiTheme="minorBidi" w:eastAsia="Segoe UI" w:hAnsiTheme="minorBidi"/>
        </w:rPr>
        <w:t xml:space="preserve"> dose </w:t>
      </w:r>
      <w:r w:rsidR="00291689">
        <w:rPr>
          <w:rFonts w:asciiTheme="minorBidi" w:eastAsia="Segoe UI" w:hAnsiTheme="minorBidi"/>
        </w:rPr>
        <w:t xml:space="preserve">on a nuclear site </w:t>
      </w:r>
      <w:r w:rsidR="00FD2A56">
        <w:rPr>
          <w:rFonts w:asciiTheme="minorBidi" w:eastAsia="Segoe UI" w:hAnsiTheme="minorBidi"/>
        </w:rPr>
        <w:t xml:space="preserve">over a year </w:t>
      </w:r>
      <w:r w:rsidR="00AF76A9">
        <w:rPr>
          <w:rFonts w:asciiTheme="minorBidi" w:eastAsia="Segoe UI" w:hAnsiTheme="minorBidi"/>
        </w:rPr>
        <w:t xml:space="preserve">of 0.1 </w:t>
      </w:r>
      <w:r w:rsidR="008112BA">
        <w:rPr>
          <w:rFonts w:asciiTheme="minorBidi" w:eastAsia="Segoe UI" w:hAnsiTheme="minorBidi"/>
        </w:rPr>
        <w:t>mSv</w:t>
      </w:r>
      <w:r w:rsidR="00732D88">
        <w:rPr>
          <w:rFonts w:asciiTheme="minorBidi" w:eastAsia="Segoe UI" w:hAnsiTheme="minorBidi"/>
        </w:rPr>
        <w:t xml:space="preserve">, the minimum reportable on a TLD dosemeter, </w:t>
      </w:r>
      <w:r w:rsidR="00234C80">
        <w:rPr>
          <w:rFonts w:asciiTheme="minorBidi" w:eastAsia="Segoe UI" w:hAnsiTheme="minorBidi"/>
        </w:rPr>
        <w:t xml:space="preserve">is </w:t>
      </w:r>
      <w:r w:rsidR="00F02180">
        <w:rPr>
          <w:rFonts w:asciiTheme="minorBidi" w:eastAsia="Segoe UI" w:hAnsiTheme="minorBidi"/>
        </w:rPr>
        <w:t>too low to warrant regulatory attention</w:t>
      </w:r>
      <w:r w:rsidR="007C1AED">
        <w:rPr>
          <w:rFonts w:asciiTheme="minorBidi" w:eastAsia="Segoe UI" w:hAnsiTheme="minorBidi"/>
        </w:rPr>
        <w:t xml:space="preserve"> </w:t>
      </w:r>
      <w:r w:rsidR="00057929" w:rsidRPr="00E41211">
        <w:rPr>
          <w:rFonts w:asciiTheme="minorBidi" w:eastAsia="Segoe UI" w:hAnsiTheme="minorBidi"/>
        </w:rPr>
        <w:t>a</w:t>
      </w:r>
      <w:r w:rsidR="00D629C7">
        <w:rPr>
          <w:rFonts w:asciiTheme="minorBidi" w:eastAsia="Segoe UI" w:hAnsiTheme="minorBidi"/>
        </w:rPr>
        <w:t>n</w:t>
      </w:r>
      <w:r w:rsidR="006C2101">
        <w:rPr>
          <w:rFonts w:asciiTheme="minorBidi" w:eastAsia="Segoe UI" w:hAnsiTheme="minorBidi"/>
        </w:rPr>
        <w:t>d</w:t>
      </w:r>
      <w:r w:rsidR="00D629C7">
        <w:rPr>
          <w:rFonts w:asciiTheme="minorBidi" w:eastAsia="Segoe UI" w:hAnsiTheme="minorBidi"/>
        </w:rPr>
        <w:t xml:space="preserve"> </w:t>
      </w:r>
      <w:r w:rsidR="006C2101">
        <w:rPr>
          <w:rFonts w:asciiTheme="minorBidi" w:eastAsia="Segoe UI" w:hAnsiTheme="minorBidi"/>
        </w:rPr>
        <w:t xml:space="preserve">a </w:t>
      </w:r>
      <w:r w:rsidR="00484153">
        <w:rPr>
          <w:rFonts w:asciiTheme="minorBidi" w:eastAsia="Segoe UI" w:hAnsiTheme="minorBidi"/>
        </w:rPr>
        <w:t>BSO</w:t>
      </w:r>
      <w:r w:rsidR="00D629C7">
        <w:rPr>
          <w:rFonts w:asciiTheme="minorBidi" w:eastAsia="Segoe UI" w:hAnsiTheme="minorBidi"/>
        </w:rPr>
        <w:t xml:space="preserve"> </w:t>
      </w:r>
      <w:r w:rsidR="00057929" w:rsidRPr="00E41211">
        <w:rPr>
          <w:rFonts w:asciiTheme="minorBidi" w:eastAsia="Segoe UI" w:hAnsiTheme="minorBidi"/>
        </w:rPr>
        <w:t xml:space="preserve">of 0.5 mSv </w:t>
      </w:r>
      <w:r w:rsidR="00F27BF5">
        <w:rPr>
          <w:rFonts w:asciiTheme="minorBidi" w:eastAsia="Segoe UI" w:hAnsiTheme="minorBidi"/>
        </w:rPr>
        <w:t>per year</w:t>
      </w:r>
      <w:r w:rsidR="00057929" w:rsidRPr="00E41211">
        <w:rPr>
          <w:rFonts w:asciiTheme="minorBidi" w:eastAsia="Segoe UI" w:hAnsiTheme="minorBidi"/>
        </w:rPr>
        <w:t xml:space="preserve"> is representative of a level of dose that is consistent with the ALARP principle. This view is held, even though 0.5 mSv </w:t>
      </w:r>
      <w:r w:rsidR="00F27BF5">
        <w:rPr>
          <w:rFonts w:asciiTheme="minorBidi" w:eastAsia="Segoe UI" w:hAnsiTheme="minorBidi"/>
        </w:rPr>
        <w:t>per year</w:t>
      </w:r>
      <w:r w:rsidR="00057929" w:rsidRPr="00E41211">
        <w:rPr>
          <w:rFonts w:asciiTheme="minorBidi" w:eastAsia="Segoe UI" w:hAnsiTheme="minorBidi"/>
        </w:rPr>
        <w:t xml:space="preserve"> equates to a fatality risk of about 1</w:t>
      </w:r>
      <w:r w:rsidR="00304076">
        <w:rPr>
          <w:rFonts w:asciiTheme="minorBidi" w:eastAsia="Segoe UI" w:hAnsiTheme="minorBidi"/>
        </w:rPr>
        <w:t xml:space="preserve"> in </w:t>
      </w:r>
      <w:r w:rsidR="00057929" w:rsidRPr="00E41211">
        <w:rPr>
          <w:rFonts w:asciiTheme="minorBidi" w:eastAsia="Segoe UI" w:hAnsiTheme="minorBidi"/>
        </w:rPr>
        <w:t>50,000 p</w:t>
      </w:r>
      <w:r w:rsidR="00304076">
        <w:rPr>
          <w:rFonts w:asciiTheme="minorBidi" w:eastAsia="Segoe UI" w:hAnsiTheme="minorBidi"/>
        </w:rPr>
        <w:t>er year</w:t>
      </w:r>
      <w:r w:rsidR="00057929" w:rsidRPr="00E41211">
        <w:rPr>
          <w:rFonts w:asciiTheme="minorBidi" w:eastAsia="Segoe UI" w:hAnsiTheme="minorBidi"/>
        </w:rPr>
        <w:t xml:space="preserve">, which exceeds the broadly acceptable level of risk proposed in R2P2. A value of 2 mSv </w:t>
      </w:r>
      <w:r w:rsidR="00F27BF5">
        <w:rPr>
          <w:rFonts w:asciiTheme="minorBidi" w:eastAsia="Segoe UI" w:hAnsiTheme="minorBidi"/>
        </w:rPr>
        <w:t>per year</w:t>
      </w:r>
      <w:r w:rsidR="00057929" w:rsidRPr="00E41211">
        <w:rPr>
          <w:rFonts w:asciiTheme="minorBidi" w:eastAsia="Segoe UI" w:hAnsiTheme="minorBidi"/>
        </w:rPr>
        <w:t xml:space="preserve"> for the BSL and 0.5 mSv </w:t>
      </w:r>
      <w:r w:rsidR="00F27BF5">
        <w:rPr>
          <w:rFonts w:asciiTheme="minorBidi" w:eastAsia="Segoe UI" w:hAnsiTheme="minorBidi"/>
        </w:rPr>
        <w:t>per year</w:t>
      </w:r>
      <w:r w:rsidR="00057929" w:rsidRPr="00E41211">
        <w:rPr>
          <w:rFonts w:asciiTheme="minorBidi" w:eastAsia="Segoe UI" w:hAnsiTheme="minorBidi"/>
        </w:rPr>
        <w:t xml:space="preserve"> for the </w:t>
      </w:r>
      <w:r w:rsidR="006872C1">
        <w:rPr>
          <w:rFonts w:asciiTheme="minorBidi" w:eastAsia="Segoe UI" w:hAnsiTheme="minorBidi"/>
        </w:rPr>
        <w:t>BSO</w:t>
      </w:r>
      <w:r w:rsidR="006872C1" w:rsidRPr="00E41211">
        <w:rPr>
          <w:rFonts w:asciiTheme="minorBidi" w:eastAsia="Segoe UI" w:hAnsiTheme="minorBidi"/>
        </w:rPr>
        <w:t xml:space="preserve"> </w:t>
      </w:r>
      <w:r w:rsidR="00057929" w:rsidRPr="00E41211">
        <w:rPr>
          <w:rFonts w:asciiTheme="minorBidi" w:eastAsia="Segoe UI" w:hAnsiTheme="minorBidi"/>
        </w:rPr>
        <w:t xml:space="preserve">is consistent with paragraph 86 of the </w:t>
      </w:r>
      <w:r w:rsidR="00190C2F">
        <w:rPr>
          <w:rFonts w:asciiTheme="minorBidi" w:eastAsia="Segoe UI" w:hAnsiTheme="minorBidi"/>
        </w:rPr>
        <w:t xml:space="preserve">IRR17 </w:t>
      </w:r>
      <w:proofErr w:type="spellStart"/>
      <w:r w:rsidR="00057929" w:rsidRPr="00E41211">
        <w:rPr>
          <w:rFonts w:asciiTheme="minorBidi" w:eastAsia="Segoe UI" w:hAnsiTheme="minorBidi"/>
        </w:rPr>
        <w:t>ACoP</w:t>
      </w:r>
      <w:proofErr w:type="spellEnd"/>
      <w:r w:rsidR="00057929" w:rsidRPr="00E41211">
        <w:rPr>
          <w:rFonts w:asciiTheme="minorBidi" w:eastAsia="Segoe UI" w:hAnsiTheme="minorBidi"/>
        </w:rPr>
        <w:t xml:space="preserve"> which requires “</w:t>
      </w:r>
      <w:r w:rsidR="00057929" w:rsidRPr="00E41211">
        <w:rPr>
          <w:rFonts w:asciiTheme="minorBidi" w:eastAsia="Segoe UI" w:hAnsiTheme="minorBidi"/>
          <w:i/>
          <w:iCs/>
        </w:rPr>
        <w:t>The dose control measures should make it unlikely that such people would receive an effective dose greater than 1 mSv per year”</w:t>
      </w:r>
      <w:r w:rsidR="00057929" w:rsidRPr="00E41211">
        <w:rPr>
          <w:rFonts w:asciiTheme="minorBidi" w:eastAsia="Segoe UI" w:hAnsiTheme="minorBidi"/>
        </w:rPr>
        <w:t>.</w:t>
      </w:r>
      <w:r w:rsidR="00B71F68">
        <w:rPr>
          <w:rFonts w:asciiTheme="minorBidi" w:eastAsia="Segoe UI" w:hAnsiTheme="minorBidi"/>
        </w:rPr>
        <w:t xml:space="preserve"> (Note the BSO for e</w:t>
      </w:r>
      <w:r w:rsidR="00B71F68" w:rsidRPr="00B71F68">
        <w:rPr>
          <w:rFonts w:asciiTheme="minorBidi" w:eastAsia="Segoe UI" w:hAnsiTheme="minorBidi"/>
        </w:rPr>
        <w:t xml:space="preserve">mployees </w:t>
      </w:r>
      <w:r w:rsidR="00B71F68">
        <w:rPr>
          <w:rFonts w:asciiTheme="minorBidi" w:eastAsia="Segoe UI" w:hAnsiTheme="minorBidi"/>
        </w:rPr>
        <w:t xml:space="preserve">who are </w:t>
      </w:r>
      <w:r w:rsidR="00B71F68" w:rsidRPr="00B71F68">
        <w:rPr>
          <w:rFonts w:asciiTheme="minorBidi" w:eastAsia="Segoe UI" w:hAnsiTheme="minorBidi"/>
        </w:rPr>
        <w:t>working with ionising radiation</w:t>
      </w:r>
      <w:r w:rsidR="00DF465C">
        <w:rPr>
          <w:rFonts w:asciiTheme="minorBidi" w:eastAsia="Segoe UI" w:hAnsiTheme="minorBidi"/>
        </w:rPr>
        <w:t xml:space="preserve"> remai</w:t>
      </w:r>
      <w:r w:rsidR="00471D11">
        <w:rPr>
          <w:rFonts w:asciiTheme="minorBidi" w:eastAsia="Segoe UI" w:hAnsiTheme="minorBidi"/>
        </w:rPr>
        <w:t>n</w:t>
      </w:r>
      <w:r w:rsidR="00DF465C">
        <w:rPr>
          <w:rFonts w:asciiTheme="minorBidi" w:eastAsia="Segoe UI" w:hAnsiTheme="minorBidi"/>
        </w:rPr>
        <w:t xml:space="preserve">s at </w:t>
      </w:r>
      <w:r w:rsidR="00471D11">
        <w:rPr>
          <w:rFonts w:asciiTheme="minorBidi" w:eastAsia="Segoe UI" w:hAnsiTheme="minorBidi"/>
        </w:rPr>
        <w:t xml:space="preserve">this </w:t>
      </w:r>
      <w:r w:rsidR="00DF465C">
        <w:rPr>
          <w:rFonts w:asciiTheme="minorBidi" w:eastAsia="Segoe UI" w:hAnsiTheme="minorBidi"/>
        </w:rPr>
        <w:t>1 mSv</w:t>
      </w:r>
      <w:r w:rsidR="00471D11">
        <w:rPr>
          <w:rFonts w:asciiTheme="minorBidi" w:eastAsia="Segoe UI" w:hAnsiTheme="minorBidi"/>
        </w:rPr>
        <w:t xml:space="preserve"> </w:t>
      </w:r>
      <w:proofErr w:type="spellStart"/>
      <w:r w:rsidR="00471D11">
        <w:rPr>
          <w:rFonts w:asciiTheme="minorBidi" w:eastAsia="Segoe UI" w:hAnsiTheme="minorBidi"/>
        </w:rPr>
        <w:t>ACoP</w:t>
      </w:r>
      <w:proofErr w:type="spellEnd"/>
      <w:r w:rsidR="00471D11">
        <w:rPr>
          <w:rFonts w:asciiTheme="minorBidi" w:eastAsia="Segoe UI" w:hAnsiTheme="minorBidi"/>
        </w:rPr>
        <w:t xml:space="preserve"> threshold</w:t>
      </w:r>
      <w:r w:rsidR="00DF465C">
        <w:rPr>
          <w:rFonts w:asciiTheme="minorBidi" w:eastAsia="Segoe UI" w:hAnsiTheme="minorBidi"/>
        </w:rPr>
        <w:t>)</w:t>
      </w:r>
      <w:r w:rsidR="00B015AB">
        <w:rPr>
          <w:rFonts w:asciiTheme="minorBidi" w:eastAsia="Segoe UI" w:hAnsiTheme="minorBidi"/>
        </w:rPr>
        <w:t>.</w:t>
      </w:r>
      <w:r w:rsidR="00F265BC">
        <w:rPr>
          <w:rFonts w:asciiTheme="minorBidi" w:eastAsia="Segoe UI" w:hAnsiTheme="minorBidi"/>
        </w:rPr>
        <w:t xml:space="preserve"> </w:t>
      </w:r>
      <w:r w:rsidR="00347C35" w:rsidRPr="00347C35">
        <w:rPr>
          <w:rFonts w:asciiTheme="minorBidi" w:eastAsia="Segoe UI" w:hAnsiTheme="minorBidi"/>
        </w:rPr>
        <w:t xml:space="preserve">This is an example of ONR not applying the numerical risk levels in R2P2 mechanistically. In proposing an </w:t>
      </w:r>
      <w:r w:rsidR="00484153">
        <w:rPr>
          <w:rFonts w:asciiTheme="minorBidi" w:eastAsia="Segoe UI" w:hAnsiTheme="minorBidi"/>
        </w:rPr>
        <w:t>BSO</w:t>
      </w:r>
      <w:r w:rsidR="00347C35" w:rsidRPr="00347C35">
        <w:rPr>
          <w:rFonts w:asciiTheme="minorBidi" w:eastAsia="Segoe UI" w:hAnsiTheme="minorBidi"/>
        </w:rPr>
        <w:t xml:space="preserve"> of 0.5 mSv per year, ONR has taken a pragmatic and proportionate approach </w:t>
      </w:r>
      <w:r w:rsidR="001C2A50">
        <w:rPr>
          <w:rFonts w:asciiTheme="minorBidi" w:eastAsia="Segoe UI" w:hAnsiTheme="minorBidi"/>
        </w:rPr>
        <w:t>to where we focus</w:t>
      </w:r>
      <w:r w:rsidR="00623A0C">
        <w:rPr>
          <w:rFonts w:asciiTheme="minorBidi" w:eastAsia="Segoe UI" w:hAnsiTheme="minorBidi"/>
        </w:rPr>
        <w:t xml:space="preserve"> </w:t>
      </w:r>
      <w:r w:rsidR="00347C35" w:rsidRPr="00347C35">
        <w:rPr>
          <w:rFonts w:asciiTheme="minorBidi" w:eastAsia="Segoe UI" w:hAnsiTheme="minorBidi"/>
        </w:rPr>
        <w:t>regulatory attention</w:t>
      </w:r>
      <w:r w:rsidR="006A7735">
        <w:rPr>
          <w:rFonts w:asciiTheme="minorBidi" w:eastAsia="Segoe UI" w:hAnsiTheme="minorBidi"/>
        </w:rPr>
        <w:t>.</w:t>
      </w:r>
    </w:p>
    <w:p w14:paraId="177D4F30" w14:textId="7A3191B3" w:rsidR="00057929" w:rsidRPr="00B062DF" w:rsidRDefault="00057929" w:rsidP="00B062DF">
      <w:pPr>
        <w:jc w:val="both"/>
        <w:rPr>
          <w:rFonts w:asciiTheme="minorBidi" w:hAnsiTheme="minorBidi"/>
          <w:u w:val="single"/>
        </w:rPr>
      </w:pPr>
      <w:r w:rsidRPr="00B062DF">
        <w:rPr>
          <w:rFonts w:asciiTheme="minorBidi" w:hAnsiTheme="minorBidi"/>
          <w:u w:val="single"/>
        </w:rPr>
        <w:t xml:space="preserve">Target 3: Normal Operations Public </w:t>
      </w:r>
      <w:r w:rsidR="00C23D48" w:rsidRPr="00B062DF">
        <w:rPr>
          <w:rFonts w:asciiTheme="minorBidi" w:hAnsiTheme="minorBidi"/>
          <w:u w:val="single"/>
        </w:rPr>
        <w:t>–</w:t>
      </w:r>
      <w:r w:rsidRPr="00B062DF">
        <w:rPr>
          <w:rFonts w:asciiTheme="minorBidi" w:hAnsiTheme="minorBidi"/>
          <w:u w:val="single"/>
        </w:rPr>
        <w:t xml:space="preserve"> BSO</w:t>
      </w:r>
    </w:p>
    <w:p w14:paraId="4AE95E53" w14:textId="5C92E686" w:rsidR="00057929" w:rsidRPr="00E41211" w:rsidRDefault="00057929" w:rsidP="005D6454">
      <w:pPr>
        <w:jc w:val="both"/>
        <w:rPr>
          <w:rFonts w:asciiTheme="minorBidi" w:eastAsia="Segoe UI" w:hAnsiTheme="minorBidi"/>
        </w:rPr>
      </w:pPr>
      <w:r w:rsidRPr="00E41211">
        <w:rPr>
          <w:rFonts w:asciiTheme="minorBidi" w:eastAsia="Segoe UI" w:hAnsiTheme="minorBidi"/>
        </w:rPr>
        <w:t xml:space="preserve">In the 1992 and </w:t>
      </w:r>
      <w:r w:rsidR="00AE120B">
        <w:rPr>
          <w:rFonts w:asciiTheme="minorBidi" w:eastAsia="Segoe UI" w:hAnsiTheme="minorBidi"/>
        </w:rPr>
        <w:t xml:space="preserve">current </w:t>
      </w:r>
      <w:r w:rsidRPr="00E41211">
        <w:rPr>
          <w:rFonts w:asciiTheme="minorBidi" w:eastAsia="Segoe UI" w:hAnsiTheme="minorBidi"/>
        </w:rPr>
        <w:t xml:space="preserve">2014 SAPs the BSO is 0.02 mSv </w:t>
      </w:r>
      <w:r w:rsidR="00F27BF5">
        <w:rPr>
          <w:rFonts w:asciiTheme="minorBidi" w:eastAsia="Segoe UI" w:hAnsiTheme="minorBidi"/>
        </w:rPr>
        <w:t>per year</w:t>
      </w:r>
      <w:r w:rsidRPr="00E41211">
        <w:rPr>
          <w:rFonts w:asciiTheme="minorBidi" w:eastAsia="Segoe UI" w:hAnsiTheme="minorBidi"/>
        </w:rPr>
        <w:t>. It equates to the 1</w:t>
      </w:r>
      <w:r w:rsidR="00F27BF5">
        <w:rPr>
          <w:rFonts w:asciiTheme="minorBidi" w:eastAsia="Segoe UI" w:hAnsiTheme="minorBidi"/>
        </w:rPr>
        <w:t xml:space="preserve"> in </w:t>
      </w:r>
      <w:r w:rsidRPr="00E41211">
        <w:rPr>
          <w:rFonts w:asciiTheme="minorBidi" w:eastAsia="Segoe UI" w:hAnsiTheme="minorBidi"/>
        </w:rPr>
        <w:t>1,000</w:t>
      </w:r>
      <w:r w:rsidR="00A560A7">
        <w:rPr>
          <w:rFonts w:asciiTheme="minorBidi" w:eastAsia="Segoe UI" w:hAnsiTheme="minorBidi"/>
        </w:rPr>
        <w:t>,</w:t>
      </w:r>
      <w:r w:rsidRPr="00E41211">
        <w:rPr>
          <w:rFonts w:asciiTheme="minorBidi" w:eastAsia="Segoe UI" w:hAnsiTheme="minorBidi"/>
        </w:rPr>
        <w:t>000 p</w:t>
      </w:r>
      <w:r w:rsidR="00F27BF5">
        <w:rPr>
          <w:rFonts w:asciiTheme="minorBidi" w:eastAsia="Segoe UI" w:hAnsiTheme="minorBidi"/>
        </w:rPr>
        <w:t>er year</w:t>
      </w:r>
      <w:r w:rsidRPr="00E41211">
        <w:rPr>
          <w:rFonts w:asciiTheme="minorBidi" w:eastAsia="Segoe UI" w:hAnsiTheme="minorBidi"/>
        </w:rPr>
        <w:t xml:space="preserve"> risk level proposed in R2P2 as the broadly acceptable risk to an individual of dying from a particular cause. Th</w:t>
      </w:r>
      <w:r w:rsidR="00F36A60">
        <w:rPr>
          <w:rFonts w:asciiTheme="minorBidi" w:eastAsia="Segoe UI" w:hAnsiTheme="minorBidi"/>
        </w:rPr>
        <w:t xml:space="preserve">is </w:t>
      </w:r>
      <w:r w:rsidR="00484153">
        <w:rPr>
          <w:rFonts w:asciiTheme="minorBidi" w:eastAsia="Segoe UI" w:hAnsiTheme="minorBidi"/>
        </w:rPr>
        <w:t>BSO</w:t>
      </w:r>
      <w:r w:rsidR="00F36A60">
        <w:rPr>
          <w:rFonts w:asciiTheme="minorBidi" w:eastAsia="Segoe UI" w:hAnsiTheme="minorBidi"/>
        </w:rPr>
        <w:t xml:space="preserve"> </w:t>
      </w:r>
      <w:r w:rsidRPr="00E41211">
        <w:rPr>
          <w:rFonts w:asciiTheme="minorBidi" w:eastAsia="Segoe UI" w:hAnsiTheme="minorBidi"/>
        </w:rPr>
        <w:t xml:space="preserve">is broadly consistent with </w:t>
      </w:r>
      <w:r w:rsidR="00DC00FD">
        <w:rPr>
          <w:rFonts w:asciiTheme="minorBidi" w:eastAsia="Segoe UI" w:hAnsiTheme="minorBidi"/>
        </w:rPr>
        <w:t>ICRP Publication 104 (2007)</w:t>
      </w:r>
      <w:r w:rsidR="0001400A">
        <w:rPr>
          <w:rFonts w:asciiTheme="minorBidi" w:eastAsia="Segoe UI" w:hAnsiTheme="minorBidi"/>
        </w:rPr>
        <w:t xml:space="preserve"> (Scope of Radiological Protection Control Measures)</w:t>
      </w:r>
      <w:r w:rsidR="00DC00FD">
        <w:rPr>
          <w:rFonts w:asciiTheme="minorBidi" w:eastAsia="Segoe UI" w:hAnsiTheme="minorBidi"/>
        </w:rPr>
        <w:t xml:space="preserve"> and </w:t>
      </w:r>
      <w:r w:rsidR="00455FF1">
        <w:rPr>
          <w:rFonts w:asciiTheme="minorBidi" w:eastAsia="Segoe UI" w:hAnsiTheme="minorBidi"/>
        </w:rPr>
        <w:t>IAEA GSR Part 3 (</w:t>
      </w:r>
      <w:r w:rsidR="00F93766">
        <w:rPr>
          <w:rFonts w:asciiTheme="minorBidi" w:eastAsia="Segoe UI" w:hAnsiTheme="minorBidi"/>
        </w:rPr>
        <w:t xml:space="preserve">the International </w:t>
      </w:r>
      <w:r w:rsidR="00455FF1">
        <w:rPr>
          <w:rFonts w:asciiTheme="minorBidi" w:eastAsia="Segoe UI" w:hAnsiTheme="minorBidi"/>
        </w:rPr>
        <w:t xml:space="preserve">Basic Safety Standard) </w:t>
      </w:r>
      <w:r w:rsidR="00950C34">
        <w:rPr>
          <w:rFonts w:asciiTheme="minorBidi" w:eastAsia="Segoe UI" w:hAnsiTheme="minorBidi"/>
        </w:rPr>
        <w:t xml:space="preserve">which both </w:t>
      </w:r>
      <w:r w:rsidR="001609A8">
        <w:rPr>
          <w:rFonts w:asciiTheme="minorBidi" w:eastAsia="Segoe UI" w:hAnsiTheme="minorBidi"/>
        </w:rPr>
        <w:t xml:space="preserve">effectively </w:t>
      </w:r>
      <w:r w:rsidR="00EE7BBD">
        <w:rPr>
          <w:rFonts w:asciiTheme="minorBidi" w:eastAsia="Segoe UI" w:hAnsiTheme="minorBidi"/>
        </w:rPr>
        <w:t>exempt</w:t>
      </w:r>
      <w:r w:rsidR="001609A8">
        <w:rPr>
          <w:rFonts w:asciiTheme="minorBidi" w:eastAsia="Segoe UI" w:hAnsiTheme="minorBidi"/>
        </w:rPr>
        <w:t xml:space="preserve"> from regulatory control </w:t>
      </w:r>
      <w:r w:rsidR="00873BBE">
        <w:rPr>
          <w:rFonts w:asciiTheme="minorBidi" w:eastAsia="Segoe UI" w:hAnsiTheme="minorBidi"/>
        </w:rPr>
        <w:t xml:space="preserve">expected </w:t>
      </w:r>
      <w:r w:rsidR="006B34DE">
        <w:rPr>
          <w:rFonts w:asciiTheme="minorBidi" w:eastAsia="Segoe UI" w:hAnsiTheme="minorBidi"/>
        </w:rPr>
        <w:t>effective dose</w:t>
      </w:r>
      <w:r w:rsidR="00873BBE">
        <w:rPr>
          <w:rFonts w:asciiTheme="minorBidi" w:eastAsia="Segoe UI" w:hAnsiTheme="minorBidi"/>
        </w:rPr>
        <w:t>s</w:t>
      </w:r>
      <w:r w:rsidR="006B34DE">
        <w:rPr>
          <w:rFonts w:asciiTheme="minorBidi" w:eastAsia="Segoe UI" w:hAnsiTheme="minorBidi"/>
        </w:rPr>
        <w:t xml:space="preserve"> by a member of the public </w:t>
      </w:r>
      <w:r w:rsidR="00E731FF">
        <w:rPr>
          <w:rFonts w:asciiTheme="minorBidi" w:eastAsia="Segoe UI" w:hAnsiTheme="minorBidi"/>
        </w:rPr>
        <w:t xml:space="preserve">from a practice </w:t>
      </w:r>
      <w:r w:rsidR="00873BBE">
        <w:rPr>
          <w:rFonts w:asciiTheme="minorBidi" w:eastAsia="Segoe UI" w:hAnsiTheme="minorBidi"/>
        </w:rPr>
        <w:t>that are</w:t>
      </w:r>
      <w:r w:rsidR="006B34DE">
        <w:rPr>
          <w:rFonts w:asciiTheme="minorBidi" w:eastAsia="Segoe UI" w:hAnsiTheme="minorBidi"/>
        </w:rPr>
        <w:t xml:space="preserve"> </w:t>
      </w:r>
      <w:r w:rsidR="00C767D9">
        <w:rPr>
          <w:rFonts w:asciiTheme="minorBidi" w:eastAsia="Segoe UI" w:hAnsiTheme="minorBidi"/>
        </w:rPr>
        <w:t xml:space="preserve">of the order of less than </w:t>
      </w:r>
      <w:r w:rsidR="00C767D9" w:rsidRPr="00C767D9">
        <w:rPr>
          <w:rFonts w:asciiTheme="minorBidi" w:eastAsia="Segoe UI" w:hAnsiTheme="minorBidi"/>
        </w:rPr>
        <w:t xml:space="preserve">10 </w:t>
      </w:r>
      <w:proofErr w:type="spellStart"/>
      <w:r w:rsidR="00C767D9" w:rsidRPr="00C767D9">
        <w:rPr>
          <w:rFonts w:asciiTheme="minorBidi" w:eastAsia="Segoe UI" w:hAnsiTheme="minorBidi"/>
        </w:rPr>
        <w:t>μSv</w:t>
      </w:r>
      <w:proofErr w:type="spellEnd"/>
      <w:r w:rsidR="00C767D9" w:rsidRPr="00C767D9">
        <w:rPr>
          <w:rFonts w:asciiTheme="minorBidi" w:eastAsia="Segoe UI" w:hAnsiTheme="minorBidi"/>
        </w:rPr>
        <w:t xml:space="preserve"> per year</w:t>
      </w:r>
      <w:r w:rsidR="00C92E2D">
        <w:rPr>
          <w:rFonts w:asciiTheme="minorBidi" w:eastAsia="Segoe UI" w:hAnsiTheme="minorBidi"/>
        </w:rPr>
        <w:t>.</w:t>
      </w:r>
      <w:r w:rsidR="003458A2">
        <w:rPr>
          <w:rFonts w:asciiTheme="minorBidi" w:eastAsia="Segoe UI" w:hAnsiTheme="minorBidi"/>
        </w:rPr>
        <w:t xml:space="preserve"> </w:t>
      </w:r>
    </w:p>
    <w:p w14:paraId="75D48425" w14:textId="3133AE3B" w:rsidR="00057929" w:rsidRPr="00E41211" w:rsidRDefault="00057929" w:rsidP="00E41211">
      <w:pPr>
        <w:jc w:val="both"/>
        <w:rPr>
          <w:rFonts w:asciiTheme="minorBidi" w:eastAsia="Segoe UI" w:hAnsiTheme="minorBidi"/>
        </w:rPr>
      </w:pPr>
      <w:r w:rsidRPr="00E41211">
        <w:rPr>
          <w:rFonts w:asciiTheme="minorBidi" w:eastAsia="Segoe UI" w:hAnsiTheme="minorBidi"/>
        </w:rPr>
        <w:t>In this revision of the SAPs the BSO has been increased to 0.1 mSv p</w:t>
      </w:r>
      <w:r w:rsidR="00F27BF5">
        <w:rPr>
          <w:rFonts w:asciiTheme="minorBidi" w:eastAsia="Segoe UI" w:hAnsiTheme="minorBidi"/>
        </w:rPr>
        <w:t>er year</w:t>
      </w:r>
      <w:r w:rsidRPr="00E41211">
        <w:rPr>
          <w:rFonts w:asciiTheme="minorBidi" w:eastAsia="Segoe UI" w:hAnsiTheme="minorBidi"/>
        </w:rPr>
        <w:t xml:space="preserve">. The basis for this is current international guidance such as </w:t>
      </w:r>
      <w:r w:rsidR="005F5B2B" w:rsidRPr="00E41211">
        <w:rPr>
          <w:rFonts w:asciiTheme="minorBidi" w:eastAsia="Segoe UI" w:hAnsiTheme="minorBidi"/>
        </w:rPr>
        <w:t xml:space="preserve">ICRP-104 </w:t>
      </w:r>
      <w:r w:rsidR="00317E6C">
        <w:rPr>
          <w:rFonts w:asciiTheme="minorBidi" w:eastAsia="Segoe UI" w:hAnsiTheme="minorBidi"/>
        </w:rPr>
        <w:t xml:space="preserve">and </w:t>
      </w:r>
      <w:r w:rsidRPr="00E41211">
        <w:rPr>
          <w:rFonts w:asciiTheme="minorBidi" w:eastAsia="Segoe UI" w:hAnsiTheme="minorBidi"/>
        </w:rPr>
        <w:t xml:space="preserve">IAEA </w:t>
      </w:r>
      <w:r w:rsidR="005F5B2B">
        <w:rPr>
          <w:rFonts w:asciiTheme="minorBidi" w:eastAsia="Segoe UI" w:hAnsiTheme="minorBidi"/>
        </w:rPr>
        <w:t>GSR Part 3</w:t>
      </w:r>
      <w:r w:rsidRPr="00E41211">
        <w:rPr>
          <w:rFonts w:asciiTheme="minorBidi" w:eastAsia="Segoe UI" w:hAnsiTheme="minorBidi"/>
        </w:rPr>
        <w:t xml:space="preserve"> penalise the nuclear power industry in comparison to other sources of ionising radiation. ICRP-104 states </w:t>
      </w:r>
      <w:r w:rsidRPr="00E41211">
        <w:rPr>
          <w:rFonts w:asciiTheme="minorBidi" w:eastAsia="Segoe UI" w:hAnsiTheme="minorBidi"/>
          <w:i/>
          <w:iCs/>
        </w:rPr>
        <w:t xml:space="preserve">“The principle of low individual risk for the purpose of exemption should lose its historical (and somehow and dogmatic) connotation with the single value of 10 </w:t>
      </w:r>
      <w:proofErr w:type="spellStart"/>
      <w:r w:rsidRPr="00E41211">
        <w:rPr>
          <w:rFonts w:asciiTheme="minorBidi" w:eastAsia="Segoe UI" w:hAnsiTheme="minorBidi"/>
          <w:i/>
          <w:iCs/>
        </w:rPr>
        <w:t>microSv</w:t>
      </w:r>
      <w:proofErr w:type="spellEnd"/>
      <w:r w:rsidRPr="00E41211">
        <w:rPr>
          <w:rFonts w:asciiTheme="minorBidi" w:eastAsia="Segoe UI" w:hAnsiTheme="minorBidi"/>
          <w:i/>
          <w:iCs/>
        </w:rPr>
        <w:t>/year.</w:t>
      </w:r>
      <w:r w:rsidRPr="005D6454">
        <w:rPr>
          <w:rFonts w:asciiTheme="minorBidi" w:eastAsia="Segoe UI" w:hAnsiTheme="minorBidi"/>
          <w:b/>
          <w:i/>
        </w:rPr>
        <w:t xml:space="preserve"> </w:t>
      </w:r>
      <w:r w:rsidRPr="005D6454">
        <w:rPr>
          <w:rFonts w:asciiTheme="minorBidi" w:eastAsia="Segoe UI" w:hAnsiTheme="minorBidi"/>
          <w:b/>
          <w:bCs/>
          <w:i/>
          <w:iCs/>
        </w:rPr>
        <w:t>For material containing radionuclides of natural origin, the national authority may establish an activity concentration for the purposes of exemption that is consistent with exemption being the optimum regulatory option.</w:t>
      </w:r>
      <w:r w:rsidRPr="005D6454">
        <w:rPr>
          <w:rFonts w:asciiTheme="minorBidi" w:eastAsia="Segoe UI" w:hAnsiTheme="minorBidi"/>
          <w:b/>
          <w:i/>
        </w:rPr>
        <w:t>”</w:t>
      </w:r>
      <w:r w:rsidRPr="00E41211">
        <w:rPr>
          <w:rFonts w:asciiTheme="minorBidi" w:eastAsia="Segoe UI" w:hAnsiTheme="minorBidi"/>
        </w:rPr>
        <w:t xml:space="preserve"> While this refers specifically to exemption for natural materials, </w:t>
      </w:r>
      <w:r w:rsidRPr="00E41211">
        <w:rPr>
          <w:rFonts w:asciiTheme="minorBidi" w:eastAsia="Segoe UI" w:hAnsiTheme="minorBidi"/>
        </w:rPr>
        <w:lastRenderedPageBreak/>
        <w:t xml:space="preserve">the principal remains the same. The purpose is to allow use of by products from mining activities such as production of zircon tiles.  </w:t>
      </w:r>
    </w:p>
    <w:p w14:paraId="485F020D" w14:textId="21D3BEAF" w:rsidR="00057929" w:rsidRPr="00E41211" w:rsidRDefault="00057929" w:rsidP="004A0BEC">
      <w:pPr>
        <w:jc w:val="both"/>
        <w:rPr>
          <w:rFonts w:asciiTheme="minorBidi" w:eastAsia="Segoe UI" w:hAnsiTheme="minorBidi"/>
        </w:rPr>
      </w:pPr>
      <w:r w:rsidRPr="00E41211">
        <w:rPr>
          <w:rFonts w:asciiTheme="minorBidi" w:eastAsia="Segoe UI" w:hAnsiTheme="minorBidi"/>
        </w:rPr>
        <w:t xml:space="preserve">Having assessed direct shine doses around all nuclear sites for many years, ONR consider a BSO of 0.1 mSv per </w:t>
      </w:r>
      <w:r w:rsidR="00F27BF5">
        <w:rPr>
          <w:rFonts w:asciiTheme="minorBidi" w:eastAsia="Segoe UI" w:hAnsiTheme="minorBidi"/>
        </w:rPr>
        <w:t>year</w:t>
      </w:r>
      <w:r w:rsidRPr="00E41211">
        <w:rPr>
          <w:rFonts w:asciiTheme="minorBidi" w:eastAsia="Segoe UI" w:hAnsiTheme="minorBidi"/>
        </w:rPr>
        <w:t xml:space="preserve"> is consistent with the ALARP principle. A dose of 0.1 mSv </w:t>
      </w:r>
      <w:r w:rsidR="00F27BF5">
        <w:rPr>
          <w:rFonts w:asciiTheme="minorBidi" w:eastAsia="Segoe UI" w:hAnsiTheme="minorBidi"/>
        </w:rPr>
        <w:t>per year</w:t>
      </w:r>
      <w:r w:rsidRPr="00E41211">
        <w:rPr>
          <w:rFonts w:asciiTheme="minorBidi" w:eastAsia="Segoe UI" w:hAnsiTheme="minorBidi"/>
        </w:rPr>
        <w:t xml:space="preserve"> represents an average risk of death of around 1</w:t>
      </w:r>
      <w:r w:rsidR="00F27BF5">
        <w:rPr>
          <w:rFonts w:asciiTheme="minorBidi" w:eastAsia="Segoe UI" w:hAnsiTheme="minorBidi"/>
        </w:rPr>
        <w:t xml:space="preserve"> in </w:t>
      </w:r>
      <w:r w:rsidRPr="00E41211">
        <w:rPr>
          <w:rFonts w:asciiTheme="minorBidi" w:eastAsia="Segoe UI" w:hAnsiTheme="minorBidi"/>
        </w:rPr>
        <w:t xml:space="preserve">200,000 </w:t>
      </w:r>
      <w:r w:rsidR="00F27BF5">
        <w:rPr>
          <w:rFonts w:asciiTheme="minorBidi" w:eastAsia="Segoe UI" w:hAnsiTheme="minorBidi"/>
        </w:rPr>
        <w:t>per year</w:t>
      </w:r>
      <w:r w:rsidRPr="00E41211">
        <w:rPr>
          <w:rFonts w:asciiTheme="minorBidi" w:eastAsia="Segoe UI" w:hAnsiTheme="minorBidi"/>
        </w:rPr>
        <w:t xml:space="preserve">. While this exceeds the R2P2 definition of broadly acceptable, the absolute value of 0.1 mSv </w:t>
      </w:r>
      <w:r w:rsidR="00F27BF5">
        <w:rPr>
          <w:rFonts w:asciiTheme="minorBidi" w:eastAsia="Segoe UI" w:hAnsiTheme="minorBidi"/>
        </w:rPr>
        <w:t>per year</w:t>
      </w:r>
      <w:r w:rsidRPr="00E41211">
        <w:rPr>
          <w:rFonts w:asciiTheme="minorBidi" w:eastAsia="Segoe UI" w:hAnsiTheme="minorBidi"/>
        </w:rPr>
        <w:t xml:space="preserve">, at some 5 to 10% of UK natural background radiation levels, is very low. For comparison, UKHSA advise that dose constraints for existing and the design stage for new nuclear facilities are 0.3 and 0.15 mSv </w:t>
      </w:r>
      <w:r w:rsidR="00F27BF5">
        <w:rPr>
          <w:rFonts w:asciiTheme="minorBidi" w:eastAsia="Segoe UI" w:hAnsiTheme="minorBidi"/>
        </w:rPr>
        <w:t>per year</w:t>
      </w:r>
      <w:r w:rsidRPr="00E41211">
        <w:rPr>
          <w:rFonts w:asciiTheme="minorBidi" w:eastAsia="Segoe UI" w:hAnsiTheme="minorBidi"/>
        </w:rPr>
        <w:t xml:space="preserve"> respectively. </w:t>
      </w:r>
    </w:p>
    <w:p w14:paraId="7FDE8715" w14:textId="77777777" w:rsidR="00057929" w:rsidRPr="00B062DF" w:rsidRDefault="00057929" w:rsidP="00B062DF">
      <w:pPr>
        <w:jc w:val="both"/>
        <w:rPr>
          <w:rFonts w:asciiTheme="minorBidi" w:hAnsiTheme="minorBidi"/>
          <w:u w:val="single"/>
        </w:rPr>
      </w:pPr>
      <w:r w:rsidRPr="00B062DF">
        <w:rPr>
          <w:rFonts w:asciiTheme="minorBidi" w:hAnsiTheme="minorBidi"/>
          <w:u w:val="single"/>
        </w:rPr>
        <w:t>Target 4 : Design Basis Analysis – BSOs</w:t>
      </w:r>
    </w:p>
    <w:p w14:paraId="3FFE9229" w14:textId="7B3F08DF" w:rsidR="00A72AFA" w:rsidRDefault="00057929" w:rsidP="00E41211">
      <w:pPr>
        <w:jc w:val="both"/>
        <w:rPr>
          <w:rFonts w:asciiTheme="minorBidi" w:hAnsiTheme="minorBidi"/>
        </w:rPr>
      </w:pPr>
      <w:r w:rsidRPr="00EC4B67">
        <w:rPr>
          <w:rFonts w:asciiTheme="minorBidi" w:hAnsiTheme="minorBidi"/>
        </w:rPr>
        <w:t xml:space="preserve">The BSOs for Target 4 have been updated </w:t>
      </w:r>
      <w:r w:rsidR="00766EB8">
        <w:rPr>
          <w:rFonts w:asciiTheme="minorBidi" w:hAnsiTheme="minorBidi"/>
        </w:rPr>
        <w:t xml:space="preserve">to maintain their alignment </w:t>
      </w:r>
      <w:r w:rsidRPr="00EC4B67">
        <w:rPr>
          <w:rFonts w:asciiTheme="minorBidi" w:hAnsiTheme="minorBidi"/>
        </w:rPr>
        <w:t xml:space="preserve">with the new BSOs for Target 1 (on site) and Target 3 (off site). </w:t>
      </w:r>
      <w:r w:rsidR="0063143F">
        <w:rPr>
          <w:rFonts w:asciiTheme="minorBidi" w:hAnsiTheme="minorBidi"/>
        </w:rPr>
        <w:t xml:space="preserve">These </w:t>
      </w:r>
      <w:r w:rsidR="003F7745">
        <w:rPr>
          <w:rFonts w:asciiTheme="minorBidi" w:hAnsiTheme="minorBidi"/>
        </w:rPr>
        <w:t>BSOs serve several purposes.</w:t>
      </w:r>
    </w:p>
    <w:p w14:paraId="2FEF9965" w14:textId="400AEF3B" w:rsidR="00A72AFA" w:rsidRDefault="003F7745" w:rsidP="00E66EBD">
      <w:pPr>
        <w:pStyle w:val="ListParagraph"/>
        <w:numPr>
          <w:ilvl w:val="0"/>
          <w:numId w:val="16"/>
        </w:numPr>
        <w:jc w:val="both"/>
        <w:rPr>
          <w:rFonts w:asciiTheme="minorBidi" w:hAnsiTheme="minorBidi"/>
        </w:rPr>
      </w:pPr>
      <w:r w:rsidRPr="002B75F6">
        <w:rPr>
          <w:rFonts w:asciiTheme="minorBidi" w:hAnsiTheme="minorBidi"/>
        </w:rPr>
        <w:t xml:space="preserve">They represent the typical cut-off for the </w:t>
      </w:r>
      <w:r w:rsidRPr="00572153">
        <w:rPr>
          <w:rFonts w:asciiTheme="minorBidi" w:hAnsiTheme="minorBidi"/>
          <w:u w:val="single"/>
        </w:rPr>
        <w:t>identification</w:t>
      </w:r>
      <w:r w:rsidRPr="002B75F6">
        <w:rPr>
          <w:rFonts w:asciiTheme="minorBidi" w:hAnsiTheme="minorBidi"/>
        </w:rPr>
        <w:t xml:space="preserve"> of </w:t>
      </w:r>
      <w:r w:rsidR="005303D0" w:rsidRPr="002B75F6">
        <w:rPr>
          <w:rFonts w:asciiTheme="minorBidi" w:hAnsiTheme="minorBidi"/>
        </w:rPr>
        <w:t>fault sequences</w:t>
      </w:r>
      <w:r w:rsidR="003E4DA1" w:rsidRPr="002B75F6">
        <w:rPr>
          <w:rFonts w:asciiTheme="minorBidi" w:hAnsiTheme="minorBidi"/>
        </w:rPr>
        <w:t xml:space="preserve">. </w:t>
      </w:r>
      <w:r w:rsidR="00D40D0D" w:rsidRPr="002B75F6">
        <w:rPr>
          <w:rFonts w:asciiTheme="minorBidi" w:hAnsiTheme="minorBidi"/>
        </w:rPr>
        <w:t xml:space="preserve">This is by no means to imply that such doses are </w:t>
      </w:r>
      <w:r w:rsidR="00F32350" w:rsidRPr="002B75F6">
        <w:rPr>
          <w:rFonts w:asciiTheme="minorBidi" w:hAnsiTheme="minorBidi"/>
        </w:rPr>
        <w:t>significant from a human health perspective</w:t>
      </w:r>
      <w:r w:rsidR="000E03A3" w:rsidRPr="002B75F6">
        <w:rPr>
          <w:rFonts w:asciiTheme="minorBidi" w:hAnsiTheme="minorBidi"/>
        </w:rPr>
        <w:t xml:space="preserve">, nor that </w:t>
      </w:r>
      <w:r w:rsidR="007C7E8B">
        <w:rPr>
          <w:rFonts w:asciiTheme="minorBidi" w:hAnsiTheme="minorBidi"/>
        </w:rPr>
        <w:t xml:space="preserve">analysis or </w:t>
      </w:r>
      <w:r w:rsidR="000E03A3" w:rsidRPr="002B75F6">
        <w:rPr>
          <w:rFonts w:asciiTheme="minorBidi" w:hAnsiTheme="minorBidi"/>
        </w:rPr>
        <w:t>protection measures are necessarily required</w:t>
      </w:r>
      <w:r w:rsidR="00F32350" w:rsidRPr="002B75F6">
        <w:rPr>
          <w:rFonts w:asciiTheme="minorBidi" w:hAnsiTheme="minorBidi"/>
        </w:rPr>
        <w:t xml:space="preserve"> – but </w:t>
      </w:r>
      <w:r w:rsidR="00842403">
        <w:rPr>
          <w:rFonts w:asciiTheme="minorBidi" w:hAnsiTheme="minorBidi"/>
        </w:rPr>
        <w:t xml:space="preserve">simply </w:t>
      </w:r>
      <w:r w:rsidR="00F32350" w:rsidRPr="002B75F6">
        <w:rPr>
          <w:rFonts w:asciiTheme="minorBidi" w:hAnsiTheme="minorBidi"/>
        </w:rPr>
        <w:t xml:space="preserve">that they </w:t>
      </w:r>
      <w:r w:rsidR="00DE7E77">
        <w:rPr>
          <w:rFonts w:asciiTheme="minorBidi" w:hAnsiTheme="minorBidi"/>
        </w:rPr>
        <w:t>may</w:t>
      </w:r>
      <w:r w:rsidR="00842403">
        <w:rPr>
          <w:rFonts w:asciiTheme="minorBidi" w:hAnsiTheme="minorBidi"/>
        </w:rPr>
        <w:t xml:space="preserve"> </w:t>
      </w:r>
      <w:r w:rsidR="00F32350" w:rsidRPr="002B75F6">
        <w:rPr>
          <w:rFonts w:asciiTheme="minorBidi" w:hAnsiTheme="minorBidi"/>
        </w:rPr>
        <w:t xml:space="preserve">not </w:t>
      </w:r>
      <w:r w:rsidR="00DE7E77">
        <w:rPr>
          <w:rFonts w:asciiTheme="minorBidi" w:hAnsiTheme="minorBidi"/>
        </w:rPr>
        <w:t xml:space="preserve">be </w:t>
      </w:r>
      <w:r w:rsidR="00AC488C" w:rsidRPr="002B75F6">
        <w:rPr>
          <w:rFonts w:asciiTheme="minorBidi" w:hAnsiTheme="minorBidi"/>
        </w:rPr>
        <w:t xml:space="preserve">normal and </w:t>
      </w:r>
      <w:r w:rsidR="000D28EB" w:rsidRPr="002B75F6">
        <w:rPr>
          <w:rFonts w:asciiTheme="minorBidi" w:hAnsiTheme="minorBidi"/>
        </w:rPr>
        <w:t>warrant identification.</w:t>
      </w:r>
      <w:r w:rsidR="00E553E0">
        <w:rPr>
          <w:rFonts w:asciiTheme="minorBidi" w:hAnsiTheme="minorBidi"/>
        </w:rPr>
        <w:t xml:space="preserve"> </w:t>
      </w:r>
      <w:r w:rsidR="00A86423">
        <w:rPr>
          <w:rFonts w:asciiTheme="minorBidi" w:hAnsiTheme="minorBidi"/>
        </w:rPr>
        <w:t>The reason for seeking the identification of initiating faults at the BSO level is to (1) allow some margin below the BSL to have confidence that there isn’t a misleading accumulation of faults just outside the design basis boundary; (2) to allow for the fact that normal operational doses and the more frequent faults can accumulate over the course of a year; and (3) to support the use of the same fault identification processes to support both deterministic and probabilistic techniques, with the latter requiring a more complete representation of the potential faults in order to fulfil its function</w:t>
      </w:r>
      <w:r w:rsidR="00643FDD">
        <w:rPr>
          <w:rFonts w:asciiTheme="minorBidi" w:hAnsiTheme="minorBidi"/>
        </w:rPr>
        <w:t xml:space="preserve"> (</w:t>
      </w:r>
      <w:r w:rsidR="00A86423">
        <w:rPr>
          <w:rFonts w:asciiTheme="minorBidi" w:hAnsiTheme="minorBidi"/>
        </w:rPr>
        <w:t>where used</w:t>
      </w:r>
      <w:r w:rsidR="00643FDD">
        <w:rPr>
          <w:rFonts w:asciiTheme="minorBidi" w:hAnsiTheme="minorBidi"/>
        </w:rPr>
        <w:t>)</w:t>
      </w:r>
      <w:r w:rsidR="00A86423">
        <w:rPr>
          <w:rFonts w:asciiTheme="minorBidi" w:hAnsiTheme="minorBidi"/>
        </w:rPr>
        <w:t xml:space="preserve"> to help identify risk-significant contributors.</w:t>
      </w:r>
    </w:p>
    <w:p w14:paraId="43C4BEFD" w14:textId="77777777" w:rsidR="00A86423" w:rsidRPr="00EA260F" w:rsidRDefault="00A86423" w:rsidP="00EA260F">
      <w:pPr>
        <w:pStyle w:val="ListParagraph"/>
        <w:jc w:val="both"/>
        <w:rPr>
          <w:rFonts w:asciiTheme="minorBidi" w:hAnsiTheme="minorBidi"/>
        </w:rPr>
      </w:pPr>
    </w:p>
    <w:p w14:paraId="0C7B163F" w14:textId="1303EFFB" w:rsidR="000E03A3" w:rsidRPr="002B75F6" w:rsidRDefault="00E553E0" w:rsidP="00E5516E">
      <w:pPr>
        <w:pStyle w:val="ListParagraph"/>
        <w:numPr>
          <w:ilvl w:val="0"/>
          <w:numId w:val="16"/>
        </w:numPr>
        <w:jc w:val="both"/>
        <w:rPr>
          <w:rFonts w:asciiTheme="minorBidi" w:hAnsiTheme="minorBidi"/>
        </w:rPr>
      </w:pPr>
      <w:r w:rsidRPr="00EA260F">
        <w:rPr>
          <w:rFonts w:asciiTheme="minorBidi" w:hAnsiTheme="minorBidi"/>
        </w:rPr>
        <w:t xml:space="preserve">The BSOs also serve to reflect </w:t>
      </w:r>
      <w:r w:rsidR="00DE276A" w:rsidRPr="00EA260F">
        <w:rPr>
          <w:rFonts w:asciiTheme="minorBidi" w:hAnsiTheme="minorBidi"/>
        </w:rPr>
        <w:t xml:space="preserve">where the residual </w:t>
      </w:r>
      <w:r w:rsidR="001006E2" w:rsidRPr="00EA260F">
        <w:rPr>
          <w:rFonts w:asciiTheme="minorBidi" w:hAnsiTheme="minorBidi"/>
        </w:rPr>
        <w:t>dose</w:t>
      </w:r>
      <w:r w:rsidR="00F93104">
        <w:rPr>
          <w:rFonts w:asciiTheme="minorBidi" w:hAnsiTheme="minorBidi"/>
        </w:rPr>
        <w:t>s</w:t>
      </w:r>
      <w:r w:rsidR="00DE276A" w:rsidRPr="00EA260F">
        <w:rPr>
          <w:rFonts w:asciiTheme="minorBidi" w:hAnsiTheme="minorBidi"/>
        </w:rPr>
        <w:t xml:space="preserve"> from </w:t>
      </w:r>
      <w:r w:rsidR="001006E2" w:rsidRPr="00EA260F">
        <w:rPr>
          <w:rFonts w:asciiTheme="minorBidi" w:hAnsiTheme="minorBidi"/>
        </w:rPr>
        <w:t xml:space="preserve">protected design basis faults </w:t>
      </w:r>
      <w:r w:rsidR="00266B91">
        <w:rPr>
          <w:rFonts w:asciiTheme="minorBidi" w:hAnsiTheme="minorBidi"/>
        </w:rPr>
        <w:t>are usually</w:t>
      </w:r>
      <w:r w:rsidR="00E51235" w:rsidRPr="00EA260F">
        <w:rPr>
          <w:rFonts w:asciiTheme="minorBidi" w:hAnsiTheme="minorBidi"/>
        </w:rPr>
        <w:t xml:space="preserve"> considered to be so low as to be </w:t>
      </w:r>
      <w:r w:rsidR="005063FA" w:rsidRPr="00EA260F">
        <w:rPr>
          <w:rFonts w:asciiTheme="minorBidi" w:hAnsiTheme="minorBidi"/>
        </w:rPr>
        <w:t xml:space="preserve">broadly acceptable. </w:t>
      </w:r>
      <w:r w:rsidR="005D3CA1" w:rsidRPr="00EA260F">
        <w:rPr>
          <w:rFonts w:asciiTheme="minorBidi" w:hAnsiTheme="minorBidi"/>
        </w:rPr>
        <w:t xml:space="preserve">In keeping with </w:t>
      </w:r>
      <w:r w:rsidR="00403B8C" w:rsidRPr="00EA260F">
        <w:rPr>
          <w:rFonts w:asciiTheme="minorBidi" w:hAnsiTheme="minorBidi"/>
        </w:rPr>
        <w:t xml:space="preserve">for the </w:t>
      </w:r>
      <w:r w:rsidR="00F93104">
        <w:rPr>
          <w:rFonts w:asciiTheme="minorBidi" w:hAnsiTheme="minorBidi"/>
        </w:rPr>
        <w:t xml:space="preserve">international </w:t>
      </w:r>
      <w:r w:rsidR="00403B8C" w:rsidRPr="00EA260F">
        <w:rPr>
          <w:rFonts w:asciiTheme="minorBidi" w:hAnsiTheme="minorBidi"/>
        </w:rPr>
        <w:t xml:space="preserve">expectation that design basis faults </w:t>
      </w:r>
      <w:r w:rsidR="00CF4861" w:rsidRPr="00EA260F">
        <w:rPr>
          <w:rFonts w:asciiTheme="minorBidi" w:hAnsiTheme="minorBidi"/>
        </w:rPr>
        <w:t xml:space="preserve">should either be terminated or fully protected against, </w:t>
      </w:r>
      <w:r w:rsidR="00867706" w:rsidRPr="00EA260F">
        <w:rPr>
          <w:rFonts w:asciiTheme="minorBidi" w:hAnsiTheme="minorBidi"/>
        </w:rPr>
        <w:t>the</w:t>
      </w:r>
      <w:r w:rsidR="007F725B" w:rsidRPr="00EA260F">
        <w:rPr>
          <w:rFonts w:asciiTheme="minorBidi" w:hAnsiTheme="minorBidi"/>
        </w:rPr>
        <w:t xml:space="preserve"> BSOs reflect the </w:t>
      </w:r>
      <w:r w:rsidR="009F2F36" w:rsidRPr="00EA260F">
        <w:rPr>
          <w:rFonts w:asciiTheme="minorBidi" w:hAnsiTheme="minorBidi"/>
        </w:rPr>
        <w:t>BSOs for</w:t>
      </w:r>
      <w:r w:rsidR="009F2F36">
        <w:rPr>
          <w:rFonts w:asciiTheme="minorBidi" w:hAnsiTheme="minorBidi"/>
        </w:rPr>
        <w:t xml:space="preserve"> </w:t>
      </w:r>
      <w:r w:rsidR="00954F59">
        <w:rPr>
          <w:rFonts w:asciiTheme="minorBidi" w:hAnsiTheme="minorBidi"/>
        </w:rPr>
        <w:t>normal operation as per</w:t>
      </w:r>
      <w:r w:rsidR="009F2F36" w:rsidRPr="00EA260F">
        <w:rPr>
          <w:rFonts w:asciiTheme="minorBidi" w:hAnsiTheme="minorBidi"/>
        </w:rPr>
        <w:t xml:space="preserve"> Target 1 (on site) and Target 3 (off site).</w:t>
      </w:r>
    </w:p>
    <w:p w14:paraId="5A12DEF0" w14:textId="7BC49F1B" w:rsidR="00E662FB" w:rsidRDefault="00D42383" w:rsidP="5476F1C4">
      <w:pPr>
        <w:jc w:val="both"/>
        <w:rPr>
          <w:rFonts w:asciiTheme="minorBidi" w:hAnsiTheme="minorBidi"/>
        </w:rPr>
      </w:pPr>
      <w:r>
        <w:rPr>
          <w:rFonts w:asciiTheme="minorBidi" w:hAnsiTheme="minorBidi"/>
        </w:rPr>
        <w:t>In relation to the first bullet above, i</w:t>
      </w:r>
      <w:r w:rsidR="00290F74">
        <w:rPr>
          <w:rFonts w:asciiTheme="minorBidi" w:hAnsiTheme="minorBidi"/>
        </w:rPr>
        <w:t>t is important to highlight that t</w:t>
      </w:r>
      <w:r w:rsidR="005604E0">
        <w:rPr>
          <w:rFonts w:asciiTheme="minorBidi" w:hAnsiTheme="minorBidi"/>
        </w:rPr>
        <w:t xml:space="preserve">here are no expectations for design basis </w:t>
      </w:r>
      <w:r w:rsidR="005604E0" w:rsidRPr="00A926D5">
        <w:rPr>
          <w:rFonts w:asciiTheme="minorBidi" w:hAnsiTheme="minorBidi"/>
          <w:u w:val="single"/>
        </w:rPr>
        <w:t>analysis</w:t>
      </w:r>
      <w:r w:rsidR="005604E0">
        <w:rPr>
          <w:rFonts w:asciiTheme="minorBidi" w:hAnsiTheme="minorBidi"/>
        </w:rPr>
        <w:t xml:space="preserve"> of faults until the potential consequences exceed the BSLs, which are substantially larger </w:t>
      </w:r>
      <w:r w:rsidR="00290F74">
        <w:rPr>
          <w:rFonts w:asciiTheme="minorBidi" w:hAnsiTheme="minorBidi"/>
        </w:rPr>
        <w:t>than the BSOs</w:t>
      </w:r>
      <w:r w:rsidR="005604E0">
        <w:rPr>
          <w:rFonts w:asciiTheme="minorBidi" w:hAnsiTheme="minorBidi"/>
        </w:rPr>
        <w:t xml:space="preserve"> and are tiered so that lower frequency faults </w:t>
      </w:r>
      <w:r w:rsidR="002C2EE5">
        <w:rPr>
          <w:rFonts w:asciiTheme="minorBidi" w:hAnsiTheme="minorBidi"/>
        </w:rPr>
        <w:t xml:space="preserve">only require </w:t>
      </w:r>
      <w:r w:rsidR="00E32518">
        <w:rPr>
          <w:rFonts w:asciiTheme="minorBidi" w:hAnsiTheme="minorBidi"/>
        </w:rPr>
        <w:t xml:space="preserve">analysis for </w:t>
      </w:r>
      <w:r w:rsidR="00BC3673">
        <w:rPr>
          <w:rFonts w:asciiTheme="minorBidi" w:hAnsiTheme="minorBidi"/>
        </w:rPr>
        <w:t>larger doses.</w:t>
      </w:r>
      <w:r w:rsidR="008E1B2C">
        <w:rPr>
          <w:rFonts w:asciiTheme="minorBidi" w:hAnsiTheme="minorBidi"/>
        </w:rPr>
        <w:t xml:space="preserve"> Even then, the application of deterministic design basis techniques is expected on a proportionate, risk-informed basis </w:t>
      </w:r>
      <w:r w:rsidR="00463C52">
        <w:rPr>
          <w:rFonts w:asciiTheme="minorBidi" w:hAnsiTheme="minorBidi"/>
        </w:rPr>
        <w:t xml:space="preserve">and should avoid unnecessary complexity, effort </w:t>
      </w:r>
      <w:r w:rsidR="0060439B">
        <w:rPr>
          <w:rFonts w:asciiTheme="minorBidi" w:hAnsiTheme="minorBidi"/>
        </w:rPr>
        <w:t xml:space="preserve">or the accumulation of excessive conservatism. </w:t>
      </w:r>
      <w:r w:rsidR="00142F5F">
        <w:rPr>
          <w:rFonts w:asciiTheme="minorBidi" w:hAnsiTheme="minorBidi"/>
        </w:rPr>
        <w:t xml:space="preserve">Further detail on the history of Target 4 and the previous numerical values associated with it can be found </w:t>
      </w:r>
      <w:r w:rsidR="0068243F">
        <w:rPr>
          <w:rFonts w:asciiTheme="minorBidi" w:hAnsiTheme="minorBidi"/>
        </w:rPr>
        <w:t xml:space="preserve">in Annex 2 of the 2014 SAPs. </w:t>
      </w:r>
    </w:p>
    <w:sectPr w:rsidR="00E662F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C588B"/>
    <w:multiLevelType w:val="multilevel"/>
    <w:tmpl w:val="08562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153DC4"/>
    <w:multiLevelType w:val="multilevel"/>
    <w:tmpl w:val="8B2E0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4A1129"/>
    <w:multiLevelType w:val="multilevel"/>
    <w:tmpl w:val="154EC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3404D6"/>
    <w:multiLevelType w:val="hybridMultilevel"/>
    <w:tmpl w:val="AF861A8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D5A42CB"/>
    <w:multiLevelType w:val="multilevel"/>
    <w:tmpl w:val="51825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BB2C96"/>
    <w:multiLevelType w:val="multilevel"/>
    <w:tmpl w:val="7D8CE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BC97FA6"/>
    <w:multiLevelType w:val="multilevel"/>
    <w:tmpl w:val="9BD26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EC380C"/>
    <w:multiLevelType w:val="multilevel"/>
    <w:tmpl w:val="D75C8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0281840"/>
    <w:multiLevelType w:val="hybridMultilevel"/>
    <w:tmpl w:val="252EC0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AF16310"/>
    <w:multiLevelType w:val="multilevel"/>
    <w:tmpl w:val="32789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EF21323"/>
    <w:multiLevelType w:val="hybridMultilevel"/>
    <w:tmpl w:val="93047B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004215E"/>
    <w:multiLevelType w:val="hybridMultilevel"/>
    <w:tmpl w:val="88941D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3927052"/>
    <w:multiLevelType w:val="multilevel"/>
    <w:tmpl w:val="91B2FB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7B947D0"/>
    <w:multiLevelType w:val="hybridMultilevel"/>
    <w:tmpl w:val="795093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C6A0C13"/>
    <w:multiLevelType w:val="multilevel"/>
    <w:tmpl w:val="ABEAA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40970BD"/>
    <w:multiLevelType w:val="multilevel"/>
    <w:tmpl w:val="C56EA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2893B1B"/>
    <w:multiLevelType w:val="hybridMultilevel"/>
    <w:tmpl w:val="7E1C76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91C6820"/>
    <w:multiLevelType w:val="multilevel"/>
    <w:tmpl w:val="A8D47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B3F771F"/>
    <w:multiLevelType w:val="multilevel"/>
    <w:tmpl w:val="5A201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6507221">
    <w:abstractNumId w:val="0"/>
  </w:num>
  <w:num w:numId="2" w16cid:durableId="1169835002">
    <w:abstractNumId w:val="15"/>
  </w:num>
  <w:num w:numId="3" w16cid:durableId="1311783875">
    <w:abstractNumId w:val="2"/>
  </w:num>
  <w:num w:numId="4" w16cid:durableId="1451630003">
    <w:abstractNumId w:val="1"/>
  </w:num>
  <w:num w:numId="5" w16cid:durableId="1478375272">
    <w:abstractNumId w:val="5"/>
  </w:num>
  <w:num w:numId="6" w16cid:durableId="1635940314">
    <w:abstractNumId w:val="11"/>
  </w:num>
  <w:num w:numId="7" w16cid:durableId="1719622609">
    <w:abstractNumId w:val="17"/>
  </w:num>
  <w:num w:numId="8" w16cid:durableId="1910654800">
    <w:abstractNumId w:val="12"/>
  </w:num>
  <w:num w:numId="9" w16cid:durableId="1938705886">
    <w:abstractNumId w:val="3"/>
  </w:num>
  <w:num w:numId="10" w16cid:durableId="2118282377">
    <w:abstractNumId w:val="18"/>
  </w:num>
  <w:num w:numId="11" w16cid:durableId="2135756033">
    <w:abstractNumId w:val="14"/>
  </w:num>
  <w:num w:numId="12" w16cid:durableId="22097395">
    <w:abstractNumId w:val="4"/>
  </w:num>
  <w:num w:numId="13" w16cid:durableId="656153688">
    <w:abstractNumId w:val="7"/>
  </w:num>
  <w:num w:numId="14" w16cid:durableId="669598942">
    <w:abstractNumId w:val="10"/>
  </w:num>
  <w:num w:numId="15" w16cid:durableId="885072193">
    <w:abstractNumId w:val="16"/>
  </w:num>
  <w:num w:numId="16" w16cid:durableId="1531920228">
    <w:abstractNumId w:val="8"/>
  </w:num>
  <w:num w:numId="17" w16cid:durableId="1613124902">
    <w:abstractNumId w:val="13"/>
  </w:num>
  <w:num w:numId="18" w16cid:durableId="450515513">
    <w:abstractNumId w:val="6"/>
  </w:num>
  <w:num w:numId="19" w16cid:durableId="127659493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5258"/>
    <w:rsid w:val="000004F9"/>
    <w:rsid w:val="00004038"/>
    <w:rsid w:val="00006816"/>
    <w:rsid w:val="00007BF6"/>
    <w:rsid w:val="00010671"/>
    <w:rsid w:val="00010E8D"/>
    <w:rsid w:val="00011485"/>
    <w:rsid w:val="00012130"/>
    <w:rsid w:val="000122ED"/>
    <w:rsid w:val="00013755"/>
    <w:rsid w:val="0001400A"/>
    <w:rsid w:val="00014EA0"/>
    <w:rsid w:val="000166D8"/>
    <w:rsid w:val="0001695C"/>
    <w:rsid w:val="00016AC6"/>
    <w:rsid w:val="00016CB5"/>
    <w:rsid w:val="0001778F"/>
    <w:rsid w:val="000205EA"/>
    <w:rsid w:val="00021931"/>
    <w:rsid w:val="000225C2"/>
    <w:rsid w:val="000230F5"/>
    <w:rsid w:val="0002312E"/>
    <w:rsid w:val="0002325B"/>
    <w:rsid w:val="00024137"/>
    <w:rsid w:val="00025A3F"/>
    <w:rsid w:val="00025C05"/>
    <w:rsid w:val="00026F94"/>
    <w:rsid w:val="000272B9"/>
    <w:rsid w:val="00027B8F"/>
    <w:rsid w:val="00027FF8"/>
    <w:rsid w:val="00030A89"/>
    <w:rsid w:val="000311CA"/>
    <w:rsid w:val="00031732"/>
    <w:rsid w:val="0003184D"/>
    <w:rsid w:val="00032E21"/>
    <w:rsid w:val="00033784"/>
    <w:rsid w:val="00033C4B"/>
    <w:rsid w:val="00034886"/>
    <w:rsid w:val="00035404"/>
    <w:rsid w:val="00036BF2"/>
    <w:rsid w:val="00036F0D"/>
    <w:rsid w:val="00036FA4"/>
    <w:rsid w:val="00036FEB"/>
    <w:rsid w:val="0003730E"/>
    <w:rsid w:val="00040818"/>
    <w:rsid w:val="000408FB"/>
    <w:rsid w:val="000409CC"/>
    <w:rsid w:val="00040F41"/>
    <w:rsid w:val="0004101E"/>
    <w:rsid w:val="00041E6D"/>
    <w:rsid w:val="0004387C"/>
    <w:rsid w:val="00043D2A"/>
    <w:rsid w:val="00044A69"/>
    <w:rsid w:val="00046075"/>
    <w:rsid w:val="00046E26"/>
    <w:rsid w:val="000506F6"/>
    <w:rsid w:val="0005579B"/>
    <w:rsid w:val="0005665A"/>
    <w:rsid w:val="00057756"/>
    <w:rsid w:val="00057929"/>
    <w:rsid w:val="00060029"/>
    <w:rsid w:val="00061330"/>
    <w:rsid w:val="00063BD2"/>
    <w:rsid w:val="0006400B"/>
    <w:rsid w:val="00064944"/>
    <w:rsid w:val="00064EC1"/>
    <w:rsid w:val="0006790C"/>
    <w:rsid w:val="00071CA6"/>
    <w:rsid w:val="000735AB"/>
    <w:rsid w:val="00076262"/>
    <w:rsid w:val="00076E25"/>
    <w:rsid w:val="000773A0"/>
    <w:rsid w:val="00077FA3"/>
    <w:rsid w:val="00081807"/>
    <w:rsid w:val="00083AF9"/>
    <w:rsid w:val="00085DB0"/>
    <w:rsid w:val="00086389"/>
    <w:rsid w:val="00086447"/>
    <w:rsid w:val="00087A8F"/>
    <w:rsid w:val="00093431"/>
    <w:rsid w:val="000935BB"/>
    <w:rsid w:val="000945BA"/>
    <w:rsid w:val="000947B3"/>
    <w:rsid w:val="00095901"/>
    <w:rsid w:val="00096CD2"/>
    <w:rsid w:val="00096E5F"/>
    <w:rsid w:val="00097D55"/>
    <w:rsid w:val="000A0E72"/>
    <w:rsid w:val="000A0F81"/>
    <w:rsid w:val="000A180A"/>
    <w:rsid w:val="000A19E3"/>
    <w:rsid w:val="000A3240"/>
    <w:rsid w:val="000A6151"/>
    <w:rsid w:val="000B0E34"/>
    <w:rsid w:val="000B165C"/>
    <w:rsid w:val="000B1C01"/>
    <w:rsid w:val="000B243A"/>
    <w:rsid w:val="000B48C8"/>
    <w:rsid w:val="000B53A7"/>
    <w:rsid w:val="000B554A"/>
    <w:rsid w:val="000B5681"/>
    <w:rsid w:val="000B6938"/>
    <w:rsid w:val="000B6D12"/>
    <w:rsid w:val="000B7BF4"/>
    <w:rsid w:val="000C1CBB"/>
    <w:rsid w:val="000C2428"/>
    <w:rsid w:val="000C2819"/>
    <w:rsid w:val="000C3AA6"/>
    <w:rsid w:val="000C4422"/>
    <w:rsid w:val="000C45F3"/>
    <w:rsid w:val="000D28EB"/>
    <w:rsid w:val="000D2D80"/>
    <w:rsid w:val="000D5C70"/>
    <w:rsid w:val="000D6FA6"/>
    <w:rsid w:val="000D7C66"/>
    <w:rsid w:val="000E02FF"/>
    <w:rsid w:val="000E03A3"/>
    <w:rsid w:val="000E1F3D"/>
    <w:rsid w:val="000E55AB"/>
    <w:rsid w:val="000E5EAB"/>
    <w:rsid w:val="000E7062"/>
    <w:rsid w:val="000F1171"/>
    <w:rsid w:val="000F1E0D"/>
    <w:rsid w:val="000F2EBC"/>
    <w:rsid w:val="000F400C"/>
    <w:rsid w:val="000F6E92"/>
    <w:rsid w:val="000F7264"/>
    <w:rsid w:val="001006E2"/>
    <w:rsid w:val="001019FF"/>
    <w:rsid w:val="001038A4"/>
    <w:rsid w:val="0010657F"/>
    <w:rsid w:val="00106F04"/>
    <w:rsid w:val="00107445"/>
    <w:rsid w:val="00110A3F"/>
    <w:rsid w:val="001126C3"/>
    <w:rsid w:val="00114F8B"/>
    <w:rsid w:val="00115009"/>
    <w:rsid w:val="001159C7"/>
    <w:rsid w:val="00116B84"/>
    <w:rsid w:val="00123574"/>
    <w:rsid w:val="00123C23"/>
    <w:rsid w:val="001250A4"/>
    <w:rsid w:val="00126B52"/>
    <w:rsid w:val="00127669"/>
    <w:rsid w:val="001276AE"/>
    <w:rsid w:val="00127764"/>
    <w:rsid w:val="0012796F"/>
    <w:rsid w:val="00130696"/>
    <w:rsid w:val="00130CF6"/>
    <w:rsid w:val="001327A7"/>
    <w:rsid w:val="00132C10"/>
    <w:rsid w:val="001340ED"/>
    <w:rsid w:val="00136143"/>
    <w:rsid w:val="0013649E"/>
    <w:rsid w:val="00137BF3"/>
    <w:rsid w:val="001400B2"/>
    <w:rsid w:val="001401EF"/>
    <w:rsid w:val="0014033F"/>
    <w:rsid w:val="00142C18"/>
    <w:rsid w:val="00142F5F"/>
    <w:rsid w:val="00150733"/>
    <w:rsid w:val="001508AE"/>
    <w:rsid w:val="00151A30"/>
    <w:rsid w:val="0015228E"/>
    <w:rsid w:val="001523B3"/>
    <w:rsid w:val="00155212"/>
    <w:rsid w:val="001560BE"/>
    <w:rsid w:val="001572A3"/>
    <w:rsid w:val="00160156"/>
    <w:rsid w:val="00160644"/>
    <w:rsid w:val="001609A8"/>
    <w:rsid w:val="001615C1"/>
    <w:rsid w:val="0016389A"/>
    <w:rsid w:val="00164C07"/>
    <w:rsid w:val="00165E87"/>
    <w:rsid w:val="00166821"/>
    <w:rsid w:val="001671C8"/>
    <w:rsid w:val="00170AAC"/>
    <w:rsid w:val="00170E97"/>
    <w:rsid w:val="001734EE"/>
    <w:rsid w:val="00173555"/>
    <w:rsid w:val="00174AB6"/>
    <w:rsid w:val="00174D98"/>
    <w:rsid w:val="001756ED"/>
    <w:rsid w:val="00175CF4"/>
    <w:rsid w:val="00176C2D"/>
    <w:rsid w:val="00177505"/>
    <w:rsid w:val="00177866"/>
    <w:rsid w:val="00177C9B"/>
    <w:rsid w:val="00180097"/>
    <w:rsid w:val="00180640"/>
    <w:rsid w:val="00180AAF"/>
    <w:rsid w:val="00181AC1"/>
    <w:rsid w:val="00181CAF"/>
    <w:rsid w:val="00182790"/>
    <w:rsid w:val="00182A78"/>
    <w:rsid w:val="00182EDC"/>
    <w:rsid w:val="00183CC0"/>
    <w:rsid w:val="00184481"/>
    <w:rsid w:val="001853E8"/>
    <w:rsid w:val="00190134"/>
    <w:rsid w:val="00190C2F"/>
    <w:rsid w:val="0019168C"/>
    <w:rsid w:val="00191824"/>
    <w:rsid w:val="001924B3"/>
    <w:rsid w:val="00195D39"/>
    <w:rsid w:val="001962B7"/>
    <w:rsid w:val="00196EDA"/>
    <w:rsid w:val="00197E2A"/>
    <w:rsid w:val="001A2130"/>
    <w:rsid w:val="001A3185"/>
    <w:rsid w:val="001A3BEA"/>
    <w:rsid w:val="001A450A"/>
    <w:rsid w:val="001A4BB1"/>
    <w:rsid w:val="001A5095"/>
    <w:rsid w:val="001A6794"/>
    <w:rsid w:val="001A6F4D"/>
    <w:rsid w:val="001B1242"/>
    <w:rsid w:val="001B20BA"/>
    <w:rsid w:val="001B27C1"/>
    <w:rsid w:val="001B3C50"/>
    <w:rsid w:val="001B540E"/>
    <w:rsid w:val="001B79B3"/>
    <w:rsid w:val="001C0039"/>
    <w:rsid w:val="001C22A2"/>
    <w:rsid w:val="001C24A7"/>
    <w:rsid w:val="001C2A50"/>
    <w:rsid w:val="001C2B8D"/>
    <w:rsid w:val="001C5723"/>
    <w:rsid w:val="001C5F59"/>
    <w:rsid w:val="001C6337"/>
    <w:rsid w:val="001C7930"/>
    <w:rsid w:val="001C7A88"/>
    <w:rsid w:val="001C7EC2"/>
    <w:rsid w:val="001D3618"/>
    <w:rsid w:val="001D5E63"/>
    <w:rsid w:val="001D6D08"/>
    <w:rsid w:val="001D741B"/>
    <w:rsid w:val="001D7648"/>
    <w:rsid w:val="001D7C93"/>
    <w:rsid w:val="001E0189"/>
    <w:rsid w:val="001E05F4"/>
    <w:rsid w:val="001E097B"/>
    <w:rsid w:val="001E1969"/>
    <w:rsid w:val="001E23DF"/>
    <w:rsid w:val="001E25EE"/>
    <w:rsid w:val="001E3AB0"/>
    <w:rsid w:val="001E5FDC"/>
    <w:rsid w:val="001E6042"/>
    <w:rsid w:val="001E72A3"/>
    <w:rsid w:val="001E74CE"/>
    <w:rsid w:val="001F04F6"/>
    <w:rsid w:val="001F0810"/>
    <w:rsid w:val="001F15DC"/>
    <w:rsid w:val="001F1DDA"/>
    <w:rsid w:val="001F2190"/>
    <w:rsid w:val="001F4FC1"/>
    <w:rsid w:val="001F666D"/>
    <w:rsid w:val="001F6F85"/>
    <w:rsid w:val="001F71B3"/>
    <w:rsid w:val="0020049A"/>
    <w:rsid w:val="00202891"/>
    <w:rsid w:val="00203A9B"/>
    <w:rsid w:val="00205EDE"/>
    <w:rsid w:val="0021178F"/>
    <w:rsid w:val="002118A4"/>
    <w:rsid w:val="0021670C"/>
    <w:rsid w:val="00216890"/>
    <w:rsid w:val="00216C31"/>
    <w:rsid w:val="00221342"/>
    <w:rsid w:val="002223CE"/>
    <w:rsid w:val="00222CB1"/>
    <w:rsid w:val="002242EC"/>
    <w:rsid w:val="00225387"/>
    <w:rsid w:val="00225C2D"/>
    <w:rsid w:val="00227AB6"/>
    <w:rsid w:val="0023267D"/>
    <w:rsid w:val="0023411B"/>
    <w:rsid w:val="002344AF"/>
    <w:rsid w:val="00234C80"/>
    <w:rsid w:val="002403FC"/>
    <w:rsid w:val="00240480"/>
    <w:rsid w:val="00240919"/>
    <w:rsid w:val="00240992"/>
    <w:rsid w:val="002449E8"/>
    <w:rsid w:val="00246CA5"/>
    <w:rsid w:val="00247E64"/>
    <w:rsid w:val="00250894"/>
    <w:rsid w:val="0025162A"/>
    <w:rsid w:val="00252288"/>
    <w:rsid w:val="00252883"/>
    <w:rsid w:val="00253B28"/>
    <w:rsid w:val="00254349"/>
    <w:rsid w:val="0025462A"/>
    <w:rsid w:val="00254646"/>
    <w:rsid w:val="00254849"/>
    <w:rsid w:val="00264845"/>
    <w:rsid w:val="00264D9D"/>
    <w:rsid w:val="00266A81"/>
    <w:rsid w:val="00266B91"/>
    <w:rsid w:val="00266C71"/>
    <w:rsid w:val="00272A39"/>
    <w:rsid w:val="002755A8"/>
    <w:rsid w:val="00275656"/>
    <w:rsid w:val="00276F6E"/>
    <w:rsid w:val="00280411"/>
    <w:rsid w:val="002817EB"/>
    <w:rsid w:val="0028181B"/>
    <w:rsid w:val="00281D2C"/>
    <w:rsid w:val="00282A81"/>
    <w:rsid w:val="002839BB"/>
    <w:rsid w:val="002841AE"/>
    <w:rsid w:val="00290A0A"/>
    <w:rsid w:val="00290F74"/>
    <w:rsid w:val="002912BA"/>
    <w:rsid w:val="00291689"/>
    <w:rsid w:val="00294246"/>
    <w:rsid w:val="00294435"/>
    <w:rsid w:val="002965E0"/>
    <w:rsid w:val="0029691B"/>
    <w:rsid w:val="00296D81"/>
    <w:rsid w:val="002970F5"/>
    <w:rsid w:val="002A03C3"/>
    <w:rsid w:val="002A0E78"/>
    <w:rsid w:val="002A33F8"/>
    <w:rsid w:val="002A6740"/>
    <w:rsid w:val="002A6BBB"/>
    <w:rsid w:val="002B10DF"/>
    <w:rsid w:val="002B196F"/>
    <w:rsid w:val="002B1BCF"/>
    <w:rsid w:val="002B38E3"/>
    <w:rsid w:val="002B457C"/>
    <w:rsid w:val="002B5376"/>
    <w:rsid w:val="002B5C6F"/>
    <w:rsid w:val="002B7017"/>
    <w:rsid w:val="002B75F6"/>
    <w:rsid w:val="002C05F4"/>
    <w:rsid w:val="002C0856"/>
    <w:rsid w:val="002C0FDD"/>
    <w:rsid w:val="002C2EE5"/>
    <w:rsid w:val="002C3B2F"/>
    <w:rsid w:val="002C466A"/>
    <w:rsid w:val="002C53AD"/>
    <w:rsid w:val="002C60AF"/>
    <w:rsid w:val="002C666B"/>
    <w:rsid w:val="002D2BBC"/>
    <w:rsid w:val="002D329B"/>
    <w:rsid w:val="002D449E"/>
    <w:rsid w:val="002D4667"/>
    <w:rsid w:val="002E0036"/>
    <w:rsid w:val="002E1340"/>
    <w:rsid w:val="002E1B84"/>
    <w:rsid w:val="002E1C7A"/>
    <w:rsid w:val="002E1F9C"/>
    <w:rsid w:val="002E3A4F"/>
    <w:rsid w:val="002E5EBF"/>
    <w:rsid w:val="002E636F"/>
    <w:rsid w:val="002E6E86"/>
    <w:rsid w:val="002E7DB0"/>
    <w:rsid w:val="002E7E68"/>
    <w:rsid w:val="002F03EC"/>
    <w:rsid w:val="002F162C"/>
    <w:rsid w:val="002F3344"/>
    <w:rsid w:val="002F4589"/>
    <w:rsid w:val="002F5AB1"/>
    <w:rsid w:val="002F5CA7"/>
    <w:rsid w:val="002F68CB"/>
    <w:rsid w:val="002F7550"/>
    <w:rsid w:val="002F765C"/>
    <w:rsid w:val="002F782F"/>
    <w:rsid w:val="00300410"/>
    <w:rsid w:val="003009C8"/>
    <w:rsid w:val="00301E59"/>
    <w:rsid w:val="00301F25"/>
    <w:rsid w:val="003031A5"/>
    <w:rsid w:val="00303A90"/>
    <w:rsid w:val="00304076"/>
    <w:rsid w:val="00304B0B"/>
    <w:rsid w:val="003059B0"/>
    <w:rsid w:val="003060A8"/>
    <w:rsid w:val="003127C8"/>
    <w:rsid w:val="003168A5"/>
    <w:rsid w:val="00316BDE"/>
    <w:rsid w:val="0031747F"/>
    <w:rsid w:val="00317E6C"/>
    <w:rsid w:val="00321CBD"/>
    <w:rsid w:val="003220D7"/>
    <w:rsid w:val="003225FA"/>
    <w:rsid w:val="00322786"/>
    <w:rsid w:val="00322821"/>
    <w:rsid w:val="003229C6"/>
    <w:rsid w:val="00325E0B"/>
    <w:rsid w:val="00326126"/>
    <w:rsid w:val="00327B95"/>
    <w:rsid w:val="00331142"/>
    <w:rsid w:val="0033293F"/>
    <w:rsid w:val="00334AD0"/>
    <w:rsid w:val="00335664"/>
    <w:rsid w:val="00335BFB"/>
    <w:rsid w:val="00337754"/>
    <w:rsid w:val="00342224"/>
    <w:rsid w:val="003424C1"/>
    <w:rsid w:val="003458A2"/>
    <w:rsid w:val="00345AB5"/>
    <w:rsid w:val="00345FF7"/>
    <w:rsid w:val="003462F5"/>
    <w:rsid w:val="003473C7"/>
    <w:rsid w:val="00347C35"/>
    <w:rsid w:val="00347DF1"/>
    <w:rsid w:val="00347F80"/>
    <w:rsid w:val="00350B9F"/>
    <w:rsid w:val="003520A3"/>
    <w:rsid w:val="003530AE"/>
    <w:rsid w:val="00356ECC"/>
    <w:rsid w:val="00357358"/>
    <w:rsid w:val="00357392"/>
    <w:rsid w:val="00361AD1"/>
    <w:rsid w:val="003641BB"/>
    <w:rsid w:val="003644FE"/>
    <w:rsid w:val="00364864"/>
    <w:rsid w:val="00364F4B"/>
    <w:rsid w:val="003668FF"/>
    <w:rsid w:val="00367626"/>
    <w:rsid w:val="00367A80"/>
    <w:rsid w:val="00367D9A"/>
    <w:rsid w:val="00370B45"/>
    <w:rsid w:val="00370C0D"/>
    <w:rsid w:val="0037173C"/>
    <w:rsid w:val="003720EF"/>
    <w:rsid w:val="0037231D"/>
    <w:rsid w:val="003729BF"/>
    <w:rsid w:val="00374A20"/>
    <w:rsid w:val="003755B6"/>
    <w:rsid w:val="003763EF"/>
    <w:rsid w:val="00376B29"/>
    <w:rsid w:val="00377391"/>
    <w:rsid w:val="00377E40"/>
    <w:rsid w:val="0038095A"/>
    <w:rsid w:val="003811B4"/>
    <w:rsid w:val="00381752"/>
    <w:rsid w:val="00384321"/>
    <w:rsid w:val="0038467E"/>
    <w:rsid w:val="00385934"/>
    <w:rsid w:val="0038616F"/>
    <w:rsid w:val="00386EE8"/>
    <w:rsid w:val="00387284"/>
    <w:rsid w:val="00390A8C"/>
    <w:rsid w:val="00390ACF"/>
    <w:rsid w:val="00391E2C"/>
    <w:rsid w:val="003935E9"/>
    <w:rsid w:val="0039547B"/>
    <w:rsid w:val="00395EDB"/>
    <w:rsid w:val="003965C5"/>
    <w:rsid w:val="00397160"/>
    <w:rsid w:val="003972F2"/>
    <w:rsid w:val="003A035C"/>
    <w:rsid w:val="003A13F2"/>
    <w:rsid w:val="003A2634"/>
    <w:rsid w:val="003A299E"/>
    <w:rsid w:val="003A34B0"/>
    <w:rsid w:val="003A3950"/>
    <w:rsid w:val="003A3DBD"/>
    <w:rsid w:val="003A5860"/>
    <w:rsid w:val="003A7F8D"/>
    <w:rsid w:val="003B0F8C"/>
    <w:rsid w:val="003B20CF"/>
    <w:rsid w:val="003B2DCF"/>
    <w:rsid w:val="003B73AA"/>
    <w:rsid w:val="003B7C99"/>
    <w:rsid w:val="003C0059"/>
    <w:rsid w:val="003C2572"/>
    <w:rsid w:val="003C2A03"/>
    <w:rsid w:val="003C3192"/>
    <w:rsid w:val="003C3374"/>
    <w:rsid w:val="003C3A1A"/>
    <w:rsid w:val="003C3F7E"/>
    <w:rsid w:val="003C4506"/>
    <w:rsid w:val="003C5390"/>
    <w:rsid w:val="003C6525"/>
    <w:rsid w:val="003C6C03"/>
    <w:rsid w:val="003C7DBB"/>
    <w:rsid w:val="003D06B0"/>
    <w:rsid w:val="003D17AA"/>
    <w:rsid w:val="003D341B"/>
    <w:rsid w:val="003D46A1"/>
    <w:rsid w:val="003D4AD8"/>
    <w:rsid w:val="003D54E3"/>
    <w:rsid w:val="003D6DF8"/>
    <w:rsid w:val="003E0B74"/>
    <w:rsid w:val="003E1B12"/>
    <w:rsid w:val="003E1CFF"/>
    <w:rsid w:val="003E2178"/>
    <w:rsid w:val="003E286C"/>
    <w:rsid w:val="003E2926"/>
    <w:rsid w:val="003E2966"/>
    <w:rsid w:val="003E37BA"/>
    <w:rsid w:val="003E3F15"/>
    <w:rsid w:val="003E423F"/>
    <w:rsid w:val="003E4C29"/>
    <w:rsid w:val="003E4D96"/>
    <w:rsid w:val="003E4DA1"/>
    <w:rsid w:val="003E521A"/>
    <w:rsid w:val="003E5B44"/>
    <w:rsid w:val="003E71F1"/>
    <w:rsid w:val="003E7A88"/>
    <w:rsid w:val="003F142D"/>
    <w:rsid w:val="003F1733"/>
    <w:rsid w:val="003F2905"/>
    <w:rsid w:val="003F3C72"/>
    <w:rsid w:val="003F4B26"/>
    <w:rsid w:val="003F5CA3"/>
    <w:rsid w:val="003F5F3A"/>
    <w:rsid w:val="003F68D8"/>
    <w:rsid w:val="003F7101"/>
    <w:rsid w:val="003F7745"/>
    <w:rsid w:val="0040205A"/>
    <w:rsid w:val="00402CB1"/>
    <w:rsid w:val="004036E2"/>
    <w:rsid w:val="00403B8C"/>
    <w:rsid w:val="00413253"/>
    <w:rsid w:val="00413E32"/>
    <w:rsid w:val="00415744"/>
    <w:rsid w:val="004164F5"/>
    <w:rsid w:val="0041653A"/>
    <w:rsid w:val="00416826"/>
    <w:rsid w:val="004172CD"/>
    <w:rsid w:val="00417879"/>
    <w:rsid w:val="00420E0B"/>
    <w:rsid w:val="0042130C"/>
    <w:rsid w:val="00421DD3"/>
    <w:rsid w:val="0042294B"/>
    <w:rsid w:val="00423189"/>
    <w:rsid w:val="004234DD"/>
    <w:rsid w:val="004256D5"/>
    <w:rsid w:val="004276BB"/>
    <w:rsid w:val="004277A3"/>
    <w:rsid w:val="0043034F"/>
    <w:rsid w:val="00430CA5"/>
    <w:rsid w:val="00430EC5"/>
    <w:rsid w:val="0043205A"/>
    <w:rsid w:val="0043350F"/>
    <w:rsid w:val="00434279"/>
    <w:rsid w:val="00435835"/>
    <w:rsid w:val="00435CF2"/>
    <w:rsid w:val="004366BF"/>
    <w:rsid w:val="00436872"/>
    <w:rsid w:val="004376C5"/>
    <w:rsid w:val="00441448"/>
    <w:rsid w:val="004414D8"/>
    <w:rsid w:val="00441676"/>
    <w:rsid w:val="00441BB2"/>
    <w:rsid w:val="00443427"/>
    <w:rsid w:val="00443D56"/>
    <w:rsid w:val="00444927"/>
    <w:rsid w:val="00445B53"/>
    <w:rsid w:val="00447431"/>
    <w:rsid w:val="00450B99"/>
    <w:rsid w:val="00450C6C"/>
    <w:rsid w:val="0045167F"/>
    <w:rsid w:val="0045199B"/>
    <w:rsid w:val="00451C7E"/>
    <w:rsid w:val="00453F0C"/>
    <w:rsid w:val="00455FF1"/>
    <w:rsid w:val="00456DAB"/>
    <w:rsid w:val="00457076"/>
    <w:rsid w:val="00457294"/>
    <w:rsid w:val="00457DA7"/>
    <w:rsid w:val="00461B68"/>
    <w:rsid w:val="00462662"/>
    <w:rsid w:val="0046298A"/>
    <w:rsid w:val="0046348E"/>
    <w:rsid w:val="0046366E"/>
    <w:rsid w:val="00463C52"/>
    <w:rsid w:val="00466E1D"/>
    <w:rsid w:val="004705AE"/>
    <w:rsid w:val="004705E9"/>
    <w:rsid w:val="00470AEB"/>
    <w:rsid w:val="0047114A"/>
    <w:rsid w:val="00471D11"/>
    <w:rsid w:val="00471D7F"/>
    <w:rsid w:val="00472122"/>
    <w:rsid w:val="004725FC"/>
    <w:rsid w:val="00472754"/>
    <w:rsid w:val="00475989"/>
    <w:rsid w:val="00476A50"/>
    <w:rsid w:val="00477DE7"/>
    <w:rsid w:val="0048010C"/>
    <w:rsid w:val="004801E5"/>
    <w:rsid w:val="004811E8"/>
    <w:rsid w:val="0048221C"/>
    <w:rsid w:val="004830A9"/>
    <w:rsid w:val="00484153"/>
    <w:rsid w:val="00485FB0"/>
    <w:rsid w:val="00487643"/>
    <w:rsid w:val="0049078E"/>
    <w:rsid w:val="00492727"/>
    <w:rsid w:val="00492C98"/>
    <w:rsid w:val="004A0A6F"/>
    <w:rsid w:val="004A0BEC"/>
    <w:rsid w:val="004A112B"/>
    <w:rsid w:val="004A2295"/>
    <w:rsid w:val="004A28BA"/>
    <w:rsid w:val="004A30FF"/>
    <w:rsid w:val="004A43D1"/>
    <w:rsid w:val="004A662B"/>
    <w:rsid w:val="004A744A"/>
    <w:rsid w:val="004A7B02"/>
    <w:rsid w:val="004B01EF"/>
    <w:rsid w:val="004B1BDA"/>
    <w:rsid w:val="004B2282"/>
    <w:rsid w:val="004B52C0"/>
    <w:rsid w:val="004B5BF7"/>
    <w:rsid w:val="004B7E80"/>
    <w:rsid w:val="004C03F3"/>
    <w:rsid w:val="004C09D8"/>
    <w:rsid w:val="004C0E15"/>
    <w:rsid w:val="004C12D4"/>
    <w:rsid w:val="004C288A"/>
    <w:rsid w:val="004C2BF3"/>
    <w:rsid w:val="004C2F97"/>
    <w:rsid w:val="004C45C4"/>
    <w:rsid w:val="004C4B7B"/>
    <w:rsid w:val="004C4FAF"/>
    <w:rsid w:val="004C616B"/>
    <w:rsid w:val="004C6266"/>
    <w:rsid w:val="004C725A"/>
    <w:rsid w:val="004C7E8D"/>
    <w:rsid w:val="004D19D4"/>
    <w:rsid w:val="004D2916"/>
    <w:rsid w:val="004D2AA2"/>
    <w:rsid w:val="004D31E3"/>
    <w:rsid w:val="004D403E"/>
    <w:rsid w:val="004D461F"/>
    <w:rsid w:val="004D4EBC"/>
    <w:rsid w:val="004D68C2"/>
    <w:rsid w:val="004E0228"/>
    <w:rsid w:val="004E1576"/>
    <w:rsid w:val="004E285E"/>
    <w:rsid w:val="004E3001"/>
    <w:rsid w:val="004E34E2"/>
    <w:rsid w:val="004E364D"/>
    <w:rsid w:val="004E38A2"/>
    <w:rsid w:val="004E4244"/>
    <w:rsid w:val="004F06F7"/>
    <w:rsid w:val="004F0729"/>
    <w:rsid w:val="004F1A97"/>
    <w:rsid w:val="004F2799"/>
    <w:rsid w:val="004F2A59"/>
    <w:rsid w:val="004F2B53"/>
    <w:rsid w:val="004F36A9"/>
    <w:rsid w:val="004F3EAD"/>
    <w:rsid w:val="004F50AF"/>
    <w:rsid w:val="004F5304"/>
    <w:rsid w:val="004F7BD0"/>
    <w:rsid w:val="00501E9B"/>
    <w:rsid w:val="00502AFC"/>
    <w:rsid w:val="00502B6E"/>
    <w:rsid w:val="00505522"/>
    <w:rsid w:val="005059B6"/>
    <w:rsid w:val="005063FA"/>
    <w:rsid w:val="00506B8E"/>
    <w:rsid w:val="00507265"/>
    <w:rsid w:val="00507732"/>
    <w:rsid w:val="005077B6"/>
    <w:rsid w:val="00507EFE"/>
    <w:rsid w:val="00511350"/>
    <w:rsid w:val="005122CF"/>
    <w:rsid w:val="00512480"/>
    <w:rsid w:val="00512B0A"/>
    <w:rsid w:val="00513290"/>
    <w:rsid w:val="00513462"/>
    <w:rsid w:val="00513823"/>
    <w:rsid w:val="00514D1B"/>
    <w:rsid w:val="00520F86"/>
    <w:rsid w:val="00522442"/>
    <w:rsid w:val="005237C2"/>
    <w:rsid w:val="00523E5C"/>
    <w:rsid w:val="00524914"/>
    <w:rsid w:val="00525DCC"/>
    <w:rsid w:val="00527481"/>
    <w:rsid w:val="005303D0"/>
    <w:rsid w:val="00530485"/>
    <w:rsid w:val="00531809"/>
    <w:rsid w:val="00531B39"/>
    <w:rsid w:val="005320CF"/>
    <w:rsid w:val="00532FF3"/>
    <w:rsid w:val="00533056"/>
    <w:rsid w:val="005347A3"/>
    <w:rsid w:val="005347ED"/>
    <w:rsid w:val="00535974"/>
    <w:rsid w:val="00540751"/>
    <w:rsid w:val="0054182F"/>
    <w:rsid w:val="00544C53"/>
    <w:rsid w:val="005474FA"/>
    <w:rsid w:val="005506BA"/>
    <w:rsid w:val="00552827"/>
    <w:rsid w:val="00552DE9"/>
    <w:rsid w:val="00553A34"/>
    <w:rsid w:val="00553FF4"/>
    <w:rsid w:val="00556028"/>
    <w:rsid w:val="0055604B"/>
    <w:rsid w:val="0056023D"/>
    <w:rsid w:val="005604E0"/>
    <w:rsid w:val="005622ED"/>
    <w:rsid w:val="005647BF"/>
    <w:rsid w:val="00566271"/>
    <w:rsid w:val="00570999"/>
    <w:rsid w:val="00570E97"/>
    <w:rsid w:val="005712F5"/>
    <w:rsid w:val="00571439"/>
    <w:rsid w:val="00572153"/>
    <w:rsid w:val="0057352D"/>
    <w:rsid w:val="00573A0F"/>
    <w:rsid w:val="00573B35"/>
    <w:rsid w:val="00576478"/>
    <w:rsid w:val="00577B6B"/>
    <w:rsid w:val="00577CA7"/>
    <w:rsid w:val="00580E5D"/>
    <w:rsid w:val="005810D4"/>
    <w:rsid w:val="00582126"/>
    <w:rsid w:val="005840E7"/>
    <w:rsid w:val="0058421E"/>
    <w:rsid w:val="005871F3"/>
    <w:rsid w:val="005919A4"/>
    <w:rsid w:val="00592297"/>
    <w:rsid w:val="00592BED"/>
    <w:rsid w:val="00592D33"/>
    <w:rsid w:val="005942C4"/>
    <w:rsid w:val="00595032"/>
    <w:rsid w:val="00595BAF"/>
    <w:rsid w:val="0059606A"/>
    <w:rsid w:val="00596988"/>
    <w:rsid w:val="00597F08"/>
    <w:rsid w:val="005A02B4"/>
    <w:rsid w:val="005A0350"/>
    <w:rsid w:val="005A0EA0"/>
    <w:rsid w:val="005A126B"/>
    <w:rsid w:val="005B0B87"/>
    <w:rsid w:val="005B26A2"/>
    <w:rsid w:val="005B2766"/>
    <w:rsid w:val="005B3BB1"/>
    <w:rsid w:val="005B4B91"/>
    <w:rsid w:val="005B4F66"/>
    <w:rsid w:val="005B559F"/>
    <w:rsid w:val="005B71AF"/>
    <w:rsid w:val="005B7B3E"/>
    <w:rsid w:val="005C1188"/>
    <w:rsid w:val="005C1C0D"/>
    <w:rsid w:val="005C339C"/>
    <w:rsid w:val="005C429A"/>
    <w:rsid w:val="005C53B9"/>
    <w:rsid w:val="005C6C58"/>
    <w:rsid w:val="005D0EC4"/>
    <w:rsid w:val="005D1058"/>
    <w:rsid w:val="005D1B86"/>
    <w:rsid w:val="005D271B"/>
    <w:rsid w:val="005D3624"/>
    <w:rsid w:val="005D3CA1"/>
    <w:rsid w:val="005D3F35"/>
    <w:rsid w:val="005D51FE"/>
    <w:rsid w:val="005D6454"/>
    <w:rsid w:val="005D67C3"/>
    <w:rsid w:val="005D6E5A"/>
    <w:rsid w:val="005D751A"/>
    <w:rsid w:val="005D7D01"/>
    <w:rsid w:val="005E3C16"/>
    <w:rsid w:val="005E3E2B"/>
    <w:rsid w:val="005E4855"/>
    <w:rsid w:val="005E52B4"/>
    <w:rsid w:val="005E5976"/>
    <w:rsid w:val="005E7233"/>
    <w:rsid w:val="005E74F5"/>
    <w:rsid w:val="005F08EE"/>
    <w:rsid w:val="005F09A0"/>
    <w:rsid w:val="005F0CC1"/>
    <w:rsid w:val="005F179E"/>
    <w:rsid w:val="005F28FA"/>
    <w:rsid w:val="005F29AA"/>
    <w:rsid w:val="005F2EA2"/>
    <w:rsid w:val="005F410F"/>
    <w:rsid w:val="005F52E6"/>
    <w:rsid w:val="005F5417"/>
    <w:rsid w:val="005F56BD"/>
    <w:rsid w:val="005F5B2B"/>
    <w:rsid w:val="005F5E1F"/>
    <w:rsid w:val="005F60FD"/>
    <w:rsid w:val="005F6DE1"/>
    <w:rsid w:val="005F7103"/>
    <w:rsid w:val="005F747C"/>
    <w:rsid w:val="006017FF"/>
    <w:rsid w:val="00602A75"/>
    <w:rsid w:val="006033AF"/>
    <w:rsid w:val="00603B67"/>
    <w:rsid w:val="0060439B"/>
    <w:rsid w:val="006051B5"/>
    <w:rsid w:val="006074EE"/>
    <w:rsid w:val="0061015C"/>
    <w:rsid w:val="006107B5"/>
    <w:rsid w:val="006125DB"/>
    <w:rsid w:val="0061331C"/>
    <w:rsid w:val="00614F22"/>
    <w:rsid w:val="006153A1"/>
    <w:rsid w:val="0061568A"/>
    <w:rsid w:val="00615F0B"/>
    <w:rsid w:val="00616ECE"/>
    <w:rsid w:val="0062051C"/>
    <w:rsid w:val="006215F7"/>
    <w:rsid w:val="00621B40"/>
    <w:rsid w:val="00622774"/>
    <w:rsid w:val="00623A0C"/>
    <w:rsid w:val="00624B86"/>
    <w:rsid w:val="0062553B"/>
    <w:rsid w:val="00626344"/>
    <w:rsid w:val="00627848"/>
    <w:rsid w:val="00630437"/>
    <w:rsid w:val="00630F0F"/>
    <w:rsid w:val="0063143F"/>
    <w:rsid w:val="0063189F"/>
    <w:rsid w:val="00631934"/>
    <w:rsid w:val="00631BD7"/>
    <w:rsid w:val="00632368"/>
    <w:rsid w:val="006334E0"/>
    <w:rsid w:val="006358B2"/>
    <w:rsid w:val="00635D8D"/>
    <w:rsid w:val="00636041"/>
    <w:rsid w:val="00636475"/>
    <w:rsid w:val="00637AE6"/>
    <w:rsid w:val="00640533"/>
    <w:rsid w:val="00643453"/>
    <w:rsid w:val="006435AA"/>
    <w:rsid w:val="00643FDD"/>
    <w:rsid w:val="00644E1F"/>
    <w:rsid w:val="006452FC"/>
    <w:rsid w:val="006456D0"/>
    <w:rsid w:val="00645A3E"/>
    <w:rsid w:val="0065099C"/>
    <w:rsid w:val="0065198C"/>
    <w:rsid w:val="006525A0"/>
    <w:rsid w:val="006526BC"/>
    <w:rsid w:val="00653CAB"/>
    <w:rsid w:val="00653F5C"/>
    <w:rsid w:val="006554F1"/>
    <w:rsid w:val="00656CC9"/>
    <w:rsid w:val="00656FCD"/>
    <w:rsid w:val="00657FC7"/>
    <w:rsid w:val="0066027D"/>
    <w:rsid w:val="00660D7A"/>
    <w:rsid w:val="00663487"/>
    <w:rsid w:val="00663AD4"/>
    <w:rsid w:val="00664460"/>
    <w:rsid w:val="0066591C"/>
    <w:rsid w:val="006670D8"/>
    <w:rsid w:val="006674C4"/>
    <w:rsid w:val="0067056D"/>
    <w:rsid w:val="00671B6F"/>
    <w:rsid w:val="00676D47"/>
    <w:rsid w:val="00680B81"/>
    <w:rsid w:val="00681B71"/>
    <w:rsid w:val="0068243F"/>
    <w:rsid w:val="0068311C"/>
    <w:rsid w:val="00685D74"/>
    <w:rsid w:val="00686003"/>
    <w:rsid w:val="00686038"/>
    <w:rsid w:val="006866CE"/>
    <w:rsid w:val="006872C1"/>
    <w:rsid w:val="0068736B"/>
    <w:rsid w:val="00687AF0"/>
    <w:rsid w:val="00690350"/>
    <w:rsid w:val="0069287B"/>
    <w:rsid w:val="00693139"/>
    <w:rsid w:val="00695BD6"/>
    <w:rsid w:val="0069761C"/>
    <w:rsid w:val="00697936"/>
    <w:rsid w:val="006A0DF9"/>
    <w:rsid w:val="006A19C3"/>
    <w:rsid w:val="006A296C"/>
    <w:rsid w:val="006A2A9F"/>
    <w:rsid w:val="006A2D78"/>
    <w:rsid w:val="006A41D8"/>
    <w:rsid w:val="006A452A"/>
    <w:rsid w:val="006A4BA4"/>
    <w:rsid w:val="006A592B"/>
    <w:rsid w:val="006A5BCD"/>
    <w:rsid w:val="006A5E02"/>
    <w:rsid w:val="006A74E2"/>
    <w:rsid w:val="006A7635"/>
    <w:rsid w:val="006A7735"/>
    <w:rsid w:val="006B2B2D"/>
    <w:rsid w:val="006B3481"/>
    <w:rsid w:val="006B34DE"/>
    <w:rsid w:val="006B36D3"/>
    <w:rsid w:val="006B5DAB"/>
    <w:rsid w:val="006B6033"/>
    <w:rsid w:val="006B73D7"/>
    <w:rsid w:val="006C0C38"/>
    <w:rsid w:val="006C0C48"/>
    <w:rsid w:val="006C0C64"/>
    <w:rsid w:val="006C1ED7"/>
    <w:rsid w:val="006C2101"/>
    <w:rsid w:val="006C29D5"/>
    <w:rsid w:val="006C2EB5"/>
    <w:rsid w:val="006C3FE5"/>
    <w:rsid w:val="006C4400"/>
    <w:rsid w:val="006C5EE5"/>
    <w:rsid w:val="006C6D2B"/>
    <w:rsid w:val="006C6E71"/>
    <w:rsid w:val="006C70C0"/>
    <w:rsid w:val="006C769E"/>
    <w:rsid w:val="006D032D"/>
    <w:rsid w:val="006D10B6"/>
    <w:rsid w:val="006D2665"/>
    <w:rsid w:val="006D32B2"/>
    <w:rsid w:val="006D4D4B"/>
    <w:rsid w:val="006D5234"/>
    <w:rsid w:val="006D59CA"/>
    <w:rsid w:val="006D6D55"/>
    <w:rsid w:val="006E1D11"/>
    <w:rsid w:val="006E2CFF"/>
    <w:rsid w:val="006E3EA3"/>
    <w:rsid w:val="006E75BD"/>
    <w:rsid w:val="006E7955"/>
    <w:rsid w:val="006F1F52"/>
    <w:rsid w:val="006F2AC5"/>
    <w:rsid w:val="006F350D"/>
    <w:rsid w:val="006F3FF4"/>
    <w:rsid w:val="006F4A37"/>
    <w:rsid w:val="006F4E34"/>
    <w:rsid w:val="006F5CA8"/>
    <w:rsid w:val="006F6B51"/>
    <w:rsid w:val="006F79C4"/>
    <w:rsid w:val="006F7E52"/>
    <w:rsid w:val="00700DEA"/>
    <w:rsid w:val="00700E96"/>
    <w:rsid w:val="007017C2"/>
    <w:rsid w:val="00703CB2"/>
    <w:rsid w:val="00704122"/>
    <w:rsid w:val="0070429C"/>
    <w:rsid w:val="007048D5"/>
    <w:rsid w:val="00704AD7"/>
    <w:rsid w:val="00704CA4"/>
    <w:rsid w:val="00704F6F"/>
    <w:rsid w:val="00706236"/>
    <w:rsid w:val="00707977"/>
    <w:rsid w:val="00710D82"/>
    <w:rsid w:val="00710DC2"/>
    <w:rsid w:val="007111FB"/>
    <w:rsid w:val="00711561"/>
    <w:rsid w:val="00712FC5"/>
    <w:rsid w:val="0071350E"/>
    <w:rsid w:val="0071399E"/>
    <w:rsid w:val="007160A9"/>
    <w:rsid w:val="00721259"/>
    <w:rsid w:val="0072179D"/>
    <w:rsid w:val="00723027"/>
    <w:rsid w:val="007234F0"/>
    <w:rsid w:val="00724EEC"/>
    <w:rsid w:val="00725764"/>
    <w:rsid w:val="0072618E"/>
    <w:rsid w:val="00726BDF"/>
    <w:rsid w:val="00726CAC"/>
    <w:rsid w:val="007275BA"/>
    <w:rsid w:val="0073058C"/>
    <w:rsid w:val="007305D1"/>
    <w:rsid w:val="0073076C"/>
    <w:rsid w:val="007313CC"/>
    <w:rsid w:val="00731492"/>
    <w:rsid w:val="00732D88"/>
    <w:rsid w:val="007347B0"/>
    <w:rsid w:val="00734A4A"/>
    <w:rsid w:val="00735F32"/>
    <w:rsid w:val="007369E2"/>
    <w:rsid w:val="007401CF"/>
    <w:rsid w:val="00743788"/>
    <w:rsid w:val="00743F87"/>
    <w:rsid w:val="0074563D"/>
    <w:rsid w:val="00747310"/>
    <w:rsid w:val="007477C6"/>
    <w:rsid w:val="00750776"/>
    <w:rsid w:val="00750F34"/>
    <w:rsid w:val="007529DA"/>
    <w:rsid w:val="00754829"/>
    <w:rsid w:val="00760AEB"/>
    <w:rsid w:val="00760EA7"/>
    <w:rsid w:val="00764E98"/>
    <w:rsid w:val="00764F71"/>
    <w:rsid w:val="00765060"/>
    <w:rsid w:val="0076641D"/>
    <w:rsid w:val="00766A35"/>
    <w:rsid w:val="00766EB8"/>
    <w:rsid w:val="00770021"/>
    <w:rsid w:val="007705FF"/>
    <w:rsid w:val="00771864"/>
    <w:rsid w:val="0077211A"/>
    <w:rsid w:val="00777309"/>
    <w:rsid w:val="00777ED7"/>
    <w:rsid w:val="00781B5B"/>
    <w:rsid w:val="00782161"/>
    <w:rsid w:val="007843F5"/>
    <w:rsid w:val="0078518A"/>
    <w:rsid w:val="00786D2C"/>
    <w:rsid w:val="00787B60"/>
    <w:rsid w:val="00787EFD"/>
    <w:rsid w:val="00791A5B"/>
    <w:rsid w:val="00792BA2"/>
    <w:rsid w:val="0079381C"/>
    <w:rsid w:val="00793906"/>
    <w:rsid w:val="007941FD"/>
    <w:rsid w:val="00797B2C"/>
    <w:rsid w:val="00797B60"/>
    <w:rsid w:val="007A09F5"/>
    <w:rsid w:val="007A19C7"/>
    <w:rsid w:val="007A4C2A"/>
    <w:rsid w:val="007A6227"/>
    <w:rsid w:val="007A7321"/>
    <w:rsid w:val="007A767A"/>
    <w:rsid w:val="007B0C1E"/>
    <w:rsid w:val="007B0F9A"/>
    <w:rsid w:val="007B1327"/>
    <w:rsid w:val="007B1339"/>
    <w:rsid w:val="007B4F28"/>
    <w:rsid w:val="007B73F8"/>
    <w:rsid w:val="007C1880"/>
    <w:rsid w:val="007C1AED"/>
    <w:rsid w:val="007C2C88"/>
    <w:rsid w:val="007C2FD1"/>
    <w:rsid w:val="007C4EA9"/>
    <w:rsid w:val="007C62D7"/>
    <w:rsid w:val="007C7E8B"/>
    <w:rsid w:val="007D047E"/>
    <w:rsid w:val="007D0594"/>
    <w:rsid w:val="007D1371"/>
    <w:rsid w:val="007D26FA"/>
    <w:rsid w:val="007D370F"/>
    <w:rsid w:val="007D4A4D"/>
    <w:rsid w:val="007D502E"/>
    <w:rsid w:val="007D5E28"/>
    <w:rsid w:val="007D779F"/>
    <w:rsid w:val="007E0663"/>
    <w:rsid w:val="007E0C41"/>
    <w:rsid w:val="007E1394"/>
    <w:rsid w:val="007E438F"/>
    <w:rsid w:val="007E48FC"/>
    <w:rsid w:val="007E5952"/>
    <w:rsid w:val="007E7B15"/>
    <w:rsid w:val="007F0962"/>
    <w:rsid w:val="007F0A6E"/>
    <w:rsid w:val="007F1722"/>
    <w:rsid w:val="007F19F3"/>
    <w:rsid w:val="007F255B"/>
    <w:rsid w:val="007F2E1C"/>
    <w:rsid w:val="007F3E14"/>
    <w:rsid w:val="007F540F"/>
    <w:rsid w:val="007F5A20"/>
    <w:rsid w:val="007F6908"/>
    <w:rsid w:val="007F725B"/>
    <w:rsid w:val="008006CE"/>
    <w:rsid w:val="0080150F"/>
    <w:rsid w:val="008017F7"/>
    <w:rsid w:val="008019CD"/>
    <w:rsid w:val="00802510"/>
    <w:rsid w:val="00803FB4"/>
    <w:rsid w:val="00804391"/>
    <w:rsid w:val="00804A1E"/>
    <w:rsid w:val="00807B00"/>
    <w:rsid w:val="00810AE0"/>
    <w:rsid w:val="008112BA"/>
    <w:rsid w:val="00811335"/>
    <w:rsid w:val="00811897"/>
    <w:rsid w:val="00812135"/>
    <w:rsid w:val="008135D0"/>
    <w:rsid w:val="00814C51"/>
    <w:rsid w:val="00815CAF"/>
    <w:rsid w:val="008166AB"/>
    <w:rsid w:val="00816EE0"/>
    <w:rsid w:val="00816F20"/>
    <w:rsid w:val="008171C5"/>
    <w:rsid w:val="00820B17"/>
    <w:rsid w:val="00821026"/>
    <w:rsid w:val="0082234B"/>
    <w:rsid w:val="00823214"/>
    <w:rsid w:val="00823692"/>
    <w:rsid w:val="00824949"/>
    <w:rsid w:val="008249C2"/>
    <w:rsid w:val="008259ED"/>
    <w:rsid w:val="008268B4"/>
    <w:rsid w:val="0083035E"/>
    <w:rsid w:val="00830458"/>
    <w:rsid w:val="008315AF"/>
    <w:rsid w:val="008320EE"/>
    <w:rsid w:val="00832FD1"/>
    <w:rsid w:val="00833081"/>
    <w:rsid w:val="008360A8"/>
    <w:rsid w:val="00836BBD"/>
    <w:rsid w:val="00842208"/>
    <w:rsid w:val="00842403"/>
    <w:rsid w:val="00842AB0"/>
    <w:rsid w:val="00845F5A"/>
    <w:rsid w:val="00850E87"/>
    <w:rsid w:val="008521D0"/>
    <w:rsid w:val="00852630"/>
    <w:rsid w:val="0085428D"/>
    <w:rsid w:val="00855C0E"/>
    <w:rsid w:val="0085777F"/>
    <w:rsid w:val="00857BAB"/>
    <w:rsid w:val="008623AC"/>
    <w:rsid w:val="008626F8"/>
    <w:rsid w:val="00862D0C"/>
    <w:rsid w:val="008637E5"/>
    <w:rsid w:val="00865278"/>
    <w:rsid w:val="0086626A"/>
    <w:rsid w:val="00866E96"/>
    <w:rsid w:val="00867706"/>
    <w:rsid w:val="008705B5"/>
    <w:rsid w:val="00871679"/>
    <w:rsid w:val="0087340A"/>
    <w:rsid w:val="00873749"/>
    <w:rsid w:val="00873BBE"/>
    <w:rsid w:val="00875730"/>
    <w:rsid w:val="008803BD"/>
    <w:rsid w:val="0088060B"/>
    <w:rsid w:val="00880C9D"/>
    <w:rsid w:val="00882FD4"/>
    <w:rsid w:val="00883511"/>
    <w:rsid w:val="00883E0F"/>
    <w:rsid w:val="00883E57"/>
    <w:rsid w:val="00884136"/>
    <w:rsid w:val="0088472D"/>
    <w:rsid w:val="00884E02"/>
    <w:rsid w:val="00885144"/>
    <w:rsid w:val="00885924"/>
    <w:rsid w:val="00886686"/>
    <w:rsid w:val="008867DF"/>
    <w:rsid w:val="00887555"/>
    <w:rsid w:val="00890622"/>
    <w:rsid w:val="008918D3"/>
    <w:rsid w:val="008925EF"/>
    <w:rsid w:val="008947B2"/>
    <w:rsid w:val="00895241"/>
    <w:rsid w:val="00896440"/>
    <w:rsid w:val="008A0B80"/>
    <w:rsid w:val="008A105A"/>
    <w:rsid w:val="008A655F"/>
    <w:rsid w:val="008A66B5"/>
    <w:rsid w:val="008B0052"/>
    <w:rsid w:val="008B03B3"/>
    <w:rsid w:val="008B2031"/>
    <w:rsid w:val="008B276D"/>
    <w:rsid w:val="008B2CEC"/>
    <w:rsid w:val="008B47B7"/>
    <w:rsid w:val="008B5075"/>
    <w:rsid w:val="008B5BC1"/>
    <w:rsid w:val="008B5C46"/>
    <w:rsid w:val="008B5F04"/>
    <w:rsid w:val="008B706C"/>
    <w:rsid w:val="008B7C41"/>
    <w:rsid w:val="008B7C58"/>
    <w:rsid w:val="008C0E5A"/>
    <w:rsid w:val="008C18BA"/>
    <w:rsid w:val="008C1E34"/>
    <w:rsid w:val="008C20AD"/>
    <w:rsid w:val="008C3855"/>
    <w:rsid w:val="008C5507"/>
    <w:rsid w:val="008C5795"/>
    <w:rsid w:val="008C77CB"/>
    <w:rsid w:val="008D1234"/>
    <w:rsid w:val="008D1EE0"/>
    <w:rsid w:val="008D1F37"/>
    <w:rsid w:val="008D2BDE"/>
    <w:rsid w:val="008D2CC8"/>
    <w:rsid w:val="008D3219"/>
    <w:rsid w:val="008D3B57"/>
    <w:rsid w:val="008D45A6"/>
    <w:rsid w:val="008D593E"/>
    <w:rsid w:val="008D5E64"/>
    <w:rsid w:val="008D7EC3"/>
    <w:rsid w:val="008E0AB2"/>
    <w:rsid w:val="008E1B2C"/>
    <w:rsid w:val="008E201A"/>
    <w:rsid w:val="008E3E90"/>
    <w:rsid w:val="008E3FF4"/>
    <w:rsid w:val="008E4F55"/>
    <w:rsid w:val="008E5426"/>
    <w:rsid w:val="008E675D"/>
    <w:rsid w:val="008F0659"/>
    <w:rsid w:val="008F1335"/>
    <w:rsid w:val="008F3439"/>
    <w:rsid w:val="008F39F0"/>
    <w:rsid w:val="008F43E3"/>
    <w:rsid w:val="008F6AE1"/>
    <w:rsid w:val="008F6BE2"/>
    <w:rsid w:val="00900CFA"/>
    <w:rsid w:val="00901FC6"/>
    <w:rsid w:val="00902615"/>
    <w:rsid w:val="00902C3D"/>
    <w:rsid w:val="009033E1"/>
    <w:rsid w:val="00904578"/>
    <w:rsid w:val="0090550F"/>
    <w:rsid w:val="00905CF7"/>
    <w:rsid w:val="0090767F"/>
    <w:rsid w:val="009137DD"/>
    <w:rsid w:val="00913FB8"/>
    <w:rsid w:val="00914F3D"/>
    <w:rsid w:val="00915DC8"/>
    <w:rsid w:val="00916232"/>
    <w:rsid w:val="00916E20"/>
    <w:rsid w:val="00920182"/>
    <w:rsid w:val="009208B4"/>
    <w:rsid w:val="00922675"/>
    <w:rsid w:val="00922D6C"/>
    <w:rsid w:val="00923766"/>
    <w:rsid w:val="00925BBF"/>
    <w:rsid w:val="00926316"/>
    <w:rsid w:val="00926508"/>
    <w:rsid w:val="00926AE0"/>
    <w:rsid w:val="00930924"/>
    <w:rsid w:val="00930D81"/>
    <w:rsid w:val="00931618"/>
    <w:rsid w:val="00932DF2"/>
    <w:rsid w:val="00933C23"/>
    <w:rsid w:val="00934B66"/>
    <w:rsid w:val="009360B8"/>
    <w:rsid w:val="009376A2"/>
    <w:rsid w:val="00937E5C"/>
    <w:rsid w:val="00940E4F"/>
    <w:rsid w:val="0094420F"/>
    <w:rsid w:val="009455D9"/>
    <w:rsid w:val="0094603A"/>
    <w:rsid w:val="00947926"/>
    <w:rsid w:val="00947AC9"/>
    <w:rsid w:val="00950C34"/>
    <w:rsid w:val="00951920"/>
    <w:rsid w:val="009519AE"/>
    <w:rsid w:val="00952C78"/>
    <w:rsid w:val="00953135"/>
    <w:rsid w:val="009542A3"/>
    <w:rsid w:val="00954B51"/>
    <w:rsid w:val="00954F59"/>
    <w:rsid w:val="00954FEE"/>
    <w:rsid w:val="00956968"/>
    <w:rsid w:val="00956C62"/>
    <w:rsid w:val="0096025A"/>
    <w:rsid w:val="00960656"/>
    <w:rsid w:val="00961173"/>
    <w:rsid w:val="00961433"/>
    <w:rsid w:val="0096156A"/>
    <w:rsid w:val="00963C4E"/>
    <w:rsid w:val="0096417A"/>
    <w:rsid w:val="00964E1C"/>
    <w:rsid w:val="0096510B"/>
    <w:rsid w:val="00965BDC"/>
    <w:rsid w:val="009663A5"/>
    <w:rsid w:val="00966CAE"/>
    <w:rsid w:val="0097032C"/>
    <w:rsid w:val="0097036F"/>
    <w:rsid w:val="00971D52"/>
    <w:rsid w:val="0097396A"/>
    <w:rsid w:val="00974245"/>
    <w:rsid w:val="0097468F"/>
    <w:rsid w:val="009749F6"/>
    <w:rsid w:val="009763CC"/>
    <w:rsid w:val="00976E70"/>
    <w:rsid w:val="00977812"/>
    <w:rsid w:val="0098162D"/>
    <w:rsid w:val="00982E07"/>
    <w:rsid w:val="00984532"/>
    <w:rsid w:val="00984804"/>
    <w:rsid w:val="009853A1"/>
    <w:rsid w:val="00985A30"/>
    <w:rsid w:val="0098673A"/>
    <w:rsid w:val="009876E7"/>
    <w:rsid w:val="00992859"/>
    <w:rsid w:val="009939C0"/>
    <w:rsid w:val="00996A0E"/>
    <w:rsid w:val="00997A49"/>
    <w:rsid w:val="00997DA4"/>
    <w:rsid w:val="00997F4D"/>
    <w:rsid w:val="009A041D"/>
    <w:rsid w:val="009A11ED"/>
    <w:rsid w:val="009A17C0"/>
    <w:rsid w:val="009A1D63"/>
    <w:rsid w:val="009A279F"/>
    <w:rsid w:val="009A2A9B"/>
    <w:rsid w:val="009A2EEC"/>
    <w:rsid w:val="009A5551"/>
    <w:rsid w:val="009A5EC3"/>
    <w:rsid w:val="009A66AA"/>
    <w:rsid w:val="009B1E85"/>
    <w:rsid w:val="009B28AA"/>
    <w:rsid w:val="009B5741"/>
    <w:rsid w:val="009B67BB"/>
    <w:rsid w:val="009B6A4E"/>
    <w:rsid w:val="009B6D91"/>
    <w:rsid w:val="009B733D"/>
    <w:rsid w:val="009C0C88"/>
    <w:rsid w:val="009C285C"/>
    <w:rsid w:val="009C2EAA"/>
    <w:rsid w:val="009C30AC"/>
    <w:rsid w:val="009C3D24"/>
    <w:rsid w:val="009C6D71"/>
    <w:rsid w:val="009C762C"/>
    <w:rsid w:val="009C7FFE"/>
    <w:rsid w:val="009D0128"/>
    <w:rsid w:val="009D024F"/>
    <w:rsid w:val="009D05F0"/>
    <w:rsid w:val="009D1E5F"/>
    <w:rsid w:val="009D2A6D"/>
    <w:rsid w:val="009D4E57"/>
    <w:rsid w:val="009D520B"/>
    <w:rsid w:val="009D67F9"/>
    <w:rsid w:val="009D7827"/>
    <w:rsid w:val="009D785B"/>
    <w:rsid w:val="009E4BC7"/>
    <w:rsid w:val="009E59E8"/>
    <w:rsid w:val="009E6AFA"/>
    <w:rsid w:val="009E7888"/>
    <w:rsid w:val="009F0CF8"/>
    <w:rsid w:val="009F0D8C"/>
    <w:rsid w:val="009F1881"/>
    <w:rsid w:val="009F2914"/>
    <w:rsid w:val="009F29D2"/>
    <w:rsid w:val="009F2D93"/>
    <w:rsid w:val="009F2F36"/>
    <w:rsid w:val="009F3CF0"/>
    <w:rsid w:val="009F4DBD"/>
    <w:rsid w:val="009F4DE9"/>
    <w:rsid w:val="009F76E0"/>
    <w:rsid w:val="009F7AFC"/>
    <w:rsid w:val="009F7D0D"/>
    <w:rsid w:val="00A00D62"/>
    <w:rsid w:val="00A018E1"/>
    <w:rsid w:val="00A01ECA"/>
    <w:rsid w:val="00A0207D"/>
    <w:rsid w:val="00A03A87"/>
    <w:rsid w:val="00A041A1"/>
    <w:rsid w:val="00A047C5"/>
    <w:rsid w:val="00A04FCB"/>
    <w:rsid w:val="00A06DAD"/>
    <w:rsid w:val="00A11746"/>
    <w:rsid w:val="00A1227F"/>
    <w:rsid w:val="00A133CE"/>
    <w:rsid w:val="00A13461"/>
    <w:rsid w:val="00A13818"/>
    <w:rsid w:val="00A13F49"/>
    <w:rsid w:val="00A144A3"/>
    <w:rsid w:val="00A146AA"/>
    <w:rsid w:val="00A14E63"/>
    <w:rsid w:val="00A176B0"/>
    <w:rsid w:val="00A17B0C"/>
    <w:rsid w:val="00A17DB2"/>
    <w:rsid w:val="00A207AC"/>
    <w:rsid w:val="00A22754"/>
    <w:rsid w:val="00A2330A"/>
    <w:rsid w:val="00A2411C"/>
    <w:rsid w:val="00A26A11"/>
    <w:rsid w:val="00A27A14"/>
    <w:rsid w:val="00A301BE"/>
    <w:rsid w:val="00A305A9"/>
    <w:rsid w:val="00A30F48"/>
    <w:rsid w:val="00A311EF"/>
    <w:rsid w:val="00A31377"/>
    <w:rsid w:val="00A3171A"/>
    <w:rsid w:val="00A321FA"/>
    <w:rsid w:val="00A324B8"/>
    <w:rsid w:val="00A32788"/>
    <w:rsid w:val="00A32BF2"/>
    <w:rsid w:val="00A36D39"/>
    <w:rsid w:val="00A40DEA"/>
    <w:rsid w:val="00A41A89"/>
    <w:rsid w:val="00A42DB2"/>
    <w:rsid w:val="00A44DD7"/>
    <w:rsid w:val="00A44F19"/>
    <w:rsid w:val="00A452A9"/>
    <w:rsid w:val="00A45571"/>
    <w:rsid w:val="00A45E53"/>
    <w:rsid w:val="00A46578"/>
    <w:rsid w:val="00A46586"/>
    <w:rsid w:val="00A46773"/>
    <w:rsid w:val="00A47900"/>
    <w:rsid w:val="00A479AD"/>
    <w:rsid w:val="00A479FC"/>
    <w:rsid w:val="00A52B2C"/>
    <w:rsid w:val="00A52D64"/>
    <w:rsid w:val="00A53758"/>
    <w:rsid w:val="00A55CF4"/>
    <w:rsid w:val="00A55DE9"/>
    <w:rsid w:val="00A560A7"/>
    <w:rsid w:val="00A56F7D"/>
    <w:rsid w:val="00A572DF"/>
    <w:rsid w:val="00A6028E"/>
    <w:rsid w:val="00A61448"/>
    <w:rsid w:val="00A655EF"/>
    <w:rsid w:val="00A65B96"/>
    <w:rsid w:val="00A65F94"/>
    <w:rsid w:val="00A65FC5"/>
    <w:rsid w:val="00A6758F"/>
    <w:rsid w:val="00A721E6"/>
    <w:rsid w:val="00A72AFA"/>
    <w:rsid w:val="00A730D5"/>
    <w:rsid w:val="00A73A00"/>
    <w:rsid w:val="00A748B7"/>
    <w:rsid w:val="00A74975"/>
    <w:rsid w:val="00A75E2B"/>
    <w:rsid w:val="00A775E1"/>
    <w:rsid w:val="00A805EA"/>
    <w:rsid w:val="00A81B7C"/>
    <w:rsid w:val="00A81BA7"/>
    <w:rsid w:val="00A826D3"/>
    <w:rsid w:val="00A83364"/>
    <w:rsid w:val="00A848F4"/>
    <w:rsid w:val="00A84BEF"/>
    <w:rsid w:val="00A86423"/>
    <w:rsid w:val="00A86C8C"/>
    <w:rsid w:val="00A86F0C"/>
    <w:rsid w:val="00A90466"/>
    <w:rsid w:val="00A9201B"/>
    <w:rsid w:val="00A926D5"/>
    <w:rsid w:val="00A93609"/>
    <w:rsid w:val="00A93BD3"/>
    <w:rsid w:val="00AA01BD"/>
    <w:rsid w:val="00AA0A37"/>
    <w:rsid w:val="00AA29E2"/>
    <w:rsid w:val="00AA2D69"/>
    <w:rsid w:val="00AA3B9B"/>
    <w:rsid w:val="00AA48D0"/>
    <w:rsid w:val="00AA4E2B"/>
    <w:rsid w:val="00AA6ACD"/>
    <w:rsid w:val="00AA7096"/>
    <w:rsid w:val="00AA7909"/>
    <w:rsid w:val="00AB074D"/>
    <w:rsid w:val="00AB17EC"/>
    <w:rsid w:val="00AB1A4E"/>
    <w:rsid w:val="00AB1E0D"/>
    <w:rsid w:val="00AB1E71"/>
    <w:rsid w:val="00AB3D9C"/>
    <w:rsid w:val="00AB5F11"/>
    <w:rsid w:val="00AB68F1"/>
    <w:rsid w:val="00AC412C"/>
    <w:rsid w:val="00AC488C"/>
    <w:rsid w:val="00AC634A"/>
    <w:rsid w:val="00AC688C"/>
    <w:rsid w:val="00AD0AA4"/>
    <w:rsid w:val="00AD116D"/>
    <w:rsid w:val="00AD1D85"/>
    <w:rsid w:val="00AD1E68"/>
    <w:rsid w:val="00AD2701"/>
    <w:rsid w:val="00AD2DA5"/>
    <w:rsid w:val="00AD37EB"/>
    <w:rsid w:val="00AD444C"/>
    <w:rsid w:val="00AD48D5"/>
    <w:rsid w:val="00AD5206"/>
    <w:rsid w:val="00AD6877"/>
    <w:rsid w:val="00AE120B"/>
    <w:rsid w:val="00AE361F"/>
    <w:rsid w:val="00AE4904"/>
    <w:rsid w:val="00AE4B28"/>
    <w:rsid w:val="00AE6243"/>
    <w:rsid w:val="00AE7B47"/>
    <w:rsid w:val="00AF2A53"/>
    <w:rsid w:val="00AF2E0F"/>
    <w:rsid w:val="00AF3080"/>
    <w:rsid w:val="00AF5764"/>
    <w:rsid w:val="00AF5FDF"/>
    <w:rsid w:val="00AF6B14"/>
    <w:rsid w:val="00AF76A9"/>
    <w:rsid w:val="00AF7AB4"/>
    <w:rsid w:val="00AF7AC6"/>
    <w:rsid w:val="00AF7B9D"/>
    <w:rsid w:val="00B00720"/>
    <w:rsid w:val="00B015AB"/>
    <w:rsid w:val="00B01C32"/>
    <w:rsid w:val="00B01E3A"/>
    <w:rsid w:val="00B01E53"/>
    <w:rsid w:val="00B021DE"/>
    <w:rsid w:val="00B024E8"/>
    <w:rsid w:val="00B0266A"/>
    <w:rsid w:val="00B04082"/>
    <w:rsid w:val="00B05598"/>
    <w:rsid w:val="00B05881"/>
    <w:rsid w:val="00B05F40"/>
    <w:rsid w:val="00B062DF"/>
    <w:rsid w:val="00B068DC"/>
    <w:rsid w:val="00B12B4B"/>
    <w:rsid w:val="00B13076"/>
    <w:rsid w:val="00B132E2"/>
    <w:rsid w:val="00B13514"/>
    <w:rsid w:val="00B13D74"/>
    <w:rsid w:val="00B14855"/>
    <w:rsid w:val="00B1529B"/>
    <w:rsid w:val="00B20443"/>
    <w:rsid w:val="00B20F97"/>
    <w:rsid w:val="00B22D6D"/>
    <w:rsid w:val="00B22DA0"/>
    <w:rsid w:val="00B249F5"/>
    <w:rsid w:val="00B25643"/>
    <w:rsid w:val="00B264EC"/>
    <w:rsid w:val="00B33607"/>
    <w:rsid w:val="00B343B1"/>
    <w:rsid w:val="00B36785"/>
    <w:rsid w:val="00B42361"/>
    <w:rsid w:val="00B435B3"/>
    <w:rsid w:val="00B4377E"/>
    <w:rsid w:val="00B44E50"/>
    <w:rsid w:val="00B45E48"/>
    <w:rsid w:val="00B4604B"/>
    <w:rsid w:val="00B46280"/>
    <w:rsid w:val="00B46C33"/>
    <w:rsid w:val="00B51182"/>
    <w:rsid w:val="00B513F4"/>
    <w:rsid w:val="00B51C0D"/>
    <w:rsid w:val="00B5218E"/>
    <w:rsid w:val="00B52208"/>
    <w:rsid w:val="00B52247"/>
    <w:rsid w:val="00B52EAE"/>
    <w:rsid w:val="00B5454A"/>
    <w:rsid w:val="00B5699A"/>
    <w:rsid w:val="00B6020C"/>
    <w:rsid w:val="00B6023B"/>
    <w:rsid w:val="00B6176D"/>
    <w:rsid w:val="00B61F57"/>
    <w:rsid w:val="00B6206B"/>
    <w:rsid w:val="00B6321B"/>
    <w:rsid w:val="00B64FC1"/>
    <w:rsid w:val="00B65109"/>
    <w:rsid w:val="00B65593"/>
    <w:rsid w:val="00B66775"/>
    <w:rsid w:val="00B71D6A"/>
    <w:rsid w:val="00B71F68"/>
    <w:rsid w:val="00B72155"/>
    <w:rsid w:val="00B7242F"/>
    <w:rsid w:val="00B72A93"/>
    <w:rsid w:val="00B73693"/>
    <w:rsid w:val="00B745A3"/>
    <w:rsid w:val="00B7554A"/>
    <w:rsid w:val="00B767BF"/>
    <w:rsid w:val="00B76D14"/>
    <w:rsid w:val="00B778CB"/>
    <w:rsid w:val="00B77AD9"/>
    <w:rsid w:val="00B808AB"/>
    <w:rsid w:val="00B80A47"/>
    <w:rsid w:val="00B814C4"/>
    <w:rsid w:val="00B84431"/>
    <w:rsid w:val="00B8525A"/>
    <w:rsid w:val="00B85C64"/>
    <w:rsid w:val="00B85FA8"/>
    <w:rsid w:val="00B861D8"/>
    <w:rsid w:val="00B869CC"/>
    <w:rsid w:val="00B913D2"/>
    <w:rsid w:val="00B9220D"/>
    <w:rsid w:val="00B93633"/>
    <w:rsid w:val="00B95329"/>
    <w:rsid w:val="00B95330"/>
    <w:rsid w:val="00B9608C"/>
    <w:rsid w:val="00B97607"/>
    <w:rsid w:val="00B97D10"/>
    <w:rsid w:val="00BA1191"/>
    <w:rsid w:val="00BA1F3B"/>
    <w:rsid w:val="00BA20C1"/>
    <w:rsid w:val="00BA2EF0"/>
    <w:rsid w:val="00BA5450"/>
    <w:rsid w:val="00BA57E3"/>
    <w:rsid w:val="00BA588B"/>
    <w:rsid w:val="00BA6188"/>
    <w:rsid w:val="00BA75F2"/>
    <w:rsid w:val="00BA794B"/>
    <w:rsid w:val="00BB0694"/>
    <w:rsid w:val="00BB18ED"/>
    <w:rsid w:val="00BB353D"/>
    <w:rsid w:val="00BB41E4"/>
    <w:rsid w:val="00BB44FC"/>
    <w:rsid w:val="00BB47C2"/>
    <w:rsid w:val="00BB6B30"/>
    <w:rsid w:val="00BB6EE7"/>
    <w:rsid w:val="00BB75AC"/>
    <w:rsid w:val="00BB7D59"/>
    <w:rsid w:val="00BB7F34"/>
    <w:rsid w:val="00BC0228"/>
    <w:rsid w:val="00BC07B7"/>
    <w:rsid w:val="00BC0CFE"/>
    <w:rsid w:val="00BC1C41"/>
    <w:rsid w:val="00BC20E4"/>
    <w:rsid w:val="00BC215B"/>
    <w:rsid w:val="00BC229B"/>
    <w:rsid w:val="00BC2423"/>
    <w:rsid w:val="00BC2ED1"/>
    <w:rsid w:val="00BC3673"/>
    <w:rsid w:val="00BC394C"/>
    <w:rsid w:val="00BC4200"/>
    <w:rsid w:val="00BC433F"/>
    <w:rsid w:val="00BC5B57"/>
    <w:rsid w:val="00BC5D23"/>
    <w:rsid w:val="00BC6287"/>
    <w:rsid w:val="00BD17F8"/>
    <w:rsid w:val="00BD250B"/>
    <w:rsid w:val="00BD275A"/>
    <w:rsid w:val="00BD27BC"/>
    <w:rsid w:val="00BD4342"/>
    <w:rsid w:val="00BD5A6C"/>
    <w:rsid w:val="00BD6CAD"/>
    <w:rsid w:val="00BD7A3B"/>
    <w:rsid w:val="00BD7BAD"/>
    <w:rsid w:val="00BE2A1A"/>
    <w:rsid w:val="00BE39B8"/>
    <w:rsid w:val="00BE4CC9"/>
    <w:rsid w:val="00BE544D"/>
    <w:rsid w:val="00BE5F35"/>
    <w:rsid w:val="00BF07DB"/>
    <w:rsid w:val="00BF0B82"/>
    <w:rsid w:val="00BF1894"/>
    <w:rsid w:val="00BF4222"/>
    <w:rsid w:val="00BF431F"/>
    <w:rsid w:val="00BF4B87"/>
    <w:rsid w:val="00BF76F8"/>
    <w:rsid w:val="00C02CC1"/>
    <w:rsid w:val="00C03ECC"/>
    <w:rsid w:val="00C0433F"/>
    <w:rsid w:val="00C05073"/>
    <w:rsid w:val="00C068C2"/>
    <w:rsid w:val="00C069D5"/>
    <w:rsid w:val="00C06B48"/>
    <w:rsid w:val="00C112A2"/>
    <w:rsid w:val="00C13544"/>
    <w:rsid w:val="00C1409C"/>
    <w:rsid w:val="00C14E5E"/>
    <w:rsid w:val="00C15ABB"/>
    <w:rsid w:val="00C20ADD"/>
    <w:rsid w:val="00C22536"/>
    <w:rsid w:val="00C2262B"/>
    <w:rsid w:val="00C23841"/>
    <w:rsid w:val="00C23D48"/>
    <w:rsid w:val="00C253DA"/>
    <w:rsid w:val="00C26804"/>
    <w:rsid w:val="00C26885"/>
    <w:rsid w:val="00C27E6F"/>
    <w:rsid w:val="00C30CF3"/>
    <w:rsid w:val="00C33120"/>
    <w:rsid w:val="00C332B4"/>
    <w:rsid w:val="00C3415D"/>
    <w:rsid w:val="00C35043"/>
    <w:rsid w:val="00C35837"/>
    <w:rsid w:val="00C359D8"/>
    <w:rsid w:val="00C35F66"/>
    <w:rsid w:val="00C363AC"/>
    <w:rsid w:val="00C41D95"/>
    <w:rsid w:val="00C42776"/>
    <w:rsid w:val="00C427B6"/>
    <w:rsid w:val="00C42D34"/>
    <w:rsid w:val="00C42EE9"/>
    <w:rsid w:val="00C435BF"/>
    <w:rsid w:val="00C44179"/>
    <w:rsid w:val="00C44DDA"/>
    <w:rsid w:val="00C44E10"/>
    <w:rsid w:val="00C45755"/>
    <w:rsid w:val="00C4743C"/>
    <w:rsid w:val="00C51712"/>
    <w:rsid w:val="00C52A4D"/>
    <w:rsid w:val="00C537F9"/>
    <w:rsid w:val="00C540ED"/>
    <w:rsid w:val="00C54D04"/>
    <w:rsid w:val="00C55258"/>
    <w:rsid w:val="00C559FC"/>
    <w:rsid w:val="00C6102D"/>
    <w:rsid w:val="00C61A24"/>
    <w:rsid w:val="00C61FE8"/>
    <w:rsid w:val="00C62A1B"/>
    <w:rsid w:val="00C62BFE"/>
    <w:rsid w:val="00C62E28"/>
    <w:rsid w:val="00C62FFA"/>
    <w:rsid w:val="00C6304B"/>
    <w:rsid w:val="00C63D47"/>
    <w:rsid w:val="00C6403D"/>
    <w:rsid w:val="00C6431B"/>
    <w:rsid w:val="00C64FD2"/>
    <w:rsid w:val="00C654E0"/>
    <w:rsid w:val="00C65B16"/>
    <w:rsid w:val="00C65BF7"/>
    <w:rsid w:val="00C66C11"/>
    <w:rsid w:val="00C6702B"/>
    <w:rsid w:val="00C67569"/>
    <w:rsid w:val="00C72412"/>
    <w:rsid w:val="00C72458"/>
    <w:rsid w:val="00C72477"/>
    <w:rsid w:val="00C73E8C"/>
    <w:rsid w:val="00C74CC0"/>
    <w:rsid w:val="00C75E59"/>
    <w:rsid w:val="00C767D9"/>
    <w:rsid w:val="00C768FB"/>
    <w:rsid w:val="00C77689"/>
    <w:rsid w:val="00C779B9"/>
    <w:rsid w:val="00C80521"/>
    <w:rsid w:val="00C812CD"/>
    <w:rsid w:val="00C812FB"/>
    <w:rsid w:val="00C81482"/>
    <w:rsid w:val="00C816DE"/>
    <w:rsid w:val="00C828E1"/>
    <w:rsid w:val="00C84FB1"/>
    <w:rsid w:val="00C8590D"/>
    <w:rsid w:val="00C87084"/>
    <w:rsid w:val="00C92E2D"/>
    <w:rsid w:val="00C9403C"/>
    <w:rsid w:val="00C9592F"/>
    <w:rsid w:val="00C96A70"/>
    <w:rsid w:val="00C96F22"/>
    <w:rsid w:val="00C9728F"/>
    <w:rsid w:val="00C974EC"/>
    <w:rsid w:val="00CA013D"/>
    <w:rsid w:val="00CA07CB"/>
    <w:rsid w:val="00CA082C"/>
    <w:rsid w:val="00CA1B7F"/>
    <w:rsid w:val="00CA36C5"/>
    <w:rsid w:val="00CA42CF"/>
    <w:rsid w:val="00CA4585"/>
    <w:rsid w:val="00CA48E5"/>
    <w:rsid w:val="00CA4E0C"/>
    <w:rsid w:val="00CA5B31"/>
    <w:rsid w:val="00CA5DE2"/>
    <w:rsid w:val="00CA6327"/>
    <w:rsid w:val="00CA65EC"/>
    <w:rsid w:val="00CA699A"/>
    <w:rsid w:val="00CA6FBD"/>
    <w:rsid w:val="00CA7321"/>
    <w:rsid w:val="00CA7B27"/>
    <w:rsid w:val="00CB0CBE"/>
    <w:rsid w:val="00CB1401"/>
    <w:rsid w:val="00CB19BF"/>
    <w:rsid w:val="00CB1D2F"/>
    <w:rsid w:val="00CB3A29"/>
    <w:rsid w:val="00CB71B8"/>
    <w:rsid w:val="00CB73A0"/>
    <w:rsid w:val="00CB776D"/>
    <w:rsid w:val="00CC0DFA"/>
    <w:rsid w:val="00CC1055"/>
    <w:rsid w:val="00CC2362"/>
    <w:rsid w:val="00CC6AA9"/>
    <w:rsid w:val="00CD0472"/>
    <w:rsid w:val="00CD058A"/>
    <w:rsid w:val="00CD30EF"/>
    <w:rsid w:val="00CD3595"/>
    <w:rsid w:val="00CD42A8"/>
    <w:rsid w:val="00CD45DE"/>
    <w:rsid w:val="00CD5381"/>
    <w:rsid w:val="00CD7F03"/>
    <w:rsid w:val="00CE13A9"/>
    <w:rsid w:val="00CE1DCB"/>
    <w:rsid w:val="00CE4312"/>
    <w:rsid w:val="00CE50D0"/>
    <w:rsid w:val="00CE53AE"/>
    <w:rsid w:val="00CE6631"/>
    <w:rsid w:val="00CE68C1"/>
    <w:rsid w:val="00CE6A02"/>
    <w:rsid w:val="00CE77BA"/>
    <w:rsid w:val="00CF0E7E"/>
    <w:rsid w:val="00CF396E"/>
    <w:rsid w:val="00CF4861"/>
    <w:rsid w:val="00CF57AB"/>
    <w:rsid w:val="00CF5D5F"/>
    <w:rsid w:val="00CF7357"/>
    <w:rsid w:val="00CF74F6"/>
    <w:rsid w:val="00CF7C7B"/>
    <w:rsid w:val="00CF7E25"/>
    <w:rsid w:val="00D00B91"/>
    <w:rsid w:val="00D02759"/>
    <w:rsid w:val="00D03049"/>
    <w:rsid w:val="00D03B5D"/>
    <w:rsid w:val="00D047FD"/>
    <w:rsid w:val="00D04E36"/>
    <w:rsid w:val="00D052FB"/>
    <w:rsid w:val="00D0681E"/>
    <w:rsid w:val="00D07487"/>
    <w:rsid w:val="00D11156"/>
    <w:rsid w:val="00D14D99"/>
    <w:rsid w:val="00D15116"/>
    <w:rsid w:val="00D15AC5"/>
    <w:rsid w:val="00D16EE8"/>
    <w:rsid w:val="00D1778E"/>
    <w:rsid w:val="00D215F1"/>
    <w:rsid w:val="00D21EC4"/>
    <w:rsid w:val="00D222FE"/>
    <w:rsid w:val="00D225A1"/>
    <w:rsid w:val="00D22FD5"/>
    <w:rsid w:val="00D23038"/>
    <w:rsid w:val="00D2438D"/>
    <w:rsid w:val="00D2487D"/>
    <w:rsid w:val="00D24DFC"/>
    <w:rsid w:val="00D2540C"/>
    <w:rsid w:val="00D26245"/>
    <w:rsid w:val="00D3042C"/>
    <w:rsid w:val="00D30CCA"/>
    <w:rsid w:val="00D323D1"/>
    <w:rsid w:val="00D32C4D"/>
    <w:rsid w:val="00D32D57"/>
    <w:rsid w:val="00D340F7"/>
    <w:rsid w:val="00D3542A"/>
    <w:rsid w:val="00D35C63"/>
    <w:rsid w:val="00D3648F"/>
    <w:rsid w:val="00D377C5"/>
    <w:rsid w:val="00D40D0D"/>
    <w:rsid w:val="00D418B2"/>
    <w:rsid w:val="00D42274"/>
    <w:rsid w:val="00D42383"/>
    <w:rsid w:val="00D44E79"/>
    <w:rsid w:val="00D44F22"/>
    <w:rsid w:val="00D462A5"/>
    <w:rsid w:val="00D50039"/>
    <w:rsid w:val="00D50092"/>
    <w:rsid w:val="00D50B4F"/>
    <w:rsid w:val="00D50ECC"/>
    <w:rsid w:val="00D5276F"/>
    <w:rsid w:val="00D5540A"/>
    <w:rsid w:val="00D573D3"/>
    <w:rsid w:val="00D57787"/>
    <w:rsid w:val="00D60626"/>
    <w:rsid w:val="00D606E7"/>
    <w:rsid w:val="00D61148"/>
    <w:rsid w:val="00D62112"/>
    <w:rsid w:val="00D622D8"/>
    <w:rsid w:val="00D629C7"/>
    <w:rsid w:val="00D62DA4"/>
    <w:rsid w:val="00D648F8"/>
    <w:rsid w:val="00D65472"/>
    <w:rsid w:val="00D66162"/>
    <w:rsid w:val="00D70319"/>
    <w:rsid w:val="00D718E5"/>
    <w:rsid w:val="00D71CE9"/>
    <w:rsid w:val="00D73B59"/>
    <w:rsid w:val="00D73E8D"/>
    <w:rsid w:val="00D74028"/>
    <w:rsid w:val="00D741F0"/>
    <w:rsid w:val="00D76007"/>
    <w:rsid w:val="00D76B23"/>
    <w:rsid w:val="00D776B1"/>
    <w:rsid w:val="00D778B6"/>
    <w:rsid w:val="00D802D1"/>
    <w:rsid w:val="00D80B29"/>
    <w:rsid w:val="00D85F09"/>
    <w:rsid w:val="00D85F65"/>
    <w:rsid w:val="00D86481"/>
    <w:rsid w:val="00D86879"/>
    <w:rsid w:val="00D86C29"/>
    <w:rsid w:val="00D8764E"/>
    <w:rsid w:val="00D87E33"/>
    <w:rsid w:val="00D9013E"/>
    <w:rsid w:val="00D917D4"/>
    <w:rsid w:val="00D920BA"/>
    <w:rsid w:val="00D93305"/>
    <w:rsid w:val="00D94A84"/>
    <w:rsid w:val="00D95115"/>
    <w:rsid w:val="00D954B1"/>
    <w:rsid w:val="00D969E4"/>
    <w:rsid w:val="00D97818"/>
    <w:rsid w:val="00DA1BFB"/>
    <w:rsid w:val="00DA2912"/>
    <w:rsid w:val="00DA4E68"/>
    <w:rsid w:val="00DA5C45"/>
    <w:rsid w:val="00DA5F98"/>
    <w:rsid w:val="00DA6F68"/>
    <w:rsid w:val="00DA71CA"/>
    <w:rsid w:val="00DA75F2"/>
    <w:rsid w:val="00DB0D2E"/>
    <w:rsid w:val="00DB1FA5"/>
    <w:rsid w:val="00DB264E"/>
    <w:rsid w:val="00DB3BC0"/>
    <w:rsid w:val="00DB4859"/>
    <w:rsid w:val="00DB4ADE"/>
    <w:rsid w:val="00DB5523"/>
    <w:rsid w:val="00DB710B"/>
    <w:rsid w:val="00DB75FA"/>
    <w:rsid w:val="00DB7E07"/>
    <w:rsid w:val="00DC00FD"/>
    <w:rsid w:val="00DC10CA"/>
    <w:rsid w:val="00DC148C"/>
    <w:rsid w:val="00DC1BE4"/>
    <w:rsid w:val="00DC2E1F"/>
    <w:rsid w:val="00DC311D"/>
    <w:rsid w:val="00DC4472"/>
    <w:rsid w:val="00DC5D73"/>
    <w:rsid w:val="00DC6FB8"/>
    <w:rsid w:val="00DC7BC6"/>
    <w:rsid w:val="00DD00CC"/>
    <w:rsid w:val="00DD03E3"/>
    <w:rsid w:val="00DD2498"/>
    <w:rsid w:val="00DD4438"/>
    <w:rsid w:val="00DD7410"/>
    <w:rsid w:val="00DE0167"/>
    <w:rsid w:val="00DE0FC4"/>
    <w:rsid w:val="00DE276A"/>
    <w:rsid w:val="00DE437B"/>
    <w:rsid w:val="00DE48AD"/>
    <w:rsid w:val="00DE4E9B"/>
    <w:rsid w:val="00DE73E3"/>
    <w:rsid w:val="00DE7E77"/>
    <w:rsid w:val="00DF042A"/>
    <w:rsid w:val="00DF0BBF"/>
    <w:rsid w:val="00DF1133"/>
    <w:rsid w:val="00DF1ADA"/>
    <w:rsid w:val="00DF2443"/>
    <w:rsid w:val="00DF269C"/>
    <w:rsid w:val="00DF298A"/>
    <w:rsid w:val="00DF465C"/>
    <w:rsid w:val="00DF48F7"/>
    <w:rsid w:val="00DF6125"/>
    <w:rsid w:val="00DF667C"/>
    <w:rsid w:val="00DF6E6A"/>
    <w:rsid w:val="00E004D6"/>
    <w:rsid w:val="00E0063D"/>
    <w:rsid w:val="00E0094D"/>
    <w:rsid w:val="00E01402"/>
    <w:rsid w:val="00E0185A"/>
    <w:rsid w:val="00E028A8"/>
    <w:rsid w:val="00E033A2"/>
    <w:rsid w:val="00E035CC"/>
    <w:rsid w:val="00E04872"/>
    <w:rsid w:val="00E04979"/>
    <w:rsid w:val="00E07262"/>
    <w:rsid w:val="00E13466"/>
    <w:rsid w:val="00E15987"/>
    <w:rsid w:val="00E160DC"/>
    <w:rsid w:val="00E161C8"/>
    <w:rsid w:val="00E17772"/>
    <w:rsid w:val="00E21024"/>
    <w:rsid w:val="00E226BF"/>
    <w:rsid w:val="00E23BAC"/>
    <w:rsid w:val="00E25ACC"/>
    <w:rsid w:val="00E32518"/>
    <w:rsid w:val="00E32BA9"/>
    <w:rsid w:val="00E333AA"/>
    <w:rsid w:val="00E33B5C"/>
    <w:rsid w:val="00E37DF3"/>
    <w:rsid w:val="00E40580"/>
    <w:rsid w:val="00E41211"/>
    <w:rsid w:val="00E41368"/>
    <w:rsid w:val="00E413D4"/>
    <w:rsid w:val="00E41A3A"/>
    <w:rsid w:val="00E44113"/>
    <w:rsid w:val="00E44C19"/>
    <w:rsid w:val="00E462B0"/>
    <w:rsid w:val="00E46572"/>
    <w:rsid w:val="00E50DB4"/>
    <w:rsid w:val="00E51235"/>
    <w:rsid w:val="00E51D61"/>
    <w:rsid w:val="00E52D5C"/>
    <w:rsid w:val="00E53E18"/>
    <w:rsid w:val="00E5490C"/>
    <w:rsid w:val="00E54F6A"/>
    <w:rsid w:val="00E5516E"/>
    <w:rsid w:val="00E553E0"/>
    <w:rsid w:val="00E56F2F"/>
    <w:rsid w:val="00E57614"/>
    <w:rsid w:val="00E576CD"/>
    <w:rsid w:val="00E62C1E"/>
    <w:rsid w:val="00E640B2"/>
    <w:rsid w:val="00E662FB"/>
    <w:rsid w:val="00E6683E"/>
    <w:rsid w:val="00E66C3D"/>
    <w:rsid w:val="00E66EBD"/>
    <w:rsid w:val="00E70F16"/>
    <w:rsid w:val="00E71033"/>
    <w:rsid w:val="00E71212"/>
    <w:rsid w:val="00E72E30"/>
    <w:rsid w:val="00E731FF"/>
    <w:rsid w:val="00E73B41"/>
    <w:rsid w:val="00E746C2"/>
    <w:rsid w:val="00E75511"/>
    <w:rsid w:val="00E75924"/>
    <w:rsid w:val="00E76B96"/>
    <w:rsid w:val="00E76E9A"/>
    <w:rsid w:val="00E77185"/>
    <w:rsid w:val="00E81053"/>
    <w:rsid w:val="00E824F3"/>
    <w:rsid w:val="00E82737"/>
    <w:rsid w:val="00E83018"/>
    <w:rsid w:val="00E83308"/>
    <w:rsid w:val="00E8378C"/>
    <w:rsid w:val="00E8667C"/>
    <w:rsid w:val="00E86711"/>
    <w:rsid w:val="00E871A8"/>
    <w:rsid w:val="00E87620"/>
    <w:rsid w:val="00E877DA"/>
    <w:rsid w:val="00E90D55"/>
    <w:rsid w:val="00E92813"/>
    <w:rsid w:val="00E933D3"/>
    <w:rsid w:val="00E9399C"/>
    <w:rsid w:val="00E965CC"/>
    <w:rsid w:val="00E97202"/>
    <w:rsid w:val="00EA013E"/>
    <w:rsid w:val="00EA0161"/>
    <w:rsid w:val="00EA260F"/>
    <w:rsid w:val="00EA38D1"/>
    <w:rsid w:val="00EA3CE9"/>
    <w:rsid w:val="00EA49CB"/>
    <w:rsid w:val="00EA4DDE"/>
    <w:rsid w:val="00EA4EF0"/>
    <w:rsid w:val="00EA52B8"/>
    <w:rsid w:val="00EA66CD"/>
    <w:rsid w:val="00EB26FD"/>
    <w:rsid w:val="00EB3ADA"/>
    <w:rsid w:val="00EB5CFA"/>
    <w:rsid w:val="00EB687D"/>
    <w:rsid w:val="00EB68E6"/>
    <w:rsid w:val="00EB6A66"/>
    <w:rsid w:val="00EB72AE"/>
    <w:rsid w:val="00EC04FB"/>
    <w:rsid w:val="00EC1749"/>
    <w:rsid w:val="00EC2EC3"/>
    <w:rsid w:val="00EC4B67"/>
    <w:rsid w:val="00EC7AA2"/>
    <w:rsid w:val="00ED2161"/>
    <w:rsid w:val="00ED2D56"/>
    <w:rsid w:val="00ED3EFD"/>
    <w:rsid w:val="00ED4BC8"/>
    <w:rsid w:val="00ED5FA9"/>
    <w:rsid w:val="00ED68D0"/>
    <w:rsid w:val="00EE14C2"/>
    <w:rsid w:val="00EE1681"/>
    <w:rsid w:val="00EE321B"/>
    <w:rsid w:val="00EE41AF"/>
    <w:rsid w:val="00EE422D"/>
    <w:rsid w:val="00EE55DD"/>
    <w:rsid w:val="00EE775E"/>
    <w:rsid w:val="00EE77F1"/>
    <w:rsid w:val="00EE7A0D"/>
    <w:rsid w:val="00EE7BAB"/>
    <w:rsid w:val="00EE7BBD"/>
    <w:rsid w:val="00EF090E"/>
    <w:rsid w:val="00EF1BCC"/>
    <w:rsid w:val="00EF25CB"/>
    <w:rsid w:val="00EF26A9"/>
    <w:rsid w:val="00EF34BE"/>
    <w:rsid w:val="00EF444D"/>
    <w:rsid w:val="00EF44FE"/>
    <w:rsid w:val="00EF5F04"/>
    <w:rsid w:val="00EF6695"/>
    <w:rsid w:val="00EF6B5A"/>
    <w:rsid w:val="00EF6C6C"/>
    <w:rsid w:val="00EF780B"/>
    <w:rsid w:val="00EF7ABB"/>
    <w:rsid w:val="00F00DFF"/>
    <w:rsid w:val="00F02180"/>
    <w:rsid w:val="00F021E4"/>
    <w:rsid w:val="00F02B29"/>
    <w:rsid w:val="00F02E57"/>
    <w:rsid w:val="00F0380F"/>
    <w:rsid w:val="00F047B2"/>
    <w:rsid w:val="00F04BAC"/>
    <w:rsid w:val="00F054C9"/>
    <w:rsid w:val="00F0657D"/>
    <w:rsid w:val="00F07F54"/>
    <w:rsid w:val="00F112D9"/>
    <w:rsid w:val="00F121C1"/>
    <w:rsid w:val="00F12B32"/>
    <w:rsid w:val="00F13254"/>
    <w:rsid w:val="00F13BFF"/>
    <w:rsid w:val="00F15902"/>
    <w:rsid w:val="00F20556"/>
    <w:rsid w:val="00F20646"/>
    <w:rsid w:val="00F20A31"/>
    <w:rsid w:val="00F22B97"/>
    <w:rsid w:val="00F2427E"/>
    <w:rsid w:val="00F249C4"/>
    <w:rsid w:val="00F24A40"/>
    <w:rsid w:val="00F25B55"/>
    <w:rsid w:val="00F265BC"/>
    <w:rsid w:val="00F27BF5"/>
    <w:rsid w:val="00F311CB"/>
    <w:rsid w:val="00F31BD9"/>
    <w:rsid w:val="00F32350"/>
    <w:rsid w:val="00F32A8E"/>
    <w:rsid w:val="00F350A3"/>
    <w:rsid w:val="00F3693D"/>
    <w:rsid w:val="00F36A60"/>
    <w:rsid w:val="00F375DA"/>
    <w:rsid w:val="00F3767E"/>
    <w:rsid w:val="00F37ADF"/>
    <w:rsid w:val="00F40BA3"/>
    <w:rsid w:val="00F41E09"/>
    <w:rsid w:val="00F428F4"/>
    <w:rsid w:val="00F436D4"/>
    <w:rsid w:val="00F456AB"/>
    <w:rsid w:val="00F45E63"/>
    <w:rsid w:val="00F46F96"/>
    <w:rsid w:val="00F4763A"/>
    <w:rsid w:val="00F50019"/>
    <w:rsid w:val="00F516B1"/>
    <w:rsid w:val="00F51A09"/>
    <w:rsid w:val="00F54216"/>
    <w:rsid w:val="00F5532E"/>
    <w:rsid w:val="00F56AFB"/>
    <w:rsid w:val="00F571CB"/>
    <w:rsid w:val="00F57622"/>
    <w:rsid w:val="00F57C10"/>
    <w:rsid w:val="00F57FB0"/>
    <w:rsid w:val="00F60F9C"/>
    <w:rsid w:val="00F612C4"/>
    <w:rsid w:val="00F61DA2"/>
    <w:rsid w:val="00F661EB"/>
    <w:rsid w:val="00F67AE1"/>
    <w:rsid w:val="00F7062B"/>
    <w:rsid w:val="00F70BA4"/>
    <w:rsid w:val="00F719D7"/>
    <w:rsid w:val="00F73F17"/>
    <w:rsid w:val="00F75A15"/>
    <w:rsid w:val="00F75D58"/>
    <w:rsid w:val="00F75E39"/>
    <w:rsid w:val="00F7632A"/>
    <w:rsid w:val="00F765EE"/>
    <w:rsid w:val="00F777BD"/>
    <w:rsid w:val="00F7788A"/>
    <w:rsid w:val="00F801C5"/>
    <w:rsid w:val="00F802C0"/>
    <w:rsid w:val="00F8065A"/>
    <w:rsid w:val="00F8115E"/>
    <w:rsid w:val="00F86293"/>
    <w:rsid w:val="00F86558"/>
    <w:rsid w:val="00F86AEA"/>
    <w:rsid w:val="00F86F32"/>
    <w:rsid w:val="00F929AF"/>
    <w:rsid w:val="00F930E0"/>
    <w:rsid w:val="00F93104"/>
    <w:rsid w:val="00F93766"/>
    <w:rsid w:val="00F93FB0"/>
    <w:rsid w:val="00F967AB"/>
    <w:rsid w:val="00F97762"/>
    <w:rsid w:val="00F979F0"/>
    <w:rsid w:val="00FA067F"/>
    <w:rsid w:val="00FA0B6E"/>
    <w:rsid w:val="00FA237A"/>
    <w:rsid w:val="00FA27AD"/>
    <w:rsid w:val="00FA55A3"/>
    <w:rsid w:val="00FA666C"/>
    <w:rsid w:val="00FB0B5E"/>
    <w:rsid w:val="00FB1115"/>
    <w:rsid w:val="00FB2E87"/>
    <w:rsid w:val="00FB3D19"/>
    <w:rsid w:val="00FB4C1C"/>
    <w:rsid w:val="00FB4F16"/>
    <w:rsid w:val="00FB52BC"/>
    <w:rsid w:val="00FB5DD5"/>
    <w:rsid w:val="00FB7938"/>
    <w:rsid w:val="00FC3C00"/>
    <w:rsid w:val="00FC3C05"/>
    <w:rsid w:val="00FC45BB"/>
    <w:rsid w:val="00FC489D"/>
    <w:rsid w:val="00FC5941"/>
    <w:rsid w:val="00FC60D9"/>
    <w:rsid w:val="00FC7805"/>
    <w:rsid w:val="00FC7E95"/>
    <w:rsid w:val="00FD0046"/>
    <w:rsid w:val="00FD2A56"/>
    <w:rsid w:val="00FD476A"/>
    <w:rsid w:val="00FD4C2E"/>
    <w:rsid w:val="00FD4F51"/>
    <w:rsid w:val="00FD52A6"/>
    <w:rsid w:val="00FD5909"/>
    <w:rsid w:val="00FD5984"/>
    <w:rsid w:val="00FD62B8"/>
    <w:rsid w:val="00FD6AD1"/>
    <w:rsid w:val="00FD7FB4"/>
    <w:rsid w:val="00FE057F"/>
    <w:rsid w:val="00FE319F"/>
    <w:rsid w:val="00FE3DE0"/>
    <w:rsid w:val="00FE4668"/>
    <w:rsid w:val="00FE4C78"/>
    <w:rsid w:val="00FE586C"/>
    <w:rsid w:val="00FE5D02"/>
    <w:rsid w:val="00FE6755"/>
    <w:rsid w:val="00FE77C1"/>
    <w:rsid w:val="00FE7C9E"/>
    <w:rsid w:val="00FF02E9"/>
    <w:rsid w:val="00FF110D"/>
    <w:rsid w:val="00FF14CB"/>
    <w:rsid w:val="00FF17C8"/>
    <w:rsid w:val="00FF4FD7"/>
    <w:rsid w:val="00FF5CF5"/>
    <w:rsid w:val="00FF604C"/>
    <w:rsid w:val="00FF7069"/>
    <w:rsid w:val="00FF7791"/>
    <w:rsid w:val="00FF779E"/>
    <w:rsid w:val="01C559E2"/>
    <w:rsid w:val="01DD671B"/>
    <w:rsid w:val="039CC78F"/>
    <w:rsid w:val="05000ADF"/>
    <w:rsid w:val="064AD73E"/>
    <w:rsid w:val="08B48F2E"/>
    <w:rsid w:val="0A59EAC2"/>
    <w:rsid w:val="0AE00DF1"/>
    <w:rsid w:val="0C4AC4FC"/>
    <w:rsid w:val="0CD93CAC"/>
    <w:rsid w:val="0D2A2F16"/>
    <w:rsid w:val="0FE822B0"/>
    <w:rsid w:val="11F3F7E9"/>
    <w:rsid w:val="145082BF"/>
    <w:rsid w:val="148FE8E7"/>
    <w:rsid w:val="16BE18B9"/>
    <w:rsid w:val="16ECCEAD"/>
    <w:rsid w:val="1A6354F7"/>
    <w:rsid w:val="1EA2FC34"/>
    <w:rsid w:val="1F6DAD88"/>
    <w:rsid w:val="20320C3C"/>
    <w:rsid w:val="20B9EAD2"/>
    <w:rsid w:val="22C4C860"/>
    <w:rsid w:val="22FC2390"/>
    <w:rsid w:val="27373A70"/>
    <w:rsid w:val="276573F2"/>
    <w:rsid w:val="277EE17A"/>
    <w:rsid w:val="28622819"/>
    <w:rsid w:val="286BD9BE"/>
    <w:rsid w:val="291AE00C"/>
    <w:rsid w:val="2AF0096D"/>
    <w:rsid w:val="2D7646C9"/>
    <w:rsid w:val="30A66990"/>
    <w:rsid w:val="31118C2B"/>
    <w:rsid w:val="312D2786"/>
    <w:rsid w:val="32AC99BD"/>
    <w:rsid w:val="33A90B30"/>
    <w:rsid w:val="344D2795"/>
    <w:rsid w:val="34AF4393"/>
    <w:rsid w:val="36851128"/>
    <w:rsid w:val="3D12318B"/>
    <w:rsid w:val="3D9D9E1F"/>
    <w:rsid w:val="3E771BA5"/>
    <w:rsid w:val="3FAAAE23"/>
    <w:rsid w:val="40E1CCC1"/>
    <w:rsid w:val="41B030A5"/>
    <w:rsid w:val="41EC0BB3"/>
    <w:rsid w:val="43F29D17"/>
    <w:rsid w:val="4422E499"/>
    <w:rsid w:val="461AB905"/>
    <w:rsid w:val="48E481BB"/>
    <w:rsid w:val="49297C8C"/>
    <w:rsid w:val="49633A4C"/>
    <w:rsid w:val="4A8F97CC"/>
    <w:rsid w:val="4CB3FD9E"/>
    <w:rsid w:val="4D433649"/>
    <w:rsid w:val="4DEE211F"/>
    <w:rsid w:val="50D8DEC4"/>
    <w:rsid w:val="51055238"/>
    <w:rsid w:val="51ABCCA3"/>
    <w:rsid w:val="51E01C17"/>
    <w:rsid w:val="528563D3"/>
    <w:rsid w:val="54312D77"/>
    <w:rsid w:val="54631CD2"/>
    <w:rsid w:val="5476F1C4"/>
    <w:rsid w:val="54D4B805"/>
    <w:rsid w:val="551A9A2A"/>
    <w:rsid w:val="56AD593B"/>
    <w:rsid w:val="56CD8191"/>
    <w:rsid w:val="571F39F4"/>
    <w:rsid w:val="59516C69"/>
    <w:rsid w:val="5F230E59"/>
    <w:rsid w:val="5FB086DD"/>
    <w:rsid w:val="603681B7"/>
    <w:rsid w:val="603C5FA6"/>
    <w:rsid w:val="605F8CCF"/>
    <w:rsid w:val="62CB0B1D"/>
    <w:rsid w:val="636322CE"/>
    <w:rsid w:val="6499DCF8"/>
    <w:rsid w:val="65021E4A"/>
    <w:rsid w:val="6758CE68"/>
    <w:rsid w:val="692DA815"/>
    <w:rsid w:val="6A8D3BBD"/>
    <w:rsid w:val="6ACF7C5B"/>
    <w:rsid w:val="6ECA35AA"/>
    <w:rsid w:val="71E59DCC"/>
    <w:rsid w:val="786C634A"/>
    <w:rsid w:val="78865238"/>
    <w:rsid w:val="78E5277A"/>
    <w:rsid w:val="7A11C0F7"/>
    <w:rsid w:val="7A8F2CA6"/>
    <w:rsid w:val="7B33D8EA"/>
    <w:rsid w:val="7D8072EF"/>
    <w:rsid w:val="7F1096A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5D7C27"/>
  <w15:chartTrackingRefBased/>
  <w15:docId w15:val="{E67AE5BB-4DB0-421C-9BA7-44205D320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22D6D"/>
    <w:pPr>
      <w:spacing w:after="0" w:line="240" w:lineRule="auto"/>
      <w:textAlignment w:val="baseline"/>
      <w:outlineLvl w:val="0"/>
    </w:pPr>
    <w:rPr>
      <w:rFonts w:ascii="Arial" w:eastAsia="Times New Roman" w:hAnsi="Arial" w:cs="Arial"/>
      <w:b/>
      <w:lang w:eastAsia="en-GB"/>
    </w:rPr>
  </w:style>
  <w:style w:type="paragraph" w:styleId="Heading2">
    <w:name w:val="heading 2"/>
    <w:basedOn w:val="Normal"/>
    <w:next w:val="Normal"/>
    <w:link w:val="Heading2Char"/>
    <w:uiPriority w:val="9"/>
    <w:semiHidden/>
    <w:unhideWhenUsed/>
    <w:qFormat/>
    <w:rsid w:val="00C552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5525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5525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5525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552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52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52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525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2D6D"/>
    <w:rPr>
      <w:rFonts w:ascii="Arial" w:eastAsia="Times New Roman" w:hAnsi="Arial" w:cs="Arial"/>
      <w:b/>
      <w:lang w:eastAsia="en-GB"/>
    </w:rPr>
  </w:style>
  <w:style w:type="character" w:customStyle="1" w:styleId="Heading2Char">
    <w:name w:val="Heading 2 Char"/>
    <w:basedOn w:val="DefaultParagraphFont"/>
    <w:link w:val="Heading2"/>
    <w:uiPriority w:val="9"/>
    <w:semiHidden/>
    <w:rsid w:val="00C5525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5525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5525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5525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552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52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52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5258"/>
    <w:rPr>
      <w:rFonts w:eastAsiaTheme="majorEastAsia" w:cstheme="majorBidi"/>
      <w:color w:val="272727" w:themeColor="text1" w:themeTint="D8"/>
    </w:rPr>
  </w:style>
  <w:style w:type="paragraph" w:styleId="Title">
    <w:name w:val="Title"/>
    <w:basedOn w:val="Normal"/>
    <w:next w:val="Normal"/>
    <w:link w:val="TitleChar"/>
    <w:uiPriority w:val="10"/>
    <w:qFormat/>
    <w:rsid w:val="00C552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52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525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52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5258"/>
    <w:pPr>
      <w:spacing w:before="160"/>
      <w:jc w:val="center"/>
    </w:pPr>
    <w:rPr>
      <w:i/>
      <w:iCs/>
      <w:color w:val="404040" w:themeColor="text1" w:themeTint="BF"/>
    </w:rPr>
  </w:style>
  <w:style w:type="character" w:customStyle="1" w:styleId="QuoteChar">
    <w:name w:val="Quote Char"/>
    <w:basedOn w:val="DefaultParagraphFont"/>
    <w:link w:val="Quote"/>
    <w:uiPriority w:val="29"/>
    <w:rsid w:val="00C55258"/>
    <w:rPr>
      <w:i/>
      <w:iCs/>
      <w:color w:val="404040" w:themeColor="text1" w:themeTint="BF"/>
    </w:rPr>
  </w:style>
  <w:style w:type="paragraph" w:styleId="ListParagraph">
    <w:name w:val="List Paragraph"/>
    <w:basedOn w:val="Normal"/>
    <w:uiPriority w:val="34"/>
    <w:qFormat/>
    <w:rsid w:val="00C55258"/>
    <w:pPr>
      <w:ind w:left="720"/>
      <w:contextualSpacing/>
    </w:pPr>
  </w:style>
  <w:style w:type="character" w:styleId="IntenseEmphasis">
    <w:name w:val="Intense Emphasis"/>
    <w:basedOn w:val="DefaultParagraphFont"/>
    <w:uiPriority w:val="21"/>
    <w:qFormat/>
    <w:rsid w:val="00C55258"/>
    <w:rPr>
      <w:i/>
      <w:iCs/>
      <w:color w:val="0F4761" w:themeColor="accent1" w:themeShade="BF"/>
    </w:rPr>
  </w:style>
  <w:style w:type="paragraph" w:styleId="IntenseQuote">
    <w:name w:val="Intense Quote"/>
    <w:basedOn w:val="Normal"/>
    <w:next w:val="Normal"/>
    <w:link w:val="IntenseQuoteChar"/>
    <w:uiPriority w:val="30"/>
    <w:qFormat/>
    <w:rsid w:val="00C552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55258"/>
    <w:rPr>
      <w:i/>
      <w:iCs/>
      <w:color w:val="0F4761" w:themeColor="accent1" w:themeShade="BF"/>
    </w:rPr>
  </w:style>
  <w:style w:type="character" w:styleId="IntenseReference">
    <w:name w:val="Intense Reference"/>
    <w:basedOn w:val="DefaultParagraphFont"/>
    <w:uiPriority w:val="32"/>
    <w:qFormat/>
    <w:rsid w:val="00C55258"/>
    <w:rPr>
      <w:b/>
      <w:bCs/>
      <w:smallCaps/>
      <w:color w:val="0F4761" w:themeColor="accent1" w:themeShade="BF"/>
      <w:spacing w:val="5"/>
    </w:rPr>
  </w:style>
  <w:style w:type="character" w:styleId="Hyperlink">
    <w:name w:val="Hyperlink"/>
    <w:basedOn w:val="DefaultParagraphFont"/>
    <w:uiPriority w:val="99"/>
    <w:unhideWhenUsed/>
    <w:rsid w:val="00C55258"/>
    <w:rPr>
      <w:color w:val="467886" w:themeColor="hyperlink"/>
      <w:u w:val="single"/>
    </w:rPr>
  </w:style>
  <w:style w:type="character" w:styleId="UnresolvedMention">
    <w:name w:val="Unresolved Mention"/>
    <w:basedOn w:val="DefaultParagraphFont"/>
    <w:uiPriority w:val="99"/>
    <w:semiHidden/>
    <w:unhideWhenUsed/>
    <w:rsid w:val="00C55258"/>
    <w:rPr>
      <w:color w:val="605E5C"/>
      <w:shd w:val="clear" w:color="auto" w:fill="E1DFDD"/>
    </w:rPr>
  </w:style>
  <w:style w:type="paragraph" w:styleId="Revision">
    <w:name w:val="Revision"/>
    <w:hidden/>
    <w:uiPriority w:val="99"/>
    <w:semiHidden/>
    <w:rsid w:val="00F571CB"/>
    <w:pPr>
      <w:spacing w:after="0" w:line="240" w:lineRule="auto"/>
    </w:pPr>
  </w:style>
  <w:style w:type="character" w:styleId="CommentReference">
    <w:name w:val="annotation reference"/>
    <w:basedOn w:val="DefaultParagraphFont"/>
    <w:uiPriority w:val="99"/>
    <w:semiHidden/>
    <w:unhideWhenUsed/>
    <w:rsid w:val="006017FF"/>
    <w:rPr>
      <w:sz w:val="16"/>
      <w:szCs w:val="16"/>
    </w:rPr>
  </w:style>
  <w:style w:type="paragraph" w:styleId="CommentText">
    <w:name w:val="annotation text"/>
    <w:basedOn w:val="Normal"/>
    <w:link w:val="CommentTextChar"/>
    <w:uiPriority w:val="99"/>
    <w:unhideWhenUsed/>
    <w:rsid w:val="006017FF"/>
    <w:pPr>
      <w:spacing w:line="240" w:lineRule="auto"/>
    </w:pPr>
    <w:rPr>
      <w:sz w:val="20"/>
      <w:szCs w:val="20"/>
    </w:rPr>
  </w:style>
  <w:style w:type="character" w:customStyle="1" w:styleId="CommentTextChar">
    <w:name w:val="Comment Text Char"/>
    <w:basedOn w:val="DefaultParagraphFont"/>
    <w:link w:val="CommentText"/>
    <w:uiPriority w:val="99"/>
    <w:rsid w:val="006017FF"/>
    <w:rPr>
      <w:sz w:val="20"/>
      <w:szCs w:val="20"/>
    </w:rPr>
  </w:style>
  <w:style w:type="paragraph" w:styleId="CommentSubject">
    <w:name w:val="annotation subject"/>
    <w:basedOn w:val="CommentText"/>
    <w:next w:val="CommentText"/>
    <w:link w:val="CommentSubjectChar"/>
    <w:uiPriority w:val="99"/>
    <w:semiHidden/>
    <w:unhideWhenUsed/>
    <w:rsid w:val="006017FF"/>
    <w:rPr>
      <w:b/>
      <w:bCs/>
    </w:rPr>
  </w:style>
  <w:style w:type="character" w:customStyle="1" w:styleId="CommentSubjectChar">
    <w:name w:val="Comment Subject Char"/>
    <w:basedOn w:val="CommentTextChar"/>
    <w:link w:val="CommentSubject"/>
    <w:uiPriority w:val="99"/>
    <w:semiHidden/>
    <w:rsid w:val="006017FF"/>
    <w:rPr>
      <w:b/>
      <w:bCs/>
      <w:sz w:val="20"/>
      <w:szCs w:val="20"/>
    </w:rPr>
  </w:style>
  <w:style w:type="character" w:styleId="Mention">
    <w:name w:val="Mention"/>
    <w:basedOn w:val="DefaultParagraphFont"/>
    <w:uiPriority w:val="99"/>
    <w:unhideWhenUsed/>
    <w:rsid w:val="0097424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onr.org.uk/publications/regulatory-reports/regulatory-policy/onr-rd-pol-002-risk-informed-and-targeted-engagements-rite-policy"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NIRAB@niro.org.uk" TargetMode="External"/><Relationship Id="rId5" Type="http://schemas.openxmlformats.org/officeDocument/2006/relationships/numbering" Target="numbering.xml"/><Relationship Id="rId15" Type="http://schemas.openxmlformats.org/officeDocument/2006/relationships/hyperlink" Target="https://www.onr.org.uk/publications/regulatory-reports/regulatory-policy/onr-rd-fw-001-risk-informed-regulatory-decision-making-rirdm" TargetMode="External"/><Relationship Id="rId10" Type="http://schemas.openxmlformats.org/officeDocument/2006/relationships/hyperlink" Target="mailto:Contact@onr.gov.uk" TargetMode="Externa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hyperlink" Target="https://www.onr.org.uk/working-with-others/public-participation/consultations/open-consultations/safety-assessment-principles-consultation-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4c7d143-d86e-432d-ad4d-c5bed0d2e07a" xsi:nil="true"/>
    <lcf76f155ced4ddcb4097134ff3c332f xmlns="b1cd796e-eb61-4352-922d-32211938c1c7">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C1ADA5D8685FA4ABCAA50CE84123422" ma:contentTypeVersion="15" ma:contentTypeDescription="Create a new document." ma:contentTypeScope="" ma:versionID="4157ef4c45f490b16fa2ff5f22b67284">
  <xsd:schema xmlns:xsd="http://www.w3.org/2001/XMLSchema" xmlns:xs="http://www.w3.org/2001/XMLSchema" xmlns:p="http://schemas.microsoft.com/office/2006/metadata/properties" xmlns:ns2="b1cd796e-eb61-4352-922d-32211938c1c7" xmlns:ns3="d4c7d143-d86e-432d-ad4d-c5bed0d2e07a" targetNamespace="http://schemas.microsoft.com/office/2006/metadata/properties" ma:root="true" ma:fieldsID="ca81e3f4f61e24033c282a8e8a294733" ns2:_="" ns3:_="">
    <xsd:import namespace="b1cd796e-eb61-4352-922d-32211938c1c7"/>
    <xsd:import namespace="d4c7d143-d86e-432d-ad4d-c5bed0d2e07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cd796e-eb61-4352-922d-32211938c1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6693000-3e12-4b44-a742-9a2ba35b7d28"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4c7d143-d86e-432d-ad4d-c5bed0d2e07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b6b883a5-bb16-4517-a8f1-b66e0b721ff9}" ma:internalName="TaxCatchAll" ma:showField="CatchAllData" ma:web="d4c7d143-d86e-432d-ad4d-c5bed0d2e0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FA7E9C5-3EB7-440E-9E61-F5C9A49F1C49}">
  <ds:schemaRefs>
    <ds:schemaRef ds:uri="http://schemas.microsoft.com/office/2006/metadata/properties"/>
    <ds:schemaRef ds:uri="http://schemas.microsoft.com/office/infopath/2007/PartnerControls"/>
    <ds:schemaRef ds:uri="d4c7d143-d86e-432d-ad4d-c5bed0d2e07a"/>
    <ds:schemaRef ds:uri="b1cd796e-eb61-4352-922d-32211938c1c7"/>
  </ds:schemaRefs>
</ds:datastoreItem>
</file>

<file path=customXml/itemProps2.xml><?xml version="1.0" encoding="utf-8"?>
<ds:datastoreItem xmlns:ds="http://schemas.openxmlformats.org/officeDocument/2006/customXml" ds:itemID="{23A8E409-7C6A-42D9-9D0D-277BC0F7A483}">
  <ds:schemaRefs>
    <ds:schemaRef ds:uri="http://schemas.openxmlformats.org/officeDocument/2006/bibliography"/>
  </ds:schemaRefs>
</ds:datastoreItem>
</file>

<file path=customXml/itemProps3.xml><?xml version="1.0" encoding="utf-8"?>
<ds:datastoreItem xmlns:ds="http://schemas.openxmlformats.org/officeDocument/2006/customXml" ds:itemID="{48A3A245-8726-47A1-93D5-54CB8DC6925A}">
  <ds:schemaRefs>
    <ds:schemaRef ds:uri="http://schemas.microsoft.com/sharepoint/v3/contenttype/forms"/>
  </ds:schemaRefs>
</ds:datastoreItem>
</file>

<file path=customXml/itemProps4.xml><?xml version="1.0" encoding="utf-8"?>
<ds:datastoreItem xmlns:ds="http://schemas.openxmlformats.org/officeDocument/2006/customXml" ds:itemID="{6286215D-2088-4447-B6D0-C354F2A37E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cd796e-eb61-4352-922d-32211938c1c7"/>
    <ds:schemaRef ds:uri="d4c7d143-d86e-432d-ad4d-c5bed0d2e0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4530</Words>
  <Characters>24736</Characters>
  <Application>Microsoft Office Word</Application>
  <DocSecurity>4</DocSecurity>
  <Lines>419</Lines>
  <Paragraphs>106</Paragraphs>
  <ScaleCrop>false</ScaleCrop>
  <Company/>
  <LinksUpToDate>false</LinksUpToDate>
  <CharactersWithSpaces>29160</CharactersWithSpaces>
  <SharedDoc>false</SharedDoc>
  <HLinks>
    <vt:vector size="30" baseType="variant">
      <vt:variant>
        <vt:i4>7995455</vt:i4>
      </vt:variant>
      <vt:variant>
        <vt:i4>12</vt:i4>
      </vt:variant>
      <vt:variant>
        <vt:i4>0</vt:i4>
      </vt:variant>
      <vt:variant>
        <vt:i4>5</vt:i4>
      </vt:variant>
      <vt:variant>
        <vt:lpwstr>https://www.onr.org.uk/publications/regulatory-reports/regulatory-policy/onr-rd-pol-002-risk-informed-and-targeted-engagements-rite-policy</vt:lpwstr>
      </vt:variant>
      <vt:variant>
        <vt:lpwstr/>
      </vt:variant>
      <vt:variant>
        <vt:i4>4522065</vt:i4>
      </vt:variant>
      <vt:variant>
        <vt:i4>9</vt:i4>
      </vt:variant>
      <vt:variant>
        <vt:i4>0</vt:i4>
      </vt:variant>
      <vt:variant>
        <vt:i4>5</vt:i4>
      </vt:variant>
      <vt:variant>
        <vt:lpwstr>https://www.onr.org.uk/publications/regulatory-reports/regulatory-policy/onr-rd-fw-001-risk-informed-regulatory-decision-making-rirdm</vt:lpwstr>
      </vt:variant>
      <vt:variant>
        <vt:lpwstr/>
      </vt:variant>
      <vt:variant>
        <vt:i4>3342373</vt:i4>
      </vt:variant>
      <vt:variant>
        <vt:i4>6</vt:i4>
      </vt:variant>
      <vt:variant>
        <vt:i4>0</vt:i4>
      </vt:variant>
      <vt:variant>
        <vt:i4>5</vt:i4>
      </vt:variant>
      <vt:variant>
        <vt:lpwstr>https://www.onr.org.uk/working-with-others/public-participation/consultations/open-consultations/safety-assessment-principles-consultation-2026</vt:lpwstr>
      </vt:variant>
      <vt:variant>
        <vt:lpwstr/>
      </vt:variant>
      <vt:variant>
        <vt:i4>1638521</vt:i4>
      </vt:variant>
      <vt:variant>
        <vt:i4>3</vt:i4>
      </vt:variant>
      <vt:variant>
        <vt:i4>0</vt:i4>
      </vt:variant>
      <vt:variant>
        <vt:i4>5</vt:i4>
      </vt:variant>
      <vt:variant>
        <vt:lpwstr>mailto:NIRAB@niro.org.uk</vt:lpwstr>
      </vt:variant>
      <vt:variant>
        <vt:lpwstr/>
      </vt:variant>
      <vt:variant>
        <vt:i4>196723</vt:i4>
      </vt:variant>
      <vt:variant>
        <vt:i4>0</vt:i4>
      </vt:variant>
      <vt:variant>
        <vt:i4>0</vt:i4>
      </vt:variant>
      <vt:variant>
        <vt:i4>5</vt:i4>
      </vt:variant>
      <vt:variant>
        <vt:lpwstr>mailto:Contact@onr.gov.uk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Joshua Allcock</dc:creator>
  <cp:keywords/>
  <dc:description/>
  <cp:lastModifiedBy>Peter Wynne</cp:lastModifiedBy>
  <cp:revision>2</cp:revision>
  <dcterms:created xsi:type="dcterms:W3CDTF">2026-09-11T18:31:00Z</dcterms:created>
  <dcterms:modified xsi:type="dcterms:W3CDTF">2026-09-11T18:31:00Z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e5e003a-90eb-47c9-a506-ad47e7a0b281_Enabled">
    <vt:lpwstr>true</vt:lpwstr>
  </property>
  <property fmtid="{D5CDD505-2E9C-101B-9397-08002B2CF9AE}" pid="3" name="MSIP_Label_9e5e003a-90eb-47c9-a506-ad47e7a0b281_SetDate">
    <vt:lpwstr>2026-06-10T15:02:33Z</vt:lpwstr>
  </property>
  <property fmtid="{D5CDD505-2E9C-101B-9397-08002B2CF9AE}" pid="4" name="MSIP_Label_9e5e003a-90eb-47c9-a506-ad47e7a0b281_Method">
    <vt:lpwstr>Privileged</vt:lpwstr>
  </property>
  <property fmtid="{D5CDD505-2E9C-101B-9397-08002B2CF9AE}" pid="5" name="MSIP_Label_9e5e003a-90eb-47c9-a506-ad47e7a0b281_Name">
    <vt:lpwstr>OFFICIAL</vt:lpwstr>
  </property>
  <property fmtid="{D5CDD505-2E9C-101B-9397-08002B2CF9AE}" pid="6" name="MSIP_Label_9e5e003a-90eb-47c9-a506-ad47e7a0b281_SiteId">
    <vt:lpwstr>742775df-8077-48d6-81d0-1e82a1f52cb8</vt:lpwstr>
  </property>
  <property fmtid="{D5CDD505-2E9C-101B-9397-08002B2CF9AE}" pid="7" name="MSIP_Label_9e5e003a-90eb-47c9-a506-ad47e7a0b281_ActionId">
    <vt:lpwstr>34d161b5-15c2-440f-bf69-bf77cddda1a7</vt:lpwstr>
  </property>
  <property fmtid="{D5CDD505-2E9C-101B-9397-08002B2CF9AE}" pid="8" name="MSIP_Label_9e5e003a-90eb-47c9-a506-ad47e7a0b281_ContentBits">
    <vt:lpwstr>0</vt:lpwstr>
  </property>
  <property fmtid="{D5CDD505-2E9C-101B-9397-08002B2CF9AE}" pid="9" name="MSIP_Label_9e5e003a-90eb-47c9-a506-ad47e7a0b281_Tag">
    <vt:lpwstr>10, 0, 1, 1</vt:lpwstr>
  </property>
  <property fmtid="{D5CDD505-2E9C-101B-9397-08002B2CF9AE}" pid="10" name="ContentTypeId">
    <vt:lpwstr>0x010100AC1ADA5D8685FA4ABCAA50CE84123422</vt:lpwstr>
  </property>
  <property fmtid="{D5CDD505-2E9C-101B-9397-08002B2CF9AE}" pid="11" name="docLang">
    <vt:lpwstr>en</vt:lpwstr>
  </property>
  <property fmtid="{D5CDD505-2E9C-101B-9397-08002B2CF9AE}" pid="12" name="MediaServiceImageTags">
    <vt:lpwstr/>
  </property>
</Properties>
</file>