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584BEF" w14:paraId="6C65111E" w14:textId="77777777" w:rsidTr="00881B6F">
        <w:trPr>
          <w:trHeight w:val="1162"/>
        </w:trPr>
        <w:tc>
          <w:tcPr>
            <w:tcW w:w="9156" w:type="dxa"/>
            <w:tcBorders>
              <w:bottom w:val="single" w:sz="24" w:space="0" w:color="22413A"/>
            </w:tcBorders>
          </w:tcPr>
          <w:p w14:paraId="35C1F1C6" w14:textId="77777777" w:rsidR="00C20562" w:rsidRPr="00584BEF" w:rsidRDefault="00C20562" w:rsidP="00323E71">
            <w:bookmarkStart w:id="0" w:name="_Toc466022543"/>
          </w:p>
        </w:tc>
      </w:tr>
      <w:tr w:rsidR="00D0226A" w:rsidRPr="00584BE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32CDB2" w:rsidR="00595C8C" w:rsidRPr="00584BEF" w:rsidRDefault="00595C8C" w:rsidP="00595C8C">
            <w:pPr>
              <w:pStyle w:val="InnerCoverTitle"/>
              <w:rPr>
                <w:sz w:val="36"/>
                <w:szCs w:val="36"/>
              </w:rPr>
            </w:pPr>
            <w:r w:rsidRPr="00584BEF">
              <w:rPr>
                <w:sz w:val="36"/>
                <w:szCs w:val="36"/>
              </w:rPr>
              <w:t xml:space="preserve">ONR </w:t>
            </w:r>
            <w:r w:rsidR="000950B3" w:rsidRPr="00584BEF">
              <w:rPr>
                <w:sz w:val="36"/>
                <w:szCs w:val="36"/>
              </w:rPr>
              <w:t>Technical Assessment Guide</w:t>
            </w:r>
          </w:p>
          <w:p w14:paraId="7C4EA414" w14:textId="520EDF45" w:rsidR="00D0226A" w:rsidRPr="00584BEF" w:rsidRDefault="000466F6" w:rsidP="001E03E1">
            <w:pPr>
              <w:pStyle w:val="CoverTitle"/>
              <w:rPr>
                <w:szCs w:val="90"/>
              </w:rPr>
            </w:pPr>
            <w:sdt>
              <w:sdtPr>
                <w:rPr>
                  <w:sz w:val="56"/>
                  <w:szCs w:val="56"/>
                </w:rPr>
                <w:id w:val="1228188510"/>
                <w:placeholder>
                  <w:docPart w:val="DefaultPlaceholder_-1854013440"/>
                </w:placeholder>
              </w:sdtPr>
              <w:sdtEndPr>
                <w:rPr>
                  <w:sz w:val="96"/>
                  <w:szCs w:val="96"/>
                </w:rPr>
              </w:sdtEndPr>
              <w:sdtContent>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236A8" w:rsidRPr="005236A8">
                      <w:rPr>
                        <w:sz w:val="56"/>
                        <w:szCs w:val="56"/>
                      </w:rPr>
                      <w:t>Civil engineering (Annex 2) – Containment structures</w:t>
                    </w:r>
                  </w:sdtContent>
                </w:sdt>
              </w:sdtContent>
            </w:sdt>
          </w:p>
        </w:tc>
      </w:tr>
    </w:tbl>
    <w:p w14:paraId="56A09D10" w14:textId="77777777" w:rsidR="00D0226A" w:rsidRPr="00584BEF" w:rsidRDefault="00D0226A">
      <w:pPr>
        <w:spacing w:after="0"/>
      </w:pPr>
    </w:p>
    <w:p w14:paraId="6AB6425B" w14:textId="77777777" w:rsidR="00D0226A" w:rsidRPr="00584BEF" w:rsidRDefault="00881B6F">
      <w:pPr>
        <w:spacing w:after="0"/>
      </w:pPr>
      <w:r w:rsidRPr="00584BEF">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584BEF" w:rsidRDefault="00267815">
      <w:pPr>
        <w:spacing w:after="0"/>
      </w:pPr>
      <w:r w:rsidRPr="00584BEF">
        <w:br w:type="page"/>
      </w:r>
    </w:p>
    <w:p w14:paraId="1FDB4B56" w14:textId="6C10B266" w:rsidR="00595C8C" w:rsidRPr="00584BEF" w:rsidRDefault="00595C8C" w:rsidP="00323E71">
      <w:pPr>
        <w:sectPr w:rsidR="00595C8C" w:rsidRPr="00584BEF" w:rsidSect="000B2BCD">
          <w:headerReference w:type="default" r:id="rId15"/>
          <w:footerReference w:type="default" r:id="rId16"/>
          <w:pgSz w:w="11906" w:h="16838" w:code="9"/>
          <w:pgMar w:top="1440" w:right="1440" w:bottom="1440" w:left="1440" w:header="397" w:footer="397" w:gutter="0"/>
          <w:cols w:space="312"/>
          <w:titlePg/>
          <w:docGrid w:linePitch="360"/>
        </w:sectPr>
      </w:pPr>
    </w:p>
    <w:p w14:paraId="3AE5EE98" w14:textId="5E91C75F" w:rsidR="00267815" w:rsidRPr="00584BEF" w:rsidRDefault="00267815" w:rsidP="00EE0C77">
      <w:pPr>
        <w:pStyle w:val="ContentsHeading"/>
      </w:pPr>
      <w:r w:rsidRPr="00843F49">
        <w:lastRenderedPageBreak/>
        <w:t>Contents</w:t>
      </w:r>
      <w:r w:rsidR="000440CD" w:rsidRPr="00843F49">
        <w:t xml:space="preserve"> </w:t>
      </w:r>
    </w:p>
    <w:sdt>
      <w:sdtPr>
        <w:rPr>
          <w:rFonts w:ascii="Arial" w:eastAsia="Calibri" w:hAnsi="Arial" w:cs="Arial"/>
          <w:color w:val="auto"/>
          <w:sz w:val="24"/>
          <w:szCs w:val="22"/>
          <w:lang w:val="en-GB" w:bidi="he-IL"/>
        </w:rPr>
        <w:id w:val="-133561107"/>
        <w:docPartObj>
          <w:docPartGallery w:val="Table of Contents"/>
          <w:docPartUnique/>
        </w:docPartObj>
      </w:sdtPr>
      <w:sdtEndPr>
        <w:rPr>
          <w:szCs w:val="24"/>
        </w:rPr>
      </w:sdtEndPr>
      <w:sdtContent>
        <w:p w14:paraId="35DFCBC1" w14:textId="0120B2E7" w:rsidR="00E17C17" w:rsidRDefault="00E17C17" w:rsidP="00843F49">
          <w:pPr>
            <w:pStyle w:val="TOCHeading"/>
            <w:numPr>
              <w:ilvl w:val="0"/>
              <w:numId w:val="0"/>
            </w:numPr>
            <w:ind w:left="1070" w:hanging="360"/>
          </w:pPr>
        </w:p>
        <w:p w14:paraId="76F5ED88" w14:textId="36748AC4" w:rsidR="00544933" w:rsidRDefault="00B504A5">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4587373" w:history="1">
            <w:r w:rsidR="00544933" w:rsidRPr="00C315E1">
              <w:rPr>
                <w:rStyle w:val="Hyperlink"/>
              </w:rPr>
              <w:t>1.</w:t>
            </w:r>
            <w:r w:rsidR="00544933">
              <w:rPr>
                <w:rFonts w:asciiTheme="minorHAnsi" w:eastAsiaTheme="minorEastAsia" w:hAnsiTheme="minorHAnsi" w:cstheme="minorBidi"/>
                <w:kern w:val="2"/>
                <w:szCs w:val="24"/>
                <w:lang w:eastAsia="en-GB" w:bidi="ar-SA"/>
                <w14:ligatures w14:val="standardContextual"/>
              </w:rPr>
              <w:tab/>
            </w:r>
            <w:r w:rsidR="00544933" w:rsidRPr="00C315E1">
              <w:rPr>
                <w:rStyle w:val="Hyperlink"/>
              </w:rPr>
              <w:t>Introduction</w:t>
            </w:r>
            <w:r w:rsidR="00544933">
              <w:rPr>
                <w:webHidden/>
              </w:rPr>
              <w:tab/>
            </w:r>
            <w:r w:rsidR="00544933">
              <w:rPr>
                <w:webHidden/>
              </w:rPr>
              <w:fldChar w:fldCharType="begin"/>
            </w:r>
            <w:r w:rsidR="00544933">
              <w:rPr>
                <w:webHidden/>
              </w:rPr>
              <w:instrText xml:space="preserve"> PAGEREF _Toc234587373 \h </w:instrText>
            </w:r>
            <w:r w:rsidR="00544933">
              <w:rPr>
                <w:webHidden/>
              </w:rPr>
            </w:r>
            <w:r w:rsidR="00544933">
              <w:rPr>
                <w:webHidden/>
              </w:rPr>
              <w:fldChar w:fldCharType="separate"/>
            </w:r>
            <w:r w:rsidR="00544933">
              <w:rPr>
                <w:webHidden/>
              </w:rPr>
              <w:t>3</w:t>
            </w:r>
            <w:r w:rsidR="00544933">
              <w:rPr>
                <w:webHidden/>
              </w:rPr>
              <w:fldChar w:fldCharType="end"/>
            </w:r>
          </w:hyperlink>
        </w:p>
        <w:p w14:paraId="53A67EF4" w14:textId="7B2A159C" w:rsidR="00544933" w:rsidRDefault="005449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7374" w:history="1">
            <w:r w:rsidRPr="00C315E1">
              <w:rPr>
                <w:rStyle w:val="Hyperlink"/>
              </w:rPr>
              <w:t>2.</w:t>
            </w:r>
            <w:r>
              <w:rPr>
                <w:rFonts w:asciiTheme="minorHAnsi" w:eastAsiaTheme="minorEastAsia" w:hAnsiTheme="minorHAnsi" w:cstheme="minorBidi"/>
                <w:kern w:val="2"/>
                <w:szCs w:val="24"/>
                <w:lang w:eastAsia="en-GB" w:bidi="ar-SA"/>
                <w14:ligatures w14:val="standardContextual"/>
              </w:rPr>
              <w:tab/>
            </w:r>
            <w:r w:rsidRPr="00C315E1">
              <w:rPr>
                <w:rStyle w:val="Hyperlink"/>
              </w:rPr>
              <w:t>Guidance on the assessment of safety cases for existing pre-stressed concrete pressure vessels for advanced gas-cooled reactors</w:t>
            </w:r>
            <w:r>
              <w:rPr>
                <w:webHidden/>
              </w:rPr>
              <w:tab/>
            </w:r>
            <w:r>
              <w:rPr>
                <w:webHidden/>
              </w:rPr>
              <w:fldChar w:fldCharType="begin"/>
            </w:r>
            <w:r>
              <w:rPr>
                <w:webHidden/>
              </w:rPr>
              <w:instrText xml:space="preserve"> PAGEREF _Toc234587374 \h </w:instrText>
            </w:r>
            <w:r>
              <w:rPr>
                <w:webHidden/>
              </w:rPr>
            </w:r>
            <w:r>
              <w:rPr>
                <w:webHidden/>
              </w:rPr>
              <w:fldChar w:fldCharType="separate"/>
            </w:r>
            <w:r>
              <w:rPr>
                <w:webHidden/>
              </w:rPr>
              <w:t>7</w:t>
            </w:r>
            <w:r>
              <w:rPr>
                <w:webHidden/>
              </w:rPr>
              <w:fldChar w:fldCharType="end"/>
            </w:r>
          </w:hyperlink>
        </w:p>
        <w:p w14:paraId="35613CEB" w14:textId="4E16E15C" w:rsidR="00544933" w:rsidRDefault="005449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7375" w:history="1">
            <w:r w:rsidRPr="00C315E1">
              <w:rPr>
                <w:rStyle w:val="Hyperlink"/>
              </w:rPr>
              <w:t>3.</w:t>
            </w:r>
            <w:r>
              <w:rPr>
                <w:rFonts w:asciiTheme="minorHAnsi" w:eastAsiaTheme="minorEastAsia" w:hAnsiTheme="minorHAnsi" w:cstheme="minorBidi"/>
                <w:kern w:val="2"/>
                <w:szCs w:val="24"/>
                <w:lang w:eastAsia="en-GB" w:bidi="ar-SA"/>
                <w14:ligatures w14:val="standardContextual"/>
              </w:rPr>
              <w:tab/>
            </w:r>
            <w:r w:rsidRPr="00C315E1">
              <w:rPr>
                <w:rStyle w:val="Hyperlink"/>
              </w:rPr>
              <w:t>Guidance on the assessment of safety cases for pre-stressed and reinforced concrete containments for Light Water Reactors</w:t>
            </w:r>
            <w:r>
              <w:rPr>
                <w:webHidden/>
              </w:rPr>
              <w:tab/>
            </w:r>
            <w:r>
              <w:rPr>
                <w:webHidden/>
              </w:rPr>
              <w:fldChar w:fldCharType="begin"/>
            </w:r>
            <w:r>
              <w:rPr>
                <w:webHidden/>
              </w:rPr>
              <w:instrText xml:space="preserve"> PAGEREF _Toc234587375 \h </w:instrText>
            </w:r>
            <w:r>
              <w:rPr>
                <w:webHidden/>
              </w:rPr>
            </w:r>
            <w:r>
              <w:rPr>
                <w:webHidden/>
              </w:rPr>
              <w:fldChar w:fldCharType="separate"/>
            </w:r>
            <w:r>
              <w:rPr>
                <w:webHidden/>
              </w:rPr>
              <w:t>15</w:t>
            </w:r>
            <w:r>
              <w:rPr>
                <w:webHidden/>
              </w:rPr>
              <w:fldChar w:fldCharType="end"/>
            </w:r>
          </w:hyperlink>
        </w:p>
        <w:p w14:paraId="6E6ADAE3" w14:textId="7CDE46EE" w:rsidR="00544933" w:rsidRDefault="00544933">
          <w:pPr>
            <w:pStyle w:val="TOC1"/>
            <w:rPr>
              <w:rFonts w:asciiTheme="minorHAnsi" w:eastAsiaTheme="minorEastAsia" w:hAnsiTheme="minorHAnsi" w:cstheme="minorBidi"/>
              <w:kern w:val="2"/>
              <w:szCs w:val="24"/>
              <w:lang w:eastAsia="en-GB" w:bidi="ar-SA"/>
              <w14:ligatures w14:val="standardContextual"/>
            </w:rPr>
          </w:pPr>
          <w:hyperlink w:anchor="_Toc234587376" w:history="1">
            <w:r w:rsidRPr="00C315E1">
              <w:rPr>
                <w:rStyle w:val="Hyperlink"/>
              </w:rPr>
              <w:t>Appendix A - List of civil engineering SAPs referred to in this annex</w:t>
            </w:r>
            <w:r>
              <w:rPr>
                <w:webHidden/>
              </w:rPr>
              <w:tab/>
            </w:r>
            <w:r>
              <w:rPr>
                <w:webHidden/>
              </w:rPr>
              <w:fldChar w:fldCharType="begin"/>
            </w:r>
            <w:r>
              <w:rPr>
                <w:webHidden/>
              </w:rPr>
              <w:instrText xml:space="preserve"> PAGEREF _Toc234587376 \h </w:instrText>
            </w:r>
            <w:r>
              <w:rPr>
                <w:webHidden/>
              </w:rPr>
            </w:r>
            <w:r>
              <w:rPr>
                <w:webHidden/>
              </w:rPr>
              <w:fldChar w:fldCharType="separate"/>
            </w:r>
            <w:r>
              <w:rPr>
                <w:webHidden/>
              </w:rPr>
              <w:t>25</w:t>
            </w:r>
            <w:r>
              <w:rPr>
                <w:webHidden/>
              </w:rPr>
              <w:fldChar w:fldCharType="end"/>
            </w:r>
          </w:hyperlink>
        </w:p>
        <w:p w14:paraId="145C164D" w14:textId="104385F7" w:rsidR="00544933" w:rsidRDefault="00544933">
          <w:pPr>
            <w:pStyle w:val="TOC1"/>
            <w:rPr>
              <w:rFonts w:asciiTheme="minorHAnsi" w:eastAsiaTheme="minorEastAsia" w:hAnsiTheme="minorHAnsi" w:cstheme="minorBidi"/>
              <w:kern w:val="2"/>
              <w:szCs w:val="24"/>
              <w:lang w:eastAsia="en-GB" w:bidi="ar-SA"/>
              <w14:ligatures w14:val="standardContextual"/>
            </w:rPr>
          </w:pPr>
          <w:hyperlink w:anchor="_Toc234587377" w:history="1">
            <w:r w:rsidRPr="00C315E1">
              <w:rPr>
                <w:rStyle w:val="Hyperlink"/>
              </w:rPr>
              <w:t>References</w:t>
            </w:r>
            <w:r>
              <w:rPr>
                <w:webHidden/>
              </w:rPr>
              <w:tab/>
            </w:r>
            <w:r>
              <w:rPr>
                <w:webHidden/>
              </w:rPr>
              <w:fldChar w:fldCharType="begin"/>
            </w:r>
            <w:r>
              <w:rPr>
                <w:webHidden/>
              </w:rPr>
              <w:instrText xml:space="preserve"> PAGEREF _Toc234587377 \h </w:instrText>
            </w:r>
            <w:r>
              <w:rPr>
                <w:webHidden/>
              </w:rPr>
            </w:r>
            <w:r>
              <w:rPr>
                <w:webHidden/>
              </w:rPr>
              <w:fldChar w:fldCharType="separate"/>
            </w:r>
            <w:r>
              <w:rPr>
                <w:webHidden/>
              </w:rPr>
              <w:t>27</w:t>
            </w:r>
            <w:r>
              <w:rPr>
                <w:webHidden/>
              </w:rPr>
              <w:fldChar w:fldCharType="end"/>
            </w:r>
          </w:hyperlink>
        </w:p>
        <w:p w14:paraId="2BD047BD" w14:textId="349FC0A7" w:rsidR="00544933" w:rsidRDefault="00544933">
          <w:pPr>
            <w:pStyle w:val="TOC1"/>
            <w:rPr>
              <w:rFonts w:asciiTheme="minorHAnsi" w:eastAsiaTheme="minorEastAsia" w:hAnsiTheme="minorHAnsi" w:cstheme="minorBidi"/>
              <w:kern w:val="2"/>
              <w:szCs w:val="24"/>
              <w:lang w:eastAsia="en-GB" w:bidi="ar-SA"/>
              <w14:ligatures w14:val="standardContextual"/>
            </w:rPr>
          </w:pPr>
          <w:hyperlink w:anchor="_Toc234587378" w:history="1">
            <w:r w:rsidRPr="00C315E1">
              <w:rPr>
                <w:rStyle w:val="Hyperlink"/>
              </w:rPr>
              <w:t>List of acronyms, abbreviations and initialisms</w:t>
            </w:r>
            <w:r>
              <w:rPr>
                <w:webHidden/>
              </w:rPr>
              <w:tab/>
            </w:r>
            <w:r>
              <w:rPr>
                <w:webHidden/>
              </w:rPr>
              <w:fldChar w:fldCharType="begin"/>
            </w:r>
            <w:r>
              <w:rPr>
                <w:webHidden/>
              </w:rPr>
              <w:instrText xml:space="preserve"> PAGEREF _Toc234587378 \h </w:instrText>
            </w:r>
            <w:r>
              <w:rPr>
                <w:webHidden/>
              </w:rPr>
            </w:r>
            <w:r>
              <w:rPr>
                <w:webHidden/>
              </w:rPr>
              <w:fldChar w:fldCharType="separate"/>
            </w:r>
            <w:r>
              <w:rPr>
                <w:webHidden/>
              </w:rPr>
              <w:t>28</w:t>
            </w:r>
            <w:r>
              <w:rPr>
                <w:webHidden/>
              </w:rPr>
              <w:fldChar w:fldCharType="end"/>
            </w:r>
          </w:hyperlink>
        </w:p>
        <w:p w14:paraId="705CE73D" w14:textId="19842A93" w:rsidR="00544933" w:rsidRDefault="00544933">
          <w:pPr>
            <w:pStyle w:val="TOC1"/>
            <w:rPr>
              <w:rFonts w:asciiTheme="minorHAnsi" w:eastAsiaTheme="minorEastAsia" w:hAnsiTheme="minorHAnsi" w:cstheme="minorBidi"/>
              <w:kern w:val="2"/>
              <w:szCs w:val="24"/>
              <w:lang w:eastAsia="en-GB" w:bidi="ar-SA"/>
              <w14:ligatures w14:val="standardContextual"/>
            </w:rPr>
          </w:pPr>
          <w:hyperlink w:anchor="_Toc234587379" w:history="1">
            <w:r w:rsidRPr="00C315E1">
              <w:rPr>
                <w:rStyle w:val="Hyperlink"/>
              </w:rPr>
              <w:t>Glossary of terms</w:t>
            </w:r>
            <w:r>
              <w:rPr>
                <w:webHidden/>
              </w:rPr>
              <w:tab/>
            </w:r>
            <w:r>
              <w:rPr>
                <w:webHidden/>
              </w:rPr>
              <w:fldChar w:fldCharType="begin"/>
            </w:r>
            <w:r>
              <w:rPr>
                <w:webHidden/>
              </w:rPr>
              <w:instrText xml:space="preserve"> PAGEREF _Toc234587379 \h </w:instrText>
            </w:r>
            <w:r>
              <w:rPr>
                <w:webHidden/>
              </w:rPr>
            </w:r>
            <w:r>
              <w:rPr>
                <w:webHidden/>
              </w:rPr>
              <w:fldChar w:fldCharType="separate"/>
            </w:r>
            <w:r>
              <w:rPr>
                <w:webHidden/>
              </w:rPr>
              <w:t>30</w:t>
            </w:r>
            <w:r>
              <w:rPr>
                <w:webHidden/>
              </w:rPr>
              <w:fldChar w:fldCharType="end"/>
            </w:r>
          </w:hyperlink>
        </w:p>
        <w:p w14:paraId="371FF73D" w14:textId="107F91CB" w:rsidR="00544933" w:rsidRDefault="00544933">
          <w:pPr>
            <w:pStyle w:val="TOC1"/>
            <w:rPr>
              <w:rFonts w:asciiTheme="minorHAnsi" w:eastAsiaTheme="minorEastAsia" w:hAnsiTheme="minorHAnsi" w:cstheme="minorBidi"/>
              <w:kern w:val="2"/>
              <w:szCs w:val="24"/>
              <w:lang w:eastAsia="en-GB" w:bidi="ar-SA"/>
              <w14:ligatures w14:val="standardContextual"/>
            </w:rPr>
          </w:pPr>
          <w:hyperlink w:anchor="_Toc234587380" w:history="1">
            <w:r w:rsidRPr="00C315E1">
              <w:rPr>
                <w:rStyle w:val="Hyperlink"/>
              </w:rPr>
              <w:t>Document control information</w:t>
            </w:r>
            <w:r>
              <w:rPr>
                <w:webHidden/>
              </w:rPr>
              <w:tab/>
            </w:r>
            <w:r>
              <w:rPr>
                <w:webHidden/>
              </w:rPr>
              <w:fldChar w:fldCharType="begin"/>
            </w:r>
            <w:r>
              <w:rPr>
                <w:webHidden/>
              </w:rPr>
              <w:instrText xml:space="preserve"> PAGEREF _Toc234587380 \h </w:instrText>
            </w:r>
            <w:r>
              <w:rPr>
                <w:webHidden/>
              </w:rPr>
            </w:r>
            <w:r>
              <w:rPr>
                <w:webHidden/>
              </w:rPr>
              <w:fldChar w:fldCharType="separate"/>
            </w:r>
            <w:r>
              <w:rPr>
                <w:webHidden/>
              </w:rPr>
              <w:t>31</w:t>
            </w:r>
            <w:r>
              <w:rPr>
                <w:webHidden/>
              </w:rPr>
              <w:fldChar w:fldCharType="end"/>
            </w:r>
          </w:hyperlink>
        </w:p>
        <w:p w14:paraId="6598846D" w14:textId="605C9E2C" w:rsidR="00E17C17" w:rsidRDefault="00B504A5">
          <w:r>
            <w:rPr>
              <w:noProof/>
            </w:rPr>
            <w:fldChar w:fldCharType="end"/>
          </w:r>
        </w:p>
        <w:p w14:paraId="0CC4B54A" w14:textId="58F7F560" w:rsidR="00267815" w:rsidRPr="00584BEF" w:rsidRDefault="000466F6" w:rsidP="00267815"/>
      </w:sdtContent>
    </w:sdt>
    <w:p w14:paraId="716B9A7E" w14:textId="77777777" w:rsidR="003E098E" w:rsidRPr="00584BEF" w:rsidRDefault="003E098E" w:rsidP="00267815"/>
    <w:p w14:paraId="4812BFF8" w14:textId="0E9C5297" w:rsidR="003E098E" w:rsidRPr="00584BEF" w:rsidRDefault="003E098E" w:rsidP="00267815">
      <w:pPr>
        <w:sectPr w:rsidR="003E098E" w:rsidRPr="00584BEF" w:rsidSect="000B2BCD">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5DEDA49A" w:rsidR="008D49A5" w:rsidRPr="00584BEF" w:rsidRDefault="008D49A5" w:rsidP="00912484">
      <w:pPr>
        <w:pStyle w:val="Heading1"/>
        <w:numPr>
          <w:ilvl w:val="0"/>
          <w:numId w:val="4"/>
        </w:numPr>
        <w:ind w:left="851" w:hanging="851"/>
      </w:pPr>
      <w:bookmarkStart w:id="1" w:name="_Toc223959994"/>
      <w:bookmarkStart w:id="2" w:name="_Toc234587373"/>
      <w:bookmarkEnd w:id="0"/>
      <w:r w:rsidRPr="00584BEF">
        <w:lastRenderedPageBreak/>
        <w:t>Introduction</w:t>
      </w:r>
      <w:bookmarkEnd w:id="1"/>
      <w:bookmarkEnd w:id="2"/>
    </w:p>
    <w:p w14:paraId="1DD31947" w14:textId="64899BC0" w:rsidR="00B570AE" w:rsidRPr="00584BEF" w:rsidRDefault="00B570AE" w:rsidP="00B570AE">
      <w:pPr>
        <w:pStyle w:val="F9-Paragraph"/>
        <w:ind w:left="851" w:hanging="851"/>
      </w:pPr>
      <w:r w:rsidRPr="00584BEF">
        <w:t xml:space="preserve">This annex to Technical Assessment Guide </w:t>
      </w:r>
      <w:r w:rsidR="0081332D">
        <w:t xml:space="preserve">on civil engineering </w:t>
      </w:r>
      <w:r w:rsidRPr="00584BEF">
        <w:t>(</w:t>
      </w:r>
      <w:r w:rsidR="0081332D">
        <w:t>‘</w:t>
      </w:r>
      <w:r w:rsidRPr="00584BEF">
        <w:t>TAG 17</w:t>
      </w:r>
      <w:r w:rsidR="0081332D">
        <w:t>’</w:t>
      </w:r>
      <w:r w:rsidRPr="00584BEF">
        <w:t>)</w:t>
      </w:r>
      <w:r w:rsidR="0081332D">
        <w:t xml:space="preserve"> </w:t>
      </w:r>
      <w:sdt>
        <w:sdtPr>
          <w:id w:val="875741049"/>
          <w:citation/>
        </w:sdtPr>
        <w:sdtContent>
          <w:r w:rsidR="0081332D">
            <w:fldChar w:fldCharType="begin"/>
          </w:r>
          <w:r w:rsidR="0081332D">
            <w:instrText xml:space="preserve"> CITATION NST1 \l 2057 </w:instrText>
          </w:r>
          <w:r w:rsidR="0081332D">
            <w:fldChar w:fldCharType="separate"/>
          </w:r>
          <w:r w:rsidR="0081332D">
            <w:rPr>
              <w:noProof/>
            </w:rPr>
            <w:t>[1]</w:t>
          </w:r>
          <w:r w:rsidR="0081332D">
            <w:fldChar w:fldCharType="end"/>
          </w:r>
        </w:sdtContent>
      </w:sdt>
      <w:r w:rsidRPr="00584BEF">
        <w:t xml:space="preserve"> provides guidance to advise and inform ONR inspectors in the exercise of their regulatory judgement on the topic of civil engineering </w:t>
      </w:r>
      <w:r w:rsidR="009C7453">
        <w:t>nuclear containments</w:t>
      </w:r>
      <w:r w:rsidRPr="00584BEF">
        <w:t xml:space="preserve">. It aims to highlight the application of the Safety Assessment Principles (SAPs) </w:t>
      </w:r>
      <w:sdt>
        <w:sdtPr>
          <w:id w:val="1793790590"/>
          <w:citation/>
        </w:sdtPr>
        <w:sdtContent>
          <w:r w:rsidR="0081332D">
            <w:fldChar w:fldCharType="begin"/>
          </w:r>
          <w:r w:rsidR="0081332D">
            <w:instrText xml:space="preserve"> CITATION ONR2013 \l 2057 </w:instrText>
          </w:r>
          <w:r w:rsidR="0081332D">
            <w:fldChar w:fldCharType="separate"/>
          </w:r>
          <w:r w:rsidR="0081332D">
            <w:rPr>
              <w:noProof/>
            </w:rPr>
            <w:t>[2]</w:t>
          </w:r>
          <w:r w:rsidR="0081332D">
            <w:fldChar w:fldCharType="end"/>
          </w:r>
        </w:sdtContent>
      </w:sdt>
      <w:r w:rsidR="0081332D">
        <w:t xml:space="preserve"> t</w:t>
      </w:r>
      <w:r w:rsidRPr="00584BEF">
        <w:t xml:space="preserve">o aid the assessment of civil engineering </w:t>
      </w:r>
      <w:r w:rsidR="006A48C0">
        <w:t xml:space="preserve">containment structures </w:t>
      </w:r>
      <w:r w:rsidRPr="00584BEF">
        <w:t xml:space="preserve">and signpost links to other relevant good practice. </w:t>
      </w:r>
    </w:p>
    <w:p w14:paraId="0D2C835B" w14:textId="7FB7EA4F" w:rsidR="006A5B2A" w:rsidRDefault="006A5B2A" w:rsidP="026CC3FD">
      <w:pPr>
        <w:pStyle w:val="F9-Paragraph"/>
        <w:ind w:left="851" w:hanging="851"/>
        <w:rPr>
          <w:lang w:eastAsia="en-GB"/>
        </w:rPr>
      </w:pPr>
      <w:r w:rsidRPr="026CC3FD">
        <w:rPr>
          <w:lang w:eastAsia="en-GB"/>
        </w:rPr>
        <w:t xml:space="preserve">The guidance is intended for use in the assessment of both existing and new design </w:t>
      </w:r>
      <w:r>
        <w:t>civil engineering containments for reactor plants</w:t>
      </w:r>
      <w:r w:rsidRPr="026CC3FD">
        <w:rPr>
          <w:lang w:eastAsia="en-GB"/>
        </w:rPr>
        <w:t>.</w:t>
      </w:r>
    </w:p>
    <w:p w14:paraId="38AE41A1" w14:textId="3BF83823" w:rsidR="00E87230" w:rsidRPr="00584BEF" w:rsidRDefault="00EE2B7E" w:rsidP="00E87230">
      <w:pPr>
        <w:pStyle w:val="Heading2"/>
        <w:ind w:left="851" w:hanging="851"/>
      </w:pPr>
      <w:r>
        <w:t xml:space="preserve">Purpose and </w:t>
      </w:r>
      <w:r w:rsidR="0081332D">
        <w:t>s</w:t>
      </w:r>
      <w:r w:rsidR="00E87230" w:rsidRPr="00584BEF">
        <w:t>cope</w:t>
      </w:r>
    </w:p>
    <w:p w14:paraId="48534DA7" w14:textId="6D6A7FB2" w:rsidR="005057CB" w:rsidRPr="005057CB" w:rsidRDefault="005057CB" w:rsidP="005057CB">
      <w:pPr>
        <w:pStyle w:val="F9-Paragraph"/>
        <w:ind w:left="851" w:hanging="851"/>
      </w:pPr>
      <w:r w:rsidRPr="005057CB">
        <w:t xml:space="preserve">The purpose of this </w:t>
      </w:r>
      <w:r w:rsidR="001B152A">
        <w:t xml:space="preserve">annex </w:t>
      </w:r>
      <w:r w:rsidRPr="005057CB">
        <w:t xml:space="preserve">is to provide </w:t>
      </w:r>
      <w:r w:rsidR="004D594A">
        <w:t>inspector</w:t>
      </w:r>
      <w:r w:rsidRPr="005057CB">
        <w:t>s with guidance on the interpretation and application of SAPs</w:t>
      </w:r>
      <w:r>
        <w:t xml:space="preserve"> </w:t>
      </w:r>
      <w:r w:rsidRPr="005057CB">
        <w:t>that relate to civil engineering containments</w:t>
      </w:r>
      <w:r w:rsidR="00F44F20">
        <w:t xml:space="preserve"> for reactor plants</w:t>
      </w:r>
      <w:r w:rsidRPr="005057CB">
        <w:t xml:space="preserve">. </w:t>
      </w:r>
      <w:r w:rsidR="001B152A">
        <w:t>It contains</w:t>
      </w:r>
      <w:r w:rsidRPr="005057CB">
        <w:t xml:space="preserve"> guidance to advise and inform ONR staff in the exercise of their regulatory judg</w:t>
      </w:r>
      <w:r w:rsidR="006253B7">
        <w:t>e</w:t>
      </w:r>
      <w:r w:rsidRPr="005057CB">
        <w:t>ment.</w:t>
      </w:r>
    </w:p>
    <w:p w14:paraId="6FC3DF1D" w14:textId="7E7BC667" w:rsidR="005057CB" w:rsidRDefault="009E24FD" w:rsidP="0017635B">
      <w:pPr>
        <w:pStyle w:val="F9-Paragraph"/>
        <w:ind w:left="851" w:hanging="851"/>
      </w:pPr>
      <w:r>
        <w:t>For the purposes of this document, the term "containment" refers to civil engineering structures</w:t>
      </w:r>
      <w:r w:rsidR="003F0A6F">
        <w:t xml:space="preserve"> in reactor plants</w:t>
      </w:r>
      <w:r>
        <w:t xml:space="preserve"> that</w:t>
      </w:r>
      <w:r w:rsidR="0000284C">
        <w:t xml:space="preserve"> currently</w:t>
      </w:r>
      <w:r>
        <w:t xml:space="preserve"> fall broadly into </w:t>
      </w:r>
      <w:r w:rsidR="00251726">
        <w:t xml:space="preserve">two </w:t>
      </w:r>
      <w:r>
        <w:t>types:</w:t>
      </w:r>
    </w:p>
    <w:p w14:paraId="5A22FF89" w14:textId="6D7769D5" w:rsidR="0043098E" w:rsidRDefault="0043098E" w:rsidP="0043098E">
      <w:pPr>
        <w:pStyle w:val="Bulletlist1"/>
        <w:ind w:left="1418" w:hanging="357"/>
      </w:pPr>
      <w:r>
        <w:t>Pre-stressed concrete pressure vessels (PCPV) where the concrete provides support to a thin primary containment liner against reactor operating pressure and provides biological shield functions to the nuclear reactor core. The PCPV provides the reactor pressure boundary</w:t>
      </w:r>
      <w:r w:rsidR="00E31508">
        <w:t>.</w:t>
      </w:r>
    </w:p>
    <w:p w14:paraId="34EE587A" w14:textId="29B1B15F" w:rsidR="0043098E" w:rsidRDefault="0043098E" w:rsidP="0043098E">
      <w:pPr>
        <w:pStyle w:val="Bulletlist1"/>
        <w:ind w:left="1418" w:hanging="357"/>
      </w:pPr>
      <w:r>
        <w:t xml:space="preserve">Containments that house (pressurised water or boiling water type or hot gas) </w:t>
      </w:r>
      <w:r w:rsidRPr="0043098E">
        <w:t>reactors and which are designed to contain leakage at pressure in the event of</w:t>
      </w:r>
      <w:r>
        <w:t xml:space="preserve"> failure of the enclosed reactor pressure boundary. </w:t>
      </w:r>
      <w:r w:rsidR="0081332D">
        <w:br/>
      </w:r>
      <w:r>
        <w:t>A secondary containment may also be included.</w:t>
      </w:r>
    </w:p>
    <w:p w14:paraId="2BD2FBEA" w14:textId="03EADE8F" w:rsidR="000A75BC" w:rsidRDefault="000A75BC" w:rsidP="0017635B">
      <w:pPr>
        <w:pStyle w:val="F9-Paragraph"/>
        <w:ind w:left="851" w:hanging="851"/>
      </w:pPr>
      <w:r>
        <w:t xml:space="preserve">The components of nuclear containments can also include, isolating systems, penetrations, pipe work, and pressure relief valves that constitute the containment boundary; however, these items are not within the scope of this appendix. Freestanding steel tanks and containers, including the AP1000 primary containment, are outside the scope of this appendix, as they lie within the domain of ONR’s Structural Integrity Specialism. </w:t>
      </w:r>
      <w:r w:rsidR="00F47884">
        <w:br/>
      </w:r>
      <w:r>
        <w:t xml:space="preserve">Steel liners may be used to enhance the leak tightness of the containment and the design and construction of the liner and its anchors are assessed by civil engineers with assistance from structural integrity </w:t>
      </w:r>
      <w:r w:rsidR="004D594A">
        <w:t>in</w:t>
      </w:r>
      <w:r w:rsidR="74150BB6">
        <w:t>s</w:t>
      </w:r>
      <w:r w:rsidR="004D594A">
        <w:t>pe</w:t>
      </w:r>
      <w:r w:rsidR="00635002">
        <w:t>ctor</w:t>
      </w:r>
      <w:r>
        <w:t>s.</w:t>
      </w:r>
    </w:p>
    <w:p w14:paraId="035F8E83" w14:textId="77777777" w:rsidR="00F47884" w:rsidRDefault="00F47884" w:rsidP="0017635B">
      <w:pPr>
        <w:pStyle w:val="F9-Paragraph"/>
        <w:ind w:left="851" w:hanging="851"/>
        <w:sectPr w:rsidR="00F47884">
          <w:headerReference w:type="even" r:id="rId21"/>
          <w:headerReference w:type="default" r:id="rId22"/>
          <w:footerReference w:type="even" r:id="rId23"/>
          <w:pgSz w:w="11906" w:h="16838"/>
          <w:pgMar w:top="1440" w:right="1440" w:bottom="1440" w:left="1440" w:header="708" w:footer="708" w:gutter="0"/>
          <w:cols w:space="708"/>
          <w:docGrid w:linePitch="360"/>
        </w:sectPr>
      </w:pPr>
    </w:p>
    <w:p w14:paraId="2CCEC4FF" w14:textId="30B5FCBE" w:rsidR="00673211" w:rsidRDefault="00673211" w:rsidP="0017635B">
      <w:pPr>
        <w:pStyle w:val="F9-Paragraph"/>
        <w:ind w:left="851" w:hanging="851"/>
      </w:pPr>
      <w:r w:rsidRPr="00673211">
        <w:lastRenderedPageBreak/>
        <w:t>The safety and leak tightness of civil engineering nuclear containments depends on a correct assessment of the loadings likely to be applied to the containment and on the design of the containment structure to resist these loadings. Additionally it depends on suitable in-service operational management arrangements to keep the containment within its designed service envelope and on adequate operational procedures being adopted for monitoring, inspection and testing throughout its service life.</w:t>
      </w:r>
    </w:p>
    <w:p w14:paraId="0F42391A" w14:textId="1A1583E3" w:rsidR="005B3853" w:rsidRDefault="005B3853" w:rsidP="005B3853">
      <w:pPr>
        <w:pStyle w:val="F9-Paragraph"/>
        <w:ind w:left="851" w:hanging="851"/>
      </w:pPr>
      <w:r>
        <w:t xml:space="preserve">This </w:t>
      </w:r>
      <w:r w:rsidR="00F47884">
        <w:t>annex</w:t>
      </w:r>
      <w:r>
        <w:t xml:space="preserve"> notes the relevant SAPs, provides a commentary on these principles, identifies areas that </w:t>
      </w:r>
      <w:r w:rsidR="00635002">
        <w:t xml:space="preserve">inspectors </w:t>
      </w:r>
      <w:r>
        <w:t xml:space="preserve">should consider when reviewing a safety case and lists relevant supporting references. Although this guide specifically addresses the sub-sections of the SAPs concerned with containment, </w:t>
      </w:r>
      <w:r w:rsidR="00635002">
        <w:t>inspectors</w:t>
      </w:r>
      <w:r>
        <w:t xml:space="preserve"> are also referred to the SAPs that provide guidance on:</w:t>
      </w:r>
    </w:p>
    <w:p w14:paraId="7A954D78" w14:textId="77777777" w:rsidR="005B3853" w:rsidRDefault="005B3853" w:rsidP="005B3853">
      <w:pPr>
        <w:pStyle w:val="Bulletlist1"/>
        <w:ind w:left="1418" w:hanging="357"/>
      </w:pPr>
      <w:r>
        <w:t xml:space="preserve">Key Engineering Principles; </w:t>
      </w:r>
    </w:p>
    <w:p w14:paraId="4CC9E92F" w14:textId="77777777" w:rsidR="005B3853" w:rsidRDefault="005B3853" w:rsidP="005B3853">
      <w:pPr>
        <w:pStyle w:val="Bulletlist1"/>
        <w:ind w:left="1418" w:hanging="357"/>
      </w:pPr>
      <w:r>
        <w:t xml:space="preserve">Safety Categorisation; </w:t>
      </w:r>
    </w:p>
    <w:p w14:paraId="79037BD3" w14:textId="77777777" w:rsidR="005B3853" w:rsidRDefault="005B3853" w:rsidP="005B3853">
      <w:pPr>
        <w:pStyle w:val="Bulletlist1"/>
        <w:ind w:left="1418" w:hanging="357"/>
      </w:pPr>
      <w:r>
        <w:t xml:space="preserve">Special Case Procedures; </w:t>
      </w:r>
    </w:p>
    <w:p w14:paraId="15B23FFF" w14:textId="77777777" w:rsidR="005B3853" w:rsidRDefault="005B3853" w:rsidP="005B3853">
      <w:pPr>
        <w:pStyle w:val="Bulletlist1"/>
        <w:ind w:left="1418" w:hanging="357"/>
      </w:pPr>
      <w:r>
        <w:t xml:space="preserve">Plant Ageing; </w:t>
      </w:r>
    </w:p>
    <w:p w14:paraId="724DD44E" w14:textId="77777777" w:rsidR="005B3853" w:rsidRDefault="005B3853" w:rsidP="005B3853">
      <w:pPr>
        <w:pStyle w:val="Bulletlist1"/>
        <w:ind w:left="1418" w:hanging="357"/>
      </w:pPr>
      <w:r>
        <w:t xml:space="preserve">Reliability; and, </w:t>
      </w:r>
    </w:p>
    <w:p w14:paraId="2ED696CB" w14:textId="77777777" w:rsidR="005B3853" w:rsidRDefault="005B3853" w:rsidP="005B3853">
      <w:pPr>
        <w:pStyle w:val="Bulletlist1"/>
        <w:ind w:left="1418" w:hanging="357"/>
      </w:pPr>
      <w:r>
        <w:t>Structural Integrity.</w:t>
      </w:r>
    </w:p>
    <w:p w14:paraId="6FEC1AD1" w14:textId="5973100F" w:rsidR="001B7B6C" w:rsidRPr="00584BEF" w:rsidRDefault="00410A44" w:rsidP="001B7B6C">
      <w:pPr>
        <w:pStyle w:val="Heading2"/>
        <w:ind w:left="851" w:hanging="851"/>
      </w:pPr>
      <w:r>
        <w:t>Relationship to</w:t>
      </w:r>
      <w:r w:rsidR="00D65DF7">
        <w:t xml:space="preserve"> </w:t>
      </w:r>
      <w:r w:rsidR="00F47884">
        <w:t>r</w:t>
      </w:r>
      <w:r w:rsidR="00D65DF7">
        <w:t xml:space="preserve">elevant </w:t>
      </w:r>
      <w:r w:rsidR="00F47884">
        <w:t>l</w:t>
      </w:r>
      <w:r w:rsidR="00047292">
        <w:t>egislation</w:t>
      </w:r>
    </w:p>
    <w:p w14:paraId="553C9431" w14:textId="74378D26" w:rsidR="00AD4DD5" w:rsidRPr="00A93250" w:rsidRDefault="00AD4DD5" w:rsidP="00AD4DD5">
      <w:pPr>
        <w:pStyle w:val="F9-Paragraph"/>
        <w:ind w:left="851" w:hanging="851"/>
      </w:pPr>
      <w:r w:rsidRPr="00A93250">
        <w:t>The Pressure Systems Sa</w:t>
      </w:r>
      <w:r>
        <w:t>fety Regulations</w:t>
      </w:r>
      <w:r w:rsidR="00F47884">
        <w:t xml:space="preserve"> 2000</w:t>
      </w:r>
      <w:r>
        <w:t xml:space="preserve"> (PSSR 2000) </w:t>
      </w:r>
      <w:r w:rsidR="00F47884">
        <w:t>r</w:t>
      </w:r>
      <w:r w:rsidRPr="00A93250">
        <w:t>equire the owner or user of a pressure system to maintain and operate safe plant, to conduct regular examinations of the system and to keep suitable records. The primary purpose of the Regulations is to secure the safety of people at work i.e. to prevent serious injury from the hazard of stored energy as a result of failure of a pressure system or one of its component parts.</w:t>
      </w:r>
    </w:p>
    <w:p w14:paraId="415782AA" w14:textId="2D4B0708" w:rsidR="00AD4DD5" w:rsidRDefault="00E35C2F" w:rsidP="000074E3">
      <w:pPr>
        <w:pStyle w:val="F9-Paragraph"/>
        <w:ind w:left="851" w:hanging="851"/>
      </w:pPr>
      <w:r w:rsidRPr="00E35C2F">
        <w:t>For the A</w:t>
      </w:r>
      <w:r w:rsidR="00C058A4">
        <w:t xml:space="preserve">dvanced </w:t>
      </w:r>
      <w:r w:rsidRPr="00E35C2F">
        <w:t>G</w:t>
      </w:r>
      <w:r w:rsidR="00B564EA">
        <w:t xml:space="preserve">as-cooled </w:t>
      </w:r>
      <w:r w:rsidRPr="00E35C2F">
        <w:t>R</w:t>
      </w:r>
      <w:r w:rsidR="00B564EA">
        <w:t>eactors (AGRs)</w:t>
      </w:r>
      <w:r w:rsidR="004F0CBC">
        <w:t xml:space="preserve"> and </w:t>
      </w:r>
      <w:r w:rsidRPr="00E35C2F">
        <w:t>PWR type concrete pressure vessels, the corresponding licensee is the Competent Person (as defined in the Regulations). The Company Officer designated as the Appointed Examiner (APEX) for a particular containment structure undertakes the duties imposed by the Regulations on the Competent Person.</w:t>
      </w:r>
      <w:r w:rsidR="007676D7">
        <w:t xml:space="preserve"> </w:t>
      </w:r>
      <w:r w:rsidR="00AD4DD5">
        <w:t xml:space="preserve">The Competent Person defined within the Regulations has two distinct functions. Firstly drawing up or certifying schemes of examination (Regulation 8) and secondly carrying out examinations under the scheme (Regulation 9). </w:t>
      </w:r>
    </w:p>
    <w:p w14:paraId="109B73E8" w14:textId="77777777" w:rsidR="00695E8A" w:rsidRPr="00584BEF" w:rsidRDefault="00695E8A" w:rsidP="00695E8A">
      <w:pPr>
        <w:pStyle w:val="Heading2"/>
        <w:ind w:left="851" w:hanging="851"/>
      </w:pPr>
      <w:bookmarkStart w:id="3" w:name="_Toc45178847"/>
      <w:bookmarkStart w:id="4" w:name="_Toc173225668"/>
      <w:r w:rsidRPr="00584BEF">
        <w:t>Applicable SAPs to this annex</w:t>
      </w:r>
      <w:bookmarkEnd w:id="3"/>
      <w:bookmarkEnd w:id="4"/>
    </w:p>
    <w:p w14:paraId="44D87902" w14:textId="642D08C1" w:rsidR="00A44077" w:rsidRPr="00584BEF" w:rsidRDefault="00A44077" w:rsidP="00A44077">
      <w:pPr>
        <w:pStyle w:val="F9-Paragraph"/>
        <w:ind w:left="851" w:hanging="851"/>
      </w:pPr>
      <w:r w:rsidRPr="00584BEF">
        <w:t xml:space="preserve">It is expected that design meets the expectations of the SAPs. In particular for this annex, the relevant SAPs are noted in </w:t>
      </w:r>
      <w:hyperlink w:anchor="_Appendix_-_List" w:history="1">
        <w:r w:rsidR="009C40F5" w:rsidRPr="009C40F5">
          <w:rPr>
            <w:rStyle w:val="Hyperlink"/>
          </w:rPr>
          <w:t>Appendix A</w:t>
        </w:r>
      </w:hyperlink>
      <w:r w:rsidR="009C40F5">
        <w:t>.</w:t>
      </w:r>
      <w:r w:rsidRPr="00584BEF">
        <w:t xml:space="preserve"> </w:t>
      </w:r>
    </w:p>
    <w:p w14:paraId="7476E5DB" w14:textId="77777777" w:rsidR="001C57D0" w:rsidRDefault="001C57D0" w:rsidP="00AF5954">
      <w:pPr>
        <w:pStyle w:val="F9-Paragraph"/>
        <w:ind w:left="851" w:hanging="851"/>
      </w:pPr>
      <w:r w:rsidRPr="00584BEF">
        <w:lastRenderedPageBreak/>
        <w:t>The Inspector should be cognisant of the broad intent of the SAPs, namely that it is not the level of conservatism assigned to one element of the civil engineering analysis and design process, but the (overall) level of conservatism, applied to the design process as a whole, in line with the sample that is being assessed</w:t>
      </w:r>
      <w:r w:rsidR="00A83741">
        <w:t>.</w:t>
      </w:r>
    </w:p>
    <w:p w14:paraId="144C1065" w14:textId="77777777" w:rsidR="00A83741" w:rsidRDefault="00A83741" w:rsidP="00A83741">
      <w:pPr>
        <w:pStyle w:val="Heading2"/>
        <w:ind w:left="851" w:hanging="851"/>
      </w:pPr>
      <w:r>
        <w:t>Applicable standards and international expectations</w:t>
      </w:r>
    </w:p>
    <w:p w14:paraId="5986DE53" w14:textId="243908F8" w:rsidR="00A91A42" w:rsidRDefault="00A91A42" w:rsidP="000A1AAF">
      <w:pPr>
        <w:pStyle w:val="F9-Paragraph"/>
        <w:ind w:left="851" w:hanging="851"/>
      </w:pPr>
      <w:r>
        <w:t>The relevant WENRA Reference Levels</w:t>
      </w:r>
      <w:r w:rsidR="0024708C">
        <w:t xml:space="preserve"> </w:t>
      </w:r>
      <w:sdt>
        <w:sdtPr>
          <w:id w:val="1416590501"/>
          <w:citation/>
        </w:sdtPr>
        <w:sdtEndPr/>
        <w:sdtContent>
          <w:r w:rsidR="0024708C">
            <w:fldChar w:fldCharType="begin"/>
          </w:r>
          <w:r w:rsidR="0024708C">
            <w:instrText xml:space="preserve"> CITATION WEN \l 2057 </w:instrText>
          </w:r>
          <w:r w:rsidR="0024708C">
            <w:fldChar w:fldCharType="separate"/>
          </w:r>
          <w:r w:rsidR="00843F49">
            <w:rPr>
              <w:noProof/>
            </w:rPr>
            <w:t>[3]</w:t>
          </w:r>
          <w:r w:rsidR="0024708C">
            <w:fldChar w:fldCharType="end"/>
          </w:r>
        </w:sdtContent>
      </w:sdt>
      <w:r>
        <w:t xml:space="preserve"> (Issue E, Design Basis Envelope for Existing Reactors and Issue F, Design Extension of Existing Reactors) both apply to existing reactors. This </w:t>
      </w:r>
      <w:r w:rsidR="00F47884">
        <w:t>annex</w:t>
      </w:r>
      <w:r w:rsidR="0024708C">
        <w:t xml:space="preserve"> </w:t>
      </w:r>
      <w:r>
        <w:t>generally includes the provisions of these Reference Levels and more detailed information can be obtained from</w:t>
      </w:r>
      <w:r w:rsidR="0024708C">
        <w:t xml:space="preserve"> </w:t>
      </w:r>
      <w:sdt>
        <w:sdtPr>
          <w:id w:val="-2133313980"/>
          <w:citation/>
        </w:sdtPr>
        <w:sdtEndPr/>
        <w:sdtContent>
          <w:r w:rsidR="00603679">
            <w:fldChar w:fldCharType="begin"/>
          </w:r>
          <w:r w:rsidR="00603679">
            <w:instrText xml:space="preserve"> CITATION WEN \l 2057 </w:instrText>
          </w:r>
          <w:r w:rsidR="00603679">
            <w:fldChar w:fldCharType="separate"/>
          </w:r>
          <w:r w:rsidR="00843F49">
            <w:rPr>
              <w:noProof/>
            </w:rPr>
            <w:t>[3]</w:t>
          </w:r>
          <w:r w:rsidR="00603679">
            <w:fldChar w:fldCharType="end"/>
          </w:r>
        </w:sdtContent>
      </w:sdt>
      <w:r>
        <w:t>.</w:t>
      </w:r>
    </w:p>
    <w:p w14:paraId="260C0A25" w14:textId="248FE016" w:rsidR="00A91A42" w:rsidRDefault="00A91A42" w:rsidP="00603679">
      <w:pPr>
        <w:pStyle w:val="F9-Paragraph"/>
        <w:ind w:left="851" w:hanging="851"/>
      </w:pPr>
      <w:r>
        <w:t>For new nuclear power plants, due account should be taken of the requirements of the WENRA guidance on Safety of new NPP designs in</w:t>
      </w:r>
      <w:r w:rsidR="00E52863">
        <w:t xml:space="preserve"> </w:t>
      </w:r>
      <w:sdt>
        <w:sdtPr>
          <w:id w:val="1993364641"/>
          <w:citation/>
        </w:sdtPr>
        <w:sdtEndPr/>
        <w:sdtContent>
          <w:r w:rsidR="00E52863">
            <w:fldChar w:fldCharType="begin"/>
          </w:r>
          <w:r w:rsidR="00E52863">
            <w:instrText xml:space="preserve"> CITATION WEN10 \l 2057 </w:instrText>
          </w:r>
          <w:r w:rsidR="00E52863">
            <w:fldChar w:fldCharType="separate"/>
          </w:r>
          <w:r w:rsidR="00843F49">
            <w:rPr>
              <w:noProof/>
            </w:rPr>
            <w:t>[4]</w:t>
          </w:r>
          <w:r w:rsidR="00E52863">
            <w:fldChar w:fldCharType="end"/>
          </w:r>
        </w:sdtContent>
      </w:sdt>
      <w:r>
        <w:t xml:space="preserve"> and</w:t>
      </w:r>
      <w:r w:rsidR="00D57ED9">
        <w:t xml:space="preserve"> </w:t>
      </w:r>
      <w:sdt>
        <w:sdtPr>
          <w:id w:val="-935364576"/>
          <w:citation/>
        </w:sdtPr>
        <w:sdtEndPr/>
        <w:sdtContent>
          <w:r w:rsidR="00D57ED9">
            <w:fldChar w:fldCharType="begin"/>
          </w:r>
          <w:r w:rsidR="00D57ED9">
            <w:instrText xml:space="preserve"> CITATION WEN13 \l 2057 </w:instrText>
          </w:r>
          <w:r w:rsidR="00D57ED9">
            <w:fldChar w:fldCharType="separate"/>
          </w:r>
          <w:r w:rsidR="00843F49">
            <w:rPr>
              <w:noProof/>
            </w:rPr>
            <w:t>[5]</w:t>
          </w:r>
          <w:r w:rsidR="00D57ED9">
            <w:fldChar w:fldCharType="end"/>
          </w:r>
        </w:sdtContent>
      </w:sdt>
      <w:r>
        <w:t>.</w:t>
      </w:r>
    </w:p>
    <w:p w14:paraId="6FA9B6EC" w14:textId="270A6758" w:rsidR="006A29C1" w:rsidRDefault="00A91A42">
      <w:pPr>
        <w:pStyle w:val="F9-Paragraph"/>
        <w:ind w:left="851" w:hanging="851"/>
      </w:pPr>
      <w:r>
        <w:t>The IAEA Safety Standard  SSR 2/</w:t>
      </w:r>
      <w:r w:rsidR="00717649">
        <w:t xml:space="preserve">1 </w:t>
      </w:r>
      <w:r>
        <w:t xml:space="preserve">entitled "Safety of Nuclear Power Plants: Design" </w:t>
      </w:r>
      <w:sdt>
        <w:sdtPr>
          <w:id w:val="-782418201"/>
          <w:citation/>
        </w:sdtPr>
        <w:sdtEndPr/>
        <w:sdtContent>
          <w:r w:rsidR="006A29C1">
            <w:fldChar w:fldCharType="begin"/>
          </w:r>
          <w:r w:rsidR="006A29C1">
            <w:instrText xml:space="preserve"> CITATION IAE162 \l 2057 </w:instrText>
          </w:r>
          <w:r w:rsidR="006A29C1">
            <w:fldChar w:fldCharType="separate"/>
          </w:r>
          <w:r w:rsidR="00843F49">
            <w:rPr>
              <w:noProof/>
            </w:rPr>
            <w:t>[6]</w:t>
          </w:r>
          <w:r w:rsidR="006A29C1">
            <w:fldChar w:fldCharType="end"/>
          </w:r>
        </w:sdtContent>
      </w:sdt>
      <w:r w:rsidR="006A29C1">
        <w:t xml:space="preserve"> </w:t>
      </w:r>
      <w:r>
        <w:t xml:space="preserve">has been considered in this </w:t>
      </w:r>
      <w:r w:rsidR="00F47884">
        <w:t xml:space="preserve">annex </w:t>
      </w:r>
      <w:r>
        <w:t>and more detailed information can be obtained from this reference.</w:t>
      </w:r>
      <w:r w:rsidR="00C11539">
        <w:t xml:space="preserve"> The main requirements in relation to </w:t>
      </w:r>
      <w:r w:rsidR="000C4694">
        <w:t>containment structure and containment system are as follows:</w:t>
      </w:r>
    </w:p>
    <w:p w14:paraId="737CF43C" w14:textId="77777777" w:rsidR="001D730C" w:rsidRDefault="00805967" w:rsidP="00374BAD">
      <w:pPr>
        <w:pStyle w:val="Bulletlist1"/>
        <w:ind w:left="1418" w:hanging="357"/>
      </w:pPr>
      <w:r w:rsidRPr="00DC4CCB">
        <w:t>Requirement 54: Containment system for the reactor</w:t>
      </w:r>
      <w:r w:rsidR="00374BAD">
        <w:br/>
      </w:r>
      <w:r w:rsidR="00374BAD">
        <w:br/>
      </w:r>
      <w:r w:rsidRPr="00DC4CCB">
        <w:t xml:space="preserve">A containment system shall be provided to ensure, or to contribute to, the fulfilment of the following safety functions at the nuclear power plant: </w:t>
      </w:r>
    </w:p>
    <w:p w14:paraId="019F0F19" w14:textId="18EA46BC" w:rsidR="001D730C" w:rsidRDefault="00805967" w:rsidP="001D730C">
      <w:pPr>
        <w:pStyle w:val="Bulletlist2"/>
      </w:pPr>
      <w:r w:rsidRPr="00DC4CCB">
        <w:t>confinement of radioactive substances in operational states and in accident conditions;</w:t>
      </w:r>
    </w:p>
    <w:p w14:paraId="274CE824" w14:textId="398F0124" w:rsidR="001D730C" w:rsidRDefault="00805967" w:rsidP="001D730C">
      <w:pPr>
        <w:pStyle w:val="Bulletlist2"/>
      </w:pPr>
      <w:r w:rsidRPr="00DC4CCB">
        <w:t>protection of the reactor against natural external events and human induced events;</w:t>
      </w:r>
    </w:p>
    <w:p w14:paraId="2252C77D" w14:textId="1775FED5" w:rsidR="00805967" w:rsidRDefault="00805967" w:rsidP="00843F49">
      <w:pPr>
        <w:pStyle w:val="Bulletlist2"/>
      </w:pPr>
      <w:r w:rsidRPr="00DC4CCB">
        <w:t>radiation shielding in operational states and in accident conditions.</w:t>
      </w:r>
    </w:p>
    <w:p w14:paraId="61F5334E" w14:textId="77777777" w:rsidR="003E6E40" w:rsidRDefault="003E6E40" w:rsidP="00843F49">
      <w:pPr>
        <w:pStyle w:val="Bulletlist1"/>
        <w:ind w:left="1418" w:hanging="357"/>
      </w:pPr>
      <w:r w:rsidRPr="00DC4CCB">
        <w:t xml:space="preserve">Requirement 55: Control of radioactive releases from the containment </w:t>
      </w:r>
    </w:p>
    <w:p w14:paraId="7D611D7C" w14:textId="61FB2E36" w:rsidR="00CE23B4" w:rsidRDefault="00FD063F" w:rsidP="00843F49">
      <w:pPr>
        <w:pStyle w:val="Bulletlist1"/>
        <w:ind w:left="1418" w:hanging="357"/>
      </w:pPr>
      <w:r w:rsidRPr="00DC4CCB">
        <w:t xml:space="preserve">Requirement 56: Isolation of the containment </w:t>
      </w:r>
    </w:p>
    <w:p w14:paraId="11B51842" w14:textId="77777777" w:rsidR="00CE23B4" w:rsidRDefault="00CE23B4" w:rsidP="00843F49">
      <w:pPr>
        <w:pStyle w:val="Bulletlist1"/>
        <w:ind w:left="1418" w:hanging="357"/>
      </w:pPr>
      <w:r w:rsidRPr="00DC4CCB">
        <w:t xml:space="preserve">Requirement 57: Access to the containment </w:t>
      </w:r>
    </w:p>
    <w:p w14:paraId="5FE2DD25" w14:textId="08597786" w:rsidR="00A91A42" w:rsidRDefault="00A91A42">
      <w:pPr>
        <w:pStyle w:val="F9-Paragraph"/>
        <w:ind w:left="851" w:hanging="851"/>
      </w:pPr>
      <w:r>
        <w:t>Further guidance is available in IAEA Specific Safety Guide SSG-53 “Design of the Reactor Containment and Associated Systems for Nuclear Power Plants”</w:t>
      </w:r>
      <w:r w:rsidR="006A29C1">
        <w:t xml:space="preserve"> </w:t>
      </w:r>
      <w:sdt>
        <w:sdtPr>
          <w:id w:val="-1880234500"/>
          <w:citation/>
        </w:sdtPr>
        <w:sdtEndPr/>
        <w:sdtContent>
          <w:r w:rsidR="005E74C9">
            <w:fldChar w:fldCharType="begin"/>
          </w:r>
          <w:r w:rsidR="005E74C9">
            <w:instrText xml:space="preserve"> CITATION IAE19 \l 2057 </w:instrText>
          </w:r>
          <w:r w:rsidR="005E74C9">
            <w:fldChar w:fldCharType="separate"/>
          </w:r>
          <w:r w:rsidR="00843F49">
            <w:rPr>
              <w:noProof/>
            </w:rPr>
            <w:t>[7]</w:t>
          </w:r>
          <w:r w:rsidR="005E74C9">
            <w:fldChar w:fldCharType="end"/>
          </w:r>
        </w:sdtContent>
      </w:sdt>
      <w:r>
        <w:t xml:space="preserve"> regarding implementation of SSR 2/1 in containment design.</w:t>
      </w:r>
    </w:p>
    <w:p w14:paraId="1D4AB254" w14:textId="2EC88C7E" w:rsidR="00A91A42" w:rsidRDefault="00A91A42" w:rsidP="00717649">
      <w:pPr>
        <w:pStyle w:val="F9-Paragraph"/>
        <w:ind w:left="851" w:hanging="851"/>
      </w:pPr>
      <w:r>
        <w:lastRenderedPageBreak/>
        <w:t xml:space="preserve">The </w:t>
      </w:r>
      <w:r w:rsidR="00FB5EC6" w:rsidRPr="000516AA">
        <w:t xml:space="preserve">IAEA Nuclear Energy Series </w:t>
      </w:r>
      <w:r w:rsidR="00FB5EC6">
        <w:t xml:space="preserve">Construction Technologies for Nuclear Power Plants </w:t>
      </w:r>
      <w:sdt>
        <w:sdtPr>
          <w:id w:val="-346479311"/>
          <w:citation/>
        </w:sdtPr>
        <w:sdtEndPr/>
        <w:sdtContent>
          <w:r w:rsidR="00FB5EC6">
            <w:fldChar w:fldCharType="begin"/>
          </w:r>
          <w:r w:rsidR="00FB5EC6">
            <w:instrText xml:space="preserve"> CITATION IAE11 \l 2057 </w:instrText>
          </w:r>
          <w:r w:rsidR="00FB5EC6">
            <w:fldChar w:fldCharType="separate"/>
          </w:r>
          <w:r w:rsidR="00843F49">
            <w:rPr>
              <w:noProof/>
            </w:rPr>
            <w:t>[8]</w:t>
          </w:r>
          <w:r w:rsidR="00FB5EC6">
            <w:fldChar w:fldCharType="end"/>
          </w:r>
        </w:sdtContent>
      </w:sdt>
      <w:r w:rsidR="00FB5EC6">
        <w:t xml:space="preserve"> </w:t>
      </w:r>
      <w:r>
        <w:t>ha</w:t>
      </w:r>
      <w:r w:rsidR="00FB5EC6">
        <w:t>ve</w:t>
      </w:r>
      <w:r>
        <w:t xml:space="preserve"> been considered in this </w:t>
      </w:r>
      <w:r w:rsidR="008A269E">
        <w:t>annexe</w:t>
      </w:r>
      <w:r>
        <w:t xml:space="preserve"> and more detailed information can be obtained from th</w:t>
      </w:r>
      <w:r w:rsidR="00FB5EC6">
        <w:t>ese</w:t>
      </w:r>
      <w:r>
        <w:t xml:space="preserve"> reference</w:t>
      </w:r>
      <w:r w:rsidR="00FB5EC6">
        <w:t>s</w:t>
      </w:r>
      <w:r>
        <w:t>.</w:t>
      </w:r>
    </w:p>
    <w:p w14:paraId="2AB4E181" w14:textId="77777777" w:rsidR="00A91A42" w:rsidRDefault="00A91A42" w:rsidP="00FB5EC6">
      <w:pPr>
        <w:pStyle w:val="F9-Paragraph"/>
        <w:ind w:left="851" w:hanging="851"/>
      </w:pPr>
      <w:r>
        <w:t>The IAEA have defined terms relevant to the design of civil engineering containments, these are reproduced below:</w:t>
      </w:r>
    </w:p>
    <w:p w14:paraId="4826DAE2" w14:textId="77777777" w:rsidR="00BE7CCC" w:rsidRDefault="00BE7CCC" w:rsidP="00B5500E">
      <w:pPr>
        <w:pStyle w:val="Bulletlist1"/>
        <w:ind w:left="1418" w:hanging="357"/>
      </w:pPr>
      <w:r>
        <w:t>Confinement: Prevention or control of releases of radioactive material to the environment in operation or in accidents. Confinement is closely related in meaning to containment, but confinement is typically used to refer to the safety function of preventing the ‘escape’ of radioactive material, whereas containment refers to the means for achieving that function.</w:t>
      </w:r>
      <w:r w:rsidR="00B5500E">
        <w:t xml:space="preserve"> </w:t>
      </w:r>
      <w:r>
        <w:t>Confinement in nuclear safety is the safety function that is performed by the containment.</w:t>
      </w:r>
    </w:p>
    <w:p w14:paraId="07111FB4" w14:textId="7D0BCA7F" w:rsidR="00AD2FDE" w:rsidRDefault="00AD2FDE">
      <w:pPr>
        <w:pStyle w:val="Bulletlist1"/>
        <w:ind w:left="1418" w:hanging="357"/>
      </w:pPr>
      <w:r>
        <w:t>Containment: Methods or physical structures designed to prevent or control the release and the dispersion of radioactive substances. Although related to confinement, containment is usually used to refer to methods or structures that perform a confinement function in facilities and activities, namely preventing or controlling the release of radioactive substances and their dispersion in the environment.</w:t>
      </w:r>
    </w:p>
    <w:p w14:paraId="0BF1829A" w14:textId="77777777" w:rsidR="009C40F5" w:rsidRDefault="009C40F5" w:rsidP="026CC3FD">
      <w:pPr>
        <w:pStyle w:val="Heading1"/>
        <w:ind w:left="851" w:hanging="851"/>
        <w:sectPr w:rsidR="009C40F5">
          <w:pgSz w:w="11906" w:h="16838"/>
          <w:pgMar w:top="1440" w:right="1440" w:bottom="1440" w:left="1440" w:header="708" w:footer="708" w:gutter="0"/>
          <w:cols w:space="708"/>
          <w:docGrid w:linePitch="360"/>
        </w:sectPr>
      </w:pPr>
      <w:bookmarkStart w:id="5" w:name="_Toc223945695"/>
      <w:bookmarkStart w:id="6" w:name="_Toc223959995"/>
      <w:bookmarkStart w:id="7" w:name="_Toc473642919"/>
      <w:bookmarkStart w:id="8" w:name="_Ref485108197"/>
      <w:bookmarkStart w:id="9" w:name="_Ref485112275"/>
      <w:bookmarkStart w:id="10" w:name="_Toc519072432"/>
      <w:bookmarkStart w:id="11" w:name="_Toc521510829"/>
      <w:bookmarkStart w:id="12" w:name="_Toc141358369"/>
    </w:p>
    <w:p w14:paraId="5869A4F7" w14:textId="1643F4EA" w:rsidR="003855EF" w:rsidRDefault="00C6465C" w:rsidP="026CC3FD">
      <w:pPr>
        <w:pStyle w:val="Heading1"/>
        <w:ind w:left="851" w:hanging="851"/>
      </w:pPr>
      <w:bookmarkStart w:id="13" w:name="_Toc234587374"/>
      <w:r>
        <w:lastRenderedPageBreak/>
        <w:t xml:space="preserve">Guidance </w:t>
      </w:r>
      <w:r w:rsidR="00113A57">
        <w:t xml:space="preserve">on the </w:t>
      </w:r>
      <w:r w:rsidR="009C40F5">
        <w:t>a</w:t>
      </w:r>
      <w:r w:rsidR="00113A57">
        <w:t>ssessment of</w:t>
      </w:r>
      <w:r w:rsidR="009C40F5">
        <w:t xml:space="preserve"> s</w:t>
      </w:r>
      <w:r w:rsidR="00113A57">
        <w:t xml:space="preserve">afety </w:t>
      </w:r>
      <w:r w:rsidR="009C40F5">
        <w:t>c</w:t>
      </w:r>
      <w:r w:rsidR="00113A57">
        <w:t xml:space="preserve">ases </w:t>
      </w:r>
      <w:r w:rsidR="008C7222">
        <w:t xml:space="preserve">for </w:t>
      </w:r>
      <w:r w:rsidR="009C40F5">
        <w:t>e</w:t>
      </w:r>
      <w:r w:rsidR="008C7222">
        <w:t xml:space="preserve">xisting </w:t>
      </w:r>
      <w:r w:rsidR="009C40F5">
        <w:t>p</w:t>
      </w:r>
      <w:r w:rsidR="00B564EA">
        <w:t xml:space="preserve">re-stressed </w:t>
      </w:r>
      <w:r w:rsidR="009C40F5">
        <w:t>c</w:t>
      </w:r>
      <w:r w:rsidR="00B564EA">
        <w:t xml:space="preserve">oncrete </w:t>
      </w:r>
      <w:r w:rsidR="009C40F5">
        <w:t>p</w:t>
      </w:r>
      <w:r w:rsidR="00B564EA">
        <w:t xml:space="preserve">ressure </w:t>
      </w:r>
      <w:r w:rsidR="009C40F5">
        <w:t>v</w:t>
      </w:r>
      <w:r w:rsidR="00B564EA">
        <w:t>essel</w:t>
      </w:r>
      <w:r w:rsidR="008A2F43">
        <w:t xml:space="preserve">s for </w:t>
      </w:r>
      <w:r w:rsidR="009C40F5">
        <w:t>a</w:t>
      </w:r>
      <w:r w:rsidR="00B564EA">
        <w:t xml:space="preserve">dvanced </w:t>
      </w:r>
      <w:r w:rsidR="009C40F5">
        <w:t>g</w:t>
      </w:r>
      <w:r w:rsidR="00F248DB">
        <w:t>as</w:t>
      </w:r>
      <w:r w:rsidR="00B564EA">
        <w:t>-</w:t>
      </w:r>
      <w:r w:rsidR="009C40F5">
        <w:t>c</w:t>
      </w:r>
      <w:r w:rsidR="00F248DB">
        <w:t xml:space="preserve">ooled </w:t>
      </w:r>
      <w:r w:rsidR="009C40F5">
        <w:t>r</w:t>
      </w:r>
      <w:r w:rsidR="00F248DB">
        <w:t>eactors</w:t>
      </w:r>
      <w:bookmarkEnd w:id="5"/>
      <w:bookmarkEnd w:id="6"/>
      <w:bookmarkEnd w:id="13"/>
    </w:p>
    <w:p w14:paraId="5CEAF195" w14:textId="39377E75" w:rsidR="00241CA6" w:rsidRPr="00584BEF" w:rsidRDefault="00241CA6" w:rsidP="00241CA6">
      <w:pPr>
        <w:pStyle w:val="Heading2"/>
        <w:ind w:left="851" w:hanging="851"/>
      </w:pPr>
      <w:r>
        <w:t>General</w:t>
      </w:r>
    </w:p>
    <w:p w14:paraId="74CFB91B" w14:textId="48177033" w:rsidR="00D472DE" w:rsidRPr="00B248D5" w:rsidRDefault="00B248D5" w:rsidP="00850A27">
      <w:pPr>
        <w:pStyle w:val="F9-Paragraph"/>
        <w:ind w:left="851" w:hanging="851"/>
      </w:pPr>
      <w:r w:rsidRPr="00B248D5">
        <w:t xml:space="preserve">UK gas-cooled reactors use uranium oxide fuel within a graphite moderator and are cooled by pressurised carbon dioxide, which transfers heat from the nuclear reaction to boilers that generate steam for electricity production. </w:t>
      </w:r>
      <w:r w:rsidR="009C40F5">
        <w:br/>
      </w:r>
      <w:r w:rsidRPr="00B248D5">
        <w:t xml:space="preserve">The reactor core, gas circulators, and boilers are </w:t>
      </w:r>
      <w:r w:rsidR="001F7462">
        <w:t>contained</w:t>
      </w:r>
      <w:r w:rsidRPr="00B248D5">
        <w:t xml:space="preserve"> within a PCPV. The contained plant is not covered in this </w:t>
      </w:r>
      <w:r w:rsidR="00F47884">
        <w:t>annex</w:t>
      </w:r>
      <w:r w:rsidRPr="00B248D5">
        <w:t>.</w:t>
      </w:r>
    </w:p>
    <w:p w14:paraId="636F816A" w14:textId="77777777" w:rsidR="00E57E3D" w:rsidRDefault="00E57E3D" w:rsidP="00E57E3D">
      <w:pPr>
        <w:pStyle w:val="F9-Paragraph"/>
        <w:ind w:left="851" w:hanging="851"/>
      </w:pPr>
      <w:r>
        <w:t>This guidance relates to safety case revisions and the maintenance of existing PCPVs that were designed and constructed to historic standards. The PCPV provides the reactor pressure boundary during normal operation, fault and severe accident conditions of the reactor.</w:t>
      </w:r>
    </w:p>
    <w:p w14:paraId="3AD845E0" w14:textId="7C283BE6" w:rsidR="000C575C" w:rsidRDefault="000C575C" w:rsidP="000C575C">
      <w:pPr>
        <w:pStyle w:val="F9-Paragraph"/>
        <w:ind w:left="851" w:hanging="851"/>
      </w:pPr>
      <w:r>
        <w:t xml:space="preserve">Due account of known and potential degradation should be taken into consideration during future assessments. More advice on degradation can found in </w:t>
      </w:r>
      <w:r w:rsidRPr="00A33E26">
        <w:t>IAEA Nuclear Energy Series, NP-T-3.5, “Ageing Management of Concrete Structures in Nuclear Power Plants</w:t>
      </w:r>
      <w:r>
        <w:t xml:space="preserve"> </w:t>
      </w:r>
      <w:sdt>
        <w:sdtPr>
          <w:id w:val="1743438852"/>
          <w:citation/>
        </w:sdtPr>
        <w:sdtEndPr/>
        <w:sdtContent>
          <w:r>
            <w:fldChar w:fldCharType="begin"/>
          </w:r>
          <w:r>
            <w:instrText xml:space="preserve"> CITATION IAEA35 \l 2057 </w:instrText>
          </w:r>
          <w:r>
            <w:fldChar w:fldCharType="separate"/>
          </w:r>
          <w:r w:rsidR="00843F49">
            <w:rPr>
              <w:noProof/>
            </w:rPr>
            <w:t>[9]</w:t>
          </w:r>
          <w:r>
            <w:fldChar w:fldCharType="end"/>
          </w:r>
        </w:sdtContent>
      </w:sdt>
      <w:r>
        <w:t>.</w:t>
      </w:r>
    </w:p>
    <w:p w14:paraId="39269618" w14:textId="1A935B96" w:rsidR="00D472DE" w:rsidRDefault="008937C3" w:rsidP="00D472DE">
      <w:pPr>
        <w:pStyle w:val="F9-Paragraph"/>
        <w:ind w:left="851" w:hanging="851"/>
      </w:pPr>
      <w:r w:rsidRPr="001B7DFD">
        <w:rPr>
          <w:lang w:eastAsia="en-GB"/>
        </w:rPr>
        <w:t xml:space="preserve">British Standard </w:t>
      </w:r>
      <w:r>
        <w:rPr>
          <w:lang w:eastAsia="en-GB"/>
        </w:rPr>
        <w:t xml:space="preserve">4975:1990 </w:t>
      </w:r>
      <w:sdt>
        <w:sdtPr>
          <w:rPr>
            <w:lang w:eastAsia="en-GB"/>
          </w:rPr>
          <w:id w:val="800578750"/>
          <w:citation/>
        </w:sdtPr>
        <w:sdtEndPr/>
        <w:sdtContent>
          <w:r w:rsidR="00C50AD0">
            <w:rPr>
              <w:lang w:eastAsia="en-GB"/>
            </w:rPr>
            <w:fldChar w:fldCharType="begin"/>
          </w:r>
          <w:r w:rsidR="00C50AD0">
            <w:rPr>
              <w:lang w:eastAsia="en-GB"/>
            </w:rPr>
            <w:instrText xml:space="preserve"> CITATION BSI3 \l 2057 </w:instrText>
          </w:r>
          <w:r w:rsidR="00C50AD0">
            <w:rPr>
              <w:lang w:eastAsia="en-GB"/>
            </w:rPr>
            <w:fldChar w:fldCharType="separate"/>
          </w:r>
          <w:r w:rsidR="00843F49">
            <w:rPr>
              <w:noProof/>
              <w:lang w:eastAsia="en-GB"/>
            </w:rPr>
            <w:t>[10]</w:t>
          </w:r>
          <w:r w:rsidR="00C50AD0">
            <w:rPr>
              <w:lang w:eastAsia="en-GB"/>
            </w:rPr>
            <w:fldChar w:fldCharType="end"/>
          </w:r>
        </w:sdtContent>
      </w:sdt>
      <w:r>
        <w:rPr>
          <w:lang w:eastAsia="en-GB"/>
        </w:rPr>
        <w:t xml:space="preserve"> </w:t>
      </w:r>
      <w:r w:rsidRPr="001B7DFD">
        <w:rPr>
          <w:lang w:eastAsia="en-GB"/>
        </w:rPr>
        <w:t>specifies the design,</w:t>
      </w:r>
      <w:r>
        <w:rPr>
          <w:lang w:eastAsia="en-GB"/>
        </w:rPr>
        <w:t xml:space="preserve"> </w:t>
      </w:r>
      <w:r w:rsidRPr="001B7DFD">
        <w:rPr>
          <w:lang w:eastAsia="en-GB"/>
        </w:rPr>
        <w:t>construction, inspection and testing of PCPV</w:t>
      </w:r>
      <w:r>
        <w:rPr>
          <w:lang w:eastAsia="en-GB"/>
        </w:rPr>
        <w:t>s</w:t>
      </w:r>
      <w:r w:rsidRPr="001B7DFD">
        <w:rPr>
          <w:lang w:eastAsia="en-GB"/>
        </w:rPr>
        <w:t xml:space="preserve"> for nuclear</w:t>
      </w:r>
      <w:r>
        <w:rPr>
          <w:lang w:eastAsia="en-GB"/>
        </w:rPr>
        <w:t xml:space="preserve"> </w:t>
      </w:r>
      <w:r w:rsidRPr="001B7DFD">
        <w:rPr>
          <w:lang w:eastAsia="en-GB"/>
        </w:rPr>
        <w:t>reactors, includin</w:t>
      </w:r>
      <w:r>
        <w:rPr>
          <w:lang w:eastAsia="en-GB"/>
        </w:rPr>
        <w:t xml:space="preserve">g components that are necessary </w:t>
      </w:r>
      <w:r w:rsidRPr="001B7DFD">
        <w:rPr>
          <w:lang w:eastAsia="en-GB"/>
        </w:rPr>
        <w:t>to maintain the structural integrity and</w:t>
      </w:r>
      <w:r>
        <w:rPr>
          <w:lang w:eastAsia="en-GB"/>
        </w:rPr>
        <w:t xml:space="preserve"> </w:t>
      </w:r>
      <w:r w:rsidRPr="001B7DFD">
        <w:rPr>
          <w:lang w:eastAsia="en-GB"/>
        </w:rPr>
        <w:t>leak</w:t>
      </w:r>
      <w:r>
        <w:rPr>
          <w:lang w:eastAsia="en-GB"/>
        </w:rPr>
        <w:t xml:space="preserve"> </w:t>
      </w:r>
      <w:r w:rsidRPr="001B7DFD">
        <w:rPr>
          <w:lang w:eastAsia="en-GB"/>
        </w:rPr>
        <w:t>tightness of the vessels</w:t>
      </w:r>
      <w:r w:rsidR="00963BF7">
        <w:rPr>
          <w:lang w:eastAsia="en-GB"/>
        </w:rPr>
        <w:t>.</w:t>
      </w:r>
    </w:p>
    <w:p w14:paraId="6B892709" w14:textId="6C4C0F64" w:rsidR="000C3792" w:rsidRPr="001F7462" w:rsidRDefault="001F7462" w:rsidP="00DC2B79">
      <w:pPr>
        <w:pStyle w:val="F9-Paragraph"/>
        <w:ind w:left="851" w:hanging="851"/>
        <w:rPr>
          <w:lang w:eastAsia="en-GB"/>
        </w:rPr>
      </w:pPr>
      <w:r>
        <w:t xml:space="preserve">The safety of a PCPV relies on accurately assessing expected loadings throughout its service life and ensuring the vessel is properly designed to withstand them. Ongoing safety is achieved through established operational procedures and regular monitoring and inspection. When evaluating a PCPV for continued use, </w:t>
      </w:r>
      <w:r w:rsidR="00635002">
        <w:t>inspector</w:t>
      </w:r>
      <w:r>
        <w:t xml:space="preserve">s </w:t>
      </w:r>
      <w:r w:rsidR="00DC2B79">
        <w:t xml:space="preserve">need to </w:t>
      </w:r>
      <w:r>
        <w:t>consider its operating history</w:t>
      </w:r>
      <w:r w:rsidR="67D01C6D">
        <w:t xml:space="preserve">, </w:t>
      </w:r>
      <w:r>
        <w:t>including vessel temperature, CO</w:t>
      </w:r>
      <w:r w:rsidRPr="00843F49">
        <w:rPr>
          <w:vertAlign w:val="subscript"/>
        </w:rPr>
        <w:t>2</w:t>
      </w:r>
      <w:r>
        <w:t xml:space="preserve"> gas and</w:t>
      </w:r>
      <w:r w:rsidR="00DC2B79">
        <w:t xml:space="preserve"> </w:t>
      </w:r>
      <w:r w:rsidR="00DC2B79" w:rsidRPr="026CC3FD">
        <w:rPr>
          <w:lang w:eastAsia="en-GB"/>
        </w:rPr>
        <w:t>Pressure Vessel Cooling Water (</w:t>
      </w:r>
      <w:r>
        <w:t>PVCW</w:t>
      </w:r>
      <w:r w:rsidR="00DC2B79">
        <w:t>)</w:t>
      </w:r>
      <w:r>
        <w:t xml:space="preserve"> leakage, and pressure</w:t>
      </w:r>
      <w:r w:rsidR="5E6E965A">
        <w:t xml:space="preserve"> </w:t>
      </w:r>
      <w:r>
        <w:t xml:space="preserve">as well as inspection results that may reveal signs of ageing. </w:t>
      </w:r>
      <w:r w:rsidR="00B42D79">
        <w:t xml:space="preserve">The inspector may wish to investigate the </w:t>
      </w:r>
      <w:r w:rsidR="00F924E7">
        <w:t>anomalous results</w:t>
      </w:r>
      <w:r w:rsidR="00C44328">
        <w:t xml:space="preserve"> and request further investigation if necessary.</w:t>
      </w:r>
      <w:r w:rsidR="00F924E7">
        <w:t xml:space="preserve"> </w:t>
      </w:r>
      <w:r>
        <w:t>Any proposed operational changes should be reviewed against BS 4975</w:t>
      </w:r>
      <w:r w:rsidR="00B168B1">
        <w:t>:1990</w:t>
      </w:r>
      <w:r>
        <w:t>, considering the vessel’s current ageing condition.</w:t>
      </w:r>
    </w:p>
    <w:p w14:paraId="70D96DC8" w14:textId="3CF75156" w:rsidR="0020356B" w:rsidRPr="00B168B1" w:rsidRDefault="00DC2B79" w:rsidP="00B168B1">
      <w:pPr>
        <w:pStyle w:val="F9-Paragraph"/>
        <w:ind w:left="851" w:hanging="851"/>
        <w:rPr>
          <w:lang w:eastAsia="en-GB"/>
        </w:rPr>
      </w:pPr>
      <w:r w:rsidRPr="026CC3FD">
        <w:rPr>
          <w:rFonts w:eastAsia="Calibri"/>
        </w:rPr>
        <w:t>BS 4975</w:t>
      </w:r>
      <w:r w:rsidR="00C8782A" w:rsidRPr="026CC3FD">
        <w:rPr>
          <w:rFonts w:eastAsia="Calibri"/>
        </w:rPr>
        <w:t>:1990</w:t>
      </w:r>
      <w:r w:rsidRPr="026CC3FD">
        <w:rPr>
          <w:rFonts w:eastAsia="Calibri"/>
        </w:rPr>
        <w:t xml:space="preserve"> states that the structural integrity of a PCPV relies on the combined action of the concrete, pre-stressing system, and any bonded reinforcement. For AGR and Magnox PCPV designs, the pre-stressing system is the key factor in ultimate load capacity. </w:t>
      </w:r>
    </w:p>
    <w:p w14:paraId="52FE2412" w14:textId="7EB12703" w:rsidR="00EC7F0F" w:rsidRPr="00584BEF" w:rsidRDefault="00B248D5" w:rsidP="00EC7F0F">
      <w:pPr>
        <w:pStyle w:val="Heading2"/>
        <w:ind w:left="851" w:hanging="851"/>
      </w:pPr>
      <w:r>
        <w:lastRenderedPageBreak/>
        <w:t xml:space="preserve">Periodic </w:t>
      </w:r>
      <w:r w:rsidR="009C40F5">
        <w:t>m</w:t>
      </w:r>
      <w:r>
        <w:t xml:space="preserve">easurement and </w:t>
      </w:r>
      <w:r w:rsidR="009C40F5">
        <w:t>i</w:t>
      </w:r>
      <w:r>
        <w:t>nspection</w:t>
      </w:r>
    </w:p>
    <w:p w14:paraId="493FE3F0" w14:textId="2711D4B8" w:rsidR="002432A9" w:rsidRDefault="00ED4FA2" w:rsidP="00FA65FA">
      <w:pPr>
        <w:pStyle w:val="F9-Paragraph"/>
        <w:ind w:left="851" w:hanging="851"/>
        <w:rPr>
          <w:rFonts w:eastAsia="Calibri"/>
        </w:rPr>
      </w:pPr>
      <w:r w:rsidRPr="026CC3FD">
        <w:rPr>
          <w:rFonts w:eastAsia="Calibri"/>
        </w:rPr>
        <w:t xml:space="preserve">EAD.4 </w:t>
      </w:r>
      <w:r w:rsidR="00444095" w:rsidRPr="026CC3FD">
        <w:rPr>
          <w:rFonts w:eastAsia="Calibri"/>
        </w:rPr>
        <w:t xml:space="preserve">states that </w:t>
      </w:r>
      <w:r w:rsidR="60E00EEC" w:rsidRPr="026CC3FD">
        <w:rPr>
          <w:rFonts w:eastAsia="Calibri"/>
        </w:rPr>
        <w:t>w</w:t>
      </w:r>
      <w:r w:rsidR="00444095" w:rsidRPr="026CC3FD">
        <w:rPr>
          <w:rFonts w:eastAsia="Calibri"/>
        </w:rPr>
        <w:t xml:space="preserve">here parameters relevant to the design of plant could change with time and affect safety, provision should be made for their periodic measurement. </w:t>
      </w:r>
      <w:r w:rsidR="00F85731" w:rsidRPr="026CC3FD">
        <w:rPr>
          <w:rFonts w:eastAsia="Calibri"/>
        </w:rPr>
        <w:t>ECE.</w:t>
      </w:r>
      <w:r w:rsidR="004D340E" w:rsidRPr="026CC3FD">
        <w:rPr>
          <w:rFonts w:eastAsia="Calibri"/>
        </w:rPr>
        <w:t>20 requires that p</w:t>
      </w:r>
      <w:r w:rsidR="00F85731" w:rsidRPr="026CC3FD">
        <w:rPr>
          <w:rFonts w:eastAsia="Calibri"/>
        </w:rPr>
        <w:t>rovision should be made for inspection, testing and monitoring during normal operations aimed at demonstrating that the structure continues to meet its safety functional requirements. Due account should be taken of the periodicity of the activities.</w:t>
      </w:r>
    </w:p>
    <w:p w14:paraId="004761EC" w14:textId="7A08CAC3" w:rsidR="00FA65FA" w:rsidRPr="00FA65FA" w:rsidRDefault="00FA65FA" w:rsidP="00FA65FA">
      <w:pPr>
        <w:pStyle w:val="F9-Paragraph"/>
        <w:ind w:left="851" w:hanging="851"/>
        <w:rPr>
          <w:rFonts w:eastAsia="Calibri"/>
        </w:rPr>
      </w:pPr>
      <w:r w:rsidRPr="026CC3FD">
        <w:rPr>
          <w:rFonts w:eastAsia="Calibri"/>
        </w:rPr>
        <w:t xml:space="preserve">To ensure the safe operation of PCPVs, ongoing assurance of its continued structural integrity is provided by the programme of inspections and measurements carried out by the </w:t>
      </w:r>
      <w:r w:rsidR="008C64E4">
        <w:rPr>
          <w:rFonts w:eastAsia="Calibri"/>
        </w:rPr>
        <w:t xml:space="preserve">Competent Person </w:t>
      </w:r>
      <w:r w:rsidR="00514694">
        <w:rPr>
          <w:rFonts w:eastAsia="Calibri"/>
        </w:rPr>
        <w:t>(</w:t>
      </w:r>
      <w:r w:rsidR="00742206">
        <w:rPr>
          <w:rFonts w:eastAsia="Calibri"/>
        </w:rPr>
        <w:t>via</w:t>
      </w:r>
      <w:r w:rsidR="00514694">
        <w:rPr>
          <w:rFonts w:eastAsia="Calibri"/>
        </w:rPr>
        <w:t xml:space="preserve"> its </w:t>
      </w:r>
      <w:r w:rsidR="00514694" w:rsidRPr="00E35C2F">
        <w:t>Company Officer designated as APEX)</w:t>
      </w:r>
      <w:r w:rsidR="00215057">
        <w:t xml:space="preserve"> </w:t>
      </w:r>
      <w:r w:rsidR="008C64E4">
        <w:rPr>
          <w:rFonts w:eastAsia="Calibri"/>
        </w:rPr>
        <w:t xml:space="preserve">under the PSSR </w:t>
      </w:r>
      <w:r w:rsidRPr="026CC3FD">
        <w:rPr>
          <w:rFonts w:eastAsia="Calibri"/>
        </w:rPr>
        <w:t xml:space="preserve">and reported at </w:t>
      </w:r>
      <w:r w:rsidR="003F6F10">
        <w:rPr>
          <w:rFonts w:eastAsia="Calibri"/>
        </w:rPr>
        <w:t>required intervals</w:t>
      </w:r>
      <w:r w:rsidRPr="026CC3FD">
        <w:rPr>
          <w:rFonts w:eastAsia="Calibri"/>
        </w:rPr>
        <w:t>. The scope of the examination is based on BS 4975</w:t>
      </w:r>
      <w:r w:rsidR="00C8782A" w:rsidRPr="026CC3FD">
        <w:rPr>
          <w:rFonts w:eastAsia="Calibri"/>
        </w:rPr>
        <w:t>:1990</w:t>
      </w:r>
      <w:r w:rsidRPr="026CC3FD">
        <w:rPr>
          <w:rFonts w:eastAsia="Calibri"/>
        </w:rPr>
        <w:t xml:space="preserve"> and is detailed in each Station’s Maintenance Schedule, and normally covers:</w:t>
      </w:r>
    </w:p>
    <w:p w14:paraId="4D8448AA" w14:textId="77777777" w:rsidR="00FA65FA" w:rsidRDefault="00FA65FA" w:rsidP="00C8782A">
      <w:pPr>
        <w:pStyle w:val="Bulletlist1"/>
        <w:ind w:left="1418" w:hanging="357"/>
      </w:pPr>
      <w:r>
        <w:t>Condition of the accessible concrete surfaces of the vessel and support structure;</w:t>
      </w:r>
    </w:p>
    <w:p w14:paraId="66E488DC" w14:textId="77777777" w:rsidR="00FA65FA" w:rsidRDefault="00FA65FA" w:rsidP="00C8782A">
      <w:pPr>
        <w:pStyle w:val="Bulletlist1"/>
        <w:ind w:left="1418" w:hanging="357"/>
      </w:pPr>
      <w:r>
        <w:t>Pre-stressing tendon anchorages;</w:t>
      </w:r>
    </w:p>
    <w:p w14:paraId="686345BF" w14:textId="77777777" w:rsidR="00FA65FA" w:rsidRDefault="00FA65FA" w:rsidP="00C8782A">
      <w:pPr>
        <w:pStyle w:val="Bulletlist1"/>
        <w:ind w:left="1418" w:hanging="357"/>
      </w:pPr>
      <w:r>
        <w:t>Tendon loads;</w:t>
      </w:r>
    </w:p>
    <w:p w14:paraId="4377AAD2" w14:textId="77777777" w:rsidR="00FA65FA" w:rsidRDefault="00FA65FA" w:rsidP="00C8782A">
      <w:pPr>
        <w:pStyle w:val="Bulletlist1"/>
        <w:ind w:left="1418" w:hanging="357"/>
      </w:pPr>
      <w:r>
        <w:t>Pre-stressing strand withdrawal, examination and tensile testing;</w:t>
      </w:r>
    </w:p>
    <w:p w14:paraId="60E10C7C" w14:textId="77777777" w:rsidR="00FA65FA" w:rsidRDefault="00FA65FA" w:rsidP="00C8782A">
      <w:pPr>
        <w:pStyle w:val="Bulletlist1"/>
        <w:ind w:left="1418" w:hanging="357"/>
      </w:pPr>
      <w:r>
        <w:t>Vessel settlement and tilt;</w:t>
      </w:r>
    </w:p>
    <w:p w14:paraId="34A8D4DA" w14:textId="77777777" w:rsidR="00FA65FA" w:rsidRDefault="00FA65FA" w:rsidP="00C8782A">
      <w:pPr>
        <w:pStyle w:val="Bulletlist1"/>
        <w:ind w:left="1418" w:hanging="357"/>
      </w:pPr>
      <w:r>
        <w:t>Vibrating wire strain gauge monitoring;</w:t>
      </w:r>
    </w:p>
    <w:p w14:paraId="4BFA86F0" w14:textId="77777777" w:rsidR="00FA65FA" w:rsidRDefault="00FA65FA" w:rsidP="00C8782A">
      <w:pPr>
        <w:pStyle w:val="Bulletlist1"/>
        <w:ind w:left="1418" w:hanging="357"/>
      </w:pPr>
      <w:r>
        <w:t>Vessel temperatures;</w:t>
      </w:r>
    </w:p>
    <w:p w14:paraId="65177390" w14:textId="77777777" w:rsidR="00FA65FA" w:rsidRDefault="00FA65FA" w:rsidP="00C8782A">
      <w:pPr>
        <w:pStyle w:val="Bulletlist1"/>
        <w:ind w:left="1418" w:hanging="357"/>
      </w:pPr>
      <w:r>
        <w:t>Main reactor coolant loss;</w:t>
      </w:r>
    </w:p>
    <w:p w14:paraId="4FB93500" w14:textId="77777777" w:rsidR="00FA65FA" w:rsidRDefault="00FA65FA" w:rsidP="00C8782A">
      <w:pPr>
        <w:pStyle w:val="Bulletlist1"/>
        <w:ind w:left="1418" w:hanging="357"/>
      </w:pPr>
      <w:r>
        <w:t>PCPV cooling water loss;</w:t>
      </w:r>
    </w:p>
    <w:p w14:paraId="0F332B1A" w14:textId="77777777" w:rsidR="00FA65FA" w:rsidRDefault="00FA65FA" w:rsidP="00C8782A">
      <w:pPr>
        <w:pStyle w:val="Bulletlist1"/>
        <w:ind w:left="1418" w:hanging="357"/>
      </w:pPr>
      <w:r>
        <w:t>PCPV top cap deflection;</w:t>
      </w:r>
    </w:p>
    <w:p w14:paraId="39093FB7" w14:textId="77777777" w:rsidR="00FA65FA" w:rsidRDefault="00FA65FA" w:rsidP="00C8782A">
      <w:pPr>
        <w:pStyle w:val="Bulletlist1"/>
        <w:ind w:left="1418" w:hanging="357"/>
      </w:pPr>
      <w:r>
        <w:t>Review of operating history.</w:t>
      </w:r>
    </w:p>
    <w:p w14:paraId="32DE1CF5" w14:textId="77777777" w:rsidR="00FA65FA" w:rsidRDefault="00FA65FA" w:rsidP="00C8782A">
      <w:pPr>
        <w:pStyle w:val="Bulletlist1"/>
        <w:ind w:left="1418" w:hanging="357"/>
      </w:pPr>
      <w:r>
        <w:t>ESR – but only for pod type boilers</w:t>
      </w:r>
    </w:p>
    <w:p w14:paraId="0801CE06" w14:textId="77777777" w:rsidR="00281D97" w:rsidRPr="00281D97" w:rsidRDefault="00281D97" w:rsidP="00281D97">
      <w:pPr>
        <w:pStyle w:val="F9-Paragraph"/>
        <w:ind w:left="851" w:hanging="851"/>
        <w:rPr>
          <w:rFonts w:eastAsia="Calibri"/>
        </w:rPr>
      </w:pPr>
      <w:r w:rsidRPr="00281D97">
        <w:rPr>
          <w:rFonts w:eastAsia="Calibri"/>
        </w:rPr>
        <w:t>The areas of interest that may influence the test regime include:</w:t>
      </w:r>
    </w:p>
    <w:p w14:paraId="48498383" w14:textId="77777777" w:rsidR="00281D97" w:rsidRDefault="00281D97" w:rsidP="00281D97">
      <w:pPr>
        <w:pStyle w:val="Bulletlist1"/>
        <w:ind w:left="1418" w:hanging="357"/>
      </w:pPr>
      <w:r>
        <w:t>The degree of relaxation of the pre-stress in the steel tendons.</w:t>
      </w:r>
    </w:p>
    <w:p w14:paraId="47470F6E" w14:textId="77777777" w:rsidR="00281D97" w:rsidRDefault="00281D97" w:rsidP="00281D97">
      <w:pPr>
        <w:pStyle w:val="Bulletlist1"/>
        <w:ind w:left="1418" w:hanging="357"/>
      </w:pPr>
      <w:r>
        <w:t>The influence of concrete creep on the pre-stress in the tendons and the changes to the stress regime in the concrete.</w:t>
      </w:r>
    </w:p>
    <w:p w14:paraId="0C27DCCF" w14:textId="77777777" w:rsidR="00281D97" w:rsidRDefault="00281D97" w:rsidP="00281D97">
      <w:pPr>
        <w:pStyle w:val="Bulletlist1"/>
        <w:ind w:left="1418" w:hanging="357"/>
      </w:pPr>
      <w:r>
        <w:t>The location of cooling water leaks and CO</w:t>
      </w:r>
      <w:r w:rsidRPr="00843F49">
        <w:rPr>
          <w:vertAlign w:val="subscript"/>
        </w:rPr>
        <w:t>2</w:t>
      </w:r>
      <w:r>
        <w:t xml:space="preserve"> coolant leaks, and their potential to degrade the concrete and corrode the steel tendons.</w:t>
      </w:r>
    </w:p>
    <w:p w14:paraId="704EAF9D" w14:textId="77777777" w:rsidR="00281D97" w:rsidRDefault="00281D97" w:rsidP="00281D97">
      <w:pPr>
        <w:pStyle w:val="Bulletlist1"/>
        <w:ind w:left="1418" w:hanging="357"/>
      </w:pPr>
      <w:r>
        <w:lastRenderedPageBreak/>
        <w:t>Changes to the concrete temperatures during operation and the significance of failures to the thermocouples that monitor this.</w:t>
      </w:r>
    </w:p>
    <w:p w14:paraId="348BA015" w14:textId="04FE1DEB" w:rsidR="000C3792" w:rsidRDefault="00635002" w:rsidP="00C95E2E">
      <w:pPr>
        <w:pStyle w:val="F9-Paragraph"/>
        <w:ind w:left="851" w:hanging="851"/>
        <w:rPr>
          <w:rFonts w:eastAsia="Calibri"/>
        </w:rPr>
      </w:pPr>
      <w:r>
        <w:t xml:space="preserve">As a result of </w:t>
      </w:r>
      <w:r w:rsidR="00CF0856" w:rsidRPr="026CC3FD">
        <w:rPr>
          <w:rFonts w:eastAsia="Calibri"/>
        </w:rPr>
        <w:t xml:space="preserve">these inspections and measurements, the APEX produces a report on the Statutory Outage, typically recommending that the PCPV remains fit for service for a specified period. When reviewing this report, the </w:t>
      </w:r>
      <w:r>
        <w:t>inspector</w:t>
      </w:r>
      <w:r w:rsidR="00CF0856" w:rsidRPr="026CC3FD">
        <w:rPr>
          <w:rFonts w:eastAsia="Calibri"/>
        </w:rPr>
        <w:t xml:space="preserve"> should confirm that all Maintenance Schedule requirements are met, previous APEX recommendations have been actioned, and that conclusions align with inspection findings. If any prior recommendations cannot be addressed before restart, they must be reviewed </w:t>
      </w:r>
      <w:r w:rsidR="004B50F9">
        <w:rPr>
          <w:rFonts w:eastAsia="Calibri"/>
        </w:rPr>
        <w:t xml:space="preserve">by the APEX </w:t>
      </w:r>
      <w:r w:rsidR="00CF0856" w:rsidRPr="026CC3FD">
        <w:rPr>
          <w:rFonts w:eastAsia="Calibri"/>
        </w:rPr>
        <w:t>and justified with appropriate safety arguments to support start-up with these issues outstanding.</w:t>
      </w:r>
    </w:p>
    <w:p w14:paraId="1FB6A829" w14:textId="19ACDA6B" w:rsidR="00B41770" w:rsidRPr="00B06B71" w:rsidRDefault="00B06B71" w:rsidP="00A11A4F">
      <w:pPr>
        <w:pStyle w:val="F9-Paragraph"/>
        <w:ind w:left="851" w:hanging="851"/>
        <w:rPr>
          <w:rFonts w:eastAsia="Calibri"/>
        </w:rPr>
      </w:pPr>
      <w:r w:rsidRPr="00B06B71">
        <w:rPr>
          <w:rFonts w:eastAsia="Calibri"/>
        </w:rPr>
        <w:t xml:space="preserve">Over time, relaxation in the pre-stressing tendons reduces the margin of pre-stress above the Minimum Design Load (MDL). The MDL refers to the tendon anchor load that the </w:t>
      </w:r>
      <w:r w:rsidR="0017017B">
        <w:t xml:space="preserve">arithmetic mean </w:t>
      </w:r>
      <w:r w:rsidRPr="00B06B71">
        <w:rPr>
          <w:rFonts w:eastAsia="Calibri"/>
        </w:rPr>
        <w:t xml:space="preserve">of all residual tendon anchor loads in the PCPV must exceed. Using the arithmetic mean is acceptable when the tendon system and concrete mass are sufficiently stiff, making small variations in tendon load </w:t>
      </w:r>
      <w:r w:rsidR="00A11A4F">
        <w:rPr>
          <w:rFonts w:eastAsia="Calibri"/>
        </w:rPr>
        <w:t>inconsequential</w:t>
      </w:r>
      <w:r w:rsidRPr="00B06B71">
        <w:rPr>
          <w:rFonts w:eastAsia="Calibri"/>
        </w:rPr>
        <w:t>.</w:t>
      </w:r>
    </w:p>
    <w:p w14:paraId="550D8C08" w14:textId="4B5C956B" w:rsidR="00663D2A" w:rsidRPr="00F41801" w:rsidRDefault="00663D2A" w:rsidP="00F41801">
      <w:pPr>
        <w:pStyle w:val="F9-Paragraph"/>
        <w:ind w:left="851" w:hanging="851"/>
      </w:pPr>
      <w:r w:rsidRPr="00663D2A">
        <w:rPr>
          <w:rFonts w:eastAsia="Calibri"/>
        </w:rPr>
        <w:t>Residual tendon anchor loads are periodically checked by testing at least 1% of tendons on each PCPV, with the mean value calculated for each vessel. Top and bottom tendon anchorage loads are usually assessed separately, and for AGRs with helically wound tendons, the mean effective load at both ends must meet or exceed the MDL. These samples estimate, rather than precisely determine, the population mean. If the data variance is low and the margin above the MDL is high, this estimation is sufficient. However, if variance is high and the margin is low, results should be evaluated using an appropriate confidence level, based on the consequences of breaching the MDL for each PCPV.</w:t>
      </w:r>
    </w:p>
    <w:p w14:paraId="2EDCCE7A" w14:textId="683E56AC" w:rsidR="00D772BE" w:rsidRPr="00D772BE" w:rsidRDefault="00D772BE" w:rsidP="00FB3B6F">
      <w:pPr>
        <w:pStyle w:val="F9-Paragraph"/>
        <w:ind w:left="851" w:hanging="851"/>
        <w:rPr>
          <w:rFonts w:eastAsia="Calibri"/>
        </w:rPr>
      </w:pPr>
      <w:r w:rsidRPr="00D772BE">
        <w:rPr>
          <w:rFonts w:eastAsia="Calibri"/>
        </w:rPr>
        <w:t xml:space="preserve">It is important to note that BS 4975:1990 does not define the MDL as a design safety limit; the actual design constraint is the compressive stress in the vessel concrete, determined via computer analysis. While a significant margin </w:t>
      </w:r>
      <w:r w:rsidR="00F0796E">
        <w:t>e</w:t>
      </w:r>
      <w:r w:rsidR="00E03222">
        <w:t xml:space="preserve">xists </w:t>
      </w:r>
      <w:r w:rsidRPr="00D772BE">
        <w:rPr>
          <w:rFonts w:eastAsia="Calibri"/>
        </w:rPr>
        <w:t>between the average tendon load and the MDL</w:t>
      </w:r>
      <w:r w:rsidR="006F469B">
        <w:t xml:space="preserve">, for a PCPV, </w:t>
      </w:r>
      <w:r w:rsidRPr="00D772BE">
        <w:rPr>
          <w:rFonts w:eastAsia="Calibri"/>
        </w:rPr>
        <w:t>the MDL serve</w:t>
      </w:r>
      <w:r w:rsidR="006F469B">
        <w:t>s</w:t>
      </w:r>
      <w:r w:rsidRPr="00D772BE">
        <w:rPr>
          <w:rFonts w:eastAsia="Calibri"/>
        </w:rPr>
        <w:t xml:space="preserve"> as a practical benchmark for </w:t>
      </w:r>
      <w:r w:rsidR="0083762C">
        <w:t xml:space="preserve">to demonstrate adequate margin for </w:t>
      </w:r>
      <w:r w:rsidRPr="00D772BE">
        <w:rPr>
          <w:rFonts w:eastAsia="Calibri"/>
        </w:rPr>
        <w:t>safety</w:t>
      </w:r>
      <w:r w:rsidR="0083762C">
        <w:t>. A</w:t>
      </w:r>
      <w:r w:rsidRPr="00D772BE">
        <w:rPr>
          <w:rFonts w:eastAsia="Calibri"/>
        </w:rPr>
        <w:t>t some sites this margin is narrowing and could eventually disappear</w:t>
      </w:r>
      <w:r w:rsidR="0083762C">
        <w:t xml:space="preserve"> in near future</w:t>
      </w:r>
      <w:r w:rsidRPr="00D772BE">
        <w:rPr>
          <w:rFonts w:eastAsia="Calibri"/>
        </w:rPr>
        <w:t>. This does not automatically indicate inadequate safety margins; instead, the safety case for continued operation should rely on computer analysis and the calculated compressive stress in the concrete.</w:t>
      </w:r>
    </w:p>
    <w:p w14:paraId="773542C7" w14:textId="46B43867" w:rsidR="00B30E06" w:rsidRPr="00E83E1A" w:rsidRDefault="00E83E1A" w:rsidP="002A17E8">
      <w:pPr>
        <w:pStyle w:val="F9-Paragraph"/>
        <w:ind w:left="851" w:hanging="851"/>
        <w:rPr>
          <w:rFonts w:eastAsia="Calibri"/>
        </w:rPr>
      </w:pPr>
      <w:r w:rsidRPr="00E83E1A">
        <w:rPr>
          <w:rFonts w:eastAsia="Calibri"/>
        </w:rPr>
        <w:t>When evaluating safety margins, it is essential to account for uncertainties in tendon strand condition and the effectiveness of the original corrosion protection grease, especially where tendons have been exposed to PVCW or combined PVCW and CO</w:t>
      </w:r>
      <w:r w:rsidRPr="002A17E8">
        <w:rPr>
          <w:rFonts w:ascii="Cambria Math" w:eastAsia="Calibri" w:hAnsi="Cambria Math" w:cs="Cambria Math"/>
        </w:rPr>
        <w:t>₂</w:t>
      </w:r>
      <w:r w:rsidRPr="00E83E1A">
        <w:rPr>
          <w:rFonts w:eastAsia="Calibri"/>
        </w:rPr>
        <w:t xml:space="preserve"> leaks. Additionally, while periodic sampling offers some assurance of tendon integrity, some tendons may remain uninspected due to inaccessible locations or prohibitive removal costs.</w:t>
      </w:r>
    </w:p>
    <w:p w14:paraId="185DAFE6" w14:textId="77777777" w:rsidR="009C40F5" w:rsidRDefault="009C40F5" w:rsidP="00DB6052">
      <w:pPr>
        <w:pStyle w:val="F9-Paragraph"/>
        <w:ind w:left="851" w:hanging="851"/>
        <w:rPr>
          <w:rFonts w:eastAsia="Calibri"/>
        </w:rPr>
        <w:sectPr w:rsidR="009C40F5">
          <w:pgSz w:w="11906" w:h="16838"/>
          <w:pgMar w:top="1440" w:right="1440" w:bottom="1440" w:left="1440" w:header="708" w:footer="708" w:gutter="0"/>
          <w:cols w:space="708"/>
          <w:docGrid w:linePitch="360"/>
        </w:sectPr>
      </w:pPr>
    </w:p>
    <w:p w14:paraId="5C68C514" w14:textId="5D31D029" w:rsidR="00797BB2" w:rsidRPr="002F45BF" w:rsidRDefault="002F45BF" w:rsidP="00DB6052">
      <w:pPr>
        <w:pStyle w:val="F9-Paragraph"/>
        <w:ind w:left="851" w:hanging="851"/>
        <w:rPr>
          <w:rFonts w:eastAsia="Calibri"/>
        </w:rPr>
      </w:pPr>
      <w:r w:rsidRPr="002F45BF">
        <w:rPr>
          <w:rFonts w:eastAsia="Calibri"/>
        </w:rPr>
        <w:lastRenderedPageBreak/>
        <w:t xml:space="preserve">If previously unforeseen operating conditions are identified or suspected, the </w:t>
      </w:r>
      <w:r w:rsidR="00370675">
        <w:t xml:space="preserve">periodic </w:t>
      </w:r>
      <w:r w:rsidRPr="002F45BF">
        <w:rPr>
          <w:rFonts w:eastAsia="Calibri"/>
        </w:rPr>
        <w:t xml:space="preserve">measurement regimes should be adjusted accordingly. </w:t>
      </w:r>
      <w:r w:rsidR="009C40F5">
        <w:rPr>
          <w:rFonts w:eastAsia="Calibri"/>
        </w:rPr>
        <w:br/>
      </w:r>
      <w:r w:rsidRPr="002F45BF">
        <w:rPr>
          <w:rFonts w:eastAsia="Calibri"/>
        </w:rPr>
        <w:t xml:space="preserve">For instance, if tendons have been exposed to PVCW leakage, sampling should focus on all </w:t>
      </w:r>
      <w:r w:rsidR="00DB6052">
        <w:t>known and suspected</w:t>
      </w:r>
      <w:r w:rsidRPr="002F45BF">
        <w:rPr>
          <w:rFonts w:eastAsia="Calibri"/>
        </w:rPr>
        <w:t xml:space="preserve"> areas and tendons, with replacement considered for those known to be wetted.</w:t>
      </w:r>
    </w:p>
    <w:p w14:paraId="71F940C3" w14:textId="5526A51E" w:rsidR="009F4691" w:rsidRPr="000750E0" w:rsidRDefault="000750E0" w:rsidP="00884903">
      <w:pPr>
        <w:pStyle w:val="F9-Paragraph"/>
        <w:ind w:left="851" w:hanging="851"/>
        <w:rPr>
          <w:rFonts w:eastAsia="Calibri"/>
        </w:rPr>
      </w:pPr>
      <w:r w:rsidRPr="000750E0">
        <w:rPr>
          <w:rFonts w:eastAsia="Calibri"/>
        </w:rPr>
        <w:t>Where tendon anchors</w:t>
      </w:r>
      <w:r w:rsidR="00103399">
        <w:t xml:space="preserve"> </w:t>
      </w:r>
      <w:r w:rsidR="00884903">
        <w:t>facilitate</w:t>
      </w:r>
      <w:r w:rsidR="00103399">
        <w:t xml:space="preserve"> safe access</w:t>
      </w:r>
      <w:r w:rsidRPr="000750E0">
        <w:rPr>
          <w:rFonts w:eastAsia="Calibri"/>
        </w:rPr>
        <w:t>, any damaged or wetted tendons should be routinely and promptly replaced.</w:t>
      </w:r>
    </w:p>
    <w:p w14:paraId="02367513" w14:textId="30B79DB5" w:rsidR="009F4691" w:rsidRPr="007009B3" w:rsidRDefault="007009B3" w:rsidP="009C1961">
      <w:pPr>
        <w:pStyle w:val="F9-Paragraph"/>
        <w:ind w:left="851" w:hanging="851"/>
        <w:rPr>
          <w:rFonts w:eastAsia="Calibri"/>
        </w:rPr>
      </w:pPr>
      <w:r w:rsidRPr="007009B3">
        <w:rPr>
          <w:rFonts w:eastAsia="Calibri"/>
        </w:rPr>
        <w:t xml:space="preserve">For PCPVs </w:t>
      </w:r>
      <w:r w:rsidR="002C67E0" w:rsidRPr="000750E0">
        <w:rPr>
          <w:rFonts w:eastAsia="Calibri"/>
        </w:rPr>
        <w:t>that must be taken out of service to facilitate safe access to the tendons</w:t>
      </w:r>
      <w:r w:rsidRPr="007009B3">
        <w:rPr>
          <w:rFonts w:eastAsia="Calibri"/>
        </w:rPr>
        <w:t xml:space="preserve">, pre-outage inspections should target tendon anchors in known or potentially wetted areas to </w:t>
      </w:r>
      <w:r w:rsidR="009C1961">
        <w:t>inform</w:t>
      </w:r>
      <w:r w:rsidRPr="007009B3">
        <w:rPr>
          <w:rFonts w:eastAsia="Calibri"/>
        </w:rPr>
        <w:t xml:space="preserve"> the scope and location of further inspections and strand replacements during the outage. Water and CO</w:t>
      </w:r>
      <w:r w:rsidRPr="009C1961">
        <w:rPr>
          <w:rFonts w:ascii="Cambria Math" w:eastAsia="Calibri" w:hAnsi="Cambria Math" w:cs="Cambria Math"/>
        </w:rPr>
        <w:t>₂</w:t>
      </w:r>
      <w:r w:rsidRPr="007009B3">
        <w:rPr>
          <w:rFonts w:eastAsia="Calibri"/>
        </w:rPr>
        <w:t xml:space="preserve"> leak locations must be identified before the outage and addressed prior to the reactor’s return to service. Laboratory analysis of damaged tendon strands and their grease should be carried out to determine the cause of any damage. The causes of tendon and grease degradation must be clearly understood, with wetted strands replaced before the PCPV is returned to service. If this cannot be achieved, the risks should be fully assessed and additional mitigation planned in line with ALARP principles.</w:t>
      </w:r>
    </w:p>
    <w:p w14:paraId="29C6F02D" w14:textId="02714288" w:rsidR="007E2DDA" w:rsidRDefault="007E2DDA" w:rsidP="007E2DDA">
      <w:pPr>
        <w:pStyle w:val="Heading2"/>
        <w:ind w:left="851" w:hanging="851"/>
      </w:pPr>
      <w:r>
        <w:t xml:space="preserve">Functional </w:t>
      </w:r>
      <w:r w:rsidR="009C40F5">
        <w:t>p</w:t>
      </w:r>
      <w:r>
        <w:t xml:space="preserve">erformance and </w:t>
      </w:r>
      <w:r w:rsidR="009C40F5">
        <w:t>l</w:t>
      </w:r>
      <w:r>
        <w:t>oading</w:t>
      </w:r>
    </w:p>
    <w:p w14:paraId="2CB311AF" w14:textId="5C945158" w:rsidR="007E2DDA" w:rsidRDefault="00DF3A75" w:rsidP="00DE5FCD">
      <w:pPr>
        <w:pStyle w:val="F9-Paragraph"/>
        <w:ind w:left="851" w:hanging="851"/>
        <w:rPr>
          <w:rFonts w:eastAsia="Calibri"/>
        </w:rPr>
      </w:pPr>
      <w:r w:rsidRPr="00DE5FCD">
        <w:rPr>
          <w:rFonts w:eastAsia="Calibri"/>
        </w:rPr>
        <w:t xml:space="preserve">ECE.1 requires that </w:t>
      </w:r>
      <w:r w:rsidR="00EA25A6" w:rsidRPr="00DE5FCD">
        <w:rPr>
          <w:rFonts w:eastAsia="Calibri"/>
        </w:rPr>
        <w:t>safety functional performance of civil engineering structures under normal operating and fault conditions should be specified</w:t>
      </w:r>
      <w:r w:rsidR="000D49F1">
        <w:rPr>
          <w:rFonts w:eastAsia="Calibri"/>
        </w:rPr>
        <w:t>.</w:t>
      </w:r>
      <w:r w:rsidR="00DE5FCD">
        <w:rPr>
          <w:rFonts w:eastAsia="Calibri"/>
        </w:rPr>
        <w:t xml:space="preserve"> </w:t>
      </w:r>
      <w:r w:rsidR="00EA25A6" w:rsidRPr="00DE5FCD">
        <w:rPr>
          <w:rFonts w:eastAsia="Calibri"/>
        </w:rPr>
        <w:t>ECE</w:t>
      </w:r>
      <w:r w:rsidR="00106F37" w:rsidRPr="00DE5FCD">
        <w:rPr>
          <w:rFonts w:eastAsia="Calibri"/>
        </w:rPr>
        <w:t xml:space="preserve">.6 states that </w:t>
      </w:r>
      <w:r w:rsidR="00DE5FCD" w:rsidRPr="00DE5FCD">
        <w:rPr>
          <w:rFonts w:eastAsia="Calibri"/>
        </w:rPr>
        <w:t>load development and a schedule of load combinations, together with their frequencies, should be used as the basis for structural design</w:t>
      </w:r>
      <w:r w:rsidR="00DE5FCD">
        <w:rPr>
          <w:rFonts w:eastAsia="Calibri"/>
        </w:rPr>
        <w:t xml:space="preserve"> and l</w:t>
      </w:r>
      <w:r w:rsidR="00DE5FCD" w:rsidRPr="00DE5FCD">
        <w:rPr>
          <w:rFonts w:eastAsia="Calibri"/>
        </w:rPr>
        <w:t>oadings during normal operating, testing, design basis fault condition and accident conditions should be included.</w:t>
      </w:r>
    </w:p>
    <w:p w14:paraId="7225944F" w14:textId="4E1201C5" w:rsidR="00361198" w:rsidRPr="00671EB4" w:rsidRDefault="00671EB4" w:rsidP="002B7ACF">
      <w:pPr>
        <w:pStyle w:val="F9-Paragraph"/>
        <w:ind w:left="851" w:hanging="851"/>
        <w:rPr>
          <w:rFonts w:eastAsia="Calibri"/>
        </w:rPr>
      </w:pPr>
      <w:r w:rsidRPr="00671EB4">
        <w:rPr>
          <w:rFonts w:eastAsia="Calibri"/>
        </w:rPr>
        <w:t xml:space="preserve">For operational PCPVs, the primary concern is any change to the existing normal or fault loading conditions prompted by updates to the safety case of other reactor components. For instance, increased reactor over-pressure may arise from a higher risk of boiler tube or spine failure, or from greater potential for safety relief valve clogging due to coolant debris. </w:t>
      </w:r>
      <w:r w:rsidR="009C40F5">
        <w:rPr>
          <w:rFonts w:eastAsia="Calibri"/>
        </w:rPr>
        <w:br/>
      </w:r>
      <w:r w:rsidRPr="00671EB4">
        <w:rPr>
          <w:rFonts w:eastAsia="Calibri"/>
        </w:rPr>
        <w:t xml:space="preserve">Likewise, anticipated concrete temperatures during normal or fault conditions could rise if the safety case is revised for undetected </w:t>
      </w:r>
      <w:r w:rsidR="002B7ACF">
        <w:t>Pressure Vessel Cooling System (</w:t>
      </w:r>
      <w:r w:rsidRPr="00671EB4">
        <w:rPr>
          <w:rFonts w:eastAsia="Calibri"/>
        </w:rPr>
        <w:t>PVCS</w:t>
      </w:r>
      <w:r w:rsidR="002B7ACF">
        <w:t>)</w:t>
      </w:r>
      <w:r w:rsidRPr="00671EB4">
        <w:rPr>
          <w:rFonts w:eastAsia="Calibri"/>
        </w:rPr>
        <w:t xml:space="preserve"> blockage or leakage.</w:t>
      </w:r>
    </w:p>
    <w:p w14:paraId="1EE870ED" w14:textId="77777777" w:rsidR="000C23E6" w:rsidRPr="000C23E6" w:rsidRDefault="000C23E6" w:rsidP="000C23E6">
      <w:pPr>
        <w:pStyle w:val="F9-Paragraph"/>
        <w:ind w:left="851" w:hanging="851"/>
        <w:rPr>
          <w:rFonts w:eastAsia="Calibri"/>
        </w:rPr>
      </w:pPr>
      <w:r w:rsidRPr="000C23E6">
        <w:rPr>
          <w:rFonts w:eastAsia="Calibri"/>
        </w:rPr>
        <w:t>In some key areas of the PCPV (such as the top-cap), the development of differential temperatures may be critical to the design of the concrete structure. Temperatures are monitored using thermocouples and vibrating wire strain gauges that were cast into key locations of the concrete.</w:t>
      </w:r>
    </w:p>
    <w:p w14:paraId="33E3905C" w14:textId="77777777" w:rsidR="006D42FC" w:rsidRDefault="009A1663" w:rsidP="006D42FC">
      <w:pPr>
        <w:pStyle w:val="F9-Paragraph"/>
        <w:ind w:left="851" w:hanging="851"/>
        <w:rPr>
          <w:rFonts w:eastAsia="Calibri"/>
        </w:rPr>
      </w:pPr>
      <w:r w:rsidRPr="009A1663">
        <w:rPr>
          <w:rFonts w:eastAsia="Calibri"/>
        </w:rPr>
        <w:t xml:space="preserve">Operational temperatures within the PCPV may </w:t>
      </w:r>
      <w:r>
        <w:t>gradually</w:t>
      </w:r>
      <w:r w:rsidRPr="009A1663">
        <w:rPr>
          <w:rFonts w:eastAsia="Calibri"/>
        </w:rPr>
        <w:t xml:space="preserve"> increase due to de</w:t>
      </w:r>
      <w:r w:rsidR="00F4295C">
        <w:t>terioration o</w:t>
      </w:r>
      <w:r w:rsidRPr="009A1663">
        <w:rPr>
          <w:rFonts w:eastAsia="Calibri"/>
        </w:rPr>
        <w:t xml:space="preserve">f the vessel’s internal insulation, particularly in the upper sections. </w:t>
      </w:r>
    </w:p>
    <w:p w14:paraId="56410758" w14:textId="0ECA0FC8" w:rsidR="000C23E6" w:rsidRPr="009A1663" w:rsidRDefault="00002FD3" w:rsidP="006D42FC">
      <w:pPr>
        <w:pStyle w:val="F9-Paragraph"/>
        <w:ind w:left="851" w:hanging="851"/>
        <w:rPr>
          <w:rFonts w:eastAsia="Calibri"/>
        </w:rPr>
      </w:pPr>
      <w:r>
        <w:rPr>
          <w:rFonts w:eastAsia="Calibri"/>
        </w:rPr>
        <w:t>Changes as listed above</w:t>
      </w:r>
      <w:r w:rsidR="009A1663" w:rsidRPr="009A1663">
        <w:rPr>
          <w:rFonts w:eastAsia="Calibri"/>
        </w:rPr>
        <w:t xml:space="preserve">, along with other factors, can impact the safety functional performance requirements of the PCPV’s civil engineering </w:t>
      </w:r>
      <w:r w:rsidR="009A1663" w:rsidRPr="009A1663">
        <w:rPr>
          <w:rFonts w:eastAsia="Calibri"/>
        </w:rPr>
        <w:lastRenderedPageBreak/>
        <w:t xml:space="preserve">structure. </w:t>
      </w:r>
      <w:r w:rsidR="00232073">
        <w:rPr>
          <w:rFonts w:eastAsia="Calibri"/>
        </w:rPr>
        <w:t xml:space="preserve">Inspectors </w:t>
      </w:r>
      <w:r w:rsidR="009A1663" w:rsidRPr="009A1663">
        <w:rPr>
          <w:rFonts w:eastAsia="Calibri"/>
        </w:rPr>
        <w:t>should recognise that safety case revisions, even if seemingly unrelated, may collectively influence the PCPV safety case. It is essential to confirm that the Licensee has addressed this in their revised safety case and clearly specified the necessary safety functional performance for the civil engineering structure.</w:t>
      </w:r>
    </w:p>
    <w:p w14:paraId="39DEA832" w14:textId="197ACA75" w:rsidR="00597811" w:rsidRDefault="00597811" w:rsidP="00597811">
      <w:pPr>
        <w:pStyle w:val="Heading2"/>
        <w:ind w:left="851" w:hanging="851"/>
      </w:pPr>
      <w:r>
        <w:t xml:space="preserve">Independent </w:t>
      </w:r>
      <w:r w:rsidR="009C40F5">
        <w:t>a</w:t>
      </w:r>
      <w:r>
        <w:t>rguments</w:t>
      </w:r>
    </w:p>
    <w:p w14:paraId="73354038" w14:textId="1D47EAF9" w:rsidR="00597811" w:rsidRDefault="000A3317" w:rsidP="00604786">
      <w:pPr>
        <w:pStyle w:val="F9-Paragraph"/>
        <w:ind w:left="851" w:hanging="851"/>
        <w:rPr>
          <w:rFonts w:eastAsia="Calibri"/>
        </w:rPr>
      </w:pPr>
      <w:r w:rsidRPr="00604786">
        <w:rPr>
          <w:rFonts w:eastAsia="Calibri"/>
        </w:rPr>
        <w:t xml:space="preserve">ECE.2 states that </w:t>
      </w:r>
      <w:r w:rsidR="00604786" w:rsidRPr="00604786">
        <w:rPr>
          <w:rFonts w:eastAsia="Calibri"/>
        </w:rPr>
        <w:t>for structures requiring the highest levels of reliability, multiple independent and diverse arguments should be provided in the safety case.</w:t>
      </w:r>
    </w:p>
    <w:p w14:paraId="15CC2F4A" w14:textId="33EFD31B" w:rsidR="0065607C" w:rsidRPr="00913BA0" w:rsidRDefault="00DD6F43" w:rsidP="009344CA">
      <w:pPr>
        <w:pStyle w:val="F9-Paragraph"/>
        <w:ind w:left="851" w:hanging="851"/>
        <w:rPr>
          <w:rFonts w:eastAsia="Calibri"/>
        </w:rPr>
      </w:pPr>
      <w:r w:rsidRPr="00DD6F43">
        <w:rPr>
          <w:rFonts w:eastAsia="Calibri"/>
        </w:rPr>
        <w:t xml:space="preserve">If changes to a reactor </w:t>
      </w:r>
      <w:r w:rsidRPr="00913BA0">
        <w:rPr>
          <w:rFonts w:eastAsia="Calibri"/>
        </w:rPr>
        <w:t>component’s safety case place greater demands on the PCPV, the Licensee should reassess the vessel’s structural integrity to confirm it meets SAP paragraphs 337 and 338, and to identify the available safety margins.</w:t>
      </w:r>
    </w:p>
    <w:p w14:paraId="60E5DDBD" w14:textId="3E57968C" w:rsidR="006B5BFE" w:rsidRDefault="00527061" w:rsidP="006B5BFE">
      <w:pPr>
        <w:pStyle w:val="F9-Paragraph"/>
        <w:ind w:left="851" w:hanging="851"/>
        <w:rPr>
          <w:rFonts w:eastAsia="Calibri"/>
        </w:rPr>
      </w:pPr>
      <w:r w:rsidRPr="00913BA0">
        <w:rPr>
          <w:rFonts w:eastAsia="Calibri"/>
        </w:rPr>
        <w:t xml:space="preserve">If a reduction in the MDL is proposed as part of a revised safety case the </w:t>
      </w:r>
      <w:r w:rsidR="00637CAF" w:rsidRPr="00913BA0">
        <w:rPr>
          <w:rFonts w:eastAsia="Calibri"/>
        </w:rPr>
        <w:t xml:space="preserve">inspector </w:t>
      </w:r>
      <w:r w:rsidRPr="00913BA0">
        <w:rPr>
          <w:rFonts w:eastAsia="Calibri"/>
        </w:rPr>
        <w:t>should establish that an adequate safety margin remains bearing in mind the aged condition of the reactor</w:t>
      </w:r>
      <w:r w:rsidRPr="00527061">
        <w:rPr>
          <w:rFonts w:eastAsia="Calibri"/>
        </w:rPr>
        <w:t xml:space="preserve"> vessel strength components, the potential for future ageing and the inherent uncertainty in the knowledge of the actual aged condition of some of the pre-stressing tendons.</w:t>
      </w:r>
    </w:p>
    <w:p w14:paraId="05CB7DC7" w14:textId="402E5466" w:rsidR="001938B3" w:rsidRPr="00843F49" w:rsidRDefault="00FC1E3B" w:rsidP="00A136BB">
      <w:pPr>
        <w:pStyle w:val="F9-Paragraph"/>
        <w:ind w:left="851" w:hanging="851"/>
        <w:rPr>
          <w:rFonts w:eastAsia="Calibri"/>
        </w:rPr>
      </w:pPr>
      <w:r w:rsidRPr="00AC397E">
        <w:rPr>
          <w:rFonts w:eastAsia="Calibri"/>
        </w:rPr>
        <w:t xml:space="preserve">It should be noted that most AGR-type PCPVs were originally designed so that the pre-stressing tendons could be re-stressed </w:t>
      </w:r>
      <w:r w:rsidR="004A2B41">
        <w:rPr>
          <w:rFonts w:eastAsia="Calibri"/>
        </w:rPr>
        <w:t>(for example by re-shimming</w:t>
      </w:r>
      <w:r w:rsidR="00A136BB">
        <w:rPr>
          <w:rFonts w:eastAsia="Calibri"/>
        </w:rPr>
        <w:t xml:space="preserve"> </w:t>
      </w:r>
      <w:r w:rsidR="00A136BB" w:rsidRPr="00A136BB">
        <w:rPr>
          <w:rFonts w:eastAsia="Calibri"/>
        </w:rPr>
        <w:t>which involves re-tensioning tendons and reinstalling anchors</w:t>
      </w:r>
      <w:r w:rsidR="004A2B41">
        <w:rPr>
          <w:rFonts w:eastAsia="Calibri"/>
        </w:rPr>
        <w:t xml:space="preserve">) </w:t>
      </w:r>
      <w:r w:rsidRPr="00AC397E">
        <w:rPr>
          <w:rFonts w:eastAsia="Calibri"/>
        </w:rPr>
        <w:t xml:space="preserve">to restore the vessel to its initial design condition. The </w:t>
      </w:r>
      <w:r w:rsidR="00050591" w:rsidRPr="00843F49">
        <w:rPr>
          <w:rFonts w:eastAsia="Calibri"/>
        </w:rPr>
        <w:t xml:space="preserve">inspector </w:t>
      </w:r>
      <w:r w:rsidRPr="00AC397E">
        <w:rPr>
          <w:rFonts w:eastAsia="Calibri"/>
        </w:rPr>
        <w:t>should ensure the Licensee clearly justifies why the original MDL cannot be reinstated in this way. Any decision to adopt a reduced MDL means the safety margin is genuinely decreased, which must be considered alongside potential long-term ageing effects that may further diminish safety margins.</w:t>
      </w:r>
      <w:r w:rsidR="00474DCC" w:rsidRPr="00843F49">
        <w:t xml:space="preserve"> </w:t>
      </w:r>
      <w:r w:rsidR="00AC397E" w:rsidRPr="00843F49">
        <w:rPr>
          <w:rFonts w:eastAsia="Calibri"/>
        </w:rPr>
        <w:t>The Inspector should review whether any prior decreases in the MDL have been made and ensure that any additional reductions are supported by stronger justification.</w:t>
      </w:r>
    </w:p>
    <w:p w14:paraId="5D90C46B" w14:textId="713127A9" w:rsidR="0065607C" w:rsidRPr="00B5129E" w:rsidRDefault="00B5129E" w:rsidP="00474DCC">
      <w:pPr>
        <w:pStyle w:val="F9-Paragraph"/>
        <w:ind w:left="851" w:hanging="851"/>
        <w:rPr>
          <w:lang w:eastAsia="en-GB"/>
        </w:rPr>
      </w:pPr>
      <w:r>
        <w:rPr>
          <w:lang w:eastAsia="en-GB"/>
        </w:rPr>
        <w:t xml:space="preserve">Gradual long-term increases in the ambient concrete temperature of the upper half of the vessel are apparent in some PCPVs such that the average tendon load measured at the PCPV Top Cap is markedly lower than the average measured at the Bottom Cap. </w:t>
      </w:r>
      <w:r w:rsidR="0060748D" w:rsidRPr="00474DCC">
        <w:rPr>
          <w:rFonts w:eastAsia="Calibri"/>
        </w:rPr>
        <w:t xml:space="preserve"> In such cases, tendon anchor loads at the top and bottom should be considered separately when comparing each to the MDL.</w:t>
      </w:r>
    </w:p>
    <w:p w14:paraId="4E22D820" w14:textId="347D5379" w:rsidR="003F118B" w:rsidRDefault="003F118B" w:rsidP="003F118B">
      <w:pPr>
        <w:pStyle w:val="Heading2"/>
        <w:ind w:left="851" w:hanging="851"/>
      </w:pPr>
      <w:r>
        <w:t xml:space="preserve">Structural </w:t>
      </w:r>
      <w:r w:rsidR="009C40F5">
        <w:t>a</w:t>
      </w:r>
      <w:r>
        <w:t xml:space="preserve">nalysis for </w:t>
      </w:r>
      <w:r w:rsidR="009C40F5">
        <w:t>s</w:t>
      </w:r>
      <w:r>
        <w:t xml:space="preserve">afety </w:t>
      </w:r>
      <w:r w:rsidR="009C40F5">
        <w:t>c</w:t>
      </w:r>
      <w:r>
        <w:t xml:space="preserve">ase </w:t>
      </w:r>
      <w:r w:rsidR="009C40F5">
        <w:t>c</w:t>
      </w:r>
      <w:r>
        <w:t>hanges</w:t>
      </w:r>
    </w:p>
    <w:p w14:paraId="39C61133" w14:textId="2BC9F242" w:rsidR="008000F6" w:rsidRDefault="003B0B51" w:rsidP="00CE16C2">
      <w:pPr>
        <w:pStyle w:val="F9-Paragraph"/>
        <w:ind w:left="851" w:hanging="851"/>
        <w:rPr>
          <w:lang w:eastAsia="en-GB"/>
        </w:rPr>
      </w:pPr>
      <w:r w:rsidRPr="026CC3FD">
        <w:rPr>
          <w:lang w:eastAsia="en-GB"/>
        </w:rPr>
        <w:t>D</w:t>
      </w:r>
      <w:r w:rsidR="008000F6" w:rsidRPr="026CC3FD">
        <w:rPr>
          <w:lang w:eastAsia="en-GB"/>
        </w:rPr>
        <w:t xml:space="preserve">emonstration that the PCPV can fulfil its safety functional requirement over </w:t>
      </w:r>
      <w:r w:rsidRPr="026CC3FD">
        <w:rPr>
          <w:lang w:eastAsia="en-GB"/>
        </w:rPr>
        <w:t>its</w:t>
      </w:r>
      <w:r w:rsidR="008000F6" w:rsidRPr="026CC3FD">
        <w:rPr>
          <w:lang w:eastAsia="en-GB"/>
        </w:rPr>
        <w:t xml:space="preserve"> lifetime</w:t>
      </w:r>
      <w:r w:rsidRPr="026CC3FD">
        <w:rPr>
          <w:lang w:eastAsia="en-GB"/>
        </w:rPr>
        <w:t xml:space="preserve"> should be </w:t>
      </w:r>
      <w:r w:rsidR="008000F6" w:rsidRPr="026CC3FD">
        <w:rPr>
          <w:lang w:eastAsia="en-GB"/>
        </w:rPr>
        <w:t xml:space="preserve">based upon </w:t>
      </w:r>
      <w:r w:rsidR="00C46E76">
        <w:rPr>
          <w:lang w:eastAsia="en-GB"/>
        </w:rPr>
        <w:t xml:space="preserve">structural </w:t>
      </w:r>
      <w:r w:rsidR="008000F6" w:rsidRPr="026CC3FD">
        <w:rPr>
          <w:lang w:eastAsia="en-GB"/>
        </w:rPr>
        <w:t xml:space="preserve">analysis </w:t>
      </w:r>
      <w:r w:rsidR="00C46E76">
        <w:rPr>
          <w:lang w:eastAsia="en-GB"/>
        </w:rPr>
        <w:t xml:space="preserve">or model testing </w:t>
      </w:r>
      <w:r w:rsidR="008000F6" w:rsidRPr="026CC3FD">
        <w:rPr>
          <w:lang w:eastAsia="en-GB"/>
        </w:rPr>
        <w:t xml:space="preserve">which meets the requirements </w:t>
      </w:r>
      <w:r w:rsidR="00506B45">
        <w:rPr>
          <w:lang w:eastAsia="en-GB"/>
        </w:rPr>
        <w:t>of</w:t>
      </w:r>
      <w:r w:rsidR="00CE16C2">
        <w:rPr>
          <w:lang w:eastAsia="en-GB"/>
        </w:rPr>
        <w:t xml:space="preserve"> </w:t>
      </w:r>
      <w:r w:rsidR="00CE16C2" w:rsidRPr="00CE16C2">
        <w:rPr>
          <w:lang w:eastAsia="en-GB"/>
        </w:rPr>
        <w:t>ECE.1, ECE.12, ECE.13, ECE.14 and ECE.1</w:t>
      </w:r>
      <w:r w:rsidR="00EF0FFF">
        <w:rPr>
          <w:lang w:eastAsia="en-GB"/>
        </w:rPr>
        <w:t>5</w:t>
      </w:r>
      <w:r w:rsidR="00CE16C2">
        <w:rPr>
          <w:lang w:eastAsia="en-GB"/>
        </w:rPr>
        <w:t xml:space="preserve"> </w:t>
      </w:r>
      <w:r w:rsidRPr="026CC3FD">
        <w:rPr>
          <w:lang w:eastAsia="en-GB"/>
        </w:rPr>
        <w:t>on</w:t>
      </w:r>
      <w:r w:rsidR="008000F6" w:rsidRPr="026CC3FD">
        <w:rPr>
          <w:lang w:eastAsia="en-GB"/>
        </w:rPr>
        <w:t xml:space="preserve"> the use of data, sensitivity studies and validation methods.</w:t>
      </w:r>
    </w:p>
    <w:p w14:paraId="737F3A06" w14:textId="77777777" w:rsidR="009C40F5" w:rsidRDefault="009C40F5" w:rsidP="0008673F">
      <w:pPr>
        <w:pStyle w:val="F9-Paragraph"/>
        <w:ind w:left="851" w:hanging="851"/>
        <w:sectPr w:rsidR="009C40F5">
          <w:pgSz w:w="11906" w:h="16838"/>
          <w:pgMar w:top="1440" w:right="1440" w:bottom="1440" w:left="1440" w:header="708" w:footer="708" w:gutter="0"/>
          <w:cols w:space="708"/>
          <w:docGrid w:linePitch="360"/>
        </w:sectPr>
      </w:pPr>
    </w:p>
    <w:p w14:paraId="5FD8435A" w14:textId="4E81774A" w:rsidR="0008673F" w:rsidRDefault="0099119A" w:rsidP="0008673F">
      <w:pPr>
        <w:pStyle w:val="F9-Paragraph"/>
        <w:ind w:left="851" w:hanging="851"/>
        <w:rPr>
          <w:lang w:eastAsia="en-GB"/>
        </w:rPr>
      </w:pPr>
      <w:r>
        <w:lastRenderedPageBreak/>
        <w:t xml:space="preserve">Licensees have performed finite element analyses on PCPVs to assess how various faults—such as the failure of pre-stressing tendon groups, asymmetric or general tendon load loss—affect safety function. </w:t>
      </w:r>
      <w:r w:rsidR="009C40F5">
        <w:br/>
      </w:r>
      <w:r w:rsidR="007575F7">
        <w:t>These analyses help the inspector assess vessel behaviour in response to unexpected findings during periodic inspections.</w:t>
      </w:r>
      <w:r w:rsidR="009E0C5A">
        <w:t xml:space="preserve"> </w:t>
      </w:r>
      <w:r w:rsidR="007575F7" w:rsidRPr="026CC3FD">
        <w:rPr>
          <w:lang w:eastAsia="en-GB"/>
        </w:rPr>
        <w:t xml:space="preserve"> However, </w:t>
      </w:r>
      <w:r w:rsidR="0008673F" w:rsidRPr="026CC3FD">
        <w:rPr>
          <w:lang w:eastAsia="en-GB"/>
        </w:rPr>
        <w:t>specific case-by-case</w:t>
      </w:r>
      <w:r w:rsidR="007B45AE">
        <w:rPr>
          <w:lang w:eastAsia="en-GB"/>
        </w:rPr>
        <w:t xml:space="preserve"> further</w:t>
      </w:r>
      <w:r w:rsidR="0008673F" w:rsidRPr="026CC3FD">
        <w:rPr>
          <w:lang w:eastAsia="en-GB"/>
        </w:rPr>
        <w:t xml:space="preserve"> justifications should be requested from the Licensee.</w:t>
      </w:r>
    </w:p>
    <w:p w14:paraId="7660E4AA" w14:textId="26E8637F" w:rsidR="00C1491B" w:rsidRPr="000E733A" w:rsidRDefault="000E733A" w:rsidP="00E148B5">
      <w:pPr>
        <w:pStyle w:val="F9-Paragraph"/>
        <w:ind w:left="851" w:hanging="851"/>
      </w:pPr>
      <w:r>
        <w:t xml:space="preserve">When reviewing a defect-specific safety case, the inspector should consider </w:t>
      </w:r>
      <w:r w:rsidR="00B75AEB">
        <w:t xml:space="preserve">cumulative effects of </w:t>
      </w:r>
      <w:r>
        <w:t xml:space="preserve">previously justified defects. If new finite element analysis is used to support a reduction in pre-stressing MDL due to tendon relaxation, it is debatable whether the lower safety margin is acceptable when the original design margin could be restored. </w:t>
      </w:r>
      <w:r w:rsidR="00E148B5">
        <w:t>However, as s</w:t>
      </w:r>
      <w:r>
        <w:t>tated</w:t>
      </w:r>
      <w:r w:rsidR="00E148B5">
        <w:t xml:space="preserve"> above</w:t>
      </w:r>
      <w:r>
        <w:t>, reducing the MDL decreases the safety margin during both normal operation and fault conditions.</w:t>
      </w:r>
    </w:p>
    <w:p w14:paraId="3ECCD5AB" w14:textId="60F74573" w:rsidR="00BD09AF" w:rsidRDefault="00BD09AF" w:rsidP="00BD09AF">
      <w:pPr>
        <w:pStyle w:val="Heading2"/>
        <w:ind w:left="851" w:hanging="851"/>
      </w:pPr>
      <w:r>
        <w:t xml:space="preserve">Defects and </w:t>
      </w:r>
      <w:r w:rsidR="009C40F5">
        <w:t>a</w:t>
      </w:r>
      <w:r>
        <w:t>g</w:t>
      </w:r>
      <w:r w:rsidR="000B3592">
        <w:t>e</w:t>
      </w:r>
      <w:r>
        <w:t>ing</w:t>
      </w:r>
    </w:p>
    <w:p w14:paraId="5B813BFD" w14:textId="19F17AAB" w:rsidR="00BD09AF" w:rsidRPr="00BD09AF" w:rsidRDefault="00A65880" w:rsidP="009815EB">
      <w:pPr>
        <w:pStyle w:val="F9-Paragraph"/>
        <w:ind w:left="851" w:hanging="851"/>
      </w:pPr>
      <w:r>
        <w:t xml:space="preserve">ECE.3 states that </w:t>
      </w:r>
      <w:r w:rsidR="009B77F3">
        <w:t>i</w:t>
      </w:r>
      <w:r w:rsidR="009B77F3" w:rsidRPr="009815EB">
        <w:t>t should be demonstrated that safety-related structures are sufficiently free of defects so that their safety functions are not compromised, that identified defects can be tolerated, and that the existence of defects that could compromise safety function can be established through their life-cycle.</w:t>
      </w:r>
      <w:r w:rsidR="009B77F3">
        <w:t xml:space="preserve"> </w:t>
      </w:r>
      <w:r w:rsidR="003B0F93">
        <w:t xml:space="preserve">EAD.2 requires </w:t>
      </w:r>
      <w:r w:rsidR="009815EB">
        <w:t>that a</w:t>
      </w:r>
      <w:r w:rsidR="009815EB" w:rsidRPr="009815EB">
        <w:t>dequate margins should exist throughout the life of a facility to allow for the effects of materials ageing and degradation processes on structures, systems and components</w:t>
      </w:r>
      <w:r w:rsidR="009815EB">
        <w:t>.</w:t>
      </w:r>
    </w:p>
    <w:p w14:paraId="207B328B" w14:textId="57CA1EE8" w:rsidR="009B5AAC" w:rsidRDefault="00BE4A2F" w:rsidP="00F14F34">
      <w:pPr>
        <w:pStyle w:val="F9-Paragraph"/>
        <w:ind w:left="851" w:hanging="851"/>
      </w:pPr>
      <w:r>
        <w:t xml:space="preserve">If periodic outage inspections reveal defects in replaceable pre-stressing system components, these should be replaced as standard practice. </w:t>
      </w:r>
      <w:r w:rsidR="009C40F5">
        <w:br/>
      </w:r>
      <w:r>
        <w:t xml:space="preserve">If defects are found to have a common cause, such as corrosion from PVCW leakage, the inspector should require </w:t>
      </w:r>
      <w:r w:rsidR="00F14F34" w:rsidRPr="00F14F34">
        <w:t>full extent of the issue to be established and expect that the Licensee take necessary precautions to prevent further degradation.</w:t>
      </w:r>
      <w:r w:rsidR="00CF495D" w:rsidDel="00CF495D">
        <w:t xml:space="preserve"> </w:t>
      </w:r>
    </w:p>
    <w:p w14:paraId="4B91F7EE" w14:textId="55F3BB49" w:rsidR="000A2B4E" w:rsidRPr="002831F2" w:rsidRDefault="006B19EE" w:rsidP="006B19EE">
      <w:pPr>
        <w:pStyle w:val="F9-Paragraph"/>
        <w:ind w:left="851" w:hanging="851"/>
      </w:pPr>
      <w:r>
        <w:t>In the past, s</w:t>
      </w:r>
      <w:r w:rsidR="002831F2">
        <w:t>ome newly replaced tendons have suffered severe corrosion after</w:t>
      </w:r>
      <w:r w:rsidR="00B11720">
        <w:t xml:space="preserve"> a relatively short </w:t>
      </w:r>
      <w:r w:rsidR="00450938">
        <w:t xml:space="preserve">wetted </w:t>
      </w:r>
      <w:r w:rsidR="00B11720">
        <w:t>period</w:t>
      </w:r>
      <w:r w:rsidR="002831F2">
        <w:t>. If leak sealing proves ineffective, tendons exposed to wetting</w:t>
      </w:r>
      <w:r w:rsidR="074749B8">
        <w:t xml:space="preserve">, </w:t>
      </w:r>
      <w:r w:rsidR="002831F2">
        <w:t>along with nearby tendons</w:t>
      </w:r>
      <w:r w:rsidR="3378804B">
        <w:t xml:space="preserve">, </w:t>
      </w:r>
      <w:r w:rsidR="002831F2">
        <w:t xml:space="preserve">should receive interim inspections between outages, </w:t>
      </w:r>
      <w:r>
        <w:t xml:space="preserve">where possible, </w:t>
      </w:r>
      <w:r w:rsidR="002831F2">
        <w:t>with particular focus on the condition of their grease protection.</w:t>
      </w:r>
    </w:p>
    <w:p w14:paraId="00F51EB4" w14:textId="00109FFF" w:rsidR="007A1507" w:rsidRPr="007A1507" w:rsidRDefault="007A1507" w:rsidP="00236D05">
      <w:pPr>
        <w:pStyle w:val="F9-Paragraph"/>
        <w:ind w:left="851" w:hanging="851"/>
      </w:pPr>
      <w:r>
        <w:t>Cracks in the external concrete surface of the vessel are continuously monitored by the PCPV APEX. Gradual, permanent rises in concrete temperature</w:t>
      </w:r>
      <w:r w:rsidR="29BB1F4A">
        <w:t xml:space="preserve">, </w:t>
      </w:r>
      <w:r>
        <w:t>resulting from changes in ventilation or minor operational variations</w:t>
      </w:r>
      <w:r w:rsidR="0015373E">
        <w:t xml:space="preserve"> </w:t>
      </w:r>
      <w:r>
        <w:t xml:space="preserve">may lead to increased cracking due to drying shrinkage. </w:t>
      </w:r>
      <w:r w:rsidR="009C40F5">
        <w:br/>
      </w:r>
      <w:r>
        <w:t xml:space="preserve">If significant changes in crack width or new cracks are detected, the assessor should confirm that the causes are understood and that any adverse trends in crack development remain acceptable for the </w:t>
      </w:r>
      <w:r w:rsidR="00236D05">
        <w:t xml:space="preserve">next </w:t>
      </w:r>
      <w:r>
        <w:t>operating period.</w:t>
      </w:r>
    </w:p>
    <w:p w14:paraId="11719C2F" w14:textId="77777777" w:rsidR="009C40F5" w:rsidRDefault="009C40F5" w:rsidP="00A239A4">
      <w:pPr>
        <w:pStyle w:val="F9-Paragraph"/>
        <w:ind w:left="851" w:hanging="851"/>
        <w:sectPr w:rsidR="009C40F5">
          <w:pgSz w:w="11906" w:h="16838"/>
          <w:pgMar w:top="1440" w:right="1440" w:bottom="1440" w:left="1440" w:header="708" w:footer="708" w:gutter="0"/>
          <w:cols w:space="708"/>
          <w:docGrid w:linePitch="360"/>
        </w:sectPr>
      </w:pPr>
    </w:p>
    <w:p w14:paraId="070D5A11" w14:textId="27E785AB" w:rsidR="00863156" w:rsidRPr="004F22A0" w:rsidRDefault="004F22A0" w:rsidP="00A239A4">
      <w:pPr>
        <w:pStyle w:val="F9-Paragraph"/>
        <w:ind w:left="851" w:hanging="851"/>
      </w:pPr>
      <w:r>
        <w:lastRenderedPageBreak/>
        <w:t>Thermocouples embedded in the PCPV concrete monitor temperatures</w:t>
      </w:r>
      <w:r w:rsidR="000A03B3">
        <w:t xml:space="preserve"> and </w:t>
      </w:r>
      <w:r>
        <w:t>some</w:t>
      </w:r>
      <w:r w:rsidR="000A03B3">
        <w:t xml:space="preserve"> of them</w:t>
      </w:r>
      <w:r>
        <w:t xml:space="preserve"> may become unreliable over time</w:t>
      </w:r>
      <w:r w:rsidR="000A03B3">
        <w:t>. T</w:t>
      </w:r>
      <w:r>
        <w:t xml:space="preserve">he inspector </w:t>
      </w:r>
      <w:r w:rsidR="000A03B3">
        <w:t xml:space="preserve">should </w:t>
      </w:r>
      <w:r>
        <w:t xml:space="preserve">confirm that </w:t>
      </w:r>
      <w:r w:rsidR="4E6D29D6">
        <w:t xml:space="preserve">the and adequate </w:t>
      </w:r>
      <w:r w:rsidR="00A239A4">
        <w:t>number of</w:t>
      </w:r>
      <w:r>
        <w:t xml:space="preserve"> thermocouples</w:t>
      </w:r>
      <w:r w:rsidR="4BCBED80">
        <w:t xml:space="preserve"> is</w:t>
      </w:r>
      <w:r>
        <w:t xml:space="preserve"> providing accurate data</w:t>
      </w:r>
      <w:r w:rsidR="000E047D">
        <w:t xml:space="preserve"> </w:t>
      </w:r>
      <w:r>
        <w:t xml:space="preserve">to </w:t>
      </w:r>
      <w:r w:rsidR="269AB5F0">
        <w:t>demonstrate</w:t>
      </w:r>
      <w:r>
        <w:t xml:space="preserve"> </w:t>
      </w:r>
      <w:r w:rsidR="00A239A4">
        <w:t xml:space="preserve">that </w:t>
      </w:r>
      <w:r>
        <w:t>bulk temperatures remain within operational limits.</w:t>
      </w:r>
    </w:p>
    <w:p w14:paraId="56FD6DC9" w14:textId="40F6483D" w:rsidR="007F1660" w:rsidRDefault="007F1660" w:rsidP="007F1660">
      <w:pPr>
        <w:pStyle w:val="Heading2"/>
        <w:ind w:left="851" w:hanging="851"/>
      </w:pPr>
      <w:r>
        <w:t>Pressure Vessel Cooling Systems</w:t>
      </w:r>
    </w:p>
    <w:p w14:paraId="3F704043" w14:textId="77FFC39D" w:rsidR="007F1660" w:rsidRDefault="009261C9" w:rsidP="009261C9">
      <w:pPr>
        <w:pStyle w:val="F9-Paragraph"/>
        <w:ind w:left="851" w:hanging="851"/>
      </w:pPr>
      <w:r>
        <w:t>To prevent corrosion of the internal surfaces of the PVCS pipe work</w:t>
      </w:r>
      <w:r w:rsidR="03DE5714">
        <w:t>,</w:t>
      </w:r>
      <w:r>
        <w:t xml:space="preserve"> the PVCW is demineralised, de-aerated and dosed with lithium hydroxide to achieve a pH of around 10 to</w:t>
      </w:r>
      <w:r w:rsidR="003460A0">
        <w:t xml:space="preserve"> </w:t>
      </w:r>
      <w:r>
        <w:t>10.5. Notwithstanding these measures, leaks from the PVCS into pre-stressing tendon ducts are relatively common with the potential for corrosion of wetted pre-stressing tendons.</w:t>
      </w:r>
    </w:p>
    <w:p w14:paraId="001D7B5B" w14:textId="4D262B87" w:rsidR="00C21128" w:rsidRDefault="00014C36" w:rsidP="003A786D">
      <w:pPr>
        <w:pStyle w:val="F9-Paragraph"/>
        <w:ind w:left="851" w:hanging="851"/>
      </w:pPr>
      <w:r>
        <w:t xml:space="preserve">Each PCPV has a safety case covering partial or total PVCS loss, requiring activation of the </w:t>
      </w:r>
      <w:r w:rsidR="7D7A0521">
        <w:t>b</w:t>
      </w:r>
      <w:r>
        <w:t>ack-</w:t>
      </w:r>
      <w:r w:rsidR="00552A92">
        <w:t>u</w:t>
      </w:r>
      <w:r>
        <w:t xml:space="preserve">p </w:t>
      </w:r>
      <w:r w:rsidR="02B67752">
        <w:t>c</w:t>
      </w:r>
      <w:r>
        <w:t xml:space="preserve">ooling </w:t>
      </w:r>
      <w:r w:rsidR="2A451739">
        <w:t>s</w:t>
      </w:r>
      <w:r>
        <w:t>ystem, which provides limited cooling for a set duration. Additional safety cases address complete loss of cooling, with or without natural circulation of primary CO</w:t>
      </w:r>
      <w:r w:rsidRPr="026CC3FD">
        <w:rPr>
          <w:vertAlign w:val="subscript"/>
        </w:rPr>
        <w:t>2</w:t>
      </w:r>
      <w:r>
        <w:t xml:space="preserve"> coolant, and longer-term post-event cooling, where elevated concrete temperatures may be maintained during depressurisation to prevent cracking.</w:t>
      </w:r>
    </w:p>
    <w:p w14:paraId="429F1E82" w14:textId="70016A66" w:rsidR="008240F2" w:rsidRPr="003A786D" w:rsidRDefault="003A786D" w:rsidP="00875F01">
      <w:pPr>
        <w:pStyle w:val="F9-Paragraph"/>
        <w:ind w:left="851" w:hanging="851"/>
      </w:pPr>
      <w:r w:rsidRPr="003A786D">
        <w:t xml:space="preserve">There is a risk of losing PCPV penetration restraint, leading to penetration ejection or failure </w:t>
      </w:r>
      <w:r w:rsidR="00FA00D3">
        <w:t xml:space="preserve">due to the </w:t>
      </w:r>
      <w:r w:rsidR="00064E86">
        <w:t>surrounding</w:t>
      </w:r>
      <w:r w:rsidRPr="003A786D">
        <w:t xml:space="preserve"> concrete</w:t>
      </w:r>
      <w:r w:rsidR="00FA00D3">
        <w:t xml:space="preserve"> known to be ‘non-tolerant’ to</w:t>
      </w:r>
      <w:r w:rsidR="00C65857">
        <w:t xml:space="preserve"> elevated temperatures. </w:t>
      </w:r>
      <w:r w:rsidRPr="003A786D">
        <w:t>Some current safety cases for PVCS loss</w:t>
      </w:r>
      <w:r w:rsidR="006C7FDB">
        <w:t xml:space="preserve"> require</w:t>
      </w:r>
      <w:r w:rsidRPr="003A786D">
        <w:t xml:space="preserve"> regular flow checks. During statutory outages or as specified by the safety case, the </w:t>
      </w:r>
      <w:r w:rsidR="00C21B1F">
        <w:t xml:space="preserve">inspector </w:t>
      </w:r>
      <w:r w:rsidRPr="003A786D">
        <w:t>should confirm that any detected flow reductions meet safety case requirements, or that plant adjustments have restored flows. Where necessary, flow filtering should be implemented to address blockages.</w:t>
      </w:r>
    </w:p>
    <w:p w14:paraId="2B917432" w14:textId="509C2B01" w:rsidR="0063393D" w:rsidRDefault="0063393D" w:rsidP="0063393D">
      <w:pPr>
        <w:pStyle w:val="Heading2"/>
        <w:ind w:left="851" w:hanging="851"/>
      </w:pPr>
      <w:r>
        <w:t>Vibrating Wire Strain Gauges</w:t>
      </w:r>
    </w:p>
    <w:p w14:paraId="3A19F114" w14:textId="32EC0095" w:rsidR="00450CE1" w:rsidRPr="0082453B" w:rsidRDefault="007A506C" w:rsidP="0070680E">
      <w:pPr>
        <w:pStyle w:val="F9-Paragraph"/>
        <w:ind w:left="851" w:hanging="851"/>
      </w:pPr>
      <w:r w:rsidRPr="007A506C">
        <w:t xml:space="preserve">Vibrating wire strain gauges (VWSGs) were installed at </w:t>
      </w:r>
      <w:r w:rsidR="00304C98">
        <w:t xml:space="preserve">key </w:t>
      </w:r>
      <w:r w:rsidRPr="007A506C">
        <w:t xml:space="preserve">locations within each PCPV during construction to monitor performance during proof pressure testing. </w:t>
      </w:r>
      <w:r w:rsidR="0082453B" w:rsidRPr="0082453B">
        <w:t xml:space="preserve">Over time, some VWSGs have failed or become unreliable, yet overall compressive strain trends remain clear, providing valuable evidence of PCPV performance. For certain PCPVs, time history finite element analysis has been compared with recorded strain data, showing strong correlation. VWSG readings reveal long-term PCPV behaviour and highlight areas of low compressive or minor tensile stress as pre-stressing relaxes. The </w:t>
      </w:r>
      <w:r w:rsidR="00591D77">
        <w:t xml:space="preserve">inspector </w:t>
      </w:r>
      <w:r w:rsidR="0082453B" w:rsidRPr="0082453B">
        <w:t>should ensure the Licensee continues to collect, review (including comparison with finite element analysis), and report strain gauge results to ONR via APEX.</w:t>
      </w:r>
    </w:p>
    <w:p w14:paraId="51BD110F" w14:textId="77777777" w:rsidR="007A506C" w:rsidRDefault="007A506C" w:rsidP="007A506C">
      <w:pPr>
        <w:pStyle w:val="F9-Paragraph"/>
        <w:ind w:left="851" w:hanging="851"/>
      </w:pPr>
      <w:r w:rsidRPr="002B547A">
        <w:t>It should be the expectation that recovery and reactivation of VWSG continues</w:t>
      </w:r>
      <w:r>
        <w:t>.</w:t>
      </w:r>
    </w:p>
    <w:p w14:paraId="19A350E4" w14:textId="00CA0B8C" w:rsidR="00BD7FDB" w:rsidRDefault="00BD7FDB" w:rsidP="00BD7FDB">
      <w:pPr>
        <w:pStyle w:val="Heading2"/>
        <w:ind w:left="851" w:hanging="851"/>
      </w:pPr>
      <w:r>
        <w:lastRenderedPageBreak/>
        <w:t xml:space="preserve">PCVCs with “Pod type” </w:t>
      </w:r>
      <w:r w:rsidR="009C40F5">
        <w:t>b</w:t>
      </w:r>
      <w:r>
        <w:t>oilers</w:t>
      </w:r>
    </w:p>
    <w:p w14:paraId="69F5E6F2" w14:textId="77777777" w:rsidR="006169E4" w:rsidRPr="00843F49" w:rsidRDefault="006169E4" w:rsidP="00843F49">
      <w:pPr>
        <w:pStyle w:val="F9-Paragraph"/>
        <w:ind w:left="851" w:hanging="851"/>
      </w:pPr>
      <w:r>
        <w:t>The PCPVs at Hartlepool and Heysham 1 Power stations include "pod type" boilers within the thickness of the walls of the PCPVs. These preclude the installation of helical pre-stressing tendons within the walls and compressive pre-stress is provided via layers of tensioned steel wire wrapped around the external cylindrical surface of the PCPV, and vertical pre-stress tendons within the walls around the boilers.</w:t>
      </w:r>
    </w:p>
    <w:p w14:paraId="177ABE93" w14:textId="12544FA3" w:rsidR="005508CE" w:rsidRPr="00BB461B" w:rsidRDefault="00BB461B" w:rsidP="004011AE">
      <w:pPr>
        <w:pStyle w:val="F9-Paragraph"/>
        <w:ind w:left="851" w:hanging="851"/>
      </w:pPr>
      <w:r w:rsidRPr="00BB461B">
        <w:t xml:space="preserve">Between 2008 and 2009, the Licensee introduced a revised safety case involving lightly tensioned pre-stress lock-in bands fitted over existing wire windings. This modification also included a dewatering system, a nitrogen-controlled environment, and instrumentation to monitor band tension. The revised safety case </w:t>
      </w:r>
      <w:r w:rsidR="00372D46">
        <w:t>specifies</w:t>
      </w:r>
      <w:r w:rsidRPr="00BB461B">
        <w:t xml:space="preserve"> continuous monitoring of the wire-winding environment and band tension, with phased inspections of anchorages and lock-in bands during Statutory Outages. The BCU Oversight Panel oversees the long-term condition of the BCUs and ensures compliance with the revised safety case.</w:t>
      </w:r>
    </w:p>
    <w:p w14:paraId="5A2979A2" w14:textId="5A8FA92F" w:rsidR="00122524" w:rsidRPr="00122524" w:rsidRDefault="00122524" w:rsidP="00541F7A">
      <w:pPr>
        <w:pStyle w:val="F9-Paragraph"/>
        <w:ind w:left="851" w:hanging="851"/>
      </w:pPr>
      <w:r w:rsidRPr="00122524">
        <w:t xml:space="preserve">If PVCW leaks into wire winding chambers have continued post-modification, the </w:t>
      </w:r>
      <w:r w:rsidR="00EC0A33">
        <w:t>inspector should</w:t>
      </w:r>
      <w:r w:rsidRPr="00122524">
        <w:t xml:space="preserve"> ensure that the selection and number of BCU enclosures inspected during Statutory Outages appropriately reflect the risk of further corrosion at each BCU. The Licensee’s BCU inspection choices are often influenced by the PCPV penetration weld inspection schedule, which may not always align with the need for BCU winding chamber inspections as indicated by previous monitoring. If there have been deviations from the safety case, such as a loss of the winding chamber’s controlled environment, the </w:t>
      </w:r>
      <w:r w:rsidR="00541F7A">
        <w:t>inspector</w:t>
      </w:r>
      <w:r w:rsidRPr="00122524">
        <w:t xml:space="preserve"> should confirm that the environment was restored promptly and that any resulting degradation remains within the safety case limits.</w:t>
      </w:r>
    </w:p>
    <w:p w14:paraId="3E7E6DE6" w14:textId="384A8EC8" w:rsidR="00A71752" w:rsidRPr="0056496D" w:rsidRDefault="0056496D" w:rsidP="00D50269">
      <w:pPr>
        <w:pStyle w:val="F9-Paragraph"/>
        <w:ind w:left="851" w:hanging="851"/>
      </w:pPr>
      <w:r w:rsidRPr="0056496D">
        <w:t xml:space="preserve">The Licensee’s safety case for the modifications acknowledges that the BCU can no longer be considered an Incredibility </w:t>
      </w:r>
      <w:r w:rsidR="00460FB4">
        <w:t>o</w:t>
      </w:r>
      <w:r w:rsidRPr="0056496D">
        <w:t>f Failure (</w:t>
      </w:r>
      <w:proofErr w:type="spellStart"/>
      <w:r w:rsidRPr="0056496D">
        <w:t>IoF</w:t>
      </w:r>
      <w:proofErr w:type="spellEnd"/>
      <w:r w:rsidRPr="0056496D">
        <w:t xml:space="preserve">) component. However, fitting an external steel restraint (ESR) to prevent ejection of the BCU’s central concrete section brings it within the ‘tolerable if ALARP’ category. While ONR does not use the </w:t>
      </w:r>
      <w:proofErr w:type="spellStart"/>
      <w:r w:rsidRPr="0056496D">
        <w:t>IoF</w:t>
      </w:r>
      <w:proofErr w:type="spellEnd"/>
      <w:r w:rsidRPr="0056496D">
        <w:t xml:space="preserve"> term, it accepts the ESR as a secondary restraint should partial pre-stressing fail. The ESR comprises heavy steel frameworks bolted to the main BCU studs and surrounds the steam, feed, and super-heater penetrations. Compressive strain in key ESR members is monitored during reactor operation to provide early warning of potential BCU failure.</w:t>
      </w:r>
    </w:p>
    <w:p w14:paraId="134AF5B6" w14:textId="54903675" w:rsidR="00A71752" w:rsidRPr="00D50269" w:rsidRDefault="00D50269" w:rsidP="00F64884">
      <w:pPr>
        <w:pStyle w:val="F9-Paragraph"/>
        <w:ind w:left="851" w:hanging="851"/>
      </w:pPr>
      <w:r w:rsidRPr="00D50269">
        <w:t xml:space="preserve">A drawback of the ESR is that it must be fully dismantled and removed during periodic outages to inspect penetration welds or BCU wire windings. As the ESR is built to precise tolerances and its load-bearing feet are shimmed for correct load transfer under failure conditions (while avoiding undue loading during normal operation), dismantling and reinstallation require strict control. The </w:t>
      </w:r>
      <w:r w:rsidR="00F64884">
        <w:t>inspector</w:t>
      </w:r>
      <w:r w:rsidRPr="00D50269">
        <w:t xml:space="preserve"> should verify that thorough checks are conducted after reassembly to ensure the ESR is correctly reinstalled and able to perform its safety role effectively.</w:t>
      </w:r>
    </w:p>
    <w:p w14:paraId="0BDE8136" w14:textId="010AF563" w:rsidR="001447A1" w:rsidRDefault="001447A1" w:rsidP="001447A1">
      <w:pPr>
        <w:pStyle w:val="Heading1"/>
        <w:numPr>
          <w:ilvl w:val="0"/>
          <w:numId w:val="4"/>
        </w:numPr>
        <w:ind w:left="851" w:hanging="851"/>
      </w:pPr>
      <w:bookmarkStart w:id="14" w:name="_Toc223945696"/>
      <w:bookmarkStart w:id="15" w:name="_Toc223959996"/>
      <w:bookmarkStart w:id="16" w:name="_Toc234587375"/>
      <w:r>
        <w:lastRenderedPageBreak/>
        <w:t xml:space="preserve">Guidance on the </w:t>
      </w:r>
      <w:r w:rsidR="009C40F5">
        <w:t>a</w:t>
      </w:r>
      <w:r>
        <w:t xml:space="preserve">ssessment of </w:t>
      </w:r>
      <w:r w:rsidR="009C40F5">
        <w:t>s</w:t>
      </w:r>
      <w:r>
        <w:t xml:space="preserve">afety </w:t>
      </w:r>
      <w:r w:rsidR="009C40F5">
        <w:t>c</w:t>
      </w:r>
      <w:r>
        <w:t>ases for</w:t>
      </w:r>
      <w:r w:rsidR="00CB5E3A">
        <w:t xml:space="preserve"> </w:t>
      </w:r>
      <w:r w:rsidR="009C40F5">
        <w:t>p</w:t>
      </w:r>
      <w:r w:rsidR="00CB5E3A">
        <w:t>re</w:t>
      </w:r>
      <w:r w:rsidR="007D6680">
        <w:t>-</w:t>
      </w:r>
      <w:r w:rsidR="009C40F5">
        <w:t>s</w:t>
      </w:r>
      <w:r w:rsidR="007D6680">
        <w:t xml:space="preserve">tressed and </w:t>
      </w:r>
      <w:r w:rsidR="009C40F5">
        <w:t>r</w:t>
      </w:r>
      <w:r w:rsidR="00E25C95">
        <w:t xml:space="preserve">einforced </w:t>
      </w:r>
      <w:r w:rsidR="009C40F5">
        <w:t>c</w:t>
      </w:r>
      <w:r w:rsidR="00E25C95">
        <w:t xml:space="preserve">oncrete </w:t>
      </w:r>
      <w:r w:rsidR="009C40F5">
        <w:t>c</w:t>
      </w:r>
      <w:r w:rsidR="00E25C95">
        <w:t xml:space="preserve">ontainments </w:t>
      </w:r>
      <w:r w:rsidR="00566697">
        <w:t>for Light Water Reactors</w:t>
      </w:r>
      <w:bookmarkEnd w:id="14"/>
      <w:bookmarkEnd w:id="15"/>
      <w:bookmarkEnd w:id="16"/>
    </w:p>
    <w:p w14:paraId="01AAB1BC" w14:textId="77777777" w:rsidR="00404F60" w:rsidRPr="00584BEF" w:rsidRDefault="00404F60" w:rsidP="00404F60">
      <w:pPr>
        <w:pStyle w:val="Heading2"/>
        <w:ind w:left="851" w:hanging="851"/>
      </w:pPr>
      <w:r>
        <w:t>General</w:t>
      </w:r>
    </w:p>
    <w:p w14:paraId="2A1D3675" w14:textId="260D5215" w:rsidR="009756BE" w:rsidRDefault="009756BE" w:rsidP="009756BE">
      <w:pPr>
        <w:pStyle w:val="F9-Paragraph"/>
        <w:ind w:left="851" w:hanging="851"/>
      </w:pPr>
      <w:r>
        <w:t xml:space="preserve">This guidance relates to the design and construction of new containments </w:t>
      </w:r>
      <w:r w:rsidR="00140906">
        <w:t xml:space="preserve">of LWRs </w:t>
      </w:r>
      <w:r>
        <w:t xml:space="preserve">to modern standards; some guidance on in-service maintenance is </w:t>
      </w:r>
      <w:r w:rsidR="00D437B7">
        <w:t xml:space="preserve">also </w:t>
      </w:r>
      <w:r>
        <w:t>included. These containments do not provide the reactor pressure boundary but serve to provide a containment to confine escaped reactor coolant.</w:t>
      </w:r>
    </w:p>
    <w:p w14:paraId="5B009F80" w14:textId="0D6AD6B8" w:rsidR="002D3930" w:rsidRDefault="002D3930" w:rsidP="002D3930">
      <w:pPr>
        <w:pStyle w:val="Heading2"/>
        <w:ind w:left="851" w:hanging="851"/>
      </w:pPr>
      <w:r>
        <w:t xml:space="preserve">Primary </w:t>
      </w:r>
      <w:r w:rsidR="009C40F5">
        <w:t>c</w:t>
      </w:r>
      <w:r>
        <w:t xml:space="preserve">ontainment </w:t>
      </w:r>
      <w:r w:rsidR="009C40F5">
        <w:t>li</w:t>
      </w:r>
      <w:r>
        <w:t>ners</w:t>
      </w:r>
    </w:p>
    <w:p w14:paraId="0E942C57" w14:textId="54EBBF05" w:rsidR="002D3930" w:rsidRDefault="001B1F0D" w:rsidP="007817C1">
      <w:pPr>
        <w:pStyle w:val="F9-Paragraph"/>
        <w:ind w:left="851" w:hanging="851"/>
      </w:pPr>
      <w:r w:rsidRPr="001B1F0D">
        <w:t>If a vented containment is used and design pressure and temperature are reduced due to filtered venting, the inspector must confirm that the structure can still withstand full unvented pressure, even if it enters the inelastic range. This ensures protection should filters become blocked and unfiltered venting is required, providing extra resilience for severe accident scenarios.</w:t>
      </w:r>
    </w:p>
    <w:p w14:paraId="628FAF21" w14:textId="77777777" w:rsidR="004F1B74" w:rsidRDefault="00DA7538" w:rsidP="004F1B74">
      <w:pPr>
        <w:pStyle w:val="F9-Paragraph"/>
        <w:ind w:left="851" w:hanging="851"/>
      </w:pPr>
      <w:r w:rsidRPr="00DA7538">
        <w:t xml:space="preserve">The inspector should verify that the steel liner, including its welds, embedded retention components, and thickness transition plates, is designed to withstand differential strain rates during fault conditions and high temperatures without sustaining damage. Additionally, it </w:t>
      </w:r>
      <w:r w:rsidR="004D448E">
        <w:t>should</w:t>
      </w:r>
      <w:r w:rsidRPr="00DA7538">
        <w:t xml:space="preserve"> be confirmed that the liner would not tear if the stud anchors fail first.</w:t>
      </w:r>
    </w:p>
    <w:p w14:paraId="29E8AF66" w14:textId="66FBF460" w:rsidR="004F1B74" w:rsidRPr="004F1B74" w:rsidRDefault="004F1B74" w:rsidP="00414AE5">
      <w:pPr>
        <w:pStyle w:val="F9-Paragraph"/>
        <w:ind w:left="851" w:hanging="851"/>
      </w:pPr>
      <w:r>
        <w:t xml:space="preserve">Before liner construction, the </w:t>
      </w:r>
      <w:r w:rsidR="0029769C">
        <w:t xml:space="preserve">inspector </w:t>
      </w:r>
      <w:r>
        <w:t>should confirm there is a design justification for the specified construction tolerances</w:t>
      </w:r>
      <w:r w:rsidR="413E471C">
        <w:t xml:space="preserve">, </w:t>
      </w:r>
      <w:r>
        <w:t>covering alignment, bowing, dishing, and ovality</w:t>
      </w:r>
      <w:r w:rsidR="4C2F496A">
        <w:t xml:space="preserve">, </w:t>
      </w:r>
      <w:r>
        <w:t>to prevent unintended strains from construction errors. If the liner is erected well before concreting, a temporary wind brace may be needed to manage strains and maintain stability.</w:t>
      </w:r>
    </w:p>
    <w:p w14:paraId="3758FBDB" w14:textId="2B2DC7D3" w:rsidR="000B4939" w:rsidRDefault="000B4939" w:rsidP="00FC5536">
      <w:pPr>
        <w:pStyle w:val="F9-Paragraph"/>
        <w:ind w:left="851" w:hanging="851"/>
      </w:pPr>
      <w:r w:rsidRPr="000B4939">
        <w:t xml:space="preserve">For liners embedded in concrete, the </w:t>
      </w:r>
      <w:r w:rsidR="00FC5536">
        <w:t>inspector</w:t>
      </w:r>
      <w:r w:rsidRPr="000B4939">
        <w:t xml:space="preserve"> should ensure there are adequate provisions for pressure testing buried welds to confirm their integrity after concrete placement. For novel designs, such as</w:t>
      </w:r>
      <w:r w:rsidR="009D7B82">
        <w:t xml:space="preserve"> steel</w:t>
      </w:r>
      <w:r w:rsidR="009C40F5">
        <w:t xml:space="preserve"> </w:t>
      </w:r>
      <w:r w:rsidR="009D7B82">
        <w:t>/</w:t>
      </w:r>
      <w:r w:rsidR="009C40F5">
        <w:t xml:space="preserve"> </w:t>
      </w:r>
      <w:r w:rsidR="009D7B82">
        <w:t>concrete composite</w:t>
      </w:r>
      <w:r w:rsidRPr="000B4939">
        <w:t xml:space="preserve"> </w:t>
      </w:r>
      <w:r w:rsidR="009D7B82">
        <w:t>(</w:t>
      </w:r>
      <w:r w:rsidRPr="000B4939">
        <w:t>s/c</w:t>
      </w:r>
      <w:r w:rsidR="009D7B82">
        <w:t>)</w:t>
      </w:r>
      <w:r w:rsidRPr="000B4939">
        <w:t xml:space="preserve"> units or a floating liner base, compliance with safety functional requirements should be demonstrated through calculations to relevant codes, mock-up testing, and post-concreting pressure tests.</w:t>
      </w:r>
    </w:p>
    <w:p w14:paraId="5E700B07" w14:textId="59FD6BD0" w:rsidR="008317DC" w:rsidRPr="00C00176" w:rsidRDefault="008317DC" w:rsidP="008317DC">
      <w:pPr>
        <w:pStyle w:val="F9-Paragraph"/>
        <w:ind w:left="851" w:hanging="851"/>
      </w:pPr>
      <w:r w:rsidRPr="008317DC">
        <w:t xml:space="preserve">The </w:t>
      </w:r>
      <w:r>
        <w:t xml:space="preserve">inspector </w:t>
      </w:r>
      <w:r w:rsidRPr="008317DC">
        <w:t>should establish that liner weld procedures, welder qualification, weld materials and the welding environment are all appropriate to the nuclear safety classification of the liner both for on-site and off-site fabrication.</w:t>
      </w:r>
    </w:p>
    <w:p w14:paraId="31F283FC" w14:textId="51F97344" w:rsidR="00811FB2" w:rsidRDefault="00811FB2" w:rsidP="00811FB2">
      <w:pPr>
        <w:pStyle w:val="Heading2"/>
        <w:ind w:left="851" w:hanging="851"/>
      </w:pPr>
      <w:r>
        <w:lastRenderedPageBreak/>
        <w:t xml:space="preserve">Prestressing </w:t>
      </w:r>
      <w:r w:rsidR="009C40F5">
        <w:t>s</w:t>
      </w:r>
      <w:r>
        <w:t>ystems</w:t>
      </w:r>
    </w:p>
    <w:p w14:paraId="1EE5FD44" w14:textId="6DBFD20D" w:rsidR="000F0796" w:rsidRPr="000F0796" w:rsidRDefault="00F87CFB" w:rsidP="000F0796">
      <w:pPr>
        <w:pStyle w:val="F9-Paragraph"/>
        <w:ind w:left="851" w:hanging="851"/>
      </w:pPr>
      <w:r w:rsidRPr="28223AC0">
        <w:rPr>
          <w:rFonts w:eastAsia="Calibri"/>
        </w:rPr>
        <w:t>The inspector should expect the pre-stressing system to be designed so that, except in the most severe accident scenarios, the structure generally remains elastic and retains redundancy under infrequent fault conditions. The design must withstand the undetected failure of multiple tendons</w:t>
      </w:r>
      <w:r w:rsidR="280D2AF0" w:rsidRPr="28223AC0">
        <w:rPr>
          <w:rFonts w:eastAsia="Calibri"/>
        </w:rPr>
        <w:t>,</w:t>
      </w:r>
      <w:r w:rsidR="167ED7F4" w:rsidRPr="28223AC0">
        <w:rPr>
          <w:rFonts w:eastAsia="Calibri"/>
        </w:rPr>
        <w:t xml:space="preserve"> </w:t>
      </w:r>
      <w:r w:rsidRPr="28223AC0">
        <w:rPr>
          <w:rFonts w:eastAsia="Calibri"/>
        </w:rPr>
        <w:t>whether grouped or dispersed</w:t>
      </w:r>
      <w:r w:rsidR="3CE384B8" w:rsidRPr="28223AC0">
        <w:rPr>
          <w:rFonts w:eastAsia="Calibri"/>
        </w:rPr>
        <w:t xml:space="preserve">, </w:t>
      </w:r>
      <w:r w:rsidRPr="28223AC0">
        <w:rPr>
          <w:rFonts w:eastAsia="Calibri"/>
        </w:rPr>
        <w:t>without significantly compromising the containment’s safety function. For design basis loads, the</w:t>
      </w:r>
      <w:r w:rsidR="001769EB">
        <w:t xml:space="preserve"> inspector</w:t>
      </w:r>
      <w:r w:rsidRPr="28223AC0">
        <w:rPr>
          <w:rFonts w:eastAsia="Calibri"/>
        </w:rPr>
        <w:t xml:space="preserve"> should confirm there are no sudden ‘cliff edge effects’ leading to instability with a slight load increase. The tendons’ capacity for further extension beyond initial pre-stressing provides assurance that any transition from elastic behaviour to collapse is gradual.</w:t>
      </w:r>
    </w:p>
    <w:p w14:paraId="46ADF591" w14:textId="136721A2" w:rsidR="000F0796" w:rsidRPr="000F0796" w:rsidRDefault="000F0796" w:rsidP="00294282">
      <w:pPr>
        <w:pStyle w:val="F9-Paragraph"/>
        <w:ind w:left="851" w:hanging="851"/>
        <w:rPr>
          <w:lang w:eastAsia="en-GB"/>
        </w:rPr>
      </w:pPr>
      <w:r w:rsidRPr="000F0796">
        <w:t>The inspector should confirm that the modulus of elasticity and stress/strain behaviour of pre-stressing tendons have been determined by testing full-scale tendons of adequate length to ensure uniform loading of all bars, wires, or strands.</w:t>
      </w:r>
    </w:p>
    <w:p w14:paraId="6A43FF76" w14:textId="4E99435F" w:rsidR="001F68D0" w:rsidRDefault="001F68D0" w:rsidP="001F68D0">
      <w:pPr>
        <w:pStyle w:val="Heading2"/>
        <w:ind w:left="851" w:hanging="851"/>
      </w:pPr>
      <w:r>
        <w:t xml:space="preserve">Reinforced and </w:t>
      </w:r>
      <w:r w:rsidR="009C40F5">
        <w:t>p</w:t>
      </w:r>
      <w:r w:rsidR="00C15BEA">
        <w:t xml:space="preserve">restressed </w:t>
      </w:r>
      <w:r w:rsidR="009C40F5">
        <w:t>c</w:t>
      </w:r>
      <w:r w:rsidR="004A63D1">
        <w:t xml:space="preserve">oncrete </w:t>
      </w:r>
      <w:r w:rsidR="009C40F5">
        <w:t>c</w:t>
      </w:r>
      <w:r w:rsidR="004A63D1">
        <w:t>ontainments</w:t>
      </w:r>
    </w:p>
    <w:p w14:paraId="3AFF6B64" w14:textId="604551CD" w:rsidR="00964DBE" w:rsidRDefault="00964DBE" w:rsidP="00BB653B">
      <w:pPr>
        <w:pStyle w:val="F9-Paragraph"/>
        <w:ind w:left="851" w:hanging="851"/>
      </w:pPr>
      <w:r>
        <w:t xml:space="preserve">ECV.2 and ECV.3 </w:t>
      </w:r>
      <w:r w:rsidR="00FE6F1F">
        <w:t>relate to containment design</w:t>
      </w:r>
      <w:r w:rsidR="002A4FC3">
        <w:t xml:space="preserve">. </w:t>
      </w:r>
      <w:r w:rsidR="00BB653B" w:rsidRPr="00843F49">
        <w:rPr>
          <w:color w:val="000000"/>
        </w:rPr>
        <w:t>ECV.2 requires containment systems to reduce radioactive releases during normal, fault, and accident conditions. ECV.3 prioritises passive sealed containment and intrinsic safety features over active dynamic systems for confining radioactive substances.</w:t>
      </w:r>
    </w:p>
    <w:p w14:paraId="610917E4" w14:textId="1B814C44" w:rsidR="00E47CC9" w:rsidRDefault="0021156A" w:rsidP="00E47CC9">
      <w:pPr>
        <w:pStyle w:val="F9-Paragraph"/>
        <w:ind w:left="851" w:hanging="851"/>
      </w:pPr>
      <w:r>
        <w:t xml:space="preserve">The inspector should verify that the containment’s structural integrity under peak internal pressure and temperature does not depend on active pressure reduction systems. </w:t>
      </w:r>
      <w:r w:rsidR="003A1987">
        <w:t xml:space="preserve">In the </w:t>
      </w:r>
      <w:r>
        <w:t>UK</w:t>
      </w:r>
      <w:r w:rsidR="003A1987">
        <w:t>, it has been standard practice</w:t>
      </w:r>
      <w:r w:rsidR="000E047D">
        <w:t xml:space="preserve"> to ensure that </w:t>
      </w:r>
      <w:r>
        <w:t>the containment to remain largely elastic during typical fault and accident scenarios.</w:t>
      </w:r>
    </w:p>
    <w:p w14:paraId="4E6E5FAF" w14:textId="08F9653B" w:rsidR="00CE3AFE" w:rsidRPr="00E47CC9" w:rsidRDefault="00E47CC9" w:rsidP="00E47CC9">
      <w:pPr>
        <w:pStyle w:val="F9-Paragraph"/>
        <w:ind w:left="851" w:hanging="851"/>
      </w:pPr>
      <w:r w:rsidRPr="00E47CC9">
        <w:t xml:space="preserve">PWR (light water) reactors may also feature a reinforced concrete secondary containment (Reactor Building) designed to withstand volume pressurisation in the event of an accident or failure of the annulus ventilation system. </w:t>
      </w:r>
      <w:r w:rsidR="009C40F5">
        <w:br/>
      </w:r>
      <w:r w:rsidR="00232BDB">
        <w:t xml:space="preserve">The inspector should ensure that the </w:t>
      </w:r>
      <w:r w:rsidRPr="00E47CC9">
        <w:t>secondary containment must resist external loads independently or together with the primary containment.</w:t>
      </w:r>
    </w:p>
    <w:p w14:paraId="533239E4" w14:textId="3100DBB4" w:rsidR="00072D66" w:rsidRDefault="00F76EE7" w:rsidP="00072D66">
      <w:pPr>
        <w:pStyle w:val="Heading2"/>
        <w:ind w:left="851" w:hanging="851"/>
      </w:pPr>
      <w:r>
        <w:t xml:space="preserve">Structural </w:t>
      </w:r>
      <w:r w:rsidR="009C40F5">
        <w:t>p</w:t>
      </w:r>
      <w:r>
        <w:t>erformance</w:t>
      </w:r>
    </w:p>
    <w:p w14:paraId="2B8D71CA" w14:textId="00A1BDE3" w:rsidR="0054085A" w:rsidRDefault="00722722" w:rsidP="00C837FD">
      <w:pPr>
        <w:pStyle w:val="F9-Paragraph"/>
        <w:ind w:left="851" w:hanging="851"/>
      </w:pPr>
      <w:r>
        <w:t>ECE.1 requires t</w:t>
      </w:r>
      <w:r w:rsidRPr="00722722">
        <w:t>h</w:t>
      </w:r>
      <w:r>
        <w:t>at th</w:t>
      </w:r>
      <w:r w:rsidRPr="00722722">
        <w:t>e safety functions and structural performance of the civil engineering structures under normal operating and fault conditions should be specified.</w:t>
      </w:r>
    </w:p>
    <w:p w14:paraId="431DB8A0" w14:textId="1A257F32" w:rsidR="00C837FD" w:rsidRDefault="00C837FD" w:rsidP="00C837FD">
      <w:pPr>
        <w:pStyle w:val="F9-Paragraph"/>
        <w:ind w:left="851" w:hanging="851"/>
      </w:pPr>
      <w:r>
        <w:t>The assessor should establish that a detailed schedule of loading for both serviceability and ultimate limit states such as:</w:t>
      </w:r>
    </w:p>
    <w:p w14:paraId="6640A345" w14:textId="70B2CB1E" w:rsidR="00C837FD" w:rsidRDefault="00C837FD" w:rsidP="00C83C81">
      <w:pPr>
        <w:pStyle w:val="Bulletlist1"/>
        <w:ind w:left="1418" w:hanging="357"/>
      </w:pPr>
      <w:r>
        <w:t>Normal operation.</w:t>
      </w:r>
    </w:p>
    <w:p w14:paraId="58C48367" w14:textId="77758092" w:rsidR="00C837FD" w:rsidRDefault="00C837FD" w:rsidP="00C83C81">
      <w:pPr>
        <w:pStyle w:val="Bulletlist1"/>
        <w:ind w:left="1418" w:hanging="357"/>
      </w:pPr>
      <w:r>
        <w:t>Plant transients</w:t>
      </w:r>
    </w:p>
    <w:p w14:paraId="05F1F17F" w14:textId="71D254E0" w:rsidR="00C837FD" w:rsidRDefault="00C837FD" w:rsidP="00C83C81">
      <w:pPr>
        <w:pStyle w:val="Bulletlist1"/>
        <w:ind w:left="1418" w:hanging="357"/>
      </w:pPr>
      <w:r>
        <w:lastRenderedPageBreak/>
        <w:tab/>
        <w:t>Faults</w:t>
      </w:r>
    </w:p>
    <w:p w14:paraId="2DCA37E8" w14:textId="2D0F0EAF" w:rsidR="00C837FD" w:rsidRDefault="00C837FD" w:rsidP="00C83C81">
      <w:pPr>
        <w:pStyle w:val="Bulletlist1"/>
        <w:ind w:left="1418" w:hanging="357"/>
      </w:pPr>
      <w:r>
        <w:tab/>
        <w:t>Internal and external hazards</w:t>
      </w:r>
    </w:p>
    <w:p w14:paraId="1ADFEB63" w14:textId="41CF7D8C" w:rsidR="00F76EE7" w:rsidRPr="00F76EE7" w:rsidRDefault="00C837FD" w:rsidP="00C83C81">
      <w:pPr>
        <w:pStyle w:val="F9-Paragraph"/>
        <w:numPr>
          <w:ilvl w:val="0"/>
          <w:numId w:val="0"/>
        </w:numPr>
        <w:ind w:left="851"/>
      </w:pPr>
      <w:r>
        <w:t>has been prepared and that the design analysis covers potential failure modes for conditions arising from design basis faults and potential in-service degradation mechanisms.</w:t>
      </w:r>
    </w:p>
    <w:p w14:paraId="7C715626" w14:textId="2923DF80" w:rsidR="00E92A80" w:rsidRPr="004E6FC2" w:rsidRDefault="004E6FC2" w:rsidP="00B42EA1">
      <w:pPr>
        <w:pStyle w:val="F9-Paragraph"/>
        <w:ind w:left="851" w:hanging="851"/>
      </w:pPr>
      <w:r w:rsidRPr="004E6FC2">
        <w:t xml:space="preserve">The inspector should ensure that adequate safety margins are in place so that failure of less ductile structures is highly improbable during credible </w:t>
      </w:r>
      <w:r w:rsidR="00B42EA1">
        <w:t xml:space="preserve">initiating </w:t>
      </w:r>
      <w:r w:rsidRPr="004E6FC2">
        <w:t>events, and that any failure under severe loads would be predictable, gradual, and detectable in advance.</w:t>
      </w:r>
    </w:p>
    <w:p w14:paraId="36B9B4B1" w14:textId="524ACF8F" w:rsidR="00E41297" w:rsidRPr="00E41297" w:rsidRDefault="00E92A80" w:rsidP="00B42EA1">
      <w:pPr>
        <w:pStyle w:val="F9-Paragraph"/>
        <w:ind w:left="851" w:hanging="851"/>
      </w:pPr>
      <w:r>
        <w:t xml:space="preserve">The </w:t>
      </w:r>
      <w:r w:rsidR="004E6FC2">
        <w:t xml:space="preserve">inspector </w:t>
      </w:r>
      <w:r>
        <w:t>should establish that only proven materials are used for construction and that high standards are applied, as verified by inspection of the construction work and of the materials used.</w:t>
      </w:r>
    </w:p>
    <w:p w14:paraId="586AD0B0" w14:textId="4074E4A0" w:rsidR="002B2A1A" w:rsidRDefault="002B2A1A" w:rsidP="002B2A1A">
      <w:pPr>
        <w:pStyle w:val="Heading2"/>
        <w:ind w:left="851" w:hanging="851"/>
      </w:pPr>
      <w:r>
        <w:t xml:space="preserve">Independent </w:t>
      </w:r>
      <w:r w:rsidR="009C40F5">
        <w:t>a</w:t>
      </w:r>
      <w:r>
        <w:t>rguments</w:t>
      </w:r>
    </w:p>
    <w:p w14:paraId="66793B0F" w14:textId="77777777" w:rsidR="00CD4642" w:rsidRPr="00843F49" w:rsidRDefault="00CD4642" w:rsidP="00843F49">
      <w:pPr>
        <w:pStyle w:val="F9-Paragraph"/>
        <w:ind w:left="851" w:hanging="851"/>
      </w:pPr>
      <w:r w:rsidRPr="00843F49">
        <w:t xml:space="preserve">ECE.2 requires that the highest levels of reliability, multiple independent and diverse arguments should be provided in the safety case. </w:t>
      </w:r>
    </w:p>
    <w:p w14:paraId="78EEB3AB" w14:textId="72290718" w:rsidR="00BC373C" w:rsidRDefault="00BC373C" w:rsidP="00BC373C">
      <w:pPr>
        <w:pStyle w:val="F9-Paragraph"/>
        <w:ind w:left="851" w:hanging="851"/>
      </w:pPr>
      <w:r w:rsidRPr="00BC373C">
        <w:t xml:space="preserve">To support assessment of the design the </w:t>
      </w:r>
      <w:r>
        <w:t xml:space="preserve">inspector </w:t>
      </w:r>
      <w:r w:rsidRPr="00BC373C">
        <w:t xml:space="preserve">may seek evidence of design substantiation by alternative calculation and analysis routes. In this respect, the provision by the Licensee of Third Party endorsement of the design by means of independent analysis can provide the </w:t>
      </w:r>
      <w:r>
        <w:t xml:space="preserve">inspector </w:t>
      </w:r>
      <w:r w:rsidRPr="00BC373C">
        <w:t>with a high level of confidence in the design. Similarly, for assurance of construction compliance with specification and quality on site, the</w:t>
      </w:r>
      <w:r>
        <w:t xml:space="preserve"> inspector </w:t>
      </w:r>
      <w:r w:rsidRPr="00BC373C">
        <w:t>may also seek endorsement of the construction process by a Third Party that is independent of the site-specific management and quality assurance arrangements.</w:t>
      </w:r>
    </w:p>
    <w:p w14:paraId="62E31ACC" w14:textId="2A3572A9" w:rsidR="002B2A1A" w:rsidRPr="00F637AC" w:rsidRDefault="00BC373C" w:rsidP="00F637AC">
      <w:pPr>
        <w:pStyle w:val="F9-Paragraph"/>
        <w:ind w:left="851" w:hanging="851"/>
      </w:pPr>
      <w:r w:rsidRPr="00F637AC">
        <w:t>To assist in design assessment, the inspector may request evidence of design validation through alternative calculations and analyses. Third Party independent endorsement of both the design and construction process can provide the inspector with strong assurance of compliance with specifications and quality, independent of site management and quality assurance arrangements.</w:t>
      </w:r>
    </w:p>
    <w:p w14:paraId="046146A1" w14:textId="73E2962F" w:rsidR="00F0284E" w:rsidRDefault="00F0284E" w:rsidP="00F0284E">
      <w:pPr>
        <w:pStyle w:val="Heading2"/>
        <w:ind w:left="851" w:hanging="851"/>
      </w:pPr>
      <w:r>
        <w:t xml:space="preserve">Codes and </w:t>
      </w:r>
      <w:r w:rsidR="009C40F5">
        <w:t>s</w:t>
      </w:r>
      <w:r>
        <w:t>tandards</w:t>
      </w:r>
    </w:p>
    <w:p w14:paraId="71193E79" w14:textId="758AD39C" w:rsidR="004B14DF" w:rsidRDefault="00172975" w:rsidP="00172975">
      <w:pPr>
        <w:pStyle w:val="F9-Paragraph"/>
        <w:ind w:left="851" w:hanging="851"/>
      </w:pPr>
      <w:r w:rsidRPr="00172975">
        <w:t>ECS.3 and ECS.4 require that safety-critical structures, systems, and components are designed, built, maintained, and inspected to relevant standards. If no established codes exist, similar codes for comparable equipment and safety importance should be used.</w:t>
      </w:r>
    </w:p>
    <w:p w14:paraId="643790D2" w14:textId="77777777" w:rsidR="009C40F5" w:rsidRDefault="009C40F5" w:rsidP="000F6B44">
      <w:pPr>
        <w:pStyle w:val="F9-Paragraph"/>
        <w:ind w:left="851" w:hanging="851"/>
        <w:sectPr w:rsidR="009C40F5">
          <w:pgSz w:w="11906" w:h="16838"/>
          <w:pgMar w:top="1440" w:right="1440" w:bottom="1440" w:left="1440" w:header="708" w:footer="708" w:gutter="0"/>
          <w:cols w:space="708"/>
          <w:docGrid w:linePitch="360"/>
        </w:sectPr>
      </w:pPr>
    </w:p>
    <w:p w14:paraId="4481F127" w14:textId="429534D9" w:rsidR="008A43E3" w:rsidRDefault="008A43E3" w:rsidP="000F6B44">
      <w:pPr>
        <w:pStyle w:val="F9-Paragraph"/>
        <w:ind w:left="851" w:hanging="851"/>
      </w:pPr>
      <w:r w:rsidRPr="008A43E3">
        <w:lastRenderedPageBreak/>
        <w:t>When reviewing a new containment design, the inspector should determine the design standards and loading schedules used, assess their equivalence to UK standards and Eurocodes, and consider the level of regulatory scrutiny in the design’s country of origin, including any identified gaps. This enables a judgement on the extent and focus of further scrutiny required.</w:t>
      </w:r>
    </w:p>
    <w:p w14:paraId="2CAF846F" w14:textId="77777777" w:rsidR="00A50B29" w:rsidRDefault="008A43E3" w:rsidP="00A50B29">
      <w:pPr>
        <w:pStyle w:val="F9-Paragraph"/>
        <w:ind w:left="851" w:hanging="851"/>
      </w:pPr>
      <w:r>
        <w:t xml:space="preserve">The applicability of non-UK design codes and material standards should be viewed with caution and assurance </w:t>
      </w:r>
      <w:r w:rsidR="00A50B29">
        <w:t xml:space="preserve">be </w:t>
      </w:r>
      <w:r>
        <w:t>sought that the design intent of the codes can be met using available UK materials.</w:t>
      </w:r>
    </w:p>
    <w:p w14:paraId="3F92FD43" w14:textId="05F178B7" w:rsidR="008A43E3" w:rsidRPr="005D65ED" w:rsidRDefault="005D65ED" w:rsidP="00E07CBF">
      <w:pPr>
        <w:pStyle w:val="F9-Paragraph"/>
        <w:ind w:left="851" w:hanging="851"/>
      </w:pPr>
      <w:r w:rsidRPr="005D65ED">
        <w:t xml:space="preserve">If suitable established codes or standards are unavailable due to novel construction methods, any proposed alternative codes and standards should be thoroughly evaluated. It </w:t>
      </w:r>
      <w:r w:rsidR="00E07CBF">
        <w:t>should</w:t>
      </w:r>
      <w:r w:rsidRPr="005D65ED">
        <w:t xml:space="preserve"> be demonstrated that these alternatives offer reliability equal to or greater than recognised codes, with their reliability clearly quantified and compared to that of established standards.</w:t>
      </w:r>
    </w:p>
    <w:p w14:paraId="73A45543" w14:textId="736070CE" w:rsidR="00F0284E" w:rsidRPr="00F0284E" w:rsidRDefault="008A43E3" w:rsidP="00E07CBF">
      <w:pPr>
        <w:pStyle w:val="F9-Paragraph"/>
        <w:ind w:left="851" w:hanging="851"/>
      </w:pPr>
      <w:r>
        <w:t>The combining of different codes and standards for a single aspect of a structure, system or component should be avoided. Where this cannot be avoided, the combining of the codes and standards should be justified and their mutual compatibility demonstrated.</w:t>
      </w:r>
    </w:p>
    <w:p w14:paraId="69FA8ED8" w14:textId="17CA3B72" w:rsidR="00194C83" w:rsidRDefault="00194C83" w:rsidP="00194C83">
      <w:pPr>
        <w:pStyle w:val="Heading2"/>
        <w:ind w:left="851" w:hanging="851"/>
      </w:pPr>
      <w:r>
        <w:t xml:space="preserve">Design </w:t>
      </w:r>
      <w:r w:rsidR="009C40F5">
        <w:t>b</w:t>
      </w:r>
      <w:r>
        <w:t>asis</w:t>
      </w:r>
    </w:p>
    <w:p w14:paraId="34E22463" w14:textId="6D0659C2" w:rsidR="00AF5474" w:rsidRDefault="00AF5474" w:rsidP="00666672">
      <w:pPr>
        <w:pStyle w:val="F9-Paragraph"/>
        <w:ind w:left="851" w:hanging="851"/>
      </w:pPr>
      <w:r w:rsidRPr="00843F49">
        <w:t>ECE.6 requires that load development and a schedule of load combinations,, together with their frequencies, should be used as the basis for structural design.  Loadings during normal operating, testing, design basis fault and accident conditions should be included.</w:t>
      </w:r>
    </w:p>
    <w:p w14:paraId="2E8B562D" w14:textId="13FB9079" w:rsidR="006A13A7" w:rsidRPr="007345F1" w:rsidRDefault="007345F1" w:rsidP="00666672">
      <w:pPr>
        <w:pStyle w:val="F9-Paragraph"/>
        <w:ind w:left="851" w:hanging="851"/>
      </w:pPr>
      <w:r w:rsidRPr="007345F1">
        <w:t xml:space="preserve">The pressures and temperatures within both primary and secondary containments </w:t>
      </w:r>
      <w:r w:rsidR="00017EA2">
        <w:t>under</w:t>
      </w:r>
      <w:r w:rsidRPr="007345F1">
        <w:t xml:space="preserve"> </w:t>
      </w:r>
      <w:r w:rsidR="00017EA2">
        <w:t xml:space="preserve">normal operating, fault, and accident conditions </w:t>
      </w:r>
      <w:r w:rsidRPr="007345F1">
        <w:t>must be established and verified. The safety functions and categorisation of all structures, plant, and equipment forming the containment boundaries should be clearly defined. The ultimate limit state design requirements for these boundaries will depend on the selected load combinations and reactor type.</w:t>
      </w:r>
    </w:p>
    <w:p w14:paraId="29EDD285" w14:textId="0D7E99D6" w:rsidR="006A13A7" w:rsidRPr="00661C06" w:rsidRDefault="00661C06" w:rsidP="00445113">
      <w:pPr>
        <w:pStyle w:val="F9-Paragraph"/>
        <w:ind w:left="851" w:hanging="851"/>
      </w:pPr>
      <w:r w:rsidRPr="00661C06">
        <w:t xml:space="preserve">Peak fault pressures and temperatures experienced by certain primary containments during a LOCA may depend on the </w:t>
      </w:r>
      <w:r w:rsidR="00B0664D">
        <w:t>reliability</w:t>
      </w:r>
      <w:r w:rsidRPr="00661C06">
        <w:t xml:space="preserve"> of emergency internal spray or heat removal systems. The assessor should ensure a consistent, validated rationale supports the selected design and extreme load combinations. Forces resulting from passive or active pressure and temperature reduction systems must be clearly understood and quantified.</w:t>
      </w:r>
    </w:p>
    <w:p w14:paraId="23B212FB" w14:textId="5B0B6A25" w:rsidR="006A13A7" w:rsidRPr="00810B08" w:rsidRDefault="00810B08" w:rsidP="0067628A">
      <w:pPr>
        <w:pStyle w:val="F9-Paragraph"/>
        <w:ind w:left="851" w:hanging="851"/>
      </w:pPr>
      <w:r w:rsidRPr="00810B08">
        <w:t xml:space="preserve">Careful consideration </w:t>
      </w:r>
      <w:r>
        <w:t>should</w:t>
      </w:r>
      <w:r w:rsidRPr="00810B08">
        <w:t xml:space="preserve"> be given to temperature effects on civil engineering containments during normal operation and design basis accidents. While high temperatures are unlikely, adequate insulation and cooling may be needed to protect the containment’s inner surfaces and limit concrete temperature increases if they occur. Temperature-induced stresses can affect reinforcement requirements and may cause cracking during cooling.</w:t>
      </w:r>
    </w:p>
    <w:p w14:paraId="018EF8C9" w14:textId="6FB2303F" w:rsidR="006A13A7" w:rsidRPr="004E5704" w:rsidRDefault="004E5704" w:rsidP="00E2032B">
      <w:pPr>
        <w:pStyle w:val="F9-Paragraph"/>
        <w:ind w:left="851" w:hanging="851"/>
      </w:pPr>
      <w:r>
        <w:lastRenderedPageBreak/>
        <w:t>For PWR</w:t>
      </w:r>
      <w:r w:rsidR="4256B567">
        <w:t>s</w:t>
      </w:r>
      <w:r>
        <w:t xml:space="preserve">, the secondary (outer) containment should be designed to withstand external human-made and natural loads. </w:t>
      </w:r>
      <w:r w:rsidR="00212A01">
        <w:t>S</w:t>
      </w:r>
      <w:r>
        <w:t xml:space="preserve">erviceability </w:t>
      </w:r>
      <w:r w:rsidR="00212A01">
        <w:t xml:space="preserve">should be demonstrated </w:t>
      </w:r>
      <w:r>
        <w:t xml:space="preserve">under meteorological conditions (such as snow, wind, and extreme temperatures) and </w:t>
      </w:r>
      <w:r w:rsidR="00212A01">
        <w:t>stability must be ensured</w:t>
      </w:r>
      <w:r>
        <w:t xml:space="preserve"> during the design basis earthquake, aircraft impact, external explosions, and other internal hazards. To prevent radioactive releases in accidents, the containment should be leak-tight enough to maintain negative pressure for a specified grace period without using the ventilation system.</w:t>
      </w:r>
    </w:p>
    <w:p w14:paraId="7D6BC195" w14:textId="504F3E55" w:rsidR="00194C83" w:rsidRDefault="006A13A7" w:rsidP="007B28FE">
      <w:pPr>
        <w:pStyle w:val="F9-Paragraph"/>
        <w:ind w:left="851" w:hanging="851"/>
      </w:pPr>
      <w:r>
        <w:t>The purpose of the secondary containment is not to take over the functions of the primary containment should it fail. Its function is to collect potential leaks from the primary containment for filtered release. More detailed advice is available in IAEA Specific Safety Guide SSG-53 Design of the Reactor Containment and Associated Systems for Nuclear Power Plants</w:t>
      </w:r>
      <w:r w:rsidR="004A67C4">
        <w:t xml:space="preserve"> </w:t>
      </w:r>
      <w:sdt>
        <w:sdtPr>
          <w:id w:val="-1036035634"/>
          <w:citation/>
        </w:sdtPr>
        <w:sdtEndPr/>
        <w:sdtContent>
          <w:r w:rsidR="004A67C4">
            <w:fldChar w:fldCharType="begin"/>
          </w:r>
          <w:r w:rsidR="004A67C4">
            <w:instrText xml:space="preserve"> CITATION IAE19 \l 2057 </w:instrText>
          </w:r>
          <w:r w:rsidR="004A67C4">
            <w:fldChar w:fldCharType="separate"/>
          </w:r>
          <w:r w:rsidR="00843F49">
            <w:rPr>
              <w:noProof/>
            </w:rPr>
            <w:t>[7]</w:t>
          </w:r>
          <w:r w:rsidR="004A67C4">
            <w:fldChar w:fldCharType="end"/>
          </w:r>
        </w:sdtContent>
      </w:sdt>
      <w:r>
        <w:t>.</w:t>
      </w:r>
    </w:p>
    <w:p w14:paraId="3EA313ED" w14:textId="364FBABE" w:rsidR="000A170B" w:rsidRDefault="000A170B" w:rsidP="000A170B">
      <w:pPr>
        <w:pStyle w:val="Heading2"/>
        <w:ind w:left="851" w:hanging="851"/>
      </w:pPr>
      <w:r>
        <w:t xml:space="preserve">Structural </w:t>
      </w:r>
      <w:r w:rsidR="009C40F5">
        <w:t>a</w:t>
      </w:r>
      <w:r>
        <w:t>nalysis</w:t>
      </w:r>
    </w:p>
    <w:p w14:paraId="1538EFE4" w14:textId="5EDF8CB8" w:rsidR="004974F7" w:rsidRDefault="008F1082" w:rsidP="00B25FFA">
      <w:pPr>
        <w:pStyle w:val="F9-Paragraph"/>
        <w:ind w:left="851" w:hanging="851"/>
        <w:rPr>
          <w:lang w:eastAsia="en-GB"/>
        </w:rPr>
      </w:pPr>
      <w:r w:rsidRPr="00CE16C2">
        <w:rPr>
          <w:lang w:eastAsia="en-GB"/>
        </w:rPr>
        <w:t>ECE.12, ECE.13, ECE.14 and ECE.1</w:t>
      </w:r>
      <w:r>
        <w:rPr>
          <w:lang w:eastAsia="en-GB"/>
        </w:rPr>
        <w:t xml:space="preserve">5 </w:t>
      </w:r>
      <w:r w:rsidR="00B25FFA">
        <w:rPr>
          <w:lang w:eastAsia="en-GB"/>
        </w:rPr>
        <w:t>relate to</w:t>
      </w:r>
      <w:r w:rsidRPr="026CC3FD">
        <w:rPr>
          <w:lang w:eastAsia="en-GB"/>
        </w:rPr>
        <w:t xml:space="preserve"> the use of data, sensitivity studies and validation methods</w:t>
      </w:r>
      <w:r w:rsidR="00395858">
        <w:rPr>
          <w:lang w:eastAsia="en-GB"/>
        </w:rPr>
        <w:t xml:space="preserve"> in structural analysis and </w:t>
      </w:r>
      <w:r w:rsidR="00586A64">
        <w:rPr>
          <w:lang w:eastAsia="en-GB"/>
        </w:rPr>
        <w:t>model testing</w:t>
      </w:r>
      <w:r w:rsidR="00B25FFA">
        <w:rPr>
          <w:lang w:eastAsia="en-GB"/>
        </w:rPr>
        <w:t xml:space="preserve"> to d</w:t>
      </w:r>
      <w:r w:rsidR="004974F7" w:rsidRPr="026CC3FD">
        <w:rPr>
          <w:lang w:eastAsia="en-GB"/>
        </w:rPr>
        <w:t>emonstrat</w:t>
      </w:r>
      <w:r w:rsidR="00B25FFA">
        <w:rPr>
          <w:lang w:eastAsia="en-GB"/>
        </w:rPr>
        <w:t>e</w:t>
      </w:r>
      <w:r w:rsidR="004974F7" w:rsidRPr="026CC3FD">
        <w:rPr>
          <w:lang w:eastAsia="en-GB"/>
        </w:rPr>
        <w:t xml:space="preserve"> that the PCPV can fulfil its safety functional requirement over its lifetime.</w:t>
      </w:r>
    </w:p>
    <w:p w14:paraId="7DB1DA62" w14:textId="13C58C9D" w:rsidR="000A170B" w:rsidRPr="00F30542" w:rsidRDefault="00CC02EC" w:rsidP="00CC02EC">
      <w:pPr>
        <w:pStyle w:val="F9-Paragraph"/>
        <w:ind w:left="851" w:hanging="851"/>
      </w:pPr>
      <w:r>
        <w:t xml:space="preserve">The structural performance of a containment should be demonstrated to be conservative by a combination of analysis; design, model test and pressure test </w:t>
      </w:r>
      <w:r w:rsidRPr="00F30542">
        <w:t>of the built containment. The design should generally meet the requirements of SAP paragraphs 337 to 339 to establish what safety margins exist.</w:t>
      </w:r>
    </w:p>
    <w:p w14:paraId="5E3BF451" w14:textId="6B08A50C" w:rsidR="009E6951" w:rsidRPr="00F30542" w:rsidRDefault="00393CFC" w:rsidP="00393CFC">
      <w:pPr>
        <w:pStyle w:val="F9-Paragraph"/>
        <w:ind w:left="851" w:hanging="851"/>
      </w:pPr>
      <w:r w:rsidRPr="00F30542">
        <w:t>Regardless of the work done by other regulators, w</w:t>
      </w:r>
      <w:r w:rsidR="001A3C5B" w:rsidRPr="00F30542">
        <w:t>hen using an ‘overseas’ containment design, the assessor must ensure that suitable load combinations have been applied, sufficient numerical analysis has demonstrated compliance with SAPs, and the design computer codes are validated with verified outputs.</w:t>
      </w:r>
    </w:p>
    <w:p w14:paraId="33A01B2C" w14:textId="55C57301" w:rsidR="005264E8" w:rsidRPr="00F30542" w:rsidRDefault="00706F43" w:rsidP="000529A3">
      <w:pPr>
        <w:pStyle w:val="F9-Paragraph"/>
        <w:ind w:left="851" w:hanging="851"/>
      </w:pPr>
      <w:r w:rsidRPr="00F30542">
        <w:t>When designing a containment, it must be verified that all boundary components</w:t>
      </w:r>
      <w:r w:rsidR="60337FE8" w:rsidRPr="00F30542">
        <w:t xml:space="preserve">. </w:t>
      </w:r>
      <w:r w:rsidRPr="00F30542">
        <w:t>such as structures, isolating systems, access points, and penetrations for pipes and cables</w:t>
      </w:r>
      <w:r w:rsidR="0AF2C6F0" w:rsidRPr="00F30542">
        <w:t xml:space="preserve">, </w:t>
      </w:r>
      <w:r w:rsidRPr="00F30542">
        <w:t>are identified. The safety functions of each part under normal, fault, and accident conditions should be specified, along with criteria to assess their performance under the defined loads. Particular attention should be paid to local membrane strains around large penetration groups, access hatches, and airlocks to ensure they stay within allowable limits.</w:t>
      </w:r>
    </w:p>
    <w:p w14:paraId="203F471F" w14:textId="563623F2" w:rsidR="005264E8" w:rsidRPr="00F30542" w:rsidRDefault="005264E8" w:rsidP="00A9747E">
      <w:pPr>
        <w:pStyle w:val="F9-Paragraph"/>
        <w:ind w:left="851" w:hanging="851"/>
      </w:pPr>
      <w:r w:rsidRPr="00F30542">
        <w:t xml:space="preserve">Structural interactions with non-civil components of the containment should be fully understood and considered in the analysis and design. </w:t>
      </w:r>
    </w:p>
    <w:p w14:paraId="36982576" w14:textId="5E18D111" w:rsidR="005264E8" w:rsidRPr="00F30542" w:rsidRDefault="00A9747E" w:rsidP="00E356DE">
      <w:pPr>
        <w:pStyle w:val="F9-Paragraph"/>
        <w:ind w:left="851" w:hanging="851"/>
      </w:pPr>
      <w:r w:rsidRPr="00F30542">
        <w:t>Calculations for beyond design basis conditions may predict extreme physical behaviour and often use methods that cannot be rigorously validated. Therefore, results should be reviewed to ensure they broadly reflect expected physical performance, and a containment ultimate capacity analysis must be performed.</w:t>
      </w:r>
    </w:p>
    <w:p w14:paraId="5255F668" w14:textId="24D54C6D" w:rsidR="009002C6" w:rsidRDefault="00436D1A" w:rsidP="009002C6">
      <w:pPr>
        <w:pStyle w:val="F9-Paragraph"/>
        <w:ind w:left="851" w:hanging="851"/>
      </w:pPr>
      <w:r w:rsidRPr="00F30542">
        <w:lastRenderedPageBreak/>
        <w:t xml:space="preserve">The assessment </w:t>
      </w:r>
      <w:r w:rsidR="00061A14" w:rsidRPr="00F30542">
        <w:t>should</w:t>
      </w:r>
      <w:r w:rsidRPr="00F30542">
        <w:t xml:space="preserve"> confirm that the containment design maintains its safety functions despite internal and external hazards. SAP</w:t>
      </w:r>
      <w:r w:rsidR="00544933">
        <w:t>,</w:t>
      </w:r>
      <w:r w:rsidRPr="00F30542">
        <w:t xml:space="preserve"> paragraph 525</w:t>
      </w:r>
      <w:r>
        <w:t xml:space="preserve"> Clauses a) to n)</w:t>
      </w:r>
      <w:r w:rsidR="00544933">
        <w:t>,</w:t>
      </w:r>
      <w:r>
        <w:t xml:space="preserve"> outline general design requirements for nuclear containments. It is also necessary to establish design safety limits and performance criteria for severe accidents, addressing both structural integrity and stability.</w:t>
      </w:r>
    </w:p>
    <w:p w14:paraId="66FB4CC5" w14:textId="5D4C473E" w:rsidR="007A506C" w:rsidRDefault="005264E8" w:rsidP="009002C6">
      <w:pPr>
        <w:pStyle w:val="F9-Paragraph"/>
        <w:ind w:left="851" w:hanging="851"/>
      </w:pPr>
      <w:r>
        <w:t>Parallel structural analyses undertaken to support probabilistic safety analyses (PSA) should also be considered as they represent realistic margins to realistic failure mechanisms and they can provide guidance on which areas of the design are most critical.</w:t>
      </w:r>
    </w:p>
    <w:p w14:paraId="22ECD8CD" w14:textId="0DDA40BC" w:rsidR="00B82AE7" w:rsidRDefault="00B82AE7" w:rsidP="00B82AE7">
      <w:pPr>
        <w:pStyle w:val="Heading2"/>
        <w:ind w:left="851" w:hanging="851"/>
      </w:pPr>
      <w:r>
        <w:t>Constr</w:t>
      </w:r>
      <w:r w:rsidR="007545A2">
        <w:t>uction</w:t>
      </w:r>
    </w:p>
    <w:p w14:paraId="7AF4409C" w14:textId="6A41BCE8" w:rsidR="00F66F26" w:rsidRDefault="00490F4E" w:rsidP="009306B8">
      <w:pPr>
        <w:pStyle w:val="F9-Paragraph"/>
        <w:ind w:left="851" w:hanging="851"/>
      </w:pPr>
      <w:r>
        <w:t xml:space="preserve">ECS.3, </w:t>
      </w:r>
      <w:r w:rsidR="000400AE">
        <w:t xml:space="preserve">ECE.3, </w:t>
      </w:r>
      <w:r w:rsidR="004C11B7">
        <w:t xml:space="preserve">ECE.16, ECE.17, </w:t>
      </w:r>
      <w:r w:rsidR="003F046C">
        <w:t>ECE.18</w:t>
      </w:r>
      <w:r w:rsidR="00DC597A">
        <w:t xml:space="preserve"> and ECE.19 </w:t>
      </w:r>
      <w:r w:rsidR="002D3A35">
        <w:t xml:space="preserve">relate to </w:t>
      </w:r>
      <w:r w:rsidR="00484861">
        <w:t>standards</w:t>
      </w:r>
      <w:r w:rsidR="003D5F9C">
        <w:t>, defects</w:t>
      </w:r>
      <w:r w:rsidR="001910CF">
        <w:t xml:space="preserve"> (and prevention of)</w:t>
      </w:r>
      <w:r w:rsidR="003D5F9C">
        <w:t xml:space="preserve">, materials, </w:t>
      </w:r>
      <w:r w:rsidR="00CB3F8B">
        <w:t>inspection and non-confor</w:t>
      </w:r>
      <w:r w:rsidR="00203CA6">
        <w:t>mities.</w:t>
      </w:r>
    </w:p>
    <w:p w14:paraId="25E691E9" w14:textId="12D9C422" w:rsidR="00450CE1" w:rsidRDefault="009306B8" w:rsidP="009306B8">
      <w:pPr>
        <w:pStyle w:val="F9-Paragraph"/>
        <w:ind w:left="851" w:hanging="851"/>
      </w:pPr>
      <w:r>
        <w:t>The inspector should be aware of current containment design and construction issues  to ensure that these have been adequately addressed in the containment that is the subject of assessment.</w:t>
      </w:r>
    </w:p>
    <w:p w14:paraId="3F737F52" w14:textId="0DBCFA37" w:rsidR="002A486B" w:rsidRPr="001D439C" w:rsidRDefault="002A486B" w:rsidP="002A486B">
      <w:pPr>
        <w:pStyle w:val="F9-Paragraph"/>
        <w:ind w:left="851" w:hanging="851"/>
      </w:pPr>
      <w:r w:rsidRPr="002A486B">
        <w:t>In addition to the usual routine inspection of construction work carried out by the Licensee’s Site Resident Engineer function it is also desirable to have additional Third Party inspection of the containment construction, and some Third Party testing of construction materials independent of the pressures of the site management function.</w:t>
      </w:r>
      <w:r w:rsidR="00AC0DD7">
        <w:t xml:space="preserve"> </w:t>
      </w:r>
      <w:r w:rsidR="00AC0DD7" w:rsidRPr="00A76838">
        <w:t xml:space="preserve">ONR’s expectation is that </w:t>
      </w:r>
      <w:r w:rsidR="00AC0DD7">
        <w:t>appropriate</w:t>
      </w:r>
      <w:r w:rsidR="00AC0DD7" w:rsidRPr="00A76838">
        <w:t xml:space="preserve"> inspection arrangements will be established for construction of each new containment.</w:t>
      </w:r>
    </w:p>
    <w:p w14:paraId="70E515D3" w14:textId="403AD922" w:rsidR="00605E2D" w:rsidRDefault="00D42684" w:rsidP="005778CE">
      <w:pPr>
        <w:pStyle w:val="F9-Paragraph"/>
        <w:ind w:left="851" w:hanging="851"/>
      </w:pPr>
      <w:r w:rsidRPr="00D42684">
        <w:t>Given the substantial thickness of the base slab and containment wall, and the risk of heat of hydration cracking, the inspector must ensure the Licensee conducts thorough concrete mix trials using the actual materials, equipment, and methods intended for construction. If the base slab is poured in multiple layers, the assessor should confirm that adequate reinforcement is provided to ensure the layers function as a single unit.</w:t>
      </w:r>
      <w:r w:rsidR="00D954D1">
        <w:t xml:space="preserve"> </w:t>
      </w:r>
    </w:p>
    <w:p w14:paraId="0A3BBA43" w14:textId="33196930" w:rsidR="00DA2D89" w:rsidRPr="00605E2D" w:rsidRDefault="00605E2D" w:rsidP="00605E2D">
      <w:pPr>
        <w:pStyle w:val="F9-Paragraph"/>
        <w:ind w:left="851" w:hanging="851"/>
      </w:pPr>
      <w:r w:rsidRPr="00605E2D">
        <w:rPr>
          <w:rFonts w:eastAsia="Calibri"/>
        </w:rPr>
        <w:t>After concrete mix trials, the inspector should confirm that the relevant hardened concrete properties have been assessed and that the results align with those used in the containment design and analysis. The following properties should be evaluated:</w:t>
      </w:r>
    </w:p>
    <w:p w14:paraId="306554FD" w14:textId="77777777" w:rsidR="00DA2D89" w:rsidRDefault="00DA2D89" w:rsidP="00A6132A">
      <w:pPr>
        <w:pStyle w:val="Bulletlist1"/>
        <w:ind w:left="1418" w:hanging="357"/>
      </w:pPr>
      <w:r>
        <w:t>compressive strength</w:t>
      </w:r>
    </w:p>
    <w:p w14:paraId="3A7A2DAD" w14:textId="77777777" w:rsidR="00DA2D89" w:rsidRDefault="00DA2D89" w:rsidP="00A6132A">
      <w:pPr>
        <w:pStyle w:val="Bulletlist1"/>
        <w:ind w:left="1418" w:hanging="357"/>
      </w:pPr>
      <w:r>
        <w:t>tensile strength</w:t>
      </w:r>
    </w:p>
    <w:p w14:paraId="7C370F6D" w14:textId="77777777" w:rsidR="00DA2D89" w:rsidRDefault="00DA2D89" w:rsidP="00A6132A">
      <w:pPr>
        <w:pStyle w:val="Bulletlist1"/>
        <w:ind w:left="1418" w:hanging="357"/>
      </w:pPr>
      <w:r>
        <w:t>modulus of elasticity</w:t>
      </w:r>
    </w:p>
    <w:p w14:paraId="6757B0AC" w14:textId="77777777" w:rsidR="00DA2D89" w:rsidRDefault="00DA2D89" w:rsidP="00A6132A">
      <w:pPr>
        <w:pStyle w:val="Bulletlist1"/>
        <w:ind w:left="1418" w:hanging="357"/>
      </w:pPr>
      <w:r>
        <w:t>poisson’s ratio</w:t>
      </w:r>
    </w:p>
    <w:p w14:paraId="2A219BDD" w14:textId="77777777" w:rsidR="00DA2D89" w:rsidRDefault="00DA2D89" w:rsidP="00A6132A">
      <w:pPr>
        <w:pStyle w:val="Bulletlist1"/>
        <w:ind w:left="1418" w:hanging="357"/>
      </w:pPr>
      <w:r>
        <w:t>creep</w:t>
      </w:r>
    </w:p>
    <w:p w14:paraId="66653DE8" w14:textId="77777777" w:rsidR="00DA2D89" w:rsidRDefault="00DA2D89" w:rsidP="00A6132A">
      <w:pPr>
        <w:pStyle w:val="Bulletlist1"/>
        <w:ind w:left="1418" w:hanging="357"/>
      </w:pPr>
      <w:r>
        <w:lastRenderedPageBreak/>
        <w:t>shrinkage/coefficient of thermal expansion</w:t>
      </w:r>
    </w:p>
    <w:p w14:paraId="5504D834" w14:textId="77777777" w:rsidR="00DA2D89" w:rsidRDefault="00DA2D89" w:rsidP="00A6132A">
      <w:pPr>
        <w:pStyle w:val="Bulletlist1"/>
        <w:ind w:left="1418" w:hanging="357"/>
      </w:pPr>
      <w:r>
        <w:t>coefficient of thermal conductivity.</w:t>
      </w:r>
    </w:p>
    <w:p w14:paraId="4C7FBFCE" w14:textId="77777777" w:rsidR="00BE7288" w:rsidRDefault="00DA2D89" w:rsidP="00BE7288">
      <w:pPr>
        <w:pStyle w:val="F9-Paragraph"/>
        <w:numPr>
          <w:ilvl w:val="0"/>
          <w:numId w:val="0"/>
        </w:numPr>
        <w:ind w:left="851"/>
      </w:pPr>
      <w:r>
        <w:t xml:space="preserve">Where possible, </w:t>
      </w:r>
      <w:r w:rsidRPr="00EC73AA">
        <w:t>the properties shall be</w:t>
      </w:r>
      <w:r>
        <w:t xml:space="preserve"> </w:t>
      </w:r>
      <w:r w:rsidRPr="00EC73AA">
        <w:t>d</w:t>
      </w:r>
      <w:r>
        <w:t xml:space="preserve">etermined under test conditions </w:t>
      </w:r>
      <w:r w:rsidRPr="00EC73AA">
        <w:t>conforming to</w:t>
      </w:r>
      <w:r>
        <w:t xml:space="preserve"> </w:t>
      </w:r>
      <w:r w:rsidRPr="00EC73AA">
        <w:t>those expecte</w:t>
      </w:r>
      <w:r>
        <w:t>d in the containment under design, fault, and accident conditions.</w:t>
      </w:r>
    </w:p>
    <w:p w14:paraId="64E5F6D6" w14:textId="668459E5" w:rsidR="008A2F43" w:rsidRPr="00E31620" w:rsidRDefault="00E31620" w:rsidP="004713B9">
      <w:pPr>
        <w:pStyle w:val="F9-Paragraph"/>
        <w:ind w:left="851" w:hanging="851"/>
        <w:rPr>
          <w:rFonts w:eastAsia="Calibri"/>
        </w:rPr>
      </w:pPr>
      <w:r w:rsidRPr="00E31620">
        <w:rPr>
          <w:rFonts w:eastAsia="Calibri"/>
        </w:rPr>
        <w:t>Concrete. Where placing and compacting concrete in congested areas may impact the final properties or structural performance, suitable concreting trials must be conducted under conditions replicating the actual structure.</w:t>
      </w:r>
    </w:p>
    <w:p w14:paraId="247C55EC" w14:textId="242728B7" w:rsidR="00733044" w:rsidRPr="00C25935" w:rsidRDefault="00733044" w:rsidP="00C25935">
      <w:pPr>
        <w:pStyle w:val="F9-Paragraph"/>
        <w:ind w:left="851" w:hanging="851"/>
        <w:rPr>
          <w:rFonts w:eastAsia="Calibri"/>
        </w:rPr>
      </w:pPr>
      <w:r w:rsidRPr="00C25935">
        <w:rPr>
          <w:rFonts w:eastAsia="Calibri"/>
        </w:rPr>
        <w:t>Steel plate. The assessment of steel containment would be the responsibility of Structural Integrity assessors. In this case, an outer reinforced concrete and s/c unit structure provides a secondary containment function and protection from hazards including impact.</w:t>
      </w:r>
    </w:p>
    <w:p w14:paraId="50F916A0" w14:textId="4E75AE84" w:rsidR="00733044" w:rsidRPr="00C25935" w:rsidRDefault="00733044" w:rsidP="00C25935">
      <w:pPr>
        <w:pStyle w:val="F9-Paragraph"/>
        <w:ind w:left="851" w:hanging="851"/>
        <w:rPr>
          <w:rFonts w:eastAsia="Calibri"/>
        </w:rPr>
      </w:pPr>
      <w:r w:rsidRPr="00C25935">
        <w:rPr>
          <w:rFonts w:eastAsia="Calibri"/>
        </w:rPr>
        <w:t>Steel plate. Where steel/concrete composite units, are used in the construction, sufficient full-scale construction trials should be conducted to demonstrate that the design intent would be met. Areas of the construction to be examined and/or demonstrated in the mock up should include:</w:t>
      </w:r>
    </w:p>
    <w:p w14:paraId="7EE5D46F" w14:textId="4AC04768" w:rsidR="00733044" w:rsidRDefault="00733044" w:rsidP="00C25935">
      <w:pPr>
        <w:pStyle w:val="Bulletlist1"/>
        <w:ind w:left="1418" w:hanging="357"/>
      </w:pPr>
      <w:r>
        <w:t>site steel fabrication details by non-destructive testing</w:t>
      </w:r>
    </w:p>
    <w:p w14:paraId="52139E22" w14:textId="64B30147" w:rsidR="00733044" w:rsidRDefault="00C25935" w:rsidP="00C25935">
      <w:pPr>
        <w:pStyle w:val="Bulletlist1"/>
        <w:ind w:left="1418" w:hanging="357"/>
      </w:pPr>
      <w:r>
        <w:t>m</w:t>
      </w:r>
      <w:r w:rsidR="00733044">
        <w:t>ethod of concrete placement</w:t>
      </w:r>
    </w:p>
    <w:p w14:paraId="55A66946" w14:textId="66A3E919" w:rsidR="00733044" w:rsidRDefault="00733044" w:rsidP="00C25935">
      <w:pPr>
        <w:pStyle w:val="Bulletlist1"/>
        <w:ind w:left="1418" w:hanging="357"/>
      </w:pPr>
      <w:r>
        <w:t>monitoring of concrete temperatures</w:t>
      </w:r>
    </w:p>
    <w:p w14:paraId="6C2183FC" w14:textId="5C2182FE" w:rsidR="00733044" w:rsidRDefault="00733044" w:rsidP="00C25935">
      <w:pPr>
        <w:pStyle w:val="Bulletlist1"/>
        <w:ind w:left="1418" w:hanging="357"/>
      </w:pPr>
      <w:r>
        <w:t>visual inspection of exposed concrete surfaces</w:t>
      </w:r>
    </w:p>
    <w:p w14:paraId="5CD1476B" w14:textId="202A34F4" w:rsidR="00733044" w:rsidRDefault="00733044" w:rsidP="00C25935">
      <w:pPr>
        <w:pStyle w:val="Bulletlist1"/>
        <w:ind w:left="1418" w:hanging="357"/>
      </w:pPr>
      <w:r>
        <w:t>preparation of construction joints</w:t>
      </w:r>
    </w:p>
    <w:p w14:paraId="63ADAADC" w14:textId="05BA88DA" w:rsidR="00733044" w:rsidRDefault="00733044" w:rsidP="00C25935">
      <w:pPr>
        <w:pStyle w:val="Bulletlist1"/>
        <w:ind w:left="1418" w:hanging="357"/>
      </w:pPr>
      <w:r>
        <w:t>preparation connection to reinforced concrete sections, including rebar coupler tests</w:t>
      </w:r>
    </w:p>
    <w:p w14:paraId="1880B5B5" w14:textId="66750F01" w:rsidR="00733044" w:rsidRDefault="00733044" w:rsidP="00C25935">
      <w:pPr>
        <w:pStyle w:val="Bulletlist1"/>
        <w:ind w:left="1418" w:hanging="357"/>
      </w:pPr>
      <w:r>
        <w:t>concrete strength and shrinkage measurement</w:t>
      </w:r>
    </w:p>
    <w:p w14:paraId="55C96D44" w14:textId="70279141" w:rsidR="003855EF" w:rsidRDefault="00733044" w:rsidP="00C25935">
      <w:pPr>
        <w:pStyle w:val="Bulletlist1"/>
        <w:ind w:left="1418" w:hanging="357"/>
      </w:pPr>
      <w:r>
        <w:t>confirmation of concrete placement by cutting and/or coring of complex sections.</w:t>
      </w:r>
    </w:p>
    <w:p w14:paraId="151EE367" w14:textId="0D51B885" w:rsidR="003855EF" w:rsidRDefault="00533225" w:rsidP="00533225">
      <w:pPr>
        <w:pStyle w:val="Heading2"/>
        <w:ind w:left="851" w:hanging="851"/>
      </w:pPr>
      <w:r w:rsidRPr="00533225">
        <w:t>Pre-stressing system – Bonded and un-bonded tendons</w:t>
      </w:r>
    </w:p>
    <w:p w14:paraId="0523253F" w14:textId="794750F7" w:rsidR="0042247E" w:rsidRDefault="003824CF" w:rsidP="006023EC">
      <w:pPr>
        <w:pStyle w:val="F9-Paragraph"/>
        <w:ind w:left="851" w:hanging="851"/>
      </w:pPr>
      <w:r>
        <w:t xml:space="preserve">EMT.6 and </w:t>
      </w:r>
      <w:r w:rsidR="00B23B94">
        <w:t xml:space="preserve">ECE.8 </w:t>
      </w:r>
      <w:r w:rsidR="003A0635">
        <w:t xml:space="preserve">reliability claims and </w:t>
      </w:r>
      <w:r w:rsidR="004621B6">
        <w:t xml:space="preserve">inspectability. </w:t>
      </w:r>
      <w:r w:rsidR="006023EC" w:rsidRPr="00843F49">
        <w:rPr>
          <w:color w:val="000000"/>
        </w:rPr>
        <w:t xml:space="preserve">EMT.6 </w:t>
      </w:r>
      <w:r w:rsidR="006023EC">
        <w:rPr>
          <w:color w:val="000000"/>
        </w:rPr>
        <w:t>requires</w:t>
      </w:r>
      <w:r w:rsidR="006023EC" w:rsidRPr="00843F49">
        <w:rPr>
          <w:color w:val="000000"/>
        </w:rPr>
        <w:t xml:space="preserve"> regular testing, maintenance, monitoring, and inspection of structures, systems, and components (including portable equipment) to ensure their required reliability. ECE.8 states that designs must allow for inspection and, as needed, maintenance of key load-bearing elements.</w:t>
      </w:r>
    </w:p>
    <w:p w14:paraId="78018CBF" w14:textId="13207719" w:rsidR="00362580" w:rsidRPr="006C52AE" w:rsidRDefault="006C52AE" w:rsidP="009F3FBD">
      <w:pPr>
        <w:pStyle w:val="F9-Paragraph"/>
        <w:ind w:left="851" w:hanging="851"/>
      </w:pPr>
      <w:r>
        <w:lastRenderedPageBreak/>
        <w:t>Un-bonded tendons. In the UK, un-bonded tendons are  used in Magnox, AGR, and Sizewell B PWR containments, allowing for load checks, re-tensioning, removal for inspection, and replacement if defects like corrosion are found. This capability ensures ongoing containment integrity through regular statutory examinations.</w:t>
      </w:r>
    </w:p>
    <w:p w14:paraId="74AF0CCB" w14:textId="1DBC27D5" w:rsidR="00362580" w:rsidRDefault="00362580" w:rsidP="009F3FBD">
      <w:pPr>
        <w:pStyle w:val="F9-Paragraph"/>
        <w:ind w:left="851" w:hanging="851"/>
      </w:pPr>
      <w:r>
        <w:t>Bonded tendons. The long-term structural integrity of a fully grouted (bonded) tendon is dependent on the completeness and quality of the grout body around the tendon within the tendon duct. The assessor should therefore be satisfied that the installation and grouting procedures have been fully tested to establish that the site construction methods will result in a fully contiguous grout body fully adhered to the tendon and duct. The effectiveness of the grouting method should be demonstrated at full scale using the actual grout material to be used in the structure.</w:t>
      </w:r>
    </w:p>
    <w:p w14:paraId="6D5562E0" w14:textId="5F85B712" w:rsidR="003855EF" w:rsidRDefault="00986E70" w:rsidP="00AA09C8">
      <w:pPr>
        <w:pStyle w:val="F9-Paragraph"/>
        <w:ind w:left="851" w:hanging="851"/>
      </w:pPr>
      <w:r>
        <w:t xml:space="preserve">Dome ring beam. </w:t>
      </w:r>
      <w:r w:rsidR="00496EDA">
        <w:t xml:space="preserve">The connection of the </w:t>
      </w:r>
      <w:proofErr w:type="spellStart"/>
      <w:r w:rsidR="00496EDA">
        <w:t>torispherical</w:t>
      </w:r>
      <w:proofErr w:type="spellEnd"/>
      <w:r w:rsidR="00496EDA">
        <w:t xml:space="preserve"> dome to the cylindrical containment skirt in PWR containment is achieved using a ring beam, which may incorporate vertical and horizontal pre-stressing, anchorages, and bonded reinforcement. The </w:t>
      </w:r>
      <w:r>
        <w:t>inspector</w:t>
      </w:r>
      <w:r w:rsidR="00496EDA">
        <w:t xml:space="preserve"> </w:t>
      </w:r>
      <w:r>
        <w:t>should</w:t>
      </w:r>
      <w:r w:rsidR="00496EDA">
        <w:t xml:space="preserve"> be assured that sufficient site trials have been conducted to confirm this complex junction can be constructed without voids or poorly compacted concrete.</w:t>
      </w:r>
    </w:p>
    <w:p w14:paraId="7747744D" w14:textId="1CF1EDB0" w:rsidR="00F44ADD" w:rsidRDefault="00AA09C8" w:rsidP="009F67B2">
      <w:pPr>
        <w:pStyle w:val="F9-Paragraph"/>
        <w:ind w:left="851" w:hanging="851"/>
      </w:pPr>
      <w:r w:rsidRPr="00AA09C8">
        <w:t>Further discussion on bonded and un-bonded (un-grouted) tendons can be found in - NEA/CSNI/R(2015)5, “Bonded or Un-bonded Technologies for Nuclear Reactor Pre-stressed Concrete Containmen</w:t>
      </w:r>
      <w:r w:rsidR="00F44ADD">
        <w:t>t</w:t>
      </w:r>
      <w:r w:rsidR="009F67B2">
        <w:t>s”</w:t>
      </w:r>
      <w:r w:rsidR="00F44ADD">
        <w:t xml:space="preserve"> </w:t>
      </w:r>
      <w:sdt>
        <w:sdtPr>
          <w:id w:val="1288159517"/>
          <w:citation/>
        </w:sdtPr>
        <w:sdtEndPr/>
        <w:sdtContent>
          <w:r w:rsidR="00F44ADD">
            <w:fldChar w:fldCharType="begin"/>
          </w:r>
          <w:r w:rsidR="00F44ADD">
            <w:instrText xml:space="preserve"> CITATION NEA15 \l 2057 </w:instrText>
          </w:r>
          <w:r w:rsidR="00F44ADD">
            <w:fldChar w:fldCharType="separate"/>
          </w:r>
          <w:r w:rsidR="00843F49">
            <w:rPr>
              <w:noProof/>
            </w:rPr>
            <w:t>[11]</w:t>
          </w:r>
          <w:r w:rsidR="00F44ADD">
            <w:fldChar w:fldCharType="end"/>
          </w:r>
        </w:sdtContent>
      </w:sdt>
      <w:r w:rsidR="00F44ADD">
        <w:t>.</w:t>
      </w:r>
    </w:p>
    <w:p w14:paraId="79071021" w14:textId="62351A22" w:rsidR="00CF6BF8" w:rsidRDefault="00CF6BF8" w:rsidP="00CF6BF8">
      <w:pPr>
        <w:pStyle w:val="Heading2"/>
        <w:ind w:left="851" w:hanging="851"/>
      </w:pPr>
      <w:r>
        <w:t xml:space="preserve">Overpressure </w:t>
      </w:r>
      <w:r w:rsidR="00544933">
        <w:t>t</w:t>
      </w:r>
      <w:r>
        <w:t>est</w:t>
      </w:r>
    </w:p>
    <w:p w14:paraId="08C8C188" w14:textId="75299960" w:rsidR="0048502C" w:rsidRDefault="0048502C" w:rsidP="003D151B">
      <w:pPr>
        <w:pStyle w:val="F9-Paragraph"/>
        <w:ind w:left="851" w:hanging="851"/>
      </w:pPr>
      <w:r>
        <w:t xml:space="preserve">ECE.21 </w:t>
      </w:r>
      <w:r w:rsidR="00845FA9">
        <w:t>requires that p</w:t>
      </w:r>
      <w:r w:rsidR="00845FA9" w:rsidRPr="00843F49">
        <w:t>re-stressed concrete pressure vessels and containment structures should be subjected to a proof pressure test, which may be repeated during the life of the facility.</w:t>
      </w:r>
    </w:p>
    <w:p w14:paraId="0BACFAB2" w14:textId="27CD2833" w:rsidR="003D151B" w:rsidRDefault="003D151B" w:rsidP="003D151B">
      <w:pPr>
        <w:pStyle w:val="F9-Paragraph"/>
        <w:ind w:left="851" w:hanging="851"/>
      </w:pPr>
      <w:r>
        <w:t>Proof pressure tests appl</w:t>
      </w:r>
      <w:r w:rsidR="01B13C1D">
        <w:t>y</w:t>
      </w:r>
      <w:r>
        <w:t xml:space="preserve"> to pre-stressed concrete containments and reinforced concrete containments without pre-stress.</w:t>
      </w:r>
    </w:p>
    <w:p w14:paraId="061A2E2C" w14:textId="21E64B1A" w:rsidR="003D151B" w:rsidRPr="0086250D" w:rsidRDefault="0086250D" w:rsidP="00E0324E">
      <w:pPr>
        <w:pStyle w:val="F9-Paragraph"/>
        <w:ind w:left="851" w:hanging="851"/>
      </w:pPr>
      <w:r w:rsidRPr="0086250D">
        <w:t>After construction is completed, an initial proof pressure test is performed to confirm the containment’s elastic response, structural strength, and leak tightness. This test ensures the containment can safely endure the applied pressure without visible damage, that concrete crack widths remain within acceptable limits at peak pressure, that strains and deformations match design predictions, and that all deformations are reversible, confirming elastic behaviour.</w:t>
      </w:r>
    </w:p>
    <w:p w14:paraId="2026356F" w14:textId="77777777" w:rsidR="00AF0EEB" w:rsidRDefault="00E16B4F" w:rsidP="00AF0EEB">
      <w:pPr>
        <w:pStyle w:val="F9-Paragraph"/>
        <w:ind w:left="851" w:hanging="851"/>
      </w:pPr>
      <w:r w:rsidRPr="00E16B4F">
        <w:t>The test does not fully simulate LOCA conditions as it uses air pressure at ambient temperature, excluding the outward force from thermal effects on the steel liner. This omission justifies the application of over-pressure during the test.</w:t>
      </w:r>
    </w:p>
    <w:p w14:paraId="24E11C24" w14:textId="77777777" w:rsidR="00544933" w:rsidRDefault="00544933" w:rsidP="007F6760">
      <w:pPr>
        <w:pStyle w:val="F9-Paragraph"/>
        <w:ind w:left="851" w:hanging="851"/>
        <w:sectPr w:rsidR="00544933">
          <w:pgSz w:w="11906" w:h="16838"/>
          <w:pgMar w:top="1440" w:right="1440" w:bottom="1440" w:left="1440" w:header="708" w:footer="708" w:gutter="0"/>
          <w:cols w:space="708"/>
          <w:docGrid w:linePitch="360"/>
        </w:sectPr>
      </w:pPr>
    </w:p>
    <w:p w14:paraId="35AB3ABE" w14:textId="77777777" w:rsidR="007F6760" w:rsidRDefault="00636CF0" w:rsidP="007F6760">
      <w:pPr>
        <w:pStyle w:val="F9-Paragraph"/>
        <w:ind w:left="851" w:hanging="851"/>
      </w:pPr>
      <w:r w:rsidRPr="00636CF0">
        <w:lastRenderedPageBreak/>
        <w:t>A structural over-pressure test demands significant resources and careful attention to personnel safety. While suitable instrumentation provides valuable insights into structural performance, there is a risk of local damage or weakening if the test is not managed properly. Pressure should be increased in controlled stages, with each stage held for a set period and then slightly reduced to permit external inspection before proceeding further.</w:t>
      </w:r>
    </w:p>
    <w:p w14:paraId="40BBBB8F" w14:textId="1510842C" w:rsidR="003D151B" w:rsidRPr="007F6760" w:rsidRDefault="007F6760" w:rsidP="007F6760">
      <w:pPr>
        <w:pStyle w:val="F9-Paragraph"/>
        <w:ind w:left="851" w:hanging="851"/>
      </w:pPr>
      <w:r w:rsidRPr="007F6760">
        <w:t>It is important to note that repeat pressure tests at operational sites present unique challenges, as all enclosed spaces within the containment will be subject to the test pressure. Therefore, plant, equipment and instruments should be properly prepared, typically by removal or venting to the containment air.</w:t>
      </w:r>
    </w:p>
    <w:p w14:paraId="7D172387" w14:textId="732AA712" w:rsidR="003D151B" w:rsidRDefault="003D151B" w:rsidP="00BE3E59">
      <w:pPr>
        <w:pStyle w:val="F9-Paragraph"/>
        <w:ind w:left="851" w:hanging="851"/>
      </w:pPr>
      <w:r>
        <w:t>The proof pressure test can be undertaken in accordance to ASME Section III and followed by a leak rate test.</w:t>
      </w:r>
    </w:p>
    <w:p w14:paraId="77F5F996" w14:textId="32936B39" w:rsidR="00B80BCE" w:rsidRDefault="00B80BCE" w:rsidP="00B80BCE">
      <w:pPr>
        <w:pStyle w:val="Heading2"/>
        <w:ind w:left="851" w:hanging="851"/>
      </w:pPr>
      <w:r>
        <w:t xml:space="preserve">Periodic </w:t>
      </w:r>
      <w:r w:rsidR="00544933">
        <w:t>m</w:t>
      </w:r>
      <w:r>
        <w:t xml:space="preserve">easurement and </w:t>
      </w:r>
      <w:r w:rsidR="00544933">
        <w:t>i</w:t>
      </w:r>
      <w:r w:rsidR="002626E5">
        <w:t>nspection</w:t>
      </w:r>
    </w:p>
    <w:p w14:paraId="08DBA510" w14:textId="77777777" w:rsidR="008F34D2" w:rsidRDefault="008F34D2" w:rsidP="008F34D2">
      <w:pPr>
        <w:pStyle w:val="F9-Paragraph"/>
        <w:ind w:left="851" w:hanging="851"/>
        <w:rPr>
          <w:rFonts w:eastAsia="Calibri"/>
        </w:rPr>
      </w:pPr>
      <w:r w:rsidRPr="026CC3FD">
        <w:rPr>
          <w:rFonts w:eastAsia="Calibri"/>
        </w:rPr>
        <w:t>EAD.4 states that where parameters relevant to the design of plant could change with time and affect safety, provision should be made for their periodic measurement. ECE.20 requires that provision should be made for inspection, testing and monitoring during normal operations aimed at demonstrating that the structure continues to meet its safety functional requirements. Due account should be taken of the periodicity of the activities.</w:t>
      </w:r>
    </w:p>
    <w:p w14:paraId="5CBD54BF" w14:textId="5E4D3505" w:rsidR="0053116B" w:rsidRDefault="00F103E4" w:rsidP="0053116B">
      <w:pPr>
        <w:pStyle w:val="F9-Paragraph"/>
        <w:ind w:left="851" w:hanging="851"/>
      </w:pPr>
      <w:r>
        <w:t>Examination, maintenance, inspection and testing (EMIT) is required to ensure that the required safety and reliability of the containment will be maintained throughout the life of the plant. This should comply with LC28.</w:t>
      </w:r>
    </w:p>
    <w:p w14:paraId="0E1A49BA" w14:textId="7EDAC22B" w:rsidR="006B5A2E" w:rsidRDefault="006B5A2E" w:rsidP="0053116B">
      <w:pPr>
        <w:pStyle w:val="F9-Paragraph"/>
        <w:ind w:left="851" w:hanging="851"/>
      </w:pPr>
      <w:r w:rsidRPr="006B5A2E">
        <w:t xml:space="preserve">IAEA </w:t>
      </w:r>
      <w:r w:rsidR="00831E23">
        <w:t xml:space="preserve">SSG-74 </w:t>
      </w:r>
      <w:sdt>
        <w:sdtPr>
          <w:id w:val="146490720"/>
          <w:citation/>
        </w:sdtPr>
        <w:sdtEndPr/>
        <w:sdtContent>
          <w:r w:rsidR="007420FF">
            <w:fldChar w:fldCharType="begin"/>
          </w:r>
          <w:r w:rsidR="007420FF">
            <w:instrText xml:space="preserve"> CITATION IAE221 \l 2057 </w:instrText>
          </w:r>
          <w:r w:rsidR="007420FF">
            <w:fldChar w:fldCharType="separate"/>
          </w:r>
          <w:r w:rsidR="00843F49">
            <w:rPr>
              <w:noProof/>
            </w:rPr>
            <w:t>[12]</w:t>
          </w:r>
          <w:r w:rsidR="007420FF">
            <w:fldChar w:fldCharType="end"/>
          </w:r>
        </w:sdtContent>
      </w:sdt>
      <w:r w:rsidR="007420FF">
        <w:t xml:space="preserve"> </w:t>
      </w:r>
      <w:r w:rsidRPr="006B5A2E">
        <w:t xml:space="preserve">provides general </w:t>
      </w:r>
      <w:r w:rsidRPr="003F31DE">
        <w:t xml:space="preserve">guidance on frequency of inspections for PWR type reactor containments and IAEA SSG 53 Section 5 </w:t>
      </w:r>
      <w:sdt>
        <w:sdtPr>
          <w:id w:val="-1197458930"/>
          <w:citation/>
        </w:sdtPr>
        <w:sdtEndPr/>
        <w:sdtContent>
          <w:r w:rsidR="003F31DE" w:rsidRPr="003F31DE">
            <w:fldChar w:fldCharType="begin"/>
          </w:r>
          <w:r w:rsidR="003F31DE" w:rsidRPr="003F31DE">
            <w:instrText xml:space="preserve"> CITATION IAE19 \l 2057 </w:instrText>
          </w:r>
          <w:r w:rsidR="003F31DE" w:rsidRPr="003F31DE">
            <w:fldChar w:fldCharType="separate"/>
          </w:r>
          <w:r w:rsidR="00843F49">
            <w:rPr>
              <w:noProof/>
            </w:rPr>
            <w:t>[7]</w:t>
          </w:r>
          <w:r w:rsidR="003F31DE" w:rsidRPr="003F31DE">
            <w:fldChar w:fldCharType="end"/>
          </w:r>
        </w:sdtContent>
      </w:sdt>
      <w:r w:rsidR="003F31DE" w:rsidRPr="003F31DE">
        <w:t xml:space="preserve"> </w:t>
      </w:r>
      <w:r w:rsidRPr="003F31DE">
        <w:t>gives</w:t>
      </w:r>
      <w:r w:rsidRPr="006B5A2E">
        <w:t xml:space="preserve"> guidance re inspections during construction, commissioning and in-service. Detailed guidance on the frequency and content of inspection of pre-stressed and reinforced concrete containments, for reactors, is provided in the </w:t>
      </w:r>
      <w:r w:rsidR="00B82264" w:rsidRPr="00647073">
        <w:t xml:space="preserve">ASME-BPVC-III-2 </w:t>
      </w:r>
      <w:sdt>
        <w:sdtPr>
          <w:id w:val="-142513156"/>
          <w:citation/>
        </w:sdtPr>
        <w:sdtEndPr/>
        <w:sdtContent>
          <w:r w:rsidR="00BD0766" w:rsidRPr="00647073">
            <w:fldChar w:fldCharType="begin"/>
          </w:r>
          <w:r w:rsidR="007A19A9">
            <w:instrText xml:space="preserve">CITATION ASM \l 2057 </w:instrText>
          </w:r>
          <w:r w:rsidR="00BD0766" w:rsidRPr="00647073">
            <w:fldChar w:fldCharType="separate"/>
          </w:r>
          <w:r w:rsidR="00843F49">
            <w:rPr>
              <w:noProof/>
            </w:rPr>
            <w:t>[13]</w:t>
          </w:r>
          <w:r w:rsidR="00BD0766" w:rsidRPr="00647073">
            <w:fldChar w:fldCharType="end"/>
          </w:r>
        </w:sdtContent>
      </w:sdt>
      <w:r w:rsidR="00972E1C" w:rsidRPr="00647073">
        <w:t>.</w:t>
      </w:r>
    </w:p>
    <w:p w14:paraId="38B38310" w14:textId="14E9AC54" w:rsidR="003E24F8" w:rsidRPr="008944C2" w:rsidRDefault="0033585B" w:rsidP="003E24F8">
      <w:pPr>
        <w:pStyle w:val="F9-Paragraph"/>
        <w:ind w:left="851" w:hanging="851"/>
      </w:pPr>
      <w:r w:rsidRPr="008944C2">
        <w:t xml:space="preserve">During the construction phase at site, a surveillance program should be produced that satisfies the requirements of ASME </w:t>
      </w:r>
      <w:r w:rsidR="003C6323">
        <w:t>BPVC</w:t>
      </w:r>
      <w:r w:rsidRPr="008944C2">
        <w:t xml:space="preserve"> Section III Division 2</w:t>
      </w:r>
      <w:r w:rsidR="008944C2" w:rsidRPr="008944C2">
        <w:t xml:space="preserve"> </w:t>
      </w:r>
      <w:sdt>
        <w:sdtPr>
          <w:id w:val="1102148398"/>
          <w:citation/>
        </w:sdtPr>
        <w:sdtEndPr/>
        <w:sdtContent>
          <w:r w:rsidR="008944C2" w:rsidRPr="008944C2">
            <w:fldChar w:fldCharType="begin"/>
          </w:r>
          <w:r w:rsidR="007A19A9">
            <w:instrText xml:space="preserve">CITATION ASM \l 2057 </w:instrText>
          </w:r>
          <w:r w:rsidR="008944C2" w:rsidRPr="008944C2">
            <w:fldChar w:fldCharType="separate"/>
          </w:r>
          <w:r w:rsidR="00843F49">
            <w:rPr>
              <w:noProof/>
            </w:rPr>
            <w:t>[13]</w:t>
          </w:r>
          <w:r w:rsidR="008944C2" w:rsidRPr="008944C2">
            <w:fldChar w:fldCharType="end"/>
          </w:r>
        </w:sdtContent>
      </w:sdt>
      <w:r w:rsidRPr="008944C2">
        <w:t xml:space="preserve"> </w:t>
      </w:r>
      <w:r w:rsidR="008944C2" w:rsidRPr="008944C2">
        <w:t>Article CC-5000</w:t>
      </w:r>
      <w:r w:rsidRPr="008944C2">
        <w:t>, or similar.</w:t>
      </w:r>
    </w:p>
    <w:p w14:paraId="7819C91D" w14:textId="77777777" w:rsidR="00FE4E3E" w:rsidRDefault="007A71D6" w:rsidP="00FE4E3E">
      <w:pPr>
        <w:pStyle w:val="F9-Paragraph"/>
        <w:ind w:left="851" w:hanging="851"/>
      </w:pPr>
      <w:r w:rsidRPr="007A71D6">
        <w:t xml:space="preserve">During operation, visual inspections of the reinforced concrete containment components should be carried out by SQEPs at intervals not exceeding five years, as determined by the safety case and previous inspection outcomes. These inspections </w:t>
      </w:r>
      <w:r w:rsidR="003E24F8">
        <w:t xml:space="preserve">should </w:t>
      </w:r>
      <w:r w:rsidRPr="007A71D6">
        <w:t>consider the significance of each structural element, changes in loading, and local environmental conditions. Inspectors should document concrete cracks, any changes since the last inspection, and evidence of surface deterioration such as spalling. Where appropriate, tests for carbonation and rebar corrosion may also be performed.</w:t>
      </w:r>
    </w:p>
    <w:p w14:paraId="00456725" w14:textId="7E61E164" w:rsidR="00FE4E3E" w:rsidRDefault="00FE4E3E" w:rsidP="000C5FEC">
      <w:pPr>
        <w:pStyle w:val="F9-Paragraph"/>
        <w:ind w:left="851" w:hanging="851"/>
      </w:pPr>
      <w:r w:rsidRPr="00FE4E3E">
        <w:lastRenderedPageBreak/>
        <w:t>Pre-stressed and reinforced concrete containments for</w:t>
      </w:r>
      <w:r w:rsidR="00EE1D0E">
        <w:t xml:space="preserve"> </w:t>
      </w:r>
      <w:r w:rsidRPr="00FE4E3E">
        <w:t>light water type reactors include an internal integral mild steel liner that secures the pressure boundary in the event of a release of coolant from the reactor or the primary circuit. During the operation phase, the liner should be inspected and tested in conjunction with the concre</w:t>
      </w:r>
      <w:r w:rsidRPr="001F54A7">
        <w:t xml:space="preserve">te containment, at the refuelling outages. The inspections should include a visual inspection which </w:t>
      </w:r>
      <w:r w:rsidR="00650FD1" w:rsidRPr="001F54A7">
        <w:t xml:space="preserve">may be based on </w:t>
      </w:r>
      <w:r w:rsidRPr="001F54A7">
        <w:t xml:space="preserve">ASME </w:t>
      </w:r>
      <w:r w:rsidR="003C6323" w:rsidRPr="001F54A7">
        <w:t xml:space="preserve">BPVC </w:t>
      </w:r>
      <w:r w:rsidR="000C5FEC" w:rsidRPr="001F54A7">
        <w:t xml:space="preserve">Section </w:t>
      </w:r>
      <w:r w:rsidRPr="001F54A7">
        <w:t>XI</w:t>
      </w:r>
      <w:r w:rsidR="001F54A7">
        <w:t xml:space="preserve"> Division 1</w:t>
      </w:r>
      <w:r w:rsidR="004B7582" w:rsidRPr="001F54A7">
        <w:t xml:space="preserve"> </w:t>
      </w:r>
      <w:sdt>
        <w:sdtPr>
          <w:id w:val="304516650"/>
          <w:citation/>
        </w:sdtPr>
        <w:sdtEndPr/>
        <w:sdtContent>
          <w:r w:rsidR="001F54A7" w:rsidRPr="001F54A7">
            <w:fldChar w:fldCharType="begin"/>
          </w:r>
          <w:r w:rsidR="001F54A7" w:rsidRPr="001F54A7">
            <w:instrText xml:space="preserve"> CITATION ASM25 \l 2057 </w:instrText>
          </w:r>
          <w:r w:rsidR="001F54A7" w:rsidRPr="001F54A7">
            <w:fldChar w:fldCharType="separate"/>
          </w:r>
          <w:r w:rsidR="00843F49">
            <w:rPr>
              <w:noProof/>
            </w:rPr>
            <w:t>[14]</w:t>
          </w:r>
          <w:r w:rsidR="001F54A7" w:rsidRPr="001F54A7">
            <w:fldChar w:fldCharType="end"/>
          </w:r>
        </w:sdtContent>
      </w:sdt>
      <w:r w:rsidR="001F54A7" w:rsidRPr="001F54A7">
        <w:t xml:space="preserve"> </w:t>
      </w:r>
      <w:r w:rsidR="004B7582" w:rsidRPr="001F54A7">
        <w:t>Subsection IWE</w:t>
      </w:r>
      <w:r w:rsidR="001F54A7">
        <w:t>.</w:t>
      </w:r>
      <w:r w:rsidR="004B7582">
        <w:t xml:space="preserve"> </w:t>
      </w:r>
    </w:p>
    <w:p w14:paraId="0C0E6E43" w14:textId="5E5236C2" w:rsidR="00DF6890" w:rsidRDefault="00DF6890" w:rsidP="00DF6890">
      <w:pPr>
        <w:pStyle w:val="F9-Paragraph"/>
        <w:ind w:left="851" w:hanging="851"/>
      </w:pPr>
      <w:r w:rsidRPr="00DF6890">
        <w:t xml:space="preserve">In addition, a containment leak test should be undertaken to ensure that the leakage through the primary containment (including penetrations) does not exceed the allowable leak rate. </w:t>
      </w:r>
      <w:r w:rsidR="00691C62">
        <w:t xml:space="preserve">USNRC guide </w:t>
      </w:r>
      <w:r w:rsidR="006F52CA">
        <w:t>10CFR50</w:t>
      </w:r>
      <w:r w:rsidR="009E5BE9">
        <w:t xml:space="preserve"> </w:t>
      </w:r>
      <w:sdt>
        <w:sdtPr>
          <w:id w:val="-652834100"/>
          <w:citation/>
        </w:sdtPr>
        <w:sdtEndPr/>
        <w:sdtContent>
          <w:r w:rsidR="009E5BE9">
            <w:fldChar w:fldCharType="begin"/>
          </w:r>
          <w:r w:rsidR="009E5BE9">
            <w:instrText xml:space="preserve"> CITATION USN \l 2057 </w:instrText>
          </w:r>
          <w:r w:rsidR="009E5BE9">
            <w:fldChar w:fldCharType="separate"/>
          </w:r>
          <w:r w:rsidR="00843F49">
            <w:rPr>
              <w:noProof/>
            </w:rPr>
            <w:t>[15]</w:t>
          </w:r>
          <w:r w:rsidR="009E5BE9">
            <w:fldChar w:fldCharType="end"/>
          </w:r>
        </w:sdtContent>
      </w:sdt>
      <w:r w:rsidR="006F52CA">
        <w:t xml:space="preserve"> </w:t>
      </w:r>
      <w:r w:rsidR="00B91AE6">
        <w:t>Appendix J</w:t>
      </w:r>
      <w:r w:rsidR="00BE45D0">
        <w:t xml:space="preserve"> has guidance on leakage testing for </w:t>
      </w:r>
      <w:r w:rsidR="009E5BE9">
        <w:t xml:space="preserve">light water reactors. </w:t>
      </w:r>
      <w:r w:rsidR="009F0389" w:rsidRPr="00DF6890">
        <w:t xml:space="preserve">Integrated Leak Rate Tests can be repeated </w:t>
      </w:r>
      <w:r w:rsidR="009F0389">
        <w:t>typically</w:t>
      </w:r>
      <w:r w:rsidR="009F0389" w:rsidRPr="00DF6890">
        <w:t xml:space="preserve"> every 15 years.</w:t>
      </w:r>
    </w:p>
    <w:p w14:paraId="794A2B5B" w14:textId="048BED45" w:rsidR="00CA77F0" w:rsidRDefault="00C52DE2" w:rsidP="00504F82">
      <w:pPr>
        <w:pStyle w:val="F9-Paragraph"/>
        <w:ind w:left="851" w:hanging="851"/>
      </w:pPr>
      <w:r>
        <w:t xml:space="preserve">In the UK, </w:t>
      </w:r>
      <w:r w:rsidR="007A6408">
        <w:t xml:space="preserve">inspections </w:t>
      </w:r>
      <w:r>
        <w:t xml:space="preserve">of </w:t>
      </w:r>
      <w:r w:rsidR="00AA2A4D">
        <w:t xml:space="preserve">the only operational </w:t>
      </w:r>
      <w:r>
        <w:t xml:space="preserve">LWR containment structure </w:t>
      </w:r>
      <w:r w:rsidR="005F3236">
        <w:t xml:space="preserve">(Sizewell B) </w:t>
      </w:r>
      <w:r w:rsidR="007A6408">
        <w:t>take place to a 10-year plan, with examinations and tests inside the containment being done during refuelling outages that occur every 18 months.</w:t>
      </w:r>
    </w:p>
    <w:p w14:paraId="22F24C32" w14:textId="77777777" w:rsidR="00504F82" w:rsidRDefault="00504F82" w:rsidP="00A84F46">
      <w:pPr>
        <w:pStyle w:val="F9-Paragraph"/>
        <w:numPr>
          <w:ilvl w:val="0"/>
          <w:numId w:val="0"/>
        </w:numPr>
        <w:ind w:left="5606" w:hanging="360"/>
      </w:pPr>
    </w:p>
    <w:p w14:paraId="24A65712" w14:textId="77777777" w:rsidR="00376B4E" w:rsidRDefault="00376B4E" w:rsidP="00843F49">
      <w:pPr>
        <w:pStyle w:val="F9-Paragraph"/>
        <w:numPr>
          <w:ilvl w:val="0"/>
          <w:numId w:val="0"/>
        </w:numPr>
        <w:ind w:left="851"/>
      </w:pPr>
    </w:p>
    <w:p w14:paraId="680027A6" w14:textId="77777777" w:rsidR="007726E2" w:rsidRDefault="007726E2" w:rsidP="007726E2">
      <w:pPr>
        <w:pStyle w:val="F9-Paragraph"/>
        <w:numPr>
          <w:ilvl w:val="0"/>
          <w:numId w:val="0"/>
        </w:numPr>
        <w:ind w:left="5606" w:hanging="360"/>
      </w:pPr>
    </w:p>
    <w:p w14:paraId="7A16478E" w14:textId="3BBB2AA7" w:rsidR="000660DF" w:rsidRPr="00843F49" w:rsidRDefault="000660DF" w:rsidP="00843F49">
      <w:pPr>
        <w:pStyle w:val="F9-Paragraph"/>
        <w:numPr>
          <w:ilvl w:val="0"/>
          <w:numId w:val="0"/>
        </w:numPr>
        <w:ind w:left="5606" w:hanging="360"/>
        <w:rPr>
          <w:rtl/>
        </w:rPr>
        <w:sectPr w:rsidR="000660DF" w:rsidRPr="00843F49">
          <w:pgSz w:w="11906" w:h="16838"/>
          <w:pgMar w:top="1440" w:right="1440" w:bottom="1440" w:left="1440" w:header="708" w:footer="708" w:gutter="0"/>
          <w:cols w:space="708"/>
          <w:docGrid w:linePitch="360"/>
        </w:sectPr>
      </w:pPr>
    </w:p>
    <w:p w14:paraId="304BFFC9" w14:textId="5628EFF8" w:rsidR="00D2489D" w:rsidRDefault="004C09F5" w:rsidP="00544933">
      <w:pPr>
        <w:pStyle w:val="Heading1"/>
        <w:numPr>
          <w:ilvl w:val="0"/>
          <w:numId w:val="0"/>
        </w:numPr>
      </w:pPr>
      <w:bookmarkStart w:id="17" w:name="_Toc223945700"/>
      <w:bookmarkStart w:id="18" w:name="_Toc223960000"/>
      <w:bookmarkStart w:id="19" w:name="_Appendix_-_List"/>
      <w:bookmarkStart w:id="20" w:name="_Toc234587376"/>
      <w:bookmarkEnd w:id="7"/>
      <w:bookmarkEnd w:id="8"/>
      <w:bookmarkEnd w:id="9"/>
      <w:bookmarkEnd w:id="10"/>
      <w:bookmarkEnd w:id="11"/>
      <w:bookmarkEnd w:id="12"/>
      <w:bookmarkEnd w:id="19"/>
      <w:r>
        <w:lastRenderedPageBreak/>
        <w:t>Appendi</w:t>
      </w:r>
      <w:bookmarkEnd w:id="17"/>
      <w:r w:rsidR="00D57DA4">
        <w:t>x</w:t>
      </w:r>
      <w:bookmarkEnd w:id="18"/>
      <w:r w:rsidR="00F47884">
        <w:t xml:space="preserve"> </w:t>
      </w:r>
      <w:r w:rsidR="00544933">
        <w:t xml:space="preserve">A </w:t>
      </w:r>
      <w:r w:rsidR="00F47884">
        <w:t xml:space="preserve">- </w:t>
      </w:r>
      <w:r w:rsidR="009A7A28">
        <w:t xml:space="preserve">List of </w:t>
      </w:r>
      <w:r w:rsidR="00F47884">
        <w:t>c</w:t>
      </w:r>
      <w:r w:rsidR="00D2489D">
        <w:t xml:space="preserve">ivil </w:t>
      </w:r>
      <w:r w:rsidR="00F47884">
        <w:t>e</w:t>
      </w:r>
      <w:r w:rsidR="00D2489D">
        <w:t>ngineering SAPs</w:t>
      </w:r>
      <w:r w:rsidR="009A7A28">
        <w:t xml:space="preserve"> </w:t>
      </w:r>
      <w:r w:rsidR="00F47884">
        <w:t>r</w:t>
      </w:r>
      <w:r w:rsidR="00FD7E84">
        <w:t xml:space="preserve">eferred </w:t>
      </w:r>
      <w:r w:rsidR="00F47884">
        <w:t xml:space="preserve">to </w:t>
      </w:r>
      <w:r w:rsidR="00FD7E84">
        <w:t xml:space="preserve">in this </w:t>
      </w:r>
      <w:r w:rsidR="00F47884">
        <w:t>annex</w:t>
      </w:r>
      <w:bookmarkEnd w:id="2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2"/>
        <w:gridCol w:w="4732"/>
        <w:gridCol w:w="2162"/>
      </w:tblGrid>
      <w:tr w:rsidR="00D2489D" w:rsidRPr="00FD7E84" w14:paraId="44343D54" w14:textId="77777777" w:rsidTr="00544933">
        <w:trPr>
          <w:trHeight w:val="138"/>
          <w:tblHeader/>
        </w:trPr>
        <w:tc>
          <w:tcPr>
            <w:tcW w:w="1177" w:type="pct"/>
            <w:vAlign w:val="center"/>
          </w:tcPr>
          <w:p w14:paraId="687C5924" w14:textId="77777777" w:rsidR="00D2489D" w:rsidRPr="00843F49" w:rsidRDefault="00D2489D" w:rsidP="00544933">
            <w:pPr>
              <w:pStyle w:val="Normal1"/>
              <w:spacing w:before="60" w:after="60"/>
              <w:jc w:val="center"/>
              <w:rPr>
                <w:rFonts w:asciiTheme="minorHAnsi" w:hAnsiTheme="minorHAnsi" w:cstheme="minorHAnsi"/>
                <w:b/>
                <w:bCs/>
                <w:color w:val="000000"/>
              </w:rPr>
            </w:pPr>
            <w:r w:rsidRPr="00843F49">
              <w:rPr>
                <w:rFonts w:asciiTheme="minorHAnsi" w:hAnsiTheme="minorHAnsi" w:cstheme="minorHAnsi"/>
                <w:b/>
                <w:bCs/>
                <w:color w:val="000000"/>
              </w:rPr>
              <w:t>Principle</w:t>
            </w:r>
          </w:p>
        </w:tc>
        <w:tc>
          <w:tcPr>
            <w:tcW w:w="2624" w:type="pct"/>
            <w:vAlign w:val="center"/>
          </w:tcPr>
          <w:p w14:paraId="05749AD0" w14:textId="77777777" w:rsidR="00D2489D" w:rsidRPr="00843F49" w:rsidRDefault="00D2489D" w:rsidP="00544933">
            <w:pPr>
              <w:pStyle w:val="Normal1"/>
              <w:spacing w:before="60" w:after="60"/>
              <w:rPr>
                <w:rFonts w:asciiTheme="minorHAnsi" w:hAnsiTheme="minorHAnsi" w:cstheme="minorHAnsi"/>
                <w:b/>
                <w:bCs/>
                <w:color w:val="000000"/>
              </w:rPr>
            </w:pPr>
            <w:r w:rsidRPr="00843F49">
              <w:rPr>
                <w:rFonts w:asciiTheme="minorHAnsi" w:hAnsiTheme="minorHAnsi" w:cstheme="minorHAnsi"/>
                <w:b/>
                <w:bCs/>
                <w:color w:val="000000"/>
              </w:rPr>
              <w:t>Title</w:t>
            </w:r>
          </w:p>
        </w:tc>
        <w:tc>
          <w:tcPr>
            <w:tcW w:w="1199" w:type="pct"/>
            <w:vAlign w:val="center"/>
          </w:tcPr>
          <w:p w14:paraId="6563E425" w14:textId="77777777" w:rsidR="00D2489D" w:rsidRPr="00843F49" w:rsidRDefault="00D2489D" w:rsidP="00544933">
            <w:pPr>
              <w:pStyle w:val="Normal1"/>
              <w:spacing w:before="60" w:after="60"/>
              <w:rPr>
                <w:rFonts w:asciiTheme="minorHAnsi" w:hAnsiTheme="minorHAnsi" w:cstheme="minorHAnsi"/>
                <w:b/>
                <w:bCs/>
                <w:color w:val="000000"/>
              </w:rPr>
            </w:pPr>
            <w:r w:rsidRPr="00843F49">
              <w:rPr>
                <w:rFonts w:asciiTheme="minorHAnsi" w:hAnsiTheme="minorHAnsi" w:cstheme="minorHAnsi"/>
                <w:b/>
                <w:bCs/>
                <w:color w:val="000000"/>
              </w:rPr>
              <w:t>Subtitle</w:t>
            </w:r>
          </w:p>
        </w:tc>
      </w:tr>
      <w:tr w:rsidR="00D2489D" w:rsidRPr="00FD7E84" w14:paraId="5C3FA89E" w14:textId="77777777" w:rsidTr="00544933">
        <w:trPr>
          <w:trHeight w:val="138"/>
        </w:trPr>
        <w:tc>
          <w:tcPr>
            <w:tcW w:w="1177" w:type="pct"/>
            <w:vAlign w:val="center"/>
          </w:tcPr>
          <w:p w14:paraId="406384F5"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 </w:t>
            </w:r>
          </w:p>
        </w:tc>
        <w:tc>
          <w:tcPr>
            <w:tcW w:w="2624" w:type="pct"/>
            <w:vAlign w:val="center"/>
          </w:tcPr>
          <w:p w14:paraId="44F0786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w:t>
            </w:r>
          </w:p>
        </w:tc>
        <w:tc>
          <w:tcPr>
            <w:tcW w:w="1199" w:type="pct"/>
            <w:vAlign w:val="center"/>
          </w:tcPr>
          <w:p w14:paraId="5847F99C"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Functional performance </w:t>
            </w:r>
          </w:p>
        </w:tc>
      </w:tr>
      <w:tr w:rsidR="00D2489D" w:rsidRPr="00FD7E84" w14:paraId="2802E7B4" w14:textId="77777777" w:rsidTr="00544933">
        <w:trPr>
          <w:trHeight w:val="138"/>
        </w:trPr>
        <w:tc>
          <w:tcPr>
            <w:tcW w:w="1177" w:type="pct"/>
            <w:vAlign w:val="center"/>
          </w:tcPr>
          <w:p w14:paraId="1134922A"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ECE.2 </w:t>
            </w:r>
          </w:p>
        </w:tc>
        <w:tc>
          <w:tcPr>
            <w:tcW w:w="2624" w:type="pct"/>
            <w:vAlign w:val="center"/>
          </w:tcPr>
          <w:p w14:paraId="28D803CA"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w:t>
            </w:r>
          </w:p>
        </w:tc>
        <w:tc>
          <w:tcPr>
            <w:tcW w:w="1199" w:type="pct"/>
            <w:vAlign w:val="center"/>
          </w:tcPr>
          <w:p w14:paraId="02162E82"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Independent arguments </w:t>
            </w:r>
          </w:p>
        </w:tc>
      </w:tr>
      <w:tr w:rsidR="00D2489D" w:rsidRPr="00FD7E84" w14:paraId="0CC814D9" w14:textId="77777777" w:rsidTr="00544933">
        <w:trPr>
          <w:trHeight w:val="138"/>
        </w:trPr>
        <w:tc>
          <w:tcPr>
            <w:tcW w:w="1177" w:type="pct"/>
            <w:vAlign w:val="center"/>
          </w:tcPr>
          <w:p w14:paraId="127F99E5"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ECE.3 </w:t>
            </w:r>
          </w:p>
        </w:tc>
        <w:tc>
          <w:tcPr>
            <w:tcW w:w="2624" w:type="pct"/>
            <w:vAlign w:val="center"/>
          </w:tcPr>
          <w:p w14:paraId="443FA4D5"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w:t>
            </w:r>
          </w:p>
        </w:tc>
        <w:tc>
          <w:tcPr>
            <w:tcW w:w="1199" w:type="pct"/>
            <w:vAlign w:val="center"/>
          </w:tcPr>
          <w:p w14:paraId="58A35386"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Defects </w:t>
            </w:r>
          </w:p>
        </w:tc>
      </w:tr>
      <w:tr w:rsidR="00D2489D" w:rsidRPr="00FD7E84" w14:paraId="3FCED0F6" w14:textId="77777777" w:rsidTr="00544933">
        <w:trPr>
          <w:trHeight w:val="254"/>
        </w:trPr>
        <w:tc>
          <w:tcPr>
            <w:tcW w:w="1177" w:type="pct"/>
            <w:vAlign w:val="center"/>
          </w:tcPr>
          <w:p w14:paraId="72D48226"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ECE.6 </w:t>
            </w:r>
          </w:p>
        </w:tc>
        <w:tc>
          <w:tcPr>
            <w:tcW w:w="2624" w:type="pct"/>
            <w:vAlign w:val="center"/>
          </w:tcPr>
          <w:p w14:paraId="5D91EA4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design </w:t>
            </w:r>
          </w:p>
        </w:tc>
        <w:tc>
          <w:tcPr>
            <w:tcW w:w="1199" w:type="pct"/>
            <w:vAlign w:val="center"/>
          </w:tcPr>
          <w:p w14:paraId="41D5BD60"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Loadings </w:t>
            </w:r>
          </w:p>
        </w:tc>
      </w:tr>
      <w:tr w:rsidR="00D2489D" w:rsidRPr="00FD7E84" w14:paraId="050170E4" w14:textId="77777777" w:rsidTr="00544933">
        <w:trPr>
          <w:trHeight w:val="254"/>
        </w:trPr>
        <w:tc>
          <w:tcPr>
            <w:tcW w:w="1177" w:type="pct"/>
            <w:vAlign w:val="center"/>
          </w:tcPr>
          <w:p w14:paraId="7C3332F9"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ECE.8 </w:t>
            </w:r>
          </w:p>
        </w:tc>
        <w:tc>
          <w:tcPr>
            <w:tcW w:w="2624" w:type="pct"/>
            <w:vAlign w:val="center"/>
          </w:tcPr>
          <w:p w14:paraId="533770D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design </w:t>
            </w:r>
          </w:p>
        </w:tc>
        <w:tc>
          <w:tcPr>
            <w:tcW w:w="1199" w:type="pct"/>
            <w:vAlign w:val="center"/>
          </w:tcPr>
          <w:p w14:paraId="10F0E803"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Inspectability </w:t>
            </w:r>
          </w:p>
        </w:tc>
      </w:tr>
      <w:tr w:rsidR="00D2489D" w:rsidRPr="00FD7E84" w14:paraId="4A15FE84" w14:textId="77777777" w:rsidTr="00544933">
        <w:trPr>
          <w:trHeight w:val="253"/>
        </w:trPr>
        <w:tc>
          <w:tcPr>
            <w:tcW w:w="1177" w:type="pct"/>
            <w:vAlign w:val="center"/>
          </w:tcPr>
          <w:p w14:paraId="23549E57"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ECE.12 </w:t>
            </w:r>
          </w:p>
        </w:tc>
        <w:tc>
          <w:tcPr>
            <w:tcW w:w="2624" w:type="pct"/>
            <w:vAlign w:val="center"/>
          </w:tcPr>
          <w:p w14:paraId="004B3C56"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structural analysis and model testing </w:t>
            </w:r>
          </w:p>
        </w:tc>
        <w:tc>
          <w:tcPr>
            <w:tcW w:w="1199" w:type="pct"/>
            <w:vAlign w:val="center"/>
          </w:tcPr>
          <w:p w14:paraId="615662B7"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Structural analysis and model testing </w:t>
            </w:r>
          </w:p>
        </w:tc>
      </w:tr>
      <w:tr w:rsidR="00D2489D" w:rsidRPr="00FD7E84" w14:paraId="3520A048" w14:textId="77777777" w:rsidTr="00544933">
        <w:trPr>
          <w:trHeight w:val="253"/>
        </w:trPr>
        <w:tc>
          <w:tcPr>
            <w:tcW w:w="1177" w:type="pct"/>
            <w:vAlign w:val="center"/>
          </w:tcPr>
          <w:p w14:paraId="48D1F5BB"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ECE.13 </w:t>
            </w:r>
          </w:p>
        </w:tc>
        <w:tc>
          <w:tcPr>
            <w:tcW w:w="2624" w:type="pct"/>
            <w:vAlign w:val="center"/>
          </w:tcPr>
          <w:p w14:paraId="39CCD05D"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structural analysis and model testing </w:t>
            </w:r>
          </w:p>
        </w:tc>
        <w:tc>
          <w:tcPr>
            <w:tcW w:w="1199" w:type="pct"/>
            <w:vAlign w:val="center"/>
          </w:tcPr>
          <w:p w14:paraId="016259EE"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Use of data </w:t>
            </w:r>
          </w:p>
        </w:tc>
      </w:tr>
      <w:tr w:rsidR="00D2489D" w:rsidRPr="00FD7E84" w14:paraId="2ACA880A" w14:textId="77777777" w:rsidTr="00544933">
        <w:trPr>
          <w:trHeight w:val="254"/>
        </w:trPr>
        <w:tc>
          <w:tcPr>
            <w:tcW w:w="1177" w:type="pct"/>
            <w:vAlign w:val="center"/>
          </w:tcPr>
          <w:p w14:paraId="3FB1B310"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ECE.14 </w:t>
            </w:r>
          </w:p>
        </w:tc>
        <w:tc>
          <w:tcPr>
            <w:tcW w:w="2624" w:type="pct"/>
            <w:vAlign w:val="center"/>
          </w:tcPr>
          <w:p w14:paraId="1F2F480A"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structural analysis and model testing </w:t>
            </w:r>
          </w:p>
        </w:tc>
        <w:tc>
          <w:tcPr>
            <w:tcW w:w="1199" w:type="pct"/>
            <w:vAlign w:val="center"/>
          </w:tcPr>
          <w:p w14:paraId="73EB73E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Sensitivity studies </w:t>
            </w:r>
          </w:p>
        </w:tc>
      </w:tr>
      <w:tr w:rsidR="00D2489D" w:rsidRPr="00FD7E84" w14:paraId="2DB4B02A" w14:textId="77777777" w:rsidTr="00544933">
        <w:trPr>
          <w:trHeight w:val="253"/>
        </w:trPr>
        <w:tc>
          <w:tcPr>
            <w:tcW w:w="1177" w:type="pct"/>
            <w:vAlign w:val="center"/>
          </w:tcPr>
          <w:p w14:paraId="36D1ABBE"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ECE.15 </w:t>
            </w:r>
          </w:p>
        </w:tc>
        <w:tc>
          <w:tcPr>
            <w:tcW w:w="2624" w:type="pct"/>
            <w:vAlign w:val="center"/>
          </w:tcPr>
          <w:p w14:paraId="24B67623"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structural analysis and model testing </w:t>
            </w:r>
          </w:p>
        </w:tc>
        <w:tc>
          <w:tcPr>
            <w:tcW w:w="1199" w:type="pct"/>
            <w:vAlign w:val="center"/>
          </w:tcPr>
          <w:p w14:paraId="06DED597"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Validation of methods </w:t>
            </w:r>
          </w:p>
        </w:tc>
      </w:tr>
      <w:tr w:rsidR="00D2489D" w:rsidRPr="00FD7E84" w14:paraId="29977FA2" w14:textId="77777777" w:rsidTr="00544933">
        <w:trPr>
          <w:trHeight w:val="254"/>
        </w:trPr>
        <w:tc>
          <w:tcPr>
            <w:tcW w:w="1177" w:type="pct"/>
            <w:vAlign w:val="center"/>
          </w:tcPr>
          <w:p w14:paraId="07D6F87A"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ECE.16 </w:t>
            </w:r>
          </w:p>
        </w:tc>
        <w:tc>
          <w:tcPr>
            <w:tcW w:w="2624" w:type="pct"/>
            <w:vAlign w:val="center"/>
          </w:tcPr>
          <w:p w14:paraId="5D07232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construction </w:t>
            </w:r>
          </w:p>
        </w:tc>
        <w:tc>
          <w:tcPr>
            <w:tcW w:w="1199" w:type="pct"/>
            <w:vAlign w:val="center"/>
          </w:tcPr>
          <w:p w14:paraId="75DC9044"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Materials </w:t>
            </w:r>
          </w:p>
        </w:tc>
      </w:tr>
      <w:tr w:rsidR="00D2489D" w:rsidRPr="00FD7E84" w14:paraId="70CC373C" w14:textId="77777777" w:rsidTr="00544933">
        <w:trPr>
          <w:trHeight w:val="254"/>
        </w:trPr>
        <w:tc>
          <w:tcPr>
            <w:tcW w:w="1177" w:type="pct"/>
            <w:vAlign w:val="center"/>
          </w:tcPr>
          <w:p w14:paraId="3408384D"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ECE.17 </w:t>
            </w:r>
          </w:p>
        </w:tc>
        <w:tc>
          <w:tcPr>
            <w:tcW w:w="2624" w:type="pct"/>
            <w:vAlign w:val="center"/>
          </w:tcPr>
          <w:p w14:paraId="3A64C2A1"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construction </w:t>
            </w:r>
          </w:p>
        </w:tc>
        <w:tc>
          <w:tcPr>
            <w:tcW w:w="1199" w:type="pct"/>
            <w:vAlign w:val="center"/>
          </w:tcPr>
          <w:p w14:paraId="468B8077"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Prevention of defects </w:t>
            </w:r>
          </w:p>
        </w:tc>
      </w:tr>
      <w:tr w:rsidR="00D2489D" w:rsidRPr="00FD7E84" w14:paraId="39F91781" w14:textId="77777777" w:rsidTr="00544933">
        <w:trPr>
          <w:trHeight w:val="254"/>
        </w:trPr>
        <w:tc>
          <w:tcPr>
            <w:tcW w:w="1177" w:type="pct"/>
            <w:vAlign w:val="center"/>
          </w:tcPr>
          <w:p w14:paraId="656FE91D"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ECE.18 </w:t>
            </w:r>
          </w:p>
        </w:tc>
        <w:tc>
          <w:tcPr>
            <w:tcW w:w="2624" w:type="pct"/>
            <w:vAlign w:val="center"/>
          </w:tcPr>
          <w:p w14:paraId="114EE22B"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construction </w:t>
            </w:r>
          </w:p>
        </w:tc>
        <w:tc>
          <w:tcPr>
            <w:tcW w:w="1199" w:type="pct"/>
            <w:vAlign w:val="center"/>
          </w:tcPr>
          <w:p w14:paraId="1A473CED"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Inspection during construction </w:t>
            </w:r>
          </w:p>
        </w:tc>
      </w:tr>
      <w:tr w:rsidR="00D2489D" w:rsidRPr="00FD7E84" w14:paraId="0C1026DE" w14:textId="77777777" w:rsidTr="00544933">
        <w:trPr>
          <w:trHeight w:val="253"/>
        </w:trPr>
        <w:tc>
          <w:tcPr>
            <w:tcW w:w="1177" w:type="pct"/>
            <w:vAlign w:val="center"/>
          </w:tcPr>
          <w:p w14:paraId="24078DAD"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ECE.19 </w:t>
            </w:r>
          </w:p>
        </w:tc>
        <w:tc>
          <w:tcPr>
            <w:tcW w:w="2624" w:type="pct"/>
            <w:vAlign w:val="center"/>
          </w:tcPr>
          <w:p w14:paraId="50D2E935"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construction </w:t>
            </w:r>
          </w:p>
        </w:tc>
        <w:tc>
          <w:tcPr>
            <w:tcW w:w="1199" w:type="pct"/>
            <w:vAlign w:val="center"/>
          </w:tcPr>
          <w:p w14:paraId="46497B68"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Non-conformities </w:t>
            </w:r>
          </w:p>
        </w:tc>
      </w:tr>
      <w:tr w:rsidR="00D2489D" w:rsidRPr="00FD7E84" w14:paraId="5A4BD218" w14:textId="77777777" w:rsidTr="00544933">
        <w:trPr>
          <w:trHeight w:val="253"/>
        </w:trPr>
        <w:tc>
          <w:tcPr>
            <w:tcW w:w="1177" w:type="pct"/>
            <w:vAlign w:val="center"/>
          </w:tcPr>
          <w:p w14:paraId="62AFBD35"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ECE.20 </w:t>
            </w:r>
          </w:p>
        </w:tc>
        <w:tc>
          <w:tcPr>
            <w:tcW w:w="2624" w:type="pct"/>
            <w:vAlign w:val="center"/>
          </w:tcPr>
          <w:p w14:paraId="0AFA7AB1"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in-service inspection and testing </w:t>
            </w:r>
          </w:p>
        </w:tc>
        <w:tc>
          <w:tcPr>
            <w:tcW w:w="1199" w:type="pct"/>
            <w:vAlign w:val="center"/>
          </w:tcPr>
          <w:p w14:paraId="46418303"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In-service inspection and testing </w:t>
            </w:r>
          </w:p>
        </w:tc>
      </w:tr>
      <w:tr w:rsidR="00D2489D" w:rsidRPr="00FD7E84" w14:paraId="7C35EC54" w14:textId="77777777" w:rsidTr="00544933">
        <w:trPr>
          <w:trHeight w:val="254"/>
        </w:trPr>
        <w:tc>
          <w:tcPr>
            <w:tcW w:w="1177" w:type="pct"/>
            <w:vAlign w:val="center"/>
          </w:tcPr>
          <w:p w14:paraId="29C7D1EA" w14:textId="77777777" w:rsidR="00D2489D" w:rsidRPr="00843F49" w:rsidRDefault="00D2489D" w:rsidP="00544933">
            <w:pPr>
              <w:pStyle w:val="Normal1"/>
              <w:spacing w:before="60" w:after="60"/>
              <w:jc w:val="center"/>
              <w:rPr>
                <w:rFonts w:asciiTheme="minorHAnsi" w:hAnsiTheme="minorHAnsi" w:cstheme="minorHAnsi"/>
                <w:color w:val="000000"/>
              </w:rPr>
            </w:pPr>
            <w:r w:rsidRPr="00843F49">
              <w:rPr>
                <w:rFonts w:asciiTheme="minorHAnsi" w:hAnsiTheme="minorHAnsi" w:cstheme="minorHAnsi"/>
                <w:bCs/>
                <w:color w:val="000000"/>
              </w:rPr>
              <w:t xml:space="preserve">ECE.21 </w:t>
            </w:r>
          </w:p>
        </w:tc>
        <w:tc>
          <w:tcPr>
            <w:tcW w:w="2624" w:type="pct"/>
            <w:vAlign w:val="center"/>
          </w:tcPr>
          <w:p w14:paraId="71CCC6C3"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civil engineering: in-service inspection and testing </w:t>
            </w:r>
          </w:p>
        </w:tc>
        <w:tc>
          <w:tcPr>
            <w:tcW w:w="1199" w:type="pct"/>
            <w:vAlign w:val="center"/>
          </w:tcPr>
          <w:p w14:paraId="57F20EFD"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Proof pressure tests </w:t>
            </w:r>
          </w:p>
        </w:tc>
      </w:tr>
      <w:tr w:rsidR="00D2489D" w:rsidRPr="00FD7E84" w14:paraId="2855D9A9" w14:textId="77777777" w:rsidTr="00544933">
        <w:trPr>
          <w:trHeight w:val="253"/>
        </w:trPr>
        <w:tc>
          <w:tcPr>
            <w:tcW w:w="5000" w:type="pct"/>
            <w:gridSpan w:val="3"/>
            <w:vAlign w:val="center"/>
          </w:tcPr>
          <w:p w14:paraId="3BB84C5A" w14:textId="77777777" w:rsidR="00D2489D" w:rsidRPr="00843F49" w:rsidRDefault="00D2489D" w:rsidP="00544933">
            <w:pPr>
              <w:pStyle w:val="Normal1"/>
              <w:spacing w:before="60" w:after="60"/>
              <w:rPr>
                <w:rFonts w:asciiTheme="minorHAnsi" w:hAnsiTheme="minorHAnsi" w:cstheme="minorHAnsi"/>
                <w:b/>
                <w:bCs/>
                <w:color w:val="000000"/>
              </w:rPr>
            </w:pPr>
            <w:r w:rsidRPr="00843F49">
              <w:rPr>
                <w:rFonts w:asciiTheme="minorHAnsi" w:hAnsiTheme="minorHAnsi" w:cstheme="minorHAnsi"/>
                <w:b/>
                <w:bCs/>
                <w:color w:val="000000"/>
              </w:rPr>
              <w:t>Other SAPs within the Engineering Principles</w:t>
            </w:r>
          </w:p>
        </w:tc>
      </w:tr>
      <w:tr w:rsidR="00D2489D" w:rsidRPr="00FD7E84" w14:paraId="781D2C8A" w14:textId="77777777" w:rsidTr="00544933">
        <w:trPr>
          <w:trHeight w:val="253"/>
        </w:trPr>
        <w:tc>
          <w:tcPr>
            <w:tcW w:w="1177" w:type="pct"/>
            <w:vAlign w:val="center"/>
          </w:tcPr>
          <w:p w14:paraId="008BEE62"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EKP.3</w:t>
            </w:r>
          </w:p>
        </w:tc>
        <w:tc>
          <w:tcPr>
            <w:tcW w:w="2624" w:type="pct"/>
            <w:vAlign w:val="center"/>
          </w:tcPr>
          <w:p w14:paraId="1344CBBE"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Engineering principles: key principles</w:t>
            </w:r>
          </w:p>
        </w:tc>
        <w:tc>
          <w:tcPr>
            <w:tcW w:w="1199" w:type="pct"/>
            <w:vAlign w:val="center"/>
          </w:tcPr>
          <w:p w14:paraId="5148FCF5"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color w:val="000000"/>
              </w:rPr>
              <w:t>Defence in depth</w:t>
            </w:r>
          </w:p>
        </w:tc>
      </w:tr>
      <w:tr w:rsidR="00D2489D" w:rsidRPr="00FD7E84" w14:paraId="3886FEBB" w14:textId="77777777" w:rsidTr="00544933">
        <w:trPr>
          <w:trHeight w:val="253"/>
        </w:trPr>
        <w:tc>
          <w:tcPr>
            <w:tcW w:w="1177" w:type="pct"/>
            <w:vAlign w:val="center"/>
          </w:tcPr>
          <w:p w14:paraId="12429116"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ECS.3</w:t>
            </w:r>
          </w:p>
        </w:tc>
        <w:tc>
          <w:tcPr>
            <w:tcW w:w="2624" w:type="pct"/>
            <w:vAlign w:val="center"/>
          </w:tcPr>
          <w:p w14:paraId="1EC4C2A6"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Engineering principles: safety classification and standards</w:t>
            </w:r>
          </w:p>
        </w:tc>
        <w:tc>
          <w:tcPr>
            <w:tcW w:w="1199" w:type="pct"/>
            <w:vAlign w:val="center"/>
          </w:tcPr>
          <w:p w14:paraId="7D6C22FB"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Codes and standards</w:t>
            </w:r>
          </w:p>
        </w:tc>
      </w:tr>
      <w:tr w:rsidR="00D2489D" w:rsidRPr="00FD7E84" w14:paraId="06CBDDE4" w14:textId="77777777" w:rsidTr="00544933">
        <w:trPr>
          <w:trHeight w:val="253"/>
        </w:trPr>
        <w:tc>
          <w:tcPr>
            <w:tcW w:w="1177" w:type="pct"/>
            <w:vAlign w:val="center"/>
          </w:tcPr>
          <w:p w14:paraId="2DE7160A"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lastRenderedPageBreak/>
              <w:t>ECS.4</w:t>
            </w:r>
          </w:p>
        </w:tc>
        <w:tc>
          <w:tcPr>
            <w:tcW w:w="2624" w:type="pct"/>
            <w:vAlign w:val="center"/>
          </w:tcPr>
          <w:p w14:paraId="154549C3"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Engineering principles: safety classification and standards</w:t>
            </w:r>
          </w:p>
        </w:tc>
        <w:tc>
          <w:tcPr>
            <w:tcW w:w="1199" w:type="pct"/>
            <w:vAlign w:val="center"/>
          </w:tcPr>
          <w:p w14:paraId="1E2B864C"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Absence of established codes and standards</w:t>
            </w:r>
          </w:p>
        </w:tc>
      </w:tr>
      <w:tr w:rsidR="00D2489D" w:rsidRPr="00FD7E84" w14:paraId="78B286CB" w14:textId="77777777" w:rsidTr="00544933">
        <w:trPr>
          <w:trHeight w:val="253"/>
        </w:trPr>
        <w:tc>
          <w:tcPr>
            <w:tcW w:w="1177" w:type="pct"/>
            <w:vAlign w:val="center"/>
          </w:tcPr>
          <w:p w14:paraId="560C23DB"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EMT.3</w:t>
            </w:r>
          </w:p>
        </w:tc>
        <w:tc>
          <w:tcPr>
            <w:tcW w:w="2624" w:type="pct"/>
          </w:tcPr>
          <w:p w14:paraId="2AC872F5" w14:textId="77777777" w:rsidR="00D2489D" w:rsidRPr="00843F49" w:rsidRDefault="00D2489D" w:rsidP="00544933">
            <w:pPr>
              <w:spacing w:before="60" w:after="60"/>
              <w:rPr>
                <w:rFonts w:asciiTheme="minorHAnsi" w:hAnsiTheme="minorHAnsi" w:cstheme="minorHAnsi"/>
                <w:szCs w:val="24"/>
              </w:rPr>
            </w:pPr>
            <w:r w:rsidRPr="00843F49">
              <w:rPr>
                <w:rFonts w:asciiTheme="minorHAnsi" w:hAnsiTheme="minorHAnsi" w:cstheme="minorHAnsi"/>
                <w:bCs/>
                <w:color w:val="000000"/>
                <w:szCs w:val="24"/>
              </w:rPr>
              <w:t>Engineering principles: maintenance inspection and testing</w:t>
            </w:r>
          </w:p>
        </w:tc>
        <w:tc>
          <w:tcPr>
            <w:tcW w:w="1199" w:type="pct"/>
            <w:vAlign w:val="center"/>
          </w:tcPr>
          <w:p w14:paraId="66EEF825"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Type testing</w:t>
            </w:r>
          </w:p>
        </w:tc>
      </w:tr>
      <w:tr w:rsidR="00D2489D" w:rsidRPr="00FD7E84" w14:paraId="3F88B02E" w14:textId="77777777" w:rsidTr="00544933">
        <w:trPr>
          <w:trHeight w:val="253"/>
        </w:trPr>
        <w:tc>
          <w:tcPr>
            <w:tcW w:w="1177" w:type="pct"/>
            <w:vAlign w:val="center"/>
          </w:tcPr>
          <w:p w14:paraId="73EA1467"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EMT.6</w:t>
            </w:r>
          </w:p>
        </w:tc>
        <w:tc>
          <w:tcPr>
            <w:tcW w:w="2624" w:type="pct"/>
          </w:tcPr>
          <w:p w14:paraId="761D9A97" w14:textId="77777777" w:rsidR="00D2489D" w:rsidRPr="00843F49" w:rsidRDefault="00D2489D" w:rsidP="00544933">
            <w:pPr>
              <w:spacing w:before="60" w:after="60"/>
              <w:rPr>
                <w:rFonts w:asciiTheme="minorHAnsi" w:hAnsiTheme="minorHAnsi" w:cstheme="minorHAnsi"/>
                <w:szCs w:val="24"/>
              </w:rPr>
            </w:pPr>
            <w:r w:rsidRPr="00843F49">
              <w:rPr>
                <w:rFonts w:asciiTheme="minorHAnsi" w:hAnsiTheme="minorHAnsi" w:cstheme="minorHAnsi"/>
                <w:bCs/>
                <w:color w:val="000000"/>
                <w:szCs w:val="24"/>
              </w:rPr>
              <w:t>Engineering principles: maintenance inspection and testing</w:t>
            </w:r>
          </w:p>
        </w:tc>
        <w:tc>
          <w:tcPr>
            <w:tcW w:w="1199" w:type="pct"/>
            <w:vAlign w:val="center"/>
          </w:tcPr>
          <w:p w14:paraId="68C097B3"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Reliability claims</w:t>
            </w:r>
          </w:p>
        </w:tc>
      </w:tr>
      <w:tr w:rsidR="00D2489D" w:rsidRPr="00FD7E84" w14:paraId="163D0968" w14:textId="77777777" w:rsidTr="00544933">
        <w:trPr>
          <w:trHeight w:val="253"/>
        </w:trPr>
        <w:tc>
          <w:tcPr>
            <w:tcW w:w="1177" w:type="pct"/>
            <w:vAlign w:val="center"/>
          </w:tcPr>
          <w:p w14:paraId="79DB9BBD"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EAD.2</w:t>
            </w:r>
          </w:p>
        </w:tc>
        <w:tc>
          <w:tcPr>
            <w:tcW w:w="2624" w:type="pct"/>
            <w:vAlign w:val="center"/>
          </w:tcPr>
          <w:p w14:paraId="78F2A95A"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ageing and degradation </w:t>
            </w:r>
          </w:p>
        </w:tc>
        <w:tc>
          <w:tcPr>
            <w:tcW w:w="1199" w:type="pct"/>
            <w:vAlign w:val="center"/>
          </w:tcPr>
          <w:p w14:paraId="1057E01A"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Lifetime margins </w:t>
            </w:r>
          </w:p>
        </w:tc>
      </w:tr>
      <w:tr w:rsidR="00D2489D" w:rsidRPr="00FD7E84" w14:paraId="35FB908D" w14:textId="77777777" w:rsidTr="00544933">
        <w:trPr>
          <w:trHeight w:val="253"/>
        </w:trPr>
        <w:tc>
          <w:tcPr>
            <w:tcW w:w="1177" w:type="pct"/>
            <w:vAlign w:val="center"/>
          </w:tcPr>
          <w:p w14:paraId="3E9EAAF4"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EAD.4</w:t>
            </w:r>
          </w:p>
        </w:tc>
        <w:tc>
          <w:tcPr>
            <w:tcW w:w="2624" w:type="pct"/>
            <w:vAlign w:val="center"/>
          </w:tcPr>
          <w:p w14:paraId="68113A1D"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Engineering principles: ageing and degradation </w:t>
            </w:r>
          </w:p>
        </w:tc>
        <w:tc>
          <w:tcPr>
            <w:tcW w:w="1199" w:type="pct"/>
            <w:vAlign w:val="center"/>
          </w:tcPr>
          <w:p w14:paraId="77EF64D1"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 xml:space="preserve">Periodic measurement of parameters </w:t>
            </w:r>
          </w:p>
        </w:tc>
      </w:tr>
      <w:tr w:rsidR="00D2489D" w:rsidRPr="00FD7E84" w14:paraId="6D983C92" w14:textId="77777777" w:rsidTr="00544933">
        <w:trPr>
          <w:trHeight w:val="253"/>
        </w:trPr>
        <w:tc>
          <w:tcPr>
            <w:tcW w:w="1177" w:type="pct"/>
            <w:vAlign w:val="center"/>
          </w:tcPr>
          <w:p w14:paraId="0EE536FC"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ECV.2</w:t>
            </w:r>
          </w:p>
        </w:tc>
        <w:tc>
          <w:tcPr>
            <w:tcW w:w="2624" w:type="pct"/>
            <w:vAlign w:val="center"/>
          </w:tcPr>
          <w:p w14:paraId="0A7B1926"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Engineering principles: containment and ventilation: containment design</w:t>
            </w:r>
          </w:p>
        </w:tc>
        <w:tc>
          <w:tcPr>
            <w:tcW w:w="1199" w:type="pct"/>
            <w:vAlign w:val="center"/>
          </w:tcPr>
          <w:p w14:paraId="2F8071BD" w14:textId="77777777" w:rsidR="00D2489D" w:rsidRPr="00843F49" w:rsidRDefault="00D2489D" w:rsidP="00544933">
            <w:pPr>
              <w:pStyle w:val="Normal1"/>
              <w:spacing w:before="60" w:after="60"/>
              <w:rPr>
                <w:rFonts w:asciiTheme="minorHAnsi" w:hAnsiTheme="minorHAnsi" w:cstheme="minorHAnsi"/>
                <w:bCs/>
                <w:color w:val="000000"/>
              </w:rPr>
            </w:pPr>
            <w:r w:rsidRPr="00843F49">
              <w:rPr>
                <w:rFonts w:asciiTheme="minorHAnsi" w:hAnsiTheme="minorHAnsi" w:cstheme="minorHAnsi"/>
                <w:bCs/>
                <w:color w:val="000000"/>
              </w:rPr>
              <w:t>Minimisation of releases</w:t>
            </w:r>
          </w:p>
        </w:tc>
      </w:tr>
      <w:tr w:rsidR="00D2489D" w:rsidRPr="00FD7E84" w14:paraId="46C6A838" w14:textId="77777777" w:rsidTr="00544933">
        <w:trPr>
          <w:trHeight w:val="253"/>
        </w:trPr>
        <w:tc>
          <w:tcPr>
            <w:tcW w:w="1177" w:type="pct"/>
            <w:vAlign w:val="center"/>
          </w:tcPr>
          <w:p w14:paraId="04588FE0" w14:textId="77777777" w:rsidR="00D2489D" w:rsidRPr="00843F49" w:rsidRDefault="00D2489D" w:rsidP="00544933">
            <w:pPr>
              <w:pStyle w:val="Normal1"/>
              <w:spacing w:before="60" w:after="60"/>
              <w:jc w:val="center"/>
              <w:rPr>
                <w:rFonts w:asciiTheme="minorHAnsi" w:hAnsiTheme="minorHAnsi" w:cstheme="minorHAnsi"/>
                <w:bCs/>
                <w:color w:val="000000"/>
              </w:rPr>
            </w:pPr>
            <w:r w:rsidRPr="00843F49">
              <w:rPr>
                <w:rFonts w:asciiTheme="minorHAnsi" w:hAnsiTheme="minorHAnsi" w:cstheme="minorHAnsi"/>
                <w:bCs/>
                <w:color w:val="000000"/>
              </w:rPr>
              <w:t>ECV.3</w:t>
            </w:r>
          </w:p>
        </w:tc>
        <w:tc>
          <w:tcPr>
            <w:tcW w:w="2624" w:type="pct"/>
            <w:vAlign w:val="center"/>
          </w:tcPr>
          <w:p w14:paraId="549427F7"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bCs/>
                <w:color w:val="000000"/>
              </w:rPr>
              <w:t>Engineering principles: containment and ventilation: containment design</w:t>
            </w:r>
          </w:p>
        </w:tc>
        <w:tc>
          <w:tcPr>
            <w:tcW w:w="1199" w:type="pct"/>
            <w:vAlign w:val="center"/>
          </w:tcPr>
          <w:p w14:paraId="52CE1349" w14:textId="77777777" w:rsidR="00D2489D" w:rsidRPr="00843F49" w:rsidRDefault="00D2489D" w:rsidP="00544933">
            <w:pPr>
              <w:pStyle w:val="Normal1"/>
              <w:spacing w:before="60" w:after="60"/>
              <w:rPr>
                <w:rFonts w:asciiTheme="minorHAnsi" w:hAnsiTheme="minorHAnsi" w:cstheme="minorHAnsi"/>
                <w:color w:val="000000"/>
              </w:rPr>
            </w:pPr>
            <w:r w:rsidRPr="00843F49">
              <w:rPr>
                <w:rFonts w:asciiTheme="minorHAnsi" w:hAnsiTheme="minorHAnsi" w:cstheme="minorHAnsi"/>
                <w:color w:val="000000"/>
              </w:rPr>
              <w:t>Means of confinement</w:t>
            </w:r>
          </w:p>
        </w:tc>
      </w:tr>
      <w:tr w:rsidR="00D2489D" w:rsidRPr="00FD7E84" w14:paraId="2ADC4373" w14:textId="77777777" w:rsidTr="00544933">
        <w:trPr>
          <w:trHeight w:val="253"/>
        </w:trPr>
        <w:tc>
          <w:tcPr>
            <w:tcW w:w="5000" w:type="pct"/>
            <w:gridSpan w:val="3"/>
            <w:vAlign w:val="center"/>
          </w:tcPr>
          <w:p w14:paraId="4E3037DF" w14:textId="0182E346" w:rsidR="00D2489D" w:rsidRPr="00843F49" w:rsidRDefault="00544933" w:rsidP="00544933">
            <w:pPr>
              <w:spacing w:before="60" w:after="60"/>
              <w:rPr>
                <w:rFonts w:asciiTheme="minorHAnsi" w:hAnsiTheme="minorHAnsi" w:cstheme="minorHAnsi"/>
                <w:szCs w:val="24"/>
              </w:rPr>
            </w:pPr>
            <w:r>
              <w:rPr>
                <w:rFonts w:asciiTheme="minorHAnsi" w:hAnsiTheme="minorHAnsi" w:cstheme="minorHAnsi"/>
                <w:szCs w:val="24"/>
              </w:rPr>
              <w:t>Note</w:t>
            </w:r>
            <w:r w:rsidR="00D2489D" w:rsidRPr="00843F49">
              <w:rPr>
                <w:rFonts w:asciiTheme="minorHAnsi" w:hAnsiTheme="minorHAnsi" w:cstheme="minorHAnsi"/>
                <w:szCs w:val="24"/>
              </w:rPr>
              <w:t>: Additional SAPs may be required in specific circumstances</w:t>
            </w:r>
          </w:p>
        </w:tc>
      </w:tr>
    </w:tbl>
    <w:p w14:paraId="194E1A70" w14:textId="77777777" w:rsidR="00691BCF" w:rsidRDefault="00691BCF" w:rsidP="00843F49">
      <w:pPr>
        <w:sectPr w:rsidR="00691BCF" w:rsidSect="000B2BCD">
          <w:headerReference w:type="default" r:id="rId24"/>
          <w:footerReference w:type="default" r:id="rId25"/>
          <w:pgSz w:w="11906" w:h="16838" w:code="9"/>
          <w:pgMar w:top="1440" w:right="1440" w:bottom="1440" w:left="1440" w:header="397" w:footer="397" w:gutter="0"/>
          <w:cols w:space="312"/>
          <w:docGrid w:linePitch="360"/>
        </w:sectPr>
      </w:pPr>
    </w:p>
    <w:p w14:paraId="61E1BFC1" w14:textId="77777777" w:rsidR="00544933" w:rsidRDefault="00544933" w:rsidP="00544933">
      <w:pPr>
        <w:pStyle w:val="Heading1"/>
        <w:numPr>
          <w:ilvl w:val="0"/>
          <w:numId w:val="0"/>
        </w:numPr>
        <w:rPr>
          <w:rFonts w:ascii="Calibri" w:hAnsi="Calibri"/>
          <w:noProof/>
          <w:sz w:val="20"/>
          <w:szCs w:val="20"/>
          <w:lang w:eastAsia="en-GB" w:bidi="ar-SA"/>
        </w:rPr>
      </w:pPr>
      <w:bookmarkStart w:id="21" w:name="_Toc89268373"/>
      <w:bookmarkStart w:id="22" w:name="_Toc140566577"/>
      <w:bookmarkStart w:id="23" w:name="_Toc223945698"/>
      <w:bookmarkStart w:id="24" w:name="_Toc223959998"/>
      <w:bookmarkStart w:id="25" w:name="_Toc141358373"/>
      <w:bookmarkStart w:id="26" w:name="_Toc234587377"/>
      <w:r w:rsidRPr="00843F49">
        <w:lastRenderedPageBreak/>
        <w:t>References</w:t>
      </w:r>
      <w:bookmarkEnd w:id="25"/>
      <w:bookmarkEnd w:id="26"/>
      <w:r w:rsidRPr="00584BEF">
        <w:fldChar w:fldCharType="begin"/>
      </w:r>
      <w:r>
        <w:instrText xml:space="preserve"> BIBLIOGRAPHY  \l 2057 </w:instrText>
      </w:r>
      <w:r w:rsidRPr="00584BEF">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544933" w14:paraId="61F2F5F8" w14:textId="77777777" w:rsidTr="00040D6F">
        <w:trPr>
          <w:tblCellSpacing w:w="15" w:type="dxa"/>
        </w:trPr>
        <w:tc>
          <w:tcPr>
            <w:tcW w:w="50" w:type="pct"/>
            <w:hideMark/>
          </w:tcPr>
          <w:p w14:paraId="2C862D9A" w14:textId="77777777" w:rsidR="00544933" w:rsidRDefault="00544933" w:rsidP="00040D6F">
            <w:pPr>
              <w:pStyle w:val="Bibliography"/>
              <w:spacing w:after="60"/>
              <w:rPr>
                <w:noProof/>
                <w:szCs w:val="24"/>
              </w:rPr>
            </w:pPr>
            <w:r>
              <w:rPr>
                <w:noProof/>
              </w:rPr>
              <w:t xml:space="preserve">[1] </w:t>
            </w:r>
          </w:p>
        </w:tc>
        <w:tc>
          <w:tcPr>
            <w:tcW w:w="0" w:type="auto"/>
            <w:hideMark/>
          </w:tcPr>
          <w:p w14:paraId="3290394C" w14:textId="77777777" w:rsidR="00544933" w:rsidRDefault="00544933" w:rsidP="00040D6F">
            <w:pPr>
              <w:pStyle w:val="Bibliography"/>
              <w:spacing w:after="60"/>
              <w:rPr>
                <w:noProof/>
              </w:rPr>
            </w:pPr>
            <w:r>
              <w:rPr>
                <w:noProof/>
              </w:rPr>
              <w:t>ONR, “NS-TAST-GD-017 - Civil Engineering,” [Online]. Available: ONR website.</w:t>
            </w:r>
          </w:p>
        </w:tc>
      </w:tr>
      <w:tr w:rsidR="00544933" w14:paraId="61218960" w14:textId="77777777" w:rsidTr="00040D6F">
        <w:trPr>
          <w:tblCellSpacing w:w="15" w:type="dxa"/>
        </w:trPr>
        <w:tc>
          <w:tcPr>
            <w:tcW w:w="50" w:type="pct"/>
            <w:hideMark/>
          </w:tcPr>
          <w:p w14:paraId="40D3115F" w14:textId="77777777" w:rsidR="00544933" w:rsidRDefault="00544933" w:rsidP="00040D6F">
            <w:pPr>
              <w:pStyle w:val="Bibliography"/>
              <w:spacing w:after="60"/>
              <w:rPr>
                <w:noProof/>
              </w:rPr>
            </w:pPr>
            <w:r>
              <w:rPr>
                <w:noProof/>
              </w:rPr>
              <w:t xml:space="preserve">[2] </w:t>
            </w:r>
          </w:p>
        </w:tc>
        <w:tc>
          <w:tcPr>
            <w:tcW w:w="0" w:type="auto"/>
            <w:hideMark/>
          </w:tcPr>
          <w:p w14:paraId="7C4E4106" w14:textId="77777777" w:rsidR="00544933" w:rsidRDefault="00544933" w:rsidP="00040D6F">
            <w:pPr>
              <w:pStyle w:val="Bibliography"/>
              <w:spacing w:after="60"/>
              <w:rPr>
                <w:noProof/>
              </w:rPr>
            </w:pPr>
            <w:r>
              <w:rPr>
                <w:noProof/>
              </w:rPr>
              <w:t>ONR, “Safety Assessment Principles (SAPs) for Nuclear Facilities - 2014 Edition (Revision 1),” January 2020. [Online]. Available: ONR website.</w:t>
            </w:r>
          </w:p>
        </w:tc>
      </w:tr>
      <w:tr w:rsidR="00544933" w14:paraId="425ED6A0" w14:textId="77777777" w:rsidTr="00040D6F">
        <w:trPr>
          <w:tblCellSpacing w:w="15" w:type="dxa"/>
        </w:trPr>
        <w:tc>
          <w:tcPr>
            <w:tcW w:w="50" w:type="pct"/>
            <w:hideMark/>
          </w:tcPr>
          <w:p w14:paraId="5EA00E00" w14:textId="77777777" w:rsidR="00544933" w:rsidRDefault="00544933" w:rsidP="00040D6F">
            <w:pPr>
              <w:pStyle w:val="Bibliography"/>
              <w:spacing w:after="60"/>
              <w:rPr>
                <w:noProof/>
              </w:rPr>
            </w:pPr>
            <w:r>
              <w:rPr>
                <w:noProof/>
              </w:rPr>
              <w:t xml:space="preserve">[3] </w:t>
            </w:r>
          </w:p>
        </w:tc>
        <w:tc>
          <w:tcPr>
            <w:tcW w:w="0" w:type="auto"/>
            <w:hideMark/>
          </w:tcPr>
          <w:p w14:paraId="3D4605F1" w14:textId="77777777" w:rsidR="00544933" w:rsidRDefault="00544933" w:rsidP="00040D6F">
            <w:pPr>
              <w:pStyle w:val="Bibliography"/>
              <w:spacing w:after="60"/>
              <w:rPr>
                <w:noProof/>
              </w:rPr>
            </w:pPr>
            <w:r>
              <w:rPr>
                <w:noProof/>
              </w:rPr>
              <w:t>WENRA, “Safety Reference Levels for Existing Reactors 2020”.</w:t>
            </w:r>
          </w:p>
        </w:tc>
      </w:tr>
      <w:tr w:rsidR="00544933" w14:paraId="7BA4CC13" w14:textId="77777777" w:rsidTr="00040D6F">
        <w:trPr>
          <w:tblCellSpacing w:w="15" w:type="dxa"/>
        </w:trPr>
        <w:tc>
          <w:tcPr>
            <w:tcW w:w="50" w:type="pct"/>
            <w:hideMark/>
          </w:tcPr>
          <w:p w14:paraId="4B5C9D6D" w14:textId="77777777" w:rsidR="00544933" w:rsidRDefault="00544933" w:rsidP="00040D6F">
            <w:pPr>
              <w:pStyle w:val="Bibliography"/>
              <w:spacing w:after="60"/>
              <w:rPr>
                <w:noProof/>
              </w:rPr>
            </w:pPr>
            <w:r>
              <w:rPr>
                <w:noProof/>
              </w:rPr>
              <w:t xml:space="preserve">[4] </w:t>
            </w:r>
          </w:p>
        </w:tc>
        <w:tc>
          <w:tcPr>
            <w:tcW w:w="0" w:type="auto"/>
            <w:hideMark/>
          </w:tcPr>
          <w:p w14:paraId="3B104E9E" w14:textId="77777777" w:rsidR="00544933" w:rsidRDefault="00544933" w:rsidP="00040D6F">
            <w:pPr>
              <w:pStyle w:val="Bibliography"/>
              <w:spacing w:after="60"/>
              <w:rPr>
                <w:noProof/>
              </w:rPr>
            </w:pPr>
            <w:r>
              <w:rPr>
                <w:noProof/>
              </w:rPr>
              <w:t>WENRA, “Statement on Safety objectives for new nuclear power plants,” November 2010.</w:t>
            </w:r>
          </w:p>
        </w:tc>
      </w:tr>
      <w:tr w:rsidR="00544933" w14:paraId="4F43574E" w14:textId="77777777" w:rsidTr="00040D6F">
        <w:trPr>
          <w:tblCellSpacing w:w="15" w:type="dxa"/>
        </w:trPr>
        <w:tc>
          <w:tcPr>
            <w:tcW w:w="50" w:type="pct"/>
            <w:hideMark/>
          </w:tcPr>
          <w:p w14:paraId="7C35FC72" w14:textId="77777777" w:rsidR="00544933" w:rsidRDefault="00544933" w:rsidP="00040D6F">
            <w:pPr>
              <w:pStyle w:val="Bibliography"/>
              <w:spacing w:after="60"/>
              <w:rPr>
                <w:noProof/>
              </w:rPr>
            </w:pPr>
            <w:r>
              <w:rPr>
                <w:noProof/>
              </w:rPr>
              <w:t xml:space="preserve">[5] </w:t>
            </w:r>
          </w:p>
        </w:tc>
        <w:tc>
          <w:tcPr>
            <w:tcW w:w="0" w:type="auto"/>
            <w:hideMark/>
          </w:tcPr>
          <w:p w14:paraId="3E2291E2" w14:textId="77777777" w:rsidR="00544933" w:rsidRDefault="00544933" w:rsidP="00040D6F">
            <w:pPr>
              <w:pStyle w:val="Bibliography"/>
              <w:spacing w:after="60"/>
              <w:rPr>
                <w:noProof/>
              </w:rPr>
            </w:pPr>
            <w:r>
              <w:rPr>
                <w:noProof/>
              </w:rPr>
              <w:t>WENRA, “Safety of new NPP designs,” March 2013.</w:t>
            </w:r>
          </w:p>
        </w:tc>
      </w:tr>
      <w:tr w:rsidR="00544933" w14:paraId="2FBC7768" w14:textId="77777777" w:rsidTr="00040D6F">
        <w:trPr>
          <w:tblCellSpacing w:w="15" w:type="dxa"/>
        </w:trPr>
        <w:tc>
          <w:tcPr>
            <w:tcW w:w="50" w:type="pct"/>
            <w:hideMark/>
          </w:tcPr>
          <w:p w14:paraId="65791AC2" w14:textId="77777777" w:rsidR="00544933" w:rsidRDefault="00544933" w:rsidP="00040D6F">
            <w:pPr>
              <w:pStyle w:val="Bibliography"/>
              <w:spacing w:after="60"/>
              <w:rPr>
                <w:noProof/>
              </w:rPr>
            </w:pPr>
            <w:r>
              <w:rPr>
                <w:noProof/>
              </w:rPr>
              <w:t xml:space="preserve">[6] </w:t>
            </w:r>
          </w:p>
        </w:tc>
        <w:tc>
          <w:tcPr>
            <w:tcW w:w="0" w:type="auto"/>
            <w:hideMark/>
          </w:tcPr>
          <w:p w14:paraId="720472FE" w14:textId="77777777" w:rsidR="00544933" w:rsidRDefault="00544933" w:rsidP="00040D6F">
            <w:pPr>
              <w:pStyle w:val="Bibliography"/>
              <w:spacing w:after="60"/>
              <w:rPr>
                <w:noProof/>
              </w:rPr>
            </w:pPr>
            <w:r>
              <w:rPr>
                <w:noProof/>
              </w:rPr>
              <w:t>IAEA, “Safety of Nuclear Power Plants: Design, SSR-2/1 (Rev. 1),” 2016.</w:t>
            </w:r>
          </w:p>
        </w:tc>
      </w:tr>
      <w:tr w:rsidR="00544933" w14:paraId="046CEB9B" w14:textId="77777777" w:rsidTr="00040D6F">
        <w:trPr>
          <w:tblCellSpacing w:w="15" w:type="dxa"/>
        </w:trPr>
        <w:tc>
          <w:tcPr>
            <w:tcW w:w="50" w:type="pct"/>
            <w:hideMark/>
          </w:tcPr>
          <w:p w14:paraId="6C3D9171" w14:textId="77777777" w:rsidR="00544933" w:rsidRDefault="00544933" w:rsidP="00040D6F">
            <w:pPr>
              <w:pStyle w:val="Bibliography"/>
              <w:spacing w:after="60"/>
              <w:rPr>
                <w:noProof/>
              </w:rPr>
            </w:pPr>
            <w:r>
              <w:rPr>
                <w:noProof/>
              </w:rPr>
              <w:t xml:space="preserve">[7] </w:t>
            </w:r>
          </w:p>
        </w:tc>
        <w:tc>
          <w:tcPr>
            <w:tcW w:w="0" w:type="auto"/>
            <w:hideMark/>
          </w:tcPr>
          <w:p w14:paraId="110192E4" w14:textId="77777777" w:rsidR="00544933" w:rsidRDefault="00544933" w:rsidP="00040D6F">
            <w:pPr>
              <w:pStyle w:val="Bibliography"/>
              <w:spacing w:after="60"/>
              <w:rPr>
                <w:noProof/>
              </w:rPr>
            </w:pPr>
            <w:r>
              <w:rPr>
                <w:noProof/>
              </w:rPr>
              <w:t>IAEA, “SSG-53, Design of the Reactor Containment and Associated Systems for Nuclear Power Plants,” 2019.</w:t>
            </w:r>
          </w:p>
        </w:tc>
      </w:tr>
      <w:tr w:rsidR="00544933" w14:paraId="33327E0C" w14:textId="77777777" w:rsidTr="00040D6F">
        <w:trPr>
          <w:tblCellSpacing w:w="15" w:type="dxa"/>
        </w:trPr>
        <w:tc>
          <w:tcPr>
            <w:tcW w:w="50" w:type="pct"/>
            <w:hideMark/>
          </w:tcPr>
          <w:p w14:paraId="61974451" w14:textId="77777777" w:rsidR="00544933" w:rsidRDefault="00544933" w:rsidP="00040D6F">
            <w:pPr>
              <w:pStyle w:val="Bibliography"/>
              <w:spacing w:after="60"/>
              <w:rPr>
                <w:noProof/>
              </w:rPr>
            </w:pPr>
            <w:r>
              <w:rPr>
                <w:noProof/>
              </w:rPr>
              <w:t xml:space="preserve">[8] </w:t>
            </w:r>
          </w:p>
        </w:tc>
        <w:tc>
          <w:tcPr>
            <w:tcW w:w="0" w:type="auto"/>
            <w:hideMark/>
          </w:tcPr>
          <w:p w14:paraId="0324BB4F" w14:textId="77777777" w:rsidR="00544933" w:rsidRDefault="00544933" w:rsidP="00040D6F">
            <w:pPr>
              <w:pStyle w:val="Bibliography"/>
              <w:spacing w:after="60"/>
              <w:rPr>
                <w:noProof/>
              </w:rPr>
            </w:pPr>
            <w:r>
              <w:rPr>
                <w:noProof/>
              </w:rPr>
              <w:t>IAEA, “NP-T-2.5, Construction Technologies for Nuclear Power Plants,” 2011.</w:t>
            </w:r>
          </w:p>
        </w:tc>
      </w:tr>
      <w:tr w:rsidR="00544933" w14:paraId="1ABE96F5" w14:textId="77777777" w:rsidTr="00040D6F">
        <w:trPr>
          <w:tblCellSpacing w:w="15" w:type="dxa"/>
        </w:trPr>
        <w:tc>
          <w:tcPr>
            <w:tcW w:w="50" w:type="pct"/>
            <w:hideMark/>
          </w:tcPr>
          <w:p w14:paraId="331A5C9E" w14:textId="77777777" w:rsidR="00544933" w:rsidRDefault="00544933" w:rsidP="00040D6F">
            <w:pPr>
              <w:pStyle w:val="Bibliography"/>
              <w:spacing w:after="60"/>
              <w:rPr>
                <w:noProof/>
              </w:rPr>
            </w:pPr>
            <w:r>
              <w:rPr>
                <w:noProof/>
              </w:rPr>
              <w:t xml:space="preserve">[9] </w:t>
            </w:r>
          </w:p>
        </w:tc>
        <w:tc>
          <w:tcPr>
            <w:tcW w:w="0" w:type="auto"/>
            <w:hideMark/>
          </w:tcPr>
          <w:p w14:paraId="155FE41B" w14:textId="77777777" w:rsidR="00544933" w:rsidRDefault="00544933" w:rsidP="00040D6F">
            <w:pPr>
              <w:pStyle w:val="Bibliography"/>
              <w:spacing w:after="60"/>
              <w:rPr>
                <w:noProof/>
              </w:rPr>
            </w:pPr>
            <w:r>
              <w:rPr>
                <w:noProof/>
              </w:rPr>
              <w:t xml:space="preserve">IAEA, Nuclear Energy Series, No. NP-T-3.5, Ageing Management of Concrete Structures in Nuclear Power Plants. </w:t>
            </w:r>
          </w:p>
        </w:tc>
      </w:tr>
      <w:tr w:rsidR="00544933" w14:paraId="31BD7DF6" w14:textId="77777777" w:rsidTr="00040D6F">
        <w:trPr>
          <w:tblCellSpacing w:w="15" w:type="dxa"/>
        </w:trPr>
        <w:tc>
          <w:tcPr>
            <w:tcW w:w="50" w:type="pct"/>
            <w:hideMark/>
          </w:tcPr>
          <w:p w14:paraId="1CB202DB" w14:textId="77777777" w:rsidR="00544933" w:rsidRDefault="00544933" w:rsidP="00040D6F">
            <w:pPr>
              <w:pStyle w:val="Bibliography"/>
              <w:spacing w:after="60"/>
              <w:rPr>
                <w:noProof/>
              </w:rPr>
            </w:pPr>
            <w:r>
              <w:rPr>
                <w:noProof/>
              </w:rPr>
              <w:t xml:space="preserve">[10] </w:t>
            </w:r>
          </w:p>
        </w:tc>
        <w:tc>
          <w:tcPr>
            <w:tcW w:w="0" w:type="auto"/>
            <w:hideMark/>
          </w:tcPr>
          <w:p w14:paraId="74245AD4" w14:textId="77777777" w:rsidR="00544933" w:rsidRDefault="00544933" w:rsidP="00040D6F">
            <w:pPr>
              <w:pStyle w:val="Bibliography"/>
              <w:spacing w:after="60"/>
              <w:rPr>
                <w:noProof/>
              </w:rPr>
            </w:pPr>
            <w:r>
              <w:rPr>
                <w:noProof/>
              </w:rPr>
              <w:t>BSI, “BS 4975:1990, Specification for Prestressed concrete pressure vessels for nuclear engineering”.</w:t>
            </w:r>
          </w:p>
        </w:tc>
      </w:tr>
      <w:tr w:rsidR="00544933" w14:paraId="4E46EBD5" w14:textId="77777777" w:rsidTr="00040D6F">
        <w:trPr>
          <w:tblCellSpacing w:w="15" w:type="dxa"/>
        </w:trPr>
        <w:tc>
          <w:tcPr>
            <w:tcW w:w="50" w:type="pct"/>
            <w:hideMark/>
          </w:tcPr>
          <w:p w14:paraId="4D962573" w14:textId="77777777" w:rsidR="00544933" w:rsidRDefault="00544933" w:rsidP="00040D6F">
            <w:pPr>
              <w:pStyle w:val="Bibliography"/>
              <w:spacing w:after="60"/>
              <w:rPr>
                <w:noProof/>
              </w:rPr>
            </w:pPr>
            <w:r>
              <w:rPr>
                <w:noProof/>
              </w:rPr>
              <w:t xml:space="preserve">[11] </w:t>
            </w:r>
          </w:p>
        </w:tc>
        <w:tc>
          <w:tcPr>
            <w:tcW w:w="0" w:type="auto"/>
            <w:hideMark/>
          </w:tcPr>
          <w:p w14:paraId="142799E0" w14:textId="77777777" w:rsidR="00544933" w:rsidRDefault="00544933" w:rsidP="00040D6F">
            <w:pPr>
              <w:pStyle w:val="Bibliography"/>
              <w:spacing w:after="60"/>
              <w:rPr>
                <w:noProof/>
              </w:rPr>
            </w:pPr>
            <w:r>
              <w:rPr>
                <w:noProof/>
              </w:rPr>
              <w:t>NEA, “NEA/CSNI/R(2015)5, 'Bonded or Un-bonded Technologies for Nuclear Reactor Pre-stressed Concrete Containments',” June 2015.</w:t>
            </w:r>
          </w:p>
        </w:tc>
      </w:tr>
      <w:tr w:rsidR="00544933" w14:paraId="15FAFD86" w14:textId="77777777" w:rsidTr="00040D6F">
        <w:trPr>
          <w:tblCellSpacing w:w="15" w:type="dxa"/>
        </w:trPr>
        <w:tc>
          <w:tcPr>
            <w:tcW w:w="50" w:type="pct"/>
            <w:hideMark/>
          </w:tcPr>
          <w:p w14:paraId="11D232D5" w14:textId="77777777" w:rsidR="00544933" w:rsidRDefault="00544933" w:rsidP="00040D6F">
            <w:pPr>
              <w:pStyle w:val="Bibliography"/>
              <w:spacing w:after="60"/>
              <w:rPr>
                <w:noProof/>
              </w:rPr>
            </w:pPr>
            <w:r>
              <w:rPr>
                <w:noProof/>
              </w:rPr>
              <w:t xml:space="preserve">[12] </w:t>
            </w:r>
          </w:p>
        </w:tc>
        <w:tc>
          <w:tcPr>
            <w:tcW w:w="0" w:type="auto"/>
            <w:hideMark/>
          </w:tcPr>
          <w:p w14:paraId="47F4D0CC" w14:textId="77777777" w:rsidR="00544933" w:rsidRDefault="00544933" w:rsidP="00040D6F">
            <w:pPr>
              <w:pStyle w:val="Bibliography"/>
              <w:spacing w:after="60"/>
              <w:rPr>
                <w:noProof/>
              </w:rPr>
            </w:pPr>
            <w:r>
              <w:rPr>
                <w:noProof/>
              </w:rPr>
              <w:t>IAEA, “SSG-74, Maintenance, Testing, Surveillance and Inspection in Nuclear Power Plants,” 2022.</w:t>
            </w:r>
          </w:p>
        </w:tc>
      </w:tr>
      <w:tr w:rsidR="00544933" w14:paraId="2B75939B" w14:textId="77777777" w:rsidTr="00040D6F">
        <w:trPr>
          <w:tblCellSpacing w:w="15" w:type="dxa"/>
        </w:trPr>
        <w:tc>
          <w:tcPr>
            <w:tcW w:w="50" w:type="pct"/>
            <w:hideMark/>
          </w:tcPr>
          <w:p w14:paraId="58DCC83B" w14:textId="77777777" w:rsidR="00544933" w:rsidRDefault="00544933" w:rsidP="00040D6F">
            <w:pPr>
              <w:pStyle w:val="Bibliography"/>
              <w:spacing w:after="60"/>
              <w:rPr>
                <w:noProof/>
              </w:rPr>
            </w:pPr>
            <w:r>
              <w:rPr>
                <w:noProof/>
              </w:rPr>
              <w:t xml:space="preserve">[13] </w:t>
            </w:r>
          </w:p>
        </w:tc>
        <w:tc>
          <w:tcPr>
            <w:tcW w:w="0" w:type="auto"/>
            <w:hideMark/>
          </w:tcPr>
          <w:p w14:paraId="28FA755F" w14:textId="77777777" w:rsidR="00544933" w:rsidRDefault="00544933" w:rsidP="00040D6F">
            <w:pPr>
              <w:pStyle w:val="Bibliography"/>
              <w:spacing w:after="60"/>
              <w:rPr>
                <w:noProof/>
              </w:rPr>
            </w:pPr>
            <w:r>
              <w:rPr>
                <w:noProof/>
              </w:rPr>
              <w:t>ASME, “BPVC.III.2 - Rules for Construction of Nuclear Facility Components - Code for Concrete Containments,” 2025.</w:t>
            </w:r>
          </w:p>
        </w:tc>
      </w:tr>
      <w:tr w:rsidR="00544933" w14:paraId="5FFDD638" w14:textId="77777777" w:rsidTr="00040D6F">
        <w:trPr>
          <w:tblCellSpacing w:w="15" w:type="dxa"/>
        </w:trPr>
        <w:tc>
          <w:tcPr>
            <w:tcW w:w="50" w:type="pct"/>
            <w:hideMark/>
          </w:tcPr>
          <w:p w14:paraId="58AC6FD5" w14:textId="77777777" w:rsidR="00544933" w:rsidRDefault="00544933" w:rsidP="00040D6F">
            <w:pPr>
              <w:pStyle w:val="Bibliography"/>
              <w:spacing w:after="60"/>
              <w:rPr>
                <w:noProof/>
              </w:rPr>
            </w:pPr>
            <w:r>
              <w:rPr>
                <w:noProof/>
              </w:rPr>
              <w:t xml:space="preserve">[14] </w:t>
            </w:r>
          </w:p>
        </w:tc>
        <w:tc>
          <w:tcPr>
            <w:tcW w:w="0" w:type="auto"/>
            <w:hideMark/>
          </w:tcPr>
          <w:p w14:paraId="6A4B2601" w14:textId="77777777" w:rsidR="00544933" w:rsidRDefault="00544933" w:rsidP="00040D6F">
            <w:pPr>
              <w:pStyle w:val="Bibliography"/>
              <w:spacing w:after="60"/>
              <w:rPr>
                <w:noProof/>
              </w:rPr>
            </w:pPr>
            <w:r>
              <w:rPr>
                <w:noProof/>
              </w:rPr>
              <w:t>ASME, “BPVC.XI.1 - Rules for Inservice Inspection of Nuclear Power Plant Components,” 2025.</w:t>
            </w:r>
          </w:p>
        </w:tc>
      </w:tr>
      <w:tr w:rsidR="00544933" w14:paraId="44FC6850" w14:textId="77777777" w:rsidTr="00040D6F">
        <w:trPr>
          <w:tblCellSpacing w:w="15" w:type="dxa"/>
        </w:trPr>
        <w:tc>
          <w:tcPr>
            <w:tcW w:w="50" w:type="pct"/>
            <w:hideMark/>
          </w:tcPr>
          <w:p w14:paraId="281004BA" w14:textId="77777777" w:rsidR="00544933" w:rsidRDefault="00544933" w:rsidP="00040D6F">
            <w:pPr>
              <w:pStyle w:val="Bibliography"/>
              <w:spacing w:after="60"/>
              <w:rPr>
                <w:noProof/>
              </w:rPr>
            </w:pPr>
            <w:r>
              <w:rPr>
                <w:noProof/>
              </w:rPr>
              <w:t xml:space="preserve">[15] </w:t>
            </w:r>
          </w:p>
        </w:tc>
        <w:tc>
          <w:tcPr>
            <w:tcW w:w="0" w:type="auto"/>
            <w:hideMark/>
          </w:tcPr>
          <w:p w14:paraId="09921A02" w14:textId="77777777" w:rsidR="00544933" w:rsidRDefault="00544933" w:rsidP="00040D6F">
            <w:pPr>
              <w:pStyle w:val="Bibliography"/>
              <w:spacing w:after="60"/>
              <w:rPr>
                <w:noProof/>
              </w:rPr>
            </w:pPr>
            <w:r>
              <w:rPr>
                <w:noProof/>
              </w:rPr>
              <w:t>USNRC, “NRC Regulations Title 10, Code of Federal Regulations, Part 50 - Domestic Licensing of Production and Utilization Facilities”.</w:t>
            </w:r>
          </w:p>
        </w:tc>
      </w:tr>
      <w:tr w:rsidR="00544933" w14:paraId="45D6BBDA" w14:textId="77777777" w:rsidTr="00040D6F">
        <w:trPr>
          <w:tblCellSpacing w:w="15" w:type="dxa"/>
        </w:trPr>
        <w:tc>
          <w:tcPr>
            <w:tcW w:w="50" w:type="pct"/>
            <w:hideMark/>
          </w:tcPr>
          <w:p w14:paraId="223A97A3" w14:textId="77777777" w:rsidR="00544933" w:rsidRDefault="00544933" w:rsidP="00040D6F">
            <w:pPr>
              <w:pStyle w:val="Bibliography"/>
              <w:spacing w:after="60"/>
              <w:rPr>
                <w:noProof/>
              </w:rPr>
            </w:pPr>
            <w:r>
              <w:rPr>
                <w:noProof/>
              </w:rPr>
              <w:t xml:space="preserve">[16] </w:t>
            </w:r>
          </w:p>
        </w:tc>
        <w:tc>
          <w:tcPr>
            <w:tcW w:w="0" w:type="auto"/>
            <w:hideMark/>
          </w:tcPr>
          <w:p w14:paraId="3CD80223" w14:textId="77777777" w:rsidR="00544933" w:rsidRDefault="00544933" w:rsidP="00040D6F">
            <w:pPr>
              <w:pStyle w:val="Bibliography"/>
              <w:spacing w:after="60"/>
              <w:rPr>
                <w:noProof/>
              </w:rPr>
            </w:pPr>
            <w:r>
              <w:rPr>
                <w:noProof/>
              </w:rPr>
              <w:t>ONR, “ONR-RD-REF-002, 'List of regulatory acronyms, abbreviations and initialisms',” 2025.</w:t>
            </w:r>
          </w:p>
        </w:tc>
      </w:tr>
    </w:tbl>
    <w:p w14:paraId="59F16A71" w14:textId="77777777" w:rsidR="00544933" w:rsidRDefault="00544933" w:rsidP="00544933">
      <w:pPr>
        <w:rPr>
          <w:rFonts w:eastAsia="Times New Roman"/>
          <w:noProof/>
        </w:rPr>
      </w:pPr>
    </w:p>
    <w:p w14:paraId="1D8D5F7F" w14:textId="77777777" w:rsidR="00544933" w:rsidRPr="00584BEF" w:rsidRDefault="00544933" w:rsidP="00544933">
      <w:r w:rsidRPr="00584BEF">
        <w:fldChar w:fldCharType="end"/>
      </w:r>
    </w:p>
    <w:p w14:paraId="53955AEF" w14:textId="77777777" w:rsidR="00544933" w:rsidRPr="00584BEF" w:rsidRDefault="00544933" w:rsidP="00544933">
      <w:pPr>
        <w:spacing w:after="0" w:line="240" w:lineRule="auto"/>
      </w:pPr>
      <w:r w:rsidRPr="00584BEF">
        <w:br w:type="page"/>
      </w:r>
    </w:p>
    <w:p w14:paraId="29E1FF1E" w14:textId="77777777" w:rsidR="00544933" w:rsidRPr="00584BEF" w:rsidRDefault="00544933" w:rsidP="00544933">
      <w:pPr>
        <w:pStyle w:val="Heading1"/>
        <w:numPr>
          <w:ilvl w:val="0"/>
          <w:numId w:val="0"/>
        </w:numPr>
      </w:pPr>
      <w:bookmarkStart w:id="27" w:name="_Toc234587378"/>
      <w:r>
        <w:lastRenderedPageBreak/>
        <w:t xml:space="preserve">List of </w:t>
      </w:r>
      <w:bookmarkEnd w:id="21"/>
      <w:bookmarkEnd w:id="22"/>
      <w:bookmarkEnd w:id="23"/>
      <w:bookmarkEnd w:id="24"/>
      <w:r w:rsidRPr="00C8316C">
        <w:t>acronyms, abbreviations and initialisms</w:t>
      </w:r>
      <w:bookmarkEnd w:id="27"/>
    </w:p>
    <w:p w14:paraId="5E04F6CA" w14:textId="77777777" w:rsidR="00544933" w:rsidRDefault="00544933" w:rsidP="00544933">
      <w:pPr>
        <w:pStyle w:val="NoSpacing"/>
        <w:contextualSpacing/>
      </w:pPr>
      <w:r w:rsidRPr="00C8316C">
        <w:t xml:space="preserve">A comprehensive list of regulatory acronyms, abbreviations and initialisms can be </w:t>
      </w:r>
      <w:r>
        <w:t xml:space="preserve">found in ‘ </w:t>
      </w:r>
      <w:r w:rsidRPr="00B5116B">
        <w:t>List of regulatory acronyms, abbreviations and initialisms</w:t>
      </w:r>
      <w:r>
        <w:t xml:space="preserve">’ </w:t>
      </w:r>
      <w:sdt>
        <w:sdtPr>
          <w:id w:val="1057979366"/>
          <w:citation/>
        </w:sdtPr>
        <w:sdtContent>
          <w:r>
            <w:fldChar w:fldCharType="begin"/>
          </w:r>
          <w:r>
            <w:instrText xml:space="preserve">CITATION ONR18 \l 2057 </w:instrText>
          </w:r>
          <w:r>
            <w:fldChar w:fldCharType="separate"/>
          </w:r>
          <w:r>
            <w:rPr>
              <w:noProof/>
            </w:rPr>
            <w:t>[16]</w:t>
          </w:r>
          <w:r>
            <w:fldChar w:fldCharType="end"/>
          </w:r>
        </w:sdtContent>
      </w:sdt>
      <w:r w:rsidRPr="00584BEF" w:rsidDel="008B2989">
        <w:t xml:space="preserve"> </w:t>
      </w:r>
    </w:p>
    <w:p w14:paraId="7F7C9BDD" w14:textId="77777777" w:rsidR="00544933" w:rsidRPr="00584BEF" w:rsidRDefault="00544933" w:rsidP="00544933">
      <w:pPr>
        <w:pStyle w:val="NoSpacing"/>
        <w:contextualSpacing/>
      </w:pPr>
    </w:p>
    <w:p w14:paraId="6A74707B" w14:textId="77777777" w:rsidR="00544933" w:rsidRDefault="00544933" w:rsidP="00544933">
      <w:pPr>
        <w:pStyle w:val="NoSpacing"/>
        <w:contextualSpacing/>
      </w:pPr>
      <w:r>
        <w:t>AGR</w:t>
      </w:r>
      <w:r>
        <w:tab/>
      </w:r>
      <w:r>
        <w:tab/>
        <w:t>Advanced Gas-cooled Reactor</w:t>
      </w:r>
    </w:p>
    <w:p w14:paraId="100C20FD" w14:textId="77777777" w:rsidR="00544933" w:rsidRDefault="00544933" w:rsidP="00544933">
      <w:pPr>
        <w:pStyle w:val="NoSpacing"/>
        <w:contextualSpacing/>
      </w:pPr>
      <w:r>
        <w:t>ALARP</w:t>
      </w:r>
      <w:r>
        <w:tab/>
        <w:t>As Low As Reasonably Practicable</w:t>
      </w:r>
    </w:p>
    <w:p w14:paraId="3C5A3884" w14:textId="77777777" w:rsidR="00544933" w:rsidRDefault="00544933" w:rsidP="00544933">
      <w:pPr>
        <w:pStyle w:val="NoSpacing"/>
        <w:contextualSpacing/>
      </w:pPr>
      <w:r>
        <w:t>APEX</w:t>
      </w:r>
      <w:r>
        <w:tab/>
      </w:r>
      <w:r>
        <w:tab/>
        <w:t>Appointed Examiner (under PSSR)</w:t>
      </w:r>
    </w:p>
    <w:p w14:paraId="6C36F90A" w14:textId="77777777" w:rsidR="00544933" w:rsidRDefault="00544933" w:rsidP="00544933">
      <w:pPr>
        <w:pStyle w:val="NoSpacing"/>
        <w:contextualSpacing/>
      </w:pPr>
      <w:r>
        <w:t>ASME</w:t>
      </w:r>
      <w:r>
        <w:tab/>
      </w:r>
      <w:r>
        <w:tab/>
        <w:t>American Society of Mechanical Engineers</w:t>
      </w:r>
    </w:p>
    <w:p w14:paraId="13FCF3B7" w14:textId="77777777" w:rsidR="00544933" w:rsidRDefault="00544933" w:rsidP="00544933">
      <w:pPr>
        <w:pStyle w:val="NoSpacing"/>
        <w:contextualSpacing/>
      </w:pPr>
      <w:r>
        <w:t>BCU</w:t>
      </w:r>
      <w:r>
        <w:tab/>
      </w:r>
      <w:r>
        <w:tab/>
        <w:t>Boiler Closure Unit</w:t>
      </w:r>
    </w:p>
    <w:p w14:paraId="6A1E695A" w14:textId="77777777" w:rsidR="00544933" w:rsidRDefault="00544933" w:rsidP="00544933">
      <w:pPr>
        <w:pStyle w:val="NoSpacing"/>
        <w:contextualSpacing/>
      </w:pPr>
      <w:r>
        <w:t>BIM</w:t>
      </w:r>
      <w:r>
        <w:tab/>
      </w:r>
      <w:r>
        <w:tab/>
        <w:t>Building Information Modelling</w:t>
      </w:r>
    </w:p>
    <w:p w14:paraId="2BBC928A" w14:textId="77777777" w:rsidR="00544933" w:rsidRDefault="00544933" w:rsidP="00544933">
      <w:pPr>
        <w:pStyle w:val="NoSpacing"/>
        <w:contextualSpacing/>
      </w:pPr>
      <w:r>
        <w:t>BS</w:t>
      </w:r>
      <w:r>
        <w:tab/>
      </w:r>
      <w:r>
        <w:tab/>
        <w:t>British Standard</w:t>
      </w:r>
    </w:p>
    <w:p w14:paraId="7C4E80BC" w14:textId="77777777" w:rsidR="00544933" w:rsidRDefault="00544933" w:rsidP="00544933">
      <w:pPr>
        <w:pStyle w:val="NoSpacing"/>
        <w:contextualSpacing/>
      </w:pPr>
      <w:r>
        <w:t>EIMT</w:t>
      </w:r>
      <w:r>
        <w:tab/>
      </w:r>
      <w:r>
        <w:tab/>
        <w:t>Examination, Inspection, Maintenance and Testing</w:t>
      </w:r>
    </w:p>
    <w:p w14:paraId="6AADACDF" w14:textId="77777777" w:rsidR="00544933" w:rsidRDefault="00544933" w:rsidP="00544933">
      <w:pPr>
        <w:pStyle w:val="NoSpacing"/>
        <w:contextualSpacing/>
      </w:pPr>
      <w:r>
        <w:t>EPR</w:t>
      </w:r>
      <w:r>
        <w:tab/>
      </w:r>
      <w:r>
        <w:tab/>
        <w:t>European Pressurised Reactor</w:t>
      </w:r>
    </w:p>
    <w:p w14:paraId="23CDDB87" w14:textId="77777777" w:rsidR="00544933" w:rsidRDefault="00544933" w:rsidP="00544933">
      <w:pPr>
        <w:pStyle w:val="NoSpacing"/>
        <w:contextualSpacing/>
      </w:pPr>
      <w:r>
        <w:t>ESR</w:t>
      </w:r>
      <w:r>
        <w:tab/>
      </w:r>
      <w:r>
        <w:tab/>
        <w:t>External Steel Restraint</w:t>
      </w:r>
    </w:p>
    <w:p w14:paraId="2B6B8ED4" w14:textId="77777777" w:rsidR="00544933" w:rsidRDefault="00544933" w:rsidP="00544933">
      <w:pPr>
        <w:pStyle w:val="NoSpacing"/>
        <w:contextualSpacing/>
      </w:pPr>
      <w:r>
        <w:t>ENSREG</w:t>
      </w:r>
      <w:r>
        <w:tab/>
        <w:t>European Nuclear Safety Regulators Group</w:t>
      </w:r>
    </w:p>
    <w:p w14:paraId="58532B1D" w14:textId="77777777" w:rsidR="00544933" w:rsidRDefault="00544933" w:rsidP="00544933">
      <w:pPr>
        <w:pStyle w:val="NoSpacing"/>
        <w:contextualSpacing/>
      </w:pPr>
      <w:r>
        <w:t>FEMA</w:t>
      </w:r>
      <w:r>
        <w:tab/>
      </w:r>
      <w:r>
        <w:tab/>
        <w:t>Federal Emergency Management Agency</w:t>
      </w:r>
    </w:p>
    <w:p w14:paraId="09A9D80C" w14:textId="77777777" w:rsidR="00544933" w:rsidRPr="005F61B0" w:rsidRDefault="00544933" w:rsidP="00544933">
      <w:pPr>
        <w:pStyle w:val="NoSpacing"/>
        <w:contextualSpacing/>
      </w:pPr>
      <w:r w:rsidRPr="005F61B0">
        <w:t>FE</w:t>
      </w:r>
      <w:r w:rsidRPr="005F61B0">
        <w:tab/>
      </w:r>
      <w:r w:rsidRPr="00843F49">
        <w:tab/>
      </w:r>
      <w:r w:rsidRPr="005F61B0">
        <w:t>Finite Element</w:t>
      </w:r>
    </w:p>
    <w:p w14:paraId="53D1F609" w14:textId="77777777" w:rsidR="00544933" w:rsidRPr="005F61B0" w:rsidRDefault="00544933" w:rsidP="00544933">
      <w:pPr>
        <w:pStyle w:val="NoSpacing"/>
        <w:contextualSpacing/>
      </w:pPr>
      <w:r w:rsidRPr="005F61B0">
        <w:t>FEA</w:t>
      </w:r>
      <w:r w:rsidRPr="005F61B0">
        <w:tab/>
      </w:r>
      <w:r w:rsidRPr="00843F49">
        <w:tab/>
      </w:r>
      <w:r w:rsidRPr="005F61B0">
        <w:t>Finite Element Analysis</w:t>
      </w:r>
    </w:p>
    <w:p w14:paraId="38D8A185" w14:textId="77777777" w:rsidR="00544933" w:rsidRDefault="00544933" w:rsidP="00544933">
      <w:pPr>
        <w:pStyle w:val="NoSpacing"/>
        <w:contextualSpacing/>
      </w:pPr>
      <w:r>
        <w:t>GDA</w:t>
      </w:r>
      <w:r>
        <w:tab/>
      </w:r>
      <w:r>
        <w:tab/>
        <w:t>Generic Design Assessment</w:t>
      </w:r>
    </w:p>
    <w:p w14:paraId="69B93485" w14:textId="77777777" w:rsidR="00544933" w:rsidRDefault="00544933" w:rsidP="00544933">
      <w:pPr>
        <w:pStyle w:val="NoSpacing"/>
        <w:contextualSpacing/>
      </w:pPr>
      <w:r>
        <w:t>IAEA</w:t>
      </w:r>
      <w:r>
        <w:tab/>
      </w:r>
      <w:r>
        <w:tab/>
        <w:t>International Atomic Energy Agency</w:t>
      </w:r>
    </w:p>
    <w:p w14:paraId="0120BDEB" w14:textId="77777777" w:rsidR="00544933" w:rsidRDefault="00544933" w:rsidP="00544933">
      <w:pPr>
        <w:pStyle w:val="NoSpacing"/>
        <w:contextualSpacing/>
      </w:pPr>
      <w:proofErr w:type="spellStart"/>
      <w:r>
        <w:t>IoF</w:t>
      </w:r>
      <w:proofErr w:type="spellEnd"/>
      <w:r>
        <w:tab/>
      </w:r>
      <w:r>
        <w:tab/>
        <w:t>Incredibility of Failure</w:t>
      </w:r>
    </w:p>
    <w:p w14:paraId="60228D8D" w14:textId="77777777" w:rsidR="00544933" w:rsidRDefault="00544933" w:rsidP="00544933">
      <w:pPr>
        <w:pStyle w:val="NoSpacing"/>
        <w:contextualSpacing/>
      </w:pPr>
      <w:r>
        <w:t>JRC</w:t>
      </w:r>
      <w:r>
        <w:tab/>
      </w:r>
      <w:r>
        <w:tab/>
        <w:t>Joint Research Centre</w:t>
      </w:r>
    </w:p>
    <w:p w14:paraId="289D485F" w14:textId="77777777" w:rsidR="00544933" w:rsidRDefault="00544933" w:rsidP="00544933">
      <w:pPr>
        <w:pStyle w:val="NoSpacing"/>
        <w:contextualSpacing/>
      </w:pPr>
      <w:r>
        <w:t>LC</w:t>
      </w:r>
      <w:r>
        <w:tab/>
      </w:r>
      <w:r>
        <w:tab/>
        <w:t>Licence Condition</w:t>
      </w:r>
    </w:p>
    <w:p w14:paraId="34EE23E7" w14:textId="77777777" w:rsidR="00544933" w:rsidRDefault="00544933" w:rsidP="00544933">
      <w:pPr>
        <w:pStyle w:val="NoSpacing"/>
        <w:contextualSpacing/>
      </w:pPr>
      <w:r>
        <w:t>LOCA</w:t>
      </w:r>
      <w:r>
        <w:tab/>
      </w:r>
      <w:r>
        <w:tab/>
        <w:t>Loss of Coolant Accident</w:t>
      </w:r>
    </w:p>
    <w:p w14:paraId="2EE42205" w14:textId="77777777" w:rsidR="00544933" w:rsidRDefault="00544933" w:rsidP="00544933">
      <w:pPr>
        <w:pStyle w:val="NoSpacing"/>
        <w:contextualSpacing/>
      </w:pPr>
      <w:r>
        <w:t>LWR</w:t>
      </w:r>
      <w:r>
        <w:tab/>
      </w:r>
      <w:r>
        <w:tab/>
        <w:t>Light Water Reactor</w:t>
      </w:r>
    </w:p>
    <w:p w14:paraId="00F9F023" w14:textId="77777777" w:rsidR="00544933" w:rsidRDefault="00544933" w:rsidP="00544933">
      <w:pPr>
        <w:pStyle w:val="NoSpacing"/>
        <w:contextualSpacing/>
      </w:pPr>
      <w:r>
        <w:t>MDL</w:t>
      </w:r>
      <w:r>
        <w:tab/>
      </w:r>
      <w:r>
        <w:tab/>
        <w:t>Minimum Design Load</w:t>
      </w:r>
    </w:p>
    <w:p w14:paraId="0F7E2BC9" w14:textId="77777777" w:rsidR="00544933" w:rsidRDefault="00544933" w:rsidP="00544933">
      <w:pPr>
        <w:pStyle w:val="NoSpacing"/>
        <w:contextualSpacing/>
      </w:pPr>
      <w:r>
        <w:t>NDT</w:t>
      </w:r>
      <w:r>
        <w:tab/>
      </w:r>
      <w:r>
        <w:tab/>
        <w:t>Non-destructive Testing</w:t>
      </w:r>
    </w:p>
    <w:p w14:paraId="766272EB" w14:textId="77777777" w:rsidR="00544933" w:rsidRDefault="00544933" w:rsidP="00544933">
      <w:pPr>
        <w:pStyle w:val="NoSpacing"/>
        <w:contextualSpacing/>
      </w:pPr>
      <w:r>
        <w:t>NPP</w:t>
      </w:r>
      <w:r>
        <w:tab/>
      </w:r>
      <w:r>
        <w:tab/>
        <w:t>Nuclear Power Plant</w:t>
      </w:r>
    </w:p>
    <w:p w14:paraId="39DF8FDB" w14:textId="77777777" w:rsidR="00544933" w:rsidRDefault="00544933" w:rsidP="00544933">
      <w:pPr>
        <w:pStyle w:val="NoSpacing"/>
        <w:contextualSpacing/>
      </w:pPr>
      <w:r>
        <w:t>NPC</w:t>
      </w:r>
      <w:r>
        <w:tab/>
      </w:r>
      <w:r>
        <w:tab/>
        <w:t>Nuclear Pressure Containment</w:t>
      </w:r>
    </w:p>
    <w:p w14:paraId="509E84C5" w14:textId="77777777" w:rsidR="00544933" w:rsidRDefault="00544933" w:rsidP="00544933">
      <w:pPr>
        <w:pStyle w:val="NoSpacing"/>
        <w:contextualSpacing/>
      </w:pPr>
      <w:r>
        <w:t>ONR</w:t>
      </w:r>
      <w:r>
        <w:tab/>
      </w:r>
      <w:r>
        <w:tab/>
        <w:t>Office for Nuclear Regulation</w:t>
      </w:r>
    </w:p>
    <w:p w14:paraId="6C586CF4" w14:textId="77777777" w:rsidR="00544933" w:rsidRPr="00843F49" w:rsidRDefault="00544933" w:rsidP="00544933">
      <w:pPr>
        <w:pStyle w:val="NoSpacing"/>
        <w:contextualSpacing/>
        <w:rPr>
          <w:lang w:val="it-IT"/>
        </w:rPr>
      </w:pPr>
      <w:r w:rsidRPr="00843F49">
        <w:rPr>
          <w:lang w:val="it-IT"/>
        </w:rPr>
        <w:t>PCPV</w:t>
      </w:r>
      <w:r w:rsidRPr="00843F49">
        <w:rPr>
          <w:lang w:val="it-IT"/>
        </w:rPr>
        <w:tab/>
      </w:r>
      <w:r w:rsidRPr="00843F49">
        <w:rPr>
          <w:lang w:val="it-IT"/>
        </w:rPr>
        <w:tab/>
        <w:t>Pre-</w:t>
      </w:r>
      <w:proofErr w:type="spellStart"/>
      <w:r w:rsidRPr="00843F49">
        <w:rPr>
          <w:lang w:val="it-IT"/>
        </w:rPr>
        <w:t>stressed</w:t>
      </w:r>
      <w:proofErr w:type="spellEnd"/>
      <w:r w:rsidRPr="00843F49">
        <w:rPr>
          <w:lang w:val="it-IT"/>
        </w:rPr>
        <w:t xml:space="preserve"> Concrete Pressure Vessel</w:t>
      </w:r>
    </w:p>
    <w:p w14:paraId="1758C25B" w14:textId="77777777" w:rsidR="00544933" w:rsidRDefault="00544933" w:rsidP="00544933">
      <w:pPr>
        <w:pStyle w:val="NoSpacing"/>
        <w:contextualSpacing/>
      </w:pPr>
      <w:r>
        <w:t>PSA</w:t>
      </w:r>
      <w:r>
        <w:tab/>
      </w:r>
      <w:r>
        <w:tab/>
        <w:t>Probabilistic Safety Analysis</w:t>
      </w:r>
    </w:p>
    <w:p w14:paraId="4324DE52" w14:textId="77777777" w:rsidR="00544933" w:rsidRDefault="00544933" w:rsidP="00544933">
      <w:pPr>
        <w:pStyle w:val="NoSpacing"/>
        <w:contextualSpacing/>
      </w:pPr>
      <w:r>
        <w:t>PSR</w:t>
      </w:r>
      <w:r>
        <w:tab/>
      </w:r>
      <w:r>
        <w:tab/>
        <w:t>Periodic Safety Review</w:t>
      </w:r>
    </w:p>
    <w:p w14:paraId="7871D1A4" w14:textId="77777777" w:rsidR="00544933" w:rsidRDefault="00544933" w:rsidP="00544933">
      <w:pPr>
        <w:pStyle w:val="NoSpacing"/>
        <w:contextualSpacing/>
      </w:pPr>
      <w:r>
        <w:t>PVCW</w:t>
      </w:r>
      <w:r>
        <w:tab/>
        <w:t>Pressure Vessel Cooling Water</w:t>
      </w:r>
    </w:p>
    <w:p w14:paraId="41848953" w14:textId="77777777" w:rsidR="00544933" w:rsidRDefault="00544933" w:rsidP="00544933">
      <w:pPr>
        <w:pStyle w:val="NoSpacing"/>
        <w:contextualSpacing/>
      </w:pPr>
      <w:r>
        <w:t>PVCS</w:t>
      </w:r>
      <w:r>
        <w:tab/>
      </w:r>
      <w:r>
        <w:tab/>
        <w:t>Pressure Vessel Cooling System</w:t>
      </w:r>
    </w:p>
    <w:p w14:paraId="1494FBAA" w14:textId="77777777" w:rsidR="00544933" w:rsidRDefault="00544933" w:rsidP="00544933">
      <w:pPr>
        <w:pStyle w:val="NoSpacing"/>
        <w:contextualSpacing/>
      </w:pPr>
      <w:r>
        <w:t>PWR</w:t>
      </w:r>
      <w:r>
        <w:tab/>
      </w:r>
      <w:r>
        <w:tab/>
        <w:t>Pressurised Water Reactor</w:t>
      </w:r>
    </w:p>
    <w:p w14:paraId="32875950" w14:textId="77777777" w:rsidR="00544933" w:rsidRDefault="00544933" w:rsidP="00544933">
      <w:pPr>
        <w:pStyle w:val="NoSpacing"/>
        <w:contextualSpacing/>
      </w:pPr>
      <w:r>
        <w:t>RGP</w:t>
      </w:r>
      <w:r>
        <w:tab/>
      </w:r>
      <w:r>
        <w:tab/>
        <w:t>Relevant Good Practice</w:t>
      </w:r>
    </w:p>
    <w:p w14:paraId="0D7A2084" w14:textId="77777777" w:rsidR="00544933" w:rsidRDefault="00544933" w:rsidP="00544933">
      <w:pPr>
        <w:pStyle w:val="NoSpacing"/>
        <w:contextualSpacing/>
      </w:pPr>
      <w:r>
        <w:t>SAP</w:t>
      </w:r>
      <w:r>
        <w:tab/>
      </w:r>
      <w:r>
        <w:tab/>
        <w:t>Safety Assessment Principle(s)</w:t>
      </w:r>
    </w:p>
    <w:p w14:paraId="213E2240" w14:textId="77777777" w:rsidR="00544933" w:rsidRDefault="00544933" w:rsidP="00544933">
      <w:pPr>
        <w:pStyle w:val="NoSpacing"/>
        <w:contextualSpacing/>
      </w:pPr>
      <w:r>
        <w:t>S/C</w:t>
      </w:r>
      <w:r>
        <w:tab/>
      </w:r>
      <w:r>
        <w:tab/>
        <w:t>Steel–Concrete composite</w:t>
      </w:r>
    </w:p>
    <w:p w14:paraId="67B4B0DD" w14:textId="77777777" w:rsidR="00544933" w:rsidRDefault="00544933" w:rsidP="00544933">
      <w:pPr>
        <w:pStyle w:val="NoSpacing"/>
        <w:contextualSpacing/>
      </w:pPr>
      <w:r>
        <w:t>SFR</w:t>
      </w:r>
      <w:r>
        <w:tab/>
      </w:r>
      <w:r>
        <w:tab/>
        <w:t>Safety Functional Requirement(s)</w:t>
      </w:r>
    </w:p>
    <w:p w14:paraId="19F1F04B" w14:textId="77777777" w:rsidR="00544933" w:rsidRDefault="00544933" w:rsidP="00544933">
      <w:pPr>
        <w:pStyle w:val="NoSpacing"/>
        <w:contextualSpacing/>
      </w:pPr>
      <w:r>
        <w:t>SQEP</w:t>
      </w:r>
      <w:r>
        <w:tab/>
      </w:r>
      <w:r>
        <w:tab/>
        <w:t>Suitably Qualified and Experienced Person</w:t>
      </w:r>
    </w:p>
    <w:p w14:paraId="719C3733" w14:textId="77777777" w:rsidR="00544933" w:rsidRDefault="00544933" w:rsidP="00544933">
      <w:pPr>
        <w:pStyle w:val="NoSpacing"/>
        <w:contextualSpacing/>
      </w:pPr>
      <w:r>
        <w:t>SSC</w:t>
      </w:r>
      <w:r>
        <w:tab/>
      </w:r>
      <w:r>
        <w:tab/>
        <w:t>Structure, System and Component</w:t>
      </w:r>
    </w:p>
    <w:p w14:paraId="10FE8416" w14:textId="77777777" w:rsidR="00544933" w:rsidRDefault="00544933" w:rsidP="00544933">
      <w:pPr>
        <w:pStyle w:val="NoSpacing"/>
        <w:contextualSpacing/>
      </w:pPr>
      <w:r>
        <w:lastRenderedPageBreak/>
        <w:t>TAG</w:t>
      </w:r>
      <w:r>
        <w:tab/>
      </w:r>
      <w:r>
        <w:tab/>
        <w:t>Technical Assessment Guide(s)</w:t>
      </w:r>
    </w:p>
    <w:p w14:paraId="0F1DEA7B" w14:textId="77777777" w:rsidR="00544933" w:rsidRDefault="00544933" w:rsidP="00544933">
      <w:pPr>
        <w:pStyle w:val="NoSpacing"/>
        <w:contextualSpacing/>
      </w:pPr>
      <w:r>
        <w:t>VWSG</w:t>
      </w:r>
      <w:r>
        <w:tab/>
        <w:t>Vibrating Wire Strain Gauge</w:t>
      </w:r>
    </w:p>
    <w:p w14:paraId="09B923CA" w14:textId="77777777" w:rsidR="00544933" w:rsidRDefault="00544933" w:rsidP="00544933">
      <w:pPr>
        <w:pStyle w:val="NoSpacing"/>
        <w:contextualSpacing/>
      </w:pPr>
      <w:r>
        <w:t>WENRA</w:t>
      </w:r>
      <w:r>
        <w:tab/>
        <w:t>Western European Nuclear Regulators’ Association</w:t>
      </w:r>
    </w:p>
    <w:p w14:paraId="1E9EAB37" w14:textId="77777777" w:rsidR="00544933" w:rsidRDefault="00544933" w:rsidP="00544933">
      <w:pPr>
        <w:pStyle w:val="NoSpacing"/>
        <w:contextualSpacing/>
      </w:pPr>
    </w:p>
    <w:p w14:paraId="481B249D" w14:textId="77777777" w:rsidR="00544933" w:rsidRDefault="00544933" w:rsidP="00544933">
      <w:pPr>
        <w:pStyle w:val="NoSpacing"/>
        <w:contextualSpacing/>
      </w:pPr>
    </w:p>
    <w:p w14:paraId="54586763" w14:textId="77777777" w:rsidR="00544933" w:rsidRDefault="00544933" w:rsidP="00544933">
      <w:pPr>
        <w:pStyle w:val="NoSpacing"/>
        <w:contextualSpacing/>
      </w:pPr>
    </w:p>
    <w:p w14:paraId="5E831E53" w14:textId="77777777" w:rsidR="00544933" w:rsidRDefault="00544933" w:rsidP="00544933">
      <w:pPr>
        <w:spacing w:after="0" w:line="240" w:lineRule="auto"/>
        <w:rPr>
          <w:rFonts w:eastAsia="Times New Roman" w:cs="Times New Roman"/>
          <w:szCs w:val="24"/>
          <w:lang w:bidi="ar-SA"/>
        </w:rPr>
      </w:pPr>
      <w:r>
        <w:br w:type="page"/>
      </w:r>
    </w:p>
    <w:p w14:paraId="173E4E29" w14:textId="77777777" w:rsidR="00544933" w:rsidRPr="00584BEF" w:rsidRDefault="00544933" w:rsidP="00544933">
      <w:pPr>
        <w:pStyle w:val="Heading1"/>
        <w:numPr>
          <w:ilvl w:val="0"/>
          <w:numId w:val="0"/>
        </w:numPr>
        <w:ind w:left="851" w:hanging="851"/>
      </w:pPr>
      <w:bookmarkStart w:id="28" w:name="_Toc223945699"/>
      <w:bookmarkStart w:id="29" w:name="_Toc223959999"/>
      <w:bookmarkStart w:id="30" w:name="_Toc234587379"/>
      <w:r w:rsidRPr="00584BEF">
        <w:lastRenderedPageBreak/>
        <w:t>Glossary</w:t>
      </w:r>
      <w:bookmarkEnd w:id="28"/>
      <w:bookmarkEnd w:id="29"/>
      <w:r w:rsidRPr="00584BEF">
        <w:t xml:space="preserve"> </w:t>
      </w:r>
      <w:r>
        <w:t>of terms</w:t>
      </w:r>
      <w:bookmarkEnd w:id="30"/>
    </w:p>
    <w:p w14:paraId="4C4944A0" w14:textId="77777777" w:rsidR="00544933" w:rsidRDefault="00544933" w:rsidP="00544933">
      <w:pPr>
        <w:spacing w:after="0" w:line="240" w:lineRule="auto"/>
      </w:pPr>
      <w:r w:rsidRPr="00584BEF">
        <w:t xml:space="preserve">To be read in conjunction with </w:t>
      </w:r>
      <w:r>
        <w:t xml:space="preserve">the </w:t>
      </w:r>
      <w:r w:rsidRPr="00584BEF">
        <w:t>glossary</w:t>
      </w:r>
      <w:r>
        <w:t xml:space="preserve"> of terms in </w:t>
      </w:r>
      <w:sdt>
        <w:sdtPr>
          <w:id w:val="246316285"/>
          <w:citation/>
        </w:sdtPr>
        <w:sdtContent>
          <w:r>
            <w:fldChar w:fldCharType="begin"/>
          </w:r>
          <w:r>
            <w:instrText xml:space="preserve"> CITATION NST1 \l 2057 </w:instrText>
          </w:r>
          <w:r>
            <w:fldChar w:fldCharType="separate"/>
          </w:r>
          <w:r w:rsidRPr="00544933">
            <w:rPr>
              <w:noProof/>
            </w:rPr>
            <w:t>[1]</w:t>
          </w:r>
          <w:r>
            <w:fldChar w:fldCharType="end"/>
          </w:r>
        </w:sdtContent>
      </w:sdt>
      <w:r w:rsidRPr="00584BEF">
        <w:t>.</w:t>
      </w:r>
    </w:p>
    <w:p w14:paraId="31DA7DC6" w14:textId="77777777" w:rsidR="00544933" w:rsidRPr="00584BEF" w:rsidRDefault="00544933" w:rsidP="00544933">
      <w:pPr>
        <w:spacing w:after="0" w:line="240" w:lineRule="auto"/>
      </w:pPr>
    </w:p>
    <w:tbl>
      <w:tblPr>
        <w:tblStyle w:val="ONRTable1"/>
        <w:tblW w:w="5000" w:type="pct"/>
        <w:tblInd w:w="0" w:type="dxa"/>
        <w:tblLook w:val="01E0" w:firstRow="1" w:lastRow="1" w:firstColumn="1" w:lastColumn="1" w:noHBand="0" w:noVBand="0"/>
      </w:tblPr>
      <w:tblGrid>
        <w:gridCol w:w="1587"/>
        <w:gridCol w:w="5497"/>
        <w:gridCol w:w="1942"/>
      </w:tblGrid>
      <w:tr w:rsidR="00544933" w:rsidRPr="00544933" w14:paraId="5D5F462A" w14:textId="77777777" w:rsidTr="008F08FD">
        <w:trPr>
          <w:cnfStyle w:val="100000000000" w:firstRow="1" w:lastRow="0" w:firstColumn="0" w:lastColumn="0" w:oddVBand="0" w:evenVBand="0" w:oddHBand="0" w:evenHBand="0" w:firstRowFirstColumn="0" w:firstRowLastColumn="0" w:lastRowFirstColumn="0" w:lastRowLastColumn="0"/>
        </w:trPr>
        <w:tc>
          <w:tcPr>
            <w:tcW w:w="758" w:type="pct"/>
          </w:tcPr>
          <w:p w14:paraId="2617F1FE" w14:textId="77777777" w:rsidR="00544933" w:rsidRPr="00544933" w:rsidRDefault="00544933" w:rsidP="008F08FD">
            <w:pPr>
              <w:spacing w:before="60" w:after="60" w:line="240" w:lineRule="auto"/>
              <w:rPr>
                <w:rFonts w:cs="Arial"/>
                <w:color w:val="000000" w:themeColor="text1"/>
                <w:szCs w:val="24"/>
              </w:rPr>
            </w:pPr>
            <w:r w:rsidRPr="00544933">
              <w:rPr>
                <w:rFonts w:cs="Arial"/>
                <w:color w:val="000000" w:themeColor="text1"/>
                <w:szCs w:val="24"/>
              </w:rPr>
              <w:t>Term</w:t>
            </w:r>
            <w:r w:rsidRPr="00544933">
              <w:rPr>
                <w:rFonts w:cs="Arial"/>
                <w:color w:val="000000" w:themeColor="text1"/>
                <w:szCs w:val="24"/>
              </w:rPr>
              <w:tab/>
            </w:r>
          </w:p>
        </w:tc>
        <w:tc>
          <w:tcPr>
            <w:tcW w:w="3106" w:type="pct"/>
          </w:tcPr>
          <w:p w14:paraId="7FAB67AC" w14:textId="77777777" w:rsidR="00544933" w:rsidRPr="00544933" w:rsidRDefault="00544933" w:rsidP="008F08FD">
            <w:pPr>
              <w:spacing w:before="60" w:after="60" w:line="240" w:lineRule="auto"/>
              <w:rPr>
                <w:rFonts w:cs="Arial"/>
                <w:color w:val="000000" w:themeColor="text1"/>
                <w:szCs w:val="24"/>
              </w:rPr>
            </w:pPr>
            <w:r w:rsidRPr="00544933">
              <w:rPr>
                <w:rFonts w:cs="Arial"/>
                <w:color w:val="000000" w:themeColor="text1"/>
                <w:szCs w:val="24"/>
              </w:rPr>
              <w:t>Description</w:t>
            </w:r>
          </w:p>
        </w:tc>
        <w:tc>
          <w:tcPr>
            <w:tcW w:w="1136" w:type="pct"/>
          </w:tcPr>
          <w:p w14:paraId="6DB53FD8" w14:textId="77777777" w:rsidR="00544933" w:rsidRPr="00544933" w:rsidRDefault="00544933" w:rsidP="008F08FD">
            <w:pPr>
              <w:spacing w:before="60" w:after="60" w:line="240" w:lineRule="auto"/>
              <w:rPr>
                <w:color w:val="000000" w:themeColor="text1"/>
                <w:szCs w:val="24"/>
              </w:rPr>
            </w:pPr>
            <w:r w:rsidRPr="00544933">
              <w:rPr>
                <w:color w:val="000000" w:themeColor="text1"/>
                <w:szCs w:val="24"/>
              </w:rPr>
              <w:t>Source</w:t>
            </w:r>
          </w:p>
        </w:tc>
      </w:tr>
      <w:tr w:rsidR="00544933" w:rsidRPr="00544933" w14:paraId="104696FF" w14:textId="77777777" w:rsidTr="008F08FD">
        <w:tc>
          <w:tcPr>
            <w:tcW w:w="758" w:type="pct"/>
          </w:tcPr>
          <w:p w14:paraId="2B13AD79" w14:textId="77777777" w:rsidR="00544933" w:rsidRPr="00544933" w:rsidRDefault="00544933" w:rsidP="008F08FD">
            <w:pPr>
              <w:spacing w:before="60" w:after="60" w:line="240" w:lineRule="auto"/>
              <w:rPr>
                <w:rFonts w:cs="Arial"/>
                <w:szCs w:val="24"/>
              </w:rPr>
            </w:pPr>
            <w:r w:rsidRPr="00544933">
              <w:rPr>
                <w:szCs w:val="24"/>
              </w:rPr>
              <w:t>Confinement</w:t>
            </w:r>
          </w:p>
        </w:tc>
        <w:tc>
          <w:tcPr>
            <w:tcW w:w="3106" w:type="pct"/>
            <w:vAlign w:val="center"/>
          </w:tcPr>
          <w:p w14:paraId="2CF2CA3C" w14:textId="77777777" w:rsidR="00544933" w:rsidRPr="00544933" w:rsidRDefault="00544933" w:rsidP="008F08FD">
            <w:pPr>
              <w:spacing w:before="60" w:after="60" w:line="240" w:lineRule="auto"/>
              <w:ind w:left="41"/>
              <w:rPr>
                <w:szCs w:val="24"/>
              </w:rPr>
            </w:pPr>
            <w:r w:rsidRPr="00544933">
              <w:rPr>
                <w:szCs w:val="24"/>
              </w:rPr>
              <w:t>Prevention or control of releases of radioactive material to the environment in operation or in accidents. Confinement is closely related in meaning to containment, but confinement is typically used to refer to the safety function of preventing the ‘escape’ of radioactive material, whereas containment refers to the means for achieving that function.</w:t>
            </w:r>
          </w:p>
          <w:p w14:paraId="79451A03" w14:textId="77777777" w:rsidR="00544933" w:rsidRPr="00544933" w:rsidRDefault="00544933" w:rsidP="008F08FD">
            <w:pPr>
              <w:spacing w:before="60" w:after="60" w:line="240" w:lineRule="auto"/>
              <w:ind w:left="41"/>
              <w:rPr>
                <w:rFonts w:cs="Arial"/>
                <w:szCs w:val="24"/>
              </w:rPr>
            </w:pPr>
            <w:r w:rsidRPr="00544933">
              <w:rPr>
                <w:szCs w:val="24"/>
              </w:rPr>
              <w:t>Confinement in nuclear safety is the safety function that is performed by the containment.</w:t>
            </w:r>
          </w:p>
        </w:tc>
        <w:tc>
          <w:tcPr>
            <w:tcW w:w="1136" w:type="pct"/>
          </w:tcPr>
          <w:p w14:paraId="6B03EA76" w14:textId="77777777" w:rsidR="00544933" w:rsidRPr="00544933" w:rsidRDefault="00544933" w:rsidP="008F08FD">
            <w:pPr>
              <w:spacing w:before="60" w:after="60" w:line="240" w:lineRule="auto"/>
              <w:ind w:left="26"/>
              <w:rPr>
                <w:szCs w:val="24"/>
              </w:rPr>
            </w:pPr>
            <w:r w:rsidRPr="00544933">
              <w:rPr>
                <w:szCs w:val="24"/>
              </w:rPr>
              <w:t>IAEA Nuclear Safety and Security Glossary</w:t>
            </w:r>
          </w:p>
        </w:tc>
      </w:tr>
      <w:tr w:rsidR="00544933" w:rsidRPr="00544933" w14:paraId="4ABD21D6" w14:textId="77777777" w:rsidTr="008F08FD">
        <w:tc>
          <w:tcPr>
            <w:tcW w:w="758" w:type="pct"/>
          </w:tcPr>
          <w:p w14:paraId="7F1B7E4A" w14:textId="77777777" w:rsidR="00544933" w:rsidRPr="00544933" w:rsidRDefault="00544933" w:rsidP="008F08FD">
            <w:pPr>
              <w:spacing w:before="60" w:after="60" w:line="240" w:lineRule="auto"/>
              <w:rPr>
                <w:rFonts w:cs="Arial"/>
                <w:szCs w:val="24"/>
              </w:rPr>
            </w:pPr>
            <w:r w:rsidRPr="00544933">
              <w:rPr>
                <w:szCs w:val="24"/>
              </w:rPr>
              <w:t>Containment</w:t>
            </w:r>
          </w:p>
        </w:tc>
        <w:tc>
          <w:tcPr>
            <w:tcW w:w="3106" w:type="pct"/>
            <w:vAlign w:val="center"/>
          </w:tcPr>
          <w:p w14:paraId="5CC8CBED" w14:textId="77777777" w:rsidR="00544933" w:rsidRPr="00544933" w:rsidRDefault="00544933" w:rsidP="008F08FD">
            <w:pPr>
              <w:spacing w:before="60" w:after="60" w:line="240" w:lineRule="auto"/>
              <w:rPr>
                <w:szCs w:val="24"/>
              </w:rPr>
            </w:pPr>
            <w:bookmarkStart w:id="31" w:name="_Hlk120709281"/>
            <w:r w:rsidRPr="00544933">
              <w:rPr>
                <w:szCs w:val="24"/>
              </w:rPr>
              <w:t>Methods or physical structures designed to prevent or control the release and the dispersion of radioactive substances.</w:t>
            </w:r>
          </w:p>
          <w:p w14:paraId="1E44246F" w14:textId="77777777" w:rsidR="00544933" w:rsidRPr="00544933" w:rsidRDefault="00544933" w:rsidP="008F08FD">
            <w:pPr>
              <w:spacing w:before="60" w:after="60" w:line="240" w:lineRule="auto"/>
              <w:rPr>
                <w:szCs w:val="24"/>
              </w:rPr>
            </w:pPr>
          </w:p>
          <w:p w14:paraId="373667ED" w14:textId="77777777" w:rsidR="00544933" w:rsidRPr="00544933" w:rsidRDefault="00544933" w:rsidP="008F08FD">
            <w:pPr>
              <w:spacing w:before="60" w:after="60" w:line="240" w:lineRule="auto"/>
              <w:rPr>
                <w:szCs w:val="24"/>
              </w:rPr>
            </w:pPr>
            <w:r w:rsidRPr="00544933">
              <w:rPr>
                <w:szCs w:val="24"/>
              </w:rPr>
              <w:t>Although related to confinement, containment is usually used to refer to methods or structures that perform a confinement function in facilities and activities, namely preventing or controlling the release of radioactive substances and their dispersion in the environment.</w:t>
            </w:r>
          </w:p>
          <w:p w14:paraId="3D3DD261" w14:textId="77777777" w:rsidR="00544933" w:rsidRPr="00544933" w:rsidRDefault="00544933" w:rsidP="008F08FD">
            <w:pPr>
              <w:spacing w:before="60" w:after="60" w:line="240" w:lineRule="auto"/>
              <w:rPr>
                <w:szCs w:val="24"/>
              </w:rPr>
            </w:pPr>
          </w:p>
          <w:p w14:paraId="07BCA091" w14:textId="77777777" w:rsidR="00544933" w:rsidRPr="00544933" w:rsidRDefault="00544933" w:rsidP="008F08FD">
            <w:pPr>
              <w:spacing w:before="60" w:after="60" w:line="240" w:lineRule="auto"/>
              <w:rPr>
                <w:szCs w:val="24"/>
              </w:rPr>
            </w:pPr>
            <w:r w:rsidRPr="00544933">
              <w:rPr>
                <w:szCs w:val="24"/>
              </w:rPr>
              <w:t xml:space="preserve">Further guidance is available in IAEA Specific Safety Guide SSG-53 “Design of the Reactor Containment and Associated Systems for Nuclear Power Plants” regarding implementation of SSR 2/1 in containment design </w:t>
            </w:r>
            <w:sdt>
              <w:sdtPr>
                <w:rPr>
                  <w:szCs w:val="24"/>
                </w:rPr>
                <w:id w:val="-1109966778"/>
                <w:citation/>
              </w:sdtPr>
              <w:sdtContent>
                <w:r w:rsidRPr="00544933">
                  <w:rPr>
                    <w:szCs w:val="24"/>
                  </w:rPr>
                  <w:fldChar w:fldCharType="begin"/>
                </w:r>
                <w:r w:rsidRPr="00544933">
                  <w:rPr>
                    <w:szCs w:val="24"/>
                  </w:rPr>
                  <w:instrText xml:space="preserve"> CITATION IAE19 \l 2057 </w:instrText>
                </w:r>
                <w:r w:rsidRPr="00544933">
                  <w:rPr>
                    <w:szCs w:val="24"/>
                  </w:rPr>
                  <w:fldChar w:fldCharType="separate"/>
                </w:r>
                <w:r w:rsidRPr="00544933">
                  <w:rPr>
                    <w:noProof/>
                    <w:szCs w:val="24"/>
                  </w:rPr>
                  <w:t>[7]</w:t>
                </w:r>
                <w:r w:rsidRPr="00544933">
                  <w:rPr>
                    <w:szCs w:val="24"/>
                  </w:rPr>
                  <w:fldChar w:fldCharType="end"/>
                </w:r>
              </w:sdtContent>
            </w:sdt>
            <w:r w:rsidRPr="00544933">
              <w:rPr>
                <w:szCs w:val="24"/>
              </w:rPr>
              <w:t>.</w:t>
            </w:r>
            <w:bookmarkEnd w:id="31"/>
          </w:p>
        </w:tc>
        <w:tc>
          <w:tcPr>
            <w:tcW w:w="1136" w:type="pct"/>
          </w:tcPr>
          <w:p w14:paraId="6A689F88" w14:textId="77777777" w:rsidR="00544933" w:rsidRPr="00544933" w:rsidRDefault="00544933" w:rsidP="008F08FD">
            <w:pPr>
              <w:spacing w:before="60" w:after="60" w:line="240" w:lineRule="auto"/>
              <w:ind w:left="26"/>
              <w:rPr>
                <w:szCs w:val="24"/>
              </w:rPr>
            </w:pPr>
            <w:r w:rsidRPr="00544933">
              <w:rPr>
                <w:szCs w:val="24"/>
              </w:rPr>
              <w:t>IAEA Nuclear Safety and Security Glossary</w:t>
            </w:r>
          </w:p>
        </w:tc>
      </w:tr>
    </w:tbl>
    <w:p w14:paraId="54C7EB21" w14:textId="77777777" w:rsidR="00544933" w:rsidRPr="00843F49" w:rsidRDefault="00544933" w:rsidP="00544933">
      <w:pPr>
        <w:spacing w:after="0" w:line="240" w:lineRule="auto"/>
      </w:pPr>
    </w:p>
    <w:p w14:paraId="14942968" w14:textId="77777777" w:rsidR="00544933" w:rsidRPr="00843F49" w:rsidRDefault="00544933" w:rsidP="00544933">
      <w:pPr>
        <w:spacing w:after="0" w:line="240" w:lineRule="auto"/>
        <w:sectPr w:rsidR="00544933" w:rsidRPr="00843F49" w:rsidSect="00544933">
          <w:headerReference w:type="default" r:id="rId26"/>
          <w:footerReference w:type="default" r:id="rId27"/>
          <w:pgSz w:w="11906" w:h="16838" w:code="9"/>
          <w:pgMar w:top="1440" w:right="1440" w:bottom="1440" w:left="1440" w:header="397" w:footer="397" w:gutter="0"/>
          <w:cols w:space="312"/>
          <w:docGrid w:linePitch="360"/>
        </w:sectPr>
      </w:pPr>
    </w:p>
    <w:p w14:paraId="78F2C175" w14:textId="6A50E6F9" w:rsidR="00691BCF" w:rsidRDefault="00691BCF" w:rsidP="0081332D">
      <w:pPr>
        <w:pStyle w:val="Heading1"/>
        <w:numPr>
          <w:ilvl w:val="0"/>
          <w:numId w:val="0"/>
        </w:numPr>
      </w:pPr>
      <w:bookmarkStart w:id="32" w:name="_Toc234587380"/>
      <w:r>
        <w:lastRenderedPageBreak/>
        <w:t>Document control information</w:t>
      </w:r>
      <w:bookmarkEnd w:id="32"/>
    </w:p>
    <w:p w14:paraId="24B6DE5D" w14:textId="218DD8AC" w:rsidR="00691BCF" w:rsidRDefault="00691BCF" w:rsidP="00691BCF">
      <w:r w:rsidRPr="00691BCF">
        <w:rPr>
          <w:b/>
          <w:bCs/>
        </w:rPr>
        <w:t>Authored by</w:t>
      </w:r>
      <w:r>
        <w:t>: Nuclear Safety Inspector</w:t>
      </w:r>
    </w:p>
    <w:p w14:paraId="62787E18" w14:textId="2369808D" w:rsidR="00691BCF" w:rsidRDefault="00691BCF" w:rsidP="00691BCF">
      <w:r w:rsidRPr="00691BCF">
        <w:rPr>
          <w:b/>
          <w:bCs/>
        </w:rPr>
        <w:t>Approved by</w:t>
      </w:r>
      <w:r>
        <w:t>: Head of Profession – Civil Engineering and External Hazards Specialism</w:t>
      </w:r>
    </w:p>
    <w:p w14:paraId="5B8A8CC5" w14:textId="4B94FDA5" w:rsidR="00691BCF" w:rsidRDefault="00691BCF" w:rsidP="00691BCF">
      <w:r w:rsidRPr="00691BCF">
        <w:rPr>
          <w:b/>
          <w:bCs/>
        </w:rPr>
        <w:t>Issue</w:t>
      </w:r>
      <w:r>
        <w:t xml:space="preserve">: </w:t>
      </w:r>
      <w:sdt>
        <w:sdtPr>
          <w:alias w:val="Status"/>
          <w:tag w:val=""/>
          <w:id w:val="-601799279"/>
          <w:placeholder>
            <w:docPart w:val="E3460D9BDCC443D8B94B9EA41B1B4FDF"/>
          </w:placeholder>
          <w:dataBinding w:prefixMappings="xmlns:ns0='http://purl.org/dc/elements/1.1/' xmlns:ns1='http://schemas.openxmlformats.org/package/2006/metadata/core-properties' " w:xpath="/ns1:coreProperties[1]/ns1:contentStatus[1]" w:storeItemID="{6C3C8BC8-F283-45AE-878A-BAB7291924A1}"/>
          <w:text/>
        </w:sdtPr>
        <w:sdtContent>
          <w:r>
            <w:t>2</w:t>
          </w:r>
        </w:sdtContent>
      </w:sdt>
    </w:p>
    <w:p w14:paraId="6D47497D" w14:textId="0BB287E0" w:rsidR="00691BCF" w:rsidRDefault="00691BCF" w:rsidP="00691BCF">
      <w:r>
        <w:rPr>
          <w:b/>
          <w:bCs/>
        </w:rPr>
        <w:t>Published</w:t>
      </w:r>
      <w:r>
        <w:t xml:space="preserve">: </w:t>
      </w:r>
      <w:r>
        <w:t>July 2026</w:t>
      </w:r>
      <w:r>
        <w:t xml:space="preserve"> </w:t>
      </w:r>
    </w:p>
    <w:p w14:paraId="62DB3E23" w14:textId="3FB1CDF2" w:rsidR="00691BCF" w:rsidRDefault="00691BCF" w:rsidP="00691BCF">
      <w:r w:rsidRPr="00691BCF">
        <w:rPr>
          <w:b/>
          <w:bCs/>
        </w:rPr>
        <w:t>Next</w:t>
      </w:r>
      <w:r>
        <w:t xml:space="preserve"> </w:t>
      </w:r>
      <w:r w:rsidRPr="00691BCF">
        <w:rPr>
          <w:b/>
          <w:bCs/>
        </w:rPr>
        <w:t>scheduled review</w:t>
      </w:r>
      <w:r>
        <w:t>: Nov</w:t>
      </w:r>
      <w:r>
        <w:t>ember 2030</w:t>
      </w:r>
    </w:p>
    <w:p w14:paraId="0FEBBD21" w14:textId="4D97DC57" w:rsidR="00691BCF" w:rsidRDefault="00691BCF" w:rsidP="00691BCF">
      <w:r w:rsidRPr="00691BCF">
        <w:rPr>
          <w:b/>
          <w:bCs/>
        </w:rPr>
        <w:t>Doc</w:t>
      </w:r>
      <w:r w:rsidRPr="00691BCF">
        <w:rPr>
          <w:b/>
          <w:bCs/>
        </w:rPr>
        <w:t>ument reference</w:t>
      </w:r>
      <w:r>
        <w:t xml:space="preserve">: NS-TAST-GD-017 </w:t>
      </w:r>
      <w:r>
        <w:t xml:space="preserve">- </w:t>
      </w:r>
      <w:r>
        <w:t>Annex 2</w:t>
      </w:r>
    </w:p>
    <w:p w14:paraId="1C0DA3C2" w14:textId="77777777" w:rsidR="00691BCF" w:rsidRDefault="00691BCF" w:rsidP="00691BCF"/>
    <w:p w14:paraId="5250171A" w14:textId="77777777" w:rsidR="00691BCF" w:rsidRDefault="00691BCF" w:rsidP="00691BCF">
      <w:pPr>
        <w:pStyle w:val="Caption"/>
      </w:pPr>
      <w:r>
        <w:t>Revision commentary</w:t>
      </w:r>
    </w:p>
    <w:tbl>
      <w:tblPr>
        <w:tblStyle w:val="ONRTable1"/>
        <w:tblW w:w="0" w:type="auto"/>
        <w:tblInd w:w="0" w:type="dxa"/>
        <w:tblLook w:val="04A0" w:firstRow="1" w:lastRow="0" w:firstColumn="1" w:lastColumn="0" w:noHBand="0" w:noVBand="1"/>
      </w:tblPr>
      <w:tblGrid>
        <w:gridCol w:w="993"/>
        <w:gridCol w:w="8033"/>
      </w:tblGrid>
      <w:tr w:rsidR="00691BCF" w:rsidRPr="00691BCF" w14:paraId="754808BC" w14:textId="77777777" w:rsidTr="00691BCF">
        <w:trPr>
          <w:cnfStyle w:val="100000000000" w:firstRow="1" w:lastRow="0" w:firstColumn="0" w:lastColumn="0" w:oddVBand="0" w:evenVBand="0" w:oddHBand="0" w:evenHBand="0" w:firstRowFirstColumn="0" w:firstRowLastColumn="0" w:lastRowFirstColumn="0" w:lastRowLastColumn="0"/>
        </w:trPr>
        <w:tc>
          <w:tcPr>
            <w:tcW w:w="993" w:type="dxa"/>
          </w:tcPr>
          <w:p w14:paraId="281A6E45" w14:textId="639E0035" w:rsidR="00691BCF" w:rsidRPr="00691BCF" w:rsidRDefault="00691BCF" w:rsidP="00691BCF">
            <w:pPr>
              <w:spacing w:before="60" w:after="60"/>
            </w:pPr>
            <w:r w:rsidRPr="00691BCF">
              <w:t>Issue</w:t>
            </w:r>
          </w:p>
        </w:tc>
        <w:tc>
          <w:tcPr>
            <w:tcW w:w="8033" w:type="dxa"/>
          </w:tcPr>
          <w:p w14:paraId="19052423" w14:textId="67B3C806" w:rsidR="00691BCF" w:rsidRPr="00691BCF" w:rsidRDefault="00691BCF" w:rsidP="00691BCF">
            <w:pPr>
              <w:spacing w:before="60" w:after="60"/>
            </w:pPr>
            <w:r w:rsidRPr="00691BCF">
              <w:t xml:space="preserve">Description of </w:t>
            </w:r>
            <w:r>
              <w:t>u</w:t>
            </w:r>
            <w:r w:rsidRPr="00691BCF">
              <w:t>pdate(s)</w:t>
            </w:r>
          </w:p>
        </w:tc>
      </w:tr>
      <w:tr w:rsidR="00691BCF" w:rsidRPr="00691BCF" w14:paraId="3BF14974" w14:textId="77777777" w:rsidTr="00691BCF">
        <w:tc>
          <w:tcPr>
            <w:tcW w:w="993" w:type="dxa"/>
          </w:tcPr>
          <w:p w14:paraId="67841313" w14:textId="77777777" w:rsidR="00691BCF" w:rsidRPr="00691BCF" w:rsidRDefault="00691BCF" w:rsidP="00691BCF">
            <w:pPr>
              <w:spacing w:before="60" w:after="60"/>
            </w:pPr>
            <w:r w:rsidRPr="00691BCF">
              <w:t>1</w:t>
            </w:r>
          </w:p>
        </w:tc>
        <w:tc>
          <w:tcPr>
            <w:tcW w:w="8033" w:type="dxa"/>
          </w:tcPr>
          <w:p w14:paraId="50DCA6A1" w14:textId="1DB2EF75" w:rsidR="00691BCF" w:rsidRPr="00691BCF" w:rsidRDefault="00691BCF" w:rsidP="00691BCF">
            <w:pPr>
              <w:spacing w:before="60" w:after="60"/>
            </w:pPr>
            <w:r w:rsidRPr="00691BCF">
              <w:t>New annex to support the TAG on civil engineering (NS-TAST-GD-017)</w:t>
            </w:r>
            <w:r>
              <w:t>.</w:t>
            </w:r>
          </w:p>
        </w:tc>
      </w:tr>
      <w:tr w:rsidR="00691BCF" w:rsidRPr="00691BCF" w14:paraId="4119F848" w14:textId="77777777" w:rsidTr="00691BCF">
        <w:tc>
          <w:tcPr>
            <w:tcW w:w="993" w:type="dxa"/>
          </w:tcPr>
          <w:p w14:paraId="329BAE40" w14:textId="77777777" w:rsidR="00691BCF" w:rsidRPr="00691BCF" w:rsidRDefault="00691BCF" w:rsidP="00691BCF">
            <w:pPr>
              <w:spacing w:before="60" w:after="60"/>
            </w:pPr>
            <w:r w:rsidRPr="00691BCF">
              <w:t>1.1</w:t>
            </w:r>
          </w:p>
        </w:tc>
        <w:tc>
          <w:tcPr>
            <w:tcW w:w="8033" w:type="dxa"/>
          </w:tcPr>
          <w:p w14:paraId="19788F31" w14:textId="77777777" w:rsidR="00691BCF" w:rsidRPr="00691BCF" w:rsidRDefault="00691BCF" w:rsidP="00691BCF">
            <w:pPr>
              <w:spacing w:before="60" w:after="60"/>
            </w:pPr>
            <w:r w:rsidRPr="00691BCF">
              <w:t>Minor update to extend review date to allow time for internal peer review to account for wider review of technical guidance</w:t>
            </w:r>
          </w:p>
        </w:tc>
      </w:tr>
      <w:tr w:rsidR="00691BCF" w:rsidRPr="00843F49" w14:paraId="4B029AC4" w14:textId="77777777" w:rsidTr="00691BCF">
        <w:tc>
          <w:tcPr>
            <w:tcW w:w="993" w:type="dxa"/>
          </w:tcPr>
          <w:p w14:paraId="1C56C5D0" w14:textId="77777777" w:rsidR="00691BCF" w:rsidRPr="00691BCF" w:rsidRDefault="00691BCF" w:rsidP="00691BCF">
            <w:pPr>
              <w:spacing w:before="60" w:after="60"/>
            </w:pPr>
            <w:r w:rsidRPr="00691BCF">
              <w:t>2</w:t>
            </w:r>
          </w:p>
        </w:tc>
        <w:tc>
          <w:tcPr>
            <w:tcW w:w="8033" w:type="dxa"/>
          </w:tcPr>
          <w:p w14:paraId="47EF865E" w14:textId="77777777" w:rsidR="00691BCF" w:rsidRPr="00843F49" w:rsidRDefault="00691BCF" w:rsidP="00691BCF">
            <w:pPr>
              <w:spacing w:before="60" w:after="60"/>
            </w:pPr>
            <w:r w:rsidRPr="00691BCF">
              <w:t>Major update. Annex repurposed to focus on containment structures which was previously captured in a separate TAG (NS-TAST-GD-020). Previous content on Building Information Modelling (BIM) has been transferred across to the head document (NS-TAST-GD-017).</w:t>
            </w:r>
          </w:p>
        </w:tc>
      </w:tr>
    </w:tbl>
    <w:p w14:paraId="39043550" w14:textId="399BC67D" w:rsidR="00866EE5" w:rsidRPr="00843F49" w:rsidRDefault="00866EE5" w:rsidP="00691BCF"/>
    <w:sectPr w:rsidR="00866EE5" w:rsidRPr="00843F49" w:rsidSect="000B2BCD">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CA2C" w14:textId="77777777" w:rsidR="000466F6" w:rsidRDefault="000466F6" w:rsidP="007D199A">
      <w:pPr>
        <w:spacing w:after="0"/>
      </w:pPr>
      <w:r>
        <w:separator/>
      </w:r>
    </w:p>
    <w:p w14:paraId="18D1D34D" w14:textId="77777777" w:rsidR="000466F6" w:rsidRDefault="000466F6"/>
    <w:p w14:paraId="44A3F83B" w14:textId="77777777" w:rsidR="000466F6" w:rsidRDefault="000466F6"/>
  </w:endnote>
  <w:endnote w:type="continuationSeparator" w:id="0">
    <w:p w14:paraId="2396054E" w14:textId="77777777" w:rsidR="000466F6" w:rsidRDefault="000466F6" w:rsidP="007D199A">
      <w:pPr>
        <w:spacing w:after="0"/>
      </w:pPr>
      <w:r>
        <w:continuationSeparator/>
      </w:r>
    </w:p>
    <w:p w14:paraId="4D563F60" w14:textId="77777777" w:rsidR="000466F6" w:rsidRDefault="000466F6"/>
    <w:p w14:paraId="00CA2F01" w14:textId="77777777" w:rsidR="000466F6" w:rsidRDefault="00046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4830C272" w:rsidR="00CE6198" w:rsidRPr="00611EFF" w:rsidRDefault="00611EFF" w:rsidP="000B2BCD">
    <w:pPr>
      <w:pStyle w:val="Footer"/>
      <w:spacing w:before="240" w:after="0" w:line="240" w:lineRule="auto"/>
      <w:rPr>
        <w:rStyle w:val="PageNumber"/>
        <w:color w:val="22413A"/>
        <w:sz w:val="24"/>
      </w:rPr>
    </w:pPr>
    <w:r w:rsidRPr="00611EFF">
      <w:rPr>
        <w:rStyle w:val="PageNumber"/>
        <w:color w:val="22413A"/>
        <w:sz w:val="24"/>
      </w:rPr>
      <w:t xml:space="preserve">Page </w:t>
    </w:r>
    <w:r w:rsidRPr="00611EFF">
      <w:rPr>
        <w:rStyle w:val="PageNumber"/>
        <w:color w:val="22413A"/>
        <w:sz w:val="24"/>
      </w:rPr>
      <w:fldChar w:fldCharType="begin"/>
    </w:r>
    <w:r w:rsidRPr="00611EFF">
      <w:rPr>
        <w:rStyle w:val="PageNumber"/>
        <w:color w:val="22413A"/>
        <w:sz w:val="24"/>
      </w:rPr>
      <w:instrText>PAGE  \* Arabic  \* MERGEFORMAT</w:instrText>
    </w:r>
    <w:r w:rsidRPr="00611EFF">
      <w:rPr>
        <w:rStyle w:val="PageNumber"/>
        <w:color w:val="22413A"/>
        <w:sz w:val="24"/>
      </w:rPr>
      <w:fldChar w:fldCharType="separate"/>
    </w:r>
    <w:r w:rsidRPr="00611EFF">
      <w:rPr>
        <w:rStyle w:val="PageNumber"/>
        <w:color w:val="22413A"/>
        <w:sz w:val="24"/>
      </w:rPr>
      <w:t>1</w:t>
    </w:r>
    <w:r w:rsidRPr="00611EFF">
      <w:rPr>
        <w:rStyle w:val="PageNumber"/>
        <w:color w:val="22413A"/>
        <w:sz w:val="24"/>
      </w:rPr>
      <w:fldChar w:fldCharType="end"/>
    </w:r>
    <w:r w:rsidRPr="00611EFF">
      <w:rPr>
        <w:rStyle w:val="PageNumber"/>
        <w:color w:val="22413A"/>
        <w:sz w:val="24"/>
      </w:rPr>
      <w:t xml:space="preserve"> of </w:t>
    </w:r>
    <w:r w:rsidRPr="00611EFF">
      <w:rPr>
        <w:rStyle w:val="PageNumber"/>
        <w:color w:val="22413A"/>
        <w:sz w:val="24"/>
      </w:rPr>
      <w:fldChar w:fldCharType="begin"/>
    </w:r>
    <w:r w:rsidRPr="00611EFF">
      <w:rPr>
        <w:rStyle w:val="PageNumber"/>
        <w:color w:val="22413A"/>
        <w:sz w:val="24"/>
      </w:rPr>
      <w:instrText>NUMPAGES  \* Arabic  \* MERGEFORMAT</w:instrText>
    </w:r>
    <w:r w:rsidRPr="00611EFF">
      <w:rPr>
        <w:rStyle w:val="PageNumber"/>
        <w:color w:val="22413A"/>
        <w:sz w:val="24"/>
      </w:rPr>
      <w:fldChar w:fldCharType="separate"/>
    </w:r>
    <w:r w:rsidRPr="00611EFF">
      <w:rPr>
        <w:rStyle w:val="PageNumber"/>
        <w:color w:val="22413A"/>
        <w:sz w:val="24"/>
      </w:rPr>
      <w:t>2</w:t>
    </w:r>
    <w:r w:rsidRPr="00611EFF">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07FF8408" w:rsidR="000B2BCD" w:rsidRPr="000B2BCD" w:rsidRDefault="00A8606E"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4743" w14:textId="77777777" w:rsidR="00544933" w:rsidRPr="000B2BCD" w:rsidRDefault="00544933"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9260A" w14:textId="77777777" w:rsidR="000466F6" w:rsidRPr="005E0344" w:rsidRDefault="000466F6" w:rsidP="005E0344">
      <w:pPr>
        <w:spacing w:after="120"/>
        <w:rPr>
          <w:color w:val="000000" w:themeColor="text2"/>
        </w:rPr>
      </w:pPr>
      <w:r w:rsidRPr="005E0344">
        <w:rPr>
          <w:color w:val="000000" w:themeColor="text2"/>
        </w:rPr>
        <w:separator/>
      </w:r>
    </w:p>
    <w:p w14:paraId="39451F9B" w14:textId="77777777" w:rsidR="000466F6" w:rsidRDefault="000466F6"/>
  </w:footnote>
  <w:footnote w:type="continuationSeparator" w:id="0">
    <w:p w14:paraId="70AA715B" w14:textId="77777777" w:rsidR="000466F6" w:rsidRPr="005E0344" w:rsidRDefault="000466F6" w:rsidP="0090581D">
      <w:pPr>
        <w:spacing w:after="120"/>
        <w:rPr>
          <w:color w:val="000000" w:themeColor="text2"/>
        </w:rPr>
      </w:pPr>
      <w:r w:rsidRPr="005E0344">
        <w:rPr>
          <w:color w:val="000000" w:themeColor="text2"/>
        </w:rPr>
        <w:continuationSeparator/>
      </w:r>
    </w:p>
    <w:p w14:paraId="55CBA3AC" w14:textId="77777777" w:rsidR="000466F6" w:rsidRDefault="000466F6"/>
    <w:p w14:paraId="0052E1D1" w14:textId="77777777" w:rsidR="000466F6" w:rsidRDefault="000466F6"/>
  </w:footnote>
  <w:footnote w:type="continuationNotice" w:id="1">
    <w:p w14:paraId="5446CCBC" w14:textId="77777777" w:rsidR="000466F6" w:rsidRDefault="000466F6">
      <w:pPr>
        <w:spacing w:after="0"/>
      </w:pPr>
    </w:p>
    <w:p w14:paraId="3B2932FC" w14:textId="77777777" w:rsidR="000466F6" w:rsidRDefault="000466F6"/>
    <w:p w14:paraId="3695D147" w14:textId="77777777" w:rsidR="000466F6" w:rsidRDefault="000466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695D64F" w:rsidR="00177666" w:rsidRPr="00046936" w:rsidRDefault="000466F6"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236A8">
          <w:rPr>
            <w:sz w:val="20"/>
            <w:szCs w:val="24"/>
          </w:rPr>
          <w:t>Civil engineering (Annex 2) – Containment structures</w:t>
        </w:r>
      </w:sdtContent>
    </w:sdt>
    <w:r w:rsidR="004E3932" w:rsidRPr="00046936">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91BCF">
          <w:rPr>
            <w:sz w:val="20"/>
            <w:szCs w:val="24"/>
          </w:rPr>
          <w:t>2</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5DD5133D" w:rsidR="000B2BCD" w:rsidRPr="00046936" w:rsidRDefault="000466F6"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5236A8">
          <w:rPr>
            <w:sz w:val="20"/>
            <w:szCs w:val="24"/>
          </w:rPr>
          <w:t>Civil engineering (Annex 2) – Containment structures</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691BCF">
          <w:rPr>
            <w:sz w:val="20"/>
            <w:szCs w:val="24"/>
          </w:rPr>
          <w:t>2</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540C" w14:textId="77777777" w:rsidR="00544933" w:rsidRPr="00046936" w:rsidRDefault="00544933" w:rsidP="009E0E52">
    <w:pPr>
      <w:pStyle w:val="Header"/>
      <w:rPr>
        <w:sz w:val="20"/>
        <w:szCs w:val="24"/>
      </w:rPr>
    </w:pPr>
    <w:sdt>
      <w:sdtPr>
        <w:rPr>
          <w:sz w:val="20"/>
          <w:szCs w:val="24"/>
        </w:rPr>
        <w:alias w:val="Title"/>
        <w:tag w:val=""/>
        <w:id w:val="638227829"/>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Content>
        <w:r>
          <w:rPr>
            <w:sz w:val="20"/>
            <w:szCs w:val="24"/>
          </w:rPr>
          <w:t>Civil engineering (Annex 2) – Containment structures</w:t>
        </w:r>
      </w:sdtContent>
    </w:sdt>
    <w:r w:rsidRPr="00046936">
      <w:rPr>
        <w:sz w:val="20"/>
        <w:szCs w:val="24"/>
      </w:rPr>
      <w:t xml:space="preserve"> | Issue: </w:t>
    </w:r>
    <w:sdt>
      <w:sdtPr>
        <w:rPr>
          <w:sz w:val="20"/>
          <w:szCs w:val="24"/>
        </w:rPr>
        <w:alias w:val="Status"/>
        <w:tag w:val=""/>
        <w:id w:val="-114138580"/>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Content>
        <w:r>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 w15:restartNumberingAfterBreak="0">
    <w:nsid w:val="03992F8E"/>
    <w:multiLevelType w:val="hybridMultilevel"/>
    <w:tmpl w:val="185AB30C"/>
    <w:lvl w:ilvl="0" w:tplc="5BD090F8">
      <w:start w:val="1"/>
      <w:numFmt w:val="decimal"/>
      <w:lvlText w:val="A3.%1"/>
      <w:lvlJc w:val="left"/>
      <w:pPr>
        <w:ind w:left="107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794E1A"/>
    <w:multiLevelType w:val="hybridMultilevel"/>
    <w:tmpl w:val="EF82D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4" w15:restartNumberingAfterBreak="0">
    <w:nsid w:val="17304E12"/>
    <w:multiLevelType w:val="multilevel"/>
    <w:tmpl w:val="A7CAA430"/>
    <w:lvl w:ilvl="0">
      <w:start w:val="1"/>
      <w:numFmt w:val="decimal"/>
      <w:pStyle w:val="TSNumberedParagraph1"/>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A65465B"/>
    <w:multiLevelType w:val="multilevel"/>
    <w:tmpl w:val="AA1EC274"/>
    <w:lvl w:ilvl="0">
      <w:start w:val="1"/>
      <w:numFmt w:val="decimal"/>
      <w:lvlText w:val="%1."/>
      <w:lvlJc w:val="left"/>
      <w:pPr>
        <w:ind w:left="720" w:hanging="720"/>
      </w:pPr>
      <w:rPr>
        <w:sz w:val="22"/>
      </w:rPr>
    </w:lvl>
    <w:lvl w:ilvl="1">
      <w:start w:val="1"/>
      <w:numFmt w:val="bullet"/>
      <w:lvlText w:val=""/>
      <w:lvlJc w:val="left"/>
      <w:pPr>
        <w:ind w:left="720" w:hanging="720"/>
      </w:pPr>
      <w:rPr>
        <w:rFonts w:ascii="Symbol" w:hAnsi="Symbol" w:hint="default"/>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554352A"/>
    <w:multiLevelType w:val="multilevel"/>
    <w:tmpl w:val="BF06C3CA"/>
    <w:lvl w:ilvl="0">
      <w:start w:val="1"/>
      <w:numFmt w:val="decimal"/>
      <w:lvlText w:val="%1."/>
      <w:lvlJc w:val="left"/>
      <w:pPr>
        <w:ind w:left="720" w:hanging="720"/>
      </w:pPr>
      <w:rPr>
        <w:sz w:val="22"/>
      </w:rPr>
    </w:lvl>
    <w:lvl w:ilvl="1">
      <w:start w:val="1"/>
      <w:numFmt w:val="decimal"/>
      <w:lvlText w:val="A5.%2."/>
      <w:lvlJc w:val="left"/>
      <w:pPr>
        <w:ind w:left="1146" w:hanging="720"/>
      </w:pPr>
      <w:rPr>
        <w:b w:val="0"/>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C823F73"/>
    <w:multiLevelType w:val="hybridMultilevel"/>
    <w:tmpl w:val="A338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C21D72"/>
    <w:multiLevelType w:val="multilevel"/>
    <w:tmpl w:val="B40CE23A"/>
    <w:lvl w:ilvl="0">
      <w:start w:val="1"/>
      <w:numFmt w:val="decimal"/>
      <w:lvlText w:val="%1."/>
      <w:lvlJc w:val="left"/>
      <w:pPr>
        <w:ind w:left="720" w:hanging="720"/>
      </w:pPr>
      <w:rPr>
        <w:sz w:val="22"/>
      </w:rPr>
    </w:lvl>
    <w:lvl w:ilvl="1">
      <w:start w:val="1"/>
      <w:numFmt w:val="bullet"/>
      <w:lvlText w:val=""/>
      <w:lvlJc w:val="left"/>
      <w:pPr>
        <w:ind w:left="720" w:hanging="720"/>
      </w:pPr>
      <w:rPr>
        <w:rFonts w:ascii="Symbol" w:hAnsi="Symbol" w:hint="default"/>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2957587"/>
    <w:multiLevelType w:val="multilevel"/>
    <w:tmpl w:val="4ADAFD6A"/>
    <w:lvl w:ilvl="0">
      <w:start w:val="1"/>
      <w:numFmt w:val="decimal"/>
      <w:pStyle w:val="Heading1"/>
      <w:lvlText w:val="%1."/>
      <w:lvlJc w:val="left"/>
      <w:pPr>
        <w:ind w:left="1070" w:hanging="360"/>
      </w:pPr>
    </w:lvl>
    <w:lvl w:ilvl="1">
      <w:start w:val="1"/>
      <w:numFmt w:val="decimal"/>
      <w:pStyle w:val="Heading2"/>
      <w:lvlText w:val="%1.%2."/>
      <w:lvlJc w:val="left"/>
      <w:pPr>
        <w:ind w:left="1502" w:hanging="432"/>
      </w:pPr>
    </w:lvl>
    <w:lvl w:ilvl="2">
      <w:start w:val="1"/>
      <w:numFmt w:val="decimal"/>
      <w:pStyle w:val="Heading3"/>
      <w:lvlText w:val="%1.%2.%3."/>
      <w:lvlJc w:val="left"/>
      <w:pPr>
        <w:ind w:left="1934" w:hanging="504"/>
      </w:pPr>
    </w:lvl>
    <w:lvl w:ilvl="3">
      <w:start w:val="1"/>
      <w:numFmt w:val="decimal"/>
      <w:pStyle w:val="Heading4"/>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1" w15:restartNumberingAfterBreak="0">
    <w:nsid w:val="569D0F13"/>
    <w:multiLevelType w:val="multilevel"/>
    <w:tmpl w:val="1E029408"/>
    <w:lvl w:ilvl="0">
      <w:start w:val="1"/>
      <w:numFmt w:val="decimal"/>
      <w:lvlText w:val="%1."/>
      <w:lvlJc w:val="left"/>
      <w:pPr>
        <w:ind w:left="720" w:hanging="720"/>
      </w:pPr>
      <w:rPr>
        <w:sz w:val="22"/>
      </w:rPr>
    </w:lvl>
    <w:lvl w:ilvl="1">
      <w:start w:val="1"/>
      <w:numFmt w:val="bullet"/>
      <w:lvlText w:val=""/>
      <w:lvlJc w:val="left"/>
      <w:pPr>
        <w:ind w:left="720" w:hanging="720"/>
      </w:pPr>
      <w:rPr>
        <w:rFonts w:ascii="Symbol" w:hAnsi="Symbol" w:hint="default"/>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B2E0AA6"/>
    <w:multiLevelType w:val="hybridMultilevel"/>
    <w:tmpl w:val="5FC0DC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447535"/>
    <w:multiLevelType w:val="multilevel"/>
    <w:tmpl w:val="601C9E5A"/>
    <w:lvl w:ilvl="0">
      <w:start w:val="1"/>
      <w:numFmt w:val="decimal"/>
      <w:pStyle w:val="F9-Paragraph"/>
      <w:lvlText w:val="%1."/>
      <w:lvlJc w:val="left"/>
      <w:pPr>
        <w:ind w:left="5606" w:hanging="360"/>
      </w:pPr>
      <w:rPr>
        <w:rFonts w:asciiTheme="minorHAnsi" w:hAnsiTheme="minorHAnsi" w:cstheme="minorHAnsi"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C553F4"/>
    <w:multiLevelType w:val="multilevel"/>
    <w:tmpl w:val="BF06C3CA"/>
    <w:lvl w:ilvl="0">
      <w:start w:val="1"/>
      <w:numFmt w:val="decimal"/>
      <w:lvlText w:val="%1."/>
      <w:lvlJc w:val="left"/>
      <w:pPr>
        <w:ind w:left="720" w:hanging="720"/>
      </w:pPr>
      <w:rPr>
        <w:sz w:val="22"/>
      </w:rPr>
    </w:lvl>
    <w:lvl w:ilvl="1">
      <w:start w:val="1"/>
      <w:numFmt w:val="decimal"/>
      <w:lvlText w:val="A5.%2."/>
      <w:lvlJc w:val="left"/>
      <w:pPr>
        <w:ind w:left="1146" w:hanging="720"/>
      </w:pPr>
      <w:rPr>
        <w:b w:val="0"/>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D863EDD"/>
    <w:multiLevelType w:val="multilevel"/>
    <w:tmpl w:val="6BF0313E"/>
    <w:lvl w:ilvl="0">
      <w:start w:val="1"/>
      <w:numFmt w:val="decimal"/>
      <w:lvlText w:val="%1."/>
      <w:lvlJc w:val="left"/>
      <w:pPr>
        <w:ind w:left="360" w:hanging="360"/>
      </w:pPr>
    </w:lvl>
    <w:lvl w:ilvl="1">
      <w:start w:val="1"/>
      <w:numFmt w:val="decimal"/>
      <w:pStyle w:val="NumberedParagraph"/>
      <w:lvlText w:val="%1.%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8"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num w:numId="1" w16cid:durableId="783227120">
    <w:abstractNumId w:val="13"/>
  </w:num>
  <w:num w:numId="2" w16cid:durableId="399718409">
    <w:abstractNumId w:val="14"/>
  </w:num>
  <w:num w:numId="3" w16cid:durableId="999388671">
    <w:abstractNumId w:val="10"/>
  </w:num>
  <w:num w:numId="4" w16cid:durableId="2096631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636562">
    <w:abstractNumId w:val="17"/>
  </w:num>
  <w:num w:numId="6" w16cid:durableId="391512796">
    <w:abstractNumId w:val="0"/>
  </w:num>
  <w:num w:numId="7" w16cid:durableId="606546315">
    <w:abstractNumId w:val="16"/>
  </w:num>
  <w:num w:numId="8" w16cid:durableId="2045716887">
    <w:abstractNumId w:val="4"/>
  </w:num>
  <w:num w:numId="9" w16cid:durableId="2001732613">
    <w:abstractNumId w:val="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7974077">
    <w:abstractNumId w:val="8"/>
  </w:num>
  <w:num w:numId="11" w16cid:durableId="1756512451">
    <w:abstractNumId w:val="18"/>
  </w:num>
  <w:num w:numId="12" w16cid:durableId="562369306">
    <w:abstractNumId w:val="1"/>
  </w:num>
  <w:num w:numId="13" w16cid:durableId="278611926">
    <w:abstractNumId w:val="2"/>
  </w:num>
  <w:num w:numId="14" w16cid:durableId="1464807165">
    <w:abstractNumId w:val="10"/>
  </w:num>
  <w:num w:numId="15" w16cid:durableId="525750720">
    <w:abstractNumId w:val="14"/>
  </w:num>
  <w:num w:numId="16" w16cid:durableId="1539663478">
    <w:abstractNumId w:val="13"/>
  </w:num>
  <w:num w:numId="17" w16cid:durableId="1024137006">
    <w:abstractNumId w:val="10"/>
  </w:num>
  <w:num w:numId="18" w16cid:durableId="1476141761">
    <w:abstractNumId w:val="14"/>
  </w:num>
  <w:num w:numId="19" w16cid:durableId="1277516538">
    <w:abstractNumId w:val="14"/>
  </w:num>
  <w:num w:numId="20" w16cid:durableId="895892207">
    <w:abstractNumId w:val="14"/>
  </w:num>
  <w:num w:numId="21" w16cid:durableId="1729063153">
    <w:abstractNumId w:val="14"/>
  </w:num>
  <w:num w:numId="22" w16cid:durableId="437994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566418">
    <w:abstractNumId w:val="14"/>
  </w:num>
  <w:num w:numId="24" w16cid:durableId="50498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2530362">
    <w:abstractNumId w:val="14"/>
  </w:num>
  <w:num w:numId="26" w16cid:durableId="570577678">
    <w:abstractNumId w:val="14"/>
  </w:num>
  <w:num w:numId="27" w16cid:durableId="231283408">
    <w:abstractNumId w:val="14"/>
  </w:num>
  <w:num w:numId="28" w16cid:durableId="1277181685">
    <w:abstractNumId w:val="14"/>
  </w:num>
  <w:num w:numId="29" w16cid:durableId="169214278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5660647">
    <w:abstractNumId w:val="13"/>
  </w:num>
  <w:num w:numId="31" w16cid:durableId="1492716387">
    <w:abstractNumId w:val="6"/>
  </w:num>
  <w:num w:numId="32" w16cid:durableId="1998147996">
    <w:abstractNumId w:val="14"/>
  </w:num>
  <w:num w:numId="33" w16cid:durableId="1181776021">
    <w:abstractNumId w:val="14"/>
  </w:num>
  <w:num w:numId="34" w16cid:durableId="266036945">
    <w:abstractNumId w:val="14"/>
  </w:num>
  <w:num w:numId="35" w16cid:durableId="90041035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3775676">
    <w:abstractNumId w:val="14"/>
  </w:num>
  <w:num w:numId="37" w16cid:durableId="549922229">
    <w:abstractNumId w:val="13"/>
  </w:num>
  <w:num w:numId="38" w16cid:durableId="781340824">
    <w:abstractNumId w:val="14"/>
  </w:num>
  <w:num w:numId="39" w16cid:durableId="1292438792">
    <w:abstractNumId w:val="14"/>
  </w:num>
  <w:num w:numId="40" w16cid:durableId="922835109">
    <w:abstractNumId w:val="14"/>
  </w:num>
  <w:num w:numId="41" w16cid:durableId="1768694202">
    <w:abstractNumId w:val="14"/>
  </w:num>
  <w:num w:numId="42" w16cid:durableId="513568672">
    <w:abstractNumId w:val="14"/>
  </w:num>
  <w:num w:numId="43" w16cid:durableId="2007513489">
    <w:abstractNumId w:val="14"/>
  </w:num>
  <w:num w:numId="44" w16cid:durableId="341785135">
    <w:abstractNumId w:val="14"/>
  </w:num>
  <w:num w:numId="45" w16cid:durableId="614681724">
    <w:abstractNumId w:val="14"/>
  </w:num>
  <w:num w:numId="46" w16cid:durableId="705328533">
    <w:abstractNumId w:val="14"/>
  </w:num>
  <w:num w:numId="47" w16cid:durableId="1133448009">
    <w:abstractNumId w:val="14"/>
  </w:num>
  <w:num w:numId="48" w16cid:durableId="903611068">
    <w:abstractNumId w:val="14"/>
  </w:num>
  <w:num w:numId="49" w16cid:durableId="1171794627">
    <w:abstractNumId w:val="14"/>
  </w:num>
  <w:num w:numId="50" w16cid:durableId="769737366">
    <w:abstractNumId w:val="14"/>
  </w:num>
  <w:num w:numId="51" w16cid:durableId="1770154653">
    <w:abstractNumId w:val="14"/>
  </w:num>
  <w:num w:numId="52" w16cid:durableId="357702874">
    <w:abstractNumId w:val="14"/>
  </w:num>
  <w:num w:numId="53" w16cid:durableId="1505172536">
    <w:abstractNumId w:val="14"/>
  </w:num>
  <w:num w:numId="54" w16cid:durableId="875459780">
    <w:abstractNumId w:val="14"/>
  </w:num>
  <w:num w:numId="55" w16cid:durableId="194203326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4686730">
    <w:abstractNumId w:val="14"/>
  </w:num>
  <w:num w:numId="57" w16cid:durableId="762839860">
    <w:abstractNumId w:val="14"/>
  </w:num>
  <w:num w:numId="58" w16cid:durableId="173224572">
    <w:abstractNumId w:val="14"/>
  </w:num>
  <w:num w:numId="59" w16cid:durableId="28533865">
    <w:abstractNumId w:val="14"/>
  </w:num>
  <w:num w:numId="60" w16cid:durableId="170265410">
    <w:abstractNumId w:val="13"/>
  </w:num>
  <w:num w:numId="61" w16cid:durableId="1915696264">
    <w:abstractNumId w:val="14"/>
  </w:num>
  <w:num w:numId="62" w16cid:durableId="1342002779">
    <w:abstractNumId w:val="14"/>
  </w:num>
  <w:num w:numId="63" w16cid:durableId="2095084937">
    <w:abstractNumId w:val="14"/>
  </w:num>
  <w:num w:numId="64" w16cid:durableId="1470787073">
    <w:abstractNumId w:val="10"/>
  </w:num>
  <w:num w:numId="65" w16cid:durableId="1477794787">
    <w:abstractNumId w:val="14"/>
  </w:num>
  <w:num w:numId="66" w16cid:durableId="243613100">
    <w:abstractNumId w:val="12"/>
  </w:num>
  <w:num w:numId="67" w16cid:durableId="1577742694">
    <w:abstractNumId w:val="7"/>
  </w:num>
  <w:num w:numId="68" w16cid:durableId="1887988456">
    <w:abstractNumId w:val="14"/>
  </w:num>
  <w:num w:numId="69" w16cid:durableId="1283851993">
    <w:abstractNumId w:val="14"/>
  </w:num>
  <w:num w:numId="70" w16cid:durableId="1860312965">
    <w:abstractNumId w:val="13"/>
  </w:num>
  <w:num w:numId="71" w16cid:durableId="61369052">
    <w:abstractNumId w:val="13"/>
  </w:num>
  <w:num w:numId="72" w16cid:durableId="1278677243">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D2"/>
    <w:rsid w:val="00000D2E"/>
    <w:rsid w:val="00002104"/>
    <w:rsid w:val="00002701"/>
    <w:rsid w:val="0000284C"/>
    <w:rsid w:val="00002E2C"/>
    <w:rsid w:val="00002F03"/>
    <w:rsid w:val="00002FD3"/>
    <w:rsid w:val="000032C9"/>
    <w:rsid w:val="00004C16"/>
    <w:rsid w:val="00005D37"/>
    <w:rsid w:val="0000635A"/>
    <w:rsid w:val="00006550"/>
    <w:rsid w:val="00006DAF"/>
    <w:rsid w:val="000074E3"/>
    <w:rsid w:val="00007D20"/>
    <w:rsid w:val="00011177"/>
    <w:rsid w:val="00011BFD"/>
    <w:rsid w:val="00012BC6"/>
    <w:rsid w:val="00012DDA"/>
    <w:rsid w:val="00014814"/>
    <w:rsid w:val="00014925"/>
    <w:rsid w:val="00014C36"/>
    <w:rsid w:val="00017EA2"/>
    <w:rsid w:val="000217B1"/>
    <w:rsid w:val="00021957"/>
    <w:rsid w:val="00021DCA"/>
    <w:rsid w:val="00022774"/>
    <w:rsid w:val="000229EA"/>
    <w:rsid w:val="00022D9C"/>
    <w:rsid w:val="00023CE8"/>
    <w:rsid w:val="00023F45"/>
    <w:rsid w:val="00024522"/>
    <w:rsid w:val="00024B2E"/>
    <w:rsid w:val="00025461"/>
    <w:rsid w:val="00025A79"/>
    <w:rsid w:val="00027DCA"/>
    <w:rsid w:val="00027F4F"/>
    <w:rsid w:val="00030430"/>
    <w:rsid w:val="0003078E"/>
    <w:rsid w:val="000310E4"/>
    <w:rsid w:val="00031B89"/>
    <w:rsid w:val="00034478"/>
    <w:rsid w:val="0003693D"/>
    <w:rsid w:val="00037EE2"/>
    <w:rsid w:val="00037F4C"/>
    <w:rsid w:val="000400AE"/>
    <w:rsid w:val="000401C6"/>
    <w:rsid w:val="00041961"/>
    <w:rsid w:val="000421B1"/>
    <w:rsid w:val="0004232A"/>
    <w:rsid w:val="000440CD"/>
    <w:rsid w:val="0004440F"/>
    <w:rsid w:val="000447AC"/>
    <w:rsid w:val="00046218"/>
    <w:rsid w:val="000466F6"/>
    <w:rsid w:val="00046936"/>
    <w:rsid w:val="00047146"/>
    <w:rsid w:val="00047292"/>
    <w:rsid w:val="00050591"/>
    <w:rsid w:val="00050970"/>
    <w:rsid w:val="000519BB"/>
    <w:rsid w:val="000529A3"/>
    <w:rsid w:val="00052C80"/>
    <w:rsid w:val="00052C8A"/>
    <w:rsid w:val="000548C8"/>
    <w:rsid w:val="00055898"/>
    <w:rsid w:val="000562E6"/>
    <w:rsid w:val="0005659D"/>
    <w:rsid w:val="000568B8"/>
    <w:rsid w:val="00057039"/>
    <w:rsid w:val="00057EFC"/>
    <w:rsid w:val="00061A14"/>
    <w:rsid w:val="0006392B"/>
    <w:rsid w:val="0006417A"/>
    <w:rsid w:val="00064956"/>
    <w:rsid w:val="00064E86"/>
    <w:rsid w:val="00064EBA"/>
    <w:rsid w:val="00064EFA"/>
    <w:rsid w:val="000658FC"/>
    <w:rsid w:val="000660DF"/>
    <w:rsid w:val="00066703"/>
    <w:rsid w:val="000677A1"/>
    <w:rsid w:val="00067CC3"/>
    <w:rsid w:val="000702EB"/>
    <w:rsid w:val="000714D8"/>
    <w:rsid w:val="0007257E"/>
    <w:rsid w:val="00072D66"/>
    <w:rsid w:val="000732B5"/>
    <w:rsid w:val="00073902"/>
    <w:rsid w:val="0007440C"/>
    <w:rsid w:val="00074D02"/>
    <w:rsid w:val="00074E2D"/>
    <w:rsid w:val="000750E0"/>
    <w:rsid w:val="00075605"/>
    <w:rsid w:val="00075C66"/>
    <w:rsid w:val="0007603A"/>
    <w:rsid w:val="0007605A"/>
    <w:rsid w:val="000760AD"/>
    <w:rsid w:val="00076F27"/>
    <w:rsid w:val="000779CE"/>
    <w:rsid w:val="00081114"/>
    <w:rsid w:val="000821B7"/>
    <w:rsid w:val="00082879"/>
    <w:rsid w:val="00082EE7"/>
    <w:rsid w:val="00083BB0"/>
    <w:rsid w:val="00084B00"/>
    <w:rsid w:val="00084D1E"/>
    <w:rsid w:val="0008542F"/>
    <w:rsid w:val="00086223"/>
    <w:rsid w:val="0008673F"/>
    <w:rsid w:val="00087FD3"/>
    <w:rsid w:val="000900F5"/>
    <w:rsid w:val="00090C1B"/>
    <w:rsid w:val="000913B1"/>
    <w:rsid w:val="00091EEA"/>
    <w:rsid w:val="00091FE6"/>
    <w:rsid w:val="000928F1"/>
    <w:rsid w:val="00092E50"/>
    <w:rsid w:val="00094045"/>
    <w:rsid w:val="000940A2"/>
    <w:rsid w:val="000950B3"/>
    <w:rsid w:val="0009519C"/>
    <w:rsid w:val="00097C6C"/>
    <w:rsid w:val="000A0171"/>
    <w:rsid w:val="000A03B3"/>
    <w:rsid w:val="000A03B6"/>
    <w:rsid w:val="000A0B75"/>
    <w:rsid w:val="000A13CF"/>
    <w:rsid w:val="000A170B"/>
    <w:rsid w:val="000A17BF"/>
    <w:rsid w:val="000A1AAF"/>
    <w:rsid w:val="000A23FB"/>
    <w:rsid w:val="000A2650"/>
    <w:rsid w:val="000A27B9"/>
    <w:rsid w:val="000A2AFC"/>
    <w:rsid w:val="000A2B4E"/>
    <w:rsid w:val="000A3290"/>
    <w:rsid w:val="000A3317"/>
    <w:rsid w:val="000A33F2"/>
    <w:rsid w:val="000A3731"/>
    <w:rsid w:val="000A51C3"/>
    <w:rsid w:val="000A634C"/>
    <w:rsid w:val="000A65FB"/>
    <w:rsid w:val="000A6713"/>
    <w:rsid w:val="000A6F64"/>
    <w:rsid w:val="000A75BC"/>
    <w:rsid w:val="000B27D0"/>
    <w:rsid w:val="000B2BCD"/>
    <w:rsid w:val="000B3592"/>
    <w:rsid w:val="000B3A98"/>
    <w:rsid w:val="000B40A7"/>
    <w:rsid w:val="000B4939"/>
    <w:rsid w:val="000B5459"/>
    <w:rsid w:val="000B555E"/>
    <w:rsid w:val="000B5FB3"/>
    <w:rsid w:val="000B60B3"/>
    <w:rsid w:val="000B7BEA"/>
    <w:rsid w:val="000C080D"/>
    <w:rsid w:val="000C0F20"/>
    <w:rsid w:val="000C23E6"/>
    <w:rsid w:val="000C2DDC"/>
    <w:rsid w:val="000C3792"/>
    <w:rsid w:val="000C425F"/>
    <w:rsid w:val="000C4694"/>
    <w:rsid w:val="000C4B4C"/>
    <w:rsid w:val="000C4E1A"/>
    <w:rsid w:val="000C575C"/>
    <w:rsid w:val="000C5EAB"/>
    <w:rsid w:val="000C5FEC"/>
    <w:rsid w:val="000C7CCE"/>
    <w:rsid w:val="000D0240"/>
    <w:rsid w:val="000D090A"/>
    <w:rsid w:val="000D0B03"/>
    <w:rsid w:val="000D106F"/>
    <w:rsid w:val="000D10C6"/>
    <w:rsid w:val="000D18B5"/>
    <w:rsid w:val="000D1AA5"/>
    <w:rsid w:val="000D1F96"/>
    <w:rsid w:val="000D2FD4"/>
    <w:rsid w:val="000D49F1"/>
    <w:rsid w:val="000D589D"/>
    <w:rsid w:val="000D683F"/>
    <w:rsid w:val="000D6BB3"/>
    <w:rsid w:val="000D7AA7"/>
    <w:rsid w:val="000D7D87"/>
    <w:rsid w:val="000E0015"/>
    <w:rsid w:val="000E047D"/>
    <w:rsid w:val="000E0920"/>
    <w:rsid w:val="000E0ED3"/>
    <w:rsid w:val="000E2664"/>
    <w:rsid w:val="000E4837"/>
    <w:rsid w:val="000E51B2"/>
    <w:rsid w:val="000E6B7B"/>
    <w:rsid w:val="000E7072"/>
    <w:rsid w:val="000E733A"/>
    <w:rsid w:val="000E7DDA"/>
    <w:rsid w:val="000F03DF"/>
    <w:rsid w:val="000F0796"/>
    <w:rsid w:val="000F1A01"/>
    <w:rsid w:val="000F1B7B"/>
    <w:rsid w:val="000F2B72"/>
    <w:rsid w:val="000F2ED4"/>
    <w:rsid w:val="000F31A4"/>
    <w:rsid w:val="000F3932"/>
    <w:rsid w:val="000F3AF9"/>
    <w:rsid w:val="000F49C1"/>
    <w:rsid w:val="000F55D3"/>
    <w:rsid w:val="000F6AC9"/>
    <w:rsid w:val="000F6B44"/>
    <w:rsid w:val="00101403"/>
    <w:rsid w:val="00101EDC"/>
    <w:rsid w:val="00102664"/>
    <w:rsid w:val="001028E8"/>
    <w:rsid w:val="00102C09"/>
    <w:rsid w:val="00103399"/>
    <w:rsid w:val="00104929"/>
    <w:rsid w:val="00104E47"/>
    <w:rsid w:val="00104F8B"/>
    <w:rsid w:val="00105972"/>
    <w:rsid w:val="001065E4"/>
    <w:rsid w:val="00106B9F"/>
    <w:rsid w:val="00106F37"/>
    <w:rsid w:val="00107028"/>
    <w:rsid w:val="00113A57"/>
    <w:rsid w:val="001140D2"/>
    <w:rsid w:val="00115064"/>
    <w:rsid w:val="001161BD"/>
    <w:rsid w:val="00116856"/>
    <w:rsid w:val="0011692B"/>
    <w:rsid w:val="00116A8C"/>
    <w:rsid w:val="00116E5C"/>
    <w:rsid w:val="00116F50"/>
    <w:rsid w:val="00117234"/>
    <w:rsid w:val="00122524"/>
    <w:rsid w:val="00122FCC"/>
    <w:rsid w:val="00125585"/>
    <w:rsid w:val="001258D6"/>
    <w:rsid w:val="00126752"/>
    <w:rsid w:val="001268A0"/>
    <w:rsid w:val="001268A2"/>
    <w:rsid w:val="001277DC"/>
    <w:rsid w:val="001304AC"/>
    <w:rsid w:val="00130B30"/>
    <w:rsid w:val="00131DC0"/>
    <w:rsid w:val="00131E06"/>
    <w:rsid w:val="00131F59"/>
    <w:rsid w:val="001321E2"/>
    <w:rsid w:val="00132888"/>
    <w:rsid w:val="0013353C"/>
    <w:rsid w:val="001347E7"/>
    <w:rsid w:val="00135012"/>
    <w:rsid w:val="00135B7F"/>
    <w:rsid w:val="00135C73"/>
    <w:rsid w:val="00135DC0"/>
    <w:rsid w:val="00136064"/>
    <w:rsid w:val="001361B8"/>
    <w:rsid w:val="001363E0"/>
    <w:rsid w:val="00136854"/>
    <w:rsid w:val="00140906"/>
    <w:rsid w:val="00140E1C"/>
    <w:rsid w:val="00142857"/>
    <w:rsid w:val="0014297A"/>
    <w:rsid w:val="00142F3E"/>
    <w:rsid w:val="001447A1"/>
    <w:rsid w:val="001447A9"/>
    <w:rsid w:val="001449A1"/>
    <w:rsid w:val="00144C0D"/>
    <w:rsid w:val="001450D4"/>
    <w:rsid w:val="001451B9"/>
    <w:rsid w:val="001459E0"/>
    <w:rsid w:val="00145E50"/>
    <w:rsid w:val="00146B1E"/>
    <w:rsid w:val="00147241"/>
    <w:rsid w:val="00147829"/>
    <w:rsid w:val="00147AE4"/>
    <w:rsid w:val="00147F3F"/>
    <w:rsid w:val="0015301E"/>
    <w:rsid w:val="00153066"/>
    <w:rsid w:val="00153288"/>
    <w:rsid w:val="001533F3"/>
    <w:rsid w:val="0015373E"/>
    <w:rsid w:val="0015407B"/>
    <w:rsid w:val="00154752"/>
    <w:rsid w:val="001548D2"/>
    <w:rsid w:val="001571E5"/>
    <w:rsid w:val="00157C9C"/>
    <w:rsid w:val="00160949"/>
    <w:rsid w:val="00160D90"/>
    <w:rsid w:val="00161192"/>
    <w:rsid w:val="001641D5"/>
    <w:rsid w:val="00164389"/>
    <w:rsid w:val="0016476B"/>
    <w:rsid w:val="00164A7F"/>
    <w:rsid w:val="00165BEA"/>
    <w:rsid w:val="00166C05"/>
    <w:rsid w:val="00166D8D"/>
    <w:rsid w:val="0017017B"/>
    <w:rsid w:val="001701FF"/>
    <w:rsid w:val="00170E05"/>
    <w:rsid w:val="001715AC"/>
    <w:rsid w:val="00172975"/>
    <w:rsid w:val="00173419"/>
    <w:rsid w:val="00173BDE"/>
    <w:rsid w:val="00173BDF"/>
    <w:rsid w:val="001740F3"/>
    <w:rsid w:val="001747AF"/>
    <w:rsid w:val="0017579D"/>
    <w:rsid w:val="0017635B"/>
    <w:rsid w:val="001769EB"/>
    <w:rsid w:val="001772CA"/>
    <w:rsid w:val="001774E5"/>
    <w:rsid w:val="00177632"/>
    <w:rsid w:val="00177666"/>
    <w:rsid w:val="00177FCC"/>
    <w:rsid w:val="0018196B"/>
    <w:rsid w:val="00181D48"/>
    <w:rsid w:val="0018285B"/>
    <w:rsid w:val="00183E41"/>
    <w:rsid w:val="00184877"/>
    <w:rsid w:val="001849CA"/>
    <w:rsid w:val="00184C88"/>
    <w:rsid w:val="00184E35"/>
    <w:rsid w:val="00185410"/>
    <w:rsid w:val="001863B3"/>
    <w:rsid w:val="00186BDC"/>
    <w:rsid w:val="00186E40"/>
    <w:rsid w:val="00187B6F"/>
    <w:rsid w:val="001908F7"/>
    <w:rsid w:val="001910CF"/>
    <w:rsid w:val="00191F08"/>
    <w:rsid w:val="0019222F"/>
    <w:rsid w:val="00192352"/>
    <w:rsid w:val="001930F4"/>
    <w:rsid w:val="001938B3"/>
    <w:rsid w:val="00194C83"/>
    <w:rsid w:val="00197294"/>
    <w:rsid w:val="001A0905"/>
    <w:rsid w:val="001A0A82"/>
    <w:rsid w:val="001A0EE1"/>
    <w:rsid w:val="001A149F"/>
    <w:rsid w:val="001A1F85"/>
    <w:rsid w:val="001A2981"/>
    <w:rsid w:val="001A37B3"/>
    <w:rsid w:val="001A3C5B"/>
    <w:rsid w:val="001A3D7F"/>
    <w:rsid w:val="001A499A"/>
    <w:rsid w:val="001A5D1B"/>
    <w:rsid w:val="001A67F7"/>
    <w:rsid w:val="001A71F1"/>
    <w:rsid w:val="001B0305"/>
    <w:rsid w:val="001B03F0"/>
    <w:rsid w:val="001B08C3"/>
    <w:rsid w:val="001B152A"/>
    <w:rsid w:val="001B1F0D"/>
    <w:rsid w:val="001B46AA"/>
    <w:rsid w:val="001B557A"/>
    <w:rsid w:val="001B5DAC"/>
    <w:rsid w:val="001B655C"/>
    <w:rsid w:val="001B666A"/>
    <w:rsid w:val="001B6CC8"/>
    <w:rsid w:val="001B7075"/>
    <w:rsid w:val="001B77C4"/>
    <w:rsid w:val="001B7B6C"/>
    <w:rsid w:val="001C0BBA"/>
    <w:rsid w:val="001C0DFF"/>
    <w:rsid w:val="001C1A4A"/>
    <w:rsid w:val="001C1BBD"/>
    <w:rsid w:val="001C261C"/>
    <w:rsid w:val="001C4591"/>
    <w:rsid w:val="001C4BB5"/>
    <w:rsid w:val="001C4D63"/>
    <w:rsid w:val="001C50AD"/>
    <w:rsid w:val="001C57D0"/>
    <w:rsid w:val="001C5F39"/>
    <w:rsid w:val="001C65FB"/>
    <w:rsid w:val="001C6B76"/>
    <w:rsid w:val="001C6F36"/>
    <w:rsid w:val="001C7A5A"/>
    <w:rsid w:val="001C7F97"/>
    <w:rsid w:val="001D0DE0"/>
    <w:rsid w:val="001D0F2D"/>
    <w:rsid w:val="001D2028"/>
    <w:rsid w:val="001D2656"/>
    <w:rsid w:val="001D39B5"/>
    <w:rsid w:val="001D3AE1"/>
    <w:rsid w:val="001D3DBA"/>
    <w:rsid w:val="001D3DDE"/>
    <w:rsid w:val="001D4B5D"/>
    <w:rsid w:val="001D4C28"/>
    <w:rsid w:val="001D5AFF"/>
    <w:rsid w:val="001D66AC"/>
    <w:rsid w:val="001D6953"/>
    <w:rsid w:val="001D6C26"/>
    <w:rsid w:val="001D7023"/>
    <w:rsid w:val="001D730C"/>
    <w:rsid w:val="001D74B4"/>
    <w:rsid w:val="001D7A33"/>
    <w:rsid w:val="001E0267"/>
    <w:rsid w:val="001E03DF"/>
    <w:rsid w:val="001E03E1"/>
    <w:rsid w:val="001E0B86"/>
    <w:rsid w:val="001E354F"/>
    <w:rsid w:val="001E3B75"/>
    <w:rsid w:val="001E4D8C"/>
    <w:rsid w:val="001E5495"/>
    <w:rsid w:val="001E7332"/>
    <w:rsid w:val="001E7644"/>
    <w:rsid w:val="001E7943"/>
    <w:rsid w:val="001E7985"/>
    <w:rsid w:val="001F059F"/>
    <w:rsid w:val="001F0C64"/>
    <w:rsid w:val="001F16EC"/>
    <w:rsid w:val="001F305C"/>
    <w:rsid w:val="001F3380"/>
    <w:rsid w:val="001F51FB"/>
    <w:rsid w:val="001F54A7"/>
    <w:rsid w:val="001F62C8"/>
    <w:rsid w:val="001F64BB"/>
    <w:rsid w:val="001F677A"/>
    <w:rsid w:val="001F68D0"/>
    <w:rsid w:val="001F7462"/>
    <w:rsid w:val="00200044"/>
    <w:rsid w:val="00200695"/>
    <w:rsid w:val="002006C0"/>
    <w:rsid w:val="00200811"/>
    <w:rsid w:val="00200CA1"/>
    <w:rsid w:val="00200E85"/>
    <w:rsid w:val="002033DE"/>
    <w:rsid w:val="0020356B"/>
    <w:rsid w:val="00203CA6"/>
    <w:rsid w:val="00205287"/>
    <w:rsid w:val="00205A6C"/>
    <w:rsid w:val="00205A9E"/>
    <w:rsid w:val="00205F19"/>
    <w:rsid w:val="00207DD4"/>
    <w:rsid w:val="002103EF"/>
    <w:rsid w:val="0021156A"/>
    <w:rsid w:val="00211632"/>
    <w:rsid w:val="00211DA3"/>
    <w:rsid w:val="0021272E"/>
    <w:rsid w:val="00212A01"/>
    <w:rsid w:val="0021338D"/>
    <w:rsid w:val="002137F4"/>
    <w:rsid w:val="00214780"/>
    <w:rsid w:val="00214D43"/>
    <w:rsid w:val="00214F32"/>
    <w:rsid w:val="00215057"/>
    <w:rsid w:val="00215A23"/>
    <w:rsid w:val="00216128"/>
    <w:rsid w:val="00216164"/>
    <w:rsid w:val="002211DC"/>
    <w:rsid w:val="00221B78"/>
    <w:rsid w:val="00221ED0"/>
    <w:rsid w:val="002230D9"/>
    <w:rsid w:val="00223437"/>
    <w:rsid w:val="002238B4"/>
    <w:rsid w:val="00223960"/>
    <w:rsid w:val="00224481"/>
    <w:rsid w:val="0022453D"/>
    <w:rsid w:val="00224BA8"/>
    <w:rsid w:val="0022595E"/>
    <w:rsid w:val="00225E8A"/>
    <w:rsid w:val="002274DF"/>
    <w:rsid w:val="002311CD"/>
    <w:rsid w:val="002319AB"/>
    <w:rsid w:val="002319AC"/>
    <w:rsid w:val="00232073"/>
    <w:rsid w:val="0023262D"/>
    <w:rsid w:val="0023268D"/>
    <w:rsid w:val="00232A94"/>
    <w:rsid w:val="00232BDB"/>
    <w:rsid w:val="00233522"/>
    <w:rsid w:val="00233C9B"/>
    <w:rsid w:val="00234342"/>
    <w:rsid w:val="002345A3"/>
    <w:rsid w:val="00235103"/>
    <w:rsid w:val="00236D05"/>
    <w:rsid w:val="00237F68"/>
    <w:rsid w:val="0023B0AF"/>
    <w:rsid w:val="0024040D"/>
    <w:rsid w:val="002413CE"/>
    <w:rsid w:val="00241CA6"/>
    <w:rsid w:val="00242172"/>
    <w:rsid w:val="002429AC"/>
    <w:rsid w:val="002432A9"/>
    <w:rsid w:val="002445C0"/>
    <w:rsid w:val="002446B7"/>
    <w:rsid w:val="002453A8"/>
    <w:rsid w:val="00245814"/>
    <w:rsid w:val="00245A0D"/>
    <w:rsid w:val="00246762"/>
    <w:rsid w:val="00247077"/>
    <w:rsid w:val="0024708C"/>
    <w:rsid w:val="0024726B"/>
    <w:rsid w:val="0024731E"/>
    <w:rsid w:val="00247CF4"/>
    <w:rsid w:val="00247E28"/>
    <w:rsid w:val="002502AD"/>
    <w:rsid w:val="00250727"/>
    <w:rsid w:val="00251726"/>
    <w:rsid w:val="00251816"/>
    <w:rsid w:val="002521D2"/>
    <w:rsid w:val="00255C95"/>
    <w:rsid w:val="00255FA3"/>
    <w:rsid w:val="00256410"/>
    <w:rsid w:val="00257210"/>
    <w:rsid w:val="00257288"/>
    <w:rsid w:val="0025729B"/>
    <w:rsid w:val="00257DD9"/>
    <w:rsid w:val="002602C5"/>
    <w:rsid w:val="00261FB6"/>
    <w:rsid w:val="0026250A"/>
    <w:rsid w:val="002626E5"/>
    <w:rsid w:val="002629F8"/>
    <w:rsid w:val="00262E5E"/>
    <w:rsid w:val="00263396"/>
    <w:rsid w:val="002659FA"/>
    <w:rsid w:val="00265AEF"/>
    <w:rsid w:val="002661C6"/>
    <w:rsid w:val="00267815"/>
    <w:rsid w:val="00267CB8"/>
    <w:rsid w:val="0027024D"/>
    <w:rsid w:val="00270381"/>
    <w:rsid w:val="002715A2"/>
    <w:rsid w:val="0027213C"/>
    <w:rsid w:val="0027254E"/>
    <w:rsid w:val="00272E38"/>
    <w:rsid w:val="00274923"/>
    <w:rsid w:val="002749DC"/>
    <w:rsid w:val="00274F69"/>
    <w:rsid w:val="00275439"/>
    <w:rsid w:val="0027570C"/>
    <w:rsid w:val="00275B6D"/>
    <w:rsid w:val="00276B13"/>
    <w:rsid w:val="0027765D"/>
    <w:rsid w:val="002779D7"/>
    <w:rsid w:val="00280364"/>
    <w:rsid w:val="00280C73"/>
    <w:rsid w:val="00280DDF"/>
    <w:rsid w:val="002811AD"/>
    <w:rsid w:val="00281D97"/>
    <w:rsid w:val="00281F68"/>
    <w:rsid w:val="002831F2"/>
    <w:rsid w:val="002835AF"/>
    <w:rsid w:val="00283FEB"/>
    <w:rsid w:val="00286101"/>
    <w:rsid w:val="00287B2E"/>
    <w:rsid w:val="002906D8"/>
    <w:rsid w:val="002917FF"/>
    <w:rsid w:val="00292353"/>
    <w:rsid w:val="00292ADF"/>
    <w:rsid w:val="00292E7E"/>
    <w:rsid w:val="00294282"/>
    <w:rsid w:val="00294B68"/>
    <w:rsid w:val="002956F5"/>
    <w:rsid w:val="00297333"/>
    <w:rsid w:val="0029769C"/>
    <w:rsid w:val="00297F1D"/>
    <w:rsid w:val="002A0DEC"/>
    <w:rsid w:val="002A17E8"/>
    <w:rsid w:val="002A1DDC"/>
    <w:rsid w:val="002A1FD1"/>
    <w:rsid w:val="002A2A07"/>
    <w:rsid w:val="002A4056"/>
    <w:rsid w:val="002A4132"/>
    <w:rsid w:val="002A486B"/>
    <w:rsid w:val="002A4FC3"/>
    <w:rsid w:val="002A5039"/>
    <w:rsid w:val="002A51C9"/>
    <w:rsid w:val="002A5B00"/>
    <w:rsid w:val="002A5C30"/>
    <w:rsid w:val="002A6890"/>
    <w:rsid w:val="002A6B2D"/>
    <w:rsid w:val="002A78C4"/>
    <w:rsid w:val="002B190C"/>
    <w:rsid w:val="002B1C53"/>
    <w:rsid w:val="002B273B"/>
    <w:rsid w:val="002B2751"/>
    <w:rsid w:val="002B2A1A"/>
    <w:rsid w:val="002B31E7"/>
    <w:rsid w:val="002B376C"/>
    <w:rsid w:val="002B610F"/>
    <w:rsid w:val="002B623E"/>
    <w:rsid w:val="002B779E"/>
    <w:rsid w:val="002B7ACF"/>
    <w:rsid w:val="002C0B6D"/>
    <w:rsid w:val="002C11D7"/>
    <w:rsid w:val="002C1EC3"/>
    <w:rsid w:val="002C2B1D"/>
    <w:rsid w:val="002C35F8"/>
    <w:rsid w:val="002C3CCC"/>
    <w:rsid w:val="002C3E9C"/>
    <w:rsid w:val="002C611F"/>
    <w:rsid w:val="002C6173"/>
    <w:rsid w:val="002C67E0"/>
    <w:rsid w:val="002D133D"/>
    <w:rsid w:val="002D3930"/>
    <w:rsid w:val="002D3A35"/>
    <w:rsid w:val="002D4460"/>
    <w:rsid w:val="002D5820"/>
    <w:rsid w:val="002D6018"/>
    <w:rsid w:val="002D62D6"/>
    <w:rsid w:val="002D7961"/>
    <w:rsid w:val="002D7B89"/>
    <w:rsid w:val="002E0BE4"/>
    <w:rsid w:val="002E0DDA"/>
    <w:rsid w:val="002E1EB3"/>
    <w:rsid w:val="002E2B44"/>
    <w:rsid w:val="002E3B58"/>
    <w:rsid w:val="002E3E8A"/>
    <w:rsid w:val="002E479B"/>
    <w:rsid w:val="002E6A6A"/>
    <w:rsid w:val="002F01C1"/>
    <w:rsid w:val="002F0D07"/>
    <w:rsid w:val="002F100F"/>
    <w:rsid w:val="002F12C9"/>
    <w:rsid w:val="002F2BF6"/>
    <w:rsid w:val="002F314F"/>
    <w:rsid w:val="002F3397"/>
    <w:rsid w:val="002F3864"/>
    <w:rsid w:val="002F3A98"/>
    <w:rsid w:val="002F3C93"/>
    <w:rsid w:val="002F4124"/>
    <w:rsid w:val="002F45BF"/>
    <w:rsid w:val="002F49F4"/>
    <w:rsid w:val="002F60C6"/>
    <w:rsid w:val="002F6441"/>
    <w:rsid w:val="003002E4"/>
    <w:rsid w:val="00300617"/>
    <w:rsid w:val="00300C82"/>
    <w:rsid w:val="00300CF0"/>
    <w:rsid w:val="00301B0F"/>
    <w:rsid w:val="0030380D"/>
    <w:rsid w:val="00303C72"/>
    <w:rsid w:val="003040C8"/>
    <w:rsid w:val="00304C98"/>
    <w:rsid w:val="00304E78"/>
    <w:rsid w:val="00305514"/>
    <w:rsid w:val="0030642F"/>
    <w:rsid w:val="003066EE"/>
    <w:rsid w:val="0030754D"/>
    <w:rsid w:val="00310932"/>
    <w:rsid w:val="00312411"/>
    <w:rsid w:val="00312476"/>
    <w:rsid w:val="003135E9"/>
    <w:rsid w:val="003147CB"/>
    <w:rsid w:val="003161F3"/>
    <w:rsid w:val="003162E4"/>
    <w:rsid w:val="00317171"/>
    <w:rsid w:val="00317417"/>
    <w:rsid w:val="00317DE8"/>
    <w:rsid w:val="003208E8"/>
    <w:rsid w:val="00320AA8"/>
    <w:rsid w:val="00320C2C"/>
    <w:rsid w:val="003221A7"/>
    <w:rsid w:val="003223E7"/>
    <w:rsid w:val="003239EE"/>
    <w:rsid w:val="00323E71"/>
    <w:rsid w:val="0032508D"/>
    <w:rsid w:val="00326986"/>
    <w:rsid w:val="00327959"/>
    <w:rsid w:val="00330A19"/>
    <w:rsid w:val="00331554"/>
    <w:rsid w:val="00331A30"/>
    <w:rsid w:val="003327D7"/>
    <w:rsid w:val="00333604"/>
    <w:rsid w:val="003342A3"/>
    <w:rsid w:val="00334356"/>
    <w:rsid w:val="0033585B"/>
    <w:rsid w:val="00336723"/>
    <w:rsid w:val="00336C02"/>
    <w:rsid w:val="00337CD8"/>
    <w:rsid w:val="00337DD8"/>
    <w:rsid w:val="00341C70"/>
    <w:rsid w:val="00341F9E"/>
    <w:rsid w:val="00344169"/>
    <w:rsid w:val="00345F67"/>
    <w:rsid w:val="003460A0"/>
    <w:rsid w:val="003463C9"/>
    <w:rsid w:val="0034678F"/>
    <w:rsid w:val="00346949"/>
    <w:rsid w:val="00346BC2"/>
    <w:rsid w:val="00346C8E"/>
    <w:rsid w:val="00347784"/>
    <w:rsid w:val="003478D5"/>
    <w:rsid w:val="00347BE2"/>
    <w:rsid w:val="00347CA8"/>
    <w:rsid w:val="00350E01"/>
    <w:rsid w:val="003510D2"/>
    <w:rsid w:val="00352EBC"/>
    <w:rsid w:val="0035647D"/>
    <w:rsid w:val="00357127"/>
    <w:rsid w:val="00357454"/>
    <w:rsid w:val="00357A80"/>
    <w:rsid w:val="003602BA"/>
    <w:rsid w:val="00361198"/>
    <w:rsid w:val="0036133C"/>
    <w:rsid w:val="00362580"/>
    <w:rsid w:val="003626EF"/>
    <w:rsid w:val="00364C0F"/>
    <w:rsid w:val="00364C82"/>
    <w:rsid w:val="003654D4"/>
    <w:rsid w:val="00367B88"/>
    <w:rsid w:val="00367BD5"/>
    <w:rsid w:val="00367EEC"/>
    <w:rsid w:val="00370675"/>
    <w:rsid w:val="00370DC5"/>
    <w:rsid w:val="0037126F"/>
    <w:rsid w:val="0037176F"/>
    <w:rsid w:val="0037196D"/>
    <w:rsid w:val="0037264A"/>
    <w:rsid w:val="00372D46"/>
    <w:rsid w:val="00372F2B"/>
    <w:rsid w:val="00374531"/>
    <w:rsid w:val="00374885"/>
    <w:rsid w:val="00374920"/>
    <w:rsid w:val="00374BAD"/>
    <w:rsid w:val="00376B4E"/>
    <w:rsid w:val="00380E98"/>
    <w:rsid w:val="00381605"/>
    <w:rsid w:val="00381DBE"/>
    <w:rsid w:val="003824CF"/>
    <w:rsid w:val="003827A1"/>
    <w:rsid w:val="00382C2E"/>
    <w:rsid w:val="00382DE2"/>
    <w:rsid w:val="003852C8"/>
    <w:rsid w:val="003855EF"/>
    <w:rsid w:val="00385C1D"/>
    <w:rsid w:val="0038761F"/>
    <w:rsid w:val="00390327"/>
    <w:rsid w:val="00391085"/>
    <w:rsid w:val="0039162D"/>
    <w:rsid w:val="003928AB"/>
    <w:rsid w:val="00393817"/>
    <w:rsid w:val="00393B78"/>
    <w:rsid w:val="00393C3F"/>
    <w:rsid w:val="00393C78"/>
    <w:rsid w:val="00393CFC"/>
    <w:rsid w:val="003947B8"/>
    <w:rsid w:val="00395801"/>
    <w:rsid w:val="00395858"/>
    <w:rsid w:val="00396CE4"/>
    <w:rsid w:val="003970B0"/>
    <w:rsid w:val="003A01E9"/>
    <w:rsid w:val="003A0635"/>
    <w:rsid w:val="003A0B08"/>
    <w:rsid w:val="003A1987"/>
    <w:rsid w:val="003A290D"/>
    <w:rsid w:val="003A3215"/>
    <w:rsid w:val="003A33B8"/>
    <w:rsid w:val="003A37E5"/>
    <w:rsid w:val="003A390A"/>
    <w:rsid w:val="003A3F13"/>
    <w:rsid w:val="003A4A1F"/>
    <w:rsid w:val="003A6451"/>
    <w:rsid w:val="003A66D9"/>
    <w:rsid w:val="003A6751"/>
    <w:rsid w:val="003A6BBE"/>
    <w:rsid w:val="003A786D"/>
    <w:rsid w:val="003A7D24"/>
    <w:rsid w:val="003B07A8"/>
    <w:rsid w:val="003B098E"/>
    <w:rsid w:val="003B0B51"/>
    <w:rsid w:val="003B0DD1"/>
    <w:rsid w:val="003B0F93"/>
    <w:rsid w:val="003B10B6"/>
    <w:rsid w:val="003B3DC2"/>
    <w:rsid w:val="003B4858"/>
    <w:rsid w:val="003B5AA4"/>
    <w:rsid w:val="003B5CDD"/>
    <w:rsid w:val="003B6B23"/>
    <w:rsid w:val="003B6D29"/>
    <w:rsid w:val="003B7E58"/>
    <w:rsid w:val="003B7F2F"/>
    <w:rsid w:val="003C004F"/>
    <w:rsid w:val="003C019B"/>
    <w:rsid w:val="003C0306"/>
    <w:rsid w:val="003C0DD8"/>
    <w:rsid w:val="003C114C"/>
    <w:rsid w:val="003C18C4"/>
    <w:rsid w:val="003C32A8"/>
    <w:rsid w:val="003C33C2"/>
    <w:rsid w:val="003C4579"/>
    <w:rsid w:val="003C465D"/>
    <w:rsid w:val="003C571C"/>
    <w:rsid w:val="003C573B"/>
    <w:rsid w:val="003C6323"/>
    <w:rsid w:val="003D151B"/>
    <w:rsid w:val="003D1579"/>
    <w:rsid w:val="003D1D29"/>
    <w:rsid w:val="003D1F98"/>
    <w:rsid w:val="003D22E9"/>
    <w:rsid w:val="003D33F2"/>
    <w:rsid w:val="003D495D"/>
    <w:rsid w:val="003D5B63"/>
    <w:rsid w:val="003D5F9C"/>
    <w:rsid w:val="003D7C80"/>
    <w:rsid w:val="003E00A1"/>
    <w:rsid w:val="003E0431"/>
    <w:rsid w:val="003E098E"/>
    <w:rsid w:val="003E24F8"/>
    <w:rsid w:val="003E2E36"/>
    <w:rsid w:val="003E2F1A"/>
    <w:rsid w:val="003E2FAE"/>
    <w:rsid w:val="003E5F0A"/>
    <w:rsid w:val="003E6CE5"/>
    <w:rsid w:val="003E6E40"/>
    <w:rsid w:val="003E740D"/>
    <w:rsid w:val="003F046C"/>
    <w:rsid w:val="003F0824"/>
    <w:rsid w:val="003F0A6F"/>
    <w:rsid w:val="003F0AE7"/>
    <w:rsid w:val="003F118B"/>
    <w:rsid w:val="003F2A0F"/>
    <w:rsid w:val="003F31DE"/>
    <w:rsid w:val="003F31E3"/>
    <w:rsid w:val="003F494D"/>
    <w:rsid w:val="003F59D1"/>
    <w:rsid w:val="003F5C95"/>
    <w:rsid w:val="003F5F3D"/>
    <w:rsid w:val="003F5F4E"/>
    <w:rsid w:val="003F6C4E"/>
    <w:rsid w:val="003F6F10"/>
    <w:rsid w:val="004007CF"/>
    <w:rsid w:val="00400F0B"/>
    <w:rsid w:val="004011AE"/>
    <w:rsid w:val="00401596"/>
    <w:rsid w:val="00402273"/>
    <w:rsid w:val="004047D6"/>
    <w:rsid w:val="00404B0C"/>
    <w:rsid w:val="00404BA3"/>
    <w:rsid w:val="00404F60"/>
    <w:rsid w:val="0040548E"/>
    <w:rsid w:val="004058BA"/>
    <w:rsid w:val="00405BD1"/>
    <w:rsid w:val="00405C54"/>
    <w:rsid w:val="00405E9C"/>
    <w:rsid w:val="00407737"/>
    <w:rsid w:val="00407B60"/>
    <w:rsid w:val="00407CF7"/>
    <w:rsid w:val="00407F6B"/>
    <w:rsid w:val="00410A44"/>
    <w:rsid w:val="00413B21"/>
    <w:rsid w:val="00413D4E"/>
    <w:rsid w:val="0041492D"/>
    <w:rsid w:val="00414AE5"/>
    <w:rsid w:val="00414C92"/>
    <w:rsid w:val="00415B6C"/>
    <w:rsid w:val="00415B9D"/>
    <w:rsid w:val="00415ED6"/>
    <w:rsid w:val="004174C8"/>
    <w:rsid w:val="00417CAF"/>
    <w:rsid w:val="00420377"/>
    <w:rsid w:val="00420A11"/>
    <w:rsid w:val="00421F71"/>
    <w:rsid w:val="00422265"/>
    <w:rsid w:val="0042247E"/>
    <w:rsid w:val="004227A6"/>
    <w:rsid w:val="00422838"/>
    <w:rsid w:val="00422B6B"/>
    <w:rsid w:val="004244EB"/>
    <w:rsid w:val="00424578"/>
    <w:rsid w:val="0042540D"/>
    <w:rsid w:val="004254A0"/>
    <w:rsid w:val="00425AE6"/>
    <w:rsid w:val="0042657E"/>
    <w:rsid w:val="004271E8"/>
    <w:rsid w:val="00430856"/>
    <w:rsid w:val="0043098E"/>
    <w:rsid w:val="00431134"/>
    <w:rsid w:val="004322FE"/>
    <w:rsid w:val="0043264E"/>
    <w:rsid w:val="004341BD"/>
    <w:rsid w:val="00434244"/>
    <w:rsid w:val="004346C8"/>
    <w:rsid w:val="00434F29"/>
    <w:rsid w:val="0043502A"/>
    <w:rsid w:val="00435218"/>
    <w:rsid w:val="00435562"/>
    <w:rsid w:val="0043659D"/>
    <w:rsid w:val="00436D1A"/>
    <w:rsid w:val="00436FE0"/>
    <w:rsid w:val="00437219"/>
    <w:rsid w:val="00437292"/>
    <w:rsid w:val="004373A7"/>
    <w:rsid w:val="0043777A"/>
    <w:rsid w:val="00437D94"/>
    <w:rsid w:val="00437E21"/>
    <w:rsid w:val="00440302"/>
    <w:rsid w:val="0044030C"/>
    <w:rsid w:val="00441367"/>
    <w:rsid w:val="0044166F"/>
    <w:rsid w:val="00441A68"/>
    <w:rsid w:val="00441D6F"/>
    <w:rsid w:val="00441FEE"/>
    <w:rsid w:val="00444095"/>
    <w:rsid w:val="0044454C"/>
    <w:rsid w:val="00445113"/>
    <w:rsid w:val="004451CD"/>
    <w:rsid w:val="004464DF"/>
    <w:rsid w:val="00447EEC"/>
    <w:rsid w:val="00450938"/>
    <w:rsid w:val="00450CE1"/>
    <w:rsid w:val="00452153"/>
    <w:rsid w:val="00452896"/>
    <w:rsid w:val="00453171"/>
    <w:rsid w:val="00453E89"/>
    <w:rsid w:val="0045454F"/>
    <w:rsid w:val="00455C05"/>
    <w:rsid w:val="00457ACD"/>
    <w:rsid w:val="004606E9"/>
    <w:rsid w:val="004609CA"/>
    <w:rsid w:val="00460FB4"/>
    <w:rsid w:val="00461B03"/>
    <w:rsid w:val="00462123"/>
    <w:rsid w:val="004621B6"/>
    <w:rsid w:val="0046319C"/>
    <w:rsid w:val="004638C7"/>
    <w:rsid w:val="00463AFF"/>
    <w:rsid w:val="0046480B"/>
    <w:rsid w:val="004648A4"/>
    <w:rsid w:val="00465BE0"/>
    <w:rsid w:val="00466484"/>
    <w:rsid w:val="00466E62"/>
    <w:rsid w:val="004671A0"/>
    <w:rsid w:val="0047072D"/>
    <w:rsid w:val="00471380"/>
    <w:rsid w:val="004713B9"/>
    <w:rsid w:val="00471774"/>
    <w:rsid w:val="0047342E"/>
    <w:rsid w:val="00474382"/>
    <w:rsid w:val="00474899"/>
    <w:rsid w:val="00474B02"/>
    <w:rsid w:val="00474DCC"/>
    <w:rsid w:val="00475694"/>
    <w:rsid w:val="00475F3B"/>
    <w:rsid w:val="00476800"/>
    <w:rsid w:val="00477A69"/>
    <w:rsid w:val="00477B89"/>
    <w:rsid w:val="00480266"/>
    <w:rsid w:val="004802EB"/>
    <w:rsid w:val="004820D8"/>
    <w:rsid w:val="0048221F"/>
    <w:rsid w:val="00483815"/>
    <w:rsid w:val="004842EC"/>
    <w:rsid w:val="00484861"/>
    <w:rsid w:val="0048502C"/>
    <w:rsid w:val="004856EC"/>
    <w:rsid w:val="00486F0E"/>
    <w:rsid w:val="00490F4E"/>
    <w:rsid w:val="00492491"/>
    <w:rsid w:val="00494991"/>
    <w:rsid w:val="00494F0D"/>
    <w:rsid w:val="00496BFD"/>
    <w:rsid w:val="00496EDA"/>
    <w:rsid w:val="004972B6"/>
    <w:rsid w:val="004974F7"/>
    <w:rsid w:val="00497519"/>
    <w:rsid w:val="004A23CE"/>
    <w:rsid w:val="004A2B41"/>
    <w:rsid w:val="004A308A"/>
    <w:rsid w:val="004A3DF2"/>
    <w:rsid w:val="004A4BAC"/>
    <w:rsid w:val="004A55CC"/>
    <w:rsid w:val="004A59BA"/>
    <w:rsid w:val="004A5DBE"/>
    <w:rsid w:val="004A63D1"/>
    <w:rsid w:val="004A67C4"/>
    <w:rsid w:val="004A7A44"/>
    <w:rsid w:val="004B0777"/>
    <w:rsid w:val="004B10FB"/>
    <w:rsid w:val="004B1136"/>
    <w:rsid w:val="004B1321"/>
    <w:rsid w:val="004B14DF"/>
    <w:rsid w:val="004B1B39"/>
    <w:rsid w:val="004B2936"/>
    <w:rsid w:val="004B3435"/>
    <w:rsid w:val="004B3539"/>
    <w:rsid w:val="004B3572"/>
    <w:rsid w:val="004B47A3"/>
    <w:rsid w:val="004B50F9"/>
    <w:rsid w:val="004B6023"/>
    <w:rsid w:val="004B6061"/>
    <w:rsid w:val="004B60BC"/>
    <w:rsid w:val="004B6A47"/>
    <w:rsid w:val="004B7582"/>
    <w:rsid w:val="004B7AB4"/>
    <w:rsid w:val="004B7BD1"/>
    <w:rsid w:val="004C09F5"/>
    <w:rsid w:val="004C11B7"/>
    <w:rsid w:val="004C1816"/>
    <w:rsid w:val="004C189F"/>
    <w:rsid w:val="004C31EA"/>
    <w:rsid w:val="004C361D"/>
    <w:rsid w:val="004C3A92"/>
    <w:rsid w:val="004C3A95"/>
    <w:rsid w:val="004C3CE8"/>
    <w:rsid w:val="004C3D4C"/>
    <w:rsid w:val="004C3FAF"/>
    <w:rsid w:val="004C4891"/>
    <w:rsid w:val="004C615E"/>
    <w:rsid w:val="004C65C6"/>
    <w:rsid w:val="004C6F55"/>
    <w:rsid w:val="004C71DC"/>
    <w:rsid w:val="004C7299"/>
    <w:rsid w:val="004C7E92"/>
    <w:rsid w:val="004C7EE1"/>
    <w:rsid w:val="004D13FD"/>
    <w:rsid w:val="004D1442"/>
    <w:rsid w:val="004D16B5"/>
    <w:rsid w:val="004D2404"/>
    <w:rsid w:val="004D290A"/>
    <w:rsid w:val="004D2C89"/>
    <w:rsid w:val="004D3295"/>
    <w:rsid w:val="004D340E"/>
    <w:rsid w:val="004D448E"/>
    <w:rsid w:val="004D5773"/>
    <w:rsid w:val="004D594A"/>
    <w:rsid w:val="004D6215"/>
    <w:rsid w:val="004D76D4"/>
    <w:rsid w:val="004E014A"/>
    <w:rsid w:val="004E06E0"/>
    <w:rsid w:val="004E181B"/>
    <w:rsid w:val="004E221B"/>
    <w:rsid w:val="004E2355"/>
    <w:rsid w:val="004E2AFC"/>
    <w:rsid w:val="004E33C1"/>
    <w:rsid w:val="004E3932"/>
    <w:rsid w:val="004E4997"/>
    <w:rsid w:val="004E4DE1"/>
    <w:rsid w:val="004E5704"/>
    <w:rsid w:val="004E66C8"/>
    <w:rsid w:val="004E6F8C"/>
    <w:rsid w:val="004E6FC2"/>
    <w:rsid w:val="004F0CBC"/>
    <w:rsid w:val="004F0D95"/>
    <w:rsid w:val="004F1A33"/>
    <w:rsid w:val="004F1B74"/>
    <w:rsid w:val="004F1E79"/>
    <w:rsid w:val="004F22A0"/>
    <w:rsid w:val="004F495E"/>
    <w:rsid w:val="004F4A19"/>
    <w:rsid w:val="004F4A6E"/>
    <w:rsid w:val="004F53D7"/>
    <w:rsid w:val="004F568F"/>
    <w:rsid w:val="004F5F33"/>
    <w:rsid w:val="004F5FCE"/>
    <w:rsid w:val="0050103A"/>
    <w:rsid w:val="00501BE9"/>
    <w:rsid w:val="005020FB"/>
    <w:rsid w:val="00502264"/>
    <w:rsid w:val="00502E24"/>
    <w:rsid w:val="005040CB"/>
    <w:rsid w:val="00504CBF"/>
    <w:rsid w:val="00504CDA"/>
    <w:rsid w:val="00504F82"/>
    <w:rsid w:val="005050E2"/>
    <w:rsid w:val="00505743"/>
    <w:rsid w:val="005057CB"/>
    <w:rsid w:val="00506817"/>
    <w:rsid w:val="00506B45"/>
    <w:rsid w:val="005105D9"/>
    <w:rsid w:val="00510A58"/>
    <w:rsid w:val="00511B0F"/>
    <w:rsid w:val="0051261D"/>
    <w:rsid w:val="0051287A"/>
    <w:rsid w:val="0051410B"/>
    <w:rsid w:val="00514694"/>
    <w:rsid w:val="00514DE7"/>
    <w:rsid w:val="005154F6"/>
    <w:rsid w:val="0052095A"/>
    <w:rsid w:val="00523499"/>
    <w:rsid w:val="005236A8"/>
    <w:rsid w:val="00523B26"/>
    <w:rsid w:val="00523F0F"/>
    <w:rsid w:val="00524D72"/>
    <w:rsid w:val="005264E8"/>
    <w:rsid w:val="00526CD8"/>
    <w:rsid w:val="00527061"/>
    <w:rsid w:val="0053116B"/>
    <w:rsid w:val="00531445"/>
    <w:rsid w:val="00532279"/>
    <w:rsid w:val="00533225"/>
    <w:rsid w:val="00533302"/>
    <w:rsid w:val="00533F10"/>
    <w:rsid w:val="00536721"/>
    <w:rsid w:val="00537DFE"/>
    <w:rsid w:val="00537FE1"/>
    <w:rsid w:val="0054085A"/>
    <w:rsid w:val="00540EAE"/>
    <w:rsid w:val="005414AC"/>
    <w:rsid w:val="00541F7A"/>
    <w:rsid w:val="0054432C"/>
    <w:rsid w:val="00544933"/>
    <w:rsid w:val="00545E37"/>
    <w:rsid w:val="005504C2"/>
    <w:rsid w:val="005508CE"/>
    <w:rsid w:val="0055117A"/>
    <w:rsid w:val="005515B2"/>
    <w:rsid w:val="00552A92"/>
    <w:rsid w:val="00552D98"/>
    <w:rsid w:val="0055388E"/>
    <w:rsid w:val="00555448"/>
    <w:rsid w:val="00555EBA"/>
    <w:rsid w:val="00557845"/>
    <w:rsid w:val="00557BDE"/>
    <w:rsid w:val="00561F34"/>
    <w:rsid w:val="00562DB7"/>
    <w:rsid w:val="005630A1"/>
    <w:rsid w:val="0056496D"/>
    <w:rsid w:val="00566697"/>
    <w:rsid w:val="00571576"/>
    <w:rsid w:val="00573453"/>
    <w:rsid w:val="00573E30"/>
    <w:rsid w:val="0057519D"/>
    <w:rsid w:val="005754AE"/>
    <w:rsid w:val="005763D7"/>
    <w:rsid w:val="00576E03"/>
    <w:rsid w:val="00577441"/>
    <w:rsid w:val="0057754F"/>
    <w:rsid w:val="005778CE"/>
    <w:rsid w:val="00577FB5"/>
    <w:rsid w:val="00581231"/>
    <w:rsid w:val="00581629"/>
    <w:rsid w:val="00583902"/>
    <w:rsid w:val="00584121"/>
    <w:rsid w:val="00584704"/>
    <w:rsid w:val="00584A91"/>
    <w:rsid w:val="00584BEF"/>
    <w:rsid w:val="00584E5C"/>
    <w:rsid w:val="005852D1"/>
    <w:rsid w:val="00586A64"/>
    <w:rsid w:val="00587348"/>
    <w:rsid w:val="00587525"/>
    <w:rsid w:val="00587A22"/>
    <w:rsid w:val="00587B49"/>
    <w:rsid w:val="00587C84"/>
    <w:rsid w:val="00587C91"/>
    <w:rsid w:val="00587E35"/>
    <w:rsid w:val="005908DD"/>
    <w:rsid w:val="00590AC6"/>
    <w:rsid w:val="00590DCC"/>
    <w:rsid w:val="00590F33"/>
    <w:rsid w:val="00591D77"/>
    <w:rsid w:val="00591E04"/>
    <w:rsid w:val="0059299D"/>
    <w:rsid w:val="005940FE"/>
    <w:rsid w:val="005949F9"/>
    <w:rsid w:val="0059585D"/>
    <w:rsid w:val="00595C8C"/>
    <w:rsid w:val="00596902"/>
    <w:rsid w:val="005971D5"/>
    <w:rsid w:val="00597747"/>
    <w:rsid w:val="00597811"/>
    <w:rsid w:val="005979C9"/>
    <w:rsid w:val="005A054B"/>
    <w:rsid w:val="005A05FA"/>
    <w:rsid w:val="005A0642"/>
    <w:rsid w:val="005A0CDA"/>
    <w:rsid w:val="005A1920"/>
    <w:rsid w:val="005A212E"/>
    <w:rsid w:val="005A4CDD"/>
    <w:rsid w:val="005A6C9B"/>
    <w:rsid w:val="005B1010"/>
    <w:rsid w:val="005B1183"/>
    <w:rsid w:val="005B20B5"/>
    <w:rsid w:val="005B33A5"/>
    <w:rsid w:val="005B3551"/>
    <w:rsid w:val="005B37E4"/>
    <w:rsid w:val="005B3853"/>
    <w:rsid w:val="005B4219"/>
    <w:rsid w:val="005B4F60"/>
    <w:rsid w:val="005B57E4"/>
    <w:rsid w:val="005B5ABD"/>
    <w:rsid w:val="005B5DD1"/>
    <w:rsid w:val="005B5E75"/>
    <w:rsid w:val="005B5EED"/>
    <w:rsid w:val="005B7798"/>
    <w:rsid w:val="005B7D60"/>
    <w:rsid w:val="005B7FC8"/>
    <w:rsid w:val="005C1390"/>
    <w:rsid w:val="005C140A"/>
    <w:rsid w:val="005C2011"/>
    <w:rsid w:val="005C2B42"/>
    <w:rsid w:val="005C30C4"/>
    <w:rsid w:val="005C3122"/>
    <w:rsid w:val="005C34BE"/>
    <w:rsid w:val="005C4AC6"/>
    <w:rsid w:val="005C51F3"/>
    <w:rsid w:val="005C6763"/>
    <w:rsid w:val="005C7580"/>
    <w:rsid w:val="005C7E75"/>
    <w:rsid w:val="005D1B31"/>
    <w:rsid w:val="005D3164"/>
    <w:rsid w:val="005D3F62"/>
    <w:rsid w:val="005D49B0"/>
    <w:rsid w:val="005D622A"/>
    <w:rsid w:val="005D65ED"/>
    <w:rsid w:val="005D787E"/>
    <w:rsid w:val="005D7ECE"/>
    <w:rsid w:val="005E0344"/>
    <w:rsid w:val="005E17B4"/>
    <w:rsid w:val="005E211F"/>
    <w:rsid w:val="005E26A5"/>
    <w:rsid w:val="005E2A17"/>
    <w:rsid w:val="005E3470"/>
    <w:rsid w:val="005E440B"/>
    <w:rsid w:val="005E4A0A"/>
    <w:rsid w:val="005E4C53"/>
    <w:rsid w:val="005E58F0"/>
    <w:rsid w:val="005E64E8"/>
    <w:rsid w:val="005E6C44"/>
    <w:rsid w:val="005E71ED"/>
    <w:rsid w:val="005E73F2"/>
    <w:rsid w:val="005E74C9"/>
    <w:rsid w:val="005E7A77"/>
    <w:rsid w:val="005E7EF9"/>
    <w:rsid w:val="005E7FBC"/>
    <w:rsid w:val="005F0891"/>
    <w:rsid w:val="005F0BBA"/>
    <w:rsid w:val="005F10DC"/>
    <w:rsid w:val="005F2A15"/>
    <w:rsid w:val="005F2C85"/>
    <w:rsid w:val="005F3236"/>
    <w:rsid w:val="005F3245"/>
    <w:rsid w:val="005F39DC"/>
    <w:rsid w:val="005F61B0"/>
    <w:rsid w:val="005F6961"/>
    <w:rsid w:val="006009D9"/>
    <w:rsid w:val="006023EC"/>
    <w:rsid w:val="00603679"/>
    <w:rsid w:val="006036E6"/>
    <w:rsid w:val="00604786"/>
    <w:rsid w:val="00605ADB"/>
    <w:rsid w:val="00605E2D"/>
    <w:rsid w:val="00606DEF"/>
    <w:rsid w:val="00606E20"/>
    <w:rsid w:val="00606F3C"/>
    <w:rsid w:val="0060746C"/>
    <w:rsid w:val="0060748D"/>
    <w:rsid w:val="00607C9E"/>
    <w:rsid w:val="00611C9F"/>
    <w:rsid w:val="00611EFF"/>
    <w:rsid w:val="00612A4C"/>
    <w:rsid w:val="00613480"/>
    <w:rsid w:val="00614D08"/>
    <w:rsid w:val="0061558D"/>
    <w:rsid w:val="00615E06"/>
    <w:rsid w:val="00616771"/>
    <w:rsid w:val="006168B1"/>
    <w:rsid w:val="006169E4"/>
    <w:rsid w:val="00617084"/>
    <w:rsid w:val="00617337"/>
    <w:rsid w:val="00620670"/>
    <w:rsid w:val="0062126B"/>
    <w:rsid w:val="00621BBE"/>
    <w:rsid w:val="00621BF6"/>
    <w:rsid w:val="00621C54"/>
    <w:rsid w:val="00621E3A"/>
    <w:rsid w:val="006222C1"/>
    <w:rsid w:val="00622EED"/>
    <w:rsid w:val="0062320D"/>
    <w:rsid w:val="006235C5"/>
    <w:rsid w:val="00624063"/>
    <w:rsid w:val="006241E7"/>
    <w:rsid w:val="00624C44"/>
    <w:rsid w:val="00624C50"/>
    <w:rsid w:val="006251D5"/>
    <w:rsid w:val="006253B7"/>
    <w:rsid w:val="00626CAA"/>
    <w:rsid w:val="00627555"/>
    <w:rsid w:val="00627809"/>
    <w:rsid w:val="00627B76"/>
    <w:rsid w:val="00630371"/>
    <w:rsid w:val="0063134D"/>
    <w:rsid w:val="006316C4"/>
    <w:rsid w:val="00631AAB"/>
    <w:rsid w:val="006322A0"/>
    <w:rsid w:val="0063393D"/>
    <w:rsid w:val="00634292"/>
    <w:rsid w:val="00634DC8"/>
    <w:rsid w:val="00634DFF"/>
    <w:rsid w:val="00635002"/>
    <w:rsid w:val="00635AFC"/>
    <w:rsid w:val="00635D09"/>
    <w:rsid w:val="006361FD"/>
    <w:rsid w:val="00636505"/>
    <w:rsid w:val="00636CF0"/>
    <w:rsid w:val="00636D6A"/>
    <w:rsid w:val="00637B24"/>
    <w:rsid w:val="00637CAF"/>
    <w:rsid w:val="00640B08"/>
    <w:rsid w:val="006411B5"/>
    <w:rsid w:val="0064226F"/>
    <w:rsid w:val="00642567"/>
    <w:rsid w:val="00642612"/>
    <w:rsid w:val="0064270B"/>
    <w:rsid w:val="00643292"/>
    <w:rsid w:val="00643528"/>
    <w:rsid w:val="00643E94"/>
    <w:rsid w:val="00644FD7"/>
    <w:rsid w:val="006464F9"/>
    <w:rsid w:val="00647073"/>
    <w:rsid w:val="0064745E"/>
    <w:rsid w:val="006474AE"/>
    <w:rsid w:val="00650502"/>
    <w:rsid w:val="00650861"/>
    <w:rsid w:val="006508B5"/>
    <w:rsid w:val="00650FD1"/>
    <w:rsid w:val="00651963"/>
    <w:rsid w:val="006521B6"/>
    <w:rsid w:val="00653298"/>
    <w:rsid w:val="006545DE"/>
    <w:rsid w:val="0065561B"/>
    <w:rsid w:val="0065607C"/>
    <w:rsid w:val="00656856"/>
    <w:rsid w:val="00657E95"/>
    <w:rsid w:val="006602BE"/>
    <w:rsid w:val="00660415"/>
    <w:rsid w:val="00660BEB"/>
    <w:rsid w:val="00660F88"/>
    <w:rsid w:val="00661C06"/>
    <w:rsid w:val="00662534"/>
    <w:rsid w:val="0066285E"/>
    <w:rsid w:val="00663A7C"/>
    <w:rsid w:val="00663D2A"/>
    <w:rsid w:val="0066404C"/>
    <w:rsid w:val="00664155"/>
    <w:rsid w:val="0066523F"/>
    <w:rsid w:val="00666672"/>
    <w:rsid w:val="00667044"/>
    <w:rsid w:val="00667DF2"/>
    <w:rsid w:val="00667FE5"/>
    <w:rsid w:val="00670644"/>
    <w:rsid w:val="00670BC1"/>
    <w:rsid w:val="00670DF1"/>
    <w:rsid w:val="00671205"/>
    <w:rsid w:val="00671345"/>
    <w:rsid w:val="00671E64"/>
    <w:rsid w:val="00671EB4"/>
    <w:rsid w:val="00672A9B"/>
    <w:rsid w:val="00673211"/>
    <w:rsid w:val="00674646"/>
    <w:rsid w:val="006748DA"/>
    <w:rsid w:val="00675884"/>
    <w:rsid w:val="0067628A"/>
    <w:rsid w:val="00677F22"/>
    <w:rsid w:val="00680213"/>
    <w:rsid w:val="00680537"/>
    <w:rsid w:val="006806A6"/>
    <w:rsid w:val="0068090E"/>
    <w:rsid w:val="006818F9"/>
    <w:rsid w:val="006820DB"/>
    <w:rsid w:val="0068299E"/>
    <w:rsid w:val="00682E7C"/>
    <w:rsid w:val="00683698"/>
    <w:rsid w:val="00683736"/>
    <w:rsid w:val="00685497"/>
    <w:rsid w:val="00685955"/>
    <w:rsid w:val="00685B0B"/>
    <w:rsid w:val="0068657D"/>
    <w:rsid w:val="00686AC8"/>
    <w:rsid w:val="00687A4E"/>
    <w:rsid w:val="0069026D"/>
    <w:rsid w:val="00690B0F"/>
    <w:rsid w:val="006919EA"/>
    <w:rsid w:val="00691BCF"/>
    <w:rsid w:val="00691C62"/>
    <w:rsid w:val="00693593"/>
    <w:rsid w:val="0069389B"/>
    <w:rsid w:val="00695E8A"/>
    <w:rsid w:val="006966CA"/>
    <w:rsid w:val="00696D09"/>
    <w:rsid w:val="00696EDA"/>
    <w:rsid w:val="00696EDE"/>
    <w:rsid w:val="00696EE0"/>
    <w:rsid w:val="00697980"/>
    <w:rsid w:val="006A0932"/>
    <w:rsid w:val="006A0F00"/>
    <w:rsid w:val="006A0F0B"/>
    <w:rsid w:val="006A13A7"/>
    <w:rsid w:val="006A13CE"/>
    <w:rsid w:val="006A1921"/>
    <w:rsid w:val="006A19EF"/>
    <w:rsid w:val="006A1D4E"/>
    <w:rsid w:val="006A29C1"/>
    <w:rsid w:val="006A43D5"/>
    <w:rsid w:val="006A48C0"/>
    <w:rsid w:val="006A4D3A"/>
    <w:rsid w:val="006A5011"/>
    <w:rsid w:val="006A525B"/>
    <w:rsid w:val="006A5B2A"/>
    <w:rsid w:val="006A61D0"/>
    <w:rsid w:val="006A6930"/>
    <w:rsid w:val="006A7160"/>
    <w:rsid w:val="006B076F"/>
    <w:rsid w:val="006B1342"/>
    <w:rsid w:val="006B1794"/>
    <w:rsid w:val="006B19EE"/>
    <w:rsid w:val="006B2284"/>
    <w:rsid w:val="006B3444"/>
    <w:rsid w:val="006B45A1"/>
    <w:rsid w:val="006B5201"/>
    <w:rsid w:val="006B5A2E"/>
    <w:rsid w:val="006B5BFE"/>
    <w:rsid w:val="006B5E7A"/>
    <w:rsid w:val="006B6327"/>
    <w:rsid w:val="006C0211"/>
    <w:rsid w:val="006C045F"/>
    <w:rsid w:val="006C0E0E"/>
    <w:rsid w:val="006C113A"/>
    <w:rsid w:val="006C1F6A"/>
    <w:rsid w:val="006C3878"/>
    <w:rsid w:val="006C3893"/>
    <w:rsid w:val="006C3A19"/>
    <w:rsid w:val="006C4196"/>
    <w:rsid w:val="006C4A57"/>
    <w:rsid w:val="006C510C"/>
    <w:rsid w:val="006C52AE"/>
    <w:rsid w:val="006C5589"/>
    <w:rsid w:val="006C624D"/>
    <w:rsid w:val="006C63B0"/>
    <w:rsid w:val="006C6DCB"/>
    <w:rsid w:val="006C72EE"/>
    <w:rsid w:val="006C76A2"/>
    <w:rsid w:val="006C792E"/>
    <w:rsid w:val="006C7AE5"/>
    <w:rsid w:val="006C7FDB"/>
    <w:rsid w:val="006D116C"/>
    <w:rsid w:val="006D1A36"/>
    <w:rsid w:val="006D1A98"/>
    <w:rsid w:val="006D2C75"/>
    <w:rsid w:val="006D39D4"/>
    <w:rsid w:val="006D3F7B"/>
    <w:rsid w:val="006D4238"/>
    <w:rsid w:val="006D42FC"/>
    <w:rsid w:val="006D4612"/>
    <w:rsid w:val="006D6209"/>
    <w:rsid w:val="006D6EF9"/>
    <w:rsid w:val="006D7575"/>
    <w:rsid w:val="006E200C"/>
    <w:rsid w:val="006E22C1"/>
    <w:rsid w:val="006E23AD"/>
    <w:rsid w:val="006E2793"/>
    <w:rsid w:val="006E2DA5"/>
    <w:rsid w:val="006E40CD"/>
    <w:rsid w:val="006E4214"/>
    <w:rsid w:val="006E6C26"/>
    <w:rsid w:val="006E77F3"/>
    <w:rsid w:val="006E7C42"/>
    <w:rsid w:val="006F03CF"/>
    <w:rsid w:val="006F14C0"/>
    <w:rsid w:val="006F1540"/>
    <w:rsid w:val="006F168A"/>
    <w:rsid w:val="006F452D"/>
    <w:rsid w:val="006F469B"/>
    <w:rsid w:val="006F5076"/>
    <w:rsid w:val="006F52CA"/>
    <w:rsid w:val="006F6009"/>
    <w:rsid w:val="006F7D65"/>
    <w:rsid w:val="007009B3"/>
    <w:rsid w:val="0070166F"/>
    <w:rsid w:val="007016AA"/>
    <w:rsid w:val="00701884"/>
    <w:rsid w:val="00701EFF"/>
    <w:rsid w:val="0070321D"/>
    <w:rsid w:val="00705E65"/>
    <w:rsid w:val="0070680E"/>
    <w:rsid w:val="007068BA"/>
    <w:rsid w:val="00706F43"/>
    <w:rsid w:val="007078EC"/>
    <w:rsid w:val="0071002D"/>
    <w:rsid w:val="0071014D"/>
    <w:rsid w:val="0071026D"/>
    <w:rsid w:val="007103AD"/>
    <w:rsid w:val="00711BE0"/>
    <w:rsid w:val="00712172"/>
    <w:rsid w:val="00712B5E"/>
    <w:rsid w:val="007154C5"/>
    <w:rsid w:val="00716AB1"/>
    <w:rsid w:val="0071726A"/>
    <w:rsid w:val="00717649"/>
    <w:rsid w:val="007203C2"/>
    <w:rsid w:val="0072102D"/>
    <w:rsid w:val="00721589"/>
    <w:rsid w:val="007218B4"/>
    <w:rsid w:val="00721D63"/>
    <w:rsid w:val="00721D9B"/>
    <w:rsid w:val="00722722"/>
    <w:rsid w:val="00722ADA"/>
    <w:rsid w:val="00723A00"/>
    <w:rsid w:val="0072433E"/>
    <w:rsid w:val="0072437B"/>
    <w:rsid w:val="0072490B"/>
    <w:rsid w:val="00725318"/>
    <w:rsid w:val="007253C7"/>
    <w:rsid w:val="00726503"/>
    <w:rsid w:val="00726DC2"/>
    <w:rsid w:val="00730869"/>
    <w:rsid w:val="00730DFE"/>
    <w:rsid w:val="00731C6B"/>
    <w:rsid w:val="00731EE3"/>
    <w:rsid w:val="0073202D"/>
    <w:rsid w:val="00732148"/>
    <w:rsid w:val="00732BD9"/>
    <w:rsid w:val="00732C7B"/>
    <w:rsid w:val="00732DAF"/>
    <w:rsid w:val="00732F8E"/>
    <w:rsid w:val="00733044"/>
    <w:rsid w:val="00733282"/>
    <w:rsid w:val="007332B5"/>
    <w:rsid w:val="00734335"/>
    <w:rsid w:val="007345F1"/>
    <w:rsid w:val="00734D2B"/>
    <w:rsid w:val="00735014"/>
    <w:rsid w:val="0073616F"/>
    <w:rsid w:val="007370D3"/>
    <w:rsid w:val="0073733E"/>
    <w:rsid w:val="0073736E"/>
    <w:rsid w:val="007375A7"/>
    <w:rsid w:val="00737705"/>
    <w:rsid w:val="00737D29"/>
    <w:rsid w:val="007405B2"/>
    <w:rsid w:val="007408D4"/>
    <w:rsid w:val="0074153C"/>
    <w:rsid w:val="007420AC"/>
    <w:rsid w:val="007420FF"/>
    <w:rsid w:val="00742206"/>
    <w:rsid w:val="007422C9"/>
    <w:rsid w:val="00742617"/>
    <w:rsid w:val="0074272E"/>
    <w:rsid w:val="0074274F"/>
    <w:rsid w:val="00742867"/>
    <w:rsid w:val="00743D93"/>
    <w:rsid w:val="00745D34"/>
    <w:rsid w:val="00745EB8"/>
    <w:rsid w:val="0074662C"/>
    <w:rsid w:val="007477F5"/>
    <w:rsid w:val="00750ACD"/>
    <w:rsid w:val="00751E51"/>
    <w:rsid w:val="00751EC1"/>
    <w:rsid w:val="00751F0B"/>
    <w:rsid w:val="007545A2"/>
    <w:rsid w:val="00754E7D"/>
    <w:rsid w:val="007559B2"/>
    <w:rsid w:val="00756647"/>
    <w:rsid w:val="00756A95"/>
    <w:rsid w:val="00756B3D"/>
    <w:rsid w:val="0075751C"/>
    <w:rsid w:val="007575F7"/>
    <w:rsid w:val="007578CB"/>
    <w:rsid w:val="00760894"/>
    <w:rsid w:val="0076177C"/>
    <w:rsid w:val="0076253D"/>
    <w:rsid w:val="00762B78"/>
    <w:rsid w:val="00762B7F"/>
    <w:rsid w:val="00762D55"/>
    <w:rsid w:val="007631B3"/>
    <w:rsid w:val="00763670"/>
    <w:rsid w:val="00763B4D"/>
    <w:rsid w:val="00764893"/>
    <w:rsid w:val="00765257"/>
    <w:rsid w:val="00766084"/>
    <w:rsid w:val="007661F7"/>
    <w:rsid w:val="007676D7"/>
    <w:rsid w:val="007701F7"/>
    <w:rsid w:val="00770DFE"/>
    <w:rsid w:val="007712BD"/>
    <w:rsid w:val="007714AA"/>
    <w:rsid w:val="00771FBF"/>
    <w:rsid w:val="007726E2"/>
    <w:rsid w:val="00772CC6"/>
    <w:rsid w:val="00774570"/>
    <w:rsid w:val="00776CEE"/>
    <w:rsid w:val="007772FA"/>
    <w:rsid w:val="0078026D"/>
    <w:rsid w:val="00780702"/>
    <w:rsid w:val="00780861"/>
    <w:rsid w:val="00780F1C"/>
    <w:rsid w:val="007817C1"/>
    <w:rsid w:val="007817E7"/>
    <w:rsid w:val="007819B1"/>
    <w:rsid w:val="00782386"/>
    <w:rsid w:val="00782C2C"/>
    <w:rsid w:val="00782EC3"/>
    <w:rsid w:val="00783395"/>
    <w:rsid w:val="00783AFA"/>
    <w:rsid w:val="007849D3"/>
    <w:rsid w:val="00785427"/>
    <w:rsid w:val="00785688"/>
    <w:rsid w:val="007856F6"/>
    <w:rsid w:val="00785EEE"/>
    <w:rsid w:val="00786B14"/>
    <w:rsid w:val="00786D4C"/>
    <w:rsid w:val="007900AB"/>
    <w:rsid w:val="00790540"/>
    <w:rsid w:val="00790732"/>
    <w:rsid w:val="00790FDC"/>
    <w:rsid w:val="00791C29"/>
    <w:rsid w:val="00792559"/>
    <w:rsid w:val="007927F1"/>
    <w:rsid w:val="00793C9E"/>
    <w:rsid w:val="007951A8"/>
    <w:rsid w:val="007963DB"/>
    <w:rsid w:val="0079654D"/>
    <w:rsid w:val="0079669B"/>
    <w:rsid w:val="007968CA"/>
    <w:rsid w:val="0079701A"/>
    <w:rsid w:val="00797917"/>
    <w:rsid w:val="00797BB2"/>
    <w:rsid w:val="007A08F0"/>
    <w:rsid w:val="007A0BD4"/>
    <w:rsid w:val="007A0FA3"/>
    <w:rsid w:val="007A1507"/>
    <w:rsid w:val="007A19A9"/>
    <w:rsid w:val="007A1B33"/>
    <w:rsid w:val="007A1E21"/>
    <w:rsid w:val="007A2172"/>
    <w:rsid w:val="007A283E"/>
    <w:rsid w:val="007A43FF"/>
    <w:rsid w:val="007A506C"/>
    <w:rsid w:val="007A5D6B"/>
    <w:rsid w:val="007A63B6"/>
    <w:rsid w:val="007A6408"/>
    <w:rsid w:val="007A71D6"/>
    <w:rsid w:val="007A7655"/>
    <w:rsid w:val="007B0F94"/>
    <w:rsid w:val="007B1C29"/>
    <w:rsid w:val="007B1E77"/>
    <w:rsid w:val="007B28FE"/>
    <w:rsid w:val="007B2C57"/>
    <w:rsid w:val="007B3250"/>
    <w:rsid w:val="007B34CD"/>
    <w:rsid w:val="007B3871"/>
    <w:rsid w:val="007B3918"/>
    <w:rsid w:val="007B45AE"/>
    <w:rsid w:val="007B52B9"/>
    <w:rsid w:val="007B569A"/>
    <w:rsid w:val="007B5AB6"/>
    <w:rsid w:val="007B6012"/>
    <w:rsid w:val="007B60CF"/>
    <w:rsid w:val="007B6927"/>
    <w:rsid w:val="007B7253"/>
    <w:rsid w:val="007C003D"/>
    <w:rsid w:val="007C060E"/>
    <w:rsid w:val="007C09A9"/>
    <w:rsid w:val="007C0AD9"/>
    <w:rsid w:val="007C121A"/>
    <w:rsid w:val="007C1AF7"/>
    <w:rsid w:val="007C1C08"/>
    <w:rsid w:val="007C1C89"/>
    <w:rsid w:val="007C282A"/>
    <w:rsid w:val="007C2DBC"/>
    <w:rsid w:val="007C3C1D"/>
    <w:rsid w:val="007C4031"/>
    <w:rsid w:val="007C434D"/>
    <w:rsid w:val="007C55B0"/>
    <w:rsid w:val="007C5C0E"/>
    <w:rsid w:val="007C7681"/>
    <w:rsid w:val="007D055C"/>
    <w:rsid w:val="007D199A"/>
    <w:rsid w:val="007D1F6D"/>
    <w:rsid w:val="007D2EBE"/>
    <w:rsid w:val="007D5089"/>
    <w:rsid w:val="007D6010"/>
    <w:rsid w:val="007D6680"/>
    <w:rsid w:val="007D676D"/>
    <w:rsid w:val="007E00FD"/>
    <w:rsid w:val="007E1A31"/>
    <w:rsid w:val="007E1C07"/>
    <w:rsid w:val="007E2DDA"/>
    <w:rsid w:val="007E38E9"/>
    <w:rsid w:val="007E3A2D"/>
    <w:rsid w:val="007E42C6"/>
    <w:rsid w:val="007E59B0"/>
    <w:rsid w:val="007E59F3"/>
    <w:rsid w:val="007E5FB7"/>
    <w:rsid w:val="007E7027"/>
    <w:rsid w:val="007E74D4"/>
    <w:rsid w:val="007F1590"/>
    <w:rsid w:val="007F15AD"/>
    <w:rsid w:val="007F1660"/>
    <w:rsid w:val="007F24B6"/>
    <w:rsid w:val="007F2A70"/>
    <w:rsid w:val="007F313B"/>
    <w:rsid w:val="007F4FFD"/>
    <w:rsid w:val="007F5433"/>
    <w:rsid w:val="007F5B0C"/>
    <w:rsid w:val="007F5EFE"/>
    <w:rsid w:val="007F6460"/>
    <w:rsid w:val="007F6760"/>
    <w:rsid w:val="007F6A6F"/>
    <w:rsid w:val="008000F6"/>
    <w:rsid w:val="00800367"/>
    <w:rsid w:val="00801521"/>
    <w:rsid w:val="00802442"/>
    <w:rsid w:val="00802B5A"/>
    <w:rsid w:val="00803D94"/>
    <w:rsid w:val="008045D7"/>
    <w:rsid w:val="00805967"/>
    <w:rsid w:val="00806592"/>
    <w:rsid w:val="00806606"/>
    <w:rsid w:val="00806CD1"/>
    <w:rsid w:val="00806D68"/>
    <w:rsid w:val="008076DC"/>
    <w:rsid w:val="008077D3"/>
    <w:rsid w:val="00810B08"/>
    <w:rsid w:val="0081165D"/>
    <w:rsid w:val="00811FB2"/>
    <w:rsid w:val="00812285"/>
    <w:rsid w:val="0081332D"/>
    <w:rsid w:val="008145BD"/>
    <w:rsid w:val="0081460C"/>
    <w:rsid w:val="0081465D"/>
    <w:rsid w:val="008168DE"/>
    <w:rsid w:val="00816CDB"/>
    <w:rsid w:val="00816F3A"/>
    <w:rsid w:val="008214CB"/>
    <w:rsid w:val="00821992"/>
    <w:rsid w:val="00821B40"/>
    <w:rsid w:val="00822229"/>
    <w:rsid w:val="008229BA"/>
    <w:rsid w:val="00822B72"/>
    <w:rsid w:val="00823267"/>
    <w:rsid w:val="0082341B"/>
    <w:rsid w:val="008234D8"/>
    <w:rsid w:val="00823F3D"/>
    <w:rsid w:val="008240F2"/>
    <w:rsid w:val="0082453B"/>
    <w:rsid w:val="008249B6"/>
    <w:rsid w:val="008252B4"/>
    <w:rsid w:val="008253BA"/>
    <w:rsid w:val="008259A4"/>
    <w:rsid w:val="00826856"/>
    <w:rsid w:val="00826ACA"/>
    <w:rsid w:val="00827853"/>
    <w:rsid w:val="008279F0"/>
    <w:rsid w:val="00827AF4"/>
    <w:rsid w:val="00830267"/>
    <w:rsid w:val="008317DC"/>
    <w:rsid w:val="00831E23"/>
    <w:rsid w:val="00833F68"/>
    <w:rsid w:val="00836A67"/>
    <w:rsid w:val="0083762C"/>
    <w:rsid w:val="00840FA2"/>
    <w:rsid w:val="00842CDA"/>
    <w:rsid w:val="0084348A"/>
    <w:rsid w:val="00843E5C"/>
    <w:rsid w:val="00843F49"/>
    <w:rsid w:val="00844DC5"/>
    <w:rsid w:val="00845390"/>
    <w:rsid w:val="00845415"/>
    <w:rsid w:val="008458AF"/>
    <w:rsid w:val="00845FA9"/>
    <w:rsid w:val="0084601B"/>
    <w:rsid w:val="00846D99"/>
    <w:rsid w:val="00850289"/>
    <w:rsid w:val="00850A27"/>
    <w:rsid w:val="00850FA8"/>
    <w:rsid w:val="008518BB"/>
    <w:rsid w:val="00852DC3"/>
    <w:rsid w:val="00853784"/>
    <w:rsid w:val="00853C03"/>
    <w:rsid w:val="008574BE"/>
    <w:rsid w:val="008606C4"/>
    <w:rsid w:val="008606F0"/>
    <w:rsid w:val="008609D2"/>
    <w:rsid w:val="008620A6"/>
    <w:rsid w:val="008620BC"/>
    <w:rsid w:val="0086250D"/>
    <w:rsid w:val="00862A92"/>
    <w:rsid w:val="00863156"/>
    <w:rsid w:val="008636BD"/>
    <w:rsid w:val="008644B1"/>
    <w:rsid w:val="00864B9A"/>
    <w:rsid w:val="0086518A"/>
    <w:rsid w:val="00865489"/>
    <w:rsid w:val="0086553D"/>
    <w:rsid w:val="0086630B"/>
    <w:rsid w:val="00866EE5"/>
    <w:rsid w:val="00870E24"/>
    <w:rsid w:val="0087134D"/>
    <w:rsid w:val="008718AC"/>
    <w:rsid w:val="00871F71"/>
    <w:rsid w:val="00872C58"/>
    <w:rsid w:val="00872E13"/>
    <w:rsid w:val="00872EE3"/>
    <w:rsid w:val="0087437C"/>
    <w:rsid w:val="00874DD2"/>
    <w:rsid w:val="00874FEB"/>
    <w:rsid w:val="00875F01"/>
    <w:rsid w:val="00875F95"/>
    <w:rsid w:val="0087620C"/>
    <w:rsid w:val="00880845"/>
    <w:rsid w:val="0088111A"/>
    <w:rsid w:val="0088113F"/>
    <w:rsid w:val="00881459"/>
    <w:rsid w:val="00881B6F"/>
    <w:rsid w:val="00882888"/>
    <w:rsid w:val="00882AA4"/>
    <w:rsid w:val="00883D85"/>
    <w:rsid w:val="00883E22"/>
    <w:rsid w:val="00883EB5"/>
    <w:rsid w:val="008847E5"/>
    <w:rsid w:val="00884903"/>
    <w:rsid w:val="00884E43"/>
    <w:rsid w:val="00885828"/>
    <w:rsid w:val="00887184"/>
    <w:rsid w:val="00887EC6"/>
    <w:rsid w:val="0089084C"/>
    <w:rsid w:val="00891034"/>
    <w:rsid w:val="00891BE4"/>
    <w:rsid w:val="00893409"/>
    <w:rsid w:val="008937C3"/>
    <w:rsid w:val="00893D9F"/>
    <w:rsid w:val="0089428E"/>
    <w:rsid w:val="008944C2"/>
    <w:rsid w:val="00894E1B"/>
    <w:rsid w:val="00895281"/>
    <w:rsid w:val="00895A37"/>
    <w:rsid w:val="00895B4F"/>
    <w:rsid w:val="0089640C"/>
    <w:rsid w:val="008967CE"/>
    <w:rsid w:val="00896EB8"/>
    <w:rsid w:val="00897B02"/>
    <w:rsid w:val="008A07E7"/>
    <w:rsid w:val="008A2379"/>
    <w:rsid w:val="008A269E"/>
    <w:rsid w:val="008A2AF9"/>
    <w:rsid w:val="008A2C7E"/>
    <w:rsid w:val="008A2F43"/>
    <w:rsid w:val="008A376F"/>
    <w:rsid w:val="008A37AB"/>
    <w:rsid w:val="008A4329"/>
    <w:rsid w:val="008A43E3"/>
    <w:rsid w:val="008A474E"/>
    <w:rsid w:val="008A5702"/>
    <w:rsid w:val="008A578E"/>
    <w:rsid w:val="008A7222"/>
    <w:rsid w:val="008A7CE7"/>
    <w:rsid w:val="008B0BA6"/>
    <w:rsid w:val="008B0DB4"/>
    <w:rsid w:val="008B1519"/>
    <w:rsid w:val="008B22D4"/>
    <w:rsid w:val="008B2667"/>
    <w:rsid w:val="008B278E"/>
    <w:rsid w:val="008B2989"/>
    <w:rsid w:val="008B3A19"/>
    <w:rsid w:val="008B3FF1"/>
    <w:rsid w:val="008B5255"/>
    <w:rsid w:val="008B5EDF"/>
    <w:rsid w:val="008B613A"/>
    <w:rsid w:val="008B663D"/>
    <w:rsid w:val="008B699B"/>
    <w:rsid w:val="008B69E3"/>
    <w:rsid w:val="008B7AB0"/>
    <w:rsid w:val="008B7BCC"/>
    <w:rsid w:val="008C086E"/>
    <w:rsid w:val="008C1940"/>
    <w:rsid w:val="008C259A"/>
    <w:rsid w:val="008C2990"/>
    <w:rsid w:val="008C50C3"/>
    <w:rsid w:val="008C5872"/>
    <w:rsid w:val="008C5929"/>
    <w:rsid w:val="008C5995"/>
    <w:rsid w:val="008C64E4"/>
    <w:rsid w:val="008C7094"/>
    <w:rsid w:val="008C70AA"/>
    <w:rsid w:val="008C7222"/>
    <w:rsid w:val="008D04D0"/>
    <w:rsid w:val="008D19FA"/>
    <w:rsid w:val="008D227F"/>
    <w:rsid w:val="008D2B97"/>
    <w:rsid w:val="008D3883"/>
    <w:rsid w:val="008D49A5"/>
    <w:rsid w:val="008D49E5"/>
    <w:rsid w:val="008D54BE"/>
    <w:rsid w:val="008D5D7A"/>
    <w:rsid w:val="008D67DF"/>
    <w:rsid w:val="008D6C81"/>
    <w:rsid w:val="008D7016"/>
    <w:rsid w:val="008D7AFB"/>
    <w:rsid w:val="008E1C3F"/>
    <w:rsid w:val="008E281A"/>
    <w:rsid w:val="008E314C"/>
    <w:rsid w:val="008E360D"/>
    <w:rsid w:val="008E5634"/>
    <w:rsid w:val="008E6CF0"/>
    <w:rsid w:val="008F0DDB"/>
    <w:rsid w:val="008F1082"/>
    <w:rsid w:val="008F1439"/>
    <w:rsid w:val="008F24F5"/>
    <w:rsid w:val="008F32AA"/>
    <w:rsid w:val="008F34D2"/>
    <w:rsid w:val="008F5415"/>
    <w:rsid w:val="008F552E"/>
    <w:rsid w:val="008F598C"/>
    <w:rsid w:val="008F5B38"/>
    <w:rsid w:val="008F636F"/>
    <w:rsid w:val="008F660E"/>
    <w:rsid w:val="008F7051"/>
    <w:rsid w:val="008F75EF"/>
    <w:rsid w:val="009002C6"/>
    <w:rsid w:val="00900D9C"/>
    <w:rsid w:val="0090134C"/>
    <w:rsid w:val="0090315A"/>
    <w:rsid w:val="009033A9"/>
    <w:rsid w:val="00903869"/>
    <w:rsid w:val="00903B77"/>
    <w:rsid w:val="00904017"/>
    <w:rsid w:val="00904152"/>
    <w:rsid w:val="00904DCE"/>
    <w:rsid w:val="0090581D"/>
    <w:rsid w:val="00906D5A"/>
    <w:rsid w:val="009071AE"/>
    <w:rsid w:val="00910F45"/>
    <w:rsid w:val="009118D1"/>
    <w:rsid w:val="00912484"/>
    <w:rsid w:val="00913BA0"/>
    <w:rsid w:val="0091439C"/>
    <w:rsid w:val="009148F1"/>
    <w:rsid w:val="0091513A"/>
    <w:rsid w:val="00915931"/>
    <w:rsid w:val="009163D8"/>
    <w:rsid w:val="009164BF"/>
    <w:rsid w:val="00916954"/>
    <w:rsid w:val="00920572"/>
    <w:rsid w:val="00920BF2"/>
    <w:rsid w:val="009219A0"/>
    <w:rsid w:val="00922951"/>
    <w:rsid w:val="00922C6C"/>
    <w:rsid w:val="00923B94"/>
    <w:rsid w:val="00924C53"/>
    <w:rsid w:val="009250B2"/>
    <w:rsid w:val="009261C9"/>
    <w:rsid w:val="00926DE4"/>
    <w:rsid w:val="0092798A"/>
    <w:rsid w:val="00930000"/>
    <w:rsid w:val="009306B8"/>
    <w:rsid w:val="00931287"/>
    <w:rsid w:val="00931887"/>
    <w:rsid w:val="00932290"/>
    <w:rsid w:val="009327B1"/>
    <w:rsid w:val="00932DE5"/>
    <w:rsid w:val="00933BE4"/>
    <w:rsid w:val="00933E84"/>
    <w:rsid w:val="0093400A"/>
    <w:rsid w:val="009344CA"/>
    <w:rsid w:val="009349A9"/>
    <w:rsid w:val="0093647F"/>
    <w:rsid w:val="0093674A"/>
    <w:rsid w:val="00936C52"/>
    <w:rsid w:val="009375CF"/>
    <w:rsid w:val="0094010A"/>
    <w:rsid w:val="00940161"/>
    <w:rsid w:val="00940365"/>
    <w:rsid w:val="00940930"/>
    <w:rsid w:val="00940B3B"/>
    <w:rsid w:val="00940E42"/>
    <w:rsid w:val="00941FDC"/>
    <w:rsid w:val="00942643"/>
    <w:rsid w:val="00945C97"/>
    <w:rsid w:val="00946834"/>
    <w:rsid w:val="00947625"/>
    <w:rsid w:val="00950B6D"/>
    <w:rsid w:val="00950C30"/>
    <w:rsid w:val="00951F40"/>
    <w:rsid w:val="0095420E"/>
    <w:rsid w:val="0095489B"/>
    <w:rsid w:val="009554E5"/>
    <w:rsid w:val="00955DA1"/>
    <w:rsid w:val="00956D59"/>
    <w:rsid w:val="009571EB"/>
    <w:rsid w:val="00960569"/>
    <w:rsid w:val="009624E6"/>
    <w:rsid w:val="00963B00"/>
    <w:rsid w:val="00963BF7"/>
    <w:rsid w:val="00964215"/>
    <w:rsid w:val="00964383"/>
    <w:rsid w:val="0096439D"/>
    <w:rsid w:val="00964DBE"/>
    <w:rsid w:val="00966C82"/>
    <w:rsid w:val="00966FB9"/>
    <w:rsid w:val="009671CD"/>
    <w:rsid w:val="00967530"/>
    <w:rsid w:val="009679AE"/>
    <w:rsid w:val="009704A8"/>
    <w:rsid w:val="00972B41"/>
    <w:rsid w:val="00972E1C"/>
    <w:rsid w:val="0097370D"/>
    <w:rsid w:val="009751A9"/>
    <w:rsid w:val="009756BE"/>
    <w:rsid w:val="0097602A"/>
    <w:rsid w:val="00976FA9"/>
    <w:rsid w:val="009771D8"/>
    <w:rsid w:val="00977663"/>
    <w:rsid w:val="00980379"/>
    <w:rsid w:val="00980488"/>
    <w:rsid w:val="009804AB"/>
    <w:rsid w:val="00980F9C"/>
    <w:rsid w:val="009815EB"/>
    <w:rsid w:val="00981677"/>
    <w:rsid w:val="0098178E"/>
    <w:rsid w:val="00981AE2"/>
    <w:rsid w:val="00984033"/>
    <w:rsid w:val="00984090"/>
    <w:rsid w:val="009848AB"/>
    <w:rsid w:val="009859B1"/>
    <w:rsid w:val="0098632B"/>
    <w:rsid w:val="009864D8"/>
    <w:rsid w:val="009865B0"/>
    <w:rsid w:val="00986E70"/>
    <w:rsid w:val="00987B02"/>
    <w:rsid w:val="00990077"/>
    <w:rsid w:val="00990F0D"/>
    <w:rsid w:val="0099119A"/>
    <w:rsid w:val="00991FA8"/>
    <w:rsid w:val="00992144"/>
    <w:rsid w:val="009939C5"/>
    <w:rsid w:val="00994608"/>
    <w:rsid w:val="00995BBB"/>
    <w:rsid w:val="00995EF2"/>
    <w:rsid w:val="00996BE5"/>
    <w:rsid w:val="00996F31"/>
    <w:rsid w:val="009973C7"/>
    <w:rsid w:val="00997BFB"/>
    <w:rsid w:val="009A00DC"/>
    <w:rsid w:val="009A1663"/>
    <w:rsid w:val="009A1F2E"/>
    <w:rsid w:val="009A60E5"/>
    <w:rsid w:val="009A6704"/>
    <w:rsid w:val="009A6E71"/>
    <w:rsid w:val="009A7348"/>
    <w:rsid w:val="009A79DC"/>
    <w:rsid w:val="009A7A28"/>
    <w:rsid w:val="009A7E72"/>
    <w:rsid w:val="009B01A3"/>
    <w:rsid w:val="009B0E47"/>
    <w:rsid w:val="009B3288"/>
    <w:rsid w:val="009B3AD0"/>
    <w:rsid w:val="009B40B9"/>
    <w:rsid w:val="009B462C"/>
    <w:rsid w:val="009B4C43"/>
    <w:rsid w:val="009B5942"/>
    <w:rsid w:val="009B5AAC"/>
    <w:rsid w:val="009B64DF"/>
    <w:rsid w:val="009B67FB"/>
    <w:rsid w:val="009B6F09"/>
    <w:rsid w:val="009B750F"/>
    <w:rsid w:val="009B77F3"/>
    <w:rsid w:val="009C063C"/>
    <w:rsid w:val="009C15F3"/>
    <w:rsid w:val="009C1961"/>
    <w:rsid w:val="009C2A11"/>
    <w:rsid w:val="009C40F5"/>
    <w:rsid w:val="009C46AE"/>
    <w:rsid w:val="009C48CF"/>
    <w:rsid w:val="009C599B"/>
    <w:rsid w:val="009C6CCF"/>
    <w:rsid w:val="009C7108"/>
    <w:rsid w:val="009C7361"/>
    <w:rsid w:val="009C7453"/>
    <w:rsid w:val="009C7A7C"/>
    <w:rsid w:val="009D024C"/>
    <w:rsid w:val="009D0871"/>
    <w:rsid w:val="009D14C3"/>
    <w:rsid w:val="009D18D8"/>
    <w:rsid w:val="009D24F5"/>
    <w:rsid w:val="009D2E41"/>
    <w:rsid w:val="009D3DDA"/>
    <w:rsid w:val="009D3FBA"/>
    <w:rsid w:val="009D48BA"/>
    <w:rsid w:val="009D5CD8"/>
    <w:rsid w:val="009D63CF"/>
    <w:rsid w:val="009D66EF"/>
    <w:rsid w:val="009D6E8B"/>
    <w:rsid w:val="009D7688"/>
    <w:rsid w:val="009D7B82"/>
    <w:rsid w:val="009E07C2"/>
    <w:rsid w:val="009E0C5A"/>
    <w:rsid w:val="009E0E52"/>
    <w:rsid w:val="009E24F5"/>
    <w:rsid w:val="009E24FD"/>
    <w:rsid w:val="009E2B1B"/>
    <w:rsid w:val="009E2B8F"/>
    <w:rsid w:val="009E3A37"/>
    <w:rsid w:val="009E490F"/>
    <w:rsid w:val="009E5551"/>
    <w:rsid w:val="009E5BE8"/>
    <w:rsid w:val="009E5BE9"/>
    <w:rsid w:val="009E6951"/>
    <w:rsid w:val="009F0389"/>
    <w:rsid w:val="009F0A1B"/>
    <w:rsid w:val="009F3FBD"/>
    <w:rsid w:val="009F4202"/>
    <w:rsid w:val="009F4691"/>
    <w:rsid w:val="009F4E42"/>
    <w:rsid w:val="009F4EBC"/>
    <w:rsid w:val="009F5846"/>
    <w:rsid w:val="009F67B2"/>
    <w:rsid w:val="009F72F9"/>
    <w:rsid w:val="009F7C88"/>
    <w:rsid w:val="00A00205"/>
    <w:rsid w:val="00A0096E"/>
    <w:rsid w:val="00A00AF0"/>
    <w:rsid w:val="00A0161A"/>
    <w:rsid w:val="00A02598"/>
    <w:rsid w:val="00A02E97"/>
    <w:rsid w:val="00A033C4"/>
    <w:rsid w:val="00A033D4"/>
    <w:rsid w:val="00A035A4"/>
    <w:rsid w:val="00A03945"/>
    <w:rsid w:val="00A04573"/>
    <w:rsid w:val="00A05249"/>
    <w:rsid w:val="00A05BC5"/>
    <w:rsid w:val="00A0600E"/>
    <w:rsid w:val="00A07755"/>
    <w:rsid w:val="00A07CAA"/>
    <w:rsid w:val="00A1026E"/>
    <w:rsid w:val="00A10461"/>
    <w:rsid w:val="00A11925"/>
    <w:rsid w:val="00A11962"/>
    <w:rsid w:val="00A11993"/>
    <w:rsid w:val="00A11A41"/>
    <w:rsid w:val="00A11A4F"/>
    <w:rsid w:val="00A11D0D"/>
    <w:rsid w:val="00A136BB"/>
    <w:rsid w:val="00A14B5A"/>
    <w:rsid w:val="00A1568A"/>
    <w:rsid w:val="00A15FFF"/>
    <w:rsid w:val="00A1700C"/>
    <w:rsid w:val="00A208AB"/>
    <w:rsid w:val="00A21042"/>
    <w:rsid w:val="00A218E3"/>
    <w:rsid w:val="00A219CA"/>
    <w:rsid w:val="00A2243D"/>
    <w:rsid w:val="00A228D8"/>
    <w:rsid w:val="00A22D1B"/>
    <w:rsid w:val="00A239A4"/>
    <w:rsid w:val="00A23D38"/>
    <w:rsid w:val="00A2428F"/>
    <w:rsid w:val="00A248CA"/>
    <w:rsid w:val="00A25233"/>
    <w:rsid w:val="00A256B6"/>
    <w:rsid w:val="00A2761F"/>
    <w:rsid w:val="00A27DF0"/>
    <w:rsid w:val="00A311BE"/>
    <w:rsid w:val="00A325F3"/>
    <w:rsid w:val="00A326C5"/>
    <w:rsid w:val="00A3275F"/>
    <w:rsid w:val="00A32A46"/>
    <w:rsid w:val="00A32CF9"/>
    <w:rsid w:val="00A3331A"/>
    <w:rsid w:val="00A3371F"/>
    <w:rsid w:val="00A349B2"/>
    <w:rsid w:val="00A35080"/>
    <w:rsid w:val="00A3567F"/>
    <w:rsid w:val="00A37698"/>
    <w:rsid w:val="00A37C58"/>
    <w:rsid w:val="00A40EC9"/>
    <w:rsid w:val="00A413E1"/>
    <w:rsid w:val="00A41877"/>
    <w:rsid w:val="00A41ED3"/>
    <w:rsid w:val="00A427E2"/>
    <w:rsid w:val="00A429DA"/>
    <w:rsid w:val="00A438ED"/>
    <w:rsid w:val="00A43B6E"/>
    <w:rsid w:val="00A43DE4"/>
    <w:rsid w:val="00A44077"/>
    <w:rsid w:val="00A46B0D"/>
    <w:rsid w:val="00A46DBD"/>
    <w:rsid w:val="00A47B85"/>
    <w:rsid w:val="00A47CF9"/>
    <w:rsid w:val="00A50AC0"/>
    <w:rsid w:val="00A50B29"/>
    <w:rsid w:val="00A51FBA"/>
    <w:rsid w:val="00A522FE"/>
    <w:rsid w:val="00A52990"/>
    <w:rsid w:val="00A533C3"/>
    <w:rsid w:val="00A5345B"/>
    <w:rsid w:val="00A5373D"/>
    <w:rsid w:val="00A537FE"/>
    <w:rsid w:val="00A53943"/>
    <w:rsid w:val="00A54176"/>
    <w:rsid w:val="00A54E47"/>
    <w:rsid w:val="00A55852"/>
    <w:rsid w:val="00A56146"/>
    <w:rsid w:val="00A563B9"/>
    <w:rsid w:val="00A565E4"/>
    <w:rsid w:val="00A56B2A"/>
    <w:rsid w:val="00A56C01"/>
    <w:rsid w:val="00A56E7D"/>
    <w:rsid w:val="00A6001A"/>
    <w:rsid w:val="00A602F8"/>
    <w:rsid w:val="00A60778"/>
    <w:rsid w:val="00A60A7A"/>
    <w:rsid w:val="00A6132A"/>
    <w:rsid w:val="00A61F74"/>
    <w:rsid w:val="00A630A5"/>
    <w:rsid w:val="00A632E4"/>
    <w:rsid w:val="00A64C35"/>
    <w:rsid w:val="00A64E8F"/>
    <w:rsid w:val="00A65880"/>
    <w:rsid w:val="00A66219"/>
    <w:rsid w:val="00A71752"/>
    <w:rsid w:val="00A71AEC"/>
    <w:rsid w:val="00A7325D"/>
    <w:rsid w:val="00A74EFF"/>
    <w:rsid w:val="00A7600F"/>
    <w:rsid w:val="00A816A4"/>
    <w:rsid w:val="00A818B8"/>
    <w:rsid w:val="00A81BD7"/>
    <w:rsid w:val="00A81D82"/>
    <w:rsid w:val="00A82083"/>
    <w:rsid w:val="00A830E4"/>
    <w:rsid w:val="00A83134"/>
    <w:rsid w:val="00A83741"/>
    <w:rsid w:val="00A83A41"/>
    <w:rsid w:val="00A84F46"/>
    <w:rsid w:val="00A85B06"/>
    <w:rsid w:val="00A8606E"/>
    <w:rsid w:val="00A86B87"/>
    <w:rsid w:val="00A86C56"/>
    <w:rsid w:val="00A91A42"/>
    <w:rsid w:val="00A92368"/>
    <w:rsid w:val="00A9293E"/>
    <w:rsid w:val="00A92CAF"/>
    <w:rsid w:val="00A933D2"/>
    <w:rsid w:val="00A93E33"/>
    <w:rsid w:val="00A94876"/>
    <w:rsid w:val="00A94E9F"/>
    <w:rsid w:val="00A95455"/>
    <w:rsid w:val="00A9747E"/>
    <w:rsid w:val="00AA0596"/>
    <w:rsid w:val="00AA09C8"/>
    <w:rsid w:val="00AA0B41"/>
    <w:rsid w:val="00AA12E0"/>
    <w:rsid w:val="00AA2204"/>
    <w:rsid w:val="00AA2A4D"/>
    <w:rsid w:val="00AA42F3"/>
    <w:rsid w:val="00AA5404"/>
    <w:rsid w:val="00AA5E44"/>
    <w:rsid w:val="00AA6D10"/>
    <w:rsid w:val="00AA785A"/>
    <w:rsid w:val="00AB0BCE"/>
    <w:rsid w:val="00AB12AD"/>
    <w:rsid w:val="00AB2ED8"/>
    <w:rsid w:val="00AB3163"/>
    <w:rsid w:val="00AB4683"/>
    <w:rsid w:val="00AB4699"/>
    <w:rsid w:val="00AB4D9B"/>
    <w:rsid w:val="00AB5A35"/>
    <w:rsid w:val="00AB6728"/>
    <w:rsid w:val="00AB6970"/>
    <w:rsid w:val="00AB773B"/>
    <w:rsid w:val="00AC0870"/>
    <w:rsid w:val="00AC0DD7"/>
    <w:rsid w:val="00AC1939"/>
    <w:rsid w:val="00AC22FF"/>
    <w:rsid w:val="00AC397E"/>
    <w:rsid w:val="00AC4514"/>
    <w:rsid w:val="00AC4A7A"/>
    <w:rsid w:val="00AC4EA1"/>
    <w:rsid w:val="00AC4FAC"/>
    <w:rsid w:val="00AC5E60"/>
    <w:rsid w:val="00AC5F00"/>
    <w:rsid w:val="00AC6135"/>
    <w:rsid w:val="00AC62F4"/>
    <w:rsid w:val="00AC7803"/>
    <w:rsid w:val="00AC7C05"/>
    <w:rsid w:val="00AD06C4"/>
    <w:rsid w:val="00AD0C05"/>
    <w:rsid w:val="00AD136D"/>
    <w:rsid w:val="00AD167C"/>
    <w:rsid w:val="00AD17C7"/>
    <w:rsid w:val="00AD1D6C"/>
    <w:rsid w:val="00AD2C0C"/>
    <w:rsid w:val="00AD2FDE"/>
    <w:rsid w:val="00AD4041"/>
    <w:rsid w:val="00AD4DD5"/>
    <w:rsid w:val="00AD6E3B"/>
    <w:rsid w:val="00AD7803"/>
    <w:rsid w:val="00AD78FC"/>
    <w:rsid w:val="00AE076D"/>
    <w:rsid w:val="00AE1AFF"/>
    <w:rsid w:val="00AE2194"/>
    <w:rsid w:val="00AE2640"/>
    <w:rsid w:val="00AE302B"/>
    <w:rsid w:val="00AE352A"/>
    <w:rsid w:val="00AE35F9"/>
    <w:rsid w:val="00AE39E8"/>
    <w:rsid w:val="00AE4F54"/>
    <w:rsid w:val="00AE75B7"/>
    <w:rsid w:val="00AE7FE1"/>
    <w:rsid w:val="00AF0E98"/>
    <w:rsid w:val="00AF0EEB"/>
    <w:rsid w:val="00AF1243"/>
    <w:rsid w:val="00AF259D"/>
    <w:rsid w:val="00AF31F0"/>
    <w:rsid w:val="00AF322B"/>
    <w:rsid w:val="00AF3AD4"/>
    <w:rsid w:val="00AF4119"/>
    <w:rsid w:val="00AF4939"/>
    <w:rsid w:val="00AF4BE7"/>
    <w:rsid w:val="00AF5474"/>
    <w:rsid w:val="00AF5954"/>
    <w:rsid w:val="00AF5D15"/>
    <w:rsid w:val="00AF72BF"/>
    <w:rsid w:val="00B00A13"/>
    <w:rsid w:val="00B038DA"/>
    <w:rsid w:val="00B039DB"/>
    <w:rsid w:val="00B03A19"/>
    <w:rsid w:val="00B0408F"/>
    <w:rsid w:val="00B05288"/>
    <w:rsid w:val="00B0569D"/>
    <w:rsid w:val="00B058FD"/>
    <w:rsid w:val="00B0664D"/>
    <w:rsid w:val="00B06B71"/>
    <w:rsid w:val="00B10137"/>
    <w:rsid w:val="00B11720"/>
    <w:rsid w:val="00B11871"/>
    <w:rsid w:val="00B13020"/>
    <w:rsid w:val="00B13E69"/>
    <w:rsid w:val="00B141A2"/>
    <w:rsid w:val="00B15651"/>
    <w:rsid w:val="00B15D39"/>
    <w:rsid w:val="00B168B1"/>
    <w:rsid w:val="00B20391"/>
    <w:rsid w:val="00B210DC"/>
    <w:rsid w:val="00B21231"/>
    <w:rsid w:val="00B22476"/>
    <w:rsid w:val="00B22665"/>
    <w:rsid w:val="00B2334C"/>
    <w:rsid w:val="00B23B94"/>
    <w:rsid w:val="00B248D5"/>
    <w:rsid w:val="00B259DF"/>
    <w:rsid w:val="00B25A17"/>
    <w:rsid w:val="00B25FFA"/>
    <w:rsid w:val="00B275E7"/>
    <w:rsid w:val="00B27AE2"/>
    <w:rsid w:val="00B30E06"/>
    <w:rsid w:val="00B312DC"/>
    <w:rsid w:val="00B31823"/>
    <w:rsid w:val="00B321CF"/>
    <w:rsid w:val="00B329A2"/>
    <w:rsid w:val="00B32B13"/>
    <w:rsid w:val="00B343E3"/>
    <w:rsid w:val="00B348AB"/>
    <w:rsid w:val="00B36106"/>
    <w:rsid w:val="00B37AA7"/>
    <w:rsid w:val="00B401C8"/>
    <w:rsid w:val="00B410F4"/>
    <w:rsid w:val="00B415E6"/>
    <w:rsid w:val="00B41770"/>
    <w:rsid w:val="00B41F7A"/>
    <w:rsid w:val="00B42994"/>
    <w:rsid w:val="00B42D79"/>
    <w:rsid w:val="00B42EA1"/>
    <w:rsid w:val="00B42F34"/>
    <w:rsid w:val="00B43305"/>
    <w:rsid w:val="00B433FD"/>
    <w:rsid w:val="00B43ED2"/>
    <w:rsid w:val="00B44255"/>
    <w:rsid w:val="00B44B1F"/>
    <w:rsid w:val="00B44C98"/>
    <w:rsid w:val="00B454D9"/>
    <w:rsid w:val="00B45A3D"/>
    <w:rsid w:val="00B45CE2"/>
    <w:rsid w:val="00B460E6"/>
    <w:rsid w:val="00B461B9"/>
    <w:rsid w:val="00B476FD"/>
    <w:rsid w:val="00B47FE4"/>
    <w:rsid w:val="00B50450"/>
    <w:rsid w:val="00B504A5"/>
    <w:rsid w:val="00B506E6"/>
    <w:rsid w:val="00B5129E"/>
    <w:rsid w:val="00B5157B"/>
    <w:rsid w:val="00B518B5"/>
    <w:rsid w:val="00B52654"/>
    <w:rsid w:val="00B52954"/>
    <w:rsid w:val="00B5500E"/>
    <w:rsid w:val="00B560DC"/>
    <w:rsid w:val="00B564EA"/>
    <w:rsid w:val="00B570AE"/>
    <w:rsid w:val="00B57438"/>
    <w:rsid w:val="00B609F5"/>
    <w:rsid w:val="00B61C73"/>
    <w:rsid w:val="00B62337"/>
    <w:rsid w:val="00B62F0D"/>
    <w:rsid w:val="00B6311A"/>
    <w:rsid w:val="00B6318D"/>
    <w:rsid w:val="00B63518"/>
    <w:rsid w:val="00B64127"/>
    <w:rsid w:val="00B64141"/>
    <w:rsid w:val="00B642CB"/>
    <w:rsid w:val="00B64E72"/>
    <w:rsid w:val="00B663E3"/>
    <w:rsid w:val="00B667F7"/>
    <w:rsid w:val="00B66F4E"/>
    <w:rsid w:val="00B676E8"/>
    <w:rsid w:val="00B707D0"/>
    <w:rsid w:val="00B730F7"/>
    <w:rsid w:val="00B73194"/>
    <w:rsid w:val="00B75647"/>
    <w:rsid w:val="00B75AEB"/>
    <w:rsid w:val="00B7685A"/>
    <w:rsid w:val="00B76E4F"/>
    <w:rsid w:val="00B7787A"/>
    <w:rsid w:val="00B77913"/>
    <w:rsid w:val="00B80511"/>
    <w:rsid w:val="00B80547"/>
    <w:rsid w:val="00B8096D"/>
    <w:rsid w:val="00B80BCE"/>
    <w:rsid w:val="00B80DEF"/>
    <w:rsid w:val="00B812E0"/>
    <w:rsid w:val="00B818C6"/>
    <w:rsid w:val="00B82264"/>
    <w:rsid w:val="00B824FB"/>
    <w:rsid w:val="00B82646"/>
    <w:rsid w:val="00B82A00"/>
    <w:rsid w:val="00B82AE7"/>
    <w:rsid w:val="00B83DE0"/>
    <w:rsid w:val="00B912A1"/>
    <w:rsid w:val="00B91712"/>
    <w:rsid w:val="00B9185B"/>
    <w:rsid w:val="00B91AE6"/>
    <w:rsid w:val="00B9203E"/>
    <w:rsid w:val="00B92E1A"/>
    <w:rsid w:val="00B93ECE"/>
    <w:rsid w:val="00B94215"/>
    <w:rsid w:val="00B95A75"/>
    <w:rsid w:val="00B97359"/>
    <w:rsid w:val="00B97A8F"/>
    <w:rsid w:val="00BA023B"/>
    <w:rsid w:val="00BA0547"/>
    <w:rsid w:val="00BA0C11"/>
    <w:rsid w:val="00BA1638"/>
    <w:rsid w:val="00BA16E3"/>
    <w:rsid w:val="00BA257E"/>
    <w:rsid w:val="00BA2AB6"/>
    <w:rsid w:val="00BA4601"/>
    <w:rsid w:val="00BA4E58"/>
    <w:rsid w:val="00BA5321"/>
    <w:rsid w:val="00BA6B84"/>
    <w:rsid w:val="00BA7074"/>
    <w:rsid w:val="00BB0274"/>
    <w:rsid w:val="00BB16AF"/>
    <w:rsid w:val="00BB1D66"/>
    <w:rsid w:val="00BB2BAA"/>
    <w:rsid w:val="00BB3A26"/>
    <w:rsid w:val="00BB461B"/>
    <w:rsid w:val="00BB582D"/>
    <w:rsid w:val="00BB5EBA"/>
    <w:rsid w:val="00BB62DE"/>
    <w:rsid w:val="00BB653B"/>
    <w:rsid w:val="00BB6E07"/>
    <w:rsid w:val="00BB7829"/>
    <w:rsid w:val="00BB7B6D"/>
    <w:rsid w:val="00BB7EF2"/>
    <w:rsid w:val="00BC0539"/>
    <w:rsid w:val="00BC05B8"/>
    <w:rsid w:val="00BC0CE8"/>
    <w:rsid w:val="00BC2495"/>
    <w:rsid w:val="00BC275F"/>
    <w:rsid w:val="00BC373C"/>
    <w:rsid w:val="00BC3CD4"/>
    <w:rsid w:val="00BC44EB"/>
    <w:rsid w:val="00BC559C"/>
    <w:rsid w:val="00BC795E"/>
    <w:rsid w:val="00BD0766"/>
    <w:rsid w:val="00BD092B"/>
    <w:rsid w:val="00BD09AF"/>
    <w:rsid w:val="00BD0C54"/>
    <w:rsid w:val="00BD0E7F"/>
    <w:rsid w:val="00BD1457"/>
    <w:rsid w:val="00BD1692"/>
    <w:rsid w:val="00BD23CD"/>
    <w:rsid w:val="00BD3825"/>
    <w:rsid w:val="00BD3F0C"/>
    <w:rsid w:val="00BD4117"/>
    <w:rsid w:val="00BD57B5"/>
    <w:rsid w:val="00BD66E6"/>
    <w:rsid w:val="00BD67FF"/>
    <w:rsid w:val="00BD7FDB"/>
    <w:rsid w:val="00BE24C5"/>
    <w:rsid w:val="00BE27B9"/>
    <w:rsid w:val="00BE2AD9"/>
    <w:rsid w:val="00BE2CAC"/>
    <w:rsid w:val="00BE3145"/>
    <w:rsid w:val="00BE31FB"/>
    <w:rsid w:val="00BE3E59"/>
    <w:rsid w:val="00BE45D0"/>
    <w:rsid w:val="00BE4829"/>
    <w:rsid w:val="00BE4A2F"/>
    <w:rsid w:val="00BE537B"/>
    <w:rsid w:val="00BE5F99"/>
    <w:rsid w:val="00BE6D42"/>
    <w:rsid w:val="00BE7288"/>
    <w:rsid w:val="00BE7CCC"/>
    <w:rsid w:val="00BF1202"/>
    <w:rsid w:val="00BF2031"/>
    <w:rsid w:val="00BF27FE"/>
    <w:rsid w:val="00BF4135"/>
    <w:rsid w:val="00BF4526"/>
    <w:rsid w:val="00BF4B10"/>
    <w:rsid w:val="00BF62EC"/>
    <w:rsid w:val="00C000A5"/>
    <w:rsid w:val="00C00145"/>
    <w:rsid w:val="00C0348D"/>
    <w:rsid w:val="00C03687"/>
    <w:rsid w:val="00C043B3"/>
    <w:rsid w:val="00C04F52"/>
    <w:rsid w:val="00C058A4"/>
    <w:rsid w:val="00C061B8"/>
    <w:rsid w:val="00C0693E"/>
    <w:rsid w:val="00C079AB"/>
    <w:rsid w:val="00C079CC"/>
    <w:rsid w:val="00C079FA"/>
    <w:rsid w:val="00C10E61"/>
    <w:rsid w:val="00C11539"/>
    <w:rsid w:val="00C11AB9"/>
    <w:rsid w:val="00C123C4"/>
    <w:rsid w:val="00C12656"/>
    <w:rsid w:val="00C13137"/>
    <w:rsid w:val="00C138A0"/>
    <w:rsid w:val="00C13D99"/>
    <w:rsid w:val="00C14787"/>
    <w:rsid w:val="00C1491B"/>
    <w:rsid w:val="00C1596D"/>
    <w:rsid w:val="00C15A4B"/>
    <w:rsid w:val="00C15B8D"/>
    <w:rsid w:val="00C15BEA"/>
    <w:rsid w:val="00C1644B"/>
    <w:rsid w:val="00C17010"/>
    <w:rsid w:val="00C1746D"/>
    <w:rsid w:val="00C178C8"/>
    <w:rsid w:val="00C17EB7"/>
    <w:rsid w:val="00C20562"/>
    <w:rsid w:val="00C21043"/>
    <w:rsid w:val="00C21128"/>
    <w:rsid w:val="00C215C3"/>
    <w:rsid w:val="00C21B1F"/>
    <w:rsid w:val="00C22084"/>
    <w:rsid w:val="00C23A96"/>
    <w:rsid w:val="00C23F7C"/>
    <w:rsid w:val="00C249C6"/>
    <w:rsid w:val="00C24AAB"/>
    <w:rsid w:val="00C25935"/>
    <w:rsid w:val="00C27DA6"/>
    <w:rsid w:val="00C3086E"/>
    <w:rsid w:val="00C312F8"/>
    <w:rsid w:val="00C31BE6"/>
    <w:rsid w:val="00C31C11"/>
    <w:rsid w:val="00C32CC1"/>
    <w:rsid w:val="00C32F90"/>
    <w:rsid w:val="00C338C2"/>
    <w:rsid w:val="00C33EE6"/>
    <w:rsid w:val="00C34F11"/>
    <w:rsid w:val="00C35D86"/>
    <w:rsid w:val="00C368EE"/>
    <w:rsid w:val="00C370C4"/>
    <w:rsid w:val="00C41AB5"/>
    <w:rsid w:val="00C426EC"/>
    <w:rsid w:val="00C43957"/>
    <w:rsid w:val="00C43E1B"/>
    <w:rsid w:val="00C44328"/>
    <w:rsid w:val="00C46E76"/>
    <w:rsid w:val="00C50A64"/>
    <w:rsid w:val="00C50AD0"/>
    <w:rsid w:val="00C52DE2"/>
    <w:rsid w:val="00C53AF8"/>
    <w:rsid w:val="00C53B86"/>
    <w:rsid w:val="00C53DE2"/>
    <w:rsid w:val="00C540D7"/>
    <w:rsid w:val="00C561E7"/>
    <w:rsid w:val="00C5687E"/>
    <w:rsid w:val="00C56C08"/>
    <w:rsid w:val="00C57992"/>
    <w:rsid w:val="00C616F7"/>
    <w:rsid w:val="00C62161"/>
    <w:rsid w:val="00C635D9"/>
    <w:rsid w:val="00C63B22"/>
    <w:rsid w:val="00C6465C"/>
    <w:rsid w:val="00C6483C"/>
    <w:rsid w:val="00C64AE9"/>
    <w:rsid w:val="00C64B25"/>
    <w:rsid w:val="00C651A4"/>
    <w:rsid w:val="00C65857"/>
    <w:rsid w:val="00C65E54"/>
    <w:rsid w:val="00C66366"/>
    <w:rsid w:val="00C706C6"/>
    <w:rsid w:val="00C70CFF"/>
    <w:rsid w:val="00C711A0"/>
    <w:rsid w:val="00C718FE"/>
    <w:rsid w:val="00C72A33"/>
    <w:rsid w:val="00C732A3"/>
    <w:rsid w:val="00C73846"/>
    <w:rsid w:val="00C73B78"/>
    <w:rsid w:val="00C740A1"/>
    <w:rsid w:val="00C74406"/>
    <w:rsid w:val="00C750D0"/>
    <w:rsid w:val="00C756D8"/>
    <w:rsid w:val="00C76646"/>
    <w:rsid w:val="00C7740B"/>
    <w:rsid w:val="00C77625"/>
    <w:rsid w:val="00C80AD0"/>
    <w:rsid w:val="00C81D4A"/>
    <w:rsid w:val="00C828EA"/>
    <w:rsid w:val="00C837FD"/>
    <w:rsid w:val="00C83A4E"/>
    <w:rsid w:val="00C83C81"/>
    <w:rsid w:val="00C83F71"/>
    <w:rsid w:val="00C854AF"/>
    <w:rsid w:val="00C855B1"/>
    <w:rsid w:val="00C85EBF"/>
    <w:rsid w:val="00C85EEA"/>
    <w:rsid w:val="00C862DA"/>
    <w:rsid w:val="00C86496"/>
    <w:rsid w:val="00C8773D"/>
    <w:rsid w:val="00C8782A"/>
    <w:rsid w:val="00C87ABB"/>
    <w:rsid w:val="00C9089D"/>
    <w:rsid w:val="00C91831"/>
    <w:rsid w:val="00C91AEB"/>
    <w:rsid w:val="00C91D14"/>
    <w:rsid w:val="00C9234B"/>
    <w:rsid w:val="00C9284C"/>
    <w:rsid w:val="00C930E6"/>
    <w:rsid w:val="00C95392"/>
    <w:rsid w:val="00C953DF"/>
    <w:rsid w:val="00C95E2E"/>
    <w:rsid w:val="00C9657C"/>
    <w:rsid w:val="00C96B57"/>
    <w:rsid w:val="00C970AC"/>
    <w:rsid w:val="00CA08D6"/>
    <w:rsid w:val="00CA123F"/>
    <w:rsid w:val="00CA1FEC"/>
    <w:rsid w:val="00CA2905"/>
    <w:rsid w:val="00CA30AD"/>
    <w:rsid w:val="00CA4138"/>
    <w:rsid w:val="00CA4AD1"/>
    <w:rsid w:val="00CA5DC2"/>
    <w:rsid w:val="00CA7085"/>
    <w:rsid w:val="00CA75F1"/>
    <w:rsid w:val="00CA77F0"/>
    <w:rsid w:val="00CA7B44"/>
    <w:rsid w:val="00CB129B"/>
    <w:rsid w:val="00CB135A"/>
    <w:rsid w:val="00CB1E52"/>
    <w:rsid w:val="00CB2FD7"/>
    <w:rsid w:val="00CB305F"/>
    <w:rsid w:val="00CB3F74"/>
    <w:rsid w:val="00CB3F8B"/>
    <w:rsid w:val="00CB5E3A"/>
    <w:rsid w:val="00CC02EC"/>
    <w:rsid w:val="00CC09F5"/>
    <w:rsid w:val="00CC35CE"/>
    <w:rsid w:val="00CC5272"/>
    <w:rsid w:val="00CC64FC"/>
    <w:rsid w:val="00CC777A"/>
    <w:rsid w:val="00CD09E8"/>
    <w:rsid w:val="00CD0AAC"/>
    <w:rsid w:val="00CD0D8D"/>
    <w:rsid w:val="00CD23DB"/>
    <w:rsid w:val="00CD4642"/>
    <w:rsid w:val="00CD48E3"/>
    <w:rsid w:val="00CD5B33"/>
    <w:rsid w:val="00CD5C97"/>
    <w:rsid w:val="00CD602A"/>
    <w:rsid w:val="00CD79A2"/>
    <w:rsid w:val="00CE0017"/>
    <w:rsid w:val="00CE0419"/>
    <w:rsid w:val="00CE0822"/>
    <w:rsid w:val="00CE0A01"/>
    <w:rsid w:val="00CE16C2"/>
    <w:rsid w:val="00CE1DB2"/>
    <w:rsid w:val="00CE2396"/>
    <w:rsid w:val="00CE23B4"/>
    <w:rsid w:val="00CE2709"/>
    <w:rsid w:val="00CE2850"/>
    <w:rsid w:val="00CE2D64"/>
    <w:rsid w:val="00CE39B4"/>
    <w:rsid w:val="00CE3AFE"/>
    <w:rsid w:val="00CE3EAD"/>
    <w:rsid w:val="00CE5472"/>
    <w:rsid w:val="00CE6198"/>
    <w:rsid w:val="00CE76D2"/>
    <w:rsid w:val="00CF0028"/>
    <w:rsid w:val="00CF0474"/>
    <w:rsid w:val="00CF082E"/>
    <w:rsid w:val="00CF0856"/>
    <w:rsid w:val="00CF0A03"/>
    <w:rsid w:val="00CF136D"/>
    <w:rsid w:val="00CF1E33"/>
    <w:rsid w:val="00CF1FD3"/>
    <w:rsid w:val="00CF2544"/>
    <w:rsid w:val="00CF2F7A"/>
    <w:rsid w:val="00CF35F9"/>
    <w:rsid w:val="00CF3631"/>
    <w:rsid w:val="00CF3C9E"/>
    <w:rsid w:val="00CF3D3E"/>
    <w:rsid w:val="00CF495D"/>
    <w:rsid w:val="00CF569A"/>
    <w:rsid w:val="00CF6230"/>
    <w:rsid w:val="00CF6BF8"/>
    <w:rsid w:val="00CF7188"/>
    <w:rsid w:val="00D006BE"/>
    <w:rsid w:val="00D00F6A"/>
    <w:rsid w:val="00D015EC"/>
    <w:rsid w:val="00D017FC"/>
    <w:rsid w:val="00D0226A"/>
    <w:rsid w:val="00D02AC6"/>
    <w:rsid w:val="00D0341E"/>
    <w:rsid w:val="00D03AE4"/>
    <w:rsid w:val="00D040EC"/>
    <w:rsid w:val="00D04515"/>
    <w:rsid w:val="00D06089"/>
    <w:rsid w:val="00D062BE"/>
    <w:rsid w:val="00D06704"/>
    <w:rsid w:val="00D06B2C"/>
    <w:rsid w:val="00D06FE8"/>
    <w:rsid w:val="00D11F08"/>
    <w:rsid w:val="00D1256B"/>
    <w:rsid w:val="00D13147"/>
    <w:rsid w:val="00D132D3"/>
    <w:rsid w:val="00D13606"/>
    <w:rsid w:val="00D1412C"/>
    <w:rsid w:val="00D148EF"/>
    <w:rsid w:val="00D15550"/>
    <w:rsid w:val="00D1632E"/>
    <w:rsid w:val="00D17B5C"/>
    <w:rsid w:val="00D23340"/>
    <w:rsid w:val="00D24285"/>
    <w:rsid w:val="00D2489D"/>
    <w:rsid w:val="00D255A8"/>
    <w:rsid w:val="00D25946"/>
    <w:rsid w:val="00D25BE6"/>
    <w:rsid w:val="00D25CC4"/>
    <w:rsid w:val="00D261BC"/>
    <w:rsid w:val="00D263AB"/>
    <w:rsid w:val="00D27CA7"/>
    <w:rsid w:val="00D305E1"/>
    <w:rsid w:val="00D3375D"/>
    <w:rsid w:val="00D3379A"/>
    <w:rsid w:val="00D35702"/>
    <w:rsid w:val="00D357D7"/>
    <w:rsid w:val="00D360C8"/>
    <w:rsid w:val="00D40BCD"/>
    <w:rsid w:val="00D40C02"/>
    <w:rsid w:val="00D41256"/>
    <w:rsid w:val="00D418E6"/>
    <w:rsid w:val="00D42684"/>
    <w:rsid w:val="00D436A3"/>
    <w:rsid w:val="00D437B7"/>
    <w:rsid w:val="00D43B13"/>
    <w:rsid w:val="00D45CF6"/>
    <w:rsid w:val="00D47173"/>
    <w:rsid w:val="00D472DE"/>
    <w:rsid w:val="00D47DD3"/>
    <w:rsid w:val="00D50269"/>
    <w:rsid w:val="00D50F7F"/>
    <w:rsid w:val="00D5176A"/>
    <w:rsid w:val="00D518E9"/>
    <w:rsid w:val="00D51981"/>
    <w:rsid w:val="00D51EF4"/>
    <w:rsid w:val="00D525FA"/>
    <w:rsid w:val="00D52A81"/>
    <w:rsid w:val="00D541B7"/>
    <w:rsid w:val="00D56548"/>
    <w:rsid w:val="00D5715A"/>
    <w:rsid w:val="00D57863"/>
    <w:rsid w:val="00D57DA4"/>
    <w:rsid w:val="00D57ED9"/>
    <w:rsid w:val="00D6142B"/>
    <w:rsid w:val="00D61468"/>
    <w:rsid w:val="00D61F48"/>
    <w:rsid w:val="00D626BF"/>
    <w:rsid w:val="00D63E8E"/>
    <w:rsid w:val="00D648DC"/>
    <w:rsid w:val="00D65DF7"/>
    <w:rsid w:val="00D662C8"/>
    <w:rsid w:val="00D66FF2"/>
    <w:rsid w:val="00D672F3"/>
    <w:rsid w:val="00D70F84"/>
    <w:rsid w:val="00D713E6"/>
    <w:rsid w:val="00D71687"/>
    <w:rsid w:val="00D71CA8"/>
    <w:rsid w:val="00D740F6"/>
    <w:rsid w:val="00D74391"/>
    <w:rsid w:val="00D74813"/>
    <w:rsid w:val="00D74C03"/>
    <w:rsid w:val="00D7508A"/>
    <w:rsid w:val="00D7532A"/>
    <w:rsid w:val="00D755F0"/>
    <w:rsid w:val="00D757E0"/>
    <w:rsid w:val="00D772BE"/>
    <w:rsid w:val="00D778EC"/>
    <w:rsid w:val="00D77CAF"/>
    <w:rsid w:val="00D77D8A"/>
    <w:rsid w:val="00D8033B"/>
    <w:rsid w:val="00D8213E"/>
    <w:rsid w:val="00D83D8C"/>
    <w:rsid w:val="00D86C8A"/>
    <w:rsid w:val="00D91E8A"/>
    <w:rsid w:val="00D92CB0"/>
    <w:rsid w:val="00D939D6"/>
    <w:rsid w:val="00D9420C"/>
    <w:rsid w:val="00D945D1"/>
    <w:rsid w:val="00D94B01"/>
    <w:rsid w:val="00D95378"/>
    <w:rsid w:val="00D954D1"/>
    <w:rsid w:val="00DA03A3"/>
    <w:rsid w:val="00DA0704"/>
    <w:rsid w:val="00DA086C"/>
    <w:rsid w:val="00DA1A2C"/>
    <w:rsid w:val="00DA2D89"/>
    <w:rsid w:val="00DA30BC"/>
    <w:rsid w:val="00DA4C39"/>
    <w:rsid w:val="00DA69C2"/>
    <w:rsid w:val="00DA6D70"/>
    <w:rsid w:val="00DA7265"/>
    <w:rsid w:val="00DA7538"/>
    <w:rsid w:val="00DA7938"/>
    <w:rsid w:val="00DA7CCE"/>
    <w:rsid w:val="00DB2867"/>
    <w:rsid w:val="00DB4217"/>
    <w:rsid w:val="00DB45B3"/>
    <w:rsid w:val="00DB4B2D"/>
    <w:rsid w:val="00DB513A"/>
    <w:rsid w:val="00DB5BEA"/>
    <w:rsid w:val="00DB6050"/>
    <w:rsid w:val="00DB6052"/>
    <w:rsid w:val="00DB6B0E"/>
    <w:rsid w:val="00DC0FAF"/>
    <w:rsid w:val="00DC1776"/>
    <w:rsid w:val="00DC2B79"/>
    <w:rsid w:val="00DC2C34"/>
    <w:rsid w:val="00DC324B"/>
    <w:rsid w:val="00DC48C7"/>
    <w:rsid w:val="00DC4909"/>
    <w:rsid w:val="00DC5142"/>
    <w:rsid w:val="00DC572F"/>
    <w:rsid w:val="00DC597A"/>
    <w:rsid w:val="00DC743F"/>
    <w:rsid w:val="00DC784B"/>
    <w:rsid w:val="00DC7B5F"/>
    <w:rsid w:val="00DD0E7F"/>
    <w:rsid w:val="00DD10E3"/>
    <w:rsid w:val="00DD3138"/>
    <w:rsid w:val="00DD3DE4"/>
    <w:rsid w:val="00DD48F9"/>
    <w:rsid w:val="00DD63B9"/>
    <w:rsid w:val="00DD6F43"/>
    <w:rsid w:val="00DD71F9"/>
    <w:rsid w:val="00DE1A18"/>
    <w:rsid w:val="00DE2C87"/>
    <w:rsid w:val="00DE2CCB"/>
    <w:rsid w:val="00DE3CCE"/>
    <w:rsid w:val="00DE3F7E"/>
    <w:rsid w:val="00DE459A"/>
    <w:rsid w:val="00DE4815"/>
    <w:rsid w:val="00DE4DB8"/>
    <w:rsid w:val="00DE5FCD"/>
    <w:rsid w:val="00DE61C7"/>
    <w:rsid w:val="00DE64D7"/>
    <w:rsid w:val="00DE6AA6"/>
    <w:rsid w:val="00DE6D92"/>
    <w:rsid w:val="00DE785E"/>
    <w:rsid w:val="00DF033D"/>
    <w:rsid w:val="00DF03E0"/>
    <w:rsid w:val="00DF27DA"/>
    <w:rsid w:val="00DF2AB8"/>
    <w:rsid w:val="00DF2FE6"/>
    <w:rsid w:val="00DF3492"/>
    <w:rsid w:val="00DF3496"/>
    <w:rsid w:val="00DF373A"/>
    <w:rsid w:val="00DF37DA"/>
    <w:rsid w:val="00DF3A65"/>
    <w:rsid w:val="00DF3A75"/>
    <w:rsid w:val="00DF42BD"/>
    <w:rsid w:val="00DF4DBE"/>
    <w:rsid w:val="00DF5EB6"/>
    <w:rsid w:val="00DF63D4"/>
    <w:rsid w:val="00DF6890"/>
    <w:rsid w:val="00DF7502"/>
    <w:rsid w:val="00DF7A01"/>
    <w:rsid w:val="00E00A18"/>
    <w:rsid w:val="00E00FD2"/>
    <w:rsid w:val="00E01077"/>
    <w:rsid w:val="00E02C13"/>
    <w:rsid w:val="00E02F08"/>
    <w:rsid w:val="00E03222"/>
    <w:rsid w:val="00E0324E"/>
    <w:rsid w:val="00E036E9"/>
    <w:rsid w:val="00E0517A"/>
    <w:rsid w:val="00E051DE"/>
    <w:rsid w:val="00E05866"/>
    <w:rsid w:val="00E0586A"/>
    <w:rsid w:val="00E06F04"/>
    <w:rsid w:val="00E074D2"/>
    <w:rsid w:val="00E07C60"/>
    <w:rsid w:val="00E07CBF"/>
    <w:rsid w:val="00E102F1"/>
    <w:rsid w:val="00E1176F"/>
    <w:rsid w:val="00E11A9C"/>
    <w:rsid w:val="00E12346"/>
    <w:rsid w:val="00E124D5"/>
    <w:rsid w:val="00E12AEC"/>
    <w:rsid w:val="00E12DA2"/>
    <w:rsid w:val="00E14080"/>
    <w:rsid w:val="00E14100"/>
    <w:rsid w:val="00E14291"/>
    <w:rsid w:val="00E148B5"/>
    <w:rsid w:val="00E151D1"/>
    <w:rsid w:val="00E16284"/>
    <w:rsid w:val="00E16B4F"/>
    <w:rsid w:val="00E16C58"/>
    <w:rsid w:val="00E17C17"/>
    <w:rsid w:val="00E2032B"/>
    <w:rsid w:val="00E20B32"/>
    <w:rsid w:val="00E210B4"/>
    <w:rsid w:val="00E21FB7"/>
    <w:rsid w:val="00E221DC"/>
    <w:rsid w:val="00E23F06"/>
    <w:rsid w:val="00E24195"/>
    <w:rsid w:val="00E24545"/>
    <w:rsid w:val="00E2471D"/>
    <w:rsid w:val="00E24FF5"/>
    <w:rsid w:val="00E25792"/>
    <w:rsid w:val="00E25C95"/>
    <w:rsid w:val="00E262FB"/>
    <w:rsid w:val="00E2648F"/>
    <w:rsid w:val="00E30920"/>
    <w:rsid w:val="00E309C5"/>
    <w:rsid w:val="00E309C8"/>
    <w:rsid w:val="00E30C0C"/>
    <w:rsid w:val="00E31508"/>
    <w:rsid w:val="00E31620"/>
    <w:rsid w:val="00E31930"/>
    <w:rsid w:val="00E334A1"/>
    <w:rsid w:val="00E3351A"/>
    <w:rsid w:val="00E34607"/>
    <w:rsid w:val="00E34872"/>
    <w:rsid w:val="00E35089"/>
    <w:rsid w:val="00E356DE"/>
    <w:rsid w:val="00E35C2F"/>
    <w:rsid w:val="00E35EDD"/>
    <w:rsid w:val="00E37339"/>
    <w:rsid w:val="00E3786B"/>
    <w:rsid w:val="00E40820"/>
    <w:rsid w:val="00E40B34"/>
    <w:rsid w:val="00E41147"/>
    <w:rsid w:val="00E41297"/>
    <w:rsid w:val="00E414B8"/>
    <w:rsid w:val="00E41976"/>
    <w:rsid w:val="00E41A73"/>
    <w:rsid w:val="00E422FB"/>
    <w:rsid w:val="00E424AE"/>
    <w:rsid w:val="00E42BC1"/>
    <w:rsid w:val="00E43349"/>
    <w:rsid w:val="00E43CBE"/>
    <w:rsid w:val="00E4479F"/>
    <w:rsid w:val="00E4658F"/>
    <w:rsid w:val="00E47CC9"/>
    <w:rsid w:val="00E50894"/>
    <w:rsid w:val="00E50D66"/>
    <w:rsid w:val="00E52863"/>
    <w:rsid w:val="00E539A9"/>
    <w:rsid w:val="00E54A67"/>
    <w:rsid w:val="00E54BB9"/>
    <w:rsid w:val="00E55427"/>
    <w:rsid w:val="00E55D59"/>
    <w:rsid w:val="00E56758"/>
    <w:rsid w:val="00E56A3D"/>
    <w:rsid w:val="00E56DCB"/>
    <w:rsid w:val="00E57DB9"/>
    <w:rsid w:val="00E57E3D"/>
    <w:rsid w:val="00E60192"/>
    <w:rsid w:val="00E60777"/>
    <w:rsid w:val="00E60FB6"/>
    <w:rsid w:val="00E61C0D"/>
    <w:rsid w:val="00E63B0B"/>
    <w:rsid w:val="00E63EB4"/>
    <w:rsid w:val="00E64052"/>
    <w:rsid w:val="00E64912"/>
    <w:rsid w:val="00E656C3"/>
    <w:rsid w:val="00E65A0D"/>
    <w:rsid w:val="00E65F96"/>
    <w:rsid w:val="00E66160"/>
    <w:rsid w:val="00E67022"/>
    <w:rsid w:val="00E701C6"/>
    <w:rsid w:val="00E70512"/>
    <w:rsid w:val="00E70786"/>
    <w:rsid w:val="00E71329"/>
    <w:rsid w:val="00E71AC9"/>
    <w:rsid w:val="00E738E6"/>
    <w:rsid w:val="00E74B37"/>
    <w:rsid w:val="00E74C39"/>
    <w:rsid w:val="00E74EA0"/>
    <w:rsid w:val="00E75429"/>
    <w:rsid w:val="00E76BC1"/>
    <w:rsid w:val="00E77AC3"/>
    <w:rsid w:val="00E77BCF"/>
    <w:rsid w:val="00E77C28"/>
    <w:rsid w:val="00E77E02"/>
    <w:rsid w:val="00E801E2"/>
    <w:rsid w:val="00E813C3"/>
    <w:rsid w:val="00E81543"/>
    <w:rsid w:val="00E81888"/>
    <w:rsid w:val="00E81D17"/>
    <w:rsid w:val="00E82F17"/>
    <w:rsid w:val="00E8324B"/>
    <w:rsid w:val="00E8363B"/>
    <w:rsid w:val="00E83E1A"/>
    <w:rsid w:val="00E84328"/>
    <w:rsid w:val="00E84966"/>
    <w:rsid w:val="00E87230"/>
    <w:rsid w:val="00E90780"/>
    <w:rsid w:val="00E91A20"/>
    <w:rsid w:val="00E922EF"/>
    <w:rsid w:val="00E92383"/>
    <w:rsid w:val="00E925EB"/>
    <w:rsid w:val="00E92A80"/>
    <w:rsid w:val="00E9483F"/>
    <w:rsid w:val="00E9489D"/>
    <w:rsid w:val="00EA0909"/>
    <w:rsid w:val="00EA093C"/>
    <w:rsid w:val="00EA15A5"/>
    <w:rsid w:val="00EA1605"/>
    <w:rsid w:val="00EA1B3A"/>
    <w:rsid w:val="00EA2109"/>
    <w:rsid w:val="00EA25A6"/>
    <w:rsid w:val="00EA2B7F"/>
    <w:rsid w:val="00EA3737"/>
    <w:rsid w:val="00EA4413"/>
    <w:rsid w:val="00EA4DAF"/>
    <w:rsid w:val="00EA59B4"/>
    <w:rsid w:val="00EA658F"/>
    <w:rsid w:val="00EA675A"/>
    <w:rsid w:val="00EA6D5D"/>
    <w:rsid w:val="00EB0103"/>
    <w:rsid w:val="00EB0BFF"/>
    <w:rsid w:val="00EB18EF"/>
    <w:rsid w:val="00EB2DC0"/>
    <w:rsid w:val="00EB502C"/>
    <w:rsid w:val="00EB546F"/>
    <w:rsid w:val="00EB570F"/>
    <w:rsid w:val="00EB6563"/>
    <w:rsid w:val="00EC0A33"/>
    <w:rsid w:val="00EC1125"/>
    <w:rsid w:val="00EC1778"/>
    <w:rsid w:val="00EC30B6"/>
    <w:rsid w:val="00EC48B2"/>
    <w:rsid w:val="00EC5A5B"/>
    <w:rsid w:val="00EC7393"/>
    <w:rsid w:val="00EC7C42"/>
    <w:rsid w:val="00EC7F0F"/>
    <w:rsid w:val="00EC7F32"/>
    <w:rsid w:val="00EC7FA9"/>
    <w:rsid w:val="00ED0D9B"/>
    <w:rsid w:val="00ED0F5C"/>
    <w:rsid w:val="00ED10A5"/>
    <w:rsid w:val="00ED3B42"/>
    <w:rsid w:val="00ED4B7E"/>
    <w:rsid w:val="00ED4D4E"/>
    <w:rsid w:val="00ED4FA2"/>
    <w:rsid w:val="00ED761E"/>
    <w:rsid w:val="00ED7A3A"/>
    <w:rsid w:val="00EE057F"/>
    <w:rsid w:val="00EE0C77"/>
    <w:rsid w:val="00EE1607"/>
    <w:rsid w:val="00EE1809"/>
    <w:rsid w:val="00EE1D0E"/>
    <w:rsid w:val="00EE2B7E"/>
    <w:rsid w:val="00EE2E0B"/>
    <w:rsid w:val="00EE30D0"/>
    <w:rsid w:val="00EE4DF6"/>
    <w:rsid w:val="00EE4E54"/>
    <w:rsid w:val="00EE7BD2"/>
    <w:rsid w:val="00EF0C75"/>
    <w:rsid w:val="00EF0E7E"/>
    <w:rsid w:val="00EF0FFF"/>
    <w:rsid w:val="00EF1521"/>
    <w:rsid w:val="00EF16E3"/>
    <w:rsid w:val="00EF2D0E"/>
    <w:rsid w:val="00EF2DE8"/>
    <w:rsid w:val="00EF58A6"/>
    <w:rsid w:val="00EF75CB"/>
    <w:rsid w:val="00EF7948"/>
    <w:rsid w:val="00EF7FA8"/>
    <w:rsid w:val="00F0284E"/>
    <w:rsid w:val="00F05FFD"/>
    <w:rsid w:val="00F06034"/>
    <w:rsid w:val="00F0639B"/>
    <w:rsid w:val="00F0764C"/>
    <w:rsid w:val="00F078BD"/>
    <w:rsid w:val="00F0796E"/>
    <w:rsid w:val="00F103E4"/>
    <w:rsid w:val="00F134EE"/>
    <w:rsid w:val="00F13FF4"/>
    <w:rsid w:val="00F14F34"/>
    <w:rsid w:val="00F15866"/>
    <w:rsid w:val="00F17034"/>
    <w:rsid w:val="00F20050"/>
    <w:rsid w:val="00F206C7"/>
    <w:rsid w:val="00F21B3E"/>
    <w:rsid w:val="00F22FE6"/>
    <w:rsid w:val="00F242AA"/>
    <w:rsid w:val="00F243FE"/>
    <w:rsid w:val="00F24523"/>
    <w:rsid w:val="00F248DB"/>
    <w:rsid w:val="00F24DE7"/>
    <w:rsid w:val="00F259CE"/>
    <w:rsid w:val="00F25CD0"/>
    <w:rsid w:val="00F268B0"/>
    <w:rsid w:val="00F26C3C"/>
    <w:rsid w:val="00F27832"/>
    <w:rsid w:val="00F27B53"/>
    <w:rsid w:val="00F30542"/>
    <w:rsid w:val="00F317BE"/>
    <w:rsid w:val="00F31C24"/>
    <w:rsid w:val="00F32253"/>
    <w:rsid w:val="00F3284E"/>
    <w:rsid w:val="00F35ED4"/>
    <w:rsid w:val="00F36081"/>
    <w:rsid w:val="00F36644"/>
    <w:rsid w:val="00F36EDA"/>
    <w:rsid w:val="00F37740"/>
    <w:rsid w:val="00F37B17"/>
    <w:rsid w:val="00F37CA6"/>
    <w:rsid w:val="00F37E52"/>
    <w:rsid w:val="00F40D88"/>
    <w:rsid w:val="00F41392"/>
    <w:rsid w:val="00F41801"/>
    <w:rsid w:val="00F4295C"/>
    <w:rsid w:val="00F429F6"/>
    <w:rsid w:val="00F42DC9"/>
    <w:rsid w:val="00F42FEC"/>
    <w:rsid w:val="00F4318D"/>
    <w:rsid w:val="00F436BB"/>
    <w:rsid w:val="00F44706"/>
    <w:rsid w:val="00F44ADD"/>
    <w:rsid w:val="00F44BEF"/>
    <w:rsid w:val="00F44F20"/>
    <w:rsid w:val="00F461E8"/>
    <w:rsid w:val="00F46800"/>
    <w:rsid w:val="00F468FC"/>
    <w:rsid w:val="00F47145"/>
    <w:rsid w:val="00F47884"/>
    <w:rsid w:val="00F47C8D"/>
    <w:rsid w:val="00F50B78"/>
    <w:rsid w:val="00F50CEB"/>
    <w:rsid w:val="00F50E08"/>
    <w:rsid w:val="00F531CB"/>
    <w:rsid w:val="00F53C20"/>
    <w:rsid w:val="00F545BF"/>
    <w:rsid w:val="00F559F9"/>
    <w:rsid w:val="00F56152"/>
    <w:rsid w:val="00F57759"/>
    <w:rsid w:val="00F57D73"/>
    <w:rsid w:val="00F614E4"/>
    <w:rsid w:val="00F61B86"/>
    <w:rsid w:val="00F61FE7"/>
    <w:rsid w:val="00F62BB3"/>
    <w:rsid w:val="00F637AC"/>
    <w:rsid w:val="00F63AA5"/>
    <w:rsid w:val="00F64884"/>
    <w:rsid w:val="00F64A00"/>
    <w:rsid w:val="00F66F26"/>
    <w:rsid w:val="00F70B5F"/>
    <w:rsid w:val="00F70B7A"/>
    <w:rsid w:val="00F71AE5"/>
    <w:rsid w:val="00F71B56"/>
    <w:rsid w:val="00F727A1"/>
    <w:rsid w:val="00F72C03"/>
    <w:rsid w:val="00F72C0B"/>
    <w:rsid w:val="00F738D7"/>
    <w:rsid w:val="00F73C4F"/>
    <w:rsid w:val="00F745A6"/>
    <w:rsid w:val="00F74B0C"/>
    <w:rsid w:val="00F74CBB"/>
    <w:rsid w:val="00F7568B"/>
    <w:rsid w:val="00F7687C"/>
    <w:rsid w:val="00F76EE7"/>
    <w:rsid w:val="00F770DE"/>
    <w:rsid w:val="00F778F5"/>
    <w:rsid w:val="00F80D2D"/>
    <w:rsid w:val="00F80EFA"/>
    <w:rsid w:val="00F819C5"/>
    <w:rsid w:val="00F832C8"/>
    <w:rsid w:val="00F83BCA"/>
    <w:rsid w:val="00F83E98"/>
    <w:rsid w:val="00F84F41"/>
    <w:rsid w:val="00F85731"/>
    <w:rsid w:val="00F857AD"/>
    <w:rsid w:val="00F85A23"/>
    <w:rsid w:val="00F873B3"/>
    <w:rsid w:val="00F87CFB"/>
    <w:rsid w:val="00F924E7"/>
    <w:rsid w:val="00F9279C"/>
    <w:rsid w:val="00F92C05"/>
    <w:rsid w:val="00F93B72"/>
    <w:rsid w:val="00F94B10"/>
    <w:rsid w:val="00F94ED6"/>
    <w:rsid w:val="00F95352"/>
    <w:rsid w:val="00F9535A"/>
    <w:rsid w:val="00F96018"/>
    <w:rsid w:val="00F96822"/>
    <w:rsid w:val="00F97513"/>
    <w:rsid w:val="00F97B3B"/>
    <w:rsid w:val="00F97EDB"/>
    <w:rsid w:val="00FA00D3"/>
    <w:rsid w:val="00FA0A80"/>
    <w:rsid w:val="00FA1379"/>
    <w:rsid w:val="00FA22CB"/>
    <w:rsid w:val="00FA2BA6"/>
    <w:rsid w:val="00FA3567"/>
    <w:rsid w:val="00FA40D2"/>
    <w:rsid w:val="00FA42B9"/>
    <w:rsid w:val="00FA520F"/>
    <w:rsid w:val="00FA54A3"/>
    <w:rsid w:val="00FA58BB"/>
    <w:rsid w:val="00FA5C23"/>
    <w:rsid w:val="00FA6413"/>
    <w:rsid w:val="00FA65FA"/>
    <w:rsid w:val="00FA69D9"/>
    <w:rsid w:val="00FA6B8D"/>
    <w:rsid w:val="00FA755A"/>
    <w:rsid w:val="00FA7B72"/>
    <w:rsid w:val="00FB22A0"/>
    <w:rsid w:val="00FB2AEA"/>
    <w:rsid w:val="00FB2B0F"/>
    <w:rsid w:val="00FB3B6F"/>
    <w:rsid w:val="00FB3F53"/>
    <w:rsid w:val="00FB4F6B"/>
    <w:rsid w:val="00FB501C"/>
    <w:rsid w:val="00FB5EC6"/>
    <w:rsid w:val="00FB5FE1"/>
    <w:rsid w:val="00FB6178"/>
    <w:rsid w:val="00FB633A"/>
    <w:rsid w:val="00FC032E"/>
    <w:rsid w:val="00FC0E8D"/>
    <w:rsid w:val="00FC1E3B"/>
    <w:rsid w:val="00FC3DCA"/>
    <w:rsid w:val="00FC3F5C"/>
    <w:rsid w:val="00FC4341"/>
    <w:rsid w:val="00FC4568"/>
    <w:rsid w:val="00FC4691"/>
    <w:rsid w:val="00FC46EF"/>
    <w:rsid w:val="00FC5536"/>
    <w:rsid w:val="00FC5E8B"/>
    <w:rsid w:val="00FC6CC7"/>
    <w:rsid w:val="00FC71D0"/>
    <w:rsid w:val="00FD063F"/>
    <w:rsid w:val="00FD0A92"/>
    <w:rsid w:val="00FD1E8D"/>
    <w:rsid w:val="00FD31B3"/>
    <w:rsid w:val="00FD418B"/>
    <w:rsid w:val="00FD4204"/>
    <w:rsid w:val="00FD4C48"/>
    <w:rsid w:val="00FD6E05"/>
    <w:rsid w:val="00FD7BDF"/>
    <w:rsid w:val="00FD7E84"/>
    <w:rsid w:val="00FE07C8"/>
    <w:rsid w:val="00FE1E6A"/>
    <w:rsid w:val="00FE2462"/>
    <w:rsid w:val="00FE2640"/>
    <w:rsid w:val="00FE3095"/>
    <w:rsid w:val="00FE4E3E"/>
    <w:rsid w:val="00FE5D78"/>
    <w:rsid w:val="00FE6F1F"/>
    <w:rsid w:val="00FE730C"/>
    <w:rsid w:val="00FE7424"/>
    <w:rsid w:val="00FE75ED"/>
    <w:rsid w:val="00FF07B1"/>
    <w:rsid w:val="00FF2C97"/>
    <w:rsid w:val="00FF2D3B"/>
    <w:rsid w:val="00FF32EB"/>
    <w:rsid w:val="00FF3CCB"/>
    <w:rsid w:val="00FF4768"/>
    <w:rsid w:val="00FF4D42"/>
    <w:rsid w:val="00FF4E76"/>
    <w:rsid w:val="00FF50C6"/>
    <w:rsid w:val="00FF557C"/>
    <w:rsid w:val="00FF57B5"/>
    <w:rsid w:val="00FF5A96"/>
    <w:rsid w:val="0157239F"/>
    <w:rsid w:val="01B13C1D"/>
    <w:rsid w:val="026CC3FD"/>
    <w:rsid w:val="02B67752"/>
    <w:rsid w:val="03DE5714"/>
    <w:rsid w:val="074749B8"/>
    <w:rsid w:val="0942D08D"/>
    <w:rsid w:val="0AF2C6F0"/>
    <w:rsid w:val="0F75E79E"/>
    <w:rsid w:val="12C979A9"/>
    <w:rsid w:val="167ED7F4"/>
    <w:rsid w:val="174632B7"/>
    <w:rsid w:val="18F30F06"/>
    <w:rsid w:val="1AC3473E"/>
    <w:rsid w:val="1F87850A"/>
    <w:rsid w:val="2128BF15"/>
    <w:rsid w:val="2427C9EE"/>
    <w:rsid w:val="269AB5F0"/>
    <w:rsid w:val="2769B1FB"/>
    <w:rsid w:val="280D2AF0"/>
    <w:rsid w:val="28223AC0"/>
    <w:rsid w:val="2836C505"/>
    <w:rsid w:val="29BB1F4A"/>
    <w:rsid w:val="2A451739"/>
    <w:rsid w:val="2A9B960E"/>
    <w:rsid w:val="2D3265C9"/>
    <w:rsid w:val="2E633D4C"/>
    <w:rsid w:val="2EE2F963"/>
    <w:rsid w:val="311F321D"/>
    <w:rsid w:val="330E3FD6"/>
    <w:rsid w:val="3378804B"/>
    <w:rsid w:val="3CE384B8"/>
    <w:rsid w:val="3D8BB0E4"/>
    <w:rsid w:val="413E471C"/>
    <w:rsid w:val="4256B567"/>
    <w:rsid w:val="43BE1EE4"/>
    <w:rsid w:val="4B96D440"/>
    <w:rsid w:val="4BCBED80"/>
    <w:rsid w:val="4BEC93D8"/>
    <w:rsid w:val="4C2F496A"/>
    <w:rsid w:val="4D52F848"/>
    <w:rsid w:val="4D7C80DF"/>
    <w:rsid w:val="4E6D29D6"/>
    <w:rsid w:val="55A94B9B"/>
    <w:rsid w:val="59A53CC5"/>
    <w:rsid w:val="5D9229AD"/>
    <w:rsid w:val="5E6E965A"/>
    <w:rsid w:val="60337FE8"/>
    <w:rsid w:val="60E00EEC"/>
    <w:rsid w:val="643FF5BE"/>
    <w:rsid w:val="6752B963"/>
    <w:rsid w:val="67D01C6D"/>
    <w:rsid w:val="6B9110E9"/>
    <w:rsid w:val="73056BAF"/>
    <w:rsid w:val="74150BB6"/>
    <w:rsid w:val="77A51BDF"/>
    <w:rsid w:val="7D7A0521"/>
    <w:rsid w:val="7DA965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BDC5340C-F8A4-412C-B772-FD2DAB90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E90780"/>
    <w:pPr>
      <w:keepNext/>
      <w:numPr>
        <w:numId w:val="3"/>
      </w:numPr>
      <w:spacing w:before="240"/>
      <w:outlineLvl w:val="0"/>
    </w:pPr>
    <w:rPr>
      <w:color w:val="22413A"/>
      <w:sz w:val="48"/>
    </w:rPr>
  </w:style>
  <w:style w:type="paragraph" w:styleId="Heading2">
    <w:name w:val="heading 2"/>
    <w:aliases w:val="Left"/>
    <w:basedOn w:val="Heading1"/>
    <w:next w:val="Normal"/>
    <w:link w:val="Heading2Char"/>
    <w:qFormat/>
    <w:rsid w:val="00037EE2"/>
    <w:pPr>
      <w:numPr>
        <w:ilvl w:val="1"/>
      </w:numPr>
      <w:outlineLvl w:val="1"/>
    </w:pPr>
    <w:rPr>
      <w:sz w:val="36"/>
    </w:rPr>
  </w:style>
  <w:style w:type="paragraph" w:styleId="Heading3">
    <w:name w:val="heading 3"/>
    <w:aliases w:val="Sub"/>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FE3095"/>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FE3095"/>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FE3095"/>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037EE2"/>
    <w:rPr>
      <w:rFonts w:ascii="Arial" w:hAnsi="Arial"/>
      <w:color w:val="22413A"/>
      <w:sz w:val="36"/>
      <w:szCs w:val="22"/>
      <w:lang w:eastAsia="en-US" w:bidi="he-IL"/>
    </w:rPr>
  </w:style>
  <w:style w:type="character" w:customStyle="1" w:styleId="Heading3Char">
    <w:name w:val="Heading 3 Char"/>
    <w:aliases w:val="Sub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
      </w:numPr>
      <w:spacing w:before="240" w:after="120" w:line="240" w:lineRule="auto"/>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6"/>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5"/>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NumberedParagraph">
    <w:name w:val="Numbered Paragraph"/>
    <w:basedOn w:val="Normal"/>
    <w:link w:val="NumberedParagraphChar"/>
    <w:qFormat/>
    <w:rsid w:val="00391085"/>
    <w:pPr>
      <w:numPr>
        <w:ilvl w:val="1"/>
        <w:numId w:val="7"/>
      </w:numPr>
      <w:spacing w:before="240" w:after="120" w:line="240" w:lineRule="auto"/>
      <w:ind w:hanging="792"/>
    </w:pPr>
    <w:rPr>
      <w:rFonts w:eastAsia="Times New Roman"/>
      <w:szCs w:val="24"/>
      <w:lang w:bidi="ar-SA"/>
    </w:rPr>
  </w:style>
  <w:style w:type="character" w:customStyle="1" w:styleId="NumberedParagraphChar">
    <w:name w:val="Numbered Paragraph Char"/>
    <w:basedOn w:val="DefaultParagraphFont"/>
    <w:link w:val="NumberedParagraph"/>
    <w:rsid w:val="00391085"/>
    <w:rPr>
      <w:rFonts w:ascii="Arial" w:eastAsia="Times New Roman" w:hAnsi="Arial"/>
      <w:sz w:val="24"/>
      <w:szCs w:val="24"/>
      <w:lang w:eastAsia="en-US"/>
    </w:rPr>
  </w:style>
  <w:style w:type="character" w:customStyle="1" w:styleId="ya-q-full-text">
    <w:name w:val="ya-q-full-text"/>
    <w:basedOn w:val="DefaultParagraphFont"/>
    <w:rsid w:val="00651963"/>
  </w:style>
  <w:style w:type="paragraph" w:customStyle="1" w:styleId="TSNumberedParagraph1">
    <w:name w:val="TS Numbered Paragraph 1"/>
    <w:basedOn w:val="Normal"/>
    <w:rsid w:val="00634DC8"/>
    <w:pPr>
      <w:numPr>
        <w:numId w:val="8"/>
      </w:numPr>
      <w:spacing w:after="220" w:line="240" w:lineRule="auto"/>
      <w:outlineLvl w:val="0"/>
    </w:pPr>
    <w:rPr>
      <w:rFonts w:eastAsia="Times New Roman" w:cs="Times New Roman"/>
      <w:sz w:val="22"/>
      <w:szCs w:val="24"/>
      <w:lang w:bidi="ar-SA"/>
    </w:rPr>
  </w:style>
  <w:style w:type="character" w:customStyle="1" w:styleId="ListParagraphChar">
    <w:name w:val="List Paragraph Char"/>
    <w:link w:val="ListParagraph"/>
    <w:uiPriority w:val="34"/>
    <w:rsid w:val="00B80DEF"/>
    <w:rPr>
      <w:rFonts w:ascii="Arial" w:hAnsi="Arial"/>
      <w:sz w:val="24"/>
      <w:szCs w:val="22"/>
      <w:lang w:eastAsia="en-US" w:bidi="he-IL"/>
    </w:rPr>
  </w:style>
  <w:style w:type="paragraph" w:styleId="NoSpacing">
    <w:name w:val="No Spacing"/>
    <w:basedOn w:val="Normal"/>
    <w:link w:val="NoSpacingChar"/>
    <w:uiPriority w:val="1"/>
    <w:qFormat/>
    <w:rsid w:val="00086223"/>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086223"/>
    <w:rPr>
      <w:rFonts w:ascii="Arial" w:eastAsia="Times New Roman" w:hAnsi="Arial" w:cs="Times New Roman"/>
      <w:sz w:val="24"/>
      <w:szCs w:val="24"/>
      <w:lang w:eastAsia="en-US"/>
    </w:rPr>
  </w:style>
  <w:style w:type="paragraph" w:styleId="Revision">
    <w:name w:val="Revision"/>
    <w:hidden/>
    <w:uiPriority w:val="99"/>
    <w:semiHidden/>
    <w:rsid w:val="001A1F8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70B5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70B5F"/>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rsid w:val="00FE3095"/>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FE3095"/>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FE3095"/>
    <w:rPr>
      <w:rFonts w:ascii="Arial" w:eastAsia="Times New Roman" w:hAnsi="Arial"/>
      <w:sz w:val="22"/>
      <w:szCs w:val="22"/>
      <w:lang w:eastAsia="en-US"/>
    </w:rPr>
  </w:style>
  <w:style w:type="paragraph" w:customStyle="1" w:styleId="TSHeadingNumbered1">
    <w:name w:val="TS Heading Numbered 1"/>
    <w:basedOn w:val="Normal"/>
    <w:rsid w:val="00FE309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FE3095"/>
    <w:rPr>
      <w:caps w:val="0"/>
    </w:rPr>
  </w:style>
  <w:style w:type="paragraph" w:customStyle="1" w:styleId="TSHeadingNumbered111">
    <w:name w:val="TS Heading Numbered 1.1.1"/>
    <w:basedOn w:val="TSHeadingNumbered1"/>
    <w:rsid w:val="00FE3095"/>
    <w:rPr>
      <w:caps w:val="0"/>
    </w:rPr>
  </w:style>
  <w:style w:type="paragraph" w:customStyle="1" w:styleId="TSHeadingNumbered1111">
    <w:name w:val="TS Heading Numbered 1.1.1.1"/>
    <w:basedOn w:val="TSHeadingNumbered1"/>
    <w:rsid w:val="00FE3095"/>
  </w:style>
  <w:style w:type="paragraph" w:customStyle="1" w:styleId="ONRNumberedParagraph1">
    <w:name w:val="ONR Numbered Paragraph 1"/>
    <w:basedOn w:val="Normal"/>
    <w:locked/>
    <w:rsid w:val="00FE3095"/>
    <w:pPr>
      <w:numPr>
        <w:numId w:val="9"/>
      </w:numPr>
      <w:tabs>
        <w:tab w:val="left" w:pos="880"/>
      </w:tabs>
      <w:spacing w:after="120" w:line="240" w:lineRule="auto"/>
      <w:ind w:left="880" w:hanging="880"/>
      <w:jc w:val="both"/>
    </w:pPr>
    <w:rPr>
      <w:rFonts w:eastAsia="Times New Roman"/>
      <w:sz w:val="22"/>
      <w:lang w:eastAsia="en-GB" w:bidi="ar-SA"/>
    </w:rPr>
  </w:style>
  <w:style w:type="paragraph" w:customStyle="1" w:styleId="TSBullet1Square">
    <w:name w:val="TS Bullet 1 Square"/>
    <w:basedOn w:val="Normal"/>
    <w:link w:val="TSBullet1SquareChar"/>
    <w:rsid w:val="008B278E"/>
    <w:pPr>
      <w:spacing w:line="240" w:lineRule="auto"/>
      <w:contextualSpacing/>
    </w:pPr>
    <w:rPr>
      <w:rFonts w:eastAsia="Times New Roman" w:cs="Times New Roman"/>
      <w:sz w:val="22"/>
      <w:szCs w:val="24"/>
      <w:lang w:bidi="ar-SA"/>
    </w:rPr>
  </w:style>
  <w:style w:type="paragraph" w:customStyle="1" w:styleId="ONRSquareBullet1">
    <w:name w:val="ONR Square Bullet 1"/>
    <w:basedOn w:val="Normal"/>
    <w:rsid w:val="008B278E"/>
    <w:pPr>
      <w:numPr>
        <w:numId w:val="10"/>
      </w:numPr>
      <w:spacing w:after="120" w:line="240" w:lineRule="auto"/>
    </w:pPr>
    <w:rPr>
      <w:rFonts w:eastAsia="Times New Roman"/>
      <w:sz w:val="22"/>
      <w:lang w:bidi="ar-SA"/>
    </w:rPr>
  </w:style>
  <w:style w:type="character" w:customStyle="1" w:styleId="TSBullet1SquareChar">
    <w:name w:val="TS Bullet 1 Square Char"/>
    <w:link w:val="TSBullet1Square"/>
    <w:rsid w:val="008B278E"/>
    <w:rPr>
      <w:rFonts w:ascii="Arial" w:eastAsia="Times New Roman" w:hAnsi="Arial" w:cs="Times New Roman"/>
      <w:sz w:val="22"/>
      <w:szCs w:val="24"/>
      <w:lang w:eastAsia="en-US"/>
    </w:rPr>
  </w:style>
  <w:style w:type="paragraph" w:customStyle="1" w:styleId="Ch7num">
    <w:name w:val="Ch 7 num"/>
    <w:basedOn w:val="Normal"/>
    <w:qFormat/>
    <w:rsid w:val="00DC1776"/>
    <w:pPr>
      <w:numPr>
        <w:numId w:val="11"/>
      </w:numPr>
      <w:spacing w:before="120" w:after="120" w:line="240" w:lineRule="auto"/>
      <w:ind w:left="0" w:firstLine="0"/>
      <w:jc w:val="both"/>
    </w:pPr>
    <w:rPr>
      <w:rFonts w:eastAsia="Times New Roman" w:cs="Times New Roman"/>
      <w:sz w:val="22"/>
      <w:lang w:bidi="ar-SA"/>
    </w:rPr>
  </w:style>
  <w:style w:type="character" w:customStyle="1" w:styleId="TSHeadingNumbered11Char">
    <w:name w:val="TS Heading Numbered 1.1 Char"/>
    <w:basedOn w:val="DefaultParagraphFont"/>
    <w:link w:val="TSHeadingNumbered11"/>
    <w:rsid w:val="00F72C0B"/>
    <w:rPr>
      <w:rFonts w:ascii="Arial Bold" w:eastAsia="Times New Roman" w:hAnsi="Arial Bold" w:cs="Times New Roman"/>
      <w:b/>
      <w:sz w:val="22"/>
      <w:szCs w:val="24"/>
      <w:lang w:eastAsia="en-US"/>
    </w:rPr>
  </w:style>
  <w:style w:type="paragraph" w:customStyle="1" w:styleId="TSNumberedParagraph11">
    <w:name w:val="TS Numbered Paragraph 1.1"/>
    <w:basedOn w:val="TSHeadingNumbered11"/>
    <w:rsid w:val="005057CB"/>
    <w:pPr>
      <w:tabs>
        <w:tab w:val="clear" w:pos="-31680"/>
      </w:tabs>
      <w:ind w:left="0" w:firstLine="0"/>
    </w:pPr>
    <w:rPr>
      <w:rFonts w:ascii="Arial" w:hAnsi="Arial"/>
      <w:b w:val="0"/>
    </w:rPr>
  </w:style>
  <w:style w:type="paragraph" w:customStyle="1" w:styleId="Normal1">
    <w:name w:val="Normal1"/>
    <w:basedOn w:val="Normal"/>
    <w:next w:val="Normal"/>
    <w:rsid w:val="00D2489D"/>
    <w:pPr>
      <w:autoSpaceDE w:val="0"/>
      <w:autoSpaceDN w:val="0"/>
      <w:adjustRightInd w:val="0"/>
      <w:spacing w:after="0" w:line="240" w:lineRule="auto"/>
    </w:pPr>
    <w:rPr>
      <w:rFonts w:eastAsia="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20">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24064113">
      <w:bodyDiv w:val="1"/>
      <w:marLeft w:val="0"/>
      <w:marRight w:val="0"/>
      <w:marTop w:val="0"/>
      <w:marBottom w:val="0"/>
      <w:divBdr>
        <w:top w:val="none" w:sz="0" w:space="0" w:color="auto"/>
        <w:left w:val="none" w:sz="0" w:space="0" w:color="auto"/>
        <w:bottom w:val="none" w:sz="0" w:space="0" w:color="auto"/>
        <w:right w:val="none" w:sz="0" w:space="0" w:color="auto"/>
      </w:divBdr>
    </w:div>
    <w:div w:id="33232510">
      <w:bodyDiv w:val="1"/>
      <w:marLeft w:val="0"/>
      <w:marRight w:val="0"/>
      <w:marTop w:val="0"/>
      <w:marBottom w:val="0"/>
      <w:divBdr>
        <w:top w:val="none" w:sz="0" w:space="0" w:color="auto"/>
        <w:left w:val="none" w:sz="0" w:space="0" w:color="auto"/>
        <w:bottom w:val="none" w:sz="0" w:space="0" w:color="auto"/>
        <w:right w:val="none" w:sz="0" w:space="0" w:color="auto"/>
      </w:divBdr>
    </w:div>
    <w:div w:id="38168312">
      <w:bodyDiv w:val="1"/>
      <w:marLeft w:val="0"/>
      <w:marRight w:val="0"/>
      <w:marTop w:val="0"/>
      <w:marBottom w:val="0"/>
      <w:divBdr>
        <w:top w:val="none" w:sz="0" w:space="0" w:color="auto"/>
        <w:left w:val="none" w:sz="0" w:space="0" w:color="auto"/>
        <w:bottom w:val="none" w:sz="0" w:space="0" w:color="auto"/>
        <w:right w:val="none" w:sz="0" w:space="0" w:color="auto"/>
      </w:divBdr>
    </w:div>
    <w:div w:id="41290786">
      <w:bodyDiv w:val="1"/>
      <w:marLeft w:val="0"/>
      <w:marRight w:val="0"/>
      <w:marTop w:val="0"/>
      <w:marBottom w:val="0"/>
      <w:divBdr>
        <w:top w:val="none" w:sz="0" w:space="0" w:color="auto"/>
        <w:left w:val="none" w:sz="0" w:space="0" w:color="auto"/>
        <w:bottom w:val="none" w:sz="0" w:space="0" w:color="auto"/>
        <w:right w:val="none" w:sz="0" w:space="0" w:color="auto"/>
      </w:divBdr>
    </w:div>
    <w:div w:id="49421847">
      <w:bodyDiv w:val="1"/>
      <w:marLeft w:val="0"/>
      <w:marRight w:val="0"/>
      <w:marTop w:val="0"/>
      <w:marBottom w:val="0"/>
      <w:divBdr>
        <w:top w:val="none" w:sz="0" w:space="0" w:color="auto"/>
        <w:left w:val="none" w:sz="0" w:space="0" w:color="auto"/>
        <w:bottom w:val="none" w:sz="0" w:space="0" w:color="auto"/>
        <w:right w:val="none" w:sz="0" w:space="0" w:color="auto"/>
      </w:divBdr>
    </w:div>
    <w:div w:id="50888096">
      <w:bodyDiv w:val="1"/>
      <w:marLeft w:val="0"/>
      <w:marRight w:val="0"/>
      <w:marTop w:val="0"/>
      <w:marBottom w:val="0"/>
      <w:divBdr>
        <w:top w:val="none" w:sz="0" w:space="0" w:color="auto"/>
        <w:left w:val="none" w:sz="0" w:space="0" w:color="auto"/>
        <w:bottom w:val="none" w:sz="0" w:space="0" w:color="auto"/>
        <w:right w:val="none" w:sz="0" w:space="0" w:color="auto"/>
      </w:divBdr>
    </w:div>
    <w:div w:id="52583054">
      <w:bodyDiv w:val="1"/>
      <w:marLeft w:val="0"/>
      <w:marRight w:val="0"/>
      <w:marTop w:val="0"/>
      <w:marBottom w:val="0"/>
      <w:divBdr>
        <w:top w:val="none" w:sz="0" w:space="0" w:color="auto"/>
        <w:left w:val="none" w:sz="0" w:space="0" w:color="auto"/>
        <w:bottom w:val="none" w:sz="0" w:space="0" w:color="auto"/>
        <w:right w:val="none" w:sz="0" w:space="0" w:color="auto"/>
      </w:divBdr>
    </w:div>
    <w:div w:id="52969059">
      <w:bodyDiv w:val="1"/>
      <w:marLeft w:val="0"/>
      <w:marRight w:val="0"/>
      <w:marTop w:val="0"/>
      <w:marBottom w:val="0"/>
      <w:divBdr>
        <w:top w:val="none" w:sz="0" w:space="0" w:color="auto"/>
        <w:left w:val="none" w:sz="0" w:space="0" w:color="auto"/>
        <w:bottom w:val="none" w:sz="0" w:space="0" w:color="auto"/>
        <w:right w:val="none" w:sz="0" w:space="0" w:color="auto"/>
      </w:divBdr>
    </w:div>
    <w:div w:id="58479896">
      <w:bodyDiv w:val="1"/>
      <w:marLeft w:val="0"/>
      <w:marRight w:val="0"/>
      <w:marTop w:val="0"/>
      <w:marBottom w:val="0"/>
      <w:divBdr>
        <w:top w:val="none" w:sz="0" w:space="0" w:color="auto"/>
        <w:left w:val="none" w:sz="0" w:space="0" w:color="auto"/>
        <w:bottom w:val="none" w:sz="0" w:space="0" w:color="auto"/>
        <w:right w:val="none" w:sz="0" w:space="0" w:color="auto"/>
      </w:divBdr>
    </w:div>
    <w:div w:id="70741223">
      <w:bodyDiv w:val="1"/>
      <w:marLeft w:val="0"/>
      <w:marRight w:val="0"/>
      <w:marTop w:val="0"/>
      <w:marBottom w:val="0"/>
      <w:divBdr>
        <w:top w:val="none" w:sz="0" w:space="0" w:color="auto"/>
        <w:left w:val="none" w:sz="0" w:space="0" w:color="auto"/>
        <w:bottom w:val="none" w:sz="0" w:space="0" w:color="auto"/>
        <w:right w:val="none" w:sz="0" w:space="0" w:color="auto"/>
      </w:divBdr>
    </w:div>
    <w:div w:id="75253153">
      <w:bodyDiv w:val="1"/>
      <w:marLeft w:val="0"/>
      <w:marRight w:val="0"/>
      <w:marTop w:val="0"/>
      <w:marBottom w:val="0"/>
      <w:divBdr>
        <w:top w:val="none" w:sz="0" w:space="0" w:color="auto"/>
        <w:left w:val="none" w:sz="0" w:space="0" w:color="auto"/>
        <w:bottom w:val="none" w:sz="0" w:space="0" w:color="auto"/>
        <w:right w:val="none" w:sz="0" w:space="0" w:color="auto"/>
      </w:divBdr>
    </w:div>
    <w:div w:id="83428156">
      <w:bodyDiv w:val="1"/>
      <w:marLeft w:val="0"/>
      <w:marRight w:val="0"/>
      <w:marTop w:val="0"/>
      <w:marBottom w:val="0"/>
      <w:divBdr>
        <w:top w:val="none" w:sz="0" w:space="0" w:color="auto"/>
        <w:left w:val="none" w:sz="0" w:space="0" w:color="auto"/>
        <w:bottom w:val="none" w:sz="0" w:space="0" w:color="auto"/>
        <w:right w:val="none" w:sz="0" w:space="0" w:color="auto"/>
      </w:divBdr>
    </w:div>
    <w:div w:id="85269421">
      <w:bodyDiv w:val="1"/>
      <w:marLeft w:val="0"/>
      <w:marRight w:val="0"/>
      <w:marTop w:val="0"/>
      <w:marBottom w:val="0"/>
      <w:divBdr>
        <w:top w:val="none" w:sz="0" w:space="0" w:color="auto"/>
        <w:left w:val="none" w:sz="0" w:space="0" w:color="auto"/>
        <w:bottom w:val="none" w:sz="0" w:space="0" w:color="auto"/>
        <w:right w:val="none" w:sz="0" w:space="0" w:color="auto"/>
      </w:divBdr>
    </w:div>
    <w:div w:id="861920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85049">
      <w:bodyDiv w:val="1"/>
      <w:marLeft w:val="0"/>
      <w:marRight w:val="0"/>
      <w:marTop w:val="0"/>
      <w:marBottom w:val="0"/>
      <w:divBdr>
        <w:top w:val="none" w:sz="0" w:space="0" w:color="auto"/>
        <w:left w:val="none" w:sz="0" w:space="0" w:color="auto"/>
        <w:bottom w:val="none" w:sz="0" w:space="0" w:color="auto"/>
        <w:right w:val="none" w:sz="0" w:space="0" w:color="auto"/>
      </w:divBdr>
    </w:div>
    <w:div w:id="91972494">
      <w:bodyDiv w:val="1"/>
      <w:marLeft w:val="0"/>
      <w:marRight w:val="0"/>
      <w:marTop w:val="0"/>
      <w:marBottom w:val="0"/>
      <w:divBdr>
        <w:top w:val="none" w:sz="0" w:space="0" w:color="auto"/>
        <w:left w:val="none" w:sz="0" w:space="0" w:color="auto"/>
        <w:bottom w:val="none" w:sz="0" w:space="0" w:color="auto"/>
        <w:right w:val="none" w:sz="0" w:space="0" w:color="auto"/>
      </w:divBdr>
    </w:div>
    <w:div w:id="92098224">
      <w:bodyDiv w:val="1"/>
      <w:marLeft w:val="0"/>
      <w:marRight w:val="0"/>
      <w:marTop w:val="0"/>
      <w:marBottom w:val="0"/>
      <w:divBdr>
        <w:top w:val="none" w:sz="0" w:space="0" w:color="auto"/>
        <w:left w:val="none" w:sz="0" w:space="0" w:color="auto"/>
        <w:bottom w:val="none" w:sz="0" w:space="0" w:color="auto"/>
        <w:right w:val="none" w:sz="0" w:space="0" w:color="auto"/>
      </w:divBdr>
    </w:div>
    <w:div w:id="94205426">
      <w:bodyDiv w:val="1"/>
      <w:marLeft w:val="0"/>
      <w:marRight w:val="0"/>
      <w:marTop w:val="0"/>
      <w:marBottom w:val="0"/>
      <w:divBdr>
        <w:top w:val="none" w:sz="0" w:space="0" w:color="auto"/>
        <w:left w:val="none" w:sz="0" w:space="0" w:color="auto"/>
        <w:bottom w:val="none" w:sz="0" w:space="0" w:color="auto"/>
        <w:right w:val="none" w:sz="0" w:space="0" w:color="auto"/>
      </w:divBdr>
    </w:div>
    <w:div w:id="94642604">
      <w:bodyDiv w:val="1"/>
      <w:marLeft w:val="0"/>
      <w:marRight w:val="0"/>
      <w:marTop w:val="0"/>
      <w:marBottom w:val="0"/>
      <w:divBdr>
        <w:top w:val="none" w:sz="0" w:space="0" w:color="auto"/>
        <w:left w:val="none" w:sz="0" w:space="0" w:color="auto"/>
        <w:bottom w:val="none" w:sz="0" w:space="0" w:color="auto"/>
        <w:right w:val="none" w:sz="0" w:space="0" w:color="auto"/>
      </w:divBdr>
    </w:div>
    <w:div w:id="94711482">
      <w:bodyDiv w:val="1"/>
      <w:marLeft w:val="0"/>
      <w:marRight w:val="0"/>
      <w:marTop w:val="0"/>
      <w:marBottom w:val="0"/>
      <w:divBdr>
        <w:top w:val="none" w:sz="0" w:space="0" w:color="auto"/>
        <w:left w:val="none" w:sz="0" w:space="0" w:color="auto"/>
        <w:bottom w:val="none" w:sz="0" w:space="0" w:color="auto"/>
        <w:right w:val="none" w:sz="0" w:space="0" w:color="auto"/>
      </w:divBdr>
    </w:div>
    <w:div w:id="94908141">
      <w:bodyDiv w:val="1"/>
      <w:marLeft w:val="0"/>
      <w:marRight w:val="0"/>
      <w:marTop w:val="0"/>
      <w:marBottom w:val="0"/>
      <w:divBdr>
        <w:top w:val="none" w:sz="0" w:space="0" w:color="auto"/>
        <w:left w:val="none" w:sz="0" w:space="0" w:color="auto"/>
        <w:bottom w:val="none" w:sz="0" w:space="0" w:color="auto"/>
        <w:right w:val="none" w:sz="0" w:space="0" w:color="auto"/>
      </w:divBdr>
    </w:div>
    <w:div w:id="105776964">
      <w:bodyDiv w:val="1"/>
      <w:marLeft w:val="0"/>
      <w:marRight w:val="0"/>
      <w:marTop w:val="0"/>
      <w:marBottom w:val="0"/>
      <w:divBdr>
        <w:top w:val="none" w:sz="0" w:space="0" w:color="auto"/>
        <w:left w:val="none" w:sz="0" w:space="0" w:color="auto"/>
        <w:bottom w:val="none" w:sz="0" w:space="0" w:color="auto"/>
        <w:right w:val="none" w:sz="0" w:space="0" w:color="auto"/>
      </w:divBdr>
    </w:div>
    <w:div w:id="121195739">
      <w:bodyDiv w:val="1"/>
      <w:marLeft w:val="0"/>
      <w:marRight w:val="0"/>
      <w:marTop w:val="0"/>
      <w:marBottom w:val="0"/>
      <w:divBdr>
        <w:top w:val="none" w:sz="0" w:space="0" w:color="auto"/>
        <w:left w:val="none" w:sz="0" w:space="0" w:color="auto"/>
        <w:bottom w:val="none" w:sz="0" w:space="0" w:color="auto"/>
        <w:right w:val="none" w:sz="0" w:space="0" w:color="auto"/>
      </w:divBdr>
    </w:div>
    <w:div w:id="133379617">
      <w:bodyDiv w:val="1"/>
      <w:marLeft w:val="0"/>
      <w:marRight w:val="0"/>
      <w:marTop w:val="0"/>
      <w:marBottom w:val="0"/>
      <w:divBdr>
        <w:top w:val="none" w:sz="0" w:space="0" w:color="auto"/>
        <w:left w:val="none" w:sz="0" w:space="0" w:color="auto"/>
        <w:bottom w:val="none" w:sz="0" w:space="0" w:color="auto"/>
        <w:right w:val="none" w:sz="0" w:space="0" w:color="auto"/>
      </w:divBdr>
    </w:div>
    <w:div w:id="134761054">
      <w:bodyDiv w:val="1"/>
      <w:marLeft w:val="0"/>
      <w:marRight w:val="0"/>
      <w:marTop w:val="0"/>
      <w:marBottom w:val="0"/>
      <w:divBdr>
        <w:top w:val="none" w:sz="0" w:space="0" w:color="auto"/>
        <w:left w:val="none" w:sz="0" w:space="0" w:color="auto"/>
        <w:bottom w:val="none" w:sz="0" w:space="0" w:color="auto"/>
        <w:right w:val="none" w:sz="0" w:space="0" w:color="auto"/>
      </w:divBdr>
    </w:div>
    <w:div w:id="136534436">
      <w:bodyDiv w:val="1"/>
      <w:marLeft w:val="0"/>
      <w:marRight w:val="0"/>
      <w:marTop w:val="0"/>
      <w:marBottom w:val="0"/>
      <w:divBdr>
        <w:top w:val="none" w:sz="0" w:space="0" w:color="auto"/>
        <w:left w:val="none" w:sz="0" w:space="0" w:color="auto"/>
        <w:bottom w:val="none" w:sz="0" w:space="0" w:color="auto"/>
        <w:right w:val="none" w:sz="0" w:space="0" w:color="auto"/>
      </w:divBdr>
    </w:div>
    <w:div w:id="137649450">
      <w:bodyDiv w:val="1"/>
      <w:marLeft w:val="0"/>
      <w:marRight w:val="0"/>
      <w:marTop w:val="0"/>
      <w:marBottom w:val="0"/>
      <w:divBdr>
        <w:top w:val="none" w:sz="0" w:space="0" w:color="auto"/>
        <w:left w:val="none" w:sz="0" w:space="0" w:color="auto"/>
        <w:bottom w:val="none" w:sz="0" w:space="0" w:color="auto"/>
        <w:right w:val="none" w:sz="0" w:space="0" w:color="auto"/>
      </w:divBdr>
    </w:div>
    <w:div w:id="140270651">
      <w:bodyDiv w:val="1"/>
      <w:marLeft w:val="0"/>
      <w:marRight w:val="0"/>
      <w:marTop w:val="0"/>
      <w:marBottom w:val="0"/>
      <w:divBdr>
        <w:top w:val="none" w:sz="0" w:space="0" w:color="auto"/>
        <w:left w:val="none" w:sz="0" w:space="0" w:color="auto"/>
        <w:bottom w:val="none" w:sz="0" w:space="0" w:color="auto"/>
        <w:right w:val="none" w:sz="0" w:space="0" w:color="auto"/>
      </w:divBdr>
    </w:div>
    <w:div w:id="142740969">
      <w:bodyDiv w:val="1"/>
      <w:marLeft w:val="0"/>
      <w:marRight w:val="0"/>
      <w:marTop w:val="0"/>
      <w:marBottom w:val="0"/>
      <w:divBdr>
        <w:top w:val="none" w:sz="0" w:space="0" w:color="auto"/>
        <w:left w:val="none" w:sz="0" w:space="0" w:color="auto"/>
        <w:bottom w:val="none" w:sz="0" w:space="0" w:color="auto"/>
        <w:right w:val="none" w:sz="0" w:space="0" w:color="auto"/>
      </w:divBdr>
    </w:div>
    <w:div w:id="142815616">
      <w:bodyDiv w:val="1"/>
      <w:marLeft w:val="0"/>
      <w:marRight w:val="0"/>
      <w:marTop w:val="0"/>
      <w:marBottom w:val="0"/>
      <w:divBdr>
        <w:top w:val="none" w:sz="0" w:space="0" w:color="auto"/>
        <w:left w:val="none" w:sz="0" w:space="0" w:color="auto"/>
        <w:bottom w:val="none" w:sz="0" w:space="0" w:color="auto"/>
        <w:right w:val="none" w:sz="0" w:space="0" w:color="auto"/>
      </w:divBdr>
    </w:div>
    <w:div w:id="145437339">
      <w:bodyDiv w:val="1"/>
      <w:marLeft w:val="0"/>
      <w:marRight w:val="0"/>
      <w:marTop w:val="0"/>
      <w:marBottom w:val="0"/>
      <w:divBdr>
        <w:top w:val="none" w:sz="0" w:space="0" w:color="auto"/>
        <w:left w:val="none" w:sz="0" w:space="0" w:color="auto"/>
        <w:bottom w:val="none" w:sz="0" w:space="0" w:color="auto"/>
        <w:right w:val="none" w:sz="0" w:space="0" w:color="auto"/>
      </w:divBdr>
    </w:div>
    <w:div w:id="147095009">
      <w:bodyDiv w:val="1"/>
      <w:marLeft w:val="0"/>
      <w:marRight w:val="0"/>
      <w:marTop w:val="0"/>
      <w:marBottom w:val="0"/>
      <w:divBdr>
        <w:top w:val="none" w:sz="0" w:space="0" w:color="auto"/>
        <w:left w:val="none" w:sz="0" w:space="0" w:color="auto"/>
        <w:bottom w:val="none" w:sz="0" w:space="0" w:color="auto"/>
        <w:right w:val="none" w:sz="0" w:space="0" w:color="auto"/>
      </w:divBdr>
    </w:div>
    <w:div w:id="155726753">
      <w:bodyDiv w:val="1"/>
      <w:marLeft w:val="0"/>
      <w:marRight w:val="0"/>
      <w:marTop w:val="0"/>
      <w:marBottom w:val="0"/>
      <w:divBdr>
        <w:top w:val="none" w:sz="0" w:space="0" w:color="auto"/>
        <w:left w:val="none" w:sz="0" w:space="0" w:color="auto"/>
        <w:bottom w:val="none" w:sz="0" w:space="0" w:color="auto"/>
        <w:right w:val="none" w:sz="0" w:space="0" w:color="auto"/>
      </w:divBdr>
    </w:div>
    <w:div w:id="160391118">
      <w:bodyDiv w:val="1"/>
      <w:marLeft w:val="0"/>
      <w:marRight w:val="0"/>
      <w:marTop w:val="0"/>
      <w:marBottom w:val="0"/>
      <w:divBdr>
        <w:top w:val="none" w:sz="0" w:space="0" w:color="auto"/>
        <w:left w:val="none" w:sz="0" w:space="0" w:color="auto"/>
        <w:bottom w:val="none" w:sz="0" w:space="0" w:color="auto"/>
        <w:right w:val="none" w:sz="0" w:space="0" w:color="auto"/>
      </w:divBdr>
      <w:divsChild>
        <w:div w:id="1680042232">
          <w:marLeft w:val="0"/>
          <w:marRight w:val="0"/>
          <w:marTop w:val="0"/>
          <w:marBottom w:val="0"/>
          <w:divBdr>
            <w:top w:val="none" w:sz="0" w:space="0" w:color="auto"/>
            <w:left w:val="none" w:sz="0" w:space="0" w:color="auto"/>
            <w:bottom w:val="none" w:sz="0" w:space="0" w:color="auto"/>
            <w:right w:val="none" w:sz="0" w:space="0" w:color="auto"/>
          </w:divBdr>
          <w:divsChild>
            <w:div w:id="374740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442262">
      <w:bodyDiv w:val="1"/>
      <w:marLeft w:val="0"/>
      <w:marRight w:val="0"/>
      <w:marTop w:val="0"/>
      <w:marBottom w:val="0"/>
      <w:divBdr>
        <w:top w:val="none" w:sz="0" w:space="0" w:color="auto"/>
        <w:left w:val="none" w:sz="0" w:space="0" w:color="auto"/>
        <w:bottom w:val="none" w:sz="0" w:space="0" w:color="auto"/>
        <w:right w:val="none" w:sz="0" w:space="0" w:color="auto"/>
      </w:divBdr>
    </w:div>
    <w:div w:id="164512786">
      <w:bodyDiv w:val="1"/>
      <w:marLeft w:val="0"/>
      <w:marRight w:val="0"/>
      <w:marTop w:val="0"/>
      <w:marBottom w:val="0"/>
      <w:divBdr>
        <w:top w:val="none" w:sz="0" w:space="0" w:color="auto"/>
        <w:left w:val="none" w:sz="0" w:space="0" w:color="auto"/>
        <w:bottom w:val="none" w:sz="0" w:space="0" w:color="auto"/>
        <w:right w:val="none" w:sz="0" w:space="0" w:color="auto"/>
      </w:divBdr>
    </w:div>
    <w:div w:id="170149905">
      <w:bodyDiv w:val="1"/>
      <w:marLeft w:val="0"/>
      <w:marRight w:val="0"/>
      <w:marTop w:val="0"/>
      <w:marBottom w:val="0"/>
      <w:divBdr>
        <w:top w:val="none" w:sz="0" w:space="0" w:color="auto"/>
        <w:left w:val="none" w:sz="0" w:space="0" w:color="auto"/>
        <w:bottom w:val="none" w:sz="0" w:space="0" w:color="auto"/>
        <w:right w:val="none" w:sz="0" w:space="0" w:color="auto"/>
      </w:divBdr>
    </w:div>
    <w:div w:id="170534396">
      <w:bodyDiv w:val="1"/>
      <w:marLeft w:val="0"/>
      <w:marRight w:val="0"/>
      <w:marTop w:val="0"/>
      <w:marBottom w:val="0"/>
      <w:divBdr>
        <w:top w:val="none" w:sz="0" w:space="0" w:color="auto"/>
        <w:left w:val="none" w:sz="0" w:space="0" w:color="auto"/>
        <w:bottom w:val="none" w:sz="0" w:space="0" w:color="auto"/>
        <w:right w:val="none" w:sz="0" w:space="0" w:color="auto"/>
      </w:divBdr>
    </w:div>
    <w:div w:id="180357704">
      <w:bodyDiv w:val="1"/>
      <w:marLeft w:val="0"/>
      <w:marRight w:val="0"/>
      <w:marTop w:val="0"/>
      <w:marBottom w:val="0"/>
      <w:divBdr>
        <w:top w:val="none" w:sz="0" w:space="0" w:color="auto"/>
        <w:left w:val="none" w:sz="0" w:space="0" w:color="auto"/>
        <w:bottom w:val="none" w:sz="0" w:space="0" w:color="auto"/>
        <w:right w:val="none" w:sz="0" w:space="0" w:color="auto"/>
      </w:divBdr>
    </w:div>
    <w:div w:id="187371332">
      <w:bodyDiv w:val="1"/>
      <w:marLeft w:val="0"/>
      <w:marRight w:val="0"/>
      <w:marTop w:val="0"/>
      <w:marBottom w:val="0"/>
      <w:divBdr>
        <w:top w:val="none" w:sz="0" w:space="0" w:color="auto"/>
        <w:left w:val="none" w:sz="0" w:space="0" w:color="auto"/>
        <w:bottom w:val="none" w:sz="0" w:space="0" w:color="auto"/>
        <w:right w:val="none" w:sz="0" w:space="0" w:color="auto"/>
      </w:divBdr>
    </w:div>
    <w:div w:id="19289103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5740">
      <w:bodyDiv w:val="1"/>
      <w:marLeft w:val="0"/>
      <w:marRight w:val="0"/>
      <w:marTop w:val="0"/>
      <w:marBottom w:val="0"/>
      <w:divBdr>
        <w:top w:val="none" w:sz="0" w:space="0" w:color="auto"/>
        <w:left w:val="none" w:sz="0" w:space="0" w:color="auto"/>
        <w:bottom w:val="none" w:sz="0" w:space="0" w:color="auto"/>
        <w:right w:val="none" w:sz="0" w:space="0" w:color="auto"/>
      </w:divBdr>
    </w:div>
    <w:div w:id="208222331">
      <w:bodyDiv w:val="1"/>
      <w:marLeft w:val="0"/>
      <w:marRight w:val="0"/>
      <w:marTop w:val="0"/>
      <w:marBottom w:val="0"/>
      <w:divBdr>
        <w:top w:val="none" w:sz="0" w:space="0" w:color="auto"/>
        <w:left w:val="none" w:sz="0" w:space="0" w:color="auto"/>
        <w:bottom w:val="none" w:sz="0" w:space="0" w:color="auto"/>
        <w:right w:val="none" w:sz="0" w:space="0" w:color="auto"/>
      </w:divBdr>
    </w:div>
    <w:div w:id="209077525">
      <w:bodyDiv w:val="1"/>
      <w:marLeft w:val="0"/>
      <w:marRight w:val="0"/>
      <w:marTop w:val="0"/>
      <w:marBottom w:val="0"/>
      <w:divBdr>
        <w:top w:val="none" w:sz="0" w:space="0" w:color="auto"/>
        <w:left w:val="none" w:sz="0" w:space="0" w:color="auto"/>
        <w:bottom w:val="none" w:sz="0" w:space="0" w:color="auto"/>
        <w:right w:val="none" w:sz="0" w:space="0" w:color="auto"/>
      </w:divBdr>
    </w:div>
    <w:div w:id="217404984">
      <w:bodyDiv w:val="1"/>
      <w:marLeft w:val="0"/>
      <w:marRight w:val="0"/>
      <w:marTop w:val="0"/>
      <w:marBottom w:val="0"/>
      <w:divBdr>
        <w:top w:val="none" w:sz="0" w:space="0" w:color="auto"/>
        <w:left w:val="none" w:sz="0" w:space="0" w:color="auto"/>
        <w:bottom w:val="none" w:sz="0" w:space="0" w:color="auto"/>
        <w:right w:val="none" w:sz="0" w:space="0" w:color="auto"/>
      </w:divBdr>
    </w:div>
    <w:div w:id="220143653">
      <w:bodyDiv w:val="1"/>
      <w:marLeft w:val="0"/>
      <w:marRight w:val="0"/>
      <w:marTop w:val="0"/>
      <w:marBottom w:val="0"/>
      <w:divBdr>
        <w:top w:val="none" w:sz="0" w:space="0" w:color="auto"/>
        <w:left w:val="none" w:sz="0" w:space="0" w:color="auto"/>
        <w:bottom w:val="none" w:sz="0" w:space="0" w:color="auto"/>
        <w:right w:val="none" w:sz="0" w:space="0" w:color="auto"/>
      </w:divBdr>
    </w:div>
    <w:div w:id="233004695">
      <w:bodyDiv w:val="1"/>
      <w:marLeft w:val="0"/>
      <w:marRight w:val="0"/>
      <w:marTop w:val="0"/>
      <w:marBottom w:val="0"/>
      <w:divBdr>
        <w:top w:val="none" w:sz="0" w:space="0" w:color="auto"/>
        <w:left w:val="none" w:sz="0" w:space="0" w:color="auto"/>
        <w:bottom w:val="none" w:sz="0" w:space="0" w:color="auto"/>
        <w:right w:val="none" w:sz="0" w:space="0" w:color="auto"/>
      </w:divBdr>
    </w:div>
    <w:div w:id="238366999">
      <w:bodyDiv w:val="1"/>
      <w:marLeft w:val="0"/>
      <w:marRight w:val="0"/>
      <w:marTop w:val="0"/>
      <w:marBottom w:val="0"/>
      <w:divBdr>
        <w:top w:val="none" w:sz="0" w:space="0" w:color="auto"/>
        <w:left w:val="none" w:sz="0" w:space="0" w:color="auto"/>
        <w:bottom w:val="none" w:sz="0" w:space="0" w:color="auto"/>
        <w:right w:val="none" w:sz="0" w:space="0" w:color="auto"/>
      </w:divBdr>
    </w:div>
    <w:div w:id="244384171">
      <w:bodyDiv w:val="1"/>
      <w:marLeft w:val="0"/>
      <w:marRight w:val="0"/>
      <w:marTop w:val="0"/>
      <w:marBottom w:val="0"/>
      <w:divBdr>
        <w:top w:val="none" w:sz="0" w:space="0" w:color="auto"/>
        <w:left w:val="none" w:sz="0" w:space="0" w:color="auto"/>
        <w:bottom w:val="none" w:sz="0" w:space="0" w:color="auto"/>
        <w:right w:val="none" w:sz="0" w:space="0" w:color="auto"/>
      </w:divBdr>
    </w:div>
    <w:div w:id="247351051">
      <w:bodyDiv w:val="1"/>
      <w:marLeft w:val="0"/>
      <w:marRight w:val="0"/>
      <w:marTop w:val="0"/>
      <w:marBottom w:val="0"/>
      <w:divBdr>
        <w:top w:val="none" w:sz="0" w:space="0" w:color="auto"/>
        <w:left w:val="none" w:sz="0" w:space="0" w:color="auto"/>
        <w:bottom w:val="none" w:sz="0" w:space="0" w:color="auto"/>
        <w:right w:val="none" w:sz="0" w:space="0" w:color="auto"/>
      </w:divBdr>
    </w:div>
    <w:div w:id="249849004">
      <w:bodyDiv w:val="1"/>
      <w:marLeft w:val="0"/>
      <w:marRight w:val="0"/>
      <w:marTop w:val="0"/>
      <w:marBottom w:val="0"/>
      <w:divBdr>
        <w:top w:val="none" w:sz="0" w:space="0" w:color="auto"/>
        <w:left w:val="none" w:sz="0" w:space="0" w:color="auto"/>
        <w:bottom w:val="none" w:sz="0" w:space="0" w:color="auto"/>
        <w:right w:val="none" w:sz="0" w:space="0" w:color="auto"/>
      </w:divBdr>
    </w:div>
    <w:div w:id="250819644">
      <w:bodyDiv w:val="1"/>
      <w:marLeft w:val="0"/>
      <w:marRight w:val="0"/>
      <w:marTop w:val="0"/>
      <w:marBottom w:val="0"/>
      <w:divBdr>
        <w:top w:val="none" w:sz="0" w:space="0" w:color="auto"/>
        <w:left w:val="none" w:sz="0" w:space="0" w:color="auto"/>
        <w:bottom w:val="none" w:sz="0" w:space="0" w:color="auto"/>
        <w:right w:val="none" w:sz="0" w:space="0" w:color="auto"/>
      </w:divBdr>
    </w:div>
    <w:div w:id="251356572">
      <w:bodyDiv w:val="1"/>
      <w:marLeft w:val="0"/>
      <w:marRight w:val="0"/>
      <w:marTop w:val="0"/>
      <w:marBottom w:val="0"/>
      <w:divBdr>
        <w:top w:val="none" w:sz="0" w:space="0" w:color="auto"/>
        <w:left w:val="none" w:sz="0" w:space="0" w:color="auto"/>
        <w:bottom w:val="none" w:sz="0" w:space="0" w:color="auto"/>
        <w:right w:val="none" w:sz="0" w:space="0" w:color="auto"/>
      </w:divBdr>
    </w:div>
    <w:div w:id="252394868">
      <w:bodyDiv w:val="1"/>
      <w:marLeft w:val="0"/>
      <w:marRight w:val="0"/>
      <w:marTop w:val="0"/>
      <w:marBottom w:val="0"/>
      <w:divBdr>
        <w:top w:val="none" w:sz="0" w:space="0" w:color="auto"/>
        <w:left w:val="none" w:sz="0" w:space="0" w:color="auto"/>
        <w:bottom w:val="none" w:sz="0" w:space="0" w:color="auto"/>
        <w:right w:val="none" w:sz="0" w:space="0" w:color="auto"/>
      </w:divBdr>
    </w:div>
    <w:div w:id="252787890">
      <w:bodyDiv w:val="1"/>
      <w:marLeft w:val="0"/>
      <w:marRight w:val="0"/>
      <w:marTop w:val="0"/>
      <w:marBottom w:val="0"/>
      <w:divBdr>
        <w:top w:val="none" w:sz="0" w:space="0" w:color="auto"/>
        <w:left w:val="none" w:sz="0" w:space="0" w:color="auto"/>
        <w:bottom w:val="none" w:sz="0" w:space="0" w:color="auto"/>
        <w:right w:val="none" w:sz="0" w:space="0" w:color="auto"/>
      </w:divBdr>
    </w:div>
    <w:div w:id="254637886">
      <w:bodyDiv w:val="1"/>
      <w:marLeft w:val="0"/>
      <w:marRight w:val="0"/>
      <w:marTop w:val="0"/>
      <w:marBottom w:val="0"/>
      <w:divBdr>
        <w:top w:val="none" w:sz="0" w:space="0" w:color="auto"/>
        <w:left w:val="none" w:sz="0" w:space="0" w:color="auto"/>
        <w:bottom w:val="none" w:sz="0" w:space="0" w:color="auto"/>
        <w:right w:val="none" w:sz="0" w:space="0" w:color="auto"/>
      </w:divBdr>
    </w:div>
    <w:div w:id="266162265">
      <w:bodyDiv w:val="1"/>
      <w:marLeft w:val="0"/>
      <w:marRight w:val="0"/>
      <w:marTop w:val="0"/>
      <w:marBottom w:val="0"/>
      <w:divBdr>
        <w:top w:val="none" w:sz="0" w:space="0" w:color="auto"/>
        <w:left w:val="none" w:sz="0" w:space="0" w:color="auto"/>
        <w:bottom w:val="none" w:sz="0" w:space="0" w:color="auto"/>
        <w:right w:val="none" w:sz="0" w:space="0" w:color="auto"/>
      </w:divBdr>
    </w:div>
    <w:div w:id="277612929">
      <w:bodyDiv w:val="1"/>
      <w:marLeft w:val="0"/>
      <w:marRight w:val="0"/>
      <w:marTop w:val="0"/>
      <w:marBottom w:val="0"/>
      <w:divBdr>
        <w:top w:val="none" w:sz="0" w:space="0" w:color="auto"/>
        <w:left w:val="none" w:sz="0" w:space="0" w:color="auto"/>
        <w:bottom w:val="none" w:sz="0" w:space="0" w:color="auto"/>
        <w:right w:val="none" w:sz="0" w:space="0" w:color="auto"/>
      </w:divBdr>
    </w:div>
    <w:div w:id="283737372">
      <w:bodyDiv w:val="1"/>
      <w:marLeft w:val="0"/>
      <w:marRight w:val="0"/>
      <w:marTop w:val="0"/>
      <w:marBottom w:val="0"/>
      <w:divBdr>
        <w:top w:val="none" w:sz="0" w:space="0" w:color="auto"/>
        <w:left w:val="none" w:sz="0" w:space="0" w:color="auto"/>
        <w:bottom w:val="none" w:sz="0" w:space="0" w:color="auto"/>
        <w:right w:val="none" w:sz="0" w:space="0" w:color="auto"/>
      </w:divBdr>
    </w:div>
    <w:div w:id="293147398">
      <w:bodyDiv w:val="1"/>
      <w:marLeft w:val="0"/>
      <w:marRight w:val="0"/>
      <w:marTop w:val="0"/>
      <w:marBottom w:val="0"/>
      <w:divBdr>
        <w:top w:val="none" w:sz="0" w:space="0" w:color="auto"/>
        <w:left w:val="none" w:sz="0" w:space="0" w:color="auto"/>
        <w:bottom w:val="none" w:sz="0" w:space="0" w:color="auto"/>
        <w:right w:val="none" w:sz="0" w:space="0" w:color="auto"/>
      </w:divBdr>
    </w:div>
    <w:div w:id="300232827">
      <w:bodyDiv w:val="1"/>
      <w:marLeft w:val="0"/>
      <w:marRight w:val="0"/>
      <w:marTop w:val="0"/>
      <w:marBottom w:val="0"/>
      <w:divBdr>
        <w:top w:val="none" w:sz="0" w:space="0" w:color="auto"/>
        <w:left w:val="none" w:sz="0" w:space="0" w:color="auto"/>
        <w:bottom w:val="none" w:sz="0" w:space="0" w:color="auto"/>
        <w:right w:val="none" w:sz="0" w:space="0" w:color="auto"/>
      </w:divBdr>
    </w:div>
    <w:div w:id="314846511">
      <w:bodyDiv w:val="1"/>
      <w:marLeft w:val="0"/>
      <w:marRight w:val="0"/>
      <w:marTop w:val="0"/>
      <w:marBottom w:val="0"/>
      <w:divBdr>
        <w:top w:val="none" w:sz="0" w:space="0" w:color="auto"/>
        <w:left w:val="none" w:sz="0" w:space="0" w:color="auto"/>
        <w:bottom w:val="none" w:sz="0" w:space="0" w:color="auto"/>
        <w:right w:val="none" w:sz="0" w:space="0" w:color="auto"/>
      </w:divBdr>
    </w:div>
    <w:div w:id="32559630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10552">
      <w:bodyDiv w:val="1"/>
      <w:marLeft w:val="0"/>
      <w:marRight w:val="0"/>
      <w:marTop w:val="0"/>
      <w:marBottom w:val="0"/>
      <w:divBdr>
        <w:top w:val="none" w:sz="0" w:space="0" w:color="auto"/>
        <w:left w:val="none" w:sz="0" w:space="0" w:color="auto"/>
        <w:bottom w:val="none" w:sz="0" w:space="0" w:color="auto"/>
        <w:right w:val="none" w:sz="0" w:space="0" w:color="auto"/>
      </w:divBdr>
    </w:div>
    <w:div w:id="337192211">
      <w:bodyDiv w:val="1"/>
      <w:marLeft w:val="0"/>
      <w:marRight w:val="0"/>
      <w:marTop w:val="0"/>
      <w:marBottom w:val="0"/>
      <w:divBdr>
        <w:top w:val="none" w:sz="0" w:space="0" w:color="auto"/>
        <w:left w:val="none" w:sz="0" w:space="0" w:color="auto"/>
        <w:bottom w:val="none" w:sz="0" w:space="0" w:color="auto"/>
        <w:right w:val="none" w:sz="0" w:space="0" w:color="auto"/>
      </w:divBdr>
    </w:div>
    <w:div w:id="341855957">
      <w:bodyDiv w:val="1"/>
      <w:marLeft w:val="0"/>
      <w:marRight w:val="0"/>
      <w:marTop w:val="0"/>
      <w:marBottom w:val="0"/>
      <w:divBdr>
        <w:top w:val="none" w:sz="0" w:space="0" w:color="auto"/>
        <w:left w:val="none" w:sz="0" w:space="0" w:color="auto"/>
        <w:bottom w:val="none" w:sz="0" w:space="0" w:color="auto"/>
        <w:right w:val="none" w:sz="0" w:space="0" w:color="auto"/>
      </w:divBdr>
    </w:div>
    <w:div w:id="343938749">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51997241">
      <w:bodyDiv w:val="1"/>
      <w:marLeft w:val="0"/>
      <w:marRight w:val="0"/>
      <w:marTop w:val="0"/>
      <w:marBottom w:val="0"/>
      <w:divBdr>
        <w:top w:val="none" w:sz="0" w:space="0" w:color="auto"/>
        <w:left w:val="none" w:sz="0" w:space="0" w:color="auto"/>
        <w:bottom w:val="none" w:sz="0" w:space="0" w:color="auto"/>
        <w:right w:val="none" w:sz="0" w:space="0" w:color="auto"/>
      </w:divBdr>
    </w:div>
    <w:div w:id="364796704">
      <w:bodyDiv w:val="1"/>
      <w:marLeft w:val="0"/>
      <w:marRight w:val="0"/>
      <w:marTop w:val="0"/>
      <w:marBottom w:val="0"/>
      <w:divBdr>
        <w:top w:val="none" w:sz="0" w:space="0" w:color="auto"/>
        <w:left w:val="none" w:sz="0" w:space="0" w:color="auto"/>
        <w:bottom w:val="none" w:sz="0" w:space="0" w:color="auto"/>
        <w:right w:val="none" w:sz="0" w:space="0" w:color="auto"/>
      </w:divBdr>
    </w:div>
    <w:div w:id="364987560">
      <w:bodyDiv w:val="1"/>
      <w:marLeft w:val="0"/>
      <w:marRight w:val="0"/>
      <w:marTop w:val="0"/>
      <w:marBottom w:val="0"/>
      <w:divBdr>
        <w:top w:val="none" w:sz="0" w:space="0" w:color="auto"/>
        <w:left w:val="none" w:sz="0" w:space="0" w:color="auto"/>
        <w:bottom w:val="none" w:sz="0" w:space="0" w:color="auto"/>
        <w:right w:val="none" w:sz="0" w:space="0" w:color="auto"/>
      </w:divBdr>
    </w:div>
    <w:div w:id="365645450">
      <w:bodyDiv w:val="1"/>
      <w:marLeft w:val="0"/>
      <w:marRight w:val="0"/>
      <w:marTop w:val="0"/>
      <w:marBottom w:val="0"/>
      <w:divBdr>
        <w:top w:val="none" w:sz="0" w:space="0" w:color="auto"/>
        <w:left w:val="none" w:sz="0" w:space="0" w:color="auto"/>
        <w:bottom w:val="none" w:sz="0" w:space="0" w:color="auto"/>
        <w:right w:val="none" w:sz="0" w:space="0" w:color="auto"/>
      </w:divBdr>
    </w:div>
    <w:div w:id="381561215">
      <w:bodyDiv w:val="1"/>
      <w:marLeft w:val="0"/>
      <w:marRight w:val="0"/>
      <w:marTop w:val="0"/>
      <w:marBottom w:val="0"/>
      <w:divBdr>
        <w:top w:val="none" w:sz="0" w:space="0" w:color="auto"/>
        <w:left w:val="none" w:sz="0" w:space="0" w:color="auto"/>
        <w:bottom w:val="none" w:sz="0" w:space="0" w:color="auto"/>
        <w:right w:val="none" w:sz="0" w:space="0" w:color="auto"/>
      </w:divBdr>
    </w:div>
    <w:div w:id="382683511">
      <w:bodyDiv w:val="1"/>
      <w:marLeft w:val="0"/>
      <w:marRight w:val="0"/>
      <w:marTop w:val="0"/>
      <w:marBottom w:val="0"/>
      <w:divBdr>
        <w:top w:val="none" w:sz="0" w:space="0" w:color="auto"/>
        <w:left w:val="none" w:sz="0" w:space="0" w:color="auto"/>
        <w:bottom w:val="none" w:sz="0" w:space="0" w:color="auto"/>
        <w:right w:val="none" w:sz="0" w:space="0" w:color="auto"/>
      </w:divBdr>
    </w:div>
    <w:div w:id="385182701">
      <w:bodyDiv w:val="1"/>
      <w:marLeft w:val="0"/>
      <w:marRight w:val="0"/>
      <w:marTop w:val="0"/>
      <w:marBottom w:val="0"/>
      <w:divBdr>
        <w:top w:val="none" w:sz="0" w:space="0" w:color="auto"/>
        <w:left w:val="none" w:sz="0" w:space="0" w:color="auto"/>
        <w:bottom w:val="none" w:sz="0" w:space="0" w:color="auto"/>
        <w:right w:val="none" w:sz="0" w:space="0" w:color="auto"/>
      </w:divBdr>
    </w:div>
    <w:div w:id="391857723">
      <w:bodyDiv w:val="1"/>
      <w:marLeft w:val="0"/>
      <w:marRight w:val="0"/>
      <w:marTop w:val="0"/>
      <w:marBottom w:val="0"/>
      <w:divBdr>
        <w:top w:val="none" w:sz="0" w:space="0" w:color="auto"/>
        <w:left w:val="none" w:sz="0" w:space="0" w:color="auto"/>
        <w:bottom w:val="none" w:sz="0" w:space="0" w:color="auto"/>
        <w:right w:val="none" w:sz="0" w:space="0" w:color="auto"/>
      </w:divBdr>
    </w:div>
    <w:div w:id="393168209">
      <w:bodyDiv w:val="1"/>
      <w:marLeft w:val="0"/>
      <w:marRight w:val="0"/>
      <w:marTop w:val="0"/>
      <w:marBottom w:val="0"/>
      <w:divBdr>
        <w:top w:val="none" w:sz="0" w:space="0" w:color="auto"/>
        <w:left w:val="none" w:sz="0" w:space="0" w:color="auto"/>
        <w:bottom w:val="none" w:sz="0" w:space="0" w:color="auto"/>
        <w:right w:val="none" w:sz="0" w:space="0" w:color="auto"/>
      </w:divBdr>
    </w:div>
    <w:div w:id="399256303">
      <w:bodyDiv w:val="1"/>
      <w:marLeft w:val="0"/>
      <w:marRight w:val="0"/>
      <w:marTop w:val="0"/>
      <w:marBottom w:val="0"/>
      <w:divBdr>
        <w:top w:val="none" w:sz="0" w:space="0" w:color="auto"/>
        <w:left w:val="none" w:sz="0" w:space="0" w:color="auto"/>
        <w:bottom w:val="none" w:sz="0" w:space="0" w:color="auto"/>
        <w:right w:val="none" w:sz="0" w:space="0" w:color="auto"/>
      </w:divBdr>
    </w:div>
    <w:div w:id="407505976">
      <w:bodyDiv w:val="1"/>
      <w:marLeft w:val="0"/>
      <w:marRight w:val="0"/>
      <w:marTop w:val="0"/>
      <w:marBottom w:val="0"/>
      <w:divBdr>
        <w:top w:val="none" w:sz="0" w:space="0" w:color="auto"/>
        <w:left w:val="none" w:sz="0" w:space="0" w:color="auto"/>
        <w:bottom w:val="none" w:sz="0" w:space="0" w:color="auto"/>
        <w:right w:val="none" w:sz="0" w:space="0" w:color="auto"/>
      </w:divBdr>
    </w:div>
    <w:div w:id="410469003">
      <w:bodyDiv w:val="1"/>
      <w:marLeft w:val="0"/>
      <w:marRight w:val="0"/>
      <w:marTop w:val="0"/>
      <w:marBottom w:val="0"/>
      <w:divBdr>
        <w:top w:val="none" w:sz="0" w:space="0" w:color="auto"/>
        <w:left w:val="none" w:sz="0" w:space="0" w:color="auto"/>
        <w:bottom w:val="none" w:sz="0" w:space="0" w:color="auto"/>
        <w:right w:val="none" w:sz="0" w:space="0" w:color="auto"/>
      </w:divBdr>
    </w:div>
    <w:div w:id="410658315">
      <w:bodyDiv w:val="1"/>
      <w:marLeft w:val="0"/>
      <w:marRight w:val="0"/>
      <w:marTop w:val="0"/>
      <w:marBottom w:val="0"/>
      <w:divBdr>
        <w:top w:val="none" w:sz="0" w:space="0" w:color="auto"/>
        <w:left w:val="none" w:sz="0" w:space="0" w:color="auto"/>
        <w:bottom w:val="none" w:sz="0" w:space="0" w:color="auto"/>
        <w:right w:val="none" w:sz="0" w:space="0" w:color="auto"/>
      </w:divBdr>
    </w:div>
    <w:div w:id="41362944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19985372">
      <w:bodyDiv w:val="1"/>
      <w:marLeft w:val="0"/>
      <w:marRight w:val="0"/>
      <w:marTop w:val="0"/>
      <w:marBottom w:val="0"/>
      <w:divBdr>
        <w:top w:val="none" w:sz="0" w:space="0" w:color="auto"/>
        <w:left w:val="none" w:sz="0" w:space="0" w:color="auto"/>
        <w:bottom w:val="none" w:sz="0" w:space="0" w:color="auto"/>
        <w:right w:val="none" w:sz="0" w:space="0" w:color="auto"/>
      </w:divBdr>
    </w:div>
    <w:div w:id="421337791">
      <w:bodyDiv w:val="1"/>
      <w:marLeft w:val="0"/>
      <w:marRight w:val="0"/>
      <w:marTop w:val="0"/>
      <w:marBottom w:val="0"/>
      <w:divBdr>
        <w:top w:val="none" w:sz="0" w:space="0" w:color="auto"/>
        <w:left w:val="none" w:sz="0" w:space="0" w:color="auto"/>
        <w:bottom w:val="none" w:sz="0" w:space="0" w:color="auto"/>
        <w:right w:val="none" w:sz="0" w:space="0" w:color="auto"/>
      </w:divBdr>
    </w:div>
    <w:div w:id="425854753">
      <w:bodyDiv w:val="1"/>
      <w:marLeft w:val="0"/>
      <w:marRight w:val="0"/>
      <w:marTop w:val="0"/>
      <w:marBottom w:val="0"/>
      <w:divBdr>
        <w:top w:val="none" w:sz="0" w:space="0" w:color="auto"/>
        <w:left w:val="none" w:sz="0" w:space="0" w:color="auto"/>
        <w:bottom w:val="none" w:sz="0" w:space="0" w:color="auto"/>
        <w:right w:val="none" w:sz="0" w:space="0" w:color="auto"/>
      </w:divBdr>
    </w:div>
    <w:div w:id="430204052">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121549">
      <w:bodyDiv w:val="1"/>
      <w:marLeft w:val="0"/>
      <w:marRight w:val="0"/>
      <w:marTop w:val="0"/>
      <w:marBottom w:val="0"/>
      <w:divBdr>
        <w:top w:val="none" w:sz="0" w:space="0" w:color="auto"/>
        <w:left w:val="none" w:sz="0" w:space="0" w:color="auto"/>
        <w:bottom w:val="none" w:sz="0" w:space="0" w:color="auto"/>
        <w:right w:val="none" w:sz="0" w:space="0" w:color="auto"/>
      </w:divBdr>
    </w:div>
    <w:div w:id="464201693">
      <w:bodyDiv w:val="1"/>
      <w:marLeft w:val="0"/>
      <w:marRight w:val="0"/>
      <w:marTop w:val="0"/>
      <w:marBottom w:val="0"/>
      <w:divBdr>
        <w:top w:val="none" w:sz="0" w:space="0" w:color="auto"/>
        <w:left w:val="none" w:sz="0" w:space="0" w:color="auto"/>
        <w:bottom w:val="none" w:sz="0" w:space="0" w:color="auto"/>
        <w:right w:val="none" w:sz="0" w:space="0" w:color="auto"/>
      </w:divBdr>
    </w:div>
    <w:div w:id="471102591">
      <w:bodyDiv w:val="1"/>
      <w:marLeft w:val="0"/>
      <w:marRight w:val="0"/>
      <w:marTop w:val="0"/>
      <w:marBottom w:val="0"/>
      <w:divBdr>
        <w:top w:val="none" w:sz="0" w:space="0" w:color="auto"/>
        <w:left w:val="none" w:sz="0" w:space="0" w:color="auto"/>
        <w:bottom w:val="none" w:sz="0" w:space="0" w:color="auto"/>
        <w:right w:val="none" w:sz="0" w:space="0" w:color="auto"/>
      </w:divBdr>
    </w:div>
    <w:div w:id="479930806">
      <w:bodyDiv w:val="1"/>
      <w:marLeft w:val="0"/>
      <w:marRight w:val="0"/>
      <w:marTop w:val="0"/>
      <w:marBottom w:val="0"/>
      <w:divBdr>
        <w:top w:val="none" w:sz="0" w:space="0" w:color="auto"/>
        <w:left w:val="none" w:sz="0" w:space="0" w:color="auto"/>
        <w:bottom w:val="none" w:sz="0" w:space="0" w:color="auto"/>
        <w:right w:val="none" w:sz="0" w:space="0" w:color="auto"/>
      </w:divBdr>
    </w:div>
    <w:div w:id="483669372">
      <w:bodyDiv w:val="1"/>
      <w:marLeft w:val="0"/>
      <w:marRight w:val="0"/>
      <w:marTop w:val="0"/>
      <w:marBottom w:val="0"/>
      <w:divBdr>
        <w:top w:val="none" w:sz="0" w:space="0" w:color="auto"/>
        <w:left w:val="none" w:sz="0" w:space="0" w:color="auto"/>
        <w:bottom w:val="none" w:sz="0" w:space="0" w:color="auto"/>
        <w:right w:val="none" w:sz="0" w:space="0" w:color="auto"/>
      </w:divBdr>
    </w:div>
    <w:div w:id="484515459">
      <w:bodyDiv w:val="1"/>
      <w:marLeft w:val="0"/>
      <w:marRight w:val="0"/>
      <w:marTop w:val="0"/>
      <w:marBottom w:val="0"/>
      <w:divBdr>
        <w:top w:val="none" w:sz="0" w:space="0" w:color="auto"/>
        <w:left w:val="none" w:sz="0" w:space="0" w:color="auto"/>
        <w:bottom w:val="none" w:sz="0" w:space="0" w:color="auto"/>
        <w:right w:val="none" w:sz="0" w:space="0" w:color="auto"/>
      </w:divBdr>
    </w:div>
    <w:div w:id="500390384">
      <w:bodyDiv w:val="1"/>
      <w:marLeft w:val="0"/>
      <w:marRight w:val="0"/>
      <w:marTop w:val="0"/>
      <w:marBottom w:val="0"/>
      <w:divBdr>
        <w:top w:val="none" w:sz="0" w:space="0" w:color="auto"/>
        <w:left w:val="none" w:sz="0" w:space="0" w:color="auto"/>
        <w:bottom w:val="none" w:sz="0" w:space="0" w:color="auto"/>
        <w:right w:val="none" w:sz="0" w:space="0" w:color="auto"/>
      </w:divBdr>
    </w:div>
    <w:div w:id="505677403">
      <w:bodyDiv w:val="1"/>
      <w:marLeft w:val="0"/>
      <w:marRight w:val="0"/>
      <w:marTop w:val="0"/>
      <w:marBottom w:val="0"/>
      <w:divBdr>
        <w:top w:val="none" w:sz="0" w:space="0" w:color="auto"/>
        <w:left w:val="none" w:sz="0" w:space="0" w:color="auto"/>
        <w:bottom w:val="none" w:sz="0" w:space="0" w:color="auto"/>
        <w:right w:val="none" w:sz="0" w:space="0" w:color="auto"/>
      </w:divBdr>
    </w:div>
    <w:div w:id="507714928">
      <w:bodyDiv w:val="1"/>
      <w:marLeft w:val="0"/>
      <w:marRight w:val="0"/>
      <w:marTop w:val="0"/>
      <w:marBottom w:val="0"/>
      <w:divBdr>
        <w:top w:val="none" w:sz="0" w:space="0" w:color="auto"/>
        <w:left w:val="none" w:sz="0" w:space="0" w:color="auto"/>
        <w:bottom w:val="none" w:sz="0" w:space="0" w:color="auto"/>
        <w:right w:val="none" w:sz="0" w:space="0" w:color="auto"/>
      </w:divBdr>
    </w:div>
    <w:div w:id="508175253">
      <w:bodyDiv w:val="1"/>
      <w:marLeft w:val="0"/>
      <w:marRight w:val="0"/>
      <w:marTop w:val="0"/>
      <w:marBottom w:val="0"/>
      <w:divBdr>
        <w:top w:val="none" w:sz="0" w:space="0" w:color="auto"/>
        <w:left w:val="none" w:sz="0" w:space="0" w:color="auto"/>
        <w:bottom w:val="none" w:sz="0" w:space="0" w:color="auto"/>
        <w:right w:val="none" w:sz="0" w:space="0" w:color="auto"/>
      </w:divBdr>
    </w:div>
    <w:div w:id="514851652">
      <w:bodyDiv w:val="1"/>
      <w:marLeft w:val="0"/>
      <w:marRight w:val="0"/>
      <w:marTop w:val="0"/>
      <w:marBottom w:val="0"/>
      <w:divBdr>
        <w:top w:val="none" w:sz="0" w:space="0" w:color="auto"/>
        <w:left w:val="none" w:sz="0" w:space="0" w:color="auto"/>
        <w:bottom w:val="none" w:sz="0" w:space="0" w:color="auto"/>
        <w:right w:val="none" w:sz="0" w:space="0" w:color="auto"/>
      </w:divBdr>
    </w:div>
    <w:div w:id="515079882">
      <w:bodyDiv w:val="1"/>
      <w:marLeft w:val="0"/>
      <w:marRight w:val="0"/>
      <w:marTop w:val="0"/>
      <w:marBottom w:val="0"/>
      <w:divBdr>
        <w:top w:val="none" w:sz="0" w:space="0" w:color="auto"/>
        <w:left w:val="none" w:sz="0" w:space="0" w:color="auto"/>
        <w:bottom w:val="none" w:sz="0" w:space="0" w:color="auto"/>
        <w:right w:val="none" w:sz="0" w:space="0" w:color="auto"/>
      </w:divBdr>
    </w:div>
    <w:div w:id="519701460">
      <w:bodyDiv w:val="1"/>
      <w:marLeft w:val="0"/>
      <w:marRight w:val="0"/>
      <w:marTop w:val="0"/>
      <w:marBottom w:val="0"/>
      <w:divBdr>
        <w:top w:val="none" w:sz="0" w:space="0" w:color="auto"/>
        <w:left w:val="none" w:sz="0" w:space="0" w:color="auto"/>
        <w:bottom w:val="none" w:sz="0" w:space="0" w:color="auto"/>
        <w:right w:val="none" w:sz="0" w:space="0" w:color="auto"/>
      </w:divBdr>
    </w:div>
    <w:div w:id="521287510">
      <w:bodyDiv w:val="1"/>
      <w:marLeft w:val="0"/>
      <w:marRight w:val="0"/>
      <w:marTop w:val="0"/>
      <w:marBottom w:val="0"/>
      <w:divBdr>
        <w:top w:val="none" w:sz="0" w:space="0" w:color="auto"/>
        <w:left w:val="none" w:sz="0" w:space="0" w:color="auto"/>
        <w:bottom w:val="none" w:sz="0" w:space="0" w:color="auto"/>
        <w:right w:val="none" w:sz="0" w:space="0" w:color="auto"/>
      </w:divBdr>
    </w:div>
    <w:div w:id="522984992">
      <w:bodyDiv w:val="1"/>
      <w:marLeft w:val="0"/>
      <w:marRight w:val="0"/>
      <w:marTop w:val="0"/>
      <w:marBottom w:val="0"/>
      <w:divBdr>
        <w:top w:val="none" w:sz="0" w:space="0" w:color="auto"/>
        <w:left w:val="none" w:sz="0" w:space="0" w:color="auto"/>
        <w:bottom w:val="none" w:sz="0" w:space="0" w:color="auto"/>
        <w:right w:val="none" w:sz="0" w:space="0" w:color="auto"/>
      </w:divBdr>
    </w:div>
    <w:div w:id="525169459">
      <w:bodyDiv w:val="1"/>
      <w:marLeft w:val="0"/>
      <w:marRight w:val="0"/>
      <w:marTop w:val="0"/>
      <w:marBottom w:val="0"/>
      <w:divBdr>
        <w:top w:val="none" w:sz="0" w:space="0" w:color="auto"/>
        <w:left w:val="none" w:sz="0" w:space="0" w:color="auto"/>
        <w:bottom w:val="none" w:sz="0" w:space="0" w:color="auto"/>
        <w:right w:val="none" w:sz="0" w:space="0" w:color="auto"/>
      </w:divBdr>
    </w:div>
    <w:div w:id="52863971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531223">
      <w:bodyDiv w:val="1"/>
      <w:marLeft w:val="0"/>
      <w:marRight w:val="0"/>
      <w:marTop w:val="0"/>
      <w:marBottom w:val="0"/>
      <w:divBdr>
        <w:top w:val="none" w:sz="0" w:space="0" w:color="auto"/>
        <w:left w:val="none" w:sz="0" w:space="0" w:color="auto"/>
        <w:bottom w:val="none" w:sz="0" w:space="0" w:color="auto"/>
        <w:right w:val="none" w:sz="0" w:space="0" w:color="auto"/>
      </w:divBdr>
    </w:div>
    <w:div w:id="554388981">
      <w:bodyDiv w:val="1"/>
      <w:marLeft w:val="0"/>
      <w:marRight w:val="0"/>
      <w:marTop w:val="0"/>
      <w:marBottom w:val="0"/>
      <w:divBdr>
        <w:top w:val="none" w:sz="0" w:space="0" w:color="auto"/>
        <w:left w:val="none" w:sz="0" w:space="0" w:color="auto"/>
        <w:bottom w:val="none" w:sz="0" w:space="0" w:color="auto"/>
        <w:right w:val="none" w:sz="0" w:space="0" w:color="auto"/>
      </w:divBdr>
    </w:div>
    <w:div w:id="565073401">
      <w:bodyDiv w:val="1"/>
      <w:marLeft w:val="0"/>
      <w:marRight w:val="0"/>
      <w:marTop w:val="0"/>
      <w:marBottom w:val="0"/>
      <w:divBdr>
        <w:top w:val="none" w:sz="0" w:space="0" w:color="auto"/>
        <w:left w:val="none" w:sz="0" w:space="0" w:color="auto"/>
        <w:bottom w:val="none" w:sz="0" w:space="0" w:color="auto"/>
        <w:right w:val="none" w:sz="0" w:space="0" w:color="auto"/>
      </w:divBdr>
    </w:div>
    <w:div w:id="567492855">
      <w:bodyDiv w:val="1"/>
      <w:marLeft w:val="0"/>
      <w:marRight w:val="0"/>
      <w:marTop w:val="0"/>
      <w:marBottom w:val="0"/>
      <w:divBdr>
        <w:top w:val="none" w:sz="0" w:space="0" w:color="auto"/>
        <w:left w:val="none" w:sz="0" w:space="0" w:color="auto"/>
        <w:bottom w:val="none" w:sz="0" w:space="0" w:color="auto"/>
        <w:right w:val="none" w:sz="0" w:space="0" w:color="auto"/>
      </w:divBdr>
    </w:div>
    <w:div w:id="574704884">
      <w:bodyDiv w:val="1"/>
      <w:marLeft w:val="0"/>
      <w:marRight w:val="0"/>
      <w:marTop w:val="0"/>
      <w:marBottom w:val="0"/>
      <w:divBdr>
        <w:top w:val="none" w:sz="0" w:space="0" w:color="auto"/>
        <w:left w:val="none" w:sz="0" w:space="0" w:color="auto"/>
        <w:bottom w:val="none" w:sz="0" w:space="0" w:color="auto"/>
        <w:right w:val="none" w:sz="0" w:space="0" w:color="auto"/>
      </w:divBdr>
    </w:div>
    <w:div w:id="582644147">
      <w:bodyDiv w:val="1"/>
      <w:marLeft w:val="0"/>
      <w:marRight w:val="0"/>
      <w:marTop w:val="0"/>
      <w:marBottom w:val="0"/>
      <w:divBdr>
        <w:top w:val="none" w:sz="0" w:space="0" w:color="auto"/>
        <w:left w:val="none" w:sz="0" w:space="0" w:color="auto"/>
        <w:bottom w:val="none" w:sz="0" w:space="0" w:color="auto"/>
        <w:right w:val="none" w:sz="0" w:space="0" w:color="auto"/>
      </w:divBdr>
    </w:div>
    <w:div w:id="592084305">
      <w:bodyDiv w:val="1"/>
      <w:marLeft w:val="0"/>
      <w:marRight w:val="0"/>
      <w:marTop w:val="0"/>
      <w:marBottom w:val="0"/>
      <w:divBdr>
        <w:top w:val="none" w:sz="0" w:space="0" w:color="auto"/>
        <w:left w:val="none" w:sz="0" w:space="0" w:color="auto"/>
        <w:bottom w:val="none" w:sz="0" w:space="0" w:color="auto"/>
        <w:right w:val="none" w:sz="0" w:space="0" w:color="auto"/>
      </w:divBdr>
    </w:div>
    <w:div w:id="598684573">
      <w:bodyDiv w:val="1"/>
      <w:marLeft w:val="0"/>
      <w:marRight w:val="0"/>
      <w:marTop w:val="0"/>
      <w:marBottom w:val="0"/>
      <w:divBdr>
        <w:top w:val="none" w:sz="0" w:space="0" w:color="auto"/>
        <w:left w:val="none" w:sz="0" w:space="0" w:color="auto"/>
        <w:bottom w:val="none" w:sz="0" w:space="0" w:color="auto"/>
        <w:right w:val="none" w:sz="0" w:space="0" w:color="auto"/>
      </w:divBdr>
    </w:div>
    <w:div w:id="601500231">
      <w:bodyDiv w:val="1"/>
      <w:marLeft w:val="0"/>
      <w:marRight w:val="0"/>
      <w:marTop w:val="0"/>
      <w:marBottom w:val="0"/>
      <w:divBdr>
        <w:top w:val="none" w:sz="0" w:space="0" w:color="auto"/>
        <w:left w:val="none" w:sz="0" w:space="0" w:color="auto"/>
        <w:bottom w:val="none" w:sz="0" w:space="0" w:color="auto"/>
        <w:right w:val="none" w:sz="0" w:space="0" w:color="auto"/>
      </w:divBdr>
    </w:div>
    <w:div w:id="612399523">
      <w:bodyDiv w:val="1"/>
      <w:marLeft w:val="0"/>
      <w:marRight w:val="0"/>
      <w:marTop w:val="0"/>
      <w:marBottom w:val="0"/>
      <w:divBdr>
        <w:top w:val="none" w:sz="0" w:space="0" w:color="auto"/>
        <w:left w:val="none" w:sz="0" w:space="0" w:color="auto"/>
        <w:bottom w:val="none" w:sz="0" w:space="0" w:color="auto"/>
        <w:right w:val="none" w:sz="0" w:space="0" w:color="auto"/>
      </w:divBdr>
    </w:div>
    <w:div w:id="619382400">
      <w:bodyDiv w:val="1"/>
      <w:marLeft w:val="0"/>
      <w:marRight w:val="0"/>
      <w:marTop w:val="0"/>
      <w:marBottom w:val="0"/>
      <w:divBdr>
        <w:top w:val="none" w:sz="0" w:space="0" w:color="auto"/>
        <w:left w:val="none" w:sz="0" w:space="0" w:color="auto"/>
        <w:bottom w:val="none" w:sz="0" w:space="0" w:color="auto"/>
        <w:right w:val="none" w:sz="0" w:space="0" w:color="auto"/>
      </w:divBdr>
    </w:div>
    <w:div w:id="623851017">
      <w:bodyDiv w:val="1"/>
      <w:marLeft w:val="0"/>
      <w:marRight w:val="0"/>
      <w:marTop w:val="0"/>
      <w:marBottom w:val="0"/>
      <w:divBdr>
        <w:top w:val="none" w:sz="0" w:space="0" w:color="auto"/>
        <w:left w:val="none" w:sz="0" w:space="0" w:color="auto"/>
        <w:bottom w:val="none" w:sz="0" w:space="0" w:color="auto"/>
        <w:right w:val="none" w:sz="0" w:space="0" w:color="auto"/>
      </w:divBdr>
    </w:div>
    <w:div w:id="629941774">
      <w:bodyDiv w:val="1"/>
      <w:marLeft w:val="0"/>
      <w:marRight w:val="0"/>
      <w:marTop w:val="0"/>
      <w:marBottom w:val="0"/>
      <w:divBdr>
        <w:top w:val="none" w:sz="0" w:space="0" w:color="auto"/>
        <w:left w:val="none" w:sz="0" w:space="0" w:color="auto"/>
        <w:bottom w:val="none" w:sz="0" w:space="0" w:color="auto"/>
        <w:right w:val="none" w:sz="0" w:space="0" w:color="auto"/>
      </w:divBdr>
    </w:div>
    <w:div w:id="649211032">
      <w:bodyDiv w:val="1"/>
      <w:marLeft w:val="0"/>
      <w:marRight w:val="0"/>
      <w:marTop w:val="0"/>
      <w:marBottom w:val="0"/>
      <w:divBdr>
        <w:top w:val="none" w:sz="0" w:space="0" w:color="auto"/>
        <w:left w:val="none" w:sz="0" w:space="0" w:color="auto"/>
        <w:bottom w:val="none" w:sz="0" w:space="0" w:color="auto"/>
        <w:right w:val="none" w:sz="0" w:space="0" w:color="auto"/>
      </w:divBdr>
    </w:div>
    <w:div w:id="649292935">
      <w:bodyDiv w:val="1"/>
      <w:marLeft w:val="0"/>
      <w:marRight w:val="0"/>
      <w:marTop w:val="0"/>
      <w:marBottom w:val="0"/>
      <w:divBdr>
        <w:top w:val="none" w:sz="0" w:space="0" w:color="auto"/>
        <w:left w:val="none" w:sz="0" w:space="0" w:color="auto"/>
        <w:bottom w:val="none" w:sz="0" w:space="0" w:color="auto"/>
        <w:right w:val="none" w:sz="0" w:space="0" w:color="auto"/>
      </w:divBdr>
    </w:div>
    <w:div w:id="653880078">
      <w:bodyDiv w:val="1"/>
      <w:marLeft w:val="0"/>
      <w:marRight w:val="0"/>
      <w:marTop w:val="0"/>
      <w:marBottom w:val="0"/>
      <w:divBdr>
        <w:top w:val="none" w:sz="0" w:space="0" w:color="auto"/>
        <w:left w:val="none" w:sz="0" w:space="0" w:color="auto"/>
        <w:bottom w:val="none" w:sz="0" w:space="0" w:color="auto"/>
        <w:right w:val="none" w:sz="0" w:space="0" w:color="auto"/>
      </w:divBdr>
    </w:div>
    <w:div w:id="655572427">
      <w:bodyDiv w:val="1"/>
      <w:marLeft w:val="0"/>
      <w:marRight w:val="0"/>
      <w:marTop w:val="0"/>
      <w:marBottom w:val="0"/>
      <w:divBdr>
        <w:top w:val="none" w:sz="0" w:space="0" w:color="auto"/>
        <w:left w:val="none" w:sz="0" w:space="0" w:color="auto"/>
        <w:bottom w:val="none" w:sz="0" w:space="0" w:color="auto"/>
        <w:right w:val="none" w:sz="0" w:space="0" w:color="auto"/>
      </w:divBdr>
    </w:div>
    <w:div w:id="656766912">
      <w:bodyDiv w:val="1"/>
      <w:marLeft w:val="0"/>
      <w:marRight w:val="0"/>
      <w:marTop w:val="0"/>
      <w:marBottom w:val="0"/>
      <w:divBdr>
        <w:top w:val="none" w:sz="0" w:space="0" w:color="auto"/>
        <w:left w:val="none" w:sz="0" w:space="0" w:color="auto"/>
        <w:bottom w:val="none" w:sz="0" w:space="0" w:color="auto"/>
        <w:right w:val="none" w:sz="0" w:space="0" w:color="auto"/>
      </w:divBdr>
    </w:div>
    <w:div w:id="659771423">
      <w:bodyDiv w:val="1"/>
      <w:marLeft w:val="0"/>
      <w:marRight w:val="0"/>
      <w:marTop w:val="0"/>
      <w:marBottom w:val="0"/>
      <w:divBdr>
        <w:top w:val="none" w:sz="0" w:space="0" w:color="auto"/>
        <w:left w:val="none" w:sz="0" w:space="0" w:color="auto"/>
        <w:bottom w:val="none" w:sz="0" w:space="0" w:color="auto"/>
        <w:right w:val="none" w:sz="0" w:space="0" w:color="auto"/>
      </w:divBdr>
    </w:div>
    <w:div w:id="659775601">
      <w:bodyDiv w:val="1"/>
      <w:marLeft w:val="0"/>
      <w:marRight w:val="0"/>
      <w:marTop w:val="0"/>
      <w:marBottom w:val="0"/>
      <w:divBdr>
        <w:top w:val="none" w:sz="0" w:space="0" w:color="auto"/>
        <w:left w:val="none" w:sz="0" w:space="0" w:color="auto"/>
        <w:bottom w:val="none" w:sz="0" w:space="0" w:color="auto"/>
        <w:right w:val="none" w:sz="0" w:space="0" w:color="auto"/>
      </w:divBdr>
    </w:div>
    <w:div w:id="666054553">
      <w:bodyDiv w:val="1"/>
      <w:marLeft w:val="0"/>
      <w:marRight w:val="0"/>
      <w:marTop w:val="0"/>
      <w:marBottom w:val="0"/>
      <w:divBdr>
        <w:top w:val="none" w:sz="0" w:space="0" w:color="auto"/>
        <w:left w:val="none" w:sz="0" w:space="0" w:color="auto"/>
        <w:bottom w:val="none" w:sz="0" w:space="0" w:color="auto"/>
        <w:right w:val="none" w:sz="0" w:space="0" w:color="auto"/>
      </w:divBdr>
    </w:div>
    <w:div w:id="669403874">
      <w:bodyDiv w:val="1"/>
      <w:marLeft w:val="0"/>
      <w:marRight w:val="0"/>
      <w:marTop w:val="0"/>
      <w:marBottom w:val="0"/>
      <w:divBdr>
        <w:top w:val="none" w:sz="0" w:space="0" w:color="auto"/>
        <w:left w:val="none" w:sz="0" w:space="0" w:color="auto"/>
        <w:bottom w:val="none" w:sz="0" w:space="0" w:color="auto"/>
        <w:right w:val="none" w:sz="0" w:space="0" w:color="auto"/>
      </w:divBdr>
    </w:div>
    <w:div w:id="674504652">
      <w:bodyDiv w:val="1"/>
      <w:marLeft w:val="0"/>
      <w:marRight w:val="0"/>
      <w:marTop w:val="0"/>
      <w:marBottom w:val="0"/>
      <w:divBdr>
        <w:top w:val="none" w:sz="0" w:space="0" w:color="auto"/>
        <w:left w:val="none" w:sz="0" w:space="0" w:color="auto"/>
        <w:bottom w:val="none" w:sz="0" w:space="0" w:color="auto"/>
        <w:right w:val="none" w:sz="0" w:space="0" w:color="auto"/>
      </w:divBdr>
    </w:div>
    <w:div w:id="684748938">
      <w:bodyDiv w:val="1"/>
      <w:marLeft w:val="0"/>
      <w:marRight w:val="0"/>
      <w:marTop w:val="0"/>
      <w:marBottom w:val="0"/>
      <w:divBdr>
        <w:top w:val="none" w:sz="0" w:space="0" w:color="auto"/>
        <w:left w:val="none" w:sz="0" w:space="0" w:color="auto"/>
        <w:bottom w:val="none" w:sz="0" w:space="0" w:color="auto"/>
        <w:right w:val="none" w:sz="0" w:space="0" w:color="auto"/>
      </w:divBdr>
    </w:div>
    <w:div w:id="686634090">
      <w:bodyDiv w:val="1"/>
      <w:marLeft w:val="0"/>
      <w:marRight w:val="0"/>
      <w:marTop w:val="0"/>
      <w:marBottom w:val="0"/>
      <w:divBdr>
        <w:top w:val="none" w:sz="0" w:space="0" w:color="auto"/>
        <w:left w:val="none" w:sz="0" w:space="0" w:color="auto"/>
        <w:bottom w:val="none" w:sz="0" w:space="0" w:color="auto"/>
        <w:right w:val="none" w:sz="0" w:space="0" w:color="auto"/>
      </w:divBdr>
    </w:div>
    <w:div w:id="688407468">
      <w:bodyDiv w:val="1"/>
      <w:marLeft w:val="0"/>
      <w:marRight w:val="0"/>
      <w:marTop w:val="0"/>
      <w:marBottom w:val="0"/>
      <w:divBdr>
        <w:top w:val="none" w:sz="0" w:space="0" w:color="auto"/>
        <w:left w:val="none" w:sz="0" w:space="0" w:color="auto"/>
        <w:bottom w:val="none" w:sz="0" w:space="0" w:color="auto"/>
        <w:right w:val="none" w:sz="0" w:space="0" w:color="auto"/>
      </w:divBdr>
    </w:div>
    <w:div w:id="689259385">
      <w:bodyDiv w:val="1"/>
      <w:marLeft w:val="0"/>
      <w:marRight w:val="0"/>
      <w:marTop w:val="0"/>
      <w:marBottom w:val="0"/>
      <w:divBdr>
        <w:top w:val="none" w:sz="0" w:space="0" w:color="auto"/>
        <w:left w:val="none" w:sz="0" w:space="0" w:color="auto"/>
        <w:bottom w:val="none" w:sz="0" w:space="0" w:color="auto"/>
        <w:right w:val="none" w:sz="0" w:space="0" w:color="auto"/>
      </w:divBdr>
    </w:div>
    <w:div w:id="689646489">
      <w:bodyDiv w:val="1"/>
      <w:marLeft w:val="0"/>
      <w:marRight w:val="0"/>
      <w:marTop w:val="0"/>
      <w:marBottom w:val="0"/>
      <w:divBdr>
        <w:top w:val="none" w:sz="0" w:space="0" w:color="auto"/>
        <w:left w:val="none" w:sz="0" w:space="0" w:color="auto"/>
        <w:bottom w:val="none" w:sz="0" w:space="0" w:color="auto"/>
        <w:right w:val="none" w:sz="0" w:space="0" w:color="auto"/>
      </w:divBdr>
    </w:div>
    <w:div w:id="695891664">
      <w:bodyDiv w:val="1"/>
      <w:marLeft w:val="0"/>
      <w:marRight w:val="0"/>
      <w:marTop w:val="0"/>
      <w:marBottom w:val="0"/>
      <w:divBdr>
        <w:top w:val="none" w:sz="0" w:space="0" w:color="auto"/>
        <w:left w:val="none" w:sz="0" w:space="0" w:color="auto"/>
        <w:bottom w:val="none" w:sz="0" w:space="0" w:color="auto"/>
        <w:right w:val="none" w:sz="0" w:space="0" w:color="auto"/>
      </w:divBdr>
    </w:div>
    <w:div w:id="701519530">
      <w:bodyDiv w:val="1"/>
      <w:marLeft w:val="0"/>
      <w:marRight w:val="0"/>
      <w:marTop w:val="0"/>
      <w:marBottom w:val="0"/>
      <w:divBdr>
        <w:top w:val="none" w:sz="0" w:space="0" w:color="auto"/>
        <w:left w:val="none" w:sz="0" w:space="0" w:color="auto"/>
        <w:bottom w:val="none" w:sz="0" w:space="0" w:color="auto"/>
        <w:right w:val="none" w:sz="0" w:space="0" w:color="auto"/>
      </w:divBdr>
    </w:div>
    <w:div w:id="712923546">
      <w:bodyDiv w:val="1"/>
      <w:marLeft w:val="0"/>
      <w:marRight w:val="0"/>
      <w:marTop w:val="0"/>
      <w:marBottom w:val="0"/>
      <w:divBdr>
        <w:top w:val="none" w:sz="0" w:space="0" w:color="auto"/>
        <w:left w:val="none" w:sz="0" w:space="0" w:color="auto"/>
        <w:bottom w:val="none" w:sz="0" w:space="0" w:color="auto"/>
        <w:right w:val="none" w:sz="0" w:space="0" w:color="auto"/>
      </w:divBdr>
    </w:div>
    <w:div w:id="719673912">
      <w:bodyDiv w:val="1"/>
      <w:marLeft w:val="0"/>
      <w:marRight w:val="0"/>
      <w:marTop w:val="0"/>
      <w:marBottom w:val="0"/>
      <w:divBdr>
        <w:top w:val="none" w:sz="0" w:space="0" w:color="auto"/>
        <w:left w:val="none" w:sz="0" w:space="0" w:color="auto"/>
        <w:bottom w:val="none" w:sz="0" w:space="0" w:color="auto"/>
        <w:right w:val="none" w:sz="0" w:space="0" w:color="auto"/>
      </w:divBdr>
    </w:div>
    <w:div w:id="720787372">
      <w:bodyDiv w:val="1"/>
      <w:marLeft w:val="0"/>
      <w:marRight w:val="0"/>
      <w:marTop w:val="0"/>
      <w:marBottom w:val="0"/>
      <w:divBdr>
        <w:top w:val="none" w:sz="0" w:space="0" w:color="auto"/>
        <w:left w:val="none" w:sz="0" w:space="0" w:color="auto"/>
        <w:bottom w:val="none" w:sz="0" w:space="0" w:color="auto"/>
        <w:right w:val="none" w:sz="0" w:space="0" w:color="auto"/>
      </w:divBdr>
    </w:div>
    <w:div w:id="722295311">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6222129">
      <w:bodyDiv w:val="1"/>
      <w:marLeft w:val="0"/>
      <w:marRight w:val="0"/>
      <w:marTop w:val="0"/>
      <w:marBottom w:val="0"/>
      <w:divBdr>
        <w:top w:val="none" w:sz="0" w:space="0" w:color="auto"/>
        <w:left w:val="none" w:sz="0" w:space="0" w:color="auto"/>
        <w:bottom w:val="none" w:sz="0" w:space="0" w:color="auto"/>
        <w:right w:val="none" w:sz="0" w:space="0" w:color="auto"/>
      </w:divBdr>
    </w:div>
    <w:div w:id="729763991">
      <w:bodyDiv w:val="1"/>
      <w:marLeft w:val="0"/>
      <w:marRight w:val="0"/>
      <w:marTop w:val="0"/>
      <w:marBottom w:val="0"/>
      <w:divBdr>
        <w:top w:val="none" w:sz="0" w:space="0" w:color="auto"/>
        <w:left w:val="none" w:sz="0" w:space="0" w:color="auto"/>
        <w:bottom w:val="none" w:sz="0" w:space="0" w:color="auto"/>
        <w:right w:val="none" w:sz="0" w:space="0" w:color="auto"/>
      </w:divBdr>
    </w:div>
    <w:div w:id="734813937">
      <w:bodyDiv w:val="1"/>
      <w:marLeft w:val="0"/>
      <w:marRight w:val="0"/>
      <w:marTop w:val="0"/>
      <w:marBottom w:val="0"/>
      <w:divBdr>
        <w:top w:val="none" w:sz="0" w:space="0" w:color="auto"/>
        <w:left w:val="none" w:sz="0" w:space="0" w:color="auto"/>
        <w:bottom w:val="none" w:sz="0" w:space="0" w:color="auto"/>
        <w:right w:val="none" w:sz="0" w:space="0" w:color="auto"/>
      </w:divBdr>
    </w:div>
    <w:div w:id="738483426">
      <w:bodyDiv w:val="1"/>
      <w:marLeft w:val="0"/>
      <w:marRight w:val="0"/>
      <w:marTop w:val="0"/>
      <w:marBottom w:val="0"/>
      <w:divBdr>
        <w:top w:val="none" w:sz="0" w:space="0" w:color="auto"/>
        <w:left w:val="none" w:sz="0" w:space="0" w:color="auto"/>
        <w:bottom w:val="none" w:sz="0" w:space="0" w:color="auto"/>
        <w:right w:val="none" w:sz="0" w:space="0" w:color="auto"/>
      </w:divBdr>
    </w:div>
    <w:div w:id="741758617">
      <w:bodyDiv w:val="1"/>
      <w:marLeft w:val="0"/>
      <w:marRight w:val="0"/>
      <w:marTop w:val="0"/>
      <w:marBottom w:val="0"/>
      <w:divBdr>
        <w:top w:val="none" w:sz="0" w:space="0" w:color="auto"/>
        <w:left w:val="none" w:sz="0" w:space="0" w:color="auto"/>
        <w:bottom w:val="none" w:sz="0" w:space="0" w:color="auto"/>
        <w:right w:val="none" w:sz="0" w:space="0" w:color="auto"/>
      </w:divBdr>
    </w:div>
    <w:div w:id="742415303">
      <w:bodyDiv w:val="1"/>
      <w:marLeft w:val="0"/>
      <w:marRight w:val="0"/>
      <w:marTop w:val="0"/>
      <w:marBottom w:val="0"/>
      <w:divBdr>
        <w:top w:val="none" w:sz="0" w:space="0" w:color="auto"/>
        <w:left w:val="none" w:sz="0" w:space="0" w:color="auto"/>
        <w:bottom w:val="none" w:sz="0" w:space="0" w:color="auto"/>
        <w:right w:val="none" w:sz="0" w:space="0" w:color="auto"/>
      </w:divBdr>
    </w:div>
    <w:div w:id="743575300">
      <w:bodyDiv w:val="1"/>
      <w:marLeft w:val="0"/>
      <w:marRight w:val="0"/>
      <w:marTop w:val="0"/>
      <w:marBottom w:val="0"/>
      <w:divBdr>
        <w:top w:val="none" w:sz="0" w:space="0" w:color="auto"/>
        <w:left w:val="none" w:sz="0" w:space="0" w:color="auto"/>
        <w:bottom w:val="none" w:sz="0" w:space="0" w:color="auto"/>
        <w:right w:val="none" w:sz="0" w:space="0" w:color="auto"/>
      </w:divBdr>
    </w:div>
    <w:div w:id="746801606">
      <w:bodyDiv w:val="1"/>
      <w:marLeft w:val="0"/>
      <w:marRight w:val="0"/>
      <w:marTop w:val="0"/>
      <w:marBottom w:val="0"/>
      <w:divBdr>
        <w:top w:val="none" w:sz="0" w:space="0" w:color="auto"/>
        <w:left w:val="none" w:sz="0" w:space="0" w:color="auto"/>
        <w:bottom w:val="none" w:sz="0" w:space="0" w:color="auto"/>
        <w:right w:val="none" w:sz="0" w:space="0" w:color="auto"/>
      </w:divBdr>
    </w:div>
    <w:div w:id="758016795">
      <w:bodyDiv w:val="1"/>
      <w:marLeft w:val="0"/>
      <w:marRight w:val="0"/>
      <w:marTop w:val="0"/>
      <w:marBottom w:val="0"/>
      <w:divBdr>
        <w:top w:val="none" w:sz="0" w:space="0" w:color="auto"/>
        <w:left w:val="none" w:sz="0" w:space="0" w:color="auto"/>
        <w:bottom w:val="none" w:sz="0" w:space="0" w:color="auto"/>
        <w:right w:val="none" w:sz="0" w:space="0" w:color="auto"/>
      </w:divBdr>
    </w:div>
    <w:div w:id="758479585">
      <w:bodyDiv w:val="1"/>
      <w:marLeft w:val="0"/>
      <w:marRight w:val="0"/>
      <w:marTop w:val="0"/>
      <w:marBottom w:val="0"/>
      <w:divBdr>
        <w:top w:val="none" w:sz="0" w:space="0" w:color="auto"/>
        <w:left w:val="none" w:sz="0" w:space="0" w:color="auto"/>
        <w:bottom w:val="none" w:sz="0" w:space="0" w:color="auto"/>
        <w:right w:val="none" w:sz="0" w:space="0" w:color="auto"/>
      </w:divBdr>
    </w:div>
    <w:div w:id="760570838">
      <w:bodyDiv w:val="1"/>
      <w:marLeft w:val="0"/>
      <w:marRight w:val="0"/>
      <w:marTop w:val="0"/>
      <w:marBottom w:val="0"/>
      <w:divBdr>
        <w:top w:val="none" w:sz="0" w:space="0" w:color="auto"/>
        <w:left w:val="none" w:sz="0" w:space="0" w:color="auto"/>
        <w:bottom w:val="none" w:sz="0" w:space="0" w:color="auto"/>
        <w:right w:val="none" w:sz="0" w:space="0" w:color="auto"/>
      </w:divBdr>
    </w:div>
    <w:div w:id="768234429">
      <w:bodyDiv w:val="1"/>
      <w:marLeft w:val="0"/>
      <w:marRight w:val="0"/>
      <w:marTop w:val="0"/>
      <w:marBottom w:val="0"/>
      <w:divBdr>
        <w:top w:val="none" w:sz="0" w:space="0" w:color="auto"/>
        <w:left w:val="none" w:sz="0" w:space="0" w:color="auto"/>
        <w:bottom w:val="none" w:sz="0" w:space="0" w:color="auto"/>
        <w:right w:val="none" w:sz="0" w:space="0" w:color="auto"/>
      </w:divBdr>
    </w:div>
    <w:div w:id="772673861">
      <w:bodyDiv w:val="1"/>
      <w:marLeft w:val="0"/>
      <w:marRight w:val="0"/>
      <w:marTop w:val="0"/>
      <w:marBottom w:val="0"/>
      <w:divBdr>
        <w:top w:val="none" w:sz="0" w:space="0" w:color="auto"/>
        <w:left w:val="none" w:sz="0" w:space="0" w:color="auto"/>
        <w:bottom w:val="none" w:sz="0" w:space="0" w:color="auto"/>
        <w:right w:val="none" w:sz="0" w:space="0" w:color="auto"/>
      </w:divBdr>
    </w:div>
    <w:div w:id="776412537">
      <w:bodyDiv w:val="1"/>
      <w:marLeft w:val="0"/>
      <w:marRight w:val="0"/>
      <w:marTop w:val="0"/>
      <w:marBottom w:val="0"/>
      <w:divBdr>
        <w:top w:val="none" w:sz="0" w:space="0" w:color="auto"/>
        <w:left w:val="none" w:sz="0" w:space="0" w:color="auto"/>
        <w:bottom w:val="none" w:sz="0" w:space="0" w:color="auto"/>
        <w:right w:val="none" w:sz="0" w:space="0" w:color="auto"/>
      </w:divBdr>
    </w:div>
    <w:div w:id="777412206">
      <w:bodyDiv w:val="1"/>
      <w:marLeft w:val="0"/>
      <w:marRight w:val="0"/>
      <w:marTop w:val="0"/>
      <w:marBottom w:val="0"/>
      <w:divBdr>
        <w:top w:val="none" w:sz="0" w:space="0" w:color="auto"/>
        <w:left w:val="none" w:sz="0" w:space="0" w:color="auto"/>
        <w:bottom w:val="none" w:sz="0" w:space="0" w:color="auto"/>
        <w:right w:val="none" w:sz="0" w:space="0" w:color="auto"/>
      </w:divBdr>
    </w:div>
    <w:div w:id="785848657">
      <w:bodyDiv w:val="1"/>
      <w:marLeft w:val="0"/>
      <w:marRight w:val="0"/>
      <w:marTop w:val="0"/>
      <w:marBottom w:val="0"/>
      <w:divBdr>
        <w:top w:val="none" w:sz="0" w:space="0" w:color="auto"/>
        <w:left w:val="none" w:sz="0" w:space="0" w:color="auto"/>
        <w:bottom w:val="none" w:sz="0" w:space="0" w:color="auto"/>
        <w:right w:val="none" w:sz="0" w:space="0" w:color="auto"/>
      </w:divBdr>
    </w:div>
    <w:div w:id="786696843">
      <w:bodyDiv w:val="1"/>
      <w:marLeft w:val="0"/>
      <w:marRight w:val="0"/>
      <w:marTop w:val="0"/>
      <w:marBottom w:val="0"/>
      <w:divBdr>
        <w:top w:val="none" w:sz="0" w:space="0" w:color="auto"/>
        <w:left w:val="none" w:sz="0" w:space="0" w:color="auto"/>
        <w:bottom w:val="none" w:sz="0" w:space="0" w:color="auto"/>
        <w:right w:val="none" w:sz="0" w:space="0" w:color="auto"/>
      </w:divBdr>
    </w:div>
    <w:div w:id="787159969">
      <w:bodyDiv w:val="1"/>
      <w:marLeft w:val="0"/>
      <w:marRight w:val="0"/>
      <w:marTop w:val="0"/>
      <w:marBottom w:val="0"/>
      <w:divBdr>
        <w:top w:val="none" w:sz="0" w:space="0" w:color="auto"/>
        <w:left w:val="none" w:sz="0" w:space="0" w:color="auto"/>
        <w:bottom w:val="none" w:sz="0" w:space="0" w:color="auto"/>
        <w:right w:val="none" w:sz="0" w:space="0" w:color="auto"/>
      </w:divBdr>
    </w:div>
    <w:div w:id="787775453">
      <w:bodyDiv w:val="1"/>
      <w:marLeft w:val="0"/>
      <w:marRight w:val="0"/>
      <w:marTop w:val="0"/>
      <w:marBottom w:val="0"/>
      <w:divBdr>
        <w:top w:val="none" w:sz="0" w:space="0" w:color="auto"/>
        <w:left w:val="none" w:sz="0" w:space="0" w:color="auto"/>
        <w:bottom w:val="none" w:sz="0" w:space="0" w:color="auto"/>
        <w:right w:val="none" w:sz="0" w:space="0" w:color="auto"/>
      </w:divBdr>
    </w:div>
    <w:div w:id="787819477">
      <w:bodyDiv w:val="1"/>
      <w:marLeft w:val="0"/>
      <w:marRight w:val="0"/>
      <w:marTop w:val="0"/>
      <w:marBottom w:val="0"/>
      <w:divBdr>
        <w:top w:val="none" w:sz="0" w:space="0" w:color="auto"/>
        <w:left w:val="none" w:sz="0" w:space="0" w:color="auto"/>
        <w:bottom w:val="none" w:sz="0" w:space="0" w:color="auto"/>
        <w:right w:val="none" w:sz="0" w:space="0" w:color="auto"/>
      </w:divBdr>
    </w:div>
    <w:div w:id="794375354">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03960301">
      <w:bodyDiv w:val="1"/>
      <w:marLeft w:val="0"/>
      <w:marRight w:val="0"/>
      <w:marTop w:val="0"/>
      <w:marBottom w:val="0"/>
      <w:divBdr>
        <w:top w:val="none" w:sz="0" w:space="0" w:color="auto"/>
        <w:left w:val="none" w:sz="0" w:space="0" w:color="auto"/>
        <w:bottom w:val="none" w:sz="0" w:space="0" w:color="auto"/>
        <w:right w:val="none" w:sz="0" w:space="0" w:color="auto"/>
      </w:divBdr>
    </w:div>
    <w:div w:id="806779133">
      <w:bodyDiv w:val="1"/>
      <w:marLeft w:val="0"/>
      <w:marRight w:val="0"/>
      <w:marTop w:val="0"/>
      <w:marBottom w:val="0"/>
      <w:divBdr>
        <w:top w:val="none" w:sz="0" w:space="0" w:color="auto"/>
        <w:left w:val="none" w:sz="0" w:space="0" w:color="auto"/>
        <w:bottom w:val="none" w:sz="0" w:space="0" w:color="auto"/>
        <w:right w:val="none" w:sz="0" w:space="0" w:color="auto"/>
      </w:divBdr>
    </w:div>
    <w:div w:id="819544275">
      <w:bodyDiv w:val="1"/>
      <w:marLeft w:val="0"/>
      <w:marRight w:val="0"/>
      <w:marTop w:val="0"/>
      <w:marBottom w:val="0"/>
      <w:divBdr>
        <w:top w:val="none" w:sz="0" w:space="0" w:color="auto"/>
        <w:left w:val="none" w:sz="0" w:space="0" w:color="auto"/>
        <w:bottom w:val="none" w:sz="0" w:space="0" w:color="auto"/>
        <w:right w:val="none" w:sz="0" w:space="0" w:color="auto"/>
      </w:divBdr>
    </w:div>
    <w:div w:id="822506988">
      <w:bodyDiv w:val="1"/>
      <w:marLeft w:val="0"/>
      <w:marRight w:val="0"/>
      <w:marTop w:val="0"/>
      <w:marBottom w:val="0"/>
      <w:divBdr>
        <w:top w:val="none" w:sz="0" w:space="0" w:color="auto"/>
        <w:left w:val="none" w:sz="0" w:space="0" w:color="auto"/>
        <w:bottom w:val="none" w:sz="0" w:space="0" w:color="auto"/>
        <w:right w:val="none" w:sz="0" w:space="0" w:color="auto"/>
      </w:divBdr>
    </w:div>
    <w:div w:id="823668691">
      <w:bodyDiv w:val="1"/>
      <w:marLeft w:val="0"/>
      <w:marRight w:val="0"/>
      <w:marTop w:val="0"/>
      <w:marBottom w:val="0"/>
      <w:divBdr>
        <w:top w:val="none" w:sz="0" w:space="0" w:color="auto"/>
        <w:left w:val="none" w:sz="0" w:space="0" w:color="auto"/>
        <w:bottom w:val="none" w:sz="0" w:space="0" w:color="auto"/>
        <w:right w:val="none" w:sz="0" w:space="0" w:color="auto"/>
      </w:divBdr>
    </w:div>
    <w:div w:id="830145729">
      <w:bodyDiv w:val="1"/>
      <w:marLeft w:val="0"/>
      <w:marRight w:val="0"/>
      <w:marTop w:val="0"/>
      <w:marBottom w:val="0"/>
      <w:divBdr>
        <w:top w:val="none" w:sz="0" w:space="0" w:color="auto"/>
        <w:left w:val="none" w:sz="0" w:space="0" w:color="auto"/>
        <w:bottom w:val="none" w:sz="0" w:space="0" w:color="auto"/>
        <w:right w:val="none" w:sz="0" w:space="0" w:color="auto"/>
      </w:divBdr>
    </w:div>
    <w:div w:id="831138237">
      <w:bodyDiv w:val="1"/>
      <w:marLeft w:val="0"/>
      <w:marRight w:val="0"/>
      <w:marTop w:val="0"/>
      <w:marBottom w:val="0"/>
      <w:divBdr>
        <w:top w:val="none" w:sz="0" w:space="0" w:color="auto"/>
        <w:left w:val="none" w:sz="0" w:space="0" w:color="auto"/>
        <w:bottom w:val="none" w:sz="0" w:space="0" w:color="auto"/>
        <w:right w:val="none" w:sz="0" w:space="0" w:color="auto"/>
      </w:divBdr>
    </w:div>
    <w:div w:id="835341370">
      <w:bodyDiv w:val="1"/>
      <w:marLeft w:val="0"/>
      <w:marRight w:val="0"/>
      <w:marTop w:val="0"/>
      <w:marBottom w:val="0"/>
      <w:divBdr>
        <w:top w:val="none" w:sz="0" w:space="0" w:color="auto"/>
        <w:left w:val="none" w:sz="0" w:space="0" w:color="auto"/>
        <w:bottom w:val="none" w:sz="0" w:space="0" w:color="auto"/>
        <w:right w:val="none" w:sz="0" w:space="0" w:color="auto"/>
      </w:divBdr>
    </w:div>
    <w:div w:id="847251510">
      <w:bodyDiv w:val="1"/>
      <w:marLeft w:val="0"/>
      <w:marRight w:val="0"/>
      <w:marTop w:val="0"/>
      <w:marBottom w:val="0"/>
      <w:divBdr>
        <w:top w:val="none" w:sz="0" w:space="0" w:color="auto"/>
        <w:left w:val="none" w:sz="0" w:space="0" w:color="auto"/>
        <w:bottom w:val="none" w:sz="0" w:space="0" w:color="auto"/>
        <w:right w:val="none" w:sz="0" w:space="0" w:color="auto"/>
      </w:divBdr>
    </w:div>
    <w:div w:id="847913500">
      <w:bodyDiv w:val="1"/>
      <w:marLeft w:val="0"/>
      <w:marRight w:val="0"/>
      <w:marTop w:val="0"/>
      <w:marBottom w:val="0"/>
      <w:divBdr>
        <w:top w:val="none" w:sz="0" w:space="0" w:color="auto"/>
        <w:left w:val="none" w:sz="0" w:space="0" w:color="auto"/>
        <w:bottom w:val="none" w:sz="0" w:space="0" w:color="auto"/>
        <w:right w:val="none" w:sz="0" w:space="0" w:color="auto"/>
      </w:divBdr>
    </w:div>
    <w:div w:id="853886755">
      <w:bodyDiv w:val="1"/>
      <w:marLeft w:val="0"/>
      <w:marRight w:val="0"/>
      <w:marTop w:val="0"/>
      <w:marBottom w:val="0"/>
      <w:divBdr>
        <w:top w:val="none" w:sz="0" w:space="0" w:color="auto"/>
        <w:left w:val="none" w:sz="0" w:space="0" w:color="auto"/>
        <w:bottom w:val="none" w:sz="0" w:space="0" w:color="auto"/>
        <w:right w:val="none" w:sz="0" w:space="0" w:color="auto"/>
      </w:divBdr>
    </w:div>
    <w:div w:id="861892958">
      <w:bodyDiv w:val="1"/>
      <w:marLeft w:val="0"/>
      <w:marRight w:val="0"/>
      <w:marTop w:val="0"/>
      <w:marBottom w:val="0"/>
      <w:divBdr>
        <w:top w:val="none" w:sz="0" w:space="0" w:color="auto"/>
        <w:left w:val="none" w:sz="0" w:space="0" w:color="auto"/>
        <w:bottom w:val="none" w:sz="0" w:space="0" w:color="auto"/>
        <w:right w:val="none" w:sz="0" w:space="0" w:color="auto"/>
      </w:divBdr>
    </w:div>
    <w:div w:id="866334055">
      <w:bodyDiv w:val="1"/>
      <w:marLeft w:val="0"/>
      <w:marRight w:val="0"/>
      <w:marTop w:val="0"/>
      <w:marBottom w:val="0"/>
      <w:divBdr>
        <w:top w:val="none" w:sz="0" w:space="0" w:color="auto"/>
        <w:left w:val="none" w:sz="0" w:space="0" w:color="auto"/>
        <w:bottom w:val="none" w:sz="0" w:space="0" w:color="auto"/>
        <w:right w:val="none" w:sz="0" w:space="0" w:color="auto"/>
      </w:divBdr>
    </w:div>
    <w:div w:id="867985907">
      <w:bodyDiv w:val="1"/>
      <w:marLeft w:val="0"/>
      <w:marRight w:val="0"/>
      <w:marTop w:val="0"/>
      <w:marBottom w:val="0"/>
      <w:divBdr>
        <w:top w:val="none" w:sz="0" w:space="0" w:color="auto"/>
        <w:left w:val="none" w:sz="0" w:space="0" w:color="auto"/>
        <w:bottom w:val="none" w:sz="0" w:space="0" w:color="auto"/>
        <w:right w:val="none" w:sz="0" w:space="0" w:color="auto"/>
      </w:divBdr>
    </w:div>
    <w:div w:id="869344539">
      <w:bodyDiv w:val="1"/>
      <w:marLeft w:val="0"/>
      <w:marRight w:val="0"/>
      <w:marTop w:val="0"/>
      <w:marBottom w:val="0"/>
      <w:divBdr>
        <w:top w:val="none" w:sz="0" w:space="0" w:color="auto"/>
        <w:left w:val="none" w:sz="0" w:space="0" w:color="auto"/>
        <w:bottom w:val="none" w:sz="0" w:space="0" w:color="auto"/>
        <w:right w:val="none" w:sz="0" w:space="0" w:color="auto"/>
      </w:divBdr>
    </w:div>
    <w:div w:id="881132006">
      <w:bodyDiv w:val="1"/>
      <w:marLeft w:val="0"/>
      <w:marRight w:val="0"/>
      <w:marTop w:val="0"/>
      <w:marBottom w:val="0"/>
      <w:divBdr>
        <w:top w:val="none" w:sz="0" w:space="0" w:color="auto"/>
        <w:left w:val="none" w:sz="0" w:space="0" w:color="auto"/>
        <w:bottom w:val="none" w:sz="0" w:space="0" w:color="auto"/>
        <w:right w:val="none" w:sz="0" w:space="0" w:color="auto"/>
      </w:divBdr>
    </w:div>
    <w:div w:id="892345925">
      <w:bodyDiv w:val="1"/>
      <w:marLeft w:val="0"/>
      <w:marRight w:val="0"/>
      <w:marTop w:val="0"/>
      <w:marBottom w:val="0"/>
      <w:divBdr>
        <w:top w:val="none" w:sz="0" w:space="0" w:color="auto"/>
        <w:left w:val="none" w:sz="0" w:space="0" w:color="auto"/>
        <w:bottom w:val="none" w:sz="0" w:space="0" w:color="auto"/>
        <w:right w:val="none" w:sz="0" w:space="0" w:color="auto"/>
      </w:divBdr>
    </w:div>
    <w:div w:id="893277876">
      <w:bodyDiv w:val="1"/>
      <w:marLeft w:val="0"/>
      <w:marRight w:val="0"/>
      <w:marTop w:val="0"/>
      <w:marBottom w:val="0"/>
      <w:divBdr>
        <w:top w:val="none" w:sz="0" w:space="0" w:color="auto"/>
        <w:left w:val="none" w:sz="0" w:space="0" w:color="auto"/>
        <w:bottom w:val="none" w:sz="0" w:space="0" w:color="auto"/>
        <w:right w:val="none" w:sz="0" w:space="0" w:color="auto"/>
      </w:divBdr>
    </w:div>
    <w:div w:id="898369483">
      <w:bodyDiv w:val="1"/>
      <w:marLeft w:val="0"/>
      <w:marRight w:val="0"/>
      <w:marTop w:val="0"/>
      <w:marBottom w:val="0"/>
      <w:divBdr>
        <w:top w:val="none" w:sz="0" w:space="0" w:color="auto"/>
        <w:left w:val="none" w:sz="0" w:space="0" w:color="auto"/>
        <w:bottom w:val="none" w:sz="0" w:space="0" w:color="auto"/>
        <w:right w:val="none" w:sz="0" w:space="0" w:color="auto"/>
      </w:divBdr>
    </w:div>
    <w:div w:id="900216619">
      <w:bodyDiv w:val="1"/>
      <w:marLeft w:val="0"/>
      <w:marRight w:val="0"/>
      <w:marTop w:val="0"/>
      <w:marBottom w:val="0"/>
      <w:divBdr>
        <w:top w:val="none" w:sz="0" w:space="0" w:color="auto"/>
        <w:left w:val="none" w:sz="0" w:space="0" w:color="auto"/>
        <w:bottom w:val="none" w:sz="0" w:space="0" w:color="auto"/>
        <w:right w:val="none" w:sz="0" w:space="0" w:color="auto"/>
      </w:divBdr>
    </w:div>
    <w:div w:id="912158252">
      <w:bodyDiv w:val="1"/>
      <w:marLeft w:val="0"/>
      <w:marRight w:val="0"/>
      <w:marTop w:val="0"/>
      <w:marBottom w:val="0"/>
      <w:divBdr>
        <w:top w:val="none" w:sz="0" w:space="0" w:color="auto"/>
        <w:left w:val="none" w:sz="0" w:space="0" w:color="auto"/>
        <w:bottom w:val="none" w:sz="0" w:space="0" w:color="auto"/>
        <w:right w:val="none" w:sz="0" w:space="0" w:color="auto"/>
      </w:divBdr>
    </w:div>
    <w:div w:id="915867099">
      <w:bodyDiv w:val="1"/>
      <w:marLeft w:val="0"/>
      <w:marRight w:val="0"/>
      <w:marTop w:val="0"/>
      <w:marBottom w:val="0"/>
      <w:divBdr>
        <w:top w:val="none" w:sz="0" w:space="0" w:color="auto"/>
        <w:left w:val="none" w:sz="0" w:space="0" w:color="auto"/>
        <w:bottom w:val="none" w:sz="0" w:space="0" w:color="auto"/>
        <w:right w:val="none" w:sz="0" w:space="0" w:color="auto"/>
      </w:divBdr>
    </w:div>
    <w:div w:id="918370909">
      <w:bodyDiv w:val="1"/>
      <w:marLeft w:val="0"/>
      <w:marRight w:val="0"/>
      <w:marTop w:val="0"/>
      <w:marBottom w:val="0"/>
      <w:divBdr>
        <w:top w:val="none" w:sz="0" w:space="0" w:color="auto"/>
        <w:left w:val="none" w:sz="0" w:space="0" w:color="auto"/>
        <w:bottom w:val="none" w:sz="0" w:space="0" w:color="auto"/>
        <w:right w:val="none" w:sz="0" w:space="0" w:color="auto"/>
      </w:divBdr>
    </w:div>
    <w:div w:id="919364631">
      <w:bodyDiv w:val="1"/>
      <w:marLeft w:val="0"/>
      <w:marRight w:val="0"/>
      <w:marTop w:val="0"/>
      <w:marBottom w:val="0"/>
      <w:divBdr>
        <w:top w:val="none" w:sz="0" w:space="0" w:color="auto"/>
        <w:left w:val="none" w:sz="0" w:space="0" w:color="auto"/>
        <w:bottom w:val="none" w:sz="0" w:space="0" w:color="auto"/>
        <w:right w:val="none" w:sz="0" w:space="0" w:color="auto"/>
      </w:divBdr>
    </w:div>
    <w:div w:id="925840217">
      <w:bodyDiv w:val="1"/>
      <w:marLeft w:val="0"/>
      <w:marRight w:val="0"/>
      <w:marTop w:val="0"/>
      <w:marBottom w:val="0"/>
      <w:divBdr>
        <w:top w:val="none" w:sz="0" w:space="0" w:color="auto"/>
        <w:left w:val="none" w:sz="0" w:space="0" w:color="auto"/>
        <w:bottom w:val="none" w:sz="0" w:space="0" w:color="auto"/>
        <w:right w:val="none" w:sz="0" w:space="0" w:color="auto"/>
      </w:divBdr>
    </w:div>
    <w:div w:id="927926326">
      <w:bodyDiv w:val="1"/>
      <w:marLeft w:val="0"/>
      <w:marRight w:val="0"/>
      <w:marTop w:val="0"/>
      <w:marBottom w:val="0"/>
      <w:divBdr>
        <w:top w:val="none" w:sz="0" w:space="0" w:color="auto"/>
        <w:left w:val="none" w:sz="0" w:space="0" w:color="auto"/>
        <w:bottom w:val="none" w:sz="0" w:space="0" w:color="auto"/>
        <w:right w:val="none" w:sz="0" w:space="0" w:color="auto"/>
      </w:divBdr>
    </w:div>
    <w:div w:id="928126314">
      <w:bodyDiv w:val="1"/>
      <w:marLeft w:val="0"/>
      <w:marRight w:val="0"/>
      <w:marTop w:val="0"/>
      <w:marBottom w:val="0"/>
      <w:divBdr>
        <w:top w:val="none" w:sz="0" w:space="0" w:color="auto"/>
        <w:left w:val="none" w:sz="0" w:space="0" w:color="auto"/>
        <w:bottom w:val="none" w:sz="0" w:space="0" w:color="auto"/>
        <w:right w:val="none" w:sz="0" w:space="0" w:color="auto"/>
      </w:divBdr>
    </w:div>
    <w:div w:id="933632451">
      <w:bodyDiv w:val="1"/>
      <w:marLeft w:val="0"/>
      <w:marRight w:val="0"/>
      <w:marTop w:val="0"/>
      <w:marBottom w:val="0"/>
      <w:divBdr>
        <w:top w:val="none" w:sz="0" w:space="0" w:color="auto"/>
        <w:left w:val="none" w:sz="0" w:space="0" w:color="auto"/>
        <w:bottom w:val="none" w:sz="0" w:space="0" w:color="auto"/>
        <w:right w:val="none" w:sz="0" w:space="0" w:color="auto"/>
      </w:divBdr>
    </w:div>
    <w:div w:id="945163137">
      <w:bodyDiv w:val="1"/>
      <w:marLeft w:val="0"/>
      <w:marRight w:val="0"/>
      <w:marTop w:val="0"/>
      <w:marBottom w:val="0"/>
      <w:divBdr>
        <w:top w:val="none" w:sz="0" w:space="0" w:color="auto"/>
        <w:left w:val="none" w:sz="0" w:space="0" w:color="auto"/>
        <w:bottom w:val="none" w:sz="0" w:space="0" w:color="auto"/>
        <w:right w:val="none" w:sz="0" w:space="0" w:color="auto"/>
      </w:divBdr>
    </w:div>
    <w:div w:id="948001652">
      <w:bodyDiv w:val="1"/>
      <w:marLeft w:val="0"/>
      <w:marRight w:val="0"/>
      <w:marTop w:val="0"/>
      <w:marBottom w:val="0"/>
      <w:divBdr>
        <w:top w:val="none" w:sz="0" w:space="0" w:color="auto"/>
        <w:left w:val="none" w:sz="0" w:space="0" w:color="auto"/>
        <w:bottom w:val="none" w:sz="0" w:space="0" w:color="auto"/>
        <w:right w:val="none" w:sz="0" w:space="0" w:color="auto"/>
      </w:divBdr>
    </w:div>
    <w:div w:id="948047534">
      <w:bodyDiv w:val="1"/>
      <w:marLeft w:val="0"/>
      <w:marRight w:val="0"/>
      <w:marTop w:val="0"/>
      <w:marBottom w:val="0"/>
      <w:divBdr>
        <w:top w:val="none" w:sz="0" w:space="0" w:color="auto"/>
        <w:left w:val="none" w:sz="0" w:space="0" w:color="auto"/>
        <w:bottom w:val="none" w:sz="0" w:space="0" w:color="auto"/>
        <w:right w:val="none" w:sz="0" w:space="0" w:color="auto"/>
      </w:divBdr>
    </w:div>
    <w:div w:id="950940609">
      <w:bodyDiv w:val="1"/>
      <w:marLeft w:val="0"/>
      <w:marRight w:val="0"/>
      <w:marTop w:val="0"/>
      <w:marBottom w:val="0"/>
      <w:divBdr>
        <w:top w:val="none" w:sz="0" w:space="0" w:color="auto"/>
        <w:left w:val="none" w:sz="0" w:space="0" w:color="auto"/>
        <w:bottom w:val="none" w:sz="0" w:space="0" w:color="auto"/>
        <w:right w:val="none" w:sz="0" w:space="0" w:color="auto"/>
      </w:divBdr>
    </w:div>
    <w:div w:id="956333731">
      <w:bodyDiv w:val="1"/>
      <w:marLeft w:val="0"/>
      <w:marRight w:val="0"/>
      <w:marTop w:val="0"/>
      <w:marBottom w:val="0"/>
      <w:divBdr>
        <w:top w:val="none" w:sz="0" w:space="0" w:color="auto"/>
        <w:left w:val="none" w:sz="0" w:space="0" w:color="auto"/>
        <w:bottom w:val="none" w:sz="0" w:space="0" w:color="auto"/>
        <w:right w:val="none" w:sz="0" w:space="0" w:color="auto"/>
      </w:divBdr>
    </w:div>
    <w:div w:id="956569406">
      <w:bodyDiv w:val="1"/>
      <w:marLeft w:val="0"/>
      <w:marRight w:val="0"/>
      <w:marTop w:val="0"/>
      <w:marBottom w:val="0"/>
      <w:divBdr>
        <w:top w:val="none" w:sz="0" w:space="0" w:color="auto"/>
        <w:left w:val="none" w:sz="0" w:space="0" w:color="auto"/>
        <w:bottom w:val="none" w:sz="0" w:space="0" w:color="auto"/>
        <w:right w:val="none" w:sz="0" w:space="0" w:color="auto"/>
      </w:divBdr>
    </w:div>
    <w:div w:id="964040943">
      <w:bodyDiv w:val="1"/>
      <w:marLeft w:val="0"/>
      <w:marRight w:val="0"/>
      <w:marTop w:val="0"/>
      <w:marBottom w:val="0"/>
      <w:divBdr>
        <w:top w:val="none" w:sz="0" w:space="0" w:color="auto"/>
        <w:left w:val="none" w:sz="0" w:space="0" w:color="auto"/>
        <w:bottom w:val="none" w:sz="0" w:space="0" w:color="auto"/>
        <w:right w:val="none" w:sz="0" w:space="0" w:color="auto"/>
      </w:divBdr>
    </w:div>
    <w:div w:id="964506370">
      <w:bodyDiv w:val="1"/>
      <w:marLeft w:val="0"/>
      <w:marRight w:val="0"/>
      <w:marTop w:val="0"/>
      <w:marBottom w:val="0"/>
      <w:divBdr>
        <w:top w:val="none" w:sz="0" w:space="0" w:color="auto"/>
        <w:left w:val="none" w:sz="0" w:space="0" w:color="auto"/>
        <w:bottom w:val="none" w:sz="0" w:space="0" w:color="auto"/>
        <w:right w:val="none" w:sz="0" w:space="0" w:color="auto"/>
      </w:divBdr>
    </w:div>
    <w:div w:id="96535345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406338">
      <w:bodyDiv w:val="1"/>
      <w:marLeft w:val="0"/>
      <w:marRight w:val="0"/>
      <w:marTop w:val="0"/>
      <w:marBottom w:val="0"/>
      <w:divBdr>
        <w:top w:val="none" w:sz="0" w:space="0" w:color="auto"/>
        <w:left w:val="none" w:sz="0" w:space="0" w:color="auto"/>
        <w:bottom w:val="none" w:sz="0" w:space="0" w:color="auto"/>
        <w:right w:val="none" w:sz="0" w:space="0" w:color="auto"/>
      </w:divBdr>
    </w:div>
    <w:div w:id="974990571">
      <w:bodyDiv w:val="1"/>
      <w:marLeft w:val="0"/>
      <w:marRight w:val="0"/>
      <w:marTop w:val="0"/>
      <w:marBottom w:val="0"/>
      <w:divBdr>
        <w:top w:val="none" w:sz="0" w:space="0" w:color="auto"/>
        <w:left w:val="none" w:sz="0" w:space="0" w:color="auto"/>
        <w:bottom w:val="none" w:sz="0" w:space="0" w:color="auto"/>
        <w:right w:val="none" w:sz="0" w:space="0" w:color="auto"/>
      </w:divBdr>
    </w:div>
    <w:div w:id="978388638">
      <w:bodyDiv w:val="1"/>
      <w:marLeft w:val="0"/>
      <w:marRight w:val="0"/>
      <w:marTop w:val="0"/>
      <w:marBottom w:val="0"/>
      <w:divBdr>
        <w:top w:val="none" w:sz="0" w:space="0" w:color="auto"/>
        <w:left w:val="none" w:sz="0" w:space="0" w:color="auto"/>
        <w:bottom w:val="none" w:sz="0" w:space="0" w:color="auto"/>
        <w:right w:val="none" w:sz="0" w:space="0" w:color="auto"/>
      </w:divBdr>
    </w:div>
    <w:div w:id="980843721">
      <w:bodyDiv w:val="1"/>
      <w:marLeft w:val="0"/>
      <w:marRight w:val="0"/>
      <w:marTop w:val="0"/>
      <w:marBottom w:val="0"/>
      <w:divBdr>
        <w:top w:val="none" w:sz="0" w:space="0" w:color="auto"/>
        <w:left w:val="none" w:sz="0" w:space="0" w:color="auto"/>
        <w:bottom w:val="none" w:sz="0" w:space="0" w:color="auto"/>
        <w:right w:val="none" w:sz="0" w:space="0" w:color="auto"/>
      </w:divBdr>
    </w:div>
    <w:div w:id="1002121584">
      <w:bodyDiv w:val="1"/>
      <w:marLeft w:val="0"/>
      <w:marRight w:val="0"/>
      <w:marTop w:val="0"/>
      <w:marBottom w:val="0"/>
      <w:divBdr>
        <w:top w:val="none" w:sz="0" w:space="0" w:color="auto"/>
        <w:left w:val="none" w:sz="0" w:space="0" w:color="auto"/>
        <w:bottom w:val="none" w:sz="0" w:space="0" w:color="auto"/>
        <w:right w:val="none" w:sz="0" w:space="0" w:color="auto"/>
      </w:divBdr>
    </w:div>
    <w:div w:id="1008169968">
      <w:bodyDiv w:val="1"/>
      <w:marLeft w:val="0"/>
      <w:marRight w:val="0"/>
      <w:marTop w:val="0"/>
      <w:marBottom w:val="0"/>
      <w:divBdr>
        <w:top w:val="none" w:sz="0" w:space="0" w:color="auto"/>
        <w:left w:val="none" w:sz="0" w:space="0" w:color="auto"/>
        <w:bottom w:val="none" w:sz="0" w:space="0" w:color="auto"/>
        <w:right w:val="none" w:sz="0" w:space="0" w:color="auto"/>
      </w:divBdr>
    </w:div>
    <w:div w:id="1008562003">
      <w:bodyDiv w:val="1"/>
      <w:marLeft w:val="0"/>
      <w:marRight w:val="0"/>
      <w:marTop w:val="0"/>
      <w:marBottom w:val="0"/>
      <w:divBdr>
        <w:top w:val="none" w:sz="0" w:space="0" w:color="auto"/>
        <w:left w:val="none" w:sz="0" w:space="0" w:color="auto"/>
        <w:bottom w:val="none" w:sz="0" w:space="0" w:color="auto"/>
        <w:right w:val="none" w:sz="0" w:space="0" w:color="auto"/>
      </w:divBdr>
    </w:div>
    <w:div w:id="1009673861">
      <w:bodyDiv w:val="1"/>
      <w:marLeft w:val="0"/>
      <w:marRight w:val="0"/>
      <w:marTop w:val="0"/>
      <w:marBottom w:val="0"/>
      <w:divBdr>
        <w:top w:val="none" w:sz="0" w:space="0" w:color="auto"/>
        <w:left w:val="none" w:sz="0" w:space="0" w:color="auto"/>
        <w:bottom w:val="none" w:sz="0" w:space="0" w:color="auto"/>
        <w:right w:val="none" w:sz="0" w:space="0" w:color="auto"/>
      </w:divBdr>
    </w:div>
    <w:div w:id="1018387231">
      <w:bodyDiv w:val="1"/>
      <w:marLeft w:val="0"/>
      <w:marRight w:val="0"/>
      <w:marTop w:val="0"/>
      <w:marBottom w:val="0"/>
      <w:divBdr>
        <w:top w:val="none" w:sz="0" w:space="0" w:color="auto"/>
        <w:left w:val="none" w:sz="0" w:space="0" w:color="auto"/>
        <w:bottom w:val="none" w:sz="0" w:space="0" w:color="auto"/>
        <w:right w:val="none" w:sz="0" w:space="0" w:color="auto"/>
      </w:divBdr>
    </w:div>
    <w:div w:id="1022247689">
      <w:bodyDiv w:val="1"/>
      <w:marLeft w:val="0"/>
      <w:marRight w:val="0"/>
      <w:marTop w:val="0"/>
      <w:marBottom w:val="0"/>
      <w:divBdr>
        <w:top w:val="none" w:sz="0" w:space="0" w:color="auto"/>
        <w:left w:val="none" w:sz="0" w:space="0" w:color="auto"/>
        <w:bottom w:val="none" w:sz="0" w:space="0" w:color="auto"/>
        <w:right w:val="none" w:sz="0" w:space="0" w:color="auto"/>
      </w:divBdr>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
    <w:div w:id="1028682971">
      <w:bodyDiv w:val="1"/>
      <w:marLeft w:val="0"/>
      <w:marRight w:val="0"/>
      <w:marTop w:val="0"/>
      <w:marBottom w:val="0"/>
      <w:divBdr>
        <w:top w:val="none" w:sz="0" w:space="0" w:color="auto"/>
        <w:left w:val="none" w:sz="0" w:space="0" w:color="auto"/>
        <w:bottom w:val="none" w:sz="0" w:space="0" w:color="auto"/>
        <w:right w:val="none" w:sz="0" w:space="0" w:color="auto"/>
      </w:divBdr>
    </w:div>
    <w:div w:id="1035158194">
      <w:bodyDiv w:val="1"/>
      <w:marLeft w:val="0"/>
      <w:marRight w:val="0"/>
      <w:marTop w:val="0"/>
      <w:marBottom w:val="0"/>
      <w:divBdr>
        <w:top w:val="none" w:sz="0" w:space="0" w:color="auto"/>
        <w:left w:val="none" w:sz="0" w:space="0" w:color="auto"/>
        <w:bottom w:val="none" w:sz="0" w:space="0" w:color="auto"/>
        <w:right w:val="none" w:sz="0" w:space="0" w:color="auto"/>
      </w:divBdr>
    </w:div>
    <w:div w:id="1043362185">
      <w:bodyDiv w:val="1"/>
      <w:marLeft w:val="0"/>
      <w:marRight w:val="0"/>
      <w:marTop w:val="0"/>
      <w:marBottom w:val="0"/>
      <w:divBdr>
        <w:top w:val="none" w:sz="0" w:space="0" w:color="auto"/>
        <w:left w:val="none" w:sz="0" w:space="0" w:color="auto"/>
        <w:bottom w:val="none" w:sz="0" w:space="0" w:color="auto"/>
        <w:right w:val="none" w:sz="0" w:space="0" w:color="auto"/>
      </w:divBdr>
    </w:div>
    <w:div w:id="1049836635">
      <w:bodyDiv w:val="1"/>
      <w:marLeft w:val="0"/>
      <w:marRight w:val="0"/>
      <w:marTop w:val="0"/>
      <w:marBottom w:val="0"/>
      <w:divBdr>
        <w:top w:val="none" w:sz="0" w:space="0" w:color="auto"/>
        <w:left w:val="none" w:sz="0" w:space="0" w:color="auto"/>
        <w:bottom w:val="none" w:sz="0" w:space="0" w:color="auto"/>
        <w:right w:val="none" w:sz="0" w:space="0" w:color="auto"/>
      </w:divBdr>
    </w:div>
    <w:div w:id="1049888630">
      <w:bodyDiv w:val="1"/>
      <w:marLeft w:val="0"/>
      <w:marRight w:val="0"/>
      <w:marTop w:val="0"/>
      <w:marBottom w:val="0"/>
      <w:divBdr>
        <w:top w:val="none" w:sz="0" w:space="0" w:color="auto"/>
        <w:left w:val="none" w:sz="0" w:space="0" w:color="auto"/>
        <w:bottom w:val="none" w:sz="0" w:space="0" w:color="auto"/>
        <w:right w:val="none" w:sz="0" w:space="0" w:color="auto"/>
      </w:divBdr>
    </w:div>
    <w:div w:id="1055196481">
      <w:bodyDiv w:val="1"/>
      <w:marLeft w:val="0"/>
      <w:marRight w:val="0"/>
      <w:marTop w:val="0"/>
      <w:marBottom w:val="0"/>
      <w:divBdr>
        <w:top w:val="none" w:sz="0" w:space="0" w:color="auto"/>
        <w:left w:val="none" w:sz="0" w:space="0" w:color="auto"/>
        <w:bottom w:val="none" w:sz="0" w:space="0" w:color="auto"/>
        <w:right w:val="none" w:sz="0" w:space="0" w:color="auto"/>
      </w:divBdr>
    </w:div>
    <w:div w:id="1061709199">
      <w:bodyDiv w:val="1"/>
      <w:marLeft w:val="0"/>
      <w:marRight w:val="0"/>
      <w:marTop w:val="0"/>
      <w:marBottom w:val="0"/>
      <w:divBdr>
        <w:top w:val="none" w:sz="0" w:space="0" w:color="auto"/>
        <w:left w:val="none" w:sz="0" w:space="0" w:color="auto"/>
        <w:bottom w:val="none" w:sz="0" w:space="0" w:color="auto"/>
        <w:right w:val="none" w:sz="0" w:space="0" w:color="auto"/>
      </w:divBdr>
    </w:div>
    <w:div w:id="1062023749">
      <w:bodyDiv w:val="1"/>
      <w:marLeft w:val="0"/>
      <w:marRight w:val="0"/>
      <w:marTop w:val="0"/>
      <w:marBottom w:val="0"/>
      <w:divBdr>
        <w:top w:val="none" w:sz="0" w:space="0" w:color="auto"/>
        <w:left w:val="none" w:sz="0" w:space="0" w:color="auto"/>
        <w:bottom w:val="none" w:sz="0" w:space="0" w:color="auto"/>
        <w:right w:val="none" w:sz="0" w:space="0" w:color="auto"/>
      </w:divBdr>
    </w:div>
    <w:div w:id="1062750293">
      <w:bodyDiv w:val="1"/>
      <w:marLeft w:val="0"/>
      <w:marRight w:val="0"/>
      <w:marTop w:val="0"/>
      <w:marBottom w:val="0"/>
      <w:divBdr>
        <w:top w:val="none" w:sz="0" w:space="0" w:color="auto"/>
        <w:left w:val="none" w:sz="0" w:space="0" w:color="auto"/>
        <w:bottom w:val="none" w:sz="0" w:space="0" w:color="auto"/>
        <w:right w:val="none" w:sz="0" w:space="0" w:color="auto"/>
      </w:divBdr>
    </w:div>
    <w:div w:id="1064179826">
      <w:bodyDiv w:val="1"/>
      <w:marLeft w:val="0"/>
      <w:marRight w:val="0"/>
      <w:marTop w:val="0"/>
      <w:marBottom w:val="0"/>
      <w:divBdr>
        <w:top w:val="none" w:sz="0" w:space="0" w:color="auto"/>
        <w:left w:val="none" w:sz="0" w:space="0" w:color="auto"/>
        <w:bottom w:val="none" w:sz="0" w:space="0" w:color="auto"/>
        <w:right w:val="none" w:sz="0" w:space="0" w:color="auto"/>
      </w:divBdr>
    </w:div>
    <w:div w:id="1068771468">
      <w:bodyDiv w:val="1"/>
      <w:marLeft w:val="0"/>
      <w:marRight w:val="0"/>
      <w:marTop w:val="0"/>
      <w:marBottom w:val="0"/>
      <w:divBdr>
        <w:top w:val="none" w:sz="0" w:space="0" w:color="auto"/>
        <w:left w:val="none" w:sz="0" w:space="0" w:color="auto"/>
        <w:bottom w:val="none" w:sz="0" w:space="0" w:color="auto"/>
        <w:right w:val="none" w:sz="0" w:space="0" w:color="auto"/>
      </w:divBdr>
    </w:div>
    <w:div w:id="1079328398">
      <w:bodyDiv w:val="1"/>
      <w:marLeft w:val="0"/>
      <w:marRight w:val="0"/>
      <w:marTop w:val="0"/>
      <w:marBottom w:val="0"/>
      <w:divBdr>
        <w:top w:val="none" w:sz="0" w:space="0" w:color="auto"/>
        <w:left w:val="none" w:sz="0" w:space="0" w:color="auto"/>
        <w:bottom w:val="none" w:sz="0" w:space="0" w:color="auto"/>
        <w:right w:val="none" w:sz="0" w:space="0" w:color="auto"/>
      </w:divBdr>
    </w:div>
    <w:div w:id="1080951642">
      <w:bodyDiv w:val="1"/>
      <w:marLeft w:val="0"/>
      <w:marRight w:val="0"/>
      <w:marTop w:val="0"/>
      <w:marBottom w:val="0"/>
      <w:divBdr>
        <w:top w:val="none" w:sz="0" w:space="0" w:color="auto"/>
        <w:left w:val="none" w:sz="0" w:space="0" w:color="auto"/>
        <w:bottom w:val="none" w:sz="0" w:space="0" w:color="auto"/>
        <w:right w:val="none" w:sz="0" w:space="0" w:color="auto"/>
      </w:divBdr>
    </w:div>
    <w:div w:id="1088845525">
      <w:bodyDiv w:val="1"/>
      <w:marLeft w:val="0"/>
      <w:marRight w:val="0"/>
      <w:marTop w:val="0"/>
      <w:marBottom w:val="0"/>
      <w:divBdr>
        <w:top w:val="none" w:sz="0" w:space="0" w:color="auto"/>
        <w:left w:val="none" w:sz="0" w:space="0" w:color="auto"/>
        <w:bottom w:val="none" w:sz="0" w:space="0" w:color="auto"/>
        <w:right w:val="none" w:sz="0" w:space="0" w:color="auto"/>
      </w:divBdr>
    </w:div>
    <w:div w:id="1096753973">
      <w:bodyDiv w:val="1"/>
      <w:marLeft w:val="0"/>
      <w:marRight w:val="0"/>
      <w:marTop w:val="0"/>
      <w:marBottom w:val="0"/>
      <w:divBdr>
        <w:top w:val="none" w:sz="0" w:space="0" w:color="auto"/>
        <w:left w:val="none" w:sz="0" w:space="0" w:color="auto"/>
        <w:bottom w:val="none" w:sz="0" w:space="0" w:color="auto"/>
        <w:right w:val="none" w:sz="0" w:space="0" w:color="auto"/>
      </w:divBdr>
    </w:div>
    <w:div w:id="1099563753">
      <w:bodyDiv w:val="1"/>
      <w:marLeft w:val="0"/>
      <w:marRight w:val="0"/>
      <w:marTop w:val="0"/>
      <w:marBottom w:val="0"/>
      <w:divBdr>
        <w:top w:val="none" w:sz="0" w:space="0" w:color="auto"/>
        <w:left w:val="none" w:sz="0" w:space="0" w:color="auto"/>
        <w:bottom w:val="none" w:sz="0" w:space="0" w:color="auto"/>
        <w:right w:val="none" w:sz="0" w:space="0" w:color="auto"/>
      </w:divBdr>
    </w:div>
    <w:div w:id="1103301183">
      <w:bodyDiv w:val="1"/>
      <w:marLeft w:val="0"/>
      <w:marRight w:val="0"/>
      <w:marTop w:val="0"/>
      <w:marBottom w:val="0"/>
      <w:divBdr>
        <w:top w:val="none" w:sz="0" w:space="0" w:color="auto"/>
        <w:left w:val="none" w:sz="0" w:space="0" w:color="auto"/>
        <w:bottom w:val="none" w:sz="0" w:space="0" w:color="auto"/>
        <w:right w:val="none" w:sz="0" w:space="0" w:color="auto"/>
      </w:divBdr>
    </w:div>
    <w:div w:id="1106730311">
      <w:bodyDiv w:val="1"/>
      <w:marLeft w:val="0"/>
      <w:marRight w:val="0"/>
      <w:marTop w:val="0"/>
      <w:marBottom w:val="0"/>
      <w:divBdr>
        <w:top w:val="none" w:sz="0" w:space="0" w:color="auto"/>
        <w:left w:val="none" w:sz="0" w:space="0" w:color="auto"/>
        <w:bottom w:val="none" w:sz="0" w:space="0" w:color="auto"/>
        <w:right w:val="none" w:sz="0" w:space="0" w:color="auto"/>
      </w:divBdr>
    </w:div>
    <w:div w:id="1123957910">
      <w:bodyDiv w:val="1"/>
      <w:marLeft w:val="0"/>
      <w:marRight w:val="0"/>
      <w:marTop w:val="0"/>
      <w:marBottom w:val="0"/>
      <w:divBdr>
        <w:top w:val="none" w:sz="0" w:space="0" w:color="auto"/>
        <w:left w:val="none" w:sz="0" w:space="0" w:color="auto"/>
        <w:bottom w:val="none" w:sz="0" w:space="0" w:color="auto"/>
        <w:right w:val="none" w:sz="0" w:space="0" w:color="auto"/>
      </w:divBdr>
    </w:div>
    <w:div w:id="1125737503">
      <w:bodyDiv w:val="1"/>
      <w:marLeft w:val="0"/>
      <w:marRight w:val="0"/>
      <w:marTop w:val="0"/>
      <w:marBottom w:val="0"/>
      <w:divBdr>
        <w:top w:val="none" w:sz="0" w:space="0" w:color="auto"/>
        <w:left w:val="none" w:sz="0" w:space="0" w:color="auto"/>
        <w:bottom w:val="none" w:sz="0" w:space="0" w:color="auto"/>
        <w:right w:val="none" w:sz="0" w:space="0" w:color="auto"/>
      </w:divBdr>
    </w:div>
    <w:div w:id="112912668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319047">
      <w:bodyDiv w:val="1"/>
      <w:marLeft w:val="0"/>
      <w:marRight w:val="0"/>
      <w:marTop w:val="0"/>
      <w:marBottom w:val="0"/>
      <w:divBdr>
        <w:top w:val="none" w:sz="0" w:space="0" w:color="auto"/>
        <w:left w:val="none" w:sz="0" w:space="0" w:color="auto"/>
        <w:bottom w:val="none" w:sz="0" w:space="0" w:color="auto"/>
        <w:right w:val="none" w:sz="0" w:space="0" w:color="auto"/>
      </w:divBdr>
    </w:div>
    <w:div w:id="1158420994">
      <w:bodyDiv w:val="1"/>
      <w:marLeft w:val="0"/>
      <w:marRight w:val="0"/>
      <w:marTop w:val="0"/>
      <w:marBottom w:val="0"/>
      <w:divBdr>
        <w:top w:val="none" w:sz="0" w:space="0" w:color="auto"/>
        <w:left w:val="none" w:sz="0" w:space="0" w:color="auto"/>
        <w:bottom w:val="none" w:sz="0" w:space="0" w:color="auto"/>
        <w:right w:val="none" w:sz="0" w:space="0" w:color="auto"/>
      </w:divBdr>
    </w:div>
    <w:div w:id="1169297339">
      <w:bodyDiv w:val="1"/>
      <w:marLeft w:val="0"/>
      <w:marRight w:val="0"/>
      <w:marTop w:val="0"/>
      <w:marBottom w:val="0"/>
      <w:divBdr>
        <w:top w:val="none" w:sz="0" w:space="0" w:color="auto"/>
        <w:left w:val="none" w:sz="0" w:space="0" w:color="auto"/>
        <w:bottom w:val="none" w:sz="0" w:space="0" w:color="auto"/>
        <w:right w:val="none" w:sz="0" w:space="0" w:color="auto"/>
      </w:divBdr>
    </w:div>
    <w:div w:id="1175262579">
      <w:bodyDiv w:val="1"/>
      <w:marLeft w:val="0"/>
      <w:marRight w:val="0"/>
      <w:marTop w:val="0"/>
      <w:marBottom w:val="0"/>
      <w:divBdr>
        <w:top w:val="none" w:sz="0" w:space="0" w:color="auto"/>
        <w:left w:val="none" w:sz="0" w:space="0" w:color="auto"/>
        <w:bottom w:val="none" w:sz="0" w:space="0" w:color="auto"/>
        <w:right w:val="none" w:sz="0" w:space="0" w:color="auto"/>
      </w:divBdr>
    </w:div>
    <w:div w:id="1176191660">
      <w:bodyDiv w:val="1"/>
      <w:marLeft w:val="0"/>
      <w:marRight w:val="0"/>
      <w:marTop w:val="0"/>
      <w:marBottom w:val="0"/>
      <w:divBdr>
        <w:top w:val="none" w:sz="0" w:space="0" w:color="auto"/>
        <w:left w:val="none" w:sz="0" w:space="0" w:color="auto"/>
        <w:bottom w:val="none" w:sz="0" w:space="0" w:color="auto"/>
        <w:right w:val="none" w:sz="0" w:space="0" w:color="auto"/>
      </w:divBdr>
    </w:div>
    <w:div w:id="1176530982">
      <w:bodyDiv w:val="1"/>
      <w:marLeft w:val="0"/>
      <w:marRight w:val="0"/>
      <w:marTop w:val="0"/>
      <w:marBottom w:val="0"/>
      <w:divBdr>
        <w:top w:val="none" w:sz="0" w:space="0" w:color="auto"/>
        <w:left w:val="none" w:sz="0" w:space="0" w:color="auto"/>
        <w:bottom w:val="none" w:sz="0" w:space="0" w:color="auto"/>
        <w:right w:val="none" w:sz="0" w:space="0" w:color="auto"/>
      </w:divBdr>
    </w:div>
    <w:div w:id="1178034547">
      <w:bodyDiv w:val="1"/>
      <w:marLeft w:val="0"/>
      <w:marRight w:val="0"/>
      <w:marTop w:val="0"/>
      <w:marBottom w:val="0"/>
      <w:divBdr>
        <w:top w:val="none" w:sz="0" w:space="0" w:color="auto"/>
        <w:left w:val="none" w:sz="0" w:space="0" w:color="auto"/>
        <w:bottom w:val="none" w:sz="0" w:space="0" w:color="auto"/>
        <w:right w:val="none" w:sz="0" w:space="0" w:color="auto"/>
      </w:divBdr>
    </w:div>
    <w:div w:id="1185898132">
      <w:bodyDiv w:val="1"/>
      <w:marLeft w:val="0"/>
      <w:marRight w:val="0"/>
      <w:marTop w:val="0"/>
      <w:marBottom w:val="0"/>
      <w:divBdr>
        <w:top w:val="none" w:sz="0" w:space="0" w:color="auto"/>
        <w:left w:val="none" w:sz="0" w:space="0" w:color="auto"/>
        <w:bottom w:val="none" w:sz="0" w:space="0" w:color="auto"/>
        <w:right w:val="none" w:sz="0" w:space="0" w:color="auto"/>
      </w:divBdr>
    </w:div>
    <w:div w:id="1192114009">
      <w:bodyDiv w:val="1"/>
      <w:marLeft w:val="0"/>
      <w:marRight w:val="0"/>
      <w:marTop w:val="0"/>
      <w:marBottom w:val="0"/>
      <w:divBdr>
        <w:top w:val="none" w:sz="0" w:space="0" w:color="auto"/>
        <w:left w:val="none" w:sz="0" w:space="0" w:color="auto"/>
        <w:bottom w:val="none" w:sz="0" w:space="0" w:color="auto"/>
        <w:right w:val="none" w:sz="0" w:space="0" w:color="auto"/>
      </w:divBdr>
    </w:div>
    <w:div w:id="120135539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6676302">
      <w:bodyDiv w:val="1"/>
      <w:marLeft w:val="0"/>
      <w:marRight w:val="0"/>
      <w:marTop w:val="0"/>
      <w:marBottom w:val="0"/>
      <w:divBdr>
        <w:top w:val="none" w:sz="0" w:space="0" w:color="auto"/>
        <w:left w:val="none" w:sz="0" w:space="0" w:color="auto"/>
        <w:bottom w:val="none" w:sz="0" w:space="0" w:color="auto"/>
        <w:right w:val="none" w:sz="0" w:space="0" w:color="auto"/>
      </w:divBdr>
    </w:div>
    <w:div w:id="1207062006">
      <w:bodyDiv w:val="1"/>
      <w:marLeft w:val="0"/>
      <w:marRight w:val="0"/>
      <w:marTop w:val="0"/>
      <w:marBottom w:val="0"/>
      <w:divBdr>
        <w:top w:val="none" w:sz="0" w:space="0" w:color="auto"/>
        <w:left w:val="none" w:sz="0" w:space="0" w:color="auto"/>
        <w:bottom w:val="none" w:sz="0" w:space="0" w:color="auto"/>
        <w:right w:val="none" w:sz="0" w:space="0" w:color="auto"/>
      </w:divBdr>
    </w:div>
    <w:div w:id="1209337165">
      <w:bodyDiv w:val="1"/>
      <w:marLeft w:val="0"/>
      <w:marRight w:val="0"/>
      <w:marTop w:val="0"/>
      <w:marBottom w:val="0"/>
      <w:divBdr>
        <w:top w:val="none" w:sz="0" w:space="0" w:color="auto"/>
        <w:left w:val="none" w:sz="0" w:space="0" w:color="auto"/>
        <w:bottom w:val="none" w:sz="0" w:space="0" w:color="auto"/>
        <w:right w:val="none" w:sz="0" w:space="0" w:color="auto"/>
      </w:divBdr>
    </w:div>
    <w:div w:id="1215653246">
      <w:bodyDiv w:val="1"/>
      <w:marLeft w:val="0"/>
      <w:marRight w:val="0"/>
      <w:marTop w:val="0"/>
      <w:marBottom w:val="0"/>
      <w:divBdr>
        <w:top w:val="none" w:sz="0" w:space="0" w:color="auto"/>
        <w:left w:val="none" w:sz="0" w:space="0" w:color="auto"/>
        <w:bottom w:val="none" w:sz="0" w:space="0" w:color="auto"/>
        <w:right w:val="none" w:sz="0" w:space="0" w:color="auto"/>
      </w:divBdr>
    </w:div>
    <w:div w:id="1218278965">
      <w:bodyDiv w:val="1"/>
      <w:marLeft w:val="0"/>
      <w:marRight w:val="0"/>
      <w:marTop w:val="0"/>
      <w:marBottom w:val="0"/>
      <w:divBdr>
        <w:top w:val="none" w:sz="0" w:space="0" w:color="auto"/>
        <w:left w:val="none" w:sz="0" w:space="0" w:color="auto"/>
        <w:bottom w:val="none" w:sz="0" w:space="0" w:color="auto"/>
        <w:right w:val="none" w:sz="0" w:space="0" w:color="auto"/>
      </w:divBdr>
    </w:div>
    <w:div w:id="1219903921">
      <w:bodyDiv w:val="1"/>
      <w:marLeft w:val="0"/>
      <w:marRight w:val="0"/>
      <w:marTop w:val="0"/>
      <w:marBottom w:val="0"/>
      <w:divBdr>
        <w:top w:val="none" w:sz="0" w:space="0" w:color="auto"/>
        <w:left w:val="none" w:sz="0" w:space="0" w:color="auto"/>
        <w:bottom w:val="none" w:sz="0" w:space="0" w:color="auto"/>
        <w:right w:val="none" w:sz="0" w:space="0" w:color="auto"/>
      </w:divBdr>
    </w:div>
    <w:div w:id="1222909017">
      <w:bodyDiv w:val="1"/>
      <w:marLeft w:val="0"/>
      <w:marRight w:val="0"/>
      <w:marTop w:val="0"/>
      <w:marBottom w:val="0"/>
      <w:divBdr>
        <w:top w:val="none" w:sz="0" w:space="0" w:color="auto"/>
        <w:left w:val="none" w:sz="0" w:space="0" w:color="auto"/>
        <w:bottom w:val="none" w:sz="0" w:space="0" w:color="auto"/>
        <w:right w:val="none" w:sz="0" w:space="0" w:color="auto"/>
      </w:divBdr>
    </w:div>
    <w:div w:id="1241872323">
      <w:bodyDiv w:val="1"/>
      <w:marLeft w:val="0"/>
      <w:marRight w:val="0"/>
      <w:marTop w:val="0"/>
      <w:marBottom w:val="0"/>
      <w:divBdr>
        <w:top w:val="none" w:sz="0" w:space="0" w:color="auto"/>
        <w:left w:val="none" w:sz="0" w:space="0" w:color="auto"/>
        <w:bottom w:val="none" w:sz="0" w:space="0" w:color="auto"/>
        <w:right w:val="none" w:sz="0" w:space="0" w:color="auto"/>
      </w:divBdr>
    </w:div>
    <w:div w:id="1244680062">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908122">
      <w:bodyDiv w:val="1"/>
      <w:marLeft w:val="0"/>
      <w:marRight w:val="0"/>
      <w:marTop w:val="0"/>
      <w:marBottom w:val="0"/>
      <w:divBdr>
        <w:top w:val="none" w:sz="0" w:space="0" w:color="auto"/>
        <w:left w:val="none" w:sz="0" w:space="0" w:color="auto"/>
        <w:bottom w:val="none" w:sz="0" w:space="0" w:color="auto"/>
        <w:right w:val="none" w:sz="0" w:space="0" w:color="auto"/>
      </w:divBdr>
    </w:div>
    <w:div w:id="1272781233">
      <w:bodyDiv w:val="1"/>
      <w:marLeft w:val="0"/>
      <w:marRight w:val="0"/>
      <w:marTop w:val="0"/>
      <w:marBottom w:val="0"/>
      <w:divBdr>
        <w:top w:val="none" w:sz="0" w:space="0" w:color="auto"/>
        <w:left w:val="none" w:sz="0" w:space="0" w:color="auto"/>
        <w:bottom w:val="none" w:sz="0" w:space="0" w:color="auto"/>
        <w:right w:val="none" w:sz="0" w:space="0" w:color="auto"/>
      </w:divBdr>
    </w:div>
    <w:div w:id="1277641205">
      <w:bodyDiv w:val="1"/>
      <w:marLeft w:val="0"/>
      <w:marRight w:val="0"/>
      <w:marTop w:val="0"/>
      <w:marBottom w:val="0"/>
      <w:divBdr>
        <w:top w:val="none" w:sz="0" w:space="0" w:color="auto"/>
        <w:left w:val="none" w:sz="0" w:space="0" w:color="auto"/>
        <w:bottom w:val="none" w:sz="0" w:space="0" w:color="auto"/>
        <w:right w:val="none" w:sz="0" w:space="0" w:color="auto"/>
      </w:divBdr>
    </w:div>
    <w:div w:id="1280718345">
      <w:bodyDiv w:val="1"/>
      <w:marLeft w:val="0"/>
      <w:marRight w:val="0"/>
      <w:marTop w:val="0"/>
      <w:marBottom w:val="0"/>
      <w:divBdr>
        <w:top w:val="none" w:sz="0" w:space="0" w:color="auto"/>
        <w:left w:val="none" w:sz="0" w:space="0" w:color="auto"/>
        <w:bottom w:val="none" w:sz="0" w:space="0" w:color="auto"/>
        <w:right w:val="none" w:sz="0" w:space="0" w:color="auto"/>
      </w:divBdr>
    </w:div>
    <w:div w:id="1282610563">
      <w:bodyDiv w:val="1"/>
      <w:marLeft w:val="0"/>
      <w:marRight w:val="0"/>
      <w:marTop w:val="0"/>
      <w:marBottom w:val="0"/>
      <w:divBdr>
        <w:top w:val="none" w:sz="0" w:space="0" w:color="auto"/>
        <w:left w:val="none" w:sz="0" w:space="0" w:color="auto"/>
        <w:bottom w:val="none" w:sz="0" w:space="0" w:color="auto"/>
        <w:right w:val="none" w:sz="0" w:space="0" w:color="auto"/>
      </w:divBdr>
    </w:div>
    <w:div w:id="1291321463">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04853784">
      <w:bodyDiv w:val="1"/>
      <w:marLeft w:val="0"/>
      <w:marRight w:val="0"/>
      <w:marTop w:val="0"/>
      <w:marBottom w:val="0"/>
      <w:divBdr>
        <w:top w:val="none" w:sz="0" w:space="0" w:color="auto"/>
        <w:left w:val="none" w:sz="0" w:space="0" w:color="auto"/>
        <w:bottom w:val="none" w:sz="0" w:space="0" w:color="auto"/>
        <w:right w:val="none" w:sz="0" w:space="0" w:color="auto"/>
      </w:divBdr>
    </w:div>
    <w:div w:id="1328509645">
      <w:bodyDiv w:val="1"/>
      <w:marLeft w:val="0"/>
      <w:marRight w:val="0"/>
      <w:marTop w:val="0"/>
      <w:marBottom w:val="0"/>
      <w:divBdr>
        <w:top w:val="none" w:sz="0" w:space="0" w:color="auto"/>
        <w:left w:val="none" w:sz="0" w:space="0" w:color="auto"/>
        <w:bottom w:val="none" w:sz="0" w:space="0" w:color="auto"/>
        <w:right w:val="none" w:sz="0" w:space="0" w:color="auto"/>
      </w:divBdr>
    </w:div>
    <w:div w:id="1328705023">
      <w:bodyDiv w:val="1"/>
      <w:marLeft w:val="0"/>
      <w:marRight w:val="0"/>
      <w:marTop w:val="0"/>
      <w:marBottom w:val="0"/>
      <w:divBdr>
        <w:top w:val="none" w:sz="0" w:space="0" w:color="auto"/>
        <w:left w:val="none" w:sz="0" w:space="0" w:color="auto"/>
        <w:bottom w:val="none" w:sz="0" w:space="0" w:color="auto"/>
        <w:right w:val="none" w:sz="0" w:space="0" w:color="auto"/>
      </w:divBdr>
    </w:div>
    <w:div w:id="1330795488">
      <w:bodyDiv w:val="1"/>
      <w:marLeft w:val="0"/>
      <w:marRight w:val="0"/>
      <w:marTop w:val="0"/>
      <w:marBottom w:val="0"/>
      <w:divBdr>
        <w:top w:val="none" w:sz="0" w:space="0" w:color="auto"/>
        <w:left w:val="none" w:sz="0" w:space="0" w:color="auto"/>
        <w:bottom w:val="none" w:sz="0" w:space="0" w:color="auto"/>
        <w:right w:val="none" w:sz="0" w:space="0" w:color="auto"/>
      </w:divBdr>
    </w:div>
    <w:div w:id="1342124766">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5744698">
      <w:bodyDiv w:val="1"/>
      <w:marLeft w:val="0"/>
      <w:marRight w:val="0"/>
      <w:marTop w:val="0"/>
      <w:marBottom w:val="0"/>
      <w:divBdr>
        <w:top w:val="none" w:sz="0" w:space="0" w:color="auto"/>
        <w:left w:val="none" w:sz="0" w:space="0" w:color="auto"/>
        <w:bottom w:val="none" w:sz="0" w:space="0" w:color="auto"/>
        <w:right w:val="none" w:sz="0" w:space="0" w:color="auto"/>
      </w:divBdr>
    </w:div>
    <w:div w:id="1352758731">
      <w:bodyDiv w:val="1"/>
      <w:marLeft w:val="0"/>
      <w:marRight w:val="0"/>
      <w:marTop w:val="0"/>
      <w:marBottom w:val="0"/>
      <w:divBdr>
        <w:top w:val="none" w:sz="0" w:space="0" w:color="auto"/>
        <w:left w:val="none" w:sz="0" w:space="0" w:color="auto"/>
        <w:bottom w:val="none" w:sz="0" w:space="0" w:color="auto"/>
        <w:right w:val="none" w:sz="0" w:space="0" w:color="auto"/>
      </w:divBdr>
    </w:div>
    <w:div w:id="1361588717">
      <w:bodyDiv w:val="1"/>
      <w:marLeft w:val="0"/>
      <w:marRight w:val="0"/>
      <w:marTop w:val="0"/>
      <w:marBottom w:val="0"/>
      <w:divBdr>
        <w:top w:val="none" w:sz="0" w:space="0" w:color="auto"/>
        <w:left w:val="none" w:sz="0" w:space="0" w:color="auto"/>
        <w:bottom w:val="none" w:sz="0" w:space="0" w:color="auto"/>
        <w:right w:val="none" w:sz="0" w:space="0" w:color="auto"/>
      </w:divBdr>
    </w:div>
    <w:div w:id="1364984509">
      <w:bodyDiv w:val="1"/>
      <w:marLeft w:val="0"/>
      <w:marRight w:val="0"/>
      <w:marTop w:val="0"/>
      <w:marBottom w:val="0"/>
      <w:divBdr>
        <w:top w:val="none" w:sz="0" w:space="0" w:color="auto"/>
        <w:left w:val="none" w:sz="0" w:space="0" w:color="auto"/>
        <w:bottom w:val="none" w:sz="0" w:space="0" w:color="auto"/>
        <w:right w:val="none" w:sz="0" w:space="0" w:color="auto"/>
      </w:divBdr>
    </w:div>
    <w:div w:id="1382560410">
      <w:bodyDiv w:val="1"/>
      <w:marLeft w:val="0"/>
      <w:marRight w:val="0"/>
      <w:marTop w:val="0"/>
      <w:marBottom w:val="0"/>
      <w:divBdr>
        <w:top w:val="none" w:sz="0" w:space="0" w:color="auto"/>
        <w:left w:val="none" w:sz="0" w:space="0" w:color="auto"/>
        <w:bottom w:val="none" w:sz="0" w:space="0" w:color="auto"/>
        <w:right w:val="none" w:sz="0" w:space="0" w:color="auto"/>
      </w:divBdr>
    </w:div>
    <w:div w:id="1390494754">
      <w:bodyDiv w:val="1"/>
      <w:marLeft w:val="0"/>
      <w:marRight w:val="0"/>
      <w:marTop w:val="0"/>
      <w:marBottom w:val="0"/>
      <w:divBdr>
        <w:top w:val="none" w:sz="0" w:space="0" w:color="auto"/>
        <w:left w:val="none" w:sz="0" w:space="0" w:color="auto"/>
        <w:bottom w:val="none" w:sz="0" w:space="0" w:color="auto"/>
        <w:right w:val="none" w:sz="0" w:space="0" w:color="auto"/>
      </w:divBdr>
    </w:div>
    <w:div w:id="1395661558">
      <w:bodyDiv w:val="1"/>
      <w:marLeft w:val="0"/>
      <w:marRight w:val="0"/>
      <w:marTop w:val="0"/>
      <w:marBottom w:val="0"/>
      <w:divBdr>
        <w:top w:val="none" w:sz="0" w:space="0" w:color="auto"/>
        <w:left w:val="none" w:sz="0" w:space="0" w:color="auto"/>
        <w:bottom w:val="none" w:sz="0" w:space="0" w:color="auto"/>
        <w:right w:val="none" w:sz="0" w:space="0" w:color="auto"/>
      </w:divBdr>
    </w:div>
    <w:div w:id="1406952901">
      <w:bodyDiv w:val="1"/>
      <w:marLeft w:val="0"/>
      <w:marRight w:val="0"/>
      <w:marTop w:val="0"/>
      <w:marBottom w:val="0"/>
      <w:divBdr>
        <w:top w:val="none" w:sz="0" w:space="0" w:color="auto"/>
        <w:left w:val="none" w:sz="0" w:space="0" w:color="auto"/>
        <w:bottom w:val="none" w:sz="0" w:space="0" w:color="auto"/>
        <w:right w:val="none" w:sz="0" w:space="0" w:color="auto"/>
      </w:divBdr>
    </w:div>
    <w:div w:id="14076504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3814703">
      <w:bodyDiv w:val="1"/>
      <w:marLeft w:val="0"/>
      <w:marRight w:val="0"/>
      <w:marTop w:val="0"/>
      <w:marBottom w:val="0"/>
      <w:divBdr>
        <w:top w:val="none" w:sz="0" w:space="0" w:color="auto"/>
        <w:left w:val="none" w:sz="0" w:space="0" w:color="auto"/>
        <w:bottom w:val="none" w:sz="0" w:space="0" w:color="auto"/>
        <w:right w:val="none" w:sz="0" w:space="0" w:color="auto"/>
      </w:divBdr>
    </w:div>
    <w:div w:id="1413820022">
      <w:bodyDiv w:val="1"/>
      <w:marLeft w:val="0"/>
      <w:marRight w:val="0"/>
      <w:marTop w:val="0"/>
      <w:marBottom w:val="0"/>
      <w:divBdr>
        <w:top w:val="none" w:sz="0" w:space="0" w:color="auto"/>
        <w:left w:val="none" w:sz="0" w:space="0" w:color="auto"/>
        <w:bottom w:val="none" w:sz="0" w:space="0" w:color="auto"/>
        <w:right w:val="none" w:sz="0" w:space="0" w:color="auto"/>
      </w:divBdr>
    </w:div>
    <w:div w:id="1414474765">
      <w:bodyDiv w:val="1"/>
      <w:marLeft w:val="0"/>
      <w:marRight w:val="0"/>
      <w:marTop w:val="0"/>
      <w:marBottom w:val="0"/>
      <w:divBdr>
        <w:top w:val="none" w:sz="0" w:space="0" w:color="auto"/>
        <w:left w:val="none" w:sz="0" w:space="0" w:color="auto"/>
        <w:bottom w:val="none" w:sz="0" w:space="0" w:color="auto"/>
        <w:right w:val="none" w:sz="0" w:space="0" w:color="auto"/>
      </w:divBdr>
    </w:div>
    <w:div w:id="1415130292">
      <w:bodyDiv w:val="1"/>
      <w:marLeft w:val="0"/>
      <w:marRight w:val="0"/>
      <w:marTop w:val="0"/>
      <w:marBottom w:val="0"/>
      <w:divBdr>
        <w:top w:val="none" w:sz="0" w:space="0" w:color="auto"/>
        <w:left w:val="none" w:sz="0" w:space="0" w:color="auto"/>
        <w:bottom w:val="none" w:sz="0" w:space="0" w:color="auto"/>
        <w:right w:val="none" w:sz="0" w:space="0" w:color="auto"/>
      </w:divBdr>
    </w:div>
    <w:div w:id="1426999365">
      <w:bodyDiv w:val="1"/>
      <w:marLeft w:val="0"/>
      <w:marRight w:val="0"/>
      <w:marTop w:val="0"/>
      <w:marBottom w:val="0"/>
      <w:divBdr>
        <w:top w:val="none" w:sz="0" w:space="0" w:color="auto"/>
        <w:left w:val="none" w:sz="0" w:space="0" w:color="auto"/>
        <w:bottom w:val="none" w:sz="0" w:space="0" w:color="auto"/>
        <w:right w:val="none" w:sz="0" w:space="0" w:color="auto"/>
      </w:divBdr>
    </w:div>
    <w:div w:id="1431699978">
      <w:bodyDiv w:val="1"/>
      <w:marLeft w:val="0"/>
      <w:marRight w:val="0"/>
      <w:marTop w:val="0"/>
      <w:marBottom w:val="0"/>
      <w:divBdr>
        <w:top w:val="none" w:sz="0" w:space="0" w:color="auto"/>
        <w:left w:val="none" w:sz="0" w:space="0" w:color="auto"/>
        <w:bottom w:val="none" w:sz="0" w:space="0" w:color="auto"/>
        <w:right w:val="none" w:sz="0" w:space="0" w:color="auto"/>
      </w:divBdr>
    </w:div>
    <w:div w:id="1434472337">
      <w:bodyDiv w:val="1"/>
      <w:marLeft w:val="0"/>
      <w:marRight w:val="0"/>
      <w:marTop w:val="0"/>
      <w:marBottom w:val="0"/>
      <w:divBdr>
        <w:top w:val="none" w:sz="0" w:space="0" w:color="auto"/>
        <w:left w:val="none" w:sz="0" w:space="0" w:color="auto"/>
        <w:bottom w:val="none" w:sz="0" w:space="0" w:color="auto"/>
        <w:right w:val="none" w:sz="0" w:space="0" w:color="auto"/>
      </w:divBdr>
    </w:div>
    <w:div w:id="14404160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5073721">
      <w:bodyDiv w:val="1"/>
      <w:marLeft w:val="0"/>
      <w:marRight w:val="0"/>
      <w:marTop w:val="0"/>
      <w:marBottom w:val="0"/>
      <w:divBdr>
        <w:top w:val="none" w:sz="0" w:space="0" w:color="auto"/>
        <w:left w:val="none" w:sz="0" w:space="0" w:color="auto"/>
        <w:bottom w:val="none" w:sz="0" w:space="0" w:color="auto"/>
        <w:right w:val="none" w:sz="0" w:space="0" w:color="auto"/>
      </w:divBdr>
    </w:div>
    <w:div w:id="1445492796">
      <w:bodyDiv w:val="1"/>
      <w:marLeft w:val="0"/>
      <w:marRight w:val="0"/>
      <w:marTop w:val="0"/>
      <w:marBottom w:val="0"/>
      <w:divBdr>
        <w:top w:val="none" w:sz="0" w:space="0" w:color="auto"/>
        <w:left w:val="none" w:sz="0" w:space="0" w:color="auto"/>
        <w:bottom w:val="none" w:sz="0" w:space="0" w:color="auto"/>
        <w:right w:val="none" w:sz="0" w:space="0" w:color="auto"/>
      </w:divBdr>
    </w:div>
    <w:div w:id="1485396573">
      <w:bodyDiv w:val="1"/>
      <w:marLeft w:val="0"/>
      <w:marRight w:val="0"/>
      <w:marTop w:val="0"/>
      <w:marBottom w:val="0"/>
      <w:divBdr>
        <w:top w:val="none" w:sz="0" w:space="0" w:color="auto"/>
        <w:left w:val="none" w:sz="0" w:space="0" w:color="auto"/>
        <w:bottom w:val="none" w:sz="0" w:space="0" w:color="auto"/>
        <w:right w:val="none" w:sz="0" w:space="0" w:color="auto"/>
      </w:divBdr>
    </w:div>
    <w:div w:id="1486580768">
      <w:bodyDiv w:val="1"/>
      <w:marLeft w:val="0"/>
      <w:marRight w:val="0"/>
      <w:marTop w:val="0"/>
      <w:marBottom w:val="0"/>
      <w:divBdr>
        <w:top w:val="none" w:sz="0" w:space="0" w:color="auto"/>
        <w:left w:val="none" w:sz="0" w:space="0" w:color="auto"/>
        <w:bottom w:val="none" w:sz="0" w:space="0" w:color="auto"/>
        <w:right w:val="none" w:sz="0" w:space="0" w:color="auto"/>
      </w:divBdr>
    </w:div>
    <w:div w:id="1487434214">
      <w:bodyDiv w:val="1"/>
      <w:marLeft w:val="0"/>
      <w:marRight w:val="0"/>
      <w:marTop w:val="0"/>
      <w:marBottom w:val="0"/>
      <w:divBdr>
        <w:top w:val="none" w:sz="0" w:space="0" w:color="auto"/>
        <w:left w:val="none" w:sz="0" w:space="0" w:color="auto"/>
        <w:bottom w:val="none" w:sz="0" w:space="0" w:color="auto"/>
        <w:right w:val="none" w:sz="0" w:space="0" w:color="auto"/>
      </w:divBdr>
    </w:div>
    <w:div w:id="1491405626">
      <w:bodyDiv w:val="1"/>
      <w:marLeft w:val="0"/>
      <w:marRight w:val="0"/>
      <w:marTop w:val="0"/>
      <w:marBottom w:val="0"/>
      <w:divBdr>
        <w:top w:val="none" w:sz="0" w:space="0" w:color="auto"/>
        <w:left w:val="none" w:sz="0" w:space="0" w:color="auto"/>
        <w:bottom w:val="none" w:sz="0" w:space="0" w:color="auto"/>
        <w:right w:val="none" w:sz="0" w:space="0" w:color="auto"/>
      </w:divBdr>
    </w:div>
    <w:div w:id="1493450620">
      <w:bodyDiv w:val="1"/>
      <w:marLeft w:val="0"/>
      <w:marRight w:val="0"/>
      <w:marTop w:val="0"/>
      <w:marBottom w:val="0"/>
      <w:divBdr>
        <w:top w:val="none" w:sz="0" w:space="0" w:color="auto"/>
        <w:left w:val="none" w:sz="0" w:space="0" w:color="auto"/>
        <w:bottom w:val="none" w:sz="0" w:space="0" w:color="auto"/>
        <w:right w:val="none" w:sz="0" w:space="0" w:color="auto"/>
      </w:divBdr>
    </w:div>
    <w:div w:id="1501694808">
      <w:bodyDiv w:val="1"/>
      <w:marLeft w:val="0"/>
      <w:marRight w:val="0"/>
      <w:marTop w:val="0"/>
      <w:marBottom w:val="0"/>
      <w:divBdr>
        <w:top w:val="none" w:sz="0" w:space="0" w:color="auto"/>
        <w:left w:val="none" w:sz="0" w:space="0" w:color="auto"/>
        <w:bottom w:val="none" w:sz="0" w:space="0" w:color="auto"/>
        <w:right w:val="none" w:sz="0" w:space="0" w:color="auto"/>
      </w:divBdr>
    </w:div>
    <w:div w:id="1506096467">
      <w:bodyDiv w:val="1"/>
      <w:marLeft w:val="0"/>
      <w:marRight w:val="0"/>
      <w:marTop w:val="0"/>
      <w:marBottom w:val="0"/>
      <w:divBdr>
        <w:top w:val="none" w:sz="0" w:space="0" w:color="auto"/>
        <w:left w:val="none" w:sz="0" w:space="0" w:color="auto"/>
        <w:bottom w:val="none" w:sz="0" w:space="0" w:color="auto"/>
        <w:right w:val="none" w:sz="0" w:space="0" w:color="auto"/>
      </w:divBdr>
    </w:div>
    <w:div w:id="1507011199">
      <w:bodyDiv w:val="1"/>
      <w:marLeft w:val="0"/>
      <w:marRight w:val="0"/>
      <w:marTop w:val="0"/>
      <w:marBottom w:val="0"/>
      <w:divBdr>
        <w:top w:val="none" w:sz="0" w:space="0" w:color="auto"/>
        <w:left w:val="none" w:sz="0" w:space="0" w:color="auto"/>
        <w:bottom w:val="none" w:sz="0" w:space="0" w:color="auto"/>
        <w:right w:val="none" w:sz="0" w:space="0" w:color="auto"/>
      </w:divBdr>
    </w:div>
    <w:div w:id="1508060595">
      <w:bodyDiv w:val="1"/>
      <w:marLeft w:val="0"/>
      <w:marRight w:val="0"/>
      <w:marTop w:val="0"/>
      <w:marBottom w:val="0"/>
      <w:divBdr>
        <w:top w:val="none" w:sz="0" w:space="0" w:color="auto"/>
        <w:left w:val="none" w:sz="0" w:space="0" w:color="auto"/>
        <w:bottom w:val="none" w:sz="0" w:space="0" w:color="auto"/>
        <w:right w:val="none" w:sz="0" w:space="0" w:color="auto"/>
      </w:divBdr>
    </w:div>
    <w:div w:id="1510022817">
      <w:bodyDiv w:val="1"/>
      <w:marLeft w:val="0"/>
      <w:marRight w:val="0"/>
      <w:marTop w:val="0"/>
      <w:marBottom w:val="0"/>
      <w:divBdr>
        <w:top w:val="none" w:sz="0" w:space="0" w:color="auto"/>
        <w:left w:val="none" w:sz="0" w:space="0" w:color="auto"/>
        <w:bottom w:val="none" w:sz="0" w:space="0" w:color="auto"/>
        <w:right w:val="none" w:sz="0" w:space="0" w:color="auto"/>
      </w:divBdr>
    </w:div>
    <w:div w:id="1512601857">
      <w:bodyDiv w:val="1"/>
      <w:marLeft w:val="0"/>
      <w:marRight w:val="0"/>
      <w:marTop w:val="0"/>
      <w:marBottom w:val="0"/>
      <w:divBdr>
        <w:top w:val="none" w:sz="0" w:space="0" w:color="auto"/>
        <w:left w:val="none" w:sz="0" w:space="0" w:color="auto"/>
        <w:bottom w:val="none" w:sz="0" w:space="0" w:color="auto"/>
        <w:right w:val="none" w:sz="0" w:space="0" w:color="auto"/>
      </w:divBdr>
    </w:div>
    <w:div w:id="1514029263">
      <w:bodyDiv w:val="1"/>
      <w:marLeft w:val="0"/>
      <w:marRight w:val="0"/>
      <w:marTop w:val="0"/>
      <w:marBottom w:val="0"/>
      <w:divBdr>
        <w:top w:val="none" w:sz="0" w:space="0" w:color="auto"/>
        <w:left w:val="none" w:sz="0" w:space="0" w:color="auto"/>
        <w:bottom w:val="none" w:sz="0" w:space="0" w:color="auto"/>
        <w:right w:val="none" w:sz="0" w:space="0" w:color="auto"/>
      </w:divBdr>
    </w:div>
    <w:div w:id="1515001456">
      <w:bodyDiv w:val="1"/>
      <w:marLeft w:val="0"/>
      <w:marRight w:val="0"/>
      <w:marTop w:val="0"/>
      <w:marBottom w:val="0"/>
      <w:divBdr>
        <w:top w:val="none" w:sz="0" w:space="0" w:color="auto"/>
        <w:left w:val="none" w:sz="0" w:space="0" w:color="auto"/>
        <w:bottom w:val="none" w:sz="0" w:space="0" w:color="auto"/>
        <w:right w:val="none" w:sz="0" w:space="0" w:color="auto"/>
      </w:divBdr>
    </w:div>
    <w:div w:id="1517845699">
      <w:bodyDiv w:val="1"/>
      <w:marLeft w:val="0"/>
      <w:marRight w:val="0"/>
      <w:marTop w:val="0"/>
      <w:marBottom w:val="0"/>
      <w:divBdr>
        <w:top w:val="none" w:sz="0" w:space="0" w:color="auto"/>
        <w:left w:val="none" w:sz="0" w:space="0" w:color="auto"/>
        <w:bottom w:val="none" w:sz="0" w:space="0" w:color="auto"/>
        <w:right w:val="none" w:sz="0" w:space="0" w:color="auto"/>
      </w:divBdr>
    </w:div>
    <w:div w:id="1520462657">
      <w:bodyDiv w:val="1"/>
      <w:marLeft w:val="0"/>
      <w:marRight w:val="0"/>
      <w:marTop w:val="0"/>
      <w:marBottom w:val="0"/>
      <w:divBdr>
        <w:top w:val="none" w:sz="0" w:space="0" w:color="auto"/>
        <w:left w:val="none" w:sz="0" w:space="0" w:color="auto"/>
        <w:bottom w:val="none" w:sz="0" w:space="0" w:color="auto"/>
        <w:right w:val="none" w:sz="0" w:space="0" w:color="auto"/>
      </w:divBdr>
    </w:div>
    <w:div w:id="1520464819">
      <w:bodyDiv w:val="1"/>
      <w:marLeft w:val="0"/>
      <w:marRight w:val="0"/>
      <w:marTop w:val="0"/>
      <w:marBottom w:val="0"/>
      <w:divBdr>
        <w:top w:val="none" w:sz="0" w:space="0" w:color="auto"/>
        <w:left w:val="none" w:sz="0" w:space="0" w:color="auto"/>
        <w:bottom w:val="none" w:sz="0" w:space="0" w:color="auto"/>
        <w:right w:val="none" w:sz="0" w:space="0" w:color="auto"/>
      </w:divBdr>
    </w:div>
    <w:div w:id="1527056740">
      <w:bodyDiv w:val="1"/>
      <w:marLeft w:val="0"/>
      <w:marRight w:val="0"/>
      <w:marTop w:val="0"/>
      <w:marBottom w:val="0"/>
      <w:divBdr>
        <w:top w:val="none" w:sz="0" w:space="0" w:color="auto"/>
        <w:left w:val="none" w:sz="0" w:space="0" w:color="auto"/>
        <w:bottom w:val="none" w:sz="0" w:space="0" w:color="auto"/>
        <w:right w:val="none" w:sz="0" w:space="0" w:color="auto"/>
      </w:divBdr>
    </w:div>
    <w:div w:id="1528369809">
      <w:bodyDiv w:val="1"/>
      <w:marLeft w:val="0"/>
      <w:marRight w:val="0"/>
      <w:marTop w:val="0"/>
      <w:marBottom w:val="0"/>
      <w:divBdr>
        <w:top w:val="none" w:sz="0" w:space="0" w:color="auto"/>
        <w:left w:val="none" w:sz="0" w:space="0" w:color="auto"/>
        <w:bottom w:val="none" w:sz="0" w:space="0" w:color="auto"/>
        <w:right w:val="none" w:sz="0" w:space="0" w:color="auto"/>
      </w:divBdr>
    </w:div>
    <w:div w:id="1529636669">
      <w:bodyDiv w:val="1"/>
      <w:marLeft w:val="0"/>
      <w:marRight w:val="0"/>
      <w:marTop w:val="0"/>
      <w:marBottom w:val="0"/>
      <w:divBdr>
        <w:top w:val="none" w:sz="0" w:space="0" w:color="auto"/>
        <w:left w:val="none" w:sz="0" w:space="0" w:color="auto"/>
        <w:bottom w:val="none" w:sz="0" w:space="0" w:color="auto"/>
        <w:right w:val="none" w:sz="0" w:space="0" w:color="auto"/>
      </w:divBdr>
    </w:div>
    <w:div w:id="1530098129">
      <w:bodyDiv w:val="1"/>
      <w:marLeft w:val="0"/>
      <w:marRight w:val="0"/>
      <w:marTop w:val="0"/>
      <w:marBottom w:val="0"/>
      <w:divBdr>
        <w:top w:val="none" w:sz="0" w:space="0" w:color="auto"/>
        <w:left w:val="none" w:sz="0" w:space="0" w:color="auto"/>
        <w:bottom w:val="none" w:sz="0" w:space="0" w:color="auto"/>
        <w:right w:val="none" w:sz="0" w:space="0" w:color="auto"/>
      </w:divBdr>
    </w:div>
    <w:div w:id="1535272452">
      <w:bodyDiv w:val="1"/>
      <w:marLeft w:val="0"/>
      <w:marRight w:val="0"/>
      <w:marTop w:val="0"/>
      <w:marBottom w:val="0"/>
      <w:divBdr>
        <w:top w:val="none" w:sz="0" w:space="0" w:color="auto"/>
        <w:left w:val="none" w:sz="0" w:space="0" w:color="auto"/>
        <w:bottom w:val="none" w:sz="0" w:space="0" w:color="auto"/>
        <w:right w:val="none" w:sz="0" w:space="0" w:color="auto"/>
      </w:divBdr>
    </w:div>
    <w:div w:id="1544369805">
      <w:bodyDiv w:val="1"/>
      <w:marLeft w:val="0"/>
      <w:marRight w:val="0"/>
      <w:marTop w:val="0"/>
      <w:marBottom w:val="0"/>
      <w:divBdr>
        <w:top w:val="none" w:sz="0" w:space="0" w:color="auto"/>
        <w:left w:val="none" w:sz="0" w:space="0" w:color="auto"/>
        <w:bottom w:val="none" w:sz="0" w:space="0" w:color="auto"/>
        <w:right w:val="none" w:sz="0" w:space="0" w:color="auto"/>
      </w:divBdr>
    </w:div>
    <w:div w:id="1553926676">
      <w:bodyDiv w:val="1"/>
      <w:marLeft w:val="0"/>
      <w:marRight w:val="0"/>
      <w:marTop w:val="0"/>
      <w:marBottom w:val="0"/>
      <w:divBdr>
        <w:top w:val="none" w:sz="0" w:space="0" w:color="auto"/>
        <w:left w:val="none" w:sz="0" w:space="0" w:color="auto"/>
        <w:bottom w:val="none" w:sz="0" w:space="0" w:color="auto"/>
        <w:right w:val="none" w:sz="0" w:space="0" w:color="auto"/>
      </w:divBdr>
    </w:div>
    <w:div w:id="1568760127">
      <w:bodyDiv w:val="1"/>
      <w:marLeft w:val="0"/>
      <w:marRight w:val="0"/>
      <w:marTop w:val="0"/>
      <w:marBottom w:val="0"/>
      <w:divBdr>
        <w:top w:val="none" w:sz="0" w:space="0" w:color="auto"/>
        <w:left w:val="none" w:sz="0" w:space="0" w:color="auto"/>
        <w:bottom w:val="none" w:sz="0" w:space="0" w:color="auto"/>
        <w:right w:val="none" w:sz="0" w:space="0" w:color="auto"/>
      </w:divBdr>
    </w:div>
    <w:div w:id="1580821753">
      <w:bodyDiv w:val="1"/>
      <w:marLeft w:val="0"/>
      <w:marRight w:val="0"/>
      <w:marTop w:val="0"/>
      <w:marBottom w:val="0"/>
      <w:divBdr>
        <w:top w:val="none" w:sz="0" w:space="0" w:color="auto"/>
        <w:left w:val="none" w:sz="0" w:space="0" w:color="auto"/>
        <w:bottom w:val="none" w:sz="0" w:space="0" w:color="auto"/>
        <w:right w:val="none" w:sz="0" w:space="0" w:color="auto"/>
      </w:divBdr>
    </w:div>
    <w:div w:id="1584024139">
      <w:bodyDiv w:val="1"/>
      <w:marLeft w:val="0"/>
      <w:marRight w:val="0"/>
      <w:marTop w:val="0"/>
      <w:marBottom w:val="0"/>
      <w:divBdr>
        <w:top w:val="none" w:sz="0" w:space="0" w:color="auto"/>
        <w:left w:val="none" w:sz="0" w:space="0" w:color="auto"/>
        <w:bottom w:val="none" w:sz="0" w:space="0" w:color="auto"/>
        <w:right w:val="none" w:sz="0" w:space="0" w:color="auto"/>
      </w:divBdr>
    </w:div>
    <w:div w:id="1585526558">
      <w:bodyDiv w:val="1"/>
      <w:marLeft w:val="0"/>
      <w:marRight w:val="0"/>
      <w:marTop w:val="0"/>
      <w:marBottom w:val="0"/>
      <w:divBdr>
        <w:top w:val="none" w:sz="0" w:space="0" w:color="auto"/>
        <w:left w:val="none" w:sz="0" w:space="0" w:color="auto"/>
        <w:bottom w:val="none" w:sz="0" w:space="0" w:color="auto"/>
        <w:right w:val="none" w:sz="0" w:space="0" w:color="auto"/>
      </w:divBdr>
    </w:div>
    <w:div w:id="1587420452">
      <w:bodyDiv w:val="1"/>
      <w:marLeft w:val="0"/>
      <w:marRight w:val="0"/>
      <w:marTop w:val="0"/>
      <w:marBottom w:val="0"/>
      <w:divBdr>
        <w:top w:val="none" w:sz="0" w:space="0" w:color="auto"/>
        <w:left w:val="none" w:sz="0" w:space="0" w:color="auto"/>
        <w:bottom w:val="none" w:sz="0" w:space="0" w:color="auto"/>
        <w:right w:val="none" w:sz="0" w:space="0" w:color="auto"/>
      </w:divBdr>
    </w:div>
    <w:div w:id="1591355042">
      <w:bodyDiv w:val="1"/>
      <w:marLeft w:val="0"/>
      <w:marRight w:val="0"/>
      <w:marTop w:val="0"/>
      <w:marBottom w:val="0"/>
      <w:divBdr>
        <w:top w:val="none" w:sz="0" w:space="0" w:color="auto"/>
        <w:left w:val="none" w:sz="0" w:space="0" w:color="auto"/>
        <w:bottom w:val="none" w:sz="0" w:space="0" w:color="auto"/>
        <w:right w:val="none" w:sz="0" w:space="0" w:color="auto"/>
      </w:divBdr>
    </w:div>
    <w:div w:id="1592657922">
      <w:bodyDiv w:val="1"/>
      <w:marLeft w:val="0"/>
      <w:marRight w:val="0"/>
      <w:marTop w:val="0"/>
      <w:marBottom w:val="0"/>
      <w:divBdr>
        <w:top w:val="none" w:sz="0" w:space="0" w:color="auto"/>
        <w:left w:val="none" w:sz="0" w:space="0" w:color="auto"/>
        <w:bottom w:val="none" w:sz="0" w:space="0" w:color="auto"/>
        <w:right w:val="none" w:sz="0" w:space="0" w:color="auto"/>
      </w:divBdr>
    </w:div>
    <w:div w:id="1600330929">
      <w:bodyDiv w:val="1"/>
      <w:marLeft w:val="0"/>
      <w:marRight w:val="0"/>
      <w:marTop w:val="0"/>
      <w:marBottom w:val="0"/>
      <w:divBdr>
        <w:top w:val="none" w:sz="0" w:space="0" w:color="auto"/>
        <w:left w:val="none" w:sz="0" w:space="0" w:color="auto"/>
        <w:bottom w:val="none" w:sz="0" w:space="0" w:color="auto"/>
        <w:right w:val="none" w:sz="0" w:space="0" w:color="auto"/>
      </w:divBdr>
    </w:div>
    <w:div w:id="1601721278">
      <w:bodyDiv w:val="1"/>
      <w:marLeft w:val="0"/>
      <w:marRight w:val="0"/>
      <w:marTop w:val="0"/>
      <w:marBottom w:val="0"/>
      <w:divBdr>
        <w:top w:val="none" w:sz="0" w:space="0" w:color="auto"/>
        <w:left w:val="none" w:sz="0" w:space="0" w:color="auto"/>
        <w:bottom w:val="none" w:sz="0" w:space="0" w:color="auto"/>
        <w:right w:val="none" w:sz="0" w:space="0" w:color="auto"/>
      </w:divBdr>
    </w:div>
    <w:div w:id="1615942839">
      <w:bodyDiv w:val="1"/>
      <w:marLeft w:val="0"/>
      <w:marRight w:val="0"/>
      <w:marTop w:val="0"/>
      <w:marBottom w:val="0"/>
      <w:divBdr>
        <w:top w:val="none" w:sz="0" w:space="0" w:color="auto"/>
        <w:left w:val="none" w:sz="0" w:space="0" w:color="auto"/>
        <w:bottom w:val="none" w:sz="0" w:space="0" w:color="auto"/>
        <w:right w:val="none" w:sz="0" w:space="0" w:color="auto"/>
      </w:divBdr>
    </w:div>
    <w:div w:id="1621449233">
      <w:bodyDiv w:val="1"/>
      <w:marLeft w:val="0"/>
      <w:marRight w:val="0"/>
      <w:marTop w:val="0"/>
      <w:marBottom w:val="0"/>
      <w:divBdr>
        <w:top w:val="none" w:sz="0" w:space="0" w:color="auto"/>
        <w:left w:val="none" w:sz="0" w:space="0" w:color="auto"/>
        <w:bottom w:val="none" w:sz="0" w:space="0" w:color="auto"/>
        <w:right w:val="none" w:sz="0" w:space="0" w:color="auto"/>
      </w:divBdr>
    </w:div>
    <w:div w:id="162156697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313366">
      <w:bodyDiv w:val="1"/>
      <w:marLeft w:val="0"/>
      <w:marRight w:val="0"/>
      <w:marTop w:val="0"/>
      <w:marBottom w:val="0"/>
      <w:divBdr>
        <w:top w:val="none" w:sz="0" w:space="0" w:color="auto"/>
        <w:left w:val="none" w:sz="0" w:space="0" w:color="auto"/>
        <w:bottom w:val="none" w:sz="0" w:space="0" w:color="auto"/>
        <w:right w:val="none" w:sz="0" w:space="0" w:color="auto"/>
      </w:divBdr>
    </w:div>
    <w:div w:id="1629818406">
      <w:bodyDiv w:val="1"/>
      <w:marLeft w:val="0"/>
      <w:marRight w:val="0"/>
      <w:marTop w:val="0"/>
      <w:marBottom w:val="0"/>
      <w:divBdr>
        <w:top w:val="none" w:sz="0" w:space="0" w:color="auto"/>
        <w:left w:val="none" w:sz="0" w:space="0" w:color="auto"/>
        <w:bottom w:val="none" w:sz="0" w:space="0" w:color="auto"/>
        <w:right w:val="none" w:sz="0" w:space="0" w:color="auto"/>
      </w:divBdr>
    </w:div>
    <w:div w:id="1641768285">
      <w:bodyDiv w:val="1"/>
      <w:marLeft w:val="0"/>
      <w:marRight w:val="0"/>
      <w:marTop w:val="0"/>
      <w:marBottom w:val="0"/>
      <w:divBdr>
        <w:top w:val="none" w:sz="0" w:space="0" w:color="auto"/>
        <w:left w:val="none" w:sz="0" w:space="0" w:color="auto"/>
        <w:bottom w:val="none" w:sz="0" w:space="0" w:color="auto"/>
        <w:right w:val="none" w:sz="0" w:space="0" w:color="auto"/>
      </w:divBdr>
    </w:div>
    <w:div w:id="1642538750">
      <w:bodyDiv w:val="1"/>
      <w:marLeft w:val="0"/>
      <w:marRight w:val="0"/>
      <w:marTop w:val="0"/>
      <w:marBottom w:val="0"/>
      <w:divBdr>
        <w:top w:val="none" w:sz="0" w:space="0" w:color="auto"/>
        <w:left w:val="none" w:sz="0" w:space="0" w:color="auto"/>
        <w:bottom w:val="none" w:sz="0" w:space="0" w:color="auto"/>
        <w:right w:val="none" w:sz="0" w:space="0" w:color="auto"/>
      </w:divBdr>
    </w:div>
    <w:div w:id="1647777782">
      <w:bodyDiv w:val="1"/>
      <w:marLeft w:val="0"/>
      <w:marRight w:val="0"/>
      <w:marTop w:val="0"/>
      <w:marBottom w:val="0"/>
      <w:divBdr>
        <w:top w:val="none" w:sz="0" w:space="0" w:color="auto"/>
        <w:left w:val="none" w:sz="0" w:space="0" w:color="auto"/>
        <w:bottom w:val="none" w:sz="0" w:space="0" w:color="auto"/>
        <w:right w:val="none" w:sz="0" w:space="0" w:color="auto"/>
      </w:divBdr>
    </w:div>
    <w:div w:id="1648978117">
      <w:bodyDiv w:val="1"/>
      <w:marLeft w:val="0"/>
      <w:marRight w:val="0"/>
      <w:marTop w:val="0"/>
      <w:marBottom w:val="0"/>
      <w:divBdr>
        <w:top w:val="none" w:sz="0" w:space="0" w:color="auto"/>
        <w:left w:val="none" w:sz="0" w:space="0" w:color="auto"/>
        <w:bottom w:val="none" w:sz="0" w:space="0" w:color="auto"/>
        <w:right w:val="none" w:sz="0" w:space="0" w:color="auto"/>
      </w:divBdr>
    </w:div>
    <w:div w:id="1658416720">
      <w:bodyDiv w:val="1"/>
      <w:marLeft w:val="0"/>
      <w:marRight w:val="0"/>
      <w:marTop w:val="0"/>
      <w:marBottom w:val="0"/>
      <w:divBdr>
        <w:top w:val="none" w:sz="0" w:space="0" w:color="auto"/>
        <w:left w:val="none" w:sz="0" w:space="0" w:color="auto"/>
        <w:bottom w:val="none" w:sz="0" w:space="0" w:color="auto"/>
        <w:right w:val="none" w:sz="0" w:space="0" w:color="auto"/>
      </w:divBdr>
    </w:div>
    <w:div w:id="1667635491">
      <w:bodyDiv w:val="1"/>
      <w:marLeft w:val="0"/>
      <w:marRight w:val="0"/>
      <w:marTop w:val="0"/>
      <w:marBottom w:val="0"/>
      <w:divBdr>
        <w:top w:val="none" w:sz="0" w:space="0" w:color="auto"/>
        <w:left w:val="none" w:sz="0" w:space="0" w:color="auto"/>
        <w:bottom w:val="none" w:sz="0" w:space="0" w:color="auto"/>
        <w:right w:val="none" w:sz="0" w:space="0" w:color="auto"/>
      </w:divBdr>
    </w:div>
    <w:div w:id="1675692671">
      <w:bodyDiv w:val="1"/>
      <w:marLeft w:val="0"/>
      <w:marRight w:val="0"/>
      <w:marTop w:val="0"/>
      <w:marBottom w:val="0"/>
      <w:divBdr>
        <w:top w:val="none" w:sz="0" w:space="0" w:color="auto"/>
        <w:left w:val="none" w:sz="0" w:space="0" w:color="auto"/>
        <w:bottom w:val="none" w:sz="0" w:space="0" w:color="auto"/>
        <w:right w:val="none" w:sz="0" w:space="0" w:color="auto"/>
      </w:divBdr>
    </w:div>
    <w:div w:id="1675720685">
      <w:bodyDiv w:val="1"/>
      <w:marLeft w:val="0"/>
      <w:marRight w:val="0"/>
      <w:marTop w:val="0"/>
      <w:marBottom w:val="0"/>
      <w:divBdr>
        <w:top w:val="none" w:sz="0" w:space="0" w:color="auto"/>
        <w:left w:val="none" w:sz="0" w:space="0" w:color="auto"/>
        <w:bottom w:val="none" w:sz="0" w:space="0" w:color="auto"/>
        <w:right w:val="none" w:sz="0" w:space="0" w:color="auto"/>
      </w:divBdr>
    </w:div>
    <w:div w:id="1680502254">
      <w:bodyDiv w:val="1"/>
      <w:marLeft w:val="0"/>
      <w:marRight w:val="0"/>
      <w:marTop w:val="0"/>
      <w:marBottom w:val="0"/>
      <w:divBdr>
        <w:top w:val="none" w:sz="0" w:space="0" w:color="auto"/>
        <w:left w:val="none" w:sz="0" w:space="0" w:color="auto"/>
        <w:bottom w:val="none" w:sz="0" w:space="0" w:color="auto"/>
        <w:right w:val="none" w:sz="0" w:space="0" w:color="auto"/>
      </w:divBdr>
    </w:div>
    <w:div w:id="1692801091">
      <w:bodyDiv w:val="1"/>
      <w:marLeft w:val="0"/>
      <w:marRight w:val="0"/>
      <w:marTop w:val="0"/>
      <w:marBottom w:val="0"/>
      <w:divBdr>
        <w:top w:val="none" w:sz="0" w:space="0" w:color="auto"/>
        <w:left w:val="none" w:sz="0" w:space="0" w:color="auto"/>
        <w:bottom w:val="none" w:sz="0" w:space="0" w:color="auto"/>
        <w:right w:val="none" w:sz="0" w:space="0" w:color="auto"/>
      </w:divBdr>
    </w:div>
    <w:div w:id="1698892691">
      <w:bodyDiv w:val="1"/>
      <w:marLeft w:val="0"/>
      <w:marRight w:val="0"/>
      <w:marTop w:val="0"/>
      <w:marBottom w:val="0"/>
      <w:divBdr>
        <w:top w:val="none" w:sz="0" w:space="0" w:color="auto"/>
        <w:left w:val="none" w:sz="0" w:space="0" w:color="auto"/>
        <w:bottom w:val="none" w:sz="0" w:space="0" w:color="auto"/>
        <w:right w:val="none" w:sz="0" w:space="0" w:color="auto"/>
      </w:divBdr>
    </w:div>
    <w:div w:id="1701125795">
      <w:bodyDiv w:val="1"/>
      <w:marLeft w:val="0"/>
      <w:marRight w:val="0"/>
      <w:marTop w:val="0"/>
      <w:marBottom w:val="0"/>
      <w:divBdr>
        <w:top w:val="none" w:sz="0" w:space="0" w:color="auto"/>
        <w:left w:val="none" w:sz="0" w:space="0" w:color="auto"/>
        <w:bottom w:val="none" w:sz="0" w:space="0" w:color="auto"/>
        <w:right w:val="none" w:sz="0" w:space="0" w:color="auto"/>
      </w:divBdr>
    </w:div>
    <w:div w:id="1702168452">
      <w:bodyDiv w:val="1"/>
      <w:marLeft w:val="0"/>
      <w:marRight w:val="0"/>
      <w:marTop w:val="0"/>
      <w:marBottom w:val="0"/>
      <w:divBdr>
        <w:top w:val="none" w:sz="0" w:space="0" w:color="auto"/>
        <w:left w:val="none" w:sz="0" w:space="0" w:color="auto"/>
        <w:bottom w:val="none" w:sz="0" w:space="0" w:color="auto"/>
        <w:right w:val="none" w:sz="0" w:space="0" w:color="auto"/>
      </w:divBdr>
    </w:div>
    <w:div w:id="1710258874">
      <w:bodyDiv w:val="1"/>
      <w:marLeft w:val="0"/>
      <w:marRight w:val="0"/>
      <w:marTop w:val="0"/>
      <w:marBottom w:val="0"/>
      <w:divBdr>
        <w:top w:val="none" w:sz="0" w:space="0" w:color="auto"/>
        <w:left w:val="none" w:sz="0" w:space="0" w:color="auto"/>
        <w:bottom w:val="none" w:sz="0" w:space="0" w:color="auto"/>
        <w:right w:val="none" w:sz="0" w:space="0" w:color="auto"/>
      </w:divBdr>
    </w:div>
    <w:div w:id="1711303242">
      <w:bodyDiv w:val="1"/>
      <w:marLeft w:val="0"/>
      <w:marRight w:val="0"/>
      <w:marTop w:val="0"/>
      <w:marBottom w:val="0"/>
      <w:divBdr>
        <w:top w:val="none" w:sz="0" w:space="0" w:color="auto"/>
        <w:left w:val="none" w:sz="0" w:space="0" w:color="auto"/>
        <w:bottom w:val="none" w:sz="0" w:space="0" w:color="auto"/>
        <w:right w:val="none" w:sz="0" w:space="0" w:color="auto"/>
      </w:divBdr>
    </w:div>
    <w:div w:id="1711764424">
      <w:bodyDiv w:val="1"/>
      <w:marLeft w:val="0"/>
      <w:marRight w:val="0"/>
      <w:marTop w:val="0"/>
      <w:marBottom w:val="0"/>
      <w:divBdr>
        <w:top w:val="none" w:sz="0" w:space="0" w:color="auto"/>
        <w:left w:val="none" w:sz="0" w:space="0" w:color="auto"/>
        <w:bottom w:val="none" w:sz="0" w:space="0" w:color="auto"/>
        <w:right w:val="none" w:sz="0" w:space="0" w:color="auto"/>
      </w:divBdr>
    </w:div>
    <w:div w:id="1712028781">
      <w:bodyDiv w:val="1"/>
      <w:marLeft w:val="0"/>
      <w:marRight w:val="0"/>
      <w:marTop w:val="0"/>
      <w:marBottom w:val="0"/>
      <w:divBdr>
        <w:top w:val="none" w:sz="0" w:space="0" w:color="auto"/>
        <w:left w:val="none" w:sz="0" w:space="0" w:color="auto"/>
        <w:bottom w:val="none" w:sz="0" w:space="0" w:color="auto"/>
        <w:right w:val="none" w:sz="0" w:space="0" w:color="auto"/>
      </w:divBdr>
    </w:div>
    <w:div w:id="1716390802">
      <w:bodyDiv w:val="1"/>
      <w:marLeft w:val="0"/>
      <w:marRight w:val="0"/>
      <w:marTop w:val="0"/>
      <w:marBottom w:val="0"/>
      <w:divBdr>
        <w:top w:val="none" w:sz="0" w:space="0" w:color="auto"/>
        <w:left w:val="none" w:sz="0" w:space="0" w:color="auto"/>
        <w:bottom w:val="none" w:sz="0" w:space="0" w:color="auto"/>
        <w:right w:val="none" w:sz="0" w:space="0" w:color="auto"/>
      </w:divBdr>
    </w:div>
    <w:div w:id="1717464335">
      <w:bodyDiv w:val="1"/>
      <w:marLeft w:val="0"/>
      <w:marRight w:val="0"/>
      <w:marTop w:val="0"/>
      <w:marBottom w:val="0"/>
      <w:divBdr>
        <w:top w:val="none" w:sz="0" w:space="0" w:color="auto"/>
        <w:left w:val="none" w:sz="0" w:space="0" w:color="auto"/>
        <w:bottom w:val="none" w:sz="0" w:space="0" w:color="auto"/>
        <w:right w:val="none" w:sz="0" w:space="0" w:color="auto"/>
      </w:divBdr>
    </w:div>
    <w:div w:id="1720517859">
      <w:bodyDiv w:val="1"/>
      <w:marLeft w:val="0"/>
      <w:marRight w:val="0"/>
      <w:marTop w:val="0"/>
      <w:marBottom w:val="0"/>
      <w:divBdr>
        <w:top w:val="none" w:sz="0" w:space="0" w:color="auto"/>
        <w:left w:val="none" w:sz="0" w:space="0" w:color="auto"/>
        <w:bottom w:val="none" w:sz="0" w:space="0" w:color="auto"/>
        <w:right w:val="none" w:sz="0" w:space="0" w:color="auto"/>
      </w:divBdr>
    </w:div>
    <w:div w:id="1721634342">
      <w:bodyDiv w:val="1"/>
      <w:marLeft w:val="0"/>
      <w:marRight w:val="0"/>
      <w:marTop w:val="0"/>
      <w:marBottom w:val="0"/>
      <w:divBdr>
        <w:top w:val="none" w:sz="0" w:space="0" w:color="auto"/>
        <w:left w:val="none" w:sz="0" w:space="0" w:color="auto"/>
        <w:bottom w:val="none" w:sz="0" w:space="0" w:color="auto"/>
        <w:right w:val="none" w:sz="0" w:space="0" w:color="auto"/>
      </w:divBdr>
    </w:div>
    <w:div w:id="1726484922">
      <w:bodyDiv w:val="1"/>
      <w:marLeft w:val="0"/>
      <w:marRight w:val="0"/>
      <w:marTop w:val="0"/>
      <w:marBottom w:val="0"/>
      <w:divBdr>
        <w:top w:val="none" w:sz="0" w:space="0" w:color="auto"/>
        <w:left w:val="none" w:sz="0" w:space="0" w:color="auto"/>
        <w:bottom w:val="none" w:sz="0" w:space="0" w:color="auto"/>
        <w:right w:val="none" w:sz="0" w:space="0" w:color="auto"/>
      </w:divBdr>
    </w:div>
    <w:div w:id="1731491392">
      <w:bodyDiv w:val="1"/>
      <w:marLeft w:val="0"/>
      <w:marRight w:val="0"/>
      <w:marTop w:val="0"/>
      <w:marBottom w:val="0"/>
      <w:divBdr>
        <w:top w:val="none" w:sz="0" w:space="0" w:color="auto"/>
        <w:left w:val="none" w:sz="0" w:space="0" w:color="auto"/>
        <w:bottom w:val="none" w:sz="0" w:space="0" w:color="auto"/>
        <w:right w:val="none" w:sz="0" w:space="0" w:color="auto"/>
      </w:divBdr>
    </w:div>
    <w:div w:id="1736901170">
      <w:bodyDiv w:val="1"/>
      <w:marLeft w:val="0"/>
      <w:marRight w:val="0"/>
      <w:marTop w:val="0"/>
      <w:marBottom w:val="0"/>
      <w:divBdr>
        <w:top w:val="none" w:sz="0" w:space="0" w:color="auto"/>
        <w:left w:val="none" w:sz="0" w:space="0" w:color="auto"/>
        <w:bottom w:val="none" w:sz="0" w:space="0" w:color="auto"/>
        <w:right w:val="none" w:sz="0" w:space="0" w:color="auto"/>
      </w:divBdr>
    </w:div>
    <w:div w:id="1746685969">
      <w:bodyDiv w:val="1"/>
      <w:marLeft w:val="0"/>
      <w:marRight w:val="0"/>
      <w:marTop w:val="0"/>
      <w:marBottom w:val="0"/>
      <w:divBdr>
        <w:top w:val="none" w:sz="0" w:space="0" w:color="auto"/>
        <w:left w:val="none" w:sz="0" w:space="0" w:color="auto"/>
        <w:bottom w:val="none" w:sz="0" w:space="0" w:color="auto"/>
        <w:right w:val="none" w:sz="0" w:space="0" w:color="auto"/>
      </w:divBdr>
    </w:div>
    <w:div w:id="1753357933">
      <w:bodyDiv w:val="1"/>
      <w:marLeft w:val="0"/>
      <w:marRight w:val="0"/>
      <w:marTop w:val="0"/>
      <w:marBottom w:val="0"/>
      <w:divBdr>
        <w:top w:val="none" w:sz="0" w:space="0" w:color="auto"/>
        <w:left w:val="none" w:sz="0" w:space="0" w:color="auto"/>
        <w:bottom w:val="none" w:sz="0" w:space="0" w:color="auto"/>
        <w:right w:val="none" w:sz="0" w:space="0" w:color="auto"/>
      </w:divBdr>
    </w:div>
    <w:div w:id="1759595105">
      <w:bodyDiv w:val="1"/>
      <w:marLeft w:val="0"/>
      <w:marRight w:val="0"/>
      <w:marTop w:val="0"/>
      <w:marBottom w:val="0"/>
      <w:divBdr>
        <w:top w:val="none" w:sz="0" w:space="0" w:color="auto"/>
        <w:left w:val="none" w:sz="0" w:space="0" w:color="auto"/>
        <w:bottom w:val="none" w:sz="0" w:space="0" w:color="auto"/>
        <w:right w:val="none" w:sz="0" w:space="0" w:color="auto"/>
      </w:divBdr>
    </w:div>
    <w:div w:id="1766731856">
      <w:bodyDiv w:val="1"/>
      <w:marLeft w:val="0"/>
      <w:marRight w:val="0"/>
      <w:marTop w:val="0"/>
      <w:marBottom w:val="0"/>
      <w:divBdr>
        <w:top w:val="none" w:sz="0" w:space="0" w:color="auto"/>
        <w:left w:val="none" w:sz="0" w:space="0" w:color="auto"/>
        <w:bottom w:val="none" w:sz="0" w:space="0" w:color="auto"/>
        <w:right w:val="none" w:sz="0" w:space="0" w:color="auto"/>
      </w:divBdr>
    </w:div>
    <w:div w:id="1770083327">
      <w:bodyDiv w:val="1"/>
      <w:marLeft w:val="0"/>
      <w:marRight w:val="0"/>
      <w:marTop w:val="0"/>
      <w:marBottom w:val="0"/>
      <w:divBdr>
        <w:top w:val="none" w:sz="0" w:space="0" w:color="auto"/>
        <w:left w:val="none" w:sz="0" w:space="0" w:color="auto"/>
        <w:bottom w:val="none" w:sz="0" w:space="0" w:color="auto"/>
        <w:right w:val="none" w:sz="0" w:space="0" w:color="auto"/>
      </w:divBdr>
    </w:div>
    <w:div w:id="1773738465">
      <w:bodyDiv w:val="1"/>
      <w:marLeft w:val="0"/>
      <w:marRight w:val="0"/>
      <w:marTop w:val="0"/>
      <w:marBottom w:val="0"/>
      <w:divBdr>
        <w:top w:val="none" w:sz="0" w:space="0" w:color="auto"/>
        <w:left w:val="none" w:sz="0" w:space="0" w:color="auto"/>
        <w:bottom w:val="none" w:sz="0" w:space="0" w:color="auto"/>
        <w:right w:val="none" w:sz="0" w:space="0" w:color="auto"/>
      </w:divBdr>
    </w:div>
    <w:div w:id="1785536199">
      <w:bodyDiv w:val="1"/>
      <w:marLeft w:val="0"/>
      <w:marRight w:val="0"/>
      <w:marTop w:val="0"/>
      <w:marBottom w:val="0"/>
      <w:divBdr>
        <w:top w:val="none" w:sz="0" w:space="0" w:color="auto"/>
        <w:left w:val="none" w:sz="0" w:space="0" w:color="auto"/>
        <w:bottom w:val="none" w:sz="0" w:space="0" w:color="auto"/>
        <w:right w:val="none" w:sz="0" w:space="0" w:color="auto"/>
      </w:divBdr>
    </w:div>
    <w:div w:id="18029658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311629">
      <w:bodyDiv w:val="1"/>
      <w:marLeft w:val="0"/>
      <w:marRight w:val="0"/>
      <w:marTop w:val="0"/>
      <w:marBottom w:val="0"/>
      <w:divBdr>
        <w:top w:val="none" w:sz="0" w:space="0" w:color="auto"/>
        <w:left w:val="none" w:sz="0" w:space="0" w:color="auto"/>
        <w:bottom w:val="none" w:sz="0" w:space="0" w:color="auto"/>
        <w:right w:val="none" w:sz="0" w:space="0" w:color="auto"/>
      </w:divBdr>
    </w:div>
    <w:div w:id="182002759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952">
      <w:bodyDiv w:val="1"/>
      <w:marLeft w:val="0"/>
      <w:marRight w:val="0"/>
      <w:marTop w:val="0"/>
      <w:marBottom w:val="0"/>
      <w:divBdr>
        <w:top w:val="none" w:sz="0" w:space="0" w:color="auto"/>
        <w:left w:val="none" w:sz="0" w:space="0" w:color="auto"/>
        <w:bottom w:val="none" w:sz="0" w:space="0" w:color="auto"/>
        <w:right w:val="none" w:sz="0" w:space="0" w:color="auto"/>
      </w:divBdr>
    </w:div>
    <w:div w:id="1823614412">
      <w:bodyDiv w:val="1"/>
      <w:marLeft w:val="0"/>
      <w:marRight w:val="0"/>
      <w:marTop w:val="0"/>
      <w:marBottom w:val="0"/>
      <w:divBdr>
        <w:top w:val="none" w:sz="0" w:space="0" w:color="auto"/>
        <w:left w:val="none" w:sz="0" w:space="0" w:color="auto"/>
        <w:bottom w:val="none" w:sz="0" w:space="0" w:color="auto"/>
        <w:right w:val="none" w:sz="0" w:space="0" w:color="auto"/>
      </w:divBdr>
    </w:div>
    <w:div w:id="1827821237">
      <w:bodyDiv w:val="1"/>
      <w:marLeft w:val="0"/>
      <w:marRight w:val="0"/>
      <w:marTop w:val="0"/>
      <w:marBottom w:val="0"/>
      <w:divBdr>
        <w:top w:val="none" w:sz="0" w:space="0" w:color="auto"/>
        <w:left w:val="none" w:sz="0" w:space="0" w:color="auto"/>
        <w:bottom w:val="none" w:sz="0" w:space="0" w:color="auto"/>
        <w:right w:val="none" w:sz="0" w:space="0" w:color="auto"/>
      </w:divBdr>
    </w:div>
    <w:div w:id="1828549278">
      <w:bodyDiv w:val="1"/>
      <w:marLeft w:val="0"/>
      <w:marRight w:val="0"/>
      <w:marTop w:val="0"/>
      <w:marBottom w:val="0"/>
      <w:divBdr>
        <w:top w:val="none" w:sz="0" w:space="0" w:color="auto"/>
        <w:left w:val="none" w:sz="0" w:space="0" w:color="auto"/>
        <w:bottom w:val="none" w:sz="0" w:space="0" w:color="auto"/>
        <w:right w:val="none" w:sz="0" w:space="0" w:color="auto"/>
      </w:divBdr>
    </w:div>
    <w:div w:id="1828784133">
      <w:bodyDiv w:val="1"/>
      <w:marLeft w:val="0"/>
      <w:marRight w:val="0"/>
      <w:marTop w:val="0"/>
      <w:marBottom w:val="0"/>
      <w:divBdr>
        <w:top w:val="none" w:sz="0" w:space="0" w:color="auto"/>
        <w:left w:val="none" w:sz="0" w:space="0" w:color="auto"/>
        <w:bottom w:val="none" w:sz="0" w:space="0" w:color="auto"/>
        <w:right w:val="none" w:sz="0" w:space="0" w:color="auto"/>
      </w:divBdr>
    </w:div>
    <w:div w:id="1834418179">
      <w:bodyDiv w:val="1"/>
      <w:marLeft w:val="0"/>
      <w:marRight w:val="0"/>
      <w:marTop w:val="0"/>
      <w:marBottom w:val="0"/>
      <w:divBdr>
        <w:top w:val="none" w:sz="0" w:space="0" w:color="auto"/>
        <w:left w:val="none" w:sz="0" w:space="0" w:color="auto"/>
        <w:bottom w:val="none" w:sz="0" w:space="0" w:color="auto"/>
        <w:right w:val="none" w:sz="0" w:space="0" w:color="auto"/>
      </w:divBdr>
    </w:div>
    <w:div w:id="1835489553">
      <w:bodyDiv w:val="1"/>
      <w:marLeft w:val="0"/>
      <w:marRight w:val="0"/>
      <w:marTop w:val="0"/>
      <w:marBottom w:val="0"/>
      <w:divBdr>
        <w:top w:val="none" w:sz="0" w:space="0" w:color="auto"/>
        <w:left w:val="none" w:sz="0" w:space="0" w:color="auto"/>
        <w:bottom w:val="none" w:sz="0" w:space="0" w:color="auto"/>
        <w:right w:val="none" w:sz="0" w:space="0" w:color="auto"/>
      </w:divBdr>
    </w:div>
    <w:div w:id="1837526786">
      <w:bodyDiv w:val="1"/>
      <w:marLeft w:val="0"/>
      <w:marRight w:val="0"/>
      <w:marTop w:val="0"/>
      <w:marBottom w:val="0"/>
      <w:divBdr>
        <w:top w:val="none" w:sz="0" w:space="0" w:color="auto"/>
        <w:left w:val="none" w:sz="0" w:space="0" w:color="auto"/>
        <w:bottom w:val="none" w:sz="0" w:space="0" w:color="auto"/>
        <w:right w:val="none" w:sz="0" w:space="0" w:color="auto"/>
      </w:divBdr>
    </w:div>
    <w:div w:id="1843278633">
      <w:bodyDiv w:val="1"/>
      <w:marLeft w:val="0"/>
      <w:marRight w:val="0"/>
      <w:marTop w:val="0"/>
      <w:marBottom w:val="0"/>
      <w:divBdr>
        <w:top w:val="none" w:sz="0" w:space="0" w:color="auto"/>
        <w:left w:val="none" w:sz="0" w:space="0" w:color="auto"/>
        <w:bottom w:val="none" w:sz="0" w:space="0" w:color="auto"/>
        <w:right w:val="none" w:sz="0" w:space="0" w:color="auto"/>
      </w:divBdr>
    </w:div>
    <w:div w:id="1856726333">
      <w:bodyDiv w:val="1"/>
      <w:marLeft w:val="0"/>
      <w:marRight w:val="0"/>
      <w:marTop w:val="0"/>
      <w:marBottom w:val="0"/>
      <w:divBdr>
        <w:top w:val="none" w:sz="0" w:space="0" w:color="auto"/>
        <w:left w:val="none" w:sz="0" w:space="0" w:color="auto"/>
        <w:bottom w:val="none" w:sz="0" w:space="0" w:color="auto"/>
        <w:right w:val="none" w:sz="0" w:space="0" w:color="auto"/>
      </w:divBdr>
    </w:div>
    <w:div w:id="1858036739">
      <w:bodyDiv w:val="1"/>
      <w:marLeft w:val="0"/>
      <w:marRight w:val="0"/>
      <w:marTop w:val="0"/>
      <w:marBottom w:val="0"/>
      <w:divBdr>
        <w:top w:val="none" w:sz="0" w:space="0" w:color="auto"/>
        <w:left w:val="none" w:sz="0" w:space="0" w:color="auto"/>
        <w:bottom w:val="none" w:sz="0" w:space="0" w:color="auto"/>
        <w:right w:val="none" w:sz="0" w:space="0" w:color="auto"/>
      </w:divBdr>
    </w:div>
    <w:div w:id="1862813184">
      <w:bodyDiv w:val="1"/>
      <w:marLeft w:val="0"/>
      <w:marRight w:val="0"/>
      <w:marTop w:val="0"/>
      <w:marBottom w:val="0"/>
      <w:divBdr>
        <w:top w:val="none" w:sz="0" w:space="0" w:color="auto"/>
        <w:left w:val="none" w:sz="0" w:space="0" w:color="auto"/>
        <w:bottom w:val="none" w:sz="0" w:space="0" w:color="auto"/>
        <w:right w:val="none" w:sz="0" w:space="0" w:color="auto"/>
      </w:divBdr>
    </w:div>
    <w:div w:id="1868523454">
      <w:bodyDiv w:val="1"/>
      <w:marLeft w:val="0"/>
      <w:marRight w:val="0"/>
      <w:marTop w:val="0"/>
      <w:marBottom w:val="0"/>
      <w:divBdr>
        <w:top w:val="none" w:sz="0" w:space="0" w:color="auto"/>
        <w:left w:val="none" w:sz="0" w:space="0" w:color="auto"/>
        <w:bottom w:val="none" w:sz="0" w:space="0" w:color="auto"/>
        <w:right w:val="none" w:sz="0" w:space="0" w:color="auto"/>
      </w:divBdr>
    </w:div>
    <w:div w:id="1877698739">
      <w:bodyDiv w:val="1"/>
      <w:marLeft w:val="0"/>
      <w:marRight w:val="0"/>
      <w:marTop w:val="0"/>
      <w:marBottom w:val="0"/>
      <w:divBdr>
        <w:top w:val="none" w:sz="0" w:space="0" w:color="auto"/>
        <w:left w:val="none" w:sz="0" w:space="0" w:color="auto"/>
        <w:bottom w:val="none" w:sz="0" w:space="0" w:color="auto"/>
        <w:right w:val="none" w:sz="0" w:space="0" w:color="auto"/>
      </w:divBdr>
    </w:div>
    <w:div w:id="1880363355">
      <w:bodyDiv w:val="1"/>
      <w:marLeft w:val="0"/>
      <w:marRight w:val="0"/>
      <w:marTop w:val="0"/>
      <w:marBottom w:val="0"/>
      <w:divBdr>
        <w:top w:val="none" w:sz="0" w:space="0" w:color="auto"/>
        <w:left w:val="none" w:sz="0" w:space="0" w:color="auto"/>
        <w:bottom w:val="none" w:sz="0" w:space="0" w:color="auto"/>
        <w:right w:val="none" w:sz="0" w:space="0" w:color="auto"/>
      </w:divBdr>
    </w:div>
    <w:div w:id="1883129443">
      <w:bodyDiv w:val="1"/>
      <w:marLeft w:val="0"/>
      <w:marRight w:val="0"/>
      <w:marTop w:val="0"/>
      <w:marBottom w:val="0"/>
      <w:divBdr>
        <w:top w:val="none" w:sz="0" w:space="0" w:color="auto"/>
        <w:left w:val="none" w:sz="0" w:space="0" w:color="auto"/>
        <w:bottom w:val="none" w:sz="0" w:space="0" w:color="auto"/>
        <w:right w:val="none" w:sz="0" w:space="0" w:color="auto"/>
      </w:divBdr>
    </w:div>
    <w:div w:id="1885171803">
      <w:bodyDiv w:val="1"/>
      <w:marLeft w:val="0"/>
      <w:marRight w:val="0"/>
      <w:marTop w:val="0"/>
      <w:marBottom w:val="0"/>
      <w:divBdr>
        <w:top w:val="none" w:sz="0" w:space="0" w:color="auto"/>
        <w:left w:val="none" w:sz="0" w:space="0" w:color="auto"/>
        <w:bottom w:val="none" w:sz="0" w:space="0" w:color="auto"/>
        <w:right w:val="none" w:sz="0" w:space="0" w:color="auto"/>
      </w:divBdr>
    </w:div>
    <w:div w:id="1887451627">
      <w:bodyDiv w:val="1"/>
      <w:marLeft w:val="0"/>
      <w:marRight w:val="0"/>
      <w:marTop w:val="0"/>
      <w:marBottom w:val="0"/>
      <w:divBdr>
        <w:top w:val="none" w:sz="0" w:space="0" w:color="auto"/>
        <w:left w:val="none" w:sz="0" w:space="0" w:color="auto"/>
        <w:bottom w:val="none" w:sz="0" w:space="0" w:color="auto"/>
        <w:right w:val="none" w:sz="0" w:space="0" w:color="auto"/>
      </w:divBdr>
    </w:div>
    <w:div w:id="1887645664">
      <w:bodyDiv w:val="1"/>
      <w:marLeft w:val="0"/>
      <w:marRight w:val="0"/>
      <w:marTop w:val="0"/>
      <w:marBottom w:val="0"/>
      <w:divBdr>
        <w:top w:val="none" w:sz="0" w:space="0" w:color="auto"/>
        <w:left w:val="none" w:sz="0" w:space="0" w:color="auto"/>
        <w:bottom w:val="none" w:sz="0" w:space="0" w:color="auto"/>
        <w:right w:val="none" w:sz="0" w:space="0" w:color="auto"/>
      </w:divBdr>
    </w:div>
    <w:div w:id="1889871907">
      <w:bodyDiv w:val="1"/>
      <w:marLeft w:val="0"/>
      <w:marRight w:val="0"/>
      <w:marTop w:val="0"/>
      <w:marBottom w:val="0"/>
      <w:divBdr>
        <w:top w:val="none" w:sz="0" w:space="0" w:color="auto"/>
        <w:left w:val="none" w:sz="0" w:space="0" w:color="auto"/>
        <w:bottom w:val="none" w:sz="0" w:space="0" w:color="auto"/>
        <w:right w:val="none" w:sz="0" w:space="0" w:color="auto"/>
      </w:divBdr>
    </w:div>
    <w:div w:id="1895769392">
      <w:bodyDiv w:val="1"/>
      <w:marLeft w:val="0"/>
      <w:marRight w:val="0"/>
      <w:marTop w:val="0"/>
      <w:marBottom w:val="0"/>
      <w:divBdr>
        <w:top w:val="none" w:sz="0" w:space="0" w:color="auto"/>
        <w:left w:val="none" w:sz="0" w:space="0" w:color="auto"/>
        <w:bottom w:val="none" w:sz="0" w:space="0" w:color="auto"/>
        <w:right w:val="none" w:sz="0" w:space="0" w:color="auto"/>
      </w:divBdr>
    </w:div>
    <w:div w:id="1902016369">
      <w:bodyDiv w:val="1"/>
      <w:marLeft w:val="0"/>
      <w:marRight w:val="0"/>
      <w:marTop w:val="0"/>
      <w:marBottom w:val="0"/>
      <w:divBdr>
        <w:top w:val="none" w:sz="0" w:space="0" w:color="auto"/>
        <w:left w:val="none" w:sz="0" w:space="0" w:color="auto"/>
        <w:bottom w:val="none" w:sz="0" w:space="0" w:color="auto"/>
        <w:right w:val="none" w:sz="0" w:space="0" w:color="auto"/>
      </w:divBdr>
    </w:div>
    <w:div w:id="1903054283">
      <w:bodyDiv w:val="1"/>
      <w:marLeft w:val="0"/>
      <w:marRight w:val="0"/>
      <w:marTop w:val="0"/>
      <w:marBottom w:val="0"/>
      <w:divBdr>
        <w:top w:val="none" w:sz="0" w:space="0" w:color="auto"/>
        <w:left w:val="none" w:sz="0" w:space="0" w:color="auto"/>
        <w:bottom w:val="none" w:sz="0" w:space="0" w:color="auto"/>
        <w:right w:val="none" w:sz="0" w:space="0" w:color="auto"/>
      </w:divBdr>
    </w:div>
    <w:div w:id="1904832981">
      <w:bodyDiv w:val="1"/>
      <w:marLeft w:val="0"/>
      <w:marRight w:val="0"/>
      <w:marTop w:val="0"/>
      <w:marBottom w:val="0"/>
      <w:divBdr>
        <w:top w:val="none" w:sz="0" w:space="0" w:color="auto"/>
        <w:left w:val="none" w:sz="0" w:space="0" w:color="auto"/>
        <w:bottom w:val="none" w:sz="0" w:space="0" w:color="auto"/>
        <w:right w:val="none" w:sz="0" w:space="0" w:color="auto"/>
      </w:divBdr>
    </w:div>
    <w:div w:id="1908876850">
      <w:bodyDiv w:val="1"/>
      <w:marLeft w:val="0"/>
      <w:marRight w:val="0"/>
      <w:marTop w:val="0"/>
      <w:marBottom w:val="0"/>
      <w:divBdr>
        <w:top w:val="none" w:sz="0" w:space="0" w:color="auto"/>
        <w:left w:val="none" w:sz="0" w:space="0" w:color="auto"/>
        <w:bottom w:val="none" w:sz="0" w:space="0" w:color="auto"/>
        <w:right w:val="none" w:sz="0" w:space="0" w:color="auto"/>
      </w:divBdr>
    </w:div>
    <w:div w:id="1912500051">
      <w:bodyDiv w:val="1"/>
      <w:marLeft w:val="0"/>
      <w:marRight w:val="0"/>
      <w:marTop w:val="0"/>
      <w:marBottom w:val="0"/>
      <w:divBdr>
        <w:top w:val="none" w:sz="0" w:space="0" w:color="auto"/>
        <w:left w:val="none" w:sz="0" w:space="0" w:color="auto"/>
        <w:bottom w:val="none" w:sz="0" w:space="0" w:color="auto"/>
        <w:right w:val="none" w:sz="0" w:space="0" w:color="auto"/>
      </w:divBdr>
    </w:div>
    <w:div w:id="1914584226">
      <w:bodyDiv w:val="1"/>
      <w:marLeft w:val="0"/>
      <w:marRight w:val="0"/>
      <w:marTop w:val="0"/>
      <w:marBottom w:val="0"/>
      <w:divBdr>
        <w:top w:val="none" w:sz="0" w:space="0" w:color="auto"/>
        <w:left w:val="none" w:sz="0" w:space="0" w:color="auto"/>
        <w:bottom w:val="none" w:sz="0" w:space="0" w:color="auto"/>
        <w:right w:val="none" w:sz="0" w:space="0" w:color="auto"/>
      </w:divBdr>
    </w:div>
    <w:div w:id="1918512686">
      <w:bodyDiv w:val="1"/>
      <w:marLeft w:val="0"/>
      <w:marRight w:val="0"/>
      <w:marTop w:val="0"/>
      <w:marBottom w:val="0"/>
      <w:divBdr>
        <w:top w:val="none" w:sz="0" w:space="0" w:color="auto"/>
        <w:left w:val="none" w:sz="0" w:space="0" w:color="auto"/>
        <w:bottom w:val="none" w:sz="0" w:space="0" w:color="auto"/>
        <w:right w:val="none" w:sz="0" w:space="0" w:color="auto"/>
      </w:divBdr>
    </w:div>
    <w:div w:id="1919287332">
      <w:bodyDiv w:val="1"/>
      <w:marLeft w:val="0"/>
      <w:marRight w:val="0"/>
      <w:marTop w:val="0"/>
      <w:marBottom w:val="0"/>
      <w:divBdr>
        <w:top w:val="none" w:sz="0" w:space="0" w:color="auto"/>
        <w:left w:val="none" w:sz="0" w:space="0" w:color="auto"/>
        <w:bottom w:val="none" w:sz="0" w:space="0" w:color="auto"/>
        <w:right w:val="none" w:sz="0" w:space="0" w:color="auto"/>
      </w:divBdr>
    </w:div>
    <w:div w:id="1925987717">
      <w:bodyDiv w:val="1"/>
      <w:marLeft w:val="0"/>
      <w:marRight w:val="0"/>
      <w:marTop w:val="0"/>
      <w:marBottom w:val="0"/>
      <w:divBdr>
        <w:top w:val="none" w:sz="0" w:space="0" w:color="auto"/>
        <w:left w:val="none" w:sz="0" w:space="0" w:color="auto"/>
        <w:bottom w:val="none" w:sz="0" w:space="0" w:color="auto"/>
        <w:right w:val="none" w:sz="0" w:space="0" w:color="auto"/>
      </w:divBdr>
    </w:div>
    <w:div w:id="1926838468">
      <w:bodyDiv w:val="1"/>
      <w:marLeft w:val="0"/>
      <w:marRight w:val="0"/>
      <w:marTop w:val="0"/>
      <w:marBottom w:val="0"/>
      <w:divBdr>
        <w:top w:val="none" w:sz="0" w:space="0" w:color="auto"/>
        <w:left w:val="none" w:sz="0" w:space="0" w:color="auto"/>
        <w:bottom w:val="none" w:sz="0" w:space="0" w:color="auto"/>
        <w:right w:val="none" w:sz="0" w:space="0" w:color="auto"/>
      </w:divBdr>
    </w:div>
    <w:div w:id="1932082602">
      <w:bodyDiv w:val="1"/>
      <w:marLeft w:val="0"/>
      <w:marRight w:val="0"/>
      <w:marTop w:val="0"/>
      <w:marBottom w:val="0"/>
      <w:divBdr>
        <w:top w:val="none" w:sz="0" w:space="0" w:color="auto"/>
        <w:left w:val="none" w:sz="0" w:space="0" w:color="auto"/>
        <w:bottom w:val="none" w:sz="0" w:space="0" w:color="auto"/>
        <w:right w:val="none" w:sz="0" w:space="0" w:color="auto"/>
      </w:divBdr>
    </w:div>
    <w:div w:id="1937403368">
      <w:bodyDiv w:val="1"/>
      <w:marLeft w:val="0"/>
      <w:marRight w:val="0"/>
      <w:marTop w:val="0"/>
      <w:marBottom w:val="0"/>
      <w:divBdr>
        <w:top w:val="none" w:sz="0" w:space="0" w:color="auto"/>
        <w:left w:val="none" w:sz="0" w:space="0" w:color="auto"/>
        <w:bottom w:val="none" w:sz="0" w:space="0" w:color="auto"/>
        <w:right w:val="none" w:sz="0" w:space="0" w:color="auto"/>
      </w:divBdr>
    </w:div>
    <w:div w:id="1949703228">
      <w:bodyDiv w:val="1"/>
      <w:marLeft w:val="0"/>
      <w:marRight w:val="0"/>
      <w:marTop w:val="0"/>
      <w:marBottom w:val="0"/>
      <w:divBdr>
        <w:top w:val="none" w:sz="0" w:space="0" w:color="auto"/>
        <w:left w:val="none" w:sz="0" w:space="0" w:color="auto"/>
        <w:bottom w:val="none" w:sz="0" w:space="0" w:color="auto"/>
        <w:right w:val="none" w:sz="0" w:space="0" w:color="auto"/>
      </w:divBdr>
    </w:div>
    <w:div w:id="1950356700">
      <w:bodyDiv w:val="1"/>
      <w:marLeft w:val="0"/>
      <w:marRight w:val="0"/>
      <w:marTop w:val="0"/>
      <w:marBottom w:val="0"/>
      <w:divBdr>
        <w:top w:val="none" w:sz="0" w:space="0" w:color="auto"/>
        <w:left w:val="none" w:sz="0" w:space="0" w:color="auto"/>
        <w:bottom w:val="none" w:sz="0" w:space="0" w:color="auto"/>
        <w:right w:val="none" w:sz="0" w:space="0" w:color="auto"/>
      </w:divBdr>
    </w:div>
    <w:div w:id="1953587438">
      <w:bodyDiv w:val="1"/>
      <w:marLeft w:val="0"/>
      <w:marRight w:val="0"/>
      <w:marTop w:val="0"/>
      <w:marBottom w:val="0"/>
      <w:divBdr>
        <w:top w:val="none" w:sz="0" w:space="0" w:color="auto"/>
        <w:left w:val="none" w:sz="0" w:space="0" w:color="auto"/>
        <w:bottom w:val="none" w:sz="0" w:space="0" w:color="auto"/>
        <w:right w:val="none" w:sz="0" w:space="0" w:color="auto"/>
      </w:divBdr>
    </w:div>
    <w:div w:id="1971932716">
      <w:bodyDiv w:val="1"/>
      <w:marLeft w:val="0"/>
      <w:marRight w:val="0"/>
      <w:marTop w:val="0"/>
      <w:marBottom w:val="0"/>
      <w:divBdr>
        <w:top w:val="none" w:sz="0" w:space="0" w:color="auto"/>
        <w:left w:val="none" w:sz="0" w:space="0" w:color="auto"/>
        <w:bottom w:val="none" w:sz="0" w:space="0" w:color="auto"/>
        <w:right w:val="none" w:sz="0" w:space="0" w:color="auto"/>
      </w:divBdr>
    </w:div>
    <w:div w:id="1972321755">
      <w:bodyDiv w:val="1"/>
      <w:marLeft w:val="0"/>
      <w:marRight w:val="0"/>
      <w:marTop w:val="0"/>
      <w:marBottom w:val="0"/>
      <w:divBdr>
        <w:top w:val="none" w:sz="0" w:space="0" w:color="auto"/>
        <w:left w:val="none" w:sz="0" w:space="0" w:color="auto"/>
        <w:bottom w:val="none" w:sz="0" w:space="0" w:color="auto"/>
        <w:right w:val="none" w:sz="0" w:space="0" w:color="auto"/>
      </w:divBdr>
    </w:div>
    <w:div w:id="1974561679">
      <w:bodyDiv w:val="1"/>
      <w:marLeft w:val="0"/>
      <w:marRight w:val="0"/>
      <w:marTop w:val="0"/>
      <w:marBottom w:val="0"/>
      <w:divBdr>
        <w:top w:val="none" w:sz="0" w:space="0" w:color="auto"/>
        <w:left w:val="none" w:sz="0" w:space="0" w:color="auto"/>
        <w:bottom w:val="none" w:sz="0" w:space="0" w:color="auto"/>
        <w:right w:val="none" w:sz="0" w:space="0" w:color="auto"/>
      </w:divBdr>
    </w:div>
    <w:div w:id="1975483469">
      <w:bodyDiv w:val="1"/>
      <w:marLeft w:val="0"/>
      <w:marRight w:val="0"/>
      <w:marTop w:val="0"/>
      <w:marBottom w:val="0"/>
      <w:divBdr>
        <w:top w:val="none" w:sz="0" w:space="0" w:color="auto"/>
        <w:left w:val="none" w:sz="0" w:space="0" w:color="auto"/>
        <w:bottom w:val="none" w:sz="0" w:space="0" w:color="auto"/>
        <w:right w:val="none" w:sz="0" w:space="0" w:color="auto"/>
      </w:divBdr>
    </w:div>
    <w:div w:id="1977762283">
      <w:bodyDiv w:val="1"/>
      <w:marLeft w:val="0"/>
      <w:marRight w:val="0"/>
      <w:marTop w:val="0"/>
      <w:marBottom w:val="0"/>
      <w:divBdr>
        <w:top w:val="none" w:sz="0" w:space="0" w:color="auto"/>
        <w:left w:val="none" w:sz="0" w:space="0" w:color="auto"/>
        <w:bottom w:val="none" w:sz="0" w:space="0" w:color="auto"/>
        <w:right w:val="none" w:sz="0" w:space="0" w:color="auto"/>
      </w:divBdr>
    </w:div>
    <w:div w:id="1979416109">
      <w:bodyDiv w:val="1"/>
      <w:marLeft w:val="0"/>
      <w:marRight w:val="0"/>
      <w:marTop w:val="0"/>
      <w:marBottom w:val="0"/>
      <w:divBdr>
        <w:top w:val="none" w:sz="0" w:space="0" w:color="auto"/>
        <w:left w:val="none" w:sz="0" w:space="0" w:color="auto"/>
        <w:bottom w:val="none" w:sz="0" w:space="0" w:color="auto"/>
        <w:right w:val="none" w:sz="0" w:space="0" w:color="auto"/>
      </w:divBdr>
    </w:div>
    <w:div w:id="1983459497">
      <w:bodyDiv w:val="1"/>
      <w:marLeft w:val="0"/>
      <w:marRight w:val="0"/>
      <w:marTop w:val="0"/>
      <w:marBottom w:val="0"/>
      <w:divBdr>
        <w:top w:val="none" w:sz="0" w:space="0" w:color="auto"/>
        <w:left w:val="none" w:sz="0" w:space="0" w:color="auto"/>
        <w:bottom w:val="none" w:sz="0" w:space="0" w:color="auto"/>
        <w:right w:val="none" w:sz="0" w:space="0" w:color="auto"/>
      </w:divBdr>
    </w:div>
    <w:div w:id="1992366600">
      <w:bodyDiv w:val="1"/>
      <w:marLeft w:val="0"/>
      <w:marRight w:val="0"/>
      <w:marTop w:val="0"/>
      <w:marBottom w:val="0"/>
      <w:divBdr>
        <w:top w:val="none" w:sz="0" w:space="0" w:color="auto"/>
        <w:left w:val="none" w:sz="0" w:space="0" w:color="auto"/>
        <w:bottom w:val="none" w:sz="0" w:space="0" w:color="auto"/>
        <w:right w:val="none" w:sz="0" w:space="0" w:color="auto"/>
      </w:divBdr>
    </w:div>
    <w:div w:id="1996254344">
      <w:bodyDiv w:val="1"/>
      <w:marLeft w:val="0"/>
      <w:marRight w:val="0"/>
      <w:marTop w:val="0"/>
      <w:marBottom w:val="0"/>
      <w:divBdr>
        <w:top w:val="none" w:sz="0" w:space="0" w:color="auto"/>
        <w:left w:val="none" w:sz="0" w:space="0" w:color="auto"/>
        <w:bottom w:val="none" w:sz="0" w:space="0" w:color="auto"/>
        <w:right w:val="none" w:sz="0" w:space="0" w:color="auto"/>
      </w:divBdr>
    </w:div>
    <w:div w:id="1996255347">
      <w:bodyDiv w:val="1"/>
      <w:marLeft w:val="0"/>
      <w:marRight w:val="0"/>
      <w:marTop w:val="0"/>
      <w:marBottom w:val="0"/>
      <w:divBdr>
        <w:top w:val="none" w:sz="0" w:space="0" w:color="auto"/>
        <w:left w:val="none" w:sz="0" w:space="0" w:color="auto"/>
        <w:bottom w:val="none" w:sz="0" w:space="0" w:color="auto"/>
        <w:right w:val="none" w:sz="0" w:space="0" w:color="auto"/>
      </w:divBdr>
    </w:div>
    <w:div w:id="2012758890">
      <w:bodyDiv w:val="1"/>
      <w:marLeft w:val="0"/>
      <w:marRight w:val="0"/>
      <w:marTop w:val="0"/>
      <w:marBottom w:val="0"/>
      <w:divBdr>
        <w:top w:val="none" w:sz="0" w:space="0" w:color="auto"/>
        <w:left w:val="none" w:sz="0" w:space="0" w:color="auto"/>
        <w:bottom w:val="none" w:sz="0" w:space="0" w:color="auto"/>
        <w:right w:val="none" w:sz="0" w:space="0" w:color="auto"/>
      </w:divBdr>
    </w:div>
    <w:div w:id="2018841742">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3118027">
      <w:bodyDiv w:val="1"/>
      <w:marLeft w:val="0"/>
      <w:marRight w:val="0"/>
      <w:marTop w:val="0"/>
      <w:marBottom w:val="0"/>
      <w:divBdr>
        <w:top w:val="none" w:sz="0" w:space="0" w:color="auto"/>
        <w:left w:val="none" w:sz="0" w:space="0" w:color="auto"/>
        <w:bottom w:val="none" w:sz="0" w:space="0" w:color="auto"/>
        <w:right w:val="none" w:sz="0" w:space="0" w:color="auto"/>
      </w:divBdr>
    </w:div>
    <w:div w:id="2024933290">
      <w:bodyDiv w:val="1"/>
      <w:marLeft w:val="0"/>
      <w:marRight w:val="0"/>
      <w:marTop w:val="0"/>
      <w:marBottom w:val="0"/>
      <w:divBdr>
        <w:top w:val="none" w:sz="0" w:space="0" w:color="auto"/>
        <w:left w:val="none" w:sz="0" w:space="0" w:color="auto"/>
        <w:bottom w:val="none" w:sz="0" w:space="0" w:color="auto"/>
        <w:right w:val="none" w:sz="0" w:space="0" w:color="auto"/>
      </w:divBdr>
    </w:div>
    <w:div w:id="2028602589">
      <w:bodyDiv w:val="1"/>
      <w:marLeft w:val="0"/>
      <w:marRight w:val="0"/>
      <w:marTop w:val="0"/>
      <w:marBottom w:val="0"/>
      <w:divBdr>
        <w:top w:val="none" w:sz="0" w:space="0" w:color="auto"/>
        <w:left w:val="none" w:sz="0" w:space="0" w:color="auto"/>
        <w:bottom w:val="none" w:sz="0" w:space="0" w:color="auto"/>
        <w:right w:val="none" w:sz="0" w:space="0" w:color="auto"/>
      </w:divBdr>
    </w:div>
    <w:div w:id="2034383664">
      <w:bodyDiv w:val="1"/>
      <w:marLeft w:val="0"/>
      <w:marRight w:val="0"/>
      <w:marTop w:val="0"/>
      <w:marBottom w:val="0"/>
      <w:divBdr>
        <w:top w:val="none" w:sz="0" w:space="0" w:color="auto"/>
        <w:left w:val="none" w:sz="0" w:space="0" w:color="auto"/>
        <w:bottom w:val="none" w:sz="0" w:space="0" w:color="auto"/>
        <w:right w:val="none" w:sz="0" w:space="0" w:color="auto"/>
      </w:divBdr>
    </w:div>
    <w:div w:id="2040617321">
      <w:bodyDiv w:val="1"/>
      <w:marLeft w:val="0"/>
      <w:marRight w:val="0"/>
      <w:marTop w:val="0"/>
      <w:marBottom w:val="0"/>
      <w:divBdr>
        <w:top w:val="none" w:sz="0" w:space="0" w:color="auto"/>
        <w:left w:val="none" w:sz="0" w:space="0" w:color="auto"/>
        <w:bottom w:val="none" w:sz="0" w:space="0" w:color="auto"/>
        <w:right w:val="none" w:sz="0" w:space="0" w:color="auto"/>
      </w:divBdr>
    </w:div>
    <w:div w:id="2051682834">
      <w:bodyDiv w:val="1"/>
      <w:marLeft w:val="0"/>
      <w:marRight w:val="0"/>
      <w:marTop w:val="0"/>
      <w:marBottom w:val="0"/>
      <w:divBdr>
        <w:top w:val="none" w:sz="0" w:space="0" w:color="auto"/>
        <w:left w:val="none" w:sz="0" w:space="0" w:color="auto"/>
        <w:bottom w:val="none" w:sz="0" w:space="0" w:color="auto"/>
        <w:right w:val="none" w:sz="0" w:space="0" w:color="auto"/>
      </w:divBdr>
    </w:div>
    <w:div w:id="2054184734">
      <w:bodyDiv w:val="1"/>
      <w:marLeft w:val="0"/>
      <w:marRight w:val="0"/>
      <w:marTop w:val="0"/>
      <w:marBottom w:val="0"/>
      <w:divBdr>
        <w:top w:val="none" w:sz="0" w:space="0" w:color="auto"/>
        <w:left w:val="none" w:sz="0" w:space="0" w:color="auto"/>
        <w:bottom w:val="none" w:sz="0" w:space="0" w:color="auto"/>
        <w:right w:val="none" w:sz="0" w:space="0" w:color="auto"/>
      </w:divBdr>
    </w:div>
    <w:div w:id="2057074906">
      <w:bodyDiv w:val="1"/>
      <w:marLeft w:val="0"/>
      <w:marRight w:val="0"/>
      <w:marTop w:val="0"/>
      <w:marBottom w:val="0"/>
      <w:divBdr>
        <w:top w:val="none" w:sz="0" w:space="0" w:color="auto"/>
        <w:left w:val="none" w:sz="0" w:space="0" w:color="auto"/>
        <w:bottom w:val="none" w:sz="0" w:space="0" w:color="auto"/>
        <w:right w:val="none" w:sz="0" w:space="0" w:color="auto"/>
      </w:divBdr>
    </w:div>
    <w:div w:id="2057922846">
      <w:bodyDiv w:val="1"/>
      <w:marLeft w:val="0"/>
      <w:marRight w:val="0"/>
      <w:marTop w:val="0"/>
      <w:marBottom w:val="0"/>
      <w:divBdr>
        <w:top w:val="none" w:sz="0" w:space="0" w:color="auto"/>
        <w:left w:val="none" w:sz="0" w:space="0" w:color="auto"/>
        <w:bottom w:val="none" w:sz="0" w:space="0" w:color="auto"/>
        <w:right w:val="none" w:sz="0" w:space="0" w:color="auto"/>
      </w:divBdr>
    </w:div>
    <w:div w:id="2061705464">
      <w:bodyDiv w:val="1"/>
      <w:marLeft w:val="0"/>
      <w:marRight w:val="0"/>
      <w:marTop w:val="0"/>
      <w:marBottom w:val="0"/>
      <w:divBdr>
        <w:top w:val="none" w:sz="0" w:space="0" w:color="auto"/>
        <w:left w:val="none" w:sz="0" w:space="0" w:color="auto"/>
        <w:bottom w:val="none" w:sz="0" w:space="0" w:color="auto"/>
        <w:right w:val="none" w:sz="0" w:space="0" w:color="auto"/>
      </w:divBdr>
    </w:div>
    <w:div w:id="2063283407">
      <w:bodyDiv w:val="1"/>
      <w:marLeft w:val="0"/>
      <w:marRight w:val="0"/>
      <w:marTop w:val="0"/>
      <w:marBottom w:val="0"/>
      <w:divBdr>
        <w:top w:val="none" w:sz="0" w:space="0" w:color="auto"/>
        <w:left w:val="none" w:sz="0" w:space="0" w:color="auto"/>
        <w:bottom w:val="none" w:sz="0" w:space="0" w:color="auto"/>
        <w:right w:val="none" w:sz="0" w:space="0" w:color="auto"/>
      </w:divBdr>
    </w:div>
    <w:div w:id="2064404586">
      <w:bodyDiv w:val="1"/>
      <w:marLeft w:val="0"/>
      <w:marRight w:val="0"/>
      <w:marTop w:val="0"/>
      <w:marBottom w:val="0"/>
      <w:divBdr>
        <w:top w:val="none" w:sz="0" w:space="0" w:color="auto"/>
        <w:left w:val="none" w:sz="0" w:space="0" w:color="auto"/>
        <w:bottom w:val="none" w:sz="0" w:space="0" w:color="auto"/>
        <w:right w:val="none" w:sz="0" w:space="0" w:color="auto"/>
      </w:divBdr>
    </w:div>
    <w:div w:id="2070106401">
      <w:bodyDiv w:val="1"/>
      <w:marLeft w:val="0"/>
      <w:marRight w:val="0"/>
      <w:marTop w:val="0"/>
      <w:marBottom w:val="0"/>
      <w:divBdr>
        <w:top w:val="none" w:sz="0" w:space="0" w:color="auto"/>
        <w:left w:val="none" w:sz="0" w:space="0" w:color="auto"/>
        <w:bottom w:val="none" w:sz="0" w:space="0" w:color="auto"/>
        <w:right w:val="none" w:sz="0" w:space="0" w:color="auto"/>
      </w:divBdr>
    </w:div>
    <w:div w:id="2074965889">
      <w:bodyDiv w:val="1"/>
      <w:marLeft w:val="0"/>
      <w:marRight w:val="0"/>
      <w:marTop w:val="0"/>
      <w:marBottom w:val="0"/>
      <w:divBdr>
        <w:top w:val="none" w:sz="0" w:space="0" w:color="auto"/>
        <w:left w:val="none" w:sz="0" w:space="0" w:color="auto"/>
        <w:bottom w:val="none" w:sz="0" w:space="0" w:color="auto"/>
        <w:right w:val="none" w:sz="0" w:space="0" w:color="auto"/>
      </w:divBdr>
    </w:div>
    <w:div w:id="2078816146">
      <w:bodyDiv w:val="1"/>
      <w:marLeft w:val="0"/>
      <w:marRight w:val="0"/>
      <w:marTop w:val="0"/>
      <w:marBottom w:val="0"/>
      <w:divBdr>
        <w:top w:val="none" w:sz="0" w:space="0" w:color="auto"/>
        <w:left w:val="none" w:sz="0" w:space="0" w:color="auto"/>
        <w:bottom w:val="none" w:sz="0" w:space="0" w:color="auto"/>
        <w:right w:val="none" w:sz="0" w:space="0" w:color="auto"/>
      </w:divBdr>
    </w:div>
    <w:div w:id="208013303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605310">
      <w:bodyDiv w:val="1"/>
      <w:marLeft w:val="0"/>
      <w:marRight w:val="0"/>
      <w:marTop w:val="0"/>
      <w:marBottom w:val="0"/>
      <w:divBdr>
        <w:top w:val="none" w:sz="0" w:space="0" w:color="auto"/>
        <w:left w:val="none" w:sz="0" w:space="0" w:color="auto"/>
        <w:bottom w:val="none" w:sz="0" w:space="0" w:color="auto"/>
        <w:right w:val="none" w:sz="0" w:space="0" w:color="auto"/>
      </w:divBdr>
    </w:div>
    <w:div w:id="2101368350">
      <w:bodyDiv w:val="1"/>
      <w:marLeft w:val="0"/>
      <w:marRight w:val="0"/>
      <w:marTop w:val="0"/>
      <w:marBottom w:val="0"/>
      <w:divBdr>
        <w:top w:val="none" w:sz="0" w:space="0" w:color="auto"/>
        <w:left w:val="none" w:sz="0" w:space="0" w:color="auto"/>
        <w:bottom w:val="none" w:sz="0" w:space="0" w:color="auto"/>
        <w:right w:val="none" w:sz="0" w:space="0" w:color="auto"/>
      </w:divBdr>
    </w:div>
    <w:div w:id="2102330712">
      <w:bodyDiv w:val="1"/>
      <w:marLeft w:val="0"/>
      <w:marRight w:val="0"/>
      <w:marTop w:val="0"/>
      <w:marBottom w:val="0"/>
      <w:divBdr>
        <w:top w:val="none" w:sz="0" w:space="0" w:color="auto"/>
        <w:left w:val="none" w:sz="0" w:space="0" w:color="auto"/>
        <w:bottom w:val="none" w:sz="0" w:space="0" w:color="auto"/>
        <w:right w:val="none" w:sz="0" w:space="0" w:color="auto"/>
      </w:divBdr>
    </w:div>
    <w:div w:id="21088466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009168">
      <w:bodyDiv w:val="1"/>
      <w:marLeft w:val="0"/>
      <w:marRight w:val="0"/>
      <w:marTop w:val="0"/>
      <w:marBottom w:val="0"/>
      <w:divBdr>
        <w:top w:val="none" w:sz="0" w:space="0" w:color="auto"/>
        <w:left w:val="none" w:sz="0" w:space="0" w:color="auto"/>
        <w:bottom w:val="none" w:sz="0" w:space="0" w:color="auto"/>
        <w:right w:val="none" w:sz="0" w:space="0" w:color="auto"/>
      </w:divBdr>
    </w:div>
    <w:div w:id="2121990740">
      <w:bodyDiv w:val="1"/>
      <w:marLeft w:val="0"/>
      <w:marRight w:val="0"/>
      <w:marTop w:val="0"/>
      <w:marBottom w:val="0"/>
      <w:divBdr>
        <w:top w:val="none" w:sz="0" w:space="0" w:color="auto"/>
        <w:left w:val="none" w:sz="0" w:space="0" w:color="auto"/>
        <w:bottom w:val="none" w:sz="0" w:space="0" w:color="auto"/>
        <w:right w:val="none" w:sz="0" w:space="0" w:color="auto"/>
      </w:divBdr>
    </w:div>
    <w:div w:id="2123184746">
      <w:bodyDiv w:val="1"/>
      <w:marLeft w:val="0"/>
      <w:marRight w:val="0"/>
      <w:marTop w:val="0"/>
      <w:marBottom w:val="0"/>
      <w:divBdr>
        <w:top w:val="none" w:sz="0" w:space="0" w:color="auto"/>
        <w:left w:val="none" w:sz="0" w:space="0" w:color="auto"/>
        <w:bottom w:val="none" w:sz="0" w:space="0" w:color="auto"/>
        <w:right w:val="none" w:sz="0" w:space="0" w:color="auto"/>
      </w:divBdr>
    </w:div>
    <w:div w:id="2146046258">
      <w:bodyDiv w:val="1"/>
      <w:marLeft w:val="0"/>
      <w:marRight w:val="0"/>
      <w:marTop w:val="0"/>
      <w:marBottom w:val="0"/>
      <w:divBdr>
        <w:top w:val="none" w:sz="0" w:space="0" w:color="auto"/>
        <w:left w:val="none" w:sz="0" w:space="0" w:color="auto"/>
        <w:bottom w:val="none" w:sz="0" w:space="0" w:color="auto"/>
        <w:right w:val="none" w:sz="0" w:space="0" w:color="auto"/>
      </w:divBdr>
    </w:div>
    <w:div w:id="21464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r w:rsidRPr="00561874">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r w:rsidRPr="00D1240B">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E3460D9BDCC443D8B94B9EA41B1B4FDF"/>
        <w:category>
          <w:name w:val="General"/>
          <w:gallery w:val="placeholder"/>
        </w:category>
        <w:types>
          <w:type w:val="bbPlcHdr"/>
        </w:types>
        <w:behaviors>
          <w:behavior w:val="content"/>
        </w:behaviors>
        <w:guid w:val="{BDA007FD-7E9C-4081-8D70-D9D70A574C18}"/>
      </w:docPartPr>
      <w:docPartBody>
        <w:p w:rsidR="008C3B6C" w:rsidRDefault="00FE2F00">
          <w:r w:rsidRPr="00F44B5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7F8"/>
    <w:rsid w:val="00025461"/>
    <w:rsid w:val="000421B1"/>
    <w:rsid w:val="000A0B75"/>
    <w:rsid w:val="000A0C3B"/>
    <w:rsid w:val="000A52C0"/>
    <w:rsid w:val="000B3A98"/>
    <w:rsid w:val="000E14E7"/>
    <w:rsid w:val="00116E5C"/>
    <w:rsid w:val="001361B8"/>
    <w:rsid w:val="001476C7"/>
    <w:rsid w:val="00160D90"/>
    <w:rsid w:val="00164B5A"/>
    <w:rsid w:val="002137F4"/>
    <w:rsid w:val="00223960"/>
    <w:rsid w:val="00252452"/>
    <w:rsid w:val="002550FD"/>
    <w:rsid w:val="0029484D"/>
    <w:rsid w:val="002E0DDA"/>
    <w:rsid w:val="00350199"/>
    <w:rsid w:val="00353CEA"/>
    <w:rsid w:val="00357127"/>
    <w:rsid w:val="0037126F"/>
    <w:rsid w:val="003748B3"/>
    <w:rsid w:val="003A04DC"/>
    <w:rsid w:val="003A6451"/>
    <w:rsid w:val="003A7D24"/>
    <w:rsid w:val="00402273"/>
    <w:rsid w:val="004552F2"/>
    <w:rsid w:val="00485FB7"/>
    <w:rsid w:val="004A7BA2"/>
    <w:rsid w:val="004C3C6E"/>
    <w:rsid w:val="004E1667"/>
    <w:rsid w:val="004E3CE0"/>
    <w:rsid w:val="00511494"/>
    <w:rsid w:val="00576E03"/>
    <w:rsid w:val="00576F78"/>
    <w:rsid w:val="00583D8F"/>
    <w:rsid w:val="005A1920"/>
    <w:rsid w:val="005D7ECE"/>
    <w:rsid w:val="005F3245"/>
    <w:rsid w:val="00612FF0"/>
    <w:rsid w:val="006322CD"/>
    <w:rsid w:val="00645809"/>
    <w:rsid w:val="0066523F"/>
    <w:rsid w:val="00682070"/>
    <w:rsid w:val="006A04C2"/>
    <w:rsid w:val="006A0540"/>
    <w:rsid w:val="007060F1"/>
    <w:rsid w:val="007154C5"/>
    <w:rsid w:val="0077107A"/>
    <w:rsid w:val="00780702"/>
    <w:rsid w:val="00780C80"/>
    <w:rsid w:val="007865E0"/>
    <w:rsid w:val="007900AB"/>
    <w:rsid w:val="0079701A"/>
    <w:rsid w:val="007C121A"/>
    <w:rsid w:val="007F1081"/>
    <w:rsid w:val="008234D8"/>
    <w:rsid w:val="00835E07"/>
    <w:rsid w:val="008375F1"/>
    <w:rsid w:val="0087134D"/>
    <w:rsid w:val="00883EB5"/>
    <w:rsid w:val="008847E5"/>
    <w:rsid w:val="00886503"/>
    <w:rsid w:val="008B0C6C"/>
    <w:rsid w:val="008C3B6C"/>
    <w:rsid w:val="008E6E67"/>
    <w:rsid w:val="008F0EFA"/>
    <w:rsid w:val="00910841"/>
    <w:rsid w:val="00920DF1"/>
    <w:rsid w:val="00951F40"/>
    <w:rsid w:val="00972B41"/>
    <w:rsid w:val="00976FA9"/>
    <w:rsid w:val="009B01AF"/>
    <w:rsid w:val="009C4285"/>
    <w:rsid w:val="009E3499"/>
    <w:rsid w:val="009E4F28"/>
    <w:rsid w:val="009F3E77"/>
    <w:rsid w:val="00A0311D"/>
    <w:rsid w:val="00A61F74"/>
    <w:rsid w:val="00A93F11"/>
    <w:rsid w:val="00AA12E0"/>
    <w:rsid w:val="00AD6E3B"/>
    <w:rsid w:val="00B22665"/>
    <w:rsid w:val="00B320D4"/>
    <w:rsid w:val="00B506E6"/>
    <w:rsid w:val="00B92D56"/>
    <w:rsid w:val="00BB28BD"/>
    <w:rsid w:val="00BB2BAA"/>
    <w:rsid w:val="00BB7B6D"/>
    <w:rsid w:val="00BE2CAC"/>
    <w:rsid w:val="00C21043"/>
    <w:rsid w:val="00CA10A9"/>
    <w:rsid w:val="00CA123F"/>
    <w:rsid w:val="00CD10A9"/>
    <w:rsid w:val="00CE4B0C"/>
    <w:rsid w:val="00CF0687"/>
    <w:rsid w:val="00D132D3"/>
    <w:rsid w:val="00D24285"/>
    <w:rsid w:val="00D473D4"/>
    <w:rsid w:val="00D75606"/>
    <w:rsid w:val="00D86205"/>
    <w:rsid w:val="00D939D6"/>
    <w:rsid w:val="00DA03A3"/>
    <w:rsid w:val="00DA7938"/>
    <w:rsid w:val="00DB4022"/>
    <w:rsid w:val="00DC4D3C"/>
    <w:rsid w:val="00DC572F"/>
    <w:rsid w:val="00DD7BA4"/>
    <w:rsid w:val="00E24D23"/>
    <w:rsid w:val="00E262FB"/>
    <w:rsid w:val="00E318CE"/>
    <w:rsid w:val="00E646E1"/>
    <w:rsid w:val="00F104D1"/>
    <w:rsid w:val="00F72710"/>
    <w:rsid w:val="00F906B3"/>
    <w:rsid w:val="00FB1DAC"/>
    <w:rsid w:val="00FB2AEA"/>
    <w:rsid w:val="00FE2F00"/>
    <w:rsid w:val="00FF5F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F00"/>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 w:type="paragraph" w:customStyle="1" w:styleId="7B9BDFF14BD54958B10F73A803ABCB8B">
    <w:name w:val="7B9BDFF14BD54958B10F73A803ABCB8B"/>
    <w:rsid w:val="00972B41"/>
  </w:style>
  <w:style w:type="paragraph" w:customStyle="1" w:styleId="7D0BDABF75494E2290A9356F8EA37A33">
    <w:name w:val="7D0BDABF75494E2290A9356F8EA37A33"/>
    <w:rsid w:val="00FE2F00"/>
    <w:pPr>
      <w:spacing w:line="278" w:lineRule="auto"/>
    </w:pPr>
    <w:rPr>
      <w:kern w:val="2"/>
      <w:sz w:val="24"/>
      <w:szCs w:val="24"/>
      <w14:ligatures w14:val="standardContextual"/>
    </w:rPr>
  </w:style>
  <w:style w:type="paragraph" w:customStyle="1" w:styleId="4A2645791BBF43ECB9A1BFF5EDAEF43C">
    <w:name w:val="4A2645791BBF43ECB9A1BFF5EDAEF43C"/>
    <w:rsid w:val="00FE2F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IAEA35</b:Tag>
    <b:SourceType>Book</b:SourceType>
    <b:Guid>{D005B632-902D-43C0-AEC5-7C75DB08B6EA}</b:Guid>
    <b:Author>
      <b:Author>
        <b:Corporate>IAEA</b:Corporate>
      </b:Author>
    </b:Author>
    <b:Title>Nuclear Energy Series, No. NP-T-3.5, Ageing Management of Concrete Structures in Nuclear Power Plants</b:Title>
    <b:RefOrder>9</b:RefOrder>
  </b:Source>
  <b:Source>
    <b:Tag>IAE162</b:Tag>
    <b:SourceType>Report</b:SourceType>
    <b:Guid>{6C5F59F7-5CA7-4855-8622-8605B58311B9}</b:Guid>
    <b:Author>
      <b:Author>
        <b:Corporate>IAEA</b:Corporate>
      </b:Author>
    </b:Author>
    <b:Title>Safety of Nuclear Power Plants: Design, SSR-2/1 (Rev. 1)</b:Title>
    <b:Year>2016</b:Year>
    <b:RefOrder>6</b:RefOrder>
  </b:Source>
  <b:Source>
    <b:Tag>WEN</b:Tag>
    <b:SourceType>Report</b:SourceType>
    <b:Guid>{2F509F51-5706-4159-9132-15A73FD5B959}</b:Guid>
    <b:Author>
      <b:Author>
        <b:Corporate>WENRA</b:Corporate>
      </b:Author>
    </b:Author>
    <b:Title>Safety Reference Levels for Existing Reactors 2020</b:Title>
    <b:RefOrder>3</b:RefOrder>
  </b:Source>
  <b:Source>
    <b:Tag>WEN10</b:Tag>
    <b:SourceType>Report</b:SourceType>
    <b:Guid>{8F81DD58-41ED-4DB5-B75B-483981165534}</b:Guid>
    <b:Author>
      <b:Author>
        <b:Corporate>WENRA</b:Corporate>
      </b:Author>
    </b:Author>
    <b:Title>Statement on Safety objectives for new nuclear power plants</b:Title>
    <b:Year>November 2010</b:Year>
    <b:RefOrder>4</b:RefOrder>
  </b:Source>
  <b:Source>
    <b:Tag>WEN13</b:Tag>
    <b:SourceType>Report</b:SourceType>
    <b:Guid>{B9BEEBD2-C9A1-4CC4-8D43-1075A6DE9C52}</b:Guid>
    <b:Author>
      <b:Author>
        <b:Corporate>WENRA</b:Corporate>
      </b:Author>
    </b:Author>
    <b:Title>Safety of new NPP designs</b:Title>
    <b:Year>March 2013</b:Year>
    <b:RefOrder>5</b:RefOrder>
  </b:Source>
  <b:Source>
    <b:Tag>IAE19</b:Tag>
    <b:SourceType>Report</b:SourceType>
    <b:Guid>{0B9FA3CE-6ACC-4DF2-9DE0-DE37DC0D10CB}</b:Guid>
    <b:Author>
      <b:Author>
        <b:Corporate>IAEA</b:Corporate>
      </b:Author>
    </b:Author>
    <b:Title>SSG-53, Design of the Reactor Containment and Associated Systems for Nuclear Power Plants</b:Title>
    <b:Year>2019</b:Year>
    <b:RefOrder>7</b:RefOrder>
  </b:Source>
  <b:Source>
    <b:Tag>IAE11</b:Tag>
    <b:SourceType>Report</b:SourceType>
    <b:Guid>{F80BC733-3CE4-47A4-8883-4BD180E4DE12}</b:Guid>
    <b:Author>
      <b:Author>
        <b:Corporate>IAEA</b:Corporate>
      </b:Author>
    </b:Author>
    <b:Title>NP-T-2.5, Construction Technologies for Nuclear Power Plants</b:Title>
    <b:Year>2011</b:Year>
    <b:RefOrder>8</b:RefOrder>
  </b:Source>
  <b:Source>
    <b:Tag>BSI3</b:Tag>
    <b:SourceType>Report</b:SourceType>
    <b:Guid>{5CEE4A5C-E5E3-4895-BCFD-5AAC5FA75885}</b:Guid>
    <b:Author>
      <b:Author>
        <b:Corporate>BSI</b:Corporate>
      </b:Author>
    </b:Author>
    <b:Title>BS 4975:1990, Specification for Prestressed concrete pressure vessels for nuclear engineering</b:Title>
    <b:RefOrder>10</b:RefOrder>
  </b:Source>
  <b:Source>
    <b:Tag>NEA15</b:Tag>
    <b:SourceType>Report</b:SourceType>
    <b:Guid>{8079A56D-4A78-4D5E-9689-6B468937728E}</b:Guid>
    <b:Author>
      <b:Author>
        <b:Corporate>NEA</b:Corporate>
      </b:Author>
    </b:Author>
    <b:Title>NEA/CSNI/R(2015)5, 'Bonded or Un-bonded Technologies for Nuclear Reactor Pre-stressed Concrete Containments'</b:Title>
    <b:Year>June 2015</b:Year>
    <b:RefOrder>11</b:RefOrder>
  </b:Source>
  <b:Source>
    <b:Tag>IAE221</b:Tag>
    <b:SourceType>Report</b:SourceType>
    <b:Guid>{90DFE834-3A13-48C4-B185-2B1FE9E91D6B}</b:Guid>
    <b:Author>
      <b:Author>
        <b:Corporate>IAEA</b:Corporate>
      </b:Author>
    </b:Author>
    <b:Title>SSG-74, Maintenance, Testing, Surveillance and Inspection in Nuclear Power Plants</b:Title>
    <b:Year>2022</b:Year>
    <b:RefOrder>12</b:RefOrder>
  </b:Source>
  <b:Source>
    <b:Tag>ASM25</b:Tag>
    <b:SourceType>Report</b:SourceType>
    <b:Guid>{E8C53B84-F92F-4C17-B6BE-6B0A4E773F9C}</b:Guid>
    <b:Author>
      <b:Author>
        <b:Corporate>ASME</b:Corporate>
      </b:Author>
    </b:Author>
    <b:Title>BPVC.XI.1 - Rules for Inservice Inspection of Nuclear Power Plant Components</b:Title>
    <b:Year>2025</b:Year>
    <b:RefOrder>14</b:RefOrder>
  </b:Source>
  <b:Source>
    <b:Tag>ASM</b:Tag>
    <b:SourceType>Report</b:SourceType>
    <b:Guid>{2764924B-2C06-45B5-985B-8FEA165CEFD7}</b:Guid>
    <b:Author>
      <b:Author>
        <b:Corporate>ASME</b:Corporate>
      </b:Author>
    </b:Author>
    <b:Title>BPVC.III.2 - Rules for Construction of Nuclear Facility Components - Code for Concrete Containments</b:Title>
    <b:Year>2025</b:Year>
    <b:RefOrder>13</b:RefOrder>
  </b:Source>
  <b:Source>
    <b:Tag>USN</b:Tag>
    <b:SourceType>Report</b:SourceType>
    <b:Guid>{84CA6160-671C-4354-9276-FD65F3764EBE}</b:Guid>
    <b:Author>
      <b:Author>
        <b:Corporate>USNRC</b:Corporate>
      </b:Author>
    </b:Author>
    <b:Title>NRC Regulations Title 10, Code of Federal Regulations, Part 50 - Domestic Licensing of Production and Utilization Facilities</b:Title>
    <b:RefOrder>15</b:RefOrder>
  </b:Source>
  <b:Source>
    <b:Tag>ONR18</b:Tag>
    <b:SourceType>Report</b:SourceType>
    <b:Guid>{85F9AEC7-835E-4E36-90B4-2CBB277C904F}</b:Guid>
    <b:Author>
      <b:Author>
        <b:Corporate>ONR</b:Corporate>
      </b:Author>
    </b:Author>
    <b:Title>ONR-RD-REF-002, 'List of regulatory acronyms, abbreviations and initialisms'</b:Title>
    <b:Year>2025</b:Year>
    <b:RefOrder>16</b:RefOrder>
  </b:Source>
  <b:Source>
    <b:Tag>NST1</b:Tag>
    <b:SourceType>DocumentFromInternetSite</b:SourceType>
    <b:Guid>{309C78BD-86A5-4C80-8997-9AAC22CBD57C}</b:Guid>
    <b:Title>NS-TAST-GD-017 - Civil Engineering</b:Title>
    <b:Author>
      <b:Author>
        <b:Corporate>ONR</b:Corporate>
      </b:Author>
    </b:Author>
    <b:URL>ONR website</b:URL>
    <b:RefOrder>1</b:RefOrder>
  </b:Source>
  <b:Source>
    <b:Tag>ONR2013</b:Tag>
    <b:SourceType>DocumentFromInternetSite</b:SourceType>
    <b:Guid>{71068E37-70B3-42AE-8019-4CEA2AC6BF12}</b:Guid>
    <b:Author>
      <b:Author>
        <b:Corporate>ONR</b:Corporate>
      </b:Author>
    </b:Author>
    <b:Title>Safety Assessment Principles (SAPs) for Nuclear Facilities - 2014 Edition (Revision 1)</b:Title>
    <b:Year>2020</b:Year>
    <b:Month>January</b:Month>
    <b:URL>ONR website</b:URL>
    <b:RefOrder>2</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9E788C-7818-4BE9-8457-D1B4C31A30B0}">
  <ds:schemaRefs>
    <ds:schemaRef ds:uri="http://schemas.openxmlformats.org/officeDocument/2006/bibliography"/>
  </ds:schemaRefs>
</ds:datastoreItem>
</file>

<file path=customXml/itemProps3.xml><?xml version="1.0" encoding="utf-8"?>
<ds:datastoreItem xmlns:ds="http://schemas.openxmlformats.org/officeDocument/2006/customXml" ds:itemID="{B72F423C-408D-4B3F-B8D3-F7A0D6DAA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D4A40-3ABD-4855-AD88-185BE692DF94}">
  <ds:schemaRefs>
    <ds:schemaRef ds:uri="Microsoft.SharePoint.Taxonomy.ContentTypeSync"/>
  </ds:schemaRefs>
</ds:datastoreItem>
</file>

<file path=customXml/itemProps5.xml><?xml version="1.0" encoding="utf-8"?>
<ds:datastoreItem xmlns:ds="http://schemas.openxmlformats.org/officeDocument/2006/customXml" ds:itemID="{CE1B7E6E-02CD-4C87-8819-454EA053C0AF}">
  <ds:schemaRefs>
    <ds:schemaRef ds:uri="http://schemas.microsoft.com/sharepoint/events"/>
  </ds:schemaRefs>
</ds:datastoreItem>
</file>

<file path=customXml/itemProps6.xml><?xml version="1.0" encoding="utf-8"?>
<ds:datastoreItem xmlns:ds="http://schemas.openxmlformats.org/officeDocument/2006/customXml" ds:itemID="{AE906C2F-1AAB-4F8A-BF9F-8AC4EAC9D924}">
  <ds:schemaRefs>
    <ds:schemaRef ds:uri="http://schemas.microsoft.com/sharepoint/v3/contenttype/forms"/>
  </ds:schemaRefs>
</ds:datastoreItem>
</file>

<file path=customXml/itemProps7.xml><?xml version="1.0" encoding="utf-8"?>
<ds:datastoreItem xmlns:ds="http://schemas.openxmlformats.org/officeDocument/2006/customXml" ds:itemID="{C4A1ACD2-8543-4E5C-BBC4-666565D11C91}">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31</Pages>
  <Words>8698</Words>
  <Characters>51407</Characters>
  <Application>Microsoft Office Word</Application>
  <DocSecurity>0</DocSecurity>
  <Lines>1285</Lines>
  <Paragraphs>732</Paragraphs>
  <ScaleCrop>false</ScaleCrop>
  <Manager>Office for Nuclear Regulation</Manager>
  <Company>Office for Nuclear Regulation</Company>
  <LinksUpToDate>false</LinksUpToDate>
  <CharactersWithSpaces>59373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2) – Containment structures</dc:title>
  <dc:subject>[Subtitle or description]</dc:subject>
  <cp:keywords>[Key words separated by commas]</cp:keywords>
  <dc:description/>
  <cp:revision>3</cp:revision>
  <cp:lastPrinted>2016-11-28T11:35:00Z</cp:lastPrinted>
  <dcterms:created xsi:type="dcterms:W3CDTF">2026-07-10T13:50:00Z</dcterms:created>
  <dcterms:modified xsi:type="dcterms:W3CDTF">2026-07-10T13:50:00Z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