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E9969" w14:textId="18AD8482" w:rsidR="007A779A" w:rsidRDefault="007A779A" w:rsidP="007A779A"/>
    <w:p w14:paraId="6980480E" w14:textId="77777777" w:rsidR="007A779A" w:rsidRPr="005A2796" w:rsidRDefault="007A779A" w:rsidP="007A779A">
      <w:pPr>
        <w:jc w:val="center"/>
        <w:rPr>
          <w:rFonts w:ascii="Arial" w:hAnsi="Arial" w:cs="Arial"/>
          <w:b/>
        </w:rPr>
      </w:pPr>
      <w:r w:rsidRPr="005A2796">
        <w:rPr>
          <w:rFonts w:ascii="Arial" w:hAnsi="Arial" w:cs="Arial"/>
          <w:b/>
        </w:rPr>
        <w:t xml:space="preserve">Minutes of the ONR Board </w:t>
      </w:r>
    </w:p>
    <w:p w14:paraId="79593C0A" w14:textId="47988379" w:rsidR="007A779A" w:rsidRPr="005A2796" w:rsidRDefault="007A779A" w:rsidP="007A779A">
      <w:pPr>
        <w:jc w:val="center"/>
        <w:rPr>
          <w:rFonts w:ascii="Arial" w:hAnsi="Arial" w:cs="Arial"/>
          <w:b/>
        </w:rPr>
      </w:pPr>
      <w:r w:rsidRPr="005A2796">
        <w:rPr>
          <w:rFonts w:ascii="Arial" w:hAnsi="Arial" w:cs="Arial"/>
          <w:b/>
        </w:rPr>
        <w:t>2</w:t>
      </w:r>
      <w:r w:rsidR="00F17CFD" w:rsidRPr="005A2796">
        <w:rPr>
          <w:rFonts w:ascii="Arial" w:hAnsi="Arial" w:cs="Arial"/>
          <w:b/>
        </w:rPr>
        <w:t>4</w:t>
      </w:r>
      <w:r w:rsidRPr="005A2796">
        <w:rPr>
          <w:rFonts w:ascii="Arial" w:hAnsi="Arial" w:cs="Arial"/>
          <w:b/>
        </w:rPr>
        <w:t xml:space="preserve"> February 202</w:t>
      </w:r>
      <w:r w:rsidR="00DD12A8" w:rsidRPr="005A2796">
        <w:rPr>
          <w:rFonts w:ascii="Arial" w:hAnsi="Arial" w:cs="Arial"/>
          <w:b/>
        </w:rPr>
        <w:t>5</w:t>
      </w:r>
    </w:p>
    <w:p w14:paraId="6F614E9B" w14:textId="3554361E" w:rsidR="007A779A" w:rsidRPr="005A2796" w:rsidRDefault="007A779A" w:rsidP="007A779A">
      <w:pPr>
        <w:jc w:val="center"/>
        <w:rPr>
          <w:rFonts w:ascii="Arial" w:hAnsi="Arial" w:cs="Arial"/>
          <w:b/>
        </w:rPr>
      </w:pPr>
      <w:r w:rsidRPr="005A2796">
        <w:rPr>
          <w:rFonts w:ascii="Arial" w:hAnsi="Arial" w:cs="Arial"/>
          <w:b/>
        </w:rPr>
        <w:t>MS Teams</w:t>
      </w:r>
    </w:p>
    <w:p w14:paraId="03117DA2" w14:textId="77777777" w:rsidR="007A779A" w:rsidRDefault="007A779A" w:rsidP="007A779A">
      <w:pPr>
        <w:rPr>
          <w:rFonts w:ascii="Arial" w:hAnsi="Arial" w:cs="Arial"/>
          <w:b/>
        </w:rPr>
      </w:pPr>
      <w:r w:rsidRPr="005A2796">
        <w:rPr>
          <w:rFonts w:ascii="Arial" w:hAnsi="Arial" w:cs="Arial"/>
          <w:b/>
        </w:rPr>
        <w:t>Present:</w:t>
      </w:r>
    </w:p>
    <w:p w14:paraId="38294D08" w14:textId="77777777" w:rsidR="00927AD0" w:rsidRPr="005A2796" w:rsidRDefault="00927AD0" w:rsidP="007A779A">
      <w:pPr>
        <w:rPr>
          <w:rFonts w:ascii="Arial" w:hAnsi="Arial" w:cs="Arial"/>
          <w:b/>
        </w:rPr>
      </w:pPr>
    </w:p>
    <w:p w14:paraId="510D63ED" w14:textId="704D173E" w:rsidR="007A779A" w:rsidRPr="005A2796" w:rsidRDefault="007A779A" w:rsidP="007A779A">
      <w:pPr>
        <w:rPr>
          <w:rFonts w:ascii="Arial" w:hAnsi="Arial" w:cs="Arial"/>
          <w:b/>
        </w:rPr>
      </w:pPr>
      <w:r w:rsidRPr="005A2796">
        <w:rPr>
          <w:rFonts w:ascii="Arial" w:hAnsi="Arial" w:cs="Arial"/>
          <w:b/>
        </w:rPr>
        <w:t>Members</w:t>
      </w:r>
      <w:r w:rsidRPr="005A2796">
        <w:rPr>
          <w:rFonts w:ascii="Arial" w:hAnsi="Arial" w:cs="Arial"/>
          <w:b/>
        </w:rPr>
        <w:tab/>
      </w:r>
      <w:r w:rsidRPr="005A2796">
        <w:rPr>
          <w:rFonts w:ascii="Arial" w:hAnsi="Arial" w:cs="Arial"/>
          <w:b/>
        </w:rPr>
        <w:tab/>
      </w:r>
      <w:r w:rsidRPr="005A2796">
        <w:rPr>
          <w:rFonts w:ascii="Arial" w:hAnsi="Arial" w:cs="Arial"/>
          <w:b/>
        </w:rPr>
        <w:tab/>
      </w:r>
      <w:r w:rsidRPr="005A2796">
        <w:rPr>
          <w:rFonts w:ascii="Arial" w:hAnsi="Arial" w:cs="Arial"/>
          <w:b/>
        </w:rPr>
        <w:tab/>
      </w:r>
      <w:r w:rsidRPr="005A2796">
        <w:rPr>
          <w:rFonts w:ascii="Arial" w:hAnsi="Arial" w:cs="Arial"/>
          <w:b/>
        </w:rPr>
        <w:tab/>
      </w:r>
      <w:r w:rsidRPr="005A2796">
        <w:rPr>
          <w:rFonts w:ascii="Arial" w:hAnsi="Arial" w:cs="Arial"/>
          <w:b/>
        </w:rPr>
        <w:tab/>
      </w:r>
    </w:p>
    <w:p w14:paraId="09BF5E29" w14:textId="19EA007C" w:rsidR="007A779A" w:rsidRPr="005A2796" w:rsidRDefault="007A779A" w:rsidP="007A779A">
      <w:pPr>
        <w:ind w:left="5040" w:right="-760" w:hanging="5040"/>
        <w:rPr>
          <w:rFonts w:ascii="Arial" w:hAnsi="Arial" w:cs="Arial"/>
        </w:rPr>
      </w:pPr>
      <w:r w:rsidRPr="005A2796">
        <w:rPr>
          <w:rFonts w:ascii="Arial" w:hAnsi="Arial" w:cs="Arial"/>
        </w:rPr>
        <w:t>Judith Hackitt - Chair</w:t>
      </w:r>
      <w:r w:rsidRPr="005A2796">
        <w:rPr>
          <w:rFonts w:ascii="Arial" w:hAnsi="Arial" w:cs="Arial"/>
        </w:rPr>
        <w:tab/>
        <w:t xml:space="preserve"> </w:t>
      </w:r>
    </w:p>
    <w:p w14:paraId="2AEEDCF3" w14:textId="48FD256B" w:rsidR="00BE65FC" w:rsidRPr="00927AD0" w:rsidRDefault="00325F62" w:rsidP="008D369A">
      <w:pPr>
        <w:ind w:left="5040" w:right="-760" w:hanging="5040"/>
        <w:rPr>
          <w:rFonts w:ascii="Arial" w:hAnsi="Arial" w:cs="Arial"/>
        </w:rPr>
      </w:pPr>
      <w:r w:rsidRPr="00927AD0">
        <w:rPr>
          <w:rFonts w:ascii="Arial" w:hAnsi="Arial" w:cs="Arial"/>
        </w:rPr>
        <w:t xml:space="preserve">Jean Llewellyn </w:t>
      </w:r>
      <w:r w:rsidRPr="005A2796">
        <w:rPr>
          <w:rFonts w:ascii="Arial" w:hAnsi="Arial" w:cs="Arial"/>
        </w:rPr>
        <w:t>- Non-Executive Director</w:t>
      </w:r>
    </w:p>
    <w:p w14:paraId="0D8BF3F5" w14:textId="07E9AF18" w:rsidR="007A779A" w:rsidRPr="00927AD0" w:rsidRDefault="007A779A" w:rsidP="008D369A">
      <w:pPr>
        <w:ind w:left="5040" w:right="-760" w:hanging="5040"/>
        <w:rPr>
          <w:rFonts w:ascii="Arial" w:hAnsi="Arial" w:cs="Arial"/>
        </w:rPr>
      </w:pPr>
      <w:r w:rsidRPr="00927AD0">
        <w:rPr>
          <w:rFonts w:ascii="Arial" w:hAnsi="Arial" w:cs="Arial"/>
        </w:rPr>
        <w:t xml:space="preserve">Sarika Patel - Non-Executive Director </w:t>
      </w:r>
      <w:r w:rsidRPr="00927AD0">
        <w:rPr>
          <w:rFonts w:ascii="Arial" w:hAnsi="Arial" w:cs="Arial"/>
        </w:rPr>
        <w:tab/>
      </w:r>
      <w:r w:rsidR="00A22EF0" w:rsidRPr="00927AD0">
        <w:rPr>
          <w:rFonts w:ascii="Arial" w:hAnsi="Arial" w:cs="Arial"/>
        </w:rPr>
        <w:t xml:space="preserve"> </w:t>
      </w:r>
    </w:p>
    <w:p w14:paraId="1730E9AA" w14:textId="2B9026A9" w:rsidR="007A779A" w:rsidRPr="005A2796" w:rsidRDefault="007A779A" w:rsidP="008D369A">
      <w:pPr>
        <w:ind w:right="-760"/>
        <w:rPr>
          <w:rFonts w:ascii="Arial" w:hAnsi="Arial" w:cs="Arial"/>
        </w:rPr>
      </w:pPr>
      <w:r w:rsidRPr="005A2796">
        <w:rPr>
          <w:rFonts w:ascii="Arial" w:hAnsi="Arial" w:cs="Arial"/>
        </w:rPr>
        <w:t>Tracey Matthews - Non-Executive Director</w:t>
      </w:r>
      <w:r w:rsidRPr="005A2796">
        <w:rPr>
          <w:rFonts w:ascii="Arial" w:hAnsi="Arial" w:cs="Arial"/>
        </w:rPr>
        <w:tab/>
        <w:t xml:space="preserve"> </w:t>
      </w:r>
    </w:p>
    <w:p w14:paraId="4A80DF45" w14:textId="1A50DF38" w:rsidR="007A779A" w:rsidRPr="005A2796" w:rsidRDefault="007A779A" w:rsidP="007A779A">
      <w:pPr>
        <w:ind w:left="5040" w:right="-760" w:hanging="5040"/>
        <w:rPr>
          <w:rFonts w:ascii="Arial" w:hAnsi="Arial" w:cs="Arial"/>
        </w:rPr>
      </w:pPr>
      <w:r w:rsidRPr="005A2796">
        <w:rPr>
          <w:rFonts w:ascii="Arial" w:hAnsi="Arial" w:cs="Arial"/>
        </w:rPr>
        <w:t xml:space="preserve">Janet Wilson - Non-Executive Director </w:t>
      </w:r>
      <w:r w:rsidR="001A505B" w:rsidRPr="005A2796">
        <w:rPr>
          <w:rFonts w:ascii="Arial" w:hAnsi="Arial" w:cs="Arial"/>
        </w:rPr>
        <w:tab/>
      </w:r>
    </w:p>
    <w:p w14:paraId="4D0242F7" w14:textId="10018669" w:rsidR="007A779A" w:rsidRPr="005A2796" w:rsidRDefault="007A779A" w:rsidP="007A779A">
      <w:pPr>
        <w:ind w:left="5040" w:right="-760" w:hanging="5040"/>
        <w:rPr>
          <w:rFonts w:ascii="Arial" w:hAnsi="Arial" w:cs="Arial"/>
          <w:b/>
          <w:bCs/>
        </w:rPr>
      </w:pPr>
      <w:r w:rsidRPr="005A2796">
        <w:rPr>
          <w:rFonts w:ascii="Arial" w:hAnsi="Arial" w:cs="Arial"/>
        </w:rPr>
        <w:t>Roger Hardy- Non-Executive Director</w:t>
      </w:r>
      <w:r w:rsidRPr="005A2796">
        <w:rPr>
          <w:rFonts w:ascii="Arial" w:hAnsi="Arial" w:cs="Arial"/>
        </w:rPr>
        <w:tab/>
      </w:r>
      <w:r w:rsidR="00825C5D" w:rsidRPr="005A2796">
        <w:rPr>
          <w:rFonts w:ascii="Arial" w:hAnsi="Arial" w:cs="Arial"/>
        </w:rPr>
        <w:t xml:space="preserve"> </w:t>
      </w:r>
    </w:p>
    <w:p w14:paraId="6ACFE2F5" w14:textId="75C13455" w:rsidR="007A779A" w:rsidRPr="005A2796" w:rsidRDefault="007A779A" w:rsidP="007A779A">
      <w:pPr>
        <w:ind w:left="5040" w:right="-760" w:hanging="5040"/>
        <w:rPr>
          <w:rFonts w:ascii="Arial" w:hAnsi="Arial" w:cs="Arial"/>
        </w:rPr>
      </w:pPr>
      <w:r w:rsidRPr="005A2796">
        <w:rPr>
          <w:rFonts w:ascii="Arial" w:hAnsi="Arial" w:cs="Arial"/>
        </w:rPr>
        <w:t xml:space="preserve">Mark Foy - Chief Executive / Chief Nuclear </w:t>
      </w:r>
      <w:r w:rsidRPr="005A2796">
        <w:rPr>
          <w:rFonts w:ascii="Arial" w:hAnsi="Arial" w:cs="Arial"/>
        </w:rPr>
        <w:tab/>
      </w:r>
      <w:r w:rsidR="001A505B" w:rsidRPr="005A2796">
        <w:rPr>
          <w:rFonts w:ascii="Arial" w:hAnsi="Arial" w:cs="Arial"/>
        </w:rPr>
        <w:t xml:space="preserve"> </w:t>
      </w:r>
    </w:p>
    <w:p w14:paraId="61C57CAE" w14:textId="0DB4FD51" w:rsidR="00DD23F7" w:rsidRPr="005A2796" w:rsidRDefault="007A779A" w:rsidP="008D369A">
      <w:pPr>
        <w:ind w:left="5040" w:right="-760" w:hanging="5040"/>
        <w:rPr>
          <w:rFonts w:ascii="Arial" w:hAnsi="Arial" w:cs="Arial"/>
        </w:rPr>
      </w:pPr>
      <w:r w:rsidRPr="005A2796">
        <w:rPr>
          <w:rFonts w:ascii="Arial" w:hAnsi="Arial" w:cs="Arial"/>
        </w:rPr>
        <w:t>Inspector</w:t>
      </w:r>
      <w:r w:rsidR="002A2C7A">
        <w:rPr>
          <w:rFonts w:ascii="Arial" w:hAnsi="Arial" w:cs="Arial"/>
        </w:rPr>
        <w:t xml:space="preserve"> (CE/CNI)</w:t>
      </w:r>
    </w:p>
    <w:p w14:paraId="308422FB" w14:textId="6860F65C" w:rsidR="00F47772" w:rsidRPr="005A2796" w:rsidRDefault="00F47772" w:rsidP="00F47772">
      <w:pPr>
        <w:rPr>
          <w:rFonts w:ascii="Arial" w:hAnsi="Arial" w:cs="Arial"/>
        </w:rPr>
      </w:pPr>
      <w:r w:rsidRPr="005A2796">
        <w:rPr>
          <w:rFonts w:ascii="Arial" w:hAnsi="Arial" w:cs="Arial"/>
        </w:rPr>
        <w:t>Paul Fyfe</w:t>
      </w:r>
      <w:r w:rsidR="009A522C">
        <w:rPr>
          <w:rFonts w:ascii="Arial" w:hAnsi="Arial" w:cs="Arial"/>
        </w:rPr>
        <w:t>-</w:t>
      </w:r>
      <w:r w:rsidRPr="005A2796">
        <w:rPr>
          <w:rFonts w:ascii="Arial" w:hAnsi="Arial" w:cs="Arial"/>
        </w:rPr>
        <w:t xml:space="preserve"> Deputy Chief Nuclear Inspector and Senior Director Regulation</w:t>
      </w:r>
    </w:p>
    <w:p w14:paraId="583ED73E" w14:textId="169A130D" w:rsidR="00F47772" w:rsidRPr="005A2796" w:rsidRDefault="00F47772" w:rsidP="00F47772">
      <w:pPr>
        <w:rPr>
          <w:rFonts w:ascii="Arial" w:hAnsi="Arial" w:cs="Arial"/>
        </w:rPr>
      </w:pPr>
      <w:r w:rsidRPr="005A2796">
        <w:rPr>
          <w:rFonts w:ascii="Arial" w:hAnsi="Arial" w:cs="Arial"/>
        </w:rPr>
        <w:t>Rachel Grant</w:t>
      </w:r>
      <w:r w:rsidR="009A522C">
        <w:rPr>
          <w:rFonts w:ascii="Arial" w:hAnsi="Arial" w:cs="Arial"/>
        </w:rPr>
        <w:t>-</w:t>
      </w:r>
      <w:r w:rsidRPr="005A2796">
        <w:rPr>
          <w:rFonts w:ascii="Arial" w:hAnsi="Arial" w:cs="Arial"/>
        </w:rPr>
        <w:t xml:space="preserve"> Director, Strategy and Corporate Affairs</w:t>
      </w:r>
    </w:p>
    <w:p w14:paraId="7DD43A1D" w14:textId="259D1118" w:rsidR="00F47772" w:rsidRPr="005A2796" w:rsidRDefault="00F47772" w:rsidP="00F47772">
      <w:pPr>
        <w:rPr>
          <w:rFonts w:ascii="Arial" w:hAnsi="Arial" w:cs="Arial"/>
        </w:rPr>
      </w:pPr>
      <w:r w:rsidRPr="005A2796">
        <w:rPr>
          <w:rFonts w:ascii="Arial" w:hAnsi="Arial" w:cs="Arial"/>
        </w:rPr>
        <w:t>Linda Aylmore</w:t>
      </w:r>
      <w:r w:rsidR="009A522C">
        <w:rPr>
          <w:rFonts w:ascii="Arial" w:hAnsi="Arial" w:cs="Arial"/>
        </w:rPr>
        <w:t>-</w:t>
      </w:r>
      <w:r w:rsidRPr="005A2796">
        <w:rPr>
          <w:rFonts w:ascii="Arial" w:hAnsi="Arial" w:cs="Arial"/>
        </w:rPr>
        <w:t xml:space="preserve"> Finance Director</w:t>
      </w:r>
    </w:p>
    <w:p w14:paraId="4EE87809" w14:textId="3B2050B8" w:rsidR="007A779A" w:rsidRPr="005A2796" w:rsidRDefault="007A779A" w:rsidP="008D369A">
      <w:pPr>
        <w:ind w:left="5040" w:right="-760" w:hanging="5040"/>
        <w:rPr>
          <w:rFonts w:ascii="Arial" w:hAnsi="Arial" w:cs="Arial"/>
        </w:rPr>
      </w:pPr>
      <w:r w:rsidRPr="005A2796">
        <w:rPr>
          <w:rFonts w:ascii="Arial" w:hAnsi="Arial" w:cs="Arial"/>
        </w:rPr>
        <w:tab/>
      </w:r>
    </w:p>
    <w:p w14:paraId="71B37BB7" w14:textId="7AACF696" w:rsidR="007A779A" w:rsidRPr="005A2796" w:rsidRDefault="007A779A" w:rsidP="007A779A">
      <w:pPr>
        <w:ind w:left="5040" w:right="-760" w:hanging="5040"/>
        <w:rPr>
          <w:rFonts w:ascii="Arial" w:hAnsi="Arial" w:cs="Arial"/>
        </w:rPr>
      </w:pPr>
      <w:r w:rsidRPr="005A2796">
        <w:rPr>
          <w:rFonts w:ascii="Arial" w:hAnsi="Arial" w:cs="Arial"/>
        </w:rPr>
        <w:tab/>
      </w:r>
    </w:p>
    <w:p w14:paraId="0D9E1C96" w14:textId="77777777" w:rsidR="007A779A" w:rsidRPr="005A2796" w:rsidRDefault="007A779A" w:rsidP="007A779A">
      <w:pPr>
        <w:ind w:right="-760"/>
        <w:rPr>
          <w:rFonts w:ascii="Arial" w:hAnsi="Arial" w:cs="Arial"/>
        </w:rPr>
      </w:pPr>
      <w:r w:rsidRPr="005A2796">
        <w:rPr>
          <w:rFonts w:ascii="Arial" w:hAnsi="Arial" w:cs="Arial"/>
          <w:b/>
          <w:bCs/>
        </w:rPr>
        <w:t>Secretary:</w:t>
      </w:r>
      <w:r w:rsidRPr="005A2796">
        <w:rPr>
          <w:rFonts w:ascii="Arial" w:hAnsi="Arial" w:cs="Arial"/>
        </w:rPr>
        <w:t xml:space="preserve"> Nidhi Misri, Head of Corporate Governance and Compliance (Board Secretary)</w:t>
      </w:r>
    </w:p>
    <w:p w14:paraId="38872252" w14:textId="77777777" w:rsidR="00CE0F08" w:rsidRPr="005A2796" w:rsidRDefault="00CE0F08" w:rsidP="007A779A">
      <w:pPr>
        <w:ind w:right="-760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2"/>
        <w:gridCol w:w="7884"/>
      </w:tblGrid>
      <w:tr w:rsidR="00CE0F08" w:rsidRPr="005A2796" w14:paraId="1BEE6699" w14:textId="77777777" w:rsidTr="00883F1F">
        <w:tc>
          <w:tcPr>
            <w:tcW w:w="1142" w:type="dxa"/>
          </w:tcPr>
          <w:p w14:paraId="29AA48D9" w14:textId="77777777" w:rsidR="00CE0F08" w:rsidRPr="005A2796" w:rsidRDefault="00CE0F08" w:rsidP="0029015F">
            <w:pPr>
              <w:tabs>
                <w:tab w:val="left" w:pos="5347"/>
              </w:tabs>
              <w:rPr>
                <w:rFonts w:ascii="Arial" w:hAnsi="Arial" w:cs="Arial"/>
                <w:b/>
              </w:rPr>
            </w:pPr>
            <w:r w:rsidRPr="005A2796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884" w:type="dxa"/>
          </w:tcPr>
          <w:p w14:paraId="04B96ACD" w14:textId="77777777" w:rsidR="00CE0F08" w:rsidRPr="005A2796" w:rsidRDefault="00CE0F08" w:rsidP="0029015F">
            <w:pPr>
              <w:tabs>
                <w:tab w:val="left" w:pos="5347"/>
              </w:tabs>
              <w:rPr>
                <w:rFonts w:ascii="Arial" w:hAnsi="Arial" w:cs="Arial"/>
                <w:b/>
              </w:rPr>
            </w:pPr>
            <w:r w:rsidRPr="005A2796">
              <w:rPr>
                <w:rFonts w:ascii="Arial" w:hAnsi="Arial" w:cs="Arial"/>
                <w:b/>
              </w:rPr>
              <w:t xml:space="preserve">Welcome, Apologies for Absence and Declarations of Interest </w:t>
            </w:r>
          </w:p>
          <w:p w14:paraId="5842F644" w14:textId="77777777" w:rsidR="00CE0F08" w:rsidRPr="005A2796" w:rsidRDefault="00CE0F08" w:rsidP="0029015F">
            <w:pPr>
              <w:tabs>
                <w:tab w:val="left" w:pos="5347"/>
              </w:tabs>
              <w:rPr>
                <w:rFonts w:ascii="Arial" w:hAnsi="Arial" w:cs="Arial"/>
                <w:b/>
              </w:rPr>
            </w:pPr>
          </w:p>
        </w:tc>
      </w:tr>
      <w:tr w:rsidR="00CE0F08" w:rsidRPr="005A2796" w14:paraId="4CF00632" w14:textId="77777777" w:rsidTr="00883F1F">
        <w:tc>
          <w:tcPr>
            <w:tcW w:w="1142" w:type="dxa"/>
          </w:tcPr>
          <w:p w14:paraId="23E2B188" w14:textId="77777777" w:rsidR="00CE0F08" w:rsidRPr="005A2796" w:rsidRDefault="00CE0F08" w:rsidP="0029015F">
            <w:pPr>
              <w:tabs>
                <w:tab w:val="left" w:pos="5347"/>
              </w:tabs>
              <w:rPr>
                <w:rFonts w:ascii="Arial" w:hAnsi="Arial" w:cs="Arial"/>
              </w:rPr>
            </w:pPr>
            <w:r w:rsidRPr="005A2796">
              <w:rPr>
                <w:rFonts w:ascii="Arial" w:hAnsi="Arial" w:cs="Arial"/>
              </w:rPr>
              <w:t>1.1</w:t>
            </w:r>
          </w:p>
          <w:p w14:paraId="4AC17FDA" w14:textId="77777777" w:rsidR="00CE0F08" w:rsidRPr="005A2796" w:rsidRDefault="00CE0F08" w:rsidP="0029015F">
            <w:pPr>
              <w:tabs>
                <w:tab w:val="left" w:pos="5347"/>
              </w:tabs>
              <w:rPr>
                <w:rFonts w:ascii="Arial" w:hAnsi="Arial" w:cs="Arial"/>
              </w:rPr>
            </w:pPr>
          </w:p>
        </w:tc>
        <w:tc>
          <w:tcPr>
            <w:tcW w:w="7884" w:type="dxa"/>
          </w:tcPr>
          <w:p w14:paraId="0C91B596" w14:textId="41504CA3" w:rsidR="00CE0F08" w:rsidRPr="005A2796" w:rsidRDefault="00CE0F08" w:rsidP="00CE0F0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4"/>
              <w:rPr>
                <w:rFonts w:ascii="Arial" w:eastAsia="Arial" w:hAnsi="Arial" w:cs="Arial"/>
                <w:bCs/>
                <w:color w:val="auto"/>
              </w:rPr>
            </w:pPr>
            <w:r w:rsidRPr="005A2796">
              <w:rPr>
                <w:rFonts w:ascii="Arial" w:eastAsia="Arial" w:hAnsi="Arial" w:cs="Arial"/>
                <w:bCs/>
                <w:color w:val="auto"/>
              </w:rPr>
              <w:t>The Chair welcomed everyone to the meeting</w:t>
            </w:r>
            <w:r w:rsidR="00DD12A8" w:rsidRPr="005A2796">
              <w:rPr>
                <w:rFonts w:ascii="Arial" w:eastAsia="Arial" w:hAnsi="Arial" w:cs="Arial"/>
                <w:bCs/>
                <w:color w:val="auto"/>
              </w:rPr>
              <w:t xml:space="preserve">. </w:t>
            </w:r>
            <w:r w:rsidR="00EC00CC" w:rsidRPr="005A2796">
              <w:rPr>
                <w:rFonts w:ascii="Arial" w:eastAsia="Arial" w:hAnsi="Arial" w:cs="Arial"/>
                <w:bCs/>
                <w:color w:val="auto"/>
              </w:rPr>
              <w:t xml:space="preserve">There were no </w:t>
            </w:r>
            <w:r w:rsidR="00815F9E" w:rsidRPr="005A2796">
              <w:rPr>
                <w:rFonts w:ascii="Arial" w:eastAsia="Arial" w:hAnsi="Arial" w:cs="Arial"/>
                <w:bCs/>
                <w:color w:val="auto"/>
              </w:rPr>
              <w:t>declarations of interest.</w:t>
            </w:r>
          </w:p>
        </w:tc>
      </w:tr>
      <w:tr w:rsidR="00DD12A8" w:rsidRPr="005A2796" w14:paraId="259148E5" w14:textId="77777777" w:rsidTr="00DD12A8">
        <w:tc>
          <w:tcPr>
            <w:tcW w:w="1142" w:type="dxa"/>
          </w:tcPr>
          <w:p w14:paraId="1D443662" w14:textId="77777777" w:rsidR="00DD12A8" w:rsidRPr="005A2796" w:rsidRDefault="00DD12A8" w:rsidP="0029015F">
            <w:pPr>
              <w:tabs>
                <w:tab w:val="left" w:pos="5347"/>
              </w:tabs>
              <w:rPr>
                <w:rFonts w:ascii="Arial" w:hAnsi="Arial" w:cs="Arial"/>
              </w:rPr>
            </w:pPr>
          </w:p>
        </w:tc>
        <w:tc>
          <w:tcPr>
            <w:tcW w:w="7884" w:type="dxa"/>
          </w:tcPr>
          <w:p w14:paraId="5CE70400" w14:textId="77777777" w:rsidR="00DD12A8" w:rsidRPr="005A2796" w:rsidRDefault="00DD12A8" w:rsidP="0029015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4"/>
              <w:rPr>
                <w:rFonts w:ascii="Arial" w:eastAsia="Arial" w:hAnsi="Arial" w:cs="Arial"/>
                <w:bCs/>
                <w:color w:val="auto"/>
              </w:rPr>
            </w:pPr>
          </w:p>
        </w:tc>
      </w:tr>
      <w:tr w:rsidR="00CE0F08" w:rsidRPr="005A2796" w14:paraId="7B3C09DD" w14:textId="77777777" w:rsidTr="00DD12A8">
        <w:trPr>
          <w:trHeight w:val="427"/>
        </w:trPr>
        <w:tc>
          <w:tcPr>
            <w:tcW w:w="1142" w:type="dxa"/>
          </w:tcPr>
          <w:p w14:paraId="72F18F95" w14:textId="0F15679E" w:rsidR="00292E37" w:rsidRPr="005A2796" w:rsidRDefault="00CE0F08" w:rsidP="00DD12A8">
            <w:pPr>
              <w:tabs>
                <w:tab w:val="left" w:pos="5347"/>
              </w:tabs>
              <w:rPr>
                <w:rFonts w:ascii="Arial" w:hAnsi="Arial" w:cs="Arial"/>
                <w:b/>
                <w:bCs/>
              </w:rPr>
            </w:pPr>
            <w:r w:rsidRPr="005A2796">
              <w:rPr>
                <w:rFonts w:ascii="Arial" w:hAnsi="Arial" w:cs="Arial"/>
                <w:b/>
                <w:bCs/>
              </w:rPr>
              <w:t>2</w:t>
            </w:r>
            <w:r w:rsidR="008B6475" w:rsidRPr="005A2796">
              <w:rPr>
                <w:rFonts w:ascii="Arial" w:hAnsi="Arial" w:cs="Arial"/>
                <w:b/>
                <w:bCs/>
              </w:rPr>
              <w:t>.1</w:t>
            </w:r>
          </w:p>
        </w:tc>
        <w:tc>
          <w:tcPr>
            <w:tcW w:w="7884" w:type="dxa"/>
          </w:tcPr>
          <w:p w14:paraId="381E3DF7" w14:textId="67FB9927" w:rsidR="003F06EA" w:rsidRPr="005A2796" w:rsidRDefault="00C25A11" w:rsidP="00DD12A8">
            <w:pPr>
              <w:ind w:left="567" w:right="187" w:hanging="567"/>
              <w:rPr>
                <w:rFonts w:ascii="Arial" w:hAnsi="Arial" w:cs="Arial"/>
                <w:b/>
              </w:rPr>
            </w:pPr>
            <w:r w:rsidRPr="005A2796">
              <w:rPr>
                <w:rFonts w:ascii="Arial" w:hAnsi="Arial" w:cs="Arial"/>
                <w:b/>
              </w:rPr>
              <w:t>Draft Corporate Plan and Budget 2025/26</w:t>
            </w:r>
          </w:p>
        </w:tc>
      </w:tr>
      <w:tr w:rsidR="001C7C84" w:rsidRPr="005A2796" w14:paraId="481ECD9F" w14:textId="77777777" w:rsidTr="00DD12A8">
        <w:tc>
          <w:tcPr>
            <w:tcW w:w="1142" w:type="dxa"/>
          </w:tcPr>
          <w:p w14:paraId="134A680D" w14:textId="5D8D98EE" w:rsidR="001C7C84" w:rsidRPr="005A2796" w:rsidRDefault="008E2298" w:rsidP="0029015F">
            <w:pPr>
              <w:tabs>
                <w:tab w:val="left" w:pos="5347"/>
              </w:tabs>
              <w:rPr>
                <w:rFonts w:ascii="Arial" w:hAnsi="Arial" w:cs="Arial"/>
              </w:rPr>
            </w:pPr>
            <w:r w:rsidRPr="005A2796">
              <w:rPr>
                <w:rFonts w:ascii="Arial" w:hAnsi="Arial" w:cs="Arial"/>
              </w:rPr>
              <w:t>2.</w:t>
            </w:r>
            <w:r w:rsidR="008B6475" w:rsidRPr="005A2796">
              <w:rPr>
                <w:rFonts w:ascii="Arial" w:hAnsi="Arial" w:cs="Arial"/>
              </w:rPr>
              <w:t>1.1</w:t>
            </w:r>
          </w:p>
        </w:tc>
        <w:tc>
          <w:tcPr>
            <w:tcW w:w="7884" w:type="dxa"/>
          </w:tcPr>
          <w:p w14:paraId="4B35579C" w14:textId="7F232DC6" w:rsidR="00A207B7" w:rsidRPr="005A2796" w:rsidRDefault="00C25A11" w:rsidP="00A207B7">
            <w:pPr>
              <w:ind w:right="187"/>
              <w:rPr>
                <w:rFonts w:ascii="Arial" w:hAnsi="Arial" w:cs="Arial"/>
                <w:bCs/>
              </w:rPr>
            </w:pPr>
            <w:r w:rsidRPr="005A2796">
              <w:rPr>
                <w:rFonts w:ascii="Arial" w:hAnsi="Arial" w:cs="Arial"/>
                <w:bCs/>
              </w:rPr>
              <w:t>The CE</w:t>
            </w:r>
            <w:r w:rsidR="00FE3830" w:rsidRPr="005A2796">
              <w:rPr>
                <w:rFonts w:ascii="Arial" w:hAnsi="Arial" w:cs="Arial"/>
                <w:bCs/>
              </w:rPr>
              <w:t>/CNI introduced the item, setting the context for the discussion. A differ</w:t>
            </w:r>
            <w:r w:rsidR="008064A5" w:rsidRPr="005A2796">
              <w:rPr>
                <w:rFonts w:ascii="Arial" w:hAnsi="Arial" w:cs="Arial"/>
                <w:bCs/>
              </w:rPr>
              <w:t>ent approach had been taken, taking up a more joined up approach to the corporate plan and budget and ONR would be looking at consolidating</w:t>
            </w:r>
            <w:r w:rsidR="00A207B7" w:rsidRPr="005A2796">
              <w:rPr>
                <w:rFonts w:ascii="Arial" w:hAnsi="Arial" w:cs="Arial"/>
                <w:bCs/>
              </w:rPr>
              <w:t xml:space="preserve"> and build</w:t>
            </w:r>
            <w:r w:rsidR="008B6475" w:rsidRPr="005A2796">
              <w:rPr>
                <w:rFonts w:ascii="Arial" w:hAnsi="Arial" w:cs="Arial"/>
                <w:bCs/>
              </w:rPr>
              <w:t>ing</w:t>
            </w:r>
            <w:r w:rsidR="00A207B7" w:rsidRPr="005A2796">
              <w:rPr>
                <w:rFonts w:ascii="Arial" w:hAnsi="Arial" w:cs="Arial"/>
                <w:bCs/>
              </w:rPr>
              <w:t xml:space="preserve"> on that in future years.</w:t>
            </w:r>
          </w:p>
          <w:p w14:paraId="28866D60" w14:textId="7BCAC0D6" w:rsidR="00A207B7" w:rsidRPr="005A2796" w:rsidRDefault="00A207B7" w:rsidP="00A207B7">
            <w:pPr>
              <w:ind w:right="187"/>
              <w:rPr>
                <w:rFonts w:ascii="Arial" w:hAnsi="Arial" w:cs="Arial"/>
                <w:bCs/>
              </w:rPr>
            </w:pPr>
          </w:p>
        </w:tc>
      </w:tr>
      <w:tr w:rsidR="001C7C84" w:rsidRPr="005A2796" w14:paraId="2B618A47" w14:textId="77777777" w:rsidTr="00DD12A8">
        <w:tc>
          <w:tcPr>
            <w:tcW w:w="1142" w:type="dxa"/>
          </w:tcPr>
          <w:p w14:paraId="60C32D1E" w14:textId="084A8D12" w:rsidR="001C7C84" w:rsidRPr="005A2796" w:rsidRDefault="008E2298" w:rsidP="0029015F">
            <w:pPr>
              <w:tabs>
                <w:tab w:val="left" w:pos="5347"/>
              </w:tabs>
              <w:rPr>
                <w:rFonts w:ascii="Arial" w:hAnsi="Arial" w:cs="Arial"/>
              </w:rPr>
            </w:pPr>
            <w:r w:rsidRPr="005A2796">
              <w:rPr>
                <w:rFonts w:ascii="Arial" w:hAnsi="Arial" w:cs="Arial"/>
              </w:rPr>
              <w:t>2.</w:t>
            </w:r>
            <w:r w:rsidR="008B6475" w:rsidRPr="005A2796">
              <w:rPr>
                <w:rFonts w:ascii="Arial" w:hAnsi="Arial" w:cs="Arial"/>
              </w:rPr>
              <w:t>1.2</w:t>
            </w:r>
          </w:p>
        </w:tc>
        <w:tc>
          <w:tcPr>
            <w:tcW w:w="7884" w:type="dxa"/>
          </w:tcPr>
          <w:p w14:paraId="2C1B9F95" w14:textId="52F86C0E" w:rsidR="001C7C84" w:rsidRPr="005A2796" w:rsidRDefault="00A207B7" w:rsidP="001C7C84">
            <w:pPr>
              <w:ind w:right="187"/>
              <w:rPr>
                <w:rFonts w:ascii="Arial" w:hAnsi="Arial" w:cs="Arial"/>
                <w:bCs/>
              </w:rPr>
            </w:pPr>
            <w:r w:rsidRPr="005A2796">
              <w:rPr>
                <w:rFonts w:ascii="Arial" w:hAnsi="Arial" w:cs="Arial"/>
                <w:bCs/>
              </w:rPr>
              <w:t xml:space="preserve">He noted that the ask was for the Board to approve the </w:t>
            </w:r>
            <w:r w:rsidR="009940E9" w:rsidRPr="005A2796">
              <w:rPr>
                <w:rFonts w:ascii="Arial" w:hAnsi="Arial" w:cs="Arial"/>
                <w:bCs/>
              </w:rPr>
              <w:t>proposed budget of £110.</w:t>
            </w:r>
            <w:r w:rsidR="00A667A6" w:rsidRPr="005A2796">
              <w:rPr>
                <w:rFonts w:ascii="Arial" w:hAnsi="Arial" w:cs="Arial"/>
                <w:bCs/>
              </w:rPr>
              <w:t xml:space="preserve">7m </w:t>
            </w:r>
            <w:r w:rsidR="007B15DD" w:rsidRPr="005A2796">
              <w:rPr>
                <w:rFonts w:ascii="Arial" w:hAnsi="Arial" w:cs="Arial"/>
                <w:bCs/>
              </w:rPr>
              <w:t xml:space="preserve">for 2025-26, this </w:t>
            </w:r>
            <w:r w:rsidR="00FB5766" w:rsidRPr="005A2796">
              <w:rPr>
                <w:rFonts w:ascii="Arial" w:hAnsi="Arial" w:cs="Arial"/>
                <w:bCs/>
              </w:rPr>
              <w:t xml:space="preserve">included </w:t>
            </w:r>
            <w:r w:rsidR="007B15DD" w:rsidRPr="005A2796">
              <w:rPr>
                <w:rFonts w:ascii="Arial" w:hAnsi="Arial" w:cs="Arial"/>
                <w:bCs/>
              </w:rPr>
              <w:t xml:space="preserve">a 2% </w:t>
            </w:r>
            <w:r w:rsidR="00FB5766" w:rsidRPr="005A2796">
              <w:rPr>
                <w:rFonts w:ascii="Arial" w:hAnsi="Arial" w:cs="Arial"/>
                <w:bCs/>
              </w:rPr>
              <w:t xml:space="preserve">efficiency target </w:t>
            </w:r>
            <w:r w:rsidR="007B15DD" w:rsidRPr="005A2796">
              <w:rPr>
                <w:rFonts w:ascii="Arial" w:hAnsi="Arial" w:cs="Arial"/>
                <w:bCs/>
              </w:rPr>
              <w:t xml:space="preserve">and </w:t>
            </w:r>
            <w:r w:rsidR="0046332F" w:rsidRPr="005A2796">
              <w:rPr>
                <w:rFonts w:ascii="Arial" w:hAnsi="Arial" w:cs="Arial"/>
                <w:bCs/>
              </w:rPr>
              <w:t>a significant proportion (£6m) associated with technical support contracts for GDA, new build work.</w:t>
            </w:r>
          </w:p>
          <w:p w14:paraId="3AA6C85E" w14:textId="650E78A8" w:rsidR="0046332F" w:rsidRPr="005A2796" w:rsidRDefault="0046332F" w:rsidP="001C7C84">
            <w:pPr>
              <w:ind w:right="187"/>
              <w:rPr>
                <w:rFonts w:ascii="Arial" w:hAnsi="Arial" w:cs="Arial"/>
                <w:bCs/>
              </w:rPr>
            </w:pPr>
          </w:p>
        </w:tc>
      </w:tr>
      <w:tr w:rsidR="001C7C84" w:rsidRPr="005A2796" w14:paraId="33CC8670" w14:textId="77777777" w:rsidTr="00883F1F">
        <w:tc>
          <w:tcPr>
            <w:tcW w:w="1142" w:type="dxa"/>
          </w:tcPr>
          <w:p w14:paraId="58028E3F" w14:textId="1B6F1E7A" w:rsidR="001C7C84" w:rsidRPr="005A2796" w:rsidRDefault="008E2298" w:rsidP="0029015F">
            <w:pPr>
              <w:tabs>
                <w:tab w:val="left" w:pos="5347"/>
              </w:tabs>
              <w:rPr>
                <w:rFonts w:ascii="Arial" w:hAnsi="Arial" w:cs="Arial"/>
              </w:rPr>
            </w:pPr>
            <w:r w:rsidRPr="005A2796">
              <w:rPr>
                <w:rFonts w:ascii="Arial" w:hAnsi="Arial" w:cs="Arial"/>
              </w:rPr>
              <w:t>2.</w:t>
            </w:r>
            <w:r w:rsidR="008B6475" w:rsidRPr="005A2796">
              <w:rPr>
                <w:rFonts w:ascii="Arial" w:hAnsi="Arial" w:cs="Arial"/>
              </w:rPr>
              <w:t>1.3</w:t>
            </w:r>
          </w:p>
        </w:tc>
        <w:tc>
          <w:tcPr>
            <w:tcW w:w="7884" w:type="dxa"/>
          </w:tcPr>
          <w:p w14:paraId="09D00FD3" w14:textId="093EC0B8" w:rsidR="001C7C84" w:rsidRPr="005A2796" w:rsidRDefault="0046332F" w:rsidP="001C7C84">
            <w:pPr>
              <w:ind w:right="187"/>
              <w:rPr>
                <w:rFonts w:ascii="Arial" w:hAnsi="Arial" w:cs="Arial"/>
                <w:bCs/>
              </w:rPr>
            </w:pPr>
            <w:r w:rsidRPr="005A2796">
              <w:rPr>
                <w:rFonts w:ascii="Arial" w:hAnsi="Arial" w:cs="Arial"/>
                <w:bCs/>
              </w:rPr>
              <w:t xml:space="preserve">He noted the current fiscal climate constraints and ONR’s role in demonstrating </w:t>
            </w:r>
            <w:r w:rsidR="000F04C0" w:rsidRPr="005A2796">
              <w:rPr>
                <w:rFonts w:ascii="Arial" w:hAnsi="Arial" w:cs="Arial"/>
                <w:bCs/>
              </w:rPr>
              <w:t>2% efficiencies</w:t>
            </w:r>
            <w:r w:rsidR="003B5F8B" w:rsidRPr="005A2796">
              <w:rPr>
                <w:rFonts w:ascii="Arial" w:hAnsi="Arial" w:cs="Arial"/>
                <w:bCs/>
              </w:rPr>
              <w:t xml:space="preserve"> which</w:t>
            </w:r>
            <w:r w:rsidR="000F04C0" w:rsidRPr="005A2796">
              <w:rPr>
                <w:rFonts w:ascii="Arial" w:hAnsi="Arial" w:cs="Arial"/>
                <w:bCs/>
              </w:rPr>
              <w:t xml:space="preserve"> was being applied to </w:t>
            </w:r>
            <w:r w:rsidR="00FB5766" w:rsidRPr="005A2796">
              <w:rPr>
                <w:rFonts w:ascii="Arial" w:hAnsi="Arial" w:cs="Arial"/>
                <w:bCs/>
              </w:rPr>
              <w:t xml:space="preserve">‘all costs’ </w:t>
            </w:r>
            <w:r w:rsidR="000F04C0" w:rsidRPr="005A2796">
              <w:rPr>
                <w:rFonts w:ascii="Arial" w:hAnsi="Arial" w:cs="Arial"/>
                <w:bCs/>
              </w:rPr>
              <w:t xml:space="preserve">across the organisation. He noted that the </w:t>
            </w:r>
            <w:r w:rsidR="00A31E85" w:rsidRPr="005A2796">
              <w:rPr>
                <w:rFonts w:ascii="Arial" w:hAnsi="Arial" w:cs="Arial"/>
                <w:bCs/>
              </w:rPr>
              <w:t>2</w:t>
            </w:r>
            <w:r w:rsidR="00571CAF">
              <w:rPr>
                <w:rFonts w:ascii="Arial" w:hAnsi="Arial" w:cs="Arial"/>
                <w:bCs/>
              </w:rPr>
              <w:t>02</w:t>
            </w:r>
            <w:r w:rsidR="00A31E85" w:rsidRPr="005A2796">
              <w:rPr>
                <w:rFonts w:ascii="Arial" w:hAnsi="Arial" w:cs="Arial"/>
                <w:bCs/>
              </w:rPr>
              <w:t>5-26 cost base and FTE was lower than 2024-25 levels</w:t>
            </w:r>
            <w:r w:rsidR="00FB5766" w:rsidRPr="005A2796">
              <w:rPr>
                <w:rFonts w:ascii="Arial" w:hAnsi="Arial" w:cs="Arial"/>
                <w:bCs/>
              </w:rPr>
              <w:t xml:space="preserve">. A </w:t>
            </w:r>
            <w:r w:rsidR="00A31E85" w:rsidRPr="005A2796">
              <w:rPr>
                <w:rFonts w:ascii="Arial" w:hAnsi="Arial" w:cs="Arial"/>
                <w:bCs/>
              </w:rPr>
              <w:t xml:space="preserve">recruitment freeze </w:t>
            </w:r>
            <w:r w:rsidR="007200AA" w:rsidRPr="005A2796">
              <w:rPr>
                <w:rFonts w:ascii="Arial" w:hAnsi="Arial" w:cs="Arial"/>
                <w:bCs/>
              </w:rPr>
              <w:t xml:space="preserve">had </w:t>
            </w:r>
            <w:r w:rsidR="00FB5766" w:rsidRPr="005A2796">
              <w:rPr>
                <w:rFonts w:ascii="Arial" w:hAnsi="Arial" w:cs="Arial"/>
                <w:bCs/>
              </w:rPr>
              <w:t xml:space="preserve">been implemented </w:t>
            </w:r>
            <w:r w:rsidR="00A31E85" w:rsidRPr="005A2796">
              <w:rPr>
                <w:rFonts w:ascii="Arial" w:hAnsi="Arial" w:cs="Arial"/>
                <w:bCs/>
              </w:rPr>
              <w:t xml:space="preserve">within the organisation which would be kept in place </w:t>
            </w:r>
            <w:r w:rsidR="00FB5766" w:rsidRPr="005A2796">
              <w:rPr>
                <w:rFonts w:ascii="Arial" w:hAnsi="Arial" w:cs="Arial"/>
                <w:bCs/>
              </w:rPr>
              <w:t>next year</w:t>
            </w:r>
            <w:r w:rsidR="007200AA" w:rsidRPr="005A2796">
              <w:rPr>
                <w:rFonts w:ascii="Arial" w:hAnsi="Arial" w:cs="Arial"/>
                <w:bCs/>
              </w:rPr>
              <w:t xml:space="preserve"> with</w:t>
            </w:r>
            <w:r w:rsidR="00FB5766" w:rsidRPr="005A2796">
              <w:rPr>
                <w:rFonts w:ascii="Arial" w:hAnsi="Arial" w:cs="Arial"/>
                <w:bCs/>
              </w:rPr>
              <w:t xml:space="preserve"> </w:t>
            </w:r>
            <w:r w:rsidR="00925A4B" w:rsidRPr="005A2796">
              <w:rPr>
                <w:rFonts w:ascii="Arial" w:hAnsi="Arial" w:cs="Arial"/>
                <w:bCs/>
              </w:rPr>
              <w:t>recruitment only</w:t>
            </w:r>
            <w:r w:rsidR="00A31E85" w:rsidRPr="005A2796">
              <w:rPr>
                <w:rFonts w:ascii="Arial" w:hAnsi="Arial" w:cs="Arial"/>
                <w:bCs/>
              </w:rPr>
              <w:t xml:space="preserve"> approved by exception.</w:t>
            </w:r>
          </w:p>
          <w:p w14:paraId="7517F986" w14:textId="7B1DB787" w:rsidR="00925A4B" w:rsidRPr="005A2796" w:rsidRDefault="00925A4B" w:rsidP="001C7C84">
            <w:pPr>
              <w:ind w:right="187"/>
              <w:rPr>
                <w:rFonts w:ascii="Arial" w:hAnsi="Arial" w:cs="Arial"/>
                <w:bCs/>
              </w:rPr>
            </w:pPr>
          </w:p>
        </w:tc>
      </w:tr>
      <w:tr w:rsidR="001C7C84" w:rsidRPr="005A2796" w14:paraId="18FA9BD3" w14:textId="77777777" w:rsidTr="00883F1F">
        <w:tc>
          <w:tcPr>
            <w:tcW w:w="1142" w:type="dxa"/>
          </w:tcPr>
          <w:p w14:paraId="0B815F3C" w14:textId="4E5BB123" w:rsidR="001C7C84" w:rsidRPr="005A2796" w:rsidRDefault="008E2298" w:rsidP="0029015F">
            <w:pPr>
              <w:tabs>
                <w:tab w:val="left" w:pos="5347"/>
              </w:tabs>
              <w:rPr>
                <w:rFonts w:ascii="Arial" w:hAnsi="Arial" w:cs="Arial"/>
              </w:rPr>
            </w:pPr>
            <w:r w:rsidRPr="005A2796">
              <w:rPr>
                <w:rFonts w:ascii="Arial" w:hAnsi="Arial" w:cs="Arial"/>
              </w:rPr>
              <w:t>2.</w:t>
            </w:r>
            <w:r w:rsidR="008B6475" w:rsidRPr="005A2796">
              <w:rPr>
                <w:rFonts w:ascii="Arial" w:hAnsi="Arial" w:cs="Arial"/>
              </w:rPr>
              <w:t>1.4</w:t>
            </w:r>
          </w:p>
        </w:tc>
        <w:tc>
          <w:tcPr>
            <w:tcW w:w="7884" w:type="dxa"/>
          </w:tcPr>
          <w:p w14:paraId="26A22F17" w14:textId="50E052FB" w:rsidR="001C7C84" w:rsidRPr="005A2796" w:rsidRDefault="00C12EAA" w:rsidP="001C7C84">
            <w:pPr>
              <w:ind w:right="187"/>
              <w:rPr>
                <w:rFonts w:ascii="Arial" w:hAnsi="Arial" w:cs="Arial"/>
                <w:bCs/>
              </w:rPr>
            </w:pPr>
            <w:r w:rsidRPr="005A2796">
              <w:rPr>
                <w:rFonts w:ascii="Arial" w:hAnsi="Arial" w:cs="Arial"/>
                <w:bCs/>
              </w:rPr>
              <w:t>He highlighted th</w:t>
            </w:r>
            <w:r w:rsidR="00A6127B" w:rsidRPr="005A2796">
              <w:rPr>
                <w:rFonts w:ascii="Arial" w:hAnsi="Arial" w:cs="Arial"/>
                <w:bCs/>
              </w:rPr>
              <w:t>e leadership team</w:t>
            </w:r>
            <w:r w:rsidRPr="005A2796">
              <w:rPr>
                <w:rFonts w:ascii="Arial" w:hAnsi="Arial" w:cs="Arial"/>
                <w:bCs/>
              </w:rPr>
              <w:t xml:space="preserve">’s belief that the budget presented the right balance of </w:t>
            </w:r>
            <w:r w:rsidR="00490867" w:rsidRPr="005A2796">
              <w:rPr>
                <w:rFonts w:ascii="Arial" w:hAnsi="Arial" w:cs="Arial"/>
                <w:bCs/>
              </w:rPr>
              <w:t xml:space="preserve">responsibility within the current fiscal climate </w:t>
            </w:r>
            <w:r w:rsidR="00490867" w:rsidRPr="005A2796">
              <w:rPr>
                <w:rFonts w:ascii="Arial" w:hAnsi="Arial" w:cs="Arial"/>
                <w:bCs/>
              </w:rPr>
              <w:lastRenderedPageBreak/>
              <w:t xml:space="preserve">whilst also allowing ONR to regulate the industry and keep the </w:t>
            </w:r>
            <w:r w:rsidR="00B52352" w:rsidRPr="005A2796">
              <w:rPr>
                <w:rFonts w:ascii="Arial" w:hAnsi="Arial" w:cs="Arial"/>
                <w:bCs/>
              </w:rPr>
              <w:t xml:space="preserve">public safe and secure. </w:t>
            </w:r>
          </w:p>
          <w:p w14:paraId="7D2F41C2" w14:textId="0FD24B78" w:rsidR="00B52352" w:rsidRPr="005A2796" w:rsidRDefault="00B52352" w:rsidP="001C7C84">
            <w:pPr>
              <w:ind w:right="187"/>
              <w:rPr>
                <w:rFonts w:ascii="Arial" w:hAnsi="Arial" w:cs="Arial"/>
                <w:bCs/>
              </w:rPr>
            </w:pPr>
          </w:p>
        </w:tc>
      </w:tr>
      <w:tr w:rsidR="001C7C84" w:rsidRPr="005A2796" w14:paraId="72081531" w14:textId="77777777" w:rsidTr="00883F1F">
        <w:tc>
          <w:tcPr>
            <w:tcW w:w="1142" w:type="dxa"/>
          </w:tcPr>
          <w:p w14:paraId="2EF7A25B" w14:textId="10F92135" w:rsidR="001C7C84" w:rsidRPr="005A2796" w:rsidRDefault="008E2298" w:rsidP="0029015F">
            <w:pPr>
              <w:tabs>
                <w:tab w:val="left" w:pos="5347"/>
              </w:tabs>
              <w:rPr>
                <w:rFonts w:ascii="Arial" w:hAnsi="Arial" w:cs="Arial"/>
              </w:rPr>
            </w:pPr>
            <w:r w:rsidRPr="005A2796">
              <w:rPr>
                <w:rFonts w:ascii="Arial" w:hAnsi="Arial" w:cs="Arial"/>
              </w:rPr>
              <w:lastRenderedPageBreak/>
              <w:t>2.</w:t>
            </w:r>
            <w:r w:rsidR="008B6475" w:rsidRPr="005A2796">
              <w:rPr>
                <w:rFonts w:ascii="Arial" w:hAnsi="Arial" w:cs="Arial"/>
              </w:rPr>
              <w:t>1.5</w:t>
            </w:r>
          </w:p>
        </w:tc>
        <w:tc>
          <w:tcPr>
            <w:tcW w:w="7884" w:type="dxa"/>
          </w:tcPr>
          <w:p w14:paraId="2831E7AC" w14:textId="14730C8C" w:rsidR="00DE5DEE" w:rsidRPr="005A2796" w:rsidRDefault="00B52352" w:rsidP="00DE5DEE">
            <w:pPr>
              <w:ind w:right="187"/>
              <w:rPr>
                <w:rFonts w:ascii="Arial" w:hAnsi="Arial" w:cs="Arial"/>
                <w:bCs/>
              </w:rPr>
            </w:pPr>
            <w:r w:rsidRPr="005A2796">
              <w:rPr>
                <w:rFonts w:ascii="Arial" w:hAnsi="Arial" w:cs="Arial"/>
                <w:bCs/>
              </w:rPr>
              <w:t>He acknowledged that there was more to be done, and this thinking would be</w:t>
            </w:r>
            <w:r w:rsidR="00DE5DEE" w:rsidRPr="005A2796">
              <w:rPr>
                <w:rFonts w:ascii="Arial" w:hAnsi="Arial" w:cs="Arial"/>
                <w:bCs/>
              </w:rPr>
              <w:t xml:space="preserve"> worked through in terms of doing things smarter </w:t>
            </w:r>
            <w:r w:rsidR="00EE1566">
              <w:rPr>
                <w:rFonts w:ascii="Arial" w:hAnsi="Arial" w:cs="Arial"/>
                <w:bCs/>
              </w:rPr>
              <w:t xml:space="preserve">and </w:t>
            </w:r>
            <w:r w:rsidR="00DE5DEE" w:rsidRPr="005A2796">
              <w:rPr>
                <w:rFonts w:ascii="Arial" w:hAnsi="Arial" w:cs="Arial"/>
                <w:bCs/>
              </w:rPr>
              <w:t xml:space="preserve">in different ways. </w:t>
            </w:r>
            <w:r w:rsidR="009C4F18" w:rsidRPr="005A2796">
              <w:rPr>
                <w:rFonts w:ascii="Arial" w:hAnsi="Arial" w:cs="Arial"/>
                <w:bCs/>
              </w:rPr>
              <w:t>The underlying principle was that this work should not be compromising ONR’s ability to regulate effectively.</w:t>
            </w:r>
          </w:p>
          <w:p w14:paraId="6D1C4ECE" w14:textId="50C4D1CF" w:rsidR="00DE5DEE" w:rsidRPr="005A2796" w:rsidRDefault="00DE5DEE" w:rsidP="00DE5DEE">
            <w:pPr>
              <w:ind w:right="187"/>
              <w:rPr>
                <w:rFonts w:ascii="Arial" w:hAnsi="Arial" w:cs="Arial"/>
                <w:bCs/>
              </w:rPr>
            </w:pPr>
          </w:p>
        </w:tc>
      </w:tr>
      <w:tr w:rsidR="001C7C84" w:rsidRPr="005A2796" w14:paraId="0BE2A246" w14:textId="77777777" w:rsidTr="00883F1F">
        <w:tc>
          <w:tcPr>
            <w:tcW w:w="1142" w:type="dxa"/>
          </w:tcPr>
          <w:p w14:paraId="3B21E96B" w14:textId="6F4C50B6" w:rsidR="001C7C84" w:rsidRPr="005A2796" w:rsidRDefault="008E2298" w:rsidP="0029015F">
            <w:pPr>
              <w:tabs>
                <w:tab w:val="left" w:pos="5347"/>
              </w:tabs>
              <w:rPr>
                <w:rFonts w:ascii="Arial" w:hAnsi="Arial" w:cs="Arial"/>
              </w:rPr>
            </w:pPr>
            <w:r w:rsidRPr="005A2796">
              <w:rPr>
                <w:rFonts w:ascii="Arial" w:hAnsi="Arial" w:cs="Arial"/>
              </w:rPr>
              <w:t>2.1</w:t>
            </w:r>
            <w:r w:rsidR="008B6475" w:rsidRPr="005A2796">
              <w:rPr>
                <w:rFonts w:ascii="Arial" w:hAnsi="Arial" w:cs="Arial"/>
              </w:rPr>
              <w:t>.6</w:t>
            </w:r>
          </w:p>
        </w:tc>
        <w:tc>
          <w:tcPr>
            <w:tcW w:w="7884" w:type="dxa"/>
          </w:tcPr>
          <w:p w14:paraId="6A0D564B" w14:textId="77777777" w:rsidR="001C7C84" w:rsidRPr="005A2796" w:rsidRDefault="00DE5DEE" w:rsidP="001C7C84">
            <w:pPr>
              <w:ind w:right="187"/>
              <w:rPr>
                <w:rFonts w:ascii="Arial" w:hAnsi="Arial" w:cs="Arial"/>
                <w:bCs/>
              </w:rPr>
            </w:pPr>
            <w:r w:rsidRPr="005A2796">
              <w:rPr>
                <w:rFonts w:ascii="Arial" w:hAnsi="Arial" w:cs="Arial"/>
                <w:bCs/>
              </w:rPr>
              <w:t xml:space="preserve">On the corporate plan, it followed the same </w:t>
            </w:r>
            <w:r w:rsidR="00626495" w:rsidRPr="005A2796">
              <w:rPr>
                <w:rFonts w:ascii="Arial" w:hAnsi="Arial" w:cs="Arial"/>
                <w:bCs/>
              </w:rPr>
              <w:t xml:space="preserve">format as 2023-24. He recognised the need to provide appropriate performance measures against delivery. ONR would be looking to develop something suitably transparent. </w:t>
            </w:r>
          </w:p>
          <w:p w14:paraId="1F048803" w14:textId="59277440" w:rsidR="002B690F" w:rsidRPr="005A2796" w:rsidRDefault="002B690F" w:rsidP="001C7C84">
            <w:pPr>
              <w:ind w:right="187"/>
              <w:rPr>
                <w:rFonts w:ascii="Arial" w:hAnsi="Arial" w:cs="Arial"/>
                <w:bCs/>
              </w:rPr>
            </w:pPr>
          </w:p>
        </w:tc>
      </w:tr>
      <w:tr w:rsidR="001C7C84" w:rsidRPr="005A2796" w14:paraId="052718F4" w14:textId="77777777" w:rsidTr="00883F1F">
        <w:tc>
          <w:tcPr>
            <w:tcW w:w="1142" w:type="dxa"/>
          </w:tcPr>
          <w:p w14:paraId="59A12F37" w14:textId="7FECC82A" w:rsidR="001C7C84" w:rsidRPr="005A2796" w:rsidRDefault="008B6475" w:rsidP="0029015F">
            <w:pPr>
              <w:tabs>
                <w:tab w:val="left" w:pos="5347"/>
              </w:tabs>
              <w:rPr>
                <w:rFonts w:ascii="Arial" w:hAnsi="Arial" w:cs="Arial"/>
                <w:b/>
                <w:bCs/>
              </w:rPr>
            </w:pPr>
            <w:r w:rsidRPr="005A2796">
              <w:rPr>
                <w:rFonts w:ascii="Arial" w:hAnsi="Arial" w:cs="Arial"/>
                <w:b/>
                <w:bCs/>
              </w:rPr>
              <w:t>2.2</w:t>
            </w:r>
          </w:p>
        </w:tc>
        <w:tc>
          <w:tcPr>
            <w:tcW w:w="7884" w:type="dxa"/>
          </w:tcPr>
          <w:p w14:paraId="1CCFEC59" w14:textId="77777777" w:rsidR="001C7C84" w:rsidRPr="005A2796" w:rsidRDefault="001C7C84" w:rsidP="001C7C84">
            <w:pPr>
              <w:ind w:right="187"/>
              <w:rPr>
                <w:rFonts w:ascii="Arial" w:hAnsi="Arial" w:cs="Arial"/>
                <w:b/>
              </w:rPr>
            </w:pPr>
            <w:r w:rsidRPr="005A2796">
              <w:rPr>
                <w:rFonts w:ascii="Arial" w:hAnsi="Arial" w:cs="Arial"/>
                <w:b/>
              </w:rPr>
              <w:t>Corporate Plan 2024/25</w:t>
            </w:r>
          </w:p>
          <w:p w14:paraId="179D35D6" w14:textId="61503C7C" w:rsidR="00883F1F" w:rsidRPr="005A2796" w:rsidRDefault="00883F1F" w:rsidP="001C7C84">
            <w:pPr>
              <w:ind w:right="187"/>
              <w:rPr>
                <w:rFonts w:ascii="Arial" w:hAnsi="Arial" w:cs="Arial"/>
                <w:bCs/>
              </w:rPr>
            </w:pPr>
          </w:p>
        </w:tc>
      </w:tr>
      <w:tr w:rsidR="001C7C84" w:rsidRPr="005A2796" w14:paraId="4EC451D0" w14:textId="77777777" w:rsidTr="00883F1F">
        <w:tc>
          <w:tcPr>
            <w:tcW w:w="1142" w:type="dxa"/>
          </w:tcPr>
          <w:p w14:paraId="52DC7F7F" w14:textId="5A952987" w:rsidR="001C7C84" w:rsidRPr="005A2796" w:rsidRDefault="008B6475" w:rsidP="0029015F">
            <w:pPr>
              <w:tabs>
                <w:tab w:val="left" w:pos="5347"/>
              </w:tabs>
              <w:rPr>
                <w:rFonts w:ascii="Arial" w:hAnsi="Arial" w:cs="Arial"/>
              </w:rPr>
            </w:pPr>
            <w:r w:rsidRPr="005A2796">
              <w:rPr>
                <w:rFonts w:ascii="Arial" w:hAnsi="Arial" w:cs="Arial"/>
              </w:rPr>
              <w:t>2.2.1</w:t>
            </w:r>
          </w:p>
        </w:tc>
        <w:tc>
          <w:tcPr>
            <w:tcW w:w="7884" w:type="dxa"/>
          </w:tcPr>
          <w:p w14:paraId="703E9E54" w14:textId="699D0998" w:rsidR="002B690F" w:rsidRPr="005A2796" w:rsidRDefault="002B690F" w:rsidP="002B690F">
            <w:pPr>
              <w:rPr>
                <w:rFonts w:ascii="Arial" w:hAnsi="Arial" w:cs="Arial"/>
              </w:rPr>
            </w:pPr>
            <w:r w:rsidRPr="005A2796">
              <w:rPr>
                <w:rFonts w:ascii="Arial" w:hAnsi="Arial" w:cs="Arial"/>
              </w:rPr>
              <w:t>The Director of Strategy and Corporate Affairs introduced the corporate plan. She noted that the same format had been used,</w:t>
            </w:r>
            <w:r w:rsidR="00A77BA9" w:rsidRPr="005A2796">
              <w:rPr>
                <w:rFonts w:ascii="Arial" w:hAnsi="Arial" w:cs="Arial"/>
              </w:rPr>
              <w:t xml:space="preserve"> but was more concise than previous years with the aim to go even further in 2025-6.</w:t>
            </w:r>
          </w:p>
          <w:p w14:paraId="70141DB3" w14:textId="2D4CF560" w:rsidR="00883F1F" w:rsidRPr="005A2796" w:rsidRDefault="00883F1F" w:rsidP="00A55773">
            <w:pPr>
              <w:rPr>
                <w:rFonts w:ascii="Arial" w:hAnsi="Arial" w:cs="Arial"/>
              </w:rPr>
            </w:pPr>
          </w:p>
        </w:tc>
      </w:tr>
      <w:tr w:rsidR="001C7C84" w:rsidRPr="005A2796" w14:paraId="46429491" w14:textId="77777777" w:rsidTr="00883F1F">
        <w:tc>
          <w:tcPr>
            <w:tcW w:w="1142" w:type="dxa"/>
          </w:tcPr>
          <w:p w14:paraId="5C838715" w14:textId="2F8A7E08" w:rsidR="001C7C84" w:rsidRPr="005A2796" w:rsidRDefault="008B6475" w:rsidP="0029015F">
            <w:pPr>
              <w:tabs>
                <w:tab w:val="left" w:pos="5347"/>
              </w:tabs>
              <w:rPr>
                <w:rFonts w:ascii="Arial" w:hAnsi="Arial" w:cs="Arial"/>
              </w:rPr>
            </w:pPr>
            <w:r w:rsidRPr="005A2796">
              <w:rPr>
                <w:rFonts w:ascii="Arial" w:hAnsi="Arial" w:cs="Arial"/>
              </w:rPr>
              <w:t>2.2.2</w:t>
            </w:r>
          </w:p>
        </w:tc>
        <w:tc>
          <w:tcPr>
            <w:tcW w:w="7884" w:type="dxa"/>
          </w:tcPr>
          <w:p w14:paraId="3CE20765" w14:textId="6E6D36DC" w:rsidR="001C7C84" w:rsidRPr="005A2796" w:rsidRDefault="00A77BA9" w:rsidP="001C7C84">
            <w:pPr>
              <w:ind w:right="187"/>
              <w:rPr>
                <w:rFonts w:ascii="Arial" w:hAnsi="Arial" w:cs="Arial"/>
                <w:bCs/>
              </w:rPr>
            </w:pPr>
            <w:r w:rsidRPr="005A2796">
              <w:rPr>
                <w:rFonts w:ascii="Arial" w:hAnsi="Arial" w:cs="Arial"/>
                <w:bCs/>
              </w:rPr>
              <w:t xml:space="preserve">Feedback from </w:t>
            </w:r>
            <w:r w:rsidR="001C61A7" w:rsidRPr="005A2796">
              <w:rPr>
                <w:rFonts w:ascii="Arial" w:hAnsi="Arial" w:cs="Arial"/>
                <w:bCs/>
              </w:rPr>
              <w:t xml:space="preserve">Department for Work and Pensions (DWP), Department for Energy Security and Net Zero (DESNZ) and Ministry of Defence (MOD) had been incorporated into the </w:t>
            </w:r>
            <w:r w:rsidR="0090587B" w:rsidRPr="005A2796">
              <w:rPr>
                <w:rFonts w:ascii="Arial" w:hAnsi="Arial" w:cs="Arial"/>
                <w:bCs/>
              </w:rPr>
              <w:t>plan</w:t>
            </w:r>
            <w:r w:rsidR="00115693" w:rsidRPr="005A2796">
              <w:rPr>
                <w:rFonts w:ascii="Arial" w:hAnsi="Arial" w:cs="Arial"/>
                <w:bCs/>
              </w:rPr>
              <w:t xml:space="preserve"> presented to the Board</w:t>
            </w:r>
            <w:r w:rsidR="0090587B" w:rsidRPr="005A2796">
              <w:rPr>
                <w:rFonts w:ascii="Arial" w:hAnsi="Arial" w:cs="Arial"/>
                <w:bCs/>
              </w:rPr>
              <w:t>.</w:t>
            </w:r>
          </w:p>
        </w:tc>
      </w:tr>
      <w:tr w:rsidR="001C7C84" w:rsidRPr="005A2796" w14:paraId="0252A48B" w14:textId="77777777" w:rsidTr="00883F1F">
        <w:tc>
          <w:tcPr>
            <w:tcW w:w="1142" w:type="dxa"/>
          </w:tcPr>
          <w:p w14:paraId="034A6794" w14:textId="3CC4B2BE" w:rsidR="001C7C84" w:rsidRPr="005A2796" w:rsidRDefault="001C7C84" w:rsidP="0029015F">
            <w:pPr>
              <w:tabs>
                <w:tab w:val="left" w:pos="5347"/>
              </w:tabs>
              <w:rPr>
                <w:rFonts w:ascii="Arial" w:hAnsi="Arial" w:cs="Arial"/>
              </w:rPr>
            </w:pPr>
          </w:p>
        </w:tc>
        <w:tc>
          <w:tcPr>
            <w:tcW w:w="7884" w:type="dxa"/>
          </w:tcPr>
          <w:p w14:paraId="587457A1" w14:textId="0FEE1708" w:rsidR="00883F1F" w:rsidRPr="005A2796" w:rsidRDefault="00883F1F" w:rsidP="001C7C84">
            <w:pPr>
              <w:ind w:right="187"/>
              <w:rPr>
                <w:rFonts w:ascii="Arial" w:hAnsi="Arial" w:cs="Arial"/>
                <w:b/>
              </w:rPr>
            </w:pPr>
          </w:p>
        </w:tc>
      </w:tr>
      <w:tr w:rsidR="001C7C84" w:rsidRPr="005A2796" w14:paraId="603394F7" w14:textId="77777777" w:rsidTr="00883F1F">
        <w:tc>
          <w:tcPr>
            <w:tcW w:w="1142" w:type="dxa"/>
          </w:tcPr>
          <w:p w14:paraId="24E02665" w14:textId="5C2B2D1D" w:rsidR="001C7C84" w:rsidRPr="005A2796" w:rsidRDefault="008B6475" w:rsidP="0029015F">
            <w:pPr>
              <w:tabs>
                <w:tab w:val="left" w:pos="5347"/>
              </w:tabs>
              <w:rPr>
                <w:rFonts w:ascii="Arial" w:hAnsi="Arial" w:cs="Arial"/>
              </w:rPr>
            </w:pPr>
            <w:r w:rsidRPr="005A2796">
              <w:rPr>
                <w:rFonts w:ascii="Arial" w:hAnsi="Arial" w:cs="Arial"/>
              </w:rPr>
              <w:t>2.2.3</w:t>
            </w:r>
          </w:p>
        </w:tc>
        <w:tc>
          <w:tcPr>
            <w:tcW w:w="7884" w:type="dxa"/>
          </w:tcPr>
          <w:p w14:paraId="462DA584" w14:textId="380EFF38" w:rsidR="00883F1F" w:rsidRPr="005A2796" w:rsidRDefault="0090587B" w:rsidP="001C7C84">
            <w:pPr>
              <w:ind w:right="187"/>
              <w:rPr>
                <w:rFonts w:ascii="Arial" w:hAnsi="Arial" w:cs="Arial"/>
              </w:rPr>
            </w:pPr>
            <w:r w:rsidRPr="005A2796">
              <w:rPr>
                <w:rFonts w:ascii="Arial" w:hAnsi="Arial" w:cs="Arial"/>
              </w:rPr>
              <w:t xml:space="preserve">This work would align with the budget and the work on the </w:t>
            </w:r>
            <w:r w:rsidR="007200AA" w:rsidRPr="005A2796">
              <w:rPr>
                <w:rFonts w:ascii="Arial" w:hAnsi="Arial" w:cs="Arial"/>
              </w:rPr>
              <w:t>i</w:t>
            </w:r>
            <w:r w:rsidRPr="005A2796">
              <w:rPr>
                <w:rFonts w:ascii="Arial" w:hAnsi="Arial" w:cs="Arial"/>
              </w:rPr>
              <w:t>nterim bridging document</w:t>
            </w:r>
            <w:r w:rsidR="007200AA" w:rsidRPr="005A2796">
              <w:rPr>
                <w:rFonts w:ascii="Arial" w:hAnsi="Arial" w:cs="Arial"/>
              </w:rPr>
              <w:t>,</w:t>
            </w:r>
            <w:r w:rsidRPr="005A2796">
              <w:rPr>
                <w:rFonts w:ascii="Arial" w:hAnsi="Arial" w:cs="Arial"/>
              </w:rPr>
              <w:t xml:space="preserve"> and clearer </w:t>
            </w:r>
            <w:r w:rsidR="00305411" w:rsidRPr="005A2796">
              <w:rPr>
                <w:rFonts w:ascii="Arial" w:hAnsi="Arial" w:cs="Arial"/>
              </w:rPr>
              <w:t>performance measures and metrics would be developed for the strategy period to give a clearer picture of performance in-year.</w:t>
            </w:r>
          </w:p>
        </w:tc>
      </w:tr>
      <w:tr w:rsidR="00305411" w:rsidRPr="005A2796" w14:paraId="35A55F65" w14:textId="77777777" w:rsidTr="00883F1F">
        <w:tc>
          <w:tcPr>
            <w:tcW w:w="1142" w:type="dxa"/>
          </w:tcPr>
          <w:p w14:paraId="27D6A4D5" w14:textId="77777777" w:rsidR="00305411" w:rsidRPr="005A2796" w:rsidRDefault="00305411" w:rsidP="0029015F">
            <w:pPr>
              <w:tabs>
                <w:tab w:val="left" w:pos="5347"/>
              </w:tabs>
              <w:rPr>
                <w:rFonts w:ascii="Arial" w:hAnsi="Arial" w:cs="Arial"/>
              </w:rPr>
            </w:pPr>
          </w:p>
        </w:tc>
        <w:tc>
          <w:tcPr>
            <w:tcW w:w="7884" w:type="dxa"/>
          </w:tcPr>
          <w:p w14:paraId="707E3ADF" w14:textId="77777777" w:rsidR="00305411" w:rsidRPr="005A2796" w:rsidRDefault="00305411" w:rsidP="001C7C84">
            <w:pPr>
              <w:ind w:right="187"/>
              <w:rPr>
                <w:rFonts w:ascii="Arial" w:hAnsi="Arial" w:cs="Arial"/>
              </w:rPr>
            </w:pPr>
          </w:p>
        </w:tc>
      </w:tr>
      <w:tr w:rsidR="00305411" w:rsidRPr="005A2796" w14:paraId="198C1788" w14:textId="77777777" w:rsidTr="00883F1F">
        <w:tc>
          <w:tcPr>
            <w:tcW w:w="1142" w:type="dxa"/>
          </w:tcPr>
          <w:p w14:paraId="42325EDD" w14:textId="1E91ADAF" w:rsidR="00305411" w:rsidRPr="005A2796" w:rsidRDefault="008B6475" w:rsidP="0029015F">
            <w:pPr>
              <w:tabs>
                <w:tab w:val="left" w:pos="5347"/>
              </w:tabs>
              <w:rPr>
                <w:rFonts w:ascii="Arial" w:hAnsi="Arial" w:cs="Arial"/>
              </w:rPr>
            </w:pPr>
            <w:r w:rsidRPr="005A2796">
              <w:rPr>
                <w:rFonts w:ascii="Arial" w:hAnsi="Arial" w:cs="Arial"/>
              </w:rPr>
              <w:t>2.2.4</w:t>
            </w:r>
          </w:p>
        </w:tc>
        <w:tc>
          <w:tcPr>
            <w:tcW w:w="7884" w:type="dxa"/>
          </w:tcPr>
          <w:p w14:paraId="216E24F2" w14:textId="684144B7" w:rsidR="00305411" w:rsidRPr="005A2796" w:rsidRDefault="00305411" w:rsidP="001C7C84">
            <w:pPr>
              <w:ind w:right="187"/>
              <w:rPr>
                <w:rFonts w:ascii="Arial" w:hAnsi="Arial" w:cs="Arial"/>
              </w:rPr>
            </w:pPr>
            <w:r w:rsidRPr="005A2796">
              <w:rPr>
                <w:rFonts w:ascii="Arial" w:hAnsi="Arial" w:cs="Arial"/>
              </w:rPr>
              <w:t>The plan reference</w:t>
            </w:r>
            <w:r w:rsidR="007200AA" w:rsidRPr="005A2796">
              <w:rPr>
                <w:rFonts w:ascii="Arial" w:hAnsi="Arial" w:cs="Arial"/>
              </w:rPr>
              <w:t>d</w:t>
            </w:r>
            <w:r w:rsidRPr="005A2796">
              <w:rPr>
                <w:rFonts w:ascii="Arial" w:hAnsi="Arial" w:cs="Arial"/>
              </w:rPr>
              <w:t xml:space="preserve"> ONR’s role in supporting growth following feedback from DESNZ. The </w:t>
            </w:r>
            <w:r w:rsidR="00C64583">
              <w:rPr>
                <w:rFonts w:ascii="Arial" w:hAnsi="Arial" w:cs="Arial"/>
              </w:rPr>
              <w:t>plan</w:t>
            </w:r>
            <w:r w:rsidRPr="005A2796">
              <w:rPr>
                <w:rFonts w:ascii="Arial" w:hAnsi="Arial" w:cs="Arial"/>
              </w:rPr>
              <w:t xml:space="preserve"> also </w:t>
            </w:r>
            <w:r w:rsidR="007200AA" w:rsidRPr="005A2796">
              <w:rPr>
                <w:rFonts w:ascii="Arial" w:hAnsi="Arial" w:cs="Arial"/>
              </w:rPr>
              <w:t>sought</w:t>
            </w:r>
            <w:r w:rsidRPr="005A2796">
              <w:rPr>
                <w:rFonts w:ascii="Arial" w:hAnsi="Arial" w:cs="Arial"/>
              </w:rPr>
              <w:t xml:space="preserve"> to reflect more clearly ONR’s role in the wider energy mix and role in the </w:t>
            </w:r>
            <w:r w:rsidR="00554C9B" w:rsidRPr="005A2796">
              <w:rPr>
                <w:rFonts w:ascii="Arial" w:hAnsi="Arial" w:cs="Arial"/>
              </w:rPr>
              <w:t>wider energy cycle</w:t>
            </w:r>
            <w:r w:rsidR="0099602A" w:rsidRPr="005A2796">
              <w:rPr>
                <w:rFonts w:ascii="Arial" w:hAnsi="Arial" w:cs="Arial"/>
              </w:rPr>
              <w:t>.</w:t>
            </w:r>
            <w:r w:rsidR="00D1549A" w:rsidRPr="005A2796">
              <w:rPr>
                <w:rFonts w:ascii="Arial" w:hAnsi="Arial" w:cs="Arial"/>
              </w:rPr>
              <w:t xml:space="preserve"> She noted that regulatory planning assumptions</w:t>
            </w:r>
            <w:r w:rsidR="002F7676" w:rsidRPr="005A2796">
              <w:rPr>
                <w:rFonts w:ascii="Arial" w:hAnsi="Arial" w:cs="Arial"/>
              </w:rPr>
              <w:t xml:space="preserve"> in the </w:t>
            </w:r>
            <w:r w:rsidR="00B60039">
              <w:rPr>
                <w:rFonts w:ascii="Arial" w:hAnsi="Arial" w:cs="Arial"/>
              </w:rPr>
              <w:t>plan</w:t>
            </w:r>
            <w:r w:rsidR="00D1549A" w:rsidRPr="005A2796">
              <w:rPr>
                <w:rFonts w:ascii="Arial" w:hAnsi="Arial" w:cs="Arial"/>
              </w:rPr>
              <w:t xml:space="preserve"> had been reduced significantly.</w:t>
            </w:r>
            <w:r w:rsidR="0099602A" w:rsidRPr="005A2796">
              <w:rPr>
                <w:rFonts w:ascii="Arial" w:hAnsi="Arial" w:cs="Arial"/>
              </w:rPr>
              <w:t xml:space="preserve"> </w:t>
            </w:r>
          </w:p>
        </w:tc>
      </w:tr>
      <w:tr w:rsidR="001C7C84" w:rsidRPr="005A2796" w14:paraId="62D3C772" w14:textId="77777777" w:rsidTr="00883F1F">
        <w:tc>
          <w:tcPr>
            <w:tcW w:w="1142" w:type="dxa"/>
          </w:tcPr>
          <w:p w14:paraId="35E6A3AB" w14:textId="44AF714A" w:rsidR="001C7C84" w:rsidRPr="005A2796" w:rsidRDefault="001C7C84" w:rsidP="0029015F">
            <w:pPr>
              <w:tabs>
                <w:tab w:val="left" w:pos="5347"/>
              </w:tabs>
              <w:rPr>
                <w:rFonts w:ascii="Arial" w:hAnsi="Arial" w:cs="Arial"/>
              </w:rPr>
            </w:pPr>
          </w:p>
        </w:tc>
        <w:tc>
          <w:tcPr>
            <w:tcW w:w="7884" w:type="dxa"/>
          </w:tcPr>
          <w:p w14:paraId="6C21AC16" w14:textId="77777777" w:rsidR="001C7C84" w:rsidRPr="005A2796" w:rsidRDefault="001C7C84" w:rsidP="001C7C84">
            <w:pPr>
              <w:ind w:right="187"/>
              <w:rPr>
                <w:rFonts w:ascii="Arial" w:hAnsi="Arial" w:cs="Arial"/>
              </w:rPr>
            </w:pPr>
          </w:p>
        </w:tc>
      </w:tr>
      <w:tr w:rsidR="001C7C84" w:rsidRPr="005A2796" w14:paraId="5F387C70" w14:textId="77777777" w:rsidTr="00883F1F">
        <w:tc>
          <w:tcPr>
            <w:tcW w:w="1142" w:type="dxa"/>
          </w:tcPr>
          <w:p w14:paraId="71973934" w14:textId="0DC239DC" w:rsidR="001C7C84" w:rsidRPr="005A2796" w:rsidRDefault="008B6475" w:rsidP="0029015F">
            <w:pPr>
              <w:tabs>
                <w:tab w:val="left" w:pos="5347"/>
              </w:tabs>
              <w:rPr>
                <w:rFonts w:ascii="Arial" w:hAnsi="Arial" w:cs="Arial"/>
              </w:rPr>
            </w:pPr>
            <w:r w:rsidRPr="005A2796">
              <w:rPr>
                <w:rFonts w:ascii="Arial" w:hAnsi="Arial" w:cs="Arial"/>
              </w:rPr>
              <w:t>2.2.5</w:t>
            </w:r>
          </w:p>
        </w:tc>
        <w:tc>
          <w:tcPr>
            <w:tcW w:w="7884" w:type="dxa"/>
          </w:tcPr>
          <w:p w14:paraId="67F730B6" w14:textId="77777777" w:rsidR="001C7C84" w:rsidRPr="005A2796" w:rsidRDefault="00D1549A" w:rsidP="001C7C84">
            <w:pPr>
              <w:ind w:right="187"/>
              <w:rPr>
                <w:rFonts w:ascii="Arial" w:hAnsi="Arial" w:cs="Arial"/>
              </w:rPr>
            </w:pPr>
            <w:r w:rsidRPr="005A2796">
              <w:rPr>
                <w:rFonts w:ascii="Arial" w:hAnsi="Arial" w:cs="Arial"/>
              </w:rPr>
              <w:t xml:space="preserve">The intention was for the plan to be laid in May to allow for ministerial clearance and </w:t>
            </w:r>
            <w:r w:rsidR="000E3C9A" w:rsidRPr="005A2796">
              <w:rPr>
                <w:rFonts w:ascii="Arial" w:hAnsi="Arial" w:cs="Arial"/>
              </w:rPr>
              <w:t>recess.</w:t>
            </w:r>
          </w:p>
          <w:p w14:paraId="517A6318" w14:textId="5D4E5C7D" w:rsidR="000E3C9A" w:rsidRPr="005A2796" w:rsidRDefault="000E3C9A" w:rsidP="001C7C84">
            <w:pPr>
              <w:ind w:right="187"/>
              <w:rPr>
                <w:rFonts w:ascii="Arial" w:hAnsi="Arial" w:cs="Arial"/>
              </w:rPr>
            </w:pPr>
          </w:p>
        </w:tc>
      </w:tr>
      <w:tr w:rsidR="000E3C9A" w:rsidRPr="005A2796" w14:paraId="348940FA" w14:textId="77777777" w:rsidTr="00883F1F">
        <w:tc>
          <w:tcPr>
            <w:tcW w:w="1142" w:type="dxa"/>
          </w:tcPr>
          <w:p w14:paraId="764F0C76" w14:textId="428FF852" w:rsidR="000E3C9A" w:rsidRPr="005A2796" w:rsidRDefault="008B6475" w:rsidP="0029015F">
            <w:pPr>
              <w:tabs>
                <w:tab w:val="left" w:pos="5347"/>
              </w:tabs>
              <w:rPr>
                <w:rFonts w:ascii="Arial" w:hAnsi="Arial" w:cs="Arial"/>
              </w:rPr>
            </w:pPr>
            <w:r w:rsidRPr="005A2796">
              <w:rPr>
                <w:rFonts w:ascii="Arial" w:hAnsi="Arial" w:cs="Arial"/>
              </w:rPr>
              <w:t>2.2.6</w:t>
            </w:r>
          </w:p>
        </w:tc>
        <w:tc>
          <w:tcPr>
            <w:tcW w:w="7884" w:type="dxa"/>
          </w:tcPr>
          <w:p w14:paraId="6F94C556" w14:textId="77777777" w:rsidR="000E3C9A" w:rsidRPr="005A2796" w:rsidRDefault="000E3C9A" w:rsidP="001C7C84">
            <w:pPr>
              <w:ind w:right="187"/>
              <w:rPr>
                <w:rFonts w:ascii="Arial" w:hAnsi="Arial" w:cs="Arial"/>
              </w:rPr>
            </w:pPr>
            <w:r w:rsidRPr="005A2796">
              <w:rPr>
                <w:rFonts w:ascii="Arial" w:hAnsi="Arial" w:cs="Arial"/>
              </w:rPr>
              <w:t>In discussion the Board:</w:t>
            </w:r>
          </w:p>
          <w:p w14:paraId="346EEE14" w14:textId="77777777" w:rsidR="000E3C9A" w:rsidRPr="005A2796" w:rsidRDefault="000E3C9A" w:rsidP="001C7C84">
            <w:pPr>
              <w:ind w:right="187"/>
              <w:rPr>
                <w:rFonts w:ascii="Arial" w:hAnsi="Arial" w:cs="Arial"/>
              </w:rPr>
            </w:pPr>
          </w:p>
          <w:p w14:paraId="6DD764F8" w14:textId="1E28E7C4" w:rsidR="000E3C9A" w:rsidRPr="005A2796" w:rsidRDefault="00066B5F" w:rsidP="000E3C9A">
            <w:pPr>
              <w:pStyle w:val="ListParagraph"/>
              <w:numPr>
                <w:ilvl w:val="0"/>
                <w:numId w:val="23"/>
              </w:numPr>
              <w:ind w:right="187"/>
              <w:rPr>
                <w:rFonts w:ascii="Arial" w:hAnsi="Arial" w:cs="Arial"/>
              </w:rPr>
            </w:pPr>
            <w:r w:rsidRPr="005A2796">
              <w:rPr>
                <w:rFonts w:ascii="Arial" w:hAnsi="Arial" w:cs="Arial"/>
              </w:rPr>
              <w:t>Noted that the budget would be approved by DWP before 1 April</w:t>
            </w:r>
            <w:r w:rsidR="00B60039">
              <w:rPr>
                <w:rFonts w:ascii="Arial" w:hAnsi="Arial" w:cs="Arial"/>
              </w:rPr>
              <w:t xml:space="preserve"> 2025</w:t>
            </w:r>
            <w:r w:rsidRPr="005A2796">
              <w:rPr>
                <w:rFonts w:ascii="Arial" w:hAnsi="Arial" w:cs="Arial"/>
              </w:rPr>
              <w:t>.</w:t>
            </w:r>
          </w:p>
          <w:p w14:paraId="3A95F32B" w14:textId="7056B1EF" w:rsidR="00042524" w:rsidRPr="005A2796" w:rsidRDefault="00750D96" w:rsidP="000E3C9A">
            <w:pPr>
              <w:pStyle w:val="ListParagraph"/>
              <w:numPr>
                <w:ilvl w:val="0"/>
                <w:numId w:val="23"/>
              </w:numPr>
              <w:ind w:right="187"/>
              <w:rPr>
                <w:rFonts w:ascii="Arial" w:hAnsi="Arial" w:cs="Arial"/>
              </w:rPr>
            </w:pPr>
            <w:r w:rsidRPr="005A2796">
              <w:rPr>
                <w:rFonts w:ascii="Arial" w:hAnsi="Arial" w:cs="Arial"/>
              </w:rPr>
              <w:t xml:space="preserve">Discussed the </w:t>
            </w:r>
            <w:r w:rsidR="00042524" w:rsidRPr="005A2796">
              <w:rPr>
                <w:rFonts w:ascii="Arial" w:hAnsi="Arial" w:cs="Arial"/>
              </w:rPr>
              <w:t>need to quanti</w:t>
            </w:r>
            <w:r w:rsidRPr="005A2796">
              <w:rPr>
                <w:rFonts w:ascii="Arial" w:hAnsi="Arial" w:cs="Arial"/>
              </w:rPr>
              <w:t xml:space="preserve">fy efficiencies already </w:t>
            </w:r>
            <w:r w:rsidR="00FB5766" w:rsidRPr="005A2796">
              <w:rPr>
                <w:rFonts w:ascii="Arial" w:hAnsi="Arial" w:cs="Arial"/>
              </w:rPr>
              <w:t xml:space="preserve">noted </w:t>
            </w:r>
            <w:r w:rsidRPr="005A2796">
              <w:rPr>
                <w:rFonts w:ascii="Arial" w:hAnsi="Arial" w:cs="Arial"/>
              </w:rPr>
              <w:t xml:space="preserve">and </w:t>
            </w:r>
            <w:r w:rsidR="00FB5766" w:rsidRPr="005A2796">
              <w:rPr>
                <w:rFonts w:ascii="Arial" w:hAnsi="Arial" w:cs="Arial"/>
              </w:rPr>
              <w:t xml:space="preserve">requested a target be implemented </w:t>
            </w:r>
            <w:r w:rsidRPr="005A2796">
              <w:rPr>
                <w:rFonts w:ascii="Arial" w:hAnsi="Arial" w:cs="Arial"/>
              </w:rPr>
              <w:t xml:space="preserve">for the year ahead. </w:t>
            </w:r>
            <w:r w:rsidR="007200AA" w:rsidRPr="005A2796">
              <w:rPr>
                <w:rFonts w:ascii="Arial" w:hAnsi="Arial" w:cs="Arial"/>
              </w:rPr>
              <w:t>The Finance Director (FD)</w:t>
            </w:r>
            <w:r w:rsidRPr="005A2796">
              <w:rPr>
                <w:rFonts w:ascii="Arial" w:hAnsi="Arial" w:cs="Arial"/>
              </w:rPr>
              <w:t xml:space="preserve"> noted that </w:t>
            </w:r>
            <w:r w:rsidR="004D657F" w:rsidRPr="005A2796">
              <w:rPr>
                <w:rFonts w:ascii="Arial" w:hAnsi="Arial" w:cs="Arial"/>
              </w:rPr>
              <w:t>there were trackable cashable and productivity efficiencies which were captured</w:t>
            </w:r>
            <w:r w:rsidR="00FB5766" w:rsidRPr="005A2796">
              <w:rPr>
                <w:rFonts w:ascii="Arial" w:hAnsi="Arial" w:cs="Arial"/>
              </w:rPr>
              <w:t xml:space="preserve"> and presented at each Board meeting. </w:t>
            </w:r>
            <w:r w:rsidR="00420053" w:rsidRPr="005A2796">
              <w:rPr>
                <w:rFonts w:ascii="Arial" w:hAnsi="Arial" w:cs="Arial"/>
              </w:rPr>
              <w:t xml:space="preserve">Looking </w:t>
            </w:r>
            <w:r w:rsidR="00C4644C">
              <w:rPr>
                <w:rFonts w:ascii="Arial" w:hAnsi="Arial" w:cs="Arial"/>
              </w:rPr>
              <w:t>ahead to</w:t>
            </w:r>
            <w:r w:rsidR="00420053" w:rsidRPr="005A2796">
              <w:rPr>
                <w:rFonts w:ascii="Arial" w:hAnsi="Arial" w:cs="Arial"/>
              </w:rPr>
              <w:t xml:space="preserve"> 2025-26 </w:t>
            </w:r>
            <w:r w:rsidR="00FA093B" w:rsidRPr="005A2796">
              <w:rPr>
                <w:rFonts w:ascii="Arial" w:hAnsi="Arial" w:cs="Arial"/>
              </w:rPr>
              <w:t>it had not yet been identified where efficiency savings would come from.</w:t>
            </w:r>
            <w:r w:rsidR="00FB5766" w:rsidRPr="005A2796">
              <w:rPr>
                <w:rFonts w:ascii="Arial" w:hAnsi="Arial" w:cs="Arial"/>
              </w:rPr>
              <w:t xml:space="preserve"> SLT would need to provide an action plan. </w:t>
            </w:r>
          </w:p>
          <w:p w14:paraId="45B5A28D" w14:textId="125609EB" w:rsidR="006659A9" w:rsidRPr="005A2796" w:rsidRDefault="00FA093B" w:rsidP="00EF6B23">
            <w:pPr>
              <w:pStyle w:val="ListParagraph"/>
              <w:numPr>
                <w:ilvl w:val="0"/>
                <w:numId w:val="23"/>
              </w:numPr>
              <w:ind w:right="187"/>
              <w:rPr>
                <w:rFonts w:ascii="Arial" w:hAnsi="Arial" w:cs="Arial"/>
              </w:rPr>
            </w:pPr>
            <w:r w:rsidRPr="005A2796">
              <w:rPr>
                <w:rFonts w:ascii="Arial" w:hAnsi="Arial" w:cs="Arial"/>
              </w:rPr>
              <w:lastRenderedPageBreak/>
              <w:t xml:space="preserve">Highlighted the need for </w:t>
            </w:r>
            <w:r w:rsidR="003F4571" w:rsidRPr="005A2796">
              <w:rPr>
                <w:rFonts w:ascii="Arial" w:hAnsi="Arial" w:cs="Arial"/>
              </w:rPr>
              <w:t xml:space="preserve">the narrative on efficiencies to be sharper and articulate where efficiencies would continue to be carried forward </w:t>
            </w:r>
            <w:r w:rsidR="006659A9" w:rsidRPr="005A2796">
              <w:rPr>
                <w:rFonts w:ascii="Arial" w:hAnsi="Arial" w:cs="Arial"/>
              </w:rPr>
              <w:t>through to the next financial year.</w:t>
            </w:r>
          </w:p>
          <w:p w14:paraId="3938ACDE" w14:textId="0F46F1B6" w:rsidR="00EF6B23" w:rsidRPr="005A2796" w:rsidRDefault="00EF6B23" w:rsidP="00EF6B23">
            <w:pPr>
              <w:pStyle w:val="ListParagraph"/>
              <w:numPr>
                <w:ilvl w:val="0"/>
                <w:numId w:val="23"/>
              </w:numPr>
              <w:ind w:right="187"/>
              <w:rPr>
                <w:rFonts w:ascii="Arial" w:hAnsi="Arial" w:cs="Arial"/>
              </w:rPr>
            </w:pPr>
            <w:r w:rsidRPr="005A2796">
              <w:rPr>
                <w:rFonts w:ascii="Arial" w:hAnsi="Arial" w:cs="Arial"/>
              </w:rPr>
              <w:t>Asked that in-year efficiency savings b</w:t>
            </w:r>
            <w:r w:rsidR="006874E8" w:rsidRPr="005A2796">
              <w:rPr>
                <w:rFonts w:ascii="Arial" w:hAnsi="Arial" w:cs="Arial"/>
              </w:rPr>
              <w:t>e made explicit in the corporate plan for 2025-26 to provide assurance on what had already been achieved.</w:t>
            </w:r>
          </w:p>
          <w:p w14:paraId="151A766D" w14:textId="43840905" w:rsidR="006874E8" w:rsidRPr="005A2796" w:rsidRDefault="006874E8" w:rsidP="00EF6B23">
            <w:pPr>
              <w:pStyle w:val="ListParagraph"/>
              <w:numPr>
                <w:ilvl w:val="0"/>
                <w:numId w:val="23"/>
              </w:numPr>
              <w:ind w:right="187"/>
              <w:rPr>
                <w:rFonts w:ascii="Arial" w:hAnsi="Arial" w:cs="Arial"/>
              </w:rPr>
            </w:pPr>
            <w:r w:rsidRPr="005A2796">
              <w:rPr>
                <w:rFonts w:ascii="Arial" w:hAnsi="Arial" w:cs="Arial"/>
              </w:rPr>
              <w:t xml:space="preserve">Noted the 2% efficiency saving target but </w:t>
            </w:r>
            <w:r w:rsidR="0061708D" w:rsidRPr="005A2796">
              <w:rPr>
                <w:rFonts w:ascii="Arial" w:hAnsi="Arial" w:cs="Arial"/>
              </w:rPr>
              <w:t>questioned</w:t>
            </w:r>
            <w:r w:rsidRPr="005A2796">
              <w:rPr>
                <w:rFonts w:ascii="Arial" w:hAnsi="Arial" w:cs="Arial"/>
              </w:rPr>
              <w:t xml:space="preserve"> how that was broken down and how much had already been achieve</w:t>
            </w:r>
            <w:r w:rsidR="001D49A2" w:rsidRPr="005A2796">
              <w:rPr>
                <w:rFonts w:ascii="Arial" w:hAnsi="Arial" w:cs="Arial"/>
              </w:rPr>
              <w:t>d through</w:t>
            </w:r>
            <w:r w:rsidR="0061708D" w:rsidRPr="005A2796">
              <w:rPr>
                <w:rFonts w:ascii="Arial" w:hAnsi="Arial" w:cs="Arial"/>
              </w:rPr>
              <w:t xml:space="preserve"> the</w:t>
            </w:r>
            <w:r w:rsidR="001D49A2" w:rsidRPr="005A2796">
              <w:rPr>
                <w:rFonts w:ascii="Arial" w:hAnsi="Arial" w:cs="Arial"/>
              </w:rPr>
              <w:t xml:space="preserve"> continuation of existing measures.</w:t>
            </w:r>
          </w:p>
          <w:p w14:paraId="3F91F5E0" w14:textId="12B89CC9" w:rsidR="001D49A2" w:rsidRPr="005A2796" w:rsidRDefault="001D49A2" w:rsidP="00EF6B23">
            <w:pPr>
              <w:pStyle w:val="ListParagraph"/>
              <w:numPr>
                <w:ilvl w:val="0"/>
                <w:numId w:val="23"/>
              </w:numPr>
              <w:ind w:right="187"/>
              <w:rPr>
                <w:rFonts w:ascii="Arial" w:hAnsi="Arial" w:cs="Arial"/>
              </w:rPr>
            </w:pPr>
            <w:r w:rsidRPr="005A2796">
              <w:rPr>
                <w:rFonts w:ascii="Arial" w:hAnsi="Arial" w:cs="Arial"/>
              </w:rPr>
              <w:t xml:space="preserve">Highlighted the importance of </w:t>
            </w:r>
            <w:r w:rsidR="00225FCE" w:rsidRPr="005A2796">
              <w:rPr>
                <w:rFonts w:ascii="Arial" w:hAnsi="Arial" w:cs="Arial"/>
              </w:rPr>
              <w:t>being clearer about what ONR was trying to achieve</w:t>
            </w:r>
            <w:r w:rsidR="0045794A" w:rsidRPr="005A2796">
              <w:rPr>
                <w:rFonts w:ascii="Arial" w:hAnsi="Arial" w:cs="Arial"/>
              </w:rPr>
              <w:t xml:space="preserve"> to build confidence that </w:t>
            </w:r>
            <w:r w:rsidR="00F508E2">
              <w:rPr>
                <w:rFonts w:ascii="Arial" w:hAnsi="Arial" w:cs="Arial"/>
              </w:rPr>
              <w:t>it</w:t>
            </w:r>
            <w:r w:rsidR="0045794A" w:rsidRPr="005A2796">
              <w:rPr>
                <w:rFonts w:ascii="Arial" w:hAnsi="Arial" w:cs="Arial"/>
              </w:rPr>
              <w:t xml:space="preserve"> was ahead of the curve and not being driven on these efficiencies.</w:t>
            </w:r>
          </w:p>
          <w:p w14:paraId="30B4A0AF" w14:textId="62AC977A" w:rsidR="0045794A" w:rsidRPr="005A2796" w:rsidRDefault="0045794A" w:rsidP="00EF6B23">
            <w:pPr>
              <w:pStyle w:val="ListParagraph"/>
              <w:numPr>
                <w:ilvl w:val="0"/>
                <w:numId w:val="23"/>
              </w:numPr>
              <w:ind w:right="187"/>
              <w:rPr>
                <w:rFonts w:ascii="Arial" w:hAnsi="Arial" w:cs="Arial"/>
              </w:rPr>
            </w:pPr>
            <w:r w:rsidRPr="005A2796">
              <w:rPr>
                <w:rFonts w:ascii="Arial" w:hAnsi="Arial" w:cs="Arial"/>
              </w:rPr>
              <w:t xml:space="preserve">Noted the need </w:t>
            </w:r>
            <w:r w:rsidR="004A35CB" w:rsidRPr="005A2796">
              <w:rPr>
                <w:rFonts w:ascii="Arial" w:hAnsi="Arial" w:cs="Arial"/>
              </w:rPr>
              <w:t>for the corporate plan to reflect the up to date strategic risks following agreement at the Audit, Risk and Assurance Committee</w:t>
            </w:r>
            <w:r w:rsidR="006235F8" w:rsidRPr="005A2796">
              <w:rPr>
                <w:rFonts w:ascii="Arial" w:hAnsi="Arial" w:cs="Arial"/>
              </w:rPr>
              <w:t xml:space="preserve"> (ARAC).</w:t>
            </w:r>
          </w:p>
          <w:p w14:paraId="2257FDDB" w14:textId="064579C5" w:rsidR="006235F8" w:rsidRPr="005A2796" w:rsidRDefault="005A13F8" w:rsidP="00EF6B23">
            <w:pPr>
              <w:pStyle w:val="ListParagraph"/>
              <w:numPr>
                <w:ilvl w:val="0"/>
                <w:numId w:val="23"/>
              </w:numPr>
              <w:ind w:right="18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54459B" w:rsidRPr="005A2796">
              <w:rPr>
                <w:rFonts w:ascii="Arial" w:hAnsi="Arial" w:cs="Arial"/>
              </w:rPr>
              <w:t xml:space="preserve">ighlighted </w:t>
            </w:r>
            <w:r w:rsidR="0061708D" w:rsidRPr="005A2796">
              <w:rPr>
                <w:rFonts w:ascii="Arial" w:hAnsi="Arial" w:cs="Arial"/>
              </w:rPr>
              <w:t>the need to articulate in the plan</w:t>
            </w:r>
            <w:r w:rsidR="0054459B" w:rsidRPr="005A2796">
              <w:rPr>
                <w:rFonts w:ascii="Arial" w:hAnsi="Arial" w:cs="Arial"/>
              </w:rPr>
              <w:t xml:space="preserve"> </w:t>
            </w:r>
            <w:r w:rsidR="00714985" w:rsidRPr="005A2796">
              <w:rPr>
                <w:rFonts w:ascii="Arial" w:hAnsi="Arial" w:cs="Arial"/>
              </w:rPr>
              <w:t xml:space="preserve">that </w:t>
            </w:r>
            <w:r w:rsidR="0054459B" w:rsidRPr="005A2796">
              <w:rPr>
                <w:rFonts w:ascii="Arial" w:hAnsi="Arial" w:cs="Arial"/>
              </w:rPr>
              <w:t>the</w:t>
            </w:r>
            <w:r w:rsidR="003654C7" w:rsidRPr="005A2796">
              <w:rPr>
                <w:rFonts w:ascii="Arial" w:hAnsi="Arial" w:cs="Arial"/>
              </w:rPr>
              <w:t xml:space="preserve"> </w:t>
            </w:r>
            <w:r w:rsidR="0061708D" w:rsidRPr="005A2796">
              <w:rPr>
                <w:rFonts w:ascii="Arial" w:hAnsi="Arial" w:cs="Arial"/>
              </w:rPr>
              <w:t>scale</w:t>
            </w:r>
            <w:r w:rsidR="003654C7" w:rsidRPr="005A2796">
              <w:rPr>
                <w:rFonts w:ascii="Arial" w:hAnsi="Arial" w:cs="Arial"/>
              </w:rPr>
              <w:t xml:space="preserve"> of ambition</w:t>
            </w:r>
            <w:r w:rsidR="0061708D" w:rsidRPr="005A2796">
              <w:rPr>
                <w:rFonts w:ascii="Arial" w:hAnsi="Arial" w:cs="Arial"/>
              </w:rPr>
              <w:t xml:space="preserve"> </w:t>
            </w:r>
            <w:r w:rsidR="00714985" w:rsidRPr="005A2796">
              <w:rPr>
                <w:rFonts w:ascii="Arial" w:hAnsi="Arial" w:cs="Arial"/>
              </w:rPr>
              <w:t>for the current year was constrained</w:t>
            </w:r>
            <w:r w:rsidR="0061708D" w:rsidRPr="005A2796">
              <w:rPr>
                <w:rFonts w:ascii="Arial" w:hAnsi="Arial" w:cs="Arial"/>
              </w:rPr>
              <w:t xml:space="preserve"> due to the </w:t>
            </w:r>
            <w:r w:rsidR="000B6434" w:rsidRPr="005A2796">
              <w:rPr>
                <w:rFonts w:ascii="Arial" w:hAnsi="Arial" w:cs="Arial"/>
              </w:rPr>
              <w:t xml:space="preserve">review’s potential impact on the </w:t>
            </w:r>
            <w:r w:rsidR="00714985" w:rsidRPr="005A2796">
              <w:rPr>
                <w:rFonts w:ascii="Arial" w:hAnsi="Arial" w:cs="Arial"/>
              </w:rPr>
              <w:t xml:space="preserve">longer term </w:t>
            </w:r>
            <w:r w:rsidR="000B6434" w:rsidRPr="005A2796">
              <w:rPr>
                <w:rFonts w:ascii="Arial" w:hAnsi="Arial" w:cs="Arial"/>
              </w:rPr>
              <w:t>structure</w:t>
            </w:r>
            <w:r w:rsidR="003654C7" w:rsidRPr="005A2796">
              <w:rPr>
                <w:rFonts w:ascii="Arial" w:hAnsi="Arial" w:cs="Arial"/>
              </w:rPr>
              <w:t xml:space="preserve"> </w:t>
            </w:r>
            <w:r w:rsidR="000B6434" w:rsidRPr="005A2796">
              <w:rPr>
                <w:rFonts w:ascii="Arial" w:hAnsi="Arial" w:cs="Arial"/>
              </w:rPr>
              <w:t>of the organisation.</w:t>
            </w:r>
          </w:p>
          <w:p w14:paraId="79064565" w14:textId="6F1E7BB7" w:rsidR="00ED4436" w:rsidRPr="005A2796" w:rsidRDefault="00ED4436" w:rsidP="00EF6B23">
            <w:pPr>
              <w:pStyle w:val="ListParagraph"/>
              <w:numPr>
                <w:ilvl w:val="0"/>
                <w:numId w:val="23"/>
              </w:numPr>
              <w:ind w:right="187"/>
              <w:rPr>
                <w:rFonts w:ascii="Arial" w:hAnsi="Arial" w:cs="Arial"/>
              </w:rPr>
            </w:pPr>
            <w:r w:rsidRPr="005A2796">
              <w:rPr>
                <w:rFonts w:ascii="Arial" w:hAnsi="Arial" w:cs="Arial"/>
              </w:rPr>
              <w:t xml:space="preserve">Highlighted the need to strengthen the wording around the regulatory taskforce which was currently neutral but should be </w:t>
            </w:r>
            <w:r w:rsidR="00D531C2">
              <w:rPr>
                <w:rFonts w:ascii="Arial" w:hAnsi="Arial" w:cs="Arial"/>
              </w:rPr>
              <w:t xml:space="preserve">highlighted </w:t>
            </w:r>
            <w:r w:rsidRPr="005A2796">
              <w:rPr>
                <w:rFonts w:ascii="Arial" w:hAnsi="Arial" w:cs="Arial"/>
              </w:rPr>
              <w:t>as an opportunit</w:t>
            </w:r>
            <w:r w:rsidR="007200AA" w:rsidRPr="005A2796">
              <w:rPr>
                <w:rFonts w:ascii="Arial" w:hAnsi="Arial" w:cs="Arial"/>
              </w:rPr>
              <w:t>y</w:t>
            </w:r>
            <w:r w:rsidRPr="005A2796">
              <w:rPr>
                <w:rFonts w:ascii="Arial" w:hAnsi="Arial" w:cs="Arial"/>
              </w:rPr>
              <w:t>.</w:t>
            </w:r>
          </w:p>
          <w:p w14:paraId="35D75E91" w14:textId="38ADEE25" w:rsidR="00DB7AE5" w:rsidRPr="005A2796" w:rsidRDefault="006675FD" w:rsidP="00EF6B23">
            <w:pPr>
              <w:pStyle w:val="ListParagraph"/>
              <w:numPr>
                <w:ilvl w:val="0"/>
                <w:numId w:val="23"/>
              </w:numPr>
              <w:ind w:right="187"/>
              <w:rPr>
                <w:rFonts w:ascii="Arial" w:hAnsi="Arial" w:cs="Arial"/>
              </w:rPr>
            </w:pPr>
            <w:r w:rsidRPr="005A2796">
              <w:rPr>
                <w:rFonts w:ascii="Arial" w:hAnsi="Arial" w:cs="Arial"/>
              </w:rPr>
              <w:t xml:space="preserve">Discussed the importance of </w:t>
            </w:r>
            <w:r w:rsidR="00ED4436" w:rsidRPr="005A2796">
              <w:rPr>
                <w:rFonts w:ascii="Arial" w:hAnsi="Arial" w:cs="Arial"/>
              </w:rPr>
              <w:t xml:space="preserve">striking the </w:t>
            </w:r>
            <w:r w:rsidR="00AE431D" w:rsidRPr="005A2796">
              <w:rPr>
                <w:rFonts w:ascii="Arial" w:hAnsi="Arial" w:cs="Arial"/>
              </w:rPr>
              <w:t xml:space="preserve">right </w:t>
            </w:r>
            <w:r w:rsidR="00ED4436" w:rsidRPr="005A2796">
              <w:rPr>
                <w:rFonts w:ascii="Arial" w:hAnsi="Arial" w:cs="Arial"/>
              </w:rPr>
              <w:t>balance in</w:t>
            </w:r>
            <w:r w:rsidRPr="005A2796">
              <w:rPr>
                <w:rFonts w:ascii="Arial" w:hAnsi="Arial" w:cs="Arial"/>
              </w:rPr>
              <w:t xml:space="preserve"> the narrative on </w:t>
            </w:r>
            <w:r w:rsidR="00ED4436" w:rsidRPr="005A2796">
              <w:rPr>
                <w:rFonts w:ascii="Arial" w:hAnsi="Arial" w:cs="Arial"/>
              </w:rPr>
              <w:t xml:space="preserve">positive </w:t>
            </w:r>
            <w:r w:rsidRPr="005A2796">
              <w:rPr>
                <w:rFonts w:ascii="Arial" w:hAnsi="Arial" w:cs="Arial"/>
              </w:rPr>
              <w:t>efficien</w:t>
            </w:r>
            <w:r w:rsidR="00ED4436" w:rsidRPr="005A2796">
              <w:rPr>
                <w:rFonts w:ascii="Arial" w:hAnsi="Arial" w:cs="Arial"/>
              </w:rPr>
              <w:t>cy gains whilst not impacting capability within ONR.</w:t>
            </w:r>
          </w:p>
          <w:p w14:paraId="519DF9E9" w14:textId="564A2FA3" w:rsidR="000E3C9A" w:rsidRPr="005A2796" w:rsidRDefault="00ED4436" w:rsidP="002978CB">
            <w:pPr>
              <w:pStyle w:val="ListParagraph"/>
              <w:numPr>
                <w:ilvl w:val="0"/>
                <w:numId w:val="23"/>
              </w:numPr>
              <w:ind w:right="187"/>
              <w:rPr>
                <w:rFonts w:ascii="Arial" w:hAnsi="Arial" w:cs="Arial"/>
              </w:rPr>
            </w:pPr>
            <w:r w:rsidRPr="005A2796">
              <w:rPr>
                <w:rFonts w:ascii="Arial" w:hAnsi="Arial" w:cs="Arial"/>
              </w:rPr>
              <w:t>Highlighted the need to engage with the NGO forum in relation to ONR</w:t>
            </w:r>
            <w:r w:rsidR="00950D3F">
              <w:rPr>
                <w:rFonts w:ascii="Arial" w:hAnsi="Arial" w:cs="Arial"/>
              </w:rPr>
              <w:t>’</w:t>
            </w:r>
            <w:r w:rsidRPr="005A2796">
              <w:rPr>
                <w:rFonts w:ascii="Arial" w:hAnsi="Arial" w:cs="Arial"/>
              </w:rPr>
              <w:t>s growth agenda as outlined in the plan.</w:t>
            </w:r>
          </w:p>
        </w:tc>
      </w:tr>
      <w:tr w:rsidR="00066B5F" w:rsidRPr="005A2796" w14:paraId="05E5A57C" w14:textId="77777777" w:rsidTr="00883F1F">
        <w:tc>
          <w:tcPr>
            <w:tcW w:w="1142" w:type="dxa"/>
          </w:tcPr>
          <w:p w14:paraId="1F55A217" w14:textId="77777777" w:rsidR="00066B5F" w:rsidRPr="005A2796" w:rsidRDefault="00066B5F" w:rsidP="0029015F">
            <w:pPr>
              <w:tabs>
                <w:tab w:val="left" w:pos="5347"/>
              </w:tabs>
              <w:rPr>
                <w:rFonts w:ascii="Arial" w:hAnsi="Arial" w:cs="Arial"/>
              </w:rPr>
            </w:pPr>
          </w:p>
        </w:tc>
        <w:tc>
          <w:tcPr>
            <w:tcW w:w="7884" w:type="dxa"/>
          </w:tcPr>
          <w:p w14:paraId="3337FCAF" w14:textId="77777777" w:rsidR="00066B5F" w:rsidRPr="005A2796" w:rsidRDefault="00066B5F" w:rsidP="001C7C84">
            <w:pPr>
              <w:ind w:right="187"/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066B5F" w:rsidRPr="005A2796" w14:paraId="3FB78918" w14:textId="77777777" w:rsidTr="00883F1F">
        <w:tc>
          <w:tcPr>
            <w:tcW w:w="1142" w:type="dxa"/>
          </w:tcPr>
          <w:p w14:paraId="560A4CB4" w14:textId="2A2CFD28" w:rsidR="00066B5F" w:rsidRPr="005A2796" w:rsidRDefault="008B6475" w:rsidP="0029015F">
            <w:pPr>
              <w:tabs>
                <w:tab w:val="left" w:pos="5347"/>
              </w:tabs>
              <w:rPr>
                <w:rFonts w:ascii="Arial" w:hAnsi="Arial" w:cs="Arial"/>
              </w:rPr>
            </w:pPr>
            <w:r w:rsidRPr="005A2796">
              <w:rPr>
                <w:rFonts w:ascii="Arial" w:hAnsi="Arial" w:cs="Arial"/>
              </w:rPr>
              <w:t>2.2.7</w:t>
            </w:r>
          </w:p>
        </w:tc>
        <w:tc>
          <w:tcPr>
            <w:tcW w:w="7884" w:type="dxa"/>
          </w:tcPr>
          <w:p w14:paraId="5AD6B7C5" w14:textId="2EFA1534" w:rsidR="00066B5F" w:rsidRPr="005A2796" w:rsidRDefault="002978CB" w:rsidP="001C7C84">
            <w:pPr>
              <w:ind w:right="187"/>
              <w:rPr>
                <w:rFonts w:asciiTheme="minorBidi" w:hAnsiTheme="minorBidi" w:cstheme="minorBidi"/>
              </w:rPr>
            </w:pPr>
            <w:r w:rsidRPr="005A2796">
              <w:rPr>
                <w:rFonts w:asciiTheme="minorBidi" w:hAnsiTheme="minorBidi" w:cstheme="minorBidi"/>
              </w:rPr>
              <w:t xml:space="preserve">The Board agreed the </w:t>
            </w:r>
            <w:r w:rsidR="00350B12">
              <w:rPr>
                <w:rFonts w:asciiTheme="minorBidi" w:hAnsiTheme="minorBidi" w:cstheme="minorBidi"/>
              </w:rPr>
              <w:t>c</w:t>
            </w:r>
            <w:r w:rsidRPr="005A2796">
              <w:rPr>
                <w:rFonts w:asciiTheme="minorBidi" w:hAnsiTheme="minorBidi" w:cstheme="minorBidi"/>
              </w:rPr>
              <w:t xml:space="preserve">orporate </w:t>
            </w:r>
            <w:r w:rsidR="00350B12">
              <w:rPr>
                <w:rFonts w:asciiTheme="minorBidi" w:hAnsiTheme="minorBidi" w:cstheme="minorBidi"/>
              </w:rPr>
              <w:t>p</w:t>
            </w:r>
            <w:r w:rsidRPr="005A2796">
              <w:rPr>
                <w:rFonts w:asciiTheme="minorBidi" w:hAnsiTheme="minorBidi" w:cstheme="minorBidi"/>
              </w:rPr>
              <w:t xml:space="preserve">lan subject to changes </w:t>
            </w:r>
            <w:r w:rsidR="00AE431D" w:rsidRPr="005A2796">
              <w:rPr>
                <w:rFonts w:asciiTheme="minorBidi" w:hAnsiTheme="minorBidi" w:cstheme="minorBidi"/>
              </w:rPr>
              <w:t>comment</w:t>
            </w:r>
            <w:r w:rsidR="00270357">
              <w:rPr>
                <w:rFonts w:asciiTheme="minorBidi" w:hAnsiTheme="minorBidi" w:cstheme="minorBidi"/>
              </w:rPr>
              <w:t>ed on</w:t>
            </w:r>
            <w:r w:rsidR="00AD75BF">
              <w:rPr>
                <w:rFonts w:asciiTheme="minorBidi" w:hAnsiTheme="minorBidi" w:cstheme="minorBidi"/>
              </w:rPr>
              <w:t xml:space="preserve"> </w:t>
            </w:r>
            <w:r w:rsidR="00AE431D" w:rsidRPr="005A2796">
              <w:rPr>
                <w:rFonts w:asciiTheme="minorBidi" w:hAnsiTheme="minorBidi" w:cstheme="minorBidi"/>
              </w:rPr>
              <w:t xml:space="preserve">in the meeting </w:t>
            </w:r>
            <w:r w:rsidRPr="005A2796">
              <w:rPr>
                <w:rFonts w:asciiTheme="minorBidi" w:hAnsiTheme="minorBidi" w:cstheme="minorBidi"/>
              </w:rPr>
              <w:t>and</w:t>
            </w:r>
            <w:r w:rsidR="00270357">
              <w:rPr>
                <w:rFonts w:asciiTheme="minorBidi" w:hAnsiTheme="minorBidi" w:cstheme="minorBidi"/>
              </w:rPr>
              <w:t xml:space="preserve"> confirmed that it should be</w:t>
            </w:r>
            <w:r w:rsidRPr="005A2796">
              <w:rPr>
                <w:rFonts w:asciiTheme="minorBidi" w:hAnsiTheme="minorBidi" w:cstheme="minorBidi"/>
              </w:rPr>
              <w:t xml:space="preserve"> </w:t>
            </w:r>
            <w:r w:rsidR="008B18D4" w:rsidRPr="005A2796">
              <w:rPr>
                <w:rFonts w:asciiTheme="minorBidi" w:hAnsiTheme="minorBidi" w:cstheme="minorBidi"/>
              </w:rPr>
              <w:t xml:space="preserve">circulated to the Board for agreement via correspondence. </w:t>
            </w:r>
          </w:p>
          <w:p w14:paraId="642D7A3E" w14:textId="19529BC9" w:rsidR="00ED25AC" w:rsidRPr="005A2796" w:rsidRDefault="00ED25AC" w:rsidP="001C7C84">
            <w:pPr>
              <w:ind w:right="187"/>
              <w:rPr>
                <w:rFonts w:asciiTheme="minorBidi" w:hAnsiTheme="minorBidi" w:cstheme="minorBidi"/>
              </w:rPr>
            </w:pPr>
          </w:p>
        </w:tc>
      </w:tr>
      <w:tr w:rsidR="00D0117C" w:rsidRPr="005A2796" w14:paraId="06A08E25" w14:textId="77777777" w:rsidTr="00883F1F">
        <w:tc>
          <w:tcPr>
            <w:tcW w:w="1142" w:type="dxa"/>
          </w:tcPr>
          <w:p w14:paraId="260CF620" w14:textId="4AECBE6C" w:rsidR="00D0117C" w:rsidRPr="005A2796" w:rsidRDefault="008B6475" w:rsidP="0029015F">
            <w:pPr>
              <w:tabs>
                <w:tab w:val="left" w:pos="5347"/>
              </w:tabs>
              <w:rPr>
                <w:rFonts w:ascii="Arial" w:hAnsi="Arial" w:cs="Arial"/>
                <w:b/>
                <w:bCs/>
              </w:rPr>
            </w:pPr>
            <w:r w:rsidRPr="005A2796">
              <w:rPr>
                <w:rFonts w:ascii="Arial" w:hAnsi="Arial" w:cs="Arial"/>
                <w:b/>
                <w:bCs/>
              </w:rPr>
              <w:t>2.3</w:t>
            </w:r>
          </w:p>
        </w:tc>
        <w:tc>
          <w:tcPr>
            <w:tcW w:w="7884" w:type="dxa"/>
          </w:tcPr>
          <w:p w14:paraId="5A4AE784" w14:textId="15C2EA5A" w:rsidR="00D0117C" w:rsidRPr="005A2796" w:rsidRDefault="00F17CFD" w:rsidP="001C7C84">
            <w:pPr>
              <w:ind w:right="187"/>
              <w:rPr>
                <w:rFonts w:asciiTheme="minorBidi" w:hAnsiTheme="minorBidi" w:cstheme="minorBidi"/>
                <w:b/>
                <w:bCs/>
              </w:rPr>
            </w:pPr>
            <w:r w:rsidRPr="005A2796">
              <w:rPr>
                <w:rFonts w:asciiTheme="minorBidi" w:hAnsiTheme="minorBidi" w:cstheme="minorBidi"/>
                <w:b/>
                <w:bCs/>
              </w:rPr>
              <w:t>2025/26 Budget</w:t>
            </w:r>
          </w:p>
        </w:tc>
      </w:tr>
      <w:tr w:rsidR="00D0117C" w:rsidRPr="005A2796" w14:paraId="2FFD3737" w14:textId="77777777" w:rsidTr="00883F1F">
        <w:tc>
          <w:tcPr>
            <w:tcW w:w="1142" w:type="dxa"/>
          </w:tcPr>
          <w:p w14:paraId="5879D717" w14:textId="77777777" w:rsidR="00D0117C" w:rsidRPr="005A2796" w:rsidRDefault="00D0117C" w:rsidP="0029015F">
            <w:pPr>
              <w:tabs>
                <w:tab w:val="left" w:pos="5347"/>
              </w:tabs>
              <w:rPr>
                <w:rFonts w:ascii="Arial" w:hAnsi="Arial" w:cs="Arial"/>
              </w:rPr>
            </w:pPr>
          </w:p>
        </w:tc>
        <w:tc>
          <w:tcPr>
            <w:tcW w:w="7884" w:type="dxa"/>
          </w:tcPr>
          <w:p w14:paraId="553D694B" w14:textId="77777777" w:rsidR="00D0117C" w:rsidRPr="005A2796" w:rsidRDefault="00D0117C" w:rsidP="001C7C84">
            <w:pPr>
              <w:ind w:right="187"/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D0117C" w:rsidRPr="005A2796" w14:paraId="54D23AD9" w14:textId="77777777" w:rsidTr="00883F1F">
        <w:tc>
          <w:tcPr>
            <w:tcW w:w="1142" w:type="dxa"/>
          </w:tcPr>
          <w:p w14:paraId="203C1213" w14:textId="65E0D9E1" w:rsidR="00D0117C" w:rsidRPr="005A2796" w:rsidRDefault="008B6475" w:rsidP="0029015F">
            <w:pPr>
              <w:tabs>
                <w:tab w:val="left" w:pos="5347"/>
              </w:tabs>
              <w:rPr>
                <w:rFonts w:ascii="Arial" w:hAnsi="Arial" w:cs="Arial"/>
              </w:rPr>
            </w:pPr>
            <w:r w:rsidRPr="005A2796">
              <w:rPr>
                <w:rFonts w:ascii="Arial" w:hAnsi="Arial" w:cs="Arial"/>
              </w:rPr>
              <w:t>2.</w:t>
            </w:r>
            <w:r w:rsidR="008D3904" w:rsidRPr="005A2796">
              <w:rPr>
                <w:rFonts w:ascii="Arial" w:hAnsi="Arial" w:cs="Arial"/>
              </w:rPr>
              <w:t>3</w:t>
            </w:r>
            <w:r w:rsidRPr="005A2796">
              <w:rPr>
                <w:rFonts w:ascii="Arial" w:hAnsi="Arial" w:cs="Arial"/>
              </w:rPr>
              <w:t>.</w:t>
            </w:r>
            <w:r w:rsidR="008D3904" w:rsidRPr="005A2796">
              <w:rPr>
                <w:rFonts w:ascii="Arial" w:hAnsi="Arial" w:cs="Arial"/>
              </w:rPr>
              <w:t>1</w:t>
            </w:r>
          </w:p>
        </w:tc>
        <w:tc>
          <w:tcPr>
            <w:tcW w:w="7884" w:type="dxa"/>
          </w:tcPr>
          <w:p w14:paraId="6BD47824" w14:textId="1A479EC3" w:rsidR="00D0117C" w:rsidRPr="005A2796" w:rsidRDefault="00872188" w:rsidP="00125F3E">
            <w:pPr>
              <w:ind w:right="187"/>
              <w:rPr>
                <w:rFonts w:asciiTheme="minorBidi" w:hAnsiTheme="minorBidi" w:cstheme="minorBidi"/>
              </w:rPr>
            </w:pPr>
            <w:r w:rsidRPr="005A2796">
              <w:rPr>
                <w:rFonts w:asciiTheme="minorBidi" w:hAnsiTheme="minorBidi" w:cstheme="minorBidi"/>
              </w:rPr>
              <w:t xml:space="preserve">The </w:t>
            </w:r>
            <w:r w:rsidR="007200AA" w:rsidRPr="005A2796">
              <w:rPr>
                <w:rFonts w:asciiTheme="minorBidi" w:hAnsiTheme="minorBidi" w:cstheme="minorBidi"/>
              </w:rPr>
              <w:t>FD</w:t>
            </w:r>
            <w:r w:rsidRPr="005A2796">
              <w:rPr>
                <w:rFonts w:asciiTheme="minorBidi" w:hAnsiTheme="minorBidi" w:cstheme="minorBidi"/>
              </w:rPr>
              <w:t xml:space="preserve"> introduced the paper which outlined that this was a challenging but achievable budget. It </w:t>
            </w:r>
            <w:r w:rsidR="00125F3E" w:rsidRPr="005A2796">
              <w:rPr>
                <w:rFonts w:asciiTheme="minorBidi" w:hAnsiTheme="minorBidi" w:cstheme="minorBidi"/>
              </w:rPr>
              <w:t>provided a positive approach that continue</w:t>
            </w:r>
            <w:r w:rsidR="00CC24A1" w:rsidRPr="005A2796">
              <w:rPr>
                <w:rFonts w:asciiTheme="minorBidi" w:hAnsiTheme="minorBidi" w:cstheme="minorBidi"/>
              </w:rPr>
              <w:t>d</w:t>
            </w:r>
            <w:r w:rsidR="00125F3E" w:rsidRPr="005A2796">
              <w:rPr>
                <w:rFonts w:asciiTheme="minorBidi" w:hAnsiTheme="minorBidi" w:cstheme="minorBidi"/>
              </w:rPr>
              <w:t xml:space="preserve"> to test the mindset shift to allow ONR to think and work differently. It had a focus on value for money and efficiency</w:t>
            </w:r>
            <w:r w:rsidR="00B67A45">
              <w:rPr>
                <w:rFonts w:asciiTheme="minorBidi" w:hAnsiTheme="minorBidi" w:cstheme="minorBidi"/>
              </w:rPr>
              <w:t>, focusing on</w:t>
            </w:r>
            <w:r w:rsidR="00125F3E" w:rsidRPr="005A2796">
              <w:rPr>
                <w:rFonts w:asciiTheme="minorBidi" w:hAnsiTheme="minorBidi" w:cstheme="minorBidi"/>
              </w:rPr>
              <w:t xml:space="preserve"> how ONR could deliver more in a growth environment with the same people to achieve our </w:t>
            </w:r>
            <w:r w:rsidR="00B12026" w:rsidRPr="005A2796">
              <w:rPr>
                <w:rFonts w:asciiTheme="minorBidi" w:hAnsiTheme="minorBidi" w:cstheme="minorBidi"/>
              </w:rPr>
              <w:t>business-as-usual</w:t>
            </w:r>
            <w:r w:rsidR="00125F3E" w:rsidRPr="005A2796">
              <w:rPr>
                <w:rFonts w:asciiTheme="minorBidi" w:hAnsiTheme="minorBidi" w:cstheme="minorBidi"/>
              </w:rPr>
              <w:t xml:space="preserve"> </w:t>
            </w:r>
            <w:r w:rsidR="00583071">
              <w:rPr>
                <w:rFonts w:asciiTheme="minorBidi" w:hAnsiTheme="minorBidi" w:cstheme="minorBidi"/>
              </w:rPr>
              <w:t>activitie</w:t>
            </w:r>
            <w:r w:rsidR="004758B5">
              <w:rPr>
                <w:rFonts w:asciiTheme="minorBidi" w:hAnsiTheme="minorBidi" w:cstheme="minorBidi"/>
              </w:rPr>
              <w:t xml:space="preserve">s </w:t>
            </w:r>
            <w:r w:rsidR="00125F3E" w:rsidRPr="005A2796">
              <w:rPr>
                <w:rFonts w:asciiTheme="minorBidi" w:hAnsiTheme="minorBidi" w:cstheme="minorBidi"/>
              </w:rPr>
              <w:t>and our future strategy.</w:t>
            </w:r>
          </w:p>
          <w:p w14:paraId="3B8E1541" w14:textId="1E438CCE" w:rsidR="00276578" w:rsidRPr="005A2796" w:rsidRDefault="00276578" w:rsidP="00125F3E">
            <w:pPr>
              <w:ind w:right="187"/>
              <w:rPr>
                <w:rFonts w:asciiTheme="minorBidi" w:hAnsiTheme="minorBidi" w:cstheme="minorBidi"/>
              </w:rPr>
            </w:pPr>
          </w:p>
        </w:tc>
      </w:tr>
      <w:tr w:rsidR="00D0117C" w:rsidRPr="005A2796" w14:paraId="1B88FC5B" w14:textId="77777777" w:rsidTr="00883F1F">
        <w:tc>
          <w:tcPr>
            <w:tcW w:w="1142" w:type="dxa"/>
          </w:tcPr>
          <w:p w14:paraId="202887AD" w14:textId="50182EE5" w:rsidR="00D0117C" w:rsidRPr="005A2796" w:rsidRDefault="008D3904" w:rsidP="0029015F">
            <w:pPr>
              <w:tabs>
                <w:tab w:val="left" w:pos="5347"/>
              </w:tabs>
              <w:rPr>
                <w:rFonts w:ascii="Arial" w:hAnsi="Arial" w:cs="Arial"/>
              </w:rPr>
            </w:pPr>
            <w:r w:rsidRPr="005A2796">
              <w:rPr>
                <w:rFonts w:ascii="Arial" w:hAnsi="Arial" w:cs="Arial"/>
              </w:rPr>
              <w:t>2.3.2</w:t>
            </w:r>
          </w:p>
        </w:tc>
        <w:tc>
          <w:tcPr>
            <w:tcW w:w="7884" w:type="dxa"/>
          </w:tcPr>
          <w:p w14:paraId="4DE9C074" w14:textId="34851DB6" w:rsidR="00C91CFA" w:rsidRPr="005A2796" w:rsidRDefault="00B12026" w:rsidP="000F7DA1">
            <w:pPr>
              <w:ind w:right="187"/>
              <w:rPr>
                <w:rFonts w:asciiTheme="minorBidi" w:hAnsiTheme="minorBidi" w:cstheme="minorBidi"/>
              </w:rPr>
            </w:pPr>
            <w:r w:rsidRPr="005A2796">
              <w:rPr>
                <w:rFonts w:asciiTheme="minorBidi" w:hAnsiTheme="minorBidi" w:cstheme="minorBidi"/>
              </w:rPr>
              <w:t xml:space="preserve">She reflected on previous </w:t>
            </w:r>
            <w:r w:rsidR="00D94675" w:rsidRPr="005A2796">
              <w:rPr>
                <w:rFonts w:asciiTheme="minorBidi" w:hAnsiTheme="minorBidi" w:cstheme="minorBidi"/>
              </w:rPr>
              <w:t xml:space="preserve">ONR budgets and lessons learned from year on year </w:t>
            </w:r>
            <w:r w:rsidR="000A3D92" w:rsidRPr="005A2796">
              <w:rPr>
                <w:rFonts w:asciiTheme="minorBidi" w:hAnsiTheme="minorBidi" w:cstheme="minorBidi"/>
              </w:rPr>
              <w:t>underspend</w:t>
            </w:r>
            <w:r w:rsidR="004A0A6D" w:rsidRPr="005A2796">
              <w:rPr>
                <w:rFonts w:asciiTheme="minorBidi" w:hAnsiTheme="minorBidi" w:cstheme="minorBidi"/>
              </w:rPr>
              <w:t xml:space="preserve">. </w:t>
            </w:r>
            <w:r w:rsidR="000F7BF9">
              <w:rPr>
                <w:rFonts w:asciiTheme="minorBidi" w:hAnsiTheme="minorBidi" w:cstheme="minorBidi"/>
              </w:rPr>
              <w:t>It was noted that underspend in p</w:t>
            </w:r>
            <w:r w:rsidR="004A0A6D" w:rsidRPr="005A2796">
              <w:rPr>
                <w:rFonts w:asciiTheme="minorBidi" w:hAnsiTheme="minorBidi" w:cstheme="minorBidi"/>
              </w:rPr>
              <w:t>revious years  had predominantly been on three areas</w:t>
            </w:r>
            <w:r w:rsidR="00C91CFA" w:rsidRPr="005A2796">
              <w:rPr>
                <w:rFonts w:asciiTheme="minorBidi" w:hAnsiTheme="minorBidi" w:cstheme="minorBidi"/>
              </w:rPr>
              <w:t xml:space="preserve">; </w:t>
            </w:r>
            <w:r w:rsidR="00ED5FD4" w:rsidRPr="005A2796">
              <w:rPr>
                <w:rFonts w:asciiTheme="minorBidi" w:hAnsiTheme="minorBidi" w:cstheme="minorBidi"/>
              </w:rPr>
              <w:t xml:space="preserve">the first was </w:t>
            </w:r>
            <w:r w:rsidR="00C91CFA" w:rsidRPr="005A2796">
              <w:rPr>
                <w:rFonts w:asciiTheme="minorBidi" w:hAnsiTheme="minorBidi" w:cstheme="minorBidi"/>
              </w:rPr>
              <w:t xml:space="preserve">the phasing of </w:t>
            </w:r>
            <w:r w:rsidR="00DB255E" w:rsidRPr="005A2796">
              <w:rPr>
                <w:rFonts w:asciiTheme="minorBidi" w:hAnsiTheme="minorBidi" w:cstheme="minorBidi"/>
              </w:rPr>
              <w:t>Generic Design Assessment (</w:t>
            </w:r>
            <w:r w:rsidR="00C91CFA" w:rsidRPr="005A2796">
              <w:rPr>
                <w:rFonts w:asciiTheme="minorBidi" w:hAnsiTheme="minorBidi" w:cstheme="minorBidi"/>
              </w:rPr>
              <w:t>GDA</w:t>
            </w:r>
            <w:r w:rsidR="00DB255E" w:rsidRPr="005A2796">
              <w:rPr>
                <w:rFonts w:asciiTheme="minorBidi" w:hAnsiTheme="minorBidi" w:cstheme="minorBidi"/>
              </w:rPr>
              <w:t>)</w:t>
            </w:r>
            <w:r w:rsidR="00C91CFA" w:rsidRPr="005A2796">
              <w:rPr>
                <w:rFonts w:asciiTheme="minorBidi" w:hAnsiTheme="minorBidi" w:cstheme="minorBidi"/>
              </w:rPr>
              <w:t xml:space="preserve">. GDA was an </w:t>
            </w:r>
            <w:r w:rsidR="008B18D4" w:rsidRPr="005A2796">
              <w:rPr>
                <w:rFonts w:asciiTheme="minorBidi" w:hAnsiTheme="minorBidi" w:cstheme="minorBidi"/>
              </w:rPr>
              <w:t xml:space="preserve">unpredictable </w:t>
            </w:r>
            <w:r w:rsidR="00C91CFA" w:rsidRPr="005A2796">
              <w:rPr>
                <w:rFonts w:asciiTheme="minorBidi" w:hAnsiTheme="minorBidi" w:cstheme="minorBidi"/>
              </w:rPr>
              <w:t>spend for ONR</w:t>
            </w:r>
            <w:r w:rsidR="00034C97" w:rsidRPr="005A2796">
              <w:rPr>
                <w:rFonts w:asciiTheme="minorBidi" w:hAnsiTheme="minorBidi" w:cstheme="minorBidi"/>
              </w:rPr>
              <w:t>. Th</w:t>
            </w:r>
            <w:r w:rsidR="00C91CFA" w:rsidRPr="005A2796">
              <w:rPr>
                <w:rFonts w:asciiTheme="minorBidi" w:hAnsiTheme="minorBidi" w:cstheme="minorBidi"/>
              </w:rPr>
              <w:t xml:space="preserve">e volumes </w:t>
            </w:r>
            <w:r w:rsidR="005E5727" w:rsidRPr="005A2796">
              <w:rPr>
                <w:rFonts w:asciiTheme="minorBidi" w:hAnsiTheme="minorBidi" w:cstheme="minorBidi"/>
              </w:rPr>
              <w:t>and how that activity came through to the organisation was largely dependent on G</w:t>
            </w:r>
            <w:r w:rsidR="00DB255E" w:rsidRPr="005A2796">
              <w:rPr>
                <w:rFonts w:asciiTheme="minorBidi" w:hAnsiTheme="minorBidi" w:cstheme="minorBidi"/>
              </w:rPr>
              <w:t xml:space="preserve">reat </w:t>
            </w:r>
            <w:r w:rsidR="005E5727" w:rsidRPr="005A2796">
              <w:rPr>
                <w:rFonts w:asciiTheme="minorBidi" w:hAnsiTheme="minorBidi" w:cstheme="minorBidi"/>
              </w:rPr>
              <w:t>B</w:t>
            </w:r>
            <w:r w:rsidR="00DB255E" w:rsidRPr="005A2796">
              <w:rPr>
                <w:rFonts w:asciiTheme="minorBidi" w:hAnsiTheme="minorBidi" w:cstheme="minorBidi"/>
              </w:rPr>
              <w:t xml:space="preserve">ritish </w:t>
            </w:r>
            <w:r w:rsidR="005E5727" w:rsidRPr="005A2796">
              <w:rPr>
                <w:rFonts w:asciiTheme="minorBidi" w:hAnsiTheme="minorBidi" w:cstheme="minorBidi"/>
              </w:rPr>
              <w:t>N</w:t>
            </w:r>
            <w:r w:rsidR="00DB255E" w:rsidRPr="005A2796">
              <w:rPr>
                <w:rFonts w:asciiTheme="minorBidi" w:hAnsiTheme="minorBidi" w:cstheme="minorBidi"/>
              </w:rPr>
              <w:t>uclear (GBN)</w:t>
            </w:r>
            <w:r w:rsidR="005E5727" w:rsidRPr="005A2796">
              <w:rPr>
                <w:rFonts w:asciiTheme="minorBidi" w:hAnsiTheme="minorBidi" w:cstheme="minorBidi"/>
              </w:rPr>
              <w:t xml:space="preserve"> and government ambitions.</w:t>
            </w:r>
            <w:r w:rsidR="00034C97" w:rsidRPr="005A2796">
              <w:rPr>
                <w:rFonts w:asciiTheme="minorBidi" w:hAnsiTheme="minorBidi" w:cstheme="minorBidi"/>
              </w:rPr>
              <w:t xml:space="preserve"> By showing this </w:t>
            </w:r>
            <w:r w:rsidR="00034C97" w:rsidRPr="005A2796">
              <w:rPr>
                <w:rFonts w:asciiTheme="minorBidi" w:hAnsiTheme="minorBidi" w:cstheme="minorBidi"/>
              </w:rPr>
              <w:lastRenderedPageBreak/>
              <w:t>spend as a clear and separate line it will be possible to track performance on the rest of the budget.</w:t>
            </w:r>
            <w:r w:rsidR="00ED5FD4" w:rsidRPr="005A2796">
              <w:rPr>
                <w:rFonts w:asciiTheme="minorBidi" w:hAnsiTheme="minorBidi" w:cstheme="minorBidi"/>
              </w:rPr>
              <w:t xml:space="preserve"> The second area was the </w:t>
            </w:r>
            <w:r w:rsidR="00F51C86" w:rsidRPr="005A2796">
              <w:rPr>
                <w:rFonts w:asciiTheme="minorBidi" w:hAnsiTheme="minorBidi" w:cstheme="minorBidi"/>
              </w:rPr>
              <w:t>recruitment phasing</w:t>
            </w:r>
            <w:r w:rsidR="00163192">
              <w:rPr>
                <w:rFonts w:asciiTheme="minorBidi" w:hAnsiTheme="minorBidi" w:cstheme="minorBidi"/>
              </w:rPr>
              <w:t>-</w:t>
            </w:r>
            <w:r w:rsidR="00F51C86" w:rsidRPr="005A2796">
              <w:rPr>
                <w:rFonts w:asciiTheme="minorBidi" w:hAnsiTheme="minorBidi" w:cstheme="minorBidi"/>
              </w:rPr>
              <w:t xml:space="preserve"> th</w:t>
            </w:r>
            <w:r w:rsidR="00034C97" w:rsidRPr="005A2796">
              <w:rPr>
                <w:rFonts w:asciiTheme="minorBidi" w:hAnsiTheme="minorBidi" w:cstheme="minorBidi"/>
              </w:rPr>
              <w:t>e</w:t>
            </w:r>
            <w:r w:rsidR="00F51C86" w:rsidRPr="005A2796">
              <w:rPr>
                <w:rFonts w:asciiTheme="minorBidi" w:hAnsiTheme="minorBidi" w:cstheme="minorBidi"/>
              </w:rPr>
              <w:t xml:space="preserve">se issues had been resolved through better budget assumptions and </w:t>
            </w:r>
            <w:r w:rsidR="008F79DE" w:rsidRPr="005A2796">
              <w:rPr>
                <w:rFonts w:asciiTheme="minorBidi" w:hAnsiTheme="minorBidi" w:cstheme="minorBidi"/>
              </w:rPr>
              <w:t>a recruitment freeze in place for  next year. The third area was IT projects</w:t>
            </w:r>
            <w:r w:rsidR="00163192">
              <w:rPr>
                <w:rFonts w:asciiTheme="minorBidi" w:hAnsiTheme="minorBidi" w:cstheme="minorBidi"/>
              </w:rPr>
              <w:t>-</w:t>
            </w:r>
            <w:r w:rsidR="008F79DE" w:rsidRPr="005A2796">
              <w:rPr>
                <w:rFonts w:asciiTheme="minorBidi" w:hAnsiTheme="minorBidi" w:cstheme="minorBidi"/>
              </w:rPr>
              <w:t xml:space="preserve"> </w:t>
            </w:r>
            <w:r w:rsidR="003C7B6E" w:rsidRPr="005A2796">
              <w:rPr>
                <w:rFonts w:asciiTheme="minorBidi" w:hAnsiTheme="minorBidi" w:cstheme="minorBidi"/>
              </w:rPr>
              <w:t>this had come through as an underspend due to projects being delivered faster and cheaper</w:t>
            </w:r>
            <w:r w:rsidR="00EE05BF" w:rsidRPr="005A2796">
              <w:rPr>
                <w:rFonts w:asciiTheme="minorBidi" w:hAnsiTheme="minorBidi" w:cstheme="minorBidi"/>
              </w:rPr>
              <w:t xml:space="preserve"> and ONR was starting to reap the benefits from investment in </w:t>
            </w:r>
            <w:r w:rsidR="00994278">
              <w:rPr>
                <w:rFonts w:asciiTheme="minorBidi" w:hAnsiTheme="minorBidi" w:cstheme="minorBidi"/>
              </w:rPr>
              <w:t xml:space="preserve">its </w:t>
            </w:r>
            <w:r w:rsidR="00EE05BF" w:rsidRPr="005A2796">
              <w:rPr>
                <w:rFonts w:asciiTheme="minorBidi" w:hAnsiTheme="minorBidi" w:cstheme="minorBidi"/>
              </w:rPr>
              <w:t>IT to date.</w:t>
            </w:r>
          </w:p>
        </w:tc>
      </w:tr>
      <w:tr w:rsidR="00D0117C" w:rsidRPr="005A2796" w14:paraId="6914D0AA" w14:textId="77777777" w:rsidTr="00883F1F">
        <w:tc>
          <w:tcPr>
            <w:tcW w:w="1142" w:type="dxa"/>
          </w:tcPr>
          <w:p w14:paraId="7145FD35" w14:textId="77777777" w:rsidR="00D0117C" w:rsidRPr="005A2796" w:rsidRDefault="00D0117C" w:rsidP="0029015F">
            <w:pPr>
              <w:tabs>
                <w:tab w:val="left" w:pos="5347"/>
              </w:tabs>
              <w:rPr>
                <w:rFonts w:ascii="Arial" w:hAnsi="Arial" w:cs="Arial"/>
              </w:rPr>
            </w:pPr>
          </w:p>
        </w:tc>
        <w:tc>
          <w:tcPr>
            <w:tcW w:w="7884" w:type="dxa"/>
          </w:tcPr>
          <w:p w14:paraId="250FC567" w14:textId="77777777" w:rsidR="00D0117C" w:rsidRPr="005A2796" w:rsidRDefault="00D0117C" w:rsidP="001C7C84">
            <w:pPr>
              <w:ind w:right="187"/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D0117C" w:rsidRPr="005A2796" w14:paraId="6A39DF6A" w14:textId="77777777" w:rsidTr="00883F1F">
        <w:tc>
          <w:tcPr>
            <w:tcW w:w="1142" w:type="dxa"/>
          </w:tcPr>
          <w:p w14:paraId="4B281245" w14:textId="50550E2D" w:rsidR="00D0117C" w:rsidRPr="005A2796" w:rsidRDefault="008D3904" w:rsidP="0029015F">
            <w:pPr>
              <w:tabs>
                <w:tab w:val="left" w:pos="5347"/>
              </w:tabs>
              <w:rPr>
                <w:rFonts w:ascii="Arial" w:hAnsi="Arial" w:cs="Arial"/>
              </w:rPr>
            </w:pPr>
            <w:r w:rsidRPr="005A2796">
              <w:rPr>
                <w:rFonts w:ascii="Arial" w:hAnsi="Arial" w:cs="Arial"/>
              </w:rPr>
              <w:t>2.3.3</w:t>
            </w:r>
          </w:p>
        </w:tc>
        <w:tc>
          <w:tcPr>
            <w:tcW w:w="7884" w:type="dxa"/>
          </w:tcPr>
          <w:p w14:paraId="5B51BFD9" w14:textId="4972A1C2" w:rsidR="00D0117C" w:rsidRPr="005A2796" w:rsidRDefault="00C8412B" w:rsidP="001C7C84">
            <w:pPr>
              <w:ind w:right="187"/>
              <w:rPr>
                <w:rFonts w:asciiTheme="minorBidi" w:hAnsiTheme="minorBidi" w:cstheme="minorBidi"/>
              </w:rPr>
            </w:pPr>
            <w:r w:rsidRPr="005A2796">
              <w:rPr>
                <w:rFonts w:asciiTheme="minorBidi" w:hAnsiTheme="minorBidi" w:cstheme="minorBidi"/>
              </w:rPr>
              <w:t>A baseline review had been formed by</w:t>
            </w:r>
            <w:r w:rsidR="007200AA" w:rsidRPr="005A2796">
              <w:rPr>
                <w:rFonts w:asciiTheme="minorBidi" w:hAnsiTheme="minorBidi" w:cstheme="minorBidi"/>
              </w:rPr>
              <w:t xml:space="preserve"> the senior leadership team (</w:t>
            </w:r>
            <w:r w:rsidRPr="005A2796">
              <w:rPr>
                <w:rFonts w:asciiTheme="minorBidi" w:hAnsiTheme="minorBidi" w:cstheme="minorBidi"/>
              </w:rPr>
              <w:t>SLT</w:t>
            </w:r>
            <w:r w:rsidR="007200AA" w:rsidRPr="005A2796">
              <w:rPr>
                <w:rFonts w:asciiTheme="minorBidi" w:hAnsiTheme="minorBidi" w:cstheme="minorBidi"/>
              </w:rPr>
              <w:t>),</w:t>
            </w:r>
            <w:r w:rsidRPr="005A2796">
              <w:rPr>
                <w:rFonts w:asciiTheme="minorBidi" w:hAnsiTheme="minorBidi" w:cstheme="minorBidi"/>
              </w:rPr>
              <w:t xml:space="preserve"> with more work to do </w:t>
            </w:r>
            <w:r w:rsidR="00301FD5" w:rsidRPr="005A2796">
              <w:rPr>
                <w:rFonts w:asciiTheme="minorBidi" w:hAnsiTheme="minorBidi" w:cstheme="minorBidi"/>
              </w:rPr>
              <w:t>to</w:t>
            </w:r>
            <w:r w:rsidRPr="005A2796">
              <w:rPr>
                <w:rFonts w:asciiTheme="minorBidi" w:hAnsiTheme="minorBidi" w:cstheme="minorBidi"/>
              </w:rPr>
              <w:t xml:space="preserve"> </w:t>
            </w:r>
            <w:r w:rsidR="00301FD5" w:rsidRPr="005A2796">
              <w:rPr>
                <w:rFonts w:asciiTheme="minorBidi" w:hAnsiTheme="minorBidi" w:cstheme="minorBidi"/>
              </w:rPr>
              <w:t>provide</w:t>
            </w:r>
            <w:r w:rsidRPr="005A2796">
              <w:rPr>
                <w:rFonts w:asciiTheme="minorBidi" w:hAnsiTheme="minorBidi" w:cstheme="minorBidi"/>
              </w:rPr>
              <w:t xml:space="preserve"> transparency on numbers </w:t>
            </w:r>
            <w:r w:rsidR="00301FD5" w:rsidRPr="005A2796">
              <w:rPr>
                <w:rFonts w:asciiTheme="minorBidi" w:hAnsiTheme="minorBidi" w:cstheme="minorBidi"/>
              </w:rPr>
              <w:t>which w</w:t>
            </w:r>
            <w:r w:rsidR="007200AA" w:rsidRPr="005A2796">
              <w:rPr>
                <w:rFonts w:asciiTheme="minorBidi" w:hAnsiTheme="minorBidi" w:cstheme="minorBidi"/>
              </w:rPr>
              <w:t>ould</w:t>
            </w:r>
            <w:r w:rsidRPr="005A2796">
              <w:rPr>
                <w:rFonts w:asciiTheme="minorBidi" w:hAnsiTheme="minorBidi" w:cstheme="minorBidi"/>
              </w:rPr>
              <w:t xml:space="preserve"> </w:t>
            </w:r>
            <w:r w:rsidR="001554F3" w:rsidRPr="005A2796">
              <w:rPr>
                <w:rFonts w:asciiTheme="minorBidi" w:hAnsiTheme="minorBidi" w:cstheme="minorBidi"/>
              </w:rPr>
              <w:t>enable</w:t>
            </w:r>
            <w:r w:rsidRPr="005A2796">
              <w:rPr>
                <w:rFonts w:asciiTheme="minorBidi" w:hAnsiTheme="minorBidi" w:cstheme="minorBidi"/>
              </w:rPr>
              <w:t xml:space="preserve"> a more </w:t>
            </w:r>
            <w:r w:rsidR="001554F3" w:rsidRPr="005A2796">
              <w:rPr>
                <w:rFonts w:asciiTheme="minorBidi" w:hAnsiTheme="minorBidi" w:cstheme="minorBidi"/>
              </w:rPr>
              <w:t>mature, cross-working approach.</w:t>
            </w:r>
          </w:p>
        </w:tc>
      </w:tr>
      <w:tr w:rsidR="00D0117C" w:rsidRPr="005A2796" w14:paraId="56B8C475" w14:textId="77777777" w:rsidTr="00883F1F">
        <w:tc>
          <w:tcPr>
            <w:tcW w:w="1142" w:type="dxa"/>
          </w:tcPr>
          <w:p w14:paraId="493CE1D0" w14:textId="77777777" w:rsidR="00D0117C" w:rsidRPr="005A2796" w:rsidRDefault="00D0117C" w:rsidP="0029015F">
            <w:pPr>
              <w:tabs>
                <w:tab w:val="left" w:pos="5347"/>
              </w:tabs>
              <w:rPr>
                <w:rFonts w:ascii="Arial" w:hAnsi="Arial" w:cs="Arial"/>
              </w:rPr>
            </w:pPr>
          </w:p>
        </w:tc>
        <w:tc>
          <w:tcPr>
            <w:tcW w:w="7884" w:type="dxa"/>
          </w:tcPr>
          <w:p w14:paraId="3FAFCF84" w14:textId="77777777" w:rsidR="00D0117C" w:rsidRPr="005A2796" w:rsidRDefault="00D0117C" w:rsidP="001C7C84">
            <w:pPr>
              <w:ind w:right="187"/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D0117C" w:rsidRPr="005A2796" w14:paraId="065CAF5E" w14:textId="77777777" w:rsidTr="00883F1F">
        <w:tc>
          <w:tcPr>
            <w:tcW w:w="1142" w:type="dxa"/>
          </w:tcPr>
          <w:p w14:paraId="09559D9D" w14:textId="60D269D6" w:rsidR="00D0117C" w:rsidRPr="005A2796" w:rsidRDefault="008D3904" w:rsidP="0029015F">
            <w:pPr>
              <w:tabs>
                <w:tab w:val="left" w:pos="5347"/>
              </w:tabs>
              <w:rPr>
                <w:rFonts w:ascii="Arial" w:hAnsi="Arial" w:cs="Arial"/>
              </w:rPr>
            </w:pPr>
            <w:r w:rsidRPr="005A2796">
              <w:rPr>
                <w:rFonts w:ascii="Arial" w:hAnsi="Arial" w:cs="Arial"/>
              </w:rPr>
              <w:t>2.3</w:t>
            </w:r>
            <w:r w:rsidR="001554F3" w:rsidRPr="005A2796">
              <w:rPr>
                <w:rFonts w:ascii="Arial" w:hAnsi="Arial" w:cs="Arial"/>
              </w:rPr>
              <w:t>.4</w:t>
            </w:r>
          </w:p>
        </w:tc>
        <w:tc>
          <w:tcPr>
            <w:tcW w:w="7884" w:type="dxa"/>
          </w:tcPr>
          <w:p w14:paraId="348C5319" w14:textId="36B7707C" w:rsidR="00D0117C" w:rsidRPr="005A2796" w:rsidRDefault="001554F3" w:rsidP="001C7C84">
            <w:pPr>
              <w:ind w:right="187"/>
              <w:rPr>
                <w:rFonts w:asciiTheme="minorBidi" w:hAnsiTheme="minorBidi" w:cstheme="minorBidi"/>
              </w:rPr>
            </w:pPr>
            <w:r w:rsidRPr="005A2796">
              <w:rPr>
                <w:rFonts w:asciiTheme="minorBidi" w:hAnsiTheme="minorBidi" w:cstheme="minorBidi"/>
              </w:rPr>
              <w:t>She highl</w:t>
            </w:r>
            <w:r w:rsidR="00383620" w:rsidRPr="005A2796">
              <w:rPr>
                <w:rFonts w:asciiTheme="minorBidi" w:hAnsiTheme="minorBidi" w:cstheme="minorBidi"/>
              </w:rPr>
              <w:t>ighted</w:t>
            </w:r>
            <w:r w:rsidR="00213910" w:rsidRPr="005A2796">
              <w:rPr>
                <w:rFonts w:asciiTheme="minorBidi" w:hAnsiTheme="minorBidi" w:cstheme="minorBidi"/>
              </w:rPr>
              <w:t xml:space="preserve"> that there would be</w:t>
            </w:r>
            <w:r w:rsidR="00383620" w:rsidRPr="005A2796">
              <w:rPr>
                <w:rFonts w:asciiTheme="minorBidi" w:hAnsiTheme="minorBidi" w:cstheme="minorBidi"/>
              </w:rPr>
              <w:t xml:space="preserve"> </w:t>
            </w:r>
            <w:r w:rsidR="00994278">
              <w:rPr>
                <w:rFonts w:asciiTheme="minorBidi" w:hAnsiTheme="minorBidi" w:cstheme="minorBidi"/>
              </w:rPr>
              <w:t xml:space="preserve">a </w:t>
            </w:r>
            <w:r w:rsidR="00213910" w:rsidRPr="005A2796">
              <w:rPr>
                <w:rFonts w:asciiTheme="minorBidi" w:hAnsiTheme="minorBidi" w:cstheme="minorBidi"/>
              </w:rPr>
              <w:t xml:space="preserve">focus on creating and maintaining a forward look and a </w:t>
            </w:r>
            <w:r w:rsidR="007200AA" w:rsidRPr="005A2796">
              <w:rPr>
                <w:rFonts w:asciiTheme="minorBidi" w:hAnsiTheme="minorBidi" w:cstheme="minorBidi"/>
              </w:rPr>
              <w:t>three</w:t>
            </w:r>
            <w:r w:rsidR="00213910" w:rsidRPr="005A2796">
              <w:rPr>
                <w:rFonts w:asciiTheme="minorBidi" w:hAnsiTheme="minorBidi" w:cstheme="minorBidi"/>
              </w:rPr>
              <w:t>-year financial plan linked to ONR’s strategic intent and a fully developed resource baseline.</w:t>
            </w:r>
          </w:p>
        </w:tc>
      </w:tr>
      <w:tr w:rsidR="00D0117C" w:rsidRPr="005A2796" w14:paraId="52901E66" w14:textId="77777777" w:rsidTr="00883F1F">
        <w:tc>
          <w:tcPr>
            <w:tcW w:w="1142" w:type="dxa"/>
          </w:tcPr>
          <w:p w14:paraId="2CC04EFD" w14:textId="77777777" w:rsidR="00D0117C" w:rsidRPr="005A2796" w:rsidRDefault="00D0117C" w:rsidP="0029015F">
            <w:pPr>
              <w:tabs>
                <w:tab w:val="left" w:pos="5347"/>
              </w:tabs>
              <w:rPr>
                <w:rFonts w:ascii="Arial" w:hAnsi="Arial" w:cs="Arial"/>
              </w:rPr>
            </w:pPr>
          </w:p>
        </w:tc>
        <w:tc>
          <w:tcPr>
            <w:tcW w:w="7884" w:type="dxa"/>
          </w:tcPr>
          <w:p w14:paraId="68A30F55" w14:textId="77777777" w:rsidR="00D0117C" w:rsidRPr="005A2796" w:rsidRDefault="00D0117C" w:rsidP="001C7C84">
            <w:pPr>
              <w:ind w:right="187"/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D0117C" w:rsidRPr="005A2796" w14:paraId="2B83A43C" w14:textId="77777777" w:rsidTr="00883F1F">
        <w:tc>
          <w:tcPr>
            <w:tcW w:w="1142" w:type="dxa"/>
          </w:tcPr>
          <w:p w14:paraId="7DEB05D1" w14:textId="1C04AF95" w:rsidR="00D0117C" w:rsidRPr="005A2796" w:rsidRDefault="008D3904" w:rsidP="0029015F">
            <w:pPr>
              <w:tabs>
                <w:tab w:val="left" w:pos="5347"/>
              </w:tabs>
              <w:rPr>
                <w:rFonts w:ascii="Arial" w:hAnsi="Arial" w:cs="Arial"/>
              </w:rPr>
            </w:pPr>
            <w:r w:rsidRPr="005A2796">
              <w:rPr>
                <w:rFonts w:ascii="Arial" w:hAnsi="Arial" w:cs="Arial"/>
              </w:rPr>
              <w:t>2.3.5</w:t>
            </w:r>
          </w:p>
        </w:tc>
        <w:tc>
          <w:tcPr>
            <w:tcW w:w="7884" w:type="dxa"/>
          </w:tcPr>
          <w:p w14:paraId="5E7F04B9" w14:textId="17A65783" w:rsidR="00D0117C" w:rsidRPr="005A2796" w:rsidRDefault="002F13AF" w:rsidP="001C7C84">
            <w:pPr>
              <w:ind w:right="187"/>
              <w:rPr>
                <w:rFonts w:asciiTheme="minorBidi" w:hAnsiTheme="minorBidi" w:cstheme="minorBidi"/>
              </w:rPr>
            </w:pPr>
            <w:r w:rsidRPr="005A2796">
              <w:rPr>
                <w:rFonts w:asciiTheme="minorBidi" w:hAnsiTheme="minorBidi" w:cstheme="minorBidi"/>
              </w:rPr>
              <w:t>She noted that a 2% efficiency saving had been applied across all expen</w:t>
            </w:r>
            <w:r w:rsidR="001357A3" w:rsidRPr="005A2796">
              <w:rPr>
                <w:rFonts w:asciiTheme="minorBidi" w:hAnsiTheme="minorBidi" w:cstheme="minorBidi"/>
              </w:rPr>
              <w:t>diture, based on 2</w:t>
            </w:r>
            <w:r w:rsidR="0024232E">
              <w:rPr>
                <w:rFonts w:asciiTheme="minorBidi" w:hAnsiTheme="minorBidi" w:cstheme="minorBidi"/>
              </w:rPr>
              <w:t>02</w:t>
            </w:r>
            <w:r w:rsidR="001357A3" w:rsidRPr="005A2796">
              <w:rPr>
                <w:rFonts w:asciiTheme="minorBidi" w:hAnsiTheme="minorBidi" w:cstheme="minorBidi"/>
              </w:rPr>
              <w:t xml:space="preserve">4-25 </w:t>
            </w:r>
            <w:r w:rsidR="00FB5766" w:rsidRPr="005A2796">
              <w:rPr>
                <w:rFonts w:asciiTheme="minorBidi" w:hAnsiTheme="minorBidi" w:cstheme="minorBidi"/>
              </w:rPr>
              <w:t xml:space="preserve">P7 forecasted </w:t>
            </w:r>
            <w:r w:rsidR="001357A3" w:rsidRPr="005A2796">
              <w:rPr>
                <w:rFonts w:asciiTheme="minorBidi" w:hAnsiTheme="minorBidi" w:cstheme="minorBidi"/>
              </w:rPr>
              <w:t>cost base</w:t>
            </w:r>
            <w:r w:rsidR="005034E9">
              <w:rPr>
                <w:rFonts w:asciiTheme="minorBidi" w:hAnsiTheme="minorBidi" w:cstheme="minorBidi"/>
              </w:rPr>
              <w:t>, which would mean that</w:t>
            </w:r>
            <w:r w:rsidR="001357A3" w:rsidRPr="005A2796">
              <w:rPr>
                <w:rFonts w:asciiTheme="minorBidi" w:hAnsiTheme="minorBidi" w:cstheme="minorBidi"/>
              </w:rPr>
              <w:t xml:space="preserve"> all efficiencies already gained had been banked and 2% efficiencies would be added to that.</w:t>
            </w:r>
          </w:p>
          <w:p w14:paraId="3C4B302B" w14:textId="6052E44A" w:rsidR="000B3B70" w:rsidRPr="005A2796" w:rsidRDefault="000B3B70" w:rsidP="001C7C84">
            <w:pPr>
              <w:ind w:right="187"/>
              <w:rPr>
                <w:rFonts w:asciiTheme="minorBidi" w:hAnsiTheme="minorBidi" w:cstheme="minorBidi"/>
              </w:rPr>
            </w:pPr>
          </w:p>
        </w:tc>
      </w:tr>
      <w:tr w:rsidR="000B3B70" w:rsidRPr="005A2796" w14:paraId="6A9CCE61" w14:textId="77777777" w:rsidTr="00883F1F">
        <w:tc>
          <w:tcPr>
            <w:tcW w:w="1142" w:type="dxa"/>
          </w:tcPr>
          <w:p w14:paraId="655BF9C0" w14:textId="3BED25DD" w:rsidR="000B3B70" w:rsidRPr="005A2796" w:rsidRDefault="008D3904" w:rsidP="0029015F">
            <w:pPr>
              <w:tabs>
                <w:tab w:val="left" w:pos="5347"/>
              </w:tabs>
              <w:rPr>
                <w:rFonts w:ascii="Arial" w:hAnsi="Arial" w:cs="Arial"/>
              </w:rPr>
            </w:pPr>
            <w:r w:rsidRPr="005A2796">
              <w:rPr>
                <w:rFonts w:ascii="Arial" w:hAnsi="Arial" w:cs="Arial"/>
              </w:rPr>
              <w:t>2.3.6</w:t>
            </w:r>
          </w:p>
        </w:tc>
        <w:tc>
          <w:tcPr>
            <w:tcW w:w="7884" w:type="dxa"/>
          </w:tcPr>
          <w:p w14:paraId="33FFDBAB" w14:textId="67F5DD4B" w:rsidR="000B3B70" w:rsidRPr="005A2796" w:rsidRDefault="000B3B70" w:rsidP="00544EB2">
            <w:pPr>
              <w:ind w:right="187"/>
              <w:rPr>
                <w:rFonts w:asciiTheme="minorBidi" w:hAnsiTheme="minorBidi" w:cstheme="minorBidi"/>
              </w:rPr>
            </w:pPr>
            <w:r w:rsidRPr="005A2796">
              <w:rPr>
                <w:rFonts w:asciiTheme="minorBidi" w:hAnsiTheme="minorBidi" w:cstheme="minorBidi"/>
              </w:rPr>
              <w:t>She highlighted the ask</w:t>
            </w:r>
            <w:r w:rsidR="0022508C" w:rsidRPr="005A2796">
              <w:rPr>
                <w:rFonts w:asciiTheme="minorBidi" w:hAnsiTheme="minorBidi" w:cstheme="minorBidi"/>
              </w:rPr>
              <w:t xml:space="preserve"> of the Board to approve a £110.7</w:t>
            </w:r>
            <w:r w:rsidR="00BC2F49" w:rsidRPr="005A2796">
              <w:rPr>
                <w:rFonts w:asciiTheme="minorBidi" w:hAnsiTheme="minorBidi" w:cstheme="minorBidi"/>
              </w:rPr>
              <w:t>m</w:t>
            </w:r>
            <w:r w:rsidR="00412F7B">
              <w:rPr>
                <w:rFonts w:asciiTheme="minorBidi" w:hAnsiTheme="minorBidi" w:cstheme="minorBidi"/>
              </w:rPr>
              <w:t xml:space="preserve"> budget</w:t>
            </w:r>
            <w:r w:rsidR="00BC2F49" w:rsidRPr="005A2796">
              <w:rPr>
                <w:rFonts w:asciiTheme="minorBidi" w:hAnsiTheme="minorBidi" w:cstheme="minorBidi"/>
              </w:rPr>
              <w:t xml:space="preserve"> (including £5.9m for technical support contracts for GDA).</w:t>
            </w:r>
          </w:p>
          <w:p w14:paraId="14891950" w14:textId="7F573DDC" w:rsidR="00544EB2" w:rsidRPr="005A2796" w:rsidRDefault="00544EB2" w:rsidP="00544EB2">
            <w:pPr>
              <w:ind w:right="187"/>
              <w:rPr>
                <w:rFonts w:asciiTheme="minorBidi" w:hAnsiTheme="minorBidi" w:cstheme="minorBidi"/>
              </w:rPr>
            </w:pPr>
          </w:p>
        </w:tc>
      </w:tr>
      <w:tr w:rsidR="00D0117C" w:rsidRPr="005A2796" w14:paraId="2B5F14E1" w14:textId="77777777" w:rsidTr="00883F1F">
        <w:tc>
          <w:tcPr>
            <w:tcW w:w="1142" w:type="dxa"/>
          </w:tcPr>
          <w:p w14:paraId="4DF4F00A" w14:textId="65DD2C06" w:rsidR="00D0117C" w:rsidRPr="005A2796" w:rsidRDefault="008D3904" w:rsidP="0029015F">
            <w:pPr>
              <w:tabs>
                <w:tab w:val="left" w:pos="5347"/>
              </w:tabs>
              <w:rPr>
                <w:rFonts w:ascii="Arial" w:hAnsi="Arial" w:cs="Arial"/>
              </w:rPr>
            </w:pPr>
            <w:r w:rsidRPr="005A2796">
              <w:rPr>
                <w:rFonts w:ascii="Arial" w:hAnsi="Arial" w:cs="Arial"/>
              </w:rPr>
              <w:t>2.3.7</w:t>
            </w:r>
          </w:p>
        </w:tc>
        <w:tc>
          <w:tcPr>
            <w:tcW w:w="7884" w:type="dxa"/>
          </w:tcPr>
          <w:p w14:paraId="30552D6E" w14:textId="74A18C42" w:rsidR="00D0117C" w:rsidRPr="005A2796" w:rsidRDefault="00544EB2" w:rsidP="001C7C84">
            <w:pPr>
              <w:ind w:right="187"/>
              <w:rPr>
                <w:rFonts w:asciiTheme="minorBidi" w:hAnsiTheme="minorBidi" w:cstheme="minorBidi"/>
              </w:rPr>
            </w:pPr>
            <w:r w:rsidRPr="005A2796">
              <w:rPr>
                <w:rFonts w:asciiTheme="minorBidi" w:hAnsiTheme="minorBidi" w:cstheme="minorBidi"/>
              </w:rPr>
              <w:t>She took the Board through the areas of controllable and non-controllable costs. Non-controllable costs include</w:t>
            </w:r>
            <w:r w:rsidR="00CA6410" w:rsidRPr="005A2796">
              <w:rPr>
                <w:rFonts w:asciiTheme="minorBidi" w:hAnsiTheme="minorBidi" w:cstheme="minorBidi"/>
              </w:rPr>
              <w:t xml:space="preserve">d the technical support </w:t>
            </w:r>
            <w:r w:rsidR="003A0AC2" w:rsidRPr="005A2796">
              <w:rPr>
                <w:rFonts w:asciiTheme="minorBidi" w:hAnsiTheme="minorBidi" w:cstheme="minorBidi"/>
              </w:rPr>
              <w:t xml:space="preserve">contracts, which had risen from £0.5m to £6m </w:t>
            </w:r>
            <w:r w:rsidR="00744653" w:rsidRPr="005A2796">
              <w:rPr>
                <w:rFonts w:asciiTheme="minorBidi" w:hAnsiTheme="minorBidi" w:cstheme="minorBidi"/>
              </w:rPr>
              <w:t xml:space="preserve">over a three year window, based on the volume and activity of schedules coming through. </w:t>
            </w:r>
            <w:r w:rsidR="00BF2B60" w:rsidRPr="005A2796">
              <w:rPr>
                <w:rFonts w:asciiTheme="minorBidi" w:hAnsiTheme="minorBidi" w:cstheme="minorBidi"/>
              </w:rPr>
              <w:t xml:space="preserve">She noted that ONR was reducing costs through capital and efficiency </w:t>
            </w:r>
            <w:r w:rsidR="009E2308" w:rsidRPr="005A2796">
              <w:rPr>
                <w:rFonts w:asciiTheme="minorBidi" w:hAnsiTheme="minorBidi" w:cstheme="minorBidi"/>
              </w:rPr>
              <w:t xml:space="preserve">savings </w:t>
            </w:r>
            <w:r w:rsidR="00FB5766" w:rsidRPr="005A2796">
              <w:rPr>
                <w:rFonts w:asciiTheme="minorBidi" w:hAnsiTheme="minorBidi" w:cstheme="minorBidi"/>
              </w:rPr>
              <w:t xml:space="preserve">which offset </w:t>
            </w:r>
            <w:r w:rsidR="009E2308" w:rsidRPr="005A2796">
              <w:rPr>
                <w:rFonts w:asciiTheme="minorBidi" w:hAnsiTheme="minorBidi" w:cstheme="minorBidi"/>
              </w:rPr>
              <w:t>increased staff costs of £4m</w:t>
            </w:r>
            <w:r w:rsidR="00FB5766" w:rsidRPr="005A2796">
              <w:rPr>
                <w:rFonts w:asciiTheme="minorBidi" w:hAnsiTheme="minorBidi" w:cstheme="minorBidi"/>
              </w:rPr>
              <w:t>.</w:t>
            </w:r>
          </w:p>
          <w:p w14:paraId="48A98BA5" w14:textId="4702F9AE" w:rsidR="00024F8E" w:rsidRPr="005A2796" w:rsidRDefault="00024F8E" w:rsidP="001C7C84">
            <w:pPr>
              <w:ind w:right="187"/>
              <w:rPr>
                <w:rFonts w:asciiTheme="minorBidi" w:hAnsiTheme="minorBidi" w:cstheme="minorBidi"/>
              </w:rPr>
            </w:pPr>
          </w:p>
        </w:tc>
      </w:tr>
      <w:tr w:rsidR="00024F8E" w:rsidRPr="005A2796" w14:paraId="0D7C588D" w14:textId="77777777" w:rsidTr="00883F1F">
        <w:tc>
          <w:tcPr>
            <w:tcW w:w="1142" w:type="dxa"/>
          </w:tcPr>
          <w:p w14:paraId="69EC86C6" w14:textId="5FD827D8" w:rsidR="00024F8E" w:rsidRPr="005A2796" w:rsidRDefault="008D3904" w:rsidP="0029015F">
            <w:pPr>
              <w:tabs>
                <w:tab w:val="left" w:pos="5347"/>
              </w:tabs>
              <w:rPr>
                <w:rFonts w:ascii="Arial" w:hAnsi="Arial" w:cs="Arial"/>
              </w:rPr>
            </w:pPr>
            <w:r w:rsidRPr="005A2796">
              <w:rPr>
                <w:rFonts w:ascii="Arial" w:hAnsi="Arial" w:cs="Arial"/>
              </w:rPr>
              <w:t>2.3.8</w:t>
            </w:r>
          </w:p>
        </w:tc>
        <w:tc>
          <w:tcPr>
            <w:tcW w:w="7884" w:type="dxa"/>
          </w:tcPr>
          <w:p w14:paraId="4422ADEA" w14:textId="77777777" w:rsidR="00024F8E" w:rsidRPr="005A2796" w:rsidRDefault="00A5049A" w:rsidP="001C7C84">
            <w:pPr>
              <w:ind w:right="187"/>
              <w:rPr>
                <w:rFonts w:asciiTheme="minorBidi" w:hAnsiTheme="minorBidi" w:cstheme="minorBidi"/>
              </w:rPr>
            </w:pPr>
            <w:r w:rsidRPr="005A2796">
              <w:rPr>
                <w:rFonts w:asciiTheme="minorBidi" w:hAnsiTheme="minorBidi" w:cstheme="minorBidi"/>
              </w:rPr>
              <w:t>In discussion the Board:</w:t>
            </w:r>
          </w:p>
          <w:p w14:paraId="4394D565" w14:textId="77777777" w:rsidR="00A5049A" w:rsidRPr="005A2796" w:rsidRDefault="00A5049A" w:rsidP="001C7C84">
            <w:pPr>
              <w:ind w:right="187"/>
              <w:rPr>
                <w:rFonts w:asciiTheme="minorBidi" w:hAnsiTheme="minorBidi" w:cstheme="minorBidi"/>
              </w:rPr>
            </w:pPr>
          </w:p>
          <w:p w14:paraId="7F004A9F" w14:textId="748EC160" w:rsidR="00A5049A" w:rsidRPr="005A2796" w:rsidRDefault="00D44240" w:rsidP="00A5049A">
            <w:pPr>
              <w:pStyle w:val="ListParagraph"/>
              <w:numPr>
                <w:ilvl w:val="0"/>
                <w:numId w:val="25"/>
              </w:numPr>
              <w:ind w:right="187"/>
              <w:rPr>
                <w:rFonts w:asciiTheme="minorBidi" w:hAnsiTheme="minorBidi" w:cstheme="minorBidi"/>
              </w:rPr>
            </w:pPr>
            <w:r w:rsidRPr="005A2796">
              <w:rPr>
                <w:rFonts w:asciiTheme="minorBidi" w:hAnsiTheme="minorBidi" w:cstheme="minorBidi"/>
              </w:rPr>
              <w:t>Questioned the extent to which technical work was non</w:t>
            </w:r>
            <w:r w:rsidR="00E40799" w:rsidRPr="005A2796">
              <w:rPr>
                <w:rFonts w:asciiTheme="minorBidi" w:hAnsiTheme="minorBidi" w:cstheme="minorBidi"/>
              </w:rPr>
              <w:t xml:space="preserve">-controllable and where choices could be made on whether to </w:t>
            </w:r>
            <w:r w:rsidR="000E230C" w:rsidRPr="005A2796">
              <w:rPr>
                <w:rFonts w:asciiTheme="minorBidi" w:hAnsiTheme="minorBidi" w:cstheme="minorBidi"/>
              </w:rPr>
              <w:t>sub-contract the technical support work or grow and build capability in-house. T</w:t>
            </w:r>
            <w:r w:rsidR="00680F34" w:rsidRPr="005A2796">
              <w:rPr>
                <w:rFonts w:asciiTheme="minorBidi" w:hAnsiTheme="minorBidi" w:cstheme="minorBidi"/>
              </w:rPr>
              <w:t xml:space="preserve">he cost had been labelled as ‘uncontrollable’ based on the activities that </w:t>
            </w:r>
            <w:r w:rsidR="00214851" w:rsidRPr="005A2796">
              <w:rPr>
                <w:rFonts w:asciiTheme="minorBidi" w:hAnsiTheme="minorBidi" w:cstheme="minorBidi"/>
              </w:rPr>
              <w:t>come through from GBN but how it was delivered, and delivered efficiently was within ONR control.</w:t>
            </w:r>
            <w:r w:rsidR="00812CFD" w:rsidRPr="005A2796">
              <w:rPr>
                <w:rFonts w:asciiTheme="minorBidi" w:hAnsiTheme="minorBidi" w:cstheme="minorBidi"/>
              </w:rPr>
              <w:t xml:space="preserve"> The Board noted that the timings and quality of GDA submissions was also not within ONR control</w:t>
            </w:r>
            <w:r w:rsidR="0054310F" w:rsidRPr="005A2796">
              <w:rPr>
                <w:rFonts w:asciiTheme="minorBidi" w:hAnsiTheme="minorBidi" w:cstheme="minorBidi"/>
              </w:rPr>
              <w:t xml:space="preserve"> but ONR needed to budget for the technical support framework to do the work </w:t>
            </w:r>
            <w:r w:rsidR="00BD1D4E" w:rsidRPr="005A2796">
              <w:rPr>
                <w:rFonts w:asciiTheme="minorBidi" w:hAnsiTheme="minorBidi" w:cstheme="minorBidi"/>
              </w:rPr>
              <w:t>if programmes came to fruition through the year.</w:t>
            </w:r>
          </w:p>
          <w:p w14:paraId="388453D0" w14:textId="6A86E52F" w:rsidR="00A01130" w:rsidRPr="005A2796" w:rsidRDefault="00091F4E" w:rsidP="00A5049A">
            <w:pPr>
              <w:pStyle w:val="ListParagraph"/>
              <w:numPr>
                <w:ilvl w:val="0"/>
                <w:numId w:val="25"/>
              </w:numPr>
              <w:ind w:right="187"/>
              <w:rPr>
                <w:rFonts w:asciiTheme="minorBidi" w:hAnsiTheme="minorBidi" w:cstheme="minorBidi"/>
              </w:rPr>
            </w:pPr>
            <w:r w:rsidRPr="005A2796">
              <w:rPr>
                <w:rFonts w:asciiTheme="minorBidi" w:hAnsiTheme="minorBidi" w:cstheme="minorBidi"/>
              </w:rPr>
              <w:t>Comment</w:t>
            </w:r>
            <w:r w:rsidR="007D7691" w:rsidRPr="005A2796">
              <w:rPr>
                <w:rFonts w:asciiTheme="minorBidi" w:hAnsiTheme="minorBidi" w:cstheme="minorBidi"/>
              </w:rPr>
              <w:t>ed</w:t>
            </w:r>
            <w:r w:rsidRPr="005A2796">
              <w:rPr>
                <w:rFonts w:asciiTheme="minorBidi" w:hAnsiTheme="minorBidi" w:cstheme="minorBidi"/>
              </w:rPr>
              <w:t xml:space="preserve"> on the label of </w:t>
            </w:r>
            <w:r w:rsidR="00655D75" w:rsidRPr="005A2796">
              <w:rPr>
                <w:rFonts w:asciiTheme="minorBidi" w:hAnsiTheme="minorBidi" w:cstheme="minorBidi"/>
              </w:rPr>
              <w:t>‘</w:t>
            </w:r>
            <w:r w:rsidRPr="005A2796">
              <w:rPr>
                <w:rFonts w:asciiTheme="minorBidi" w:hAnsiTheme="minorBidi" w:cstheme="minorBidi"/>
              </w:rPr>
              <w:t>uncontrollable</w:t>
            </w:r>
            <w:r w:rsidR="00655D75" w:rsidRPr="005A2796">
              <w:rPr>
                <w:rFonts w:asciiTheme="minorBidi" w:hAnsiTheme="minorBidi" w:cstheme="minorBidi"/>
              </w:rPr>
              <w:t>’</w:t>
            </w:r>
            <w:r w:rsidRPr="005A2796">
              <w:rPr>
                <w:rFonts w:asciiTheme="minorBidi" w:hAnsiTheme="minorBidi" w:cstheme="minorBidi"/>
              </w:rPr>
              <w:t xml:space="preserve"> and the need to re-frame it as </w:t>
            </w:r>
            <w:r w:rsidR="00655D75" w:rsidRPr="005A2796">
              <w:rPr>
                <w:rFonts w:asciiTheme="minorBidi" w:hAnsiTheme="minorBidi" w:cstheme="minorBidi"/>
              </w:rPr>
              <w:t>‘</w:t>
            </w:r>
            <w:r w:rsidRPr="005A2796">
              <w:rPr>
                <w:rFonts w:asciiTheme="minorBidi" w:hAnsiTheme="minorBidi" w:cstheme="minorBidi"/>
              </w:rPr>
              <w:t>not within ONR control and dependent on external factors</w:t>
            </w:r>
            <w:r w:rsidR="00655D75" w:rsidRPr="005A2796">
              <w:rPr>
                <w:rFonts w:asciiTheme="minorBidi" w:hAnsiTheme="minorBidi" w:cstheme="minorBidi"/>
              </w:rPr>
              <w:t>’</w:t>
            </w:r>
            <w:r w:rsidRPr="005A2796">
              <w:rPr>
                <w:rFonts w:asciiTheme="minorBidi" w:hAnsiTheme="minorBidi" w:cstheme="minorBidi"/>
              </w:rPr>
              <w:t xml:space="preserve">. </w:t>
            </w:r>
          </w:p>
          <w:p w14:paraId="17733B93" w14:textId="6904C36B" w:rsidR="00034C97" w:rsidRPr="005A2796" w:rsidRDefault="00034C97" w:rsidP="00A5049A">
            <w:pPr>
              <w:pStyle w:val="ListParagraph"/>
              <w:numPr>
                <w:ilvl w:val="0"/>
                <w:numId w:val="25"/>
              </w:numPr>
              <w:ind w:right="187"/>
              <w:rPr>
                <w:rFonts w:asciiTheme="minorBidi" w:hAnsiTheme="minorBidi" w:cstheme="minorBidi"/>
              </w:rPr>
            </w:pPr>
            <w:r w:rsidRPr="005A2796">
              <w:rPr>
                <w:rFonts w:asciiTheme="minorBidi" w:hAnsiTheme="minorBidi" w:cstheme="minorBidi"/>
              </w:rPr>
              <w:t xml:space="preserve">Questioned whether the internal workload associated with managing £6m of TSCs was </w:t>
            </w:r>
            <w:r w:rsidR="004C3947">
              <w:rPr>
                <w:rFonts w:asciiTheme="minorBidi" w:hAnsiTheme="minorBidi" w:cstheme="minorBidi"/>
              </w:rPr>
              <w:t xml:space="preserve">achievable </w:t>
            </w:r>
            <w:r w:rsidRPr="005A2796">
              <w:rPr>
                <w:rFonts w:asciiTheme="minorBidi" w:hAnsiTheme="minorBidi" w:cstheme="minorBidi"/>
              </w:rPr>
              <w:t>and realistic.</w:t>
            </w:r>
          </w:p>
          <w:p w14:paraId="51DA3D0B" w14:textId="77777777" w:rsidR="00034C97" w:rsidRPr="005A2796" w:rsidRDefault="00A01130" w:rsidP="00A5049A">
            <w:pPr>
              <w:pStyle w:val="ListParagraph"/>
              <w:numPr>
                <w:ilvl w:val="0"/>
                <w:numId w:val="25"/>
              </w:numPr>
              <w:ind w:right="187"/>
              <w:rPr>
                <w:rFonts w:asciiTheme="minorBidi" w:hAnsiTheme="minorBidi" w:cstheme="minorBidi"/>
              </w:rPr>
            </w:pPr>
            <w:r w:rsidRPr="005A2796">
              <w:rPr>
                <w:rFonts w:asciiTheme="minorBidi" w:hAnsiTheme="minorBidi" w:cstheme="minorBidi"/>
              </w:rPr>
              <w:lastRenderedPageBreak/>
              <w:t xml:space="preserve">Highlighted the need for a line in the budget that </w:t>
            </w:r>
          </w:p>
          <w:p w14:paraId="06171675" w14:textId="35DBF1DB" w:rsidR="00BD1D4E" w:rsidRPr="005A2796" w:rsidRDefault="00655D75" w:rsidP="00034C97">
            <w:pPr>
              <w:pStyle w:val="ListParagraph"/>
              <w:ind w:right="187"/>
              <w:rPr>
                <w:rFonts w:asciiTheme="minorBidi" w:hAnsiTheme="minorBidi" w:cstheme="minorBidi"/>
              </w:rPr>
            </w:pPr>
            <w:r w:rsidRPr="005A2796">
              <w:rPr>
                <w:rFonts w:asciiTheme="minorBidi" w:hAnsiTheme="minorBidi" w:cstheme="minorBidi"/>
              </w:rPr>
              <w:t xml:space="preserve">showed how </w:t>
            </w:r>
            <w:r w:rsidR="00A01130" w:rsidRPr="005A2796">
              <w:rPr>
                <w:rFonts w:asciiTheme="minorBidi" w:hAnsiTheme="minorBidi" w:cstheme="minorBidi"/>
              </w:rPr>
              <w:t xml:space="preserve">‘uncontrollable spend’ had been separated out and </w:t>
            </w:r>
            <w:r w:rsidRPr="005A2796">
              <w:rPr>
                <w:rFonts w:asciiTheme="minorBidi" w:hAnsiTheme="minorBidi" w:cstheme="minorBidi"/>
              </w:rPr>
              <w:t xml:space="preserve">that </w:t>
            </w:r>
            <w:r w:rsidR="00A01130" w:rsidRPr="005A2796">
              <w:rPr>
                <w:rFonts w:asciiTheme="minorBidi" w:hAnsiTheme="minorBidi" w:cstheme="minorBidi"/>
              </w:rPr>
              <w:t xml:space="preserve">it was money that </w:t>
            </w:r>
            <w:r w:rsidRPr="005A2796">
              <w:rPr>
                <w:rFonts w:asciiTheme="minorBidi" w:hAnsiTheme="minorBidi" w:cstheme="minorBidi"/>
              </w:rPr>
              <w:t>would</w:t>
            </w:r>
            <w:r w:rsidR="00A01130" w:rsidRPr="005A2796">
              <w:rPr>
                <w:rFonts w:asciiTheme="minorBidi" w:hAnsiTheme="minorBidi" w:cstheme="minorBidi"/>
              </w:rPr>
              <w:t xml:space="preserve"> not be spent unless the strategic </w:t>
            </w:r>
            <w:r w:rsidR="00E339F1" w:rsidRPr="005A2796">
              <w:rPr>
                <w:rFonts w:asciiTheme="minorBidi" w:hAnsiTheme="minorBidi" w:cstheme="minorBidi"/>
              </w:rPr>
              <w:t>demand</w:t>
            </w:r>
            <w:r w:rsidR="00A01130" w:rsidRPr="005A2796">
              <w:rPr>
                <w:rFonts w:asciiTheme="minorBidi" w:hAnsiTheme="minorBidi" w:cstheme="minorBidi"/>
              </w:rPr>
              <w:t xml:space="preserve"> </w:t>
            </w:r>
            <w:r w:rsidR="00E339F1" w:rsidRPr="005A2796">
              <w:rPr>
                <w:rFonts w:asciiTheme="minorBidi" w:hAnsiTheme="minorBidi" w:cstheme="minorBidi"/>
              </w:rPr>
              <w:t>was</w:t>
            </w:r>
            <w:r w:rsidR="00A01130" w:rsidRPr="005A2796">
              <w:rPr>
                <w:rFonts w:asciiTheme="minorBidi" w:hAnsiTheme="minorBidi" w:cstheme="minorBidi"/>
              </w:rPr>
              <w:t xml:space="preserve"> forthcoming from</w:t>
            </w:r>
            <w:r w:rsidR="00E339F1" w:rsidRPr="005A2796">
              <w:rPr>
                <w:rFonts w:asciiTheme="minorBidi" w:hAnsiTheme="minorBidi" w:cstheme="minorBidi"/>
              </w:rPr>
              <w:t xml:space="preserve"> government and vendors.</w:t>
            </w:r>
          </w:p>
          <w:p w14:paraId="07CA9E39" w14:textId="7E7DFE99" w:rsidR="00FC3DCE" w:rsidRPr="005A2796" w:rsidRDefault="00CD4E36" w:rsidP="00A5049A">
            <w:pPr>
              <w:pStyle w:val="ListParagraph"/>
              <w:numPr>
                <w:ilvl w:val="0"/>
                <w:numId w:val="25"/>
              </w:numPr>
              <w:ind w:right="187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 xml:space="preserve">Greater clarity to </w:t>
            </w:r>
            <w:r w:rsidR="0073502D" w:rsidRPr="005A2796">
              <w:rPr>
                <w:rFonts w:asciiTheme="minorBidi" w:hAnsiTheme="minorBidi" w:cstheme="minorBidi"/>
              </w:rPr>
              <w:t xml:space="preserve">show the impact on the license fee and what </w:t>
            </w:r>
            <w:r w:rsidR="00D55C89">
              <w:rPr>
                <w:rFonts w:asciiTheme="minorBidi" w:hAnsiTheme="minorBidi" w:cstheme="minorBidi"/>
              </w:rPr>
              <w:t xml:space="preserve">activities were </w:t>
            </w:r>
            <w:r w:rsidR="004534E1">
              <w:rPr>
                <w:rFonts w:asciiTheme="minorBidi" w:hAnsiTheme="minorBidi" w:cstheme="minorBidi"/>
              </w:rPr>
              <w:t>funded</w:t>
            </w:r>
            <w:r w:rsidR="00D55C89">
              <w:rPr>
                <w:rFonts w:asciiTheme="minorBidi" w:hAnsiTheme="minorBidi" w:cstheme="minorBidi"/>
              </w:rPr>
              <w:t xml:space="preserve"> separately</w:t>
            </w:r>
            <w:r w:rsidR="0073502D" w:rsidRPr="005A2796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="005C255B">
              <w:rPr>
                <w:rFonts w:asciiTheme="minorBidi" w:hAnsiTheme="minorBidi" w:cstheme="minorBidi"/>
              </w:rPr>
              <w:t>i.e</w:t>
            </w:r>
            <w:proofErr w:type="spellEnd"/>
            <w:r w:rsidR="005C255B">
              <w:rPr>
                <w:rFonts w:asciiTheme="minorBidi" w:hAnsiTheme="minorBidi" w:cstheme="minorBidi"/>
              </w:rPr>
              <w:t xml:space="preserve"> not by </w:t>
            </w:r>
            <w:r w:rsidR="00F93F7F" w:rsidRPr="005A2796">
              <w:rPr>
                <w:rFonts w:asciiTheme="minorBidi" w:hAnsiTheme="minorBidi" w:cstheme="minorBidi"/>
              </w:rPr>
              <w:t xml:space="preserve">license holders. </w:t>
            </w:r>
            <w:r w:rsidR="0086383F" w:rsidRPr="005A2796">
              <w:rPr>
                <w:rFonts w:asciiTheme="minorBidi" w:hAnsiTheme="minorBidi" w:cstheme="minorBidi"/>
              </w:rPr>
              <w:t>This would help people un</w:t>
            </w:r>
            <w:r w:rsidR="004E380E" w:rsidRPr="005A2796">
              <w:rPr>
                <w:rFonts w:asciiTheme="minorBidi" w:hAnsiTheme="minorBidi" w:cstheme="minorBidi"/>
              </w:rPr>
              <w:t>derstand where more money was needed, where ONR was being more efficient and who benefited from that. A</w:t>
            </w:r>
            <w:r w:rsidR="00F81987" w:rsidRPr="005A2796">
              <w:rPr>
                <w:rFonts w:asciiTheme="minorBidi" w:hAnsiTheme="minorBidi" w:cstheme="minorBidi"/>
              </w:rPr>
              <w:t>ligning the cost recovery breakdown with the budget lines could be beneficial.</w:t>
            </w:r>
          </w:p>
          <w:p w14:paraId="2713D117" w14:textId="5D65FF37" w:rsidR="00F81987" w:rsidRPr="005A2796" w:rsidRDefault="00F81987" w:rsidP="00A5049A">
            <w:pPr>
              <w:pStyle w:val="ListParagraph"/>
              <w:numPr>
                <w:ilvl w:val="0"/>
                <w:numId w:val="25"/>
              </w:numPr>
              <w:ind w:right="187"/>
              <w:rPr>
                <w:rFonts w:asciiTheme="minorBidi" w:hAnsiTheme="minorBidi" w:cstheme="minorBidi"/>
              </w:rPr>
            </w:pPr>
            <w:r w:rsidRPr="005A2796">
              <w:rPr>
                <w:rFonts w:asciiTheme="minorBidi" w:hAnsiTheme="minorBidi" w:cstheme="minorBidi"/>
              </w:rPr>
              <w:t xml:space="preserve">Questioned whether the statutory National Insurance increase had been included in the </w:t>
            </w:r>
            <w:r w:rsidR="002E75CE" w:rsidRPr="005A2796">
              <w:rPr>
                <w:rFonts w:asciiTheme="minorBidi" w:hAnsiTheme="minorBidi" w:cstheme="minorBidi"/>
              </w:rPr>
              <w:t>categories of spend outlined in the paper.</w:t>
            </w:r>
            <w:r w:rsidR="00030872" w:rsidRPr="005A2796">
              <w:rPr>
                <w:rFonts w:asciiTheme="minorBidi" w:hAnsiTheme="minorBidi" w:cstheme="minorBidi"/>
              </w:rPr>
              <w:t xml:space="preserve"> It was confirmed as being included. </w:t>
            </w:r>
          </w:p>
          <w:p w14:paraId="004CE3B2" w14:textId="4910D550" w:rsidR="002E75CE" w:rsidRPr="007D5D7C" w:rsidRDefault="002876F1" w:rsidP="007D5D7C">
            <w:pPr>
              <w:pStyle w:val="ListParagraph"/>
              <w:numPr>
                <w:ilvl w:val="0"/>
                <w:numId w:val="25"/>
              </w:numPr>
              <w:ind w:right="187"/>
              <w:rPr>
                <w:rFonts w:asciiTheme="minorBidi" w:hAnsiTheme="minorBidi" w:cstheme="minorBidi"/>
              </w:rPr>
            </w:pPr>
            <w:r w:rsidRPr="005A2796">
              <w:rPr>
                <w:rFonts w:asciiTheme="minorBidi" w:hAnsiTheme="minorBidi" w:cstheme="minorBidi"/>
              </w:rPr>
              <w:t>Highlighted that i</w:t>
            </w:r>
            <w:r w:rsidR="00DD1693" w:rsidRPr="005A2796">
              <w:rPr>
                <w:rFonts w:asciiTheme="minorBidi" w:hAnsiTheme="minorBidi" w:cstheme="minorBidi"/>
              </w:rPr>
              <w:t xml:space="preserve">t would be helpful to </w:t>
            </w:r>
            <w:r w:rsidR="00682D72" w:rsidRPr="005A2796">
              <w:rPr>
                <w:rFonts w:asciiTheme="minorBidi" w:hAnsiTheme="minorBidi" w:cstheme="minorBidi"/>
              </w:rPr>
              <w:t>add a note to the budget that highlighted that technical support GDA was</w:t>
            </w:r>
            <w:r w:rsidR="007328AB" w:rsidRPr="005A2796">
              <w:rPr>
                <w:rFonts w:asciiTheme="minorBidi" w:hAnsiTheme="minorBidi" w:cstheme="minorBidi"/>
              </w:rPr>
              <w:t xml:space="preserve"> based on (X) number of GDAs being </w:t>
            </w:r>
            <w:r w:rsidR="00030872" w:rsidRPr="005A2796">
              <w:rPr>
                <w:rFonts w:asciiTheme="minorBidi" w:hAnsiTheme="minorBidi" w:cstheme="minorBidi"/>
              </w:rPr>
              <w:t xml:space="preserve">undertaken </w:t>
            </w:r>
            <w:r w:rsidR="007328AB" w:rsidRPr="005A2796">
              <w:rPr>
                <w:rFonts w:asciiTheme="minorBidi" w:hAnsiTheme="minorBidi" w:cstheme="minorBidi"/>
              </w:rPr>
              <w:t xml:space="preserve">by ONR and was under risk if not realised. </w:t>
            </w:r>
            <w:r w:rsidR="00030872" w:rsidRPr="005A2796">
              <w:rPr>
                <w:rFonts w:asciiTheme="minorBidi" w:hAnsiTheme="minorBidi" w:cstheme="minorBidi"/>
              </w:rPr>
              <w:t>A note on</w:t>
            </w:r>
            <w:r w:rsidR="00EB66F2">
              <w:rPr>
                <w:rFonts w:asciiTheme="minorBidi" w:hAnsiTheme="minorBidi" w:cstheme="minorBidi"/>
              </w:rPr>
              <w:t xml:space="preserve"> </w:t>
            </w:r>
            <w:r w:rsidR="00EB66F2" w:rsidRPr="00EB66F2">
              <w:rPr>
                <w:rFonts w:asciiTheme="minorBidi" w:hAnsiTheme="minorBidi" w:cstheme="minorBidi"/>
              </w:rPr>
              <w:t>United Kingdom</w:t>
            </w:r>
            <w:r w:rsidR="007D5D7C">
              <w:rPr>
                <w:rFonts w:asciiTheme="minorBidi" w:hAnsiTheme="minorBidi" w:cstheme="minorBidi"/>
              </w:rPr>
              <w:t xml:space="preserve"> </w:t>
            </w:r>
            <w:r w:rsidR="00EB66F2" w:rsidRPr="007D5D7C">
              <w:rPr>
                <w:rFonts w:asciiTheme="minorBidi" w:hAnsiTheme="minorBidi" w:cstheme="minorBidi"/>
              </w:rPr>
              <w:t>Security Vetting (</w:t>
            </w:r>
            <w:r w:rsidR="00030872" w:rsidRPr="007D5D7C">
              <w:rPr>
                <w:rFonts w:asciiTheme="minorBidi" w:hAnsiTheme="minorBidi" w:cstheme="minorBidi"/>
              </w:rPr>
              <w:t>UKSV</w:t>
            </w:r>
            <w:r w:rsidR="00EB66F2" w:rsidRPr="007D5D7C">
              <w:rPr>
                <w:rFonts w:asciiTheme="minorBidi" w:hAnsiTheme="minorBidi" w:cstheme="minorBidi"/>
              </w:rPr>
              <w:t>)</w:t>
            </w:r>
            <w:r w:rsidR="00030872" w:rsidRPr="007D5D7C">
              <w:rPr>
                <w:rFonts w:asciiTheme="minorBidi" w:hAnsiTheme="minorBidi" w:cstheme="minorBidi"/>
              </w:rPr>
              <w:t xml:space="preserve"> being pass</w:t>
            </w:r>
            <w:r w:rsidR="00142221" w:rsidRPr="007D5D7C">
              <w:rPr>
                <w:rFonts w:asciiTheme="minorBidi" w:hAnsiTheme="minorBidi" w:cstheme="minorBidi"/>
              </w:rPr>
              <w:t xml:space="preserve"> </w:t>
            </w:r>
            <w:r w:rsidR="00030872" w:rsidRPr="007D5D7C">
              <w:rPr>
                <w:rFonts w:asciiTheme="minorBidi" w:hAnsiTheme="minorBidi" w:cstheme="minorBidi"/>
              </w:rPr>
              <w:t xml:space="preserve">through would </w:t>
            </w:r>
            <w:r w:rsidR="007D7691" w:rsidRPr="007D5D7C">
              <w:rPr>
                <w:rFonts w:asciiTheme="minorBidi" w:hAnsiTheme="minorBidi" w:cstheme="minorBidi"/>
              </w:rPr>
              <w:t xml:space="preserve">also </w:t>
            </w:r>
            <w:r w:rsidR="00030872" w:rsidRPr="007D5D7C">
              <w:rPr>
                <w:rFonts w:asciiTheme="minorBidi" w:hAnsiTheme="minorBidi" w:cstheme="minorBidi"/>
              </w:rPr>
              <w:t xml:space="preserve">be helpful.  </w:t>
            </w:r>
          </w:p>
          <w:p w14:paraId="0A34BAE0" w14:textId="77777777" w:rsidR="000F6A94" w:rsidRPr="005A2796" w:rsidRDefault="000F6A94" w:rsidP="00A5049A">
            <w:pPr>
              <w:pStyle w:val="ListParagraph"/>
              <w:numPr>
                <w:ilvl w:val="0"/>
                <w:numId w:val="25"/>
              </w:numPr>
              <w:ind w:right="187"/>
              <w:rPr>
                <w:rFonts w:asciiTheme="minorBidi" w:hAnsiTheme="minorBidi" w:cstheme="minorBidi"/>
              </w:rPr>
            </w:pPr>
            <w:r w:rsidRPr="005A2796">
              <w:rPr>
                <w:rFonts w:asciiTheme="minorBidi" w:hAnsiTheme="minorBidi" w:cstheme="minorBidi"/>
              </w:rPr>
              <w:t>Noted the assumptions that were included within the budget</w:t>
            </w:r>
            <w:r w:rsidR="00D24D27" w:rsidRPr="005A2796">
              <w:rPr>
                <w:rFonts w:asciiTheme="minorBidi" w:hAnsiTheme="minorBidi" w:cstheme="minorBidi"/>
              </w:rPr>
              <w:t xml:space="preserve"> against GDA.</w:t>
            </w:r>
          </w:p>
          <w:p w14:paraId="75831C8E" w14:textId="6324E867" w:rsidR="00F723DE" w:rsidRPr="005A2796" w:rsidRDefault="00F723DE" w:rsidP="00A5049A">
            <w:pPr>
              <w:pStyle w:val="ListParagraph"/>
              <w:numPr>
                <w:ilvl w:val="0"/>
                <w:numId w:val="25"/>
              </w:numPr>
              <w:ind w:right="187"/>
              <w:rPr>
                <w:rFonts w:asciiTheme="minorBidi" w:hAnsiTheme="minorBidi" w:cstheme="minorBidi"/>
              </w:rPr>
            </w:pPr>
            <w:r w:rsidRPr="005A2796">
              <w:rPr>
                <w:rFonts w:asciiTheme="minorBidi" w:hAnsiTheme="minorBidi" w:cstheme="minorBidi"/>
              </w:rPr>
              <w:t xml:space="preserve">Noted the two step approach being taken by the </w:t>
            </w:r>
            <w:r w:rsidR="00777DC0">
              <w:rPr>
                <w:rFonts w:asciiTheme="minorBidi" w:hAnsiTheme="minorBidi" w:cstheme="minorBidi"/>
              </w:rPr>
              <w:t>SLT</w:t>
            </w:r>
            <w:r w:rsidR="00EB66F2">
              <w:rPr>
                <w:rFonts w:asciiTheme="minorBidi" w:hAnsiTheme="minorBidi" w:cstheme="minorBidi"/>
              </w:rPr>
              <w:t xml:space="preserve"> </w:t>
            </w:r>
            <w:r w:rsidRPr="005A2796">
              <w:rPr>
                <w:rFonts w:asciiTheme="minorBidi" w:hAnsiTheme="minorBidi" w:cstheme="minorBidi"/>
              </w:rPr>
              <w:t xml:space="preserve">to understand the optimal size of ONR was based on the baseline review and </w:t>
            </w:r>
            <w:r w:rsidR="007E1945" w:rsidRPr="005A2796">
              <w:rPr>
                <w:rFonts w:asciiTheme="minorBidi" w:hAnsiTheme="minorBidi" w:cstheme="minorBidi"/>
              </w:rPr>
              <w:t xml:space="preserve">that </w:t>
            </w:r>
            <w:r w:rsidRPr="005A2796">
              <w:rPr>
                <w:rFonts w:asciiTheme="minorBidi" w:hAnsiTheme="minorBidi" w:cstheme="minorBidi"/>
              </w:rPr>
              <w:t>this work was ongoing, in line with the 2030 strategy.</w:t>
            </w:r>
          </w:p>
          <w:p w14:paraId="73659C37" w14:textId="77777777" w:rsidR="00F723DE" w:rsidRPr="005A2796" w:rsidRDefault="00F723DE" w:rsidP="00A5049A">
            <w:pPr>
              <w:pStyle w:val="ListParagraph"/>
              <w:numPr>
                <w:ilvl w:val="0"/>
                <w:numId w:val="25"/>
              </w:numPr>
              <w:ind w:right="187"/>
              <w:rPr>
                <w:rFonts w:asciiTheme="minorBidi" w:hAnsiTheme="minorBidi" w:cstheme="minorBidi"/>
              </w:rPr>
            </w:pPr>
            <w:r w:rsidRPr="005A2796">
              <w:rPr>
                <w:rFonts w:asciiTheme="minorBidi" w:hAnsiTheme="minorBidi" w:cstheme="minorBidi"/>
              </w:rPr>
              <w:t xml:space="preserve">Noted the development of a </w:t>
            </w:r>
            <w:r w:rsidR="001F6545" w:rsidRPr="005A2796">
              <w:rPr>
                <w:rFonts w:asciiTheme="minorBidi" w:hAnsiTheme="minorBidi" w:cstheme="minorBidi"/>
              </w:rPr>
              <w:t>three year forward look and the mechanisms that could be considered to address the issues on FTE following outcomes of the baseline review.</w:t>
            </w:r>
          </w:p>
          <w:p w14:paraId="0206DF56" w14:textId="4011D6E4" w:rsidR="004350FD" w:rsidRPr="005A2796" w:rsidRDefault="004350FD" w:rsidP="00A5049A">
            <w:pPr>
              <w:pStyle w:val="ListParagraph"/>
              <w:numPr>
                <w:ilvl w:val="0"/>
                <w:numId w:val="25"/>
              </w:numPr>
              <w:ind w:right="187"/>
              <w:rPr>
                <w:rFonts w:asciiTheme="minorBidi" w:hAnsiTheme="minorBidi" w:cstheme="minorBidi"/>
              </w:rPr>
            </w:pPr>
            <w:r w:rsidRPr="005A2796">
              <w:rPr>
                <w:rFonts w:asciiTheme="minorBidi" w:hAnsiTheme="minorBidi" w:cstheme="minorBidi"/>
              </w:rPr>
              <w:t xml:space="preserve">Discussed the need to re-order the </w:t>
            </w:r>
            <w:r w:rsidR="0012138E" w:rsidRPr="005A2796">
              <w:rPr>
                <w:rFonts w:asciiTheme="minorBidi" w:hAnsiTheme="minorBidi" w:cstheme="minorBidi"/>
              </w:rPr>
              <w:t xml:space="preserve">mechanisms </w:t>
            </w:r>
            <w:r w:rsidRPr="005A2796">
              <w:rPr>
                <w:rFonts w:asciiTheme="minorBidi" w:hAnsiTheme="minorBidi" w:cstheme="minorBidi"/>
              </w:rPr>
              <w:t>being considered</w:t>
            </w:r>
            <w:r w:rsidR="0012138E" w:rsidRPr="005A2796">
              <w:rPr>
                <w:rFonts w:asciiTheme="minorBidi" w:hAnsiTheme="minorBidi" w:cstheme="minorBidi"/>
              </w:rPr>
              <w:t xml:space="preserve"> for future options</w:t>
            </w:r>
            <w:r w:rsidRPr="005A2796">
              <w:rPr>
                <w:rFonts w:asciiTheme="minorBidi" w:hAnsiTheme="minorBidi" w:cstheme="minorBidi"/>
              </w:rPr>
              <w:t xml:space="preserve">; with </w:t>
            </w:r>
            <w:r w:rsidR="00444522" w:rsidRPr="005A2796">
              <w:rPr>
                <w:rFonts w:asciiTheme="minorBidi" w:hAnsiTheme="minorBidi" w:cstheme="minorBidi"/>
              </w:rPr>
              <w:t xml:space="preserve">adoption of new approaches </w:t>
            </w:r>
            <w:r w:rsidR="00034C97" w:rsidRPr="005A2796">
              <w:rPr>
                <w:rFonts w:asciiTheme="minorBidi" w:hAnsiTheme="minorBidi" w:cstheme="minorBidi"/>
              </w:rPr>
              <w:t xml:space="preserve"> and opportunities to redeploy staff appearing </w:t>
            </w:r>
            <w:r w:rsidR="00444522" w:rsidRPr="005A2796">
              <w:rPr>
                <w:rFonts w:asciiTheme="minorBidi" w:hAnsiTheme="minorBidi" w:cstheme="minorBidi"/>
              </w:rPr>
              <w:t>above considering severance. This would help to mitigate the risk of losing capability</w:t>
            </w:r>
            <w:r w:rsidR="0012138E" w:rsidRPr="005A2796">
              <w:rPr>
                <w:rFonts w:asciiTheme="minorBidi" w:hAnsiTheme="minorBidi" w:cstheme="minorBidi"/>
              </w:rPr>
              <w:t xml:space="preserve"> within the organisation</w:t>
            </w:r>
            <w:r w:rsidR="00034C97" w:rsidRPr="005A2796">
              <w:rPr>
                <w:rFonts w:asciiTheme="minorBidi" w:hAnsiTheme="minorBidi" w:cstheme="minorBidi"/>
              </w:rPr>
              <w:t xml:space="preserve"> and demonstrate the need for flexibility</w:t>
            </w:r>
            <w:r w:rsidR="0012138E" w:rsidRPr="005A2796">
              <w:rPr>
                <w:rFonts w:asciiTheme="minorBidi" w:hAnsiTheme="minorBidi" w:cstheme="minorBidi"/>
              </w:rPr>
              <w:t>.</w:t>
            </w:r>
          </w:p>
          <w:p w14:paraId="04544F17" w14:textId="77777777" w:rsidR="0012138E" w:rsidRPr="005A2796" w:rsidRDefault="00C66E77" w:rsidP="00A5049A">
            <w:pPr>
              <w:pStyle w:val="ListParagraph"/>
              <w:numPr>
                <w:ilvl w:val="0"/>
                <w:numId w:val="25"/>
              </w:numPr>
              <w:ind w:right="187"/>
              <w:rPr>
                <w:rFonts w:asciiTheme="minorBidi" w:hAnsiTheme="minorBidi" w:cstheme="minorBidi"/>
              </w:rPr>
            </w:pPr>
            <w:r w:rsidRPr="005A2796">
              <w:rPr>
                <w:rFonts w:asciiTheme="minorBidi" w:hAnsiTheme="minorBidi" w:cstheme="minorBidi"/>
              </w:rPr>
              <w:t>Highlighted</w:t>
            </w:r>
            <w:r w:rsidR="003D5A9C" w:rsidRPr="005A2796">
              <w:rPr>
                <w:rFonts w:asciiTheme="minorBidi" w:hAnsiTheme="minorBidi" w:cstheme="minorBidi"/>
              </w:rPr>
              <w:t xml:space="preserve"> the need that concluding </w:t>
            </w:r>
            <w:r w:rsidRPr="005A2796">
              <w:rPr>
                <w:rFonts w:asciiTheme="minorBidi" w:hAnsiTheme="minorBidi" w:cstheme="minorBidi"/>
              </w:rPr>
              <w:t>the baseline should specifically mention that one of the overriding factors was to maintain capability and capacity as a pre-condition.</w:t>
            </w:r>
          </w:p>
          <w:p w14:paraId="7DB6C8B8" w14:textId="43AF2562" w:rsidR="00C66E77" w:rsidRPr="005A2796" w:rsidRDefault="007F36BE" w:rsidP="00A5049A">
            <w:pPr>
              <w:pStyle w:val="ListParagraph"/>
              <w:numPr>
                <w:ilvl w:val="0"/>
                <w:numId w:val="25"/>
              </w:numPr>
              <w:ind w:right="187"/>
              <w:rPr>
                <w:rFonts w:asciiTheme="minorBidi" w:hAnsiTheme="minorBidi" w:cstheme="minorBidi"/>
              </w:rPr>
            </w:pPr>
            <w:r w:rsidRPr="005A2796">
              <w:rPr>
                <w:rFonts w:asciiTheme="minorBidi" w:hAnsiTheme="minorBidi" w:cstheme="minorBidi"/>
              </w:rPr>
              <w:t>Highlighted the need to be pro-active and develop a re-deployment plan</w:t>
            </w:r>
            <w:r w:rsidR="00735B58" w:rsidRPr="005A2796">
              <w:rPr>
                <w:rFonts w:asciiTheme="minorBidi" w:hAnsiTheme="minorBidi" w:cstheme="minorBidi"/>
              </w:rPr>
              <w:t>, helping people to up-skill</w:t>
            </w:r>
            <w:r w:rsidR="00A94E5A" w:rsidRPr="005A2796">
              <w:rPr>
                <w:rFonts w:asciiTheme="minorBidi" w:hAnsiTheme="minorBidi" w:cstheme="minorBidi"/>
              </w:rPr>
              <w:t>. This should be included in the future options being considered by SLT. That work was already being done within the organisation but being more overt w</w:t>
            </w:r>
            <w:r w:rsidR="00261C6B" w:rsidRPr="005A2796">
              <w:rPr>
                <w:rFonts w:asciiTheme="minorBidi" w:hAnsiTheme="minorBidi" w:cstheme="minorBidi"/>
              </w:rPr>
              <w:t>as</w:t>
            </w:r>
            <w:r w:rsidR="00A94E5A" w:rsidRPr="005A2796">
              <w:rPr>
                <w:rFonts w:asciiTheme="minorBidi" w:hAnsiTheme="minorBidi" w:cstheme="minorBidi"/>
              </w:rPr>
              <w:t xml:space="preserve"> critical.</w:t>
            </w:r>
          </w:p>
          <w:p w14:paraId="4DB79C7B" w14:textId="77777777" w:rsidR="00A94E5A" w:rsidRPr="005A2796" w:rsidRDefault="00A94E5A" w:rsidP="00A5049A">
            <w:pPr>
              <w:pStyle w:val="ListParagraph"/>
              <w:numPr>
                <w:ilvl w:val="0"/>
                <w:numId w:val="25"/>
              </w:numPr>
              <w:ind w:right="187"/>
              <w:rPr>
                <w:rFonts w:asciiTheme="minorBidi" w:hAnsiTheme="minorBidi" w:cstheme="minorBidi"/>
              </w:rPr>
            </w:pPr>
            <w:r w:rsidRPr="005A2796">
              <w:rPr>
                <w:rFonts w:asciiTheme="minorBidi" w:hAnsiTheme="minorBidi" w:cstheme="minorBidi"/>
              </w:rPr>
              <w:t>Supported the development of a longer term three year plan.</w:t>
            </w:r>
          </w:p>
          <w:p w14:paraId="1D942C97" w14:textId="784D32A6" w:rsidR="00A94E5A" w:rsidRPr="005A2796" w:rsidRDefault="00556BCC" w:rsidP="00A5049A">
            <w:pPr>
              <w:pStyle w:val="ListParagraph"/>
              <w:numPr>
                <w:ilvl w:val="0"/>
                <w:numId w:val="25"/>
              </w:numPr>
              <w:ind w:right="187"/>
              <w:rPr>
                <w:rFonts w:asciiTheme="minorBidi" w:hAnsiTheme="minorBidi" w:cstheme="minorBidi"/>
              </w:rPr>
            </w:pPr>
            <w:r w:rsidRPr="005A2796">
              <w:rPr>
                <w:rFonts w:asciiTheme="minorBidi" w:hAnsiTheme="minorBidi" w:cstheme="minorBidi"/>
              </w:rPr>
              <w:t xml:space="preserve">Highlighted that consideration needed to be given on the opportunities to share the approaches </w:t>
            </w:r>
            <w:r w:rsidR="007E13E1" w:rsidRPr="005A2796">
              <w:rPr>
                <w:rFonts w:asciiTheme="minorBidi" w:hAnsiTheme="minorBidi" w:cstheme="minorBidi"/>
              </w:rPr>
              <w:t>being considered with staff.</w:t>
            </w:r>
          </w:p>
          <w:p w14:paraId="79B1C1A7" w14:textId="5A78363C" w:rsidR="008A3013" w:rsidRPr="005A2796" w:rsidRDefault="00556BCC" w:rsidP="00C171F5">
            <w:pPr>
              <w:pStyle w:val="ListParagraph"/>
              <w:numPr>
                <w:ilvl w:val="0"/>
                <w:numId w:val="25"/>
              </w:numPr>
              <w:ind w:right="187"/>
              <w:rPr>
                <w:rFonts w:asciiTheme="minorBidi" w:hAnsiTheme="minorBidi" w:cstheme="minorBidi"/>
              </w:rPr>
            </w:pPr>
            <w:r w:rsidRPr="005A2796">
              <w:rPr>
                <w:rFonts w:asciiTheme="minorBidi" w:hAnsiTheme="minorBidi" w:cstheme="minorBidi"/>
              </w:rPr>
              <w:t>Emphasi</w:t>
            </w:r>
            <w:r w:rsidR="00AC1417">
              <w:rPr>
                <w:rFonts w:asciiTheme="minorBidi" w:hAnsiTheme="minorBidi" w:cstheme="minorBidi"/>
              </w:rPr>
              <w:t>s</w:t>
            </w:r>
            <w:r w:rsidRPr="005A2796">
              <w:rPr>
                <w:rFonts w:asciiTheme="minorBidi" w:hAnsiTheme="minorBidi" w:cstheme="minorBidi"/>
              </w:rPr>
              <w:t>ed</w:t>
            </w:r>
            <w:r w:rsidR="00A94E5A" w:rsidRPr="005A2796">
              <w:rPr>
                <w:rFonts w:asciiTheme="minorBidi" w:hAnsiTheme="minorBidi" w:cstheme="minorBidi"/>
              </w:rPr>
              <w:t xml:space="preserve"> the need for alignment </w:t>
            </w:r>
            <w:r w:rsidR="0010570B" w:rsidRPr="005A2796">
              <w:rPr>
                <w:rFonts w:asciiTheme="minorBidi" w:hAnsiTheme="minorBidi" w:cstheme="minorBidi"/>
              </w:rPr>
              <w:t xml:space="preserve">and consistency </w:t>
            </w:r>
            <w:r w:rsidR="00A94E5A" w:rsidRPr="005A2796">
              <w:rPr>
                <w:rFonts w:asciiTheme="minorBidi" w:hAnsiTheme="minorBidi" w:cstheme="minorBidi"/>
              </w:rPr>
              <w:t>in the wording</w:t>
            </w:r>
            <w:r w:rsidR="0010570B" w:rsidRPr="005A2796">
              <w:rPr>
                <w:rFonts w:asciiTheme="minorBidi" w:hAnsiTheme="minorBidi" w:cstheme="minorBidi"/>
              </w:rPr>
              <w:t xml:space="preserve"> with the figures in the budget in relation to safeguards and AUKUS</w:t>
            </w:r>
            <w:r w:rsidR="008A3013" w:rsidRPr="005A2796">
              <w:rPr>
                <w:rFonts w:asciiTheme="minorBidi" w:hAnsiTheme="minorBidi" w:cstheme="minorBidi"/>
              </w:rPr>
              <w:t>.</w:t>
            </w:r>
          </w:p>
          <w:p w14:paraId="06D6FA4D" w14:textId="323695DE" w:rsidR="00C171F5" w:rsidRPr="005A2796" w:rsidRDefault="00846A23" w:rsidP="00C171F5">
            <w:pPr>
              <w:pStyle w:val="ListParagraph"/>
              <w:numPr>
                <w:ilvl w:val="0"/>
                <w:numId w:val="25"/>
              </w:numPr>
              <w:ind w:right="187"/>
              <w:rPr>
                <w:rFonts w:asciiTheme="minorBidi" w:hAnsiTheme="minorBidi" w:cstheme="minorBidi"/>
              </w:rPr>
            </w:pPr>
            <w:r w:rsidRPr="005A2796">
              <w:rPr>
                <w:rFonts w:asciiTheme="minorBidi" w:hAnsiTheme="minorBidi" w:cstheme="minorBidi"/>
              </w:rPr>
              <w:lastRenderedPageBreak/>
              <w:t xml:space="preserve">Noted that Board should </w:t>
            </w:r>
            <w:r w:rsidR="00A303C0" w:rsidRPr="005A2796">
              <w:rPr>
                <w:rFonts w:asciiTheme="minorBidi" w:hAnsiTheme="minorBidi" w:cstheme="minorBidi"/>
              </w:rPr>
              <w:t>be stewarding the organisation</w:t>
            </w:r>
            <w:r w:rsidR="00CA52AA" w:rsidRPr="005A2796">
              <w:rPr>
                <w:rFonts w:asciiTheme="minorBidi" w:hAnsiTheme="minorBidi" w:cstheme="minorBidi"/>
              </w:rPr>
              <w:t xml:space="preserve">  throughout the year </w:t>
            </w:r>
            <w:r w:rsidR="00030872" w:rsidRPr="005A2796">
              <w:rPr>
                <w:rFonts w:asciiTheme="minorBidi" w:hAnsiTheme="minorBidi" w:cstheme="minorBidi"/>
              </w:rPr>
              <w:t>on both the £11</w:t>
            </w:r>
            <w:r w:rsidR="007D7691" w:rsidRPr="005A2796">
              <w:rPr>
                <w:rFonts w:asciiTheme="minorBidi" w:hAnsiTheme="minorBidi" w:cstheme="minorBidi"/>
              </w:rPr>
              <w:t>0.7</w:t>
            </w:r>
            <w:r w:rsidR="00030872" w:rsidRPr="005A2796">
              <w:rPr>
                <w:rFonts w:asciiTheme="minorBidi" w:hAnsiTheme="minorBidi" w:cstheme="minorBidi"/>
              </w:rPr>
              <w:t xml:space="preserve">m (including GDA TSCs) and </w:t>
            </w:r>
            <w:r w:rsidR="00CA52AA" w:rsidRPr="005A2796">
              <w:rPr>
                <w:rFonts w:asciiTheme="minorBidi" w:hAnsiTheme="minorBidi" w:cstheme="minorBidi"/>
              </w:rPr>
              <w:t>the £10</w:t>
            </w:r>
            <w:r w:rsidR="007D7691" w:rsidRPr="005A2796">
              <w:rPr>
                <w:rFonts w:asciiTheme="minorBidi" w:hAnsiTheme="minorBidi" w:cstheme="minorBidi"/>
              </w:rPr>
              <w:t>4.4</w:t>
            </w:r>
            <w:r w:rsidR="00CA52AA" w:rsidRPr="005A2796">
              <w:rPr>
                <w:rFonts w:asciiTheme="minorBidi" w:hAnsiTheme="minorBidi" w:cstheme="minorBidi"/>
              </w:rPr>
              <w:t>m budget (without GDA</w:t>
            </w:r>
            <w:r w:rsidR="00030872" w:rsidRPr="005A2796">
              <w:rPr>
                <w:rFonts w:asciiTheme="minorBidi" w:hAnsiTheme="minorBidi" w:cstheme="minorBidi"/>
              </w:rPr>
              <w:t xml:space="preserve"> TSCs</w:t>
            </w:r>
            <w:r w:rsidR="00CA52AA" w:rsidRPr="005A2796">
              <w:rPr>
                <w:rFonts w:asciiTheme="minorBidi" w:hAnsiTheme="minorBidi" w:cstheme="minorBidi"/>
              </w:rPr>
              <w:t>)</w:t>
            </w:r>
            <w:r w:rsidR="00977857" w:rsidRPr="005A2796">
              <w:rPr>
                <w:rFonts w:asciiTheme="minorBidi" w:hAnsiTheme="minorBidi" w:cstheme="minorBidi"/>
              </w:rPr>
              <w:t>. GDA spend was not headroom on the budget and could only be spent on GDA and was based on government and GBN direction.</w:t>
            </w:r>
          </w:p>
          <w:p w14:paraId="7A1153D6" w14:textId="51292E98" w:rsidR="0099086B" w:rsidRPr="005A2796" w:rsidRDefault="0099086B" w:rsidP="00C171F5">
            <w:pPr>
              <w:pStyle w:val="ListParagraph"/>
              <w:numPr>
                <w:ilvl w:val="0"/>
                <w:numId w:val="25"/>
              </w:numPr>
              <w:ind w:right="187"/>
              <w:rPr>
                <w:rFonts w:asciiTheme="minorBidi" w:hAnsiTheme="minorBidi" w:cstheme="minorBidi"/>
              </w:rPr>
            </w:pPr>
            <w:r w:rsidRPr="005A2796">
              <w:rPr>
                <w:rFonts w:asciiTheme="minorBidi" w:hAnsiTheme="minorBidi" w:cstheme="minorBidi"/>
              </w:rPr>
              <w:t>Highlighted the need to</w:t>
            </w:r>
            <w:r w:rsidR="00BB4F8B" w:rsidRPr="005A2796">
              <w:rPr>
                <w:rFonts w:asciiTheme="minorBidi" w:hAnsiTheme="minorBidi" w:cstheme="minorBidi"/>
              </w:rPr>
              <w:t xml:space="preserve"> share explicitly with DWP </w:t>
            </w:r>
            <w:r w:rsidR="00092333" w:rsidRPr="005A2796">
              <w:rPr>
                <w:rFonts w:asciiTheme="minorBidi" w:hAnsiTheme="minorBidi" w:cstheme="minorBidi"/>
              </w:rPr>
              <w:t xml:space="preserve">both the £104.4m and £110.7m </w:t>
            </w:r>
            <w:r w:rsidR="00C06C91" w:rsidRPr="005A2796">
              <w:rPr>
                <w:rFonts w:asciiTheme="minorBidi" w:hAnsiTheme="minorBidi" w:cstheme="minorBidi"/>
              </w:rPr>
              <w:t>to demonstrate how ONR had significantly reduced base cost.</w:t>
            </w:r>
          </w:p>
          <w:p w14:paraId="0930FD9F" w14:textId="7C8319AC" w:rsidR="00B33132" w:rsidRPr="005A2796" w:rsidRDefault="00B33132" w:rsidP="00C171F5">
            <w:pPr>
              <w:pStyle w:val="ListParagraph"/>
              <w:numPr>
                <w:ilvl w:val="0"/>
                <w:numId w:val="25"/>
              </w:numPr>
              <w:ind w:right="187"/>
              <w:rPr>
                <w:rFonts w:asciiTheme="minorBidi" w:hAnsiTheme="minorBidi" w:cstheme="minorBidi"/>
              </w:rPr>
            </w:pPr>
            <w:r w:rsidRPr="005A2796">
              <w:rPr>
                <w:rFonts w:asciiTheme="minorBidi" w:hAnsiTheme="minorBidi" w:cstheme="minorBidi"/>
              </w:rPr>
              <w:t xml:space="preserve">Commented on the </w:t>
            </w:r>
            <w:r w:rsidR="007D7691" w:rsidRPr="005A2796">
              <w:rPr>
                <w:rFonts w:asciiTheme="minorBidi" w:hAnsiTheme="minorBidi" w:cstheme="minorBidi"/>
              </w:rPr>
              <w:t xml:space="preserve">need for the </w:t>
            </w:r>
            <w:r w:rsidRPr="005A2796">
              <w:rPr>
                <w:rFonts w:asciiTheme="minorBidi" w:hAnsiTheme="minorBidi" w:cstheme="minorBidi"/>
              </w:rPr>
              <w:t>re-forecasting done</w:t>
            </w:r>
            <w:r w:rsidR="00555058" w:rsidRPr="005A2796">
              <w:rPr>
                <w:rFonts w:asciiTheme="minorBidi" w:hAnsiTheme="minorBidi" w:cstheme="minorBidi"/>
              </w:rPr>
              <w:t xml:space="preserve"> by the finance team</w:t>
            </w:r>
            <w:r w:rsidRPr="005A2796">
              <w:rPr>
                <w:rFonts w:asciiTheme="minorBidi" w:hAnsiTheme="minorBidi" w:cstheme="minorBidi"/>
              </w:rPr>
              <w:t xml:space="preserve"> every quarter</w:t>
            </w:r>
            <w:r w:rsidR="00555058" w:rsidRPr="005A2796">
              <w:rPr>
                <w:rFonts w:asciiTheme="minorBidi" w:hAnsiTheme="minorBidi" w:cstheme="minorBidi"/>
              </w:rPr>
              <w:t xml:space="preserve"> be shared with Board.</w:t>
            </w:r>
          </w:p>
          <w:p w14:paraId="31FB3711" w14:textId="084C58C9" w:rsidR="0099086B" w:rsidRPr="005A2796" w:rsidRDefault="0099086B" w:rsidP="0099086B">
            <w:pPr>
              <w:ind w:right="187"/>
              <w:rPr>
                <w:rFonts w:asciiTheme="minorBidi" w:hAnsiTheme="minorBidi" w:cstheme="minorBidi"/>
              </w:rPr>
            </w:pPr>
          </w:p>
        </w:tc>
      </w:tr>
      <w:tr w:rsidR="0099086B" w:rsidRPr="005A2796" w14:paraId="746136C1" w14:textId="77777777" w:rsidTr="00883F1F">
        <w:tc>
          <w:tcPr>
            <w:tcW w:w="1142" w:type="dxa"/>
          </w:tcPr>
          <w:p w14:paraId="6F70BFAC" w14:textId="0722E484" w:rsidR="0099086B" w:rsidRPr="005A2796" w:rsidRDefault="008D3904" w:rsidP="0029015F">
            <w:pPr>
              <w:tabs>
                <w:tab w:val="left" w:pos="5347"/>
              </w:tabs>
              <w:rPr>
                <w:rFonts w:ascii="Arial" w:hAnsi="Arial" w:cs="Arial"/>
              </w:rPr>
            </w:pPr>
            <w:r w:rsidRPr="005A2796">
              <w:rPr>
                <w:rFonts w:ascii="Arial" w:hAnsi="Arial" w:cs="Arial"/>
              </w:rPr>
              <w:lastRenderedPageBreak/>
              <w:t>2.3.9</w:t>
            </w:r>
          </w:p>
        </w:tc>
        <w:tc>
          <w:tcPr>
            <w:tcW w:w="7884" w:type="dxa"/>
          </w:tcPr>
          <w:p w14:paraId="35EA8128" w14:textId="44363921" w:rsidR="0099086B" w:rsidRPr="005A2796" w:rsidRDefault="0099086B" w:rsidP="005E6B65">
            <w:pPr>
              <w:ind w:right="187"/>
              <w:rPr>
                <w:rFonts w:asciiTheme="minorBidi" w:hAnsiTheme="minorBidi" w:cstheme="minorBidi"/>
              </w:rPr>
            </w:pPr>
            <w:r w:rsidRPr="005A2796">
              <w:rPr>
                <w:rFonts w:asciiTheme="minorBidi" w:hAnsiTheme="minorBidi" w:cstheme="minorBidi"/>
              </w:rPr>
              <w:t xml:space="preserve">The Board approved </w:t>
            </w:r>
            <w:r w:rsidR="00030872" w:rsidRPr="005A2796">
              <w:rPr>
                <w:rFonts w:asciiTheme="minorBidi" w:hAnsiTheme="minorBidi" w:cstheme="minorBidi"/>
              </w:rPr>
              <w:t xml:space="preserve">both </w:t>
            </w:r>
            <w:r w:rsidRPr="005A2796">
              <w:rPr>
                <w:rFonts w:asciiTheme="minorBidi" w:hAnsiTheme="minorBidi" w:cstheme="minorBidi"/>
              </w:rPr>
              <w:t xml:space="preserve">the </w:t>
            </w:r>
            <w:r w:rsidRPr="005A2796">
              <w:rPr>
                <w:rFonts w:asciiTheme="minorBidi" w:hAnsiTheme="minorBidi" w:cstheme="minorBidi"/>
                <w:b/>
                <w:bCs/>
              </w:rPr>
              <w:t>£110.7m 2</w:t>
            </w:r>
            <w:r w:rsidR="008B73B1">
              <w:rPr>
                <w:rFonts w:asciiTheme="minorBidi" w:hAnsiTheme="minorBidi" w:cstheme="minorBidi"/>
                <w:b/>
                <w:bCs/>
              </w:rPr>
              <w:t>02</w:t>
            </w:r>
            <w:r w:rsidRPr="005A2796">
              <w:rPr>
                <w:rFonts w:asciiTheme="minorBidi" w:hAnsiTheme="minorBidi" w:cstheme="minorBidi"/>
                <w:b/>
                <w:bCs/>
              </w:rPr>
              <w:t>5/26 budget</w:t>
            </w:r>
            <w:r w:rsidRPr="005A2796">
              <w:rPr>
                <w:rFonts w:asciiTheme="minorBidi" w:hAnsiTheme="minorBidi" w:cstheme="minorBidi"/>
              </w:rPr>
              <w:t>, including a 2% budget reduction of £2.1m as an efficiency target and including £5.9m additional technical support contracts for Generic Design Assessment (GDA) delivery</w:t>
            </w:r>
            <w:r w:rsidR="00030872" w:rsidRPr="005A2796">
              <w:rPr>
                <w:rFonts w:asciiTheme="minorBidi" w:hAnsiTheme="minorBidi" w:cstheme="minorBidi"/>
              </w:rPr>
              <w:t xml:space="preserve"> and the £105m performance target. </w:t>
            </w:r>
            <w:r w:rsidR="00FC1C9D" w:rsidRPr="005A2796">
              <w:rPr>
                <w:rFonts w:asciiTheme="minorBidi" w:hAnsiTheme="minorBidi" w:cstheme="minorBidi"/>
              </w:rPr>
              <w:t xml:space="preserve">This was subject to more work </w:t>
            </w:r>
            <w:r w:rsidR="008B06B3" w:rsidRPr="005A2796">
              <w:rPr>
                <w:rFonts w:asciiTheme="minorBidi" w:hAnsiTheme="minorBidi" w:cstheme="minorBidi"/>
              </w:rPr>
              <w:t>already committed to do on benchmarking, capability and technical division to get better clarity.</w:t>
            </w:r>
          </w:p>
          <w:p w14:paraId="5376171B" w14:textId="5E9A0B1E" w:rsidR="0099086B" w:rsidRPr="005A2796" w:rsidRDefault="0099086B" w:rsidP="001C7C84">
            <w:pPr>
              <w:ind w:right="187"/>
              <w:rPr>
                <w:rFonts w:asciiTheme="minorBidi" w:hAnsiTheme="minorBidi" w:cstheme="minorBidi"/>
              </w:rPr>
            </w:pPr>
          </w:p>
        </w:tc>
      </w:tr>
      <w:tr w:rsidR="005E6B65" w:rsidRPr="005A2796" w14:paraId="4CA9D8EB" w14:textId="77777777" w:rsidTr="00883F1F">
        <w:tc>
          <w:tcPr>
            <w:tcW w:w="1142" w:type="dxa"/>
          </w:tcPr>
          <w:p w14:paraId="68259C44" w14:textId="5FDA38B8" w:rsidR="005E6B65" w:rsidRPr="005A2796" w:rsidRDefault="008D3904" w:rsidP="0029015F">
            <w:pPr>
              <w:tabs>
                <w:tab w:val="left" w:pos="5347"/>
              </w:tabs>
              <w:rPr>
                <w:rFonts w:ascii="Arial" w:hAnsi="Arial" w:cs="Arial"/>
              </w:rPr>
            </w:pPr>
            <w:r w:rsidRPr="005A2796">
              <w:rPr>
                <w:rFonts w:ascii="Arial" w:hAnsi="Arial" w:cs="Arial"/>
              </w:rPr>
              <w:t>2.3.10</w:t>
            </w:r>
          </w:p>
        </w:tc>
        <w:tc>
          <w:tcPr>
            <w:tcW w:w="7884" w:type="dxa"/>
          </w:tcPr>
          <w:p w14:paraId="39409AAB" w14:textId="3FA57A13" w:rsidR="007D7691" w:rsidRPr="005A2796" w:rsidRDefault="005E6B65" w:rsidP="007D7691">
            <w:pPr>
              <w:ind w:right="187"/>
              <w:rPr>
                <w:rFonts w:asciiTheme="minorBidi" w:hAnsiTheme="minorBidi" w:cstheme="minorBidi"/>
              </w:rPr>
            </w:pPr>
            <w:r w:rsidRPr="005A2796">
              <w:rPr>
                <w:rFonts w:asciiTheme="minorBidi" w:hAnsiTheme="minorBidi" w:cstheme="minorBidi"/>
              </w:rPr>
              <w:t xml:space="preserve">The Board commended </w:t>
            </w:r>
            <w:r w:rsidR="001F25AC" w:rsidRPr="005A2796">
              <w:rPr>
                <w:rFonts w:asciiTheme="minorBidi" w:hAnsiTheme="minorBidi" w:cstheme="minorBidi"/>
              </w:rPr>
              <w:t>the Finance Director for her development of the budget, the improved position and challenge she had brought to ONR.</w:t>
            </w:r>
          </w:p>
          <w:p w14:paraId="05E8BD11" w14:textId="72CC2626" w:rsidR="005E498D" w:rsidRPr="005A2796" w:rsidRDefault="005E498D" w:rsidP="005E6B65">
            <w:pPr>
              <w:ind w:right="187"/>
              <w:rPr>
                <w:rFonts w:asciiTheme="minorBidi" w:hAnsiTheme="minorBidi" w:cstheme="minorBidi"/>
              </w:rPr>
            </w:pPr>
          </w:p>
        </w:tc>
      </w:tr>
      <w:tr w:rsidR="005E6B65" w:rsidRPr="005A2796" w14:paraId="42221955" w14:textId="77777777" w:rsidTr="00883F1F">
        <w:tc>
          <w:tcPr>
            <w:tcW w:w="1142" w:type="dxa"/>
          </w:tcPr>
          <w:p w14:paraId="744C7447" w14:textId="1ED13C25" w:rsidR="005E6B65" w:rsidRPr="005A2796" w:rsidRDefault="008D3904" w:rsidP="0029015F">
            <w:pPr>
              <w:tabs>
                <w:tab w:val="left" w:pos="5347"/>
              </w:tabs>
              <w:rPr>
                <w:rFonts w:ascii="Arial" w:hAnsi="Arial" w:cs="Arial"/>
                <w:b/>
                <w:bCs/>
              </w:rPr>
            </w:pPr>
            <w:r w:rsidRPr="005A2796">
              <w:rPr>
                <w:rFonts w:ascii="Arial" w:hAnsi="Arial" w:cs="Arial"/>
                <w:b/>
                <w:bCs/>
              </w:rPr>
              <w:t>3</w:t>
            </w:r>
            <w:r w:rsidR="00C32B38" w:rsidRPr="005A2796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7884" w:type="dxa"/>
          </w:tcPr>
          <w:p w14:paraId="3415C48D" w14:textId="693E0F20" w:rsidR="00C32B38" w:rsidRPr="005A2796" w:rsidRDefault="00C32B38" w:rsidP="00C32B38">
            <w:pPr>
              <w:ind w:right="187"/>
              <w:rPr>
                <w:rFonts w:asciiTheme="minorBidi" w:hAnsiTheme="minorBidi" w:cstheme="minorBidi"/>
                <w:b/>
                <w:bCs/>
              </w:rPr>
            </w:pPr>
            <w:r w:rsidRPr="005A2796">
              <w:rPr>
                <w:rFonts w:asciiTheme="minorBidi" w:hAnsiTheme="minorBidi" w:cstheme="minorBidi"/>
                <w:b/>
                <w:bCs/>
              </w:rPr>
              <w:t>Committee Membership</w:t>
            </w:r>
          </w:p>
        </w:tc>
      </w:tr>
      <w:tr w:rsidR="005E6B65" w:rsidRPr="005A2796" w14:paraId="3A998774" w14:textId="77777777" w:rsidTr="00883F1F">
        <w:tc>
          <w:tcPr>
            <w:tcW w:w="1142" w:type="dxa"/>
          </w:tcPr>
          <w:p w14:paraId="2359CC1D" w14:textId="77777777" w:rsidR="005E6B65" w:rsidRPr="005A2796" w:rsidRDefault="005E6B65" w:rsidP="0029015F">
            <w:pPr>
              <w:tabs>
                <w:tab w:val="left" w:pos="5347"/>
              </w:tabs>
              <w:rPr>
                <w:rFonts w:ascii="Arial" w:hAnsi="Arial" w:cs="Arial"/>
              </w:rPr>
            </w:pPr>
          </w:p>
        </w:tc>
        <w:tc>
          <w:tcPr>
            <w:tcW w:w="7884" w:type="dxa"/>
          </w:tcPr>
          <w:p w14:paraId="46F831C1" w14:textId="77777777" w:rsidR="005E6B65" w:rsidRPr="005A2796" w:rsidRDefault="005E6B65" w:rsidP="005E6B65">
            <w:pPr>
              <w:ind w:right="187"/>
              <w:rPr>
                <w:rFonts w:asciiTheme="minorBidi" w:hAnsiTheme="minorBidi" w:cstheme="minorBidi"/>
              </w:rPr>
            </w:pPr>
          </w:p>
        </w:tc>
      </w:tr>
      <w:tr w:rsidR="00C32B38" w:rsidRPr="00D901A4" w14:paraId="7B1883D0" w14:textId="77777777" w:rsidTr="00883F1F">
        <w:tc>
          <w:tcPr>
            <w:tcW w:w="1142" w:type="dxa"/>
          </w:tcPr>
          <w:p w14:paraId="07DB7B78" w14:textId="17F44FE3" w:rsidR="00C32B38" w:rsidRPr="005A2796" w:rsidRDefault="008D3904" w:rsidP="0029015F">
            <w:pPr>
              <w:tabs>
                <w:tab w:val="left" w:pos="5347"/>
              </w:tabs>
              <w:rPr>
                <w:rFonts w:ascii="Arial" w:hAnsi="Arial" w:cs="Arial"/>
              </w:rPr>
            </w:pPr>
            <w:r w:rsidRPr="005A2796">
              <w:rPr>
                <w:rFonts w:ascii="Arial" w:hAnsi="Arial" w:cs="Arial"/>
              </w:rPr>
              <w:t>3</w:t>
            </w:r>
            <w:r w:rsidR="00C32B38" w:rsidRPr="005A2796">
              <w:rPr>
                <w:rFonts w:ascii="Arial" w:hAnsi="Arial" w:cs="Arial"/>
              </w:rPr>
              <w:t>.1</w:t>
            </w:r>
          </w:p>
        </w:tc>
        <w:tc>
          <w:tcPr>
            <w:tcW w:w="7884" w:type="dxa"/>
          </w:tcPr>
          <w:p w14:paraId="0A1C4F3D" w14:textId="302F6B9F" w:rsidR="00C32B38" w:rsidRDefault="00C32B38" w:rsidP="005E6B65">
            <w:pPr>
              <w:ind w:right="187"/>
              <w:rPr>
                <w:rFonts w:asciiTheme="minorBidi" w:hAnsiTheme="minorBidi" w:cstheme="minorBidi"/>
              </w:rPr>
            </w:pPr>
            <w:r w:rsidRPr="005A2796">
              <w:rPr>
                <w:rFonts w:asciiTheme="minorBidi" w:hAnsiTheme="minorBidi" w:cstheme="minorBidi"/>
              </w:rPr>
              <w:t xml:space="preserve">The Board approved the </w:t>
            </w:r>
            <w:r w:rsidR="005E498D" w:rsidRPr="005A2796">
              <w:rPr>
                <w:rFonts w:asciiTheme="minorBidi" w:hAnsiTheme="minorBidi" w:cstheme="minorBidi"/>
              </w:rPr>
              <w:t>proposed changes to Committee membership with effect of 31 March 2025</w:t>
            </w:r>
            <w:r w:rsidR="00655D75" w:rsidRPr="005A2796">
              <w:rPr>
                <w:rFonts w:asciiTheme="minorBidi" w:hAnsiTheme="minorBidi" w:cstheme="minorBidi"/>
              </w:rPr>
              <w:t>.</w:t>
            </w:r>
          </w:p>
        </w:tc>
      </w:tr>
      <w:tr w:rsidR="00C32B38" w:rsidRPr="00D901A4" w14:paraId="2632A648" w14:textId="77777777" w:rsidTr="00883F1F">
        <w:tc>
          <w:tcPr>
            <w:tcW w:w="1142" w:type="dxa"/>
          </w:tcPr>
          <w:p w14:paraId="7685CCA7" w14:textId="77777777" w:rsidR="00C32B38" w:rsidRDefault="00C32B38" w:rsidP="0029015F">
            <w:pPr>
              <w:tabs>
                <w:tab w:val="left" w:pos="5347"/>
              </w:tabs>
              <w:rPr>
                <w:rFonts w:ascii="Arial" w:hAnsi="Arial" w:cs="Arial"/>
              </w:rPr>
            </w:pPr>
          </w:p>
        </w:tc>
        <w:tc>
          <w:tcPr>
            <w:tcW w:w="7884" w:type="dxa"/>
          </w:tcPr>
          <w:p w14:paraId="060919E2" w14:textId="77777777" w:rsidR="00C32B38" w:rsidRDefault="00C32B38" w:rsidP="005E6B65">
            <w:pPr>
              <w:ind w:right="187"/>
              <w:rPr>
                <w:rFonts w:asciiTheme="minorBidi" w:hAnsiTheme="minorBidi" w:cstheme="minorBidi"/>
              </w:rPr>
            </w:pPr>
          </w:p>
        </w:tc>
      </w:tr>
    </w:tbl>
    <w:p w14:paraId="30ACD328" w14:textId="4831A8E8" w:rsidR="00B7497A" w:rsidRPr="003F06EA" w:rsidRDefault="00B7497A" w:rsidP="003F06EA">
      <w:pPr>
        <w:ind w:right="187"/>
        <w:rPr>
          <w:rFonts w:ascii="Arial" w:hAnsi="Arial" w:cs="Arial"/>
          <w:bCs/>
        </w:rPr>
      </w:pPr>
    </w:p>
    <w:p w14:paraId="3D889465" w14:textId="4D37EE03" w:rsidR="00C7214A" w:rsidRPr="00362A9B" w:rsidRDefault="00C7214A" w:rsidP="00C7214A">
      <w:pPr>
        <w:rPr>
          <w:rFonts w:asciiTheme="minorBidi" w:hAnsiTheme="minorBidi" w:cstheme="minorBidi"/>
          <w:b/>
          <w:bCs/>
        </w:rPr>
      </w:pPr>
      <w:r w:rsidRPr="00C7214A">
        <w:rPr>
          <w:rFonts w:asciiTheme="minorBidi" w:hAnsiTheme="minorBidi" w:cstheme="minorBidi"/>
        </w:rPr>
        <w:t xml:space="preserve"> </w:t>
      </w:r>
    </w:p>
    <w:sectPr w:rsidR="00C7214A" w:rsidRPr="00362A9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21F3A" w14:textId="77777777" w:rsidR="00FB1911" w:rsidRDefault="00FB1911" w:rsidP="007A779A">
      <w:r>
        <w:separator/>
      </w:r>
    </w:p>
  </w:endnote>
  <w:endnote w:type="continuationSeparator" w:id="0">
    <w:p w14:paraId="1BA37680" w14:textId="77777777" w:rsidR="00FB1911" w:rsidRDefault="00FB1911" w:rsidP="007A7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31972829"/>
      <w:docPartObj>
        <w:docPartGallery w:val="Page Numbers (Bottom of Page)"/>
        <w:docPartUnique/>
      </w:docPartObj>
    </w:sdtPr>
    <w:sdtEndPr>
      <w:rPr>
        <w:rFonts w:asciiTheme="minorBidi" w:hAnsiTheme="minorBidi" w:cstheme="minorBidi"/>
        <w:sz w:val="20"/>
        <w:szCs w:val="20"/>
      </w:rPr>
    </w:sdtEndPr>
    <w:sdtContent>
      <w:sdt>
        <w:sdtPr>
          <w:rPr>
            <w:rFonts w:asciiTheme="minorBidi" w:hAnsiTheme="minorBidi" w:cstheme="minorBid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22E4B2" w14:textId="5A2A10B3" w:rsidR="004C5D1F" w:rsidRPr="00D531C2" w:rsidRDefault="004C5D1F">
            <w:pPr>
              <w:pStyle w:val="Footer"/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531C2">
              <w:rPr>
                <w:rFonts w:asciiTheme="minorBidi" w:hAnsiTheme="minorBidi" w:cstheme="minorBidi"/>
                <w:sz w:val="20"/>
                <w:szCs w:val="20"/>
              </w:rPr>
              <w:t xml:space="preserve">Page </w:t>
            </w:r>
            <w:r w:rsidRPr="00D531C2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fldChar w:fldCharType="begin"/>
            </w:r>
            <w:r w:rsidRPr="00D531C2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instrText>PAGE</w:instrText>
            </w:r>
            <w:r w:rsidRPr="00D531C2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fldChar w:fldCharType="separate"/>
            </w:r>
            <w:r w:rsidRPr="00D531C2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2</w:t>
            </w:r>
            <w:r w:rsidRPr="00D531C2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fldChar w:fldCharType="end"/>
            </w:r>
            <w:r w:rsidRPr="00D531C2">
              <w:rPr>
                <w:rFonts w:asciiTheme="minorBidi" w:hAnsiTheme="minorBidi" w:cstheme="minorBidi"/>
                <w:sz w:val="20"/>
                <w:szCs w:val="20"/>
              </w:rPr>
              <w:t xml:space="preserve"> of </w:t>
            </w:r>
            <w:r w:rsidRPr="00D531C2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fldChar w:fldCharType="begin"/>
            </w:r>
            <w:r w:rsidRPr="00D531C2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instrText>NUMPAGES</w:instrText>
            </w:r>
            <w:r w:rsidRPr="00D531C2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fldChar w:fldCharType="separate"/>
            </w:r>
            <w:r w:rsidRPr="00D531C2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2</w:t>
            </w:r>
            <w:r w:rsidRPr="00D531C2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C7422BE" w14:textId="5E42B132" w:rsidR="007A779A" w:rsidRDefault="007A77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30FC1" w14:textId="77777777" w:rsidR="00FB1911" w:rsidRDefault="00FB1911" w:rsidP="007A779A">
      <w:r>
        <w:separator/>
      </w:r>
    </w:p>
  </w:footnote>
  <w:footnote w:type="continuationSeparator" w:id="0">
    <w:p w14:paraId="4B214A59" w14:textId="77777777" w:rsidR="00FB1911" w:rsidRDefault="00FB1911" w:rsidP="007A7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EC5C5" w14:textId="2CAEAF57" w:rsidR="00F17CFD" w:rsidRDefault="00ED30F5">
    <w:pPr>
      <w:pStyle w:val="Header"/>
    </w:pPr>
    <w:r>
      <w:rPr>
        <w:rFonts w:cs="Arial"/>
        <w:b/>
        <w:noProof/>
        <w:sz w:val="20"/>
      </w:rPr>
      <w:drawing>
        <wp:anchor distT="288290" distB="0" distL="288290" distR="114300" simplePos="0" relativeHeight="251660288" behindDoc="0" locked="0" layoutInCell="1" allowOverlap="0" wp14:anchorId="6A98AF6F" wp14:editId="6AAD89DE">
          <wp:simplePos x="0" y="0"/>
          <wp:positionH relativeFrom="margin">
            <wp:posOffset>-828357</wp:posOffset>
          </wp:positionH>
          <wp:positionV relativeFrom="topMargin">
            <wp:posOffset>89535</wp:posOffset>
          </wp:positionV>
          <wp:extent cx="6313018" cy="570585"/>
          <wp:effectExtent l="0" t="0" r="0" b="1270"/>
          <wp:wrapNone/>
          <wp:docPr id="1" name="Picture 1" descr="ONRlogoA4col_h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NRlogoA4col_h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7" t="22310" r="-100261" b="23965"/>
                  <a:stretch>
                    <a:fillRect/>
                  </a:stretch>
                </pic:blipFill>
                <pic:spPr bwMode="auto">
                  <a:xfrm>
                    <a:off x="0" y="0"/>
                    <a:ext cx="6313018" cy="570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94C91E" w14:textId="4D4333D7" w:rsidR="00F17CFD" w:rsidRPr="00ED30F5" w:rsidRDefault="00ED30F5" w:rsidP="00ED30F5">
    <w:pPr>
      <w:pStyle w:val="Header"/>
      <w:jc w:val="center"/>
      <w:rPr>
        <w:rFonts w:asciiTheme="minorBidi" w:hAnsiTheme="minorBidi" w:cstheme="minorBidi"/>
      </w:rPr>
    </w:pPr>
    <w:r w:rsidRPr="00ED30F5">
      <w:rPr>
        <w:rFonts w:asciiTheme="minorBidi" w:hAnsiTheme="minorBidi" w:cstheme="minorBidi"/>
      </w:rPr>
      <w:t>OFFICIAL</w:t>
    </w:r>
  </w:p>
  <w:p w14:paraId="645BDFC4" w14:textId="33B3F8B3" w:rsidR="00F17CFD" w:rsidRDefault="00F17CFD">
    <w:pPr>
      <w:pStyle w:val="Header"/>
    </w:pPr>
  </w:p>
  <w:p w14:paraId="6CA8F4CA" w14:textId="4FEF5C24" w:rsidR="007A779A" w:rsidRDefault="007A77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858F2"/>
    <w:multiLevelType w:val="hybridMultilevel"/>
    <w:tmpl w:val="25C8B582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04B1E"/>
    <w:multiLevelType w:val="hybridMultilevel"/>
    <w:tmpl w:val="DC24EF2E"/>
    <w:lvl w:ilvl="0" w:tplc="F2449E6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76F9D"/>
    <w:multiLevelType w:val="hybridMultilevel"/>
    <w:tmpl w:val="E7483108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30542"/>
    <w:multiLevelType w:val="hybridMultilevel"/>
    <w:tmpl w:val="071E4338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D2012"/>
    <w:multiLevelType w:val="hybridMultilevel"/>
    <w:tmpl w:val="67A0D896"/>
    <w:lvl w:ilvl="0" w:tplc="AB86A916">
      <w:start w:val="1"/>
      <w:numFmt w:val="lowerLetter"/>
      <w:lvlText w:val="(%1)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9925D6"/>
    <w:multiLevelType w:val="hybridMultilevel"/>
    <w:tmpl w:val="1F0EA09A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15680"/>
    <w:multiLevelType w:val="hybridMultilevel"/>
    <w:tmpl w:val="792E383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05CE6"/>
    <w:multiLevelType w:val="hybridMultilevel"/>
    <w:tmpl w:val="BC045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F0D08"/>
    <w:multiLevelType w:val="hybridMultilevel"/>
    <w:tmpl w:val="4746A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A84DB2"/>
    <w:multiLevelType w:val="hybridMultilevel"/>
    <w:tmpl w:val="3B383332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F5223"/>
    <w:multiLevelType w:val="hybridMultilevel"/>
    <w:tmpl w:val="B97E9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A4D7E"/>
    <w:multiLevelType w:val="hybridMultilevel"/>
    <w:tmpl w:val="CEA665AA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C20A6"/>
    <w:multiLevelType w:val="hybridMultilevel"/>
    <w:tmpl w:val="803E729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B917D7"/>
    <w:multiLevelType w:val="hybridMultilevel"/>
    <w:tmpl w:val="DC3C87AE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985DF0"/>
    <w:multiLevelType w:val="multilevel"/>
    <w:tmpl w:val="288622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2C86418"/>
    <w:multiLevelType w:val="hybridMultilevel"/>
    <w:tmpl w:val="95BCD4CE"/>
    <w:lvl w:ilvl="0" w:tplc="7354FEC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1C5EEE"/>
    <w:multiLevelType w:val="hybridMultilevel"/>
    <w:tmpl w:val="89EE0B66"/>
    <w:lvl w:ilvl="0" w:tplc="0EA421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D236E3"/>
    <w:multiLevelType w:val="hybridMultilevel"/>
    <w:tmpl w:val="C3205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3603E3"/>
    <w:multiLevelType w:val="hybridMultilevel"/>
    <w:tmpl w:val="05F8448C"/>
    <w:lvl w:ilvl="0" w:tplc="7354FEC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DC5F8B"/>
    <w:multiLevelType w:val="hybridMultilevel"/>
    <w:tmpl w:val="ABDA3C5C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FE761F"/>
    <w:multiLevelType w:val="hybridMultilevel"/>
    <w:tmpl w:val="BB52B60C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52D14BE"/>
    <w:multiLevelType w:val="hybridMultilevel"/>
    <w:tmpl w:val="981E5AB4"/>
    <w:lvl w:ilvl="0" w:tplc="0809001B">
      <w:start w:val="1"/>
      <w:numFmt w:val="lowerRoman"/>
      <w:lvlText w:val="%1."/>
      <w:lvlJc w:val="right"/>
      <w:pPr>
        <w:ind w:left="78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76EB6006"/>
    <w:multiLevelType w:val="hybridMultilevel"/>
    <w:tmpl w:val="B7084282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C34D3C"/>
    <w:multiLevelType w:val="multilevel"/>
    <w:tmpl w:val="C1A4518E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24" w15:restartNumberingAfterBreak="0">
    <w:nsid w:val="7FD73A71"/>
    <w:multiLevelType w:val="multilevel"/>
    <w:tmpl w:val="76A061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605039799">
    <w:abstractNumId w:val="23"/>
  </w:num>
  <w:num w:numId="2" w16cid:durableId="2098405238">
    <w:abstractNumId w:val="10"/>
  </w:num>
  <w:num w:numId="3" w16cid:durableId="1470398094">
    <w:abstractNumId w:val="17"/>
  </w:num>
  <w:num w:numId="4" w16cid:durableId="706444923">
    <w:abstractNumId w:val="16"/>
  </w:num>
  <w:num w:numId="5" w16cid:durableId="156775039">
    <w:abstractNumId w:val="14"/>
  </w:num>
  <w:num w:numId="6" w16cid:durableId="1491485801">
    <w:abstractNumId w:val="24"/>
  </w:num>
  <w:num w:numId="7" w16cid:durableId="724834419">
    <w:abstractNumId w:val="11"/>
  </w:num>
  <w:num w:numId="8" w16cid:durableId="431973031">
    <w:abstractNumId w:val="5"/>
  </w:num>
  <w:num w:numId="9" w16cid:durableId="1784687063">
    <w:abstractNumId w:val="9"/>
  </w:num>
  <w:num w:numId="10" w16cid:durableId="1465998628">
    <w:abstractNumId w:val="8"/>
  </w:num>
  <w:num w:numId="11" w16cid:durableId="53891350">
    <w:abstractNumId w:val="22"/>
  </w:num>
  <w:num w:numId="12" w16cid:durableId="118229877">
    <w:abstractNumId w:val="2"/>
  </w:num>
  <w:num w:numId="13" w16cid:durableId="1145975962">
    <w:abstractNumId w:val="0"/>
  </w:num>
  <w:num w:numId="14" w16cid:durableId="1038890941">
    <w:abstractNumId w:val="13"/>
  </w:num>
  <w:num w:numId="15" w16cid:durableId="196552181">
    <w:abstractNumId w:val="21"/>
  </w:num>
  <w:num w:numId="16" w16cid:durableId="1482044801">
    <w:abstractNumId w:val="3"/>
  </w:num>
  <w:num w:numId="17" w16cid:durableId="1654874947">
    <w:abstractNumId w:val="19"/>
  </w:num>
  <w:num w:numId="18" w16cid:durableId="1116100409">
    <w:abstractNumId w:val="4"/>
  </w:num>
  <w:num w:numId="19" w16cid:durableId="1370564526">
    <w:abstractNumId w:val="20"/>
  </w:num>
  <w:num w:numId="20" w16cid:durableId="2013606519">
    <w:abstractNumId w:val="18"/>
  </w:num>
  <w:num w:numId="21" w16cid:durableId="849374914">
    <w:abstractNumId w:val="15"/>
  </w:num>
  <w:num w:numId="22" w16cid:durableId="1073117254">
    <w:abstractNumId w:val="7"/>
  </w:num>
  <w:num w:numId="23" w16cid:durableId="1189679328">
    <w:abstractNumId w:val="6"/>
  </w:num>
  <w:num w:numId="24" w16cid:durableId="2053382936">
    <w:abstractNumId w:val="1"/>
  </w:num>
  <w:num w:numId="25" w16cid:durableId="16356710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79A"/>
    <w:rsid w:val="00001E9D"/>
    <w:rsid w:val="000078E0"/>
    <w:rsid w:val="00012B7E"/>
    <w:rsid w:val="00012EFF"/>
    <w:rsid w:val="00015238"/>
    <w:rsid w:val="00024F8E"/>
    <w:rsid w:val="00025AC9"/>
    <w:rsid w:val="00030872"/>
    <w:rsid w:val="00031629"/>
    <w:rsid w:val="00031789"/>
    <w:rsid w:val="00034C97"/>
    <w:rsid w:val="000359B4"/>
    <w:rsid w:val="00042524"/>
    <w:rsid w:val="000464B4"/>
    <w:rsid w:val="00050E0A"/>
    <w:rsid w:val="0005498D"/>
    <w:rsid w:val="00065BCD"/>
    <w:rsid w:val="00066B5F"/>
    <w:rsid w:val="00071B31"/>
    <w:rsid w:val="000768E9"/>
    <w:rsid w:val="000840C6"/>
    <w:rsid w:val="00091F4E"/>
    <w:rsid w:val="00092333"/>
    <w:rsid w:val="00093891"/>
    <w:rsid w:val="000A3D92"/>
    <w:rsid w:val="000B3B70"/>
    <w:rsid w:val="000B6434"/>
    <w:rsid w:val="000B6757"/>
    <w:rsid w:val="000C05FC"/>
    <w:rsid w:val="000C1AEF"/>
    <w:rsid w:val="000C684C"/>
    <w:rsid w:val="000C7F51"/>
    <w:rsid w:val="000D188D"/>
    <w:rsid w:val="000E230C"/>
    <w:rsid w:val="000E3C9A"/>
    <w:rsid w:val="000E4747"/>
    <w:rsid w:val="000F04C0"/>
    <w:rsid w:val="000F6A94"/>
    <w:rsid w:val="000F7BF9"/>
    <w:rsid w:val="000F7C76"/>
    <w:rsid w:val="000F7DA1"/>
    <w:rsid w:val="0010570B"/>
    <w:rsid w:val="001113FD"/>
    <w:rsid w:val="00115693"/>
    <w:rsid w:val="00120482"/>
    <w:rsid w:val="0012138E"/>
    <w:rsid w:val="00125F3E"/>
    <w:rsid w:val="001357A3"/>
    <w:rsid w:val="0014204E"/>
    <w:rsid w:val="00142221"/>
    <w:rsid w:val="00146B0F"/>
    <w:rsid w:val="00150D5C"/>
    <w:rsid w:val="001554F3"/>
    <w:rsid w:val="00157860"/>
    <w:rsid w:val="00163192"/>
    <w:rsid w:val="001654C0"/>
    <w:rsid w:val="00165CD3"/>
    <w:rsid w:val="0017327D"/>
    <w:rsid w:val="0018728D"/>
    <w:rsid w:val="001900F4"/>
    <w:rsid w:val="00194D7C"/>
    <w:rsid w:val="001A505B"/>
    <w:rsid w:val="001A5FBD"/>
    <w:rsid w:val="001B37EB"/>
    <w:rsid w:val="001C29AF"/>
    <w:rsid w:val="001C61A7"/>
    <w:rsid w:val="001C7C84"/>
    <w:rsid w:val="001D2EBF"/>
    <w:rsid w:val="001D3088"/>
    <w:rsid w:val="001D49A2"/>
    <w:rsid w:val="001E0CDC"/>
    <w:rsid w:val="001E0F11"/>
    <w:rsid w:val="001E443F"/>
    <w:rsid w:val="001E4FCE"/>
    <w:rsid w:val="001F25AC"/>
    <w:rsid w:val="001F58AA"/>
    <w:rsid w:val="001F6545"/>
    <w:rsid w:val="001F6D66"/>
    <w:rsid w:val="0020624B"/>
    <w:rsid w:val="00213910"/>
    <w:rsid w:val="00214851"/>
    <w:rsid w:val="002149BA"/>
    <w:rsid w:val="00217D3E"/>
    <w:rsid w:val="00220703"/>
    <w:rsid w:val="00220C23"/>
    <w:rsid w:val="00222ABB"/>
    <w:rsid w:val="0022508C"/>
    <w:rsid w:val="00225281"/>
    <w:rsid w:val="00225AC8"/>
    <w:rsid w:val="00225FCE"/>
    <w:rsid w:val="002402AB"/>
    <w:rsid w:val="00242089"/>
    <w:rsid w:val="0024232E"/>
    <w:rsid w:val="00243D30"/>
    <w:rsid w:val="00245498"/>
    <w:rsid w:val="002513DD"/>
    <w:rsid w:val="00261C6B"/>
    <w:rsid w:val="00266DE3"/>
    <w:rsid w:val="00270357"/>
    <w:rsid w:val="00276578"/>
    <w:rsid w:val="00282A7C"/>
    <w:rsid w:val="002830ED"/>
    <w:rsid w:val="002876F1"/>
    <w:rsid w:val="0029251B"/>
    <w:rsid w:val="00292E37"/>
    <w:rsid w:val="002978CB"/>
    <w:rsid w:val="002A2C7A"/>
    <w:rsid w:val="002B690F"/>
    <w:rsid w:val="002C026D"/>
    <w:rsid w:val="002C52F3"/>
    <w:rsid w:val="002C75FD"/>
    <w:rsid w:val="002D5371"/>
    <w:rsid w:val="002D764E"/>
    <w:rsid w:val="002E27C6"/>
    <w:rsid w:val="002E2AE8"/>
    <w:rsid w:val="002E4134"/>
    <w:rsid w:val="002E4EC3"/>
    <w:rsid w:val="002E6943"/>
    <w:rsid w:val="002E75CE"/>
    <w:rsid w:val="002F13AF"/>
    <w:rsid w:val="002F3282"/>
    <w:rsid w:val="002F4E47"/>
    <w:rsid w:val="002F513A"/>
    <w:rsid w:val="002F6E12"/>
    <w:rsid w:val="002F750A"/>
    <w:rsid w:val="002F7676"/>
    <w:rsid w:val="00300EDD"/>
    <w:rsid w:val="00301FD5"/>
    <w:rsid w:val="00305411"/>
    <w:rsid w:val="00311D40"/>
    <w:rsid w:val="00312159"/>
    <w:rsid w:val="003249C2"/>
    <w:rsid w:val="00325F62"/>
    <w:rsid w:val="00330DDE"/>
    <w:rsid w:val="003321B8"/>
    <w:rsid w:val="003345C8"/>
    <w:rsid w:val="00346389"/>
    <w:rsid w:val="00350094"/>
    <w:rsid w:val="00350B12"/>
    <w:rsid w:val="00356ED7"/>
    <w:rsid w:val="00362A9B"/>
    <w:rsid w:val="003654C7"/>
    <w:rsid w:val="00377FE6"/>
    <w:rsid w:val="00383620"/>
    <w:rsid w:val="00383BA0"/>
    <w:rsid w:val="0038597C"/>
    <w:rsid w:val="00386098"/>
    <w:rsid w:val="00390CE6"/>
    <w:rsid w:val="0039390B"/>
    <w:rsid w:val="00394B54"/>
    <w:rsid w:val="003A0AC2"/>
    <w:rsid w:val="003A2FF9"/>
    <w:rsid w:val="003A39B2"/>
    <w:rsid w:val="003A4A6D"/>
    <w:rsid w:val="003B162D"/>
    <w:rsid w:val="003B5F8B"/>
    <w:rsid w:val="003C1490"/>
    <w:rsid w:val="003C74D8"/>
    <w:rsid w:val="003C7B6E"/>
    <w:rsid w:val="003D1D8A"/>
    <w:rsid w:val="003D5A9C"/>
    <w:rsid w:val="003D5E45"/>
    <w:rsid w:val="003F06EA"/>
    <w:rsid w:val="003F4571"/>
    <w:rsid w:val="003F576D"/>
    <w:rsid w:val="003F5E4D"/>
    <w:rsid w:val="00405B35"/>
    <w:rsid w:val="00406A08"/>
    <w:rsid w:val="00412F7B"/>
    <w:rsid w:val="00416FF4"/>
    <w:rsid w:val="00420053"/>
    <w:rsid w:val="00423278"/>
    <w:rsid w:val="0043110F"/>
    <w:rsid w:val="004350FD"/>
    <w:rsid w:val="0043611D"/>
    <w:rsid w:val="00442677"/>
    <w:rsid w:val="0044367B"/>
    <w:rsid w:val="00444522"/>
    <w:rsid w:val="00445B7D"/>
    <w:rsid w:val="004534E1"/>
    <w:rsid w:val="0045794A"/>
    <w:rsid w:val="0046332F"/>
    <w:rsid w:val="0046490F"/>
    <w:rsid w:val="004758B5"/>
    <w:rsid w:val="0047724C"/>
    <w:rsid w:val="00487BA6"/>
    <w:rsid w:val="00490867"/>
    <w:rsid w:val="004A0A6D"/>
    <w:rsid w:val="004A35CB"/>
    <w:rsid w:val="004B03B0"/>
    <w:rsid w:val="004B166E"/>
    <w:rsid w:val="004B1C1C"/>
    <w:rsid w:val="004B7046"/>
    <w:rsid w:val="004C3947"/>
    <w:rsid w:val="004C5D1F"/>
    <w:rsid w:val="004C7AA7"/>
    <w:rsid w:val="004D657F"/>
    <w:rsid w:val="004E2B3C"/>
    <w:rsid w:val="004E380E"/>
    <w:rsid w:val="004F0F7E"/>
    <w:rsid w:val="004F5F7C"/>
    <w:rsid w:val="005034E9"/>
    <w:rsid w:val="00504EA1"/>
    <w:rsid w:val="00506887"/>
    <w:rsid w:val="00536A04"/>
    <w:rsid w:val="0054310F"/>
    <w:rsid w:val="0054459B"/>
    <w:rsid w:val="00544EB2"/>
    <w:rsid w:val="00550596"/>
    <w:rsid w:val="00554C9B"/>
    <w:rsid w:val="00555058"/>
    <w:rsid w:val="00556BCC"/>
    <w:rsid w:val="00566A09"/>
    <w:rsid w:val="00567924"/>
    <w:rsid w:val="00571CAF"/>
    <w:rsid w:val="00581F65"/>
    <w:rsid w:val="00583071"/>
    <w:rsid w:val="005A03CD"/>
    <w:rsid w:val="005A13F8"/>
    <w:rsid w:val="005A2796"/>
    <w:rsid w:val="005A4654"/>
    <w:rsid w:val="005A72CE"/>
    <w:rsid w:val="005B7714"/>
    <w:rsid w:val="005B785D"/>
    <w:rsid w:val="005C255B"/>
    <w:rsid w:val="005C7990"/>
    <w:rsid w:val="005D1C0B"/>
    <w:rsid w:val="005E1DF5"/>
    <w:rsid w:val="005E498D"/>
    <w:rsid w:val="005E5727"/>
    <w:rsid w:val="005E6B65"/>
    <w:rsid w:val="005F0E62"/>
    <w:rsid w:val="005F2F9C"/>
    <w:rsid w:val="00616B82"/>
    <w:rsid w:val="0061708D"/>
    <w:rsid w:val="0062309B"/>
    <w:rsid w:val="006235F8"/>
    <w:rsid w:val="00626495"/>
    <w:rsid w:val="00630923"/>
    <w:rsid w:val="00632C3A"/>
    <w:rsid w:val="0063394A"/>
    <w:rsid w:val="00651C87"/>
    <w:rsid w:val="00655D75"/>
    <w:rsid w:val="006561FE"/>
    <w:rsid w:val="006619EF"/>
    <w:rsid w:val="006659A9"/>
    <w:rsid w:val="006675D4"/>
    <w:rsid w:val="006675FD"/>
    <w:rsid w:val="00677B0D"/>
    <w:rsid w:val="00680F34"/>
    <w:rsid w:val="00682D72"/>
    <w:rsid w:val="00684DDE"/>
    <w:rsid w:val="006874E8"/>
    <w:rsid w:val="006973A9"/>
    <w:rsid w:val="006A43CC"/>
    <w:rsid w:val="006A7DDF"/>
    <w:rsid w:val="006B097F"/>
    <w:rsid w:val="006C2BF1"/>
    <w:rsid w:val="006C39C1"/>
    <w:rsid w:val="006C4A39"/>
    <w:rsid w:val="006D15DC"/>
    <w:rsid w:val="006E2D33"/>
    <w:rsid w:val="006E2FEC"/>
    <w:rsid w:val="006F491A"/>
    <w:rsid w:val="006F4C6F"/>
    <w:rsid w:val="006F667C"/>
    <w:rsid w:val="00710339"/>
    <w:rsid w:val="00714985"/>
    <w:rsid w:val="00717F80"/>
    <w:rsid w:val="007200AA"/>
    <w:rsid w:val="00723193"/>
    <w:rsid w:val="0072683D"/>
    <w:rsid w:val="007328AB"/>
    <w:rsid w:val="0073502D"/>
    <w:rsid w:val="00735B58"/>
    <w:rsid w:val="00737A65"/>
    <w:rsid w:val="00742F48"/>
    <w:rsid w:val="0074452E"/>
    <w:rsid w:val="00744653"/>
    <w:rsid w:val="00745BFA"/>
    <w:rsid w:val="00750D96"/>
    <w:rsid w:val="007544F9"/>
    <w:rsid w:val="00772331"/>
    <w:rsid w:val="00777DC0"/>
    <w:rsid w:val="00783285"/>
    <w:rsid w:val="00785966"/>
    <w:rsid w:val="00785B09"/>
    <w:rsid w:val="00786489"/>
    <w:rsid w:val="007A1417"/>
    <w:rsid w:val="007A779A"/>
    <w:rsid w:val="007B15DD"/>
    <w:rsid w:val="007B3897"/>
    <w:rsid w:val="007B79EC"/>
    <w:rsid w:val="007C0E16"/>
    <w:rsid w:val="007C5A19"/>
    <w:rsid w:val="007D57BA"/>
    <w:rsid w:val="007D5D7C"/>
    <w:rsid w:val="007D7691"/>
    <w:rsid w:val="007E0940"/>
    <w:rsid w:val="007E13E1"/>
    <w:rsid w:val="007E1945"/>
    <w:rsid w:val="007E284C"/>
    <w:rsid w:val="007F0A7A"/>
    <w:rsid w:val="007F36BE"/>
    <w:rsid w:val="007F63ED"/>
    <w:rsid w:val="008042E0"/>
    <w:rsid w:val="008064A5"/>
    <w:rsid w:val="00812156"/>
    <w:rsid w:val="00812CFD"/>
    <w:rsid w:val="0081365B"/>
    <w:rsid w:val="00815F9E"/>
    <w:rsid w:val="008251CB"/>
    <w:rsid w:val="00825C5D"/>
    <w:rsid w:val="008464BA"/>
    <w:rsid w:val="00846A23"/>
    <w:rsid w:val="008613AB"/>
    <w:rsid w:val="00863444"/>
    <w:rsid w:val="0086383F"/>
    <w:rsid w:val="00872188"/>
    <w:rsid w:val="00883F1F"/>
    <w:rsid w:val="00892E48"/>
    <w:rsid w:val="008958DD"/>
    <w:rsid w:val="00896D42"/>
    <w:rsid w:val="008A04CF"/>
    <w:rsid w:val="008A28B8"/>
    <w:rsid w:val="008A3013"/>
    <w:rsid w:val="008A4060"/>
    <w:rsid w:val="008B06B3"/>
    <w:rsid w:val="008B18D4"/>
    <w:rsid w:val="008B28FB"/>
    <w:rsid w:val="008B4946"/>
    <w:rsid w:val="008B5BF9"/>
    <w:rsid w:val="008B6475"/>
    <w:rsid w:val="008B73B1"/>
    <w:rsid w:val="008C1AD6"/>
    <w:rsid w:val="008D369A"/>
    <w:rsid w:val="008D3904"/>
    <w:rsid w:val="008E2298"/>
    <w:rsid w:val="008E3B7D"/>
    <w:rsid w:val="008F79DE"/>
    <w:rsid w:val="009029E2"/>
    <w:rsid w:val="0090587B"/>
    <w:rsid w:val="00913A14"/>
    <w:rsid w:val="00916E8B"/>
    <w:rsid w:val="00924530"/>
    <w:rsid w:val="00925A4B"/>
    <w:rsid w:val="00927AD0"/>
    <w:rsid w:val="0093414B"/>
    <w:rsid w:val="009457FE"/>
    <w:rsid w:val="0094685D"/>
    <w:rsid w:val="00950D3F"/>
    <w:rsid w:val="00956888"/>
    <w:rsid w:val="009630D2"/>
    <w:rsid w:val="00977857"/>
    <w:rsid w:val="009823A9"/>
    <w:rsid w:val="00984AE6"/>
    <w:rsid w:val="0099086B"/>
    <w:rsid w:val="00992BC0"/>
    <w:rsid w:val="009940E9"/>
    <w:rsid w:val="00994278"/>
    <w:rsid w:val="0099602A"/>
    <w:rsid w:val="0099623D"/>
    <w:rsid w:val="009977FE"/>
    <w:rsid w:val="009A347D"/>
    <w:rsid w:val="009A3ED6"/>
    <w:rsid w:val="009A41A3"/>
    <w:rsid w:val="009A522C"/>
    <w:rsid w:val="009A64E2"/>
    <w:rsid w:val="009B29D0"/>
    <w:rsid w:val="009C46DB"/>
    <w:rsid w:val="009C4F18"/>
    <w:rsid w:val="009D51D2"/>
    <w:rsid w:val="009D7895"/>
    <w:rsid w:val="009E2308"/>
    <w:rsid w:val="009F0D63"/>
    <w:rsid w:val="009F3FCD"/>
    <w:rsid w:val="00A01130"/>
    <w:rsid w:val="00A02B28"/>
    <w:rsid w:val="00A050B4"/>
    <w:rsid w:val="00A0667F"/>
    <w:rsid w:val="00A207B7"/>
    <w:rsid w:val="00A221A7"/>
    <w:rsid w:val="00A22EF0"/>
    <w:rsid w:val="00A303C0"/>
    <w:rsid w:val="00A31E85"/>
    <w:rsid w:val="00A3215E"/>
    <w:rsid w:val="00A332C9"/>
    <w:rsid w:val="00A4047A"/>
    <w:rsid w:val="00A45781"/>
    <w:rsid w:val="00A5049A"/>
    <w:rsid w:val="00A5147B"/>
    <w:rsid w:val="00A519F4"/>
    <w:rsid w:val="00A53195"/>
    <w:rsid w:val="00A531A5"/>
    <w:rsid w:val="00A55773"/>
    <w:rsid w:val="00A60E1C"/>
    <w:rsid w:val="00A6127B"/>
    <w:rsid w:val="00A61F42"/>
    <w:rsid w:val="00A6214E"/>
    <w:rsid w:val="00A667A6"/>
    <w:rsid w:val="00A71E84"/>
    <w:rsid w:val="00A77BA9"/>
    <w:rsid w:val="00A81FE6"/>
    <w:rsid w:val="00A82694"/>
    <w:rsid w:val="00A853DC"/>
    <w:rsid w:val="00A906DB"/>
    <w:rsid w:val="00A94E5A"/>
    <w:rsid w:val="00A9627C"/>
    <w:rsid w:val="00A97658"/>
    <w:rsid w:val="00AA0689"/>
    <w:rsid w:val="00AA48FC"/>
    <w:rsid w:val="00AA5552"/>
    <w:rsid w:val="00AA6508"/>
    <w:rsid w:val="00AB4530"/>
    <w:rsid w:val="00AB6E42"/>
    <w:rsid w:val="00AC1417"/>
    <w:rsid w:val="00AC5D69"/>
    <w:rsid w:val="00AC72FF"/>
    <w:rsid w:val="00AD3052"/>
    <w:rsid w:val="00AD4BAE"/>
    <w:rsid w:val="00AD75BF"/>
    <w:rsid w:val="00AE431D"/>
    <w:rsid w:val="00AE5F82"/>
    <w:rsid w:val="00B042C2"/>
    <w:rsid w:val="00B078AE"/>
    <w:rsid w:val="00B12026"/>
    <w:rsid w:val="00B16055"/>
    <w:rsid w:val="00B17442"/>
    <w:rsid w:val="00B21B04"/>
    <w:rsid w:val="00B254A6"/>
    <w:rsid w:val="00B33132"/>
    <w:rsid w:val="00B337A2"/>
    <w:rsid w:val="00B345FC"/>
    <w:rsid w:val="00B346AA"/>
    <w:rsid w:val="00B35627"/>
    <w:rsid w:val="00B52352"/>
    <w:rsid w:val="00B55CAA"/>
    <w:rsid w:val="00B60039"/>
    <w:rsid w:val="00B67A45"/>
    <w:rsid w:val="00B72C4C"/>
    <w:rsid w:val="00B7497A"/>
    <w:rsid w:val="00B93E58"/>
    <w:rsid w:val="00BA5CB2"/>
    <w:rsid w:val="00BB4F8B"/>
    <w:rsid w:val="00BC2F49"/>
    <w:rsid w:val="00BC666E"/>
    <w:rsid w:val="00BD08B3"/>
    <w:rsid w:val="00BD1D4E"/>
    <w:rsid w:val="00BD31F7"/>
    <w:rsid w:val="00BD598C"/>
    <w:rsid w:val="00BE65FC"/>
    <w:rsid w:val="00BF0E75"/>
    <w:rsid w:val="00BF2B60"/>
    <w:rsid w:val="00BF7279"/>
    <w:rsid w:val="00C007D1"/>
    <w:rsid w:val="00C05DA3"/>
    <w:rsid w:val="00C06C91"/>
    <w:rsid w:val="00C12EAA"/>
    <w:rsid w:val="00C160C8"/>
    <w:rsid w:val="00C171F5"/>
    <w:rsid w:val="00C22E37"/>
    <w:rsid w:val="00C25A11"/>
    <w:rsid w:val="00C3145B"/>
    <w:rsid w:val="00C32B38"/>
    <w:rsid w:val="00C4036C"/>
    <w:rsid w:val="00C45EDE"/>
    <w:rsid w:val="00C4644C"/>
    <w:rsid w:val="00C53322"/>
    <w:rsid w:val="00C533F6"/>
    <w:rsid w:val="00C64583"/>
    <w:rsid w:val="00C66E77"/>
    <w:rsid w:val="00C7214A"/>
    <w:rsid w:val="00C80A59"/>
    <w:rsid w:val="00C82279"/>
    <w:rsid w:val="00C8412B"/>
    <w:rsid w:val="00C875CF"/>
    <w:rsid w:val="00C87983"/>
    <w:rsid w:val="00C91CFA"/>
    <w:rsid w:val="00C9597A"/>
    <w:rsid w:val="00CA35D0"/>
    <w:rsid w:val="00CA52AA"/>
    <w:rsid w:val="00CA6410"/>
    <w:rsid w:val="00CA6CB9"/>
    <w:rsid w:val="00CA6CBE"/>
    <w:rsid w:val="00CB1C4E"/>
    <w:rsid w:val="00CC24A1"/>
    <w:rsid w:val="00CD1CBC"/>
    <w:rsid w:val="00CD4E36"/>
    <w:rsid w:val="00CE0F08"/>
    <w:rsid w:val="00CE6567"/>
    <w:rsid w:val="00CF312B"/>
    <w:rsid w:val="00D0117C"/>
    <w:rsid w:val="00D0287B"/>
    <w:rsid w:val="00D046DE"/>
    <w:rsid w:val="00D1549A"/>
    <w:rsid w:val="00D24D27"/>
    <w:rsid w:val="00D25C68"/>
    <w:rsid w:val="00D336D9"/>
    <w:rsid w:val="00D36376"/>
    <w:rsid w:val="00D415D4"/>
    <w:rsid w:val="00D420C8"/>
    <w:rsid w:val="00D44240"/>
    <w:rsid w:val="00D4692C"/>
    <w:rsid w:val="00D531C2"/>
    <w:rsid w:val="00D53854"/>
    <w:rsid w:val="00D55C89"/>
    <w:rsid w:val="00D62F6D"/>
    <w:rsid w:val="00D854BF"/>
    <w:rsid w:val="00D8571A"/>
    <w:rsid w:val="00D86907"/>
    <w:rsid w:val="00D94675"/>
    <w:rsid w:val="00DA0B5B"/>
    <w:rsid w:val="00DB255E"/>
    <w:rsid w:val="00DB68CF"/>
    <w:rsid w:val="00DB7073"/>
    <w:rsid w:val="00DB7AE5"/>
    <w:rsid w:val="00DC02C4"/>
    <w:rsid w:val="00DD12A8"/>
    <w:rsid w:val="00DD1693"/>
    <w:rsid w:val="00DD23F7"/>
    <w:rsid w:val="00DD3ADF"/>
    <w:rsid w:val="00DD62FE"/>
    <w:rsid w:val="00DE37AC"/>
    <w:rsid w:val="00DE54C8"/>
    <w:rsid w:val="00DE5DEE"/>
    <w:rsid w:val="00DE7707"/>
    <w:rsid w:val="00E03EB6"/>
    <w:rsid w:val="00E13867"/>
    <w:rsid w:val="00E239F2"/>
    <w:rsid w:val="00E339F1"/>
    <w:rsid w:val="00E40799"/>
    <w:rsid w:val="00E526B0"/>
    <w:rsid w:val="00E53218"/>
    <w:rsid w:val="00E66992"/>
    <w:rsid w:val="00E80D39"/>
    <w:rsid w:val="00E93BAF"/>
    <w:rsid w:val="00EA1F2E"/>
    <w:rsid w:val="00EB66F2"/>
    <w:rsid w:val="00EB77B5"/>
    <w:rsid w:val="00EC00CC"/>
    <w:rsid w:val="00EC20A0"/>
    <w:rsid w:val="00EC666B"/>
    <w:rsid w:val="00ED25AC"/>
    <w:rsid w:val="00ED30F5"/>
    <w:rsid w:val="00ED4436"/>
    <w:rsid w:val="00ED5FD4"/>
    <w:rsid w:val="00ED7ABD"/>
    <w:rsid w:val="00EE05BF"/>
    <w:rsid w:val="00EE1566"/>
    <w:rsid w:val="00EF4902"/>
    <w:rsid w:val="00EF6B23"/>
    <w:rsid w:val="00F0093C"/>
    <w:rsid w:val="00F01D2A"/>
    <w:rsid w:val="00F16292"/>
    <w:rsid w:val="00F17CFD"/>
    <w:rsid w:val="00F22A49"/>
    <w:rsid w:val="00F4635C"/>
    <w:rsid w:val="00F47772"/>
    <w:rsid w:val="00F508E2"/>
    <w:rsid w:val="00F51C86"/>
    <w:rsid w:val="00F52A72"/>
    <w:rsid w:val="00F723DE"/>
    <w:rsid w:val="00F76AD5"/>
    <w:rsid w:val="00F81987"/>
    <w:rsid w:val="00F86E76"/>
    <w:rsid w:val="00F93F7F"/>
    <w:rsid w:val="00FA093B"/>
    <w:rsid w:val="00FB1911"/>
    <w:rsid w:val="00FB449A"/>
    <w:rsid w:val="00FB52FF"/>
    <w:rsid w:val="00FB5766"/>
    <w:rsid w:val="00FB6582"/>
    <w:rsid w:val="00FC1062"/>
    <w:rsid w:val="00FC1C9D"/>
    <w:rsid w:val="00FC3DCE"/>
    <w:rsid w:val="00FC47DF"/>
    <w:rsid w:val="00FD7B28"/>
    <w:rsid w:val="00FE3830"/>
    <w:rsid w:val="00FF11ED"/>
    <w:rsid w:val="00FF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30D755"/>
  <w15:chartTrackingRefBased/>
  <w15:docId w15:val="{84393D86-DEF1-4AED-BDD6-0D8B57CA0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79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5 List Paragraph,List Paragraph1,Dot pt,No Spacing1,List Paragraph Char Char Char,Indicator Text,Numbered Para 1,Bullet 1,Bullet Points,MAIN CONTENT,List Paragraph12,Colorful List - Accent 11,Normal numbered,List Paragraph11,OBC Bullet"/>
    <w:basedOn w:val="Normal"/>
    <w:link w:val="ListParagraphChar"/>
    <w:uiPriority w:val="34"/>
    <w:qFormat/>
    <w:rsid w:val="007A779A"/>
    <w:pPr>
      <w:ind w:left="720"/>
      <w:contextualSpacing/>
    </w:p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1 Char,Bullet Points Char,MAIN CONTENT Char,List Paragraph12 Char"/>
    <w:basedOn w:val="DefaultParagraphFont"/>
    <w:link w:val="ListParagraph"/>
    <w:uiPriority w:val="34"/>
    <w:locked/>
    <w:rsid w:val="007A779A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A77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79A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A77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79A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table" w:styleId="TableGrid">
    <w:name w:val="Table Grid"/>
    <w:basedOn w:val="TableNormal"/>
    <w:rsid w:val="00CE0F0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0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customStyle="1" w:styleId="Body">
    <w:name w:val="Body"/>
    <w:rsid w:val="00CE0F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u w:color="000000"/>
      <w:bdr w:val="nil"/>
      <w:lang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C79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79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7990"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79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7990"/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styleId="Revision">
    <w:name w:val="Revision"/>
    <w:hidden/>
    <w:uiPriority w:val="99"/>
    <w:semiHidden/>
    <w:rsid w:val="009A64E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7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961F5-FA3B-41E3-9307-B5E4E334D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1902</Words>
  <Characters>10843</Characters>
  <Application>Microsoft Office Word</Application>
  <DocSecurity>4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2024-04-03T10:55:00Z</cp:lastPrinted>
  <dcterms:created xsi:type="dcterms:W3CDTF">2025-05-16T07:45:00Z</dcterms:created>
  <dcterms:modified xsi:type="dcterms:W3CDTF">2025-05-16T07:45:00Z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e5e003a-90eb-47c9-a506-ad47e7a0b281_Enabled">
    <vt:lpwstr>true</vt:lpwstr>
  </property>
  <property fmtid="{D5CDD505-2E9C-101B-9397-08002B2CF9AE}" pid="3" name="MSIP_Label_9e5e003a-90eb-47c9-a506-ad47e7a0b281_SetDate">
    <vt:lpwstr>2025-03-26T15:03:28Z</vt:lpwstr>
  </property>
  <property fmtid="{D5CDD505-2E9C-101B-9397-08002B2CF9AE}" pid="4" name="MSIP_Label_9e5e003a-90eb-47c9-a506-ad47e7a0b281_Method">
    <vt:lpwstr>Privileged</vt:lpwstr>
  </property>
  <property fmtid="{D5CDD505-2E9C-101B-9397-08002B2CF9AE}" pid="5" name="MSIP_Label_9e5e003a-90eb-47c9-a506-ad47e7a0b281_Name">
    <vt:lpwstr>OFFICIAL</vt:lpwstr>
  </property>
  <property fmtid="{D5CDD505-2E9C-101B-9397-08002B2CF9AE}" pid="6" name="MSIP_Label_9e5e003a-90eb-47c9-a506-ad47e7a0b281_SiteId">
    <vt:lpwstr>742775df-8077-48d6-81d0-1e82a1f52cb8</vt:lpwstr>
  </property>
  <property fmtid="{D5CDD505-2E9C-101B-9397-08002B2CF9AE}" pid="7" name="MSIP_Label_9e5e003a-90eb-47c9-a506-ad47e7a0b281_ActionId">
    <vt:lpwstr>1b32efed-a5bc-4d81-aca5-8aa6bebbfd67</vt:lpwstr>
  </property>
  <property fmtid="{D5CDD505-2E9C-101B-9397-08002B2CF9AE}" pid="8" name="MSIP_Label_9e5e003a-90eb-47c9-a506-ad47e7a0b281_ContentBits">
    <vt:lpwstr>0</vt:lpwstr>
  </property>
  <property fmtid="{D5CDD505-2E9C-101B-9397-08002B2CF9AE}" pid="9" name="MSIP_Label_9e5e003a-90eb-47c9-a506-ad47e7a0b281_Tag">
    <vt:lpwstr>10, 0, 1, 1</vt:lpwstr>
  </property>
</Properties>
</file>