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B02C" w14:textId="77777777" w:rsidR="0008057D" w:rsidRDefault="0008057D" w:rsidP="0008057D">
      <w:pPr>
        <w:autoSpaceDE w:val="0"/>
        <w:autoSpaceDN w:val="0"/>
        <w:adjustRightInd w:val="0"/>
        <w:spacing w:before="240" w:after="120"/>
        <w:jc w:val="center"/>
        <w:rPr>
          <w:rFonts w:cs="Arial"/>
          <w:sz w:val="48"/>
          <w:szCs w:val="48"/>
          <w:lang w:eastAsia="en-GB"/>
        </w:rPr>
      </w:pPr>
    </w:p>
    <w:p w14:paraId="7F9B98D6" w14:textId="77777777" w:rsidR="0008057D" w:rsidRDefault="0008057D" w:rsidP="0008057D">
      <w:pPr>
        <w:autoSpaceDE w:val="0"/>
        <w:autoSpaceDN w:val="0"/>
        <w:adjustRightInd w:val="0"/>
        <w:spacing w:before="240" w:after="120"/>
        <w:jc w:val="center"/>
        <w:rPr>
          <w:rFonts w:cs="Arial"/>
          <w:sz w:val="48"/>
          <w:szCs w:val="48"/>
          <w:lang w:eastAsia="en-GB"/>
        </w:rPr>
      </w:pPr>
    </w:p>
    <w:p w14:paraId="2159532E" w14:textId="77777777" w:rsidR="0008057D" w:rsidRDefault="0008057D" w:rsidP="0008057D">
      <w:pPr>
        <w:autoSpaceDE w:val="0"/>
        <w:autoSpaceDN w:val="0"/>
        <w:adjustRightInd w:val="0"/>
        <w:spacing w:before="240" w:after="120"/>
        <w:jc w:val="center"/>
        <w:rPr>
          <w:rFonts w:cs="Arial"/>
          <w:sz w:val="48"/>
          <w:szCs w:val="48"/>
          <w:lang w:eastAsia="en-GB"/>
        </w:rPr>
      </w:pPr>
    </w:p>
    <w:p w14:paraId="26DA16FB" w14:textId="681B0111" w:rsidR="002E02F6" w:rsidRPr="0008057D" w:rsidRDefault="000660F8" w:rsidP="00F40619">
      <w:pPr>
        <w:autoSpaceDE w:val="0"/>
        <w:autoSpaceDN w:val="0"/>
        <w:adjustRightInd w:val="0"/>
        <w:spacing w:before="240" w:after="120"/>
        <w:jc w:val="center"/>
        <w:rPr>
          <w:rFonts w:cs="Arial"/>
          <w:sz w:val="48"/>
          <w:szCs w:val="48"/>
          <w:lang w:eastAsia="en-GB"/>
        </w:rPr>
      </w:pPr>
      <w:r>
        <w:rPr>
          <w:rFonts w:cs="Arial"/>
          <w:sz w:val="48"/>
          <w:szCs w:val="48"/>
          <w:lang w:eastAsia="en-GB"/>
        </w:rPr>
        <w:t>The Office for Nuclear Regulation</w:t>
      </w:r>
      <w:r w:rsidR="002E02F6" w:rsidRPr="0008057D">
        <w:rPr>
          <w:rFonts w:cs="Arial"/>
          <w:sz w:val="48"/>
          <w:szCs w:val="48"/>
          <w:lang w:eastAsia="en-GB"/>
        </w:rPr>
        <w:t xml:space="preserve"> </w:t>
      </w:r>
    </w:p>
    <w:p w14:paraId="26DA16FC" w14:textId="26442F7B" w:rsidR="002E02F6" w:rsidRDefault="00F56469" w:rsidP="00F40619">
      <w:pPr>
        <w:autoSpaceDE w:val="0"/>
        <w:autoSpaceDN w:val="0"/>
        <w:adjustRightInd w:val="0"/>
        <w:spacing w:before="240" w:after="120"/>
        <w:jc w:val="center"/>
        <w:rPr>
          <w:rFonts w:cs="Arial"/>
          <w:sz w:val="48"/>
          <w:szCs w:val="48"/>
          <w:lang w:eastAsia="en-GB"/>
        </w:rPr>
      </w:pPr>
      <w:r>
        <w:rPr>
          <w:rFonts w:cs="Arial"/>
          <w:sz w:val="48"/>
          <w:szCs w:val="48"/>
          <w:lang w:eastAsia="en-GB"/>
        </w:rPr>
        <w:t>Briefing Note</w:t>
      </w:r>
    </w:p>
    <w:p w14:paraId="55F9EC0D" w14:textId="2EC55717" w:rsidR="00BC0469" w:rsidRDefault="00CE2667" w:rsidP="0008057D">
      <w:pPr>
        <w:autoSpaceDE w:val="0"/>
        <w:autoSpaceDN w:val="0"/>
        <w:adjustRightInd w:val="0"/>
        <w:spacing w:before="240" w:after="120"/>
        <w:jc w:val="center"/>
        <w:rPr>
          <w:rFonts w:cs="Arial"/>
          <w:sz w:val="48"/>
          <w:szCs w:val="48"/>
          <w:lang w:eastAsia="en-GB"/>
        </w:rPr>
      </w:pPr>
      <w:r>
        <w:rPr>
          <w:rFonts w:cs="Arial"/>
          <w:sz w:val="48"/>
          <w:szCs w:val="48"/>
          <w:lang w:eastAsia="en-GB"/>
        </w:rPr>
        <w:t>f</w:t>
      </w:r>
      <w:r w:rsidR="00F56469">
        <w:rPr>
          <w:rFonts w:cs="Arial"/>
          <w:sz w:val="48"/>
          <w:szCs w:val="48"/>
          <w:lang w:eastAsia="en-GB"/>
        </w:rPr>
        <w:t xml:space="preserve">or </w:t>
      </w:r>
    </w:p>
    <w:p w14:paraId="0C58E1A4" w14:textId="207FC0D2" w:rsidR="00F56469" w:rsidRDefault="000A3948" w:rsidP="0008057D">
      <w:pPr>
        <w:autoSpaceDE w:val="0"/>
        <w:autoSpaceDN w:val="0"/>
        <w:adjustRightInd w:val="0"/>
        <w:spacing w:before="240" w:after="120"/>
        <w:jc w:val="center"/>
        <w:rPr>
          <w:rFonts w:cs="Arial"/>
          <w:sz w:val="48"/>
          <w:szCs w:val="48"/>
          <w:lang w:eastAsia="en-GB"/>
        </w:rPr>
      </w:pPr>
      <w:r>
        <w:rPr>
          <w:rFonts w:cs="Arial"/>
          <w:sz w:val="48"/>
          <w:szCs w:val="48"/>
          <w:lang w:eastAsia="en-GB"/>
        </w:rPr>
        <w:t>Coroners</w:t>
      </w:r>
    </w:p>
    <w:p w14:paraId="67979B1C" w14:textId="7FD89432" w:rsidR="008B0E3A" w:rsidRDefault="001D43F5" w:rsidP="00F40619">
      <w:pPr>
        <w:autoSpaceDE w:val="0"/>
        <w:autoSpaceDN w:val="0"/>
        <w:adjustRightInd w:val="0"/>
        <w:spacing w:before="240" w:after="120"/>
        <w:jc w:val="center"/>
      </w:pPr>
      <w:r>
        <w:rPr>
          <w:rFonts w:cs="Arial"/>
          <w:sz w:val="48"/>
          <w:szCs w:val="48"/>
          <w:lang w:eastAsia="en-GB"/>
        </w:rPr>
        <w:t>on</w:t>
      </w:r>
    </w:p>
    <w:p w14:paraId="6EB3A88A" w14:textId="00F4DF46" w:rsidR="00F32074" w:rsidRPr="004D22B3" w:rsidRDefault="00D61D18" w:rsidP="00F40619">
      <w:pPr>
        <w:pStyle w:val="Heading-1"/>
        <w:jc w:val="center"/>
      </w:pPr>
      <w:r w:rsidRPr="004D22B3">
        <w:t>Work-related Death</w:t>
      </w:r>
      <w:r w:rsidR="001F7BBE" w:rsidRPr="004D22B3">
        <w:t>(</w:t>
      </w:r>
      <w:r w:rsidR="00A428CB" w:rsidRPr="004D22B3">
        <w:t>s</w:t>
      </w:r>
      <w:r w:rsidR="001F7BBE" w:rsidRPr="004D22B3">
        <w:t>)</w:t>
      </w:r>
      <w:r w:rsidR="00FC62EC">
        <w:t xml:space="preserve"> - </w:t>
      </w:r>
    </w:p>
    <w:p w14:paraId="4A833D3C" w14:textId="7EDDB0E4" w:rsidR="008B0E3A" w:rsidRPr="004D22B3" w:rsidRDefault="005B6FDD" w:rsidP="00F40619">
      <w:pPr>
        <w:pStyle w:val="Heading-1"/>
        <w:jc w:val="center"/>
      </w:pPr>
      <w:r w:rsidRPr="004D22B3">
        <w:t xml:space="preserve">Information </w:t>
      </w:r>
      <w:r w:rsidR="0027771B" w:rsidRPr="004D22B3">
        <w:t xml:space="preserve">to Support </w:t>
      </w:r>
      <w:r w:rsidR="005758C9" w:rsidRPr="004D22B3">
        <w:t xml:space="preserve">Interaction, </w:t>
      </w:r>
      <w:r w:rsidR="0027771B" w:rsidRPr="004D22B3">
        <w:t xml:space="preserve">Communication and </w:t>
      </w:r>
      <w:r w:rsidR="00905107" w:rsidRPr="004D22B3">
        <w:t>W</w:t>
      </w:r>
      <w:r w:rsidR="00767F2C" w:rsidRPr="004D22B3">
        <w:t xml:space="preserve">ork </w:t>
      </w:r>
      <w:r w:rsidRPr="004D22B3">
        <w:t xml:space="preserve">with </w:t>
      </w:r>
      <w:r w:rsidR="00FE76DD" w:rsidRPr="004D22B3">
        <w:t>ONR</w:t>
      </w:r>
    </w:p>
    <w:p w14:paraId="1706EAEB" w14:textId="77777777" w:rsidR="00500E37" w:rsidRDefault="00500E37" w:rsidP="00A82FE0">
      <w:pPr>
        <w:pStyle w:val="Heading-1"/>
        <w:jc w:val="center"/>
        <w:rPr>
          <w:color w:val="C00000"/>
        </w:rPr>
      </w:pPr>
    </w:p>
    <w:p w14:paraId="4495BCF4" w14:textId="77777777" w:rsidR="00FE76DD" w:rsidRDefault="00FE76DD">
      <w:pPr>
        <w:rPr>
          <w:rFonts w:eastAsiaTheme="majorEastAsia" w:cs="Arial"/>
          <w:bCs/>
          <w:sz w:val="48"/>
          <w:szCs w:val="32"/>
          <w:lang w:eastAsia="en-GB"/>
        </w:rPr>
      </w:pPr>
      <w:r>
        <w:br w:type="page"/>
      </w:r>
    </w:p>
    <w:p w14:paraId="26DA1700" w14:textId="7511BD3D" w:rsidR="002E02F6" w:rsidRPr="00947810" w:rsidRDefault="002E02F6" w:rsidP="00365AC1">
      <w:pPr>
        <w:pStyle w:val="Heading-1"/>
      </w:pPr>
      <w:r w:rsidRPr="00947810">
        <w:lastRenderedPageBreak/>
        <w:t>Introduction</w:t>
      </w:r>
    </w:p>
    <w:p w14:paraId="6D3B4B18" w14:textId="7472B76F" w:rsidR="00023AD8" w:rsidRDefault="00023AD8" w:rsidP="007F67BD">
      <w:pPr>
        <w:pStyle w:val="Paragraph-1"/>
        <w:ind w:left="357" w:hanging="357"/>
      </w:pPr>
      <w:r>
        <w:t>Memorand</w:t>
      </w:r>
      <w:r w:rsidR="008049BC">
        <w:t>a</w:t>
      </w:r>
      <w:r>
        <w:t xml:space="preserve"> of understanding (MOUs) between The Chief Coroner’s Office and external agencies are being withdrawn. </w:t>
      </w:r>
      <w:r w:rsidR="00B37A22">
        <w:t>T</w:t>
      </w:r>
      <w:r>
        <w:t xml:space="preserve">he Chief Coroner identified such agreements as inappropriate, given coroners are independent and so cannot be bound by pre-issued instructions or accords. </w:t>
      </w:r>
    </w:p>
    <w:p w14:paraId="71F3E53E" w14:textId="2979E666" w:rsidR="00F41B27" w:rsidRPr="005758C9" w:rsidRDefault="00023AD8" w:rsidP="009F64B3">
      <w:pPr>
        <w:pStyle w:val="Paragraph-1"/>
        <w:ind w:left="357" w:hanging="357"/>
      </w:pPr>
      <w:r w:rsidRPr="005758C9">
        <w:t>The Office for Nuclear Regulation (ONR) is a co-signatory of the 2019 MOU between The Chief Coroner of England and Wales and the Health and Safety Executive</w:t>
      </w:r>
      <w:r w:rsidR="007F02AC" w:rsidRPr="005758C9">
        <w:t xml:space="preserve"> (HSE)</w:t>
      </w:r>
      <w:r w:rsidRPr="005758C9">
        <w:t>.  Due to the retirement of this agreement.  ONR have developed this Briefing Note as a point of reference, to share practical arrangements for coroners to consider when working and interacting with ONR.</w:t>
      </w:r>
    </w:p>
    <w:p w14:paraId="26DA1704" w14:textId="77777777" w:rsidR="002E02F6" w:rsidRPr="00947810" w:rsidRDefault="002E02F6" w:rsidP="00365AC1">
      <w:pPr>
        <w:pStyle w:val="Heading-1"/>
      </w:pPr>
      <w:r w:rsidRPr="00947810">
        <w:t>Purpose and Objectives</w:t>
      </w:r>
    </w:p>
    <w:p w14:paraId="365566F9" w14:textId="2DEDD5AB" w:rsidR="00175E5E" w:rsidRDefault="00175E5E" w:rsidP="00175E5E">
      <w:pPr>
        <w:pStyle w:val="Paragraph-1"/>
        <w:ind w:left="851" w:hanging="851"/>
      </w:pPr>
      <w:r>
        <w:t>The aims of this Briefing Note are summarised below:</w:t>
      </w:r>
    </w:p>
    <w:p w14:paraId="585BBC08" w14:textId="4DF6CEEB" w:rsidR="002A5A17" w:rsidRPr="00A83F1F" w:rsidRDefault="00175E5E" w:rsidP="00814E8E">
      <w:pPr>
        <w:pStyle w:val="Paragraph-1"/>
        <w:numPr>
          <w:ilvl w:val="1"/>
          <w:numId w:val="27"/>
        </w:numPr>
        <w:ind w:left="714" w:hanging="357"/>
      </w:pPr>
      <w:r w:rsidRPr="00A83F1F">
        <w:t xml:space="preserve">To share an overview of ONR’s preferred working practices and arrangements in the event of a work-related death (in England or Wales), for which ONR is the enforcing authority under the </w:t>
      </w:r>
      <w:r w:rsidR="00BB0309" w:rsidRPr="00A83F1F">
        <w:t>H</w:t>
      </w:r>
      <w:r w:rsidRPr="00A83F1F">
        <w:t xml:space="preserve">ealth and </w:t>
      </w:r>
      <w:r w:rsidR="00BB0309" w:rsidRPr="00A83F1F">
        <w:t>S</w:t>
      </w:r>
      <w:r w:rsidRPr="00A83F1F">
        <w:t xml:space="preserve">afety at </w:t>
      </w:r>
      <w:r w:rsidR="00BB0309" w:rsidRPr="00A83F1F">
        <w:t>W</w:t>
      </w:r>
      <w:r w:rsidRPr="00A83F1F">
        <w:t>ork etc. Act 1974</w:t>
      </w:r>
      <w:r w:rsidR="004B42A5">
        <w:t xml:space="preserve"> and the Energy Act 2013</w:t>
      </w:r>
      <w:r w:rsidR="00C71593">
        <w:t>;</w:t>
      </w:r>
    </w:p>
    <w:p w14:paraId="06736F94" w14:textId="3ED77E4E" w:rsidR="00175E5E" w:rsidRDefault="00175E5E" w:rsidP="002A5A17">
      <w:pPr>
        <w:pStyle w:val="Paragraph-1"/>
        <w:numPr>
          <w:ilvl w:val="1"/>
          <w:numId w:val="27"/>
        </w:numPr>
        <w:ind w:left="714" w:hanging="357"/>
      </w:pPr>
      <w:r>
        <w:t>To enable coroners and ONR to discharge their different and independent statutory functions</w:t>
      </w:r>
      <w:r w:rsidR="00C71593">
        <w:t>;</w:t>
      </w:r>
      <w:r>
        <w:t xml:space="preserve"> </w:t>
      </w:r>
    </w:p>
    <w:p w14:paraId="3CA65840" w14:textId="071F3221" w:rsidR="00175E5E" w:rsidRDefault="00175E5E" w:rsidP="00814E8E">
      <w:pPr>
        <w:pStyle w:val="Paragraph-1"/>
        <w:numPr>
          <w:ilvl w:val="1"/>
          <w:numId w:val="27"/>
        </w:numPr>
        <w:ind w:left="714" w:hanging="357"/>
      </w:pPr>
      <w:r>
        <w:t>To describe the assistance that ONR technical specialists can legitimately provide to the coroner following a work-related death</w:t>
      </w:r>
      <w:r w:rsidR="00C71593">
        <w:t>;</w:t>
      </w:r>
    </w:p>
    <w:p w14:paraId="5C626B18" w14:textId="01B3EA90" w:rsidR="00175E5E" w:rsidRDefault="00175E5E" w:rsidP="00814E8E">
      <w:pPr>
        <w:pStyle w:val="Paragraph-1"/>
        <w:numPr>
          <w:ilvl w:val="1"/>
          <w:numId w:val="27"/>
        </w:numPr>
        <w:ind w:left="714" w:hanging="357"/>
      </w:pPr>
      <w:r>
        <w:t>To promote the wider public interest of holding effective, focused and timely inquests into deaths at, or arising from, work without prejudicing ongoing investigations or criminal proceedings</w:t>
      </w:r>
      <w:r w:rsidR="00C71593">
        <w:t>;</w:t>
      </w:r>
    </w:p>
    <w:p w14:paraId="53C4F394" w14:textId="096E19A6" w:rsidR="00315987" w:rsidRPr="0040623F" w:rsidRDefault="00175E5E" w:rsidP="00814E8E">
      <w:pPr>
        <w:pStyle w:val="Paragraph-1"/>
        <w:numPr>
          <w:ilvl w:val="1"/>
          <w:numId w:val="27"/>
        </w:numPr>
        <w:ind w:left="714" w:hanging="357"/>
      </w:pPr>
      <w:r w:rsidRPr="0040623F">
        <w:t>To describe ONR’s arrangement</w:t>
      </w:r>
      <w:r w:rsidR="000E6662" w:rsidRPr="0040623F">
        <w:t>s</w:t>
      </w:r>
      <w:r w:rsidRPr="0040623F">
        <w:t xml:space="preserve"> for information management, data protection and security</w:t>
      </w:r>
      <w:r w:rsidR="00C71593">
        <w:t>;</w:t>
      </w:r>
    </w:p>
    <w:p w14:paraId="6C5D3DCD" w14:textId="6213F7A1" w:rsidR="00175E5E" w:rsidRDefault="00315987" w:rsidP="00814E8E">
      <w:pPr>
        <w:pStyle w:val="Paragraph-1"/>
        <w:numPr>
          <w:ilvl w:val="1"/>
          <w:numId w:val="27"/>
        </w:numPr>
        <w:ind w:left="714" w:hanging="357"/>
      </w:pPr>
      <w:r w:rsidRPr="00315987">
        <w:t>To provide a Briefing Note that can be shared with the coronial community for information, awareness and training purposes</w:t>
      </w:r>
      <w:r w:rsidR="00C71593">
        <w:t>;</w:t>
      </w:r>
    </w:p>
    <w:p w14:paraId="3F5DD8E4" w14:textId="59C463BD" w:rsidR="00175E5E" w:rsidRDefault="00CE17DA" w:rsidP="00814E8E">
      <w:pPr>
        <w:pStyle w:val="Paragraph-1"/>
        <w:numPr>
          <w:ilvl w:val="1"/>
          <w:numId w:val="27"/>
        </w:numPr>
        <w:ind w:left="714" w:hanging="357"/>
      </w:pPr>
      <w:r w:rsidRPr="00CE17DA">
        <w:t>To provide guidance and make such guidance available on the ONR public facing website. For use as a reference document and also to inform initial and ongoing communication between ONR and coroners.</w:t>
      </w:r>
    </w:p>
    <w:p w14:paraId="3B4E51D4" w14:textId="77777777" w:rsidR="00175E5E" w:rsidRDefault="00175E5E" w:rsidP="007F67BD">
      <w:pPr>
        <w:pStyle w:val="Paragraph-1"/>
        <w:numPr>
          <w:ilvl w:val="0"/>
          <w:numId w:val="0"/>
        </w:numPr>
        <w:ind w:left="2520"/>
      </w:pPr>
    </w:p>
    <w:p w14:paraId="71189C5F" w14:textId="77777777" w:rsidR="00476710" w:rsidRDefault="00476710" w:rsidP="007F67BD">
      <w:pPr>
        <w:pStyle w:val="Paragraph-1"/>
        <w:numPr>
          <w:ilvl w:val="0"/>
          <w:numId w:val="0"/>
        </w:numPr>
        <w:ind w:left="2520"/>
      </w:pPr>
    </w:p>
    <w:p w14:paraId="26DA1710" w14:textId="77E92809" w:rsidR="002E02F6" w:rsidRPr="00947810" w:rsidRDefault="009F64B3" w:rsidP="00365AC1">
      <w:pPr>
        <w:pStyle w:val="Heading-1"/>
      </w:pPr>
      <w:r>
        <w:lastRenderedPageBreak/>
        <w:t>Work-related Deaths</w:t>
      </w:r>
    </w:p>
    <w:p w14:paraId="0C8EECCC" w14:textId="00BCB843" w:rsidR="007F67BD" w:rsidRDefault="00AC5303" w:rsidP="00225784">
      <w:pPr>
        <w:pStyle w:val="Paragraph-1"/>
        <w:ind w:left="357" w:hanging="357"/>
      </w:pPr>
      <w:r w:rsidRPr="00655428">
        <w:t xml:space="preserve">The Office for Nuclear Regulation is the UK’s independent nuclear regulator, for nuclear safety, </w:t>
      </w:r>
      <w:r w:rsidR="00AF6535">
        <w:t xml:space="preserve">nuclear transport, </w:t>
      </w:r>
      <w:r w:rsidRPr="00655428">
        <w:t xml:space="preserve">civil nuclear security, safeguards, health and safety </w:t>
      </w:r>
      <w:r w:rsidR="0059206B">
        <w:t xml:space="preserve">at </w:t>
      </w:r>
      <w:r w:rsidRPr="00655428">
        <w:t xml:space="preserve">the 35 licensed nuclear sites in Great Britain (GB). </w:t>
      </w:r>
      <w:r w:rsidRPr="007F67BD">
        <w:t xml:space="preserve">ONR is also the enforcing authority for the Health and Safety at Work etc. Act 1974 (HSWA) </w:t>
      </w:r>
      <w:r w:rsidRPr="00655428">
        <w:t>on GB nuclear sites, new nuclear build sites, authorised defence sites, and in relation to certain applicable elements of the supply chain.</w:t>
      </w:r>
    </w:p>
    <w:p w14:paraId="1FE69B11" w14:textId="61C9696B" w:rsidR="008B5850" w:rsidRDefault="008B5850" w:rsidP="009F64B3">
      <w:pPr>
        <w:pStyle w:val="Paragraph-1"/>
        <w:ind w:left="357" w:hanging="357"/>
      </w:pPr>
      <w:r>
        <w:t>ONR’s</w:t>
      </w:r>
      <w:r w:rsidR="00FD69F1">
        <w:t xml:space="preserve"> enforcing authority role in the event of a work-related death </w:t>
      </w:r>
      <w:r w:rsidR="00ED1B66">
        <w:t>is set out within Appendix 1.</w:t>
      </w:r>
    </w:p>
    <w:p w14:paraId="26DA1712" w14:textId="181D936A" w:rsidR="002E02F6" w:rsidRDefault="00694622" w:rsidP="00365AC1">
      <w:pPr>
        <w:pStyle w:val="Heading-1"/>
      </w:pPr>
      <w:r>
        <w:t xml:space="preserve">ONR </w:t>
      </w:r>
      <w:r w:rsidR="002E02F6" w:rsidRPr="00947810">
        <w:t>Working Arrangements</w:t>
      </w:r>
    </w:p>
    <w:p w14:paraId="2BD64B52" w14:textId="3F63C870" w:rsidR="00361B91" w:rsidRPr="00361B91" w:rsidRDefault="00361B91" w:rsidP="004D22B3">
      <w:pPr>
        <w:pStyle w:val="Paragraph-1"/>
        <w:ind w:left="357" w:hanging="357"/>
        <w:rPr>
          <w:rFonts w:eastAsia="Calibri"/>
        </w:rPr>
      </w:pPr>
      <w:r w:rsidRPr="00361B91">
        <w:rPr>
          <w:rFonts w:eastAsia="Calibri"/>
        </w:rPr>
        <w:t>It is ONR</w:t>
      </w:r>
      <w:r w:rsidR="00A363D3">
        <w:rPr>
          <w:rFonts w:eastAsia="Calibri"/>
        </w:rPr>
        <w:t xml:space="preserve"> </w:t>
      </w:r>
      <w:r w:rsidRPr="00361B91">
        <w:rPr>
          <w:rFonts w:eastAsia="Calibri"/>
        </w:rPr>
        <w:t xml:space="preserve">policy to assist a coroner wherever possible. </w:t>
      </w:r>
      <w:r w:rsidR="001862CC" w:rsidRPr="001862CC">
        <w:rPr>
          <w:rFonts w:eastAsia="Calibri"/>
        </w:rPr>
        <w:t>It should be noted that coroners have powers (under Coroners and Justice Act 2009, Schedule 5) to require evidence to be given or produced.</w:t>
      </w:r>
    </w:p>
    <w:p w14:paraId="0FF947CC" w14:textId="77777777" w:rsidR="00361B91" w:rsidRDefault="00361B91" w:rsidP="004D22B3">
      <w:pPr>
        <w:pStyle w:val="Paragraph-1"/>
        <w:ind w:left="357" w:hanging="357"/>
        <w:rPr>
          <w:rFonts w:eastAsia="Calibri"/>
        </w:rPr>
      </w:pPr>
      <w:r w:rsidRPr="00361B91">
        <w:rPr>
          <w:rFonts w:eastAsia="Calibri"/>
        </w:rPr>
        <w:t xml:space="preserve">ONR has limited resources. For example, ONR is not resourced to prepare jury bundles prior to an inquest or serve documents on other interested persons. </w:t>
      </w:r>
    </w:p>
    <w:p w14:paraId="24E2D259" w14:textId="7EA50B34" w:rsidR="00361B91" w:rsidRDefault="0078596A" w:rsidP="004D22B3">
      <w:pPr>
        <w:pStyle w:val="Paragraph-1"/>
        <w:ind w:left="357" w:hanging="357"/>
        <w:rPr>
          <w:rFonts w:eastAsia="Calibri"/>
        </w:rPr>
      </w:pPr>
      <w:bookmarkStart w:id="0" w:name="_Hlk215561547"/>
      <w:r w:rsidRPr="006E0856">
        <w:rPr>
          <w:rFonts w:eastAsia="Calibri"/>
          <w:u w:val="single"/>
        </w:rPr>
        <w:t>In specific relation</w:t>
      </w:r>
      <w:r w:rsidR="002E2FDB" w:rsidRPr="006E0856">
        <w:rPr>
          <w:rFonts w:eastAsia="Calibri"/>
          <w:u w:val="single"/>
        </w:rPr>
        <w:t xml:space="preserve"> to work-related death,</w:t>
      </w:r>
      <w:r w:rsidR="002E2FDB">
        <w:rPr>
          <w:rFonts w:eastAsia="Calibri"/>
          <w:u w:val="words"/>
        </w:rPr>
        <w:t xml:space="preserve"> </w:t>
      </w:r>
      <w:r w:rsidR="00361B91" w:rsidRPr="00361B91">
        <w:rPr>
          <w:rFonts w:eastAsia="Calibri"/>
        </w:rPr>
        <w:t xml:space="preserve">powers and duties of ONR inspectors are as provided in the Health and Safety at Work etc Act 1974. Inspectors are not empowered to act otherwise than in accordance with HSWA and cannot undertake enquiries (including those which might otherwise assist the coroner) outside those undertaken for ONR’s own purposes. </w:t>
      </w:r>
    </w:p>
    <w:p w14:paraId="322F5947" w14:textId="171353C1" w:rsidR="00361B91" w:rsidRDefault="00361B91" w:rsidP="004D22B3">
      <w:pPr>
        <w:pStyle w:val="Paragraph-1"/>
        <w:ind w:left="357" w:hanging="357"/>
        <w:rPr>
          <w:rFonts w:eastAsia="Calibri"/>
        </w:rPr>
      </w:pPr>
      <w:r w:rsidRPr="00361B91">
        <w:rPr>
          <w:rFonts w:eastAsia="Calibri"/>
        </w:rPr>
        <w:t>ONR will apply the Work-related Deaths Protocol</w:t>
      </w:r>
      <w:r w:rsidR="00E85E36">
        <w:rPr>
          <w:rFonts w:eastAsia="Calibri"/>
        </w:rPr>
        <w:t>s</w:t>
      </w:r>
      <w:r w:rsidRPr="00361B91">
        <w:rPr>
          <w:rFonts w:eastAsia="Calibri"/>
        </w:rPr>
        <w:t xml:space="preserve"> when undertaking a joint investigation with </w:t>
      </w:r>
      <w:r w:rsidR="006D2CB5">
        <w:rPr>
          <w:rFonts w:eastAsia="Calibri"/>
        </w:rPr>
        <w:t>other</w:t>
      </w:r>
      <w:r w:rsidRPr="00361B91">
        <w:rPr>
          <w:rFonts w:eastAsia="Calibri"/>
        </w:rPr>
        <w:t xml:space="preserve"> agenc</w:t>
      </w:r>
      <w:r w:rsidR="006D2CB5">
        <w:rPr>
          <w:rFonts w:eastAsia="Calibri"/>
        </w:rPr>
        <w:t>ies</w:t>
      </w:r>
      <w:r w:rsidRPr="00361B91">
        <w:rPr>
          <w:rFonts w:eastAsia="Calibri"/>
        </w:rPr>
        <w:t xml:space="preserve">. For example, in joint investigations led by the police (who retain primacy), the police will take the lead in communicating with the coroner. </w:t>
      </w:r>
    </w:p>
    <w:p w14:paraId="4259C8FC" w14:textId="11E5A674" w:rsidR="00361B91" w:rsidRPr="00361B91" w:rsidRDefault="00361B91" w:rsidP="004D22B3">
      <w:pPr>
        <w:pStyle w:val="Paragraph-1"/>
        <w:ind w:left="357" w:hanging="357"/>
        <w:rPr>
          <w:rFonts w:eastAsia="Calibri"/>
        </w:rPr>
      </w:pPr>
      <w:r w:rsidRPr="00361B91">
        <w:rPr>
          <w:rFonts w:eastAsia="Calibri"/>
        </w:rPr>
        <w:t xml:space="preserve">Once an ONR investigation is complete the investigator's statutory functions cease. ONR will not be able to resume the investigation or require further witnesses to be interviewed in order to assist the coroner. </w:t>
      </w:r>
    </w:p>
    <w:bookmarkEnd w:id="0"/>
    <w:p w14:paraId="098040AB" w14:textId="77777777" w:rsidR="00361B91" w:rsidRPr="00361B91" w:rsidRDefault="00361B91" w:rsidP="009F64B3">
      <w:pPr>
        <w:autoSpaceDE w:val="0"/>
        <w:autoSpaceDN w:val="0"/>
        <w:adjustRightInd w:val="0"/>
        <w:rPr>
          <w:rFonts w:eastAsia="Calibri" w:cs="Arial"/>
          <w:sz w:val="24"/>
        </w:rPr>
      </w:pPr>
    </w:p>
    <w:p w14:paraId="183DA0C9" w14:textId="77777777" w:rsidR="00361B91" w:rsidRPr="00361B91" w:rsidRDefault="00361B91" w:rsidP="00EB0969">
      <w:pPr>
        <w:pStyle w:val="Heading-2"/>
      </w:pPr>
      <w:r w:rsidRPr="00361B91">
        <w:t xml:space="preserve">Communication </w:t>
      </w:r>
    </w:p>
    <w:p w14:paraId="4764D5B9" w14:textId="40644202" w:rsidR="00EB0969" w:rsidRDefault="00361B91" w:rsidP="009F64B3">
      <w:pPr>
        <w:pStyle w:val="Paragraph-1"/>
        <w:ind w:left="357" w:hanging="357"/>
        <w:rPr>
          <w:rFonts w:eastAsia="Calibri"/>
        </w:rPr>
      </w:pPr>
      <w:r w:rsidRPr="00361B91">
        <w:rPr>
          <w:rFonts w:eastAsia="Calibri"/>
        </w:rPr>
        <w:t xml:space="preserve">ONR recognises that clear and timely communication with coroners is important to ensure coronial investigations proceed efficiently and without prejudicing  ongoing </w:t>
      </w:r>
      <w:r w:rsidR="003A252F">
        <w:rPr>
          <w:rFonts w:eastAsia="Calibri"/>
        </w:rPr>
        <w:t xml:space="preserve">ONR </w:t>
      </w:r>
      <w:r w:rsidRPr="00361B91">
        <w:rPr>
          <w:rFonts w:eastAsia="Calibri"/>
        </w:rPr>
        <w:t xml:space="preserve">investigations or criminal proceedings. </w:t>
      </w:r>
    </w:p>
    <w:p w14:paraId="6401ACCE" w14:textId="1E2D9F00" w:rsidR="00EB0969" w:rsidRPr="00121E2A" w:rsidRDefault="00361B91" w:rsidP="00121E2A">
      <w:pPr>
        <w:pStyle w:val="Paragraph-1"/>
        <w:ind w:left="357" w:hanging="357"/>
        <w:rPr>
          <w:rFonts w:eastAsia="Calibri"/>
        </w:rPr>
      </w:pPr>
      <w:r w:rsidRPr="00EB0969">
        <w:rPr>
          <w:rFonts w:eastAsia="Calibri"/>
        </w:rPr>
        <w:t>In the event ONR has commenced an investigation arising from a work-related death for which it has primacy (which is also the subject of a coronial investigation)</w:t>
      </w:r>
      <w:r w:rsidR="00721584">
        <w:rPr>
          <w:rFonts w:eastAsia="Calibri"/>
        </w:rPr>
        <w:t>,</w:t>
      </w:r>
      <w:r w:rsidRPr="00EB0969">
        <w:rPr>
          <w:rFonts w:eastAsia="Calibri"/>
        </w:rPr>
        <w:t xml:space="preserve"> </w:t>
      </w:r>
      <w:r w:rsidRPr="0069777D">
        <w:rPr>
          <w:rFonts w:eastAsia="Calibri"/>
        </w:rPr>
        <w:t xml:space="preserve">ONR will make contact with the coroner and </w:t>
      </w:r>
      <w:r w:rsidR="00E13C74">
        <w:rPr>
          <w:rFonts w:eastAsia="Calibri"/>
        </w:rPr>
        <w:t xml:space="preserve">subsequently </w:t>
      </w:r>
      <w:r w:rsidRPr="0069777D">
        <w:rPr>
          <w:rFonts w:eastAsia="Calibri"/>
        </w:rPr>
        <w:t xml:space="preserve">provide </w:t>
      </w:r>
      <w:r w:rsidRPr="00EB0969">
        <w:rPr>
          <w:rFonts w:eastAsia="Calibri"/>
        </w:rPr>
        <w:t>an initial report to the coroner</w:t>
      </w:r>
      <w:r w:rsidR="008A63C4">
        <w:rPr>
          <w:rFonts w:eastAsia="Calibri"/>
        </w:rPr>
        <w:t xml:space="preserve">, where practical </w:t>
      </w:r>
      <w:r w:rsidRPr="00EB0969">
        <w:rPr>
          <w:rFonts w:eastAsia="Calibri"/>
        </w:rPr>
        <w:t xml:space="preserve">within </w:t>
      </w:r>
      <w:r w:rsidR="008A63C4">
        <w:rPr>
          <w:rFonts w:eastAsia="Calibri"/>
        </w:rPr>
        <w:t>six</w:t>
      </w:r>
      <w:r w:rsidR="008A63C4" w:rsidRPr="00EB0969">
        <w:rPr>
          <w:rFonts w:eastAsia="Calibri"/>
        </w:rPr>
        <w:t xml:space="preserve"> </w:t>
      </w:r>
      <w:r w:rsidRPr="00EB0969">
        <w:rPr>
          <w:rFonts w:eastAsia="Calibri"/>
        </w:rPr>
        <w:t xml:space="preserve">months of the </w:t>
      </w:r>
      <w:r w:rsidRPr="00EB0969">
        <w:rPr>
          <w:rFonts w:eastAsia="Calibri"/>
        </w:rPr>
        <w:lastRenderedPageBreak/>
        <w:t>commencement of its investigation.</w:t>
      </w:r>
      <w:r w:rsidR="00121E2A">
        <w:rPr>
          <w:rFonts w:eastAsia="Calibri"/>
        </w:rPr>
        <w:t xml:space="preserve"> </w:t>
      </w:r>
      <w:r w:rsidRPr="00121E2A">
        <w:rPr>
          <w:rFonts w:eastAsia="Calibri"/>
        </w:rPr>
        <w:t xml:space="preserve">The initial report will contain a summary of </w:t>
      </w:r>
      <w:r w:rsidR="000E2BC4" w:rsidRPr="00121E2A">
        <w:rPr>
          <w:rFonts w:eastAsia="Calibri"/>
        </w:rPr>
        <w:t>the ONR</w:t>
      </w:r>
      <w:r w:rsidRPr="00121E2A">
        <w:rPr>
          <w:rFonts w:eastAsia="Calibri"/>
        </w:rPr>
        <w:t xml:space="preserve"> investigation to date</w:t>
      </w:r>
      <w:r w:rsidR="00121E2A" w:rsidRPr="00121E2A">
        <w:rPr>
          <w:rFonts w:eastAsia="Calibri"/>
        </w:rPr>
        <w:t xml:space="preserve">. </w:t>
      </w:r>
    </w:p>
    <w:p w14:paraId="766BF894" w14:textId="3A347E31" w:rsidR="0000352D" w:rsidRPr="0000352D" w:rsidRDefault="0000352D" w:rsidP="0000352D">
      <w:pPr>
        <w:pStyle w:val="Paragraph-1"/>
        <w:ind w:left="357" w:hanging="357"/>
        <w:rPr>
          <w:rFonts w:eastAsia="Calibri"/>
        </w:rPr>
      </w:pPr>
      <w:r w:rsidRPr="0000352D">
        <w:rPr>
          <w:rFonts w:eastAsia="Calibri"/>
        </w:rPr>
        <w:t xml:space="preserve">At timescales satisfactory to both ONR and the </w:t>
      </w:r>
      <w:r w:rsidR="008F5B87">
        <w:rPr>
          <w:rFonts w:eastAsia="Calibri"/>
        </w:rPr>
        <w:t>c</w:t>
      </w:r>
      <w:r w:rsidRPr="0000352D">
        <w:rPr>
          <w:rFonts w:eastAsia="Calibri"/>
        </w:rPr>
        <w:t xml:space="preserve">oroner, ONR will provide written progress reports to the coroner following submission of its initial </w:t>
      </w:r>
      <w:r w:rsidR="006F0839" w:rsidRPr="0000352D">
        <w:rPr>
          <w:rFonts w:eastAsia="Calibri"/>
        </w:rPr>
        <w:t>report.</w:t>
      </w:r>
    </w:p>
    <w:p w14:paraId="1C4C07A7" w14:textId="51CD69D6" w:rsidR="00660676" w:rsidRDefault="00361B91" w:rsidP="009F64B3">
      <w:pPr>
        <w:pStyle w:val="Paragraph-1"/>
        <w:ind w:left="357" w:hanging="357"/>
        <w:rPr>
          <w:rFonts w:eastAsia="Calibri"/>
        </w:rPr>
      </w:pPr>
      <w:r w:rsidRPr="00297225">
        <w:rPr>
          <w:rFonts w:eastAsia="Calibri"/>
        </w:rPr>
        <w:t xml:space="preserve">Following completion of its investigation (or completion of a joint investigation if the police retain primacy) ONR will provide the coroner with a final factual report, and the evidence that supports that final report. </w:t>
      </w:r>
    </w:p>
    <w:p w14:paraId="4342DAB8" w14:textId="421DC819" w:rsidR="00361B91" w:rsidRPr="00660676" w:rsidRDefault="00361B91" w:rsidP="00660676">
      <w:pPr>
        <w:pStyle w:val="Paragraph-1"/>
        <w:ind w:left="357" w:hanging="357"/>
        <w:rPr>
          <w:rFonts w:eastAsia="Calibri"/>
        </w:rPr>
      </w:pPr>
      <w:r w:rsidRPr="00660676">
        <w:rPr>
          <w:rFonts w:eastAsia="Calibri"/>
        </w:rPr>
        <w:t xml:space="preserve">ONR will maintain contact with the coroner to sustain working communication and </w:t>
      </w:r>
      <w:r w:rsidR="00147BCA" w:rsidRPr="00660676">
        <w:rPr>
          <w:rFonts w:eastAsia="Calibri"/>
        </w:rPr>
        <w:t xml:space="preserve">to </w:t>
      </w:r>
      <w:r w:rsidRPr="00660676">
        <w:rPr>
          <w:rFonts w:eastAsia="Calibri"/>
        </w:rPr>
        <w:t>request key information, for example:</w:t>
      </w:r>
    </w:p>
    <w:p w14:paraId="76CDA87F" w14:textId="77777777" w:rsidR="00361B91" w:rsidRPr="00361B91" w:rsidRDefault="00361B91" w:rsidP="009F64B3">
      <w:pPr>
        <w:spacing w:after="160" w:line="259" w:lineRule="auto"/>
        <w:ind w:left="-357"/>
        <w:contextualSpacing/>
        <w:rPr>
          <w:rFonts w:eastAsia="Calibri" w:cs="Arial"/>
          <w:sz w:val="24"/>
        </w:rPr>
      </w:pPr>
    </w:p>
    <w:p w14:paraId="4AC6004E" w14:textId="77777777" w:rsidR="00361B91" w:rsidRPr="00361B91" w:rsidRDefault="00361B91" w:rsidP="00814E8E">
      <w:pPr>
        <w:numPr>
          <w:ilvl w:val="0"/>
          <w:numId w:val="26"/>
        </w:numPr>
        <w:autoSpaceDE w:val="0"/>
        <w:autoSpaceDN w:val="0"/>
        <w:adjustRightInd w:val="0"/>
        <w:spacing w:after="160" w:line="259" w:lineRule="auto"/>
        <w:ind w:left="357"/>
        <w:contextualSpacing/>
        <w:rPr>
          <w:rFonts w:eastAsia="Calibri" w:cs="Arial"/>
          <w:color w:val="000000"/>
          <w:sz w:val="24"/>
        </w:rPr>
      </w:pPr>
      <w:r w:rsidRPr="00361B91">
        <w:rPr>
          <w:rFonts w:eastAsia="Calibri" w:cs="Arial"/>
          <w:sz w:val="24"/>
        </w:rPr>
        <w:t>Developments in the coronial investigation;</w:t>
      </w:r>
    </w:p>
    <w:p w14:paraId="29068708" w14:textId="77777777" w:rsidR="00361B91" w:rsidRPr="00361B91" w:rsidRDefault="00361B91" w:rsidP="00814E8E">
      <w:pPr>
        <w:spacing w:after="160" w:line="259" w:lineRule="auto"/>
        <w:ind w:left="357"/>
        <w:contextualSpacing/>
        <w:rPr>
          <w:rFonts w:eastAsia="Calibri" w:cs="Arial"/>
          <w:sz w:val="24"/>
        </w:rPr>
      </w:pPr>
    </w:p>
    <w:p w14:paraId="7A76F773" w14:textId="77777777" w:rsidR="00361B91" w:rsidRPr="00361B91" w:rsidRDefault="00361B91" w:rsidP="00814E8E">
      <w:pPr>
        <w:numPr>
          <w:ilvl w:val="0"/>
          <w:numId w:val="26"/>
        </w:numPr>
        <w:autoSpaceDE w:val="0"/>
        <w:autoSpaceDN w:val="0"/>
        <w:adjustRightInd w:val="0"/>
        <w:spacing w:after="160" w:line="259" w:lineRule="auto"/>
        <w:ind w:left="357"/>
        <w:contextualSpacing/>
        <w:rPr>
          <w:rFonts w:eastAsia="Calibri" w:cs="Arial"/>
          <w:color w:val="000000"/>
          <w:sz w:val="24"/>
        </w:rPr>
      </w:pPr>
      <w:r w:rsidRPr="00361B91">
        <w:rPr>
          <w:rFonts w:eastAsia="Calibri" w:cs="Arial"/>
          <w:sz w:val="24"/>
        </w:rPr>
        <w:t>Confirmation of an inquest hearing date;</w:t>
      </w:r>
    </w:p>
    <w:p w14:paraId="40FFE3CC" w14:textId="77777777" w:rsidR="00361B91" w:rsidRPr="00361B91" w:rsidRDefault="00361B91" w:rsidP="00814E8E">
      <w:pPr>
        <w:spacing w:after="160" w:line="259" w:lineRule="auto"/>
        <w:ind w:left="357"/>
        <w:contextualSpacing/>
        <w:rPr>
          <w:rFonts w:eastAsia="Calibri" w:cs="Arial"/>
          <w:sz w:val="24"/>
        </w:rPr>
      </w:pPr>
    </w:p>
    <w:p w14:paraId="33D2EE0A" w14:textId="77777777" w:rsidR="00361B91" w:rsidRPr="00361B91" w:rsidRDefault="00361B91" w:rsidP="00814E8E">
      <w:pPr>
        <w:numPr>
          <w:ilvl w:val="0"/>
          <w:numId w:val="26"/>
        </w:numPr>
        <w:autoSpaceDE w:val="0"/>
        <w:autoSpaceDN w:val="0"/>
        <w:adjustRightInd w:val="0"/>
        <w:spacing w:after="160" w:line="259" w:lineRule="auto"/>
        <w:ind w:left="357"/>
        <w:contextualSpacing/>
        <w:rPr>
          <w:rFonts w:eastAsia="Calibri" w:cs="Arial"/>
          <w:color w:val="000000"/>
          <w:sz w:val="24"/>
        </w:rPr>
      </w:pPr>
      <w:r w:rsidRPr="00361B91">
        <w:rPr>
          <w:rFonts w:eastAsia="Calibri" w:cs="Arial"/>
          <w:sz w:val="24"/>
        </w:rPr>
        <w:t>Copies of any documents provided to the coroner by interested persons.</w:t>
      </w:r>
    </w:p>
    <w:p w14:paraId="3E02C2CF" w14:textId="77777777" w:rsidR="00361B91" w:rsidRPr="00361B91" w:rsidRDefault="00361B91" w:rsidP="00361B91">
      <w:pPr>
        <w:autoSpaceDE w:val="0"/>
        <w:autoSpaceDN w:val="0"/>
        <w:adjustRightInd w:val="0"/>
        <w:rPr>
          <w:rFonts w:eastAsia="Calibri" w:cs="Arial"/>
          <w:color w:val="000000"/>
          <w:sz w:val="24"/>
        </w:rPr>
      </w:pPr>
    </w:p>
    <w:p w14:paraId="0AF85C7D" w14:textId="77777777" w:rsidR="00361B91" w:rsidRPr="00361B91" w:rsidRDefault="00361B91" w:rsidP="00C944C7">
      <w:pPr>
        <w:pStyle w:val="Heading-2"/>
      </w:pPr>
      <w:r w:rsidRPr="00361B91">
        <w:t>Chronology and Timing of Inquests</w:t>
      </w:r>
    </w:p>
    <w:p w14:paraId="7D8BF9FF" w14:textId="1FCD43A6" w:rsidR="00AE3FDB" w:rsidRDefault="00361B91" w:rsidP="004D22B3">
      <w:pPr>
        <w:pStyle w:val="Paragraph-1"/>
        <w:ind w:left="357" w:hanging="357"/>
        <w:rPr>
          <w:rFonts w:eastAsia="Calibri"/>
        </w:rPr>
      </w:pPr>
      <w:r w:rsidRPr="00361B91">
        <w:rPr>
          <w:rFonts w:eastAsia="Calibri"/>
        </w:rPr>
        <w:t>ONR support the premise that investigations into a death should not be duplicated, as stated within the Chief Coroner’s Guidance No. 33</w:t>
      </w:r>
      <w:r w:rsidR="000D1217">
        <w:rPr>
          <w:rStyle w:val="FootnoteReference"/>
          <w:rFonts w:eastAsia="Calibri"/>
        </w:rPr>
        <w:footnoteReference w:id="1"/>
      </w:r>
      <w:r w:rsidRPr="00361B91">
        <w:rPr>
          <w:rFonts w:eastAsia="Calibri"/>
        </w:rPr>
        <w:t xml:space="preserve">. Schedule 1 to the Coroners and Justice Act 2009 sets out when a coroner can or must suspend and resume investigations. There also exists a general power and discretion to suspend and adjourn investigations.   </w:t>
      </w:r>
    </w:p>
    <w:p w14:paraId="37426D63" w14:textId="31B67214" w:rsidR="00AE3FDB" w:rsidRPr="00AE3FDB" w:rsidRDefault="00361B91" w:rsidP="004D22B3">
      <w:pPr>
        <w:pStyle w:val="Paragraph-1"/>
        <w:ind w:left="357" w:hanging="357"/>
        <w:rPr>
          <w:rFonts w:eastAsia="Calibri"/>
        </w:rPr>
      </w:pPr>
      <w:r w:rsidRPr="00AE3FDB">
        <w:rPr>
          <w:rFonts w:eastAsia="Calibri"/>
        </w:rPr>
        <w:t>ONR understand that it is rarely necessary to proceed with an inquest whilst a related criminal investigation is ongoing.</w:t>
      </w:r>
      <w:r w:rsidR="00DD3A4D" w:rsidRPr="00AE3FDB">
        <w:rPr>
          <w:rFonts w:eastAsia="Calibri"/>
        </w:rPr>
        <w:t xml:space="preserve"> U</w:t>
      </w:r>
      <w:r w:rsidRPr="00AE3FDB">
        <w:rPr>
          <w:rFonts w:eastAsia="Calibri"/>
        </w:rPr>
        <w:t xml:space="preserve">nder Schedule 1 described above, the coroner may consider suspension of the coronial investigation pending completion of the criminal investigation (whether being conducted by the police and ONR or by ONR alone). </w:t>
      </w:r>
    </w:p>
    <w:p w14:paraId="058B3234" w14:textId="61FDA35F" w:rsidR="00361B91" w:rsidRPr="00814E8E" w:rsidRDefault="00361B91" w:rsidP="00680F7F">
      <w:pPr>
        <w:pStyle w:val="Paragraph-1"/>
        <w:ind w:left="357" w:hanging="357"/>
        <w:rPr>
          <w:rFonts w:eastAsia="Calibri"/>
        </w:rPr>
      </w:pPr>
      <w:r w:rsidRPr="00814E8E">
        <w:rPr>
          <w:rFonts w:eastAsia="Calibri"/>
        </w:rPr>
        <w:t xml:space="preserve">Where ONR has completed its investigation, it will consider (being a decision for ONR alone), whether it is appropriate to commence criminal proceedings for breach of health and safety legislation at that stage, or to await the result of the coroner's inquest before doing so. In making the decision to prosecute before an inquest ONR will consult as appropriate including with the coroner. </w:t>
      </w:r>
    </w:p>
    <w:p w14:paraId="362108C8" w14:textId="77777777" w:rsidR="005D0D7E" w:rsidRDefault="005D0D7E">
      <w:pPr>
        <w:rPr>
          <w:rFonts w:eastAsiaTheme="minorHAnsi" w:cs="Arial"/>
          <w:bCs/>
          <w:color w:val="000000"/>
          <w:sz w:val="38"/>
          <w:szCs w:val="38"/>
        </w:rPr>
      </w:pPr>
      <w:r>
        <w:rPr>
          <w:sz w:val="38"/>
          <w:szCs w:val="38"/>
        </w:rPr>
        <w:br w:type="page"/>
      </w:r>
    </w:p>
    <w:p w14:paraId="481198B5" w14:textId="3E5DF8DD" w:rsidR="00361B91" w:rsidRPr="00361B91" w:rsidRDefault="002E2577" w:rsidP="00C944C7">
      <w:pPr>
        <w:pStyle w:val="Heading-2"/>
      </w:pPr>
      <w:r>
        <w:lastRenderedPageBreak/>
        <w:t>Disclosure and I</w:t>
      </w:r>
      <w:r w:rsidR="00361B91" w:rsidRPr="00361B91">
        <w:t>nformation Management</w:t>
      </w:r>
    </w:p>
    <w:p w14:paraId="46ED8CC5" w14:textId="3E3BDAEC" w:rsidR="00AE3FDB" w:rsidRPr="00532980" w:rsidRDefault="00361B91" w:rsidP="004D22B3">
      <w:pPr>
        <w:pStyle w:val="Paragraph-1"/>
        <w:ind w:left="357" w:hanging="357"/>
        <w:rPr>
          <w:rFonts w:eastAsia="Calibri"/>
        </w:rPr>
      </w:pPr>
      <w:r w:rsidRPr="007436CC">
        <w:rPr>
          <w:rFonts w:eastAsia="Calibri"/>
        </w:rPr>
        <w:t>ONR acknowledges the two</w:t>
      </w:r>
      <w:r w:rsidRPr="00361B91">
        <w:rPr>
          <w:rFonts w:eastAsia="Calibri"/>
        </w:rPr>
        <w:t>-stage process described in the Worcestershire case</w:t>
      </w:r>
      <w:r w:rsidR="00EA2396">
        <w:rPr>
          <w:rStyle w:val="FootnoteReference"/>
          <w:rFonts w:eastAsia="Calibri"/>
        </w:rPr>
        <w:footnoteReference w:id="2"/>
      </w:r>
      <w:r w:rsidR="00A8776C" w:rsidRPr="00FB5971">
        <w:rPr>
          <w:rFonts w:eastAsia="Calibri"/>
        </w:rPr>
        <w:t>,</w:t>
      </w:r>
      <w:r w:rsidRPr="004D22B3">
        <w:rPr>
          <w:rFonts w:eastAsia="Calibri"/>
          <w:color w:val="FF0000"/>
        </w:rPr>
        <w:t xml:space="preserve"> </w:t>
      </w:r>
      <w:r w:rsidRPr="00361B91">
        <w:rPr>
          <w:rFonts w:eastAsia="Calibri"/>
        </w:rPr>
        <w:t xml:space="preserve">that disclosure of information (including that supplied by ONR) means disclosure to the coroner and any onward disclosure to interested persons is a matter for the coroner applying </w:t>
      </w:r>
      <w:r w:rsidRPr="00532980">
        <w:rPr>
          <w:rFonts w:eastAsia="Calibri"/>
        </w:rPr>
        <w:t xml:space="preserve">the </w:t>
      </w:r>
      <w:r w:rsidRPr="004D22B3">
        <w:rPr>
          <w:rFonts w:eastAsia="Calibri"/>
        </w:rPr>
        <w:t>relevant legislation</w:t>
      </w:r>
      <w:r w:rsidRPr="00532980">
        <w:rPr>
          <w:rFonts w:eastAsia="Calibri"/>
        </w:rPr>
        <w:t xml:space="preserve">. </w:t>
      </w:r>
    </w:p>
    <w:p w14:paraId="0EAEC1BF" w14:textId="685666AE" w:rsidR="00AE3FDB" w:rsidRPr="00AE3FDB" w:rsidRDefault="00361B91" w:rsidP="004D22B3">
      <w:pPr>
        <w:pStyle w:val="Paragraph-1"/>
        <w:ind w:left="357" w:hanging="357"/>
        <w:rPr>
          <w:rFonts w:eastAsia="Calibri"/>
        </w:rPr>
      </w:pPr>
      <w:r w:rsidRPr="00AE3FDB">
        <w:rPr>
          <w:rFonts w:eastAsia="Calibri"/>
        </w:rPr>
        <w:t xml:space="preserve">We recognise that coroners will be provided with reports by ONR which may not be disclosed further. Such reports may assist the coroner in understanding the issues, </w:t>
      </w:r>
      <w:r w:rsidRPr="00AE3FDB">
        <w:rPr>
          <w:rFonts w:eastAsia="Calibri"/>
          <w:szCs w:val="22"/>
        </w:rPr>
        <w:t>establishing the scope of the inquest and</w:t>
      </w:r>
      <w:r w:rsidRPr="00AE3FDB">
        <w:rPr>
          <w:rFonts w:eastAsia="Calibri"/>
        </w:rPr>
        <w:t xml:space="preserve"> deciding which witnesses to call. It may be the case that such reports may not amount to primary evidence and consequently will not be adduced in evidence at the inquest. </w:t>
      </w:r>
    </w:p>
    <w:p w14:paraId="243E6DFB" w14:textId="73789EEB" w:rsidR="00AE3FDB" w:rsidRPr="00AE3FDB" w:rsidRDefault="00361B91" w:rsidP="004D22B3">
      <w:pPr>
        <w:pStyle w:val="Paragraph-1"/>
        <w:ind w:left="357" w:hanging="357"/>
        <w:rPr>
          <w:rFonts w:eastAsia="Calibri"/>
        </w:rPr>
      </w:pPr>
      <w:r w:rsidRPr="00AE3FDB">
        <w:rPr>
          <w:rFonts w:eastAsia="Calibri"/>
        </w:rPr>
        <w:t>If an ONR inspector wishes to raise objections with a coroner regarding onward disclosure to interested persons, he/she will raise such objections</w:t>
      </w:r>
      <w:r w:rsidR="00370051" w:rsidRPr="00AE3FDB">
        <w:rPr>
          <w:rFonts w:eastAsia="Calibri"/>
        </w:rPr>
        <w:t xml:space="preserve"> i</w:t>
      </w:r>
      <w:r w:rsidR="00370051" w:rsidRPr="004D22B3">
        <w:rPr>
          <w:rFonts w:eastAsia="Calibri"/>
        </w:rPr>
        <w:t>n advance</w:t>
      </w:r>
      <w:r w:rsidR="00370051" w:rsidRPr="00AE3FDB">
        <w:rPr>
          <w:rFonts w:eastAsia="Calibri"/>
        </w:rPr>
        <w:t>,</w:t>
      </w:r>
      <w:r w:rsidRPr="00AE3FDB">
        <w:rPr>
          <w:rFonts w:eastAsia="Calibri"/>
        </w:rPr>
        <w:t xml:space="preserve"> in accordance with the </w:t>
      </w:r>
      <w:r w:rsidRPr="004D22B3">
        <w:rPr>
          <w:rFonts w:eastAsia="Calibri"/>
        </w:rPr>
        <w:t>relevant legislation</w:t>
      </w:r>
      <w:r w:rsidRPr="00AE3FDB">
        <w:rPr>
          <w:rFonts w:eastAsia="Calibri"/>
        </w:rPr>
        <w:t>.</w:t>
      </w:r>
      <w:r w:rsidR="00B6782A" w:rsidRPr="00AE3FDB">
        <w:rPr>
          <w:rFonts w:eastAsia="Calibri"/>
        </w:rPr>
        <w:t xml:space="preserve"> </w:t>
      </w:r>
    </w:p>
    <w:p w14:paraId="32ECC152" w14:textId="77777777" w:rsidR="00361B91" w:rsidRPr="00AE3FDB" w:rsidRDefault="00361B91" w:rsidP="004D22B3">
      <w:pPr>
        <w:pStyle w:val="Paragraph-1"/>
        <w:ind w:left="357" w:hanging="357"/>
        <w:rPr>
          <w:rFonts w:eastAsia="Calibri"/>
        </w:rPr>
      </w:pPr>
      <w:r w:rsidRPr="00AE3FDB">
        <w:rPr>
          <w:rFonts w:eastAsia="Calibri"/>
        </w:rPr>
        <w:t xml:space="preserve">If a coroner is in possession of material which the ONR inspector has not seen, the Inspector will request provision of this information from the coroner. </w:t>
      </w:r>
    </w:p>
    <w:p w14:paraId="3FC13C95" w14:textId="7B9C7C6C" w:rsidR="00361B91" w:rsidRPr="00361B91" w:rsidRDefault="00361B91" w:rsidP="009F64B3">
      <w:pPr>
        <w:pStyle w:val="Heading-2"/>
      </w:pPr>
      <w:r w:rsidRPr="00361B91">
        <w:t xml:space="preserve">Specialist Inspectors </w:t>
      </w:r>
    </w:p>
    <w:p w14:paraId="50C6C717" w14:textId="170D0256" w:rsidR="0095516A" w:rsidRPr="00361B91" w:rsidRDefault="00361B91" w:rsidP="004D22B3">
      <w:pPr>
        <w:pStyle w:val="Paragraph-1"/>
        <w:ind w:left="357" w:hanging="357"/>
        <w:rPr>
          <w:rFonts w:eastAsia="Calibri"/>
        </w:rPr>
      </w:pPr>
      <w:r w:rsidRPr="00361B91">
        <w:rPr>
          <w:rFonts w:eastAsia="Calibri"/>
        </w:rPr>
        <w:t xml:space="preserve">When assisting coroners, ONR may provide the coroner with a copy of a report from a specialist inspector prepared during </w:t>
      </w:r>
      <w:r w:rsidR="008F1A63">
        <w:rPr>
          <w:rFonts w:eastAsia="Calibri"/>
        </w:rPr>
        <w:t xml:space="preserve">the </w:t>
      </w:r>
      <w:r w:rsidRPr="00361B91">
        <w:rPr>
          <w:rFonts w:eastAsia="Calibri"/>
        </w:rPr>
        <w:t xml:space="preserve">ONR investigation. </w:t>
      </w:r>
    </w:p>
    <w:p w14:paraId="3EE2D7C3" w14:textId="2E485CBD" w:rsidR="0095516A" w:rsidRPr="004D22B3" w:rsidRDefault="00361B91" w:rsidP="004D22B3">
      <w:pPr>
        <w:pStyle w:val="Paragraph-1"/>
        <w:ind w:left="357" w:hanging="357"/>
        <w:rPr>
          <w:rFonts w:eastAsia="Calibri"/>
        </w:rPr>
      </w:pPr>
      <w:r w:rsidRPr="0095516A">
        <w:rPr>
          <w:rFonts w:eastAsia="Calibri"/>
        </w:rPr>
        <w:t>ONR recognises that a coroner may also wish to hear evidence from a specialist inspector and that</w:t>
      </w:r>
      <w:r w:rsidR="00225784">
        <w:rPr>
          <w:rFonts w:eastAsia="Calibri"/>
        </w:rPr>
        <w:t xml:space="preserve"> </w:t>
      </w:r>
      <w:r w:rsidRPr="0095516A">
        <w:rPr>
          <w:rFonts w:eastAsia="Calibri"/>
        </w:rPr>
        <w:t xml:space="preserve">ultimately, the decision as to who to call as a witness is one for the coroner.    </w:t>
      </w:r>
    </w:p>
    <w:p w14:paraId="04D04B17" w14:textId="55F6AEE3" w:rsidR="00361B91" w:rsidRDefault="00361B91" w:rsidP="004D22B3">
      <w:pPr>
        <w:pStyle w:val="Paragraph-1"/>
        <w:ind w:left="357" w:hanging="357"/>
        <w:rPr>
          <w:rFonts w:eastAsia="Calibri"/>
        </w:rPr>
      </w:pPr>
      <w:r w:rsidRPr="009F3A22">
        <w:rPr>
          <w:rFonts w:eastAsia="Calibri"/>
        </w:rPr>
        <w:t xml:space="preserve">However, specialist inspectors are a small cadre of professionals in ONR. They are, through qualifications and experience, experts in their discipline and their services are in high demand to assist ONR and police-led investigations, including by acting as witnesses in criminal proceedings. In dealing with the evidence of specialists, ONR advocate consideration of key </w:t>
      </w:r>
      <w:r w:rsidRPr="004D22B3">
        <w:rPr>
          <w:rFonts w:eastAsia="Calibri"/>
        </w:rPr>
        <w:t>principles</w:t>
      </w:r>
      <w:r w:rsidRPr="009F3A22">
        <w:rPr>
          <w:rFonts w:eastAsia="Calibri"/>
          <w:color w:val="C00000"/>
        </w:rPr>
        <w:t xml:space="preserve"> </w:t>
      </w:r>
      <w:r w:rsidRPr="009F3A22">
        <w:rPr>
          <w:rFonts w:eastAsia="Calibri"/>
        </w:rPr>
        <w:t xml:space="preserve">listed below:  </w:t>
      </w:r>
    </w:p>
    <w:p w14:paraId="028E8723" w14:textId="3597CC60" w:rsidR="00361B91" w:rsidRPr="00361B91" w:rsidRDefault="00361B91" w:rsidP="003900B6">
      <w:pPr>
        <w:numPr>
          <w:ilvl w:val="0"/>
          <w:numId w:val="24"/>
        </w:numPr>
        <w:autoSpaceDE w:val="0"/>
        <w:autoSpaceDN w:val="0"/>
        <w:adjustRightInd w:val="0"/>
        <w:spacing w:after="160" w:line="259" w:lineRule="auto"/>
        <w:ind w:left="714" w:hanging="357"/>
        <w:rPr>
          <w:rFonts w:eastAsia="Calibri" w:cs="Arial"/>
          <w:sz w:val="24"/>
        </w:rPr>
      </w:pPr>
      <w:r w:rsidRPr="00361B91">
        <w:rPr>
          <w:rFonts w:eastAsia="Calibri" w:cs="Arial"/>
          <w:sz w:val="24"/>
        </w:rPr>
        <w:t xml:space="preserve">Due consideration given to reading out specialist inspector’s reports rather than calling for them to testify in person; </w:t>
      </w:r>
    </w:p>
    <w:p w14:paraId="26B256B4" w14:textId="6F55DE16" w:rsidR="0086058F" w:rsidRPr="009D3C29" w:rsidRDefault="007B2051" w:rsidP="009D3C29">
      <w:pPr>
        <w:numPr>
          <w:ilvl w:val="1"/>
          <w:numId w:val="30"/>
        </w:numPr>
        <w:autoSpaceDE w:val="0"/>
        <w:autoSpaceDN w:val="0"/>
        <w:adjustRightInd w:val="0"/>
        <w:spacing w:after="245" w:line="259" w:lineRule="auto"/>
        <w:ind w:left="714" w:hanging="357"/>
        <w:rPr>
          <w:rFonts w:eastAsia="Calibri" w:cs="Arial"/>
          <w:sz w:val="24"/>
        </w:rPr>
      </w:pPr>
      <w:r>
        <w:rPr>
          <w:rFonts w:eastAsia="Calibri" w:cs="Arial"/>
          <w:sz w:val="24"/>
        </w:rPr>
        <w:t>I</w:t>
      </w:r>
      <w:r w:rsidR="00361B91" w:rsidRPr="00361B91">
        <w:rPr>
          <w:rFonts w:eastAsia="Calibri" w:cs="Arial"/>
          <w:sz w:val="24"/>
        </w:rPr>
        <w:t>f a specialist inspector is required to attend an inquest, agreeing a time for the specialist inspector to testify, to avoid attendance of specialist inspector throughout the entire inquest;</w:t>
      </w:r>
      <w:r w:rsidR="00B73447">
        <w:rPr>
          <w:rFonts w:eastAsia="Calibri" w:cs="Arial"/>
          <w:sz w:val="24"/>
        </w:rPr>
        <w:t xml:space="preserve"> </w:t>
      </w:r>
      <w:bookmarkStart w:id="1" w:name="_Hlk215561685"/>
    </w:p>
    <w:p w14:paraId="113D19C7" w14:textId="4CAC0027" w:rsidR="00361B91" w:rsidRPr="00D604EF" w:rsidRDefault="0086058F" w:rsidP="00D604EF">
      <w:pPr>
        <w:numPr>
          <w:ilvl w:val="1"/>
          <w:numId w:val="30"/>
        </w:numPr>
        <w:autoSpaceDE w:val="0"/>
        <w:autoSpaceDN w:val="0"/>
        <w:adjustRightInd w:val="0"/>
        <w:spacing w:after="245" w:line="259" w:lineRule="auto"/>
        <w:ind w:left="714" w:hanging="357"/>
        <w:rPr>
          <w:rFonts w:eastAsia="Calibri"/>
          <w:sz w:val="24"/>
        </w:rPr>
      </w:pPr>
      <w:r w:rsidRPr="0086058F">
        <w:rPr>
          <w:rFonts w:eastAsia="Calibri"/>
          <w:sz w:val="24"/>
        </w:rPr>
        <w:lastRenderedPageBreak/>
        <w:t>If a specialist inspector is required to attend an inquest, he/she can only assist the coroner as described in their report and cannot answer questions about matters outside their discipline or to conduct further investigation or consider additional issues outside those considered for the ONR investigation. In rare circumstances, ONR may consider requests by coroners for discrete specialist inspector support. For example, response to a specific question not addressed by their report, that falls within the inspector’s discipline, expertise and knowledge of the investigation. On the acceptance of a request by ONR,  provision of information by an inspector will only be undertaken subject to an agreed fee under Part 3 of The Coroners Allowances, Fees and Expenses Regulations 2013, as applicable to expert witnesses</w:t>
      </w:r>
      <w:r w:rsidR="00EB2061" w:rsidRPr="0057241C">
        <w:rPr>
          <w:rStyle w:val="FootnoteReference"/>
          <w:rFonts w:eastAsia="Calibri"/>
          <w:sz w:val="24"/>
        </w:rPr>
        <w:footnoteReference w:id="3"/>
      </w:r>
      <w:r w:rsidR="005860D7">
        <w:rPr>
          <w:sz w:val="24"/>
        </w:rPr>
        <w:t>;</w:t>
      </w:r>
    </w:p>
    <w:bookmarkEnd w:id="1"/>
    <w:p w14:paraId="41A59506" w14:textId="4C691766" w:rsidR="0062579F" w:rsidRPr="0062579F" w:rsidRDefault="007B2051" w:rsidP="0062579F">
      <w:pPr>
        <w:numPr>
          <w:ilvl w:val="1"/>
          <w:numId w:val="30"/>
        </w:numPr>
        <w:autoSpaceDE w:val="0"/>
        <w:autoSpaceDN w:val="0"/>
        <w:adjustRightInd w:val="0"/>
        <w:spacing w:after="160" w:line="259" w:lineRule="auto"/>
        <w:ind w:left="714" w:hanging="357"/>
        <w:rPr>
          <w:rFonts w:eastAsia="Calibri" w:cs="Arial"/>
          <w:sz w:val="24"/>
        </w:rPr>
      </w:pPr>
      <w:r>
        <w:rPr>
          <w:rFonts w:eastAsia="Calibri" w:cs="Arial"/>
          <w:sz w:val="24"/>
        </w:rPr>
        <w:t>A</w:t>
      </w:r>
      <w:r w:rsidR="00361B91" w:rsidRPr="00361B91">
        <w:rPr>
          <w:rFonts w:eastAsia="Calibri" w:cs="Arial"/>
          <w:sz w:val="24"/>
        </w:rPr>
        <w:t xml:space="preserve">n inquest is not a proxy for a criminal or civil trial but rather is a court of record, if a specialist inspector is required to attend an inquest, interested persons should be restricted in their questioning to those matters contained in the specialist inspector's report and only as is necessary to assist the coroner answer the statutory questions. </w:t>
      </w:r>
    </w:p>
    <w:p w14:paraId="6F14B70C" w14:textId="20657437" w:rsidR="0062579F" w:rsidRPr="0062579F" w:rsidRDefault="0062579F" w:rsidP="0062579F">
      <w:pPr>
        <w:pStyle w:val="Heading-2"/>
      </w:pPr>
      <w:r w:rsidRPr="0062579F">
        <w:t>Data Protection</w:t>
      </w:r>
    </w:p>
    <w:p w14:paraId="3A1C17CD" w14:textId="613E5EA2" w:rsidR="00484CE0" w:rsidRPr="00484CE0" w:rsidRDefault="00484CE0" w:rsidP="00F43638">
      <w:pPr>
        <w:pStyle w:val="Paragraph-1"/>
        <w:ind w:left="357" w:hanging="357"/>
      </w:pPr>
      <w:r w:rsidRPr="00484CE0">
        <w:t xml:space="preserve">As defined by UK </w:t>
      </w:r>
      <w:r w:rsidRPr="00F43638">
        <w:rPr>
          <w:rFonts w:eastAsia="Calibri"/>
        </w:rPr>
        <w:t>General</w:t>
      </w:r>
      <w:r w:rsidRPr="00484CE0">
        <w:t xml:space="preserve"> Data Protection Regulation (UK GDPR)</w:t>
      </w:r>
      <w:r w:rsidR="0086058F" w:rsidRPr="0086058F">
        <w:rPr>
          <w:rStyle w:val="FootnoteReference"/>
        </w:rPr>
        <w:t xml:space="preserve"> </w:t>
      </w:r>
      <w:r w:rsidR="0086058F">
        <w:rPr>
          <w:rStyle w:val="FootnoteReference"/>
        </w:rPr>
        <w:footnoteReference w:id="4"/>
      </w:r>
      <w:r w:rsidRPr="00484CE0">
        <w:t>, Article 24 ‘Responsibility of the Controller’, ONR and coroners will each be an independent ‘Controller’ for the purpose of processing personal data.</w:t>
      </w:r>
    </w:p>
    <w:p w14:paraId="57013462" w14:textId="34E9D38E" w:rsidR="001C272E" w:rsidRPr="00BE5241" w:rsidRDefault="001C272E" w:rsidP="001C272E">
      <w:pPr>
        <w:pStyle w:val="Paragraph-1"/>
        <w:ind w:left="357" w:hanging="357"/>
      </w:pPr>
      <w:r w:rsidRPr="00BE5241">
        <w:t>As a Controller</w:t>
      </w:r>
      <w:r w:rsidR="00650A45">
        <w:t xml:space="preserve"> </w:t>
      </w:r>
      <w:r w:rsidRPr="00BE5241">
        <w:t>ONR will ensure adherence to all the data protection principles as well as other UK GDPR requirements and legislation</w:t>
      </w:r>
      <w:r w:rsidR="00A84044" w:rsidRPr="00A84044">
        <w:rPr>
          <w:vertAlign w:val="superscript"/>
        </w:rPr>
        <w:t>4</w:t>
      </w:r>
      <w:r w:rsidR="00A84044">
        <w:t>,</w:t>
      </w:r>
      <w:r w:rsidR="00A84044">
        <w:rPr>
          <w:rStyle w:val="FootnoteReference"/>
        </w:rPr>
        <w:footnoteReference w:id="5"/>
      </w:r>
      <w:r w:rsidR="00A9196D" w:rsidRPr="00BE5241">
        <w:t>,</w:t>
      </w:r>
      <w:r w:rsidRPr="00BE5241">
        <w:t xml:space="preserve"> including security of personal data. In particular: </w:t>
      </w:r>
    </w:p>
    <w:p w14:paraId="760EDA80" w14:textId="373478CE" w:rsidR="00AA5E50" w:rsidRPr="000E46E9" w:rsidRDefault="00ED5647" w:rsidP="0024077E">
      <w:pPr>
        <w:pStyle w:val="Paragraph-1"/>
        <w:numPr>
          <w:ilvl w:val="0"/>
          <w:numId w:val="33"/>
        </w:numPr>
        <w:ind w:left="709" w:hanging="357"/>
        <w:rPr>
          <w:rFonts w:eastAsia="Calibri"/>
        </w:rPr>
      </w:pPr>
      <w:r w:rsidRPr="00ED5647">
        <w:rPr>
          <w:rFonts w:eastAsia="Calibri"/>
        </w:rPr>
        <w:t xml:space="preserve">Prior to sharing personal data, ONR will seek from the requesting coroner confirmation of the purpose of the request . Such confirmation is required to ensure ONR can determine that all transfers of personal data are done so in compliance with data protection legislation. </w:t>
      </w:r>
    </w:p>
    <w:p w14:paraId="64436CC4" w14:textId="098AB63E" w:rsidR="001C272E" w:rsidRPr="00923AFF" w:rsidRDefault="001C272E" w:rsidP="00923AFF">
      <w:pPr>
        <w:pStyle w:val="Paragraph-1"/>
        <w:numPr>
          <w:ilvl w:val="0"/>
          <w:numId w:val="33"/>
        </w:numPr>
        <w:ind w:left="709" w:hanging="357"/>
        <w:rPr>
          <w:rFonts w:eastAsia="Calibri"/>
        </w:rPr>
      </w:pPr>
      <w:r w:rsidRPr="00923AFF">
        <w:rPr>
          <w:rFonts w:eastAsia="Calibri"/>
        </w:rPr>
        <w:t>ONR will contact coroners to agree appropriate technical measures for the secure transfer of personal data on a case-by-case basis, when required</w:t>
      </w:r>
      <w:r w:rsidR="000D582D">
        <w:rPr>
          <w:rFonts w:eastAsia="Calibri"/>
        </w:rPr>
        <w:t>. W</w:t>
      </w:r>
      <w:r w:rsidR="00ED7699" w:rsidRPr="00923AFF">
        <w:rPr>
          <w:rFonts w:eastAsia="Calibri"/>
        </w:rPr>
        <w:t xml:space="preserve">herever possible, </w:t>
      </w:r>
      <w:r w:rsidR="00923AFF" w:rsidRPr="00923AFF">
        <w:rPr>
          <w:rFonts w:eastAsia="Calibri"/>
        </w:rPr>
        <w:t xml:space="preserve">ONR will </w:t>
      </w:r>
      <w:r w:rsidR="00ED7699" w:rsidRPr="00923AFF">
        <w:rPr>
          <w:rFonts w:eastAsia="Calibri"/>
        </w:rPr>
        <w:t>follow the Microsoft 365 Guidance for UK Government  External Collaboration</w:t>
      </w:r>
      <w:r w:rsidR="00E66E6A">
        <w:rPr>
          <w:rStyle w:val="FootnoteReference"/>
          <w:rFonts w:eastAsia="Calibri"/>
        </w:rPr>
        <w:footnoteReference w:id="6"/>
      </w:r>
      <w:r w:rsidR="00ED7699" w:rsidRPr="00923AFF">
        <w:rPr>
          <w:rFonts w:eastAsia="Calibri"/>
        </w:rPr>
        <w:t xml:space="preserve"> as best practice</w:t>
      </w:r>
      <w:r w:rsidR="00923AFF" w:rsidRPr="00923AFF">
        <w:rPr>
          <w:rFonts w:eastAsia="Calibri"/>
        </w:rPr>
        <w:t>.</w:t>
      </w:r>
    </w:p>
    <w:p w14:paraId="1DC4FC05" w14:textId="3F357437" w:rsidR="00E36C5C" w:rsidRDefault="000500AE" w:rsidP="00F73811">
      <w:pPr>
        <w:pStyle w:val="Paragraph-1"/>
        <w:numPr>
          <w:ilvl w:val="0"/>
          <w:numId w:val="33"/>
        </w:numPr>
        <w:ind w:left="709" w:hanging="357"/>
        <w:rPr>
          <w:rFonts w:eastAsia="Calibri"/>
        </w:rPr>
      </w:pPr>
      <w:r w:rsidRPr="000500AE">
        <w:rPr>
          <w:rFonts w:eastAsia="Calibri"/>
        </w:rPr>
        <w:t xml:space="preserve">ONR will comply with UK GDPR Chapter III, Rights of the Data Subject. In some circumstances, ONR may engage with the coroner to determine if </w:t>
      </w:r>
      <w:r w:rsidRPr="000500AE">
        <w:rPr>
          <w:rFonts w:eastAsia="Calibri"/>
        </w:rPr>
        <w:lastRenderedPageBreak/>
        <w:t>complying with a request will prejudice the legal obligations of the coroner and whether an exemption can be applied</w:t>
      </w:r>
      <w:r w:rsidR="002F3ED8" w:rsidRPr="00C52649">
        <w:rPr>
          <w:rFonts w:eastAsia="Calibri"/>
          <w:vertAlign w:val="superscript"/>
        </w:rPr>
        <w:t>4</w:t>
      </w:r>
      <w:r w:rsidR="001C272E" w:rsidRPr="00C52649">
        <w:rPr>
          <w:rFonts w:eastAsia="Calibri"/>
        </w:rPr>
        <w:t xml:space="preserve">. </w:t>
      </w:r>
    </w:p>
    <w:p w14:paraId="35253F90" w14:textId="77777777" w:rsidR="00D35F1E" w:rsidRDefault="00D35F1E" w:rsidP="00D35F1E"/>
    <w:p w14:paraId="535C602E" w14:textId="0C1FA5B8" w:rsidR="00231772" w:rsidRDefault="00231772" w:rsidP="00312474">
      <w:pPr>
        <w:pStyle w:val="Heading-2"/>
      </w:pPr>
      <w:r>
        <w:t>Freedom of Information</w:t>
      </w:r>
    </w:p>
    <w:p w14:paraId="636107D2" w14:textId="223B9A1E" w:rsidR="004A78D3" w:rsidRPr="0093376F" w:rsidRDefault="005851DD" w:rsidP="005F5422">
      <w:pPr>
        <w:pStyle w:val="Paragraph-1"/>
        <w:ind w:left="357" w:hanging="357"/>
      </w:pPr>
      <w:r w:rsidRPr="0093376F">
        <w:rPr>
          <w:rStyle w:val="ui-provider"/>
        </w:rPr>
        <w:t xml:space="preserve">ONR </w:t>
      </w:r>
      <w:r w:rsidR="00FC57F7">
        <w:rPr>
          <w:rStyle w:val="ui-provider"/>
        </w:rPr>
        <w:t>is</w:t>
      </w:r>
      <w:r w:rsidRPr="0093376F">
        <w:rPr>
          <w:rStyle w:val="ui-provider"/>
        </w:rPr>
        <w:t xml:space="preserve"> subject to the Freedom of Information Act 2000 (FOIA).</w:t>
      </w:r>
      <w:r w:rsidRPr="0093376F">
        <w:t xml:space="preserve"> ONR arrangements ensure that resulting disclosures are lawful and the organisation is ultimately responsible for making the final decision on disclosure.</w:t>
      </w:r>
      <w:r w:rsidR="005F5422" w:rsidRPr="0093376F">
        <w:t xml:space="preserve"> </w:t>
      </w:r>
      <w:r w:rsidRPr="0093376F">
        <w:t>The default position is to disclose unless one or more absolute exemptions (as defined by the FOIA legislation) apply</w:t>
      </w:r>
      <w:r w:rsidR="004268D4" w:rsidRPr="0093376F">
        <w:t>.</w:t>
      </w:r>
      <w:r w:rsidRPr="0093376F">
        <w:t xml:space="preserve"> </w:t>
      </w:r>
    </w:p>
    <w:p w14:paraId="1D174833" w14:textId="5ED4703A" w:rsidR="00012014" w:rsidRDefault="004A55BD" w:rsidP="00012014">
      <w:pPr>
        <w:pStyle w:val="Paragraph-1"/>
        <w:ind w:left="357" w:hanging="357"/>
      </w:pPr>
      <w:r w:rsidRPr="005851DD">
        <w:t xml:space="preserve">Where ONR as the party receiving the request wishes to apply a qualified exemption to all or part of the request, ONR </w:t>
      </w:r>
      <w:r>
        <w:t>will document its decision-making process</w:t>
      </w:r>
      <w:r w:rsidRPr="005851DD">
        <w:t xml:space="preserve">. </w:t>
      </w:r>
    </w:p>
    <w:p w14:paraId="26DA1728" w14:textId="5F7EDD6E" w:rsidR="002E02F6" w:rsidRPr="00947810" w:rsidRDefault="002E02F6" w:rsidP="002E2577">
      <w:pPr>
        <w:pStyle w:val="Heading-1"/>
      </w:pPr>
      <w:r w:rsidRPr="00947810">
        <w:t xml:space="preserve">Review </w:t>
      </w:r>
    </w:p>
    <w:p w14:paraId="44D09E1E" w14:textId="7109AB42" w:rsidR="00365AC1" w:rsidRDefault="00DB2E90" w:rsidP="004D22B3">
      <w:pPr>
        <w:pStyle w:val="Paragraph-1"/>
        <w:numPr>
          <w:ilvl w:val="0"/>
          <w:numId w:val="0"/>
        </w:numPr>
        <w:rPr>
          <w:bCs/>
        </w:rPr>
        <w:sectPr w:rsidR="00365AC1" w:rsidSect="0008057D">
          <w:headerReference w:type="even" r:id="rId8"/>
          <w:headerReference w:type="default" r:id="rId9"/>
          <w:footerReference w:type="even" r:id="rId10"/>
          <w:footerReference w:type="default" r:id="rId11"/>
          <w:headerReference w:type="first" r:id="rId12"/>
          <w:footerReference w:type="first" r:id="rId13"/>
          <w:pgSz w:w="11906" w:h="16838"/>
          <w:pgMar w:top="567" w:right="1440" w:bottom="993" w:left="1440" w:header="708" w:footer="0" w:gutter="0"/>
          <w:cols w:space="708"/>
          <w:docGrid w:linePitch="360"/>
        </w:sectPr>
      </w:pPr>
      <w:r>
        <w:t>ONR will review this Briefing note no later than five years after it has been published. It may be amended earlier to reflect revised arrangements</w:t>
      </w:r>
      <w:r w:rsidR="005860D7">
        <w:t>.</w:t>
      </w:r>
    </w:p>
    <w:p w14:paraId="7737C801" w14:textId="218B5DE6" w:rsidR="00A5419E" w:rsidRDefault="004C2087" w:rsidP="004D22B3">
      <w:pPr>
        <w:pStyle w:val="Heading-1"/>
      </w:pPr>
      <w:r>
        <w:lastRenderedPageBreak/>
        <w:t>Appendix 1</w:t>
      </w:r>
    </w:p>
    <w:p w14:paraId="5F368C51" w14:textId="7668CE24" w:rsidR="004C2087" w:rsidRPr="00947810" w:rsidRDefault="00296CB0" w:rsidP="004D22B3">
      <w:pPr>
        <w:pStyle w:val="Heading-2"/>
      </w:pPr>
      <w:r>
        <w:t xml:space="preserve">Work-related Deaths - </w:t>
      </w:r>
      <w:r w:rsidR="0011295A">
        <w:t xml:space="preserve">The role of ONR </w:t>
      </w:r>
    </w:p>
    <w:p w14:paraId="4AB1E062" w14:textId="0CC17A81" w:rsidR="004C2087" w:rsidRDefault="004C2087" w:rsidP="004D22B3">
      <w:pPr>
        <w:pStyle w:val="Paragraph-1"/>
        <w:numPr>
          <w:ilvl w:val="0"/>
          <w:numId w:val="0"/>
        </w:numPr>
      </w:pPr>
      <w:r w:rsidRPr="00655428">
        <w:t>The Office for Nuclear Regulation is the UK’s independent nuclear regulator, for nuclear safety,</w:t>
      </w:r>
      <w:r w:rsidR="00624A3F">
        <w:t xml:space="preserve"> nuclear transport,</w:t>
      </w:r>
      <w:r w:rsidRPr="00655428">
        <w:t xml:space="preserve"> civil nuclear security, safeguards, health and safety </w:t>
      </w:r>
      <w:r>
        <w:t xml:space="preserve">at </w:t>
      </w:r>
      <w:r w:rsidRPr="00655428">
        <w:t xml:space="preserve">the 35 licensed nuclear sites in Great Britain (GB). </w:t>
      </w:r>
    </w:p>
    <w:p w14:paraId="24F9EB17" w14:textId="77777777" w:rsidR="004C2087" w:rsidRDefault="004C2087" w:rsidP="004D22B3">
      <w:pPr>
        <w:pStyle w:val="Paragraph-1"/>
        <w:numPr>
          <w:ilvl w:val="0"/>
          <w:numId w:val="0"/>
        </w:numPr>
      </w:pPr>
      <w:r w:rsidRPr="007F67BD">
        <w:t xml:space="preserve">ONR is also the enforcing authority for the Health and Safety at Work etc. Act 1974 (HSWA) </w:t>
      </w:r>
      <w:r w:rsidRPr="00655428">
        <w:t>on GB nuclear sites, new nuclear build sites, authorised defence sites, and in relation to certain applicable elements of the supply chain.</w:t>
      </w:r>
    </w:p>
    <w:p w14:paraId="22BCA2E1" w14:textId="416DE252" w:rsidR="004C2087" w:rsidRDefault="004C2087" w:rsidP="004D22B3">
      <w:pPr>
        <w:pStyle w:val="Paragraph-1"/>
        <w:numPr>
          <w:ilvl w:val="0"/>
          <w:numId w:val="0"/>
        </w:numPr>
      </w:pPr>
      <w:r w:rsidRPr="00655428">
        <w:t>The organisation’s purpose, method and principles of enforcement are set out within the ONR Enforcement Policy Statement (EPS)</w:t>
      </w:r>
      <w:r w:rsidR="00F7119E">
        <w:rPr>
          <w:rStyle w:val="FootnoteReference"/>
        </w:rPr>
        <w:footnoteReference w:id="7"/>
      </w:r>
      <w:r w:rsidRPr="00655428">
        <w:t>.</w:t>
      </w:r>
    </w:p>
    <w:p w14:paraId="39C15D31" w14:textId="77777777" w:rsidR="004C2087" w:rsidRPr="007F67BD" w:rsidRDefault="004C2087" w:rsidP="004D22B3">
      <w:pPr>
        <w:pStyle w:val="Paragraph-1"/>
        <w:numPr>
          <w:ilvl w:val="0"/>
          <w:numId w:val="0"/>
        </w:numPr>
        <w:ind w:left="357" w:hanging="357"/>
      </w:pPr>
      <w:r w:rsidRPr="007F67BD">
        <w:t>ONR  takes enforcement action to :</w:t>
      </w:r>
    </w:p>
    <w:p w14:paraId="4A20F745" w14:textId="77777777" w:rsidR="004C2087" w:rsidRPr="00655428" w:rsidRDefault="004C2087" w:rsidP="004C2087">
      <w:pPr>
        <w:pStyle w:val="Bulletlist1"/>
        <w:numPr>
          <w:ilvl w:val="0"/>
          <w:numId w:val="18"/>
        </w:numPr>
        <w:ind w:left="924" w:hanging="357"/>
        <w:rPr>
          <w:szCs w:val="24"/>
        </w:rPr>
      </w:pPr>
      <w:r w:rsidRPr="00655428">
        <w:rPr>
          <w:szCs w:val="24"/>
        </w:rPr>
        <w:t xml:space="preserve">Ensure that dutyholders take action to deal immediately with serious risks; </w:t>
      </w:r>
    </w:p>
    <w:p w14:paraId="6DBADD11" w14:textId="77777777" w:rsidR="004C2087" w:rsidRPr="00655428" w:rsidRDefault="004C2087" w:rsidP="004C2087">
      <w:pPr>
        <w:pStyle w:val="Bulletlist1"/>
        <w:numPr>
          <w:ilvl w:val="0"/>
          <w:numId w:val="18"/>
        </w:numPr>
        <w:ind w:left="924" w:hanging="357"/>
        <w:rPr>
          <w:szCs w:val="24"/>
        </w:rPr>
      </w:pPr>
      <w:r w:rsidRPr="00655428">
        <w:rPr>
          <w:szCs w:val="24"/>
        </w:rPr>
        <w:t xml:space="preserve">Promote, achieve and sustain compliance with the law;  </w:t>
      </w:r>
    </w:p>
    <w:p w14:paraId="4813A940" w14:textId="77777777" w:rsidR="00296CB0" w:rsidRPr="004D22B3" w:rsidRDefault="004C2087" w:rsidP="00296CB0">
      <w:pPr>
        <w:pStyle w:val="Bulletlist1"/>
        <w:numPr>
          <w:ilvl w:val="0"/>
          <w:numId w:val="18"/>
        </w:numPr>
        <w:ind w:left="924" w:hanging="357"/>
        <w:rPr>
          <w:szCs w:val="24"/>
        </w:rPr>
      </w:pPr>
      <w:r w:rsidRPr="00655428">
        <w:rPr>
          <w:szCs w:val="24"/>
        </w:rPr>
        <w:t>Ensure that dutyholders who breach regulatory requirements, and directors or managers who fail in their responsibilities, are held to account, which may include bringing alleged offenders before the courts in England and Wales</w:t>
      </w:r>
      <w:r w:rsidRPr="00655428">
        <w:rPr>
          <w:color w:val="000000" w:themeColor="text1"/>
          <w:szCs w:val="24"/>
        </w:rPr>
        <w:t>, or recommending prosecution to the Procurator Fiscal Service in Scotland.</w:t>
      </w:r>
    </w:p>
    <w:p w14:paraId="7596EF45" w14:textId="62F3E6BF" w:rsidR="00405586" w:rsidRDefault="004C2087" w:rsidP="004D22B3">
      <w:pPr>
        <w:pStyle w:val="Bulletlist1"/>
        <w:numPr>
          <w:ilvl w:val="0"/>
          <w:numId w:val="0"/>
        </w:numPr>
      </w:pPr>
      <w:r w:rsidRPr="00655428">
        <w:t xml:space="preserve">Where ONR is the HSWA enforcing authority in England and Wales, in the event of a work-related death, the police initially lead the investigation and are responsible for deciding whether to pursue a manslaughter or corporate manslaughter investigation.  ONR is responsible for investigating possible health and safety offences, as well as those in relation to nuclear safety and </w:t>
      </w:r>
      <w:r w:rsidR="008B782A">
        <w:t xml:space="preserve">nuclear </w:t>
      </w:r>
      <w:r w:rsidRPr="00655428">
        <w:t xml:space="preserve">transport. </w:t>
      </w:r>
    </w:p>
    <w:p w14:paraId="1E6DA049" w14:textId="7A9D1DB3" w:rsidR="00405586" w:rsidRDefault="004C2087" w:rsidP="004D22B3">
      <w:pPr>
        <w:pStyle w:val="Bulletlist1"/>
        <w:numPr>
          <w:ilvl w:val="0"/>
          <w:numId w:val="0"/>
        </w:numPr>
      </w:pPr>
      <w:r w:rsidRPr="00655428">
        <w:t>ONR is a signatory of the Work-related Deaths Protocol for Liaison (England and Wales)</w:t>
      </w:r>
      <w:r w:rsidR="0099258B" w:rsidRPr="0099258B">
        <w:rPr>
          <w:color w:val="FF0000"/>
          <w:szCs w:val="24"/>
        </w:rPr>
        <w:t xml:space="preserve"> </w:t>
      </w:r>
      <w:r w:rsidR="00EC036D" w:rsidRPr="00953568">
        <w:rPr>
          <w:rStyle w:val="FootnoteReference"/>
          <w:szCs w:val="24"/>
        </w:rPr>
        <w:footnoteReference w:id="8"/>
      </w:r>
      <w:r w:rsidRPr="00953568">
        <w:t xml:space="preserve">. </w:t>
      </w:r>
      <w:r w:rsidRPr="00655428">
        <w:t>A high-level document which in conjunction with the Work-related Deaths Protocol - Practical Guide</w:t>
      </w:r>
      <w:r w:rsidR="00953568">
        <w:rPr>
          <w:rStyle w:val="FootnoteReference"/>
        </w:rPr>
        <w:footnoteReference w:id="9"/>
      </w:r>
      <w:r w:rsidRPr="004D22B3">
        <w:rPr>
          <w:color w:val="FF0000"/>
        </w:rPr>
        <w:t xml:space="preserve"> </w:t>
      </w:r>
      <w:r w:rsidRPr="00655428">
        <w:t>sets out a straightforward step-by-step approach for the effective joint investigation of work-related deaths.</w:t>
      </w:r>
    </w:p>
    <w:p w14:paraId="7B72AC0A" w14:textId="66F8C94A" w:rsidR="004C2087" w:rsidRPr="00405586" w:rsidRDefault="004C2087" w:rsidP="004D22B3">
      <w:pPr>
        <w:pStyle w:val="Bulletlist1"/>
        <w:numPr>
          <w:ilvl w:val="0"/>
          <w:numId w:val="0"/>
        </w:numPr>
        <w:rPr>
          <w:szCs w:val="24"/>
        </w:rPr>
      </w:pPr>
      <w:r w:rsidRPr="00BE7B34">
        <w:t xml:space="preserve">In Scotland, responsibility for investigation rests with the Procurator Fiscal who will instruct and direct the police in a death investigation. The police will lead the investigation of any potential offences related to culpable homicide or corporate </w:t>
      </w:r>
      <w:r w:rsidRPr="00BE7B34">
        <w:lastRenderedPageBreak/>
        <w:t>homicide. ONR will investigate any possible health and safety offences, coordinating and sharing information in alignment with the Work-related Deaths Protocol for Liaison (Scotland)</w:t>
      </w:r>
      <w:r w:rsidRPr="00BE7B34">
        <w:rPr>
          <w:rStyle w:val="FootnoteReference"/>
        </w:rPr>
        <w:t xml:space="preserve"> </w:t>
      </w:r>
      <w:r w:rsidR="00F52027">
        <w:rPr>
          <w:rStyle w:val="FootnoteReference"/>
        </w:rPr>
        <w:footnoteReference w:id="10"/>
      </w:r>
      <w:r w:rsidRPr="00BE7B34">
        <w:t>.</w:t>
      </w:r>
    </w:p>
    <w:p w14:paraId="793EFB4F" w14:textId="306A3C93" w:rsidR="004C2087" w:rsidRDefault="004C2087" w:rsidP="004D22B3">
      <w:pPr>
        <w:pStyle w:val="Paragraph-1"/>
        <w:numPr>
          <w:ilvl w:val="0"/>
          <w:numId w:val="0"/>
        </w:numPr>
      </w:pPr>
      <w:r w:rsidRPr="00967210">
        <w:t>ONR is an independent regulator of HSWA, alongside other enforcing authori</w:t>
      </w:r>
      <w:r>
        <w:t>ti</w:t>
      </w:r>
      <w:r w:rsidRPr="00967210">
        <w:t>es,</w:t>
      </w:r>
      <w:r>
        <w:t xml:space="preserve"> </w:t>
      </w:r>
      <w:r w:rsidRPr="00967210">
        <w:t xml:space="preserve"> </w:t>
      </w:r>
      <w:r>
        <w:t xml:space="preserve">including </w:t>
      </w:r>
      <w:r w:rsidRPr="00967210">
        <w:t>the Health and Safety Executive</w:t>
      </w:r>
      <w:r>
        <w:t xml:space="preserve">, </w:t>
      </w:r>
      <w:r w:rsidRPr="00967210">
        <w:t>the Office for Rail and Road (ORR)</w:t>
      </w:r>
      <w:r>
        <w:t xml:space="preserve"> and local authorities</w:t>
      </w:r>
      <w:r w:rsidRPr="00967210">
        <w:t>.  ONR arrangements for cooperation and collaboration between regulators are captured within  memorand</w:t>
      </w:r>
      <w:r>
        <w:t>a</w:t>
      </w:r>
      <w:r w:rsidRPr="00967210">
        <w:t xml:space="preserve"> of understanding, published on the ONR website</w:t>
      </w:r>
      <w:r w:rsidR="004D3D55">
        <w:rPr>
          <w:rStyle w:val="FootnoteReference"/>
        </w:rPr>
        <w:footnoteReference w:id="11"/>
      </w:r>
      <w:r w:rsidRPr="00967210">
        <w:t>.</w:t>
      </w:r>
    </w:p>
    <w:p w14:paraId="56509A7A" w14:textId="77777777" w:rsidR="004C2087" w:rsidRPr="00E830D2" w:rsidRDefault="004C2087" w:rsidP="004D22B3"/>
    <w:sectPr w:rsidR="004C2087" w:rsidRPr="00E830D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ED93" w14:textId="77777777" w:rsidR="008D159F" w:rsidRDefault="008D159F" w:rsidP="00E9707C">
      <w:r>
        <w:separator/>
      </w:r>
    </w:p>
  </w:endnote>
  <w:endnote w:type="continuationSeparator" w:id="0">
    <w:p w14:paraId="3E8A72F7" w14:textId="77777777" w:rsidR="008D159F" w:rsidRDefault="008D159F" w:rsidP="00E9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A73A" w14:textId="77777777" w:rsidR="000660F8" w:rsidRDefault="00066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017"/>
      <w:gridCol w:w="3009"/>
    </w:tblGrid>
    <w:tr w:rsidR="00947810" w:rsidRPr="00C85BCC" w14:paraId="50463797" w14:textId="77777777" w:rsidTr="00D728E0">
      <w:trPr>
        <w:trHeight w:val="709"/>
      </w:trPr>
      <w:tc>
        <w:tcPr>
          <w:tcW w:w="3333" w:type="pct"/>
        </w:tcPr>
        <w:p w14:paraId="2B211CEB" w14:textId="7C331092" w:rsidR="00947810" w:rsidRPr="0008057D" w:rsidRDefault="0008057D" w:rsidP="00947810">
          <w:pPr>
            <w:tabs>
              <w:tab w:val="center" w:pos="4153"/>
              <w:tab w:val="right" w:pos="8306"/>
            </w:tabs>
            <w:spacing w:before="60" w:after="60" w:line="264" w:lineRule="auto"/>
            <w:rPr>
              <w:sz w:val="18"/>
              <w:szCs w:val="18"/>
            </w:rPr>
          </w:pPr>
          <w:r w:rsidRPr="0008057D">
            <w:rPr>
              <w:color w:val="006D68"/>
              <w:sz w:val="20"/>
              <w:szCs w:val="20"/>
            </w:rPr>
            <w:t>ONR-DOC-TEMP-223 (Issue 2)</w:t>
          </w:r>
          <w:r w:rsidR="008A7DD4">
            <w:rPr>
              <w:color w:val="006D68"/>
              <w:sz w:val="20"/>
              <w:szCs w:val="20"/>
            </w:rPr>
            <w:t xml:space="preserve"> </w:t>
          </w:r>
        </w:p>
      </w:tc>
      <w:tc>
        <w:tcPr>
          <w:tcW w:w="1667" w:type="pct"/>
        </w:tcPr>
        <w:p w14:paraId="305F3A24" w14:textId="77777777" w:rsidR="00947810" w:rsidRPr="00C85BCC" w:rsidRDefault="00947810" w:rsidP="00947810">
          <w:pPr>
            <w:tabs>
              <w:tab w:val="center" w:pos="4153"/>
              <w:tab w:val="right" w:pos="8306"/>
            </w:tabs>
            <w:spacing w:before="60" w:after="60" w:line="264" w:lineRule="auto"/>
            <w:jc w:val="right"/>
            <w:rPr>
              <w:color w:val="006D68"/>
              <w:sz w:val="24"/>
            </w:rPr>
          </w:pPr>
          <w:r w:rsidRPr="00C85BCC">
            <w:rPr>
              <w:color w:val="006D68"/>
              <w:sz w:val="24"/>
            </w:rPr>
            <w:t xml:space="preserve">Page </w:t>
          </w:r>
          <w:r w:rsidRPr="00C85BCC">
            <w:rPr>
              <w:b/>
              <w:color w:val="006D68"/>
              <w:sz w:val="24"/>
            </w:rPr>
            <w:fldChar w:fldCharType="begin"/>
          </w:r>
          <w:r w:rsidRPr="00C85BCC">
            <w:rPr>
              <w:b/>
              <w:color w:val="006D68"/>
              <w:sz w:val="24"/>
            </w:rPr>
            <w:instrText xml:space="preserve"> PAGE  \* Arabic  \* MERGEFORMAT </w:instrText>
          </w:r>
          <w:r w:rsidRPr="00C85BCC">
            <w:rPr>
              <w:b/>
              <w:color w:val="006D68"/>
              <w:sz w:val="24"/>
            </w:rPr>
            <w:fldChar w:fldCharType="separate"/>
          </w:r>
          <w:r w:rsidRPr="00C85BCC">
            <w:rPr>
              <w:b/>
              <w:color w:val="006D68"/>
              <w:sz w:val="24"/>
            </w:rPr>
            <w:t>1</w:t>
          </w:r>
          <w:r w:rsidRPr="00C85BCC">
            <w:rPr>
              <w:b/>
              <w:color w:val="006D68"/>
              <w:sz w:val="24"/>
            </w:rPr>
            <w:fldChar w:fldCharType="end"/>
          </w:r>
          <w:r w:rsidRPr="00C85BCC">
            <w:rPr>
              <w:color w:val="006D68"/>
              <w:sz w:val="24"/>
            </w:rPr>
            <w:t xml:space="preserve"> of </w:t>
          </w:r>
          <w:r w:rsidRPr="00C85BCC">
            <w:rPr>
              <w:b/>
              <w:color w:val="006D68"/>
              <w:sz w:val="24"/>
            </w:rPr>
            <w:fldChar w:fldCharType="begin"/>
          </w:r>
          <w:r w:rsidRPr="00C85BCC">
            <w:rPr>
              <w:b/>
              <w:color w:val="006D68"/>
              <w:sz w:val="24"/>
            </w:rPr>
            <w:instrText xml:space="preserve"> NUMPAGES  \* Arabic  \* MERGEFORMAT </w:instrText>
          </w:r>
          <w:r w:rsidRPr="00C85BCC">
            <w:rPr>
              <w:b/>
              <w:color w:val="006D68"/>
              <w:sz w:val="24"/>
            </w:rPr>
            <w:fldChar w:fldCharType="separate"/>
          </w:r>
          <w:r w:rsidRPr="00C85BCC">
            <w:rPr>
              <w:b/>
              <w:color w:val="006D68"/>
              <w:sz w:val="24"/>
            </w:rPr>
            <w:t>1</w:t>
          </w:r>
          <w:r w:rsidRPr="00C85BCC">
            <w:rPr>
              <w:b/>
              <w:color w:val="006D68"/>
              <w:sz w:val="24"/>
            </w:rPr>
            <w:fldChar w:fldCharType="end"/>
          </w:r>
        </w:p>
      </w:tc>
    </w:tr>
  </w:tbl>
  <w:p w14:paraId="0DE460ED" w14:textId="77777777" w:rsidR="00E9707C" w:rsidRDefault="00E97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017"/>
      <w:gridCol w:w="3009"/>
    </w:tblGrid>
    <w:tr w:rsidR="00C85BCC" w:rsidRPr="00C85BCC" w14:paraId="4882DE03" w14:textId="77777777" w:rsidTr="00EC1315">
      <w:tc>
        <w:tcPr>
          <w:tcW w:w="3333" w:type="pct"/>
        </w:tcPr>
        <w:p w14:paraId="23691607" w14:textId="4D8EF41E" w:rsidR="00C85BCC" w:rsidRPr="00C85BCC" w:rsidRDefault="00C85BCC" w:rsidP="00C85BCC">
          <w:pPr>
            <w:tabs>
              <w:tab w:val="center" w:pos="4153"/>
              <w:tab w:val="right" w:pos="8306"/>
            </w:tabs>
            <w:spacing w:before="60" w:after="60" w:line="264" w:lineRule="auto"/>
            <w:rPr>
              <w:b/>
              <w:sz w:val="18"/>
              <w:szCs w:val="18"/>
            </w:rPr>
          </w:pPr>
          <w:bookmarkStart w:id="2" w:name="_Hlk79651634"/>
          <w:r w:rsidRPr="00C85BCC">
            <w:rPr>
              <w:color w:val="006D68"/>
              <w:sz w:val="20"/>
              <w:szCs w:val="20"/>
            </w:rPr>
            <w:t>ONR-DOC-TEMP-2</w:t>
          </w:r>
          <w:r w:rsidR="00947810">
            <w:rPr>
              <w:color w:val="006D68"/>
              <w:sz w:val="20"/>
              <w:szCs w:val="20"/>
            </w:rPr>
            <w:t>23</w:t>
          </w:r>
          <w:r w:rsidRPr="00C85BCC">
            <w:rPr>
              <w:color w:val="006D68"/>
              <w:sz w:val="20"/>
              <w:szCs w:val="20"/>
            </w:rPr>
            <w:t xml:space="preserve"> (Issue </w:t>
          </w:r>
          <w:r w:rsidR="007F487B">
            <w:rPr>
              <w:color w:val="006D68"/>
              <w:sz w:val="20"/>
              <w:szCs w:val="20"/>
            </w:rPr>
            <w:t>2</w:t>
          </w:r>
          <w:r w:rsidRPr="00C85BCC">
            <w:rPr>
              <w:color w:val="006D68"/>
              <w:sz w:val="20"/>
              <w:szCs w:val="20"/>
            </w:rPr>
            <w:t>)</w:t>
          </w:r>
        </w:p>
      </w:tc>
      <w:tc>
        <w:tcPr>
          <w:tcW w:w="1667" w:type="pct"/>
        </w:tcPr>
        <w:p w14:paraId="117ECCC8" w14:textId="77777777" w:rsidR="00C85BCC" w:rsidRPr="00C85BCC" w:rsidRDefault="00C85BCC" w:rsidP="00C85BCC">
          <w:pPr>
            <w:tabs>
              <w:tab w:val="center" w:pos="4153"/>
              <w:tab w:val="right" w:pos="8306"/>
            </w:tabs>
            <w:spacing w:before="60" w:after="60" w:line="264" w:lineRule="auto"/>
            <w:jc w:val="right"/>
            <w:rPr>
              <w:color w:val="006D68"/>
              <w:sz w:val="24"/>
            </w:rPr>
          </w:pPr>
          <w:r w:rsidRPr="00C85BCC">
            <w:rPr>
              <w:color w:val="006D68"/>
              <w:sz w:val="24"/>
            </w:rPr>
            <w:t xml:space="preserve">Page </w:t>
          </w:r>
          <w:r w:rsidRPr="00C85BCC">
            <w:rPr>
              <w:b/>
              <w:color w:val="006D68"/>
              <w:sz w:val="24"/>
            </w:rPr>
            <w:fldChar w:fldCharType="begin"/>
          </w:r>
          <w:r w:rsidRPr="00C85BCC">
            <w:rPr>
              <w:b/>
              <w:color w:val="006D68"/>
              <w:sz w:val="24"/>
            </w:rPr>
            <w:instrText xml:space="preserve"> PAGE  \* Arabic  \* MERGEFORMAT </w:instrText>
          </w:r>
          <w:r w:rsidRPr="00C85BCC">
            <w:rPr>
              <w:b/>
              <w:color w:val="006D68"/>
              <w:sz w:val="24"/>
            </w:rPr>
            <w:fldChar w:fldCharType="separate"/>
          </w:r>
          <w:r w:rsidRPr="00C85BCC">
            <w:rPr>
              <w:b/>
              <w:color w:val="006D68"/>
              <w:sz w:val="24"/>
            </w:rPr>
            <w:t>1</w:t>
          </w:r>
          <w:r w:rsidRPr="00C85BCC">
            <w:rPr>
              <w:b/>
              <w:color w:val="006D68"/>
              <w:sz w:val="24"/>
            </w:rPr>
            <w:fldChar w:fldCharType="end"/>
          </w:r>
          <w:r w:rsidRPr="00C85BCC">
            <w:rPr>
              <w:color w:val="006D68"/>
              <w:sz w:val="24"/>
            </w:rPr>
            <w:t xml:space="preserve"> of </w:t>
          </w:r>
          <w:r w:rsidRPr="00C85BCC">
            <w:rPr>
              <w:b/>
              <w:color w:val="006D68"/>
              <w:sz w:val="24"/>
            </w:rPr>
            <w:fldChar w:fldCharType="begin"/>
          </w:r>
          <w:r w:rsidRPr="00C85BCC">
            <w:rPr>
              <w:b/>
              <w:color w:val="006D68"/>
              <w:sz w:val="24"/>
            </w:rPr>
            <w:instrText xml:space="preserve"> NUMPAGES  \* Arabic  \* MERGEFORMAT </w:instrText>
          </w:r>
          <w:r w:rsidRPr="00C85BCC">
            <w:rPr>
              <w:b/>
              <w:color w:val="006D68"/>
              <w:sz w:val="24"/>
            </w:rPr>
            <w:fldChar w:fldCharType="separate"/>
          </w:r>
          <w:r w:rsidRPr="00C85BCC">
            <w:rPr>
              <w:b/>
              <w:color w:val="006D68"/>
              <w:sz w:val="24"/>
            </w:rPr>
            <w:t>1</w:t>
          </w:r>
          <w:r w:rsidRPr="00C85BCC">
            <w:rPr>
              <w:b/>
              <w:color w:val="006D68"/>
              <w:sz w:val="24"/>
            </w:rPr>
            <w:fldChar w:fldCharType="end"/>
          </w:r>
        </w:p>
      </w:tc>
    </w:tr>
  </w:tbl>
  <w:bookmarkEnd w:id="2"/>
  <w:p w14:paraId="689348A8" w14:textId="20BD3A2D" w:rsidR="00E9707C" w:rsidRDefault="008635CE">
    <w:pPr>
      <w:pStyle w:val="Footer"/>
      <w:rPr>
        <w:color w:val="006D68"/>
        <w:sz w:val="20"/>
        <w:szCs w:val="20"/>
      </w:rPr>
    </w:pPr>
    <w:r>
      <w:rPr>
        <w:color w:val="006D68"/>
        <w:sz w:val="20"/>
        <w:szCs w:val="20"/>
      </w:rPr>
      <w:t>Updated January 2022</w:t>
    </w:r>
  </w:p>
  <w:p w14:paraId="166D93B6" w14:textId="77777777" w:rsidR="002B0641" w:rsidRDefault="002B06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358324"/>
      <w:docPartObj>
        <w:docPartGallery w:val="Page Numbers (Bottom of Page)"/>
        <w:docPartUnique/>
      </w:docPartObj>
    </w:sdtPr>
    <w:sdtEndPr>
      <w:rPr>
        <w:noProof/>
      </w:rPr>
    </w:sdtEndPr>
    <w:sdtContent>
      <w:p w14:paraId="65C96A8E" w14:textId="77777777" w:rsidR="00157AB6" w:rsidRDefault="00FC62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9BD0C" w14:textId="77777777" w:rsidR="00157AB6" w:rsidRDefault="00157AB6" w:rsidP="00974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F357" w14:textId="77777777" w:rsidR="008D159F" w:rsidRDefault="008D159F" w:rsidP="00E9707C">
      <w:r>
        <w:separator/>
      </w:r>
    </w:p>
  </w:footnote>
  <w:footnote w:type="continuationSeparator" w:id="0">
    <w:p w14:paraId="3D4974BA" w14:textId="77777777" w:rsidR="008D159F" w:rsidRDefault="008D159F" w:rsidP="00E9707C">
      <w:r>
        <w:continuationSeparator/>
      </w:r>
    </w:p>
  </w:footnote>
  <w:footnote w:id="1">
    <w:p w14:paraId="64B1889D" w14:textId="77777777" w:rsidR="00EA2396" w:rsidRPr="00810F70" w:rsidRDefault="000D1217" w:rsidP="00EA2396">
      <w:pPr>
        <w:rPr>
          <w:rStyle w:val="Hyperlink"/>
          <w:sz w:val="20"/>
          <w:szCs w:val="20"/>
        </w:rPr>
      </w:pPr>
      <w:r w:rsidRPr="00810F70">
        <w:rPr>
          <w:rStyle w:val="FootnoteReference"/>
          <w:sz w:val="20"/>
          <w:szCs w:val="20"/>
        </w:rPr>
        <w:footnoteRef/>
      </w:r>
      <w:r w:rsidR="00EA2396" w:rsidRPr="00810F70">
        <w:rPr>
          <w:sz w:val="20"/>
          <w:szCs w:val="20"/>
        </w:rPr>
        <w:t xml:space="preserve"> Chief Coroner’s Guidance No. 33 Suspension, Adjournment and Resumption of Investigations and Inquests - </w:t>
      </w:r>
      <w:hyperlink r:id="rId1" w:history="1">
        <w:r w:rsidR="00EA2396" w:rsidRPr="00810F70">
          <w:rPr>
            <w:rStyle w:val="Hyperlink"/>
            <w:sz w:val="20"/>
            <w:szCs w:val="20"/>
          </w:rPr>
          <w:t>Chief Coroner's Guidance No. 33 Suspension, Adjournment and Resumption of Investigations and Inquests[1] - Courts and Tribunals Judiciary</w:t>
        </w:r>
      </w:hyperlink>
    </w:p>
    <w:p w14:paraId="7ED885C8" w14:textId="09D2D6AA" w:rsidR="000D1217" w:rsidRDefault="000D1217">
      <w:pPr>
        <w:pStyle w:val="FootnoteText"/>
      </w:pPr>
    </w:p>
  </w:footnote>
  <w:footnote w:id="2">
    <w:p w14:paraId="469707FB" w14:textId="77777777" w:rsidR="008A1C8B" w:rsidRPr="00810F70" w:rsidRDefault="00EA2396" w:rsidP="008A1C8B">
      <w:pPr>
        <w:pStyle w:val="FootnoteText"/>
        <w:rPr>
          <w:u w:val="single"/>
        </w:rPr>
      </w:pPr>
      <w:r w:rsidRPr="00810F70">
        <w:rPr>
          <w:rStyle w:val="FootnoteReference"/>
        </w:rPr>
        <w:footnoteRef/>
      </w:r>
      <w:r w:rsidRPr="00810F70">
        <w:t xml:space="preserve"> </w:t>
      </w:r>
      <w:r w:rsidR="008A1C8B" w:rsidRPr="00810F70">
        <w:t xml:space="preserve">Worcestershire County Council &amp; Anor v HM Coroner for the County of Worcestershire [2013] EWHC 1711(QB) - </w:t>
      </w:r>
      <w:hyperlink r:id="rId2" w:history="1">
        <w:r w:rsidR="008A1C8B" w:rsidRPr="00810F70">
          <w:rPr>
            <w:rStyle w:val="Hyperlink"/>
          </w:rPr>
          <w:t>https://www.judiciary.uk/wp-content/uploads/2015/12/worcestershire-county-council-v-hm-coroner-for-the-county-of-worcestershire-2013-ewhc-1711-qb.pdf</w:t>
        </w:r>
      </w:hyperlink>
    </w:p>
    <w:p w14:paraId="2B19F117" w14:textId="77777777" w:rsidR="008A1C8B" w:rsidRPr="00810F70" w:rsidRDefault="008A1C8B" w:rsidP="008A1C8B">
      <w:pPr>
        <w:pStyle w:val="FootnoteText"/>
      </w:pPr>
    </w:p>
    <w:p w14:paraId="1D42CF15" w14:textId="77777777" w:rsidR="008A1C8B" w:rsidRPr="00810F70" w:rsidRDefault="008A1C8B" w:rsidP="008A1C8B">
      <w:pPr>
        <w:pStyle w:val="FootnoteText"/>
      </w:pPr>
      <w:hyperlink r:id="rId3" w:history="1">
        <w:r w:rsidRPr="00810F70">
          <w:rPr>
            <w:rStyle w:val="Hyperlink"/>
          </w:rPr>
          <w:t>Microsoft Word - LAW SHEET No.3 THE WORCESTERSHIRE CASE.doc (judiciary.uk)</w:t>
        </w:r>
      </w:hyperlink>
    </w:p>
    <w:p w14:paraId="194A6C59" w14:textId="270F164C" w:rsidR="00EA2396" w:rsidRDefault="00EA2396">
      <w:pPr>
        <w:pStyle w:val="FootnoteText"/>
      </w:pPr>
    </w:p>
  </w:footnote>
  <w:footnote w:id="3">
    <w:p w14:paraId="72B4550A" w14:textId="77777777" w:rsidR="00EB2061" w:rsidRDefault="00EB2061" w:rsidP="00810F70">
      <w:pPr>
        <w:pStyle w:val="ListParagraph"/>
        <w:spacing w:after="60"/>
        <w:ind w:left="0"/>
        <w:rPr>
          <w:rFonts w:ascii="Arial" w:hAnsi="Arial" w:cs="Arial"/>
          <w:sz w:val="20"/>
          <w:szCs w:val="20"/>
        </w:rPr>
      </w:pPr>
      <w:r w:rsidRPr="00810F70">
        <w:rPr>
          <w:rStyle w:val="FootnoteReference"/>
          <w:rFonts w:ascii="Arial" w:hAnsi="Arial" w:cs="Arial"/>
          <w:sz w:val="20"/>
          <w:szCs w:val="20"/>
        </w:rPr>
        <w:footnoteRef/>
      </w:r>
      <w:r w:rsidRPr="00810F70">
        <w:rPr>
          <w:rFonts w:ascii="Arial" w:hAnsi="Arial" w:cs="Arial"/>
          <w:sz w:val="20"/>
          <w:szCs w:val="20"/>
        </w:rPr>
        <w:t xml:space="preserve"> The Coroners Allowances, Fees and Expenses Regulations 2013 - </w:t>
      </w:r>
      <w:hyperlink r:id="rId4" w:history="1">
        <w:r w:rsidRPr="00810F70">
          <w:rPr>
            <w:rStyle w:val="Hyperlink"/>
            <w:rFonts w:ascii="Arial" w:hAnsi="Arial" w:cs="Arial"/>
            <w:sz w:val="20"/>
            <w:szCs w:val="20"/>
          </w:rPr>
          <w:t>https://www.legislation.gov.uk/uksi/2013/1615/contents/made</w:t>
        </w:r>
      </w:hyperlink>
    </w:p>
    <w:p w14:paraId="2EAAEC2C" w14:textId="77777777" w:rsidR="00810F70" w:rsidRPr="00810F70" w:rsidRDefault="00810F70" w:rsidP="00810F70">
      <w:pPr>
        <w:pStyle w:val="ListParagraph"/>
        <w:spacing w:after="60"/>
        <w:ind w:left="0"/>
        <w:rPr>
          <w:rFonts w:ascii="Arial" w:hAnsi="Arial" w:cs="Arial"/>
          <w:sz w:val="20"/>
          <w:szCs w:val="20"/>
        </w:rPr>
      </w:pPr>
    </w:p>
  </w:footnote>
  <w:footnote w:id="4">
    <w:p w14:paraId="5AED17AC" w14:textId="77777777" w:rsidR="0086058F" w:rsidRDefault="0086058F" w:rsidP="0086058F">
      <w:pPr>
        <w:pStyle w:val="FootnoteText"/>
        <w:spacing w:after="60"/>
      </w:pPr>
      <w:r w:rsidRPr="00810F70">
        <w:rPr>
          <w:rStyle w:val="FootnoteReference"/>
        </w:rPr>
        <w:footnoteRef/>
      </w:r>
      <w:r w:rsidRPr="00810F70">
        <w:t xml:space="preserve"> </w:t>
      </w:r>
      <w:hyperlink r:id="rId5" w:history="1">
        <w:r w:rsidRPr="00810F70">
          <w:rPr>
            <w:rStyle w:val="Hyperlink"/>
          </w:rPr>
          <w:t>UK General Data Protection Regulation</w:t>
        </w:r>
      </w:hyperlink>
    </w:p>
    <w:p w14:paraId="54B21912" w14:textId="77777777" w:rsidR="0086058F" w:rsidRPr="00810F70" w:rsidRDefault="0086058F" w:rsidP="0086058F">
      <w:pPr>
        <w:pStyle w:val="FootnoteText"/>
        <w:spacing w:after="60"/>
      </w:pPr>
    </w:p>
  </w:footnote>
  <w:footnote w:id="5">
    <w:p w14:paraId="0965B83E" w14:textId="3444B8E1" w:rsidR="00A84044" w:rsidRDefault="00A84044" w:rsidP="00810F70">
      <w:pPr>
        <w:pStyle w:val="FootnoteText"/>
        <w:spacing w:after="60"/>
      </w:pPr>
      <w:r w:rsidRPr="00810F70">
        <w:rPr>
          <w:rStyle w:val="FootnoteReference"/>
        </w:rPr>
        <w:footnoteRef/>
      </w:r>
      <w:r w:rsidRPr="00810F70">
        <w:t xml:space="preserve"> </w:t>
      </w:r>
      <w:hyperlink r:id="rId6" w:history="1">
        <w:r w:rsidR="004B0099" w:rsidRPr="00810F70">
          <w:rPr>
            <w:rStyle w:val="Hyperlink"/>
          </w:rPr>
          <w:t>Data Protection Act 2018</w:t>
        </w:r>
      </w:hyperlink>
    </w:p>
    <w:p w14:paraId="419ADB28" w14:textId="77777777" w:rsidR="00810F70" w:rsidRPr="00810F70" w:rsidRDefault="00810F70" w:rsidP="00810F70">
      <w:pPr>
        <w:pStyle w:val="FootnoteText"/>
        <w:spacing w:after="60"/>
      </w:pPr>
    </w:p>
  </w:footnote>
  <w:footnote w:id="6">
    <w:p w14:paraId="617BFC90" w14:textId="40C7D289" w:rsidR="00E66E6A" w:rsidRDefault="00E66E6A" w:rsidP="00810F70">
      <w:pPr>
        <w:pStyle w:val="FootnoteText"/>
        <w:spacing w:after="60"/>
      </w:pPr>
      <w:r w:rsidRPr="00810F70">
        <w:rPr>
          <w:rStyle w:val="FootnoteReference"/>
        </w:rPr>
        <w:footnoteRef/>
      </w:r>
      <w:r w:rsidRPr="00810F70">
        <w:t xml:space="preserve"> </w:t>
      </w:r>
      <w:hyperlink r:id="rId7" w:history="1">
        <w:r w:rsidR="000D582D" w:rsidRPr="00810F70">
          <w:rPr>
            <w:rStyle w:val="Hyperlink"/>
          </w:rPr>
          <w:t>Microsoft 365 Guidance for UK Government - External Collaboration</w:t>
        </w:r>
      </w:hyperlink>
    </w:p>
  </w:footnote>
  <w:footnote w:id="7">
    <w:p w14:paraId="1129175F" w14:textId="77777777" w:rsidR="00EC036D" w:rsidRPr="00810F70" w:rsidRDefault="00F7119E" w:rsidP="00EC036D">
      <w:pPr>
        <w:pStyle w:val="FootnoteText"/>
      </w:pPr>
      <w:r w:rsidRPr="00810F70">
        <w:rPr>
          <w:rStyle w:val="FootnoteReference"/>
        </w:rPr>
        <w:footnoteRef/>
      </w:r>
      <w:r w:rsidRPr="00810F70">
        <w:t xml:space="preserve"> </w:t>
      </w:r>
      <w:r w:rsidR="00EC036D" w:rsidRPr="00810F70">
        <w:t xml:space="preserve">ONR Enforcement Policy Statement -  </w:t>
      </w:r>
      <w:hyperlink r:id="rId8" w:history="1">
        <w:r w:rsidR="00EC036D" w:rsidRPr="00810F70">
          <w:rPr>
            <w:rStyle w:val="Hyperlink"/>
          </w:rPr>
          <w:t>Enforcement | Office for Nuclear Regulation (onr.org.uk)</w:t>
        </w:r>
      </w:hyperlink>
    </w:p>
    <w:p w14:paraId="2F904C04" w14:textId="70724823" w:rsidR="00F7119E" w:rsidRPr="00810F70" w:rsidRDefault="00F7119E">
      <w:pPr>
        <w:pStyle w:val="FootnoteText"/>
      </w:pPr>
    </w:p>
  </w:footnote>
  <w:footnote w:id="8">
    <w:p w14:paraId="2A23E251" w14:textId="77777777" w:rsidR="00953568" w:rsidRPr="00810F70" w:rsidRDefault="00EC036D" w:rsidP="00953568">
      <w:pPr>
        <w:pStyle w:val="FootnoteText"/>
      </w:pPr>
      <w:r w:rsidRPr="00810F70">
        <w:rPr>
          <w:rStyle w:val="FootnoteReference"/>
        </w:rPr>
        <w:footnoteRef/>
      </w:r>
      <w:r w:rsidRPr="00810F70">
        <w:t xml:space="preserve"> </w:t>
      </w:r>
      <w:r w:rsidR="00953568" w:rsidRPr="00810F70">
        <w:t xml:space="preserve">Work-related Deaths Protocol - </w:t>
      </w:r>
      <w:hyperlink r:id="rId9" w:history="1">
        <w:r w:rsidR="00953568" w:rsidRPr="00810F70">
          <w:rPr>
            <w:rStyle w:val="Hyperlink"/>
          </w:rPr>
          <w:t>Work-related Deaths: A protocol for liaison (England and Wales) - WRDP1 (hse.gov.uk)</w:t>
        </w:r>
      </w:hyperlink>
    </w:p>
    <w:p w14:paraId="60191DFB" w14:textId="3DADF6F9" w:rsidR="00EC036D" w:rsidRPr="00810F70" w:rsidRDefault="00EC036D">
      <w:pPr>
        <w:pStyle w:val="FootnoteText"/>
      </w:pPr>
    </w:p>
  </w:footnote>
  <w:footnote w:id="9">
    <w:p w14:paraId="22E291E9" w14:textId="77777777" w:rsidR="00F52027" w:rsidRPr="00810F70" w:rsidRDefault="00953568" w:rsidP="00F52027">
      <w:pPr>
        <w:rPr>
          <w:rStyle w:val="Hyperlink"/>
          <w:sz w:val="20"/>
          <w:szCs w:val="20"/>
        </w:rPr>
      </w:pPr>
      <w:r w:rsidRPr="00810F70">
        <w:rPr>
          <w:rStyle w:val="FootnoteReference"/>
          <w:sz w:val="20"/>
          <w:szCs w:val="20"/>
        </w:rPr>
        <w:footnoteRef/>
      </w:r>
      <w:r w:rsidRPr="00810F70">
        <w:rPr>
          <w:sz w:val="20"/>
          <w:szCs w:val="20"/>
        </w:rPr>
        <w:t xml:space="preserve"> </w:t>
      </w:r>
      <w:r w:rsidR="00F52027" w:rsidRPr="00810F70">
        <w:rPr>
          <w:sz w:val="20"/>
          <w:szCs w:val="20"/>
        </w:rPr>
        <w:t xml:space="preserve">Work-related Deaths Protocol - Practical Guide -  </w:t>
      </w:r>
      <w:hyperlink r:id="rId10" w:history="1">
        <w:r w:rsidR="00F52027" w:rsidRPr="00810F70">
          <w:rPr>
            <w:rStyle w:val="Hyperlink"/>
            <w:sz w:val="20"/>
            <w:szCs w:val="20"/>
          </w:rPr>
          <w:t>Work-related Deaths Protocol: Practical Guide (England and Wales) (hse.gov.uk)</w:t>
        </w:r>
      </w:hyperlink>
      <w:r w:rsidR="00F52027" w:rsidRPr="00810F70">
        <w:rPr>
          <w:rStyle w:val="Hyperlink"/>
          <w:sz w:val="20"/>
          <w:szCs w:val="20"/>
        </w:rPr>
        <w:t xml:space="preserve"> </w:t>
      </w:r>
    </w:p>
    <w:p w14:paraId="78895BED" w14:textId="69046352" w:rsidR="00953568" w:rsidRDefault="00953568">
      <w:pPr>
        <w:pStyle w:val="FootnoteText"/>
      </w:pPr>
    </w:p>
  </w:footnote>
  <w:footnote w:id="10">
    <w:p w14:paraId="16D185E6" w14:textId="77777777" w:rsidR="004D3D55" w:rsidRPr="00810F70" w:rsidRDefault="00F52027" w:rsidP="004D3D55">
      <w:pPr>
        <w:pStyle w:val="FootnoteText"/>
        <w:rPr>
          <w:rStyle w:val="Hyperlink"/>
        </w:rPr>
      </w:pPr>
      <w:r w:rsidRPr="00810F70">
        <w:rPr>
          <w:rStyle w:val="FootnoteReference"/>
        </w:rPr>
        <w:footnoteRef/>
      </w:r>
      <w:r w:rsidRPr="00810F70">
        <w:t xml:space="preserve"> </w:t>
      </w:r>
      <w:r w:rsidR="004D3D55" w:rsidRPr="00810F70">
        <w:t xml:space="preserve">Work-related Deaths Protocol for Liaison (Scotland) - </w:t>
      </w:r>
      <w:hyperlink r:id="rId11" w:history="1">
        <w:r w:rsidR="004D3D55" w:rsidRPr="00810F70">
          <w:rPr>
            <w:rStyle w:val="Hyperlink"/>
          </w:rPr>
          <w:t>Work-related deaths: A protocol for liaison (hse.gov.uk)</w:t>
        </w:r>
      </w:hyperlink>
    </w:p>
    <w:p w14:paraId="714EF7F8" w14:textId="7F0A755C" w:rsidR="00F52027" w:rsidRPr="00810F70" w:rsidRDefault="00F52027">
      <w:pPr>
        <w:pStyle w:val="FootnoteText"/>
      </w:pPr>
    </w:p>
  </w:footnote>
  <w:footnote w:id="11">
    <w:p w14:paraId="26EFF6D6" w14:textId="77777777" w:rsidR="002E5A97" w:rsidRPr="00810F70" w:rsidRDefault="004D3D55" w:rsidP="002E5A97">
      <w:pPr>
        <w:rPr>
          <w:rStyle w:val="Hyperlink"/>
          <w:sz w:val="20"/>
          <w:szCs w:val="20"/>
        </w:rPr>
      </w:pPr>
      <w:r w:rsidRPr="00810F70">
        <w:rPr>
          <w:rStyle w:val="FootnoteReference"/>
          <w:sz w:val="20"/>
          <w:szCs w:val="20"/>
        </w:rPr>
        <w:footnoteRef/>
      </w:r>
      <w:r w:rsidRPr="00810F70">
        <w:rPr>
          <w:sz w:val="20"/>
          <w:szCs w:val="20"/>
        </w:rPr>
        <w:t xml:space="preserve"> </w:t>
      </w:r>
      <w:r w:rsidR="002E5A97" w:rsidRPr="00810F70">
        <w:rPr>
          <w:sz w:val="20"/>
          <w:szCs w:val="20"/>
        </w:rPr>
        <w:t xml:space="preserve">ONR Memoranda of Understanding -  </w:t>
      </w:r>
      <w:hyperlink r:id="rId12" w:history="1">
        <w:r w:rsidR="002E5A97" w:rsidRPr="00810F70">
          <w:rPr>
            <w:rStyle w:val="Hyperlink"/>
            <w:sz w:val="20"/>
            <w:szCs w:val="20"/>
          </w:rPr>
          <w:t>Memorandum of Understanding / General agreements | Office for Nuclear Regulation (onr.org.uk)</w:t>
        </w:r>
      </w:hyperlink>
    </w:p>
    <w:p w14:paraId="76A29D5B" w14:textId="5EDD24A4" w:rsidR="004D3D55" w:rsidRDefault="004D3D5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ED36" w14:textId="77777777" w:rsidR="000660F8" w:rsidRDefault="00066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86"/>
      <w:gridCol w:w="4440"/>
    </w:tblGrid>
    <w:tr w:rsidR="0008057D" w:rsidRPr="001B3D89" w14:paraId="55314A5A" w14:textId="77777777" w:rsidTr="00AF015B">
      <w:tc>
        <w:tcPr>
          <w:tcW w:w="4621" w:type="dxa"/>
          <w:vAlign w:val="center"/>
        </w:tcPr>
        <w:p w14:paraId="01C9FAC7" w14:textId="77777777" w:rsidR="0008057D" w:rsidRPr="002C10E8" w:rsidRDefault="0008057D" w:rsidP="0008057D">
          <w:pPr>
            <w:pStyle w:val="Header"/>
            <w:jc w:val="both"/>
            <w:rPr>
              <w:b/>
              <w:noProof/>
              <w:color w:val="006D68"/>
              <w:sz w:val="18"/>
              <w:szCs w:val="18"/>
              <w:lang w:eastAsia="en-GB"/>
            </w:rPr>
          </w:pPr>
          <w:r>
            <w:rPr>
              <w:b/>
              <w:noProof/>
              <w:color w:val="006D68"/>
              <w:szCs w:val="22"/>
              <w:lang w:eastAsia="en-GB"/>
            </w:rPr>
            <w:drawing>
              <wp:inline distT="0" distB="0" distL="0" distR="0" wp14:anchorId="5EFE39E2" wp14:editId="59FF6F1D">
                <wp:extent cx="2527300" cy="533400"/>
                <wp:effectExtent l="0" t="0" r="6350" b="0"/>
                <wp:docPr id="2" name="Picture 2"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6465" b="23965"/>
                        <a:stretch>
                          <a:fillRect/>
                        </a:stretch>
                      </pic:blipFill>
                      <pic:spPr bwMode="auto">
                        <a:xfrm>
                          <a:off x="0" y="0"/>
                          <a:ext cx="2527300" cy="533400"/>
                        </a:xfrm>
                        <a:prstGeom prst="rect">
                          <a:avLst/>
                        </a:prstGeom>
                        <a:noFill/>
                        <a:ln>
                          <a:noFill/>
                        </a:ln>
                      </pic:spPr>
                    </pic:pic>
                  </a:graphicData>
                </a:graphic>
              </wp:inline>
            </w:drawing>
          </w:r>
        </w:p>
      </w:tc>
      <w:tc>
        <w:tcPr>
          <w:tcW w:w="4621" w:type="dxa"/>
          <w:vAlign w:val="center"/>
        </w:tcPr>
        <w:p w14:paraId="3CA65C57" w14:textId="77777777" w:rsidR="0008057D" w:rsidRPr="001B3D89" w:rsidRDefault="0008057D" w:rsidP="0008057D">
          <w:pPr>
            <w:spacing w:before="60" w:after="60"/>
            <w:jc w:val="right"/>
            <w:outlineLvl w:val="1"/>
            <w:rPr>
              <w:rFonts w:cs="Arial"/>
              <w:bCs/>
              <w:iCs/>
              <w:kern w:val="36"/>
              <w:sz w:val="18"/>
              <w:szCs w:val="14"/>
            </w:rPr>
          </w:pPr>
          <w:r w:rsidRPr="001B3D89">
            <w:rPr>
              <w:rFonts w:cs="Arial"/>
              <w:bCs/>
              <w:iCs/>
              <w:kern w:val="36"/>
              <w:sz w:val="18"/>
              <w:szCs w:val="14"/>
            </w:rPr>
            <w:t>© Office for Nuclear Regulation</w:t>
          </w:r>
          <w:r w:rsidRPr="001B3D89">
            <w:rPr>
              <w:rFonts w:cs="Arial"/>
              <w:bCs/>
              <w:iCs/>
              <w:kern w:val="36"/>
              <w:sz w:val="18"/>
              <w:szCs w:val="14"/>
            </w:rPr>
            <w:br/>
          </w:r>
          <w:r w:rsidRPr="003559A9">
            <w:rPr>
              <w:rFonts w:cs="Arial"/>
              <w:b/>
              <w:iCs/>
              <w:kern w:val="36"/>
              <w:sz w:val="18"/>
              <w:szCs w:val="14"/>
            </w:rPr>
            <w:t>UNCONTROLLED WHEN PRINTED</w:t>
          </w:r>
          <w:r w:rsidRPr="001B3D89">
            <w:rPr>
              <w:rFonts w:cs="Arial"/>
              <w:bCs/>
              <w:iCs/>
              <w:kern w:val="36"/>
              <w:sz w:val="18"/>
              <w:szCs w:val="14"/>
            </w:rPr>
            <w:br/>
            <w:t xml:space="preserve">If you wish to reuse this information visit </w:t>
          </w:r>
          <w:hyperlink r:id="rId2" w:tooltip="blocked::blocked::BLOCKED::http://www.hse.gov.uk/copyright&#10;blocked::BLOCKED::http://www.hse.gov.uk/copyright&#10;http://www.hse.gov.uk/copyright" w:history="1"/>
          <w:hyperlink r:id="rId3" w:tooltip="http://www.onr.org.uk/copyright" w:history="1">
            <w:r w:rsidRPr="001B3D89">
              <w:rPr>
                <w:rStyle w:val="Hyperlink"/>
                <w:rFonts w:cs="Arial"/>
                <w:bCs/>
                <w:iCs/>
                <w:kern w:val="36"/>
                <w:sz w:val="18"/>
                <w:szCs w:val="14"/>
              </w:rPr>
              <w:t>www.onr.org.uk/copyright</w:t>
            </w:r>
          </w:hyperlink>
          <w:r w:rsidRPr="001B3D89">
            <w:rPr>
              <w:rFonts w:cs="Arial"/>
              <w:bCs/>
              <w:iCs/>
              <w:kern w:val="36"/>
              <w:sz w:val="18"/>
              <w:szCs w:val="14"/>
            </w:rPr>
            <w:t> for details.</w:t>
          </w:r>
        </w:p>
      </w:tc>
    </w:tr>
  </w:tbl>
  <w:p w14:paraId="512E5B70" w14:textId="77777777" w:rsidR="0008057D" w:rsidRDefault="000805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86"/>
      <w:gridCol w:w="4440"/>
    </w:tblGrid>
    <w:tr w:rsidR="00BD36C2" w:rsidRPr="001B3D89" w14:paraId="41AD9C17" w14:textId="77777777" w:rsidTr="00EC1315">
      <w:tc>
        <w:tcPr>
          <w:tcW w:w="4621" w:type="dxa"/>
          <w:vAlign w:val="center"/>
        </w:tcPr>
        <w:p w14:paraId="556D4135" w14:textId="03476702" w:rsidR="00BD36C2" w:rsidRPr="002C10E8" w:rsidRDefault="00BD36C2" w:rsidP="00BD36C2">
          <w:pPr>
            <w:pStyle w:val="Header"/>
            <w:jc w:val="both"/>
            <w:rPr>
              <w:b/>
              <w:noProof/>
              <w:color w:val="006D68"/>
              <w:sz w:val="18"/>
              <w:szCs w:val="18"/>
              <w:lang w:eastAsia="en-GB"/>
            </w:rPr>
          </w:pPr>
          <w:r>
            <w:rPr>
              <w:b/>
              <w:noProof/>
              <w:color w:val="006D68"/>
              <w:szCs w:val="22"/>
              <w:lang w:eastAsia="en-GB"/>
            </w:rPr>
            <w:drawing>
              <wp:inline distT="0" distB="0" distL="0" distR="0" wp14:anchorId="16AF12B4" wp14:editId="0297593F">
                <wp:extent cx="2527300" cy="533400"/>
                <wp:effectExtent l="0" t="0" r="6350" b="0"/>
                <wp:docPr id="3" name="Picture 3"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6465" b="23965"/>
                        <a:stretch>
                          <a:fillRect/>
                        </a:stretch>
                      </pic:blipFill>
                      <pic:spPr bwMode="auto">
                        <a:xfrm>
                          <a:off x="0" y="0"/>
                          <a:ext cx="2527300" cy="533400"/>
                        </a:xfrm>
                        <a:prstGeom prst="rect">
                          <a:avLst/>
                        </a:prstGeom>
                        <a:noFill/>
                        <a:ln>
                          <a:noFill/>
                        </a:ln>
                      </pic:spPr>
                    </pic:pic>
                  </a:graphicData>
                </a:graphic>
              </wp:inline>
            </w:drawing>
          </w:r>
        </w:p>
      </w:tc>
      <w:tc>
        <w:tcPr>
          <w:tcW w:w="4621" w:type="dxa"/>
          <w:vAlign w:val="center"/>
        </w:tcPr>
        <w:p w14:paraId="5B6B6279" w14:textId="77777777" w:rsidR="00BD36C2" w:rsidRPr="001B3D89" w:rsidRDefault="00BD36C2" w:rsidP="00BD36C2">
          <w:pPr>
            <w:spacing w:before="60" w:after="60"/>
            <w:jc w:val="right"/>
            <w:outlineLvl w:val="1"/>
            <w:rPr>
              <w:rFonts w:cs="Arial"/>
              <w:bCs/>
              <w:iCs/>
              <w:kern w:val="36"/>
              <w:sz w:val="18"/>
              <w:szCs w:val="14"/>
            </w:rPr>
          </w:pPr>
          <w:r w:rsidRPr="001B3D89">
            <w:rPr>
              <w:rFonts w:cs="Arial"/>
              <w:bCs/>
              <w:iCs/>
              <w:kern w:val="36"/>
              <w:sz w:val="18"/>
              <w:szCs w:val="14"/>
            </w:rPr>
            <w:t>© Office for Nuclear Regulation</w:t>
          </w:r>
          <w:r w:rsidRPr="001B3D89">
            <w:rPr>
              <w:rFonts w:cs="Arial"/>
              <w:bCs/>
              <w:iCs/>
              <w:kern w:val="36"/>
              <w:sz w:val="18"/>
              <w:szCs w:val="14"/>
            </w:rPr>
            <w:br/>
          </w:r>
          <w:r w:rsidRPr="003559A9">
            <w:rPr>
              <w:rFonts w:cs="Arial"/>
              <w:b/>
              <w:iCs/>
              <w:kern w:val="36"/>
              <w:sz w:val="18"/>
              <w:szCs w:val="14"/>
            </w:rPr>
            <w:t>UNCONTROLLED WHEN PRINTED</w:t>
          </w:r>
          <w:r w:rsidRPr="001B3D89">
            <w:rPr>
              <w:rFonts w:cs="Arial"/>
              <w:bCs/>
              <w:iCs/>
              <w:kern w:val="36"/>
              <w:sz w:val="18"/>
              <w:szCs w:val="14"/>
            </w:rPr>
            <w:br/>
            <w:t xml:space="preserve">If you wish to reuse this information visit </w:t>
          </w:r>
          <w:hyperlink r:id="rId2" w:tooltip="blocked::blocked::BLOCKED::http://www.hse.gov.uk/copyright&#10;blocked::BLOCKED::http://www.hse.gov.uk/copyright&#10;http://www.hse.gov.uk/copyright" w:history="1"/>
          <w:hyperlink r:id="rId3" w:tooltip="http://www.onr.org.uk/copyright" w:history="1">
            <w:r w:rsidRPr="001B3D89">
              <w:rPr>
                <w:rStyle w:val="Hyperlink"/>
                <w:rFonts w:cs="Arial"/>
                <w:bCs/>
                <w:iCs/>
                <w:kern w:val="36"/>
                <w:sz w:val="18"/>
                <w:szCs w:val="14"/>
              </w:rPr>
              <w:t>www.onr.org.uk/copyright</w:t>
            </w:r>
          </w:hyperlink>
          <w:r w:rsidRPr="001B3D89">
            <w:rPr>
              <w:rFonts w:cs="Arial"/>
              <w:bCs/>
              <w:iCs/>
              <w:kern w:val="36"/>
              <w:sz w:val="18"/>
              <w:szCs w:val="14"/>
            </w:rPr>
            <w:t> for details.</w:t>
          </w:r>
        </w:p>
      </w:tc>
    </w:tr>
  </w:tbl>
  <w:p w14:paraId="46F4B497" w14:textId="77777777" w:rsidR="00E9707C" w:rsidRDefault="00E97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6EF"/>
    <w:multiLevelType w:val="hybridMultilevel"/>
    <w:tmpl w:val="38B260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216966"/>
    <w:multiLevelType w:val="multilevel"/>
    <w:tmpl w:val="91EEDB74"/>
    <w:lvl w:ilvl="0">
      <w:start w:val="1"/>
      <w:numFmt w:val="decimal"/>
      <w:pStyle w:val="Paragraph-1"/>
      <w:lvlText w:val="%1."/>
      <w:lvlJc w:val="left"/>
      <w:pPr>
        <w:ind w:left="360" w:hanging="360"/>
      </w:pPr>
      <w:rPr>
        <w:rFonts w:hint="default"/>
      </w:rPr>
    </w:lvl>
    <w:lvl w:ilvl="1">
      <w:start w:val="1"/>
      <w:numFmt w:val="upperRoman"/>
      <w:lvlText w:val="%2."/>
      <w:lvlJc w:val="left"/>
      <w:pPr>
        <w:ind w:left="3600" w:hanging="360"/>
      </w:pPr>
      <w:rPr>
        <w:rFonts w:hint="default"/>
      </w:rPr>
    </w:lvl>
    <w:lvl w:ilvl="2">
      <w:start w:val="1"/>
      <w:numFmt w:val="lowerRoman"/>
      <w:lvlText w:val="%3."/>
      <w:lvlJc w:val="right"/>
      <w:pPr>
        <w:ind w:left="4320" w:hanging="180"/>
      </w:pPr>
      <w:rPr>
        <w:rFonts w:hint="default"/>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2" w15:restartNumberingAfterBreak="0">
    <w:nsid w:val="03BA2C7C"/>
    <w:multiLevelType w:val="hybridMultilevel"/>
    <w:tmpl w:val="980691C4"/>
    <w:lvl w:ilvl="0" w:tplc="6EF08526">
      <w:start w:val="1"/>
      <w:numFmt w:val="decimal"/>
      <w:lvlText w:val="%1."/>
      <w:lvlJc w:val="left"/>
      <w:pPr>
        <w:tabs>
          <w:tab w:val="num" w:pos="360"/>
        </w:tabs>
        <w:ind w:left="360" w:hanging="360"/>
      </w:pPr>
      <w:rPr>
        <w:b w:val="0"/>
        <w:bCs/>
      </w:rPr>
    </w:lvl>
    <w:lvl w:ilvl="1" w:tplc="D4100C18">
      <w:start w:val="1"/>
      <w:numFmt w:val="bullet"/>
      <w:lvlText w:val=""/>
      <w:lvlJc w:val="left"/>
      <w:pPr>
        <w:tabs>
          <w:tab w:val="num" w:pos="227"/>
        </w:tabs>
        <w:ind w:left="227" w:hanging="227"/>
      </w:pPr>
      <w:rPr>
        <w:rFonts w:ascii="Symbol" w:hAnsi="Symbol" w:hint="default"/>
      </w:rPr>
    </w:lvl>
    <w:lvl w:ilvl="2" w:tplc="0809001B">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3" w15:restartNumberingAfterBreak="0">
    <w:nsid w:val="0ADF4B43"/>
    <w:multiLevelType w:val="hybridMultilevel"/>
    <w:tmpl w:val="FEF4A25C"/>
    <w:lvl w:ilvl="0" w:tplc="DD049B90">
      <w:start w:val="16"/>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6609A0"/>
    <w:multiLevelType w:val="hybridMultilevel"/>
    <w:tmpl w:val="E11EC80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7186C33"/>
    <w:multiLevelType w:val="hybridMultilevel"/>
    <w:tmpl w:val="3AF09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455644"/>
    <w:multiLevelType w:val="hybridMultilevel"/>
    <w:tmpl w:val="88B64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63FE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B311F75"/>
    <w:multiLevelType w:val="hybridMultilevel"/>
    <w:tmpl w:val="2824307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15309BA"/>
    <w:multiLevelType w:val="multilevel"/>
    <w:tmpl w:val="22903DF4"/>
    <w:lvl w:ilvl="0">
      <w:start w:val="1"/>
      <w:numFmt w:val="decimal"/>
      <w:lvlText w:val="%1."/>
      <w:lvlJc w:val="left"/>
      <w:pPr>
        <w:ind w:left="4046" w:hanging="360"/>
      </w:pPr>
      <w:rPr>
        <w:rFonts w:hint="default"/>
      </w:rPr>
    </w:lvl>
    <w:lvl w:ilvl="1">
      <w:start w:val="1"/>
      <w:numFmt w:val="bullet"/>
      <w:lvlText w:val=""/>
      <w:lvlJc w:val="left"/>
      <w:pPr>
        <w:ind w:left="3600" w:hanging="360"/>
      </w:pPr>
      <w:rPr>
        <w:rFonts w:ascii="Symbol" w:hAnsi="Symbol" w:hint="default"/>
      </w:rPr>
    </w:lvl>
    <w:lvl w:ilvl="2">
      <w:start w:val="1"/>
      <w:numFmt w:val="lowerRoman"/>
      <w:lvlText w:val="%3."/>
      <w:lvlJc w:val="right"/>
      <w:pPr>
        <w:ind w:left="4320" w:hanging="180"/>
      </w:pPr>
      <w:rPr>
        <w:rFonts w:hint="default"/>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10" w15:restartNumberingAfterBreak="0">
    <w:nsid w:val="3F8469B9"/>
    <w:multiLevelType w:val="hybridMultilevel"/>
    <w:tmpl w:val="7986757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FD92BF9"/>
    <w:multiLevelType w:val="hybridMultilevel"/>
    <w:tmpl w:val="6B4EEFC6"/>
    <w:lvl w:ilvl="0" w:tplc="860E4F1A">
      <w:start w:val="1"/>
      <w:numFmt w:val="decimal"/>
      <w:lvlText w:val="%1."/>
      <w:lvlJc w:val="left"/>
      <w:pPr>
        <w:tabs>
          <w:tab w:val="num" w:pos="360"/>
        </w:tabs>
        <w:ind w:left="360" w:hanging="360"/>
      </w:pPr>
    </w:lvl>
    <w:lvl w:ilvl="1" w:tplc="D4100C18">
      <w:start w:val="1"/>
      <w:numFmt w:val="bullet"/>
      <w:lvlText w:val=""/>
      <w:lvlJc w:val="left"/>
      <w:pPr>
        <w:tabs>
          <w:tab w:val="num" w:pos="227"/>
        </w:tabs>
        <w:ind w:left="227" w:hanging="227"/>
      </w:pPr>
      <w:rPr>
        <w:rFonts w:ascii="Symbol" w:hAnsi="Symbol" w:hint="default"/>
      </w:rPr>
    </w:lvl>
    <w:lvl w:ilvl="2" w:tplc="08090001">
      <w:start w:val="1"/>
      <w:numFmt w:val="bullet"/>
      <w:lvlText w:val=""/>
      <w:lvlJc w:val="left"/>
      <w:pPr>
        <w:tabs>
          <w:tab w:val="num" w:pos="1080"/>
        </w:tabs>
        <w:ind w:left="1080" w:hanging="180"/>
      </w:pPr>
      <w:rPr>
        <w:rFonts w:ascii="Symbol" w:hAnsi="Symbol" w:hint="default"/>
      </w:r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2" w15:restartNumberingAfterBreak="0">
    <w:nsid w:val="414C32F1"/>
    <w:multiLevelType w:val="hybridMultilevel"/>
    <w:tmpl w:val="2E1663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3850DBC"/>
    <w:multiLevelType w:val="hybridMultilevel"/>
    <w:tmpl w:val="203AA938"/>
    <w:lvl w:ilvl="0" w:tplc="4BF2D73C">
      <w:start w:val="18"/>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702201"/>
    <w:multiLevelType w:val="hybridMultilevel"/>
    <w:tmpl w:val="83F0EE0E"/>
    <w:lvl w:ilvl="0" w:tplc="24706108">
      <w:start w:val="2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E356B2"/>
    <w:multiLevelType w:val="hybridMultilevel"/>
    <w:tmpl w:val="31F85028"/>
    <w:lvl w:ilvl="0" w:tplc="631A6186">
      <w:start w:val="1"/>
      <w:numFmt w:val="lowerRoman"/>
      <w:pStyle w:val="List-1"/>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E0E4626"/>
    <w:multiLevelType w:val="hybridMultilevel"/>
    <w:tmpl w:val="C7E06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6E084E"/>
    <w:multiLevelType w:val="multilevel"/>
    <w:tmpl w:val="DB4819BC"/>
    <w:lvl w:ilvl="0">
      <w:start w:val="1"/>
      <w:numFmt w:val="lowerLetter"/>
      <w:lvlText w:val="%1)"/>
      <w:lvlJc w:val="left"/>
      <w:pPr>
        <w:ind w:left="4046" w:hanging="360"/>
      </w:pPr>
      <w:rPr>
        <w:rFonts w:hint="default"/>
      </w:rPr>
    </w:lvl>
    <w:lvl w:ilvl="1">
      <w:start w:val="1"/>
      <w:numFmt w:val="upperRoman"/>
      <w:lvlText w:val="%2."/>
      <w:lvlJc w:val="left"/>
      <w:pPr>
        <w:ind w:left="3600" w:hanging="360"/>
      </w:pPr>
      <w:rPr>
        <w:rFonts w:hint="default"/>
      </w:rPr>
    </w:lvl>
    <w:lvl w:ilvl="2">
      <w:start w:val="1"/>
      <w:numFmt w:val="lowerRoman"/>
      <w:lvlText w:val="%3."/>
      <w:lvlJc w:val="right"/>
      <w:pPr>
        <w:ind w:left="4320" w:hanging="180"/>
      </w:pPr>
      <w:rPr>
        <w:rFonts w:hint="default"/>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18" w15:restartNumberingAfterBreak="0">
    <w:nsid w:val="503E2DDA"/>
    <w:multiLevelType w:val="hybridMultilevel"/>
    <w:tmpl w:val="9F3E7540"/>
    <w:lvl w:ilvl="0" w:tplc="860E4F1A">
      <w:start w:val="1"/>
      <w:numFmt w:val="decimal"/>
      <w:lvlText w:val="%1."/>
      <w:lvlJc w:val="left"/>
      <w:pPr>
        <w:tabs>
          <w:tab w:val="num" w:pos="720"/>
        </w:tabs>
        <w:ind w:left="720" w:hanging="360"/>
      </w:pPr>
    </w:lvl>
    <w:lvl w:ilvl="1" w:tplc="3BA0E040">
      <w:start w:val="1"/>
      <w:numFmt w:val="bullet"/>
      <w:lvlText w:val=""/>
      <w:lvlJc w:val="left"/>
      <w:pPr>
        <w:tabs>
          <w:tab w:val="num" w:pos="644"/>
        </w:tabs>
        <w:ind w:left="644" w:hanging="284"/>
      </w:pPr>
      <w:rPr>
        <w:rFonts w:ascii="Symbol" w:hAnsi="Symbol" w:hint="default"/>
      </w:rPr>
    </w:lvl>
    <w:lvl w:ilvl="2" w:tplc="3BE67B52">
      <w:start w:val="1"/>
      <w:numFmt w:val="bullet"/>
      <w:lvlText w:val=""/>
      <w:lvlJc w:val="left"/>
      <w:pPr>
        <w:tabs>
          <w:tab w:val="num" w:pos="1021"/>
        </w:tabs>
        <w:ind w:left="1021" w:hanging="284"/>
      </w:pPr>
      <w:rPr>
        <w:rFonts w:ascii="Symbol" w:hAnsi="Symbo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9" w15:restartNumberingAfterBreak="0">
    <w:nsid w:val="554B56DE"/>
    <w:multiLevelType w:val="hybridMultilevel"/>
    <w:tmpl w:val="9156016C"/>
    <w:lvl w:ilvl="0" w:tplc="8360582E">
      <w:start w:val="4"/>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C2441C"/>
    <w:multiLevelType w:val="hybridMultilevel"/>
    <w:tmpl w:val="40CE7B7C"/>
    <w:lvl w:ilvl="0" w:tplc="751E5BDE">
      <w:start w:val="10"/>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4202DE"/>
    <w:multiLevelType w:val="hybridMultilevel"/>
    <w:tmpl w:val="6BC266B2"/>
    <w:lvl w:ilvl="0" w:tplc="2CAC2CDA">
      <w:start w:val="23"/>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2052D2"/>
    <w:multiLevelType w:val="hybridMultilevel"/>
    <w:tmpl w:val="C74C3D10"/>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5423DCE"/>
    <w:multiLevelType w:val="hybridMultilevel"/>
    <w:tmpl w:val="62722532"/>
    <w:lvl w:ilvl="0" w:tplc="08090001">
      <w:start w:val="1"/>
      <w:numFmt w:val="bullet"/>
      <w:lvlText w:val=""/>
      <w:lvlJc w:val="left"/>
      <w:pPr>
        <w:ind w:left="0" w:firstLine="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F46359"/>
    <w:multiLevelType w:val="hybridMultilevel"/>
    <w:tmpl w:val="73445F06"/>
    <w:lvl w:ilvl="0" w:tplc="84566458">
      <w:start w:val="1"/>
      <w:numFmt w:val="bullet"/>
      <w:pStyle w:val="Bulletlist1"/>
      <w:lvlText w:val=""/>
      <w:lvlJc w:val="left"/>
      <w:pPr>
        <w:ind w:left="360" w:hanging="360"/>
      </w:pPr>
      <w:rPr>
        <w:rFonts w:ascii="Symbol" w:hAnsi="Symbol" w:hint="default"/>
        <w:strike w:val="0"/>
        <w:dstrike w:val="0"/>
        <w:color w:val="4F81BD" w:themeColor="accent1"/>
        <w:sz w:val="24"/>
      </w:rPr>
    </w:lvl>
    <w:lvl w:ilvl="1" w:tplc="8D1E33AC">
      <w:start w:val="1"/>
      <w:numFmt w:val="bullet"/>
      <w:pStyle w:val="Bulletlist2"/>
      <w:lvlText w:val="o"/>
      <w:lvlJc w:val="left"/>
      <w:pPr>
        <w:ind w:left="1440" w:hanging="360"/>
      </w:pPr>
      <w:rPr>
        <w:rFonts w:ascii="Courier New" w:hAnsi="Courier New" w:cs="Courier New" w:hint="default"/>
      </w:rPr>
    </w:lvl>
    <w:lvl w:ilvl="2" w:tplc="FB9AE3B6">
      <w:start w:val="1"/>
      <w:numFmt w:val="bullet"/>
      <w:pStyle w:val="BulletLis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951305"/>
    <w:multiLevelType w:val="hybridMultilevel"/>
    <w:tmpl w:val="90AC830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C8558B0"/>
    <w:multiLevelType w:val="hybridMultilevel"/>
    <w:tmpl w:val="2F30A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A5021C"/>
    <w:multiLevelType w:val="hybridMultilevel"/>
    <w:tmpl w:val="1A28F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4747952">
    <w:abstractNumId w:val="2"/>
  </w:num>
  <w:num w:numId="2" w16cid:durableId="1140614995">
    <w:abstractNumId w:val="18"/>
  </w:num>
  <w:num w:numId="3" w16cid:durableId="1748840083">
    <w:abstractNumId w:val="11"/>
  </w:num>
  <w:num w:numId="4" w16cid:durableId="848640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5348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2730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956596">
    <w:abstractNumId w:val="1"/>
  </w:num>
  <w:num w:numId="8" w16cid:durableId="1529414782">
    <w:abstractNumId w:val="0"/>
  </w:num>
  <w:num w:numId="9" w16cid:durableId="1788113270">
    <w:abstractNumId w:val="15"/>
  </w:num>
  <w:num w:numId="10" w16cid:durableId="233510325">
    <w:abstractNumId w:val="15"/>
    <w:lvlOverride w:ilvl="0">
      <w:startOverride w:val="1"/>
    </w:lvlOverride>
  </w:num>
  <w:num w:numId="11" w16cid:durableId="1269310444">
    <w:abstractNumId w:val="15"/>
    <w:lvlOverride w:ilvl="0">
      <w:startOverride w:val="1"/>
    </w:lvlOverride>
  </w:num>
  <w:num w:numId="12" w16cid:durableId="274219652">
    <w:abstractNumId w:val="1"/>
    <w:lvlOverride w:ilvl="0">
      <w:startOverride w:val="1"/>
    </w:lvlOverride>
  </w:num>
  <w:num w:numId="13" w16cid:durableId="1099259825">
    <w:abstractNumId w:val="15"/>
    <w:lvlOverride w:ilvl="0">
      <w:startOverride w:val="1"/>
    </w:lvlOverride>
  </w:num>
  <w:num w:numId="14" w16cid:durableId="1991323583">
    <w:abstractNumId w:val="15"/>
    <w:lvlOverride w:ilvl="0">
      <w:startOverride w:val="1"/>
    </w:lvlOverride>
  </w:num>
  <w:num w:numId="15" w16cid:durableId="1087919244">
    <w:abstractNumId w:val="5"/>
  </w:num>
  <w:num w:numId="16" w16cid:durableId="1831943878">
    <w:abstractNumId w:val="7"/>
  </w:num>
  <w:num w:numId="17" w16cid:durableId="1723629469">
    <w:abstractNumId w:val="24"/>
  </w:num>
  <w:num w:numId="18" w16cid:durableId="1946771332">
    <w:abstractNumId w:val="12"/>
  </w:num>
  <w:num w:numId="19" w16cid:durableId="551573668">
    <w:abstractNumId w:val="19"/>
  </w:num>
  <w:num w:numId="20" w16cid:durableId="1244335712">
    <w:abstractNumId w:val="20"/>
  </w:num>
  <w:num w:numId="21" w16cid:durableId="788668376">
    <w:abstractNumId w:val="3"/>
  </w:num>
  <w:num w:numId="22" w16cid:durableId="1655376872">
    <w:abstractNumId w:val="13"/>
  </w:num>
  <w:num w:numId="23" w16cid:durableId="1714571342">
    <w:abstractNumId w:val="21"/>
  </w:num>
  <w:num w:numId="24" w16cid:durableId="155538127">
    <w:abstractNumId w:val="25"/>
  </w:num>
  <w:num w:numId="25" w16cid:durableId="256839554">
    <w:abstractNumId w:val="14"/>
  </w:num>
  <w:num w:numId="26" w16cid:durableId="507403230">
    <w:abstractNumId w:val="23"/>
  </w:num>
  <w:num w:numId="27" w16cid:durableId="1134325774">
    <w:abstractNumId w:val="9"/>
  </w:num>
  <w:num w:numId="28" w16cid:durableId="731470485">
    <w:abstractNumId w:val="27"/>
  </w:num>
  <w:num w:numId="29" w16cid:durableId="989284619">
    <w:abstractNumId w:val="26"/>
  </w:num>
  <w:num w:numId="30" w16cid:durableId="264002077">
    <w:abstractNumId w:val="22"/>
  </w:num>
  <w:num w:numId="31" w16cid:durableId="917441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5187561">
    <w:abstractNumId w:val="16"/>
  </w:num>
  <w:num w:numId="33" w16cid:durableId="1535922454">
    <w:abstractNumId w:val="17"/>
  </w:num>
  <w:num w:numId="34" w16cid:durableId="1140536354">
    <w:abstractNumId w:val="10"/>
  </w:num>
  <w:num w:numId="35" w16cid:durableId="2100564036">
    <w:abstractNumId w:val="6"/>
  </w:num>
  <w:num w:numId="36" w16cid:durableId="103291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F6"/>
    <w:rsid w:val="0000352D"/>
    <w:rsid w:val="00012014"/>
    <w:rsid w:val="0001316F"/>
    <w:rsid w:val="000223E7"/>
    <w:rsid w:val="00023AD8"/>
    <w:rsid w:val="00025007"/>
    <w:rsid w:val="000374DA"/>
    <w:rsid w:val="00046543"/>
    <w:rsid w:val="000500AE"/>
    <w:rsid w:val="000660F8"/>
    <w:rsid w:val="00066E5C"/>
    <w:rsid w:val="000741C4"/>
    <w:rsid w:val="0008057D"/>
    <w:rsid w:val="000832DC"/>
    <w:rsid w:val="00083DE2"/>
    <w:rsid w:val="000A3948"/>
    <w:rsid w:val="000B1253"/>
    <w:rsid w:val="000B293C"/>
    <w:rsid w:val="000B5460"/>
    <w:rsid w:val="000C0026"/>
    <w:rsid w:val="000C4554"/>
    <w:rsid w:val="000D1217"/>
    <w:rsid w:val="000D582D"/>
    <w:rsid w:val="000E06C0"/>
    <w:rsid w:val="000E0A3D"/>
    <w:rsid w:val="000E2BC4"/>
    <w:rsid w:val="000E3F90"/>
    <w:rsid w:val="000E46E9"/>
    <w:rsid w:val="000E6662"/>
    <w:rsid w:val="000F1CD9"/>
    <w:rsid w:val="00100044"/>
    <w:rsid w:val="001023AB"/>
    <w:rsid w:val="00103FC8"/>
    <w:rsid w:val="00104510"/>
    <w:rsid w:val="0011295A"/>
    <w:rsid w:val="00121E2A"/>
    <w:rsid w:val="00123A42"/>
    <w:rsid w:val="00123E4B"/>
    <w:rsid w:val="001240F5"/>
    <w:rsid w:val="0013171B"/>
    <w:rsid w:val="00143601"/>
    <w:rsid w:val="00147BCA"/>
    <w:rsid w:val="00151016"/>
    <w:rsid w:val="001519D5"/>
    <w:rsid w:val="0015369A"/>
    <w:rsid w:val="0015623F"/>
    <w:rsid w:val="00157AB6"/>
    <w:rsid w:val="001646D5"/>
    <w:rsid w:val="001665E5"/>
    <w:rsid w:val="00167F5C"/>
    <w:rsid w:val="00171B3D"/>
    <w:rsid w:val="00175E5E"/>
    <w:rsid w:val="001862CC"/>
    <w:rsid w:val="00190B74"/>
    <w:rsid w:val="00195143"/>
    <w:rsid w:val="00196F6F"/>
    <w:rsid w:val="00197C25"/>
    <w:rsid w:val="001C272E"/>
    <w:rsid w:val="001D43F5"/>
    <w:rsid w:val="001E73BB"/>
    <w:rsid w:val="001E7655"/>
    <w:rsid w:val="001F1BC9"/>
    <w:rsid w:val="001F4382"/>
    <w:rsid w:val="001F7BBE"/>
    <w:rsid w:val="002008E8"/>
    <w:rsid w:val="0020170D"/>
    <w:rsid w:val="00205502"/>
    <w:rsid w:val="002103C7"/>
    <w:rsid w:val="00225784"/>
    <w:rsid w:val="0022724F"/>
    <w:rsid w:val="00231772"/>
    <w:rsid w:val="00235549"/>
    <w:rsid w:val="00236FC2"/>
    <w:rsid w:val="00237004"/>
    <w:rsid w:val="0024077E"/>
    <w:rsid w:val="00245EC1"/>
    <w:rsid w:val="002570C6"/>
    <w:rsid w:val="0027771B"/>
    <w:rsid w:val="0028432D"/>
    <w:rsid w:val="00296CB0"/>
    <w:rsid w:val="00297225"/>
    <w:rsid w:val="002A5734"/>
    <w:rsid w:val="002A5A17"/>
    <w:rsid w:val="002A5A1A"/>
    <w:rsid w:val="002A7EC1"/>
    <w:rsid w:val="002B0641"/>
    <w:rsid w:val="002B3C5B"/>
    <w:rsid w:val="002B488A"/>
    <w:rsid w:val="002C7949"/>
    <w:rsid w:val="002C7C2B"/>
    <w:rsid w:val="002D0B0C"/>
    <w:rsid w:val="002D0D0D"/>
    <w:rsid w:val="002D2B4C"/>
    <w:rsid w:val="002D3628"/>
    <w:rsid w:val="002D4A60"/>
    <w:rsid w:val="002D4B66"/>
    <w:rsid w:val="002D743F"/>
    <w:rsid w:val="002E02F6"/>
    <w:rsid w:val="002E2577"/>
    <w:rsid w:val="002E2FDB"/>
    <w:rsid w:val="002E5A97"/>
    <w:rsid w:val="002E6218"/>
    <w:rsid w:val="002F0B1E"/>
    <w:rsid w:val="002F3ED8"/>
    <w:rsid w:val="002F471F"/>
    <w:rsid w:val="002F53BF"/>
    <w:rsid w:val="00305842"/>
    <w:rsid w:val="003077E6"/>
    <w:rsid w:val="00312474"/>
    <w:rsid w:val="00315987"/>
    <w:rsid w:val="00324B32"/>
    <w:rsid w:val="00347C31"/>
    <w:rsid w:val="00352D9E"/>
    <w:rsid w:val="00361B91"/>
    <w:rsid w:val="00365AC1"/>
    <w:rsid w:val="00367644"/>
    <w:rsid w:val="00370051"/>
    <w:rsid w:val="00371A42"/>
    <w:rsid w:val="003900B6"/>
    <w:rsid w:val="00393AE2"/>
    <w:rsid w:val="00397867"/>
    <w:rsid w:val="003A252F"/>
    <w:rsid w:val="003A60BC"/>
    <w:rsid w:val="003B095B"/>
    <w:rsid w:val="003B5251"/>
    <w:rsid w:val="003B7D8A"/>
    <w:rsid w:val="003D172E"/>
    <w:rsid w:val="003D20BA"/>
    <w:rsid w:val="003D653E"/>
    <w:rsid w:val="003D71CA"/>
    <w:rsid w:val="003F1E00"/>
    <w:rsid w:val="00405586"/>
    <w:rsid w:val="0040623F"/>
    <w:rsid w:val="004261A7"/>
    <w:rsid w:val="004268D4"/>
    <w:rsid w:val="00430E94"/>
    <w:rsid w:val="0043481C"/>
    <w:rsid w:val="00454EB9"/>
    <w:rsid w:val="004574B7"/>
    <w:rsid w:val="00465979"/>
    <w:rsid w:val="00472AAE"/>
    <w:rsid w:val="0047487B"/>
    <w:rsid w:val="00475DC5"/>
    <w:rsid w:val="00476710"/>
    <w:rsid w:val="00477193"/>
    <w:rsid w:val="00484CE0"/>
    <w:rsid w:val="004861BB"/>
    <w:rsid w:val="00496E99"/>
    <w:rsid w:val="004A2498"/>
    <w:rsid w:val="004A429B"/>
    <w:rsid w:val="004A55BD"/>
    <w:rsid w:val="004A78D3"/>
    <w:rsid w:val="004B0099"/>
    <w:rsid w:val="004B42A5"/>
    <w:rsid w:val="004B4F6F"/>
    <w:rsid w:val="004C2087"/>
    <w:rsid w:val="004C4ACB"/>
    <w:rsid w:val="004C665A"/>
    <w:rsid w:val="004C6F0E"/>
    <w:rsid w:val="004D22B3"/>
    <w:rsid w:val="004D2833"/>
    <w:rsid w:val="004D3D55"/>
    <w:rsid w:val="004D5A04"/>
    <w:rsid w:val="004D6BE4"/>
    <w:rsid w:val="004E7351"/>
    <w:rsid w:val="004F4F40"/>
    <w:rsid w:val="00500E37"/>
    <w:rsid w:val="005157BD"/>
    <w:rsid w:val="00527A99"/>
    <w:rsid w:val="00532980"/>
    <w:rsid w:val="00533A82"/>
    <w:rsid w:val="0057241C"/>
    <w:rsid w:val="005758C9"/>
    <w:rsid w:val="005851DD"/>
    <w:rsid w:val="005860D7"/>
    <w:rsid w:val="0059206B"/>
    <w:rsid w:val="0059359B"/>
    <w:rsid w:val="0059438D"/>
    <w:rsid w:val="00594A79"/>
    <w:rsid w:val="005A0F91"/>
    <w:rsid w:val="005B224C"/>
    <w:rsid w:val="005B6FDD"/>
    <w:rsid w:val="005B70B7"/>
    <w:rsid w:val="005C3347"/>
    <w:rsid w:val="005C5781"/>
    <w:rsid w:val="005C7FF3"/>
    <w:rsid w:val="005D0970"/>
    <w:rsid w:val="005D0D7E"/>
    <w:rsid w:val="005D21A1"/>
    <w:rsid w:val="005E1D6A"/>
    <w:rsid w:val="005F45D1"/>
    <w:rsid w:val="005F5422"/>
    <w:rsid w:val="005F722D"/>
    <w:rsid w:val="00604CDB"/>
    <w:rsid w:val="00606873"/>
    <w:rsid w:val="00624A3F"/>
    <w:rsid w:val="0062579F"/>
    <w:rsid w:val="00626080"/>
    <w:rsid w:val="0063089F"/>
    <w:rsid w:val="006311CF"/>
    <w:rsid w:val="0064305B"/>
    <w:rsid w:val="0064355F"/>
    <w:rsid w:val="00650275"/>
    <w:rsid w:val="00650A45"/>
    <w:rsid w:val="00657935"/>
    <w:rsid w:val="00660676"/>
    <w:rsid w:val="006628D8"/>
    <w:rsid w:val="00667A19"/>
    <w:rsid w:val="0067753B"/>
    <w:rsid w:val="0068306D"/>
    <w:rsid w:val="00683952"/>
    <w:rsid w:val="00694622"/>
    <w:rsid w:val="00695574"/>
    <w:rsid w:val="006958EF"/>
    <w:rsid w:val="0069777D"/>
    <w:rsid w:val="006A5684"/>
    <w:rsid w:val="006B12CF"/>
    <w:rsid w:val="006B65E1"/>
    <w:rsid w:val="006D2CB5"/>
    <w:rsid w:val="006E0130"/>
    <w:rsid w:val="006E0856"/>
    <w:rsid w:val="006E09F3"/>
    <w:rsid w:val="006E531F"/>
    <w:rsid w:val="006F0839"/>
    <w:rsid w:val="006F1467"/>
    <w:rsid w:val="006F39E4"/>
    <w:rsid w:val="006F4F58"/>
    <w:rsid w:val="006F56EC"/>
    <w:rsid w:val="00704B3A"/>
    <w:rsid w:val="00721584"/>
    <w:rsid w:val="007223B2"/>
    <w:rsid w:val="007328EA"/>
    <w:rsid w:val="00735C5A"/>
    <w:rsid w:val="007436CC"/>
    <w:rsid w:val="00751769"/>
    <w:rsid w:val="00766C9B"/>
    <w:rsid w:val="00767F2C"/>
    <w:rsid w:val="00777294"/>
    <w:rsid w:val="0078596A"/>
    <w:rsid w:val="00786619"/>
    <w:rsid w:val="00791A51"/>
    <w:rsid w:val="007A334B"/>
    <w:rsid w:val="007A78C5"/>
    <w:rsid w:val="007B2051"/>
    <w:rsid w:val="007B7161"/>
    <w:rsid w:val="007C1044"/>
    <w:rsid w:val="007C2AA0"/>
    <w:rsid w:val="007C38A6"/>
    <w:rsid w:val="007C651F"/>
    <w:rsid w:val="007D5C62"/>
    <w:rsid w:val="007E25F5"/>
    <w:rsid w:val="007E3E3D"/>
    <w:rsid w:val="007E54F6"/>
    <w:rsid w:val="007E7110"/>
    <w:rsid w:val="007F02AC"/>
    <w:rsid w:val="007F0B9E"/>
    <w:rsid w:val="007F2D6C"/>
    <w:rsid w:val="007F487B"/>
    <w:rsid w:val="007F67BD"/>
    <w:rsid w:val="007F6DBB"/>
    <w:rsid w:val="008019BB"/>
    <w:rsid w:val="008049BC"/>
    <w:rsid w:val="00806C64"/>
    <w:rsid w:val="00810F70"/>
    <w:rsid w:val="0081299D"/>
    <w:rsid w:val="00814E8E"/>
    <w:rsid w:val="008215D8"/>
    <w:rsid w:val="00826CD9"/>
    <w:rsid w:val="00832D07"/>
    <w:rsid w:val="008445FB"/>
    <w:rsid w:val="00857F18"/>
    <w:rsid w:val="0086058F"/>
    <w:rsid w:val="008635CE"/>
    <w:rsid w:val="00863FC8"/>
    <w:rsid w:val="008667AE"/>
    <w:rsid w:val="00874DC3"/>
    <w:rsid w:val="00877C5A"/>
    <w:rsid w:val="008873B8"/>
    <w:rsid w:val="00893D07"/>
    <w:rsid w:val="008A1C8B"/>
    <w:rsid w:val="008A51B8"/>
    <w:rsid w:val="008A63C4"/>
    <w:rsid w:val="008A7DD4"/>
    <w:rsid w:val="008B0E3A"/>
    <w:rsid w:val="008B5850"/>
    <w:rsid w:val="008B6CAD"/>
    <w:rsid w:val="008B782A"/>
    <w:rsid w:val="008C6A3D"/>
    <w:rsid w:val="008D159F"/>
    <w:rsid w:val="008E726B"/>
    <w:rsid w:val="008F1A63"/>
    <w:rsid w:val="008F2980"/>
    <w:rsid w:val="008F4617"/>
    <w:rsid w:val="008F5B87"/>
    <w:rsid w:val="008F791E"/>
    <w:rsid w:val="0090024C"/>
    <w:rsid w:val="00904B59"/>
    <w:rsid w:val="00905107"/>
    <w:rsid w:val="009119B4"/>
    <w:rsid w:val="00912CB0"/>
    <w:rsid w:val="009132C2"/>
    <w:rsid w:val="00916F24"/>
    <w:rsid w:val="00923AFF"/>
    <w:rsid w:val="00925ED3"/>
    <w:rsid w:val="00930CB5"/>
    <w:rsid w:val="0093376F"/>
    <w:rsid w:val="00933FE9"/>
    <w:rsid w:val="00943C51"/>
    <w:rsid w:val="009464E6"/>
    <w:rsid w:val="00947810"/>
    <w:rsid w:val="009501F8"/>
    <w:rsid w:val="00953568"/>
    <w:rsid w:val="0095516A"/>
    <w:rsid w:val="00955FA3"/>
    <w:rsid w:val="00957E53"/>
    <w:rsid w:val="0096333E"/>
    <w:rsid w:val="00973A3D"/>
    <w:rsid w:val="00977398"/>
    <w:rsid w:val="00981BE9"/>
    <w:rsid w:val="0099258B"/>
    <w:rsid w:val="009A733E"/>
    <w:rsid w:val="009B3D9E"/>
    <w:rsid w:val="009B639A"/>
    <w:rsid w:val="009C567F"/>
    <w:rsid w:val="009C7018"/>
    <w:rsid w:val="009D2395"/>
    <w:rsid w:val="009D3C29"/>
    <w:rsid w:val="009E5865"/>
    <w:rsid w:val="009E61CA"/>
    <w:rsid w:val="009E66FB"/>
    <w:rsid w:val="009E7032"/>
    <w:rsid w:val="009F3A22"/>
    <w:rsid w:val="009F6148"/>
    <w:rsid w:val="009F64B3"/>
    <w:rsid w:val="009F6E3A"/>
    <w:rsid w:val="00A363D3"/>
    <w:rsid w:val="00A415CD"/>
    <w:rsid w:val="00A428CB"/>
    <w:rsid w:val="00A47FDD"/>
    <w:rsid w:val="00A5419E"/>
    <w:rsid w:val="00A55C1D"/>
    <w:rsid w:val="00A62E15"/>
    <w:rsid w:val="00A63489"/>
    <w:rsid w:val="00A67F64"/>
    <w:rsid w:val="00A717FE"/>
    <w:rsid w:val="00A80EF6"/>
    <w:rsid w:val="00A81490"/>
    <w:rsid w:val="00A8234C"/>
    <w:rsid w:val="00A82D90"/>
    <w:rsid w:val="00A82FE0"/>
    <w:rsid w:val="00A83F1F"/>
    <w:rsid w:val="00A84044"/>
    <w:rsid w:val="00A8776C"/>
    <w:rsid w:val="00A900E0"/>
    <w:rsid w:val="00A90BBB"/>
    <w:rsid w:val="00A9196D"/>
    <w:rsid w:val="00A96783"/>
    <w:rsid w:val="00AA0A16"/>
    <w:rsid w:val="00AA5E50"/>
    <w:rsid w:val="00AB10A2"/>
    <w:rsid w:val="00AB3E01"/>
    <w:rsid w:val="00AB43DA"/>
    <w:rsid w:val="00AC5303"/>
    <w:rsid w:val="00AC6E0F"/>
    <w:rsid w:val="00AD5117"/>
    <w:rsid w:val="00AE3FDB"/>
    <w:rsid w:val="00AE56A3"/>
    <w:rsid w:val="00AE792D"/>
    <w:rsid w:val="00AF2901"/>
    <w:rsid w:val="00AF6535"/>
    <w:rsid w:val="00B00589"/>
    <w:rsid w:val="00B04764"/>
    <w:rsid w:val="00B0723F"/>
    <w:rsid w:val="00B106D7"/>
    <w:rsid w:val="00B10FBC"/>
    <w:rsid w:val="00B11752"/>
    <w:rsid w:val="00B130ED"/>
    <w:rsid w:val="00B20514"/>
    <w:rsid w:val="00B20E0D"/>
    <w:rsid w:val="00B23BB6"/>
    <w:rsid w:val="00B326D9"/>
    <w:rsid w:val="00B37A22"/>
    <w:rsid w:val="00B4312A"/>
    <w:rsid w:val="00B439A4"/>
    <w:rsid w:val="00B440A8"/>
    <w:rsid w:val="00B47C07"/>
    <w:rsid w:val="00B50DBE"/>
    <w:rsid w:val="00B53BA2"/>
    <w:rsid w:val="00B571AF"/>
    <w:rsid w:val="00B57E7B"/>
    <w:rsid w:val="00B668F3"/>
    <w:rsid w:val="00B6782A"/>
    <w:rsid w:val="00B73447"/>
    <w:rsid w:val="00B7416E"/>
    <w:rsid w:val="00B836B8"/>
    <w:rsid w:val="00B86F62"/>
    <w:rsid w:val="00B922BE"/>
    <w:rsid w:val="00B958B3"/>
    <w:rsid w:val="00BA0C47"/>
    <w:rsid w:val="00BB0309"/>
    <w:rsid w:val="00BB2868"/>
    <w:rsid w:val="00BC0469"/>
    <w:rsid w:val="00BD36C2"/>
    <w:rsid w:val="00BE20E4"/>
    <w:rsid w:val="00BE5241"/>
    <w:rsid w:val="00BE56D5"/>
    <w:rsid w:val="00BE7843"/>
    <w:rsid w:val="00BE7B34"/>
    <w:rsid w:val="00BF0615"/>
    <w:rsid w:val="00BF4455"/>
    <w:rsid w:val="00C008C4"/>
    <w:rsid w:val="00C30332"/>
    <w:rsid w:val="00C415BA"/>
    <w:rsid w:val="00C52649"/>
    <w:rsid w:val="00C71593"/>
    <w:rsid w:val="00C81029"/>
    <w:rsid w:val="00C85BCC"/>
    <w:rsid w:val="00C90CD5"/>
    <w:rsid w:val="00C944C7"/>
    <w:rsid w:val="00CA2B89"/>
    <w:rsid w:val="00CB50D2"/>
    <w:rsid w:val="00CC3157"/>
    <w:rsid w:val="00CD0BF8"/>
    <w:rsid w:val="00CD1609"/>
    <w:rsid w:val="00CE13F7"/>
    <w:rsid w:val="00CE17DA"/>
    <w:rsid w:val="00CE2667"/>
    <w:rsid w:val="00CF602C"/>
    <w:rsid w:val="00CF7AB9"/>
    <w:rsid w:val="00D16868"/>
    <w:rsid w:val="00D258C0"/>
    <w:rsid w:val="00D35F1E"/>
    <w:rsid w:val="00D36184"/>
    <w:rsid w:val="00D448A1"/>
    <w:rsid w:val="00D53BF8"/>
    <w:rsid w:val="00D54B08"/>
    <w:rsid w:val="00D604EF"/>
    <w:rsid w:val="00D611AC"/>
    <w:rsid w:val="00D61D18"/>
    <w:rsid w:val="00D66578"/>
    <w:rsid w:val="00D728E0"/>
    <w:rsid w:val="00D8179B"/>
    <w:rsid w:val="00D84CA5"/>
    <w:rsid w:val="00D86757"/>
    <w:rsid w:val="00D934F0"/>
    <w:rsid w:val="00D94C8C"/>
    <w:rsid w:val="00D967F7"/>
    <w:rsid w:val="00DA1100"/>
    <w:rsid w:val="00DA74B9"/>
    <w:rsid w:val="00DA7581"/>
    <w:rsid w:val="00DB2E90"/>
    <w:rsid w:val="00DB5F85"/>
    <w:rsid w:val="00DC263F"/>
    <w:rsid w:val="00DD3A4D"/>
    <w:rsid w:val="00DD3BD6"/>
    <w:rsid w:val="00DE0E56"/>
    <w:rsid w:val="00DE4A04"/>
    <w:rsid w:val="00E00C9E"/>
    <w:rsid w:val="00E065AC"/>
    <w:rsid w:val="00E07716"/>
    <w:rsid w:val="00E13C74"/>
    <w:rsid w:val="00E24F33"/>
    <w:rsid w:val="00E24FB8"/>
    <w:rsid w:val="00E267F0"/>
    <w:rsid w:val="00E30282"/>
    <w:rsid w:val="00E36C5C"/>
    <w:rsid w:val="00E420BC"/>
    <w:rsid w:val="00E51F4A"/>
    <w:rsid w:val="00E52238"/>
    <w:rsid w:val="00E526A8"/>
    <w:rsid w:val="00E6218B"/>
    <w:rsid w:val="00E66E6A"/>
    <w:rsid w:val="00E830D2"/>
    <w:rsid w:val="00E84E46"/>
    <w:rsid w:val="00E85E36"/>
    <w:rsid w:val="00E9707C"/>
    <w:rsid w:val="00EA2396"/>
    <w:rsid w:val="00EA33E3"/>
    <w:rsid w:val="00EA6559"/>
    <w:rsid w:val="00EB0642"/>
    <w:rsid w:val="00EB0969"/>
    <w:rsid w:val="00EB1829"/>
    <w:rsid w:val="00EB2061"/>
    <w:rsid w:val="00EB4A5E"/>
    <w:rsid w:val="00EB62AC"/>
    <w:rsid w:val="00EC036D"/>
    <w:rsid w:val="00EC41A7"/>
    <w:rsid w:val="00ED1B66"/>
    <w:rsid w:val="00ED5647"/>
    <w:rsid w:val="00ED7699"/>
    <w:rsid w:val="00EE3937"/>
    <w:rsid w:val="00F00FA9"/>
    <w:rsid w:val="00F016C0"/>
    <w:rsid w:val="00F01A28"/>
    <w:rsid w:val="00F03E7B"/>
    <w:rsid w:val="00F16385"/>
    <w:rsid w:val="00F17DDD"/>
    <w:rsid w:val="00F32074"/>
    <w:rsid w:val="00F361DD"/>
    <w:rsid w:val="00F40619"/>
    <w:rsid w:val="00F41B27"/>
    <w:rsid w:val="00F43638"/>
    <w:rsid w:val="00F43B70"/>
    <w:rsid w:val="00F43D50"/>
    <w:rsid w:val="00F46061"/>
    <w:rsid w:val="00F46202"/>
    <w:rsid w:val="00F52027"/>
    <w:rsid w:val="00F55988"/>
    <w:rsid w:val="00F56469"/>
    <w:rsid w:val="00F6464E"/>
    <w:rsid w:val="00F66C57"/>
    <w:rsid w:val="00F67A6F"/>
    <w:rsid w:val="00F7119E"/>
    <w:rsid w:val="00F730DB"/>
    <w:rsid w:val="00F73811"/>
    <w:rsid w:val="00F7528B"/>
    <w:rsid w:val="00F80832"/>
    <w:rsid w:val="00F81210"/>
    <w:rsid w:val="00F8128E"/>
    <w:rsid w:val="00F87409"/>
    <w:rsid w:val="00F94704"/>
    <w:rsid w:val="00F95663"/>
    <w:rsid w:val="00F95C85"/>
    <w:rsid w:val="00FA4AE4"/>
    <w:rsid w:val="00FB227F"/>
    <w:rsid w:val="00FB5971"/>
    <w:rsid w:val="00FC1FD0"/>
    <w:rsid w:val="00FC3BA7"/>
    <w:rsid w:val="00FC57F7"/>
    <w:rsid w:val="00FC5EFB"/>
    <w:rsid w:val="00FC62EC"/>
    <w:rsid w:val="00FD0640"/>
    <w:rsid w:val="00FD0E56"/>
    <w:rsid w:val="00FD10D4"/>
    <w:rsid w:val="00FD112E"/>
    <w:rsid w:val="00FD179A"/>
    <w:rsid w:val="00FD250F"/>
    <w:rsid w:val="00FD2BF1"/>
    <w:rsid w:val="00FD69F1"/>
    <w:rsid w:val="00FE7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A16E0"/>
  <w15:docId w15:val="{EA5303DD-6A8A-4BFB-B9B7-AB1BD868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CA5"/>
    <w:rPr>
      <w:rFonts w:ascii="Arial" w:hAnsi="Arial"/>
      <w:sz w:val="22"/>
      <w:szCs w:val="24"/>
      <w:lang w:eastAsia="en-US"/>
    </w:rPr>
  </w:style>
  <w:style w:type="paragraph" w:styleId="Heading1">
    <w:name w:val="heading 1"/>
    <w:basedOn w:val="Normal"/>
    <w:next w:val="Normal"/>
    <w:link w:val="Heading1Char"/>
    <w:rsid w:val="0008057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2E02F6"/>
    <w:pPr>
      <w:ind w:left="566" w:hanging="283"/>
    </w:pPr>
    <w:rPr>
      <w:rFonts w:ascii="Times New Roman" w:hAnsi="Times New Roman"/>
      <w:sz w:val="24"/>
    </w:rPr>
  </w:style>
  <w:style w:type="paragraph" w:styleId="Header">
    <w:name w:val="header"/>
    <w:basedOn w:val="Normal"/>
    <w:link w:val="HeaderChar"/>
    <w:unhideWhenUsed/>
    <w:rsid w:val="00E9707C"/>
    <w:pPr>
      <w:tabs>
        <w:tab w:val="center" w:pos="4513"/>
        <w:tab w:val="right" w:pos="9026"/>
      </w:tabs>
    </w:pPr>
  </w:style>
  <w:style w:type="character" w:customStyle="1" w:styleId="HeaderChar">
    <w:name w:val="Header Char"/>
    <w:basedOn w:val="DefaultParagraphFont"/>
    <w:link w:val="Header"/>
    <w:rsid w:val="00E9707C"/>
    <w:rPr>
      <w:rFonts w:ascii="Arial" w:hAnsi="Arial"/>
      <w:sz w:val="22"/>
      <w:szCs w:val="24"/>
      <w:lang w:eastAsia="en-US"/>
    </w:rPr>
  </w:style>
  <w:style w:type="paragraph" w:styleId="Footer">
    <w:name w:val="footer"/>
    <w:basedOn w:val="Normal"/>
    <w:link w:val="FooterChar"/>
    <w:uiPriority w:val="99"/>
    <w:unhideWhenUsed/>
    <w:rsid w:val="00E9707C"/>
    <w:pPr>
      <w:tabs>
        <w:tab w:val="center" w:pos="4513"/>
        <w:tab w:val="right" w:pos="9026"/>
      </w:tabs>
    </w:pPr>
  </w:style>
  <w:style w:type="character" w:customStyle="1" w:styleId="FooterChar">
    <w:name w:val="Footer Char"/>
    <w:basedOn w:val="DefaultParagraphFont"/>
    <w:link w:val="Footer"/>
    <w:uiPriority w:val="99"/>
    <w:rsid w:val="00E9707C"/>
    <w:rPr>
      <w:rFonts w:ascii="Arial" w:hAnsi="Arial"/>
      <w:sz w:val="22"/>
      <w:szCs w:val="24"/>
      <w:lang w:eastAsia="en-US"/>
    </w:rPr>
  </w:style>
  <w:style w:type="character" w:styleId="Hyperlink">
    <w:name w:val="Hyperlink"/>
    <w:uiPriority w:val="99"/>
    <w:rsid w:val="00BD36C2"/>
    <w:rPr>
      <w:color w:val="0000FF"/>
      <w:u w:val="single"/>
    </w:rPr>
  </w:style>
  <w:style w:type="paragraph" w:styleId="CommentText">
    <w:name w:val="annotation text"/>
    <w:basedOn w:val="Normal"/>
    <w:link w:val="CommentTextChar"/>
    <w:uiPriority w:val="99"/>
    <w:rsid w:val="00B04764"/>
    <w:rPr>
      <w:sz w:val="20"/>
      <w:szCs w:val="20"/>
    </w:rPr>
  </w:style>
  <w:style w:type="character" w:customStyle="1" w:styleId="CommentTextChar">
    <w:name w:val="Comment Text Char"/>
    <w:basedOn w:val="DefaultParagraphFont"/>
    <w:link w:val="CommentText"/>
    <w:uiPriority w:val="99"/>
    <w:rsid w:val="00B04764"/>
    <w:rPr>
      <w:rFonts w:ascii="Arial" w:hAnsi="Arial"/>
      <w:lang w:eastAsia="en-US"/>
    </w:rPr>
  </w:style>
  <w:style w:type="paragraph" w:styleId="ListParagraph">
    <w:name w:val="List Paragraph"/>
    <w:basedOn w:val="Normal"/>
    <w:link w:val="ListParagraphChar"/>
    <w:uiPriority w:val="34"/>
    <w:qFormat/>
    <w:rsid w:val="00B04764"/>
    <w:pPr>
      <w:spacing w:after="160" w:line="254" w:lineRule="auto"/>
      <w:ind w:left="720"/>
      <w:contextualSpacing/>
    </w:pPr>
    <w:rPr>
      <w:rFonts w:asciiTheme="minorHAnsi" w:eastAsiaTheme="minorHAnsi" w:hAnsiTheme="minorHAnsi" w:cstheme="minorBidi"/>
      <w:szCs w:val="22"/>
    </w:rPr>
  </w:style>
  <w:style w:type="paragraph" w:customStyle="1" w:styleId="Default">
    <w:name w:val="Default"/>
    <w:link w:val="DefaultChar"/>
    <w:rsid w:val="00B04764"/>
    <w:pPr>
      <w:autoSpaceDE w:val="0"/>
      <w:autoSpaceDN w:val="0"/>
      <w:adjustRightInd w:val="0"/>
    </w:pPr>
    <w:rPr>
      <w:rFonts w:ascii="Arial" w:eastAsiaTheme="minorHAnsi" w:hAnsi="Arial" w:cs="Arial"/>
      <w:color w:val="000000"/>
      <w:sz w:val="24"/>
      <w:szCs w:val="24"/>
      <w:lang w:eastAsia="en-US"/>
    </w:rPr>
  </w:style>
  <w:style w:type="table" w:styleId="TableGrid">
    <w:name w:val="Table Grid"/>
    <w:basedOn w:val="TableNormal"/>
    <w:uiPriority w:val="39"/>
    <w:rsid w:val="00B0476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Heading1"/>
    <w:link w:val="Heading-1Char"/>
    <w:qFormat/>
    <w:rsid w:val="00365AC1"/>
    <w:pPr>
      <w:autoSpaceDE w:val="0"/>
      <w:autoSpaceDN w:val="0"/>
      <w:adjustRightInd w:val="0"/>
      <w:spacing w:after="120"/>
    </w:pPr>
    <w:rPr>
      <w:rFonts w:ascii="Arial" w:hAnsi="Arial" w:cs="Arial"/>
      <w:bCs/>
      <w:color w:val="auto"/>
      <w:sz w:val="48"/>
      <w:lang w:eastAsia="en-GB"/>
    </w:rPr>
  </w:style>
  <w:style w:type="paragraph" w:customStyle="1" w:styleId="Paragraph-1">
    <w:name w:val="Paragraph-1"/>
    <w:basedOn w:val="Normal"/>
    <w:link w:val="Paragraph-1Char"/>
    <w:qFormat/>
    <w:rsid w:val="0008057D"/>
    <w:pPr>
      <w:numPr>
        <w:numId w:val="7"/>
      </w:numPr>
      <w:autoSpaceDE w:val="0"/>
      <w:autoSpaceDN w:val="0"/>
      <w:adjustRightInd w:val="0"/>
      <w:spacing w:before="240" w:after="120"/>
    </w:pPr>
    <w:rPr>
      <w:rFonts w:cs="Arial"/>
      <w:sz w:val="24"/>
      <w:lang w:eastAsia="en-GB"/>
    </w:rPr>
  </w:style>
  <w:style w:type="character" w:customStyle="1" w:styleId="Heading1Char">
    <w:name w:val="Heading 1 Char"/>
    <w:basedOn w:val="DefaultParagraphFont"/>
    <w:link w:val="Heading1"/>
    <w:rsid w:val="0008057D"/>
    <w:rPr>
      <w:rFonts w:asciiTheme="majorHAnsi" w:eastAsiaTheme="majorEastAsia" w:hAnsiTheme="majorHAnsi" w:cstheme="majorBidi"/>
      <w:color w:val="365F91" w:themeColor="accent1" w:themeShade="BF"/>
      <w:sz w:val="32"/>
      <w:szCs w:val="32"/>
      <w:lang w:eastAsia="en-US"/>
    </w:rPr>
  </w:style>
  <w:style w:type="character" w:customStyle="1" w:styleId="Heading-1Char">
    <w:name w:val="Heading-1 Char"/>
    <w:basedOn w:val="Heading1Char"/>
    <w:link w:val="Heading-1"/>
    <w:rsid w:val="00365AC1"/>
    <w:rPr>
      <w:rFonts w:ascii="Arial" w:eastAsiaTheme="majorEastAsia" w:hAnsi="Arial" w:cs="Arial"/>
      <w:bCs/>
      <w:color w:val="365F91" w:themeColor="accent1" w:themeShade="BF"/>
      <w:sz w:val="48"/>
      <w:szCs w:val="32"/>
      <w:lang w:eastAsia="en-US"/>
    </w:rPr>
  </w:style>
  <w:style w:type="paragraph" w:customStyle="1" w:styleId="List-1">
    <w:name w:val="List-1"/>
    <w:basedOn w:val="ListParagraph"/>
    <w:link w:val="List-1Char"/>
    <w:qFormat/>
    <w:rsid w:val="00365AC1"/>
    <w:pPr>
      <w:numPr>
        <w:numId w:val="9"/>
      </w:numPr>
      <w:tabs>
        <w:tab w:val="left" w:pos="360"/>
        <w:tab w:val="left" w:pos="1080"/>
        <w:tab w:val="left" w:pos="2880"/>
      </w:tabs>
      <w:autoSpaceDE w:val="0"/>
      <w:autoSpaceDN w:val="0"/>
      <w:adjustRightInd w:val="0"/>
      <w:spacing w:before="240" w:after="120"/>
      <w:contextualSpacing w:val="0"/>
    </w:pPr>
    <w:rPr>
      <w:rFonts w:ascii="Arial" w:hAnsi="Arial" w:cs="Arial"/>
      <w:sz w:val="24"/>
      <w:lang w:eastAsia="en-GB"/>
    </w:rPr>
  </w:style>
  <w:style w:type="character" w:customStyle="1" w:styleId="Paragraph-1Char">
    <w:name w:val="Paragraph-1 Char"/>
    <w:basedOn w:val="DefaultParagraphFont"/>
    <w:link w:val="Paragraph-1"/>
    <w:rsid w:val="0008057D"/>
    <w:rPr>
      <w:rFonts w:ascii="Arial" w:hAnsi="Arial" w:cs="Arial"/>
      <w:sz w:val="24"/>
      <w:szCs w:val="24"/>
    </w:rPr>
  </w:style>
  <w:style w:type="paragraph" w:customStyle="1" w:styleId="Heading-2">
    <w:name w:val="Heading-2"/>
    <w:basedOn w:val="Default"/>
    <w:link w:val="Heading-2Char"/>
    <w:qFormat/>
    <w:rsid w:val="00365AC1"/>
    <w:pPr>
      <w:spacing w:before="240" w:after="120"/>
    </w:pPr>
    <w:rPr>
      <w:bCs/>
      <w:sz w:val="36"/>
      <w:szCs w:val="36"/>
    </w:rPr>
  </w:style>
  <w:style w:type="character" w:customStyle="1" w:styleId="ListParagraphChar">
    <w:name w:val="List Paragraph Char"/>
    <w:basedOn w:val="DefaultParagraphFont"/>
    <w:link w:val="ListParagraph"/>
    <w:uiPriority w:val="34"/>
    <w:rsid w:val="0008057D"/>
    <w:rPr>
      <w:rFonts w:asciiTheme="minorHAnsi" w:eastAsiaTheme="minorHAnsi" w:hAnsiTheme="minorHAnsi" w:cstheme="minorBidi"/>
      <w:sz w:val="22"/>
      <w:szCs w:val="22"/>
      <w:lang w:eastAsia="en-US"/>
    </w:rPr>
  </w:style>
  <w:style w:type="character" w:customStyle="1" w:styleId="List-1Char">
    <w:name w:val="List-1 Char"/>
    <w:basedOn w:val="ListParagraphChar"/>
    <w:link w:val="List-1"/>
    <w:rsid w:val="00365AC1"/>
    <w:rPr>
      <w:rFonts w:ascii="Arial" w:eastAsiaTheme="minorHAnsi" w:hAnsi="Arial" w:cs="Arial"/>
      <w:sz w:val="24"/>
      <w:szCs w:val="22"/>
      <w:lang w:eastAsia="en-US"/>
    </w:rPr>
  </w:style>
  <w:style w:type="character" w:customStyle="1" w:styleId="DefaultChar">
    <w:name w:val="Default Char"/>
    <w:basedOn w:val="DefaultParagraphFont"/>
    <w:link w:val="Default"/>
    <w:rsid w:val="00365AC1"/>
    <w:rPr>
      <w:rFonts w:ascii="Arial" w:eastAsiaTheme="minorHAnsi" w:hAnsi="Arial" w:cs="Arial"/>
      <w:color w:val="000000"/>
      <w:sz w:val="24"/>
      <w:szCs w:val="24"/>
      <w:lang w:eastAsia="en-US"/>
    </w:rPr>
  </w:style>
  <w:style w:type="character" w:customStyle="1" w:styleId="Heading-2Char">
    <w:name w:val="Heading-2 Char"/>
    <w:basedOn w:val="DefaultChar"/>
    <w:link w:val="Heading-2"/>
    <w:rsid w:val="00365AC1"/>
    <w:rPr>
      <w:rFonts w:ascii="Arial" w:eastAsiaTheme="minorHAnsi" w:hAnsi="Arial" w:cs="Arial"/>
      <w:bCs/>
      <w:color w:val="000000"/>
      <w:sz w:val="36"/>
      <w:szCs w:val="36"/>
      <w:lang w:eastAsia="en-US"/>
    </w:rPr>
  </w:style>
  <w:style w:type="character" w:styleId="CommentReference">
    <w:name w:val="annotation reference"/>
    <w:basedOn w:val="DefaultParagraphFont"/>
    <w:semiHidden/>
    <w:unhideWhenUsed/>
    <w:rsid w:val="00832D07"/>
    <w:rPr>
      <w:sz w:val="16"/>
      <w:szCs w:val="16"/>
    </w:rPr>
  </w:style>
  <w:style w:type="paragraph" w:styleId="CommentSubject">
    <w:name w:val="annotation subject"/>
    <w:basedOn w:val="CommentText"/>
    <w:next w:val="CommentText"/>
    <w:link w:val="CommentSubjectChar"/>
    <w:semiHidden/>
    <w:unhideWhenUsed/>
    <w:rsid w:val="00832D07"/>
    <w:rPr>
      <w:b/>
      <w:bCs/>
    </w:rPr>
  </w:style>
  <w:style w:type="character" w:customStyle="1" w:styleId="CommentSubjectChar">
    <w:name w:val="Comment Subject Char"/>
    <w:basedOn w:val="CommentTextChar"/>
    <w:link w:val="CommentSubject"/>
    <w:semiHidden/>
    <w:rsid w:val="00832D07"/>
    <w:rPr>
      <w:rFonts w:ascii="Arial" w:hAnsi="Arial"/>
      <w:b/>
      <w:bCs/>
      <w:lang w:eastAsia="en-US"/>
    </w:rPr>
  </w:style>
  <w:style w:type="paragraph" w:customStyle="1" w:styleId="CM10">
    <w:name w:val="CM10"/>
    <w:basedOn w:val="Default"/>
    <w:next w:val="Default"/>
    <w:uiPriority w:val="99"/>
    <w:rsid w:val="00AC5303"/>
    <w:rPr>
      <w:color w:val="auto"/>
    </w:rPr>
  </w:style>
  <w:style w:type="paragraph" w:customStyle="1" w:styleId="Bulletlist1">
    <w:name w:val="Bullet list 1"/>
    <w:basedOn w:val="Normal"/>
    <w:uiPriority w:val="1"/>
    <w:qFormat/>
    <w:rsid w:val="00AC5303"/>
    <w:pPr>
      <w:numPr>
        <w:numId w:val="17"/>
      </w:numPr>
      <w:spacing w:after="240" w:line="252" w:lineRule="auto"/>
    </w:pPr>
    <w:rPr>
      <w:rFonts w:eastAsia="Calibri" w:cs="Arial"/>
      <w:noProof/>
      <w:sz w:val="24"/>
      <w:szCs w:val="22"/>
      <w:lang w:bidi="he-IL"/>
    </w:rPr>
  </w:style>
  <w:style w:type="paragraph" w:customStyle="1" w:styleId="Bulletlist2">
    <w:name w:val="Bullet list 2"/>
    <w:basedOn w:val="Bulletlist1"/>
    <w:uiPriority w:val="1"/>
    <w:qFormat/>
    <w:rsid w:val="00AC5303"/>
    <w:pPr>
      <w:numPr>
        <w:ilvl w:val="1"/>
      </w:numPr>
      <w:ind w:left="851"/>
    </w:pPr>
    <w:rPr>
      <w:bCs/>
    </w:rPr>
  </w:style>
  <w:style w:type="paragraph" w:customStyle="1" w:styleId="BulletList3">
    <w:name w:val="Bullet List 3"/>
    <w:basedOn w:val="Bulletlist2"/>
    <w:uiPriority w:val="1"/>
    <w:qFormat/>
    <w:rsid w:val="00AC5303"/>
    <w:pPr>
      <w:numPr>
        <w:ilvl w:val="2"/>
      </w:numPr>
      <w:ind w:left="1418"/>
    </w:pPr>
  </w:style>
  <w:style w:type="paragraph" w:styleId="FootnoteText">
    <w:name w:val="footnote text"/>
    <w:basedOn w:val="Normal"/>
    <w:link w:val="FootnoteTextChar"/>
    <w:uiPriority w:val="99"/>
    <w:semiHidden/>
    <w:unhideWhenUsed/>
    <w:rsid w:val="00AC5303"/>
    <w:rPr>
      <w:rFonts w:eastAsiaTheme="minorHAnsi" w:cs="Arial"/>
      <w:sz w:val="20"/>
      <w:szCs w:val="20"/>
    </w:rPr>
  </w:style>
  <w:style w:type="character" w:customStyle="1" w:styleId="FootnoteTextChar">
    <w:name w:val="Footnote Text Char"/>
    <w:basedOn w:val="DefaultParagraphFont"/>
    <w:link w:val="FootnoteText"/>
    <w:uiPriority w:val="99"/>
    <w:semiHidden/>
    <w:rsid w:val="00AC5303"/>
    <w:rPr>
      <w:rFonts w:ascii="Arial" w:eastAsiaTheme="minorHAnsi" w:hAnsi="Arial" w:cs="Arial"/>
      <w:lang w:eastAsia="en-US"/>
    </w:rPr>
  </w:style>
  <w:style w:type="character" w:styleId="FootnoteReference">
    <w:name w:val="footnote reference"/>
    <w:basedOn w:val="DefaultParagraphFont"/>
    <w:uiPriority w:val="99"/>
    <w:semiHidden/>
    <w:unhideWhenUsed/>
    <w:rsid w:val="00AC5303"/>
    <w:rPr>
      <w:vertAlign w:val="superscript"/>
    </w:rPr>
  </w:style>
  <w:style w:type="character" w:styleId="FollowedHyperlink">
    <w:name w:val="FollowedHyperlink"/>
    <w:basedOn w:val="DefaultParagraphFont"/>
    <w:semiHidden/>
    <w:unhideWhenUsed/>
    <w:rsid w:val="00AC5303"/>
    <w:rPr>
      <w:color w:val="800080" w:themeColor="followedHyperlink"/>
      <w:u w:val="single"/>
    </w:rPr>
  </w:style>
  <w:style w:type="paragraph" w:customStyle="1" w:styleId="CM13">
    <w:name w:val="CM13"/>
    <w:basedOn w:val="Default"/>
    <w:next w:val="Default"/>
    <w:uiPriority w:val="99"/>
    <w:rsid w:val="00A90BBB"/>
    <w:rPr>
      <w:color w:val="auto"/>
    </w:rPr>
  </w:style>
  <w:style w:type="paragraph" w:styleId="Revision">
    <w:name w:val="Revision"/>
    <w:hidden/>
    <w:uiPriority w:val="99"/>
    <w:semiHidden/>
    <w:rsid w:val="00EE3937"/>
    <w:rPr>
      <w:rFonts w:ascii="Arial" w:hAnsi="Arial"/>
      <w:sz w:val="22"/>
      <w:szCs w:val="24"/>
      <w:lang w:eastAsia="en-US"/>
    </w:rPr>
  </w:style>
  <w:style w:type="paragraph" w:styleId="EndnoteText">
    <w:name w:val="endnote text"/>
    <w:basedOn w:val="Normal"/>
    <w:link w:val="EndnoteTextChar"/>
    <w:semiHidden/>
    <w:unhideWhenUsed/>
    <w:rsid w:val="009C7018"/>
    <w:rPr>
      <w:sz w:val="20"/>
      <w:szCs w:val="20"/>
    </w:rPr>
  </w:style>
  <w:style w:type="character" w:customStyle="1" w:styleId="EndnoteTextChar">
    <w:name w:val="Endnote Text Char"/>
    <w:basedOn w:val="DefaultParagraphFont"/>
    <w:link w:val="EndnoteText"/>
    <w:semiHidden/>
    <w:rsid w:val="009C7018"/>
    <w:rPr>
      <w:rFonts w:ascii="Arial" w:hAnsi="Arial"/>
      <w:lang w:eastAsia="en-US"/>
    </w:rPr>
  </w:style>
  <w:style w:type="character" w:styleId="EndnoteReference">
    <w:name w:val="endnote reference"/>
    <w:basedOn w:val="DefaultParagraphFont"/>
    <w:semiHidden/>
    <w:unhideWhenUsed/>
    <w:rsid w:val="009C7018"/>
    <w:rPr>
      <w:vertAlign w:val="superscript"/>
    </w:rPr>
  </w:style>
  <w:style w:type="character" w:customStyle="1" w:styleId="ui-provider">
    <w:name w:val="ui-provider"/>
    <w:basedOn w:val="DefaultParagraphFont"/>
    <w:rsid w:val="00231772"/>
  </w:style>
  <w:style w:type="character" w:styleId="UnresolvedMention">
    <w:name w:val="Unresolved Mention"/>
    <w:basedOn w:val="DefaultParagraphFont"/>
    <w:uiPriority w:val="99"/>
    <w:semiHidden/>
    <w:unhideWhenUsed/>
    <w:rsid w:val="00123E4B"/>
    <w:rPr>
      <w:color w:val="605E5C"/>
      <w:shd w:val="clear" w:color="auto" w:fill="E1DFDD"/>
    </w:rPr>
  </w:style>
  <w:style w:type="character" w:customStyle="1" w:styleId="cf01">
    <w:name w:val="cf01"/>
    <w:basedOn w:val="DefaultParagraphFont"/>
    <w:rsid w:val="001C272E"/>
    <w:rPr>
      <w:rFonts w:ascii="Segoe UI" w:hAnsi="Segoe UI" w:cs="Segoe UI" w:hint="default"/>
      <w:sz w:val="18"/>
      <w:szCs w:val="18"/>
    </w:rPr>
  </w:style>
  <w:style w:type="paragraph" w:customStyle="1" w:styleId="pf0">
    <w:name w:val="pf0"/>
    <w:basedOn w:val="Normal"/>
    <w:rsid w:val="00A67F64"/>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929223">
      <w:bodyDiv w:val="1"/>
      <w:marLeft w:val="0"/>
      <w:marRight w:val="0"/>
      <w:marTop w:val="0"/>
      <w:marBottom w:val="0"/>
      <w:divBdr>
        <w:top w:val="none" w:sz="0" w:space="0" w:color="auto"/>
        <w:left w:val="none" w:sz="0" w:space="0" w:color="auto"/>
        <w:bottom w:val="none" w:sz="0" w:space="0" w:color="auto"/>
        <w:right w:val="none" w:sz="0" w:space="0" w:color="auto"/>
      </w:divBdr>
    </w:div>
    <w:div w:id="729185914">
      <w:bodyDiv w:val="1"/>
      <w:marLeft w:val="0"/>
      <w:marRight w:val="0"/>
      <w:marTop w:val="0"/>
      <w:marBottom w:val="0"/>
      <w:divBdr>
        <w:top w:val="none" w:sz="0" w:space="0" w:color="auto"/>
        <w:left w:val="none" w:sz="0" w:space="0" w:color="auto"/>
        <w:bottom w:val="none" w:sz="0" w:space="0" w:color="auto"/>
        <w:right w:val="none" w:sz="0" w:space="0" w:color="auto"/>
      </w:divBdr>
    </w:div>
    <w:div w:id="164188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www.onr.org.uk/our-work/how-we-regulate/enforcement/" TargetMode="External"/><Relationship Id="rId3" Type="http://schemas.openxmlformats.org/officeDocument/2006/relationships/hyperlink" Target="https://www.judiciary.uk/wp-content/uploads/2016/02/law-sheets-no-3-the-worcestershire-case.pdf" TargetMode="External"/><Relationship Id="rId7" Type="http://schemas.openxmlformats.org/officeDocument/2006/relationships/hyperlink" Target="https://query.prod.cms.rt.microsoft.com/cms/api/am/binary/RW19089" TargetMode="External"/><Relationship Id="rId12" Type="http://schemas.openxmlformats.org/officeDocument/2006/relationships/hyperlink" Target="https://www.onr.org.uk/working-with-others/agreements-with-others/memoranda-of-understanding-general-agreements/" TargetMode="External"/><Relationship Id="rId2" Type="http://schemas.openxmlformats.org/officeDocument/2006/relationships/hyperlink" Target="https://www.judiciary.uk/wp-content/uploads/2015/12/worcestershire-county-council-v-hm-coroner-for-the-county-of-worcestershire-2013-ewhc-1711-qb.pdf" TargetMode="External"/><Relationship Id="rId1" Type="http://schemas.openxmlformats.org/officeDocument/2006/relationships/hyperlink" Target="https://www.judiciary.uk/guidance-and-resources/chief-coroners-guidance-no-33-suspension-adjournment-and-resumption-of-investigations-and-inquests1/" TargetMode="External"/><Relationship Id="rId6" Type="http://schemas.openxmlformats.org/officeDocument/2006/relationships/hyperlink" Target="https://www.legislation.gov.uk/ukpga/2018/12/contents" TargetMode="External"/><Relationship Id="rId11" Type="http://schemas.openxmlformats.org/officeDocument/2006/relationships/hyperlink" Target="https://www.hse.gov.uk/scotland/assets/docs/workreldeaths.pdf" TargetMode="External"/><Relationship Id="rId5" Type="http://schemas.openxmlformats.org/officeDocument/2006/relationships/hyperlink" Target="https://www.legislation.gov.uk/eur/2016/679/contents" TargetMode="External"/><Relationship Id="rId10" Type="http://schemas.openxmlformats.org/officeDocument/2006/relationships/hyperlink" Target="https://www.hse.gov.uk/pubns/wrdp2.pdf" TargetMode="External"/><Relationship Id="rId4" Type="http://schemas.openxmlformats.org/officeDocument/2006/relationships/hyperlink" Target="https://www.legislation.gov.uk/uksi/2013/1615/contents/made" TargetMode="External"/><Relationship Id="rId9" Type="http://schemas.openxmlformats.org/officeDocument/2006/relationships/hyperlink" Target="https://www.hse.gov.uk/pubns/wrdp1.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onr.org.uk/copyright" TargetMode="External"/><Relationship Id="rId2" Type="http://schemas.openxmlformats.org/officeDocument/2006/relationships/hyperlink" Target="blocked::blocked::BLOCKED::http://www.hse.gov.uk/copyright"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onr.org.uk/copyright" TargetMode="External"/><Relationship Id="rId2" Type="http://schemas.openxmlformats.org/officeDocument/2006/relationships/hyperlink" Target="blocked::blocked::BLOCKED::http://www.hse.gov.uk/copyrigh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E95E1-1532-415C-AB62-5B3BEC73C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2158</Words>
  <Characters>11787</Characters>
  <Application>Microsoft Office Word</Application>
  <DocSecurity>0</DocSecurity>
  <Lines>231</Lines>
  <Paragraphs>91</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Linda Beckett</cp:lastModifiedBy>
  <cp:revision>3</cp:revision>
  <dcterms:created xsi:type="dcterms:W3CDTF">2026-03-03T16:58:00Z</dcterms:created>
  <dcterms:modified xsi:type="dcterms:W3CDTF">2026-03-05T12:00:00Z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2022-01-18T10:17:42Z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2ccddc02-2a25-4a29-8902-8331077828ea</vt:lpwstr>
  </property>
  <property fmtid="{D5CDD505-2E9C-101B-9397-08002B2CF9AE}" pid="8" name="MSIP_Label_9e5e003a-90eb-47c9-a506-ad47e7a0b281_ContentBits">
    <vt:lpwstr>0</vt:lpwstr>
  </property>
</Properties>
</file>