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9E06D" w14:textId="31D964BF" w:rsidR="009E41C4" w:rsidRPr="00C75D8E" w:rsidRDefault="009E41C4" w:rsidP="005D6618">
      <w:pPr>
        <w:spacing w:after="0"/>
        <w:jc w:val="both"/>
        <w:rPr>
          <w:rFonts w:cs="Arial"/>
          <w:color w:val="767171"/>
          <w:sz w:val="14"/>
          <w:szCs w:val="14"/>
        </w:rPr>
      </w:pPr>
      <w:r w:rsidRPr="00C75D8E">
        <w:rPr>
          <w:rFonts w:cs="Arial"/>
          <w:color w:val="767171"/>
          <w:sz w:val="14"/>
          <w:szCs w:val="14"/>
        </w:rPr>
        <w:t>©</w:t>
      </w:r>
      <w:r w:rsidRPr="00C75D8E">
        <w:rPr>
          <w:rFonts w:cs="Arial"/>
          <w:color w:val="767171"/>
          <w:sz w:val="14"/>
          <w:szCs w:val="14"/>
        </w:rPr>
        <w:fldChar w:fldCharType="begin"/>
      </w:r>
      <w:r w:rsidRPr="00C75D8E">
        <w:rPr>
          <w:rFonts w:cs="Arial"/>
          <w:color w:val="767171"/>
          <w:sz w:val="14"/>
          <w:szCs w:val="14"/>
        </w:rPr>
        <w:instrText>date \@ "YYYY"</w:instrText>
      </w:r>
      <w:r w:rsidRPr="00C75D8E">
        <w:rPr>
          <w:rFonts w:cs="Arial"/>
          <w:color w:val="767171"/>
          <w:sz w:val="14"/>
          <w:szCs w:val="14"/>
        </w:rPr>
        <w:fldChar w:fldCharType="separate"/>
      </w:r>
      <w:r w:rsidR="009832F8">
        <w:rPr>
          <w:rFonts w:cs="Arial"/>
          <w:noProof/>
          <w:color w:val="767171"/>
          <w:sz w:val="14"/>
          <w:szCs w:val="14"/>
        </w:rPr>
        <w:t>2025</w:t>
      </w:r>
      <w:r w:rsidRPr="00C75D8E">
        <w:rPr>
          <w:rFonts w:cs="Arial"/>
          <w:color w:val="767171"/>
          <w:sz w:val="14"/>
          <w:szCs w:val="14"/>
        </w:rPr>
        <w:fldChar w:fldCharType="end"/>
      </w:r>
      <w:r w:rsidRPr="00C75D8E">
        <w:rPr>
          <w:rFonts w:cs="Arial"/>
          <w:color w:val="767171"/>
          <w:sz w:val="14"/>
          <w:szCs w:val="14"/>
        </w:rPr>
        <w:t xml:space="preserve"> Rolls-Royce SMR Ltd</w:t>
      </w:r>
    </w:p>
    <w:p w14:paraId="2D5EA6F3" w14:textId="02C38FD1" w:rsidR="00DD33FA" w:rsidRPr="00C75D8E" w:rsidRDefault="009E41C4" w:rsidP="005D6618">
      <w:pPr>
        <w:tabs>
          <w:tab w:val="clear" w:pos="992"/>
          <w:tab w:val="clear" w:pos="1395"/>
          <w:tab w:val="clear" w:pos="1712"/>
        </w:tabs>
        <w:spacing w:after="200" w:line="276" w:lineRule="auto"/>
        <w:jc w:val="both"/>
        <w:rPr>
          <w:rFonts w:cs="Arial"/>
          <w:color w:val="767171"/>
          <w:sz w:val="14"/>
          <w:szCs w:val="14"/>
        </w:rPr>
      </w:pPr>
      <w:r w:rsidRPr="00C75D8E">
        <w:rPr>
          <w:rFonts w:cs="Arial"/>
          <w:color w:val="767171"/>
          <w:sz w:val="14"/>
          <w:szCs w:val="14"/>
        </w:rPr>
        <w:t>The information in this document is proprietary and confidential to Rolls-Royce SMR and is available to authorised recipients only – copying and onward distribution is prohibited other than for the purpose for which it was made available.</w:t>
      </w:r>
    </w:p>
    <w:tbl>
      <w:tblPr>
        <w:tblpPr w:leftFromText="180" w:rightFromText="180" w:vertAnchor="text" w:horzAnchor="margin" w:tblpY="-4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DD33FA" w:rsidRPr="00C75D8E" w14:paraId="06DD5E44" w14:textId="77777777" w:rsidTr="005456FE">
        <w:trPr>
          <w:trHeight w:val="1125"/>
        </w:trPr>
        <w:tc>
          <w:tcPr>
            <w:tcW w:w="9351" w:type="dxa"/>
            <w:tcBorders>
              <w:bottom w:val="single" w:sz="4" w:space="0" w:color="auto"/>
            </w:tcBorders>
            <w:vAlign w:val="center"/>
          </w:tcPr>
          <w:p w14:paraId="22BA0909" w14:textId="77777777" w:rsidR="00DD33FA" w:rsidRPr="00C75D8E" w:rsidRDefault="00DD33FA" w:rsidP="00DD33FA">
            <w:pPr>
              <w:tabs>
                <w:tab w:val="clear" w:pos="992"/>
                <w:tab w:val="clear" w:pos="1395"/>
                <w:tab w:val="clear" w:pos="1712"/>
                <w:tab w:val="left" w:pos="994"/>
                <w:tab w:val="left" w:pos="1397"/>
                <w:tab w:val="left" w:pos="1714"/>
              </w:tabs>
              <w:spacing w:after="0"/>
              <w:rPr>
                <w:rFonts w:eastAsia="Times New Roman" w:cs="Times New Roman"/>
                <w:b/>
                <w:sz w:val="32"/>
                <w:szCs w:val="32"/>
                <w:lang w:eastAsia="en-GB"/>
              </w:rPr>
            </w:pPr>
          </w:p>
          <w:p w14:paraId="55F950C5" w14:textId="54C7863C" w:rsidR="00DD33FA" w:rsidRPr="00C75D8E" w:rsidRDefault="00DD33FA" w:rsidP="00DD33FA">
            <w:pPr>
              <w:pStyle w:val="ReportField"/>
              <w:spacing w:line="276" w:lineRule="auto"/>
              <w:jc w:val="center"/>
              <w:rPr>
                <w:b/>
                <w:sz w:val="32"/>
                <w:szCs w:val="32"/>
              </w:rPr>
            </w:pPr>
            <w:r w:rsidRPr="00C75D8E">
              <w:rPr>
                <w:b/>
                <w:sz w:val="32"/>
                <w:szCs w:val="32"/>
              </w:rPr>
              <w:t>Rolls-Royce SMR RO Resolution Plan</w:t>
            </w:r>
          </w:p>
          <w:p w14:paraId="589C7FBD" w14:textId="77777777" w:rsidR="00DD33FA" w:rsidRPr="00C75D8E" w:rsidRDefault="00DD33FA" w:rsidP="00DD33FA">
            <w:pPr>
              <w:pStyle w:val="ReportField"/>
              <w:spacing w:line="276" w:lineRule="auto"/>
              <w:jc w:val="center"/>
              <w:rPr>
                <w:b/>
                <w:sz w:val="28"/>
              </w:rPr>
            </w:pPr>
          </w:p>
        </w:tc>
      </w:tr>
    </w:tbl>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12"/>
      </w:tblGrid>
      <w:tr w:rsidR="00DD33FA" w:rsidRPr="00C75D8E" w14:paraId="61CBE02D" w14:textId="77777777" w:rsidTr="005456FE">
        <w:trPr>
          <w:trHeight w:val="284"/>
        </w:trPr>
        <w:tc>
          <w:tcPr>
            <w:tcW w:w="3539" w:type="dxa"/>
            <w:tcBorders>
              <w:left w:val="single" w:sz="4" w:space="0" w:color="auto"/>
              <w:bottom w:val="single" w:sz="4" w:space="0" w:color="auto"/>
              <w:right w:val="single" w:sz="4" w:space="0" w:color="auto"/>
            </w:tcBorders>
            <w:vAlign w:val="center"/>
          </w:tcPr>
          <w:p w14:paraId="102C6258" w14:textId="2B027A7C" w:rsidR="00DD33FA" w:rsidRPr="00C75D8E" w:rsidRDefault="00DD33FA">
            <w:pPr>
              <w:pStyle w:val="ReportTitles"/>
              <w:rPr>
                <w:sz w:val="24"/>
                <w:szCs w:val="24"/>
              </w:rPr>
            </w:pPr>
            <w:r w:rsidRPr="00C75D8E">
              <w:rPr>
                <w:sz w:val="24"/>
                <w:szCs w:val="24"/>
              </w:rPr>
              <w:t>RO unique Number:</w:t>
            </w:r>
          </w:p>
        </w:tc>
        <w:tc>
          <w:tcPr>
            <w:tcW w:w="5812" w:type="dxa"/>
            <w:tcBorders>
              <w:left w:val="single" w:sz="4" w:space="0" w:color="auto"/>
              <w:bottom w:val="single" w:sz="4" w:space="0" w:color="auto"/>
              <w:right w:val="single" w:sz="4" w:space="0" w:color="auto"/>
            </w:tcBorders>
            <w:vAlign w:val="center"/>
          </w:tcPr>
          <w:p w14:paraId="11C586AA" w14:textId="44202A61" w:rsidR="00DD33FA" w:rsidRPr="00C75D8E" w:rsidRDefault="00F02BF5">
            <w:r w:rsidRPr="00C75D8E">
              <w:t>RO-RRSMR-010</w:t>
            </w:r>
          </w:p>
        </w:tc>
      </w:tr>
      <w:tr w:rsidR="00DD33FA" w:rsidRPr="00C75D8E" w14:paraId="7F0F7537" w14:textId="77777777" w:rsidTr="005456FE">
        <w:trPr>
          <w:trHeight w:val="284"/>
        </w:trPr>
        <w:tc>
          <w:tcPr>
            <w:tcW w:w="3539" w:type="dxa"/>
            <w:tcBorders>
              <w:left w:val="single" w:sz="4" w:space="0" w:color="auto"/>
              <w:bottom w:val="single" w:sz="4" w:space="0" w:color="auto"/>
              <w:right w:val="single" w:sz="4" w:space="0" w:color="auto"/>
            </w:tcBorders>
            <w:vAlign w:val="center"/>
          </w:tcPr>
          <w:p w14:paraId="4E780214" w14:textId="203D0BDD" w:rsidR="00DD33FA" w:rsidRPr="00C75D8E" w:rsidRDefault="00DD33FA">
            <w:pPr>
              <w:pStyle w:val="ReportTitles"/>
              <w:rPr>
                <w:b w:val="0"/>
                <w:sz w:val="24"/>
                <w:szCs w:val="24"/>
              </w:rPr>
            </w:pPr>
            <w:r w:rsidRPr="00C75D8E">
              <w:rPr>
                <w:sz w:val="24"/>
                <w:szCs w:val="24"/>
              </w:rPr>
              <w:t>RO Title:</w:t>
            </w:r>
          </w:p>
        </w:tc>
        <w:tc>
          <w:tcPr>
            <w:tcW w:w="5812" w:type="dxa"/>
            <w:tcBorders>
              <w:left w:val="single" w:sz="4" w:space="0" w:color="auto"/>
              <w:bottom w:val="single" w:sz="4" w:space="0" w:color="auto"/>
              <w:right w:val="single" w:sz="4" w:space="0" w:color="auto"/>
            </w:tcBorders>
            <w:vAlign w:val="center"/>
          </w:tcPr>
          <w:p w14:paraId="6CF49BF2" w14:textId="48A046E7" w:rsidR="00DD33FA" w:rsidRPr="00C75D8E" w:rsidRDefault="00F648FB">
            <w:r w:rsidRPr="00C75D8E">
              <w:t>Demonstration of the appropriate power rating and performance capability of the Electrical Power System</w:t>
            </w:r>
          </w:p>
        </w:tc>
      </w:tr>
      <w:tr w:rsidR="00056731" w:rsidRPr="00C75D8E" w14:paraId="5E467D53" w14:textId="77777777" w:rsidTr="005456FE">
        <w:trPr>
          <w:trHeight w:val="284"/>
        </w:trPr>
        <w:tc>
          <w:tcPr>
            <w:tcW w:w="3539" w:type="dxa"/>
            <w:tcBorders>
              <w:left w:val="single" w:sz="4" w:space="0" w:color="auto"/>
              <w:bottom w:val="single" w:sz="4" w:space="0" w:color="auto"/>
              <w:right w:val="single" w:sz="4" w:space="0" w:color="auto"/>
            </w:tcBorders>
            <w:vAlign w:val="center"/>
          </w:tcPr>
          <w:p w14:paraId="44A2A32A" w14:textId="4280778F" w:rsidR="00056731" w:rsidRPr="00C75D8E" w:rsidRDefault="00056731">
            <w:pPr>
              <w:pStyle w:val="ReportTitles"/>
              <w:rPr>
                <w:sz w:val="24"/>
                <w:szCs w:val="24"/>
              </w:rPr>
            </w:pPr>
            <w:r w:rsidRPr="00C75D8E">
              <w:rPr>
                <w:sz w:val="24"/>
                <w:szCs w:val="24"/>
              </w:rPr>
              <w:t>Lead Technical topic:</w:t>
            </w:r>
          </w:p>
        </w:tc>
        <w:tc>
          <w:tcPr>
            <w:tcW w:w="5812" w:type="dxa"/>
            <w:tcBorders>
              <w:left w:val="single" w:sz="4" w:space="0" w:color="auto"/>
              <w:bottom w:val="single" w:sz="4" w:space="0" w:color="auto"/>
              <w:right w:val="single" w:sz="4" w:space="0" w:color="auto"/>
            </w:tcBorders>
            <w:vAlign w:val="center"/>
          </w:tcPr>
          <w:p w14:paraId="2E5A6E4E" w14:textId="207E45E7" w:rsidR="00056731" w:rsidRPr="00C75D8E" w:rsidRDefault="0058762B">
            <w:r w:rsidRPr="00C75D8E">
              <w:t>Electrical Engineering</w:t>
            </w:r>
          </w:p>
        </w:tc>
      </w:tr>
      <w:tr w:rsidR="00DD33FA" w:rsidRPr="00C75D8E" w14:paraId="43C036FE" w14:textId="77777777" w:rsidTr="005456FE">
        <w:trPr>
          <w:trHeight w:val="284"/>
        </w:trPr>
        <w:tc>
          <w:tcPr>
            <w:tcW w:w="3539" w:type="dxa"/>
            <w:tcBorders>
              <w:left w:val="single" w:sz="4" w:space="0" w:color="auto"/>
              <w:bottom w:val="single" w:sz="4" w:space="0" w:color="auto"/>
              <w:right w:val="single" w:sz="4" w:space="0" w:color="auto"/>
            </w:tcBorders>
            <w:vAlign w:val="center"/>
          </w:tcPr>
          <w:p w14:paraId="7C9339D9" w14:textId="55777DD8" w:rsidR="00DD33FA" w:rsidRPr="00C75D8E" w:rsidRDefault="00DD33FA">
            <w:pPr>
              <w:pStyle w:val="ReportTitles"/>
              <w:rPr>
                <w:sz w:val="24"/>
                <w:szCs w:val="24"/>
              </w:rPr>
            </w:pPr>
            <w:r w:rsidRPr="00C75D8E">
              <w:rPr>
                <w:sz w:val="24"/>
                <w:szCs w:val="24"/>
              </w:rPr>
              <w:t>Related Technical topic(s)</w:t>
            </w:r>
            <w:r w:rsidR="00056731" w:rsidRPr="00C75D8E">
              <w:rPr>
                <w:sz w:val="24"/>
                <w:szCs w:val="24"/>
              </w:rPr>
              <w:t>:</w:t>
            </w:r>
          </w:p>
        </w:tc>
        <w:tc>
          <w:tcPr>
            <w:tcW w:w="5812" w:type="dxa"/>
            <w:tcBorders>
              <w:left w:val="single" w:sz="4" w:space="0" w:color="auto"/>
              <w:bottom w:val="single" w:sz="4" w:space="0" w:color="auto"/>
              <w:right w:val="single" w:sz="4" w:space="0" w:color="auto"/>
            </w:tcBorders>
            <w:vAlign w:val="center"/>
          </w:tcPr>
          <w:p w14:paraId="371F3850" w14:textId="68BF5C3E" w:rsidR="00DD33FA" w:rsidRPr="00C75D8E" w:rsidRDefault="00502AA2" w:rsidP="00502AA2">
            <w:r w:rsidRPr="00C75D8E">
              <w:t>Control &amp; Instrumentation</w:t>
            </w:r>
            <w:r w:rsidRPr="00C75D8E">
              <w:br/>
              <w:t>External Hazards</w:t>
            </w:r>
            <w:r w:rsidRPr="00C75D8E">
              <w:br/>
              <w:t>Fault Studies</w:t>
            </w:r>
            <w:r w:rsidRPr="00C75D8E">
              <w:br/>
              <w:t>Internal Hazards</w:t>
            </w:r>
            <w:r w:rsidRPr="00C75D8E">
              <w:br/>
              <w:t>Mechanical Engineering</w:t>
            </w:r>
            <w:r w:rsidRPr="00C75D8E">
              <w:br/>
              <w:t>Severe Accident Analysis</w:t>
            </w:r>
          </w:p>
        </w:tc>
      </w:tr>
    </w:tbl>
    <w:p w14:paraId="0AC93456" w14:textId="1A80E2EC" w:rsidR="00E33EEB" w:rsidRPr="00C75D8E" w:rsidRDefault="00E33EEB"/>
    <w:p w14:paraId="40A7BCA7" w14:textId="1F4764E5" w:rsidR="00E33EEB" w:rsidRPr="00C75D8E" w:rsidRDefault="00A2500E" w:rsidP="00E33EEB">
      <w:pPr>
        <w:pStyle w:val="Heading2"/>
        <w:rPr>
          <w:rFonts w:ascii="RR Pioneer" w:hAnsi="RR Pioneer"/>
        </w:rPr>
      </w:pPr>
      <w:r w:rsidRPr="00C75D8E">
        <w:rPr>
          <w:rFonts w:ascii="RR Pioneer" w:hAnsi="RR Pioneer"/>
        </w:rPr>
        <w:t>Backgrou</w:t>
      </w:r>
      <w:r w:rsidR="00C4295D">
        <w:rPr>
          <w:rFonts w:ascii="RR Pioneer" w:hAnsi="RR Pioneer"/>
        </w:rPr>
        <w:t>n</w:t>
      </w:r>
      <w:r w:rsidRPr="00C75D8E">
        <w:rPr>
          <w:rFonts w:ascii="RR Pioneer" w:hAnsi="RR Pioneer"/>
        </w:rPr>
        <w:t>d</w:t>
      </w:r>
    </w:p>
    <w:p w14:paraId="6D419CDC" w14:textId="6F8EEC10" w:rsidR="00BD4B24" w:rsidRDefault="00BD4B24" w:rsidP="005D6618">
      <w:pPr>
        <w:jc w:val="both"/>
      </w:pPr>
      <w:r>
        <w:t>Electrical Power Systems (EPS) are important to Nuclear Power Plants (NPP) in providing both the sources of electrical energy and then distributing that energy to safety equipment that delivers the various safety functions to bring the NPP to a controlled and then safe shutdown state.</w:t>
      </w:r>
    </w:p>
    <w:p w14:paraId="65A106DB" w14:textId="734539D4" w:rsidR="00BD4B24" w:rsidRDefault="00BD4B24" w:rsidP="005D6618">
      <w:pPr>
        <w:jc w:val="both"/>
      </w:pPr>
      <w:r>
        <w:t>ONR’s “Generic Design Assessment Technical Guidance”</w:t>
      </w:r>
      <w:r w:rsidR="00484142" w:rsidRPr="00484142">
        <w:t xml:space="preserve"> </w:t>
      </w:r>
      <w:r w:rsidR="00484142" w:rsidRPr="00484142">
        <w:fldChar w:fldCharType="begin"/>
      </w:r>
      <w:r w:rsidR="00484142" w:rsidRPr="00484142">
        <w:instrText xml:space="preserve"> REF _Ref207613436 \r \h </w:instrText>
      </w:r>
      <w:r w:rsidR="00484142">
        <w:instrText xml:space="preserve"> \* MERGEFORMAT </w:instrText>
      </w:r>
      <w:r w:rsidR="00484142" w:rsidRPr="00484142">
        <w:fldChar w:fldCharType="separate"/>
      </w:r>
      <w:r w:rsidR="001E2FCA">
        <w:t>[1]</w:t>
      </w:r>
      <w:r w:rsidR="00484142" w:rsidRPr="00484142">
        <w:fldChar w:fldCharType="end"/>
      </w:r>
      <w:r>
        <w:t xml:space="preserve"> provides specific guidance on the aspects of electrical engineering that ONR would expect to assess as part of GDA. This includes “a computer based model should be established by the RP [Requesting Party] for the purpose of studying the system under steady state conditions and in response to a range of postulated disturbances which can challenge the system performance. The studies should consider all modes of operation including normal operation, plant shutdown, on line plant maintenance, testing of standby sources and operation from standby sources…The results of the studies should be assessed to confirm compliance with pre-defined acceptance criteria.”</w:t>
      </w:r>
    </w:p>
    <w:p w14:paraId="6D0FE043" w14:textId="43C8FF4C" w:rsidR="00BD4B24" w:rsidRDefault="00BD4B24" w:rsidP="005D6618">
      <w:pPr>
        <w:jc w:val="both"/>
      </w:pPr>
      <w:r>
        <w:t>ONR has reinforced this regulatory expectation with Rolls-Royce SMR Ltd, the Requesting Party (RP), that electrical system studies should be undertaken ensuring they “demonstrate the adequacy of the design” and be using the “fault scenarios and associated electrical loading sequences to inform electrical analyses”. As part of the agreed Step 3 submission schedule, the RP has submitted the initial set of documents to fulfil the analysis</w:t>
      </w:r>
      <w:r w:rsidR="00484142">
        <w:t xml:space="preserve"> </w:t>
      </w:r>
      <w:r w:rsidR="00484142">
        <w:fldChar w:fldCharType="begin"/>
      </w:r>
      <w:r w:rsidR="00484142">
        <w:instrText xml:space="preserve"> REF _Ref207613432 \r \h </w:instrText>
      </w:r>
      <w:r w:rsidR="00484142">
        <w:fldChar w:fldCharType="separate"/>
      </w:r>
      <w:r w:rsidR="001E2FCA">
        <w:t>[2]</w:t>
      </w:r>
      <w:r w:rsidR="00484142">
        <w:fldChar w:fldCharType="end"/>
      </w:r>
      <w:r>
        <w:t xml:space="preserve">. </w:t>
      </w:r>
    </w:p>
    <w:p w14:paraId="555504F4" w14:textId="76B042A2" w:rsidR="00BD4B24" w:rsidRDefault="00BD4B24" w:rsidP="005D6618">
      <w:pPr>
        <w:jc w:val="both"/>
      </w:pPr>
      <w:r>
        <w:t>Those submissions do not give sufficient explanation of the process or analysis of the system sizing or performance for ONR to have confidence that the EPS is adequately designed to perform as required by the E3S case.</w:t>
      </w:r>
    </w:p>
    <w:p w14:paraId="119CC532" w14:textId="48FF430E" w:rsidR="00BD4B24" w:rsidRDefault="00BD4B24" w:rsidP="005D6618">
      <w:pPr>
        <w:jc w:val="both"/>
      </w:pPr>
      <w:r>
        <w:t xml:space="preserve">ONR is concerned that the RP has not clearly presented the system models or the design data used throughout the studies in a manner which allows it to have confidence that the models adequately reflect the EPS or that the modelling data adequately represents the equipment parameters of </w:t>
      </w:r>
      <w:r>
        <w:lastRenderedPageBreak/>
        <w:t>Systems, Structures and Components (SSC). The choices or assumptions made in the development of the model or defining equipment characteristics are not consistently presented or justified.</w:t>
      </w:r>
    </w:p>
    <w:p w14:paraId="7D687DD3" w14:textId="0DB922C9" w:rsidR="00BD4B24" w:rsidRDefault="00BD4B24" w:rsidP="005D6618">
      <w:pPr>
        <w:jc w:val="both"/>
      </w:pPr>
      <w:r>
        <w:t>This lack of clarity continues with the selection of conditions for study, where aspects such as the modes of operation, fault sequences and limiting conditions of operation in the development of bounding cases are not clearly presented or justified.</w:t>
      </w:r>
    </w:p>
    <w:p w14:paraId="770D9B08" w14:textId="03AB13A4" w:rsidR="00BD4B24" w:rsidRDefault="00BD4B24" w:rsidP="005D6618">
      <w:pPr>
        <w:jc w:val="both"/>
      </w:pPr>
      <w:r>
        <w:t>The acceptance criteria for studies are not consistently identified or linked to requirements in the safety case, which results in inadequate demonstration of the design or identification of gaps, and appropriate actions to mitigate those gaps.</w:t>
      </w:r>
    </w:p>
    <w:p w14:paraId="32BE76F4" w14:textId="01DB3990" w:rsidR="00BD4B24" w:rsidRDefault="00BD4B24" w:rsidP="005D6618">
      <w:pPr>
        <w:jc w:val="both"/>
      </w:pPr>
      <w:r>
        <w:t>Finally, in the documents submitted to date, there are a number of areas where the results do not meet the RP’s own acceptance criteria. As a result, a fundamental expectation of [1] that “the results of the studies should be assessed to confirm compliance with pre-defined acceptance criteria” has not been met and it is therefore not being demonstrated that the electrical system is appropriately designed to fulfil its safety role or be operable in a safe manner.</w:t>
      </w:r>
    </w:p>
    <w:p w14:paraId="50F302CB" w14:textId="6947165F" w:rsidR="00BD4B24" w:rsidRDefault="00BD4B24" w:rsidP="005D6618">
      <w:pPr>
        <w:jc w:val="both"/>
      </w:pPr>
      <w:r>
        <w:t xml:space="preserve">A Regulatory Query (RQ) </w:t>
      </w:r>
      <w:r w:rsidR="00484142">
        <w:rPr>
          <w:highlight w:val="yellow"/>
        </w:rPr>
        <w:fldChar w:fldCharType="begin"/>
      </w:r>
      <w:r w:rsidR="00484142">
        <w:instrText xml:space="preserve"> REF _Ref207613472 \r \h </w:instrText>
      </w:r>
      <w:r w:rsidR="00484142">
        <w:rPr>
          <w:highlight w:val="yellow"/>
        </w:rPr>
      </w:r>
      <w:r w:rsidR="00484142">
        <w:rPr>
          <w:highlight w:val="yellow"/>
        </w:rPr>
        <w:fldChar w:fldCharType="separate"/>
      </w:r>
      <w:r w:rsidR="001E2FCA">
        <w:t>[3]</w:t>
      </w:r>
      <w:r w:rsidR="00484142">
        <w:rPr>
          <w:highlight w:val="yellow"/>
        </w:rPr>
        <w:fldChar w:fldCharType="end"/>
      </w:r>
      <w:r>
        <w:t xml:space="preserve"> has been raised to seek clarity on individual aspects of submissions to date that has highlighted that the gaps are unlikely to be fully addressed through clarification provided in the responses to the RQs.</w:t>
      </w:r>
    </w:p>
    <w:p w14:paraId="746324FB" w14:textId="5376ED9F" w:rsidR="00BD4B24" w:rsidRPr="00F7217A" w:rsidRDefault="00BD4B24" w:rsidP="005D6618">
      <w:pPr>
        <w:jc w:val="both"/>
      </w:pPr>
      <w:r>
        <w:t xml:space="preserve">This Regulatory Observation has therefore been raised to ensure that there is a robust demonstration of the adequacy of the EPS to distribute electrical power in all operating modes and </w:t>
      </w:r>
      <w:r w:rsidRPr="00F7217A">
        <w:t>in the presence of a range of postulated disturbances.</w:t>
      </w:r>
    </w:p>
    <w:p w14:paraId="1A8E9FDB" w14:textId="77777777" w:rsidR="00BD4B24" w:rsidRPr="005D6618" w:rsidRDefault="00BD4B24" w:rsidP="005D6618">
      <w:pPr>
        <w:pStyle w:val="Heading3"/>
        <w:jc w:val="both"/>
        <w:rPr>
          <w:rFonts w:ascii="RR Pioneer" w:hAnsi="RR Pioneer"/>
        </w:rPr>
      </w:pPr>
      <w:r w:rsidRPr="005D6618">
        <w:rPr>
          <w:rFonts w:ascii="RR Pioneer" w:hAnsi="RR Pioneer"/>
        </w:rPr>
        <w:t>Relevant Legislation, Standards and Guidance</w:t>
      </w:r>
    </w:p>
    <w:p w14:paraId="04570010" w14:textId="51347173" w:rsidR="00BD4B24" w:rsidRPr="00F7217A" w:rsidRDefault="00BD4B24" w:rsidP="005D6618">
      <w:pPr>
        <w:jc w:val="both"/>
      </w:pPr>
      <w:r w:rsidRPr="00F7217A">
        <w:t>EPS provide an essential support function in supplying electrical power to safety functions. A reliable power supply is critical for maintaining control during normal operations, anticipated deviations from normal operation, as well as to power, control and monitor relevant plant safety functions in design basis accidents and design extension conditions. This importance is reflected in a number of standards and guidance documents, both international and national.</w:t>
      </w:r>
    </w:p>
    <w:p w14:paraId="52596961" w14:textId="0990D7DC" w:rsidR="00BD4B24" w:rsidRDefault="00BD4B24" w:rsidP="005D6618">
      <w:pPr>
        <w:jc w:val="both"/>
      </w:pPr>
      <w:r>
        <w:t xml:space="preserve">Requirement 41 of IAEA Specific Safety Requirement SSR-2/1 (Rev.1) </w:t>
      </w:r>
      <w:r w:rsidR="00484142">
        <w:fldChar w:fldCharType="begin"/>
      </w:r>
      <w:r w:rsidR="00484142">
        <w:instrText xml:space="preserve"> REF _Ref207613486 \r \h </w:instrText>
      </w:r>
      <w:r w:rsidR="00484142">
        <w:fldChar w:fldCharType="separate"/>
      </w:r>
      <w:r w:rsidR="001E2FCA">
        <w:t>[4]</w:t>
      </w:r>
      <w:r w:rsidR="00484142">
        <w:fldChar w:fldCharType="end"/>
      </w:r>
      <w:r w:rsidR="00484142">
        <w:t xml:space="preserve"> </w:t>
      </w:r>
      <w:r>
        <w:t>reflects this expectation:</w:t>
      </w:r>
    </w:p>
    <w:p w14:paraId="07C069AE" w14:textId="694CA71E" w:rsidR="00BD4B24" w:rsidRDefault="00BD4B24" w:rsidP="005D6618">
      <w:pPr>
        <w:jc w:val="both"/>
      </w:pPr>
      <w:r>
        <w:t>“The functionality of items important to safety at the nuclear power plant shall not be compromised by disturbances in the electrical power grid, including anticipated variations in the voltage and frequency of the grid supply.”</w:t>
      </w:r>
    </w:p>
    <w:p w14:paraId="36047BEB" w14:textId="1C582AED" w:rsidR="00BD4B24" w:rsidRDefault="00BD4B24" w:rsidP="005D6618">
      <w:pPr>
        <w:jc w:val="both"/>
      </w:pPr>
      <w:r>
        <w:t xml:space="preserve">This is further reflected in many of the sections of the IAEA Specific Safety Guide for Electrical Power Systems SSG-34 </w:t>
      </w:r>
      <w:r w:rsidR="00EE6E32">
        <w:rPr>
          <w:highlight w:val="yellow"/>
        </w:rPr>
        <w:fldChar w:fldCharType="begin"/>
      </w:r>
      <w:r w:rsidR="00EE6E32">
        <w:instrText xml:space="preserve"> REF _Ref207613498 \r \h </w:instrText>
      </w:r>
      <w:r w:rsidR="00EE6E32">
        <w:rPr>
          <w:highlight w:val="yellow"/>
        </w:rPr>
      </w:r>
      <w:r w:rsidR="00EE6E32">
        <w:rPr>
          <w:highlight w:val="yellow"/>
        </w:rPr>
        <w:fldChar w:fldCharType="separate"/>
      </w:r>
      <w:r w:rsidR="001E2FCA">
        <w:t>[5]</w:t>
      </w:r>
      <w:r w:rsidR="00EE6E32">
        <w:rPr>
          <w:highlight w:val="yellow"/>
        </w:rPr>
        <w:fldChar w:fldCharType="end"/>
      </w:r>
      <w:r>
        <w:t>. For example, Paragraph 2.19 identifies the need to consider margins and conservatisms in the design whilst Section 4 outlines the need to identify and consider the design bases, all operational states, all modes of operation and all possible events in the analysis.</w:t>
      </w:r>
    </w:p>
    <w:p w14:paraId="1A453639" w14:textId="56BA7825" w:rsidR="00BD4B24" w:rsidRDefault="00BD4B24" w:rsidP="005D6618">
      <w:pPr>
        <w:jc w:val="both"/>
      </w:pPr>
      <w:r>
        <w:t xml:space="preserve">BE EN IEC 63046:2021 </w:t>
      </w:r>
      <w:r w:rsidR="00EE6E32">
        <w:rPr>
          <w:highlight w:val="yellow"/>
        </w:rPr>
        <w:fldChar w:fldCharType="begin"/>
      </w:r>
      <w:r w:rsidR="00EE6E32">
        <w:instrText xml:space="preserve"> REF _Ref207613509 \r \h </w:instrText>
      </w:r>
      <w:r w:rsidR="00EE6E32">
        <w:rPr>
          <w:highlight w:val="yellow"/>
        </w:rPr>
      </w:r>
      <w:r w:rsidR="00EE6E32">
        <w:rPr>
          <w:highlight w:val="yellow"/>
        </w:rPr>
        <w:fldChar w:fldCharType="separate"/>
      </w:r>
      <w:r w:rsidR="001E2FCA">
        <w:t>[6]</w:t>
      </w:r>
      <w:r w:rsidR="00EE6E32">
        <w:rPr>
          <w:highlight w:val="yellow"/>
        </w:rPr>
        <w:fldChar w:fldCharType="end"/>
      </w:r>
      <w:r>
        <w:t xml:space="preserve"> establishes the “high level specification requirement to implement a suitable Electrical Power System in a NPP that supports reactor systems important to safety.” It sets out the importance of ensuring “the electrical design of the Electrical Power System shall be verified” and that such verification should be “carried out and documented at each step of the design”. It recognises the importance of applying a ‘margin strategy’ to the electrical system studies “to cover modification during the NPP project design phase”.</w:t>
      </w:r>
    </w:p>
    <w:p w14:paraId="2067D861" w14:textId="77E3F7E4" w:rsidR="00BD4B24" w:rsidRDefault="00BD4B24" w:rsidP="005D6618">
      <w:pPr>
        <w:jc w:val="both"/>
      </w:pPr>
      <w:r>
        <w:t xml:space="preserve">BS EN IEC 62855:2021 </w:t>
      </w:r>
      <w:r w:rsidR="00EE6E32">
        <w:rPr>
          <w:highlight w:val="yellow"/>
        </w:rPr>
        <w:fldChar w:fldCharType="begin"/>
      </w:r>
      <w:r w:rsidR="00EE6E32">
        <w:instrText xml:space="preserve"> REF _Ref207613520 \r \h </w:instrText>
      </w:r>
      <w:r w:rsidR="00EE6E32">
        <w:rPr>
          <w:highlight w:val="yellow"/>
        </w:rPr>
      </w:r>
      <w:r w:rsidR="00EE6E32">
        <w:rPr>
          <w:highlight w:val="yellow"/>
        </w:rPr>
        <w:fldChar w:fldCharType="separate"/>
      </w:r>
      <w:r w:rsidR="001E2FCA">
        <w:t>[7]</w:t>
      </w:r>
      <w:r w:rsidR="00EE6E32">
        <w:rPr>
          <w:highlight w:val="yellow"/>
        </w:rPr>
        <w:fldChar w:fldCharType="end"/>
      </w:r>
      <w:r>
        <w:t xml:space="preserve"> specifically supports the guidance of [5, 6] and provides “guidelines for the analysis of AC and DC electrical power systems in NPPs in order to demonstrate that the power sources and the distribution systems have the capability for safe operation and shutdown of the </w:t>
      </w:r>
      <w:r>
        <w:lastRenderedPageBreak/>
        <w:t>NPP, bringing it to a controlled state after an anticipated operational occurrence or accident conditions and finally reaching a safe state.” It sets out that these “Analytical studies validate the robustness and adequacy of design margins and demonstrate the capability of electrical power systems to support plant operation for normal, abnormal, degraded and accident conditions” whilst “During the design stage of on-site power system, spare capacity for future load growth and uncertainties in the final parameters of proposed safety loads should be considered in the sizing criteria.”</w:t>
      </w:r>
    </w:p>
    <w:p w14:paraId="47A16C5A" w14:textId="3554C25C" w:rsidR="00BD4B24" w:rsidRDefault="00BD4B24" w:rsidP="005D6618">
      <w:pPr>
        <w:jc w:val="both"/>
      </w:pPr>
      <w:r>
        <w:t xml:space="preserve">Three principles from ONR Safety Assessment Principles (SAP) for Nuclear Facilities </w:t>
      </w:r>
      <w:r w:rsidR="00EE6E32">
        <w:fldChar w:fldCharType="begin"/>
      </w:r>
      <w:r w:rsidR="00EE6E32">
        <w:instrText xml:space="preserve"> REF _Ref207613535 \r \h </w:instrText>
      </w:r>
      <w:r w:rsidR="00EE6E32">
        <w:fldChar w:fldCharType="separate"/>
      </w:r>
      <w:r w:rsidR="001E2FCA">
        <w:t>[8]</w:t>
      </w:r>
      <w:r w:rsidR="00EE6E32">
        <w:fldChar w:fldCharType="end"/>
      </w:r>
      <w:r>
        <w:t xml:space="preserve"> provide focus of the expectations in this area:</w:t>
      </w:r>
    </w:p>
    <w:p w14:paraId="16C69E13" w14:textId="4CDB36CE" w:rsidR="00BD4B24" w:rsidRDefault="00BD4B24" w:rsidP="005D6618">
      <w:pPr>
        <w:pStyle w:val="Bullet2"/>
        <w:jc w:val="both"/>
      </w:pPr>
      <w:r>
        <w:t>SAP EES.3 expects that “each source should have the capacity, duration, availability, resilience and reliability to meet the maximum demands of its dependent systems.”</w:t>
      </w:r>
    </w:p>
    <w:p w14:paraId="5CAB0F86" w14:textId="10D2551B" w:rsidR="00BD4B24" w:rsidRDefault="00BD4B24" w:rsidP="005D6618">
      <w:pPr>
        <w:pStyle w:val="Bullet2"/>
        <w:jc w:val="both"/>
      </w:pPr>
      <w:r>
        <w:t>SAP ESS.10 expects that “the capability of a safety system, and of each of its constituent sub-systems and components, should be defined and substantiated.”</w:t>
      </w:r>
    </w:p>
    <w:p w14:paraId="195C5F81" w14:textId="70179F3C" w:rsidR="00BD4B24" w:rsidRDefault="00BD4B24" w:rsidP="005D6618">
      <w:pPr>
        <w:pStyle w:val="Bullet2"/>
        <w:jc w:val="both"/>
      </w:pPr>
      <w:r>
        <w:t>SAP ESS.11 expects that “the adequacy of the system design as the means of achieving the specified function and reliability should be demonstrated for each system.”</w:t>
      </w:r>
    </w:p>
    <w:p w14:paraId="2346D375" w14:textId="77777777" w:rsidR="00072C50" w:rsidRDefault="00072C50" w:rsidP="005D6618">
      <w:pPr>
        <w:pStyle w:val="Bullet2"/>
        <w:numPr>
          <w:ilvl w:val="0"/>
          <w:numId w:val="0"/>
        </w:numPr>
        <w:ind w:left="360"/>
        <w:jc w:val="both"/>
      </w:pPr>
    </w:p>
    <w:p w14:paraId="3670796E" w14:textId="417DB6F0" w:rsidR="00BD4B24" w:rsidRDefault="00BD4B24" w:rsidP="005D6618">
      <w:pPr>
        <w:jc w:val="both"/>
      </w:pPr>
      <w:r>
        <w:t>ONR’s Technical Assessment Guide on Essential Services TAG-019 [9] provides supporting guidance. It states that:</w:t>
      </w:r>
    </w:p>
    <w:p w14:paraId="13EF3F6A" w14:textId="455480B9" w:rsidR="00BD4B24" w:rsidRDefault="0024150B" w:rsidP="005D6618">
      <w:pPr>
        <w:pStyle w:val="Bullet2"/>
        <w:jc w:val="both"/>
      </w:pPr>
      <w:r>
        <w:t xml:space="preserve"> </w:t>
      </w:r>
      <w:r w:rsidR="00BD4B24">
        <w:t>“The purpose of the [ONR] assessment is to confirm, with regard to essential services, that the licensee can demonstrate that they possess the relevant attributes commensurate with the safety significance including capacity, duration, availability, resilience and reliability”;</w:t>
      </w:r>
    </w:p>
    <w:p w14:paraId="5C607FCD" w14:textId="4DEFC221" w:rsidR="00BD4B24" w:rsidRDefault="0024150B" w:rsidP="005D6618">
      <w:pPr>
        <w:pStyle w:val="Bullet2"/>
        <w:jc w:val="both"/>
      </w:pPr>
      <w:r>
        <w:t xml:space="preserve"> </w:t>
      </w:r>
      <w:r w:rsidR="00BD4B24">
        <w:t>“The SSC capability should exceed that necessary for the effective delivery of the safety functions in the prevailing operating environment by a clear margin (ESS.10)”; and</w:t>
      </w:r>
    </w:p>
    <w:p w14:paraId="79F13AC8" w14:textId="07277D37" w:rsidR="00BD4B24" w:rsidRDefault="0024150B" w:rsidP="005D6618">
      <w:pPr>
        <w:pStyle w:val="Bullet2"/>
        <w:jc w:val="both"/>
      </w:pPr>
      <w:r>
        <w:t xml:space="preserve"> </w:t>
      </w:r>
      <w:r w:rsidR="00BD4B24">
        <w:t xml:space="preserve">“Each electrical supply source should have the capacity, duration, availability, resilience and reliability to meet the maximum demands of its dependent systems (EES.3). Electrical analysis should be carried out to ensure that the electrical supply, generators and distribution networks are capable of delivering the maximum electrical loading requirements and to determine system resilience to faults and disturbances.” </w:t>
      </w:r>
    </w:p>
    <w:p w14:paraId="1770B029" w14:textId="77777777" w:rsidR="0024150B" w:rsidRPr="00F7217A" w:rsidRDefault="0024150B" w:rsidP="005D6618">
      <w:pPr>
        <w:pStyle w:val="Bullet2"/>
        <w:numPr>
          <w:ilvl w:val="0"/>
          <w:numId w:val="0"/>
        </w:numPr>
        <w:ind w:left="720" w:hanging="360"/>
        <w:jc w:val="both"/>
      </w:pPr>
    </w:p>
    <w:p w14:paraId="3668FAFA" w14:textId="77777777" w:rsidR="00BD4B24" w:rsidRPr="005D6618" w:rsidRDefault="00BD4B24" w:rsidP="00DB37BF">
      <w:pPr>
        <w:pStyle w:val="Heading3"/>
        <w:rPr>
          <w:rFonts w:ascii="RR Pioneer" w:hAnsi="RR Pioneer"/>
        </w:rPr>
      </w:pPr>
      <w:r w:rsidRPr="005D6618">
        <w:rPr>
          <w:rFonts w:ascii="RR Pioneer" w:hAnsi="RR Pioneer"/>
        </w:rPr>
        <w:t>Regulatory Expectations</w:t>
      </w:r>
    </w:p>
    <w:p w14:paraId="2F29AEA9" w14:textId="2539FD5B" w:rsidR="00BD4B24" w:rsidRDefault="00BD4B24" w:rsidP="005D6618">
      <w:pPr>
        <w:jc w:val="both"/>
      </w:pPr>
      <w:r w:rsidRPr="00F7217A">
        <w:t>The above section shows that the expectation</w:t>
      </w:r>
      <w:r>
        <w:t xml:space="preserve"> that the EPS is shown to be appropriately sized and resilient to faults and disturbances is, therefore, not only reflected in ONR’s TAG </w:t>
      </w:r>
      <w:r w:rsidR="00EE6E32">
        <w:rPr>
          <w:highlight w:val="yellow"/>
        </w:rPr>
        <w:fldChar w:fldCharType="begin"/>
      </w:r>
      <w:r w:rsidR="00EE6E32">
        <w:instrText xml:space="preserve"> REF _Ref207613551 \r \h </w:instrText>
      </w:r>
      <w:r w:rsidR="00EE6E32">
        <w:rPr>
          <w:highlight w:val="yellow"/>
        </w:rPr>
      </w:r>
      <w:r w:rsidR="00EE6E32">
        <w:rPr>
          <w:highlight w:val="yellow"/>
        </w:rPr>
        <w:fldChar w:fldCharType="separate"/>
      </w:r>
      <w:r w:rsidR="001E2FCA">
        <w:t>[9]</w:t>
      </w:r>
      <w:r w:rsidR="00EE6E32">
        <w:rPr>
          <w:highlight w:val="yellow"/>
        </w:rPr>
        <w:fldChar w:fldCharType="end"/>
      </w:r>
      <w:r>
        <w:t xml:space="preserve"> but also in an IAEA Safety Guide </w:t>
      </w:r>
      <w:r w:rsidR="00EE6E32">
        <w:rPr>
          <w:highlight w:val="yellow"/>
        </w:rPr>
        <w:fldChar w:fldCharType="begin"/>
      </w:r>
      <w:r w:rsidR="00EE6E32">
        <w:instrText xml:space="preserve"> REF _Ref207613498 \r \h </w:instrText>
      </w:r>
      <w:r w:rsidR="00EE6E32">
        <w:rPr>
          <w:highlight w:val="yellow"/>
        </w:rPr>
      </w:r>
      <w:r w:rsidR="00EE6E32">
        <w:rPr>
          <w:highlight w:val="yellow"/>
        </w:rPr>
        <w:fldChar w:fldCharType="separate"/>
      </w:r>
      <w:r w:rsidR="001E2FCA">
        <w:t>[5]</w:t>
      </w:r>
      <w:r w:rsidR="00EE6E32">
        <w:rPr>
          <w:highlight w:val="yellow"/>
        </w:rPr>
        <w:fldChar w:fldCharType="end"/>
      </w:r>
      <w:r>
        <w:t xml:space="preserve"> and International Standards</w:t>
      </w:r>
      <w:r w:rsidR="00EE6E32">
        <w:t xml:space="preserve"> </w:t>
      </w:r>
      <w:r w:rsidR="00EE6E32">
        <w:fldChar w:fldCharType="begin"/>
      </w:r>
      <w:r w:rsidR="00EE6E32">
        <w:instrText xml:space="preserve"> REF _Ref207613509 \r \h </w:instrText>
      </w:r>
      <w:r w:rsidR="00EE6E32">
        <w:fldChar w:fldCharType="separate"/>
      </w:r>
      <w:r w:rsidR="001E2FCA">
        <w:t>[6]</w:t>
      </w:r>
      <w:r w:rsidR="00EE6E32">
        <w:fldChar w:fldCharType="end"/>
      </w:r>
      <w:r w:rsidR="00EE6E32">
        <w:fldChar w:fldCharType="begin"/>
      </w:r>
      <w:r w:rsidR="00EE6E32">
        <w:instrText xml:space="preserve"> REF _Ref207613520 \r \h </w:instrText>
      </w:r>
      <w:r w:rsidR="00EE6E32">
        <w:fldChar w:fldCharType="separate"/>
      </w:r>
      <w:r w:rsidR="001E2FCA">
        <w:t>[7]</w:t>
      </w:r>
      <w:r w:rsidR="00EE6E32">
        <w:fldChar w:fldCharType="end"/>
      </w:r>
      <w:r w:rsidR="00EE6E32">
        <w:t>.</w:t>
      </w:r>
    </w:p>
    <w:p w14:paraId="3F146606" w14:textId="5D9FA3DB" w:rsidR="00BD4B24" w:rsidRDefault="00BD4B24" w:rsidP="005D6618">
      <w:pPr>
        <w:jc w:val="both"/>
      </w:pPr>
      <w:r>
        <w:t>ONR considers that demonstrating the appropriate rating of equipment and then confirming through analysis that the equipment responds appropriately to load sequences and plant transients is a vital aspect in validating the electrical engineering aspects of a safety case. By doing this, the studies should demonstrate the ability of the EPS to continue to support the necessary safety functions. If the analysis does not do this, then it is no longer clear that the EPS would be able to support the necessary safety functions, when required.</w:t>
      </w:r>
    </w:p>
    <w:p w14:paraId="2B095A0A" w14:textId="5C772A94" w:rsidR="00BD4B24" w:rsidRDefault="00BD4B24" w:rsidP="005D6618">
      <w:pPr>
        <w:jc w:val="both"/>
      </w:pPr>
      <w:r>
        <w:t>ONR’s regulatory expectation is that the RP should establish a robust method for determining the ratings of electrical equipment comprising the EPS, ensuring that such equipment can operate under all postulated conditions, taking conservative decisions where uncertainty may exist.</w:t>
      </w:r>
    </w:p>
    <w:p w14:paraId="6746BEC9" w14:textId="5C056B0C" w:rsidR="00BD4B24" w:rsidRDefault="00BD4B24" w:rsidP="005D6618">
      <w:pPr>
        <w:jc w:val="both"/>
      </w:pPr>
      <w:r>
        <w:t xml:space="preserve">ONR expects that the RP should then demonstrate the adequacy of the RR SMR EPS through the development of a system model and the undertaking of analytical studies of the system under both steady state conditions and in response to a range of postulated disturbances, which could challenge the ability of the system to support the necessary safety functions. It is expected that such studies should consider all modes of operation including normal operation, plant shutdown, </w:t>
      </w:r>
      <w:r>
        <w:lastRenderedPageBreak/>
        <w:t>including in response to plant faults, on-line plant maintenance, testing of standby sources and operation from standby sources.</w:t>
      </w:r>
    </w:p>
    <w:p w14:paraId="6DE989E7" w14:textId="401902E1" w:rsidR="00BD4B24" w:rsidRDefault="00BD4B24" w:rsidP="005D6618">
      <w:pPr>
        <w:jc w:val="both"/>
      </w:pPr>
      <w:r>
        <w:t>Where uncertainty could exist in the modelling, system data and parameters, or performance requirements, ONR expects a conservative but consistent approach be adopted in the sizing and studies, using, as appropriate, sensitivity analysis to give confidence that the uncertainties do not mask potential design shortfalls, which may not otherwise become apparent until later in the detailed design, construction or operational phase.</w:t>
      </w:r>
    </w:p>
    <w:p w14:paraId="166B71AD" w14:textId="4CEC5CAD" w:rsidR="00605964" w:rsidRPr="00605964" w:rsidRDefault="00BD4B24" w:rsidP="005D6618">
      <w:pPr>
        <w:jc w:val="both"/>
      </w:pPr>
      <w:r>
        <w:t xml:space="preserve">ONR expects that the results of any analyses are evaluated by the RP against pre-defined acceptance criteria developed from safety case requirements or relevant requirements or good practice. Where such evaluation does not demonstrate analysis, it is expected that the RP should identify and evaluate appropriate changes to the design. </w:t>
      </w:r>
    </w:p>
    <w:p w14:paraId="109CC872" w14:textId="549D438E" w:rsidR="00A2500E" w:rsidRPr="00C75D8E" w:rsidRDefault="00A2500E" w:rsidP="00A2500E">
      <w:pPr>
        <w:pStyle w:val="Heading2"/>
        <w:rPr>
          <w:rFonts w:ascii="RR Pioneer" w:hAnsi="RR Pioneer"/>
        </w:rPr>
      </w:pPr>
      <w:r w:rsidRPr="00C75D8E">
        <w:rPr>
          <w:rFonts w:ascii="RR Pioneer" w:hAnsi="RR Pioneer"/>
        </w:rPr>
        <w:t>Regulatory Observation Actions</w:t>
      </w:r>
      <w:r w:rsidR="006C632D" w:rsidRPr="00C75D8E">
        <w:rPr>
          <w:rFonts w:ascii="RR Pioneer" w:hAnsi="RR Pioneer"/>
        </w:rPr>
        <w:t xml:space="preserve"> and Resolution Plan</w:t>
      </w:r>
    </w:p>
    <w:p w14:paraId="74A2BA16" w14:textId="1A6B90B7" w:rsidR="00DF0BB8" w:rsidRPr="00C75D8E" w:rsidRDefault="00432A9B" w:rsidP="00DF0BB8">
      <w:pPr>
        <w:rPr>
          <w:b/>
          <w:i/>
        </w:rPr>
      </w:pPr>
      <w:r w:rsidRPr="00C75D8E">
        <w:rPr>
          <w:b/>
          <w:i/>
        </w:rPr>
        <w:t>RO-RRSMR-010.A1 – Develop an appropriate Rolls-Royce SMR Electrical Power System Sizing and Study Strategy</w:t>
      </w:r>
    </w:p>
    <w:p w14:paraId="3E75D460" w14:textId="1FB9C13A" w:rsidR="00E22D21" w:rsidRPr="00C75D8E" w:rsidRDefault="00E22D21" w:rsidP="005D6618">
      <w:pPr>
        <w:jc w:val="both"/>
      </w:pPr>
      <w:r w:rsidRPr="00C75D8E">
        <w:t>In response to this Regulatory Observation Action, Rolls-Royce SMR Ltd should:</w:t>
      </w:r>
    </w:p>
    <w:p w14:paraId="1F36B20B" w14:textId="77777777" w:rsidR="00BB78C9" w:rsidRDefault="00E22D21" w:rsidP="005D6618">
      <w:pPr>
        <w:pStyle w:val="Bullet2"/>
        <w:jc w:val="both"/>
      </w:pPr>
      <w:r w:rsidRPr="191060B3">
        <w:t>Develop a strategy to establish the rating of electrical power supply (EPS) equipment and</w:t>
      </w:r>
      <w:r w:rsidR="002206C7">
        <w:t xml:space="preserve"> </w:t>
      </w:r>
      <w:r w:rsidRPr="191060B3">
        <w:t>analyse the Rolls-Royce SMR EPS against anticipated events and disturbances. The strategy should seek to:</w:t>
      </w:r>
    </w:p>
    <w:p w14:paraId="5D1EC9CE" w14:textId="77777777" w:rsidR="002A10B4" w:rsidRDefault="4B8BB11A" w:rsidP="005D6618">
      <w:pPr>
        <w:pStyle w:val="Bullet2"/>
        <w:numPr>
          <w:ilvl w:val="1"/>
          <w:numId w:val="20"/>
        </w:numPr>
        <w:jc w:val="both"/>
      </w:pPr>
      <w:r w:rsidRPr="191060B3">
        <w:t>I</w:t>
      </w:r>
      <w:r w:rsidR="00E22D21" w:rsidRPr="191060B3">
        <w:t>dentify and justify how it is intended to structure the electrical system model(s) and analyse the EPS</w:t>
      </w:r>
    </w:p>
    <w:p w14:paraId="4C12D11C" w14:textId="74DCFE90" w:rsidR="00E22D21" w:rsidRPr="00C75D8E" w:rsidRDefault="17806D04" w:rsidP="005D6618">
      <w:pPr>
        <w:pStyle w:val="Bullet2"/>
        <w:numPr>
          <w:ilvl w:val="1"/>
          <w:numId w:val="20"/>
        </w:numPr>
        <w:jc w:val="both"/>
      </w:pPr>
      <w:r w:rsidRPr="191060B3">
        <w:t>I</w:t>
      </w:r>
      <w:r w:rsidR="00E22D21" w:rsidRPr="191060B3">
        <w:t>dentify how it is intended to demonstrate the verification and validation of any analytical tools (such as software) or methods it intends to use to support its analysis;</w:t>
      </w:r>
    </w:p>
    <w:p w14:paraId="08ECFE2F" w14:textId="253D15F5" w:rsidR="00E22D21" w:rsidRPr="00C75D8E" w:rsidRDefault="00E22D21" w:rsidP="005D6618">
      <w:pPr>
        <w:pStyle w:val="Bullet2"/>
        <w:numPr>
          <w:ilvl w:val="1"/>
          <w:numId w:val="20"/>
        </w:numPr>
        <w:jc w:val="both"/>
      </w:pPr>
      <w:r w:rsidRPr="00C75D8E">
        <w:t>Identify and justify any assumptions to be made in the development of the model, underlying System, Structures and Components (SSC) parameters, and intended analysis;</w:t>
      </w:r>
    </w:p>
    <w:p w14:paraId="06E010D8" w14:textId="3380239C" w:rsidR="00E22D21" w:rsidRPr="00EA43D8" w:rsidRDefault="00E22D21" w:rsidP="005D6618">
      <w:pPr>
        <w:pStyle w:val="Bullet2"/>
        <w:numPr>
          <w:ilvl w:val="1"/>
          <w:numId w:val="20"/>
        </w:numPr>
        <w:jc w:val="both"/>
      </w:pPr>
      <w:r w:rsidRPr="00EA43D8">
        <w:t>Identify and justify the different ‘study conditions’ that it is intended to analyse; (The term “study condition” is used here to include, but not limited to, modes of operation, plant configurations, fault scenarios and environmental conditions)</w:t>
      </w:r>
    </w:p>
    <w:p w14:paraId="20B51504" w14:textId="55E2D5B6" w:rsidR="00625A68" w:rsidRPr="00EA43D8" w:rsidRDefault="00E22D21" w:rsidP="005D6618">
      <w:pPr>
        <w:pStyle w:val="Bullet2"/>
        <w:numPr>
          <w:ilvl w:val="1"/>
          <w:numId w:val="20"/>
        </w:numPr>
        <w:jc w:val="both"/>
      </w:pPr>
      <w:r w:rsidRPr="00EA43D8">
        <w:t>Identify and justify the identification of any ‘bounding cases’ that are used to reduce the number of study conditions; and</w:t>
      </w:r>
    </w:p>
    <w:p w14:paraId="6A630EA6" w14:textId="7A2D903D" w:rsidR="00E22D21" w:rsidRDefault="00E22D21" w:rsidP="005D6618">
      <w:pPr>
        <w:pStyle w:val="Bullet2"/>
        <w:numPr>
          <w:ilvl w:val="1"/>
          <w:numId w:val="20"/>
        </w:numPr>
        <w:jc w:val="both"/>
      </w:pPr>
      <w:r w:rsidRPr="00EA43D8">
        <w:t>Identify the acceptance criteria for each of the studies, explaining how these have been derived from the safety case requirements.</w:t>
      </w:r>
    </w:p>
    <w:p w14:paraId="3AC8D6C2" w14:textId="77777777" w:rsidR="00D54073" w:rsidRPr="00EA43D8" w:rsidRDefault="00D54073" w:rsidP="00D54073">
      <w:pPr>
        <w:pStyle w:val="Bullet2"/>
        <w:numPr>
          <w:ilvl w:val="0"/>
          <w:numId w:val="0"/>
        </w:numPr>
      </w:pPr>
    </w:p>
    <w:p w14:paraId="04709446" w14:textId="3D1E2CDA" w:rsidR="00E22D21" w:rsidRPr="00F4613C" w:rsidRDefault="00E22D21" w:rsidP="005D6618">
      <w:pPr>
        <w:jc w:val="both"/>
      </w:pPr>
      <w:r w:rsidRPr="00C75D8E">
        <w:t xml:space="preserve">In </w:t>
      </w:r>
      <w:r w:rsidRPr="00F4613C">
        <w:t>developing the strategy, the RP should consider:</w:t>
      </w:r>
    </w:p>
    <w:p w14:paraId="6DF50337" w14:textId="41036E4B" w:rsidR="00E22D21" w:rsidRPr="00D54073" w:rsidRDefault="00E22D21" w:rsidP="005D6618">
      <w:pPr>
        <w:pStyle w:val="Bullet2"/>
        <w:jc w:val="both"/>
      </w:pPr>
      <w:r w:rsidRPr="00D54073">
        <w:t>How it is ensuring that where it uses different software or different models for different studies, it demonstrates that the representations of the EPS remain consistent and do not compromise any assumptions or the study results;</w:t>
      </w:r>
    </w:p>
    <w:p w14:paraId="6B894140" w14:textId="3BAB1015" w:rsidR="00E22D21" w:rsidRPr="00D54073" w:rsidRDefault="00E22D21" w:rsidP="005D6618">
      <w:pPr>
        <w:pStyle w:val="Bullet2"/>
        <w:jc w:val="both"/>
      </w:pPr>
      <w:r w:rsidRPr="00D54073">
        <w:t>How it is demonstrating it is adopting a conservative, but reflective, approach when considering the design maturity of the overall Rolls-Royce SMR design, SSC parameters and the supporting analysis; and</w:t>
      </w:r>
    </w:p>
    <w:p w14:paraId="32180B57" w14:textId="4B080D9C" w:rsidR="00F94A99" w:rsidRPr="00F4613C" w:rsidRDefault="00E22D21" w:rsidP="005D6618">
      <w:pPr>
        <w:pStyle w:val="Bullet2"/>
        <w:jc w:val="both"/>
      </w:pPr>
      <w:r w:rsidRPr="00D54073">
        <w:t>How in defining the “study conditions” it is showing traceability from the fault and hazard analyses.</w:t>
      </w:r>
    </w:p>
    <w:p w14:paraId="14F7C3EF" w14:textId="77777777" w:rsidR="00F94A99" w:rsidRDefault="00F94A99" w:rsidP="005D6618">
      <w:pPr>
        <w:tabs>
          <w:tab w:val="clear" w:pos="992"/>
          <w:tab w:val="clear" w:pos="1395"/>
          <w:tab w:val="clear" w:pos="1712"/>
        </w:tabs>
        <w:spacing w:after="200" w:line="276" w:lineRule="auto"/>
        <w:jc w:val="both"/>
        <w:rPr>
          <w:b/>
          <w:bCs/>
          <w:u w:val="single"/>
        </w:rPr>
      </w:pPr>
      <w:r>
        <w:rPr>
          <w:b/>
          <w:bCs/>
          <w:u w:val="single"/>
        </w:rPr>
        <w:br w:type="page"/>
      </w:r>
    </w:p>
    <w:p w14:paraId="62BD8C3E" w14:textId="5F77E0CB" w:rsidR="00F91121" w:rsidRPr="00FB170A" w:rsidRDefault="00F91121" w:rsidP="00F91121">
      <w:pPr>
        <w:spacing w:before="60" w:after="60"/>
        <w:rPr>
          <w:b/>
          <w:u w:val="single"/>
        </w:rPr>
      </w:pPr>
      <w:r w:rsidRPr="00FB170A">
        <w:rPr>
          <w:b/>
          <w:u w:val="single"/>
        </w:rPr>
        <w:lastRenderedPageBreak/>
        <w:t>R</w:t>
      </w:r>
      <w:r>
        <w:rPr>
          <w:b/>
          <w:u w:val="single"/>
        </w:rPr>
        <w:t>olls Royce</w:t>
      </w:r>
      <w:r w:rsidRPr="00FB170A">
        <w:rPr>
          <w:b/>
          <w:u w:val="single"/>
        </w:rPr>
        <w:t xml:space="preserve"> SMR Resolution Plan</w:t>
      </w:r>
      <w:r>
        <w:rPr>
          <w:b/>
          <w:u w:val="single"/>
        </w:rPr>
        <w:t xml:space="preserve"> for </w:t>
      </w:r>
      <w:r w:rsidRPr="008A456E">
        <w:rPr>
          <w:b/>
          <w:u w:val="single"/>
        </w:rPr>
        <w:t>RO-RRSMR-0</w:t>
      </w:r>
      <w:r>
        <w:rPr>
          <w:b/>
          <w:u w:val="single"/>
        </w:rPr>
        <w:t>10</w:t>
      </w:r>
      <w:r w:rsidRPr="008A456E">
        <w:rPr>
          <w:b/>
          <w:u w:val="single"/>
        </w:rPr>
        <w:t>.A1</w:t>
      </w:r>
    </w:p>
    <w:p w14:paraId="0211CBC7" w14:textId="6E9BE0F0" w:rsidR="00893AC8" w:rsidRDefault="00893AC8" w:rsidP="005D6618">
      <w:pPr>
        <w:jc w:val="both"/>
      </w:pPr>
      <w:r>
        <w:t xml:space="preserve">In response to this action, Rolls-Royce SMR </w:t>
      </w:r>
      <w:r w:rsidR="009C5A98">
        <w:t xml:space="preserve">Ltd </w:t>
      </w:r>
      <w:r>
        <w:t>will</w:t>
      </w:r>
      <w:r w:rsidR="00A604D8">
        <w:t xml:space="preserve"> </w:t>
      </w:r>
      <w:r w:rsidR="008B1EC9">
        <w:t>set out the equipment sizing</w:t>
      </w:r>
      <w:r w:rsidR="007F3031">
        <w:t>, Electrical Power System Study strategy</w:t>
      </w:r>
      <w:r w:rsidR="004B7DCC">
        <w:t xml:space="preserve"> and the approach taken </w:t>
      </w:r>
      <w:r w:rsidR="00165025">
        <w:t xml:space="preserve">to manage any data maturity gaps </w:t>
      </w:r>
      <w:r w:rsidR="00A604D8">
        <w:t xml:space="preserve">through </w:t>
      </w:r>
      <w:r w:rsidR="009A790D">
        <w:t xml:space="preserve">a combination of </w:t>
      </w:r>
      <w:r w:rsidR="00C771EE">
        <w:t xml:space="preserve">new </w:t>
      </w:r>
      <w:r w:rsidR="005A6D32">
        <w:t>and updated</w:t>
      </w:r>
      <w:r w:rsidR="00C771EE">
        <w:t xml:space="preserve"> submissions</w:t>
      </w:r>
      <w:r w:rsidR="001925BF">
        <w:t>.</w:t>
      </w:r>
      <w:r w:rsidR="00F328AD">
        <w:t xml:space="preserve"> </w:t>
      </w:r>
      <w:r w:rsidR="00624299">
        <w:t xml:space="preserve">Relevant Regulatory Queries (RQs) will be considered </w:t>
      </w:r>
      <w:r w:rsidR="005F296B">
        <w:t>in the production of those new and updated submissions.</w:t>
      </w:r>
      <w:r w:rsidR="00F328AD">
        <w:t xml:space="preserve"> </w:t>
      </w:r>
    </w:p>
    <w:p w14:paraId="0213B230" w14:textId="7EC5902C" w:rsidR="00641D98" w:rsidRDefault="00641D98" w:rsidP="005D6618">
      <w:pPr>
        <w:jc w:val="both"/>
        <w:rPr>
          <w:u w:val="single"/>
        </w:rPr>
      </w:pPr>
      <w:r>
        <w:rPr>
          <w:u w:val="single"/>
        </w:rPr>
        <w:t>Electrical Power System Stud</w:t>
      </w:r>
      <w:r w:rsidR="00EA60EB">
        <w:rPr>
          <w:u w:val="single"/>
        </w:rPr>
        <w:t>ies - Summary</w:t>
      </w:r>
      <w:r>
        <w:rPr>
          <w:u w:val="single"/>
        </w:rPr>
        <w:t xml:space="preserve"> Report </w:t>
      </w:r>
      <w:r w:rsidR="00B300C6">
        <w:rPr>
          <w:u w:val="single"/>
        </w:rPr>
        <w:t>(</w:t>
      </w:r>
      <w:r w:rsidR="00EA60EB">
        <w:rPr>
          <w:u w:val="single"/>
        </w:rPr>
        <w:t xml:space="preserve">Issue </w:t>
      </w:r>
      <w:r>
        <w:rPr>
          <w:u w:val="single"/>
        </w:rPr>
        <w:t>1</w:t>
      </w:r>
      <w:r w:rsidR="00B300C6">
        <w:rPr>
          <w:u w:val="single"/>
        </w:rPr>
        <w:t>)</w:t>
      </w:r>
    </w:p>
    <w:p w14:paraId="78FC830C" w14:textId="0E79EB31" w:rsidR="008F466F" w:rsidRDefault="00B300C6" w:rsidP="005D6618">
      <w:pPr>
        <w:jc w:val="both"/>
      </w:pPr>
      <w:r w:rsidRPr="00AB29DB">
        <w:t>This submission will be the</w:t>
      </w:r>
      <w:r w:rsidR="00126B9B">
        <w:t xml:space="preserve"> </w:t>
      </w:r>
      <w:r w:rsidR="005F5893">
        <w:t>T</w:t>
      </w:r>
      <w:r w:rsidR="002A0DE7">
        <w:t>ie</w:t>
      </w:r>
      <w:r w:rsidR="00B30B95">
        <w:t>r 2</w:t>
      </w:r>
      <w:r w:rsidR="005F5893">
        <w:t xml:space="preserve"> header</w:t>
      </w:r>
      <w:r w:rsidR="00B30B95">
        <w:t xml:space="preserve"> </w:t>
      </w:r>
      <w:r w:rsidR="00126B9B">
        <w:t xml:space="preserve">document </w:t>
      </w:r>
      <w:r w:rsidR="008D7595">
        <w:t>for the</w:t>
      </w:r>
      <w:r w:rsidR="00151A13">
        <w:t xml:space="preserve"> </w:t>
      </w:r>
      <w:r w:rsidR="00CE3870">
        <w:t>studies</w:t>
      </w:r>
      <w:r w:rsidR="009B2647">
        <w:t xml:space="preserve"> and sizing</w:t>
      </w:r>
      <w:r w:rsidR="006E1458">
        <w:t xml:space="preserve">, </w:t>
      </w:r>
      <w:r w:rsidR="00FB0936">
        <w:t>linking</w:t>
      </w:r>
      <w:r w:rsidR="006E1458">
        <w:t xml:space="preserve"> the submissions that, together, define the strategy for establishing the ratings of the </w:t>
      </w:r>
      <w:r w:rsidR="005456E2">
        <w:t>EPS equipment and how it is analysed against anticipated events and disturbances.</w:t>
      </w:r>
      <w:r w:rsidR="0022329C">
        <w:t xml:space="preserve"> </w:t>
      </w:r>
      <w:r w:rsidR="00561C0B">
        <w:t xml:space="preserve">It will also </w:t>
      </w:r>
      <w:r w:rsidR="00FF3456">
        <w:t>set out</w:t>
      </w:r>
      <w:r w:rsidR="000F4F0B">
        <w:t xml:space="preserve"> the links between the </w:t>
      </w:r>
      <w:r w:rsidR="001022B4">
        <w:t>documents and the</w:t>
      </w:r>
      <w:r w:rsidR="0022329C">
        <w:t xml:space="preserve"> safety case</w:t>
      </w:r>
      <w:r w:rsidR="008F466F">
        <w:t>.</w:t>
      </w:r>
      <w:r w:rsidR="00FB7D85">
        <w:t xml:space="preserve"> This submission replaces the previously provided “</w:t>
      </w:r>
      <w:r w:rsidR="00FB7D85" w:rsidRPr="009A5DEE">
        <w:t>Electrical Power System Studies – Methodology Report</w:t>
      </w:r>
      <w:r w:rsidR="00FB7D85">
        <w:t>”</w:t>
      </w:r>
      <w:r w:rsidR="005B1077">
        <w:t xml:space="preserve"> </w:t>
      </w:r>
      <w:r w:rsidR="00EE6E32">
        <w:rPr>
          <w:highlight w:val="yellow"/>
        </w:rPr>
        <w:fldChar w:fldCharType="begin"/>
      </w:r>
      <w:r w:rsidR="00EE6E32">
        <w:instrText xml:space="preserve"> REF _Ref207613432 \r \h </w:instrText>
      </w:r>
      <w:r w:rsidR="00EE6E32">
        <w:rPr>
          <w:highlight w:val="yellow"/>
        </w:rPr>
      </w:r>
      <w:r w:rsidR="00EE6E32">
        <w:rPr>
          <w:highlight w:val="yellow"/>
        </w:rPr>
        <w:fldChar w:fldCharType="separate"/>
      </w:r>
      <w:r w:rsidR="001E2FCA">
        <w:t>[2]</w:t>
      </w:r>
      <w:r w:rsidR="00EE6E32">
        <w:rPr>
          <w:highlight w:val="yellow"/>
        </w:rPr>
        <w:fldChar w:fldCharType="end"/>
      </w:r>
      <w:r w:rsidR="005C70CB">
        <w:t xml:space="preserve"> used for the previous </w:t>
      </w:r>
      <w:r w:rsidR="00601A33">
        <w:t>set</w:t>
      </w:r>
      <w:r w:rsidR="005C70CB">
        <w:t xml:space="preserve"> of studies</w:t>
      </w:r>
      <w:r w:rsidR="00FB7D85">
        <w:t xml:space="preserve">, which will be </w:t>
      </w:r>
      <w:r w:rsidR="00F91B28">
        <w:t>revoked</w:t>
      </w:r>
      <w:r w:rsidR="005B1077">
        <w:t xml:space="preserve">. </w:t>
      </w:r>
    </w:p>
    <w:p w14:paraId="709D7E70" w14:textId="786A60CF" w:rsidR="00D2273A" w:rsidRDefault="00D2273A" w:rsidP="005D6618">
      <w:pPr>
        <w:jc w:val="both"/>
      </w:pPr>
      <w:r>
        <w:t xml:space="preserve">At Issue 1, the Summary Report </w:t>
      </w:r>
      <w:r w:rsidR="00600EEF">
        <w:t>is</w:t>
      </w:r>
      <w:r>
        <w:t xml:space="preserve"> targeted towards resolution of </w:t>
      </w:r>
      <w:r w:rsidR="00600EEF">
        <w:t>Action A1 of the RO. The later Issue 2 is targeted towards resolution of Actions A2 and A3.</w:t>
      </w:r>
      <w:r w:rsidR="001D68F2">
        <w:t xml:space="preserve"> Further detail of the intent for Issue 2 of the Summary Report is described in the response to Actions A2 and A3.</w:t>
      </w:r>
    </w:p>
    <w:p w14:paraId="498ADFA5" w14:textId="508BC039" w:rsidR="008F466F" w:rsidRDefault="00D67CDC" w:rsidP="005D6618">
      <w:pPr>
        <w:jc w:val="both"/>
      </w:pPr>
      <w:r>
        <w:t xml:space="preserve">The </w:t>
      </w:r>
      <w:r w:rsidR="00D25FE5">
        <w:t xml:space="preserve">Summary Report (Issue 1) </w:t>
      </w:r>
      <w:r>
        <w:t>will</w:t>
      </w:r>
      <w:r w:rsidR="00D25FE5">
        <w:t xml:space="preserve"> include</w:t>
      </w:r>
      <w:r w:rsidR="00D23C10">
        <w:t xml:space="preserve"> identification of, and justification for</w:t>
      </w:r>
      <w:r w:rsidR="00F62F71">
        <w:t>:</w:t>
      </w:r>
    </w:p>
    <w:p w14:paraId="0A4CA020" w14:textId="4A161F61" w:rsidR="0002562A" w:rsidRDefault="00F62F71" w:rsidP="005D6618">
      <w:pPr>
        <w:pStyle w:val="ListParagraph"/>
        <w:numPr>
          <w:ilvl w:val="0"/>
          <w:numId w:val="24"/>
        </w:numPr>
        <w:jc w:val="both"/>
      </w:pPr>
      <w:r>
        <w:t>The d</w:t>
      </w:r>
      <w:r w:rsidR="00DD1C45">
        <w:t>esign reference point</w:t>
      </w:r>
      <w:r w:rsidR="0002562A">
        <w:t xml:space="preserve"> </w:t>
      </w:r>
      <w:r w:rsidR="00A60E47">
        <w:t>to be analysed</w:t>
      </w:r>
      <w:r w:rsidR="004660C5">
        <w:t xml:space="preserve"> i.e. the</w:t>
      </w:r>
      <w:r w:rsidR="00E85AAB">
        <w:t xml:space="preserve"> Reference Design 10 (RD10)</w:t>
      </w:r>
      <w:r w:rsidR="004660C5">
        <w:t xml:space="preserve"> </w:t>
      </w:r>
      <w:r w:rsidR="001D007A">
        <w:t xml:space="preserve">design configuration of the </w:t>
      </w:r>
      <w:r w:rsidR="00C758A0">
        <w:t xml:space="preserve">RR </w:t>
      </w:r>
      <w:r w:rsidR="001D007A">
        <w:t>SMR power plant and its electrical systems</w:t>
      </w:r>
      <w:r w:rsidR="007C6B3A">
        <w:t>;</w:t>
      </w:r>
    </w:p>
    <w:p w14:paraId="21F66222" w14:textId="7B46DEB9" w:rsidR="002142C5" w:rsidRDefault="002142C5" w:rsidP="005D6618">
      <w:pPr>
        <w:pStyle w:val="ListParagraph"/>
        <w:numPr>
          <w:ilvl w:val="0"/>
          <w:numId w:val="24"/>
        </w:numPr>
        <w:jc w:val="both"/>
      </w:pPr>
      <w:r>
        <w:t xml:space="preserve">The </w:t>
      </w:r>
      <w:r w:rsidR="0036392C">
        <w:t xml:space="preserve">selected </w:t>
      </w:r>
      <w:r w:rsidR="00A411F4">
        <w:t>power system studies that will be undertaken during GDA and those which will be undertaken during a detailed design phase;</w:t>
      </w:r>
    </w:p>
    <w:p w14:paraId="6199F31E" w14:textId="05F339AA" w:rsidR="00632468" w:rsidRDefault="00F62F71" w:rsidP="005D6618">
      <w:pPr>
        <w:pStyle w:val="ListParagraph"/>
        <w:numPr>
          <w:ilvl w:val="0"/>
          <w:numId w:val="24"/>
        </w:numPr>
        <w:jc w:val="both"/>
      </w:pPr>
      <w:r>
        <w:t>The m</w:t>
      </w:r>
      <w:r w:rsidR="002E523E">
        <w:t>ethodology for power system studies</w:t>
      </w:r>
      <w:r w:rsidR="008F27D9">
        <w:t xml:space="preserve"> (in accordance with applicable codes/standards);</w:t>
      </w:r>
    </w:p>
    <w:p w14:paraId="21551C25" w14:textId="3D517BE9" w:rsidR="00A60E47" w:rsidRDefault="00632468" w:rsidP="005D6618">
      <w:pPr>
        <w:pStyle w:val="ListParagraph"/>
        <w:numPr>
          <w:ilvl w:val="0"/>
          <w:numId w:val="24"/>
        </w:numPr>
        <w:jc w:val="both"/>
      </w:pPr>
      <w:r>
        <w:t xml:space="preserve">The strategy for establishing the ratings of the EPS equipment </w:t>
      </w:r>
      <w:r w:rsidR="006A7764">
        <w:t xml:space="preserve">making reference to </w:t>
      </w:r>
      <w:r w:rsidR="00ED217F">
        <w:t>equipment sizing work instructions</w:t>
      </w:r>
      <w:r w:rsidR="00AA7B73">
        <w:t xml:space="preserve"> and</w:t>
      </w:r>
      <w:r w:rsidR="00ED217F">
        <w:t xml:space="preserve"> how and when these will be used;</w:t>
      </w:r>
      <w:r w:rsidR="00AA7B73">
        <w:t xml:space="preserve"> and</w:t>
      </w:r>
    </w:p>
    <w:p w14:paraId="248C1026" w14:textId="4CC420D6" w:rsidR="00B9399E" w:rsidRDefault="00F62F71" w:rsidP="005D6618">
      <w:pPr>
        <w:pStyle w:val="ListParagraph"/>
        <w:numPr>
          <w:ilvl w:val="0"/>
          <w:numId w:val="24"/>
        </w:numPr>
        <w:jc w:val="both"/>
      </w:pPr>
      <w:r>
        <w:t>The</w:t>
      </w:r>
      <w:r w:rsidR="00F93037">
        <w:t xml:space="preserve"> steady</w:t>
      </w:r>
      <w:r w:rsidR="00AE2DE4">
        <w:t xml:space="preserve"> state and dynamic</w:t>
      </w:r>
      <w:r>
        <w:t xml:space="preserve"> p</w:t>
      </w:r>
      <w:r w:rsidR="006520AA">
        <w:t>ower system studies to be carried out</w:t>
      </w:r>
      <w:r w:rsidR="006D5A19">
        <w:t>,</w:t>
      </w:r>
      <w:r w:rsidR="006520AA">
        <w:t xml:space="preserve"> </w:t>
      </w:r>
      <w:r w:rsidR="00B9399E">
        <w:t xml:space="preserve">and </w:t>
      </w:r>
      <w:r w:rsidR="006520AA">
        <w:t>the scope/boundaries of those studies</w:t>
      </w:r>
      <w:r w:rsidR="003F3CB4">
        <w:t xml:space="preserve"> (where ‘dynamic’ refers to </w:t>
      </w:r>
      <w:r w:rsidR="00B10152">
        <w:t>analysis of response to postulated disturbances, such as motor starting</w:t>
      </w:r>
      <w:r w:rsidR="007C14C3">
        <w:t xml:space="preserve"> and generator</w:t>
      </w:r>
      <w:r w:rsidR="000A3DB1">
        <w:t xml:space="preserve"> start-up/load sequencing</w:t>
      </w:r>
      <w:r w:rsidR="00AA45BC">
        <w:t>).</w:t>
      </w:r>
    </w:p>
    <w:p w14:paraId="16FECCDB" w14:textId="6C0F2F65" w:rsidR="007C6B3A" w:rsidRDefault="007C6B3A" w:rsidP="005D6618">
      <w:pPr>
        <w:jc w:val="both"/>
      </w:pPr>
      <w:r>
        <w:t>It will also include:</w:t>
      </w:r>
    </w:p>
    <w:p w14:paraId="33FEDDFD" w14:textId="6752C218" w:rsidR="00D25FE5" w:rsidRDefault="002A3392" w:rsidP="005D6618">
      <w:pPr>
        <w:pStyle w:val="ListParagraph"/>
        <w:numPr>
          <w:ilvl w:val="0"/>
          <w:numId w:val="24"/>
        </w:numPr>
        <w:jc w:val="both"/>
      </w:pPr>
      <w:r>
        <w:t>Setting out the links</w:t>
      </w:r>
      <w:r w:rsidR="00D25FE5">
        <w:t xml:space="preserve"> between</w:t>
      </w:r>
      <w:r w:rsidR="00797DA5">
        <w:t xml:space="preserve"> relevant</w:t>
      </w:r>
      <w:r w:rsidR="00D25FE5">
        <w:t xml:space="preserve"> claims in the safety case and the power system </w:t>
      </w:r>
      <w:r w:rsidR="00F303F6">
        <w:t>studies, equipment sizing</w:t>
      </w:r>
      <w:r w:rsidR="00F87971">
        <w:t xml:space="preserve"> (rating)</w:t>
      </w:r>
      <w:r w:rsidR="00F303F6">
        <w:t xml:space="preserve"> methods, application of design margins</w:t>
      </w:r>
      <w:r w:rsidR="00F87971">
        <w:t>, and</w:t>
      </w:r>
      <w:r w:rsidR="00342006">
        <w:t xml:space="preserve"> physical sizing/layout</w:t>
      </w:r>
      <w:r w:rsidR="008E5078">
        <w:t>; and</w:t>
      </w:r>
    </w:p>
    <w:p w14:paraId="2A363D15" w14:textId="3DE99C6E" w:rsidR="008E5078" w:rsidRDefault="008E5078" w:rsidP="005D6618">
      <w:pPr>
        <w:pStyle w:val="ListParagraph"/>
        <w:numPr>
          <w:ilvl w:val="0"/>
          <w:numId w:val="24"/>
        </w:numPr>
        <w:jc w:val="both"/>
      </w:pPr>
      <w:r>
        <w:t>The intended means of demonstrating verification and validation of analytical tools.</w:t>
      </w:r>
    </w:p>
    <w:p w14:paraId="65C2F371" w14:textId="36F870C7" w:rsidR="00F4613C" w:rsidRPr="00452984" w:rsidRDefault="00F4613C" w:rsidP="005D6618">
      <w:pPr>
        <w:jc w:val="both"/>
        <w:rPr>
          <w:u w:val="single"/>
        </w:rPr>
      </w:pPr>
      <w:r w:rsidRPr="0087770B">
        <w:rPr>
          <w:u w:val="single"/>
        </w:rPr>
        <w:t xml:space="preserve">Electrical Power System Studies – </w:t>
      </w:r>
      <w:r w:rsidR="004F4DE4">
        <w:rPr>
          <w:u w:val="single"/>
        </w:rPr>
        <w:t>Study Conditions</w:t>
      </w:r>
      <w:r w:rsidRPr="0087770B">
        <w:rPr>
          <w:u w:val="single"/>
        </w:rPr>
        <w:t xml:space="preserve"> </w:t>
      </w:r>
      <w:r w:rsidDel="004F4DE4">
        <w:rPr>
          <w:u w:val="single"/>
        </w:rPr>
        <w:t xml:space="preserve">&amp; </w:t>
      </w:r>
      <w:r w:rsidR="00A63050">
        <w:rPr>
          <w:u w:val="single"/>
        </w:rPr>
        <w:t xml:space="preserve">Electrical Power System Studies – </w:t>
      </w:r>
      <w:r w:rsidDel="004F4DE4">
        <w:rPr>
          <w:u w:val="single"/>
        </w:rPr>
        <w:t>Acceptance Criteria</w:t>
      </w:r>
    </w:p>
    <w:p w14:paraId="2FAFE43B" w14:textId="321A12E9" w:rsidR="00A63050" w:rsidRDefault="00264FEF" w:rsidP="005D6618">
      <w:pPr>
        <w:jc w:val="both"/>
      </w:pPr>
      <w:r>
        <w:t xml:space="preserve">The previously submitted “Bounding </w:t>
      </w:r>
      <w:r w:rsidR="008B7B1D">
        <w:t xml:space="preserve">Scenarios &amp; Acceptance Criteria” document will be replaced by </w:t>
      </w:r>
      <w:r w:rsidR="00A63050">
        <w:t>two documents:</w:t>
      </w:r>
    </w:p>
    <w:p w14:paraId="3E2718F1" w14:textId="5D356254" w:rsidR="005A346B" w:rsidRDefault="00FB4B44" w:rsidP="00EE6E32">
      <w:pPr>
        <w:pStyle w:val="Bullet2"/>
        <w:jc w:val="both"/>
      </w:pPr>
      <w:r w:rsidRPr="00EE6E32">
        <w:rPr>
          <w:u w:val="single"/>
        </w:rPr>
        <w:t>Electrical Power System Studies – Study Conditions</w:t>
      </w:r>
      <w:r w:rsidR="00EE6E32">
        <w:t xml:space="preserve">: </w:t>
      </w:r>
      <w:r w:rsidR="00AD7B38">
        <w:t>t</w:t>
      </w:r>
      <w:r>
        <w:t xml:space="preserve">his document will identify and justify </w:t>
      </w:r>
      <w:r w:rsidR="00B63B4F">
        <w:t>the study conditions to be analysed</w:t>
      </w:r>
      <w:r w:rsidR="00EF4093">
        <w:t xml:space="preserve"> and</w:t>
      </w:r>
      <w:r w:rsidR="00F016B9">
        <w:t xml:space="preserve"> any bounding cases/scenarios</w:t>
      </w:r>
      <w:r w:rsidR="00B269FC">
        <w:t xml:space="preserve"> used to reduce the number of study conditions</w:t>
      </w:r>
      <w:r w:rsidR="007E0B50">
        <w:t>.</w:t>
      </w:r>
      <w:r w:rsidR="00833EA6">
        <w:t xml:space="preserve"> It will include</w:t>
      </w:r>
      <w:r w:rsidR="00066829">
        <w:t xml:space="preserve"> consideration o</w:t>
      </w:r>
      <w:r w:rsidR="00550B54">
        <w:t>f</w:t>
      </w:r>
      <w:r w:rsidR="005D6EA0">
        <w:t xml:space="preserve"> </w:t>
      </w:r>
      <w:r w:rsidR="001C14C3">
        <w:t>normal and abnormal modes of operation, faulted</w:t>
      </w:r>
      <w:r w:rsidR="002E67D7">
        <w:t xml:space="preserve"> states</w:t>
      </w:r>
      <w:r w:rsidR="004B7A1D">
        <w:t>, maintenance</w:t>
      </w:r>
      <w:r w:rsidR="009E5A47">
        <w:t>/test states</w:t>
      </w:r>
      <w:r w:rsidR="0031703C">
        <w:t>,</w:t>
      </w:r>
      <w:r w:rsidR="00066829">
        <w:t xml:space="preserve"> and degraded states.</w:t>
      </w:r>
    </w:p>
    <w:p w14:paraId="6B7C4312" w14:textId="640A19CA" w:rsidR="00FB4B44" w:rsidRDefault="00FB4B44" w:rsidP="005D6618">
      <w:pPr>
        <w:pStyle w:val="Bullet2"/>
        <w:jc w:val="both"/>
      </w:pPr>
      <w:r w:rsidRPr="00EE6E32">
        <w:rPr>
          <w:u w:val="single"/>
        </w:rPr>
        <w:t>Electrical Power System Studies – Acceptance Criteria</w:t>
      </w:r>
      <w:r w:rsidR="00EE6E32" w:rsidRPr="00EE6E32">
        <w:rPr>
          <w:u w:val="single"/>
        </w:rPr>
        <w:t>:</w:t>
      </w:r>
      <w:r w:rsidR="00EE6E32">
        <w:t xml:space="preserve"> </w:t>
      </w:r>
      <w:r w:rsidR="00AD7B38">
        <w:t>t</w:t>
      </w:r>
      <w:r w:rsidR="00B269FC">
        <w:t xml:space="preserve">his document will </w:t>
      </w:r>
      <w:r w:rsidR="00C14D82">
        <w:t>identify and justify the acceptance criteria to be used for each of the studies</w:t>
      </w:r>
      <w:r w:rsidR="007E0B50">
        <w:t>.</w:t>
      </w:r>
    </w:p>
    <w:p w14:paraId="27483E8C" w14:textId="64291A9C" w:rsidR="001F243F" w:rsidRDefault="00B269FC" w:rsidP="00CE3E04">
      <w:pPr>
        <w:jc w:val="both"/>
        <w:rPr>
          <w:u w:val="single"/>
        </w:rPr>
      </w:pPr>
      <w:r>
        <w:br/>
        <w:t xml:space="preserve">Throughout the two submissions, </w:t>
      </w:r>
      <w:r w:rsidR="007E0B50">
        <w:t xml:space="preserve">traceability will be shown </w:t>
      </w:r>
      <w:r w:rsidR="008A6AD4">
        <w:t>to relevant safety case requirements,</w:t>
      </w:r>
      <w:r w:rsidR="00A53DD7">
        <w:t xml:space="preserve"> and to</w:t>
      </w:r>
      <w:r w:rsidR="008A6AD4">
        <w:t xml:space="preserve"> fault and hazard analyses.</w:t>
      </w:r>
      <w:r w:rsidR="001F243F">
        <w:rPr>
          <w:u w:val="single"/>
        </w:rPr>
        <w:br w:type="page"/>
      </w:r>
    </w:p>
    <w:p w14:paraId="60B990E5" w14:textId="23388D6E" w:rsidR="00C548BA" w:rsidRPr="00452984" w:rsidRDefault="00C548BA" w:rsidP="00C548BA">
      <w:pPr>
        <w:rPr>
          <w:u w:val="single"/>
        </w:rPr>
      </w:pPr>
      <w:r w:rsidRPr="0087770B">
        <w:rPr>
          <w:u w:val="single"/>
        </w:rPr>
        <w:lastRenderedPageBreak/>
        <w:t>Electrical Power System Studies –</w:t>
      </w:r>
      <w:r>
        <w:rPr>
          <w:u w:val="single"/>
        </w:rPr>
        <w:t xml:space="preserve"> </w:t>
      </w:r>
      <w:r w:rsidRPr="00C76C8F">
        <w:rPr>
          <w:u w:val="single"/>
        </w:rPr>
        <w:t>Modelling Data</w:t>
      </w:r>
      <w:r>
        <w:rPr>
          <w:u w:val="single"/>
        </w:rPr>
        <w:t xml:space="preserve"> &amp; Assumptions</w:t>
      </w:r>
    </w:p>
    <w:p w14:paraId="0F6308D2" w14:textId="76E46B29" w:rsidR="00C548BA" w:rsidRDefault="00C548BA" w:rsidP="005D6618">
      <w:pPr>
        <w:jc w:val="both"/>
      </w:pPr>
      <w:r>
        <w:t>This submission replaces the previously submitted Input Data Schedule Workbook. This new submission provides the data used to create the power system model as well as data informed by the model. It will also identify and justify</w:t>
      </w:r>
      <w:r w:rsidR="008057B8">
        <w:t xml:space="preserve"> any</w:t>
      </w:r>
      <w:r>
        <w:t xml:space="preserve"> assumptions</w:t>
      </w:r>
      <w:r w:rsidR="008057B8">
        <w:t xml:space="preserve"> to be made in the development of the model</w:t>
      </w:r>
      <w:r w:rsidR="00117A8D">
        <w:t xml:space="preserve"> </w:t>
      </w:r>
      <w:r w:rsidR="00511945">
        <w:t>and underlying SSC parameters.</w:t>
      </w:r>
    </w:p>
    <w:p w14:paraId="1A32666D" w14:textId="77777777" w:rsidR="00E341E9" w:rsidRDefault="00E341E9" w:rsidP="00E341E9">
      <w:pPr>
        <w:rPr>
          <w:u w:val="single"/>
        </w:rPr>
      </w:pPr>
      <w:r w:rsidRPr="0087770B">
        <w:rPr>
          <w:u w:val="single"/>
        </w:rPr>
        <w:t xml:space="preserve">Electrical Power System Studies – </w:t>
      </w:r>
      <w:r>
        <w:rPr>
          <w:u w:val="single"/>
        </w:rPr>
        <w:t xml:space="preserve">Software Qualification Report </w:t>
      </w:r>
    </w:p>
    <w:p w14:paraId="7E258012" w14:textId="402CA7BC" w:rsidR="00E341E9" w:rsidRDefault="00E341E9" w:rsidP="00E341E9">
      <w:pPr>
        <w:jc w:val="both"/>
      </w:pPr>
      <w:r>
        <w:t>Building on the validation work provided in previously submitted Study Reports, this new submission will provide validation evidence for the software used for the electrical power system analysis</w:t>
      </w:r>
      <w:r w:rsidRPr="00AB29DB">
        <w:t xml:space="preserve">. This document will set out the software package and version selected to perform the electrical power system analysis. Via calculations </w:t>
      </w:r>
      <w:r w:rsidR="00A3303E">
        <w:t>carried out using other methods/tools</w:t>
      </w:r>
      <w:r w:rsidRPr="00AB29DB">
        <w:t>, this document will demonstrate the selected software package is appropriate for the studies undertaken and give confidence in the analysis output</w:t>
      </w:r>
      <w:r>
        <w:t>.</w:t>
      </w:r>
    </w:p>
    <w:p w14:paraId="14810242" w14:textId="286EE8A7" w:rsidR="00177FC7" w:rsidRDefault="00935C46" w:rsidP="00AC5B6C">
      <w:pPr>
        <w:pStyle w:val="Caption"/>
        <w:keepNext/>
      </w:pPr>
      <w:bookmarkStart w:id="0" w:name="_Ref206770617"/>
      <w:r>
        <w:t xml:space="preserve">Table </w:t>
      </w:r>
      <w:r w:rsidR="001E2FCA">
        <w:fldChar w:fldCharType="begin"/>
      </w:r>
      <w:r w:rsidR="001E2FCA">
        <w:instrText xml:space="preserve"> SEQ Table \* ARABIC </w:instrText>
      </w:r>
      <w:r w:rsidR="001E2FCA">
        <w:fldChar w:fldCharType="separate"/>
      </w:r>
      <w:r w:rsidR="001E2FCA">
        <w:rPr>
          <w:noProof/>
        </w:rPr>
        <w:t>1</w:t>
      </w:r>
      <w:r w:rsidR="001E2FCA">
        <w:rPr>
          <w:noProof/>
        </w:rPr>
        <w:fldChar w:fldCharType="end"/>
      </w:r>
      <w:bookmarkEnd w:id="0"/>
      <w:r w:rsidR="00AC5B6C">
        <w:t xml:space="preserve">: </w:t>
      </w:r>
      <w:r w:rsidR="00F829E4">
        <w:t>RO-RRSMR-010.A1 Deliverables</w:t>
      </w:r>
    </w:p>
    <w:tbl>
      <w:tblPr>
        <w:tblStyle w:val="TableGrid"/>
        <w:tblW w:w="9067" w:type="dxa"/>
        <w:tblLook w:val="04A0" w:firstRow="1" w:lastRow="0" w:firstColumn="1" w:lastColumn="0" w:noHBand="0" w:noVBand="1"/>
      </w:tblPr>
      <w:tblGrid>
        <w:gridCol w:w="3274"/>
        <w:gridCol w:w="4384"/>
        <w:gridCol w:w="1409"/>
      </w:tblGrid>
      <w:tr w:rsidR="006132F7" w14:paraId="587EEB63" w14:textId="77777777" w:rsidTr="00442221">
        <w:trPr>
          <w:cantSplit/>
          <w:trHeight w:val="300"/>
        </w:trPr>
        <w:tc>
          <w:tcPr>
            <w:tcW w:w="3274" w:type="dxa"/>
            <w:vAlign w:val="center"/>
          </w:tcPr>
          <w:p w14:paraId="64EC38BD" w14:textId="0B835AA6" w:rsidR="006132F7" w:rsidRDefault="006132F7" w:rsidP="006132F7">
            <w:r>
              <w:rPr>
                <w:rFonts w:cstheme="minorHAnsi"/>
                <w:b/>
                <w:szCs w:val="18"/>
              </w:rPr>
              <w:t>Title</w:t>
            </w:r>
          </w:p>
        </w:tc>
        <w:tc>
          <w:tcPr>
            <w:tcW w:w="4384" w:type="dxa"/>
            <w:vAlign w:val="center"/>
          </w:tcPr>
          <w:p w14:paraId="5549A145" w14:textId="1703E2B2" w:rsidR="006132F7" w:rsidRDefault="006132F7" w:rsidP="006132F7">
            <w:r>
              <w:rPr>
                <w:rFonts w:cstheme="minorHAnsi"/>
                <w:b/>
                <w:szCs w:val="18"/>
              </w:rPr>
              <w:t>Description</w:t>
            </w:r>
          </w:p>
        </w:tc>
        <w:tc>
          <w:tcPr>
            <w:tcW w:w="1409" w:type="dxa"/>
          </w:tcPr>
          <w:p w14:paraId="04BCC284" w14:textId="31B4C2D7" w:rsidR="006132F7" w:rsidRDefault="006132F7" w:rsidP="006132F7">
            <w:r>
              <w:rPr>
                <w:b/>
                <w:bCs/>
              </w:rPr>
              <w:t>Deliverable Date</w:t>
            </w:r>
            <w:r w:rsidRPr="04EC2D64">
              <w:rPr>
                <w:b/>
                <w:bCs/>
              </w:rPr>
              <w:t xml:space="preserve"> </w:t>
            </w:r>
          </w:p>
        </w:tc>
      </w:tr>
      <w:tr w:rsidR="006132F7" w14:paraId="3149340F" w14:textId="77777777" w:rsidTr="00442221">
        <w:trPr>
          <w:cantSplit/>
          <w:trHeight w:val="300"/>
        </w:trPr>
        <w:tc>
          <w:tcPr>
            <w:tcW w:w="3274" w:type="dxa"/>
          </w:tcPr>
          <w:p w14:paraId="18191FF7" w14:textId="10D8CE1D" w:rsidR="006132F7" w:rsidRDefault="00E41A4A" w:rsidP="006132F7">
            <w:r>
              <w:t>Electrical Power System Studies – Summary Report</w:t>
            </w:r>
            <w:r w:rsidR="00430F3D">
              <w:t xml:space="preserve"> </w:t>
            </w:r>
            <w:r w:rsidR="005439A2">
              <w:t>(</w:t>
            </w:r>
            <w:r w:rsidR="00430F3D">
              <w:t>Issue 1</w:t>
            </w:r>
            <w:r w:rsidR="005439A2">
              <w:t>)</w:t>
            </w:r>
          </w:p>
        </w:tc>
        <w:tc>
          <w:tcPr>
            <w:tcW w:w="4384" w:type="dxa"/>
          </w:tcPr>
          <w:p w14:paraId="16EC08E5" w14:textId="29C21232" w:rsidR="00EA6539" w:rsidRDefault="0077315B" w:rsidP="006132F7">
            <w:r>
              <w:t>Tier 2 h</w:t>
            </w:r>
            <w:r w:rsidR="006B6B4F">
              <w:t xml:space="preserve">eader document for </w:t>
            </w:r>
            <w:r w:rsidR="00ED07D0">
              <w:t>the power system studies</w:t>
            </w:r>
            <w:r w:rsidR="009B2647">
              <w:t xml:space="preserve"> and sizing</w:t>
            </w:r>
            <w:r w:rsidR="007C1AE6">
              <w:t xml:space="preserve"> </w:t>
            </w:r>
            <w:r w:rsidR="0010258B">
              <w:t xml:space="preserve">– </w:t>
            </w:r>
            <w:r w:rsidR="008E0ADD">
              <w:t>content</w:t>
            </w:r>
            <w:r w:rsidR="00776E00">
              <w:t xml:space="preserve"> described in </w:t>
            </w:r>
            <w:r w:rsidR="00503B7F">
              <w:t>the relevant section of the A1 response above</w:t>
            </w:r>
            <w:r w:rsidR="00A43249">
              <w:t xml:space="preserve">, </w:t>
            </w:r>
            <w:r w:rsidR="00EA6539">
              <w:t>to include</w:t>
            </w:r>
            <w:r w:rsidR="00716DD0">
              <w:t xml:space="preserve"> identification and justification of the: design reference point to be analysed; methodology </w:t>
            </w:r>
            <w:r w:rsidR="00584641">
              <w:t xml:space="preserve">for studies; strategy for establishing equipment ratings; </w:t>
            </w:r>
            <w:r w:rsidR="005674C2">
              <w:t>studies to be carried out and their s</w:t>
            </w:r>
            <w:r w:rsidR="00333277">
              <w:t xml:space="preserve">cope/boundaries; </w:t>
            </w:r>
            <w:r w:rsidR="00C97036">
              <w:t xml:space="preserve">links between </w:t>
            </w:r>
            <w:r w:rsidR="008C6A92">
              <w:t xml:space="preserve">the deliverables </w:t>
            </w:r>
            <w:r w:rsidR="00597E45">
              <w:t xml:space="preserve">and </w:t>
            </w:r>
            <w:r w:rsidR="004672BA">
              <w:t>safety case claims</w:t>
            </w:r>
            <w:r w:rsidR="00597E45">
              <w:t>; and means of verification/validation of analytical tools</w:t>
            </w:r>
          </w:p>
        </w:tc>
        <w:tc>
          <w:tcPr>
            <w:tcW w:w="1409" w:type="dxa"/>
          </w:tcPr>
          <w:p w14:paraId="781DFB93" w14:textId="4EE8B49A" w:rsidR="006132F7" w:rsidRDefault="00430F3D" w:rsidP="006132F7">
            <w:r>
              <w:t>31 March 2026</w:t>
            </w:r>
          </w:p>
        </w:tc>
      </w:tr>
      <w:tr w:rsidR="002E48C5" w14:paraId="134ADF26" w14:textId="77777777" w:rsidTr="00442221">
        <w:trPr>
          <w:cantSplit/>
          <w:trHeight w:val="300"/>
        </w:trPr>
        <w:tc>
          <w:tcPr>
            <w:tcW w:w="3274" w:type="dxa"/>
          </w:tcPr>
          <w:p w14:paraId="2C2448E6" w14:textId="523C54EC" w:rsidR="002E48C5" w:rsidRDefault="002E48C5" w:rsidP="006132F7">
            <w:r>
              <w:t>Electrical Power System Studies –  Study Conditions</w:t>
            </w:r>
          </w:p>
        </w:tc>
        <w:tc>
          <w:tcPr>
            <w:tcW w:w="4384" w:type="dxa"/>
          </w:tcPr>
          <w:p w14:paraId="070D5BF3" w14:textId="32059207" w:rsidR="002E48C5" w:rsidRDefault="00505590" w:rsidP="006132F7">
            <w:r>
              <w:t>Identifie</w:t>
            </w:r>
            <w:r w:rsidR="003755EE">
              <w:t>s</w:t>
            </w:r>
            <w:r w:rsidRPr="00505590">
              <w:t xml:space="preserve"> and justif</w:t>
            </w:r>
            <w:r>
              <w:t>ies</w:t>
            </w:r>
            <w:r w:rsidRPr="00505590">
              <w:t xml:space="preserve"> the study conditions to be analysed and any bounding cases/scenarios used to reduce the number of study conditions</w:t>
            </w:r>
          </w:p>
        </w:tc>
        <w:tc>
          <w:tcPr>
            <w:tcW w:w="1409" w:type="dxa"/>
          </w:tcPr>
          <w:p w14:paraId="268D3C31" w14:textId="5A471CDD" w:rsidR="002E48C5" w:rsidRDefault="002E48C5" w:rsidP="006132F7">
            <w:r>
              <w:t>31 March 2026</w:t>
            </w:r>
          </w:p>
        </w:tc>
      </w:tr>
      <w:tr w:rsidR="002E48C5" w14:paraId="214EDB5B" w14:textId="77777777" w:rsidTr="00442221">
        <w:trPr>
          <w:cantSplit/>
          <w:trHeight w:val="300"/>
        </w:trPr>
        <w:tc>
          <w:tcPr>
            <w:tcW w:w="3274" w:type="dxa"/>
          </w:tcPr>
          <w:p w14:paraId="49355AEF" w14:textId="6777DFDF" w:rsidR="002E48C5" w:rsidRDefault="002E48C5" w:rsidP="006132F7">
            <w:r>
              <w:t>Electrical Power System Studies –  Acceptance Criteria</w:t>
            </w:r>
          </w:p>
        </w:tc>
        <w:tc>
          <w:tcPr>
            <w:tcW w:w="4384" w:type="dxa"/>
          </w:tcPr>
          <w:p w14:paraId="1EEE6B34" w14:textId="22E764B3" w:rsidR="002E48C5" w:rsidRDefault="003755EE" w:rsidP="006132F7">
            <w:r>
              <w:t>I</w:t>
            </w:r>
            <w:r w:rsidRPr="003755EE">
              <w:t>dentif</w:t>
            </w:r>
            <w:r>
              <w:t>ies</w:t>
            </w:r>
            <w:r w:rsidRPr="003755EE">
              <w:t xml:space="preserve"> and justif</w:t>
            </w:r>
            <w:r>
              <w:t>ies</w:t>
            </w:r>
            <w:r w:rsidRPr="003755EE">
              <w:t xml:space="preserve"> the acceptance criteria to be used for each of the studies</w:t>
            </w:r>
          </w:p>
        </w:tc>
        <w:tc>
          <w:tcPr>
            <w:tcW w:w="1409" w:type="dxa"/>
          </w:tcPr>
          <w:p w14:paraId="3B9369CE" w14:textId="3C2C19C3" w:rsidR="002E48C5" w:rsidRDefault="002E48C5" w:rsidP="006132F7">
            <w:r>
              <w:t>31 March 2026</w:t>
            </w:r>
          </w:p>
        </w:tc>
      </w:tr>
      <w:tr w:rsidR="00C548BA" w14:paraId="3CC807A3" w14:textId="77777777" w:rsidTr="00442221">
        <w:trPr>
          <w:cantSplit/>
          <w:trHeight w:val="300"/>
        </w:trPr>
        <w:tc>
          <w:tcPr>
            <w:tcW w:w="3274" w:type="dxa"/>
          </w:tcPr>
          <w:p w14:paraId="76ACF4CF" w14:textId="6686FEFE" w:rsidR="00C548BA" w:rsidRDefault="00C548BA" w:rsidP="006132F7">
            <w:r>
              <w:t>Electrical Power System Studies – Modelling Data</w:t>
            </w:r>
            <w:r w:rsidR="007E5140">
              <w:t xml:space="preserve"> &amp; Assumptions</w:t>
            </w:r>
            <w:r>
              <w:t xml:space="preserve"> </w:t>
            </w:r>
          </w:p>
        </w:tc>
        <w:tc>
          <w:tcPr>
            <w:tcW w:w="4384" w:type="dxa"/>
          </w:tcPr>
          <w:p w14:paraId="64389791" w14:textId="554D1F8A" w:rsidR="00C548BA" w:rsidRDefault="00597F00" w:rsidP="006132F7">
            <w:r>
              <w:t>Provides the data used to create the power system model as well as data informed by the model; identifies and justifie</w:t>
            </w:r>
            <w:r w:rsidR="00513B88">
              <w:t>s any assumptions made in the development of the model and underlying SSC parameters</w:t>
            </w:r>
          </w:p>
        </w:tc>
        <w:tc>
          <w:tcPr>
            <w:tcW w:w="1409" w:type="dxa"/>
          </w:tcPr>
          <w:p w14:paraId="6A1B84F1" w14:textId="4171C647" w:rsidR="00C548BA" w:rsidRDefault="00513B88" w:rsidP="006132F7">
            <w:r>
              <w:t>31 March 2026</w:t>
            </w:r>
          </w:p>
        </w:tc>
      </w:tr>
      <w:tr w:rsidR="005439A2" w14:paraId="15035539" w14:textId="77777777" w:rsidTr="00442221">
        <w:trPr>
          <w:cantSplit/>
          <w:trHeight w:val="300"/>
        </w:trPr>
        <w:tc>
          <w:tcPr>
            <w:tcW w:w="3274" w:type="dxa"/>
          </w:tcPr>
          <w:p w14:paraId="4998CAF0" w14:textId="74358AC5" w:rsidR="005439A2" w:rsidRDefault="005439A2" w:rsidP="006132F7">
            <w:r>
              <w:t xml:space="preserve">Electrical Power System Studies – Software </w:t>
            </w:r>
            <w:r w:rsidR="001819E7" w:rsidRPr="0078469E">
              <w:t>Tool</w:t>
            </w:r>
            <w:r w:rsidRPr="0078469E">
              <w:t xml:space="preserve"> </w:t>
            </w:r>
            <w:r>
              <w:t>Qualification Report</w:t>
            </w:r>
          </w:p>
        </w:tc>
        <w:tc>
          <w:tcPr>
            <w:tcW w:w="4384" w:type="dxa"/>
          </w:tcPr>
          <w:p w14:paraId="05AE235F" w14:textId="04D39E86" w:rsidR="005439A2" w:rsidRDefault="001819E7" w:rsidP="006132F7">
            <w:r w:rsidRPr="0078469E">
              <w:rPr>
                <w:rFonts w:ascii="Arial" w:hAnsi="Arial" w:cs="Arial"/>
              </w:rPr>
              <w:t>​​</w:t>
            </w:r>
            <w:r w:rsidR="0078469E">
              <w:rPr>
                <w:rFonts w:cs="Arial"/>
              </w:rPr>
              <w:t>P</w:t>
            </w:r>
            <w:r w:rsidR="0078469E" w:rsidRPr="0078469E">
              <w:rPr>
                <w:rFonts w:cs="Arial"/>
              </w:rPr>
              <w:t>rovide</w:t>
            </w:r>
            <w:r w:rsidR="002547CD">
              <w:rPr>
                <w:rFonts w:cs="Arial"/>
              </w:rPr>
              <w:t>s</w:t>
            </w:r>
            <w:r w:rsidR="0078469E" w:rsidRPr="0078469E">
              <w:rPr>
                <w:rFonts w:cs="Arial"/>
              </w:rPr>
              <w:t xml:space="preserve"> validation evidence for the software used for the electrical power system analysis</w:t>
            </w:r>
          </w:p>
        </w:tc>
        <w:tc>
          <w:tcPr>
            <w:tcW w:w="1409" w:type="dxa"/>
          </w:tcPr>
          <w:p w14:paraId="048FA03F" w14:textId="1E0D5F4D" w:rsidR="005439A2" w:rsidRDefault="00E4679D" w:rsidP="006132F7">
            <w:r>
              <w:t xml:space="preserve">27 August </w:t>
            </w:r>
            <w:r w:rsidR="002456D3">
              <w:t>2026</w:t>
            </w:r>
          </w:p>
        </w:tc>
      </w:tr>
    </w:tbl>
    <w:p w14:paraId="18B2017D" w14:textId="77777777" w:rsidR="00526954" w:rsidRDefault="00526954">
      <w:pPr>
        <w:tabs>
          <w:tab w:val="clear" w:pos="992"/>
          <w:tab w:val="clear" w:pos="1395"/>
          <w:tab w:val="clear" w:pos="1712"/>
        </w:tabs>
        <w:spacing w:after="200" w:line="276" w:lineRule="auto"/>
        <w:rPr>
          <w:b/>
          <w:bCs/>
          <w:i/>
          <w:iCs/>
        </w:rPr>
      </w:pPr>
      <w:r>
        <w:rPr>
          <w:b/>
          <w:bCs/>
          <w:i/>
          <w:iCs/>
        </w:rPr>
        <w:br w:type="page"/>
      </w:r>
    </w:p>
    <w:p w14:paraId="19509DFA" w14:textId="629C13D7" w:rsidR="00CB2530" w:rsidRDefault="0060580E" w:rsidP="00DF0BB8">
      <w:pPr>
        <w:rPr>
          <w:b/>
          <w:i/>
        </w:rPr>
      </w:pPr>
      <w:r w:rsidRPr="00C75D8E">
        <w:rPr>
          <w:b/>
          <w:bCs/>
          <w:i/>
          <w:iCs/>
        </w:rPr>
        <w:lastRenderedPageBreak/>
        <w:t>RO-RRSMR-010.A</w:t>
      </w:r>
      <w:r>
        <w:rPr>
          <w:b/>
          <w:bCs/>
          <w:i/>
          <w:iCs/>
        </w:rPr>
        <w:t xml:space="preserve">2 </w:t>
      </w:r>
      <w:r w:rsidR="00AB29DB">
        <w:rPr>
          <w:b/>
          <w:bCs/>
          <w:i/>
          <w:iCs/>
        </w:rPr>
        <w:t>–</w:t>
      </w:r>
      <w:r>
        <w:rPr>
          <w:b/>
          <w:bCs/>
          <w:i/>
          <w:iCs/>
        </w:rPr>
        <w:t xml:space="preserve"> </w:t>
      </w:r>
      <w:r w:rsidR="00AB29DB">
        <w:rPr>
          <w:b/>
          <w:bCs/>
          <w:i/>
          <w:iCs/>
        </w:rPr>
        <w:t>Analyse the Rolls-Royce SMR Electrical Power System</w:t>
      </w:r>
    </w:p>
    <w:p w14:paraId="557CC803" w14:textId="77777777" w:rsidR="006F3A1F" w:rsidRPr="000E73A4" w:rsidRDefault="006F3A1F" w:rsidP="005D6618">
      <w:pPr>
        <w:jc w:val="both"/>
        <w:rPr>
          <w:szCs w:val="24"/>
          <w:highlight w:val="yellow"/>
        </w:rPr>
      </w:pPr>
      <w:r w:rsidRPr="000E73A4">
        <w:rPr>
          <w:szCs w:val="24"/>
        </w:rPr>
        <w:t>In response to this Regulatory Observation Action, Rolls-Royce SMR Ltd should:</w:t>
      </w:r>
    </w:p>
    <w:p w14:paraId="4525B829" w14:textId="66C2AD68" w:rsidR="006F3A1F" w:rsidRPr="000E73A4" w:rsidRDefault="006F3A1F" w:rsidP="005D6618">
      <w:pPr>
        <w:pStyle w:val="ListParagraph"/>
        <w:numPr>
          <w:ilvl w:val="0"/>
          <w:numId w:val="20"/>
        </w:numPr>
        <w:tabs>
          <w:tab w:val="clear" w:pos="992"/>
          <w:tab w:val="clear" w:pos="1395"/>
          <w:tab w:val="clear" w:pos="1712"/>
        </w:tabs>
        <w:spacing w:after="0"/>
        <w:jc w:val="both"/>
        <w:rPr>
          <w:szCs w:val="24"/>
        </w:rPr>
      </w:pPr>
      <w:r w:rsidRPr="000E73A4">
        <w:rPr>
          <w:szCs w:val="24"/>
        </w:rPr>
        <w:t>Using the strategy developed in response to RO-RRSMR-010.A1:</w:t>
      </w:r>
    </w:p>
    <w:p w14:paraId="5316D4A2" w14:textId="77777777" w:rsidR="006F3A1F" w:rsidRPr="000E73A4" w:rsidRDefault="006F3A1F" w:rsidP="005D6618">
      <w:pPr>
        <w:pStyle w:val="ListParagraph"/>
        <w:numPr>
          <w:ilvl w:val="1"/>
          <w:numId w:val="20"/>
        </w:numPr>
        <w:tabs>
          <w:tab w:val="clear" w:pos="992"/>
          <w:tab w:val="clear" w:pos="1395"/>
          <w:tab w:val="clear" w:pos="1712"/>
        </w:tabs>
        <w:spacing w:after="0"/>
        <w:jc w:val="both"/>
      </w:pPr>
      <w:r w:rsidRPr="000E73A4">
        <w:t>Develop the system model(s);</w:t>
      </w:r>
    </w:p>
    <w:p w14:paraId="2DE83F97" w14:textId="77777777" w:rsidR="006F3A1F" w:rsidRPr="000E73A4" w:rsidRDefault="006F3A1F" w:rsidP="005D6618">
      <w:pPr>
        <w:pStyle w:val="ListParagraph"/>
        <w:numPr>
          <w:ilvl w:val="1"/>
          <w:numId w:val="20"/>
        </w:numPr>
        <w:tabs>
          <w:tab w:val="clear" w:pos="992"/>
          <w:tab w:val="clear" w:pos="1395"/>
          <w:tab w:val="clear" w:pos="1712"/>
        </w:tabs>
        <w:spacing w:after="0"/>
        <w:jc w:val="both"/>
      </w:pPr>
      <w:r w:rsidRPr="000E73A4">
        <w:t>Determine the minimum electrical ratings of the EPS equipment;</w:t>
      </w:r>
    </w:p>
    <w:p w14:paraId="41DC5D8B" w14:textId="77777777" w:rsidR="006F3A1F" w:rsidRPr="000E73A4" w:rsidRDefault="006F3A1F" w:rsidP="005D6618">
      <w:pPr>
        <w:pStyle w:val="ListParagraph"/>
        <w:numPr>
          <w:ilvl w:val="1"/>
          <w:numId w:val="20"/>
        </w:numPr>
        <w:tabs>
          <w:tab w:val="clear" w:pos="992"/>
          <w:tab w:val="clear" w:pos="1395"/>
          <w:tab w:val="clear" w:pos="1712"/>
        </w:tabs>
        <w:spacing w:after="0"/>
        <w:jc w:val="both"/>
      </w:pPr>
      <w:r w:rsidRPr="000E73A4">
        <w:t>Analyse the performance of the EPS in response to the identified “study conditions”; and</w:t>
      </w:r>
    </w:p>
    <w:p w14:paraId="3DFD8798" w14:textId="77777777" w:rsidR="006F3A1F" w:rsidRPr="000E73A4" w:rsidRDefault="006F3A1F" w:rsidP="005D6618">
      <w:pPr>
        <w:pStyle w:val="ListParagraph"/>
        <w:numPr>
          <w:ilvl w:val="1"/>
          <w:numId w:val="20"/>
        </w:numPr>
        <w:tabs>
          <w:tab w:val="clear" w:pos="992"/>
          <w:tab w:val="clear" w:pos="1395"/>
          <w:tab w:val="clear" w:pos="1712"/>
        </w:tabs>
        <w:spacing w:after="0"/>
        <w:jc w:val="both"/>
      </w:pPr>
      <w:r w:rsidRPr="000E73A4">
        <w:t>Analyse the results against the acceptance criteria, identifying any gaps against the extant safety case and system design.</w:t>
      </w:r>
    </w:p>
    <w:p w14:paraId="1EE29B9C" w14:textId="77777777" w:rsidR="006F3A1F" w:rsidRPr="000E73A4" w:rsidRDefault="006F3A1F" w:rsidP="005D6618">
      <w:pPr>
        <w:pStyle w:val="ListParagraph"/>
        <w:tabs>
          <w:tab w:val="clear" w:pos="992"/>
          <w:tab w:val="clear" w:pos="1395"/>
          <w:tab w:val="clear" w:pos="1712"/>
        </w:tabs>
        <w:spacing w:after="0"/>
        <w:ind w:left="1440"/>
        <w:jc w:val="both"/>
      </w:pPr>
    </w:p>
    <w:p w14:paraId="40EDBC48" w14:textId="238150B3" w:rsidR="006F3A1F" w:rsidRPr="000E73A4" w:rsidRDefault="006F3A1F" w:rsidP="005D6618">
      <w:pPr>
        <w:jc w:val="both"/>
        <w:rPr>
          <w:szCs w:val="24"/>
        </w:rPr>
      </w:pPr>
      <w:r w:rsidRPr="000E73A4">
        <w:rPr>
          <w:szCs w:val="24"/>
        </w:rPr>
        <w:t>In undertaking the sizing and analysis, the RP should consider:</w:t>
      </w:r>
    </w:p>
    <w:p w14:paraId="7B5CE4FA" w14:textId="77777777" w:rsidR="006F3A1F" w:rsidRPr="00EA43D8" w:rsidRDefault="006F3A1F" w:rsidP="005D6618">
      <w:pPr>
        <w:pStyle w:val="Bullet2"/>
        <w:jc w:val="both"/>
      </w:pPr>
      <w:r w:rsidRPr="000E73A4">
        <w:t xml:space="preserve">The justification for any </w:t>
      </w:r>
      <w:r w:rsidRPr="00EA43D8">
        <w:t>changes to the assumptions or acceptance criteria that have been necessary during the sizing or analyses;</w:t>
      </w:r>
    </w:p>
    <w:p w14:paraId="35C94E52" w14:textId="77777777" w:rsidR="006F3A1F" w:rsidRPr="00EA43D8" w:rsidRDefault="006F3A1F" w:rsidP="005D6618">
      <w:pPr>
        <w:pStyle w:val="Bullet2"/>
        <w:jc w:val="both"/>
      </w:pPr>
      <w:r w:rsidRPr="00EA43D8">
        <w:t>How any such changes do not undermine the results or conclusions of any other analyses or the design; and</w:t>
      </w:r>
    </w:p>
    <w:p w14:paraId="06CE713D" w14:textId="77777777" w:rsidR="006F3A1F" w:rsidRPr="000E73A4" w:rsidRDefault="006F3A1F" w:rsidP="005D6618">
      <w:pPr>
        <w:pStyle w:val="ListParagraph"/>
        <w:numPr>
          <w:ilvl w:val="0"/>
          <w:numId w:val="20"/>
        </w:numPr>
        <w:tabs>
          <w:tab w:val="clear" w:pos="992"/>
          <w:tab w:val="clear" w:pos="1395"/>
          <w:tab w:val="clear" w:pos="1712"/>
        </w:tabs>
        <w:spacing w:after="0"/>
        <w:jc w:val="both"/>
      </w:pPr>
      <w:r w:rsidRPr="000E73A4">
        <w:t>The sensitivity of the analysis findings to uncertainties in the model data or assumptions.</w:t>
      </w:r>
    </w:p>
    <w:p w14:paraId="1B02DB74" w14:textId="021B89F3" w:rsidR="00F90ED5" w:rsidRPr="00FB170A" w:rsidRDefault="006F3A1F" w:rsidP="005D6618">
      <w:pPr>
        <w:spacing w:before="60" w:after="60"/>
        <w:jc w:val="both"/>
        <w:rPr>
          <w:b/>
          <w:bCs/>
          <w:u w:val="single"/>
        </w:rPr>
      </w:pPr>
      <w:r w:rsidRPr="00AB29DB">
        <w:rPr>
          <w:noProof/>
          <w:color w:val="4F81BD" w:themeColor="accent1"/>
          <w:szCs w:val="24"/>
        </w:rPr>
        <w:br/>
      </w:r>
      <w:r w:rsidR="00F90ED5" w:rsidRPr="00FB170A">
        <w:rPr>
          <w:b/>
          <w:bCs/>
          <w:u w:val="single"/>
        </w:rPr>
        <w:t>R</w:t>
      </w:r>
      <w:r w:rsidR="00F90ED5">
        <w:rPr>
          <w:b/>
          <w:bCs/>
          <w:u w:val="single"/>
        </w:rPr>
        <w:t>olls Royce</w:t>
      </w:r>
      <w:r w:rsidR="00F90ED5" w:rsidRPr="00FB170A">
        <w:rPr>
          <w:b/>
          <w:bCs/>
          <w:u w:val="single"/>
        </w:rPr>
        <w:t xml:space="preserve"> SMR Resolution Plan</w:t>
      </w:r>
      <w:r w:rsidR="00F90ED5">
        <w:rPr>
          <w:b/>
          <w:bCs/>
          <w:u w:val="single"/>
        </w:rPr>
        <w:t xml:space="preserve"> for </w:t>
      </w:r>
      <w:r w:rsidR="00F90ED5" w:rsidRPr="008A456E">
        <w:rPr>
          <w:b/>
          <w:bCs/>
          <w:u w:val="single"/>
        </w:rPr>
        <w:t>RO-RRSMR-0</w:t>
      </w:r>
      <w:r w:rsidR="00F90ED5">
        <w:rPr>
          <w:b/>
          <w:bCs/>
          <w:u w:val="single"/>
        </w:rPr>
        <w:t>10</w:t>
      </w:r>
      <w:r w:rsidR="00F90ED5" w:rsidRPr="008A456E">
        <w:rPr>
          <w:b/>
          <w:bCs/>
          <w:u w:val="single"/>
        </w:rPr>
        <w:t>.A</w:t>
      </w:r>
      <w:r w:rsidR="00F90ED5">
        <w:rPr>
          <w:b/>
          <w:bCs/>
          <w:u w:val="single"/>
        </w:rPr>
        <w:t>2</w:t>
      </w:r>
    </w:p>
    <w:p w14:paraId="14416FBE" w14:textId="36EC1A3C" w:rsidR="00044E4B" w:rsidRDefault="008C0904" w:rsidP="005D6618">
      <w:pPr>
        <w:jc w:val="both"/>
      </w:pPr>
      <w:r>
        <w:t>In response to this action, Rolls-Royce SMR</w:t>
      </w:r>
      <w:r w:rsidR="000F5845">
        <w:t xml:space="preserve"> Ltd</w:t>
      </w:r>
      <w:r>
        <w:t xml:space="preserve"> will use </w:t>
      </w:r>
      <w:r w:rsidR="00587AA7">
        <w:t xml:space="preserve">the strategy defined in Issue 1 of the Summary Report as the basis to </w:t>
      </w:r>
      <w:r w:rsidR="00C20AB0">
        <w:t xml:space="preserve">determine electrical equipment ratings, </w:t>
      </w:r>
      <w:r w:rsidR="00587AA7">
        <w:t xml:space="preserve">develop computational </w:t>
      </w:r>
      <w:r w:rsidR="00873811">
        <w:t xml:space="preserve">power systems analysis </w:t>
      </w:r>
      <w:r w:rsidR="00587AA7">
        <w:t>models</w:t>
      </w:r>
      <w:r w:rsidR="00C20AB0">
        <w:t xml:space="preserve">, analyse the performance of </w:t>
      </w:r>
      <w:r w:rsidR="00E44D5A">
        <w:t xml:space="preserve">the EPS in response to the identified study conditions, and analyse the results against </w:t>
      </w:r>
      <w:r w:rsidR="000059B0">
        <w:t>the acceptance criteria, including identification of any gaps against the extant safety case and system design.</w:t>
      </w:r>
      <w:r w:rsidR="00FD3F24">
        <w:t xml:space="preserve"> </w:t>
      </w:r>
      <w:r w:rsidR="00A53AA2">
        <w:t xml:space="preserve">The production of the </w:t>
      </w:r>
      <w:r w:rsidR="00CE7E51">
        <w:t xml:space="preserve">A2 </w:t>
      </w:r>
      <w:r w:rsidR="00A53AA2">
        <w:t>deliverables wi</w:t>
      </w:r>
      <w:r w:rsidR="00BD2ABF">
        <w:t>ll include consideration of relevant RQs.</w:t>
      </w:r>
    </w:p>
    <w:p w14:paraId="1B324542" w14:textId="59B14A99" w:rsidR="00E401FA" w:rsidRDefault="00E401FA" w:rsidP="005D6618">
      <w:pPr>
        <w:jc w:val="both"/>
        <w:rPr>
          <w:u w:val="single"/>
        </w:rPr>
      </w:pPr>
      <w:r>
        <w:rPr>
          <w:u w:val="single"/>
        </w:rPr>
        <w:t>Electrical Power System Studies - Summary Report (Issue 2)</w:t>
      </w:r>
    </w:p>
    <w:p w14:paraId="7723536D" w14:textId="22ECA73C" w:rsidR="00E401FA" w:rsidRDefault="00222551" w:rsidP="005D6618">
      <w:pPr>
        <w:jc w:val="both"/>
      </w:pPr>
      <w:r>
        <w:t>The Summary Report will be up-issue</w:t>
      </w:r>
      <w:r w:rsidR="00775765">
        <w:t xml:space="preserve">d to </w:t>
      </w:r>
      <w:r w:rsidR="00FE4EE0">
        <w:t xml:space="preserve">summarise the </w:t>
      </w:r>
      <w:r w:rsidR="000A1244">
        <w:t>work</w:t>
      </w:r>
      <w:r w:rsidR="009A2E89">
        <w:t xml:space="preserve">, </w:t>
      </w:r>
      <w:r w:rsidR="00C26D2B">
        <w:t xml:space="preserve">with the following items related to Action A2 </w:t>
      </w:r>
      <w:r w:rsidR="009A2E89">
        <w:t>includ</w:t>
      </w:r>
      <w:r w:rsidR="00C26D2B">
        <w:t>ed</w:t>
      </w:r>
      <w:r w:rsidR="009A2E89">
        <w:t>:</w:t>
      </w:r>
    </w:p>
    <w:p w14:paraId="21B64CCE" w14:textId="404B56BA" w:rsidR="00A55C6B" w:rsidRPr="00E401FA" w:rsidRDefault="00A55C6B" w:rsidP="005D6618">
      <w:pPr>
        <w:pStyle w:val="ListParagraph"/>
        <w:numPr>
          <w:ilvl w:val="0"/>
          <w:numId w:val="25"/>
        </w:numPr>
        <w:jc w:val="both"/>
      </w:pPr>
      <w:r>
        <w:t>Identification of gaps against the extant safety case and system design</w:t>
      </w:r>
    </w:p>
    <w:p w14:paraId="505D4747" w14:textId="6843036B" w:rsidR="00D84A82" w:rsidRDefault="00C30159" w:rsidP="005D6618">
      <w:pPr>
        <w:jc w:val="both"/>
      </w:pPr>
      <w:r>
        <w:t xml:space="preserve">Issue 2 of the Sumary Report will </w:t>
      </w:r>
      <w:r w:rsidR="00616831">
        <w:t xml:space="preserve">also </w:t>
      </w:r>
      <w:r w:rsidR="00D42D80">
        <w:t xml:space="preserve">include content to </w:t>
      </w:r>
      <w:r w:rsidR="00D543B3">
        <w:t>address Action A3</w:t>
      </w:r>
      <w:r w:rsidR="003522A8">
        <w:t xml:space="preserve"> if required</w:t>
      </w:r>
      <w:r w:rsidR="00E738BE">
        <w:t>; please see the response to Action A3</w:t>
      </w:r>
      <w:r w:rsidR="00594671">
        <w:t xml:space="preserve"> </w:t>
      </w:r>
      <w:r w:rsidR="002139E7">
        <w:t xml:space="preserve">for a description of that additional content. </w:t>
      </w:r>
    </w:p>
    <w:p w14:paraId="7B29424B" w14:textId="141D3E09" w:rsidR="00FA3B08" w:rsidRDefault="00FA3B08" w:rsidP="005D6618">
      <w:pPr>
        <w:jc w:val="both"/>
        <w:rPr>
          <w:u w:val="single"/>
        </w:rPr>
      </w:pPr>
      <w:r w:rsidRPr="0087770B">
        <w:rPr>
          <w:u w:val="single"/>
        </w:rPr>
        <w:t>Electrical Power System Studies –</w:t>
      </w:r>
      <w:r>
        <w:rPr>
          <w:u w:val="single"/>
        </w:rPr>
        <w:t xml:space="preserve"> Study Reports</w:t>
      </w:r>
    </w:p>
    <w:p w14:paraId="27E05119" w14:textId="22132AF5" w:rsidR="00F6455A" w:rsidRDefault="00852B36" w:rsidP="005D6618">
      <w:pPr>
        <w:jc w:val="both"/>
      </w:pPr>
      <w:r>
        <w:t>A</w:t>
      </w:r>
      <w:r w:rsidR="00414064">
        <w:t xml:space="preserve"> new </w:t>
      </w:r>
      <w:r w:rsidR="00FC3A57">
        <w:t>set of</w:t>
      </w:r>
      <w:r w:rsidR="00414064">
        <w:t xml:space="preserve"> Study Reports will be created for the set of studies </w:t>
      </w:r>
      <w:r w:rsidR="00A23530">
        <w:t>identified</w:t>
      </w:r>
      <w:r w:rsidR="00FE4499">
        <w:t xml:space="preserve"> </w:t>
      </w:r>
      <w:r w:rsidR="00FC3A57">
        <w:t>in Table 2.</w:t>
      </w:r>
      <w:r w:rsidR="002D24C1">
        <w:t xml:space="preserve"> </w:t>
      </w:r>
      <w:r w:rsidR="00D158E6" w:rsidRPr="00026A2A">
        <w:t xml:space="preserve">The </w:t>
      </w:r>
      <w:r w:rsidR="000C1070" w:rsidRPr="00026A2A">
        <w:t>format will be amended</w:t>
      </w:r>
      <w:r w:rsidR="00314A48" w:rsidRPr="00026A2A">
        <w:t>, relative to the previously submitted Study Reports</w:t>
      </w:r>
      <w:r w:rsidR="00917C79" w:rsidRPr="00026A2A">
        <w:t>,</w:t>
      </w:r>
      <w:r w:rsidR="0065549D" w:rsidRPr="00026A2A">
        <w:t xml:space="preserve"> to focus on the mo</w:t>
      </w:r>
      <w:r w:rsidR="0065549D">
        <w:t xml:space="preserve">delling </w:t>
      </w:r>
      <w:r w:rsidR="00B3213D">
        <w:t>work itself</w:t>
      </w:r>
      <w:r w:rsidR="00B6197F">
        <w:t xml:space="preserve"> and </w:t>
      </w:r>
      <w:r w:rsidR="00F838FB">
        <w:t>comparison of results against acceptance criteria</w:t>
      </w:r>
      <w:r w:rsidR="00B3213D">
        <w:t>, with</w:t>
      </w:r>
      <w:r w:rsidR="00EF5A16">
        <w:t xml:space="preserve"> the following </w:t>
      </w:r>
      <w:r w:rsidR="00F6455A">
        <w:t>contents moved to other reports:</w:t>
      </w:r>
    </w:p>
    <w:p w14:paraId="2B767C27" w14:textId="5463CAE6" w:rsidR="00FA3B08" w:rsidRDefault="007B66C1" w:rsidP="005D6618">
      <w:pPr>
        <w:pStyle w:val="ListParagraph"/>
        <w:numPr>
          <w:ilvl w:val="0"/>
          <w:numId w:val="26"/>
        </w:numPr>
        <w:jc w:val="both"/>
      </w:pPr>
      <w:r>
        <w:t>Issue 2 of the Summary Report:</w:t>
      </w:r>
      <w:r w:rsidR="00B3213D">
        <w:t xml:space="preserve"> overall conclusions and gap analysis</w:t>
      </w:r>
      <w:r>
        <w:t xml:space="preserve"> against extant safety case and system design</w:t>
      </w:r>
      <w:r w:rsidR="003A14AF">
        <w:t>.</w:t>
      </w:r>
    </w:p>
    <w:p w14:paraId="4B25C5A0" w14:textId="32248A88" w:rsidR="003A14AF" w:rsidRPr="00FA3B08" w:rsidRDefault="00CA37F2" w:rsidP="005D6618">
      <w:pPr>
        <w:pStyle w:val="ListParagraph"/>
        <w:numPr>
          <w:ilvl w:val="0"/>
          <w:numId w:val="26"/>
        </w:numPr>
        <w:jc w:val="both"/>
      </w:pPr>
      <w:r>
        <w:t>Software Qualification Report</w:t>
      </w:r>
      <w:r w:rsidR="00D756FB">
        <w:t xml:space="preserve"> (see A1 Deliverables)</w:t>
      </w:r>
      <w:r>
        <w:t>: v</w:t>
      </w:r>
      <w:r w:rsidR="004B0E59">
        <w:t xml:space="preserve">alidation </w:t>
      </w:r>
      <w:r w:rsidR="00DD49A2">
        <w:t>of the software e.g. via hand calculations.</w:t>
      </w:r>
    </w:p>
    <w:p w14:paraId="204A711A" w14:textId="77777777" w:rsidR="007966E4" w:rsidRDefault="007966E4" w:rsidP="007966E4">
      <w:pPr>
        <w:jc w:val="both"/>
      </w:pPr>
    </w:p>
    <w:p w14:paraId="24EE62E2" w14:textId="77777777" w:rsidR="00690851" w:rsidRPr="00FA3B08" w:rsidRDefault="00690851" w:rsidP="00D74FF7">
      <w:pPr>
        <w:jc w:val="both"/>
      </w:pPr>
    </w:p>
    <w:p w14:paraId="71B842BA" w14:textId="58EFE839" w:rsidR="006F3F27" w:rsidRDefault="00AC5B6C" w:rsidP="00AC5B6C">
      <w:pPr>
        <w:pStyle w:val="Caption"/>
      </w:pPr>
      <w:bookmarkStart w:id="1" w:name="_Ref206770696"/>
      <w:r>
        <w:lastRenderedPageBreak/>
        <w:t xml:space="preserve">Table </w:t>
      </w:r>
      <w:r w:rsidR="001E2FCA">
        <w:fldChar w:fldCharType="begin"/>
      </w:r>
      <w:r w:rsidR="001E2FCA">
        <w:instrText xml:space="preserve"> SEQ Table \* ARABIC </w:instrText>
      </w:r>
      <w:r w:rsidR="001E2FCA">
        <w:fldChar w:fldCharType="separate"/>
      </w:r>
      <w:r w:rsidR="001E2FCA">
        <w:rPr>
          <w:noProof/>
        </w:rPr>
        <w:t>2</w:t>
      </w:r>
      <w:r w:rsidR="001E2FCA">
        <w:rPr>
          <w:noProof/>
        </w:rPr>
        <w:fldChar w:fldCharType="end"/>
      </w:r>
      <w:bookmarkEnd w:id="1"/>
      <w:r>
        <w:t xml:space="preserve">: </w:t>
      </w:r>
      <w:r w:rsidR="006F3F27">
        <w:t>RO-RRSMR-010.A2 Deliverables</w:t>
      </w:r>
    </w:p>
    <w:tbl>
      <w:tblPr>
        <w:tblStyle w:val="TableGrid"/>
        <w:tblW w:w="9067" w:type="dxa"/>
        <w:tblLook w:val="04A0" w:firstRow="1" w:lastRow="0" w:firstColumn="1" w:lastColumn="0" w:noHBand="0" w:noVBand="1"/>
      </w:tblPr>
      <w:tblGrid>
        <w:gridCol w:w="3397"/>
        <w:gridCol w:w="4253"/>
        <w:gridCol w:w="1417"/>
      </w:tblGrid>
      <w:tr w:rsidR="006F3F27" w14:paraId="59E3E63F" w14:textId="77777777" w:rsidTr="000B436B">
        <w:trPr>
          <w:cantSplit/>
          <w:trHeight w:val="300"/>
        </w:trPr>
        <w:tc>
          <w:tcPr>
            <w:tcW w:w="3397" w:type="dxa"/>
            <w:vAlign w:val="center"/>
          </w:tcPr>
          <w:p w14:paraId="5FCAB1C2" w14:textId="77777777" w:rsidR="006F3F27" w:rsidRDefault="006F3F27">
            <w:r>
              <w:rPr>
                <w:rFonts w:cstheme="minorHAnsi"/>
                <w:b/>
                <w:szCs w:val="18"/>
              </w:rPr>
              <w:t>Title</w:t>
            </w:r>
          </w:p>
        </w:tc>
        <w:tc>
          <w:tcPr>
            <w:tcW w:w="4253" w:type="dxa"/>
            <w:vAlign w:val="center"/>
          </w:tcPr>
          <w:p w14:paraId="7E123C4F" w14:textId="77777777" w:rsidR="006F3F27" w:rsidRDefault="006F3F27">
            <w:r>
              <w:rPr>
                <w:rFonts w:cstheme="minorHAnsi"/>
                <w:b/>
                <w:szCs w:val="18"/>
              </w:rPr>
              <w:t>Description</w:t>
            </w:r>
          </w:p>
        </w:tc>
        <w:tc>
          <w:tcPr>
            <w:tcW w:w="1417" w:type="dxa"/>
          </w:tcPr>
          <w:p w14:paraId="1CA0A4ED" w14:textId="77777777" w:rsidR="006F3F27" w:rsidRDefault="006F3F27">
            <w:r>
              <w:rPr>
                <w:b/>
                <w:bCs/>
              </w:rPr>
              <w:t>Deliverable Date</w:t>
            </w:r>
            <w:r w:rsidRPr="04EC2D64">
              <w:rPr>
                <w:b/>
                <w:bCs/>
              </w:rPr>
              <w:t xml:space="preserve"> </w:t>
            </w:r>
          </w:p>
        </w:tc>
      </w:tr>
      <w:tr w:rsidR="001919A2" w14:paraId="2D3B5771" w14:textId="77777777" w:rsidTr="000B436B">
        <w:trPr>
          <w:cantSplit/>
          <w:trHeight w:val="300"/>
        </w:trPr>
        <w:tc>
          <w:tcPr>
            <w:tcW w:w="3397" w:type="dxa"/>
          </w:tcPr>
          <w:p w14:paraId="11A835FA" w14:textId="0ACDC850" w:rsidR="001919A2" w:rsidRPr="00720CFF" w:rsidRDefault="001919A2" w:rsidP="001919A2">
            <w:r>
              <w:t xml:space="preserve">Electrical Power System Studies – Summary Report (Issue </w:t>
            </w:r>
            <w:r w:rsidR="00974A40">
              <w:t>2</w:t>
            </w:r>
            <w:r>
              <w:t>)</w:t>
            </w:r>
          </w:p>
        </w:tc>
        <w:tc>
          <w:tcPr>
            <w:tcW w:w="4253" w:type="dxa"/>
          </w:tcPr>
          <w:p w14:paraId="7D2B6081" w14:textId="3DF1FFDA" w:rsidR="001919A2" w:rsidRDefault="007036F0" w:rsidP="00AB563F">
            <w:r>
              <w:t>Tier 2 header document described in Table 1, up-issued to summarise the work with the following</w:t>
            </w:r>
            <w:r w:rsidR="00C32487">
              <w:t>, focused on Actions A2 and A3</w:t>
            </w:r>
            <w:r>
              <w:t>: identification of gaps against the extant safety case and system design; summaries of optioneering studies (if required) to identify appropriate solutions to address any gaps; explanation of implications of any resulting modifications on the extant safety case, electrical power system design and the other system studies; and explanation of how any resulting modifications could be implemented and the safety case updated</w:t>
            </w:r>
          </w:p>
        </w:tc>
        <w:tc>
          <w:tcPr>
            <w:tcW w:w="1417" w:type="dxa"/>
          </w:tcPr>
          <w:p w14:paraId="042226E8" w14:textId="6DE6FCA2" w:rsidR="001919A2" w:rsidRDefault="00E4679D" w:rsidP="001919A2">
            <w:r>
              <w:t xml:space="preserve">27 August </w:t>
            </w:r>
            <w:r w:rsidR="001919A2">
              <w:t>2026</w:t>
            </w:r>
          </w:p>
        </w:tc>
      </w:tr>
      <w:tr w:rsidR="00E925B0" w14:paraId="65C12612" w14:textId="77777777" w:rsidTr="000B436B">
        <w:trPr>
          <w:cantSplit/>
          <w:trHeight w:val="300"/>
        </w:trPr>
        <w:tc>
          <w:tcPr>
            <w:tcW w:w="3397" w:type="dxa"/>
          </w:tcPr>
          <w:p w14:paraId="1704EA09" w14:textId="068AF4FE" w:rsidR="00E925B0" w:rsidRDefault="00E925B0">
            <w:r w:rsidRPr="00720CFF">
              <w:t>Electrical Power System Studies - AC Load Flow &amp; Power Balance Study Report</w:t>
            </w:r>
          </w:p>
        </w:tc>
        <w:tc>
          <w:tcPr>
            <w:tcW w:w="4253" w:type="dxa"/>
            <w:vMerge w:val="restart"/>
          </w:tcPr>
          <w:p w14:paraId="32932B5E" w14:textId="2F379AC2" w:rsidR="00E925B0" w:rsidRDefault="00A573CA" w:rsidP="00FE4AE9">
            <w:r>
              <w:t>For each type of study identified in the Summary Report (Issue 1)</w:t>
            </w:r>
            <w:r w:rsidR="00463FE4">
              <w:t xml:space="preserve">, </w:t>
            </w:r>
            <w:r w:rsidR="001E2FCA">
              <w:t xml:space="preserve">these study reports (each a separate deliverable) will provide </w:t>
            </w:r>
            <w:r w:rsidR="00463FE4">
              <w:t>details of the study</w:t>
            </w:r>
            <w:r w:rsidR="00637C23">
              <w:t xml:space="preserve"> carried out to analyse t</w:t>
            </w:r>
            <w:r w:rsidR="00FE4AE9">
              <w:t xml:space="preserve">he performance of the </w:t>
            </w:r>
            <w:r w:rsidR="00637C23">
              <w:t>electrical systems</w:t>
            </w:r>
            <w:r w:rsidR="00FE4AE9">
              <w:t xml:space="preserve"> in response to the </w:t>
            </w:r>
            <w:r w:rsidR="00634AB6">
              <w:t xml:space="preserve">relevant </w:t>
            </w:r>
            <w:r w:rsidR="00BA68C0">
              <w:t>bounding scenarios</w:t>
            </w:r>
            <w:r w:rsidR="00BA5C19">
              <w:t xml:space="preserve"> identified in the Bounding Scenarios deliverable. </w:t>
            </w:r>
            <w:r w:rsidR="009A3C9C">
              <w:t>They will i</w:t>
            </w:r>
            <w:r w:rsidR="00835B2B">
              <w:t xml:space="preserve">nclude analysis of </w:t>
            </w:r>
            <w:r w:rsidR="00FE4AE9">
              <w:t xml:space="preserve">results against the </w:t>
            </w:r>
            <w:r w:rsidR="00E06981">
              <w:t>criteria defined in the Acceptance Criteria deliverable</w:t>
            </w:r>
            <w:r w:rsidR="00BA00A9">
              <w:t>.</w:t>
            </w:r>
            <w:r w:rsidR="00063898">
              <w:t xml:space="preserve"> </w:t>
            </w:r>
            <w:r w:rsidR="00DC3F1F">
              <w:t>They will include</w:t>
            </w:r>
            <w:r w:rsidR="00964255">
              <w:t>:</w:t>
            </w:r>
            <w:r w:rsidR="00063898">
              <w:t xml:space="preserve"> justification for any changes to assumptions or acceptance criteria that have been necessary during the analyses</w:t>
            </w:r>
            <w:r w:rsidR="00DA6D6B">
              <w:t>;</w:t>
            </w:r>
            <w:r w:rsidR="00DC396C">
              <w:t xml:space="preserve"> h</w:t>
            </w:r>
            <w:r w:rsidR="00FE4AE9">
              <w:t>ow any such changes do not undermine the results or conclusions of any other analyses or the design; and</w:t>
            </w:r>
            <w:r w:rsidR="00897F66">
              <w:t xml:space="preserve"> consideration of t</w:t>
            </w:r>
            <w:r w:rsidR="00FE4AE9">
              <w:t>he sensitivity of the analysis findings to uncertainties in the model data or assumptions.</w:t>
            </w:r>
          </w:p>
        </w:tc>
        <w:tc>
          <w:tcPr>
            <w:tcW w:w="1417" w:type="dxa"/>
          </w:tcPr>
          <w:p w14:paraId="52F395A8" w14:textId="0338C166" w:rsidR="00E925B0" w:rsidRDefault="00E4679D">
            <w:r>
              <w:t>27 August</w:t>
            </w:r>
            <w:r w:rsidR="00E925B0">
              <w:t xml:space="preserve"> 2026</w:t>
            </w:r>
          </w:p>
        </w:tc>
      </w:tr>
      <w:tr w:rsidR="00E925B0" w14:paraId="1E5C63E7" w14:textId="77777777" w:rsidTr="000B436B">
        <w:trPr>
          <w:cantSplit/>
          <w:trHeight w:val="300"/>
        </w:trPr>
        <w:tc>
          <w:tcPr>
            <w:tcW w:w="3397" w:type="dxa"/>
          </w:tcPr>
          <w:p w14:paraId="3DDE6ACA" w14:textId="69CA2116" w:rsidR="00E925B0" w:rsidRDefault="00E925B0">
            <w:r w:rsidRPr="004C7C39">
              <w:t>Electrical Power System Studies - AC Short Circuit Analysis Study Report</w:t>
            </w:r>
          </w:p>
        </w:tc>
        <w:tc>
          <w:tcPr>
            <w:tcW w:w="4253" w:type="dxa"/>
            <w:vMerge/>
          </w:tcPr>
          <w:p w14:paraId="18B39097" w14:textId="77777777" w:rsidR="00E925B0" w:rsidRDefault="00E925B0"/>
        </w:tc>
        <w:tc>
          <w:tcPr>
            <w:tcW w:w="1417" w:type="dxa"/>
          </w:tcPr>
          <w:p w14:paraId="3BBEB617" w14:textId="33600D05" w:rsidR="00E925B0" w:rsidRDefault="00E4679D">
            <w:r>
              <w:t xml:space="preserve">27 August </w:t>
            </w:r>
            <w:r w:rsidR="00E925B0">
              <w:t>2026</w:t>
            </w:r>
          </w:p>
        </w:tc>
      </w:tr>
      <w:tr w:rsidR="00E925B0" w14:paraId="670018DC" w14:textId="77777777" w:rsidTr="000B436B">
        <w:trPr>
          <w:cantSplit/>
          <w:trHeight w:val="300"/>
        </w:trPr>
        <w:tc>
          <w:tcPr>
            <w:tcW w:w="3397" w:type="dxa"/>
          </w:tcPr>
          <w:p w14:paraId="7F646071" w14:textId="752F991D" w:rsidR="00E925B0" w:rsidRPr="004C7C39" w:rsidRDefault="00E925B0">
            <w:r w:rsidRPr="004C7C39">
              <w:t>Electrical Power System Studies - DC Load Flow &amp; Power Balance Study Report</w:t>
            </w:r>
          </w:p>
        </w:tc>
        <w:tc>
          <w:tcPr>
            <w:tcW w:w="4253" w:type="dxa"/>
            <w:vMerge/>
          </w:tcPr>
          <w:p w14:paraId="48D4CD3B" w14:textId="77777777" w:rsidR="00E925B0" w:rsidRDefault="00E925B0"/>
        </w:tc>
        <w:tc>
          <w:tcPr>
            <w:tcW w:w="1417" w:type="dxa"/>
          </w:tcPr>
          <w:p w14:paraId="26D225C7" w14:textId="06E03DAF" w:rsidR="00E925B0" w:rsidRDefault="00E4679D">
            <w:r>
              <w:t xml:space="preserve">27 August </w:t>
            </w:r>
            <w:r w:rsidR="00E925B0">
              <w:t>2026</w:t>
            </w:r>
          </w:p>
        </w:tc>
      </w:tr>
      <w:tr w:rsidR="00E925B0" w14:paraId="22463017" w14:textId="77777777" w:rsidTr="000B436B">
        <w:trPr>
          <w:cantSplit/>
          <w:trHeight w:val="300"/>
        </w:trPr>
        <w:tc>
          <w:tcPr>
            <w:tcW w:w="3397" w:type="dxa"/>
          </w:tcPr>
          <w:p w14:paraId="65FAD52F" w14:textId="1BB65CE3" w:rsidR="00E925B0" w:rsidRPr="004C7C39" w:rsidRDefault="00E925B0">
            <w:r w:rsidRPr="004C7C39">
              <w:t>Electrical Power System Studies - DC Short Circuit Study Report</w:t>
            </w:r>
          </w:p>
        </w:tc>
        <w:tc>
          <w:tcPr>
            <w:tcW w:w="4253" w:type="dxa"/>
            <w:vMerge/>
          </w:tcPr>
          <w:p w14:paraId="62D14C6E" w14:textId="77777777" w:rsidR="00E925B0" w:rsidRDefault="00E925B0"/>
        </w:tc>
        <w:tc>
          <w:tcPr>
            <w:tcW w:w="1417" w:type="dxa"/>
          </w:tcPr>
          <w:p w14:paraId="126E086E" w14:textId="63AB03EA" w:rsidR="00E925B0" w:rsidRDefault="00E4679D">
            <w:r>
              <w:t xml:space="preserve">27 August </w:t>
            </w:r>
            <w:r w:rsidR="00E925B0">
              <w:t>2026</w:t>
            </w:r>
          </w:p>
        </w:tc>
      </w:tr>
      <w:tr w:rsidR="00E925B0" w14:paraId="3945CF67" w14:textId="77777777" w:rsidTr="000B436B">
        <w:trPr>
          <w:cantSplit/>
          <w:trHeight w:val="300"/>
        </w:trPr>
        <w:tc>
          <w:tcPr>
            <w:tcW w:w="3397" w:type="dxa"/>
          </w:tcPr>
          <w:p w14:paraId="03A20251" w14:textId="2BCFBFF7" w:rsidR="00E925B0" w:rsidRPr="004C7C39" w:rsidRDefault="00E925B0">
            <w:r w:rsidRPr="00D85E66">
              <w:t>Electrical Power System Studies - Motor Starting Analysis Study Report</w:t>
            </w:r>
          </w:p>
        </w:tc>
        <w:tc>
          <w:tcPr>
            <w:tcW w:w="4253" w:type="dxa"/>
            <w:vMerge/>
          </w:tcPr>
          <w:p w14:paraId="793F9A7D" w14:textId="77777777" w:rsidR="00E925B0" w:rsidRDefault="00E925B0"/>
        </w:tc>
        <w:tc>
          <w:tcPr>
            <w:tcW w:w="1417" w:type="dxa"/>
          </w:tcPr>
          <w:p w14:paraId="1816AF0A" w14:textId="32C221B1" w:rsidR="00E925B0" w:rsidRDefault="00E4679D">
            <w:r>
              <w:t xml:space="preserve">27 August </w:t>
            </w:r>
            <w:r w:rsidR="00E925B0">
              <w:t>2026</w:t>
            </w:r>
          </w:p>
        </w:tc>
      </w:tr>
      <w:tr w:rsidR="00E925B0" w14:paraId="7C2F3D94" w14:textId="77777777" w:rsidTr="000B436B">
        <w:trPr>
          <w:cantSplit/>
          <w:trHeight w:val="300"/>
        </w:trPr>
        <w:tc>
          <w:tcPr>
            <w:tcW w:w="3397" w:type="dxa"/>
          </w:tcPr>
          <w:p w14:paraId="5FF55E0A" w14:textId="5656CFBC" w:rsidR="00E925B0" w:rsidRPr="00D85E66" w:rsidRDefault="00E925B0">
            <w:r w:rsidRPr="00D85E66">
              <w:t>Electrical Power System Studies - Source Transfer Study Report</w:t>
            </w:r>
          </w:p>
        </w:tc>
        <w:tc>
          <w:tcPr>
            <w:tcW w:w="4253" w:type="dxa"/>
            <w:vMerge/>
          </w:tcPr>
          <w:p w14:paraId="6325A1F0" w14:textId="77777777" w:rsidR="00E925B0" w:rsidRDefault="00E925B0"/>
        </w:tc>
        <w:tc>
          <w:tcPr>
            <w:tcW w:w="1417" w:type="dxa"/>
          </w:tcPr>
          <w:p w14:paraId="35C25B24" w14:textId="5C935C8A" w:rsidR="00E925B0" w:rsidRDefault="00E4679D">
            <w:r>
              <w:t xml:space="preserve">27 August </w:t>
            </w:r>
            <w:r w:rsidR="00E925B0">
              <w:t>2026</w:t>
            </w:r>
          </w:p>
        </w:tc>
      </w:tr>
      <w:tr w:rsidR="00E925B0" w14:paraId="42889D7F" w14:textId="77777777" w:rsidTr="000B436B">
        <w:trPr>
          <w:cantSplit/>
          <w:trHeight w:val="300"/>
        </w:trPr>
        <w:tc>
          <w:tcPr>
            <w:tcW w:w="3397" w:type="dxa"/>
          </w:tcPr>
          <w:p w14:paraId="39F9F22C" w14:textId="64F06232" w:rsidR="00E925B0" w:rsidRPr="00D85E66" w:rsidRDefault="00E925B0">
            <w:r w:rsidRPr="000C57E6">
              <w:t>Electrical Power System Studies - Loss of Phase Study Report</w:t>
            </w:r>
          </w:p>
        </w:tc>
        <w:tc>
          <w:tcPr>
            <w:tcW w:w="4253" w:type="dxa"/>
            <w:vMerge/>
          </w:tcPr>
          <w:p w14:paraId="44CC427F" w14:textId="77777777" w:rsidR="00E925B0" w:rsidRDefault="00E925B0"/>
        </w:tc>
        <w:tc>
          <w:tcPr>
            <w:tcW w:w="1417" w:type="dxa"/>
          </w:tcPr>
          <w:p w14:paraId="6B1FEB09" w14:textId="1C5200C9" w:rsidR="00E925B0" w:rsidRDefault="00E4679D">
            <w:r>
              <w:t xml:space="preserve">27 August </w:t>
            </w:r>
            <w:r w:rsidR="00E925B0">
              <w:t>2026</w:t>
            </w:r>
          </w:p>
        </w:tc>
      </w:tr>
      <w:tr w:rsidR="00E925B0" w14:paraId="487F5B54" w14:textId="77777777" w:rsidTr="000B436B">
        <w:trPr>
          <w:cantSplit/>
          <w:trHeight w:val="300"/>
        </w:trPr>
        <w:tc>
          <w:tcPr>
            <w:tcW w:w="3397" w:type="dxa"/>
          </w:tcPr>
          <w:p w14:paraId="33A96E7C" w14:textId="672ADAEB" w:rsidR="00E925B0" w:rsidRPr="000C57E6" w:rsidRDefault="00E925B0">
            <w:r w:rsidRPr="000C57E6">
              <w:t>Electrical Power System Studies - House Load Operation Study Report</w:t>
            </w:r>
          </w:p>
        </w:tc>
        <w:tc>
          <w:tcPr>
            <w:tcW w:w="4253" w:type="dxa"/>
            <w:vMerge/>
          </w:tcPr>
          <w:p w14:paraId="0600523C" w14:textId="77777777" w:rsidR="00E925B0" w:rsidRDefault="00E925B0"/>
        </w:tc>
        <w:tc>
          <w:tcPr>
            <w:tcW w:w="1417" w:type="dxa"/>
          </w:tcPr>
          <w:p w14:paraId="555F6A56" w14:textId="10F4F304" w:rsidR="00E925B0" w:rsidRDefault="00E4679D">
            <w:r>
              <w:t xml:space="preserve">27 August </w:t>
            </w:r>
            <w:r w:rsidR="00E925B0">
              <w:t>2026</w:t>
            </w:r>
          </w:p>
        </w:tc>
      </w:tr>
      <w:tr w:rsidR="00E925B0" w14:paraId="258622CB" w14:textId="77777777" w:rsidTr="000B436B">
        <w:trPr>
          <w:cantSplit/>
          <w:trHeight w:val="300"/>
        </w:trPr>
        <w:tc>
          <w:tcPr>
            <w:tcW w:w="3397" w:type="dxa"/>
          </w:tcPr>
          <w:p w14:paraId="609E53D4" w14:textId="0529A589" w:rsidR="00E925B0" w:rsidRPr="000C57E6" w:rsidRDefault="00E925B0">
            <w:r w:rsidRPr="000C57E6">
              <w:t>Electrical Power System Studies - Load Sequencer Study Report</w:t>
            </w:r>
          </w:p>
        </w:tc>
        <w:tc>
          <w:tcPr>
            <w:tcW w:w="4253" w:type="dxa"/>
            <w:vMerge/>
          </w:tcPr>
          <w:p w14:paraId="3502C482" w14:textId="77777777" w:rsidR="00E925B0" w:rsidRDefault="00E925B0"/>
        </w:tc>
        <w:tc>
          <w:tcPr>
            <w:tcW w:w="1417" w:type="dxa"/>
          </w:tcPr>
          <w:p w14:paraId="4639768F" w14:textId="201BABAF" w:rsidR="00E925B0" w:rsidRDefault="00E4679D">
            <w:r>
              <w:t xml:space="preserve">27 August </w:t>
            </w:r>
            <w:r w:rsidR="00E925B0">
              <w:t>2026</w:t>
            </w:r>
          </w:p>
        </w:tc>
      </w:tr>
      <w:tr w:rsidR="00E925B0" w14:paraId="3E8AF224" w14:textId="77777777" w:rsidTr="00D74FF7">
        <w:trPr>
          <w:cantSplit/>
          <w:trHeight w:val="574"/>
        </w:trPr>
        <w:tc>
          <w:tcPr>
            <w:tcW w:w="3397" w:type="dxa"/>
          </w:tcPr>
          <w:p w14:paraId="28466DAB" w14:textId="77942C2C" w:rsidR="00E925B0" w:rsidRPr="000C57E6" w:rsidRDefault="00E925B0">
            <w:r w:rsidRPr="000C57E6">
              <w:t>Electrical Power System Studies - Voltage Disturbance Study Report</w:t>
            </w:r>
          </w:p>
        </w:tc>
        <w:tc>
          <w:tcPr>
            <w:tcW w:w="4253" w:type="dxa"/>
            <w:vMerge/>
          </w:tcPr>
          <w:p w14:paraId="30EA052D" w14:textId="77777777" w:rsidR="00E925B0" w:rsidRDefault="00E925B0"/>
        </w:tc>
        <w:tc>
          <w:tcPr>
            <w:tcW w:w="1417" w:type="dxa"/>
          </w:tcPr>
          <w:p w14:paraId="1CD550D6" w14:textId="60961A23" w:rsidR="00E925B0" w:rsidRDefault="00E4679D">
            <w:r>
              <w:t xml:space="preserve">27 August </w:t>
            </w:r>
            <w:r w:rsidR="00E925B0">
              <w:t>2026</w:t>
            </w:r>
          </w:p>
        </w:tc>
      </w:tr>
    </w:tbl>
    <w:p w14:paraId="7C0EDAB4" w14:textId="7FEFDED7" w:rsidR="0060580E" w:rsidRDefault="0060580E" w:rsidP="00DF0BB8">
      <w:pPr>
        <w:rPr>
          <w:b/>
          <w:i/>
        </w:rPr>
      </w:pPr>
      <w:r w:rsidRPr="00C75D8E">
        <w:rPr>
          <w:b/>
          <w:bCs/>
          <w:i/>
          <w:iCs/>
        </w:rPr>
        <w:lastRenderedPageBreak/>
        <w:t>RO-RRSMR-010.A</w:t>
      </w:r>
      <w:r>
        <w:rPr>
          <w:b/>
          <w:bCs/>
          <w:i/>
          <w:iCs/>
        </w:rPr>
        <w:t xml:space="preserve">3 </w:t>
      </w:r>
      <w:r w:rsidR="00F11C32">
        <w:rPr>
          <w:b/>
          <w:bCs/>
          <w:i/>
          <w:iCs/>
        </w:rPr>
        <w:t>–</w:t>
      </w:r>
      <w:r w:rsidR="00860652">
        <w:rPr>
          <w:b/>
          <w:bCs/>
          <w:i/>
          <w:iCs/>
        </w:rPr>
        <w:t xml:space="preserve"> </w:t>
      </w:r>
      <w:r w:rsidR="00F11C32" w:rsidRPr="00F11C32">
        <w:rPr>
          <w:b/>
          <w:bCs/>
          <w:i/>
          <w:iCs/>
        </w:rPr>
        <w:t>Identify and manage any gaps resulting from the analysis of the Rolls-Royce SMR Ltd Electrical Power System</w:t>
      </w:r>
    </w:p>
    <w:p w14:paraId="00B34CFE" w14:textId="5CEF0E16" w:rsidR="000E145B" w:rsidRPr="00B41509" w:rsidRDefault="000E145B" w:rsidP="005D6618">
      <w:pPr>
        <w:jc w:val="both"/>
        <w:rPr>
          <w:szCs w:val="24"/>
        </w:rPr>
      </w:pPr>
      <w:r w:rsidRPr="00B41509">
        <w:rPr>
          <w:szCs w:val="24"/>
        </w:rPr>
        <w:t>In response to this Regulatory Observation Action, Rolls-Royce SMR Ltd should:</w:t>
      </w:r>
    </w:p>
    <w:p w14:paraId="22F996BF" w14:textId="2CA24693" w:rsidR="000E145B" w:rsidRPr="00B41509" w:rsidRDefault="000E145B" w:rsidP="005D6618">
      <w:pPr>
        <w:pStyle w:val="ListParagraph"/>
        <w:numPr>
          <w:ilvl w:val="0"/>
          <w:numId w:val="21"/>
        </w:numPr>
        <w:tabs>
          <w:tab w:val="clear" w:pos="992"/>
          <w:tab w:val="clear" w:pos="1395"/>
          <w:tab w:val="clear" w:pos="1712"/>
        </w:tabs>
        <w:spacing w:after="0"/>
        <w:jc w:val="both"/>
        <w:rPr>
          <w:szCs w:val="24"/>
        </w:rPr>
      </w:pPr>
      <w:r w:rsidRPr="00B41509">
        <w:rPr>
          <w:szCs w:val="24"/>
        </w:rPr>
        <w:t>Based on the completion of the analysis undertaken in response to RO-RRSMR-010.A2:</w:t>
      </w:r>
    </w:p>
    <w:p w14:paraId="5C18F02E" w14:textId="77777777" w:rsidR="000E145B" w:rsidRPr="00B41509" w:rsidRDefault="000E145B" w:rsidP="005D6618">
      <w:pPr>
        <w:pStyle w:val="ListParagraph"/>
        <w:numPr>
          <w:ilvl w:val="1"/>
          <w:numId w:val="21"/>
        </w:numPr>
        <w:tabs>
          <w:tab w:val="clear" w:pos="992"/>
          <w:tab w:val="clear" w:pos="1395"/>
          <w:tab w:val="clear" w:pos="1712"/>
        </w:tabs>
        <w:spacing w:after="0"/>
        <w:jc w:val="both"/>
      </w:pPr>
      <w:r w:rsidRPr="00B41509">
        <w:t>Identify the implications for any shortfalls against the extant safety case arising from the system studies;</w:t>
      </w:r>
    </w:p>
    <w:p w14:paraId="43C309E6" w14:textId="77777777" w:rsidR="000E145B" w:rsidRPr="00B41509" w:rsidRDefault="000E145B" w:rsidP="005D6618">
      <w:pPr>
        <w:pStyle w:val="ListParagraph"/>
        <w:numPr>
          <w:ilvl w:val="1"/>
          <w:numId w:val="21"/>
        </w:numPr>
        <w:tabs>
          <w:tab w:val="clear" w:pos="992"/>
          <w:tab w:val="clear" w:pos="1395"/>
          <w:tab w:val="clear" w:pos="1712"/>
        </w:tabs>
        <w:spacing w:after="0"/>
        <w:jc w:val="both"/>
      </w:pPr>
      <w:r w:rsidRPr="00B41509">
        <w:t>Undertake optioneering studies to identify appropriate solutions to address those shortfalls;</w:t>
      </w:r>
    </w:p>
    <w:p w14:paraId="2C5F99B1" w14:textId="77777777" w:rsidR="000E145B" w:rsidRPr="00B41509" w:rsidRDefault="000E145B" w:rsidP="005D6618">
      <w:pPr>
        <w:pStyle w:val="ListParagraph"/>
        <w:numPr>
          <w:ilvl w:val="1"/>
          <w:numId w:val="21"/>
        </w:numPr>
        <w:tabs>
          <w:tab w:val="clear" w:pos="992"/>
          <w:tab w:val="clear" w:pos="1395"/>
          <w:tab w:val="clear" w:pos="1712"/>
        </w:tabs>
        <w:spacing w:after="0"/>
        <w:jc w:val="both"/>
      </w:pPr>
      <w:r w:rsidRPr="00B41509">
        <w:t>Explain the implications of any modifications on the safety case, including the impact on the EPS design and the other electrical system studies; and</w:t>
      </w:r>
    </w:p>
    <w:p w14:paraId="1C860BB7" w14:textId="23824541" w:rsidR="000E145B" w:rsidRPr="00B41509" w:rsidRDefault="000E145B" w:rsidP="005D6618">
      <w:pPr>
        <w:pStyle w:val="ListParagraph"/>
        <w:numPr>
          <w:ilvl w:val="1"/>
          <w:numId w:val="21"/>
        </w:numPr>
        <w:tabs>
          <w:tab w:val="clear" w:pos="992"/>
          <w:tab w:val="clear" w:pos="1395"/>
          <w:tab w:val="clear" w:pos="1712"/>
        </w:tabs>
        <w:spacing w:after="0"/>
        <w:jc w:val="both"/>
      </w:pPr>
      <w:r w:rsidRPr="00B41509">
        <w:t>Explain how those modifications could be implemented and the Rolls-Royce SMR GDA safety case updated.</w:t>
      </w:r>
    </w:p>
    <w:p w14:paraId="2EA33130" w14:textId="4EEE9CF2" w:rsidR="00F90ED5" w:rsidRPr="00FB170A" w:rsidRDefault="000E145B" w:rsidP="00F90ED5">
      <w:pPr>
        <w:spacing w:before="60" w:after="60"/>
        <w:rPr>
          <w:b/>
          <w:bCs/>
          <w:u w:val="single"/>
        </w:rPr>
      </w:pPr>
      <w:r w:rsidRPr="00F90ED5">
        <w:rPr>
          <w:noProof/>
          <w:color w:val="4F81BD" w:themeColor="accent1"/>
          <w:szCs w:val="24"/>
        </w:rPr>
        <w:br/>
      </w:r>
      <w:r w:rsidR="00F90ED5" w:rsidRPr="00FB170A">
        <w:rPr>
          <w:b/>
          <w:bCs/>
          <w:u w:val="single"/>
        </w:rPr>
        <w:t>R</w:t>
      </w:r>
      <w:r w:rsidR="00F90ED5">
        <w:rPr>
          <w:b/>
          <w:bCs/>
          <w:u w:val="single"/>
        </w:rPr>
        <w:t>olls Royce</w:t>
      </w:r>
      <w:r w:rsidR="00F90ED5" w:rsidRPr="00FB170A">
        <w:rPr>
          <w:b/>
          <w:bCs/>
          <w:u w:val="single"/>
        </w:rPr>
        <w:t xml:space="preserve"> SMR Resolution Plan</w:t>
      </w:r>
      <w:r w:rsidR="00F90ED5">
        <w:rPr>
          <w:b/>
          <w:bCs/>
          <w:u w:val="single"/>
        </w:rPr>
        <w:t xml:space="preserve"> for </w:t>
      </w:r>
      <w:r w:rsidR="00F90ED5" w:rsidRPr="008A456E">
        <w:rPr>
          <w:b/>
          <w:bCs/>
          <w:u w:val="single"/>
        </w:rPr>
        <w:t>RO-RRSMR-0</w:t>
      </w:r>
      <w:r w:rsidR="00F90ED5">
        <w:rPr>
          <w:b/>
          <w:bCs/>
          <w:u w:val="single"/>
        </w:rPr>
        <w:t>10</w:t>
      </w:r>
      <w:r w:rsidR="00F90ED5" w:rsidRPr="008A456E">
        <w:rPr>
          <w:b/>
          <w:bCs/>
          <w:u w:val="single"/>
        </w:rPr>
        <w:t>.A</w:t>
      </w:r>
      <w:r w:rsidR="00F90ED5">
        <w:rPr>
          <w:b/>
          <w:bCs/>
          <w:u w:val="single"/>
        </w:rPr>
        <w:t>3</w:t>
      </w:r>
    </w:p>
    <w:p w14:paraId="3F2ABDBF" w14:textId="194EA87C" w:rsidR="00291A79" w:rsidRDefault="00BD2238" w:rsidP="005D6618">
      <w:pPr>
        <w:jc w:val="both"/>
      </w:pPr>
      <w:r>
        <w:t>In response to this action, Rolls-Royce SMR</w:t>
      </w:r>
      <w:r w:rsidR="00FF5022">
        <w:t xml:space="preserve"> Ltd</w:t>
      </w:r>
      <w:r>
        <w:t xml:space="preserve"> </w:t>
      </w:r>
      <w:r w:rsidR="00D90274">
        <w:t>will</w:t>
      </w:r>
      <w:r w:rsidR="00CE5993">
        <w:t xml:space="preserve"> carry out</w:t>
      </w:r>
      <w:r w:rsidR="00CC2CB4">
        <w:t xml:space="preserve"> the following </w:t>
      </w:r>
      <w:r w:rsidR="00802C60">
        <w:t>work</w:t>
      </w:r>
      <w:r w:rsidR="00A869D4">
        <w:t>, based on the analysis undertaken in response to RO-RRSMR-010.A2</w:t>
      </w:r>
      <w:r w:rsidR="00744D07">
        <w:t xml:space="preserve">, and document </w:t>
      </w:r>
      <w:r w:rsidR="00656EC9">
        <w:t>it within Issue 2 of the Summary Report</w:t>
      </w:r>
      <w:r w:rsidR="00CC2CB4">
        <w:t>:</w:t>
      </w:r>
    </w:p>
    <w:p w14:paraId="592BF8BA" w14:textId="3F815855" w:rsidR="006E1E45" w:rsidRDefault="006E1E45" w:rsidP="005D6618">
      <w:pPr>
        <w:pStyle w:val="ListParagraph"/>
        <w:numPr>
          <w:ilvl w:val="0"/>
          <w:numId w:val="21"/>
        </w:numPr>
        <w:tabs>
          <w:tab w:val="clear" w:pos="992"/>
          <w:tab w:val="clear" w:pos="1395"/>
          <w:tab w:val="clear" w:pos="1712"/>
        </w:tabs>
        <w:jc w:val="both"/>
      </w:pPr>
      <w:r>
        <w:t>Identify</w:t>
      </w:r>
      <w:r w:rsidR="00C164AD">
        <w:t>,</w:t>
      </w:r>
      <w:r>
        <w:t xml:space="preserve"> and assess</w:t>
      </w:r>
      <w:r w:rsidR="00C164AD">
        <w:t xml:space="preserve"> the implications of,</w:t>
      </w:r>
      <w:r>
        <w:t xml:space="preserve"> </w:t>
      </w:r>
      <w:r w:rsidR="00C659D2">
        <w:t>any shortfalls against the extant safety case arising from the system studies</w:t>
      </w:r>
      <w:r w:rsidR="00C164AD">
        <w:t>;</w:t>
      </w:r>
    </w:p>
    <w:p w14:paraId="10C0A13F" w14:textId="347342F2" w:rsidR="00DE589E" w:rsidRDefault="00DE589E" w:rsidP="005D6618">
      <w:pPr>
        <w:pStyle w:val="ListParagraph"/>
        <w:numPr>
          <w:ilvl w:val="0"/>
          <w:numId w:val="21"/>
        </w:numPr>
        <w:tabs>
          <w:tab w:val="clear" w:pos="992"/>
          <w:tab w:val="clear" w:pos="1395"/>
          <w:tab w:val="clear" w:pos="1712"/>
        </w:tabs>
        <w:jc w:val="both"/>
      </w:pPr>
      <w:r w:rsidRPr="00DE589E">
        <w:t>If required, identify credible solutions to address shortfalls</w:t>
      </w:r>
      <w:r w:rsidR="00812DCA">
        <w:t xml:space="preserve"> and any necessary future work items to be undertaken during the detailed design phase</w:t>
      </w:r>
      <w:r w:rsidRPr="00DE589E">
        <w:t>;</w:t>
      </w:r>
    </w:p>
    <w:p w14:paraId="767BC922" w14:textId="39A88344" w:rsidR="00112FB0" w:rsidRDefault="00112FB0" w:rsidP="005D6618">
      <w:pPr>
        <w:pStyle w:val="ListParagraph"/>
        <w:numPr>
          <w:ilvl w:val="0"/>
          <w:numId w:val="21"/>
        </w:numPr>
        <w:tabs>
          <w:tab w:val="clear" w:pos="992"/>
          <w:tab w:val="clear" w:pos="1395"/>
          <w:tab w:val="clear" w:pos="1712"/>
        </w:tabs>
        <w:jc w:val="both"/>
      </w:pPr>
      <w:r>
        <w:t xml:space="preserve">Explain the </w:t>
      </w:r>
      <w:r w:rsidR="0050728F">
        <w:t>implications of</w:t>
      </w:r>
      <w:r w:rsidR="00B41509">
        <w:t xml:space="preserve"> </w:t>
      </w:r>
      <w:r w:rsidR="0050728F">
        <w:t>any resulting modifications on the extant safety case, Electrical Power System design, and the other system studies</w:t>
      </w:r>
      <w:r w:rsidR="00B41509">
        <w:t>; and</w:t>
      </w:r>
    </w:p>
    <w:p w14:paraId="6974A9AE" w14:textId="50AD5F6E" w:rsidR="00B41509" w:rsidRDefault="00B41509" w:rsidP="005D6618">
      <w:pPr>
        <w:pStyle w:val="ListParagraph"/>
        <w:numPr>
          <w:ilvl w:val="0"/>
          <w:numId w:val="21"/>
        </w:numPr>
        <w:tabs>
          <w:tab w:val="clear" w:pos="992"/>
          <w:tab w:val="clear" w:pos="1395"/>
          <w:tab w:val="clear" w:pos="1712"/>
        </w:tabs>
        <w:jc w:val="both"/>
      </w:pPr>
      <w:r>
        <w:t>Explain how any resulting modifications could be implemented, and the safety case updated.</w:t>
      </w:r>
    </w:p>
    <w:p w14:paraId="2B705DB5" w14:textId="4040EEBF" w:rsidR="0060580E" w:rsidRDefault="00E91041" w:rsidP="005D6618">
      <w:pPr>
        <w:jc w:val="both"/>
      </w:pPr>
      <w:r>
        <w:t xml:space="preserve">Production of the </w:t>
      </w:r>
      <w:r w:rsidR="008D09D0">
        <w:t>deliverable will include consideration of relevant RQs.</w:t>
      </w:r>
    </w:p>
    <w:p w14:paraId="44712A6B" w14:textId="0466F72C" w:rsidR="00154A5C" w:rsidRDefault="00154A5C" w:rsidP="00154A5C">
      <w:pPr>
        <w:pStyle w:val="Caption"/>
      </w:pPr>
      <w:r>
        <w:t xml:space="preserve">Table </w:t>
      </w:r>
      <w:r w:rsidR="001E2FCA">
        <w:fldChar w:fldCharType="begin"/>
      </w:r>
      <w:r w:rsidR="001E2FCA">
        <w:instrText xml:space="preserve"> SEQ Table \* ARABIC </w:instrText>
      </w:r>
      <w:r w:rsidR="001E2FCA">
        <w:fldChar w:fldCharType="separate"/>
      </w:r>
      <w:r w:rsidR="001E2FCA">
        <w:rPr>
          <w:noProof/>
        </w:rPr>
        <w:t>3</w:t>
      </w:r>
      <w:r w:rsidR="001E2FCA">
        <w:rPr>
          <w:noProof/>
        </w:rPr>
        <w:fldChar w:fldCharType="end"/>
      </w:r>
      <w:r>
        <w:t>: RO-RRSMR-010.A3 Deliverables</w:t>
      </w:r>
    </w:p>
    <w:tbl>
      <w:tblPr>
        <w:tblStyle w:val="TableGrid"/>
        <w:tblW w:w="9067" w:type="dxa"/>
        <w:tblLook w:val="04A0" w:firstRow="1" w:lastRow="0" w:firstColumn="1" w:lastColumn="0" w:noHBand="0" w:noVBand="1"/>
      </w:tblPr>
      <w:tblGrid>
        <w:gridCol w:w="3397"/>
        <w:gridCol w:w="4253"/>
        <w:gridCol w:w="1417"/>
      </w:tblGrid>
      <w:tr w:rsidR="00FA7D7B" w14:paraId="35191E54" w14:textId="77777777">
        <w:trPr>
          <w:cantSplit/>
          <w:trHeight w:val="300"/>
        </w:trPr>
        <w:tc>
          <w:tcPr>
            <w:tcW w:w="3397" w:type="dxa"/>
            <w:vAlign w:val="center"/>
          </w:tcPr>
          <w:p w14:paraId="44752EC0" w14:textId="77777777" w:rsidR="00154A5C" w:rsidRDefault="00154A5C">
            <w:r>
              <w:rPr>
                <w:rFonts w:cstheme="minorHAnsi"/>
                <w:b/>
                <w:szCs w:val="18"/>
              </w:rPr>
              <w:t>Title</w:t>
            </w:r>
          </w:p>
        </w:tc>
        <w:tc>
          <w:tcPr>
            <w:tcW w:w="4253" w:type="dxa"/>
            <w:vAlign w:val="center"/>
          </w:tcPr>
          <w:p w14:paraId="5E8F5A75" w14:textId="77777777" w:rsidR="00154A5C" w:rsidRDefault="00154A5C">
            <w:r>
              <w:rPr>
                <w:rFonts w:cstheme="minorHAnsi"/>
                <w:b/>
                <w:szCs w:val="18"/>
              </w:rPr>
              <w:t>Description</w:t>
            </w:r>
          </w:p>
        </w:tc>
        <w:tc>
          <w:tcPr>
            <w:tcW w:w="1417" w:type="dxa"/>
          </w:tcPr>
          <w:p w14:paraId="3C8E2B1F" w14:textId="77777777" w:rsidR="00154A5C" w:rsidRDefault="00154A5C">
            <w:r>
              <w:rPr>
                <w:b/>
                <w:bCs/>
              </w:rPr>
              <w:t>Deliverable Date</w:t>
            </w:r>
            <w:r w:rsidRPr="04EC2D64">
              <w:rPr>
                <w:b/>
                <w:bCs/>
              </w:rPr>
              <w:t xml:space="preserve"> </w:t>
            </w:r>
          </w:p>
        </w:tc>
      </w:tr>
      <w:tr w:rsidR="00FA7D7B" w14:paraId="6914DE07" w14:textId="77777777">
        <w:trPr>
          <w:cantSplit/>
          <w:trHeight w:val="300"/>
        </w:trPr>
        <w:tc>
          <w:tcPr>
            <w:tcW w:w="3397" w:type="dxa"/>
          </w:tcPr>
          <w:p w14:paraId="1FAD3CBB" w14:textId="77777777" w:rsidR="00154A5C" w:rsidRPr="00720CFF" w:rsidRDefault="00154A5C">
            <w:r>
              <w:t>Electrical Power System Studies – Summary Report (Issue 2)</w:t>
            </w:r>
          </w:p>
        </w:tc>
        <w:tc>
          <w:tcPr>
            <w:tcW w:w="4253" w:type="dxa"/>
          </w:tcPr>
          <w:p w14:paraId="53FF9EF6" w14:textId="79758814" w:rsidR="00154A5C" w:rsidRDefault="0069214C">
            <w:r>
              <w:t xml:space="preserve">Tier 2 header document described in Table 1, up-issued to summarise the work with the following, focused on Actions A2 and A3: identification of gaps against the extant safety case and system design; </w:t>
            </w:r>
            <w:r w:rsidR="00077BE0">
              <w:t>identif</w:t>
            </w:r>
            <w:r w:rsidR="00FA7D7B">
              <w:t>ication of credible solutions to address shortfalls (if required)</w:t>
            </w:r>
            <w:r>
              <w:t>; explanation of implications of any resulting modifications on the extant safety case, electrical power system design and the other system studies; and explanation of how any resulting modifications could be implemented and the safety case updated</w:t>
            </w:r>
          </w:p>
        </w:tc>
        <w:tc>
          <w:tcPr>
            <w:tcW w:w="1417" w:type="dxa"/>
          </w:tcPr>
          <w:p w14:paraId="108212B8" w14:textId="2CF25F87" w:rsidR="00154A5C" w:rsidRDefault="00E4679D">
            <w:r>
              <w:t>27</w:t>
            </w:r>
            <w:r w:rsidR="00FD36EB">
              <w:t xml:space="preserve"> August</w:t>
            </w:r>
            <w:r w:rsidR="00154A5C">
              <w:t xml:space="preserve"> 2026</w:t>
            </w:r>
          </w:p>
        </w:tc>
      </w:tr>
    </w:tbl>
    <w:p w14:paraId="475F8AEC" w14:textId="77777777" w:rsidR="00EE6E32" w:rsidRDefault="00EE6E32" w:rsidP="005D6618">
      <w:pPr>
        <w:jc w:val="both"/>
      </w:pPr>
    </w:p>
    <w:p w14:paraId="70719975" w14:textId="77777777" w:rsidR="00EE6E32" w:rsidRDefault="00EE6E32" w:rsidP="005D6618">
      <w:pPr>
        <w:jc w:val="both"/>
        <w:sectPr w:rsidR="00EE6E32" w:rsidSect="000B3B41">
          <w:headerReference w:type="even" r:id="rId14"/>
          <w:headerReference w:type="default" r:id="rId15"/>
          <w:footerReference w:type="even" r:id="rId16"/>
          <w:footerReference w:type="default" r:id="rId17"/>
          <w:headerReference w:type="first" r:id="rId18"/>
          <w:footerReference w:type="first" r:id="rId19"/>
          <w:pgSz w:w="11906" w:h="16838"/>
          <w:pgMar w:top="2323" w:right="1440" w:bottom="1440" w:left="1440" w:header="113" w:footer="113" w:gutter="0"/>
          <w:cols w:space="708"/>
          <w:docGrid w:linePitch="360"/>
        </w:sectPr>
      </w:pPr>
    </w:p>
    <w:p w14:paraId="62209B8E" w14:textId="7F0AC4A9" w:rsidR="00EE6E32" w:rsidRDefault="00AF1C9F" w:rsidP="00B539DA">
      <w:pPr>
        <w:pStyle w:val="Heading2"/>
        <w:rPr>
          <w:rFonts w:ascii="RR Pioneer" w:hAnsi="RR Pioneer"/>
        </w:rPr>
      </w:pPr>
      <w:r>
        <w:rPr>
          <w:rFonts w:ascii="RR Pioneer" w:hAnsi="RR Pioneer"/>
        </w:rPr>
        <w:lastRenderedPageBreak/>
        <w:t>Schedule</w:t>
      </w:r>
    </w:p>
    <w:tbl>
      <w:tblPr>
        <w:tblW w:w="13070" w:type="dxa"/>
        <w:tblLook w:val="04A0" w:firstRow="1" w:lastRow="0" w:firstColumn="1" w:lastColumn="0" w:noHBand="0" w:noVBand="1"/>
      </w:tblPr>
      <w:tblGrid>
        <w:gridCol w:w="468"/>
        <w:gridCol w:w="4630"/>
        <w:gridCol w:w="468"/>
        <w:gridCol w:w="469"/>
        <w:gridCol w:w="469"/>
        <w:gridCol w:w="469"/>
        <w:gridCol w:w="469"/>
        <w:gridCol w:w="469"/>
        <w:gridCol w:w="469"/>
        <w:gridCol w:w="469"/>
        <w:gridCol w:w="469"/>
        <w:gridCol w:w="469"/>
        <w:gridCol w:w="469"/>
        <w:gridCol w:w="469"/>
        <w:gridCol w:w="469"/>
        <w:gridCol w:w="469"/>
        <w:gridCol w:w="469"/>
        <w:gridCol w:w="469"/>
        <w:gridCol w:w="469"/>
      </w:tblGrid>
      <w:tr w:rsidR="00A10927" w:rsidRPr="002D1632" w14:paraId="2898D16F" w14:textId="77777777" w:rsidTr="00A10927">
        <w:trPr>
          <w:trHeight w:val="270"/>
        </w:trPr>
        <w:tc>
          <w:tcPr>
            <w:tcW w:w="469" w:type="dxa"/>
            <w:tcBorders>
              <w:top w:val="nil"/>
              <w:left w:val="nil"/>
              <w:bottom w:val="nil"/>
              <w:right w:val="nil"/>
            </w:tcBorders>
            <w:shd w:val="clear" w:color="auto" w:fill="FFFFFF" w:themeFill="background1"/>
            <w:noWrap/>
            <w:vAlign w:val="bottom"/>
            <w:hideMark/>
          </w:tcPr>
          <w:p w14:paraId="715DD989" w14:textId="77777777" w:rsidR="00A10927" w:rsidRPr="002D1632" w:rsidRDefault="00A10927" w:rsidP="001C15EB">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34" w:type="dxa"/>
            <w:tcBorders>
              <w:top w:val="nil"/>
              <w:left w:val="nil"/>
              <w:bottom w:val="nil"/>
              <w:right w:val="single" w:sz="4" w:space="0" w:color="auto"/>
            </w:tcBorders>
            <w:shd w:val="clear" w:color="auto" w:fill="FFFFFF" w:themeFill="background1"/>
            <w:noWrap/>
            <w:vAlign w:val="bottom"/>
            <w:hideMark/>
          </w:tcPr>
          <w:p w14:paraId="386F57BA" w14:textId="77777777" w:rsidR="00A10927" w:rsidRPr="002D1632" w:rsidRDefault="00A10927" w:rsidP="001C15EB">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2814" w:type="dxa"/>
            <w:gridSpan w:val="6"/>
            <w:tcBorders>
              <w:top w:val="single" w:sz="4" w:space="0" w:color="auto"/>
              <w:left w:val="single" w:sz="4" w:space="0" w:color="auto"/>
              <w:bottom w:val="single" w:sz="4" w:space="0" w:color="auto"/>
              <w:right w:val="single" w:sz="4" w:space="0" w:color="auto"/>
            </w:tcBorders>
            <w:noWrap/>
            <w:vAlign w:val="bottom"/>
            <w:hideMark/>
          </w:tcPr>
          <w:p w14:paraId="22855742" w14:textId="77777777" w:rsidR="00A10927" w:rsidRPr="002D1632" w:rsidRDefault="00A10927" w:rsidP="001C15EB">
            <w:pPr>
              <w:tabs>
                <w:tab w:val="clear" w:pos="992"/>
                <w:tab w:val="clear" w:pos="1395"/>
                <w:tab w:val="clear" w:pos="1712"/>
              </w:tabs>
              <w:spacing w:after="0"/>
              <w:jc w:val="center"/>
              <w:rPr>
                <w:rFonts w:eastAsia="Times New Roman" w:cs="Times New Roman"/>
                <w:color w:val="000000"/>
                <w:szCs w:val="20"/>
                <w:lang w:eastAsia="en-GB"/>
              </w:rPr>
            </w:pPr>
            <w:r w:rsidRPr="002D1632">
              <w:rPr>
                <w:rFonts w:eastAsia="Times New Roman" w:cs="Times New Roman"/>
                <w:color w:val="000000"/>
                <w:szCs w:val="20"/>
                <w:lang w:eastAsia="en-GB"/>
              </w:rPr>
              <w:t>2025</w:t>
            </w:r>
          </w:p>
        </w:tc>
        <w:tc>
          <w:tcPr>
            <w:tcW w:w="469" w:type="dxa"/>
            <w:tcBorders>
              <w:top w:val="single" w:sz="4" w:space="0" w:color="auto"/>
            </w:tcBorders>
          </w:tcPr>
          <w:p w14:paraId="40A3784D" w14:textId="77777777" w:rsidR="00A10927" w:rsidRPr="002D1632" w:rsidRDefault="00A10927" w:rsidP="001C15EB">
            <w:pPr>
              <w:tabs>
                <w:tab w:val="clear" w:pos="992"/>
                <w:tab w:val="clear" w:pos="1395"/>
                <w:tab w:val="clear" w:pos="1712"/>
              </w:tabs>
              <w:spacing w:after="0"/>
              <w:jc w:val="center"/>
              <w:rPr>
                <w:rFonts w:eastAsia="Times New Roman" w:cs="Times New Roman"/>
                <w:color w:val="000000"/>
                <w:szCs w:val="20"/>
                <w:lang w:eastAsia="en-GB"/>
              </w:rPr>
            </w:pPr>
          </w:p>
        </w:tc>
        <w:tc>
          <w:tcPr>
            <w:tcW w:w="4684" w:type="dxa"/>
            <w:gridSpan w:val="10"/>
            <w:tcBorders>
              <w:top w:val="single" w:sz="4" w:space="0" w:color="auto"/>
              <w:bottom w:val="single" w:sz="4" w:space="0" w:color="auto"/>
              <w:right w:val="single" w:sz="4" w:space="0" w:color="auto"/>
            </w:tcBorders>
            <w:vAlign w:val="bottom"/>
          </w:tcPr>
          <w:p w14:paraId="70714CE6" w14:textId="48D57983" w:rsidR="00A10927" w:rsidRPr="002D1632" w:rsidRDefault="00A10927" w:rsidP="001C15EB">
            <w:pPr>
              <w:tabs>
                <w:tab w:val="clear" w:pos="992"/>
                <w:tab w:val="clear" w:pos="1395"/>
                <w:tab w:val="clear" w:pos="1712"/>
              </w:tabs>
              <w:spacing w:after="0"/>
              <w:jc w:val="center"/>
              <w:rPr>
                <w:rFonts w:eastAsia="Times New Roman" w:cs="Times New Roman"/>
                <w:color w:val="000000"/>
                <w:szCs w:val="20"/>
                <w:lang w:eastAsia="en-GB"/>
              </w:rPr>
            </w:pPr>
            <w:r w:rsidRPr="002D1632">
              <w:rPr>
                <w:rFonts w:eastAsia="Times New Roman" w:cs="Times New Roman"/>
                <w:color w:val="000000"/>
                <w:szCs w:val="20"/>
                <w:lang w:eastAsia="en-GB"/>
              </w:rPr>
              <w:t>202</w:t>
            </w:r>
            <w:r>
              <w:rPr>
                <w:rFonts w:eastAsia="Times New Roman" w:cs="Times New Roman"/>
                <w:color w:val="000000"/>
                <w:szCs w:val="20"/>
                <w:lang w:eastAsia="en-GB"/>
              </w:rPr>
              <w:t>6</w:t>
            </w:r>
          </w:p>
        </w:tc>
      </w:tr>
      <w:tr w:rsidR="00A10927" w:rsidRPr="002D1632" w14:paraId="731F9872" w14:textId="77777777" w:rsidTr="00A10927">
        <w:trPr>
          <w:trHeight w:val="1350"/>
        </w:trPr>
        <w:tc>
          <w:tcPr>
            <w:tcW w:w="469" w:type="dxa"/>
            <w:tcBorders>
              <w:left w:val="nil"/>
              <w:bottom w:val="nil"/>
              <w:right w:val="nil"/>
            </w:tcBorders>
            <w:shd w:val="clear" w:color="auto" w:fill="FFFFFF" w:themeFill="background1"/>
            <w:noWrap/>
            <w:textDirection w:val="btLr"/>
            <w:vAlign w:val="bottom"/>
            <w:hideMark/>
          </w:tcPr>
          <w:p w14:paraId="09A74F51"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34" w:type="dxa"/>
            <w:tcBorders>
              <w:left w:val="nil"/>
              <w:bottom w:val="single" w:sz="4" w:space="0" w:color="auto"/>
              <w:right w:val="single" w:sz="4" w:space="0" w:color="auto"/>
            </w:tcBorders>
            <w:shd w:val="clear" w:color="auto" w:fill="FFFFFF" w:themeFill="background1"/>
            <w:noWrap/>
            <w:textDirection w:val="btLr"/>
            <w:vAlign w:val="bottom"/>
            <w:hideMark/>
          </w:tcPr>
          <w:p w14:paraId="729A8E8B"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nil"/>
              <w:bottom w:val="single" w:sz="4" w:space="0" w:color="auto"/>
              <w:right w:val="single" w:sz="4" w:space="0" w:color="auto"/>
            </w:tcBorders>
            <w:noWrap/>
            <w:textDirection w:val="btLr"/>
            <w:vAlign w:val="bottom"/>
            <w:hideMark/>
          </w:tcPr>
          <w:p w14:paraId="2E5B6C93" w14:textId="3C0C88E2"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Pr>
                <w:rFonts w:eastAsia="Times New Roman" w:cs="Times New Roman"/>
                <w:color w:val="000000"/>
                <w:szCs w:val="20"/>
                <w:lang w:eastAsia="en-GB"/>
              </w:rPr>
              <w:t xml:space="preserve"> </w:t>
            </w:r>
            <w:r w:rsidRPr="002D1632">
              <w:rPr>
                <w:rFonts w:eastAsia="Times New Roman" w:cs="Times New Roman"/>
                <w:color w:val="000000"/>
                <w:szCs w:val="20"/>
                <w:lang w:eastAsia="en-GB"/>
              </w:rPr>
              <w:t>July</w:t>
            </w:r>
          </w:p>
        </w:tc>
        <w:tc>
          <w:tcPr>
            <w:tcW w:w="469" w:type="dxa"/>
            <w:tcBorders>
              <w:top w:val="single" w:sz="4" w:space="0" w:color="auto"/>
              <w:left w:val="nil"/>
              <w:bottom w:val="single" w:sz="4" w:space="0" w:color="auto"/>
              <w:right w:val="single" w:sz="4" w:space="0" w:color="auto"/>
            </w:tcBorders>
            <w:noWrap/>
            <w:textDirection w:val="btLr"/>
            <w:vAlign w:val="bottom"/>
            <w:hideMark/>
          </w:tcPr>
          <w:p w14:paraId="04610378" w14:textId="47EC27F5"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Pr>
                <w:rFonts w:eastAsia="Times New Roman" w:cs="Times New Roman"/>
                <w:color w:val="000000"/>
                <w:szCs w:val="20"/>
                <w:lang w:eastAsia="en-GB"/>
              </w:rPr>
              <w:t xml:space="preserve"> </w:t>
            </w:r>
            <w:r w:rsidRPr="002D1632">
              <w:rPr>
                <w:rFonts w:eastAsia="Times New Roman" w:cs="Times New Roman"/>
                <w:color w:val="000000"/>
                <w:szCs w:val="20"/>
                <w:lang w:eastAsia="en-GB"/>
              </w:rPr>
              <w:t>August</w:t>
            </w:r>
          </w:p>
        </w:tc>
        <w:tc>
          <w:tcPr>
            <w:tcW w:w="469" w:type="dxa"/>
            <w:tcBorders>
              <w:top w:val="single" w:sz="4" w:space="0" w:color="auto"/>
              <w:left w:val="nil"/>
              <w:bottom w:val="single" w:sz="4" w:space="0" w:color="auto"/>
              <w:right w:val="single" w:sz="4" w:space="0" w:color="auto"/>
            </w:tcBorders>
            <w:noWrap/>
            <w:textDirection w:val="btLr"/>
            <w:vAlign w:val="bottom"/>
            <w:hideMark/>
          </w:tcPr>
          <w:p w14:paraId="18CED1B0" w14:textId="49C5C462"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Pr>
                <w:rFonts w:eastAsia="Times New Roman" w:cs="Times New Roman"/>
                <w:color w:val="000000"/>
                <w:szCs w:val="20"/>
                <w:lang w:eastAsia="en-GB"/>
              </w:rPr>
              <w:t xml:space="preserve"> </w:t>
            </w:r>
            <w:r w:rsidRPr="002D1632">
              <w:rPr>
                <w:rFonts w:eastAsia="Times New Roman" w:cs="Times New Roman"/>
                <w:color w:val="000000"/>
                <w:szCs w:val="20"/>
                <w:lang w:eastAsia="en-GB"/>
              </w:rPr>
              <w:t>September</w:t>
            </w:r>
          </w:p>
        </w:tc>
        <w:tc>
          <w:tcPr>
            <w:tcW w:w="469" w:type="dxa"/>
            <w:tcBorders>
              <w:top w:val="single" w:sz="4" w:space="0" w:color="auto"/>
              <w:left w:val="nil"/>
              <w:bottom w:val="single" w:sz="4" w:space="0" w:color="auto"/>
              <w:right w:val="single" w:sz="4" w:space="0" w:color="auto"/>
            </w:tcBorders>
            <w:noWrap/>
            <w:textDirection w:val="btLr"/>
            <w:vAlign w:val="bottom"/>
            <w:hideMark/>
          </w:tcPr>
          <w:p w14:paraId="514EFE2A" w14:textId="430BD066"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Pr>
                <w:rFonts w:eastAsia="Times New Roman" w:cs="Times New Roman"/>
                <w:color w:val="000000"/>
                <w:szCs w:val="20"/>
                <w:lang w:eastAsia="en-GB"/>
              </w:rPr>
              <w:t xml:space="preserve"> </w:t>
            </w:r>
            <w:r w:rsidRPr="002D1632">
              <w:rPr>
                <w:rFonts w:eastAsia="Times New Roman" w:cs="Times New Roman"/>
                <w:color w:val="000000"/>
                <w:szCs w:val="20"/>
                <w:lang w:eastAsia="en-GB"/>
              </w:rPr>
              <w:t>October</w:t>
            </w:r>
          </w:p>
        </w:tc>
        <w:tc>
          <w:tcPr>
            <w:tcW w:w="469" w:type="dxa"/>
            <w:tcBorders>
              <w:top w:val="single" w:sz="4" w:space="0" w:color="auto"/>
              <w:left w:val="nil"/>
              <w:bottom w:val="single" w:sz="4" w:space="0" w:color="auto"/>
              <w:right w:val="single" w:sz="4" w:space="0" w:color="auto"/>
            </w:tcBorders>
            <w:noWrap/>
            <w:textDirection w:val="btLr"/>
            <w:vAlign w:val="bottom"/>
            <w:hideMark/>
          </w:tcPr>
          <w:p w14:paraId="5E79780F" w14:textId="3746A901"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Pr>
                <w:rFonts w:eastAsia="Times New Roman" w:cs="Times New Roman"/>
                <w:color w:val="000000"/>
                <w:szCs w:val="20"/>
                <w:lang w:eastAsia="en-GB"/>
              </w:rPr>
              <w:t xml:space="preserve"> </w:t>
            </w:r>
            <w:r w:rsidRPr="002D1632">
              <w:rPr>
                <w:rFonts w:eastAsia="Times New Roman" w:cs="Times New Roman"/>
                <w:color w:val="000000"/>
                <w:szCs w:val="20"/>
                <w:lang w:eastAsia="en-GB"/>
              </w:rPr>
              <w:t>November</w:t>
            </w:r>
          </w:p>
        </w:tc>
        <w:tc>
          <w:tcPr>
            <w:tcW w:w="469" w:type="dxa"/>
            <w:tcBorders>
              <w:top w:val="single" w:sz="4" w:space="0" w:color="auto"/>
              <w:left w:val="nil"/>
              <w:bottom w:val="single" w:sz="4" w:space="0" w:color="auto"/>
              <w:right w:val="single" w:sz="4" w:space="0" w:color="auto"/>
            </w:tcBorders>
            <w:noWrap/>
            <w:textDirection w:val="btLr"/>
            <w:vAlign w:val="bottom"/>
            <w:hideMark/>
          </w:tcPr>
          <w:p w14:paraId="74FFB961" w14:textId="2CCE5DF0"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Pr>
                <w:rFonts w:eastAsia="Times New Roman" w:cs="Times New Roman"/>
                <w:color w:val="000000"/>
                <w:szCs w:val="20"/>
                <w:lang w:eastAsia="en-GB"/>
              </w:rPr>
              <w:t xml:space="preserve"> </w:t>
            </w:r>
            <w:r w:rsidRPr="002D1632">
              <w:rPr>
                <w:rFonts w:eastAsia="Times New Roman" w:cs="Times New Roman"/>
                <w:color w:val="000000"/>
                <w:szCs w:val="20"/>
                <w:lang w:eastAsia="en-GB"/>
              </w:rPr>
              <w:t>December</w:t>
            </w:r>
          </w:p>
        </w:tc>
        <w:tc>
          <w:tcPr>
            <w:tcW w:w="469" w:type="dxa"/>
            <w:tcBorders>
              <w:top w:val="single" w:sz="4" w:space="0" w:color="auto"/>
              <w:left w:val="nil"/>
              <w:bottom w:val="single" w:sz="4" w:space="0" w:color="auto"/>
              <w:right w:val="single" w:sz="4" w:space="0" w:color="auto"/>
            </w:tcBorders>
            <w:noWrap/>
            <w:textDirection w:val="btLr"/>
            <w:vAlign w:val="bottom"/>
            <w:hideMark/>
          </w:tcPr>
          <w:p w14:paraId="1177A797" w14:textId="03F67A1C"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Pr>
                <w:rFonts w:eastAsia="Times New Roman" w:cs="Times New Roman"/>
                <w:color w:val="000000"/>
                <w:szCs w:val="20"/>
                <w:lang w:eastAsia="en-GB"/>
              </w:rPr>
              <w:t xml:space="preserve"> </w:t>
            </w:r>
            <w:r w:rsidRPr="002D1632">
              <w:rPr>
                <w:rFonts w:eastAsia="Times New Roman" w:cs="Times New Roman"/>
                <w:color w:val="000000"/>
                <w:szCs w:val="20"/>
                <w:lang w:eastAsia="en-GB"/>
              </w:rPr>
              <w:t>January</w:t>
            </w:r>
          </w:p>
        </w:tc>
        <w:tc>
          <w:tcPr>
            <w:tcW w:w="469" w:type="dxa"/>
            <w:tcBorders>
              <w:top w:val="single" w:sz="4" w:space="0" w:color="auto"/>
              <w:left w:val="nil"/>
              <w:bottom w:val="single" w:sz="4" w:space="0" w:color="auto"/>
              <w:right w:val="single" w:sz="4" w:space="0" w:color="auto"/>
            </w:tcBorders>
            <w:noWrap/>
            <w:textDirection w:val="btLr"/>
            <w:vAlign w:val="bottom"/>
            <w:hideMark/>
          </w:tcPr>
          <w:p w14:paraId="36650E51" w14:textId="21B7474F"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Pr>
                <w:rFonts w:eastAsia="Times New Roman" w:cs="Times New Roman"/>
                <w:color w:val="000000"/>
                <w:szCs w:val="20"/>
                <w:lang w:eastAsia="en-GB"/>
              </w:rPr>
              <w:t xml:space="preserve"> </w:t>
            </w:r>
            <w:r w:rsidRPr="002D1632">
              <w:rPr>
                <w:rFonts w:eastAsia="Times New Roman" w:cs="Times New Roman"/>
                <w:color w:val="000000"/>
                <w:szCs w:val="20"/>
                <w:lang w:eastAsia="en-GB"/>
              </w:rPr>
              <w:t>February</w:t>
            </w:r>
          </w:p>
        </w:tc>
        <w:tc>
          <w:tcPr>
            <w:tcW w:w="469" w:type="dxa"/>
            <w:tcBorders>
              <w:top w:val="single" w:sz="4" w:space="0" w:color="auto"/>
              <w:left w:val="nil"/>
              <w:bottom w:val="single" w:sz="4" w:space="0" w:color="auto"/>
              <w:right w:val="single" w:sz="4" w:space="0" w:color="auto"/>
            </w:tcBorders>
            <w:noWrap/>
            <w:textDirection w:val="btLr"/>
            <w:vAlign w:val="bottom"/>
            <w:hideMark/>
          </w:tcPr>
          <w:p w14:paraId="5DE317AF" w14:textId="0F3771F3"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Pr>
                <w:rFonts w:eastAsia="Times New Roman" w:cs="Times New Roman"/>
                <w:color w:val="000000"/>
                <w:szCs w:val="20"/>
                <w:lang w:eastAsia="en-GB"/>
              </w:rPr>
              <w:t xml:space="preserve"> </w:t>
            </w:r>
            <w:r w:rsidRPr="002D1632">
              <w:rPr>
                <w:rFonts w:eastAsia="Times New Roman" w:cs="Times New Roman"/>
                <w:color w:val="000000"/>
                <w:szCs w:val="20"/>
                <w:lang w:eastAsia="en-GB"/>
              </w:rPr>
              <w:t>March</w:t>
            </w:r>
          </w:p>
        </w:tc>
        <w:tc>
          <w:tcPr>
            <w:tcW w:w="469" w:type="dxa"/>
            <w:tcBorders>
              <w:top w:val="single" w:sz="4" w:space="0" w:color="auto"/>
              <w:left w:val="nil"/>
              <w:bottom w:val="single" w:sz="4" w:space="0" w:color="auto"/>
              <w:right w:val="single" w:sz="4" w:space="0" w:color="auto"/>
            </w:tcBorders>
            <w:noWrap/>
            <w:textDirection w:val="btLr"/>
            <w:vAlign w:val="bottom"/>
            <w:hideMark/>
          </w:tcPr>
          <w:p w14:paraId="6C1081BE" w14:textId="5D1B3F5B"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Pr>
                <w:rFonts w:eastAsia="Times New Roman" w:cs="Times New Roman"/>
                <w:color w:val="000000"/>
                <w:szCs w:val="20"/>
                <w:lang w:eastAsia="en-GB"/>
              </w:rPr>
              <w:t xml:space="preserve"> </w:t>
            </w:r>
            <w:r w:rsidRPr="002D1632">
              <w:rPr>
                <w:rFonts w:eastAsia="Times New Roman" w:cs="Times New Roman"/>
                <w:color w:val="000000"/>
                <w:szCs w:val="20"/>
                <w:lang w:eastAsia="en-GB"/>
              </w:rPr>
              <w:t>April</w:t>
            </w:r>
          </w:p>
        </w:tc>
        <w:tc>
          <w:tcPr>
            <w:tcW w:w="469" w:type="dxa"/>
            <w:tcBorders>
              <w:top w:val="single" w:sz="4" w:space="0" w:color="auto"/>
              <w:left w:val="nil"/>
              <w:bottom w:val="single" w:sz="4" w:space="0" w:color="auto"/>
              <w:right w:val="single" w:sz="4" w:space="0" w:color="auto"/>
            </w:tcBorders>
            <w:noWrap/>
            <w:textDirection w:val="btLr"/>
            <w:vAlign w:val="bottom"/>
            <w:hideMark/>
          </w:tcPr>
          <w:p w14:paraId="504E48D0" w14:textId="795A7C38"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Pr>
                <w:rFonts w:eastAsia="Times New Roman" w:cs="Times New Roman"/>
                <w:color w:val="000000"/>
                <w:szCs w:val="20"/>
                <w:lang w:eastAsia="en-GB"/>
              </w:rPr>
              <w:t xml:space="preserve"> </w:t>
            </w:r>
            <w:r w:rsidRPr="002D1632">
              <w:rPr>
                <w:rFonts w:eastAsia="Times New Roman" w:cs="Times New Roman"/>
                <w:color w:val="000000"/>
                <w:szCs w:val="20"/>
                <w:lang w:eastAsia="en-GB"/>
              </w:rPr>
              <w:t>May</w:t>
            </w:r>
          </w:p>
        </w:tc>
        <w:tc>
          <w:tcPr>
            <w:tcW w:w="469" w:type="dxa"/>
            <w:tcBorders>
              <w:top w:val="single" w:sz="4" w:space="0" w:color="auto"/>
              <w:left w:val="nil"/>
              <w:bottom w:val="single" w:sz="4" w:space="0" w:color="auto"/>
              <w:right w:val="single" w:sz="4" w:space="0" w:color="auto"/>
            </w:tcBorders>
            <w:noWrap/>
            <w:textDirection w:val="btLr"/>
            <w:vAlign w:val="bottom"/>
            <w:hideMark/>
          </w:tcPr>
          <w:p w14:paraId="664C37E4" w14:textId="011D37BE"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Pr>
                <w:rFonts w:eastAsia="Times New Roman" w:cs="Times New Roman"/>
                <w:color w:val="000000"/>
                <w:szCs w:val="20"/>
                <w:lang w:eastAsia="en-GB"/>
              </w:rPr>
              <w:t xml:space="preserve"> </w:t>
            </w:r>
            <w:r w:rsidRPr="002D1632">
              <w:rPr>
                <w:rFonts w:eastAsia="Times New Roman" w:cs="Times New Roman"/>
                <w:color w:val="000000"/>
                <w:szCs w:val="20"/>
                <w:lang w:eastAsia="en-GB"/>
              </w:rPr>
              <w:t>June</w:t>
            </w:r>
          </w:p>
        </w:tc>
        <w:tc>
          <w:tcPr>
            <w:tcW w:w="469" w:type="dxa"/>
            <w:tcBorders>
              <w:top w:val="single" w:sz="4" w:space="0" w:color="auto"/>
              <w:left w:val="nil"/>
              <w:bottom w:val="single" w:sz="4" w:space="0" w:color="auto"/>
              <w:right w:val="single" w:sz="4" w:space="0" w:color="auto"/>
            </w:tcBorders>
            <w:noWrap/>
            <w:textDirection w:val="btLr"/>
            <w:vAlign w:val="bottom"/>
            <w:hideMark/>
          </w:tcPr>
          <w:p w14:paraId="150907FD" w14:textId="58F024F3"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Pr>
                <w:rFonts w:eastAsia="Times New Roman" w:cs="Times New Roman"/>
                <w:color w:val="000000"/>
                <w:szCs w:val="20"/>
                <w:lang w:eastAsia="en-GB"/>
              </w:rPr>
              <w:t xml:space="preserve"> </w:t>
            </w:r>
            <w:r w:rsidRPr="002D1632">
              <w:rPr>
                <w:rFonts w:eastAsia="Times New Roman" w:cs="Times New Roman"/>
                <w:color w:val="000000"/>
                <w:szCs w:val="20"/>
                <w:lang w:eastAsia="en-GB"/>
              </w:rPr>
              <w:t>July</w:t>
            </w:r>
          </w:p>
        </w:tc>
        <w:tc>
          <w:tcPr>
            <w:tcW w:w="469" w:type="dxa"/>
            <w:tcBorders>
              <w:top w:val="single" w:sz="4" w:space="0" w:color="auto"/>
              <w:left w:val="single" w:sz="4" w:space="0" w:color="auto"/>
              <w:bottom w:val="single" w:sz="4" w:space="0" w:color="auto"/>
              <w:right w:val="single" w:sz="4" w:space="0" w:color="auto"/>
            </w:tcBorders>
            <w:textDirection w:val="btLr"/>
            <w:vAlign w:val="bottom"/>
          </w:tcPr>
          <w:p w14:paraId="5CE1152C" w14:textId="264DC335" w:rsidR="00A10927" w:rsidRDefault="00A10927" w:rsidP="00A10927">
            <w:pPr>
              <w:tabs>
                <w:tab w:val="clear" w:pos="992"/>
                <w:tab w:val="clear" w:pos="1395"/>
                <w:tab w:val="clear" w:pos="1712"/>
              </w:tabs>
              <w:spacing w:after="0"/>
              <w:rPr>
                <w:rFonts w:eastAsia="Times New Roman" w:cs="Times New Roman"/>
                <w:color w:val="000000"/>
                <w:szCs w:val="20"/>
                <w:lang w:eastAsia="en-GB"/>
              </w:rPr>
            </w:pPr>
            <w:r>
              <w:rPr>
                <w:rFonts w:eastAsia="Times New Roman" w:cs="Times New Roman"/>
                <w:color w:val="000000"/>
                <w:szCs w:val="20"/>
                <w:lang w:eastAsia="en-GB"/>
              </w:rPr>
              <w:t xml:space="preserve"> </w:t>
            </w:r>
            <w:r w:rsidRPr="002D1632">
              <w:rPr>
                <w:rFonts w:eastAsia="Times New Roman" w:cs="Times New Roman"/>
                <w:color w:val="000000"/>
                <w:szCs w:val="20"/>
                <w:lang w:eastAsia="en-GB"/>
              </w:rPr>
              <w:t>August</w:t>
            </w:r>
          </w:p>
        </w:tc>
        <w:tc>
          <w:tcPr>
            <w:tcW w:w="469" w:type="dxa"/>
            <w:tcBorders>
              <w:top w:val="single" w:sz="4" w:space="0" w:color="auto"/>
              <w:left w:val="single" w:sz="4" w:space="0" w:color="auto"/>
              <w:bottom w:val="single" w:sz="4" w:space="0" w:color="auto"/>
              <w:right w:val="single" w:sz="4" w:space="0" w:color="auto"/>
            </w:tcBorders>
            <w:textDirection w:val="btLr"/>
            <w:vAlign w:val="bottom"/>
          </w:tcPr>
          <w:p w14:paraId="41DE2F2F" w14:textId="5206F857" w:rsidR="00A10927" w:rsidRDefault="00A10927" w:rsidP="00A10927">
            <w:pPr>
              <w:tabs>
                <w:tab w:val="clear" w:pos="992"/>
                <w:tab w:val="clear" w:pos="1395"/>
                <w:tab w:val="clear" w:pos="1712"/>
              </w:tabs>
              <w:spacing w:after="0"/>
              <w:rPr>
                <w:rFonts w:eastAsia="Times New Roman" w:cs="Times New Roman"/>
                <w:color w:val="000000"/>
                <w:szCs w:val="20"/>
                <w:lang w:eastAsia="en-GB"/>
              </w:rPr>
            </w:pPr>
            <w:r>
              <w:rPr>
                <w:rFonts w:eastAsia="Times New Roman" w:cs="Times New Roman"/>
                <w:color w:val="000000"/>
                <w:szCs w:val="20"/>
                <w:lang w:eastAsia="en-GB"/>
              </w:rPr>
              <w:t xml:space="preserve"> September</w:t>
            </w:r>
          </w:p>
        </w:tc>
        <w:tc>
          <w:tcPr>
            <w:tcW w:w="463" w:type="dxa"/>
            <w:tcBorders>
              <w:top w:val="single" w:sz="4" w:space="0" w:color="auto"/>
              <w:bottom w:val="single" w:sz="4" w:space="0" w:color="auto"/>
            </w:tcBorders>
            <w:textDirection w:val="btLr"/>
            <w:vAlign w:val="bottom"/>
          </w:tcPr>
          <w:p w14:paraId="1ABBE063" w14:textId="463E085E" w:rsidR="00A10927" w:rsidRDefault="00A10927" w:rsidP="00A10927">
            <w:pPr>
              <w:tabs>
                <w:tab w:val="clear" w:pos="992"/>
                <w:tab w:val="clear" w:pos="1395"/>
                <w:tab w:val="clear" w:pos="1712"/>
              </w:tabs>
              <w:spacing w:after="0"/>
              <w:rPr>
                <w:rFonts w:eastAsia="Times New Roman" w:cs="Times New Roman"/>
                <w:color w:val="000000"/>
                <w:szCs w:val="20"/>
                <w:lang w:eastAsia="en-GB"/>
              </w:rPr>
            </w:pPr>
            <w:r>
              <w:rPr>
                <w:rFonts w:eastAsia="Times New Roman" w:cs="Times New Roman"/>
                <w:color w:val="000000"/>
                <w:szCs w:val="20"/>
                <w:lang w:eastAsia="en-GB"/>
              </w:rPr>
              <w:t xml:space="preserve"> October</w:t>
            </w:r>
          </w:p>
        </w:tc>
        <w:tc>
          <w:tcPr>
            <w:tcW w:w="469" w:type="dxa"/>
            <w:tcBorders>
              <w:top w:val="single" w:sz="4" w:space="0" w:color="auto"/>
              <w:left w:val="single" w:sz="4" w:space="0" w:color="auto"/>
              <w:bottom w:val="single" w:sz="4" w:space="0" w:color="auto"/>
              <w:right w:val="single" w:sz="4" w:space="0" w:color="auto"/>
            </w:tcBorders>
            <w:noWrap/>
            <w:textDirection w:val="btLr"/>
            <w:vAlign w:val="bottom"/>
            <w:hideMark/>
          </w:tcPr>
          <w:p w14:paraId="16842671" w14:textId="0EDEA32C"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Pr>
                <w:rFonts w:eastAsia="Times New Roman" w:cs="Times New Roman"/>
                <w:color w:val="000000"/>
                <w:szCs w:val="20"/>
                <w:lang w:eastAsia="en-GB"/>
              </w:rPr>
              <w:t xml:space="preserve"> November</w:t>
            </w:r>
          </w:p>
        </w:tc>
      </w:tr>
      <w:tr w:rsidR="00A10927" w:rsidRPr="002D1632" w14:paraId="0BC83AA4" w14:textId="77777777" w:rsidTr="00A10927">
        <w:trPr>
          <w:trHeight w:val="295"/>
        </w:trPr>
        <w:tc>
          <w:tcPr>
            <w:tcW w:w="469" w:type="dxa"/>
            <w:tcBorders>
              <w:top w:val="nil"/>
              <w:left w:val="nil"/>
              <w:bottom w:val="nil"/>
              <w:right w:val="nil"/>
            </w:tcBorders>
            <w:shd w:val="clear" w:color="auto" w:fill="FFFFFF" w:themeFill="background1"/>
            <w:noWrap/>
            <w:vAlign w:val="bottom"/>
            <w:hideMark/>
          </w:tcPr>
          <w:p w14:paraId="1E283844"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34" w:type="dxa"/>
            <w:tcBorders>
              <w:top w:val="nil"/>
              <w:left w:val="single" w:sz="4" w:space="0" w:color="auto"/>
              <w:bottom w:val="single" w:sz="4" w:space="0" w:color="auto"/>
              <w:right w:val="single" w:sz="4" w:space="0" w:color="auto"/>
            </w:tcBorders>
            <w:noWrap/>
            <w:vAlign w:val="center"/>
            <w:hideMark/>
          </w:tcPr>
          <w:p w14:paraId="08033D15"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Regulator's issue of RO</w:t>
            </w:r>
          </w:p>
        </w:tc>
        <w:tc>
          <w:tcPr>
            <w:tcW w:w="469" w:type="dxa"/>
            <w:tcBorders>
              <w:top w:val="nil"/>
              <w:left w:val="nil"/>
              <w:bottom w:val="single" w:sz="4" w:space="0" w:color="auto"/>
              <w:right w:val="single" w:sz="4" w:space="0" w:color="auto"/>
            </w:tcBorders>
            <w:shd w:val="clear" w:color="auto" w:fill="3399FF"/>
            <w:noWrap/>
            <w:vAlign w:val="bottom"/>
            <w:hideMark/>
          </w:tcPr>
          <w:p w14:paraId="7F4B00D4"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7B6BB9AD"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6EBF1B01"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347BEAA1"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10E4E04F"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377DE48E"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73B5FBB7"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27869D68"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7251776B"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3A5F3F81"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7314069C"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624E8B33"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nil"/>
              <w:bottom w:val="single" w:sz="4" w:space="0" w:color="auto"/>
              <w:right w:val="single" w:sz="4" w:space="0" w:color="auto"/>
            </w:tcBorders>
            <w:noWrap/>
            <w:vAlign w:val="bottom"/>
            <w:hideMark/>
          </w:tcPr>
          <w:p w14:paraId="7A3F1F88"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vAlign w:val="bottom"/>
          </w:tcPr>
          <w:p w14:paraId="1F7AAE89" w14:textId="3E445773"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vAlign w:val="bottom"/>
          </w:tcPr>
          <w:p w14:paraId="671A3020" w14:textId="5EDBA6E0"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3" w:type="dxa"/>
            <w:tcBorders>
              <w:top w:val="single" w:sz="4" w:space="0" w:color="auto"/>
              <w:bottom w:val="single" w:sz="4" w:space="0" w:color="auto"/>
            </w:tcBorders>
            <w:vAlign w:val="bottom"/>
          </w:tcPr>
          <w:p w14:paraId="767BD2E6" w14:textId="16827BCB"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noWrap/>
            <w:vAlign w:val="bottom"/>
            <w:hideMark/>
          </w:tcPr>
          <w:p w14:paraId="62A995D9" w14:textId="468BA669"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r>
      <w:tr w:rsidR="00A10927" w:rsidRPr="002D1632" w14:paraId="681D60E8" w14:textId="77777777" w:rsidTr="00A10927">
        <w:trPr>
          <w:trHeight w:val="295"/>
        </w:trPr>
        <w:tc>
          <w:tcPr>
            <w:tcW w:w="469" w:type="dxa"/>
            <w:tcBorders>
              <w:top w:val="nil"/>
              <w:left w:val="nil"/>
              <w:bottom w:val="nil"/>
              <w:right w:val="nil"/>
            </w:tcBorders>
            <w:shd w:val="clear" w:color="auto" w:fill="FFFFFF" w:themeFill="background1"/>
            <w:noWrap/>
            <w:vAlign w:val="bottom"/>
            <w:hideMark/>
          </w:tcPr>
          <w:p w14:paraId="1B7E6E7C"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34" w:type="dxa"/>
            <w:tcBorders>
              <w:top w:val="nil"/>
              <w:left w:val="single" w:sz="4" w:space="0" w:color="auto"/>
              <w:bottom w:val="single" w:sz="4" w:space="0" w:color="auto"/>
              <w:right w:val="single" w:sz="4" w:space="0" w:color="auto"/>
            </w:tcBorders>
            <w:noWrap/>
            <w:vAlign w:val="center"/>
            <w:hideMark/>
          </w:tcPr>
          <w:p w14:paraId="5C615AC5"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RR SMR Acknowledgement of RO</w:t>
            </w:r>
          </w:p>
        </w:tc>
        <w:tc>
          <w:tcPr>
            <w:tcW w:w="469" w:type="dxa"/>
            <w:tcBorders>
              <w:top w:val="nil"/>
              <w:left w:val="nil"/>
              <w:bottom w:val="single" w:sz="4" w:space="0" w:color="auto"/>
              <w:right w:val="single" w:sz="4" w:space="0" w:color="auto"/>
            </w:tcBorders>
            <w:noWrap/>
            <w:vAlign w:val="bottom"/>
            <w:hideMark/>
          </w:tcPr>
          <w:p w14:paraId="1DE41B99"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3399FF"/>
            <w:noWrap/>
            <w:vAlign w:val="bottom"/>
            <w:hideMark/>
          </w:tcPr>
          <w:p w14:paraId="530382DD"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48C040A9"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127D6E36"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70F9C6C9"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394BFD90"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334B508F"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6B5E5038"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1C385F1E"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39A5D598"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29FFFDF0"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5CBDB23C"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nil"/>
              <w:bottom w:val="single" w:sz="4" w:space="0" w:color="auto"/>
              <w:right w:val="single" w:sz="4" w:space="0" w:color="auto"/>
            </w:tcBorders>
            <w:noWrap/>
            <w:vAlign w:val="bottom"/>
            <w:hideMark/>
          </w:tcPr>
          <w:p w14:paraId="746B7DA9"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vAlign w:val="bottom"/>
          </w:tcPr>
          <w:p w14:paraId="33F71DB9" w14:textId="44600B3C"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vAlign w:val="bottom"/>
          </w:tcPr>
          <w:p w14:paraId="7AB1779F" w14:textId="339BD178"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3" w:type="dxa"/>
            <w:tcBorders>
              <w:top w:val="single" w:sz="4" w:space="0" w:color="auto"/>
              <w:bottom w:val="single" w:sz="4" w:space="0" w:color="auto"/>
            </w:tcBorders>
            <w:vAlign w:val="bottom"/>
          </w:tcPr>
          <w:p w14:paraId="4700D715" w14:textId="26D3C682"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noWrap/>
            <w:vAlign w:val="bottom"/>
            <w:hideMark/>
          </w:tcPr>
          <w:p w14:paraId="5AC0C2BD" w14:textId="3977E109"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r>
      <w:tr w:rsidR="00A10927" w:rsidRPr="002D1632" w14:paraId="1D36FE4C" w14:textId="77777777" w:rsidTr="00A10927">
        <w:trPr>
          <w:trHeight w:val="295"/>
        </w:trPr>
        <w:tc>
          <w:tcPr>
            <w:tcW w:w="469" w:type="dxa"/>
            <w:tcBorders>
              <w:top w:val="nil"/>
              <w:left w:val="nil"/>
              <w:bottom w:val="nil"/>
              <w:right w:val="nil"/>
            </w:tcBorders>
            <w:shd w:val="clear" w:color="auto" w:fill="FFFFFF" w:themeFill="background1"/>
            <w:noWrap/>
            <w:vAlign w:val="bottom"/>
            <w:hideMark/>
          </w:tcPr>
          <w:p w14:paraId="4A1B8D1B"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34" w:type="dxa"/>
            <w:tcBorders>
              <w:top w:val="nil"/>
              <w:left w:val="single" w:sz="4" w:space="0" w:color="auto"/>
              <w:bottom w:val="single" w:sz="4" w:space="0" w:color="auto"/>
              <w:right w:val="single" w:sz="4" w:space="0" w:color="auto"/>
            </w:tcBorders>
            <w:noWrap/>
            <w:vAlign w:val="center"/>
            <w:hideMark/>
          </w:tcPr>
          <w:p w14:paraId="1E012312"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Issue RO Resolution Plan</w:t>
            </w:r>
          </w:p>
        </w:tc>
        <w:tc>
          <w:tcPr>
            <w:tcW w:w="469" w:type="dxa"/>
            <w:tcBorders>
              <w:top w:val="nil"/>
              <w:left w:val="nil"/>
              <w:bottom w:val="single" w:sz="4" w:space="0" w:color="auto"/>
              <w:right w:val="single" w:sz="4" w:space="0" w:color="auto"/>
            </w:tcBorders>
            <w:noWrap/>
            <w:vAlign w:val="bottom"/>
            <w:hideMark/>
          </w:tcPr>
          <w:p w14:paraId="2CAB3059"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3E6A92C2"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198D00CF"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5164C0FE"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214CA82B"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3399FF"/>
            <w:noWrap/>
            <w:vAlign w:val="bottom"/>
            <w:hideMark/>
          </w:tcPr>
          <w:p w14:paraId="14DC2F93"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5E19C57C"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1DBA10E6"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0626FBC9"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2095F249"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337CB110"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51A184C9"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nil"/>
              <w:bottom w:val="single" w:sz="4" w:space="0" w:color="auto"/>
              <w:right w:val="single" w:sz="4" w:space="0" w:color="auto"/>
            </w:tcBorders>
            <w:noWrap/>
            <w:vAlign w:val="bottom"/>
            <w:hideMark/>
          </w:tcPr>
          <w:p w14:paraId="3C6FE1EB"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vAlign w:val="bottom"/>
          </w:tcPr>
          <w:p w14:paraId="32C4A637" w14:textId="5D172A5A"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vAlign w:val="bottom"/>
          </w:tcPr>
          <w:p w14:paraId="3C3F8F36" w14:textId="5CC0B169"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3" w:type="dxa"/>
            <w:tcBorders>
              <w:top w:val="single" w:sz="4" w:space="0" w:color="auto"/>
              <w:bottom w:val="single" w:sz="4" w:space="0" w:color="auto"/>
            </w:tcBorders>
            <w:vAlign w:val="bottom"/>
          </w:tcPr>
          <w:p w14:paraId="045A9C51" w14:textId="25731FB4"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noWrap/>
            <w:vAlign w:val="bottom"/>
            <w:hideMark/>
          </w:tcPr>
          <w:p w14:paraId="2B3AD87A" w14:textId="5E4B286C"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r>
      <w:tr w:rsidR="00A10927" w:rsidRPr="002D1632" w14:paraId="2A521188" w14:textId="77777777" w:rsidTr="00A10927">
        <w:trPr>
          <w:trHeight w:val="295"/>
        </w:trPr>
        <w:tc>
          <w:tcPr>
            <w:tcW w:w="469" w:type="dxa"/>
            <w:tcBorders>
              <w:top w:val="nil"/>
              <w:left w:val="nil"/>
              <w:bottom w:val="nil"/>
              <w:right w:val="nil"/>
            </w:tcBorders>
            <w:shd w:val="clear" w:color="auto" w:fill="FFFFFF" w:themeFill="background1"/>
            <w:noWrap/>
            <w:vAlign w:val="bottom"/>
            <w:hideMark/>
          </w:tcPr>
          <w:p w14:paraId="61C65E6F"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34" w:type="dxa"/>
            <w:tcBorders>
              <w:top w:val="nil"/>
              <w:left w:val="single" w:sz="4" w:space="0" w:color="auto"/>
              <w:bottom w:val="single" w:sz="4" w:space="0" w:color="auto"/>
              <w:right w:val="single" w:sz="4" w:space="0" w:color="auto"/>
            </w:tcBorders>
            <w:noWrap/>
            <w:vAlign w:val="center"/>
            <w:hideMark/>
          </w:tcPr>
          <w:p w14:paraId="1221A457" w14:textId="020158EC"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Undertake Work focused on Action A1</w:t>
            </w:r>
          </w:p>
        </w:tc>
        <w:tc>
          <w:tcPr>
            <w:tcW w:w="469" w:type="dxa"/>
            <w:tcBorders>
              <w:top w:val="nil"/>
              <w:left w:val="nil"/>
              <w:bottom w:val="single" w:sz="4" w:space="0" w:color="auto"/>
              <w:right w:val="single" w:sz="4" w:space="0" w:color="auto"/>
            </w:tcBorders>
            <w:noWrap/>
            <w:vAlign w:val="bottom"/>
            <w:hideMark/>
          </w:tcPr>
          <w:p w14:paraId="2FAA532E"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3399FF"/>
            <w:noWrap/>
            <w:vAlign w:val="bottom"/>
            <w:hideMark/>
          </w:tcPr>
          <w:p w14:paraId="3445E0AE"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3399FF"/>
            <w:noWrap/>
            <w:vAlign w:val="bottom"/>
            <w:hideMark/>
          </w:tcPr>
          <w:p w14:paraId="77C94C4C"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3399FF"/>
            <w:noWrap/>
            <w:vAlign w:val="bottom"/>
            <w:hideMark/>
          </w:tcPr>
          <w:p w14:paraId="0080FEB1"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3399FF"/>
            <w:noWrap/>
            <w:vAlign w:val="bottom"/>
            <w:hideMark/>
          </w:tcPr>
          <w:p w14:paraId="6FB7822C"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3399FF"/>
            <w:noWrap/>
            <w:vAlign w:val="bottom"/>
            <w:hideMark/>
          </w:tcPr>
          <w:p w14:paraId="6E09C2D3"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3399FF"/>
            <w:noWrap/>
            <w:vAlign w:val="bottom"/>
            <w:hideMark/>
          </w:tcPr>
          <w:p w14:paraId="0784132A"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3399FF"/>
            <w:noWrap/>
            <w:vAlign w:val="bottom"/>
            <w:hideMark/>
          </w:tcPr>
          <w:p w14:paraId="70DFE522"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3399FF"/>
            <w:noWrap/>
            <w:vAlign w:val="bottom"/>
            <w:hideMark/>
          </w:tcPr>
          <w:p w14:paraId="58663001"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3399FF"/>
            <w:noWrap/>
            <w:vAlign w:val="bottom"/>
            <w:hideMark/>
          </w:tcPr>
          <w:p w14:paraId="634C6A82"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3399FF"/>
            <w:noWrap/>
            <w:vAlign w:val="bottom"/>
            <w:hideMark/>
          </w:tcPr>
          <w:p w14:paraId="059ED665"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3399FF"/>
            <w:noWrap/>
            <w:vAlign w:val="bottom"/>
            <w:hideMark/>
          </w:tcPr>
          <w:p w14:paraId="39939A03"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nil"/>
              <w:bottom w:val="single" w:sz="4" w:space="0" w:color="auto"/>
              <w:right w:val="single" w:sz="4" w:space="0" w:color="auto"/>
            </w:tcBorders>
            <w:shd w:val="clear" w:color="auto" w:fill="3399FF"/>
            <w:noWrap/>
            <w:vAlign w:val="bottom"/>
            <w:hideMark/>
          </w:tcPr>
          <w:p w14:paraId="6E883D34"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vAlign w:val="bottom"/>
          </w:tcPr>
          <w:p w14:paraId="7708C714" w14:textId="116F8859"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vAlign w:val="bottom"/>
          </w:tcPr>
          <w:p w14:paraId="340F3827" w14:textId="7ECE757A"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3" w:type="dxa"/>
            <w:tcBorders>
              <w:top w:val="single" w:sz="4" w:space="0" w:color="auto"/>
              <w:bottom w:val="single" w:sz="4" w:space="0" w:color="auto"/>
            </w:tcBorders>
            <w:vAlign w:val="bottom"/>
          </w:tcPr>
          <w:p w14:paraId="74C1958E" w14:textId="4C93F1E4"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noWrap/>
            <w:vAlign w:val="bottom"/>
            <w:hideMark/>
          </w:tcPr>
          <w:p w14:paraId="7BA0E51B" w14:textId="12A8E764"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r>
      <w:tr w:rsidR="00A10927" w:rsidRPr="002D1632" w14:paraId="1BF633E3" w14:textId="77777777" w:rsidTr="00A10927">
        <w:trPr>
          <w:trHeight w:val="295"/>
        </w:trPr>
        <w:tc>
          <w:tcPr>
            <w:tcW w:w="469" w:type="dxa"/>
            <w:tcBorders>
              <w:top w:val="nil"/>
              <w:left w:val="nil"/>
              <w:bottom w:val="nil"/>
              <w:right w:val="nil"/>
            </w:tcBorders>
            <w:shd w:val="clear" w:color="auto" w:fill="FFFFFF" w:themeFill="background1"/>
            <w:noWrap/>
            <w:vAlign w:val="bottom"/>
            <w:hideMark/>
          </w:tcPr>
          <w:p w14:paraId="29776147"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34" w:type="dxa"/>
            <w:tcBorders>
              <w:top w:val="nil"/>
              <w:left w:val="single" w:sz="4" w:space="0" w:color="auto"/>
              <w:bottom w:val="single" w:sz="4" w:space="0" w:color="auto"/>
              <w:right w:val="single" w:sz="4" w:space="0" w:color="auto"/>
            </w:tcBorders>
            <w:noWrap/>
            <w:vAlign w:val="center"/>
            <w:hideMark/>
          </w:tcPr>
          <w:p w14:paraId="63DBB696" w14:textId="08BD15A7" w:rsidR="00A10927" w:rsidRPr="002D1632" w:rsidRDefault="00A10927" w:rsidP="00A10927">
            <w:pPr>
              <w:tabs>
                <w:tab w:val="clear" w:pos="992"/>
                <w:tab w:val="clear" w:pos="1395"/>
                <w:tab w:val="clear" w:pos="1712"/>
              </w:tabs>
              <w:spacing w:after="0"/>
              <w:rPr>
                <w:rFonts w:eastAsia="Times New Roman" w:cs="Times New Roman"/>
                <w:color w:val="000000"/>
                <w:lang w:eastAsia="en-GB"/>
              </w:rPr>
            </w:pPr>
            <w:r w:rsidRPr="29BE58B4">
              <w:rPr>
                <w:rFonts w:eastAsia="Times New Roman" w:cs="Times New Roman"/>
                <w:color w:val="000000" w:themeColor="text1"/>
                <w:lang w:eastAsia="en-GB"/>
              </w:rPr>
              <w:t>Submit Summary Report Issue 1</w:t>
            </w:r>
          </w:p>
        </w:tc>
        <w:tc>
          <w:tcPr>
            <w:tcW w:w="469" w:type="dxa"/>
            <w:tcBorders>
              <w:top w:val="nil"/>
              <w:left w:val="nil"/>
              <w:bottom w:val="single" w:sz="4" w:space="0" w:color="auto"/>
              <w:right w:val="single" w:sz="4" w:space="0" w:color="auto"/>
            </w:tcBorders>
            <w:noWrap/>
            <w:vAlign w:val="bottom"/>
            <w:hideMark/>
          </w:tcPr>
          <w:p w14:paraId="7EF87181"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1C2759FA"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2CB385E4"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7E244CE6"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51A701EC"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0F01AA02"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4DE3B816"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341A0806"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3399FF"/>
            <w:noWrap/>
            <w:vAlign w:val="bottom"/>
            <w:hideMark/>
          </w:tcPr>
          <w:p w14:paraId="65B29476"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0EF65B3F"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1C173457"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413FA6C7"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nil"/>
              <w:bottom w:val="single" w:sz="4" w:space="0" w:color="auto"/>
              <w:right w:val="single" w:sz="4" w:space="0" w:color="auto"/>
            </w:tcBorders>
            <w:noWrap/>
            <w:vAlign w:val="bottom"/>
            <w:hideMark/>
          </w:tcPr>
          <w:p w14:paraId="41EDEA79"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vAlign w:val="bottom"/>
          </w:tcPr>
          <w:p w14:paraId="281E0C03" w14:textId="54DC08C3"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vAlign w:val="bottom"/>
          </w:tcPr>
          <w:p w14:paraId="3552A21F" w14:textId="1848F536"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3" w:type="dxa"/>
            <w:tcBorders>
              <w:top w:val="single" w:sz="4" w:space="0" w:color="auto"/>
              <w:bottom w:val="single" w:sz="4" w:space="0" w:color="auto"/>
            </w:tcBorders>
            <w:vAlign w:val="bottom"/>
          </w:tcPr>
          <w:p w14:paraId="1871AF0D" w14:textId="62B385D4"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noWrap/>
            <w:vAlign w:val="bottom"/>
            <w:hideMark/>
          </w:tcPr>
          <w:p w14:paraId="5F48F70D" w14:textId="37D2436E"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r>
      <w:tr w:rsidR="00A10927" w:rsidRPr="002D1632" w14:paraId="2AB7CCCA" w14:textId="77777777" w:rsidTr="00A10927">
        <w:trPr>
          <w:trHeight w:val="295"/>
        </w:trPr>
        <w:tc>
          <w:tcPr>
            <w:tcW w:w="469" w:type="dxa"/>
            <w:tcBorders>
              <w:top w:val="nil"/>
              <w:left w:val="nil"/>
              <w:bottom w:val="nil"/>
              <w:right w:val="nil"/>
            </w:tcBorders>
            <w:shd w:val="clear" w:color="auto" w:fill="FFFFFF" w:themeFill="background1"/>
            <w:noWrap/>
            <w:vAlign w:val="bottom"/>
            <w:hideMark/>
          </w:tcPr>
          <w:p w14:paraId="4F315E56"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34" w:type="dxa"/>
            <w:tcBorders>
              <w:top w:val="nil"/>
              <w:left w:val="single" w:sz="4" w:space="0" w:color="auto"/>
              <w:bottom w:val="single" w:sz="4" w:space="0" w:color="auto"/>
              <w:right w:val="single" w:sz="4" w:space="0" w:color="auto"/>
            </w:tcBorders>
            <w:noWrap/>
            <w:vAlign w:val="center"/>
            <w:hideMark/>
          </w:tcPr>
          <w:p w14:paraId="33FCDF09" w14:textId="58F458D2"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Submit Study Conditions</w:t>
            </w:r>
          </w:p>
        </w:tc>
        <w:tc>
          <w:tcPr>
            <w:tcW w:w="469" w:type="dxa"/>
            <w:tcBorders>
              <w:top w:val="nil"/>
              <w:left w:val="nil"/>
              <w:bottom w:val="single" w:sz="4" w:space="0" w:color="auto"/>
              <w:right w:val="single" w:sz="4" w:space="0" w:color="auto"/>
            </w:tcBorders>
            <w:noWrap/>
            <w:vAlign w:val="bottom"/>
            <w:hideMark/>
          </w:tcPr>
          <w:p w14:paraId="0705354A"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6DDA0344"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5FBC280F"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5059B811"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1CF73E3E"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541B90BC"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408C6FB0"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66A58249"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3399FF"/>
            <w:noWrap/>
            <w:vAlign w:val="bottom"/>
            <w:hideMark/>
          </w:tcPr>
          <w:p w14:paraId="76841211"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43B6176D"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3BAD972D"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0D8D6661"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nil"/>
              <w:bottom w:val="single" w:sz="4" w:space="0" w:color="auto"/>
              <w:right w:val="single" w:sz="4" w:space="0" w:color="auto"/>
            </w:tcBorders>
            <w:noWrap/>
            <w:vAlign w:val="bottom"/>
            <w:hideMark/>
          </w:tcPr>
          <w:p w14:paraId="049D403A"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vAlign w:val="bottom"/>
          </w:tcPr>
          <w:p w14:paraId="20C168C9" w14:textId="71A3458B"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vAlign w:val="bottom"/>
          </w:tcPr>
          <w:p w14:paraId="5468D6CD" w14:textId="1FAFCC60"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3" w:type="dxa"/>
            <w:tcBorders>
              <w:top w:val="single" w:sz="4" w:space="0" w:color="auto"/>
              <w:bottom w:val="single" w:sz="4" w:space="0" w:color="auto"/>
            </w:tcBorders>
            <w:vAlign w:val="bottom"/>
          </w:tcPr>
          <w:p w14:paraId="50A21A21" w14:textId="1C21F33B"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noWrap/>
            <w:vAlign w:val="bottom"/>
            <w:hideMark/>
          </w:tcPr>
          <w:p w14:paraId="1FB5B243" w14:textId="0B4E29B1"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r>
      <w:tr w:rsidR="00A10927" w:rsidRPr="002D1632" w14:paraId="5CE7966D" w14:textId="77777777" w:rsidTr="00A10927">
        <w:trPr>
          <w:trHeight w:val="295"/>
        </w:trPr>
        <w:tc>
          <w:tcPr>
            <w:tcW w:w="469" w:type="dxa"/>
            <w:tcBorders>
              <w:top w:val="nil"/>
              <w:left w:val="nil"/>
              <w:bottom w:val="nil"/>
              <w:right w:val="nil"/>
            </w:tcBorders>
            <w:shd w:val="clear" w:color="auto" w:fill="FFFFFF" w:themeFill="background1"/>
            <w:noWrap/>
            <w:vAlign w:val="bottom"/>
            <w:hideMark/>
          </w:tcPr>
          <w:p w14:paraId="68382770"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34" w:type="dxa"/>
            <w:tcBorders>
              <w:top w:val="nil"/>
              <w:left w:val="single" w:sz="4" w:space="0" w:color="auto"/>
              <w:bottom w:val="single" w:sz="4" w:space="0" w:color="auto"/>
              <w:right w:val="single" w:sz="4" w:space="0" w:color="auto"/>
            </w:tcBorders>
            <w:noWrap/>
            <w:vAlign w:val="center"/>
            <w:hideMark/>
          </w:tcPr>
          <w:p w14:paraId="4D4DED85"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Submit Acceptance Criteria</w:t>
            </w:r>
          </w:p>
        </w:tc>
        <w:tc>
          <w:tcPr>
            <w:tcW w:w="469" w:type="dxa"/>
            <w:tcBorders>
              <w:top w:val="nil"/>
              <w:left w:val="nil"/>
              <w:bottom w:val="single" w:sz="4" w:space="0" w:color="auto"/>
              <w:right w:val="single" w:sz="4" w:space="0" w:color="auto"/>
            </w:tcBorders>
            <w:noWrap/>
            <w:vAlign w:val="bottom"/>
            <w:hideMark/>
          </w:tcPr>
          <w:p w14:paraId="419DEE7E"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62D3362E"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5BD27DD1"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3531A57A"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4CA5F809"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16294C63"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496420A5"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21453A00"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3399FF"/>
            <w:noWrap/>
            <w:vAlign w:val="bottom"/>
            <w:hideMark/>
          </w:tcPr>
          <w:p w14:paraId="77CEE697"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577131D4"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2C917F56"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64CEE09B"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nil"/>
              <w:bottom w:val="single" w:sz="4" w:space="0" w:color="auto"/>
              <w:right w:val="single" w:sz="4" w:space="0" w:color="auto"/>
            </w:tcBorders>
            <w:noWrap/>
            <w:vAlign w:val="bottom"/>
            <w:hideMark/>
          </w:tcPr>
          <w:p w14:paraId="6F8B7665"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vAlign w:val="bottom"/>
          </w:tcPr>
          <w:p w14:paraId="3CA00E00" w14:textId="1E48564F"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vAlign w:val="bottom"/>
          </w:tcPr>
          <w:p w14:paraId="623AA0AF" w14:textId="5823E1A6"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3" w:type="dxa"/>
            <w:tcBorders>
              <w:top w:val="single" w:sz="4" w:space="0" w:color="auto"/>
              <w:bottom w:val="single" w:sz="4" w:space="0" w:color="auto"/>
            </w:tcBorders>
            <w:vAlign w:val="bottom"/>
          </w:tcPr>
          <w:p w14:paraId="7880373A" w14:textId="5D7CD069"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noWrap/>
            <w:vAlign w:val="bottom"/>
            <w:hideMark/>
          </w:tcPr>
          <w:p w14:paraId="5449E399" w14:textId="76ECE0FD"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r>
      <w:tr w:rsidR="00A10927" w:rsidRPr="002D1632" w14:paraId="0BB4794A" w14:textId="77777777" w:rsidTr="00A10927">
        <w:trPr>
          <w:trHeight w:val="295"/>
        </w:trPr>
        <w:tc>
          <w:tcPr>
            <w:tcW w:w="469" w:type="dxa"/>
            <w:tcBorders>
              <w:top w:val="nil"/>
              <w:left w:val="nil"/>
              <w:bottom w:val="nil"/>
              <w:right w:val="nil"/>
            </w:tcBorders>
            <w:shd w:val="clear" w:color="auto" w:fill="FFFFFF" w:themeFill="background1"/>
            <w:noWrap/>
            <w:vAlign w:val="bottom"/>
            <w:hideMark/>
          </w:tcPr>
          <w:p w14:paraId="3B82A8CB"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34" w:type="dxa"/>
            <w:tcBorders>
              <w:top w:val="nil"/>
              <w:left w:val="single" w:sz="4" w:space="0" w:color="auto"/>
              <w:bottom w:val="single" w:sz="4" w:space="0" w:color="auto"/>
              <w:right w:val="single" w:sz="4" w:space="0" w:color="auto"/>
            </w:tcBorders>
            <w:noWrap/>
            <w:vAlign w:val="center"/>
            <w:hideMark/>
          </w:tcPr>
          <w:p w14:paraId="1E923B61" w14:textId="3100671E"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xml:space="preserve">Submit </w:t>
            </w:r>
            <w:r>
              <w:rPr>
                <w:rFonts w:eastAsia="Times New Roman" w:cs="Times New Roman"/>
                <w:color w:val="000000"/>
                <w:szCs w:val="20"/>
                <w:lang w:eastAsia="en-GB"/>
              </w:rPr>
              <w:t>Modelling Data &amp; Assumptions</w:t>
            </w:r>
          </w:p>
        </w:tc>
        <w:tc>
          <w:tcPr>
            <w:tcW w:w="469" w:type="dxa"/>
            <w:tcBorders>
              <w:top w:val="nil"/>
              <w:left w:val="nil"/>
              <w:bottom w:val="single" w:sz="4" w:space="0" w:color="auto"/>
              <w:right w:val="single" w:sz="4" w:space="0" w:color="auto"/>
            </w:tcBorders>
            <w:noWrap/>
            <w:vAlign w:val="bottom"/>
            <w:hideMark/>
          </w:tcPr>
          <w:p w14:paraId="6AFCC497"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7E0EB236"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14D7CE69"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3616514F"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113A2243"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7E4120A7"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238EAF57"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33E95C12"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3399FF"/>
            <w:noWrap/>
            <w:vAlign w:val="bottom"/>
            <w:hideMark/>
          </w:tcPr>
          <w:p w14:paraId="1A7DF29C"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6CD11CDE"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2D4D5474"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0AADBDE3"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nil"/>
              <w:bottom w:val="single" w:sz="4" w:space="0" w:color="auto"/>
              <w:right w:val="single" w:sz="4" w:space="0" w:color="auto"/>
            </w:tcBorders>
            <w:noWrap/>
            <w:vAlign w:val="bottom"/>
            <w:hideMark/>
          </w:tcPr>
          <w:p w14:paraId="465A557A"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vAlign w:val="bottom"/>
          </w:tcPr>
          <w:p w14:paraId="27BE5B72" w14:textId="0CCBB0FB"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vAlign w:val="bottom"/>
          </w:tcPr>
          <w:p w14:paraId="15D8B391" w14:textId="7D513BA3"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3" w:type="dxa"/>
            <w:tcBorders>
              <w:top w:val="single" w:sz="4" w:space="0" w:color="auto"/>
              <w:bottom w:val="single" w:sz="4" w:space="0" w:color="auto"/>
            </w:tcBorders>
            <w:vAlign w:val="bottom"/>
          </w:tcPr>
          <w:p w14:paraId="144134A2" w14:textId="18542BE8"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noWrap/>
            <w:vAlign w:val="bottom"/>
            <w:hideMark/>
          </w:tcPr>
          <w:p w14:paraId="128E0303" w14:textId="0BA6ACD6"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r>
      <w:tr w:rsidR="00A10927" w:rsidRPr="002D1632" w14:paraId="130AF3E1" w14:textId="77777777" w:rsidTr="00D50BD4">
        <w:trPr>
          <w:trHeight w:val="295"/>
        </w:trPr>
        <w:tc>
          <w:tcPr>
            <w:tcW w:w="469" w:type="dxa"/>
            <w:tcBorders>
              <w:top w:val="nil"/>
              <w:left w:val="nil"/>
              <w:bottom w:val="nil"/>
              <w:right w:val="nil"/>
            </w:tcBorders>
            <w:shd w:val="clear" w:color="auto" w:fill="FFFFFF" w:themeFill="background1"/>
            <w:noWrap/>
            <w:vAlign w:val="bottom"/>
          </w:tcPr>
          <w:p w14:paraId="73F41482"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p>
        </w:tc>
        <w:tc>
          <w:tcPr>
            <w:tcW w:w="4634" w:type="dxa"/>
            <w:tcBorders>
              <w:top w:val="nil"/>
              <w:left w:val="single" w:sz="4" w:space="0" w:color="auto"/>
              <w:bottom w:val="single" w:sz="4" w:space="0" w:color="auto"/>
              <w:right w:val="single" w:sz="4" w:space="0" w:color="auto"/>
            </w:tcBorders>
            <w:noWrap/>
            <w:vAlign w:val="center"/>
          </w:tcPr>
          <w:p w14:paraId="75C3ACC5" w14:textId="6E2E86D6"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xml:space="preserve">Submit Software </w:t>
            </w:r>
            <w:r>
              <w:rPr>
                <w:rFonts w:eastAsia="Times New Roman" w:cs="Times New Roman"/>
                <w:color w:val="000000"/>
                <w:szCs w:val="20"/>
                <w:lang w:eastAsia="en-GB"/>
              </w:rPr>
              <w:t>Tool</w:t>
            </w:r>
            <w:r w:rsidRPr="002D1632">
              <w:rPr>
                <w:rFonts w:eastAsia="Times New Roman" w:cs="Times New Roman"/>
                <w:color w:val="000000"/>
                <w:szCs w:val="20"/>
                <w:lang w:eastAsia="en-GB"/>
              </w:rPr>
              <w:t xml:space="preserve"> Qualification Report</w:t>
            </w:r>
          </w:p>
        </w:tc>
        <w:tc>
          <w:tcPr>
            <w:tcW w:w="469" w:type="dxa"/>
            <w:tcBorders>
              <w:top w:val="nil"/>
              <w:left w:val="nil"/>
              <w:bottom w:val="single" w:sz="4" w:space="0" w:color="auto"/>
              <w:right w:val="single" w:sz="4" w:space="0" w:color="auto"/>
            </w:tcBorders>
            <w:noWrap/>
            <w:vAlign w:val="bottom"/>
          </w:tcPr>
          <w:p w14:paraId="6EC7F0FB"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p>
        </w:tc>
        <w:tc>
          <w:tcPr>
            <w:tcW w:w="469" w:type="dxa"/>
            <w:tcBorders>
              <w:top w:val="nil"/>
              <w:left w:val="nil"/>
              <w:bottom w:val="single" w:sz="4" w:space="0" w:color="auto"/>
              <w:right w:val="single" w:sz="4" w:space="0" w:color="auto"/>
            </w:tcBorders>
            <w:noWrap/>
            <w:vAlign w:val="bottom"/>
          </w:tcPr>
          <w:p w14:paraId="0774D149"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p>
        </w:tc>
        <w:tc>
          <w:tcPr>
            <w:tcW w:w="469" w:type="dxa"/>
            <w:tcBorders>
              <w:top w:val="nil"/>
              <w:left w:val="nil"/>
              <w:bottom w:val="single" w:sz="4" w:space="0" w:color="auto"/>
              <w:right w:val="single" w:sz="4" w:space="0" w:color="auto"/>
            </w:tcBorders>
            <w:noWrap/>
            <w:vAlign w:val="bottom"/>
          </w:tcPr>
          <w:p w14:paraId="278D99FD"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p>
        </w:tc>
        <w:tc>
          <w:tcPr>
            <w:tcW w:w="469" w:type="dxa"/>
            <w:tcBorders>
              <w:top w:val="nil"/>
              <w:left w:val="nil"/>
              <w:bottom w:val="single" w:sz="4" w:space="0" w:color="auto"/>
              <w:right w:val="single" w:sz="4" w:space="0" w:color="auto"/>
            </w:tcBorders>
            <w:noWrap/>
            <w:vAlign w:val="bottom"/>
          </w:tcPr>
          <w:p w14:paraId="7E5948C9"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p>
        </w:tc>
        <w:tc>
          <w:tcPr>
            <w:tcW w:w="469" w:type="dxa"/>
            <w:tcBorders>
              <w:top w:val="nil"/>
              <w:left w:val="nil"/>
              <w:bottom w:val="single" w:sz="4" w:space="0" w:color="auto"/>
              <w:right w:val="single" w:sz="4" w:space="0" w:color="auto"/>
            </w:tcBorders>
            <w:noWrap/>
            <w:vAlign w:val="bottom"/>
          </w:tcPr>
          <w:p w14:paraId="424A4AF8"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p>
        </w:tc>
        <w:tc>
          <w:tcPr>
            <w:tcW w:w="469" w:type="dxa"/>
            <w:tcBorders>
              <w:top w:val="nil"/>
              <w:left w:val="nil"/>
              <w:bottom w:val="single" w:sz="4" w:space="0" w:color="auto"/>
              <w:right w:val="single" w:sz="4" w:space="0" w:color="auto"/>
            </w:tcBorders>
            <w:noWrap/>
            <w:vAlign w:val="bottom"/>
          </w:tcPr>
          <w:p w14:paraId="372AE0FD"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p>
        </w:tc>
        <w:tc>
          <w:tcPr>
            <w:tcW w:w="469" w:type="dxa"/>
            <w:tcBorders>
              <w:top w:val="nil"/>
              <w:left w:val="nil"/>
              <w:bottom w:val="single" w:sz="4" w:space="0" w:color="auto"/>
              <w:right w:val="single" w:sz="4" w:space="0" w:color="auto"/>
            </w:tcBorders>
            <w:noWrap/>
            <w:vAlign w:val="bottom"/>
          </w:tcPr>
          <w:p w14:paraId="03061C09"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p>
        </w:tc>
        <w:tc>
          <w:tcPr>
            <w:tcW w:w="469" w:type="dxa"/>
            <w:tcBorders>
              <w:top w:val="nil"/>
              <w:left w:val="nil"/>
              <w:bottom w:val="single" w:sz="4" w:space="0" w:color="auto"/>
              <w:right w:val="single" w:sz="4" w:space="0" w:color="auto"/>
            </w:tcBorders>
            <w:noWrap/>
            <w:vAlign w:val="bottom"/>
          </w:tcPr>
          <w:p w14:paraId="1C6E3BBF"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p>
        </w:tc>
        <w:tc>
          <w:tcPr>
            <w:tcW w:w="469" w:type="dxa"/>
            <w:tcBorders>
              <w:top w:val="nil"/>
              <w:left w:val="nil"/>
              <w:bottom w:val="single" w:sz="4" w:space="0" w:color="auto"/>
              <w:right w:val="single" w:sz="4" w:space="0" w:color="auto"/>
            </w:tcBorders>
            <w:noWrap/>
            <w:vAlign w:val="bottom"/>
          </w:tcPr>
          <w:p w14:paraId="4BF6C3E3"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p>
        </w:tc>
        <w:tc>
          <w:tcPr>
            <w:tcW w:w="469" w:type="dxa"/>
            <w:tcBorders>
              <w:top w:val="nil"/>
              <w:left w:val="nil"/>
              <w:bottom w:val="single" w:sz="4" w:space="0" w:color="auto"/>
              <w:right w:val="single" w:sz="4" w:space="0" w:color="auto"/>
            </w:tcBorders>
            <w:noWrap/>
            <w:vAlign w:val="bottom"/>
          </w:tcPr>
          <w:p w14:paraId="54C5C078"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p>
        </w:tc>
        <w:tc>
          <w:tcPr>
            <w:tcW w:w="469" w:type="dxa"/>
            <w:tcBorders>
              <w:top w:val="nil"/>
              <w:left w:val="nil"/>
              <w:bottom w:val="single" w:sz="4" w:space="0" w:color="auto"/>
              <w:right w:val="single" w:sz="4" w:space="0" w:color="auto"/>
            </w:tcBorders>
            <w:noWrap/>
            <w:vAlign w:val="bottom"/>
          </w:tcPr>
          <w:p w14:paraId="41758FBD"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p>
        </w:tc>
        <w:tc>
          <w:tcPr>
            <w:tcW w:w="469" w:type="dxa"/>
            <w:tcBorders>
              <w:top w:val="nil"/>
              <w:left w:val="nil"/>
              <w:bottom w:val="single" w:sz="4" w:space="0" w:color="auto"/>
              <w:right w:val="single" w:sz="4" w:space="0" w:color="auto"/>
            </w:tcBorders>
            <w:noWrap/>
            <w:vAlign w:val="bottom"/>
          </w:tcPr>
          <w:p w14:paraId="56181ED3"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p>
        </w:tc>
        <w:tc>
          <w:tcPr>
            <w:tcW w:w="469" w:type="dxa"/>
            <w:tcBorders>
              <w:top w:val="single" w:sz="4" w:space="0" w:color="auto"/>
              <w:left w:val="nil"/>
              <w:bottom w:val="single" w:sz="4" w:space="0" w:color="auto"/>
              <w:right w:val="single" w:sz="4" w:space="0" w:color="auto"/>
            </w:tcBorders>
            <w:noWrap/>
            <w:vAlign w:val="bottom"/>
          </w:tcPr>
          <w:p w14:paraId="76636455"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p>
        </w:tc>
        <w:tc>
          <w:tcPr>
            <w:tcW w:w="469" w:type="dxa"/>
            <w:tcBorders>
              <w:top w:val="single" w:sz="4" w:space="0" w:color="auto"/>
              <w:left w:val="single" w:sz="4" w:space="0" w:color="auto"/>
              <w:bottom w:val="single" w:sz="4" w:space="0" w:color="auto"/>
              <w:right w:val="single" w:sz="4" w:space="0" w:color="auto"/>
            </w:tcBorders>
            <w:shd w:val="clear" w:color="auto" w:fill="3399FF"/>
            <w:vAlign w:val="bottom"/>
          </w:tcPr>
          <w:p w14:paraId="65C51B3C" w14:textId="28A7C42D"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vAlign w:val="bottom"/>
          </w:tcPr>
          <w:p w14:paraId="2816127D" w14:textId="471DAA65"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3" w:type="dxa"/>
            <w:tcBorders>
              <w:top w:val="single" w:sz="4" w:space="0" w:color="auto"/>
              <w:bottom w:val="single" w:sz="4" w:space="0" w:color="auto"/>
            </w:tcBorders>
            <w:vAlign w:val="bottom"/>
          </w:tcPr>
          <w:p w14:paraId="144ABF6E" w14:textId="70251C00"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noWrap/>
            <w:vAlign w:val="bottom"/>
          </w:tcPr>
          <w:p w14:paraId="5E0D0F5B" w14:textId="6D7A9FA0"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p>
        </w:tc>
      </w:tr>
      <w:tr w:rsidR="00A10927" w:rsidRPr="002D1632" w14:paraId="40DB3488" w14:textId="77777777" w:rsidTr="00A10927">
        <w:trPr>
          <w:trHeight w:val="295"/>
        </w:trPr>
        <w:tc>
          <w:tcPr>
            <w:tcW w:w="469" w:type="dxa"/>
            <w:tcBorders>
              <w:top w:val="nil"/>
              <w:left w:val="nil"/>
              <w:bottom w:val="nil"/>
              <w:right w:val="nil"/>
            </w:tcBorders>
            <w:shd w:val="clear" w:color="auto" w:fill="FFFFFF" w:themeFill="background1"/>
            <w:noWrap/>
            <w:vAlign w:val="bottom"/>
            <w:hideMark/>
          </w:tcPr>
          <w:p w14:paraId="259DB312"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34" w:type="dxa"/>
            <w:tcBorders>
              <w:top w:val="nil"/>
              <w:left w:val="single" w:sz="4" w:space="0" w:color="auto"/>
              <w:bottom w:val="single" w:sz="4" w:space="0" w:color="auto"/>
              <w:right w:val="single" w:sz="4" w:space="0" w:color="auto"/>
            </w:tcBorders>
            <w:noWrap/>
            <w:vAlign w:val="center"/>
            <w:hideMark/>
          </w:tcPr>
          <w:p w14:paraId="2DEB934E" w14:textId="7780B799"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Undertake Work focused on Actions A2 and A3</w:t>
            </w:r>
          </w:p>
        </w:tc>
        <w:tc>
          <w:tcPr>
            <w:tcW w:w="469" w:type="dxa"/>
            <w:tcBorders>
              <w:top w:val="nil"/>
              <w:left w:val="nil"/>
              <w:bottom w:val="single" w:sz="4" w:space="0" w:color="auto"/>
              <w:right w:val="single" w:sz="4" w:space="0" w:color="auto"/>
            </w:tcBorders>
            <w:noWrap/>
            <w:vAlign w:val="bottom"/>
            <w:hideMark/>
          </w:tcPr>
          <w:p w14:paraId="417EE20A"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3BB27725"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4891944B"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13F2D086"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65365EE6"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71E37C90"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3F2E8671"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76E866B4"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3399FF"/>
            <w:noWrap/>
            <w:vAlign w:val="bottom"/>
            <w:hideMark/>
          </w:tcPr>
          <w:p w14:paraId="4CB8F66F"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3399FF"/>
            <w:noWrap/>
            <w:vAlign w:val="bottom"/>
            <w:hideMark/>
          </w:tcPr>
          <w:p w14:paraId="6ED2E1A7"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3399FF"/>
            <w:noWrap/>
            <w:vAlign w:val="bottom"/>
            <w:hideMark/>
          </w:tcPr>
          <w:p w14:paraId="2B27C200"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3399FF"/>
            <w:noWrap/>
            <w:vAlign w:val="bottom"/>
            <w:hideMark/>
          </w:tcPr>
          <w:p w14:paraId="2F4A3711"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nil"/>
              <w:bottom w:val="single" w:sz="4" w:space="0" w:color="auto"/>
              <w:right w:val="single" w:sz="4" w:space="0" w:color="auto"/>
            </w:tcBorders>
            <w:shd w:val="clear" w:color="auto" w:fill="3399FF"/>
            <w:noWrap/>
            <w:vAlign w:val="bottom"/>
            <w:hideMark/>
          </w:tcPr>
          <w:p w14:paraId="4D2F6270"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shd w:val="clear" w:color="auto" w:fill="3399FF"/>
            <w:vAlign w:val="bottom"/>
          </w:tcPr>
          <w:p w14:paraId="5AABB7BC" w14:textId="6FE9BDDF"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vAlign w:val="bottom"/>
          </w:tcPr>
          <w:p w14:paraId="279CCC76" w14:textId="752612CA"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3" w:type="dxa"/>
            <w:tcBorders>
              <w:top w:val="single" w:sz="4" w:space="0" w:color="auto"/>
              <w:bottom w:val="single" w:sz="4" w:space="0" w:color="auto"/>
            </w:tcBorders>
            <w:vAlign w:val="bottom"/>
          </w:tcPr>
          <w:p w14:paraId="34E98AD0" w14:textId="5AB01918"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noWrap/>
            <w:vAlign w:val="bottom"/>
            <w:hideMark/>
          </w:tcPr>
          <w:p w14:paraId="2DE045AB" w14:textId="6667BDCF"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r>
      <w:tr w:rsidR="00A10927" w:rsidRPr="002D1632" w14:paraId="2091E1B0" w14:textId="77777777" w:rsidTr="00A10927">
        <w:trPr>
          <w:trHeight w:val="295"/>
        </w:trPr>
        <w:tc>
          <w:tcPr>
            <w:tcW w:w="469" w:type="dxa"/>
            <w:tcBorders>
              <w:top w:val="nil"/>
              <w:left w:val="nil"/>
              <w:bottom w:val="nil"/>
              <w:right w:val="nil"/>
            </w:tcBorders>
            <w:shd w:val="clear" w:color="auto" w:fill="FFFFFF" w:themeFill="background1"/>
            <w:noWrap/>
            <w:vAlign w:val="bottom"/>
            <w:hideMark/>
          </w:tcPr>
          <w:p w14:paraId="347B1AFA"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34" w:type="dxa"/>
            <w:tcBorders>
              <w:top w:val="nil"/>
              <w:left w:val="single" w:sz="4" w:space="0" w:color="auto"/>
              <w:bottom w:val="single" w:sz="4" w:space="0" w:color="auto"/>
              <w:right w:val="single" w:sz="4" w:space="0" w:color="auto"/>
            </w:tcBorders>
            <w:noWrap/>
            <w:vAlign w:val="center"/>
            <w:hideMark/>
          </w:tcPr>
          <w:p w14:paraId="71C6ACED"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Submit Summary Report Issue 2</w:t>
            </w:r>
          </w:p>
        </w:tc>
        <w:tc>
          <w:tcPr>
            <w:tcW w:w="469" w:type="dxa"/>
            <w:tcBorders>
              <w:top w:val="nil"/>
              <w:left w:val="nil"/>
              <w:bottom w:val="single" w:sz="4" w:space="0" w:color="auto"/>
              <w:right w:val="single" w:sz="4" w:space="0" w:color="auto"/>
            </w:tcBorders>
            <w:noWrap/>
            <w:vAlign w:val="bottom"/>
            <w:hideMark/>
          </w:tcPr>
          <w:p w14:paraId="6DE50492"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05ED3447"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77FB362C"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7B5A2087"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4B9EE6A2"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2A02BDFA"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463EF397"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7813C48A"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2967D66C"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0F99C37B"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18ECFBC9"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5684070A"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nil"/>
              <w:bottom w:val="single" w:sz="4" w:space="0" w:color="auto"/>
              <w:right w:val="single" w:sz="4" w:space="0" w:color="auto"/>
            </w:tcBorders>
            <w:noWrap/>
            <w:vAlign w:val="bottom"/>
            <w:hideMark/>
          </w:tcPr>
          <w:p w14:paraId="220EED3E"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shd w:val="clear" w:color="auto" w:fill="3399FF"/>
            <w:vAlign w:val="bottom"/>
          </w:tcPr>
          <w:p w14:paraId="0565C841" w14:textId="658ACEB2"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vAlign w:val="bottom"/>
          </w:tcPr>
          <w:p w14:paraId="0A8CF01E" w14:textId="19286F03"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3" w:type="dxa"/>
            <w:tcBorders>
              <w:top w:val="single" w:sz="4" w:space="0" w:color="auto"/>
              <w:bottom w:val="single" w:sz="4" w:space="0" w:color="auto"/>
            </w:tcBorders>
            <w:vAlign w:val="bottom"/>
          </w:tcPr>
          <w:p w14:paraId="343D4555" w14:textId="30BF998B"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noWrap/>
            <w:vAlign w:val="bottom"/>
            <w:hideMark/>
          </w:tcPr>
          <w:p w14:paraId="31B01880" w14:textId="634A4B72"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r>
      <w:tr w:rsidR="00A10927" w:rsidRPr="002D1632" w14:paraId="113A3AE7" w14:textId="77777777" w:rsidTr="00D50BD4">
        <w:trPr>
          <w:trHeight w:val="295"/>
        </w:trPr>
        <w:tc>
          <w:tcPr>
            <w:tcW w:w="469" w:type="dxa"/>
            <w:tcBorders>
              <w:top w:val="nil"/>
              <w:left w:val="nil"/>
              <w:bottom w:val="nil"/>
              <w:right w:val="nil"/>
            </w:tcBorders>
            <w:shd w:val="clear" w:color="auto" w:fill="FFFFFF" w:themeFill="background1"/>
            <w:noWrap/>
            <w:vAlign w:val="bottom"/>
            <w:hideMark/>
          </w:tcPr>
          <w:p w14:paraId="32742885"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34" w:type="dxa"/>
            <w:tcBorders>
              <w:top w:val="nil"/>
              <w:left w:val="single" w:sz="4" w:space="0" w:color="auto"/>
              <w:bottom w:val="single" w:sz="4" w:space="0" w:color="auto"/>
              <w:right w:val="single" w:sz="4" w:space="0" w:color="auto"/>
            </w:tcBorders>
            <w:noWrap/>
            <w:vAlign w:val="center"/>
            <w:hideMark/>
          </w:tcPr>
          <w:p w14:paraId="2D43540E"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Submit Study Reports</w:t>
            </w:r>
          </w:p>
        </w:tc>
        <w:tc>
          <w:tcPr>
            <w:tcW w:w="469" w:type="dxa"/>
            <w:tcBorders>
              <w:top w:val="nil"/>
              <w:left w:val="nil"/>
              <w:bottom w:val="single" w:sz="4" w:space="0" w:color="auto"/>
              <w:right w:val="single" w:sz="4" w:space="0" w:color="auto"/>
            </w:tcBorders>
            <w:noWrap/>
            <w:vAlign w:val="bottom"/>
            <w:hideMark/>
          </w:tcPr>
          <w:p w14:paraId="0AFC597B"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0E018699"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6B9556EC"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5B34968A"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0B802140"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4D88440E"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7FA7A293"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5D14EB45"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0692984D"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40E97A78"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580C25C9"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651261D7"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nil"/>
              <w:bottom w:val="single" w:sz="4" w:space="0" w:color="auto"/>
              <w:right w:val="single" w:sz="4" w:space="0" w:color="auto"/>
            </w:tcBorders>
            <w:noWrap/>
            <w:vAlign w:val="bottom"/>
            <w:hideMark/>
          </w:tcPr>
          <w:p w14:paraId="0D405C6F"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shd w:val="clear" w:color="auto" w:fill="3399FF"/>
            <w:vAlign w:val="bottom"/>
          </w:tcPr>
          <w:p w14:paraId="22B737C3" w14:textId="4D814D99"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vAlign w:val="bottom"/>
          </w:tcPr>
          <w:p w14:paraId="75B12302" w14:textId="748AC8BC"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3" w:type="dxa"/>
            <w:tcBorders>
              <w:top w:val="single" w:sz="4" w:space="0" w:color="auto"/>
              <w:bottom w:val="single" w:sz="4" w:space="0" w:color="auto"/>
            </w:tcBorders>
            <w:vAlign w:val="bottom"/>
          </w:tcPr>
          <w:p w14:paraId="5E06566A" w14:textId="41722B95"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noWrap/>
            <w:vAlign w:val="bottom"/>
            <w:hideMark/>
          </w:tcPr>
          <w:p w14:paraId="7926D44E" w14:textId="4AE56952"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r>
      <w:tr w:rsidR="00A10927" w:rsidRPr="002D1632" w14:paraId="739D06B4" w14:textId="77777777" w:rsidTr="00A10927">
        <w:trPr>
          <w:trHeight w:val="295"/>
        </w:trPr>
        <w:tc>
          <w:tcPr>
            <w:tcW w:w="469" w:type="dxa"/>
            <w:tcBorders>
              <w:top w:val="nil"/>
              <w:left w:val="nil"/>
              <w:bottom w:val="nil"/>
              <w:right w:val="nil"/>
            </w:tcBorders>
            <w:shd w:val="clear" w:color="auto" w:fill="FFFFFF" w:themeFill="background1"/>
            <w:noWrap/>
            <w:vAlign w:val="bottom"/>
            <w:hideMark/>
          </w:tcPr>
          <w:p w14:paraId="763F3E2B"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34" w:type="dxa"/>
            <w:tcBorders>
              <w:top w:val="nil"/>
              <w:left w:val="single" w:sz="4" w:space="0" w:color="auto"/>
              <w:bottom w:val="single" w:sz="4" w:space="0" w:color="auto"/>
              <w:right w:val="single" w:sz="4" w:space="0" w:color="auto"/>
            </w:tcBorders>
            <w:noWrap/>
            <w:vAlign w:val="center"/>
            <w:hideMark/>
          </w:tcPr>
          <w:p w14:paraId="7340F1AD"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Regulatory Assessment of Submissions</w:t>
            </w:r>
          </w:p>
        </w:tc>
        <w:tc>
          <w:tcPr>
            <w:tcW w:w="469" w:type="dxa"/>
            <w:tcBorders>
              <w:top w:val="nil"/>
              <w:left w:val="nil"/>
              <w:bottom w:val="single" w:sz="4" w:space="0" w:color="auto"/>
              <w:right w:val="single" w:sz="4" w:space="0" w:color="auto"/>
            </w:tcBorders>
            <w:noWrap/>
            <w:vAlign w:val="bottom"/>
            <w:hideMark/>
          </w:tcPr>
          <w:p w14:paraId="1D847602"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7DAFDD73"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5ECF83DB"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5A0244CB"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24161097"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7D873975"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47B43E15"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68BE79C7"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3399FF"/>
            <w:noWrap/>
            <w:vAlign w:val="bottom"/>
            <w:hideMark/>
          </w:tcPr>
          <w:p w14:paraId="6E52B270"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3399FF"/>
            <w:noWrap/>
            <w:vAlign w:val="bottom"/>
            <w:hideMark/>
          </w:tcPr>
          <w:p w14:paraId="75946925"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3399FF"/>
            <w:noWrap/>
            <w:vAlign w:val="bottom"/>
            <w:hideMark/>
          </w:tcPr>
          <w:p w14:paraId="5992B763"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shd w:val="clear" w:color="auto" w:fill="3399FF"/>
            <w:noWrap/>
            <w:vAlign w:val="bottom"/>
            <w:hideMark/>
          </w:tcPr>
          <w:p w14:paraId="6C92300C"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nil"/>
              <w:bottom w:val="single" w:sz="4" w:space="0" w:color="auto"/>
              <w:right w:val="single" w:sz="4" w:space="0" w:color="auto"/>
            </w:tcBorders>
            <w:shd w:val="clear" w:color="auto" w:fill="3399FF"/>
            <w:noWrap/>
            <w:vAlign w:val="bottom"/>
            <w:hideMark/>
          </w:tcPr>
          <w:p w14:paraId="3F4A2975"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shd w:val="clear" w:color="auto" w:fill="3399FF"/>
            <w:vAlign w:val="bottom"/>
          </w:tcPr>
          <w:p w14:paraId="5FC834D2" w14:textId="3946F83D"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shd w:val="clear" w:color="auto" w:fill="3399FF"/>
            <w:vAlign w:val="bottom"/>
          </w:tcPr>
          <w:p w14:paraId="55BBE043" w14:textId="72AE1519"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3" w:type="dxa"/>
            <w:tcBorders>
              <w:top w:val="single" w:sz="4" w:space="0" w:color="auto"/>
              <w:bottom w:val="single" w:sz="4" w:space="0" w:color="auto"/>
            </w:tcBorders>
            <w:shd w:val="clear" w:color="auto" w:fill="3399FF"/>
            <w:vAlign w:val="bottom"/>
          </w:tcPr>
          <w:p w14:paraId="2AE92D09" w14:textId="53FED4E9"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shd w:val="clear" w:color="auto" w:fill="3399FF"/>
            <w:noWrap/>
            <w:vAlign w:val="bottom"/>
            <w:hideMark/>
          </w:tcPr>
          <w:p w14:paraId="1B2532F7" w14:textId="5C97140D"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r>
      <w:tr w:rsidR="00CE3E04" w:rsidRPr="002D1632" w14:paraId="5F0683AF" w14:textId="77777777" w:rsidTr="00685B5F">
        <w:trPr>
          <w:trHeight w:val="295"/>
        </w:trPr>
        <w:tc>
          <w:tcPr>
            <w:tcW w:w="469" w:type="dxa"/>
            <w:tcBorders>
              <w:top w:val="nil"/>
              <w:left w:val="nil"/>
              <w:bottom w:val="nil"/>
              <w:right w:val="nil"/>
            </w:tcBorders>
            <w:shd w:val="clear" w:color="auto" w:fill="FFFFFF" w:themeFill="background1"/>
            <w:noWrap/>
            <w:vAlign w:val="bottom"/>
            <w:hideMark/>
          </w:tcPr>
          <w:p w14:paraId="6A17293D"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34" w:type="dxa"/>
            <w:tcBorders>
              <w:top w:val="nil"/>
              <w:left w:val="single" w:sz="4" w:space="0" w:color="auto"/>
              <w:bottom w:val="single" w:sz="4" w:space="0" w:color="auto"/>
              <w:right w:val="single" w:sz="4" w:space="0" w:color="auto"/>
            </w:tcBorders>
            <w:noWrap/>
            <w:vAlign w:val="center"/>
            <w:hideMark/>
          </w:tcPr>
          <w:p w14:paraId="15960120"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Closure of RO</w:t>
            </w:r>
          </w:p>
        </w:tc>
        <w:tc>
          <w:tcPr>
            <w:tcW w:w="469" w:type="dxa"/>
            <w:tcBorders>
              <w:top w:val="nil"/>
              <w:left w:val="nil"/>
              <w:bottom w:val="single" w:sz="4" w:space="0" w:color="auto"/>
              <w:right w:val="single" w:sz="4" w:space="0" w:color="auto"/>
            </w:tcBorders>
            <w:noWrap/>
            <w:vAlign w:val="bottom"/>
            <w:hideMark/>
          </w:tcPr>
          <w:p w14:paraId="36B5D4AF"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78AD0FEB"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22489C1D"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5699D42F"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666DEC22"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2208C51F"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457EF7E6"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32F910E4"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1809C89B"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4A61AA9D"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1FDB2DBE"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single" w:sz="4" w:space="0" w:color="auto"/>
              <w:right w:val="single" w:sz="4" w:space="0" w:color="auto"/>
            </w:tcBorders>
            <w:noWrap/>
            <w:vAlign w:val="bottom"/>
            <w:hideMark/>
          </w:tcPr>
          <w:p w14:paraId="36768A4C"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nil"/>
              <w:bottom w:val="single" w:sz="4" w:space="0" w:color="auto"/>
              <w:right w:val="single" w:sz="4" w:space="0" w:color="auto"/>
            </w:tcBorders>
            <w:noWrap/>
            <w:vAlign w:val="bottom"/>
            <w:hideMark/>
          </w:tcPr>
          <w:p w14:paraId="7CA448E4"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vAlign w:val="bottom"/>
          </w:tcPr>
          <w:p w14:paraId="1A2A5322" w14:textId="3F3B752F"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shd w:val="clear" w:color="auto" w:fill="3399FF"/>
            <w:vAlign w:val="bottom"/>
          </w:tcPr>
          <w:p w14:paraId="0473E6A9" w14:textId="670B6875"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3" w:type="dxa"/>
            <w:tcBorders>
              <w:top w:val="single" w:sz="4" w:space="0" w:color="auto"/>
              <w:bottom w:val="single" w:sz="4" w:space="0" w:color="auto"/>
            </w:tcBorders>
            <w:shd w:val="clear" w:color="auto" w:fill="3399FF"/>
            <w:vAlign w:val="bottom"/>
          </w:tcPr>
          <w:p w14:paraId="1F04747B" w14:textId="723ACA0E"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single" w:sz="4" w:space="0" w:color="auto"/>
              <w:bottom w:val="single" w:sz="4" w:space="0" w:color="auto"/>
              <w:right w:val="single" w:sz="4" w:space="0" w:color="auto"/>
            </w:tcBorders>
            <w:shd w:val="clear" w:color="auto" w:fill="3399FF"/>
            <w:noWrap/>
            <w:vAlign w:val="bottom"/>
            <w:hideMark/>
          </w:tcPr>
          <w:p w14:paraId="458D5760" w14:textId="0DA21B78"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r>
      <w:tr w:rsidR="00A10927" w:rsidRPr="002D1632" w14:paraId="6EF8E470" w14:textId="77777777" w:rsidTr="00A10927">
        <w:trPr>
          <w:trHeight w:val="211"/>
        </w:trPr>
        <w:tc>
          <w:tcPr>
            <w:tcW w:w="469" w:type="dxa"/>
            <w:tcBorders>
              <w:top w:val="nil"/>
              <w:left w:val="nil"/>
              <w:bottom w:val="nil"/>
              <w:right w:val="nil"/>
            </w:tcBorders>
            <w:shd w:val="clear" w:color="auto" w:fill="FFFFFF" w:themeFill="background1"/>
            <w:noWrap/>
            <w:vAlign w:val="bottom"/>
            <w:hideMark/>
          </w:tcPr>
          <w:p w14:paraId="17F6B069"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34" w:type="dxa"/>
            <w:tcBorders>
              <w:top w:val="nil"/>
              <w:left w:val="nil"/>
              <w:bottom w:val="nil"/>
              <w:right w:val="nil"/>
            </w:tcBorders>
            <w:shd w:val="clear" w:color="auto" w:fill="FFFFFF" w:themeFill="background1"/>
            <w:noWrap/>
            <w:vAlign w:val="bottom"/>
            <w:hideMark/>
          </w:tcPr>
          <w:p w14:paraId="6DDA6BD5"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nil"/>
              <w:right w:val="nil"/>
            </w:tcBorders>
            <w:shd w:val="clear" w:color="auto" w:fill="FFFFFF" w:themeFill="background1"/>
            <w:noWrap/>
            <w:vAlign w:val="bottom"/>
            <w:hideMark/>
          </w:tcPr>
          <w:p w14:paraId="6F67B35A"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nil"/>
              <w:right w:val="nil"/>
            </w:tcBorders>
            <w:shd w:val="clear" w:color="auto" w:fill="FFFFFF" w:themeFill="background1"/>
            <w:noWrap/>
            <w:vAlign w:val="bottom"/>
            <w:hideMark/>
          </w:tcPr>
          <w:p w14:paraId="78586FF7"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nil"/>
              <w:right w:val="nil"/>
            </w:tcBorders>
            <w:shd w:val="clear" w:color="auto" w:fill="FFFFFF" w:themeFill="background1"/>
            <w:noWrap/>
            <w:vAlign w:val="bottom"/>
            <w:hideMark/>
          </w:tcPr>
          <w:p w14:paraId="73CC42B3"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nil"/>
              <w:right w:val="nil"/>
            </w:tcBorders>
            <w:shd w:val="clear" w:color="auto" w:fill="FFFFFF" w:themeFill="background1"/>
            <w:noWrap/>
            <w:vAlign w:val="bottom"/>
            <w:hideMark/>
          </w:tcPr>
          <w:p w14:paraId="7E27C37C"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nil"/>
              <w:right w:val="nil"/>
            </w:tcBorders>
            <w:shd w:val="clear" w:color="auto" w:fill="FFFFFF" w:themeFill="background1"/>
            <w:noWrap/>
            <w:vAlign w:val="bottom"/>
            <w:hideMark/>
          </w:tcPr>
          <w:p w14:paraId="568372FE"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nil"/>
              <w:right w:val="nil"/>
            </w:tcBorders>
            <w:shd w:val="clear" w:color="auto" w:fill="FFFFFF" w:themeFill="background1"/>
            <w:noWrap/>
            <w:vAlign w:val="bottom"/>
            <w:hideMark/>
          </w:tcPr>
          <w:p w14:paraId="0BDF595C"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nil"/>
              <w:right w:val="nil"/>
            </w:tcBorders>
            <w:shd w:val="clear" w:color="auto" w:fill="FFFFFF" w:themeFill="background1"/>
            <w:noWrap/>
            <w:vAlign w:val="bottom"/>
            <w:hideMark/>
          </w:tcPr>
          <w:p w14:paraId="1273E528"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nil"/>
              <w:right w:val="nil"/>
            </w:tcBorders>
            <w:shd w:val="clear" w:color="auto" w:fill="FFFFFF" w:themeFill="background1"/>
            <w:noWrap/>
            <w:vAlign w:val="bottom"/>
            <w:hideMark/>
          </w:tcPr>
          <w:p w14:paraId="032AF4FE"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nil"/>
              <w:right w:val="nil"/>
            </w:tcBorders>
            <w:shd w:val="clear" w:color="auto" w:fill="FFFFFF" w:themeFill="background1"/>
            <w:noWrap/>
            <w:vAlign w:val="bottom"/>
            <w:hideMark/>
          </w:tcPr>
          <w:p w14:paraId="2205765D"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nil"/>
              <w:right w:val="nil"/>
            </w:tcBorders>
            <w:shd w:val="clear" w:color="auto" w:fill="FFFFFF" w:themeFill="background1"/>
            <w:noWrap/>
            <w:vAlign w:val="bottom"/>
            <w:hideMark/>
          </w:tcPr>
          <w:p w14:paraId="469A8935"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nil"/>
              <w:right w:val="nil"/>
            </w:tcBorders>
            <w:shd w:val="clear" w:color="auto" w:fill="FFFFFF" w:themeFill="background1"/>
            <w:noWrap/>
            <w:vAlign w:val="bottom"/>
            <w:hideMark/>
          </w:tcPr>
          <w:p w14:paraId="318E824F"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nil"/>
              <w:left w:val="nil"/>
              <w:bottom w:val="nil"/>
              <w:right w:val="nil"/>
            </w:tcBorders>
            <w:shd w:val="clear" w:color="auto" w:fill="FFFFFF" w:themeFill="background1"/>
            <w:noWrap/>
            <w:vAlign w:val="bottom"/>
            <w:hideMark/>
          </w:tcPr>
          <w:p w14:paraId="4329D230"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left w:val="nil"/>
              <w:bottom w:val="nil"/>
              <w:right w:val="nil"/>
            </w:tcBorders>
            <w:shd w:val="clear" w:color="auto" w:fill="FFFFFF" w:themeFill="background1"/>
            <w:noWrap/>
            <w:vAlign w:val="bottom"/>
            <w:hideMark/>
          </w:tcPr>
          <w:p w14:paraId="36714BD6"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tcBorders>
            <w:vAlign w:val="bottom"/>
          </w:tcPr>
          <w:p w14:paraId="2BCBF482" w14:textId="5EA0ADB1"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9" w:type="dxa"/>
            <w:tcBorders>
              <w:top w:val="single" w:sz="4" w:space="0" w:color="auto"/>
            </w:tcBorders>
            <w:vAlign w:val="bottom"/>
          </w:tcPr>
          <w:p w14:paraId="54317D77" w14:textId="5534595C"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c>
          <w:tcPr>
            <w:tcW w:w="463" w:type="dxa"/>
            <w:tcBorders>
              <w:top w:val="single" w:sz="4" w:space="0" w:color="auto"/>
            </w:tcBorders>
          </w:tcPr>
          <w:p w14:paraId="6C8CCA29" w14:textId="77777777"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p>
        </w:tc>
        <w:tc>
          <w:tcPr>
            <w:tcW w:w="469" w:type="dxa"/>
            <w:tcBorders>
              <w:top w:val="single" w:sz="4" w:space="0" w:color="auto"/>
              <w:left w:val="nil"/>
              <w:bottom w:val="nil"/>
              <w:right w:val="nil"/>
            </w:tcBorders>
            <w:shd w:val="clear" w:color="auto" w:fill="FFFFFF" w:themeFill="background1"/>
            <w:noWrap/>
            <w:vAlign w:val="bottom"/>
            <w:hideMark/>
          </w:tcPr>
          <w:p w14:paraId="337726C3" w14:textId="0E6FA800" w:rsidR="00A10927" w:rsidRPr="002D1632" w:rsidRDefault="00A10927" w:rsidP="00A10927">
            <w:pPr>
              <w:tabs>
                <w:tab w:val="clear" w:pos="992"/>
                <w:tab w:val="clear" w:pos="1395"/>
                <w:tab w:val="clear" w:pos="1712"/>
              </w:tabs>
              <w:spacing w:after="0"/>
              <w:rPr>
                <w:rFonts w:eastAsia="Times New Roman" w:cs="Times New Roman"/>
                <w:color w:val="000000"/>
                <w:szCs w:val="20"/>
                <w:lang w:eastAsia="en-GB"/>
              </w:rPr>
            </w:pPr>
            <w:r w:rsidRPr="002D1632">
              <w:rPr>
                <w:rFonts w:eastAsia="Times New Roman" w:cs="Times New Roman"/>
                <w:color w:val="000000"/>
                <w:szCs w:val="20"/>
                <w:lang w:eastAsia="en-GB"/>
              </w:rPr>
              <w:t> </w:t>
            </w:r>
          </w:p>
        </w:tc>
      </w:tr>
    </w:tbl>
    <w:p w14:paraId="14FE23D6" w14:textId="77777777" w:rsidR="002D1632" w:rsidRPr="002D1632" w:rsidRDefault="002D1632" w:rsidP="002D1632">
      <w:pPr>
        <w:pStyle w:val="Heading3"/>
      </w:pPr>
    </w:p>
    <w:p w14:paraId="24B42A3E" w14:textId="37677639" w:rsidR="00EE6E32" w:rsidRDefault="00EE6E32" w:rsidP="005F6651">
      <w:pPr>
        <w:pStyle w:val="Heading2"/>
        <w:rPr>
          <w:rFonts w:ascii="RR Pioneer" w:hAnsi="RR Pioneer"/>
        </w:rPr>
        <w:sectPr w:rsidR="00EE6E32" w:rsidSect="00EE6E32">
          <w:pgSz w:w="16838" w:h="11906" w:orient="landscape"/>
          <w:pgMar w:top="1440" w:right="2323" w:bottom="1440" w:left="1440" w:header="113" w:footer="113" w:gutter="0"/>
          <w:cols w:space="708"/>
          <w:docGrid w:linePitch="360"/>
        </w:sectPr>
      </w:pPr>
    </w:p>
    <w:p w14:paraId="72E10203" w14:textId="7BA75FA7" w:rsidR="005F6651" w:rsidRPr="00C75D8E" w:rsidRDefault="005F6651" w:rsidP="005F6651">
      <w:pPr>
        <w:pStyle w:val="Heading2"/>
        <w:rPr>
          <w:rFonts w:ascii="RR Pioneer" w:hAnsi="RR Pioneer"/>
        </w:rPr>
      </w:pPr>
      <w:r w:rsidRPr="00C75D8E">
        <w:rPr>
          <w:rFonts w:ascii="RR Pioneer" w:hAnsi="RR Pioneer"/>
        </w:rPr>
        <w:lastRenderedPageBreak/>
        <w:t>Impacted Submissions</w:t>
      </w:r>
    </w:p>
    <w:p w14:paraId="58019592" w14:textId="124CB93D" w:rsidR="002E3B5E" w:rsidRDefault="00935C46" w:rsidP="00097A11">
      <w:pPr>
        <w:pStyle w:val="Caption"/>
        <w:keepNext/>
      </w:pPr>
      <w:bookmarkStart w:id="2" w:name="_Ref207610401"/>
      <w:r>
        <w:t xml:space="preserve">Table </w:t>
      </w:r>
      <w:r w:rsidR="001E2FCA">
        <w:fldChar w:fldCharType="begin"/>
      </w:r>
      <w:r w:rsidR="001E2FCA">
        <w:instrText xml:space="preserve"> SEQ Table \* ARABIC </w:instrText>
      </w:r>
      <w:r w:rsidR="001E2FCA">
        <w:fldChar w:fldCharType="separate"/>
      </w:r>
      <w:r w:rsidR="001E2FCA">
        <w:rPr>
          <w:noProof/>
        </w:rPr>
        <w:t>4</w:t>
      </w:r>
      <w:r w:rsidR="001E2FCA">
        <w:rPr>
          <w:noProof/>
        </w:rPr>
        <w:fldChar w:fldCharType="end"/>
      </w:r>
      <w:bookmarkEnd w:id="2"/>
      <w:r w:rsidR="00097A11">
        <w:t>: Impacted Submissions</w:t>
      </w:r>
    </w:p>
    <w:tbl>
      <w:tblPr>
        <w:tblStyle w:val="TableGrid"/>
        <w:tblW w:w="0" w:type="auto"/>
        <w:tblLook w:val="04A0" w:firstRow="1" w:lastRow="0" w:firstColumn="1" w:lastColumn="0" w:noHBand="0" w:noVBand="1"/>
      </w:tblPr>
      <w:tblGrid>
        <w:gridCol w:w="4508"/>
        <w:gridCol w:w="4508"/>
      </w:tblGrid>
      <w:tr w:rsidR="0027070E" w14:paraId="1E88097A" w14:textId="77777777">
        <w:tc>
          <w:tcPr>
            <w:tcW w:w="4508" w:type="dxa"/>
          </w:tcPr>
          <w:p w14:paraId="054A28F7" w14:textId="1595D20E" w:rsidR="0027070E" w:rsidRPr="0011309D" w:rsidRDefault="0011309D" w:rsidP="002E3B5E">
            <w:pPr>
              <w:rPr>
                <w:b/>
                <w:bCs/>
              </w:rPr>
            </w:pPr>
            <w:r w:rsidRPr="0011309D">
              <w:rPr>
                <w:b/>
                <w:bCs/>
              </w:rPr>
              <w:t>Existing Submission</w:t>
            </w:r>
          </w:p>
        </w:tc>
        <w:tc>
          <w:tcPr>
            <w:tcW w:w="4508" w:type="dxa"/>
          </w:tcPr>
          <w:p w14:paraId="09124FB2" w14:textId="6F43988C" w:rsidR="0027070E" w:rsidRPr="0011309D" w:rsidRDefault="0011309D" w:rsidP="002E3B5E">
            <w:pPr>
              <w:rPr>
                <w:b/>
                <w:bCs/>
              </w:rPr>
            </w:pPr>
            <w:r w:rsidRPr="0011309D">
              <w:rPr>
                <w:b/>
                <w:bCs/>
              </w:rPr>
              <w:t>Impact</w:t>
            </w:r>
          </w:p>
        </w:tc>
      </w:tr>
      <w:tr w:rsidR="0027070E" w14:paraId="0B015126" w14:textId="77777777" w:rsidTr="00CB7442">
        <w:tc>
          <w:tcPr>
            <w:tcW w:w="4508" w:type="dxa"/>
          </w:tcPr>
          <w:p w14:paraId="63E04E6E" w14:textId="7C097CA2" w:rsidR="0027070E" w:rsidRDefault="00810DDE" w:rsidP="00CB7442">
            <w:r w:rsidRPr="00810DDE">
              <w:t>E</w:t>
            </w:r>
            <w:r w:rsidR="00230EFB">
              <w:t>nvironment, Safety, Security and Safeguards</w:t>
            </w:r>
            <w:r w:rsidRPr="00810DDE">
              <w:t xml:space="preserve"> Case</w:t>
            </w:r>
            <w:r w:rsidR="00230EFB">
              <w:t xml:space="preserve"> Version 3, Tier 1, Chapter 8: Electrical Power</w:t>
            </w:r>
            <w:r w:rsidR="0041692E">
              <w:t>, SMR0004010 Revision 4</w:t>
            </w:r>
            <w:r w:rsidR="00230EFB">
              <w:t>, August 2025</w:t>
            </w:r>
          </w:p>
        </w:tc>
        <w:tc>
          <w:tcPr>
            <w:tcW w:w="4508" w:type="dxa"/>
          </w:tcPr>
          <w:p w14:paraId="2F2DCC3F" w14:textId="1D309E8E" w:rsidR="0027070E" w:rsidRDefault="00271287" w:rsidP="002E3B5E">
            <w:r>
              <w:t>Version 4 will reference additional documents produced as part of the RO Resolution Plan</w:t>
            </w:r>
            <w:r w:rsidR="00096687">
              <w:t>.</w:t>
            </w:r>
          </w:p>
        </w:tc>
      </w:tr>
      <w:tr w:rsidR="0027070E" w14:paraId="52E952D6" w14:textId="77777777">
        <w:tc>
          <w:tcPr>
            <w:tcW w:w="4508" w:type="dxa"/>
          </w:tcPr>
          <w:p w14:paraId="4C92E47D" w14:textId="70510D78" w:rsidR="0027070E" w:rsidRDefault="2865B3E4" w:rsidP="002E3B5E">
            <w:r>
              <w:t>Electrical Power System Studies Methodology Report, SMR0015613 Issue 1, October 2024</w:t>
            </w:r>
          </w:p>
        </w:tc>
        <w:tc>
          <w:tcPr>
            <w:tcW w:w="4508" w:type="dxa"/>
          </w:tcPr>
          <w:p w14:paraId="3A546667" w14:textId="6337215C" w:rsidR="0027070E" w:rsidRDefault="2865B3E4" w:rsidP="002E3B5E">
            <w:r>
              <w:t>Document will be superseded by documentation provided as part of this resolution plan.</w:t>
            </w:r>
          </w:p>
        </w:tc>
      </w:tr>
      <w:tr w:rsidR="0027070E" w14:paraId="01B703EE" w14:textId="77777777">
        <w:tc>
          <w:tcPr>
            <w:tcW w:w="4508" w:type="dxa"/>
          </w:tcPr>
          <w:p w14:paraId="5C1BB847" w14:textId="08C4DE53" w:rsidR="0027070E" w:rsidRDefault="528115A5" w:rsidP="002E3B5E">
            <w:r>
              <w:t>Electrical Power System Studies – Input Data Schedule</w:t>
            </w:r>
            <w:r w:rsidR="00607691">
              <w:t xml:space="preserve"> Workbook</w:t>
            </w:r>
            <w:r>
              <w:t>, SMR0021030 Issue 1, March 2025</w:t>
            </w:r>
          </w:p>
        </w:tc>
        <w:tc>
          <w:tcPr>
            <w:tcW w:w="4508" w:type="dxa"/>
          </w:tcPr>
          <w:p w14:paraId="2E796225" w14:textId="73DDDA71" w:rsidR="0027070E" w:rsidRDefault="528115A5" w:rsidP="002E3B5E">
            <w:r>
              <w:t>Document will be superseded by documentation provided as part of this resolution plan.</w:t>
            </w:r>
          </w:p>
        </w:tc>
      </w:tr>
      <w:tr w:rsidR="0027070E" w14:paraId="6B03FB94" w14:textId="77777777">
        <w:tc>
          <w:tcPr>
            <w:tcW w:w="4508" w:type="dxa"/>
          </w:tcPr>
          <w:p w14:paraId="651E76CF" w14:textId="523CE40C" w:rsidR="0027070E" w:rsidRDefault="528115A5" w:rsidP="002E3B5E">
            <w:r>
              <w:t>Electrical Power System Studies – Bounding Scenarios and Acceptance Criteria, SMR0021038 Issue 1, April 2025</w:t>
            </w:r>
          </w:p>
        </w:tc>
        <w:tc>
          <w:tcPr>
            <w:tcW w:w="4508" w:type="dxa"/>
          </w:tcPr>
          <w:p w14:paraId="5CC0C9A1" w14:textId="7F4DECA6" w:rsidR="0027070E" w:rsidRDefault="528115A5" w:rsidP="002E3B5E">
            <w:r>
              <w:t>Document will be superseded by documentation provided as part of this resolution plan.</w:t>
            </w:r>
          </w:p>
        </w:tc>
      </w:tr>
      <w:tr w:rsidR="4497A3A2" w14:paraId="36E79DA5" w14:textId="77777777" w:rsidTr="4497A3A2">
        <w:trPr>
          <w:trHeight w:val="300"/>
        </w:trPr>
        <w:tc>
          <w:tcPr>
            <w:tcW w:w="4508" w:type="dxa"/>
          </w:tcPr>
          <w:p w14:paraId="3B6EB04C" w14:textId="1740A0B2" w:rsidR="4497A3A2" w:rsidRDefault="528115A5" w:rsidP="4497A3A2">
            <w:r>
              <w:t>Electrical Power System Studies – Short Circuit</w:t>
            </w:r>
            <w:r w:rsidR="00607691">
              <w:t xml:space="preserve"> Analysis Study Report</w:t>
            </w:r>
            <w:r>
              <w:t>, SMR0022256 Issue 1, April 2025</w:t>
            </w:r>
          </w:p>
        </w:tc>
        <w:tc>
          <w:tcPr>
            <w:tcW w:w="4508" w:type="dxa"/>
          </w:tcPr>
          <w:p w14:paraId="3C69CA6C" w14:textId="2064E93B" w:rsidR="4497A3A2" w:rsidRDefault="528115A5" w:rsidP="4497A3A2">
            <w:r>
              <w:t>Document will be superseded by documentation provided as part of this resolution plan.</w:t>
            </w:r>
          </w:p>
        </w:tc>
      </w:tr>
      <w:tr w:rsidR="67D6494D" w14:paraId="3029DA75" w14:textId="77777777" w:rsidTr="67D6494D">
        <w:trPr>
          <w:trHeight w:val="300"/>
        </w:trPr>
        <w:tc>
          <w:tcPr>
            <w:tcW w:w="4508" w:type="dxa"/>
          </w:tcPr>
          <w:p w14:paraId="31082282" w14:textId="40C98CA7" w:rsidR="528115A5" w:rsidRDefault="528115A5" w:rsidP="67D6494D">
            <w:r>
              <w:t>Electrical Power System Studies – Motor Starting</w:t>
            </w:r>
            <w:r w:rsidR="00607691">
              <w:t xml:space="preserve"> Analysis Study Report</w:t>
            </w:r>
            <w:r>
              <w:t>, SMR0022257 Issue 1, April 2025</w:t>
            </w:r>
          </w:p>
        </w:tc>
        <w:tc>
          <w:tcPr>
            <w:tcW w:w="4508" w:type="dxa"/>
          </w:tcPr>
          <w:p w14:paraId="0942584C" w14:textId="5D223B1A" w:rsidR="67D6494D" w:rsidRDefault="528115A5" w:rsidP="67D6494D">
            <w:r>
              <w:t>Document will be superseded by documentation provided as part of this resolution plan.</w:t>
            </w:r>
          </w:p>
        </w:tc>
      </w:tr>
      <w:tr w:rsidR="570C5C94" w14:paraId="42D0F2CC" w14:textId="77777777" w:rsidTr="570C5C94">
        <w:trPr>
          <w:trHeight w:val="300"/>
        </w:trPr>
        <w:tc>
          <w:tcPr>
            <w:tcW w:w="4508" w:type="dxa"/>
          </w:tcPr>
          <w:p w14:paraId="7D23F602" w14:textId="5B66D89C" w:rsidR="570C5C94" w:rsidRDefault="528115A5" w:rsidP="570C5C94">
            <w:r>
              <w:t>Electrical Power System Studies – House Load Operation</w:t>
            </w:r>
            <w:r w:rsidR="005B3BE4">
              <w:t xml:space="preserve"> Study Report</w:t>
            </w:r>
            <w:r>
              <w:t>, SMR0023400 Issue 1, May 2025</w:t>
            </w:r>
          </w:p>
        </w:tc>
        <w:tc>
          <w:tcPr>
            <w:tcW w:w="4508" w:type="dxa"/>
          </w:tcPr>
          <w:p w14:paraId="36C679EF" w14:textId="2D20A141" w:rsidR="570C5C94" w:rsidRDefault="528115A5" w:rsidP="570C5C94">
            <w:r>
              <w:t>Document will be superseded by documentation provided as part of this resolution plan.</w:t>
            </w:r>
          </w:p>
        </w:tc>
      </w:tr>
      <w:tr w:rsidR="4F6DFA3F" w14:paraId="5E6C4928" w14:textId="77777777" w:rsidTr="4F6DFA3F">
        <w:trPr>
          <w:trHeight w:val="300"/>
        </w:trPr>
        <w:tc>
          <w:tcPr>
            <w:tcW w:w="4508" w:type="dxa"/>
          </w:tcPr>
          <w:p w14:paraId="725C0347" w14:textId="07BBCE1A" w:rsidR="528115A5" w:rsidRDefault="528115A5" w:rsidP="4F6DFA3F">
            <w:r>
              <w:t xml:space="preserve">Electrical Power System Studies – </w:t>
            </w:r>
            <w:r w:rsidR="00955E42">
              <w:t xml:space="preserve">AC </w:t>
            </w:r>
            <w:r>
              <w:t xml:space="preserve">Load Flow </w:t>
            </w:r>
            <w:r w:rsidR="00955E42">
              <w:t>&amp; Power Balance Study Report</w:t>
            </w:r>
            <w:r>
              <w:t>, SMR0021039 Issue 1, May 2025</w:t>
            </w:r>
          </w:p>
        </w:tc>
        <w:tc>
          <w:tcPr>
            <w:tcW w:w="4508" w:type="dxa"/>
          </w:tcPr>
          <w:p w14:paraId="411DB116" w14:textId="21241D39" w:rsidR="4F6DFA3F" w:rsidRDefault="528115A5" w:rsidP="4F6DFA3F">
            <w:r>
              <w:t>Document will be superseded by documentation provided as part of this resolution plan.</w:t>
            </w:r>
          </w:p>
        </w:tc>
      </w:tr>
    </w:tbl>
    <w:p w14:paraId="20E43047" w14:textId="77777777" w:rsidR="002E3B5E" w:rsidRPr="002E3B5E" w:rsidRDefault="002E3B5E" w:rsidP="002E3B5E"/>
    <w:p w14:paraId="214ED14D" w14:textId="4E437AF6" w:rsidR="00E11E78" w:rsidRPr="00C75D8E" w:rsidRDefault="00F2762A" w:rsidP="00CB6D00">
      <w:pPr>
        <w:pStyle w:val="Heading2"/>
        <w:rPr>
          <w:rFonts w:ascii="RR Pioneer" w:hAnsi="RR Pioneer"/>
        </w:rPr>
      </w:pPr>
      <w:r w:rsidRPr="00C75D8E">
        <w:rPr>
          <w:rFonts w:ascii="RR Pioneer" w:hAnsi="RR Pioneer"/>
        </w:rPr>
        <w:t>References</w:t>
      </w:r>
    </w:p>
    <w:p w14:paraId="421D19F1" w14:textId="486F1B30" w:rsidR="00484142" w:rsidRDefault="00D21223" w:rsidP="00D21223">
      <w:pPr>
        <w:pStyle w:val="ListParagraph"/>
        <w:numPr>
          <w:ilvl w:val="0"/>
          <w:numId w:val="28"/>
        </w:numPr>
      </w:pPr>
      <w:bookmarkStart w:id="3" w:name="_Ref207613436"/>
      <w:r>
        <w:t xml:space="preserve">ONR, New Nuclear Power Plants: Generic Design Assessment Technical Guidance, Revision 0, May 2019, ONR-GDA-GD-007. </w:t>
      </w:r>
      <w:hyperlink r:id="rId20" w:history="1">
        <w:r w:rsidR="00484142" w:rsidRPr="00CA5617">
          <w:rPr>
            <w:rStyle w:val="Hyperlink"/>
          </w:rPr>
          <w:t>https://onr.org.uk/media/c2delysl/onr-gda-007.pdf</w:t>
        </w:r>
      </w:hyperlink>
      <w:bookmarkEnd w:id="3"/>
    </w:p>
    <w:p w14:paraId="2A5DCAD9" w14:textId="77777777" w:rsidR="00484142" w:rsidRDefault="00D21223" w:rsidP="00484142">
      <w:pPr>
        <w:pStyle w:val="ListParagraph"/>
        <w:numPr>
          <w:ilvl w:val="0"/>
          <w:numId w:val="28"/>
        </w:numPr>
      </w:pPr>
      <w:bookmarkStart w:id="4" w:name="_Ref207613432"/>
      <w:r>
        <w:t>Requesting Party Electrical Power System Study Reports</w:t>
      </w:r>
      <w:bookmarkEnd w:id="4"/>
    </w:p>
    <w:p w14:paraId="787B0C37" w14:textId="77777777" w:rsidR="00484142" w:rsidRDefault="00D21223" w:rsidP="00484142">
      <w:pPr>
        <w:pStyle w:val="ListParagraph"/>
        <w:numPr>
          <w:ilvl w:val="1"/>
          <w:numId w:val="28"/>
        </w:numPr>
      </w:pPr>
      <w:r>
        <w:t>Rolls-Royce SMR Ltd, Electrical Power System Studies Methodology Report, SMR0015613, Issue 1, October 2024 [ONRW-2019369590-14384]</w:t>
      </w:r>
    </w:p>
    <w:p w14:paraId="39FFA67D" w14:textId="77777777" w:rsidR="00484142" w:rsidRDefault="00D21223" w:rsidP="00484142">
      <w:pPr>
        <w:pStyle w:val="ListParagraph"/>
        <w:numPr>
          <w:ilvl w:val="1"/>
          <w:numId w:val="28"/>
        </w:numPr>
      </w:pPr>
      <w:r>
        <w:t>Rolls-Royce SMR Ltd, Electrical Power System Studies – Bounding Scenarios &amp; Acceptance Criteria, SMR0021038, issue 1, April 2025 [ONRW-2019369590-19392]</w:t>
      </w:r>
    </w:p>
    <w:p w14:paraId="5E1771B8" w14:textId="77777777" w:rsidR="00484142" w:rsidRDefault="00D21223" w:rsidP="00484142">
      <w:pPr>
        <w:pStyle w:val="ListParagraph"/>
        <w:numPr>
          <w:ilvl w:val="1"/>
          <w:numId w:val="28"/>
        </w:numPr>
      </w:pPr>
      <w:r>
        <w:t>Rolls-Royce SMR Ltd, Electrical Power System Studies – Input Data Schedule Workbook, SMR0021030, Issue 1, March 2025 [ONRW-2019369590-19259]</w:t>
      </w:r>
    </w:p>
    <w:p w14:paraId="2ED1CCE5" w14:textId="77777777" w:rsidR="00484142" w:rsidRDefault="00D21223" w:rsidP="00484142">
      <w:pPr>
        <w:pStyle w:val="ListParagraph"/>
        <w:numPr>
          <w:ilvl w:val="1"/>
          <w:numId w:val="28"/>
        </w:numPr>
      </w:pPr>
      <w:r>
        <w:t>Rolls-Royce SMR Ltd, Overall Electrical Load Schedule, SMR0000975, Issue 5, March 2025 [ONRW-2019369590-19262]</w:t>
      </w:r>
    </w:p>
    <w:p w14:paraId="3D2435FF" w14:textId="77777777" w:rsidR="00484142" w:rsidRDefault="00D21223" w:rsidP="00484142">
      <w:pPr>
        <w:pStyle w:val="ListParagraph"/>
        <w:numPr>
          <w:ilvl w:val="1"/>
          <w:numId w:val="28"/>
        </w:numPr>
      </w:pPr>
      <w:r>
        <w:lastRenderedPageBreak/>
        <w:t>Rolls-Royce SMR Ltd, Electrical Power System Studies – Short Circuit Analysis Study Report, SMR0022256, Issue 1, April 2025 [ONRW-2019369590-20238]</w:t>
      </w:r>
    </w:p>
    <w:p w14:paraId="25E2B38B" w14:textId="77777777" w:rsidR="00484142" w:rsidRDefault="00D21223" w:rsidP="00484142">
      <w:pPr>
        <w:pStyle w:val="ListParagraph"/>
        <w:numPr>
          <w:ilvl w:val="1"/>
          <w:numId w:val="28"/>
        </w:numPr>
      </w:pPr>
      <w:r>
        <w:t>Rolls-Royce SMR Ltd, Electrical Power System Studies – Motor Starting Study Report, SMR0022257, Issue 1, April 2025 [ONRW-2019369590-20250]</w:t>
      </w:r>
    </w:p>
    <w:p w14:paraId="3DF9ED7E" w14:textId="77777777" w:rsidR="00484142" w:rsidRDefault="00D21223" w:rsidP="00484142">
      <w:pPr>
        <w:pStyle w:val="ListParagraph"/>
        <w:numPr>
          <w:ilvl w:val="1"/>
          <w:numId w:val="28"/>
        </w:numPr>
      </w:pPr>
      <w:r>
        <w:t>Rolls-Royce SMR Ltd, Electrical Power System Studies – AC Load Flow &amp; Power Balance Study, SMR0021039, Issue 1, May 2025 [ONRW-2019369590-21243]</w:t>
      </w:r>
    </w:p>
    <w:p w14:paraId="666B3008" w14:textId="77777777" w:rsidR="00484142" w:rsidRDefault="00D21223" w:rsidP="00D21223">
      <w:pPr>
        <w:pStyle w:val="ListParagraph"/>
        <w:numPr>
          <w:ilvl w:val="1"/>
          <w:numId w:val="28"/>
        </w:numPr>
      </w:pPr>
      <w:r>
        <w:t>Rolls-Royce SMR Ltd, Electrical Power System Studies – House Load Operation Study Report, SMR0023400, Issue 1, May 2025 [ONRW-2019369590-21242]</w:t>
      </w:r>
    </w:p>
    <w:p w14:paraId="2F5E0411" w14:textId="77777777" w:rsidR="00484142" w:rsidRDefault="00D21223" w:rsidP="00D21223">
      <w:pPr>
        <w:pStyle w:val="ListParagraph"/>
        <w:numPr>
          <w:ilvl w:val="0"/>
          <w:numId w:val="28"/>
        </w:numPr>
      </w:pPr>
      <w:bookmarkStart w:id="5" w:name="_Ref207613472"/>
      <w:r>
        <w:t>ONR Regulatory Queries relating to Electrical System Studies (ONR Wired Permissioning PR-01658)</w:t>
      </w:r>
      <w:bookmarkEnd w:id="5"/>
    </w:p>
    <w:p w14:paraId="30384A75" w14:textId="08982404" w:rsidR="00484142" w:rsidRDefault="00D21223" w:rsidP="00D21223">
      <w:pPr>
        <w:pStyle w:val="ListParagraph"/>
        <w:numPr>
          <w:ilvl w:val="1"/>
          <w:numId w:val="28"/>
        </w:numPr>
      </w:pPr>
      <w:r>
        <w:t>Electrical System Studies, RQ-01552, September 2024</w:t>
      </w:r>
      <w:r w:rsidR="00484142">
        <w:t xml:space="preserve"> [Response SMR0016616 Issue 001]</w:t>
      </w:r>
    </w:p>
    <w:p w14:paraId="6B7C0676" w14:textId="1C668261" w:rsidR="00484142" w:rsidRDefault="00D21223" w:rsidP="00D21223">
      <w:pPr>
        <w:pStyle w:val="ListParagraph"/>
        <w:numPr>
          <w:ilvl w:val="1"/>
          <w:numId w:val="28"/>
        </w:numPr>
      </w:pPr>
      <w:r>
        <w:t>Electrical System Studies – Derivation of Data and Bounding Cases, RQ-02048, April 2025</w:t>
      </w:r>
      <w:r w:rsidR="00484142">
        <w:t xml:space="preserve"> [Response SMR0023477 Issue 001]</w:t>
      </w:r>
    </w:p>
    <w:p w14:paraId="286BAF6F" w14:textId="1BE47951" w:rsidR="00484142" w:rsidRDefault="00D21223" w:rsidP="00D21223">
      <w:pPr>
        <w:pStyle w:val="ListParagraph"/>
        <w:numPr>
          <w:ilvl w:val="1"/>
          <w:numId w:val="28"/>
        </w:numPr>
      </w:pPr>
      <w:r w:rsidRPr="00484142">
        <w:t>Electrical Power System Studies</w:t>
      </w:r>
      <w:r w:rsidR="00484142" w:rsidRPr="00484142">
        <w:t xml:space="preserve"> – Motor Starting and Short Circuit Reports</w:t>
      </w:r>
      <w:r w:rsidRPr="00484142">
        <w:t>, RQ-2207,</w:t>
      </w:r>
      <w:r>
        <w:t xml:space="preserve"> </w:t>
      </w:r>
      <w:r w:rsidR="00484142">
        <w:t xml:space="preserve">June 2025 </w:t>
      </w:r>
    </w:p>
    <w:p w14:paraId="7FB5F285" w14:textId="7C0C5E70" w:rsidR="00484142" w:rsidRDefault="00D21223" w:rsidP="00D21223">
      <w:pPr>
        <w:pStyle w:val="ListParagraph"/>
        <w:numPr>
          <w:ilvl w:val="0"/>
          <w:numId w:val="28"/>
        </w:numPr>
      </w:pPr>
      <w:bookmarkStart w:id="6" w:name="_Ref207613486"/>
      <w:r>
        <w:t xml:space="preserve">Safety of Nuclear Power Plants: Design. Specific Safety Requirements No SSR-2/1, Rev. 1, IAEA, February 2016. </w:t>
      </w:r>
      <w:hyperlink r:id="rId21" w:history="1">
        <w:r w:rsidR="00484142" w:rsidRPr="00CA5617">
          <w:rPr>
            <w:rStyle w:val="Hyperlink"/>
          </w:rPr>
          <w:t>www.iaea.org</w:t>
        </w:r>
      </w:hyperlink>
      <w:bookmarkEnd w:id="6"/>
    </w:p>
    <w:p w14:paraId="47988E0D" w14:textId="6AE06619" w:rsidR="00484142" w:rsidRDefault="00D21223" w:rsidP="00D21223">
      <w:pPr>
        <w:pStyle w:val="ListParagraph"/>
        <w:numPr>
          <w:ilvl w:val="0"/>
          <w:numId w:val="28"/>
        </w:numPr>
      </w:pPr>
      <w:bookmarkStart w:id="7" w:name="_Ref207613498"/>
      <w:r>
        <w:t xml:space="preserve">Design of Electrical Power Systems for Nuclear Power Plants, Specific Safety Guide SSG-34, IAEA, March 2016. </w:t>
      </w:r>
      <w:hyperlink r:id="rId22" w:history="1">
        <w:r w:rsidR="00484142" w:rsidRPr="00CA5617">
          <w:rPr>
            <w:rStyle w:val="Hyperlink"/>
          </w:rPr>
          <w:t>www.iaea.org</w:t>
        </w:r>
      </w:hyperlink>
      <w:bookmarkEnd w:id="7"/>
    </w:p>
    <w:p w14:paraId="1239C069" w14:textId="77777777" w:rsidR="00484142" w:rsidRDefault="00D21223" w:rsidP="00D21223">
      <w:pPr>
        <w:pStyle w:val="ListParagraph"/>
        <w:numPr>
          <w:ilvl w:val="0"/>
          <w:numId w:val="28"/>
        </w:numPr>
      </w:pPr>
      <w:bookmarkStart w:id="8" w:name="_Ref207613509"/>
      <w:r>
        <w:t>Nuclear power plants – Electrical power systems – General requirements, BS EN IEC 63046:2021, British Standards Institution.</w:t>
      </w:r>
      <w:bookmarkEnd w:id="8"/>
    </w:p>
    <w:p w14:paraId="638FF015" w14:textId="77777777" w:rsidR="00484142" w:rsidRDefault="00D21223" w:rsidP="00D21223">
      <w:pPr>
        <w:pStyle w:val="ListParagraph"/>
        <w:numPr>
          <w:ilvl w:val="0"/>
          <w:numId w:val="28"/>
        </w:numPr>
      </w:pPr>
      <w:bookmarkStart w:id="9" w:name="_Ref207613520"/>
      <w:r>
        <w:t>Nuclear power plants – Electrical power systems – Electrical Power systems analysis, BS EN IEC 62855:2021, British Standards Institution.</w:t>
      </w:r>
      <w:bookmarkEnd w:id="9"/>
    </w:p>
    <w:p w14:paraId="25560A4F" w14:textId="0E5BB8B1" w:rsidR="00484142" w:rsidRDefault="00D21223" w:rsidP="00D21223">
      <w:pPr>
        <w:pStyle w:val="ListParagraph"/>
        <w:numPr>
          <w:ilvl w:val="0"/>
          <w:numId w:val="28"/>
        </w:numPr>
      </w:pPr>
      <w:bookmarkStart w:id="10" w:name="_Ref207613535"/>
      <w:r>
        <w:t xml:space="preserve">Safety Assessment Principles for Nuclear Facilities. 2014 Edition Revision 1, ONR, January 2020. </w:t>
      </w:r>
      <w:hyperlink r:id="rId23" w:history="1">
        <w:r w:rsidR="00484142" w:rsidRPr="00CA5617">
          <w:rPr>
            <w:rStyle w:val="Hyperlink"/>
          </w:rPr>
          <w:t>www.onr.org.uk/saps/saps2014.pdf</w:t>
        </w:r>
      </w:hyperlink>
      <w:bookmarkEnd w:id="10"/>
    </w:p>
    <w:p w14:paraId="50785862" w14:textId="3F39BEB5" w:rsidR="00D21223" w:rsidRPr="00D21223" w:rsidRDefault="00D21223" w:rsidP="00D21223">
      <w:pPr>
        <w:pStyle w:val="ListParagraph"/>
        <w:numPr>
          <w:ilvl w:val="0"/>
          <w:numId w:val="28"/>
        </w:numPr>
      </w:pPr>
      <w:bookmarkStart w:id="11" w:name="_Ref207613551"/>
      <w:r>
        <w:t>Essential Services – Technical Assessment Guide, NS-TAST-GD-019 Revision 4, ONR, July 2019 http://www.onr.org.uk/operational/tech_asst_guides/index.htm</w:t>
      </w:r>
      <w:bookmarkEnd w:id="11"/>
      <w:r>
        <w:t xml:space="preserve"> </w:t>
      </w:r>
    </w:p>
    <w:p w14:paraId="5D9CD570" w14:textId="485F1947" w:rsidR="00B428BA" w:rsidRPr="00C75D8E" w:rsidRDefault="00B428BA" w:rsidP="00B428BA">
      <w:pPr>
        <w:pStyle w:val="Heading2"/>
        <w:rPr>
          <w:rFonts w:ascii="RR Pioneer" w:hAnsi="RR Pioneer"/>
        </w:rPr>
      </w:pPr>
      <w:r w:rsidRPr="00C75D8E">
        <w:rPr>
          <w:rFonts w:ascii="RR Pioneer" w:hAnsi="RR Pioneer"/>
        </w:rPr>
        <w:t xml:space="preserve">Record of Change </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6"/>
        <w:gridCol w:w="1312"/>
        <w:gridCol w:w="6219"/>
      </w:tblGrid>
      <w:tr w:rsidR="0009476E" w:rsidRPr="00C75D8E" w14:paraId="1D4CDC56" w14:textId="77777777" w:rsidTr="0009476E">
        <w:trPr>
          <w:jc w:val="center"/>
        </w:trPr>
        <w:tc>
          <w:tcPr>
            <w:tcW w:w="1206" w:type="dxa"/>
          </w:tcPr>
          <w:p w14:paraId="4A1CEFAC" w14:textId="77777777" w:rsidR="0009476E" w:rsidRPr="00C75D8E" w:rsidRDefault="0009476E" w:rsidP="00B428BA">
            <w:pPr>
              <w:tabs>
                <w:tab w:val="clear" w:pos="992"/>
                <w:tab w:val="clear" w:pos="1395"/>
                <w:tab w:val="clear" w:pos="1712"/>
              </w:tabs>
              <w:spacing w:before="120" w:after="120"/>
              <w:jc w:val="center"/>
              <w:rPr>
                <w:rFonts w:eastAsia="Times New Roman" w:cs="Times New Roman"/>
                <w:b/>
                <w:sz w:val="22"/>
                <w:szCs w:val="20"/>
                <w:lang w:eastAsia="en-GB"/>
              </w:rPr>
            </w:pPr>
            <w:r w:rsidRPr="00C75D8E">
              <w:rPr>
                <w:rFonts w:eastAsia="Times New Roman" w:cs="Times New Roman"/>
                <w:b/>
                <w:sz w:val="22"/>
                <w:szCs w:val="20"/>
                <w:lang w:eastAsia="en-GB"/>
              </w:rPr>
              <w:t>Date</w:t>
            </w:r>
          </w:p>
        </w:tc>
        <w:tc>
          <w:tcPr>
            <w:tcW w:w="1312" w:type="dxa"/>
          </w:tcPr>
          <w:p w14:paraId="53237652" w14:textId="77777777" w:rsidR="0009476E" w:rsidRPr="00C75D8E" w:rsidRDefault="0009476E" w:rsidP="00B428BA">
            <w:pPr>
              <w:tabs>
                <w:tab w:val="clear" w:pos="992"/>
                <w:tab w:val="clear" w:pos="1395"/>
                <w:tab w:val="clear" w:pos="1712"/>
              </w:tabs>
              <w:spacing w:before="120" w:after="120"/>
              <w:jc w:val="center"/>
              <w:rPr>
                <w:rFonts w:eastAsia="Times New Roman" w:cs="Times New Roman"/>
                <w:b/>
                <w:sz w:val="22"/>
                <w:szCs w:val="20"/>
                <w:lang w:eastAsia="en-GB"/>
              </w:rPr>
            </w:pPr>
            <w:r w:rsidRPr="00C75D8E">
              <w:rPr>
                <w:rFonts w:eastAsia="Times New Roman" w:cs="Times New Roman"/>
                <w:b/>
                <w:sz w:val="22"/>
                <w:szCs w:val="20"/>
                <w:lang w:eastAsia="en-GB"/>
              </w:rPr>
              <w:t>Revision Number</w:t>
            </w:r>
          </w:p>
        </w:tc>
        <w:tc>
          <w:tcPr>
            <w:tcW w:w="6219" w:type="dxa"/>
          </w:tcPr>
          <w:p w14:paraId="2DBBEBAB" w14:textId="77777777" w:rsidR="0009476E" w:rsidRPr="00C75D8E" w:rsidRDefault="0009476E" w:rsidP="00B428BA">
            <w:pPr>
              <w:tabs>
                <w:tab w:val="clear" w:pos="992"/>
                <w:tab w:val="clear" w:pos="1395"/>
                <w:tab w:val="clear" w:pos="1712"/>
              </w:tabs>
              <w:spacing w:before="120" w:after="120"/>
              <w:rPr>
                <w:rFonts w:eastAsia="Times New Roman" w:cs="Times New Roman"/>
                <w:b/>
                <w:sz w:val="22"/>
                <w:szCs w:val="20"/>
                <w:lang w:eastAsia="en-GB"/>
              </w:rPr>
            </w:pPr>
            <w:r w:rsidRPr="00C75D8E">
              <w:rPr>
                <w:rFonts w:eastAsia="Times New Roman" w:cs="Times New Roman"/>
                <w:b/>
                <w:sz w:val="22"/>
                <w:szCs w:val="20"/>
                <w:lang w:eastAsia="en-GB"/>
              </w:rPr>
              <w:t>Reason for Change</w:t>
            </w:r>
          </w:p>
        </w:tc>
      </w:tr>
      <w:tr w:rsidR="0009476E" w:rsidRPr="00C75D8E" w14:paraId="14033B8A" w14:textId="77777777" w:rsidTr="006E1332">
        <w:trPr>
          <w:trHeight w:val="333"/>
          <w:jc w:val="center"/>
        </w:trPr>
        <w:tc>
          <w:tcPr>
            <w:tcW w:w="1206" w:type="dxa"/>
            <w:vAlign w:val="center"/>
          </w:tcPr>
          <w:p w14:paraId="28AD8139" w14:textId="78F692E4" w:rsidR="0009476E" w:rsidRPr="00C75D8E" w:rsidRDefault="00F13AFD" w:rsidP="006E1332">
            <w:pPr>
              <w:spacing w:after="0"/>
              <w:jc w:val="center"/>
            </w:pPr>
            <w:r>
              <w:t>Sep 25</w:t>
            </w:r>
          </w:p>
        </w:tc>
        <w:tc>
          <w:tcPr>
            <w:tcW w:w="1312" w:type="dxa"/>
            <w:vAlign w:val="center"/>
          </w:tcPr>
          <w:p w14:paraId="2343211B" w14:textId="1492FD4A" w:rsidR="0009476E" w:rsidRPr="00C75D8E" w:rsidRDefault="00051C51" w:rsidP="006E1332">
            <w:pPr>
              <w:spacing w:after="0"/>
              <w:jc w:val="center"/>
              <w:rPr>
                <w:rFonts w:eastAsia="Times New Roman" w:cs="Times New Roman"/>
                <w:szCs w:val="20"/>
                <w:lang w:eastAsia="en-GB"/>
              </w:rPr>
            </w:pPr>
            <w:r>
              <w:rPr>
                <w:rFonts w:eastAsia="Times New Roman" w:cs="Times New Roman"/>
                <w:szCs w:val="20"/>
                <w:lang w:eastAsia="en-GB"/>
              </w:rPr>
              <w:t>1</w:t>
            </w:r>
          </w:p>
        </w:tc>
        <w:tc>
          <w:tcPr>
            <w:tcW w:w="6219" w:type="dxa"/>
            <w:vAlign w:val="center"/>
          </w:tcPr>
          <w:p w14:paraId="4B624523" w14:textId="08C50CA2" w:rsidR="0009476E" w:rsidRPr="00C75D8E" w:rsidRDefault="005D6618" w:rsidP="006E1332">
            <w:pPr>
              <w:spacing w:after="0"/>
              <w:rPr>
                <w:rFonts w:eastAsia="Times New Roman" w:cs="Times New Roman"/>
                <w:szCs w:val="20"/>
                <w:lang w:eastAsia="en-GB"/>
              </w:rPr>
            </w:pPr>
            <w:r>
              <w:rPr>
                <w:rFonts w:eastAsia="Times New Roman" w:cs="Times New Roman"/>
                <w:szCs w:val="20"/>
                <w:lang w:eastAsia="en-GB"/>
              </w:rPr>
              <w:t>First Issue</w:t>
            </w:r>
          </w:p>
        </w:tc>
      </w:tr>
      <w:tr w:rsidR="00214173" w:rsidRPr="00C75D8E" w14:paraId="0BB9E406" w14:textId="77777777" w:rsidTr="006E1332">
        <w:trPr>
          <w:trHeight w:val="333"/>
          <w:jc w:val="center"/>
        </w:trPr>
        <w:tc>
          <w:tcPr>
            <w:tcW w:w="1206" w:type="dxa"/>
            <w:vAlign w:val="center"/>
          </w:tcPr>
          <w:p w14:paraId="284DCEAA" w14:textId="2C2EBEC9" w:rsidR="00214173" w:rsidRPr="00CC7D8F" w:rsidRDefault="00F13AFD" w:rsidP="006E1332">
            <w:pPr>
              <w:spacing w:after="0"/>
              <w:jc w:val="center"/>
            </w:pPr>
            <w:r w:rsidRPr="00CC7D8F">
              <w:t>Dec 25</w:t>
            </w:r>
          </w:p>
        </w:tc>
        <w:tc>
          <w:tcPr>
            <w:tcW w:w="1312" w:type="dxa"/>
            <w:vAlign w:val="center"/>
          </w:tcPr>
          <w:p w14:paraId="4BFE2A45" w14:textId="0169046C" w:rsidR="00214173" w:rsidRPr="00CC7D8F" w:rsidRDefault="00214173" w:rsidP="006E1332">
            <w:pPr>
              <w:spacing w:after="0"/>
              <w:jc w:val="center"/>
              <w:rPr>
                <w:rFonts w:eastAsia="Times New Roman" w:cs="Times New Roman"/>
                <w:szCs w:val="20"/>
                <w:lang w:eastAsia="en-GB"/>
              </w:rPr>
            </w:pPr>
            <w:r w:rsidRPr="00CC7D8F">
              <w:rPr>
                <w:rFonts w:eastAsia="Times New Roman" w:cs="Times New Roman"/>
                <w:szCs w:val="20"/>
                <w:lang w:eastAsia="en-GB"/>
              </w:rPr>
              <w:t>2</w:t>
            </w:r>
          </w:p>
        </w:tc>
        <w:tc>
          <w:tcPr>
            <w:tcW w:w="6219" w:type="dxa"/>
            <w:vAlign w:val="center"/>
          </w:tcPr>
          <w:p w14:paraId="70A88316" w14:textId="5C9301D2" w:rsidR="00214173" w:rsidRPr="00CC7D8F" w:rsidRDefault="00CB717A" w:rsidP="006E1332">
            <w:pPr>
              <w:spacing w:after="0"/>
              <w:rPr>
                <w:rFonts w:eastAsia="Times New Roman" w:cs="Times New Roman"/>
                <w:szCs w:val="20"/>
                <w:lang w:eastAsia="en-GB"/>
              </w:rPr>
            </w:pPr>
            <w:r w:rsidRPr="00CC7D8F">
              <w:rPr>
                <w:rFonts w:eastAsia="Times New Roman" w:cs="Times New Roman"/>
                <w:szCs w:val="20"/>
                <w:lang w:eastAsia="en-GB"/>
              </w:rPr>
              <w:t>Revision to address ONR comments</w:t>
            </w:r>
          </w:p>
        </w:tc>
      </w:tr>
    </w:tbl>
    <w:p w14:paraId="35B2D9F3" w14:textId="77777777" w:rsidR="004F5F77" w:rsidRPr="00C75D8E" w:rsidRDefault="004F5F77" w:rsidP="00B428BA">
      <w:pPr>
        <w:pStyle w:val="Heading2"/>
        <w:rPr>
          <w:rFonts w:ascii="RR Pioneer" w:hAnsi="RR Pioneer"/>
        </w:rPr>
      </w:pPr>
    </w:p>
    <w:p w14:paraId="59BFB71F" w14:textId="3678539F" w:rsidR="002A3242" w:rsidRPr="009832F8" w:rsidRDefault="002A3242" w:rsidP="009832F8">
      <w:pPr>
        <w:tabs>
          <w:tab w:val="clear" w:pos="992"/>
          <w:tab w:val="clear" w:pos="1395"/>
          <w:tab w:val="clear" w:pos="1712"/>
        </w:tabs>
        <w:spacing w:after="200" w:line="276" w:lineRule="auto"/>
        <w:rPr>
          <w:rFonts w:eastAsiaTheme="majorEastAsia" w:cstheme="majorBidi"/>
          <w:b/>
          <w:i/>
          <w:sz w:val="28"/>
          <w:szCs w:val="28"/>
        </w:rPr>
      </w:pPr>
    </w:p>
    <w:p w14:paraId="2CF96374" w14:textId="77777777" w:rsidR="009D711B" w:rsidRPr="00C75D8E" w:rsidRDefault="009D711B" w:rsidP="002A3242"/>
    <w:sectPr w:rsidR="009D711B" w:rsidRPr="00C75D8E" w:rsidSect="000B3B41">
      <w:pgSz w:w="11906" w:h="16838"/>
      <w:pgMar w:top="2323" w:right="1440" w:bottom="1440" w:left="144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D9170" w14:textId="77777777" w:rsidR="008E18D7" w:rsidRDefault="008E18D7" w:rsidP="00D12A48">
      <w:r>
        <w:separator/>
      </w:r>
    </w:p>
  </w:endnote>
  <w:endnote w:type="continuationSeparator" w:id="0">
    <w:p w14:paraId="562F2B7C" w14:textId="77777777" w:rsidR="008E18D7" w:rsidRDefault="008E18D7" w:rsidP="00D12A48">
      <w:r>
        <w:continuationSeparator/>
      </w:r>
    </w:p>
  </w:endnote>
  <w:endnote w:type="continuationNotice" w:id="1">
    <w:p w14:paraId="3159BEC9" w14:textId="77777777" w:rsidR="008E18D7" w:rsidRDefault="008E18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R Pioneer">
    <w:altName w:val="Segoe UI Historic"/>
    <w:panose1 w:val="020B0503050201040103"/>
    <w:charset w:val="00"/>
    <w:family w:val="swiss"/>
    <w:pitch w:val="variable"/>
    <w:sig w:usb0="000003C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E291" w14:textId="319EC586" w:rsidR="001038B7" w:rsidRDefault="00F02BF5">
    <w:pPr>
      <w:pStyle w:val="Footer"/>
    </w:pPr>
    <w:r>
      <w:rPr>
        <w:noProof/>
      </w:rPr>
      <mc:AlternateContent>
        <mc:Choice Requires="wps">
          <w:drawing>
            <wp:anchor distT="0" distB="0" distL="0" distR="0" simplePos="0" relativeHeight="251657728" behindDoc="0" locked="0" layoutInCell="1" allowOverlap="1" wp14:anchorId="330C7195" wp14:editId="2FC8C07F">
              <wp:simplePos x="635" y="635"/>
              <wp:positionH relativeFrom="page">
                <wp:align>center</wp:align>
              </wp:positionH>
              <wp:positionV relativeFrom="page">
                <wp:align>bottom</wp:align>
              </wp:positionV>
              <wp:extent cx="1889125" cy="299085"/>
              <wp:effectExtent l="0" t="0" r="15875" b="0"/>
              <wp:wrapNone/>
              <wp:docPr id="2106881580" name="Text Box 2" descr="Private – Not Listed – Not Subject to Export Control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9125" cy="299085"/>
                      </a:xfrm>
                      <a:prstGeom prst="rect">
                        <a:avLst/>
                      </a:prstGeom>
                      <a:noFill/>
                      <a:ln>
                        <a:noFill/>
                      </a:ln>
                    </wps:spPr>
                    <wps:txbx>
                      <w:txbxContent>
                        <w:p w14:paraId="42DBEDA3" w14:textId="0A385B90" w:rsidR="00F02BF5" w:rsidRPr="00F02BF5" w:rsidRDefault="00F02BF5" w:rsidP="00F02BF5">
                          <w:pPr>
                            <w:spacing w:after="0"/>
                            <w:rPr>
                              <w:rFonts w:ascii="Calibri" w:eastAsia="Calibri" w:hAnsi="Calibri" w:cs="Calibri"/>
                              <w:noProof/>
                              <w:color w:val="000000"/>
                              <w:sz w:val="14"/>
                              <w:szCs w:val="14"/>
                            </w:rPr>
                          </w:pPr>
                          <w:r w:rsidRPr="00F02BF5">
                            <w:rPr>
                              <w:rFonts w:ascii="Calibri" w:eastAsia="Calibri" w:hAnsi="Calibri" w:cs="Calibri"/>
                              <w:noProof/>
                              <w:color w:val="000000"/>
                              <w:sz w:val="14"/>
                              <w:szCs w:val="14"/>
                            </w:rPr>
                            <w:t>Private – Not Listed – Not Subject to Export Controls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0C7195" id="_x0000_t202" coordsize="21600,21600" o:spt="202" path="m,l,21600r21600,l21600,xe">
              <v:stroke joinstyle="miter"/>
              <v:path gradientshapeok="t" o:connecttype="rect"/>
            </v:shapetype>
            <v:shape id="Text Box 2" o:spid="_x0000_s1026" type="#_x0000_t202" alt="Private – Not Listed – Not Subject to Export Controls" style="position:absolute;margin-left:0;margin-top:0;width:148.75pt;height:23.5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" filled="f" stroked="f">
              <v:textbox style="mso-fit-shape-to-text:t" inset="0,0,0,15pt">
                <w:txbxContent>
                  <w:p w14:paraId="42DBEDA3" w14:textId="0A385B90" w:rsidR="00F02BF5" w:rsidRPr="00F02BF5" w:rsidRDefault="00F02BF5" w:rsidP="00F02BF5">
                    <w:pPr>
                      <w:spacing w:after="0"/>
                      <w:rPr>
                        <w:rFonts w:ascii="Calibri" w:eastAsia="Calibri" w:hAnsi="Calibri" w:cs="Calibri"/>
                        <w:noProof/>
                        <w:color w:val="000000"/>
                        <w:sz w:val="14"/>
                        <w:szCs w:val="14"/>
                      </w:rPr>
                    </w:pPr>
                    <w:r w:rsidRPr="00F02BF5">
                      <w:rPr>
                        <w:rFonts w:ascii="Calibri" w:eastAsia="Calibri" w:hAnsi="Calibri" w:cs="Calibri"/>
                        <w:noProof/>
                        <w:color w:val="000000"/>
                        <w:sz w:val="14"/>
                        <w:szCs w:val="14"/>
                      </w:rPr>
                      <w:t>Private – Not Listed – Not Subject to Export Controls</w:t>
                    </w:r>
                  </w:p>
                </w:txbxContent>
              </v:textbox>
              <w10:wrap anchorx="page" anchory="page"/>
            </v:shape>
          </w:pict>
        </mc:Fallback>
      </mc:AlternateContent>
    </w:r>
    <w:r w:rsidR="00161250">
      <w:rPr>
        <w:noProof/>
      </w:rPr>
      <mc:AlternateContent>
        <mc:Choice Requires="wps">
          <w:drawing>
            <wp:anchor distT="0" distB="0" distL="0" distR="0" simplePos="0" relativeHeight="251654656" behindDoc="0" locked="0" layoutInCell="1" allowOverlap="1" wp14:anchorId="01556DC2" wp14:editId="601CA7DB">
              <wp:simplePos x="0" y="0"/>
              <wp:positionH relativeFrom="column">
                <wp:align>center</wp:align>
              </wp:positionH>
              <wp:positionV relativeFrom="paragraph">
                <wp:posOffset>635</wp:posOffset>
              </wp:positionV>
              <wp:extent cx="443865" cy="44386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C16AAA5" w14:textId="7C9D47FE" w:rsidR="001038B7" w:rsidRPr="001038B7" w:rsidRDefault="001038B7">
                          <w:pPr>
                            <w:rPr>
                              <w:rFonts w:ascii="Calibri" w:eastAsia="Calibri" w:hAnsi="Calibri" w:cs="Calibri"/>
                              <w:noProof/>
                              <w:color w:val="000000"/>
                              <w:sz w:val="14"/>
                              <w:szCs w:val="14"/>
                            </w:rPr>
                          </w:pPr>
                          <w:r w:rsidRPr="001038B7">
                            <w:rPr>
                              <w:rFonts w:ascii="Calibri" w:eastAsia="Calibri" w:hAnsi="Calibri" w:cs="Calibri"/>
                              <w:noProof/>
                              <w:color w:val="000000"/>
                              <w:sz w:val="14"/>
                              <w:szCs w:val="14"/>
                            </w:rPr>
                            <w:t>SECURITY &amp; EXPORT CLASSIFICATION - Commercially Sensitive Rolls-Royce SMR Data - Private - Not Listed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1556DC2" id="_x0000_s1027" type="#_x0000_t202" style="position:absolute;margin-left:0;margin-top:.05pt;width:34.95pt;height:34.95pt;z-index:251654656;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" filled="f" stroked="f">
              <v:textbox style="mso-fit-shape-to-text:t" inset="0,0,0,0">
                <w:txbxContent>
                  <w:p w14:paraId="2C16AAA5" w14:textId="7C9D47FE" w:rsidR="001038B7" w:rsidRPr="001038B7" w:rsidRDefault="001038B7">
                    <w:pPr>
                      <w:rPr>
                        <w:rFonts w:ascii="Calibri" w:eastAsia="Calibri" w:hAnsi="Calibri" w:cs="Calibri"/>
                        <w:noProof/>
                        <w:color w:val="000000"/>
                        <w:sz w:val="14"/>
                        <w:szCs w:val="14"/>
                      </w:rPr>
                    </w:pPr>
                    <w:r w:rsidRPr="001038B7">
                      <w:rPr>
                        <w:rFonts w:ascii="Calibri" w:eastAsia="Calibri" w:hAnsi="Calibri" w:cs="Calibri"/>
                        <w:noProof/>
                        <w:color w:val="000000"/>
                        <w:sz w:val="14"/>
                        <w:szCs w:val="14"/>
                      </w:rPr>
                      <w:t>SECURITY &amp; EXPORT CLASSIFICATION - Commercially Sensitive Rolls-Royce SMR Data - Private - Not Listed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D171" w14:textId="2A2FF524" w:rsidR="00F915C6" w:rsidRDefault="00F02BF5" w:rsidP="00CD449A">
    <w:pPr>
      <w:spacing w:after="0"/>
    </w:pPr>
    <w:r>
      <w:rPr>
        <w:noProof/>
      </w:rPr>
      <mc:AlternateContent>
        <mc:Choice Requires="wps">
          <w:drawing>
            <wp:anchor distT="0" distB="0" distL="0" distR="0" simplePos="0" relativeHeight="251658752" behindDoc="0" locked="0" layoutInCell="1" allowOverlap="1" wp14:anchorId="0CDC3F65" wp14:editId="3C8F17C3">
              <wp:simplePos x="914400" y="10477500"/>
              <wp:positionH relativeFrom="page">
                <wp:align>center</wp:align>
              </wp:positionH>
              <wp:positionV relativeFrom="page">
                <wp:align>bottom</wp:align>
              </wp:positionV>
              <wp:extent cx="1889125" cy="299085"/>
              <wp:effectExtent l="0" t="0" r="15875" b="0"/>
              <wp:wrapNone/>
              <wp:docPr id="1263579955" name="Text Box 3" descr="Private – Not Listed – Not Subject to Export Control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9125" cy="299085"/>
                      </a:xfrm>
                      <a:prstGeom prst="rect">
                        <a:avLst/>
                      </a:prstGeom>
                      <a:noFill/>
                      <a:ln>
                        <a:noFill/>
                      </a:ln>
                    </wps:spPr>
                    <wps:txbx>
                      <w:txbxContent>
                        <w:p w14:paraId="4D5B5627" w14:textId="4404E1EC" w:rsidR="00F02BF5" w:rsidRPr="00F02BF5" w:rsidRDefault="00F02BF5" w:rsidP="00F02BF5">
                          <w:pPr>
                            <w:spacing w:after="0"/>
                            <w:rPr>
                              <w:rFonts w:ascii="Calibri" w:eastAsia="Calibri" w:hAnsi="Calibri" w:cs="Calibri"/>
                              <w:noProof/>
                              <w:color w:val="000000"/>
                              <w:sz w:val="14"/>
                              <w:szCs w:val="14"/>
                            </w:rPr>
                          </w:pPr>
                          <w:r w:rsidRPr="00F02BF5">
                            <w:rPr>
                              <w:rFonts w:ascii="Calibri" w:eastAsia="Calibri" w:hAnsi="Calibri" w:cs="Calibri"/>
                              <w:noProof/>
                              <w:color w:val="000000"/>
                              <w:sz w:val="14"/>
                              <w:szCs w:val="14"/>
                            </w:rPr>
                            <w:t>Private – Not Listed – Not Subject to Export Controls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DC3F65" id="_x0000_t202" coordsize="21600,21600" o:spt="202" path="m,l,21600r21600,l21600,xe">
              <v:stroke joinstyle="miter"/>
              <v:path gradientshapeok="t" o:connecttype="rect"/>
            </v:shapetype>
            <v:shape id="Text Box 3" o:spid="_x0000_s1028" type="#_x0000_t202" alt="Private – Not Listed – Not Subject to Export Controls" style="position:absolute;margin-left:0;margin-top:0;width:148.75pt;height:23.5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" filled="f" stroked="f">
              <v:textbox style="mso-fit-shape-to-text:t" inset="0,0,0,15pt">
                <w:txbxContent>
                  <w:p w14:paraId="4D5B5627" w14:textId="4404E1EC" w:rsidR="00F02BF5" w:rsidRPr="00F02BF5" w:rsidRDefault="00F02BF5" w:rsidP="00F02BF5">
                    <w:pPr>
                      <w:spacing w:after="0"/>
                      <w:rPr>
                        <w:rFonts w:ascii="Calibri" w:eastAsia="Calibri" w:hAnsi="Calibri" w:cs="Calibri"/>
                        <w:noProof/>
                        <w:color w:val="000000"/>
                        <w:sz w:val="14"/>
                        <w:szCs w:val="14"/>
                      </w:rPr>
                    </w:pPr>
                    <w:r w:rsidRPr="00F02BF5">
                      <w:rPr>
                        <w:rFonts w:ascii="Calibri" w:eastAsia="Calibri" w:hAnsi="Calibri" w:cs="Calibri"/>
                        <w:noProof/>
                        <w:color w:val="000000"/>
                        <w:sz w:val="14"/>
                        <w:szCs w:val="14"/>
                      </w:rPr>
                      <w:t>Private – Not Listed – Not Subject to Export Controls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E479" w14:textId="2AC3A076" w:rsidR="001038B7" w:rsidRDefault="00F02BF5">
    <w:pPr>
      <w:pStyle w:val="Footer"/>
    </w:pPr>
    <w:r>
      <w:rPr>
        <w:noProof/>
      </w:rPr>
      <mc:AlternateContent>
        <mc:Choice Requires="wps">
          <w:drawing>
            <wp:anchor distT="0" distB="0" distL="0" distR="0" simplePos="0" relativeHeight="251656704" behindDoc="0" locked="0" layoutInCell="1" allowOverlap="1" wp14:anchorId="2DEF8604" wp14:editId="259BAD25">
              <wp:simplePos x="635" y="635"/>
              <wp:positionH relativeFrom="page">
                <wp:align>center</wp:align>
              </wp:positionH>
              <wp:positionV relativeFrom="page">
                <wp:align>bottom</wp:align>
              </wp:positionV>
              <wp:extent cx="1889125" cy="299085"/>
              <wp:effectExtent l="0" t="0" r="15875" b="0"/>
              <wp:wrapNone/>
              <wp:docPr id="441710561" name="Text Box 1" descr="Private – Not Listed – Not Subject to Export Control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9125" cy="299085"/>
                      </a:xfrm>
                      <a:prstGeom prst="rect">
                        <a:avLst/>
                      </a:prstGeom>
                      <a:noFill/>
                      <a:ln>
                        <a:noFill/>
                      </a:ln>
                    </wps:spPr>
                    <wps:txbx>
                      <w:txbxContent>
                        <w:p w14:paraId="4D3F209C" w14:textId="09D2E142" w:rsidR="00F02BF5" w:rsidRPr="00F02BF5" w:rsidRDefault="00F02BF5" w:rsidP="00F02BF5">
                          <w:pPr>
                            <w:spacing w:after="0"/>
                            <w:rPr>
                              <w:rFonts w:ascii="Calibri" w:eastAsia="Calibri" w:hAnsi="Calibri" w:cs="Calibri"/>
                              <w:noProof/>
                              <w:color w:val="000000"/>
                              <w:sz w:val="14"/>
                              <w:szCs w:val="14"/>
                            </w:rPr>
                          </w:pPr>
                          <w:r w:rsidRPr="00F02BF5">
                            <w:rPr>
                              <w:rFonts w:ascii="Calibri" w:eastAsia="Calibri" w:hAnsi="Calibri" w:cs="Calibri"/>
                              <w:noProof/>
                              <w:color w:val="000000"/>
                              <w:sz w:val="14"/>
                              <w:szCs w:val="14"/>
                            </w:rPr>
                            <w:t>Private – Not Listed – Not Subject to Export Controls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EF8604" id="_x0000_t202" coordsize="21600,21600" o:spt="202" path="m,l,21600r21600,l21600,xe">
              <v:stroke joinstyle="miter"/>
              <v:path gradientshapeok="t" o:connecttype="rect"/>
            </v:shapetype>
            <v:shape id="Text Box 1" o:spid="_x0000_s1029" type="#_x0000_t202" alt="Private – Not Listed – Not Subject to Export Controls" style="position:absolute;margin-left:0;margin-top:0;width:148.75pt;height:23.55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" filled="f" stroked="f">
              <v:textbox style="mso-fit-shape-to-text:t" inset="0,0,0,15pt">
                <w:txbxContent>
                  <w:p w14:paraId="4D3F209C" w14:textId="09D2E142" w:rsidR="00F02BF5" w:rsidRPr="00F02BF5" w:rsidRDefault="00F02BF5" w:rsidP="00F02BF5">
                    <w:pPr>
                      <w:spacing w:after="0"/>
                      <w:rPr>
                        <w:rFonts w:ascii="Calibri" w:eastAsia="Calibri" w:hAnsi="Calibri" w:cs="Calibri"/>
                        <w:noProof/>
                        <w:color w:val="000000"/>
                        <w:sz w:val="14"/>
                        <w:szCs w:val="14"/>
                      </w:rPr>
                    </w:pPr>
                    <w:r w:rsidRPr="00F02BF5">
                      <w:rPr>
                        <w:rFonts w:ascii="Calibri" w:eastAsia="Calibri" w:hAnsi="Calibri" w:cs="Calibri"/>
                        <w:noProof/>
                        <w:color w:val="000000"/>
                        <w:sz w:val="14"/>
                        <w:szCs w:val="14"/>
                      </w:rPr>
                      <w:t>Private – Not Listed – Not Subject to Export Controls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B9B91" w14:textId="77777777" w:rsidR="008E18D7" w:rsidRDefault="008E18D7" w:rsidP="00D12A48">
      <w:r>
        <w:separator/>
      </w:r>
    </w:p>
  </w:footnote>
  <w:footnote w:type="continuationSeparator" w:id="0">
    <w:p w14:paraId="6EE03E25" w14:textId="77777777" w:rsidR="008E18D7" w:rsidRDefault="008E18D7" w:rsidP="00D12A48">
      <w:r>
        <w:continuationSeparator/>
      </w:r>
    </w:p>
  </w:footnote>
  <w:footnote w:type="continuationNotice" w:id="1">
    <w:p w14:paraId="0E3B45A0" w14:textId="77777777" w:rsidR="008E18D7" w:rsidRDefault="008E18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ED0F" w14:textId="38F25A73" w:rsidR="000709FE" w:rsidRDefault="00070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D2D3" w14:textId="7E6F5AD8" w:rsidR="004051C6" w:rsidRPr="002C0498" w:rsidRDefault="004051C6" w:rsidP="004051C6">
    <w:pPr>
      <w:pStyle w:val="SecurityClassification"/>
    </w:pPr>
    <w:r w:rsidRPr="00EA5516">
      <w:rPr>
        <w:noProof/>
        <w:sz w:val="16"/>
        <w:szCs w:val="16"/>
        <w:lang w:eastAsia="en-US"/>
      </w:rPr>
      <w:drawing>
        <wp:anchor distT="0" distB="0" distL="114300" distR="114300" simplePos="0" relativeHeight="251659776" behindDoc="1" locked="0" layoutInCell="1" allowOverlap="1" wp14:anchorId="7AD5E053" wp14:editId="7A0BCF3A">
          <wp:simplePos x="0" y="0"/>
          <wp:positionH relativeFrom="page">
            <wp:posOffset>527050</wp:posOffset>
          </wp:positionH>
          <wp:positionV relativeFrom="page">
            <wp:posOffset>233680</wp:posOffset>
          </wp:positionV>
          <wp:extent cx="972000" cy="522000"/>
          <wp:effectExtent l="0" t="0" r="0" b="0"/>
          <wp:wrapSquare wrapText="bothSides"/>
          <wp:docPr id="2011574625" name="Picture 20115746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52" descr="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20935"/>
                  <a:stretch/>
                </pic:blipFill>
                <pic:spPr bwMode="auto">
                  <a:xfrm>
                    <a:off x="0" y="0"/>
                    <a:ext cx="972000" cy="52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66D4EC" w14:textId="77777777" w:rsidR="004051C6" w:rsidRPr="00BD0AF3" w:rsidRDefault="004051C6" w:rsidP="004051C6">
    <w:pPr>
      <w:pStyle w:val="NoSpacing"/>
      <w:rPr>
        <w:lang w:eastAsia="en-GB"/>
      </w:rPr>
    </w:pPr>
  </w:p>
  <w:p w14:paraId="59034DA1" w14:textId="77777777" w:rsidR="004051C6" w:rsidRDefault="004051C6" w:rsidP="004051C6">
    <w:pPr>
      <w:pStyle w:val="Header"/>
      <w:spacing w:after="0"/>
      <w:jc w:val="right"/>
      <w:rPr>
        <w:sz w:val="18"/>
        <w:szCs w:val="18"/>
      </w:rPr>
    </w:pPr>
  </w:p>
  <w:p w14:paraId="6EC608E7" w14:textId="05CF9DDD" w:rsidR="004051C6" w:rsidRPr="001038B7" w:rsidRDefault="004051C6" w:rsidP="004051C6">
    <w:pPr>
      <w:pStyle w:val="Header"/>
      <w:spacing w:after="0"/>
      <w:jc w:val="right"/>
      <w:rPr>
        <w:sz w:val="18"/>
        <w:szCs w:val="18"/>
      </w:rPr>
    </w:pPr>
    <w:r w:rsidRPr="001038B7">
      <w:rPr>
        <w:sz w:val="18"/>
        <w:szCs w:val="18"/>
      </w:rPr>
      <w:t>T</w:t>
    </w:r>
    <w:r>
      <w:rPr>
        <w:sz w:val="18"/>
        <w:szCs w:val="18"/>
      </w:rPr>
      <w:t>S-REG-</w:t>
    </w:r>
    <w:r w:rsidR="0015672E">
      <w:rPr>
        <w:sz w:val="18"/>
        <w:szCs w:val="18"/>
      </w:rPr>
      <w:t>13</w:t>
    </w:r>
    <w:r w:rsidRPr="001038B7">
      <w:rPr>
        <w:sz w:val="18"/>
        <w:szCs w:val="18"/>
      </w:rPr>
      <w:t xml:space="preserve"> Issue </w:t>
    </w:r>
    <w:r w:rsidR="004F5E6B">
      <w:rPr>
        <w:sz w:val="18"/>
        <w:szCs w:val="18"/>
      </w:rPr>
      <w:t>2</w:t>
    </w:r>
  </w:p>
  <w:p w14:paraId="3E5089F1" w14:textId="38B9C217" w:rsidR="004051C6" w:rsidRPr="00211346" w:rsidRDefault="5826704D" w:rsidP="004051C6">
    <w:pPr>
      <w:pStyle w:val="Header"/>
      <w:spacing w:after="0"/>
      <w:jc w:val="right"/>
      <w:rPr>
        <w:sz w:val="22"/>
      </w:rPr>
    </w:pPr>
    <w:r w:rsidRPr="32A3CB62">
      <w:rPr>
        <w:sz w:val="22"/>
      </w:rPr>
      <w:t>SMR0026730</w:t>
    </w:r>
    <w:r w:rsidR="004051C6" w:rsidRPr="6B319AC9">
      <w:rPr>
        <w:sz w:val="24"/>
        <w:szCs w:val="24"/>
      </w:rPr>
      <w:t xml:space="preserve"> </w:t>
    </w:r>
    <w:r w:rsidR="004051C6" w:rsidRPr="00211346">
      <w:rPr>
        <w:sz w:val="22"/>
      </w:rPr>
      <w:t xml:space="preserve">Issue </w:t>
    </w:r>
    <w:r w:rsidR="004E4EB2">
      <w:rPr>
        <w:sz w:val="22"/>
      </w:rPr>
      <w:t>2</w:t>
    </w:r>
  </w:p>
  <w:p w14:paraId="529BAED8" w14:textId="77777777" w:rsidR="004051C6" w:rsidRPr="004051C6" w:rsidRDefault="009832F8" w:rsidP="004051C6">
    <w:pPr>
      <w:pStyle w:val="Header"/>
      <w:spacing w:after="0"/>
      <w:jc w:val="right"/>
    </w:pPr>
    <w:sdt>
      <w:sdtPr>
        <w:id w:val="-1318336367"/>
        <w:docPartObj>
          <w:docPartGallery w:val="Page Numbers (Top of Page)"/>
          <w:docPartUnique/>
        </w:docPartObj>
      </w:sdtPr>
      <w:sdtEndPr/>
      <w:sdtContent>
        <w:r w:rsidR="004051C6" w:rsidRPr="004051C6">
          <w:t xml:space="preserve">Page </w:t>
        </w:r>
        <w:r w:rsidR="004051C6" w:rsidRPr="004051C6">
          <w:rPr>
            <w:sz w:val="24"/>
            <w:szCs w:val="24"/>
          </w:rPr>
          <w:fldChar w:fldCharType="begin"/>
        </w:r>
        <w:r w:rsidR="004051C6" w:rsidRPr="004051C6">
          <w:instrText xml:space="preserve"> PAGE </w:instrText>
        </w:r>
        <w:r w:rsidR="004051C6" w:rsidRPr="004051C6">
          <w:rPr>
            <w:sz w:val="24"/>
            <w:szCs w:val="24"/>
          </w:rPr>
          <w:fldChar w:fldCharType="separate"/>
        </w:r>
        <w:r w:rsidR="004051C6" w:rsidRPr="004051C6">
          <w:rPr>
            <w:sz w:val="24"/>
            <w:szCs w:val="24"/>
          </w:rPr>
          <w:t>1</w:t>
        </w:r>
        <w:r w:rsidR="004051C6" w:rsidRPr="004051C6">
          <w:rPr>
            <w:sz w:val="24"/>
            <w:szCs w:val="24"/>
          </w:rPr>
          <w:fldChar w:fldCharType="end"/>
        </w:r>
        <w:r w:rsidR="004051C6" w:rsidRPr="004051C6">
          <w:t xml:space="preserve"> of </w:t>
        </w:r>
        <w:r w:rsidR="004051C6">
          <w:fldChar w:fldCharType="begin"/>
        </w:r>
        <w:r w:rsidR="004051C6">
          <w:instrText xml:space="preserve"> NUMPAGES  </w:instrText>
        </w:r>
        <w:r w:rsidR="004051C6">
          <w:fldChar w:fldCharType="separate"/>
        </w:r>
        <w:r w:rsidR="004051C6" w:rsidRPr="004051C6">
          <w:rPr>
            <w:sz w:val="24"/>
            <w:szCs w:val="24"/>
          </w:rPr>
          <w:t>3</w:t>
        </w:r>
        <w:r w:rsidR="004051C6">
          <w:rPr>
            <w:sz w:val="24"/>
            <w:szCs w:val="24"/>
          </w:rPr>
          <w:fldChar w:fldCharType="end"/>
        </w:r>
      </w:sdtContent>
    </w:sdt>
  </w:p>
  <w:p w14:paraId="23414A88" w14:textId="52B9A18A" w:rsidR="004051C6" w:rsidRDefault="004051C6" w:rsidP="004051C6">
    <w:pPr>
      <w:pStyle w:val="Header"/>
      <w:spacing w:after="0"/>
      <w:jc w:val="right"/>
    </w:pPr>
    <w:r w:rsidRPr="00211346">
      <w:rPr>
        <w:sz w:val="22"/>
      </w:rPr>
      <w:t>Retention Category</w:t>
    </w:r>
    <w:r>
      <w:rPr>
        <w:sz w:val="22"/>
      </w:rPr>
      <w:t xml:space="preserve"> </w:t>
    </w:r>
    <w:r w:rsidRPr="00211346">
      <w:rPr>
        <w:sz w:val="22"/>
      </w:rPr>
      <w:t>B</w:t>
    </w:r>
  </w:p>
  <w:p w14:paraId="0B05ABE0" w14:textId="02CE7529" w:rsidR="00211346" w:rsidRPr="000B3B41" w:rsidRDefault="00211346" w:rsidP="000B3B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EA8A" w14:textId="48F6A3AF" w:rsidR="00671FBA" w:rsidRPr="002C0498" w:rsidRDefault="00671FBA" w:rsidP="00671FBA">
    <w:pPr>
      <w:pStyle w:val="SecurityClassification"/>
    </w:pPr>
    <w:r w:rsidRPr="00EA5516">
      <w:rPr>
        <w:noProof/>
        <w:sz w:val="16"/>
        <w:szCs w:val="16"/>
        <w:lang w:eastAsia="en-US"/>
      </w:rPr>
      <w:drawing>
        <wp:anchor distT="0" distB="0" distL="114300" distR="114300" simplePos="0" relativeHeight="251655680" behindDoc="1" locked="0" layoutInCell="1" allowOverlap="1" wp14:anchorId="02E2A369" wp14:editId="4BA3B7EE">
          <wp:simplePos x="0" y="0"/>
          <wp:positionH relativeFrom="page">
            <wp:posOffset>527050</wp:posOffset>
          </wp:positionH>
          <wp:positionV relativeFrom="page">
            <wp:posOffset>233680</wp:posOffset>
          </wp:positionV>
          <wp:extent cx="972000" cy="522000"/>
          <wp:effectExtent l="0" t="0" r="0" b="0"/>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52" descr="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20935"/>
                  <a:stretch/>
                </pic:blipFill>
                <pic:spPr bwMode="auto">
                  <a:xfrm>
                    <a:off x="0" y="0"/>
                    <a:ext cx="972000" cy="52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22943C" w14:textId="77777777" w:rsidR="00671FBA" w:rsidRPr="00BD0AF3" w:rsidRDefault="00671FBA" w:rsidP="00671FBA">
    <w:pPr>
      <w:pStyle w:val="NoSpacing"/>
      <w:rPr>
        <w:lang w:eastAsia="en-GB"/>
      </w:rPr>
    </w:pPr>
  </w:p>
  <w:p w14:paraId="279DC0E1" w14:textId="77777777" w:rsidR="00671FBA" w:rsidRDefault="00671FBA" w:rsidP="00671FBA">
    <w:pPr>
      <w:pStyle w:val="Header"/>
      <w:spacing w:after="0"/>
      <w:jc w:val="right"/>
      <w:rPr>
        <w:sz w:val="18"/>
        <w:szCs w:val="18"/>
      </w:rPr>
    </w:pPr>
  </w:p>
  <w:p w14:paraId="69FD2D9C" w14:textId="2F91FD6F" w:rsidR="00671FBA" w:rsidRPr="001038B7" w:rsidRDefault="00671FBA" w:rsidP="00671FBA">
    <w:pPr>
      <w:pStyle w:val="Header"/>
      <w:spacing w:after="0"/>
      <w:jc w:val="right"/>
      <w:rPr>
        <w:sz w:val="18"/>
        <w:szCs w:val="18"/>
      </w:rPr>
    </w:pPr>
    <w:r w:rsidRPr="001038B7">
      <w:rPr>
        <w:sz w:val="18"/>
        <w:szCs w:val="18"/>
      </w:rPr>
      <w:t>T</w:t>
    </w:r>
    <w:r>
      <w:rPr>
        <w:sz w:val="18"/>
        <w:szCs w:val="18"/>
      </w:rPr>
      <w:t>S-REG-</w:t>
    </w:r>
    <w:r w:rsidR="00A2500E">
      <w:rPr>
        <w:sz w:val="18"/>
        <w:szCs w:val="18"/>
      </w:rPr>
      <w:t>XX</w:t>
    </w:r>
    <w:r w:rsidRPr="001038B7">
      <w:rPr>
        <w:sz w:val="18"/>
        <w:szCs w:val="18"/>
      </w:rPr>
      <w:t xml:space="preserve"> Issue </w:t>
    </w:r>
    <w:r w:rsidR="00A2500E">
      <w:rPr>
        <w:sz w:val="18"/>
        <w:szCs w:val="18"/>
      </w:rPr>
      <w:t>X</w:t>
    </w:r>
  </w:p>
  <w:p w14:paraId="30CBAA84" w14:textId="77777777" w:rsidR="00671FBA" w:rsidRPr="00211346" w:rsidRDefault="00671FBA" w:rsidP="00671FBA">
    <w:pPr>
      <w:pStyle w:val="Header"/>
      <w:spacing w:after="0"/>
      <w:jc w:val="right"/>
      <w:rPr>
        <w:sz w:val="22"/>
      </w:rPr>
    </w:pPr>
    <w:r w:rsidRPr="001038B7">
      <w:rPr>
        <w:sz w:val="18"/>
        <w:szCs w:val="18"/>
      </w:rPr>
      <w:t>[</w:t>
    </w:r>
    <w:r w:rsidRPr="00211346">
      <w:rPr>
        <w:sz w:val="22"/>
      </w:rPr>
      <w:t>Document No] Issue 1</w:t>
    </w:r>
  </w:p>
  <w:p w14:paraId="10595290" w14:textId="77777777" w:rsidR="00671FBA" w:rsidRPr="00211346" w:rsidRDefault="00671FBA" w:rsidP="00671FBA">
    <w:pPr>
      <w:pStyle w:val="Header"/>
      <w:spacing w:after="0"/>
      <w:jc w:val="right"/>
      <w:rPr>
        <w:sz w:val="22"/>
      </w:rPr>
    </w:pPr>
    <w:r w:rsidRPr="00211346">
      <w:rPr>
        <w:sz w:val="22"/>
      </w:rPr>
      <w:t xml:space="preserve">Page </w:t>
    </w:r>
    <w:r>
      <w:rPr>
        <w:sz w:val="22"/>
      </w:rPr>
      <w:t>1</w:t>
    </w:r>
    <w:r w:rsidRPr="00211346">
      <w:rPr>
        <w:sz w:val="22"/>
      </w:rPr>
      <w:t xml:space="preserve"> of </w:t>
    </w:r>
    <w:r>
      <w:rPr>
        <w:sz w:val="22"/>
      </w:rPr>
      <w:t>2</w:t>
    </w:r>
  </w:p>
  <w:p w14:paraId="271B8734" w14:textId="3C57B7ED" w:rsidR="00671FBA" w:rsidRPr="00671FBA" w:rsidRDefault="00671FBA" w:rsidP="00671FBA">
    <w:pPr>
      <w:pStyle w:val="Header"/>
      <w:spacing w:after="0"/>
      <w:jc w:val="right"/>
      <w:rPr>
        <w:sz w:val="22"/>
      </w:rPr>
    </w:pPr>
    <w:r w:rsidRPr="00211346">
      <w:rPr>
        <w:sz w:val="22"/>
      </w:rPr>
      <w:t>Retention Category</w:t>
    </w:r>
    <w:r w:rsidR="000B3B41">
      <w:rPr>
        <w:sz w:val="22"/>
      </w:rPr>
      <w:t xml:space="preserve"> A or</w:t>
    </w:r>
    <w:r w:rsidRPr="00211346">
      <w:rPr>
        <w:sz w:val="22"/>
      </w:rPr>
      <w:t xml:space="preserve">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398706E"/>
    <w:lvl w:ilvl="0">
      <w:start w:val="1"/>
      <w:numFmt w:val="decimal"/>
      <w:pStyle w:val="ListNumber"/>
      <w:lvlText w:val="%1."/>
      <w:lvlJc w:val="left"/>
      <w:pPr>
        <w:tabs>
          <w:tab w:val="num" w:pos="360"/>
        </w:tabs>
        <w:ind w:left="360" w:hanging="360"/>
      </w:pPr>
    </w:lvl>
  </w:abstractNum>
  <w:abstractNum w:abstractNumId="1" w15:restartNumberingAfterBreak="0">
    <w:nsid w:val="00073B90"/>
    <w:multiLevelType w:val="multilevel"/>
    <w:tmpl w:val="5F56EE48"/>
    <w:numStyleLink w:val="SMR"/>
  </w:abstractNum>
  <w:abstractNum w:abstractNumId="2" w15:restartNumberingAfterBreak="0">
    <w:nsid w:val="0186143D"/>
    <w:multiLevelType w:val="multilevel"/>
    <w:tmpl w:val="2C865E74"/>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3EA46FC"/>
    <w:multiLevelType w:val="hybridMultilevel"/>
    <w:tmpl w:val="C3725D5A"/>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 w15:restartNumberingAfterBreak="0">
    <w:nsid w:val="09082FA8"/>
    <w:multiLevelType w:val="hybridMultilevel"/>
    <w:tmpl w:val="6F4C25D2"/>
    <w:lvl w:ilvl="0" w:tplc="2F44C584">
      <w:start w:val="1"/>
      <w:numFmt w:val="decimal"/>
      <w:pStyle w:val="Bullet1"/>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FEB5ED"/>
    <w:multiLevelType w:val="hybridMultilevel"/>
    <w:tmpl w:val="740462EA"/>
    <w:lvl w:ilvl="0" w:tplc="0F32432E">
      <w:start w:val="1"/>
      <w:numFmt w:val="bullet"/>
      <w:lvlText w:val=""/>
      <w:lvlJc w:val="left"/>
      <w:pPr>
        <w:ind w:left="785" w:hanging="360"/>
      </w:pPr>
      <w:rPr>
        <w:rFonts w:ascii="Symbol" w:hAnsi="Symbol" w:hint="default"/>
      </w:rPr>
    </w:lvl>
    <w:lvl w:ilvl="1" w:tplc="9EF49F20">
      <w:start w:val="1"/>
      <w:numFmt w:val="bullet"/>
      <w:lvlText w:val="o"/>
      <w:lvlJc w:val="left"/>
      <w:pPr>
        <w:ind w:left="1505" w:hanging="360"/>
      </w:pPr>
      <w:rPr>
        <w:rFonts w:ascii="Courier New" w:hAnsi="Courier New" w:hint="default"/>
      </w:rPr>
    </w:lvl>
    <w:lvl w:ilvl="2" w:tplc="23C23D26">
      <w:start w:val="1"/>
      <w:numFmt w:val="bullet"/>
      <w:lvlText w:val=""/>
      <w:lvlJc w:val="left"/>
      <w:pPr>
        <w:ind w:left="2225" w:hanging="360"/>
      </w:pPr>
      <w:rPr>
        <w:rFonts w:ascii="Wingdings" w:hAnsi="Wingdings" w:hint="default"/>
      </w:rPr>
    </w:lvl>
    <w:lvl w:ilvl="3" w:tplc="5B60E102">
      <w:start w:val="1"/>
      <w:numFmt w:val="bullet"/>
      <w:lvlText w:val=""/>
      <w:lvlJc w:val="left"/>
      <w:pPr>
        <w:ind w:left="2945" w:hanging="360"/>
      </w:pPr>
      <w:rPr>
        <w:rFonts w:ascii="Symbol" w:hAnsi="Symbol" w:hint="default"/>
      </w:rPr>
    </w:lvl>
    <w:lvl w:ilvl="4" w:tplc="BDD4FB62">
      <w:start w:val="1"/>
      <w:numFmt w:val="bullet"/>
      <w:lvlText w:val="o"/>
      <w:lvlJc w:val="left"/>
      <w:pPr>
        <w:ind w:left="3665" w:hanging="360"/>
      </w:pPr>
      <w:rPr>
        <w:rFonts w:ascii="Courier New" w:hAnsi="Courier New" w:hint="default"/>
      </w:rPr>
    </w:lvl>
    <w:lvl w:ilvl="5" w:tplc="6510A800">
      <w:start w:val="1"/>
      <w:numFmt w:val="bullet"/>
      <w:lvlText w:val=""/>
      <w:lvlJc w:val="left"/>
      <w:pPr>
        <w:ind w:left="4385" w:hanging="360"/>
      </w:pPr>
      <w:rPr>
        <w:rFonts w:ascii="Wingdings" w:hAnsi="Wingdings" w:hint="default"/>
      </w:rPr>
    </w:lvl>
    <w:lvl w:ilvl="6" w:tplc="A5BCBEF6">
      <w:start w:val="1"/>
      <w:numFmt w:val="bullet"/>
      <w:lvlText w:val=""/>
      <w:lvlJc w:val="left"/>
      <w:pPr>
        <w:ind w:left="5105" w:hanging="360"/>
      </w:pPr>
      <w:rPr>
        <w:rFonts w:ascii="Symbol" w:hAnsi="Symbol" w:hint="default"/>
      </w:rPr>
    </w:lvl>
    <w:lvl w:ilvl="7" w:tplc="6570E1AC">
      <w:start w:val="1"/>
      <w:numFmt w:val="bullet"/>
      <w:lvlText w:val="o"/>
      <w:lvlJc w:val="left"/>
      <w:pPr>
        <w:ind w:left="5825" w:hanging="360"/>
      </w:pPr>
      <w:rPr>
        <w:rFonts w:ascii="Courier New" w:hAnsi="Courier New" w:hint="default"/>
      </w:rPr>
    </w:lvl>
    <w:lvl w:ilvl="8" w:tplc="42B0E07A">
      <w:start w:val="1"/>
      <w:numFmt w:val="bullet"/>
      <w:lvlText w:val=""/>
      <w:lvlJc w:val="left"/>
      <w:pPr>
        <w:ind w:left="6545" w:hanging="360"/>
      </w:pPr>
      <w:rPr>
        <w:rFonts w:ascii="Wingdings" w:hAnsi="Wingdings" w:hint="default"/>
      </w:rPr>
    </w:lvl>
  </w:abstractNum>
  <w:abstractNum w:abstractNumId="6" w15:restartNumberingAfterBreak="0">
    <w:nsid w:val="10053A5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231324"/>
    <w:multiLevelType w:val="hybridMultilevel"/>
    <w:tmpl w:val="0748C45A"/>
    <w:lvl w:ilvl="0" w:tplc="7CA8B6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4239D6"/>
    <w:multiLevelType w:val="hybridMultilevel"/>
    <w:tmpl w:val="141829D6"/>
    <w:lvl w:ilvl="0" w:tplc="6C80024E">
      <w:start w:val="1"/>
      <w:numFmt w:val="bullet"/>
      <w:lvlText w:val=""/>
      <w:lvlJc w:val="left"/>
      <w:pPr>
        <w:ind w:left="785" w:hanging="360"/>
      </w:pPr>
      <w:rPr>
        <w:rFonts w:ascii="Symbol" w:hAnsi="Symbol" w:hint="default"/>
      </w:rPr>
    </w:lvl>
    <w:lvl w:ilvl="1" w:tplc="ED8A59C0">
      <w:start w:val="1"/>
      <w:numFmt w:val="bullet"/>
      <w:lvlText w:val="o"/>
      <w:lvlJc w:val="left"/>
      <w:pPr>
        <w:ind w:left="1505" w:hanging="360"/>
      </w:pPr>
      <w:rPr>
        <w:rFonts w:ascii="Courier New" w:hAnsi="Courier New" w:hint="default"/>
      </w:rPr>
    </w:lvl>
    <w:lvl w:ilvl="2" w:tplc="722208D4">
      <w:start w:val="1"/>
      <w:numFmt w:val="bullet"/>
      <w:lvlText w:val=""/>
      <w:lvlJc w:val="left"/>
      <w:pPr>
        <w:ind w:left="2225" w:hanging="360"/>
      </w:pPr>
      <w:rPr>
        <w:rFonts w:ascii="Wingdings" w:hAnsi="Wingdings" w:hint="default"/>
      </w:rPr>
    </w:lvl>
    <w:lvl w:ilvl="3" w:tplc="FB408E80">
      <w:start w:val="1"/>
      <w:numFmt w:val="bullet"/>
      <w:lvlText w:val=""/>
      <w:lvlJc w:val="left"/>
      <w:pPr>
        <w:ind w:left="2945" w:hanging="360"/>
      </w:pPr>
      <w:rPr>
        <w:rFonts w:ascii="Symbol" w:hAnsi="Symbol" w:hint="default"/>
      </w:rPr>
    </w:lvl>
    <w:lvl w:ilvl="4" w:tplc="3244CD8C">
      <w:start w:val="1"/>
      <w:numFmt w:val="bullet"/>
      <w:lvlText w:val="o"/>
      <w:lvlJc w:val="left"/>
      <w:pPr>
        <w:ind w:left="3665" w:hanging="360"/>
      </w:pPr>
      <w:rPr>
        <w:rFonts w:ascii="Courier New" w:hAnsi="Courier New" w:hint="default"/>
      </w:rPr>
    </w:lvl>
    <w:lvl w:ilvl="5" w:tplc="F8F44618">
      <w:start w:val="1"/>
      <w:numFmt w:val="bullet"/>
      <w:lvlText w:val=""/>
      <w:lvlJc w:val="left"/>
      <w:pPr>
        <w:ind w:left="4385" w:hanging="360"/>
      </w:pPr>
      <w:rPr>
        <w:rFonts w:ascii="Wingdings" w:hAnsi="Wingdings" w:hint="default"/>
      </w:rPr>
    </w:lvl>
    <w:lvl w:ilvl="6" w:tplc="897A6F40">
      <w:start w:val="1"/>
      <w:numFmt w:val="bullet"/>
      <w:lvlText w:val=""/>
      <w:lvlJc w:val="left"/>
      <w:pPr>
        <w:ind w:left="5105" w:hanging="360"/>
      </w:pPr>
      <w:rPr>
        <w:rFonts w:ascii="Symbol" w:hAnsi="Symbol" w:hint="default"/>
      </w:rPr>
    </w:lvl>
    <w:lvl w:ilvl="7" w:tplc="7966DFA0">
      <w:start w:val="1"/>
      <w:numFmt w:val="bullet"/>
      <w:lvlText w:val="o"/>
      <w:lvlJc w:val="left"/>
      <w:pPr>
        <w:ind w:left="5825" w:hanging="360"/>
      </w:pPr>
      <w:rPr>
        <w:rFonts w:ascii="Courier New" w:hAnsi="Courier New" w:hint="default"/>
      </w:rPr>
    </w:lvl>
    <w:lvl w:ilvl="8" w:tplc="83D2AF80">
      <w:start w:val="1"/>
      <w:numFmt w:val="bullet"/>
      <w:lvlText w:val=""/>
      <w:lvlJc w:val="left"/>
      <w:pPr>
        <w:ind w:left="6545" w:hanging="360"/>
      </w:pPr>
      <w:rPr>
        <w:rFonts w:ascii="Wingdings" w:hAnsi="Wingdings" w:hint="default"/>
      </w:rPr>
    </w:lvl>
  </w:abstractNum>
  <w:abstractNum w:abstractNumId="9" w15:restartNumberingAfterBreak="0">
    <w:nsid w:val="21FE441C"/>
    <w:multiLevelType w:val="multilevel"/>
    <w:tmpl w:val="5F56EE48"/>
    <w:styleLink w:val="SMR"/>
    <w:lvl w:ilvl="0">
      <w:start w:val="1"/>
      <w:numFmt w:val="decimal"/>
      <w:lvlText w:val="%1."/>
      <w:lvlJc w:val="left"/>
      <w:pPr>
        <w:ind w:left="425" w:hanging="425"/>
      </w:pPr>
      <w:rPr>
        <w:rFonts w:ascii="Arial" w:hAnsi="Arial" w:hint="default"/>
        <w:sz w:val="20"/>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550" w:hanging="425"/>
      </w:pPr>
      <w:rPr>
        <w:rFonts w:hint="default"/>
      </w:rPr>
    </w:lvl>
    <w:lvl w:ilvl="5">
      <w:start w:val="1"/>
      <w:numFmt w:val="lowerRoman"/>
      <w:lvlText w:val="(%6)"/>
      <w:lvlJc w:val="left"/>
      <w:pPr>
        <w:ind w:left="2975" w:hanging="425"/>
      </w:pPr>
      <w:rPr>
        <w:rFonts w:hint="default"/>
      </w:rPr>
    </w:lvl>
    <w:lvl w:ilvl="6">
      <w:start w:val="1"/>
      <w:numFmt w:val="decimal"/>
      <w:lvlText w:val="%7."/>
      <w:lvlJc w:val="left"/>
      <w:pPr>
        <w:ind w:left="3400" w:hanging="425"/>
      </w:pPr>
      <w:rPr>
        <w:rFonts w:hint="default"/>
      </w:rPr>
    </w:lvl>
    <w:lvl w:ilvl="7">
      <w:start w:val="1"/>
      <w:numFmt w:val="lowerLetter"/>
      <w:lvlText w:val="%8."/>
      <w:lvlJc w:val="left"/>
      <w:pPr>
        <w:ind w:left="3825" w:hanging="425"/>
      </w:pPr>
      <w:rPr>
        <w:rFonts w:hint="default"/>
      </w:rPr>
    </w:lvl>
    <w:lvl w:ilvl="8">
      <w:start w:val="1"/>
      <w:numFmt w:val="lowerRoman"/>
      <w:lvlText w:val="%9."/>
      <w:lvlJc w:val="left"/>
      <w:pPr>
        <w:ind w:left="4250" w:hanging="425"/>
      </w:pPr>
      <w:rPr>
        <w:rFonts w:hint="default"/>
      </w:rPr>
    </w:lvl>
  </w:abstractNum>
  <w:abstractNum w:abstractNumId="10" w15:restartNumberingAfterBreak="0">
    <w:nsid w:val="252F3033"/>
    <w:multiLevelType w:val="hybridMultilevel"/>
    <w:tmpl w:val="13D06C0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A2A5513"/>
    <w:multiLevelType w:val="multilevel"/>
    <w:tmpl w:val="5F56EE48"/>
    <w:numStyleLink w:val="SMR"/>
  </w:abstractNum>
  <w:abstractNum w:abstractNumId="12" w15:restartNumberingAfterBreak="0">
    <w:nsid w:val="311369A9"/>
    <w:multiLevelType w:val="hybridMultilevel"/>
    <w:tmpl w:val="90605758"/>
    <w:lvl w:ilvl="0" w:tplc="2BBEA5BC">
      <w:start w:val="1"/>
      <w:numFmt w:val="bullet"/>
      <w:lvlText w:val=""/>
      <w:lvlJc w:val="left"/>
      <w:pPr>
        <w:ind w:left="785" w:hanging="360"/>
      </w:pPr>
      <w:rPr>
        <w:rFonts w:ascii="Symbol" w:hAnsi="Symbol" w:hint="default"/>
      </w:rPr>
    </w:lvl>
    <w:lvl w:ilvl="1" w:tplc="A08A4C6C">
      <w:start w:val="1"/>
      <w:numFmt w:val="bullet"/>
      <w:lvlText w:val="o"/>
      <w:lvlJc w:val="left"/>
      <w:pPr>
        <w:ind w:left="1505" w:hanging="360"/>
      </w:pPr>
      <w:rPr>
        <w:rFonts w:ascii="Courier New" w:hAnsi="Courier New" w:hint="default"/>
      </w:rPr>
    </w:lvl>
    <w:lvl w:ilvl="2" w:tplc="4EE88D74">
      <w:start w:val="1"/>
      <w:numFmt w:val="bullet"/>
      <w:lvlText w:val=""/>
      <w:lvlJc w:val="left"/>
      <w:pPr>
        <w:ind w:left="2225" w:hanging="360"/>
      </w:pPr>
      <w:rPr>
        <w:rFonts w:ascii="Wingdings" w:hAnsi="Wingdings" w:hint="default"/>
      </w:rPr>
    </w:lvl>
    <w:lvl w:ilvl="3" w:tplc="2436894E">
      <w:start w:val="1"/>
      <w:numFmt w:val="bullet"/>
      <w:lvlText w:val=""/>
      <w:lvlJc w:val="left"/>
      <w:pPr>
        <w:ind w:left="2945" w:hanging="360"/>
      </w:pPr>
      <w:rPr>
        <w:rFonts w:ascii="Symbol" w:hAnsi="Symbol" w:hint="default"/>
      </w:rPr>
    </w:lvl>
    <w:lvl w:ilvl="4" w:tplc="DD7453E2">
      <w:start w:val="1"/>
      <w:numFmt w:val="bullet"/>
      <w:lvlText w:val="o"/>
      <w:lvlJc w:val="left"/>
      <w:pPr>
        <w:ind w:left="3665" w:hanging="360"/>
      </w:pPr>
      <w:rPr>
        <w:rFonts w:ascii="Courier New" w:hAnsi="Courier New" w:hint="default"/>
      </w:rPr>
    </w:lvl>
    <w:lvl w:ilvl="5" w:tplc="84FE8CA8">
      <w:start w:val="1"/>
      <w:numFmt w:val="bullet"/>
      <w:lvlText w:val=""/>
      <w:lvlJc w:val="left"/>
      <w:pPr>
        <w:ind w:left="4385" w:hanging="360"/>
      </w:pPr>
      <w:rPr>
        <w:rFonts w:ascii="Wingdings" w:hAnsi="Wingdings" w:hint="default"/>
      </w:rPr>
    </w:lvl>
    <w:lvl w:ilvl="6" w:tplc="9DF43CD6">
      <w:start w:val="1"/>
      <w:numFmt w:val="bullet"/>
      <w:lvlText w:val=""/>
      <w:lvlJc w:val="left"/>
      <w:pPr>
        <w:ind w:left="5105" w:hanging="360"/>
      </w:pPr>
      <w:rPr>
        <w:rFonts w:ascii="Symbol" w:hAnsi="Symbol" w:hint="default"/>
      </w:rPr>
    </w:lvl>
    <w:lvl w:ilvl="7" w:tplc="60D42490">
      <w:start w:val="1"/>
      <w:numFmt w:val="bullet"/>
      <w:lvlText w:val="o"/>
      <w:lvlJc w:val="left"/>
      <w:pPr>
        <w:ind w:left="5825" w:hanging="360"/>
      </w:pPr>
      <w:rPr>
        <w:rFonts w:ascii="Courier New" w:hAnsi="Courier New" w:hint="default"/>
      </w:rPr>
    </w:lvl>
    <w:lvl w:ilvl="8" w:tplc="2B5825B2">
      <w:start w:val="1"/>
      <w:numFmt w:val="bullet"/>
      <w:lvlText w:val=""/>
      <w:lvlJc w:val="left"/>
      <w:pPr>
        <w:ind w:left="6545" w:hanging="360"/>
      </w:pPr>
      <w:rPr>
        <w:rFonts w:ascii="Wingdings" w:hAnsi="Wingdings" w:hint="default"/>
      </w:rPr>
    </w:lvl>
  </w:abstractNum>
  <w:abstractNum w:abstractNumId="13" w15:restartNumberingAfterBreak="0">
    <w:nsid w:val="314A1FCC"/>
    <w:multiLevelType w:val="hybridMultilevel"/>
    <w:tmpl w:val="1F66D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65094E"/>
    <w:multiLevelType w:val="hybridMultilevel"/>
    <w:tmpl w:val="72128E7A"/>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5" w15:restartNumberingAfterBreak="0">
    <w:nsid w:val="44663A44"/>
    <w:multiLevelType w:val="hybridMultilevel"/>
    <w:tmpl w:val="9A40FED6"/>
    <w:lvl w:ilvl="0" w:tplc="0D6675F2">
      <w:start w:val="1"/>
      <w:numFmt w:val="bullet"/>
      <w:lvlText w:val=""/>
      <w:lvlJc w:val="left"/>
      <w:pPr>
        <w:ind w:left="785" w:hanging="360"/>
      </w:pPr>
      <w:rPr>
        <w:rFonts w:ascii="Symbol" w:hAnsi="Symbol" w:hint="default"/>
      </w:rPr>
    </w:lvl>
    <w:lvl w:ilvl="1" w:tplc="497C9914">
      <w:start w:val="1"/>
      <w:numFmt w:val="bullet"/>
      <w:lvlText w:val="o"/>
      <w:lvlJc w:val="left"/>
      <w:pPr>
        <w:ind w:left="1505" w:hanging="360"/>
      </w:pPr>
      <w:rPr>
        <w:rFonts w:ascii="Courier New" w:hAnsi="Courier New" w:hint="default"/>
      </w:rPr>
    </w:lvl>
    <w:lvl w:ilvl="2" w:tplc="0016CDE4">
      <w:start w:val="1"/>
      <w:numFmt w:val="bullet"/>
      <w:lvlText w:val=""/>
      <w:lvlJc w:val="left"/>
      <w:pPr>
        <w:ind w:left="2225" w:hanging="360"/>
      </w:pPr>
      <w:rPr>
        <w:rFonts w:ascii="Wingdings" w:hAnsi="Wingdings" w:hint="default"/>
      </w:rPr>
    </w:lvl>
    <w:lvl w:ilvl="3" w:tplc="40A46568">
      <w:start w:val="1"/>
      <w:numFmt w:val="bullet"/>
      <w:lvlText w:val=""/>
      <w:lvlJc w:val="left"/>
      <w:pPr>
        <w:ind w:left="2945" w:hanging="360"/>
      </w:pPr>
      <w:rPr>
        <w:rFonts w:ascii="Symbol" w:hAnsi="Symbol" w:hint="default"/>
      </w:rPr>
    </w:lvl>
    <w:lvl w:ilvl="4" w:tplc="CEC03A32">
      <w:start w:val="1"/>
      <w:numFmt w:val="bullet"/>
      <w:lvlText w:val="o"/>
      <w:lvlJc w:val="left"/>
      <w:pPr>
        <w:ind w:left="3665" w:hanging="360"/>
      </w:pPr>
      <w:rPr>
        <w:rFonts w:ascii="Courier New" w:hAnsi="Courier New" w:hint="default"/>
      </w:rPr>
    </w:lvl>
    <w:lvl w:ilvl="5" w:tplc="FADC62B2">
      <w:start w:val="1"/>
      <w:numFmt w:val="bullet"/>
      <w:lvlText w:val=""/>
      <w:lvlJc w:val="left"/>
      <w:pPr>
        <w:ind w:left="4385" w:hanging="360"/>
      </w:pPr>
      <w:rPr>
        <w:rFonts w:ascii="Wingdings" w:hAnsi="Wingdings" w:hint="default"/>
      </w:rPr>
    </w:lvl>
    <w:lvl w:ilvl="6" w:tplc="BF546C98">
      <w:start w:val="1"/>
      <w:numFmt w:val="bullet"/>
      <w:lvlText w:val=""/>
      <w:lvlJc w:val="left"/>
      <w:pPr>
        <w:ind w:left="5105" w:hanging="360"/>
      </w:pPr>
      <w:rPr>
        <w:rFonts w:ascii="Symbol" w:hAnsi="Symbol" w:hint="default"/>
      </w:rPr>
    </w:lvl>
    <w:lvl w:ilvl="7" w:tplc="9A0E9ACE">
      <w:start w:val="1"/>
      <w:numFmt w:val="bullet"/>
      <w:lvlText w:val="o"/>
      <w:lvlJc w:val="left"/>
      <w:pPr>
        <w:ind w:left="5825" w:hanging="360"/>
      </w:pPr>
      <w:rPr>
        <w:rFonts w:ascii="Courier New" w:hAnsi="Courier New" w:hint="default"/>
      </w:rPr>
    </w:lvl>
    <w:lvl w:ilvl="8" w:tplc="7F9863EE">
      <w:start w:val="1"/>
      <w:numFmt w:val="bullet"/>
      <w:lvlText w:val=""/>
      <w:lvlJc w:val="left"/>
      <w:pPr>
        <w:ind w:left="6545" w:hanging="360"/>
      </w:pPr>
      <w:rPr>
        <w:rFonts w:ascii="Wingdings" w:hAnsi="Wingdings" w:hint="default"/>
      </w:rPr>
    </w:lvl>
  </w:abstractNum>
  <w:abstractNum w:abstractNumId="16" w15:restartNumberingAfterBreak="0">
    <w:nsid w:val="45157603"/>
    <w:multiLevelType w:val="hybridMultilevel"/>
    <w:tmpl w:val="E30E146C"/>
    <w:lvl w:ilvl="0" w:tplc="B68CBE1A">
      <w:start w:val="1"/>
      <w:numFmt w:val="bullet"/>
      <w:pStyle w:val="Bullet2"/>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83419B"/>
    <w:multiLevelType w:val="hybridMultilevel"/>
    <w:tmpl w:val="DDEC3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F42812"/>
    <w:multiLevelType w:val="hybridMultilevel"/>
    <w:tmpl w:val="048CA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61352E"/>
    <w:multiLevelType w:val="multilevel"/>
    <w:tmpl w:val="5F56EE48"/>
    <w:numStyleLink w:val="SMR"/>
  </w:abstractNum>
  <w:abstractNum w:abstractNumId="20" w15:restartNumberingAfterBreak="0">
    <w:nsid w:val="4F582B31"/>
    <w:multiLevelType w:val="hybridMultilevel"/>
    <w:tmpl w:val="5F26908C"/>
    <w:lvl w:ilvl="0" w:tplc="EDB61754">
      <w:start w:val="1"/>
      <w:numFmt w:val="decimal"/>
      <w:lvlText w:val="%1."/>
      <w:lvlJc w:val="left"/>
      <w:pPr>
        <w:ind w:left="1020" w:hanging="360"/>
      </w:pPr>
    </w:lvl>
    <w:lvl w:ilvl="1" w:tplc="4106DB1A">
      <w:start w:val="1"/>
      <w:numFmt w:val="decimal"/>
      <w:lvlText w:val="%2."/>
      <w:lvlJc w:val="left"/>
      <w:pPr>
        <w:ind w:left="1020" w:hanging="360"/>
      </w:pPr>
    </w:lvl>
    <w:lvl w:ilvl="2" w:tplc="F0C0B7D6">
      <w:start w:val="1"/>
      <w:numFmt w:val="decimal"/>
      <w:lvlText w:val="%3."/>
      <w:lvlJc w:val="left"/>
      <w:pPr>
        <w:ind w:left="1020" w:hanging="360"/>
      </w:pPr>
    </w:lvl>
    <w:lvl w:ilvl="3" w:tplc="2FCADD5C">
      <w:start w:val="1"/>
      <w:numFmt w:val="decimal"/>
      <w:lvlText w:val="%4."/>
      <w:lvlJc w:val="left"/>
      <w:pPr>
        <w:ind w:left="1020" w:hanging="360"/>
      </w:pPr>
    </w:lvl>
    <w:lvl w:ilvl="4" w:tplc="C204C4C2">
      <w:start w:val="1"/>
      <w:numFmt w:val="decimal"/>
      <w:lvlText w:val="%5."/>
      <w:lvlJc w:val="left"/>
      <w:pPr>
        <w:ind w:left="1020" w:hanging="360"/>
      </w:pPr>
    </w:lvl>
    <w:lvl w:ilvl="5" w:tplc="E716CE92">
      <w:start w:val="1"/>
      <w:numFmt w:val="decimal"/>
      <w:lvlText w:val="%6."/>
      <w:lvlJc w:val="left"/>
      <w:pPr>
        <w:ind w:left="1020" w:hanging="360"/>
      </w:pPr>
    </w:lvl>
    <w:lvl w:ilvl="6" w:tplc="641E2AFE">
      <w:start w:val="1"/>
      <w:numFmt w:val="decimal"/>
      <w:lvlText w:val="%7."/>
      <w:lvlJc w:val="left"/>
      <w:pPr>
        <w:ind w:left="1020" w:hanging="360"/>
      </w:pPr>
    </w:lvl>
    <w:lvl w:ilvl="7" w:tplc="CE9A749E">
      <w:start w:val="1"/>
      <w:numFmt w:val="decimal"/>
      <w:lvlText w:val="%8."/>
      <w:lvlJc w:val="left"/>
      <w:pPr>
        <w:ind w:left="1020" w:hanging="360"/>
      </w:pPr>
    </w:lvl>
    <w:lvl w:ilvl="8" w:tplc="4026798A">
      <w:start w:val="1"/>
      <w:numFmt w:val="decimal"/>
      <w:lvlText w:val="%9."/>
      <w:lvlJc w:val="left"/>
      <w:pPr>
        <w:ind w:left="1020" w:hanging="360"/>
      </w:pPr>
    </w:lvl>
  </w:abstractNum>
  <w:abstractNum w:abstractNumId="21" w15:restartNumberingAfterBreak="0">
    <w:nsid w:val="54E21D02"/>
    <w:multiLevelType w:val="hybridMultilevel"/>
    <w:tmpl w:val="7DA0C8C4"/>
    <w:lvl w:ilvl="0" w:tplc="2CECDBDE">
      <w:start w:val="1"/>
      <w:numFmt w:val="decimal"/>
      <w:lvlText w:val="%1."/>
      <w:lvlJc w:val="left"/>
      <w:pPr>
        <w:ind w:left="1134" w:hanging="709"/>
      </w:pPr>
      <w:rPr>
        <w:rFonts w:hint="default"/>
      </w:rPr>
    </w:lvl>
    <w:lvl w:ilvl="1" w:tplc="8D300F1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44658F"/>
    <w:multiLevelType w:val="hybridMultilevel"/>
    <w:tmpl w:val="EA4622A2"/>
    <w:lvl w:ilvl="0" w:tplc="347C0910">
      <w:start w:val="1"/>
      <w:numFmt w:val="decimal"/>
      <w:pStyle w:val="ReferenceList"/>
      <w:lvlText w:val="%1."/>
      <w:lvlJc w:val="left"/>
      <w:pPr>
        <w:ind w:left="425" w:hanging="42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E25BD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E492382"/>
    <w:multiLevelType w:val="hybridMultilevel"/>
    <w:tmpl w:val="EAB01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635277"/>
    <w:multiLevelType w:val="multilevel"/>
    <w:tmpl w:val="5F56EE48"/>
    <w:numStyleLink w:val="SMR"/>
  </w:abstractNum>
  <w:abstractNum w:abstractNumId="26" w15:restartNumberingAfterBreak="0">
    <w:nsid w:val="7CB57D20"/>
    <w:multiLevelType w:val="multilevel"/>
    <w:tmpl w:val="5F56EE48"/>
    <w:numStyleLink w:val="SMR"/>
  </w:abstractNum>
  <w:num w:numId="1" w16cid:durableId="1808623994">
    <w:abstractNumId w:val="12"/>
  </w:num>
  <w:num w:numId="2" w16cid:durableId="1512987931">
    <w:abstractNumId w:val="8"/>
  </w:num>
  <w:num w:numId="3" w16cid:durableId="2068600913">
    <w:abstractNumId w:val="15"/>
  </w:num>
  <w:num w:numId="4" w16cid:durableId="70546385">
    <w:abstractNumId w:val="5"/>
  </w:num>
  <w:num w:numId="5" w16cid:durableId="1216239533">
    <w:abstractNumId w:val="9"/>
  </w:num>
  <w:num w:numId="6" w16cid:durableId="657030127">
    <w:abstractNumId w:val="4"/>
  </w:num>
  <w:num w:numId="7" w16cid:durableId="1293364324">
    <w:abstractNumId w:val="0"/>
  </w:num>
  <w:num w:numId="8" w16cid:durableId="1951816892">
    <w:abstractNumId w:val="19"/>
  </w:num>
  <w:num w:numId="9" w16cid:durableId="1551765354">
    <w:abstractNumId w:val="11"/>
  </w:num>
  <w:num w:numId="10" w16cid:durableId="901401575">
    <w:abstractNumId w:val="23"/>
  </w:num>
  <w:num w:numId="11" w16cid:durableId="1672639161">
    <w:abstractNumId w:val="6"/>
  </w:num>
  <w:num w:numId="12" w16cid:durableId="2017534183">
    <w:abstractNumId w:val="26"/>
  </w:num>
  <w:num w:numId="13" w16cid:durableId="2116361758">
    <w:abstractNumId w:val="1"/>
  </w:num>
  <w:num w:numId="14" w16cid:durableId="342518432">
    <w:abstractNumId w:val="25"/>
  </w:num>
  <w:num w:numId="15" w16cid:durableId="704257778">
    <w:abstractNumId w:val="21"/>
  </w:num>
  <w:num w:numId="16" w16cid:durableId="1307272295">
    <w:abstractNumId w:val="21"/>
    <w:lvlOverride w:ilvl="0">
      <w:startOverride w:val="1"/>
    </w:lvlOverride>
  </w:num>
  <w:num w:numId="17" w16cid:durableId="913969887">
    <w:abstractNumId w:val="22"/>
  </w:num>
  <w:num w:numId="18" w16cid:durableId="722410114">
    <w:abstractNumId w:val="22"/>
  </w:num>
  <w:num w:numId="19" w16cid:durableId="1701777354">
    <w:abstractNumId w:val="17"/>
  </w:num>
  <w:num w:numId="20" w16cid:durableId="898058735">
    <w:abstractNumId w:val="16"/>
  </w:num>
  <w:num w:numId="21" w16cid:durableId="1770085037">
    <w:abstractNumId w:val="10"/>
  </w:num>
  <w:num w:numId="22" w16cid:durableId="1007951533">
    <w:abstractNumId w:val="3"/>
  </w:num>
  <w:num w:numId="23" w16cid:durableId="2078476596">
    <w:abstractNumId w:val="14"/>
  </w:num>
  <w:num w:numId="24" w16cid:durableId="1777021477">
    <w:abstractNumId w:val="24"/>
  </w:num>
  <w:num w:numId="25" w16cid:durableId="576477237">
    <w:abstractNumId w:val="13"/>
  </w:num>
  <w:num w:numId="26" w16cid:durableId="795029965">
    <w:abstractNumId w:val="18"/>
  </w:num>
  <w:num w:numId="27" w16cid:durableId="1278026711">
    <w:abstractNumId w:val="7"/>
  </w:num>
  <w:num w:numId="28" w16cid:durableId="1903715020">
    <w:abstractNumId w:val="2"/>
  </w:num>
  <w:num w:numId="29" w16cid:durableId="533541804">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hideSpellingErrors/>
  <w:hideGrammaticalError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48"/>
    <w:rsid w:val="00000222"/>
    <w:rsid w:val="000013FE"/>
    <w:rsid w:val="00001D64"/>
    <w:rsid w:val="00004513"/>
    <w:rsid w:val="00004DFD"/>
    <w:rsid w:val="00004FEC"/>
    <w:rsid w:val="000059B0"/>
    <w:rsid w:val="00006D6C"/>
    <w:rsid w:val="00011EAD"/>
    <w:rsid w:val="00012935"/>
    <w:rsid w:val="00013167"/>
    <w:rsid w:val="000145AF"/>
    <w:rsid w:val="00014ADD"/>
    <w:rsid w:val="00015415"/>
    <w:rsid w:val="00015548"/>
    <w:rsid w:val="00015C78"/>
    <w:rsid w:val="00016AE4"/>
    <w:rsid w:val="00016AFC"/>
    <w:rsid w:val="00020E96"/>
    <w:rsid w:val="00023A4D"/>
    <w:rsid w:val="00023CB5"/>
    <w:rsid w:val="000244AE"/>
    <w:rsid w:val="0002519E"/>
    <w:rsid w:val="00025213"/>
    <w:rsid w:val="0002562A"/>
    <w:rsid w:val="0002617C"/>
    <w:rsid w:val="00026A2A"/>
    <w:rsid w:val="0002779C"/>
    <w:rsid w:val="000320BF"/>
    <w:rsid w:val="0003494A"/>
    <w:rsid w:val="00037F85"/>
    <w:rsid w:val="0003C3C9"/>
    <w:rsid w:val="00040CD5"/>
    <w:rsid w:val="0004345D"/>
    <w:rsid w:val="00044E4B"/>
    <w:rsid w:val="00046486"/>
    <w:rsid w:val="00046751"/>
    <w:rsid w:val="000471AE"/>
    <w:rsid w:val="000474FF"/>
    <w:rsid w:val="00050930"/>
    <w:rsid w:val="00051282"/>
    <w:rsid w:val="000516BF"/>
    <w:rsid w:val="00051C51"/>
    <w:rsid w:val="00054301"/>
    <w:rsid w:val="000547C7"/>
    <w:rsid w:val="00055008"/>
    <w:rsid w:val="00055298"/>
    <w:rsid w:val="00056069"/>
    <w:rsid w:val="00056639"/>
    <w:rsid w:val="00056731"/>
    <w:rsid w:val="00056F48"/>
    <w:rsid w:val="0006015B"/>
    <w:rsid w:val="0006104D"/>
    <w:rsid w:val="000610EC"/>
    <w:rsid w:val="00061C65"/>
    <w:rsid w:val="000627F1"/>
    <w:rsid w:val="00063892"/>
    <w:rsid w:val="00063898"/>
    <w:rsid w:val="000639B9"/>
    <w:rsid w:val="000647B8"/>
    <w:rsid w:val="000648C3"/>
    <w:rsid w:val="00066829"/>
    <w:rsid w:val="00067243"/>
    <w:rsid w:val="00070244"/>
    <w:rsid w:val="000709FE"/>
    <w:rsid w:val="00071189"/>
    <w:rsid w:val="00071203"/>
    <w:rsid w:val="000714B2"/>
    <w:rsid w:val="00071DC9"/>
    <w:rsid w:val="00072C50"/>
    <w:rsid w:val="0007536F"/>
    <w:rsid w:val="00075B33"/>
    <w:rsid w:val="00076F76"/>
    <w:rsid w:val="00077468"/>
    <w:rsid w:val="0007781B"/>
    <w:rsid w:val="00077BE0"/>
    <w:rsid w:val="00080A50"/>
    <w:rsid w:val="000810AE"/>
    <w:rsid w:val="00081785"/>
    <w:rsid w:val="0008202B"/>
    <w:rsid w:val="00084504"/>
    <w:rsid w:val="000854A2"/>
    <w:rsid w:val="00085C9F"/>
    <w:rsid w:val="00086C6B"/>
    <w:rsid w:val="000877B3"/>
    <w:rsid w:val="0009226D"/>
    <w:rsid w:val="00092E42"/>
    <w:rsid w:val="00093BD0"/>
    <w:rsid w:val="00094718"/>
    <w:rsid w:val="0009476E"/>
    <w:rsid w:val="00095197"/>
    <w:rsid w:val="000953F3"/>
    <w:rsid w:val="00095929"/>
    <w:rsid w:val="00095B31"/>
    <w:rsid w:val="00095C2A"/>
    <w:rsid w:val="00096687"/>
    <w:rsid w:val="0009705F"/>
    <w:rsid w:val="00097A11"/>
    <w:rsid w:val="000A1244"/>
    <w:rsid w:val="000A3800"/>
    <w:rsid w:val="000A3DB1"/>
    <w:rsid w:val="000A3DC3"/>
    <w:rsid w:val="000A5443"/>
    <w:rsid w:val="000A65C0"/>
    <w:rsid w:val="000A668B"/>
    <w:rsid w:val="000A7491"/>
    <w:rsid w:val="000B0CD0"/>
    <w:rsid w:val="000B1EE0"/>
    <w:rsid w:val="000B284E"/>
    <w:rsid w:val="000B2A1D"/>
    <w:rsid w:val="000B2AD2"/>
    <w:rsid w:val="000B2C2C"/>
    <w:rsid w:val="000B2D07"/>
    <w:rsid w:val="000B3B41"/>
    <w:rsid w:val="000B436B"/>
    <w:rsid w:val="000B47A4"/>
    <w:rsid w:val="000B7AD6"/>
    <w:rsid w:val="000C0682"/>
    <w:rsid w:val="000C0CAC"/>
    <w:rsid w:val="000C1070"/>
    <w:rsid w:val="000C2FF7"/>
    <w:rsid w:val="000C57E6"/>
    <w:rsid w:val="000C66C2"/>
    <w:rsid w:val="000C6A96"/>
    <w:rsid w:val="000C7FB9"/>
    <w:rsid w:val="000D05F9"/>
    <w:rsid w:val="000D1E98"/>
    <w:rsid w:val="000D4E5D"/>
    <w:rsid w:val="000D55EC"/>
    <w:rsid w:val="000D567B"/>
    <w:rsid w:val="000D57DC"/>
    <w:rsid w:val="000D6219"/>
    <w:rsid w:val="000D754D"/>
    <w:rsid w:val="000E145B"/>
    <w:rsid w:val="000E1501"/>
    <w:rsid w:val="000E2DC0"/>
    <w:rsid w:val="000E3398"/>
    <w:rsid w:val="000E439E"/>
    <w:rsid w:val="000E44CD"/>
    <w:rsid w:val="000E6969"/>
    <w:rsid w:val="000E6FDC"/>
    <w:rsid w:val="000E70F2"/>
    <w:rsid w:val="000E73A4"/>
    <w:rsid w:val="000F075D"/>
    <w:rsid w:val="000F1CA5"/>
    <w:rsid w:val="000F2B30"/>
    <w:rsid w:val="000F34AD"/>
    <w:rsid w:val="000F4AA0"/>
    <w:rsid w:val="000F4F0B"/>
    <w:rsid w:val="000F5845"/>
    <w:rsid w:val="000F79A5"/>
    <w:rsid w:val="000F7CC7"/>
    <w:rsid w:val="000F7E0C"/>
    <w:rsid w:val="001022B4"/>
    <w:rsid w:val="0010258B"/>
    <w:rsid w:val="00102720"/>
    <w:rsid w:val="001038B7"/>
    <w:rsid w:val="00103C97"/>
    <w:rsid w:val="00105CC9"/>
    <w:rsid w:val="001063C5"/>
    <w:rsid w:val="00106C1E"/>
    <w:rsid w:val="0010782E"/>
    <w:rsid w:val="0011115A"/>
    <w:rsid w:val="001115C3"/>
    <w:rsid w:val="00111A75"/>
    <w:rsid w:val="0011218C"/>
    <w:rsid w:val="00112627"/>
    <w:rsid w:val="00112FB0"/>
    <w:rsid w:val="0011309D"/>
    <w:rsid w:val="00114271"/>
    <w:rsid w:val="0011527A"/>
    <w:rsid w:val="00115912"/>
    <w:rsid w:val="001164F7"/>
    <w:rsid w:val="001166AF"/>
    <w:rsid w:val="00117014"/>
    <w:rsid w:val="00117A8D"/>
    <w:rsid w:val="00117F28"/>
    <w:rsid w:val="001203BF"/>
    <w:rsid w:val="00120C0E"/>
    <w:rsid w:val="00122036"/>
    <w:rsid w:val="00122277"/>
    <w:rsid w:val="00123EB1"/>
    <w:rsid w:val="00124C6E"/>
    <w:rsid w:val="0012568B"/>
    <w:rsid w:val="00126B9B"/>
    <w:rsid w:val="00130FB3"/>
    <w:rsid w:val="00132899"/>
    <w:rsid w:val="00133BC1"/>
    <w:rsid w:val="001364EF"/>
    <w:rsid w:val="00136D1C"/>
    <w:rsid w:val="00136E09"/>
    <w:rsid w:val="001418C4"/>
    <w:rsid w:val="00142741"/>
    <w:rsid w:val="0014347B"/>
    <w:rsid w:val="00144BAB"/>
    <w:rsid w:val="00144FB9"/>
    <w:rsid w:val="00146B51"/>
    <w:rsid w:val="001508BE"/>
    <w:rsid w:val="00150BCA"/>
    <w:rsid w:val="00151A13"/>
    <w:rsid w:val="00151A31"/>
    <w:rsid w:val="001538A6"/>
    <w:rsid w:val="001541CA"/>
    <w:rsid w:val="00154A5C"/>
    <w:rsid w:val="001557DF"/>
    <w:rsid w:val="001562F4"/>
    <w:rsid w:val="0015672E"/>
    <w:rsid w:val="001571EB"/>
    <w:rsid w:val="0016077B"/>
    <w:rsid w:val="00161250"/>
    <w:rsid w:val="00163963"/>
    <w:rsid w:val="00164687"/>
    <w:rsid w:val="00164F93"/>
    <w:rsid w:val="00165025"/>
    <w:rsid w:val="001658A5"/>
    <w:rsid w:val="001659AC"/>
    <w:rsid w:val="00170267"/>
    <w:rsid w:val="00171B33"/>
    <w:rsid w:val="00172841"/>
    <w:rsid w:val="001735F2"/>
    <w:rsid w:val="0017433E"/>
    <w:rsid w:val="00174351"/>
    <w:rsid w:val="00175DFF"/>
    <w:rsid w:val="00177025"/>
    <w:rsid w:val="001778E6"/>
    <w:rsid w:val="00177FC7"/>
    <w:rsid w:val="00181626"/>
    <w:rsid w:val="001819E7"/>
    <w:rsid w:val="001825E6"/>
    <w:rsid w:val="00184619"/>
    <w:rsid w:val="00184745"/>
    <w:rsid w:val="0018479C"/>
    <w:rsid w:val="00187423"/>
    <w:rsid w:val="00187547"/>
    <w:rsid w:val="001905BB"/>
    <w:rsid w:val="00191953"/>
    <w:rsid w:val="001919A2"/>
    <w:rsid w:val="001925BF"/>
    <w:rsid w:val="00192683"/>
    <w:rsid w:val="00192CEA"/>
    <w:rsid w:val="0019321F"/>
    <w:rsid w:val="00193678"/>
    <w:rsid w:val="00193780"/>
    <w:rsid w:val="0019509A"/>
    <w:rsid w:val="001952CC"/>
    <w:rsid w:val="00195532"/>
    <w:rsid w:val="00197F98"/>
    <w:rsid w:val="001A1E57"/>
    <w:rsid w:val="001A325C"/>
    <w:rsid w:val="001A480C"/>
    <w:rsid w:val="001A5693"/>
    <w:rsid w:val="001A59E7"/>
    <w:rsid w:val="001A6B0C"/>
    <w:rsid w:val="001A6BC0"/>
    <w:rsid w:val="001B0B6A"/>
    <w:rsid w:val="001B2C5E"/>
    <w:rsid w:val="001B5A07"/>
    <w:rsid w:val="001B72CA"/>
    <w:rsid w:val="001C074A"/>
    <w:rsid w:val="001C0B3F"/>
    <w:rsid w:val="001C0E36"/>
    <w:rsid w:val="001C14C3"/>
    <w:rsid w:val="001C15DD"/>
    <w:rsid w:val="001C15EB"/>
    <w:rsid w:val="001C2C05"/>
    <w:rsid w:val="001C2C68"/>
    <w:rsid w:val="001C4C23"/>
    <w:rsid w:val="001C4CC9"/>
    <w:rsid w:val="001C53C6"/>
    <w:rsid w:val="001C6483"/>
    <w:rsid w:val="001C77DB"/>
    <w:rsid w:val="001C7990"/>
    <w:rsid w:val="001D007A"/>
    <w:rsid w:val="001D0BBF"/>
    <w:rsid w:val="001D1B99"/>
    <w:rsid w:val="001D1D12"/>
    <w:rsid w:val="001D2915"/>
    <w:rsid w:val="001D2EC7"/>
    <w:rsid w:val="001D68F2"/>
    <w:rsid w:val="001E22EE"/>
    <w:rsid w:val="001E2362"/>
    <w:rsid w:val="001E2FCA"/>
    <w:rsid w:val="001E35A2"/>
    <w:rsid w:val="001E3EC9"/>
    <w:rsid w:val="001E5FE0"/>
    <w:rsid w:val="001E6274"/>
    <w:rsid w:val="001E6705"/>
    <w:rsid w:val="001F01AA"/>
    <w:rsid w:val="001F0344"/>
    <w:rsid w:val="001F243F"/>
    <w:rsid w:val="001F27B2"/>
    <w:rsid w:val="001F3700"/>
    <w:rsid w:val="001F3755"/>
    <w:rsid w:val="001F47F2"/>
    <w:rsid w:val="002005D8"/>
    <w:rsid w:val="00201FE5"/>
    <w:rsid w:val="00202861"/>
    <w:rsid w:val="00202F31"/>
    <w:rsid w:val="00203771"/>
    <w:rsid w:val="00205309"/>
    <w:rsid w:val="00205C5F"/>
    <w:rsid w:val="002061FF"/>
    <w:rsid w:val="00206B61"/>
    <w:rsid w:val="00207258"/>
    <w:rsid w:val="00211346"/>
    <w:rsid w:val="00212D7D"/>
    <w:rsid w:val="00213669"/>
    <w:rsid w:val="002136C5"/>
    <w:rsid w:val="002139E7"/>
    <w:rsid w:val="00214173"/>
    <w:rsid w:val="002142C5"/>
    <w:rsid w:val="00216EAF"/>
    <w:rsid w:val="002206C7"/>
    <w:rsid w:val="00220D33"/>
    <w:rsid w:val="00222551"/>
    <w:rsid w:val="0022329C"/>
    <w:rsid w:val="00224203"/>
    <w:rsid w:val="00225827"/>
    <w:rsid w:val="002266CF"/>
    <w:rsid w:val="0022683C"/>
    <w:rsid w:val="00226920"/>
    <w:rsid w:val="00230EFB"/>
    <w:rsid w:val="00232983"/>
    <w:rsid w:val="00232B04"/>
    <w:rsid w:val="0023348E"/>
    <w:rsid w:val="00234D77"/>
    <w:rsid w:val="002363F3"/>
    <w:rsid w:val="00236B26"/>
    <w:rsid w:val="002373B0"/>
    <w:rsid w:val="00237B42"/>
    <w:rsid w:val="00237B9E"/>
    <w:rsid w:val="00240ADC"/>
    <w:rsid w:val="0024150B"/>
    <w:rsid w:val="002456D3"/>
    <w:rsid w:val="00245805"/>
    <w:rsid w:val="00251429"/>
    <w:rsid w:val="00251E2D"/>
    <w:rsid w:val="002522B9"/>
    <w:rsid w:val="0025277B"/>
    <w:rsid w:val="00252B44"/>
    <w:rsid w:val="002534A7"/>
    <w:rsid w:val="002542FE"/>
    <w:rsid w:val="00254798"/>
    <w:rsid w:val="002547CD"/>
    <w:rsid w:val="0025599B"/>
    <w:rsid w:val="00257598"/>
    <w:rsid w:val="00261B12"/>
    <w:rsid w:val="002620FD"/>
    <w:rsid w:val="00262545"/>
    <w:rsid w:val="00262C74"/>
    <w:rsid w:val="00262D99"/>
    <w:rsid w:val="00263444"/>
    <w:rsid w:val="00264682"/>
    <w:rsid w:val="00264FEF"/>
    <w:rsid w:val="0026516D"/>
    <w:rsid w:val="00265418"/>
    <w:rsid w:val="00265736"/>
    <w:rsid w:val="00266F67"/>
    <w:rsid w:val="0027070E"/>
    <w:rsid w:val="00271287"/>
    <w:rsid w:val="002739CB"/>
    <w:rsid w:val="00276870"/>
    <w:rsid w:val="00276ACC"/>
    <w:rsid w:val="00276FA7"/>
    <w:rsid w:val="002800BF"/>
    <w:rsid w:val="002828FF"/>
    <w:rsid w:val="00282AC8"/>
    <w:rsid w:val="00284545"/>
    <w:rsid w:val="00286127"/>
    <w:rsid w:val="00287B1A"/>
    <w:rsid w:val="00287F46"/>
    <w:rsid w:val="00290A37"/>
    <w:rsid w:val="0029183D"/>
    <w:rsid w:val="0029194D"/>
    <w:rsid w:val="00291A79"/>
    <w:rsid w:val="00291DBB"/>
    <w:rsid w:val="00292899"/>
    <w:rsid w:val="00294D03"/>
    <w:rsid w:val="00294DA9"/>
    <w:rsid w:val="002956DC"/>
    <w:rsid w:val="002956F6"/>
    <w:rsid w:val="00295BBC"/>
    <w:rsid w:val="0029619A"/>
    <w:rsid w:val="002A073E"/>
    <w:rsid w:val="002A0DE7"/>
    <w:rsid w:val="002A10B4"/>
    <w:rsid w:val="002A3242"/>
    <w:rsid w:val="002A3392"/>
    <w:rsid w:val="002A4A9B"/>
    <w:rsid w:val="002A6C89"/>
    <w:rsid w:val="002A77E4"/>
    <w:rsid w:val="002A787C"/>
    <w:rsid w:val="002B0329"/>
    <w:rsid w:val="002B1AB7"/>
    <w:rsid w:val="002B75C6"/>
    <w:rsid w:val="002B7A82"/>
    <w:rsid w:val="002C0498"/>
    <w:rsid w:val="002C13F1"/>
    <w:rsid w:val="002C1812"/>
    <w:rsid w:val="002C2054"/>
    <w:rsid w:val="002C2D5F"/>
    <w:rsid w:val="002C4598"/>
    <w:rsid w:val="002C57B7"/>
    <w:rsid w:val="002C5C10"/>
    <w:rsid w:val="002C7276"/>
    <w:rsid w:val="002D1632"/>
    <w:rsid w:val="002D17E2"/>
    <w:rsid w:val="002D24C1"/>
    <w:rsid w:val="002D32B7"/>
    <w:rsid w:val="002D330C"/>
    <w:rsid w:val="002D384F"/>
    <w:rsid w:val="002D45DC"/>
    <w:rsid w:val="002D471B"/>
    <w:rsid w:val="002D53E6"/>
    <w:rsid w:val="002D64C8"/>
    <w:rsid w:val="002E3B5E"/>
    <w:rsid w:val="002E48C5"/>
    <w:rsid w:val="002E523E"/>
    <w:rsid w:val="002E5B87"/>
    <w:rsid w:val="002E6640"/>
    <w:rsid w:val="002E67D7"/>
    <w:rsid w:val="002E6D4B"/>
    <w:rsid w:val="002F0100"/>
    <w:rsid w:val="002F064B"/>
    <w:rsid w:val="002F1E9B"/>
    <w:rsid w:val="002F349F"/>
    <w:rsid w:val="002F6EDC"/>
    <w:rsid w:val="00300EDF"/>
    <w:rsid w:val="00302444"/>
    <w:rsid w:val="00303144"/>
    <w:rsid w:val="003033EF"/>
    <w:rsid w:val="00303BD2"/>
    <w:rsid w:val="00307ACE"/>
    <w:rsid w:val="00310E87"/>
    <w:rsid w:val="00312461"/>
    <w:rsid w:val="003140CB"/>
    <w:rsid w:val="003146F7"/>
    <w:rsid w:val="00314A48"/>
    <w:rsid w:val="00315275"/>
    <w:rsid w:val="00315D50"/>
    <w:rsid w:val="0031703C"/>
    <w:rsid w:val="003177CC"/>
    <w:rsid w:val="00323395"/>
    <w:rsid w:val="00323478"/>
    <w:rsid w:val="00323CC7"/>
    <w:rsid w:val="00324AD5"/>
    <w:rsid w:val="00324B37"/>
    <w:rsid w:val="003259D1"/>
    <w:rsid w:val="00325C3C"/>
    <w:rsid w:val="00326B1B"/>
    <w:rsid w:val="003279C4"/>
    <w:rsid w:val="00331B35"/>
    <w:rsid w:val="003331F8"/>
    <w:rsid w:val="00333277"/>
    <w:rsid w:val="0033465A"/>
    <w:rsid w:val="003346B3"/>
    <w:rsid w:val="00335850"/>
    <w:rsid w:val="003373D3"/>
    <w:rsid w:val="0034086D"/>
    <w:rsid w:val="00342006"/>
    <w:rsid w:val="00343410"/>
    <w:rsid w:val="00344CEE"/>
    <w:rsid w:val="0034739F"/>
    <w:rsid w:val="00347663"/>
    <w:rsid w:val="00351049"/>
    <w:rsid w:val="003522A8"/>
    <w:rsid w:val="0035294A"/>
    <w:rsid w:val="0035352A"/>
    <w:rsid w:val="003536BA"/>
    <w:rsid w:val="0035473F"/>
    <w:rsid w:val="003557CB"/>
    <w:rsid w:val="00355EDA"/>
    <w:rsid w:val="003570DD"/>
    <w:rsid w:val="003578F7"/>
    <w:rsid w:val="00357E1D"/>
    <w:rsid w:val="0036193F"/>
    <w:rsid w:val="003622C0"/>
    <w:rsid w:val="0036392C"/>
    <w:rsid w:val="003640A3"/>
    <w:rsid w:val="00366031"/>
    <w:rsid w:val="00370642"/>
    <w:rsid w:val="00370CB9"/>
    <w:rsid w:val="0037184C"/>
    <w:rsid w:val="003724FB"/>
    <w:rsid w:val="00372DCF"/>
    <w:rsid w:val="00373B38"/>
    <w:rsid w:val="003749E3"/>
    <w:rsid w:val="00374F7F"/>
    <w:rsid w:val="003751CA"/>
    <w:rsid w:val="003755EE"/>
    <w:rsid w:val="00376958"/>
    <w:rsid w:val="00376CE7"/>
    <w:rsid w:val="00380275"/>
    <w:rsid w:val="0038128D"/>
    <w:rsid w:val="00381950"/>
    <w:rsid w:val="00390096"/>
    <w:rsid w:val="0039018C"/>
    <w:rsid w:val="003906CA"/>
    <w:rsid w:val="00390CDD"/>
    <w:rsid w:val="00391397"/>
    <w:rsid w:val="003925A4"/>
    <w:rsid w:val="00396E5D"/>
    <w:rsid w:val="00396EDC"/>
    <w:rsid w:val="003A0481"/>
    <w:rsid w:val="003A14AF"/>
    <w:rsid w:val="003A1BBC"/>
    <w:rsid w:val="003A1E26"/>
    <w:rsid w:val="003A1FE4"/>
    <w:rsid w:val="003A2CC2"/>
    <w:rsid w:val="003A3F29"/>
    <w:rsid w:val="003A4BE8"/>
    <w:rsid w:val="003A563C"/>
    <w:rsid w:val="003A57A6"/>
    <w:rsid w:val="003A663D"/>
    <w:rsid w:val="003A67B2"/>
    <w:rsid w:val="003B2569"/>
    <w:rsid w:val="003B5B3E"/>
    <w:rsid w:val="003B5EA8"/>
    <w:rsid w:val="003C03AD"/>
    <w:rsid w:val="003C0FE8"/>
    <w:rsid w:val="003C3477"/>
    <w:rsid w:val="003C389F"/>
    <w:rsid w:val="003C40B8"/>
    <w:rsid w:val="003C4859"/>
    <w:rsid w:val="003C5D82"/>
    <w:rsid w:val="003C6244"/>
    <w:rsid w:val="003C6EFA"/>
    <w:rsid w:val="003C77B9"/>
    <w:rsid w:val="003C7C5F"/>
    <w:rsid w:val="003D31A6"/>
    <w:rsid w:val="003D417B"/>
    <w:rsid w:val="003D4363"/>
    <w:rsid w:val="003D6ABD"/>
    <w:rsid w:val="003E1129"/>
    <w:rsid w:val="003E1250"/>
    <w:rsid w:val="003E1959"/>
    <w:rsid w:val="003E1D06"/>
    <w:rsid w:val="003E2B15"/>
    <w:rsid w:val="003E2E78"/>
    <w:rsid w:val="003E305A"/>
    <w:rsid w:val="003E4F71"/>
    <w:rsid w:val="003E523F"/>
    <w:rsid w:val="003E555A"/>
    <w:rsid w:val="003E5D29"/>
    <w:rsid w:val="003E5E0B"/>
    <w:rsid w:val="003F04CD"/>
    <w:rsid w:val="003F2303"/>
    <w:rsid w:val="003F39A5"/>
    <w:rsid w:val="003F3CB4"/>
    <w:rsid w:val="003F44CD"/>
    <w:rsid w:val="003F588C"/>
    <w:rsid w:val="003F639C"/>
    <w:rsid w:val="003F7E94"/>
    <w:rsid w:val="00402515"/>
    <w:rsid w:val="0040440A"/>
    <w:rsid w:val="004051C6"/>
    <w:rsid w:val="00405886"/>
    <w:rsid w:val="00406444"/>
    <w:rsid w:val="004073D5"/>
    <w:rsid w:val="0041180D"/>
    <w:rsid w:val="00412E2C"/>
    <w:rsid w:val="00413D82"/>
    <w:rsid w:val="00414064"/>
    <w:rsid w:val="00414B20"/>
    <w:rsid w:val="004152D4"/>
    <w:rsid w:val="00416030"/>
    <w:rsid w:val="00416249"/>
    <w:rsid w:val="0041692E"/>
    <w:rsid w:val="004230B0"/>
    <w:rsid w:val="004231E6"/>
    <w:rsid w:val="00425159"/>
    <w:rsid w:val="00425C5E"/>
    <w:rsid w:val="004263A7"/>
    <w:rsid w:val="00427DA6"/>
    <w:rsid w:val="00430F3D"/>
    <w:rsid w:val="004329B3"/>
    <w:rsid w:val="00432A9B"/>
    <w:rsid w:val="004344A3"/>
    <w:rsid w:val="004410F4"/>
    <w:rsid w:val="00441FA9"/>
    <w:rsid w:val="00442221"/>
    <w:rsid w:val="00446412"/>
    <w:rsid w:val="00446B80"/>
    <w:rsid w:val="004478F2"/>
    <w:rsid w:val="004502B0"/>
    <w:rsid w:val="00450E94"/>
    <w:rsid w:val="00451020"/>
    <w:rsid w:val="00452984"/>
    <w:rsid w:val="0045430C"/>
    <w:rsid w:val="00460957"/>
    <w:rsid w:val="004609C8"/>
    <w:rsid w:val="00460B8C"/>
    <w:rsid w:val="00461ADB"/>
    <w:rsid w:val="00463B2D"/>
    <w:rsid w:val="00463FE4"/>
    <w:rsid w:val="00464EB1"/>
    <w:rsid w:val="00465C26"/>
    <w:rsid w:val="004660C5"/>
    <w:rsid w:val="00466AFE"/>
    <w:rsid w:val="00466CDE"/>
    <w:rsid w:val="004672BA"/>
    <w:rsid w:val="004677ED"/>
    <w:rsid w:val="00467E5C"/>
    <w:rsid w:val="004706DF"/>
    <w:rsid w:val="00473683"/>
    <w:rsid w:val="00473756"/>
    <w:rsid w:val="00473B75"/>
    <w:rsid w:val="00474C55"/>
    <w:rsid w:val="00475F28"/>
    <w:rsid w:val="00476BAB"/>
    <w:rsid w:val="00477752"/>
    <w:rsid w:val="0048168F"/>
    <w:rsid w:val="00482061"/>
    <w:rsid w:val="00482777"/>
    <w:rsid w:val="00484142"/>
    <w:rsid w:val="004847C3"/>
    <w:rsid w:val="004855B7"/>
    <w:rsid w:val="0048729F"/>
    <w:rsid w:val="00490F63"/>
    <w:rsid w:val="00491BC0"/>
    <w:rsid w:val="004920D5"/>
    <w:rsid w:val="00492234"/>
    <w:rsid w:val="004928F7"/>
    <w:rsid w:val="00493348"/>
    <w:rsid w:val="00493569"/>
    <w:rsid w:val="00493BA8"/>
    <w:rsid w:val="00494161"/>
    <w:rsid w:val="00495D8E"/>
    <w:rsid w:val="00496CA0"/>
    <w:rsid w:val="00497624"/>
    <w:rsid w:val="004A04B1"/>
    <w:rsid w:val="004A18BF"/>
    <w:rsid w:val="004A27EE"/>
    <w:rsid w:val="004A2895"/>
    <w:rsid w:val="004A37D4"/>
    <w:rsid w:val="004A3E90"/>
    <w:rsid w:val="004B02D3"/>
    <w:rsid w:val="004B057C"/>
    <w:rsid w:val="004B0E59"/>
    <w:rsid w:val="004B15BE"/>
    <w:rsid w:val="004B181B"/>
    <w:rsid w:val="004B1DBD"/>
    <w:rsid w:val="004B271E"/>
    <w:rsid w:val="004B2E2C"/>
    <w:rsid w:val="004B417A"/>
    <w:rsid w:val="004B4D9F"/>
    <w:rsid w:val="004B7A1D"/>
    <w:rsid w:val="004B7DCC"/>
    <w:rsid w:val="004C038A"/>
    <w:rsid w:val="004C073C"/>
    <w:rsid w:val="004C0834"/>
    <w:rsid w:val="004C1C8F"/>
    <w:rsid w:val="004C386F"/>
    <w:rsid w:val="004C41B4"/>
    <w:rsid w:val="004C4226"/>
    <w:rsid w:val="004C422B"/>
    <w:rsid w:val="004C6F23"/>
    <w:rsid w:val="004C7C39"/>
    <w:rsid w:val="004C7CBC"/>
    <w:rsid w:val="004D342B"/>
    <w:rsid w:val="004D34FA"/>
    <w:rsid w:val="004D7770"/>
    <w:rsid w:val="004D7AE8"/>
    <w:rsid w:val="004E0524"/>
    <w:rsid w:val="004E3965"/>
    <w:rsid w:val="004E3F0E"/>
    <w:rsid w:val="004E436D"/>
    <w:rsid w:val="004E44BA"/>
    <w:rsid w:val="004E4EB2"/>
    <w:rsid w:val="004E55E5"/>
    <w:rsid w:val="004E59CB"/>
    <w:rsid w:val="004E61F9"/>
    <w:rsid w:val="004E686A"/>
    <w:rsid w:val="004E7311"/>
    <w:rsid w:val="004E7F84"/>
    <w:rsid w:val="004F16E6"/>
    <w:rsid w:val="004F3542"/>
    <w:rsid w:val="004F4CDF"/>
    <w:rsid w:val="004F4DE4"/>
    <w:rsid w:val="004F5B50"/>
    <w:rsid w:val="004F5E6B"/>
    <w:rsid w:val="004F5F77"/>
    <w:rsid w:val="0050068B"/>
    <w:rsid w:val="00502694"/>
    <w:rsid w:val="00502AA2"/>
    <w:rsid w:val="00502CDE"/>
    <w:rsid w:val="00503B7F"/>
    <w:rsid w:val="00504019"/>
    <w:rsid w:val="0050482F"/>
    <w:rsid w:val="005054BE"/>
    <w:rsid w:val="00505590"/>
    <w:rsid w:val="00505746"/>
    <w:rsid w:val="0050697C"/>
    <w:rsid w:val="0050728F"/>
    <w:rsid w:val="005100EA"/>
    <w:rsid w:val="00510403"/>
    <w:rsid w:val="00511945"/>
    <w:rsid w:val="00513181"/>
    <w:rsid w:val="00513766"/>
    <w:rsid w:val="005138D6"/>
    <w:rsid w:val="00513B88"/>
    <w:rsid w:val="005143F3"/>
    <w:rsid w:val="00514C1E"/>
    <w:rsid w:val="00514FB3"/>
    <w:rsid w:val="005152D1"/>
    <w:rsid w:val="005159F1"/>
    <w:rsid w:val="0051797F"/>
    <w:rsid w:val="00517B14"/>
    <w:rsid w:val="0052190D"/>
    <w:rsid w:val="00522CE1"/>
    <w:rsid w:val="00523C29"/>
    <w:rsid w:val="00524249"/>
    <w:rsid w:val="00524DF3"/>
    <w:rsid w:val="00524E23"/>
    <w:rsid w:val="00526954"/>
    <w:rsid w:val="005272BB"/>
    <w:rsid w:val="00530BBB"/>
    <w:rsid w:val="00530E5B"/>
    <w:rsid w:val="005326FC"/>
    <w:rsid w:val="00534CBD"/>
    <w:rsid w:val="00537D27"/>
    <w:rsid w:val="00540580"/>
    <w:rsid w:val="005411CB"/>
    <w:rsid w:val="00541E34"/>
    <w:rsid w:val="00542110"/>
    <w:rsid w:val="0054230D"/>
    <w:rsid w:val="005439A2"/>
    <w:rsid w:val="005440F9"/>
    <w:rsid w:val="005454FB"/>
    <w:rsid w:val="005456E2"/>
    <w:rsid w:val="005456FE"/>
    <w:rsid w:val="005457B6"/>
    <w:rsid w:val="00546624"/>
    <w:rsid w:val="005473D9"/>
    <w:rsid w:val="00550825"/>
    <w:rsid w:val="00550A15"/>
    <w:rsid w:val="00550B54"/>
    <w:rsid w:val="0055168B"/>
    <w:rsid w:val="0055196D"/>
    <w:rsid w:val="0055345B"/>
    <w:rsid w:val="005543FB"/>
    <w:rsid w:val="00555300"/>
    <w:rsid w:val="00555375"/>
    <w:rsid w:val="0055537E"/>
    <w:rsid w:val="00555470"/>
    <w:rsid w:val="005600F1"/>
    <w:rsid w:val="00560133"/>
    <w:rsid w:val="00561C0B"/>
    <w:rsid w:val="00564A88"/>
    <w:rsid w:val="00565350"/>
    <w:rsid w:val="0056594F"/>
    <w:rsid w:val="0056668A"/>
    <w:rsid w:val="0056699C"/>
    <w:rsid w:val="005674C2"/>
    <w:rsid w:val="005676A0"/>
    <w:rsid w:val="005678EC"/>
    <w:rsid w:val="00567E08"/>
    <w:rsid w:val="0057028A"/>
    <w:rsid w:val="00570DE8"/>
    <w:rsid w:val="00572A46"/>
    <w:rsid w:val="00573993"/>
    <w:rsid w:val="00573FAC"/>
    <w:rsid w:val="005743DE"/>
    <w:rsid w:val="005755D7"/>
    <w:rsid w:val="00575ABE"/>
    <w:rsid w:val="00575F80"/>
    <w:rsid w:val="00576842"/>
    <w:rsid w:val="00581C3B"/>
    <w:rsid w:val="0058381E"/>
    <w:rsid w:val="00584641"/>
    <w:rsid w:val="00584CD7"/>
    <w:rsid w:val="00584D0F"/>
    <w:rsid w:val="00584F60"/>
    <w:rsid w:val="00585065"/>
    <w:rsid w:val="00585CF6"/>
    <w:rsid w:val="0058762B"/>
    <w:rsid w:val="00587AA7"/>
    <w:rsid w:val="00590E3E"/>
    <w:rsid w:val="005915C5"/>
    <w:rsid w:val="00591ACC"/>
    <w:rsid w:val="00594671"/>
    <w:rsid w:val="00595075"/>
    <w:rsid w:val="00595EF2"/>
    <w:rsid w:val="0059701B"/>
    <w:rsid w:val="00597E45"/>
    <w:rsid w:val="00597F00"/>
    <w:rsid w:val="00597F35"/>
    <w:rsid w:val="005A13E3"/>
    <w:rsid w:val="005A1A70"/>
    <w:rsid w:val="005A20B5"/>
    <w:rsid w:val="005A2510"/>
    <w:rsid w:val="005A2CCD"/>
    <w:rsid w:val="005A302C"/>
    <w:rsid w:val="005A346B"/>
    <w:rsid w:val="005A523D"/>
    <w:rsid w:val="005A6179"/>
    <w:rsid w:val="005A6C2D"/>
    <w:rsid w:val="005A6D32"/>
    <w:rsid w:val="005B1077"/>
    <w:rsid w:val="005B1A35"/>
    <w:rsid w:val="005B1A8B"/>
    <w:rsid w:val="005B33EF"/>
    <w:rsid w:val="005B3BE4"/>
    <w:rsid w:val="005B58D1"/>
    <w:rsid w:val="005B6719"/>
    <w:rsid w:val="005B7D02"/>
    <w:rsid w:val="005C0DDB"/>
    <w:rsid w:val="005C2AE5"/>
    <w:rsid w:val="005C4087"/>
    <w:rsid w:val="005C70CB"/>
    <w:rsid w:val="005C7297"/>
    <w:rsid w:val="005D14EF"/>
    <w:rsid w:val="005D227E"/>
    <w:rsid w:val="005D3320"/>
    <w:rsid w:val="005D42EF"/>
    <w:rsid w:val="005D5708"/>
    <w:rsid w:val="005D5CF6"/>
    <w:rsid w:val="005D6618"/>
    <w:rsid w:val="005D6E77"/>
    <w:rsid w:val="005D6EA0"/>
    <w:rsid w:val="005D7F3D"/>
    <w:rsid w:val="005E056F"/>
    <w:rsid w:val="005E05B3"/>
    <w:rsid w:val="005E1AAC"/>
    <w:rsid w:val="005E272E"/>
    <w:rsid w:val="005E4A9E"/>
    <w:rsid w:val="005E68F1"/>
    <w:rsid w:val="005E736C"/>
    <w:rsid w:val="005F0A24"/>
    <w:rsid w:val="005F0C98"/>
    <w:rsid w:val="005F1716"/>
    <w:rsid w:val="005F21F9"/>
    <w:rsid w:val="005F296B"/>
    <w:rsid w:val="005F2C75"/>
    <w:rsid w:val="005F2C78"/>
    <w:rsid w:val="005F5384"/>
    <w:rsid w:val="005F5893"/>
    <w:rsid w:val="005F65F8"/>
    <w:rsid w:val="005F6651"/>
    <w:rsid w:val="005F775D"/>
    <w:rsid w:val="00600802"/>
    <w:rsid w:val="00600AF4"/>
    <w:rsid w:val="00600EEF"/>
    <w:rsid w:val="00601A33"/>
    <w:rsid w:val="00602FD5"/>
    <w:rsid w:val="0060503F"/>
    <w:rsid w:val="0060580E"/>
    <w:rsid w:val="00605964"/>
    <w:rsid w:val="00607691"/>
    <w:rsid w:val="006079F7"/>
    <w:rsid w:val="0061093A"/>
    <w:rsid w:val="00611AB3"/>
    <w:rsid w:val="00611B5D"/>
    <w:rsid w:val="00612655"/>
    <w:rsid w:val="006132F7"/>
    <w:rsid w:val="006134D4"/>
    <w:rsid w:val="00613975"/>
    <w:rsid w:val="00613B2B"/>
    <w:rsid w:val="00613F69"/>
    <w:rsid w:val="00615158"/>
    <w:rsid w:val="0061587D"/>
    <w:rsid w:val="00615F8A"/>
    <w:rsid w:val="006163A5"/>
    <w:rsid w:val="00616831"/>
    <w:rsid w:val="0061709A"/>
    <w:rsid w:val="006177F3"/>
    <w:rsid w:val="00617F7B"/>
    <w:rsid w:val="006213E7"/>
    <w:rsid w:val="00621BA0"/>
    <w:rsid w:val="00622B0D"/>
    <w:rsid w:val="00622E04"/>
    <w:rsid w:val="00624299"/>
    <w:rsid w:val="00625A68"/>
    <w:rsid w:val="00625D7F"/>
    <w:rsid w:val="006305BF"/>
    <w:rsid w:val="0063067C"/>
    <w:rsid w:val="00630B43"/>
    <w:rsid w:val="00630B92"/>
    <w:rsid w:val="00631492"/>
    <w:rsid w:val="006316A9"/>
    <w:rsid w:val="0063183E"/>
    <w:rsid w:val="00631E44"/>
    <w:rsid w:val="00632468"/>
    <w:rsid w:val="00633344"/>
    <w:rsid w:val="00633AD5"/>
    <w:rsid w:val="00634AB6"/>
    <w:rsid w:val="00634D5D"/>
    <w:rsid w:val="006362C9"/>
    <w:rsid w:val="006368F6"/>
    <w:rsid w:val="00637A58"/>
    <w:rsid w:val="00637C23"/>
    <w:rsid w:val="006402C5"/>
    <w:rsid w:val="00640B4D"/>
    <w:rsid w:val="0064144C"/>
    <w:rsid w:val="00641844"/>
    <w:rsid w:val="00641D98"/>
    <w:rsid w:val="00642BDF"/>
    <w:rsid w:val="00642DC9"/>
    <w:rsid w:val="006430AA"/>
    <w:rsid w:val="00644830"/>
    <w:rsid w:val="006453CB"/>
    <w:rsid w:val="006455CE"/>
    <w:rsid w:val="00645873"/>
    <w:rsid w:val="00645F11"/>
    <w:rsid w:val="006467AD"/>
    <w:rsid w:val="006468D5"/>
    <w:rsid w:val="0065040D"/>
    <w:rsid w:val="00650E85"/>
    <w:rsid w:val="006520AA"/>
    <w:rsid w:val="00654007"/>
    <w:rsid w:val="006551BE"/>
    <w:rsid w:val="0065549D"/>
    <w:rsid w:val="00656EC9"/>
    <w:rsid w:val="00657328"/>
    <w:rsid w:val="00661A01"/>
    <w:rsid w:val="006623FB"/>
    <w:rsid w:val="00662990"/>
    <w:rsid w:val="006639F3"/>
    <w:rsid w:val="00664149"/>
    <w:rsid w:val="006648A1"/>
    <w:rsid w:val="00664E58"/>
    <w:rsid w:val="00665349"/>
    <w:rsid w:val="0067065E"/>
    <w:rsid w:val="00671FBA"/>
    <w:rsid w:val="006760A2"/>
    <w:rsid w:val="006812B0"/>
    <w:rsid w:val="0068159E"/>
    <w:rsid w:val="00681B0E"/>
    <w:rsid w:val="00682564"/>
    <w:rsid w:val="006833FA"/>
    <w:rsid w:val="00683F4C"/>
    <w:rsid w:val="006840A5"/>
    <w:rsid w:val="00684AE3"/>
    <w:rsid w:val="00684D19"/>
    <w:rsid w:val="006851AA"/>
    <w:rsid w:val="00685B5F"/>
    <w:rsid w:val="00685DA5"/>
    <w:rsid w:val="00686977"/>
    <w:rsid w:val="006870E7"/>
    <w:rsid w:val="006903E5"/>
    <w:rsid w:val="00690851"/>
    <w:rsid w:val="00690E3F"/>
    <w:rsid w:val="0069214C"/>
    <w:rsid w:val="006921C3"/>
    <w:rsid w:val="0069359D"/>
    <w:rsid w:val="0069374F"/>
    <w:rsid w:val="00693BED"/>
    <w:rsid w:val="00694025"/>
    <w:rsid w:val="006942C4"/>
    <w:rsid w:val="00695180"/>
    <w:rsid w:val="006952D4"/>
    <w:rsid w:val="006A0DD6"/>
    <w:rsid w:val="006A74A7"/>
    <w:rsid w:val="006A7574"/>
    <w:rsid w:val="006A7764"/>
    <w:rsid w:val="006B0D10"/>
    <w:rsid w:val="006B1B2A"/>
    <w:rsid w:val="006B1B71"/>
    <w:rsid w:val="006B217A"/>
    <w:rsid w:val="006B2492"/>
    <w:rsid w:val="006B3029"/>
    <w:rsid w:val="006B33F4"/>
    <w:rsid w:val="006B4960"/>
    <w:rsid w:val="006B4CAE"/>
    <w:rsid w:val="006B670D"/>
    <w:rsid w:val="006B6B4F"/>
    <w:rsid w:val="006B6C84"/>
    <w:rsid w:val="006C0DA2"/>
    <w:rsid w:val="006C10B5"/>
    <w:rsid w:val="006C11D2"/>
    <w:rsid w:val="006C26BA"/>
    <w:rsid w:val="006C4BD5"/>
    <w:rsid w:val="006C4BF3"/>
    <w:rsid w:val="006C5280"/>
    <w:rsid w:val="006C5533"/>
    <w:rsid w:val="006C56E7"/>
    <w:rsid w:val="006C5930"/>
    <w:rsid w:val="006C5D36"/>
    <w:rsid w:val="006C632D"/>
    <w:rsid w:val="006C63B5"/>
    <w:rsid w:val="006C67E8"/>
    <w:rsid w:val="006C7FCE"/>
    <w:rsid w:val="006D22D5"/>
    <w:rsid w:val="006D24AB"/>
    <w:rsid w:val="006D2B93"/>
    <w:rsid w:val="006D45EE"/>
    <w:rsid w:val="006D4D88"/>
    <w:rsid w:val="006D4FF1"/>
    <w:rsid w:val="006D50ED"/>
    <w:rsid w:val="006D55FE"/>
    <w:rsid w:val="006D5A19"/>
    <w:rsid w:val="006E09AE"/>
    <w:rsid w:val="006E0D1A"/>
    <w:rsid w:val="006E1332"/>
    <w:rsid w:val="006E1458"/>
    <w:rsid w:val="006E1E45"/>
    <w:rsid w:val="006E2F6B"/>
    <w:rsid w:val="006E50CB"/>
    <w:rsid w:val="006E5E19"/>
    <w:rsid w:val="006E68BE"/>
    <w:rsid w:val="006E6F5F"/>
    <w:rsid w:val="006E7D5B"/>
    <w:rsid w:val="006F352D"/>
    <w:rsid w:val="006F38AA"/>
    <w:rsid w:val="006F3A1F"/>
    <w:rsid w:val="006F3AFC"/>
    <w:rsid w:val="006F3F27"/>
    <w:rsid w:val="006F3FA7"/>
    <w:rsid w:val="006F4382"/>
    <w:rsid w:val="00700056"/>
    <w:rsid w:val="00700ABD"/>
    <w:rsid w:val="0070261F"/>
    <w:rsid w:val="007036F0"/>
    <w:rsid w:val="00703FA3"/>
    <w:rsid w:val="00704017"/>
    <w:rsid w:val="00704385"/>
    <w:rsid w:val="007046DB"/>
    <w:rsid w:val="00707F90"/>
    <w:rsid w:val="007115CD"/>
    <w:rsid w:val="00712074"/>
    <w:rsid w:val="007120C3"/>
    <w:rsid w:val="007121B3"/>
    <w:rsid w:val="00713DCD"/>
    <w:rsid w:val="007159A9"/>
    <w:rsid w:val="00716DD0"/>
    <w:rsid w:val="0071720F"/>
    <w:rsid w:val="00720CFF"/>
    <w:rsid w:val="00721A11"/>
    <w:rsid w:val="00721A1B"/>
    <w:rsid w:val="00721A74"/>
    <w:rsid w:val="00722B55"/>
    <w:rsid w:val="007239BE"/>
    <w:rsid w:val="00723E6E"/>
    <w:rsid w:val="00725066"/>
    <w:rsid w:val="007262C0"/>
    <w:rsid w:val="0072654C"/>
    <w:rsid w:val="00727145"/>
    <w:rsid w:val="007302AA"/>
    <w:rsid w:val="00732219"/>
    <w:rsid w:val="00734DA8"/>
    <w:rsid w:val="007377BD"/>
    <w:rsid w:val="00737FE8"/>
    <w:rsid w:val="00740C40"/>
    <w:rsid w:val="00740CE6"/>
    <w:rsid w:val="007410A6"/>
    <w:rsid w:val="007416EB"/>
    <w:rsid w:val="00741C5A"/>
    <w:rsid w:val="00742E11"/>
    <w:rsid w:val="00744D07"/>
    <w:rsid w:val="00745845"/>
    <w:rsid w:val="00745956"/>
    <w:rsid w:val="00747A9C"/>
    <w:rsid w:val="00747D05"/>
    <w:rsid w:val="00750E00"/>
    <w:rsid w:val="007515CC"/>
    <w:rsid w:val="00751BCB"/>
    <w:rsid w:val="00751FE5"/>
    <w:rsid w:val="00752BE0"/>
    <w:rsid w:val="00753FBB"/>
    <w:rsid w:val="007629D5"/>
    <w:rsid w:val="00764188"/>
    <w:rsid w:val="0076480A"/>
    <w:rsid w:val="00766EB7"/>
    <w:rsid w:val="0077051E"/>
    <w:rsid w:val="00770934"/>
    <w:rsid w:val="00771D3D"/>
    <w:rsid w:val="0077264D"/>
    <w:rsid w:val="0077315B"/>
    <w:rsid w:val="00773463"/>
    <w:rsid w:val="007738B3"/>
    <w:rsid w:val="0077429E"/>
    <w:rsid w:val="00774585"/>
    <w:rsid w:val="00775765"/>
    <w:rsid w:val="00776DAB"/>
    <w:rsid w:val="00776E00"/>
    <w:rsid w:val="0078044F"/>
    <w:rsid w:val="007813F5"/>
    <w:rsid w:val="007822A4"/>
    <w:rsid w:val="00783628"/>
    <w:rsid w:val="0078469E"/>
    <w:rsid w:val="00784715"/>
    <w:rsid w:val="0078536A"/>
    <w:rsid w:val="0078587F"/>
    <w:rsid w:val="007870FB"/>
    <w:rsid w:val="007879A1"/>
    <w:rsid w:val="00787A7D"/>
    <w:rsid w:val="007904C4"/>
    <w:rsid w:val="007906BB"/>
    <w:rsid w:val="00790EAE"/>
    <w:rsid w:val="00791321"/>
    <w:rsid w:val="00791BE2"/>
    <w:rsid w:val="00792807"/>
    <w:rsid w:val="00793BB2"/>
    <w:rsid w:val="007950C6"/>
    <w:rsid w:val="007966E4"/>
    <w:rsid w:val="0079770E"/>
    <w:rsid w:val="00797DA5"/>
    <w:rsid w:val="007A1BA5"/>
    <w:rsid w:val="007A4F37"/>
    <w:rsid w:val="007A788B"/>
    <w:rsid w:val="007A78A6"/>
    <w:rsid w:val="007A7CC4"/>
    <w:rsid w:val="007B02E6"/>
    <w:rsid w:val="007B15BB"/>
    <w:rsid w:val="007B1E8B"/>
    <w:rsid w:val="007B244E"/>
    <w:rsid w:val="007B3BB1"/>
    <w:rsid w:val="007B66C1"/>
    <w:rsid w:val="007B732B"/>
    <w:rsid w:val="007C05D8"/>
    <w:rsid w:val="007C14C3"/>
    <w:rsid w:val="007C1AE6"/>
    <w:rsid w:val="007C3FE2"/>
    <w:rsid w:val="007C44C6"/>
    <w:rsid w:val="007C516F"/>
    <w:rsid w:val="007C5782"/>
    <w:rsid w:val="007C6242"/>
    <w:rsid w:val="007C6B3A"/>
    <w:rsid w:val="007C7713"/>
    <w:rsid w:val="007D0028"/>
    <w:rsid w:val="007D011F"/>
    <w:rsid w:val="007D16CE"/>
    <w:rsid w:val="007D3458"/>
    <w:rsid w:val="007D34C0"/>
    <w:rsid w:val="007D3C82"/>
    <w:rsid w:val="007D4BA5"/>
    <w:rsid w:val="007D63B5"/>
    <w:rsid w:val="007D71D3"/>
    <w:rsid w:val="007D7CC5"/>
    <w:rsid w:val="007D7CD3"/>
    <w:rsid w:val="007E0B50"/>
    <w:rsid w:val="007E2180"/>
    <w:rsid w:val="007E2543"/>
    <w:rsid w:val="007E2E05"/>
    <w:rsid w:val="007E2E34"/>
    <w:rsid w:val="007E352E"/>
    <w:rsid w:val="007E3E02"/>
    <w:rsid w:val="007E5140"/>
    <w:rsid w:val="007E59F5"/>
    <w:rsid w:val="007E5ED2"/>
    <w:rsid w:val="007E791C"/>
    <w:rsid w:val="007F0C33"/>
    <w:rsid w:val="007F3031"/>
    <w:rsid w:val="007F4132"/>
    <w:rsid w:val="007F6441"/>
    <w:rsid w:val="00800B21"/>
    <w:rsid w:val="00802C60"/>
    <w:rsid w:val="0080314F"/>
    <w:rsid w:val="00803C51"/>
    <w:rsid w:val="0080429D"/>
    <w:rsid w:val="008057B8"/>
    <w:rsid w:val="00806248"/>
    <w:rsid w:val="00806819"/>
    <w:rsid w:val="0080702A"/>
    <w:rsid w:val="0080761E"/>
    <w:rsid w:val="008079B4"/>
    <w:rsid w:val="00807E39"/>
    <w:rsid w:val="00810DDE"/>
    <w:rsid w:val="00812643"/>
    <w:rsid w:val="00812DCA"/>
    <w:rsid w:val="0081370E"/>
    <w:rsid w:val="00813C8D"/>
    <w:rsid w:val="00815506"/>
    <w:rsid w:val="00815A97"/>
    <w:rsid w:val="00816129"/>
    <w:rsid w:val="008165AF"/>
    <w:rsid w:val="00816F41"/>
    <w:rsid w:val="0081770D"/>
    <w:rsid w:val="00821BE4"/>
    <w:rsid w:val="00822C62"/>
    <w:rsid w:val="00823223"/>
    <w:rsid w:val="00827A29"/>
    <w:rsid w:val="00827CCD"/>
    <w:rsid w:val="00827DBB"/>
    <w:rsid w:val="00827F35"/>
    <w:rsid w:val="008312F4"/>
    <w:rsid w:val="00831C7B"/>
    <w:rsid w:val="008325B3"/>
    <w:rsid w:val="008327F3"/>
    <w:rsid w:val="00832896"/>
    <w:rsid w:val="00833EA6"/>
    <w:rsid w:val="00835B2B"/>
    <w:rsid w:val="008365D3"/>
    <w:rsid w:val="00836E1F"/>
    <w:rsid w:val="00840F9E"/>
    <w:rsid w:val="00841663"/>
    <w:rsid w:val="008419DA"/>
    <w:rsid w:val="0084223B"/>
    <w:rsid w:val="008425D9"/>
    <w:rsid w:val="00844264"/>
    <w:rsid w:val="00846246"/>
    <w:rsid w:val="008464FD"/>
    <w:rsid w:val="00846C7F"/>
    <w:rsid w:val="00847870"/>
    <w:rsid w:val="0085131C"/>
    <w:rsid w:val="00852B36"/>
    <w:rsid w:val="00860652"/>
    <w:rsid w:val="008606A2"/>
    <w:rsid w:val="008613E1"/>
    <w:rsid w:val="00861987"/>
    <w:rsid w:val="008620CA"/>
    <w:rsid w:val="00862BEB"/>
    <w:rsid w:val="00862E65"/>
    <w:rsid w:val="0086321A"/>
    <w:rsid w:val="0086345D"/>
    <w:rsid w:val="00864832"/>
    <w:rsid w:val="0086555B"/>
    <w:rsid w:val="00866F6F"/>
    <w:rsid w:val="00871F7C"/>
    <w:rsid w:val="008727EE"/>
    <w:rsid w:val="00873811"/>
    <w:rsid w:val="008744FF"/>
    <w:rsid w:val="00875A25"/>
    <w:rsid w:val="00876653"/>
    <w:rsid w:val="008772ED"/>
    <w:rsid w:val="0087770B"/>
    <w:rsid w:val="00877A88"/>
    <w:rsid w:val="008806FE"/>
    <w:rsid w:val="00880AC5"/>
    <w:rsid w:val="00880E87"/>
    <w:rsid w:val="008816A9"/>
    <w:rsid w:val="00881853"/>
    <w:rsid w:val="00882B3D"/>
    <w:rsid w:val="00883CA5"/>
    <w:rsid w:val="00884538"/>
    <w:rsid w:val="008846CC"/>
    <w:rsid w:val="00885402"/>
    <w:rsid w:val="008854F7"/>
    <w:rsid w:val="00885EE8"/>
    <w:rsid w:val="00886485"/>
    <w:rsid w:val="00887732"/>
    <w:rsid w:val="00887851"/>
    <w:rsid w:val="00890598"/>
    <w:rsid w:val="00890DA5"/>
    <w:rsid w:val="00891219"/>
    <w:rsid w:val="00891C04"/>
    <w:rsid w:val="0089247E"/>
    <w:rsid w:val="00893AC8"/>
    <w:rsid w:val="008940A6"/>
    <w:rsid w:val="00895A3A"/>
    <w:rsid w:val="00896EDD"/>
    <w:rsid w:val="008977E7"/>
    <w:rsid w:val="00897DF4"/>
    <w:rsid w:val="00897F66"/>
    <w:rsid w:val="008A23E1"/>
    <w:rsid w:val="008A2717"/>
    <w:rsid w:val="008A4DD5"/>
    <w:rsid w:val="008A510F"/>
    <w:rsid w:val="008A6653"/>
    <w:rsid w:val="008A6AD4"/>
    <w:rsid w:val="008A72A9"/>
    <w:rsid w:val="008A7813"/>
    <w:rsid w:val="008B03A2"/>
    <w:rsid w:val="008B11ED"/>
    <w:rsid w:val="008B1EC9"/>
    <w:rsid w:val="008B2E79"/>
    <w:rsid w:val="008B4494"/>
    <w:rsid w:val="008B5333"/>
    <w:rsid w:val="008B5DAC"/>
    <w:rsid w:val="008B73A5"/>
    <w:rsid w:val="008B7B1D"/>
    <w:rsid w:val="008B7F9C"/>
    <w:rsid w:val="008C0904"/>
    <w:rsid w:val="008C15B2"/>
    <w:rsid w:val="008C15D3"/>
    <w:rsid w:val="008C28A6"/>
    <w:rsid w:val="008C2A58"/>
    <w:rsid w:val="008C2D58"/>
    <w:rsid w:val="008C2FA2"/>
    <w:rsid w:val="008C3869"/>
    <w:rsid w:val="008C4436"/>
    <w:rsid w:val="008C6A92"/>
    <w:rsid w:val="008D034E"/>
    <w:rsid w:val="008D09D0"/>
    <w:rsid w:val="008D1C6D"/>
    <w:rsid w:val="008D2689"/>
    <w:rsid w:val="008D2850"/>
    <w:rsid w:val="008D3AAB"/>
    <w:rsid w:val="008D3AB8"/>
    <w:rsid w:val="008D7595"/>
    <w:rsid w:val="008E0ADD"/>
    <w:rsid w:val="008E0DEC"/>
    <w:rsid w:val="008E172B"/>
    <w:rsid w:val="008E18D7"/>
    <w:rsid w:val="008E5078"/>
    <w:rsid w:val="008E660A"/>
    <w:rsid w:val="008F15E0"/>
    <w:rsid w:val="008F229A"/>
    <w:rsid w:val="008F27D9"/>
    <w:rsid w:val="008F466F"/>
    <w:rsid w:val="008F5853"/>
    <w:rsid w:val="008F5DE8"/>
    <w:rsid w:val="008F6E99"/>
    <w:rsid w:val="008F7766"/>
    <w:rsid w:val="00901B86"/>
    <w:rsid w:val="009051B8"/>
    <w:rsid w:val="00906165"/>
    <w:rsid w:val="00906DE8"/>
    <w:rsid w:val="00906F7A"/>
    <w:rsid w:val="00910A68"/>
    <w:rsid w:val="00914506"/>
    <w:rsid w:val="00915A1A"/>
    <w:rsid w:val="00915DD5"/>
    <w:rsid w:val="00916610"/>
    <w:rsid w:val="00916EEB"/>
    <w:rsid w:val="00917C79"/>
    <w:rsid w:val="009208B3"/>
    <w:rsid w:val="00920AB3"/>
    <w:rsid w:val="009226BA"/>
    <w:rsid w:val="00922FBB"/>
    <w:rsid w:val="009273DE"/>
    <w:rsid w:val="009307EB"/>
    <w:rsid w:val="00931C6A"/>
    <w:rsid w:val="009334DC"/>
    <w:rsid w:val="009357A0"/>
    <w:rsid w:val="00935C46"/>
    <w:rsid w:val="00936A1F"/>
    <w:rsid w:val="00937D99"/>
    <w:rsid w:val="00940F41"/>
    <w:rsid w:val="00941E44"/>
    <w:rsid w:val="0094351D"/>
    <w:rsid w:val="00943AD8"/>
    <w:rsid w:val="00944A5C"/>
    <w:rsid w:val="00944AF9"/>
    <w:rsid w:val="00944CCD"/>
    <w:rsid w:val="009457F8"/>
    <w:rsid w:val="009477C4"/>
    <w:rsid w:val="0095081C"/>
    <w:rsid w:val="00950CCF"/>
    <w:rsid w:val="009529FA"/>
    <w:rsid w:val="00952B29"/>
    <w:rsid w:val="00954256"/>
    <w:rsid w:val="00954E23"/>
    <w:rsid w:val="00955E42"/>
    <w:rsid w:val="00956E5B"/>
    <w:rsid w:val="00957F3F"/>
    <w:rsid w:val="00961D31"/>
    <w:rsid w:val="00962086"/>
    <w:rsid w:val="00964255"/>
    <w:rsid w:val="009643D0"/>
    <w:rsid w:val="00965A35"/>
    <w:rsid w:val="00966192"/>
    <w:rsid w:val="00966D02"/>
    <w:rsid w:val="009679C0"/>
    <w:rsid w:val="009710A2"/>
    <w:rsid w:val="00972728"/>
    <w:rsid w:val="00973504"/>
    <w:rsid w:val="009745CF"/>
    <w:rsid w:val="00974A40"/>
    <w:rsid w:val="009753A1"/>
    <w:rsid w:val="00975B7B"/>
    <w:rsid w:val="00976321"/>
    <w:rsid w:val="009763E6"/>
    <w:rsid w:val="00980639"/>
    <w:rsid w:val="00982948"/>
    <w:rsid w:val="009832F8"/>
    <w:rsid w:val="00984D9C"/>
    <w:rsid w:val="0098584D"/>
    <w:rsid w:val="009862DC"/>
    <w:rsid w:val="00987027"/>
    <w:rsid w:val="00987093"/>
    <w:rsid w:val="00990725"/>
    <w:rsid w:val="0099244D"/>
    <w:rsid w:val="00993060"/>
    <w:rsid w:val="00994903"/>
    <w:rsid w:val="00997AAB"/>
    <w:rsid w:val="00997BC9"/>
    <w:rsid w:val="009A080A"/>
    <w:rsid w:val="009A0B4C"/>
    <w:rsid w:val="009A1F32"/>
    <w:rsid w:val="009A2E89"/>
    <w:rsid w:val="009A3C9C"/>
    <w:rsid w:val="009A405D"/>
    <w:rsid w:val="009A48FF"/>
    <w:rsid w:val="009A4E6C"/>
    <w:rsid w:val="009A5665"/>
    <w:rsid w:val="009A5D07"/>
    <w:rsid w:val="009A5DEE"/>
    <w:rsid w:val="009A5E4D"/>
    <w:rsid w:val="009A6289"/>
    <w:rsid w:val="009A6441"/>
    <w:rsid w:val="009A65DE"/>
    <w:rsid w:val="009A790D"/>
    <w:rsid w:val="009B02E3"/>
    <w:rsid w:val="009B130B"/>
    <w:rsid w:val="009B1E65"/>
    <w:rsid w:val="009B220F"/>
    <w:rsid w:val="009B2647"/>
    <w:rsid w:val="009B27F6"/>
    <w:rsid w:val="009B3754"/>
    <w:rsid w:val="009B46BF"/>
    <w:rsid w:val="009B47F9"/>
    <w:rsid w:val="009B4A16"/>
    <w:rsid w:val="009B54F6"/>
    <w:rsid w:val="009C0794"/>
    <w:rsid w:val="009C1B61"/>
    <w:rsid w:val="009C1E75"/>
    <w:rsid w:val="009C32D3"/>
    <w:rsid w:val="009C3C36"/>
    <w:rsid w:val="009C5A98"/>
    <w:rsid w:val="009C6CDF"/>
    <w:rsid w:val="009C7972"/>
    <w:rsid w:val="009C7C3F"/>
    <w:rsid w:val="009D0825"/>
    <w:rsid w:val="009D0B25"/>
    <w:rsid w:val="009D38EA"/>
    <w:rsid w:val="009D3AF4"/>
    <w:rsid w:val="009D6A80"/>
    <w:rsid w:val="009D711B"/>
    <w:rsid w:val="009D7D1F"/>
    <w:rsid w:val="009E087A"/>
    <w:rsid w:val="009E099E"/>
    <w:rsid w:val="009E41C4"/>
    <w:rsid w:val="009E5A47"/>
    <w:rsid w:val="009E79EA"/>
    <w:rsid w:val="009F144E"/>
    <w:rsid w:val="009F1C9A"/>
    <w:rsid w:val="009F28ED"/>
    <w:rsid w:val="009F2CDF"/>
    <w:rsid w:val="009F2D8D"/>
    <w:rsid w:val="009F2ED7"/>
    <w:rsid w:val="009F2F40"/>
    <w:rsid w:val="009F42DD"/>
    <w:rsid w:val="009F49A8"/>
    <w:rsid w:val="00A012A2"/>
    <w:rsid w:val="00A055E3"/>
    <w:rsid w:val="00A10927"/>
    <w:rsid w:val="00A112DE"/>
    <w:rsid w:val="00A11A7D"/>
    <w:rsid w:val="00A13D04"/>
    <w:rsid w:val="00A1534E"/>
    <w:rsid w:val="00A1650A"/>
    <w:rsid w:val="00A16689"/>
    <w:rsid w:val="00A17A32"/>
    <w:rsid w:val="00A20231"/>
    <w:rsid w:val="00A21005"/>
    <w:rsid w:val="00A219AD"/>
    <w:rsid w:val="00A21C3B"/>
    <w:rsid w:val="00A22022"/>
    <w:rsid w:val="00A22DB3"/>
    <w:rsid w:val="00A23530"/>
    <w:rsid w:val="00A23557"/>
    <w:rsid w:val="00A24382"/>
    <w:rsid w:val="00A2438A"/>
    <w:rsid w:val="00A2500E"/>
    <w:rsid w:val="00A25158"/>
    <w:rsid w:val="00A251EE"/>
    <w:rsid w:val="00A253A5"/>
    <w:rsid w:val="00A25CF3"/>
    <w:rsid w:val="00A265E3"/>
    <w:rsid w:val="00A277E8"/>
    <w:rsid w:val="00A3267E"/>
    <w:rsid w:val="00A3303E"/>
    <w:rsid w:val="00A33A94"/>
    <w:rsid w:val="00A346A1"/>
    <w:rsid w:val="00A35350"/>
    <w:rsid w:val="00A36973"/>
    <w:rsid w:val="00A36C76"/>
    <w:rsid w:val="00A411F4"/>
    <w:rsid w:val="00A421D0"/>
    <w:rsid w:val="00A43249"/>
    <w:rsid w:val="00A43CE2"/>
    <w:rsid w:val="00A44273"/>
    <w:rsid w:val="00A45B42"/>
    <w:rsid w:val="00A47407"/>
    <w:rsid w:val="00A4758A"/>
    <w:rsid w:val="00A52084"/>
    <w:rsid w:val="00A52237"/>
    <w:rsid w:val="00A52354"/>
    <w:rsid w:val="00A53269"/>
    <w:rsid w:val="00A53831"/>
    <w:rsid w:val="00A53AA2"/>
    <w:rsid w:val="00A53DD7"/>
    <w:rsid w:val="00A55C6B"/>
    <w:rsid w:val="00A55E05"/>
    <w:rsid w:val="00A573CA"/>
    <w:rsid w:val="00A57A67"/>
    <w:rsid w:val="00A604D8"/>
    <w:rsid w:val="00A60649"/>
    <w:rsid w:val="00A6092E"/>
    <w:rsid w:val="00A60BE1"/>
    <w:rsid w:val="00A60E47"/>
    <w:rsid w:val="00A61E3B"/>
    <w:rsid w:val="00A63050"/>
    <w:rsid w:val="00A6395F"/>
    <w:rsid w:val="00A64F79"/>
    <w:rsid w:val="00A656C6"/>
    <w:rsid w:val="00A6704E"/>
    <w:rsid w:val="00A67B1D"/>
    <w:rsid w:val="00A70484"/>
    <w:rsid w:val="00A70BB0"/>
    <w:rsid w:val="00A711D1"/>
    <w:rsid w:val="00A72A7F"/>
    <w:rsid w:val="00A7352B"/>
    <w:rsid w:val="00A73C1A"/>
    <w:rsid w:val="00A74CF2"/>
    <w:rsid w:val="00A75140"/>
    <w:rsid w:val="00A813E7"/>
    <w:rsid w:val="00A81510"/>
    <w:rsid w:val="00A8268B"/>
    <w:rsid w:val="00A828FD"/>
    <w:rsid w:val="00A83CDA"/>
    <w:rsid w:val="00A8413C"/>
    <w:rsid w:val="00A8420E"/>
    <w:rsid w:val="00A8422C"/>
    <w:rsid w:val="00A8462E"/>
    <w:rsid w:val="00A85B3B"/>
    <w:rsid w:val="00A861B0"/>
    <w:rsid w:val="00A8684E"/>
    <w:rsid w:val="00A869D4"/>
    <w:rsid w:val="00A9128E"/>
    <w:rsid w:val="00A91FC0"/>
    <w:rsid w:val="00A92533"/>
    <w:rsid w:val="00A93549"/>
    <w:rsid w:val="00A94273"/>
    <w:rsid w:val="00A9703B"/>
    <w:rsid w:val="00A978B7"/>
    <w:rsid w:val="00AA06E9"/>
    <w:rsid w:val="00AA2F11"/>
    <w:rsid w:val="00AA2FB7"/>
    <w:rsid w:val="00AA38F9"/>
    <w:rsid w:val="00AA45BC"/>
    <w:rsid w:val="00AA5A1A"/>
    <w:rsid w:val="00AA7B73"/>
    <w:rsid w:val="00AB0B87"/>
    <w:rsid w:val="00AB1D0F"/>
    <w:rsid w:val="00AB2175"/>
    <w:rsid w:val="00AB29DB"/>
    <w:rsid w:val="00AB2C20"/>
    <w:rsid w:val="00AB320C"/>
    <w:rsid w:val="00AB4B0A"/>
    <w:rsid w:val="00AB4D8A"/>
    <w:rsid w:val="00AB53F1"/>
    <w:rsid w:val="00AB563F"/>
    <w:rsid w:val="00AB5A1E"/>
    <w:rsid w:val="00AB5A4A"/>
    <w:rsid w:val="00AB7F35"/>
    <w:rsid w:val="00AC0CB0"/>
    <w:rsid w:val="00AC27FE"/>
    <w:rsid w:val="00AC2BDD"/>
    <w:rsid w:val="00AC368C"/>
    <w:rsid w:val="00AC374F"/>
    <w:rsid w:val="00AC389A"/>
    <w:rsid w:val="00AC5B6C"/>
    <w:rsid w:val="00AC720D"/>
    <w:rsid w:val="00AC7F79"/>
    <w:rsid w:val="00AD0E2F"/>
    <w:rsid w:val="00AD31F0"/>
    <w:rsid w:val="00AD3229"/>
    <w:rsid w:val="00AD52EF"/>
    <w:rsid w:val="00AD636F"/>
    <w:rsid w:val="00AD7B38"/>
    <w:rsid w:val="00AD7B42"/>
    <w:rsid w:val="00AE1191"/>
    <w:rsid w:val="00AE1360"/>
    <w:rsid w:val="00AE1584"/>
    <w:rsid w:val="00AE2641"/>
    <w:rsid w:val="00AE2C75"/>
    <w:rsid w:val="00AE2DE4"/>
    <w:rsid w:val="00AE635D"/>
    <w:rsid w:val="00AE6CF8"/>
    <w:rsid w:val="00AE7150"/>
    <w:rsid w:val="00AF00C8"/>
    <w:rsid w:val="00AF120F"/>
    <w:rsid w:val="00AF1C9F"/>
    <w:rsid w:val="00AF5BD3"/>
    <w:rsid w:val="00AF5EB4"/>
    <w:rsid w:val="00B00767"/>
    <w:rsid w:val="00B01726"/>
    <w:rsid w:val="00B017BA"/>
    <w:rsid w:val="00B02B2D"/>
    <w:rsid w:val="00B033A3"/>
    <w:rsid w:val="00B03E49"/>
    <w:rsid w:val="00B0412E"/>
    <w:rsid w:val="00B0430D"/>
    <w:rsid w:val="00B04A72"/>
    <w:rsid w:val="00B05510"/>
    <w:rsid w:val="00B05578"/>
    <w:rsid w:val="00B0779C"/>
    <w:rsid w:val="00B10152"/>
    <w:rsid w:val="00B10501"/>
    <w:rsid w:val="00B10A29"/>
    <w:rsid w:val="00B10FB9"/>
    <w:rsid w:val="00B124F8"/>
    <w:rsid w:val="00B128A4"/>
    <w:rsid w:val="00B12D44"/>
    <w:rsid w:val="00B144AF"/>
    <w:rsid w:val="00B14CE1"/>
    <w:rsid w:val="00B160D8"/>
    <w:rsid w:val="00B1666F"/>
    <w:rsid w:val="00B20ECC"/>
    <w:rsid w:val="00B21D55"/>
    <w:rsid w:val="00B2263E"/>
    <w:rsid w:val="00B229F4"/>
    <w:rsid w:val="00B23F6E"/>
    <w:rsid w:val="00B244B6"/>
    <w:rsid w:val="00B24A0F"/>
    <w:rsid w:val="00B24F44"/>
    <w:rsid w:val="00B250EC"/>
    <w:rsid w:val="00B265CE"/>
    <w:rsid w:val="00B269FC"/>
    <w:rsid w:val="00B300C6"/>
    <w:rsid w:val="00B30B95"/>
    <w:rsid w:val="00B3133B"/>
    <w:rsid w:val="00B3213D"/>
    <w:rsid w:val="00B32CD8"/>
    <w:rsid w:val="00B32FFA"/>
    <w:rsid w:val="00B33754"/>
    <w:rsid w:val="00B33A88"/>
    <w:rsid w:val="00B33AE0"/>
    <w:rsid w:val="00B33DD2"/>
    <w:rsid w:val="00B33F72"/>
    <w:rsid w:val="00B40CE2"/>
    <w:rsid w:val="00B41509"/>
    <w:rsid w:val="00B41889"/>
    <w:rsid w:val="00B41A02"/>
    <w:rsid w:val="00B41E57"/>
    <w:rsid w:val="00B428BA"/>
    <w:rsid w:val="00B42909"/>
    <w:rsid w:val="00B43059"/>
    <w:rsid w:val="00B44BE0"/>
    <w:rsid w:val="00B461EB"/>
    <w:rsid w:val="00B468EB"/>
    <w:rsid w:val="00B51C12"/>
    <w:rsid w:val="00B51E3E"/>
    <w:rsid w:val="00B524C0"/>
    <w:rsid w:val="00B52B04"/>
    <w:rsid w:val="00B5388E"/>
    <w:rsid w:val="00B539DA"/>
    <w:rsid w:val="00B55479"/>
    <w:rsid w:val="00B55A71"/>
    <w:rsid w:val="00B55AB3"/>
    <w:rsid w:val="00B57A2F"/>
    <w:rsid w:val="00B607B3"/>
    <w:rsid w:val="00B6197F"/>
    <w:rsid w:val="00B625AF"/>
    <w:rsid w:val="00B6312D"/>
    <w:rsid w:val="00B635C1"/>
    <w:rsid w:val="00B63B4F"/>
    <w:rsid w:val="00B643D5"/>
    <w:rsid w:val="00B64E1B"/>
    <w:rsid w:val="00B65C7F"/>
    <w:rsid w:val="00B65CA1"/>
    <w:rsid w:val="00B675FC"/>
    <w:rsid w:val="00B677D0"/>
    <w:rsid w:val="00B7131F"/>
    <w:rsid w:val="00B71AC0"/>
    <w:rsid w:val="00B71B74"/>
    <w:rsid w:val="00B71EF3"/>
    <w:rsid w:val="00B726E6"/>
    <w:rsid w:val="00B72FA1"/>
    <w:rsid w:val="00B73AAB"/>
    <w:rsid w:val="00B75816"/>
    <w:rsid w:val="00B76724"/>
    <w:rsid w:val="00B76EB5"/>
    <w:rsid w:val="00B836B7"/>
    <w:rsid w:val="00B8410B"/>
    <w:rsid w:val="00B84F2B"/>
    <w:rsid w:val="00B855DC"/>
    <w:rsid w:val="00B87C68"/>
    <w:rsid w:val="00B90A7A"/>
    <w:rsid w:val="00B919B2"/>
    <w:rsid w:val="00B92AFF"/>
    <w:rsid w:val="00B9399E"/>
    <w:rsid w:val="00B942F7"/>
    <w:rsid w:val="00B96052"/>
    <w:rsid w:val="00B961AD"/>
    <w:rsid w:val="00B97956"/>
    <w:rsid w:val="00B97B48"/>
    <w:rsid w:val="00BA00A9"/>
    <w:rsid w:val="00BA0CFF"/>
    <w:rsid w:val="00BA1628"/>
    <w:rsid w:val="00BA1F92"/>
    <w:rsid w:val="00BA29B9"/>
    <w:rsid w:val="00BA319B"/>
    <w:rsid w:val="00BA462F"/>
    <w:rsid w:val="00BA4A4D"/>
    <w:rsid w:val="00BA557D"/>
    <w:rsid w:val="00BA5BC4"/>
    <w:rsid w:val="00BA5C19"/>
    <w:rsid w:val="00BA5C27"/>
    <w:rsid w:val="00BA68C0"/>
    <w:rsid w:val="00BA6AE3"/>
    <w:rsid w:val="00BA7A1E"/>
    <w:rsid w:val="00BB198C"/>
    <w:rsid w:val="00BB2144"/>
    <w:rsid w:val="00BB27CE"/>
    <w:rsid w:val="00BB4E1B"/>
    <w:rsid w:val="00BB78C9"/>
    <w:rsid w:val="00BC2490"/>
    <w:rsid w:val="00BC49AC"/>
    <w:rsid w:val="00BC5D43"/>
    <w:rsid w:val="00BD0154"/>
    <w:rsid w:val="00BD02EA"/>
    <w:rsid w:val="00BD0AF3"/>
    <w:rsid w:val="00BD0F37"/>
    <w:rsid w:val="00BD11CF"/>
    <w:rsid w:val="00BD1DD5"/>
    <w:rsid w:val="00BD2238"/>
    <w:rsid w:val="00BD2ABF"/>
    <w:rsid w:val="00BD3050"/>
    <w:rsid w:val="00BD3156"/>
    <w:rsid w:val="00BD3283"/>
    <w:rsid w:val="00BD4B24"/>
    <w:rsid w:val="00BD5C7A"/>
    <w:rsid w:val="00BD67FE"/>
    <w:rsid w:val="00BD6AAB"/>
    <w:rsid w:val="00BD7237"/>
    <w:rsid w:val="00BD72DC"/>
    <w:rsid w:val="00BD7415"/>
    <w:rsid w:val="00BD7CCB"/>
    <w:rsid w:val="00BE1162"/>
    <w:rsid w:val="00BE1B91"/>
    <w:rsid w:val="00BE2917"/>
    <w:rsid w:val="00BE365E"/>
    <w:rsid w:val="00BE381D"/>
    <w:rsid w:val="00BF0123"/>
    <w:rsid w:val="00BF0874"/>
    <w:rsid w:val="00BF3B5D"/>
    <w:rsid w:val="00BF3C67"/>
    <w:rsid w:val="00BF5EB6"/>
    <w:rsid w:val="00BF62DF"/>
    <w:rsid w:val="00BF6798"/>
    <w:rsid w:val="00BF79B7"/>
    <w:rsid w:val="00BF79DD"/>
    <w:rsid w:val="00C001E3"/>
    <w:rsid w:val="00C01696"/>
    <w:rsid w:val="00C02D37"/>
    <w:rsid w:val="00C04BAE"/>
    <w:rsid w:val="00C05D73"/>
    <w:rsid w:val="00C06A7B"/>
    <w:rsid w:val="00C07186"/>
    <w:rsid w:val="00C11EDA"/>
    <w:rsid w:val="00C1216E"/>
    <w:rsid w:val="00C12CE9"/>
    <w:rsid w:val="00C137FB"/>
    <w:rsid w:val="00C13FAD"/>
    <w:rsid w:val="00C1457B"/>
    <w:rsid w:val="00C14D82"/>
    <w:rsid w:val="00C157FC"/>
    <w:rsid w:val="00C164AD"/>
    <w:rsid w:val="00C20AB0"/>
    <w:rsid w:val="00C21FAA"/>
    <w:rsid w:val="00C23291"/>
    <w:rsid w:val="00C2401E"/>
    <w:rsid w:val="00C2647F"/>
    <w:rsid w:val="00C267F1"/>
    <w:rsid w:val="00C26D2B"/>
    <w:rsid w:val="00C30159"/>
    <w:rsid w:val="00C30C18"/>
    <w:rsid w:val="00C310EA"/>
    <w:rsid w:val="00C32183"/>
    <w:rsid w:val="00C32487"/>
    <w:rsid w:val="00C37DCD"/>
    <w:rsid w:val="00C40413"/>
    <w:rsid w:val="00C40C31"/>
    <w:rsid w:val="00C418FB"/>
    <w:rsid w:val="00C428B5"/>
    <w:rsid w:val="00C4295D"/>
    <w:rsid w:val="00C44118"/>
    <w:rsid w:val="00C44371"/>
    <w:rsid w:val="00C44F32"/>
    <w:rsid w:val="00C44FC9"/>
    <w:rsid w:val="00C45692"/>
    <w:rsid w:val="00C46A4C"/>
    <w:rsid w:val="00C473DE"/>
    <w:rsid w:val="00C4773F"/>
    <w:rsid w:val="00C4786A"/>
    <w:rsid w:val="00C506B7"/>
    <w:rsid w:val="00C5085A"/>
    <w:rsid w:val="00C529BC"/>
    <w:rsid w:val="00C52DFE"/>
    <w:rsid w:val="00C531E8"/>
    <w:rsid w:val="00C5386A"/>
    <w:rsid w:val="00C53E1C"/>
    <w:rsid w:val="00C548BA"/>
    <w:rsid w:val="00C54CE4"/>
    <w:rsid w:val="00C55593"/>
    <w:rsid w:val="00C5582F"/>
    <w:rsid w:val="00C55EBC"/>
    <w:rsid w:val="00C5660D"/>
    <w:rsid w:val="00C56891"/>
    <w:rsid w:val="00C57B7D"/>
    <w:rsid w:val="00C57F9E"/>
    <w:rsid w:val="00C61598"/>
    <w:rsid w:val="00C624FE"/>
    <w:rsid w:val="00C62B30"/>
    <w:rsid w:val="00C63387"/>
    <w:rsid w:val="00C639B0"/>
    <w:rsid w:val="00C64824"/>
    <w:rsid w:val="00C65936"/>
    <w:rsid w:val="00C659D2"/>
    <w:rsid w:val="00C6679A"/>
    <w:rsid w:val="00C669BE"/>
    <w:rsid w:val="00C670B8"/>
    <w:rsid w:val="00C67D13"/>
    <w:rsid w:val="00C70AE8"/>
    <w:rsid w:val="00C72B54"/>
    <w:rsid w:val="00C7522B"/>
    <w:rsid w:val="00C758A0"/>
    <w:rsid w:val="00C75D8E"/>
    <w:rsid w:val="00C76C8F"/>
    <w:rsid w:val="00C771EE"/>
    <w:rsid w:val="00C7734A"/>
    <w:rsid w:val="00C77D18"/>
    <w:rsid w:val="00C82D2A"/>
    <w:rsid w:val="00C84314"/>
    <w:rsid w:val="00C84A9B"/>
    <w:rsid w:val="00C84AEC"/>
    <w:rsid w:val="00C85F1C"/>
    <w:rsid w:val="00C863E4"/>
    <w:rsid w:val="00C87110"/>
    <w:rsid w:val="00C87154"/>
    <w:rsid w:val="00C878D1"/>
    <w:rsid w:val="00C90ABF"/>
    <w:rsid w:val="00C90E17"/>
    <w:rsid w:val="00C9314D"/>
    <w:rsid w:val="00C937C7"/>
    <w:rsid w:val="00C9490A"/>
    <w:rsid w:val="00C950E5"/>
    <w:rsid w:val="00C95C18"/>
    <w:rsid w:val="00C96664"/>
    <w:rsid w:val="00C96B30"/>
    <w:rsid w:val="00C97036"/>
    <w:rsid w:val="00C9727F"/>
    <w:rsid w:val="00C97B77"/>
    <w:rsid w:val="00CA15A5"/>
    <w:rsid w:val="00CA37F2"/>
    <w:rsid w:val="00CA44E7"/>
    <w:rsid w:val="00CA6375"/>
    <w:rsid w:val="00CA68BF"/>
    <w:rsid w:val="00CB024A"/>
    <w:rsid w:val="00CB1C39"/>
    <w:rsid w:val="00CB1E55"/>
    <w:rsid w:val="00CB2530"/>
    <w:rsid w:val="00CB2CE3"/>
    <w:rsid w:val="00CB483C"/>
    <w:rsid w:val="00CB4842"/>
    <w:rsid w:val="00CB511C"/>
    <w:rsid w:val="00CB5B8D"/>
    <w:rsid w:val="00CB6D00"/>
    <w:rsid w:val="00CB6FBD"/>
    <w:rsid w:val="00CB717A"/>
    <w:rsid w:val="00CB7442"/>
    <w:rsid w:val="00CB773B"/>
    <w:rsid w:val="00CC03B0"/>
    <w:rsid w:val="00CC0BC6"/>
    <w:rsid w:val="00CC1B61"/>
    <w:rsid w:val="00CC2CB4"/>
    <w:rsid w:val="00CC520E"/>
    <w:rsid w:val="00CC58C8"/>
    <w:rsid w:val="00CC6EC0"/>
    <w:rsid w:val="00CC7D8F"/>
    <w:rsid w:val="00CD0434"/>
    <w:rsid w:val="00CD4154"/>
    <w:rsid w:val="00CD449A"/>
    <w:rsid w:val="00CD4CCC"/>
    <w:rsid w:val="00CD53BB"/>
    <w:rsid w:val="00CD57FE"/>
    <w:rsid w:val="00CE0225"/>
    <w:rsid w:val="00CE053E"/>
    <w:rsid w:val="00CE212A"/>
    <w:rsid w:val="00CE3870"/>
    <w:rsid w:val="00CE3AC9"/>
    <w:rsid w:val="00CE3E04"/>
    <w:rsid w:val="00CE4C8F"/>
    <w:rsid w:val="00CE5818"/>
    <w:rsid w:val="00CE5993"/>
    <w:rsid w:val="00CE5AAB"/>
    <w:rsid w:val="00CE6373"/>
    <w:rsid w:val="00CE6E45"/>
    <w:rsid w:val="00CE7784"/>
    <w:rsid w:val="00CE7E51"/>
    <w:rsid w:val="00CF216D"/>
    <w:rsid w:val="00CF75FF"/>
    <w:rsid w:val="00CF77CE"/>
    <w:rsid w:val="00D02A09"/>
    <w:rsid w:val="00D05FD7"/>
    <w:rsid w:val="00D06618"/>
    <w:rsid w:val="00D102FF"/>
    <w:rsid w:val="00D11996"/>
    <w:rsid w:val="00D12A48"/>
    <w:rsid w:val="00D12B84"/>
    <w:rsid w:val="00D12D28"/>
    <w:rsid w:val="00D12E11"/>
    <w:rsid w:val="00D14D9F"/>
    <w:rsid w:val="00D14DD4"/>
    <w:rsid w:val="00D158E6"/>
    <w:rsid w:val="00D1621E"/>
    <w:rsid w:val="00D16977"/>
    <w:rsid w:val="00D16B3C"/>
    <w:rsid w:val="00D20E0B"/>
    <w:rsid w:val="00D211BD"/>
    <w:rsid w:val="00D21223"/>
    <w:rsid w:val="00D21714"/>
    <w:rsid w:val="00D217E3"/>
    <w:rsid w:val="00D2273A"/>
    <w:rsid w:val="00D23C10"/>
    <w:rsid w:val="00D24758"/>
    <w:rsid w:val="00D25FE5"/>
    <w:rsid w:val="00D269D7"/>
    <w:rsid w:val="00D30D7B"/>
    <w:rsid w:val="00D316ED"/>
    <w:rsid w:val="00D319A5"/>
    <w:rsid w:val="00D32683"/>
    <w:rsid w:val="00D33227"/>
    <w:rsid w:val="00D33EE5"/>
    <w:rsid w:val="00D3474B"/>
    <w:rsid w:val="00D3630B"/>
    <w:rsid w:val="00D36F96"/>
    <w:rsid w:val="00D37152"/>
    <w:rsid w:val="00D41254"/>
    <w:rsid w:val="00D42D80"/>
    <w:rsid w:val="00D4472A"/>
    <w:rsid w:val="00D46382"/>
    <w:rsid w:val="00D46605"/>
    <w:rsid w:val="00D469F7"/>
    <w:rsid w:val="00D46A4D"/>
    <w:rsid w:val="00D472F1"/>
    <w:rsid w:val="00D50073"/>
    <w:rsid w:val="00D50BD4"/>
    <w:rsid w:val="00D51EB8"/>
    <w:rsid w:val="00D52451"/>
    <w:rsid w:val="00D525DA"/>
    <w:rsid w:val="00D54073"/>
    <w:rsid w:val="00D543B3"/>
    <w:rsid w:val="00D55867"/>
    <w:rsid w:val="00D5794B"/>
    <w:rsid w:val="00D6024D"/>
    <w:rsid w:val="00D61E9D"/>
    <w:rsid w:val="00D6264E"/>
    <w:rsid w:val="00D63475"/>
    <w:rsid w:val="00D63BE6"/>
    <w:rsid w:val="00D64A80"/>
    <w:rsid w:val="00D657F8"/>
    <w:rsid w:val="00D6619D"/>
    <w:rsid w:val="00D665DE"/>
    <w:rsid w:val="00D67585"/>
    <w:rsid w:val="00D6795E"/>
    <w:rsid w:val="00D67CDC"/>
    <w:rsid w:val="00D71109"/>
    <w:rsid w:val="00D71280"/>
    <w:rsid w:val="00D7128A"/>
    <w:rsid w:val="00D71A4A"/>
    <w:rsid w:val="00D741EE"/>
    <w:rsid w:val="00D74FF7"/>
    <w:rsid w:val="00D756FB"/>
    <w:rsid w:val="00D77E3D"/>
    <w:rsid w:val="00D77F76"/>
    <w:rsid w:val="00D80009"/>
    <w:rsid w:val="00D81515"/>
    <w:rsid w:val="00D82073"/>
    <w:rsid w:val="00D8435D"/>
    <w:rsid w:val="00D84A82"/>
    <w:rsid w:val="00D85E66"/>
    <w:rsid w:val="00D866D8"/>
    <w:rsid w:val="00D8687A"/>
    <w:rsid w:val="00D86CD6"/>
    <w:rsid w:val="00D87900"/>
    <w:rsid w:val="00D87C43"/>
    <w:rsid w:val="00D90274"/>
    <w:rsid w:val="00D903E3"/>
    <w:rsid w:val="00D90906"/>
    <w:rsid w:val="00D94173"/>
    <w:rsid w:val="00D96C3F"/>
    <w:rsid w:val="00D978BE"/>
    <w:rsid w:val="00DA31FF"/>
    <w:rsid w:val="00DA4B17"/>
    <w:rsid w:val="00DA5AB9"/>
    <w:rsid w:val="00DA65FE"/>
    <w:rsid w:val="00DA69ED"/>
    <w:rsid w:val="00DA6D6B"/>
    <w:rsid w:val="00DA72CA"/>
    <w:rsid w:val="00DB107C"/>
    <w:rsid w:val="00DB13CB"/>
    <w:rsid w:val="00DB1D12"/>
    <w:rsid w:val="00DB1EE8"/>
    <w:rsid w:val="00DB23BF"/>
    <w:rsid w:val="00DB2EFD"/>
    <w:rsid w:val="00DB338A"/>
    <w:rsid w:val="00DB37BF"/>
    <w:rsid w:val="00DB3CAB"/>
    <w:rsid w:val="00DB43BF"/>
    <w:rsid w:val="00DB4BA4"/>
    <w:rsid w:val="00DB4D18"/>
    <w:rsid w:val="00DB7257"/>
    <w:rsid w:val="00DB7348"/>
    <w:rsid w:val="00DC0662"/>
    <w:rsid w:val="00DC185E"/>
    <w:rsid w:val="00DC29F2"/>
    <w:rsid w:val="00DC2DBB"/>
    <w:rsid w:val="00DC396C"/>
    <w:rsid w:val="00DC3F1F"/>
    <w:rsid w:val="00DC4D76"/>
    <w:rsid w:val="00DC7F3C"/>
    <w:rsid w:val="00DD1269"/>
    <w:rsid w:val="00DD1C45"/>
    <w:rsid w:val="00DD33FA"/>
    <w:rsid w:val="00DD4205"/>
    <w:rsid w:val="00DD49A2"/>
    <w:rsid w:val="00DD5760"/>
    <w:rsid w:val="00DD58BC"/>
    <w:rsid w:val="00DD69AA"/>
    <w:rsid w:val="00DD6C49"/>
    <w:rsid w:val="00DD7304"/>
    <w:rsid w:val="00DE0488"/>
    <w:rsid w:val="00DE0BD0"/>
    <w:rsid w:val="00DE0CEE"/>
    <w:rsid w:val="00DE204C"/>
    <w:rsid w:val="00DE3B82"/>
    <w:rsid w:val="00DE4BAD"/>
    <w:rsid w:val="00DE4FCC"/>
    <w:rsid w:val="00DE589E"/>
    <w:rsid w:val="00DE5C9E"/>
    <w:rsid w:val="00DF0BB8"/>
    <w:rsid w:val="00DF1485"/>
    <w:rsid w:val="00DF2212"/>
    <w:rsid w:val="00DF361F"/>
    <w:rsid w:val="00DF394B"/>
    <w:rsid w:val="00DF65BC"/>
    <w:rsid w:val="00DF6B73"/>
    <w:rsid w:val="00DF72EC"/>
    <w:rsid w:val="00DF7C70"/>
    <w:rsid w:val="00E000D2"/>
    <w:rsid w:val="00E00E47"/>
    <w:rsid w:val="00E01483"/>
    <w:rsid w:val="00E01C1E"/>
    <w:rsid w:val="00E058D6"/>
    <w:rsid w:val="00E0636A"/>
    <w:rsid w:val="00E0640B"/>
    <w:rsid w:val="00E06981"/>
    <w:rsid w:val="00E06CB6"/>
    <w:rsid w:val="00E077BE"/>
    <w:rsid w:val="00E0C430"/>
    <w:rsid w:val="00E107C9"/>
    <w:rsid w:val="00E10840"/>
    <w:rsid w:val="00E11E78"/>
    <w:rsid w:val="00E1238D"/>
    <w:rsid w:val="00E13053"/>
    <w:rsid w:val="00E13ADC"/>
    <w:rsid w:val="00E14C27"/>
    <w:rsid w:val="00E14E0B"/>
    <w:rsid w:val="00E1608C"/>
    <w:rsid w:val="00E16AE4"/>
    <w:rsid w:val="00E21657"/>
    <w:rsid w:val="00E218BE"/>
    <w:rsid w:val="00E22280"/>
    <w:rsid w:val="00E229F8"/>
    <w:rsid w:val="00E22D21"/>
    <w:rsid w:val="00E23031"/>
    <w:rsid w:val="00E25019"/>
    <w:rsid w:val="00E25887"/>
    <w:rsid w:val="00E259AD"/>
    <w:rsid w:val="00E25C24"/>
    <w:rsid w:val="00E2788E"/>
    <w:rsid w:val="00E308A6"/>
    <w:rsid w:val="00E316E3"/>
    <w:rsid w:val="00E31B98"/>
    <w:rsid w:val="00E325FB"/>
    <w:rsid w:val="00E33EEB"/>
    <w:rsid w:val="00E341E9"/>
    <w:rsid w:val="00E34232"/>
    <w:rsid w:val="00E37998"/>
    <w:rsid w:val="00E401FA"/>
    <w:rsid w:val="00E40445"/>
    <w:rsid w:val="00E41A4A"/>
    <w:rsid w:val="00E4303D"/>
    <w:rsid w:val="00E438EC"/>
    <w:rsid w:val="00E44D5A"/>
    <w:rsid w:val="00E44F38"/>
    <w:rsid w:val="00E4513D"/>
    <w:rsid w:val="00E4516D"/>
    <w:rsid w:val="00E46732"/>
    <w:rsid w:val="00E4679D"/>
    <w:rsid w:val="00E46AE3"/>
    <w:rsid w:val="00E470D3"/>
    <w:rsid w:val="00E47519"/>
    <w:rsid w:val="00E475D7"/>
    <w:rsid w:val="00E47855"/>
    <w:rsid w:val="00E5064F"/>
    <w:rsid w:val="00E540E0"/>
    <w:rsid w:val="00E56059"/>
    <w:rsid w:val="00E63212"/>
    <w:rsid w:val="00E639BD"/>
    <w:rsid w:val="00E657F5"/>
    <w:rsid w:val="00E661E0"/>
    <w:rsid w:val="00E67E95"/>
    <w:rsid w:val="00E70127"/>
    <w:rsid w:val="00E713E4"/>
    <w:rsid w:val="00E7259C"/>
    <w:rsid w:val="00E738BE"/>
    <w:rsid w:val="00E73CA0"/>
    <w:rsid w:val="00E74071"/>
    <w:rsid w:val="00E74499"/>
    <w:rsid w:val="00E749A0"/>
    <w:rsid w:val="00E76802"/>
    <w:rsid w:val="00E77D33"/>
    <w:rsid w:val="00E80A0D"/>
    <w:rsid w:val="00E85AAB"/>
    <w:rsid w:val="00E86F1F"/>
    <w:rsid w:val="00E91041"/>
    <w:rsid w:val="00E9255E"/>
    <w:rsid w:val="00E925B0"/>
    <w:rsid w:val="00E97A5B"/>
    <w:rsid w:val="00EA235D"/>
    <w:rsid w:val="00EA2C29"/>
    <w:rsid w:val="00EA2CB2"/>
    <w:rsid w:val="00EA322F"/>
    <w:rsid w:val="00EA329A"/>
    <w:rsid w:val="00EA33C0"/>
    <w:rsid w:val="00EA43D8"/>
    <w:rsid w:val="00EA60EB"/>
    <w:rsid w:val="00EA6539"/>
    <w:rsid w:val="00EA71A6"/>
    <w:rsid w:val="00EA7667"/>
    <w:rsid w:val="00EB051A"/>
    <w:rsid w:val="00EB0A5D"/>
    <w:rsid w:val="00EB1FC8"/>
    <w:rsid w:val="00EB4300"/>
    <w:rsid w:val="00EB46E4"/>
    <w:rsid w:val="00EB5CD6"/>
    <w:rsid w:val="00EB6CEF"/>
    <w:rsid w:val="00EB7961"/>
    <w:rsid w:val="00EB7A04"/>
    <w:rsid w:val="00EC1DC8"/>
    <w:rsid w:val="00EC2344"/>
    <w:rsid w:val="00EC3007"/>
    <w:rsid w:val="00EC460C"/>
    <w:rsid w:val="00EC727F"/>
    <w:rsid w:val="00EC75F4"/>
    <w:rsid w:val="00ED07D0"/>
    <w:rsid w:val="00ED1BFC"/>
    <w:rsid w:val="00ED217F"/>
    <w:rsid w:val="00ED25EA"/>
    <w:rsid w:val="00ED26F2"/>
    <w:rsid w:val="00ED2DB5"/>
    <w:rsid w:val="00ED394F"/>
    <w:rsid w:val="00ED6970"/>
    <w:rsid w:val="00ED7303"/>
    <w:rsid w:val="00ED7A18"/>
    <w:rsid w:val="00EE08DD"/>
    <w:rsid w:val="00EE29BE"/>
    <w:rsid w:val="00EE3B8B"/>
    <w:rsid w:val="00EE6E32"/>
    <w:rsid w:val="00EE7EC2"/>
    <w:rsid w:val="00EF05FB"/>
    <w:rsid w:val="00EF0E9A"/>
    <w:rsid w:val="00EF14DD"/>
    <w:rsid w:val="00EF1A65"/>
    <w:rsid w:val="00EF2530"/>
    <w:rsid w:val="00EF2ADE"/>
    <w:rsid w:val="00EF3D4E"/>
    <w:rsid w:val="00EF4093"/>
    <w:rsid w:val="00EF54C8"/>
    <w:rsid w:val="00EF56DF"/>
    <w:rsid w:val="00EF5A16"/>
    <w:rsid w:val="00EF5A20"/>
    <w:rsid w:val="00EF5DE5"/>
    <w:rsid w:val="00EF68F9"/>
    <w:rsid w:val="00EF70FE"/>
    <w:rsid w:val="00EF75CE"/>
    <w:rsid w:val="00EF7F3E"/>
    <w:rsid w:val="00F009C4"/>
    <w:rsid w:val="00F00BB0"/>
    <w:rsid w:val="00F016B9"/>
    <w:rsid w:val="00F01E60"/>
    <w:rsid w:val="00F02BF5"/>
    <w:rsid w:val="00F033BA"/>
    <w:rsid w:val="00F04850"/>
    <w:rsid w:val="00F04FA8"/>
    <w:rsid w:val="00F068DE"/>
    <w:rsid w:val="00F11C32"/>
    <w:rsid w:val="00F1390A"/>
    <w:rsid w:val="00F13AFD"/>
    <w:rsid w:val="00F14CFF"/>
    <w:rsid w:val="00F16C34"/>
    <w:rsid w:val="00F175C6"/>
    <w:rsid w:val="00F17965"/>
    <w:rsid w:val="00F21B36"/>
    <w:rsid w:val="00F21C88"/>
    <w:rsid w:val="00F2228B"/>
    <w:rsid w:val="00F24C3C"/>
    <w:rsid w:val="00F258CE"/>
    <w:rsid w:val="00F25AD2"/>
    <w:rsid w:val="00F25D2D"/>
    <w:rsid w:val="00F25FC2"/>
    <w:rsid w:val="00F266EF"/>
    <w:rsid w:val="00F2762A"/>
    <w:rsid w:val="00F303F6"/>
    <w:rsid w:val="00F31F21"/>
    <w:rsid w:val="00F31F46"/>
    <w:rsid w:val="00F32286"/>
    <w:rsid w:val="00F328AD"/>
    <w:rsid w:val="00F32C8E"/>
    <w:rsid w:val="00F348BB"/>
    <w:rsid w:val="00F348CA"/>
    <w:rsid w:val="00F369A3"/>
    <w:rsid w:val="00F36DFB"/>
    <w:rsid w:val="00F371C8"/>
    <w:rsid w:val="00F372BE"/>
    <w:rsid w:val="00F37CF7"/>
    <w:rsid w:val="00F4000B"/>
    <w:rsid w:val="00F40AFB"/>
    <w:rsid w:val="00F40BCA"/>
    <w:rsid w:val="00F41ACB"/>
    <w:rsid w:val="00F41F40"/>
    <w:rsid w:val="00F438C2"/>
    <w:rsid w:val="00F43C05"/>
    <w:rsid w:val="00F44F50"/>
    <w:rsid w:val="00F45CC1"/>
    <w:rsid w:val="00F45E85"/>
    <w:rsid w:val="00F4613C"/>
    <w:rsid w:val="00F478BD"/>
    <w:rsid w:val="00F519BB"/>
    <w:rsid w:val="00F529AE"/>
    <w:rsid w:val="00F52DD2"/>
    <w:rsid w:val="00F53D2D"/>
    <w:rsid w:val="00F54BDE"/>
    <w:rsid w:val="00F557B0"/>
    <w:rsid w:val="00F557D9"/>
    <w:rsid w:val="00F57C27"/>
    <w:rsid w:val="00F605FA"/>
    <w:rsid w:val="00F61485"/>
    <w:rsid w:val="00F62C22"/>
    <w:rsid w:val="00F62F71"/>
    <w:rsid w:val="00F6455A"/>
    <w:rsid w:val="00F648FB"/>
    <w:rsid w:val="00F64CBC"/>
    <w:rsid w:val="00F65344"/>
    <w:rsid w:val="00F70335"/>
    <w:rsid w:val="00F706D0"/>
    <w:rsid w:val="00F70713"/>
    <w:rsid w:val="00F718CD"/>
    <w:rsid w:val="00F7217A"/>
    <w:rsid w:val="00F72478"/>
    <w:rsid w:val="00F7250D"/>
    <w:rsid w:val="00F75A09"/>
    <w:rsid w:val="00F80EE4"/>
    <w:rsid w:val="00F811BE"/>
    <w:rsid w:val="00F829E4"/>
    <w:rsid w:val="00F838FB"/>
    <w:rsid w:val="00F85647"/>
    <w:rsid w:val="00F85C34"/>
    <w:rsid w:val="00F85E9C"/>
    <w:rsid w:val="00F8622C"/>
    <w:rsid w:val="00F866FF"/>
    <w:rsid w:val="00F86B69"/>
    <w:rsid w:val="00F87971"/>
    <w:rsid w:val="00F90ED5"/>
    <w:rsid w:val="00F91121"/>
    <w:rsid w:val="00F915C6"/>
    <w:rsid w:val="00F91B28"/>
    <w:rsid w:val="00F92BEC"/>
    <w:rsid w:val="00F93037"/>
    <w:rsid w:val="00F939DD"/>
    <w:rsid w:val="00F94A99"/>
    <w:rsid w:val="00F958D2"/>
    <w:rsid w:val="00F9675A"/>
    <w:rsid w:val="00F9A870"/>
    <w:rsid w:val="00FA3B08"/>
    <w:rsid w:val="00FA4B71"/>
    <w:rsid w:val="00FA53D2"/>
    <w:rsid w:val="00FA72BA"/>
    <w:rsid w:val="00FA7D7B"/>
    <w:rsid w:val="00FB0040"/>
    <w:rsid w:val="00FB0936"/>
    <w:rsid w:val="00FB0FF3"/>
    <w:rsid w:val="00FB41D5"/>
    <w:rsid w:val="00FB4B44"/>
    <w:rsid w:val="00FB6608"/>
    <w:rsid w:val="00FB761A"/>
    <w:rsid w:val="00FB7D85"/>
    <w:rsid w:val="00FC0BAD"/>
    <w:rsid w:val="00FC16CE"/>
    <w:rsid w:val="00FC19B7"/>
    <w:rsid w:val="00FC2F77"/>
    <w:rsid w:val="00FC3A57"/>
    <w:rsid w:val="00FC4C55"/>
    <w:rsid w:val="00FC4F8B"/>
    <w:rsid w:val="00FC5CD8"/>
    <w:rsid w:val="00FC6568"/>
    <w:rsid w:val="00FC706B"/>
    <w:rsid w:val="00FD1260"/>
    <w:rsid w:val="00FD1917"/>
    <w:rsid w:val="00FD36EB"/>
    <w:rsid w:val="00FD3923"/>
    <w:rsid w:val="00FD3F24"/>
    <w:rsid w:val="00FD4B3A"/>
    <w:rsid w:val="00FD69E1"/>
    <w:rsid w:val="00FE0AB5"/>
    <w:rsid w:val="00FE1ABC"/>
    <w:rsid w:val="00FE38B8"/>
    <w:rsid w:val="00FE4499"/>
    <w:rsid w:val="00FE4AE9"/>
    <w:rsid w:val="00FE4EE0"/>
    <w:rsid w:val="00FE6694"/>
    <w:rsid w:val="00FE7607"/>
    <w:rsid w:val="00FF16AE"/>
    <w:rsid w:val="00FF20D2"/>
    <w:rsid w:val="00FF3456"/>
    <w:rsid w:val="00FF3DC7"/>
    <w:rsid w:val="00FF444C"/>
    <w:rsid w:val="00FF5022"/>
    <w:rsid w:val="00FF7B30"/>
    <w:rsid w:val="01FF33C4"/>
    <w:rsid w:val="03BF5A45"/>
    <w:rsid w:val="04E85DED"/>
    <w:rsid w:val="04EC2D64"/>
    <w:rsid w:val="05B510CF"/>
    <w:rsid w:val="06193D18"/>
    <w:rsid w:val="08179AF3"/>
    <w:rsid w:val="08A59A80"/>
    <w:rsid w:val="094C5EE5"/>
    <w:rsid w:val="09CDEB49"/>
    <w:rsid w:val="0ABF9271"/>
    <w:rsid w:val="0D8CF8F7"/>
    <w:rsid w:val="0FED3BE6"/>
    <w:rsid w:val="1034F361"/>
    <w:rsid w:val="135E68B6"/>
    <w:rsid w:val="13836623"/>
    <w:rsid w:val="16407328"/>
    <w:rsid w:val="1699504C"/>
    <w:rsid w:val="17806D04"/>
    <w:rsid w:val="178348E2"/>
    <w:rsid w:val="18BC912D"/>
    <w:rsid w:val="191060B3"/>
    <w:rsid w:val="1990BAB9"/>
    <w:rsid w:val="1A3CFC05"/>
    <w:rsid w:val="1B7830C7"/>
    <w:rsid w:val="1C5C03DA"/>
    <w:rsid w:val="1D218FC9"/>
    <w:rsid w:val="1D8228D5"/>
    <w:rsid w:val="1E0F48D6"/>
    <w:rsid w:val="1E6AD0F5"/>
    <w:rsid w:val="1EE6E931"/>
    <w:rsid w:val="20626A0F"/>
    <w:rsid w:val="212F69DB"/>
    <w:rsid w:val="21370CC7"/>
    <w:rsid w:val="22EF94CC"/>
    <w:rsid w:val="23A0D4FA"/>
    <w:rsid w:val="23D1038C"/>
    <w:rsid w:val="253AD507"/>
    <w:rsid w:val="270F1494"/>
    <w:rsid w:val="272DFD22"/>
    <w:rsid w:val="27DA65AB"/>
    <w:rsid w:val="27E81C54"/>
    <w:rsid w:val="2865B3E4"/>
    <w:rsid w:val="28D04022"/>
    <w:rsid w:val="29BDA4A1"/>
    <w:rsid w:val="29BE58B4"/>
    <w:rsid w:val="2AF2E569"/>
    <w:rsid w:val="2BA50AC8"/>
    <w:rsid w:val="2D6463EA"/>
    <w:rsid w:val="2DF805F7"/>
    <w:rsid w:val="2E3F3BDA"/>
    <w:rsid w:val="2E497823"/>
    <w:rsid w:val="2E49FD83"/>
    <w:rsid w:val="2F9E7E33"/>
    <w:rsid w:val="2FDF2B72"/>
    <w:rsid w:val="304D42CE"/>
    <w:rsid w:val="3061A705"/>
    <w:rsid w:val="31F97ABC"/>
    <w:rsid w:val="322C18F3"/>
    <w:rsid w:val="32A3CB62"/>
    <w:rsid w:val="34C6699E"/>
    <w:rsid w:val="36A9793F"/>
    <w:rsid w:val="370FFD80"/>
    <w:rsid w:val="37BC3DF9"/>
    <w:rsid w:val="385B64EA"/>
    <w:rsid w:val="39A7078A"/>
    <w:rsid w:val="3AED6377"/>
    <w:rsid w:val="3B5F4A91"/>
    <w:rsid w:val="3EA8ED38"/>
    <w:rsid w:val="3EF7BD1F"/>
    <w:rsid w:val="3F3B509A"/>
    <w:rsid w:val="3FA47FB4"/>
    <w:rsid w:val="40B57709"/>
    <w:rsid w:val="414D8DDE"/>
    <w:rsid w:val="4197449F"/>
    <w:rsid w:val="42626868"/>
    <w:rsid w:val="42957A6D"/>
    <w:rsid w:val="4326B7D7"/>
    <w:rsid w:val="434AC920"/>
    <w:rsid w:val="43CDF617"/>
    <w:rsid w:val="4463F18B"/>
    <w:rsid w:val="4497A3A2"/>
    <w:rsid w:val="44B4A279"/>
    <w:rsid w:val="455A7CB9"/>
    <w:rsid w:val="46F8A416"/>
    <w:rsid w:val="4963B568"/>
    <w:rsid w:val="49BF910E"/>
    <w:rsid w:val="49D00F62"/>
    <w:rsid w:val="4B8BB11A"/>
    <w:rsid w:val="4BC35677"/>
    <w:rsid w:val="4CA96498"/>
    <w:rsid w:val="4DBC8BFF"/>
    <w:rsid w:val="4DBD9404"/>
    <w:rsid w:val="4E1B5492"/>
    <w:rsid w:val="4E5CF99A"/>
    <w:rsid w:val="4F6DFA3F"/>
    <w:rsid w:val="4F8650CF"/>
    <w:rsid w:val="4FAA257E"/>
    <w:rsid w:val="50FF452C"/>
    <w:rsid w:val="51D8726A"/>
    <w:rsid w:val="528115A5"/>
    <w:rsid w:val="52B8B2A8"/>
    <w:rsid w:val="5371EFE1"/>
    <w:rsid w:val="546D83E6"/>
    <w:rsid w:val="54827A88"/>
    <w:rsid w:val="552EBC97"/>
    <w:rsid w:val="55D77793"/>
    <w:rsid w:val="567221A2"/>
    <w:rsid w:val="56C8A14F"/>
    <w:rsid w:val="570C5C94"/>
    <w:rsid w:val="5826704D"/>
    <w:rsid w:val="58FF0E1C"/>
    <w:rsid w:val="591BB50F"/>
    <w:rsid w:val="5BB29996"/>
    <w:rsid w:val="5BF2BB8B"/>
    <w:rsid w:val="5C8AD471"/>
    <w:rsid w:val="5DA9CC7D"/>
    <w:rsid w:val="5DD4605E"/>
    <w:rsid w:val="609DB8B8"/>
    <w:rsid w:val="60DE31CB"/>
    <w:rsid w:val="610CD2F9"/>
    <w:rsid w:val="61355DB3"/>
    <w:rsid w:val="618AEDD3"/>
    <w:rsid w:val="6231CDFE"/>
    <w:rsid w:val="625FF87B"/>
    <w:rsid w:val="63A094C2"/>
    <w:rsid w:val="63C7E49A"/>
    <w:rsid w:val="64BE117F"/>
    <w:rsid w:val="67D6494D"/>
    <w:rsid w:val="67EB4447"/>
    <w:rsid w:val="67F0A6DF"/>
    <w:rsid w:val="698C46A6"/>
    <w:rsid w:val="6A41BA7A"/>
    <w:rsid w:val="6A78B0D5"/>
    <w:rsid w:val="6ACD3824"/>
    <w:rsid w:val="6B0D9955"/>
    <w:rsid w:val="6B319AC9"/>
    <w:rsid w:val="6C959555"/>
    <w:rsid w:val="6CB22749"/>
    <w:rsid w:val="6D564BBD"/>
    <w:rsid w:val="6DF45001"/>
    <w:rsid w:val="6F46BBF9"/>
    <w:rsid w:val="70A12BBB"/>
    <w:rsid w:val="71D5C270"/>
    <w:rsid w:val="75298E14"/>
    <w:rsid w:val="76CBE589"/>
    <w:rsid w:val="782DBF8E"/>
    <w:rsid w:val="78DD9AE0"/>
    <w:rsid w:val="7926E2CD"/>
    <w:rsid w:val="795603EB"/>
    <w:rsid w:val="7981CEB9"/>
    <w:rsid w:val="7A4093BB"/>
    <w:rsid w:val="7B7EA028"/>
    <w:rsid w:val="7BFE6696"/>
    <w:rsid w:val="7D0D5774"/>
    <w:rsid w:val="7E46C437"/>
    <w:rsid w:val="7E565E15"/>
    <w:rsid w:val="7EC14CB3"/>
    <w:rsid w:val="7F67B968"/>
    <w:rsid w:val="7FC148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ED101"/>
  <w15:docId w15:val="{F5101E60-3FA1-4432-BC18-55CB5F9BE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964"/>
    <w:pPr>
      <w:tabs>
        <w:tab w:val="left" w:pos="992"/>
        <w:tab w:val="left" w:pos="1395"/>
        <w:tab w:val="left" w:pos="1712"/>
      </w:tabs>
      <w:spacing w:after="240" w:line="240" w:lineRule="auto"/>
    </w:pPr>
    <w:rPr>
      <w:rFonts w:ascii="RR Pioneer" w:hAnsi="RR Pioneer"/>
      <w:sz w:val="20"/>
    </w:rPr>
  </w:style>
  <w:style w:type="paragraph" w:styleId="Heading1">
    <w:name w:val="heading 1"/>
    <w:next w:val="Heading2"/>
    <w:link w:val="Heading1Char"/>
    <w:autoRedefine/>
    <w:uiPriority w:val="1"/>
    <w:qFormat/>
    <w:rsid w:val="00B428BA"/>
    <w:pPr>
      <w:keepNext/>
      <w:keepLines/>
      <w:widowControl w:val="0"/>
      <w:shd w:val="clear" w:color="auto" w:fill="EEECE1" w:themeFill="background2"/>
      <w:spacing w:after="240" w:line="240" w:lineRule="auto"/>
      <w:outlineLvl w:val="0"/>
    </w:pPr>
    <w:rPr>
      <w:rFonts w:ascii="RR Pioneer" w:eastAsiaTheme="majorEastAsia" w:hAnsi="RR Pioneer" w:cstheme="majorBidi"/>
      <w:b/>
      <w:bCs/>
      <w:i/>
      <w:iCs/>
      <w:kern w:val="28"/>
      <w:sz w:val="28"/>
      <w:szCs w:val="28"/>
    </w:rPr>
  </w:style>
  <w:style w:type="paragraph" w:styleId="Heading2">
    <w:name w:val="heading 2"/>
    <w:next w:val="Heading3"/>
    <w:link w:val="Heading2Char"/>
    <w:autoRedefine/>
    <w:uiPriority w:val="2"/>
    <w:qFormat/>
    <w:rsid w:val="00B428BA"/>
    <w:pPr>
      <w:keepNext/>
      <w:keepLines/>
      <w:spacing w:after="240" w:line="240" w:lineRule="auto"/>
      <w:outlineLvl w:val="1"/>
    </w:pPr>
    <w:rPr>
      <w:rFonts w:ascii="Arial" w:eastAsiaTheme="majorEastAsia" w:hAnsi="Arial" w:cstheme="majorBidi"/>
      <w:b/>
      <w:bCs/>
      <w:i/>
      <w:sz w:val="28"/>
      <w:szCs w:val="28"/>
    </w:rPr>
  </w:style>
  <w:style w:type="paragraph" w:styleId="Heading3">
    <w:name w:val="heading 3"/>
    <w:basedOn w:val="Heading6"/>
    <w:next w:val="Normal"/>
    <w:link w:val="Heading3Char"/>
    <w:uiPriority w:val="3"/>
    <w:qFormat/>
    <w:rsid w:val="002C0498"/>
    <w:pPr>
      <w:keepNext/>
      <w:keepLines/>
      <w:spacing w:after="240"/>
      <w:outlineLvl w:val="2"/>
    </w:pPr>
  </w:style>
  <w:style w:type="paragraph" w:styleId="Heading5">
    <w:name w:val="heading 5"/>
    <w:next w:val="Heading3"/>
    <w:link w:val="Heading5Char"/>
    <w:unhideWhenUsed/>
    <w:rsid w:val="00BD6AAB"/>
    <w:pPr>
      <w:tabs>
        <w:tab w:val="left" w:pos="1008"/>
      </w:tabs>
      <w:spacing w:after="120" w:line="240" w:lineRule="auto"/>
      <w:outlineLvl w:val="4"/>
    </w:pPr>
    <w:rPr>
      <w:rFonts w:ascii="Arial" w:eastAsia="Times New Roman" w:hAnsi="Arial" w:cs="Times New Roman"/>
      <w:sz w:val="20"/>
      <w:szCs w:val="20"/>
      <w:u w:val="single"/>
    </w:rPr>
  </w:style>
  <w:style w:type="paragraph" w:styleId="Heading6">
    <w:name w:val="heading 6"/>
    <w:basedOn w:val="Heading5"/>
    <w:next w:val="Normal"/>
    <w:link w:val="Heading6Char"/>
    <w:uiPriority w:val="9"/>
    <w:unhideWhenUsed/>
    <w:rsid w:val="00F2228B"/>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474C55"/>
    <w:pPr>
      <w:ind w:left="720"/>
      <w:contextualSpacing/>
    </w:pPr>
  </w:style>
  <w:style w:type="paragraph" w:styleId="Header">
    <w:name w:val="header"/>
    <w:basedOn w:val="Normal"/>
    <w:link w:val="HeaderChar"/>
    <w:uiPriority w:val="99"/>
    <w:unhideWhenUsed/>
    <w:rsid w:val="00D12A48"/>
    <w:pPr>
      <w:tabs>
        <w:tab w:val="center" w:pos="4513"/>
        <w:tab w:val="right" w:pos="9026"/>
      </w:tabs>
    </w:pPr>
  </w:style>
  <w:style w:type="character" w:customStyle="1" w:styleId="HeaderChar">
    <w:name w:val="Header Char"/>
    <w:basedOn w:val="DefaultParagraphFont"/>
    <w:link w:val="Header"/>
    <w:uiPriority w:val="99"/>
    <w:rsid w:val="00ED25EA"/>
    <w:rPr>
      <w:rFonts w:ascii="Arial" w:hAnsi="Arial"/>
      <w:sz w:val="20"/>
    </w:rPr>
  </w:style>
  <w:style w:type="paragraph" w:styleId="Footer">
    <w:name w:val="footer"/>
    <w:basedOn w:val="Normal"/>
    <w:link w:val="FooterChar"/>
    <w:uiPriority w:val="99"/>
    <w:unhideWhenUsed/>
    <w:rsid w:val="00D12A48"/>
    <w:pPr>
      <w:tabs>
        <w:tab w:val="center" w:pos="4513"/>
        <w:tab w:val="right" w:pos="9026"/>
      </w:tabs>
    </w:pPr>
  </w:style>
  <w:style w:type="character" w:customStyle="1" w:styleId="FooterChar">
    <w:name w:val="Footer Char"/>
    <w:basedOn w:val="DefaultParagraphFont"/>
    <w:link w:val="Footer"/>
    <w:uiPriority w:val="99"/>
    <w:rsid w:val="00ED25EA"/>
    <w:rPr>
      <w:rFonts w:ascii="Arial" w:hAnsi="Arial"/>
      <w:sz w:val="20"/>
    </w:rPr>
  </w:style>
  <w:style w:type="paragraph" w:styleId="BalloonText">
    <w:name w:val="Balloon Text"/>
    <w:basedOn w:val="Normal"/>
    <w:link w:val="BalloonTextChar"/>
    <w:uiPriority w:val="99"/>
    <w:semiHidden/>
    <w:unhideWhenUsed/>
    <w:rsid w:val="00BD6AAB"/>
    <w:rPr>
      <w:rFonts w:ascii="Tahoma" w:hAnsi="Tahoma" w:cs="Tahoma"/>
      <w:sz w:val="16"/>
      <w:szCs w:val="16"/>
    </w:rPr>
  </w:style>
  <w:style w:type="character" w:customStyle="1" w:styleId="BalloonTextChar">
    <w:name w:val="Balloon Text Char"/>
    <w:basedOn w:val="DefaultParagraphFont"/>
    <w:link w:val="BalloonText"/>
    <w:uiPriority w:val="99"/>
    <w:semiHidden/>
    <w:rsid w:val="00ED25EA"/>
    <w:rPr>
      <w:rFonts w:ascii="Tahoma" w:hAnsi="Tahoma" w:cs="Tahoma"/>
      <w:sz w:val="16"/>
      <w:szCs w:val="16"/>
    </w:rPr>
  </w:style>
  <w:style w:type="character" w:customStyle="1" w:styleId="Heading5Char">
    <w:name w:val="Heading 5 Char"/>
    <w:basedOn w:val="DefaultParagraphFont"/>
    <w:link w:val="Heading5"/>
    <w:rsid w:val="00ED25EA"/>
    <w:rPr>
      <w:rFonts w:ascii="Arial" w:eastAsia="Times New Roman" w:hAnsi="Arial" w:cs="Times New Roman"/>
      <w:sz w:val="20"/>
      <w:szCs w:val="20"/>
      <w:u w:val="single"/>
    </w:rPr>
  </w:style>
  <w:style w:type="character" w:customStyle="1" w:styleId="Heading3Char">
    <w:name w:val="Heading 3 Char"/>
    <w:basedOn w:val="DefaultParagraphFont"/>
    <w:link w:val="Heading3"/>
    <w:uiPriority w:val="3"/>
    <w:rsid w:val="002C0498"/>
    <w:rPr>
      <w:rFonts w:ascii="Arial" w:eastAsia="Times New Roman" w:hAnsi="Arial" w:cs="Times New Roman"/>
      <w:sz w:val="20"/>
      <w:szCs w:val="20"/>
      <w:u w:val="single"/>
    </w:rPr>
  </w:style>
  <w:style w:type="character" w:customStyle="1" w:styleId="Heading6Char">
    <w:name w:val="Heading 6 Char"/>
    <w:basedOn w:val="DefaultParagraphFont"/>
    <w:link w:val="Heading6"/>
    <w:uiPriority w:val="9"/>
    <w:rsid w:val="00ED25EA"/>
    <w:rPr>
      <w:rFonts w:ascii="Arial" w:eastAsia="Times New Roman" w:hAnsi="Arial" w:cs="Times New Roman"/>
      <w:sz w:val="20"/>
      <w:szCs w:val="20"/>
      <w:u w:val="single"/>
    </w:rPr>
  </w:style>
  <w:style w:type="character" w:customStyle="1" w:styleId="Heading1Char">
    <w:name w:val="Heading 1 Char"/>
    <w:basedOn w:val="DefaultParagraphFont"/>
    <w:link w:val="Heading1"/>
    <w:uiPriority w:val="1"/>
    <w:rsid w:val="00B428BA"/>
    <w:rPr>
      <w:rFonts w:ascii="RR Pioneer" w:eastAsiaTheme="majorEastAsia" w:hAnsi="RR Pioneer" w:cstheme="majorBidi"/>
      <w:b/>
      <w:bCs/>
      <w:i/>
      <w:iCs/>
      <w:kern w:val="28"/>
      <w:sz w:val="28"/>
      <w:szCs w:val="28"/>
      <w:shd w:val="clear" w:color="auto" w:fill="EEECE1" w:themeFill="background2"/>
    </w:rPr>
  </w:style>
  <w:style w:type="paragraph" w:styleId="NoSpacing">
    <w:name w:val="No Spacing"/>
    <w:uiPriority w:val="11"/>
    <w:qFormat/>
    <w:rsid w:val="00F2228B"/>
    <w:pPr>
      <w:spacing w:after="0" w:line="240" w:lineRule="auto"/>
    </w:pPr>
    <w:rPr>
      <w:rFonts w:ascii="Arial" w:eastAsia="Times New Roman" w:hAnsi="Arial" w:cs="Times New Roman"/>
      <w:sz w:val="20"/>
      <w:szCs w:val="20"/>
    </w:rPr>
  </w:style>
  <w:style w:type="character" w:customStyle="1" w:styleId="Heading2Char">
    <w:name w:val="Heading 2 Char"/>
    <w:basedOn w:val="DefaultParagraphFont"/>
    <w:link w:val="Heading2"/>
    <w:uiPriority w:val="2"/>
    <w:rsid w:val="00B428BA"/>
    <w:rPr>
      <w:rFonts w:ascii="Arial" w:eastAsiaTheme="majorEastAsia" w:hAnsi="Arial" w:cstheme="majorBidi"/>
      <w:b/>
      <w:bCs/>
      <w:i/>
      <w:sz w:val="28"/>
      <w:szCs w:val="28"/>
    </w:rPr>
  </w:style>
  <w:style w:type="paragraph" w:styleId="Caption">
    <w:name w:val="caption"/>
    <w:basedOn w:val="Normal"/>
    <w:next w:val="Normal"/>
    <w:uiPriority w:val="7"/>
    <w:qFormat/>
    <w:rsid w:val="005915C5"/>
    <w:pPr>
      <w:spacing w:before="200" w:after="200"/>
      <w:jc w:val="center"/>
    </w:pPr>
    <w:rPr>
      <w:b/>
      <w:bCs/>
      <w:szCs w:val="18"/>
    </w:rPr>
  </w:style>
  <w:style w:type="numbering" w:customStyle="1" w:styleId="SMR">
    <w:name w:val="SMR"/>
    <w:uiPriority w:val="99"/>
    <w:rsid w:val="00F811BE"/>
    <w:pPr>
      <w:numPr>
        <w:numId w:val="5"/>
      </w:numPr>
    </w:pPr>
  </w:style>
  <w:style w:type="table" w:styleId="TableGrid">
    <w:name w:val="Table Grid"/>
    <w:basedOn w:val="TableNormal"/>
    <w:uiPriority w:val="59"/>
    <w:rsid w:val="00EE3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ListParagraph"/>
    <w:link w:val="Bullet1Char"/>
    <w:uiPriority w:val="4"/>
    <w:qFormat/>
    <w:rsid w:val="00474C55"/>
    <w:pPr>
      <w:numPr>
        <w:numId w:val="6"/>
      </w:numPr>
      <w:tabs>
        <w:tab w:val="clear" w:pos="992"/>
        <w:tab w:val="clear" w:pos="1395"/>
        <w:tab w:val="clear" w:pos="1712"/>
      </w:tabs>
      <w:contextualSpacing w:val="0"/>
    </w:pPr>
  </w:style>
  <w:style w:type="character" w:customStyle="1" w:styleId="ListParagraphChar">
    <w:name w:val="List Paragraph Char"/>
    <w:basedOn w:val="DefaultParagraphFont"/>
    <w:link w:val="ListParagraph"/>
    <w:uiPriority w:val="34"/>
    <w:rsid w:val="00474C55"/>
    <w:rPr>
      <w:rFonts w:ascii="Arial" w:hAnsi="Arial"/>
      <w:sz w:val="20"/>
    </w:rPr>
  </w:style>
  <w:style w:type="character" w:customStyle="1" w:styleId="Bullet1Char">
    <w:name w:val="Bullet 1 Char"/>
    <w:basedOn w:val="ListParagraphChar"/>
    <w:link w:val="Bullet1"/>
    <w:uiPriority w:val="4"/>
    <w:rsid w:val="002C0498"/>
    <w:rPr>
      <w:rFonts w:ascii="Arial" w:hAnsi="Arial"/>
      <w:sz w:val="20"/>
    </w:rPr>
  </w:style>
  <w:style w:type="paragraph" w:styleId="ListNumber">
    <w:name w:val="List Number"/>
    <w:basedOn w:val="Normal"/>
    <w:uiPriority w:val="99"/>
    <w:semiHidden/>
    <w:unhideWhenUsed/>
    <w:rsid w:val="00AE2C75"/>
    <w:pPr>
      <w:numPr>
        <w:numId w:val="7"/>
      </w:numPr>
      <w:contextualSpacing/>
    </w:pPr>
    <w:rPr>
      <w:color w:val="FF0000"/>
    </w:rPr>
  </w:style>
  <w:style w:type="paragraph" w:customStyle="1" w:styleId="ReportTitles">
    <w:name w:val="Report Titles"/>
    <w:basedOn w:val="Normal"/>
    <w:uiPriority w:val="8"/>
    <w:qFormat/>
    <w:rsid w:val="005915C5"/>
    <w:pPr>
      <w:tabs>
        <w:tab w:val="clear" w:pos="992"/>
        <w:tab w:val="clear" w:pos="1395"/>
        <w:tab w:val="clear" w:pos="1712"/>
      </w:tabs>
      <w:spacing w:after="0"/>
    </w:pPr>
    <w:rPr>
      <w:rFonts w:eastAsia="Times New Roman" w:cs="Times New Roman"/>
      <w:b/>
      <w:szCs w:val="20"/>
      <w:lang w:eastAsia="en-GB"/>
    </w:rPr>
  </w:style>
  <w:style w:type="paragraph" w:customStyle="1" w:styleId="ReportField">
    <w:name w:val="Report Field"/>
    <w:basedOn w:val="Normal"/>
    <w:uiPriority w:val="10"/>
    <w:qFormat/>
    <w:rsid w:val="005915C5"/>
    <w:pPr>
      <w:tabs>
        <w:tab w:val="clear" w:pos="992"/>
        <w:tab w:val="clear" w:pos="1395"/>
        <w:tab w:val="clear" w:pos="1712"/>
      </w:tabs>
      <w:spacing w:after="0"/>
    </w:pPr>
    <w:rPr>
      <w:rFonts w:eastAsia="Times New Roman" w:cs="Times New Roman"/>
      <w:szCs w:val="20"/>
      <w:lang w:eastAsia="en-GB"/>
    </w:rPr>
  </w:style>
  <w:style w:type="paragraph" w:customStyle="1" w:styleId="Bullet2">
    <w:name w:val="Bullet 2"/>
    <w:basedOn w:val="ListParagraph"/>
    <w:uiPriority w:val="5"/>
    <w:qFormat/>
    <w:rsid w:val="00EA43D8"/>
    <w:pPr>
      <w:numPr>
        <w:numId w:val="20"/>
      </w:numPr>
      <w:tabs>
        <w:tab w:val="clear" w:pos="992"/>
        <w:tab w:val="clear" w:pos="1395"/>
        <w:tab w:val="clear" w:pos="1712"/>
      </w:tabs>
      <w:spacing w:after="0"/>
    </w:pPr>
  </w:style>
  <w:style w:type="paragraph" w:customStyle="1" w:styleId="Bullet3">
    <w:name w:val="Bullet 3"/>
    <w:basedOn w:val="ListParagraph"/>
    <w:uiPriority w:val="6"/>
    <w:qFormat/>
    <w:rsid w:val="00474C55"/>
    <w:pPr>
      <w:tabs>
        <w:tab w:val="clear" w:pos="992"/>
        <w:tab w:val="clear" w:pos="1395"/>
        <w:tab w:val="clear" w:pos="1712"/>
      </w:tabs>
      <w:ind w:left="1276" w:hanging="425"/>
      <w:contextualSpacing w:val="0"/>
    </w:pPr>
    <w:rPr>
      <w:color w:val="000000" w:themeColor="text1"/>
    </w:rPr>
  </w:style>
  <w:style w:type="paragraph" w:customStyle="1" w:styleId="SecurityClassification">
    <w:name w:val="Security Classification"/>
    <w:basedOn w:val="Normal"/>
    <w:uiPriority w:val="14"/>
    <w:qFormat/>
    <w:rsid w:val="00474C55"/>
    <w:pPr>
      <w:tabs>
        <w:tab w:val="clear" w:pos="992"/>
        <w:tab w:val="clear" w:pos="1395"/>
        <w:tab w:val="clear" w:pos="1712"/>
        <w:tab w:val="left" w:pos="994"/>
        <w:tab w:val="left" w:pos="1397"/>
        <w:tab w:val="left" w:pos="1714"/>
      </w:tabs>
      <w:spacing w:after="0"/>
      <w:jc w:val="center"/>
    </w:pPr>
    <w:rPr>
      <w:rFonts w:eastAsia="Times New Roman" w:cs="Times New Roman"/>
      <w:b/>
      <w:caps/>
      <w:szCs w:val="20"/>
      <w:lang w:eastAsia="en-GB"/>
    </w:rPr>
  </w:style>
  <w:style w:type="paragraph" w:customStyle="1" w:styleId="ReferenceList">
    <w:name w:val="Reference List"/>
    <w:basedOn w:val="Normal"/>
    <w:link w:val="ReferenceListChar"/>
    <w:uiPriority w:val="8"/>
    <w:qFormat/>
    <w:rsid w:val="006B670D"/>
    <w:pPr>
      <w:numPr>
        <w:numId w:val="17"/>
      </w:numPr>
      <w:tabs>
        <w:tab w:val="clear" w:pos="992"/>
        <w:tab w:val="clear" w:pos="1395"/>
        <w:tab w:val="clear" w:pos="1712"/>
        <w:tab w:val="left" w:pos="1134"/>
      </w:tabs>
    </w:pPr>
    <w:rPr>
      <w:rFonts w:eastAsia="Times New Roman" w:cs="Times New Roman"/>
      <w:szCs w:val="20"/>
      <w:lang w:eastAsia="en-GB"/>
    </w:rPr>
  </w:style>
  <w:style w:type="character" w:customStyle="1" w:styleId="ReferenceListChar">
    <w:name w:val="Reference List Char"/>
    <w:link w:val="ReferenceList"/>
    <w:uiPriority w:val="8"/>
    <w:rsid w:val="006B670D"/>
    <w:rPr>
      <w:rFonts w:ascii="Arial" w:eastAsia="Times New Roman" w:hAnsi="Arial" w:cs="Times New Roman"/>
      <w:sz w:val="20"/>
      <w:szCs w:val="20"/>
      <w:lang w:eastAsia="en-GB"/>
    </w:rPr>
  </w:style>
  <w:style w:type="character" w:styleId="PlaceholderText">
    <w:name w:val="Placeholder Text"/>
    <w:basedOn w:val="DefaultParagraphFont"/>
    <w:uiPriority w:val="99"/>
    <w:semiHidden/>
    <w:rsid w:val="00E000D2"/>
    <w:rPr>
      <w:color w:val="808080"/>
    </w:rPr>
  </w:style>
  <w:style w:type="paragraph" w:styleId="Revision">
    <w:name w:val="Revision"/>
    <w:hidden/>
    <w:uiPriority w:val="99"/>
    <w:semiHidden/>
    <w:rsid w:val="001538A6"/>
    <w:pPr>
      <w:spacing w:after="0" w:line="240" w:lineRule="auto"/>
    </w:pPr>
    <w:rPr>
      <w:rFonts w:ascii="Arial" w:hAnsi="Arial"/>
      <w:sz w:val="20"/>
    </w:rPr>
  </w:style>
  <w:style w:type="character" w:styleId="CommentReference">
    <w:name w:val="annotation reference"/>
    <w:basedOn w:val="DefaultParagraphFont"/>
    <w:uiPriority w:val="99"/>
    <w:semiHidden/>
    <w:unhideWhenUsed/>
    <w:rsid w:val="001538A6"/>
    <w:rPr>
      <w:sz w:val="16"/>
      <w:szCs w:val="16"/>
    </w:rPr>
  </w:style>
  <w:style w:type="paragraph" w:styleId="CommentText">
    <w:name w:val="annotation text"/>
    <w:basedOn w:val="Normal"/>
    <w:link w:val="CommentTextChar"/>
    <w:uiPriority w:val="99"/>
    <w:unhideWhenUsed/>
    <w:rsid w:val="001538A6"/>
    <w:rPr>
      <w:szCs w:val="20"/>
    </w:rPr>
  </w:style>
  <w:style w:type="character" w:customStyle="1" w:styleId="CommentTextChar">
    <w:name w:val="Comment Text Char"/>
    <w:basedOn w:val="DefaultParagraphFont"/>
    <w:link w:val="CommentText"/>
    <w:uiPriority w:val="99"/>
    <w:rsid w:val="001538A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538A6"/>
    <w:rPr>
      <w:b/>
      <w:bCs/>
    </w:rPr>
  </w:style>
  <w:style w:type="character" w:customStyle="1" w:styleId="CommentSubjectChar">
    <w:name w:val="Comment Subject Char"/>
    <w:basedOn w:val="CommentTextChar"/>
    <w:link w:val="CommentSubject"/>
    <w:uiPriority w:val="99"/>
    <w:semiHidden/>
    <w:rsid w:val="001538A6"/>
    <w:rPr>
      <w:rFonts w:ascii="Arial" w:hAnsi="Arial"/>
      <w:b/>
      <w:bCs/>
      <w:sz w:val="20"/>
      <w:szCs w:val="20"/>
    </w:rPr>
  </w:style>
  <w:style w:type="character" w:customStyle="1" w:styleId="ui-provider">
    <w:name w:val="ui-provider"/>
    <w:basedOn w:val="DefaultParagraphFont"/>
    <w:rsid w:val="00DD58BC"/>
  </w:style>
  <w:style w:type="character" w:styleId="Strong">
    <w:name w:val="Strong"/>
    <w:basedOn w:val="DefaultParagraphFont"/>
    <w:uiPriority w:val="22"/>
    <w:qFormat/>
    <w:rsid w:val="00DD58BC"/>
    <w:rPr>
      <w:b/>
      <w:bCs/>
    </w:rPr>
  </w:style>
  <w:style w:type="character" w:styleId="Hyperlink">
    <w:name w:val="Hyperlink"/>
    <w:basedOn w:val="DefaultParagraphFont"/>
    <w:uiPriority w:val="99"/>
    <w:unhideWhenUsed/>
    <w:rsid w:val="00C137FB"/>
    <w:rPr>
      <w:color w:val="0000FF" w:themeColor="hyperlink"/>
      <w:u w:val="single"/>
    </w:rPr>
  </w:style>
  <w:style w:type="character" w:styleId="UnresolvedMention">
    <w:name w:val="Unresolved Mention"/>
    <w:basedOn w:val="DefaultParagraphFont"/>
    <w:uiPriority w:val="99"/>
    <w:semiHidden/>
    <w:unhideWhenUsed/>
    <w:rsid w:val="00C137FB"/>
    <w:rPr>
      <w:color w:val="605E5C"/>
      <w:shd w:val="clear" w:color="auto" w:fill="E1DFDD"/>
    </w:rPr>
  </w:style>
  <w:style w:type="character" w:styleId="Mention">
    <w:name w:val="Mention"/>
    <w:basedOn w:val="DefaultParagraphFont"/>
    <w:uiPriority w:val="99"/>
    <w:unhideWhenUsed/>
    <w:rsid w:val="00822C62"/>
    <w:rPr>
      <w:color w:val="2B579A"/>
      <w:shd w:val="clear" w:color="auto" w:fill="E1DFDD"/>
    </w:rPr>
  </w:style>
  <w:style w:type="character" w:styleId="FollowedHyperlink">
    <w:name w:val="FollowedHyperlink"/>
    <w:basedOn w:val="DefaultParagraphFont"/>
    <w:uiPriority w:val="99"/>
    <w:semiHidden/>
    <w:unhideWhenUsed/>
    <w:rsid w:val="00822C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622630">
      <w:bodyDiv w:val="1"/>
      <w:marLeft w:val="0"/>
      <w:marRight w:val="0"/>
      <w:marTop w:val="0"/>
      <w:marBottom w:val="0"/>
      <w:divBdr>
        <w:top w:val="none" w:sz="0" w:space="0" w:color="auto"/>
        <w:left w:val="none" w:sz="0" w:space="0" w:color="auto"/>
        <w:bottom w:val="none" w:sz="0" w:space="0" w:color="auto"/>
        <w:right w:val="none" w:sz="0" w:space="0" w:color="auto"/>
      </w:divBdr>
    </w:div>
    <w:div w:id="1723018777">
      <w:bodyDiv w:val="1"/>
      <w:marLeft w:val="0"/>
      <w:marRight w:val="0"/>
      <w:marTop w:val="0"/>
      <w:marBottom w:val="0"/>
      <w:divBdr>
        <w:top w:val="none" w:sz="0" w:space="0" w:color="auto"/>
        <w:left w:val="none" w:sz="0" w:space="0" w:color="auto"/>
        <w:bottom w:val="none" w:sz="0" w:space="0" w:color="auto"/>
        <w:right w:val="none" w:sz="0" w:space="0" w:color="auto"/>
      </w:divBdr>
    </w:div>
    <w:div w:id="1767922435">
      <w:marLeft w:val="0"/>
      <w:marRight w:val="0"/>
      <w:marTop w:val="0"/>
      <w:marBottom w:val="0"/>
      <w:divBdr>
        <w:top w:val="none" w:sz="0" w:space="0" w:color="auto"/>
        <w:left w:val="none" w:sz="0" w:space="0" w:color="auto"/>
        <w:bottom w:val="none" w:sz="0" w:space="0" w:color="auto"/>
        <w:right w:val="none" w:sz="0" w:space="0" w:color="auto"/>
      </w:divBdr>
    </w:div>
    <w:div w:id="1818765473">
      <w:bodyDiv w:val="1"/>
      <w:marLeft w:val="0"/>
      <w:marRight w:val="0"/>
      <w:marTop w:val="0"/>
      <w:marBottom w:val="0"/>
      <w:divBdr>
        <w:top w:val="none" w:sz="0" w:space="0" w:color="auto"/>
        <w:left w:val="none" w:sz="0" w:space="0" w:color="auto"/>
        <w:bottom w:val="none" w:sz="0" w:space="0" w:color="auto"/>
        <w:right w:val="none" w:sz="0" w:space="0" w:color="auto"/>
      </w:divBdr>
    </w:div>
    <w:div w:id="1917280298">
      <w:bodyDiv w:val="1"/>
      <w:marLeft w:val="0"/>
      <w:marRight w:val="0"/>
      <w:marTop w:val="0"/>
      <w:marBottom w:val="0"/>
      <w:divBdr>
        <w:top w:val="none" w:sz="0" w:space="0" w:color="auto"/>
        <w:left w:val="none" w:sz="0" w:space="0" w:color="auto"/>
        <w:bottom w:val="none" w:sz="0" w:space="0" w:color="auto"/>
        <w:right w:val="none" w:sz="0" w:space="0" w:color="auto"/>
      </w:divBdr>
    </w:div>
    <w:div w:id="1924994170">
      <w:marLeft w:val="0"/>
      <w:marRight w:val="0"/>
      <w:marTop w:val="0"/>
      <w:marBottom w:val="0"/>
      <w:divBdr>
        <w:top w:val="none" w:sz="0" w:space="0" w:color="auto"/>
        <w:left w:val="none" w:sz="0" w:space="0" w:color="auto"/>
        <w:bottom w:val="none" w:sz="0" w:space="0" w:color="auto"/>
        <w:right w:val="none" w:sz="0" w:space="0" w:color="auto"/>
      </w:divBdr>
    </w:div>
    <w:div w:id="2004042592">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iaea.org"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onr.org.uk/media/c2delysl/onr-gda-007.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onr.org.uk/saps/saps2014.pdf" TargetMode="Externa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www.iae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isl xmlns:xsi="http://www.w3.org/2001/XMLSchema-instance" xmlns:xsd="http://www.w3.org/2001/XMLSchema" xmlns="http://www.boldonjames.com/2008/01/sie/internal/label" sislVersion="0" policy="e56daa8a-7b27-48ac-85d4-db65acb580b6" origin="userSelected">
  <element uid="8b2d8d36-50e9-4e35-b179-b787235cbfe0" value=""/>
  <element uid="49330798-7003-4e86-8332-af49f20564a6" value=""/>
  <element uid="ec6abd3b-c0d6-4fa7-a60a-349d0f822e3b" value=""/>
  <element uid="46fe2329-c02b-4495-b624-12a499d069e2" value=""/>
  <element uid="28b8f907-c4fe-4291-886d-ded1ddc540c2" value=""/>
</sis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f6cfbbfa-3ea0-4d8e-acde-632e83cd9c55" xsi:nil="true"/>
    <External_x0020_Reference xmlns="f6cfbbfa-3ea0-4d8e-acde-632e83cd9c55" xsi:nil="true"/>
    <Site xmlns="f6cfbbfa-3ea0-4d8e-acde-632e83cd9c55" xsi:nil="true"/>
    <_Flow_SignoffStatus xmlns="6ee01a08-9bb3-4510-887c-4508c532eb2e" xsi:nil="true"/>
    <Category xmlns="6ee01a08-9bb3-4510-887c-4508c532eb2e" xsi:nil="true"/>
    <_dlc_DocId xmlns="f6cfbbfa-3ea0-4d8e-acde-632e83cd9c55">ONRW-2126615823-9804</_dlc_DocId>
    <External_x0020_Revision xmlns="f6cfbbfa-3ea0-4d8e-acde-632e83cd9c55" xsi:nil="true"/>
    <GDA_x0020_Tier xmlns="f6cfbbfa-3ea0-4d8e-acde-632e83cd9c55" xsi:nil="true"/>
    <Wherereferenced xmlns="6ee01a08-9bb3-4510-887c-4508c532eb2e" xsi:nil="true"/>
    <Record_x0020_Number xmlns="f6cfbbfa-3ea0-4d8e-acde-632e83cd9c55" xsi:nil="true"/>
    <_dlc_DocIdPersistId xmlns="f6cfbbfa-3ea0-4d8e-acde-632e83cd9c55" xsi:nil="true"/>
    <Uploadedby xmlns="6ee01a08-9bb3-4510-887c-4508c532eb2e" xsi:nil="true"/>
    <_dlc_DocIdUrl xmlns="f6cfbbfa-3ea0-4d8e-acde-632e83cd9c55">
      <Url>https://prodonrgov.sharepoint.com/sites/archive-2026-01-30T121052Z/_layouts/15/DocIdRedir.aspx?ID=ONRW-2126615823-9804</Url>
      <Description>ONRW-2126615823-9804</Description>
    </_dlc_DocIdUrl>
    <GDA_x0020_RP_x0020_Assigned_x0020_Export_x0020_Control xmlns="f6cfbbfa-3ea0-4d8e-acde-632e83cd9c55" xsi:nil="true"/>
    <Versioncontrol xmlns="6ee01a08-9bb3-4510-887c-4508c532eb2e" xsi:nil="true"/>
    <GDA_x0020_Topics xmlns="f6cfbbfa-3ea0-4d8e-acde-632e83cd9c55" xsi:nil="true"/>
    <Division xmlns="f6cfbbfa-3ea0-4d8e-acde-632e83cd9c55" xsi:nil="true"/>
    <Classification xmlns="6ee01a08-9bb3-4510-887c-4508c532eb2e" xsi:nil="true"/>
    <Document_x0020_Status xmlns="f6cfbbfa-3ea0-4d8e-acde-632e83cd9c55" xsi:nil="true"/>
    <Subdivision xmlns="f6cfbbfa-3ea0-4d8e-acde-632e83cd9c55" xsi:nil="true"/>
    <GDA_x0020_Purpose xmlns="f6cfbbfa-3ea0-4d8e-acde-632e83cd9c55" xsi:nil="true"/>
    <TaxCatchAll xmlns="f6cfbbfa-3ea0-4d8e-acde-632e83cd9c55" xsi:nil="true"/>
    <Dutyholder xmlns="f6cfbbfa-3ea0-4d8e-acde-632e83cd9c55" xsi:nil="true"/>
    <lcf76f155ced4ddcb4097134ff3c332f xmlns="6ee01a08-9bb3-4510-887c-4508c532eb2e">
      <Terms xmlns="http://schemas.microsoft.com/office/infopath/2007/PartnerControls"/>
    </lcf76f155ced4ddcb4097134ff3c332f>
  </documentManagement>
</p:properties>
</file>

<file path=customXml/item4.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</Value>
</WrappedLabelHistor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2BFD813B9BA5F84C8E4BDD131736DF68" ma:contentTypeVersion="37" ma:contentTypeDescription="Create a new document." ma:contentTypeScope="" ma:versionID="0b556b1be894125ec2007f987936c7a0">
  <xsd:schema xmlns:xsd="http://www.w3.org/2001/XMLSchema" xmlns:xs="http://www.w3.org/2001/XMLSchema" xmlns:p="http://schemas.microsoft.com/office/2006/metadata/properties" xmlns:ns2="f6cfbbfa-3ea0-4d8e-acde-632e83cd9c55" xmlns:ns3="6ee01a08-9bb3-4510-887c-4508c532eb2e" targetNamespace="http://schemas.microsoft.com/office/2006/metadata/properties" ma:root="true" ma:fieldsID="d6b4219613154d2044422bdff0e7dd3d" ns2:_="" ns3:_="">
    <xsd:import namespace="f6cfbbfa-3ea0-4d8e-acde-632e83cd9c55"/>
    <xsd:import namespace="6ee01a08-9bb3-4510-887c-4508c532eb2e"/>
    <xsd:element name="properties">
      <xsd:complexType>
        <xsd:sequence>
          <xsd:element name="documentManagement">
            <xsd:complexType>
              <xsd:all>
                <xsd:element ref="ns2:_dlc_DocIdUrl" minOccurs="0"/>
                <xsd:element ref="ns2:Document_x0020_Type" minOccurs="0"/>
                <xsd:element ref="ns2:Dutyholder" minOccurs="0"/>
                <xsd:element ref="ns2:External_x0020_Reference" minOccurs="0"/>
                <xsd:element ref="ns2:Record_x0020_Number" minOccurs="0"/>
                <xsd:element ref="ns2:Site" minOccurs="0"/>
                <xsd:element ref="ns3:_Flow_SignoffStatus" minOccurs="0"/>
                <xsd:element ref="ns2:Division" minOccurs="0"/>
                <xsd:element ref="ns2:External_x0020_Revision" minOccurs="0"/>
                <xsd:element ref="ns2:Subdivision" minOccurs="0"/>
                <xsd:element ref="ns2:_dlc_Doc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_dlc_DocIdPersistId" minOccurs="0"/>
                <xsd:element ref="ns2:SharedWithUsers" minOccurs="0"/>
                <xsd:element ref="ns2:SharedWithDetails" minOccurs="0"/>
                <xsd:element ref="ns2:GDA_x0020_Purpose" minOccurs="0"/>
                <xsd:element ref="ns2:GDA_x0020_RP_x0020_Assigned_x0020_Export_x0020_Control" minOccurs="0"/>
                <xsd:element ref="ns2:GDA_x0020_Tier" minOccurs="0"/>
                <xsd:element ref="ns3:MediaServiceObjectDetectorVersions" minOccurs="0"/>
                <xsd:element ref="ns3:Versioncontrol" minOccurs="0"/>
                <xsd:element ref="ns3:Category" minOccurs="0"/>
                <xsd:element ref="ns3:Wherereferenced" minOccurs="0"/>
                <xsd:element ref="ns3:MediaServiceDateTaken" minOccurs="0"/>
                <xsd:element ref="ns3:MediaServiceSearchProperties" minOccurs="0"/>
                <xsd:element ref="ns2:GDA_x0020_Topics" minOccurs="0"/>
                <xsd:element ref="ns3:Uploadedby" minOccurs="0"/>
                <xsd:element ref="ns3:Classification" minOccurs="0"/>
                <xsd:element ref="ns3:MediaServiceLocation" minOccurs="0"/>
                <xsd:element ref="ns3:MediaLengthInSecond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bbfa-3ea0-4d8e-acde-632e83cd9c5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3" nillable="true" ma:displayName="Document Type" ma:format="Dropdown" ma:internalName="Document_x0020_Type">
      <xsd:simpleType>
        <xsd:restriction base="dms:Choice">
          <xsd:enumeration value="Agenda"/>
          <xsd:enumeration value="Decision Justification Report"/>
          <xsd:enumeration value="CR Contact report"/>
          <xsd:enumeration value="Request"/>
          <xsd:enumeration value="Decision Communication"/>
          <xsd:enumeration value="Independent Checksheet"/>
          <xsd:enumeration value="Dutyholder Request Document"/>
          <xsd:enumeration value="Dutyholder Supporting Document"/>
          <xsd:enumeration value="Email"/>
          <xsd:enumeration value="Enforcement Template"/>
          <xsd:enumeration value="Letters in"/>
          <xsd:enumeration value="Letters out"/>
          <xsd:enumeration value="Minutes"/>
          <xsd:enumeration value="Presentation"/>
          <xsd:enumeration value="RNIP"/>
          <xsd:enumeration value="Other"/>
        </xsd:restriction>
      </xsd:simpleType>
    </xsd:element>
    <xsd:element name="Dutyholder" ma:index="4" nillable="true" ma:displayName="Dutyholder" ma:default="" ma:internalName="Dutyholder" ma:readOnly="false">
      <xsd:simpleType>
        <xsd:restriction base="dms:Text">
          <xsd:maxLength value="255"/>
        </xsd:restriction>
      </xsd:simpleType>
    </xsd:element>
    <xsd:element name="External_x0020_Reference" ma:index="5" nillable="true" ma:displayName="External Reference" ma:default="" ma:internalName="External_x0020_Reference" ma:readOnly="false">
      <xsd:simpleType>
        <xsd:restriction base="dms:Text">
          <xsd:maxLength value="255"/>
        </xsd:restriction>
      </xsd:simpleType>
    </xsd:element>
    <xsd:element name="Record_x0020_Number" ma:index="6" nillable="true" ma:displayName="Record Number" ma:default="" ma:internalName="Record_x0020_Number" ma:readOnly="false">
      <xsd:simpleType>
        <xsd:restriction base="dms:Text">
          <xsd:maxLength value="255"/>
        </xsd:restriction>
      </xsd:simpleType>
    </xsd:element>
    <xsd:element name="Site" ma:index="7" nillable="true" ma:displayName="Site" ma:default="" ma:internalName="Site" ma:readOnly="false">
      <xsd:simpleType>
        <xsd:restriction base="dms:Text">
          <xsd:maxLength value="255"/>
        </xsd:restriction>
      </xsd:simpleType>
    </xsd:element>
    <xsd:element name="Division" ma:index="11" nillable="true" ma:displayName="Division" ma:default="" ma:internalName="Division" ma:readOnly="false">
      <xsd:simpleType>
        <xsd:restriction base="dms:Text">
          <xsd:maxLength value="255"/>
        </xsd:restriction>
      </xsd:simpleType>
    </xsd:element>
    <xsd:element name="External_x0020_Revision" ma:index="12" nillable="true" ma:displayName="External Revision" ma:default="" ma:internalName="External_x0020_Revision" ma:readOnly="false">
      <xsd:simpleType>
        <xsd:restriction base="dms:Text">
          <xsd:maxLength value="255"/>
        </xsd:restriction>
      </xsd:simpleType>
    </xsd:element>
    <xsd:element name="Subdivision" ma:index="13" nillable="true" ma:displayName="Subdivision" ma:default="" ma:internalName="Subdivision" ma:readOnly="false">
      <xsd:simpleType>
        <xsd:restriction base="dms:Text">
          <xsd:maxLength value="255"/>
        </xsd:restriction>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TaxCatchAll" ma:index="21" nillable="true" ma:displayName="Taxonomy Catch All Column" ma:hidden="true" ma:list="{5a01dc95-145a-442e-a4dc-738a02de2e92}" ma:internalName="TaxCatchAll" ma:readOnly="false" ma:showField="CatchAllData" ma:web="f6cfbbfa-3ea0-4d8e-acde-632e83cd9c55">
      <xsd:complexType>
        <xsd:complexContent>
          <xsd:extension base="dms:MultiChoiceLookup">
            <xsd:sequence>
              <xsd:element name="Value" type="dms:Lookup" maxOccurs="unbounded" minOccurs="0"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GDA_x0020_Purpose" ma:index="28" nillable="true" ma:displayName="GDA Purpose" ma:format="Dropdown" ma:hidden="true" ma:internalName="GDA_x0020_Purpose">
      <xsd:simpleType>
        <xsd:restriction base="dms:Choice">
          <xsd:enumeration value="Project"/>
          <xsd:enumeration value="Safety"/>
          <xsd:enumeration value="Security"/>
          <xsd:enumeration value="Safeguards"/>
          <xsd:enumeration value="Environment or General"/>
          <xsd:enumeration value="N/A"/>
        </xsd:restriction>
      </xsd:simpleType>
    </xsd:element>
    <xsd:element name="GDA_x0020_RP_x0020_Assigned_x0020_Export_x0020_Control" ma:index="29" nillable="true" ma:displayName="GDA RP Assigned Export Control" ma:default="" ma:hidden="true" ma:internalName="GDA_x0020_RP_x0020_Assigned_x0020_Export_x0020_Control" ma:readOnly="false">
      <xsd:simpleType>
        <xsd:restriction base="dms:Text">
          <xsd:maxLength value="255"/>
        </xsd:restriction>
      </xsd:simpleType>
    </xsd:element>
    <xsd:element name="GDA_x0020_Tier" ma:index="30" nillable="true" ma:displayName="GDA Tier" ma:format="Dropdown" ma:hidden="true" ma:internalName="GDA_x0020_Tier">
      <xsd:simpleType>
        <xsd:restriction base="dms:Choice">
          <xsd:enumeration value="1"/>
          <xsd:enumeration value="2"/>
          <xsd:enumeration value="3"/>
          <xsd:enumeration value="4"/>
          <xsd:enumeration value="N/A"/>
        </xsd:restriction>
      </xsd:simpleType>
    </xsd:element>
    <xsd:element name="GDA_x0020_Topics" ma:index="40" nillable="true" ma:displayName="GDA Topics" ma:internalName="GDA_x0020_Topics">
      <xsd:complexType>
        <xsd:complexContent>
          <xsd:extension base="dms:MultiChoice">
            <xsd:sequence>
              <xsd:element name="Value" maxOccurs="unbounded" minOccurs="0" nillable="true">
                <xsd:simpleType>
                  <xsd:restriction base="dms:Choice">
                    <xsd:enumeration value="Fault Studies"/>
                    <xsd:enumeration value="Severe Accident Analysis (SAA)"/>
                    <xsd:enumeration value="Probabilistic Safety Analysis (PSA)"/>
                    <xsd:enumeration value="Fuel and Core"/>
                    <xsd:enumeration value="Internal Hazards"/>
                    <xsd:enumeration value="Human Factors"/>
                    <xsd:enumeration value="Electrical Engineering"/>
                    <xsd:enumeration value="Control and Instrumentation"/>
                    <xsd:enumeration value="External Hazards"/>
                    <xsd:enumeration value="Quality Assurance (MSQA)"/>
                    <xsd:enumeration value="Chemistry"/>
                    <xsd:enumeration value="Safeguards"/>
                    <xsd:enumeration value="Physical Security"/>
                    <xsd:enumeration value="Cyber Security &amp; Information Security"/>
                    <xsd:enumeration value="Sabotage and Target Analysis Review (STAR)"/>
                    <xsd:enumeration value="Fire Safety"/>
                    <xsd:enumeration value="Conventional Safety"/>
                    <xsd:enumeration value="Nuclear Liabilities"/>
                    <xsd:enumeration value="Radiological Consequences"/>
                    <xsd:enumeration value="Radiological Protection &amp; Criticality"/>
                    <xsd:enumeration value="Mechanical Engineering"/>
                    <xsd:enumeration value="Structural Engineering"/>
                    <xsd:enumeration value="Civil Engineering"/>
                    <xsd:enumeration value="Project"/>
                    <xsd:enumeration value="Environment"/>
                    <xsd:enumeration value="N/A"/>
                  </xsd:restriction>
                </xsd:simpleType>
              </xsd:element>
            </xsd:sequence>
          </xsd:extension>
        </xsd:complexContent>
      </xsd:complexType>
    </xsd:element>
    <xsd:element name="Document_x0020_Status" ma:index="45" nillable="true" ma:displayName="Document Status" ma:format="Dropdown" ma:internalName="Document_x0020_Status">
      <xsd:simpleType>
        <xsd:restriction base="dms:Choice">
          <xsd:enumeration value="N/A"/>
          <xsd:enumeration value="Draft"/>
          <xsd:enumeration value="In Review"/>
          <xsd:enumeration value="Pending Approval"/>
          <xsd:enumeration value="Approved"/>
          <xsd:enumeration value="Final"/>
          <xsd:enumeration value="Supersed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6ee01a08-9bb3-4510-887c-4508c532eb2e" elementFormDefault="qualified">
    <xsd:import namespace="http://schemas.microsoft.com/office/2006/documentManagement/types"/>
    <xsd:import namespace="http://schemas.microsoft.com/office/infopath/2007/PartnerControls"/>
    <xsd:element name="_Flow_SignoffStatus" ma:index="10"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Versioncontrol" ma:index="35" nillable="true" ma:displayName="Version control" ma:format="Dropdown" ma:internalName="Versioncontrol">
      <xsd:simpleType>
        <xsd:restriction base="dms:Text">
          <xsd:maxLength value="255"/>
        </xsd:restriction>
      </xsd:simpleType>
    </xsd:element>
    <xsd:element name="Category" ma:index="36" nillable="true" ma:displayName="Category" ma:format="Dropdown" ma:internalName="Category">
      <xsd:simpleType>
        <xsd:restriction base="dms:Text">
          <xsd:maxLength value="255"/>
        </xsd:restriction>
      </xsd:simpleType>
    </xsd:element>
    <xsd:element name="Wherereferenced" ma:index="37" nillable="true" ma:displayName="Where referenced" ma:format="Dropdown" ma:internalName="Wherereferenced">
      <xsd:simpleType>
        <xsd:restriction base="dms:Text">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Uploadedby" ma:index="41" nillable="true" ma:displayName="Uploaded by" ma:format="Dropdown" ma:internalName="Uploadedby">
      <xsd:simpleType>
        <xsd:restriction base="dms:Text">
          <xsd:maxLength value="255"/>
        </xsd:restriction>
      </xsd:simpleType>
    </xsd:element>
    <xsd:element name="Classification" ma:index="42" nillable="true" ma:displayName="Classification" ma:format="Dropdown" ma:internalName="Classification">
      <xsd:simpleType>
        <xsd:restriction base="dms:Choice">
          <xsd:enumeration value="Official"/>
          <xsd:enumeration value="Official-Sensitive"/>
          <xsd:enumeration value="Official-Sensitive: SNI"/>
          <xsd:enumeration value="Official-Sensitive: Commercial"/>
          <xsd:enumeration value="Externally-Marked"/>
          <xsd:enumeration value="Official-Sensitive: Export Control"/>
          <xsd:enumeration value="Official-Sensitive: Export Control - Commercial"/>
          <xsd:enumeration value="Official-Sensitive: Export Controlled - SNI"/>
        </xsd:restriction>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678C08CF-81B2-46F4-89DE-8865CEEA783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3A86365-45C6-4FE4-A603-FA181B51E30C}">
  <ds:schemaRefs>
    <ds:schemaRef ds:uri="http://schemas.microsoft.com/sharepoint/v3/contenttype/forms"/>
  </ds:schemaRefs>
</ds:datastoreItem>
</file>

<file path=customXml/itemProps3.xml><?xml version="1.0" encoding="utf-8"?>
<ds:datastoreItem xmlns:ds="http://schemas.openxmlformats.org/officeDocument/2006/customXml" ds:itemID="{0300AA1E-67BD-4FDF-9E7C-B2A5F8F74D7F}">
  <ds:schemaRefs>
    <ds:schemaRef ds:uri="http://schemas.microsoft.com/office/2006/metadata/properties"/>
    <ds:schemaRef ds:uri="http://schemas.microsoft.com/office/infopath/2007/PartnerControls"/>
    <ds:schemaRef ds:uri="19914e85-2883-4daf-a962-2d1d2daad95b"/>
    <ds:schemaRef ds:uri="http://schemas.microsoft.com/sharepoint/v3"/>
  </ds:schemaRefs>
</ds:datastoreItem>
</file>

<file path=customXml/itemProps4.xml><?xml version="1.0" encoding="utf-8"?>
<ds:datastoreItem xmlns:ds="http://schemas.openxmlformats.org/officeDocument/2006/customXml" ds:itemID="{AC947369-D7D5-4E90-9597-3F3F13C65EB4}">
  <ds:schemaRefs>
    <ds:schemaRef ds:uri="http://www.w3.org/2001/XMLSchema"/>
    <ds:schemaRef ds:uri="http://www.boldonjames.com/2016/02/Classifier/internal/wrappedLabelHistory"/>
  </ds:schemaRefs>
</ds:datastoreItem>
</file>

<file path=customXml/itemProps5.xml><?xml version="1.0" encoding="utf-8"?>
<ds:datastoreItem xmlns:ds="http://schemas.openxmlformats.org/officeDocument/2006/customXml" ds:itemID="{095759AB-8B02-4310-8F04-48569FBB934B}"/>
</file>

<file path=customXml/itemProps6.xml><?xml version="1.0" encoding="utf-8"?>
<ds:datastoreItem xmlns:ds="http://schemas.openxmlformats.org/officeDocument/2006/customXml" ds:itemID="{CEC3F3D5-070E-4551-8D9A-BEC125C03D22}"/>
</file>

<file path=customXml/itemProps7.xml><?xml version="1.0" encoding="utf-8"?>
<ds:datastoreItem xmlns:ds="http://schemas.openxmlformats.org/officeDocument/2006/customXml" ds:itemID="{3E132FEA-8C43-41B7-91F1-C51EF05B410F}">
  <ds:schemaRefs>
    <ds:schemaRef ds:uri="http://schemas.openxmlformats.org/officeDocument/2006/bibliography"/>
  </ds:schemaRefs>
</ds:datastoreItem>
</file>

<file path=docMetadata/LabelInfo.xml><?xml version="1.0" encoding="utf-8"?>
<clbl:labelList xmlns:clbl="http://schemas.microsoft.com/office/2020/mipLabelMetadata">
  <clbl:label id="{1694209e-4d56-4240-837d-92803b030f7f}" enabled="1" method="Privileged" siteId="{593eb8de-b372-4efe-aaa5-2e59bb9dfe9f}" removed="0"/>
</clbl:labelList>
</file>

<file path=docProps/app.xml><?xml version="1.0" encoding="utf-8"?>
<Properties xmlns="http://schemas.openxmlformats.org/officeDocument/2006/extended-properties" xmlns:vt="http://schemas.openxmlformats.org/officeDocument/2006/docPropsVTypes">
  <Template>Normal</Template>
  <TotalTime>28</TotalTime>
  <Pages>12</Pages>
  <Words>4710</Words>
  <Characters>27086</Characters>
  <Application>Microsoft Office Word</Application>
  <DocSecurity>2</DocSecurity>
  <Lines>1003</Lines>
  <Paragraphs>353</Paragraphs>
  <ScaleCrop>false</ScaleCrop>
  <HeadingPairs>
    <vt:vector size="2" baseType="variant">
      <vt:variant>
        <vt:lpstr>Title</vt:lpstr>
      </vt:variant>
      <vt:variant>
        <vt:i4>1</vt:i4>
      </vt:variant>
    </vt:vector>
  </HeadingPairs>
  <TitlesOfParts>
    <vt:vector size="1" baseType="lpstr">
      <vt:lpstr>RO-RRSMR-010 Resolution Plan</vt:lpstr>
    </vt:vector>
  </TitlesOfParts>
  <Company>Rolls-Royce Plc</Company>
  <LinksUpToDate>false</LinksUpToDate>
  <CharactersWithSpaces>31443</CharactersWithSpaces>
  <SharedDoc>false</SharedDoc>
  <HLinks>
    <vt:vector size="24" baseType="variant">
      <vt:variant>
        <vt:i4>3932269</vt:i4>
      </vt:variant>
      <vt:variant>
        <vt:i4>63</vt:i4>
      </vt:variant>
      <vt:variant>
        <vt:i4>0</vt:i4>
      </vt:variant>
      <vt:variant>
        <vt:i4>5</vt:i4>
      </vt:variant>
      <vt:variant>
        <vt:lpwstr>http://www.onr.org.uk/saps/saps2014.pdf</vt:lpwstr>
      </vt:variant>
      <vt:variant>
        <vt:lpwstr/>
      </vt:variant>
      <vt:variant>
        <vt:i4>5505112</vt:i4>
      </vt:variant>
      <vt:variant>
        <vt:i4>60</vt:i4>
      </vt:variant>
      <vt:variant>
        <vt:i4>0</vt:i4>
      </vt:variant>
      <vt:variant>
        <vt:i4>5</vt:i4>
      </vt:variant>
      <vt:variant>
        <vt:lpwstr>http://www.iaea.org/</vt:lpwstr>
      </vt:variant>
      <vt:variant>
        <vt:lpwstr/>
      </vt:variant>
      <vt:variant>
        <vt:i4>5505112</vt:i4>
      </vt:variant>
      <vt:variant>
        <vt:i4>57</vt:i4>
      </vt:variant>
      <vt:variant>
        <vt:i4>0</vt:i4>
      </vt:variant>
      <vt:variant>
        <vt:i4>5</vt:i4>
      </vt:variant>
      <vt:variant>
        <vt:lpwstr>http://www.iaea.org/</vt:lpwstr>
      </vt:variant>
      <vt:variant>
        <vt:lpwstr/>
      </vt:variant>
      <vt:variant>
        <vt:i4>4784130</vt:i4>
      </vt:variant>
      <vt:variant>
        <vt:i4>54</vt:i4>
      </vt:variant>
      <vt:variant>
        <vt:i4>0</vt:i4>
      </vt:variant>
      <vt:variant>
        <vt:i4>5</vt:i4>
      </vt:variant>
      <vt:variant>
        <vt:lpwstr>https://onr.org.uk/media/c2delysl/onr-gda-007.pdf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Rolls-Royce SMR RO Resolution Plan for publication</dc:title>
  <dc:subject/>
  <dc:creator>Guillaume Delannoy</dc:creator>
  <cp:keywords>|1:Pvt|5:NonExpCont|6:NonGov|2:Rolls-Royce|22:No|</cp:keywords>
  <dc:description/>
  <cp:lastModifiedBy>Kosciak, Wojciech</cp:lastModifiedBy>
  <cp:revision>11</cp:revision>
  <cp:lastPrinted>2025-11-28T15:02:00Z</cp:lastPrinted>
  <dcterms:created xsi:type="dcterms:W3CDTF">2025-12-08T14:42:00Z</dcterms:created>
  <dcterms:modified xsi:type="dcterms:W3CDTF">2025-12-09T11:30:00Z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0x0101002BFD813B9BA5F84C8E4BDD131736DF68</vt:lpwstr>
  </property>
  <property fmtid="{D5CDD505-2E9C-101B-9397-08002B2CF9AE}" pid="3" name="docIndexRef">
    <vt:lpwstr>52da02ac-6a74-4b29-9eda-af3cca5c748e</vt:lpwstr>
  </property>
  <property fmtid="{D5CDD505-2E9C-101B-9397-08002B2CF9AE}" pid="4" name="bjSaver">
    <vt:lpwstr>JkE0bgQ7xQVS4qMoltjlCZxcJS52dP/R</vt:lpwstr>
  </property>
  <property fmtid="{D5CDD505-2E9C-101B-9397-08002B2CF9AE}" pid="5" name="bjDocumentLabelXML">
    <vt:lpwstr>&lt;?xml version="1.0" encoding="us-ascii"?&gt;&lt;sisl xmlns:xsi="http://www.w3.org/2001/XMLSchema-instance" xmlns:xsd="http://www.w3.org/2001/XMLSchema" sislVersion="0" policy="e56daa8a-7b27-48ac-85d4-db65acb580b6" origin="userSelected" xmlns="http://www.boldonj</vt:lpwstr>
  </property>
  <property fmtid="{D5CDD505-2E9C-101B-9397-08002B2CF9AE}" pid="6" name="bjDocumentLabelXML-0">
    <vt:lpwstr>ames.com/2008/01/sie/internal/label"&gt;&lt;element uid="8b2d8d36-50e9-4e35-b179-b787235cbfe0" value="" /&gt;&lt;element uid="49330798-7003-4e86-8332-af49f20564a6" value="" /&gt;&lt;element uid="ec6abd3b-c0d6-4fa7-a60a-349d0f822e3b" value="" /&gt;&lt;element uid="46fe2329-c02b-4</vt:lpwstr>
  </property>
  <property fmtid="{D5CDD505-2E9C-101B-9397-08002B2CF9AE}" pid="7" name="bjDocumentLabelXML-1">
    <vt:lpwstr>495-b624-12a499d069e2" value="" /&gt;&lt;element uid="28b8f907-c4fe-4291-886d-ded1ddc540c2" value="" /&gt;&lt;/sisl&gt;</vt:lpwstr>
  </property>
  <property fmtid="{D5CDD505-2E9C-101B-9397-08002B2CF9AE}" pid="8" name="bjDocumentSecurityLabel">
    <vt:lpwstr>Private - Rolls-Royce Content Only - Not Subject to Export Control     </vt:lpwstr>
  </property>
  <property fmtid="{D5CDD505-2E9C-101B-9397-08002B2CF9AE}" pid="9" name="GovSecClass">
    <vt:lpwstr>No_Classification</vt:lpwstr>
  </property>
  <property fmtid="{D5CDD505-2E9C-101B-9397-08002B2CF9AE}" pid="10" name="Ownership">
    <vt:lpwstr>Rolls-Royce_content_only</vt:lpwstr>
  </property>
  <property fmtid="{D5CDD505-2E9C-101B-9397-08002B2CF9AE}" pid="11" name="TCGovSecClass">
    <vt:lpwstr>No_Classification</vt:lpwstr>
  </property>
  <property fmtid="{D5CDD505-2E9C-101B-9397-08002B2CF9AE}" pid="12" name="BusinessSensitivity">
    <vt:lpwstr>Private</vt:lpwstr>
  </property>
  <property fmtid="{D5CDD505-2E9C-101B-9397-08002B2CF9AE}" pid="13" name="ExportControlled">
    <vt:lpwstr>Not_Subject_to_Export_Control</vt:lpwstr>
  </property>
  <property fmtid="{D5CDD505-2E9C-101B-9397-08002B2CF9AE}" pid="14" name="bjLabelHistoryID">
    <vt:lpwstr>{AC947369-D7D5-4E90-9597-3F3F13C65EB4}</vt:lpwstr>
  </property>
  <property fmtid="{D5CDD505-2E9C-101B-9397-08002B2CF9AE}" pid="15" name="ClassificationContentMarkingFooterShapeIds">
    <vt:lpwstr>3d,3e,3f,1a53f7e1,7d94762c,4b50b333</vt:lpwstr>
  </property>
  <property fmtid="{D5CDD505-2E9C-101B-9397-08002B2CF9AE}" pid="16" name="ClassificationContentMarkingFooterFontProps">
    <vt:lpwstr>#000000,7,Calibri</vt:lpwstr>
  </property>
  <property fmtid="{D5CDD505-2E9C-101B-9397-08002B2CF9AE}" pid="17" name="ClassificationContentMarkingFooterText">
    <vt:lpwstr>Private – Not Listed – Not Subject to Export Controls</vt:lpwstr>
  </property>
  <property fmtid="{D5CDD505-2E9C-101B-9397-08002B2CF9AE}" pid="18" name="WF - Check Document">
    <vt:lpwstr>, </vt:lpwstr>
  </property>
  <property fmtid="{D5CDD505-2E9C-101B-9397-08002B2CF9AE}" pid="19" name="WF - Check Document0">
    <vt:lpwstr>, </vt:lpwstr>
  </property>
  <property fmtid="{D5CDD505-2E9C-101B-9397-08002B2CF9AE}" pid="20" name="WF - Documents">
    <vt:lpwstr>, </vt:lpwstr>
  </property>
  <property fmtid="{D5CDD505-2E9C-101B-9397-08002B2CF9AE}" pid="21" name="SMRName">
    <vt:lpwstr/>
  </property>
  <property fmtid="{D5CDD505-2E9C-101B-9397-08002B2CF9AE}" pid="22" name="Role">
    <vt:lpwstr/>
  </property>
  <property fmtid="{D5CDD505-2E9C-101B-9397-08002B2CF9AE}" pid="23" name="SMREmail">
    <vt:lpwstr/>
  </property>
  <property fmtid="{D5CDD505-2E9C-101B-9397-08002B2CF9AE}" pid="24" name="Organisation">
    <vt:lpwstr>ONR - Office for Nuclear Regulation</vt:lpwstr>
  </property>
  <property fmtid="{D5CDD505-2E9C-101B-9397-08002B2CF9AE}" pid="25" name="EMail">
    <vt:lpwstr>annie.fay@onr.gov.uk</vt:lpwstr>
  </property>
  <property fmtid="{D5CDD505-2E9C-101B-9397-08002B2CF9AE}" pid="26" name="WorkAddress">
    <vt:lpwstr/>
  </property>
  <property fmtid="{D5CDD505-2E9C-101B-9397-08002B2CF9AE}" pid="27" name="_dlc_DocIdItemGuid">
    <vt:lpwstr>38263741-1b9f-4834-9003-e65591cd62f8</vt:lpwstr>
  </property>
  <property fmtid="{D5CDD505-2E9C-101B-9397-08002B2CF9AE}" pid="28" name="MSIP_Label_9e5e003a-90eb-47c9-a506-ad47e7a0b281_Enabled">
    <vt:lpwstr>true</vt:lpwstr>
  </property>
  <property fmtid="{D5CDD505-2E9C-101B-9397-08002B2CF9AE}" pid="29" name="MSIP_Label_9e5e003a-90eb-47c9-a506-ad47e7a0b281_SetDate">
    <vt:lpwstr>2025-09-05T08:41:51Z</vt:lpwstr>
  </property>
  <property fmtid="{D5CDD505-2E9C-101B-9397-08002B2CF9AE}" pid="30" name="MSIP_Label_9e5e003a-90eb-47c9-a506-ad47e7a0b281_Method">
    <vt:lpwstr>Privileged</vt:lpwstr>
  </property>
  <property fmtid="{D5CDD505-2E9C-101B-9397-08002B2CF9AE}" pid="31" name="MSIP_Label_9e5e003a-90eb-47c9-a506-ad47e7a0b281_Name">
    <vt:lpwstr>OFFICIAL</vt:lpwstr>
  </property>
  <property fmtid="{D5CDD505-2E9C-101B-9397-08002B2CF9AE}" pid="32" name="MSIP_Label_9e5e003a-90eb-47c9-a506-ad47e7a0b281_SiteId">
    <vt:lpwstr>742775df-8077-48d6-81d0-1e82a1f52cb8</vt:lpwstr>
  </property>
  <property fmtid="{D5CDD505-2E9C-101B-9397-08002B2CF9AE}" pid="33" name="MSIP_Label_9e5e003a-90eb-47c9-a506-ad47e7a0b281_ActionId">
    <vt:lpwstr>2d00fc05-1d96-47c2-b265-67db5469893c</vt:lpwstr>
  </property>
  <property fmtid="{D5CDD505-2E9C-101B-9397-08002B2CF9AE}" pid="34" name="MSIP_Label_9e5e003a-90eb-47c9-a506-ad47e7a0b281_ContentBits">
    <vt:lpwstr>0</vt:lpwstr>
  </property>
  <property fmtid="{D5CDD505-2E9C-101B-9397-08002B2CF9AE}" pid="35" name="MSIP_Label_9e5e003a-90eb-47c9-a506-ad47e7a0b281_Tag">
    <vt:lpwstr>10, 0, 1, 1</vt:lpwstr>
  </property>
  <property fmtid="{D5CDD505-2E9C-101B-9397-08002B2CF9AE}" pid="36" name="docLang">
    <vt:lpwstr>en</vt:lpwstr>
  </property>
  <property fmtid="{D5CDD505-2E9C-101B-9397-08002B2CF9AE}" pid="37" name="MediaServiceImageTags">
    <vt:lpwstr/>
  </property>
</Properties>
</file>