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CF843" w14:textId="41E23A7E" w:rsidR="00B1662E" w:rsidRDefault="000B4BDA" w:rsidP="00176319">
      <w:pPr>
        <w:pStyle w:val="BodyText"/>
      </w:pPr>
      <w:bookmarkStart w:id="0" w:name="_Toc466022543"/>
      <w:r>
        <w:rPr>
          <w:noProof/>
        </w:rPr>
        <w:drawing>
          <wp:anchor distT="0" distB="0" distL="114300" distR="114300" simplePos="0" relativeHeight="251660800" behindDoc="1" locked="0" layoutInCell="1" allowOverlap="1" wp14:anchorId="7F62AA6D" wp14:editId="45BC1D1B">
            <wp:simplePos x="0" y="0"/>
            <wp:positionH relativeFrom="page">
              <wp:align>left</wp:align>
            </wp:positionH>
            <wp:positionV relativeFrom="page">
              <wp:align>top</wp:align>
            </wp:positionV>
            <wp:extent cx="7560360" cy="10697400"/>
            <wp:effectExtent l="0" t="0" r="2540" b="889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0360" cy="10697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43A9F5" w14:textId="3DD57B26" w:rsidR="00B1662E" w:rsidRDefault="00B1662E" w:rsidP="00176319">
      <w:pPr>
        <w:pStyle w:val="BodyText"/>
      </w:pPr>
    </w:p>
    <w:p w14:paraId="23A43A74" w14:textId="5110C491" w:rsidR="00B1662E" w:rsidRDefault="00B1662E" w:rsidP="00176319">
      <w:pPr>
        <w:pStyle w:val="BodyText"/>
      </w:pPr>
    </w:p>
    <w:p w14:paraId="2524EE0B" w14:textId="4F7CD2EA" w:rsidR="00176319" w:rsidRDefault="00176319" w:rsidP="00176319">
      <w:pPr>
        <w:pStyle w:val="BodyText"/>
      </w:pPr>
    </w:p>
    <w:p w14:paraId="28D9E645" w14:textId="08910332" w:rsidR="00ED0F92" w:rsidRPr="00940B87" w:rsidRDefault="00940B87" w:rsidP="000704E6">
      <w:pPr>
        <w:pStyle w:val="Covertitle1"/>
        <w:rPr>
          <w:b w:val="0"/>
          <w:bCs/>
        </w:rPr>
      </w:pPr>
      <w:r w:rsidRPr="00940B87">
        <w:rPr>
          <w:b w:val="0"/>
          <w:bCs/>
        </w:rPr>
        <w:t>R</w:t>
      </w:r>
      <w:r w:rsidR="00622692" w:rsidRPr="00940B87">
        <w:rPr>
          <w:b w:val="0"/>
          <w:bCs/>
        </w:rPr>
        <w:t xml:space="preserve">esponse to consultation on the application for </w:t>
      </w:r>
      <w:r w:rsidR="009951E2">
        <w:rPr>
          <w:b w:val="0"/>
          <w:bCs/>
        </w:rPr>
        <w:t xml:space="preserve">EIADR </w:t>
      </w:r>
      <w:r w:rsidR="00622692" w:rsidRPr="00940B87">
        <w:rPr>
          <w:b w:val="0"/>
          <w:bCs/>
        </w:rPr>
        <w:t>consent for H</w:t>
      </w:r>
      <w:r w:rsidR="00D365AD">
        <w:rPr>
          <w:b w:val="0"/>
          <w:bCs/>
        </w:rPr>
        <w:t>inkley Point</w:t>
      </w:r>
      <w:r w:rsidR="00622692" w:rsidRPr="00940B87">
        <w:rPr>
          <w:b w:val="0"/>
          <w:bCs/>
        </w:rPr>
        <w:t xml:space="preserve"> B </w:t>
      </w:r>
    </w:p>
    <w:p w14:paraId="455EA40F" w14:textId="144F0EF1" w:rsidR="00D0226A" w:rsidRDefault="00D0226A">
      <w:pPr>
        <w:spacing w:after="0"/>
      </w:pPr>
    </w:p>
    <w:p w14:paraId="5AC8A9C5" w14:textId="792ACC3E" w:rsidR="00D0226A" w:rsidRDefault="00D0226A">
      <w:pPr>
        <w:spacing w:after="0"/>
      </w:pPr>
    </w:p>
    <w:p w14:paraId="5F25BEA2" w14:textId="5D0E8F1B" w:rsidR="00267815" w:rsidRDefault="00267815">
      <w:pPr>
        <w:spacing w:after="0"/>
      </w:pPr>
      <w:r>
        <w:br w:type="page"/>
      </w:r>
    </w:p>
    <w:tbl>
      <w:tblPr>
        <w:tblStyle w:val="TableGrid"/>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51"/>
      </w:tblGrid>
      <w:tr w:rsidR="00420A11" w14:paraId="0AE7AA42" w14:textId="77777777" w:rsidTr="00DE2C87">
        <w:trPr>
          <w:trHeight w:val="1168"/>
        </w:trPr>
        <w:tc>
          <w:tcPr>
            <w:tcW w:w="9751" w:type="dxa"/>
            <w:hideMark/>
          </w:tcPr>
          <w:p w14:paraId="783D701B" w14:textId="4837C78B" w:rsidR="00420A11" w:rsidRDefault="00423ACF">
            <w:pPr>
              <w:pStyle w:val="InnerCoverDate"/>
            </w:pPr>
            <w:r>
              <w:lastRenderedPageBreak/>
              <w:t xml:space="preserve">October </w:t>
            </w:r>
            <w:r w:rsidR="00F75031">
              <w:t>202</w:t>
            </w:r>
            <w:r w:rsidR="00D365AD">
              <w:t>5</w:t>
            </w:r>
          </w:p>
          <w:p w14:paraId="4B04FB7F" w14:textId="77777777" w:rsidR="00BA3068" w:rsidRDefault="00BA3068">
            <w:pPr>
              <w:pStyle w:val="InnerCoverDate"/>
            </w:pPr>
          </w:p>
          <w:p w14:paraId="09D83ED5" w14:textId="77777777" w:rsidR="00BA3068" w:rsidRDefault="00BA3068">
            <w:pPr>
              <w:pStyle w:val="InnerCoverDate"/>
            </w:pPr>
          </w:p>
          <w:p w14:paraId="4F7D09A4" w14:textId="19310D4F" w:rsidR="00BA3068" w:rsidRDefault="00BA3068">
            <w:pPr>
              <w:pStyle w:val="InnerCoverDate"/>
            </w:pPr>
          </w:p>
        </w:tc>
      </w:tr>
      <w:tr w:rsidR="00420A11" w14:paraId="38C5041A" w14:textId="77777777" w:rsidTr="00DE2C87">
        <w:trPr>
          <w:trHeight w:val="3555"/>
        </w:trPr>
        <w:tc>
          <w:tcPr>
            <w:tcW w:w="9751" w:type="dxa"/>
            <w:vAlign w:val="center"/>
            <w:hideMark/>
          </w:tcPr>
          <w:p w14:paraId="36850510" w14:textId="77777777" w:rsidR="00BA3068" w:rsidRDefault="00BA3068">
            <w:pPr>
              <w:pStyle w:val="InnerCoverTitle"/>
            </w:pPr>
          </w:p>
          <w:p w14:paraId="7048928E" w14:textId="77777777" w:rsidR="00BA3068" w:rsidRDefault="00BA3068">
            <w:pPr>
              <w:pStyle w:val="InnerCoverTitle"/>
            </w:pPr>
          </w:p>
          <w:p w14:paraId="34E846FF" w14:textId="77777777" w:rsidR="00BA3068" w:rsidRDefault="00BA3068">
            <w:pPr>
              <w:pStyle w:val="InnerCoverTitle"/>
            </w:pPr>
          </w:p>
          <w:p w14:paraId="747B49A4" w14:textId="73E82D0C" w:rsidR="00420A11" w:rsidRDefault="00940B87" w:rsidP="002B38D8">
            <w:pPr>
              <w:pStyle w:val="InnerCoverTitle"/>
              <w:ind w:right="536"/>
            </w:pPr>
            <w:bookmarkStart w:id="1" w:name="_Hlk173848496"/>
            <w:r>
              <w:t>R</w:t>
            </w:r>
            <w:r w:rsidR="00364E8D" w:rsidRPr="00364E8D">
              <w:t xml:space="preserve">esponse to consultation on </w:t>
            </w:r>
            <w:r w:rsidR="00FA5ED3">
              <w:t xml:space="preserve">the application for </w:t>
            </w:r>
            <w:r w:rsidR="00D22625">
              <w:t xml:space="preserve">EIADR </w:t>
            </w:r>
            <w:r w:rsidR="00FA5ED3">
              <w:t xml:space="preserve">consent for </w:t>
            </w:r>
            <w:r w:rsidR="00D365AD">
              <w:t>Hinkley Point</w:t>
            </w:r>
            <w:r w:rsidR="00FA5ED3">
              <w:t xml:space="preserve"> B</w:t>
            </w:r>
            <w:bookmarkEnd w:id="1"/>
          </w:p>
        </w:tc>
      </w:tr>
      <w:tr w:rsidR="00420A11" w14:paraId="6D315FF3" w14:textId="77777777" w:rsidTr="00BA3068">
        <w:trPr>
          <w:trHeight w:val="3917"/>
        </w:trPr>
        <w:tc>
          <w:tcPr>
            <w:tcW w:w="9751" w:type="dxa"/>
          </w:tcPr>
          <w:p w14:paraId="793B2618" w14:textId="4FFD9E87" w:rsidR="001472AE" w:rsidRDefault="001472AE" w:rsidP="00053F6A">
            <w:pPr>
              <w:pStyle w:val="InnerCoverAuthor"/>
            </w:pPr>
          </w:p>
        </w:tc>
      </w:tr>
      <w:tr w:rsidR="00420A11" w14:paraId="5F7D3E21" w14:textId="77777777" w:rsidTr="00BA3068">
        <w:tc>
          <w:tcPr>
            <w:tcW w:w="9751" w:type="dxa"/>
          </w:tcPr>
          <w:p w14:paraId="2603165A" w14:textId="24A30DCA" w:rsidR="00420A11" w:rsidRDefault="00420A11"/>
        </w:tc>
      </w:tr>
    </w:tbl>
    <w:p w14:paraId="62C5641C" w14:textId="77777777" w:rsidR="00420A11" w:rsidRDefault="00420A11" w:rsidP="00323E71"/>
    <w:p w14:paraId="2F9A6ACC" w14:textId="77777777" w:rsidR="001D0DE0" w:rsidRDefault="001D0DE0" w:rsidP="00323E71">
      <w:pPr>
        <w:sectPr w:rsidR="001D0DE0" w:rsidSect="00AB2912">
          <w:headerReference w:type="default" r:id="rId9"/>
          <w:pgSz w:w="11906" w:h="16838" w:code="9"/>
          <w:pgMar w:top="1440" w:right="1440" w:bottom="1440" w:left="1440" w:header="397" w:footer="397" w:gutter="0"/>
          <w:cols w:space="312"/>
          <w:titlePg/>
          <w:docGrid w:linePitch="360"/>
        </w:sectPr>
      </w:pPr>
    </w:p>
    <w:sdt>
      <w:sdtPr>
        <w:rPr>
          <w:rFonts w:ascii="Arial" w:eastAsia="Calibri" w:hAnsi="Arial" w:cs="Arial"/>
          <w:color w:val="auto"/>
          <w:sz w:val="24"/>
          <w:szCs w:val="22"/>
          <w:lang w:eastAsia="en-US" w:bidi="he-IL"/>
        </w:rPr>
        <w:id w:val="1335334538"/>
        <w:docPartObj>
          <w:docPartGallery w:val="Table of Contents"/>
          <w:docPartUnique/>
        </w:docPartObj>
      </w:sdtPr>
      <w:sdtEndPr>
        <w:rPr>
          <w:b/>
          <w:bCs/>
        </w:rPr>
      </w:sdtEndPr>
      <w:sdtContent>
        <w:p w14:paraId="4020FD3C" w14:textId="5AA284C0" w:rsidR="00F27FAB" w:rsidRPr="00F27FAB" w:rsidRDefault="00F27FAB">
          <w:pPr>
            <w:pStyle w:val="TOCHeading"/>
            <w:rPr>
              <w:sz w:val="48"/>
              <w:szCs w:val="48"/>
            </w:rPr>
          </w:pPr>
          <w:r w:rsidRPr="00F27FAB">
            <w:rPr>
              <w:sz w:val="48"/>
              <w:szCs w:val="48"/>
            </w:rPr>
            <w:t>Contents</w:t>
          </w:r>
        </w:p>
        <w:p w14:paraId="75A595B9" w14:textId="06F195AE" w:rsidR="007271F2" w:rsidRDefault="00F27FAB">
          <w:pPr>
            <w:pStyle w:val="TOC1"/>
            <w:rPr>
              <w:rFonts w:asciiTheme="minorHAnsi" w:eastAsiaTheme="minorEastAsia" w:hAnsiTheme="minorHAnsi" w:cstheme="minorBidi"/>
              <w:kern w:val="2"/>
              <w:szCs w:val="24"/>
              <w:lang w:eastAsia="en-GB" w:bidi="ar-SA"/>
              <w14:ligatures w14:val="standardContextual"/>
            </w:rPr>
          </w:pPr>
          <w:r>
            <w:fldChar w:fldCharType="begin"/>
          </w:r>
          <w:r>
            <w:instrText xml:space="preserve"> TOC \o "1-3" \h \z \u </w:instrText>
          </w:r>
          <w:r>
            <w:fldChar w:fldCharType="separate"/>
          </w:r>
          <w:hyperlink w:anchor="_Toc208410837" w:history="1">
            <w:r w:rsidR="007271F2" w:rsidRPr="00E562AB">
              <w:rPr>
                <w:rStyle w:val="Hyperlink"/>
              </w:rPr>
              <w:t>Introduction</w:t>
            </w:r>
            <w:r w:rsidR="007271F2">
              <w:rPr>
                <w:webHidden/>
              </w:rPr>
              <w:tab/>
            </w:r>
            <w:r w:rsidR="007271F2">
              <w:rPr>
                <w:webHidden/>
              </w:rPr>
              <w:fldChar w:fldCharType="begin"/>
            </w:r>
            <w:r w:rsidR="007271F2">
              <w:rPr>
                <w:webHidden/>
              </w:rPr>
              <w:instrText xml:space="preserve"> PAGEREF _Toc208410837 \h </w:instrText>
            </w:r>
            <w:r w:rsidR="007271F2">
              <w:rPr>
                <w:webHidden/>
              </w:rPr>
            </w:r>
            <w:r w:rsidR="007271F2">
              <w:rPr>
                <w:webHidden/>
              </w:rPr>
              <w:fldChar w:fldCharType="separate"/>
            </w:r>
            <w:r w:rsidR="007271F2">
              <w:rPr>
                <w:webHidden/>
              </w:rPr>
              <w:t>1</w:t>
            </w:r>
            <w:r w:rsidR="007271F2">
              <w:rPr>
                <w:webHidden/>
              </w:rPr>
              <w:fldChar w:fldCharType="end"/>
            </w:r>
          </w:hyperlink>
        </w:p>
        <w:p w14:paraId="6C6DCA73" w14:textId="34B1ACB4" w:rsidR="007271F2" w:rsidRDefault="007271F2">
          <w:pPr>
            <w:pStyle w:val="TOC1"/>
            <w:rPr>
              <w:rFonts w:asciiTheme="minorHAnsi" w:eastAsiaTheme="minorEastAsia" w:hAnsiTheme="minorHAnsi" w:cstheme="minorBidi"/>
              <w:kern w:val="2"/>
              <w:szCs w:val="24"/>
              <w:lang w:eastAsia="en-GB" w:bidi="ar-SA"/>
              <w14:ligatures w14:val="standardContextual"/>
            </w:rPr>
          </w:pPr>
          <w:hyperlink w:anchor="_Toc208410838" w:history="1">
            <w:r w:rsidRPr="00E562AB">
              <w:rPr>
                <w:rStyle w:val="Hyperlink"/>
              </w:rPr>
              <w:t>Review of comments</w:t>
            </w:r>
            <w:r>
              <w:rPr>
                <w:webHidden/>
              </w:rPr>
              <w:tab/>
            </w:r>
            <w:r>
              <w:rPr>
                <w:webHidden/>
              </w:rPr>
              <w:fldChar w:fldCharType="begin"/>
            </w:r>
            <w:r>
              <w:rPr>
                <w:webHidden/>
              </w:rPr>
              <w:instrText xml:space="preserve"> PAGEREF _Toc208410838 \h </w:instrText>
            </w:r>
            <w:r>
              <w:rPr>
                <w:webHidden/>
              </w:rPr>
            </w:r>
            <w:r>
              <w:rPr>
                <w:webHidden/>
              </w:rPr>
              <w:fldChar w:fldCharType="separate"/>
            </w:r>
            <w:r>
              <w:rPr>
                <w:webHidden/>
              </w:rPr>
              <w:t>1</w:t>
            </w:r>
            <w:r>
              <w:rPr>
                <w:webHidden/>
              </w:rPr>
              <w:fldChar w:fldCharType="end"/>
            </w:r>
          </w:hyperlink>
        </w:p>
        <w:p w14:paraId="4AFC86E7" w14:textId="4013AAD9" w:rsidR="007271F2" w:rsidRDefault="007271F2">
          <w:pPr>
            <w:pStyle w:val="TOC1"/>
            <w:rPr>
              <w:rFonts w:asciiTheme="minorHAnsi" w:eastAsiaTheme="minorEastAsia" w:hAnsiTheme="minorHAnsi" w:cstheme="minorBidi"/>
              <w:kern w:val="2"/>
              <w:szCs w:val="24"/>
              <w:lang w:eastAsia="en-GB" w:bidi="ar-SA"/>
              <w14:ligatures w14:val="standardContextual"/>
            </w:rPr>
          </w:pPr>
          <w:hyperlink w:anchor="_Toc208410839" w:history="1">
            <w:r w:rsidRPr="00E562AB">
              <w:rPr>
                <w:rStyle w:val="Hyperlink"/>
              </w:rPr>
              <w:t>Environment Agency</w:t>
            </w:r>
            <w:r>
              <w:rPr>
                <w:webHidden/>
              </w:rPr>
              <w:tab/>
            </w:r>
            <w:r>
              <w:rPr>
                <w:webHidden/>
              </w:rPr>
              <w:fldChar w:fldCharType="begin"/>
            </w:r>
            <w:r>
              <w:rPr>
                <w:webHidden/>
              </w:rPr>
              <w:instrText xml:space="preserve"> PAGEREF _Toc208410839 \h </w:instrText>
            </w:r>
            <w:r>
              <w:rPr>
                <w:webHidden/>
              </w:rPr>
            </w:r>
            <w:r>
              <w:rPr>
                <w:webHidden/>
              </w:rPr>
              <w:fldChar w:fldCharType="separate"/>
            </w:r>
            <w:r>
              <w:rPr>
                <w:webHidden/>
              </w:rPr>
              <w:t>2</w:t>
            </w:r>
            <w:r>
              <w:rPr>
                <w:webHidden/>
              </w:rPr>
              <w:fldChar w:fldCharType="end"/>
            </w:r>
          </w:hyperlink>
        </w:p>
        <w:p w14:paraId="54D01FC3" w14:textId="61E128A3" w:rsidR="007271F2" w:rsidRDefault="007271F2">
          <w:pPr>
            <w:pStyle w:val="TOC1"/>
            <w:rPr>
              <w:rFonts w:asciiTheme="minorHAnsi" w:eastAsiaTheme="minorEastAsia" w:hAnsiTheme="minorHAnsi" w:cstheme="minorBidi"/>
              <w:kern w:val="2"/>
              <w:szCs w:val="24"/>
              <w:lang w:eastAsia="en-GB" w:bidi="ar-SA"/>
              <w14:ligatures w14:val="standardContextual"/>
            </w:rPr>
          </w:pPr>
          <w:hyperlink w:anchor="_Toc208410840" w:history="1">
            <w:r w:rsidRPr="00E562AB">
              <w:rPr>
                <w:rStyle w:val="Hyperlink"/>
              </w:rPr>
              <w:t>Health and Safety Executive</w:t>
            </w:r>
            <w:r>
              <w:rPr>
                <w:webHidden/>
              </w:rPr>
              <w:tab/>
            </w:r>
            <w:r>
              <w:rPr>
                <w:webHidden/>
              </w:rPr>
              <w:fldChar w:fldCharType="begin"/>
            </w:r>
            <w:r>
              <w:rPr>
                <w:webHidden/>
              </w:rPr>
              <w:instrText xml:space="preserve"> PAGEREF _Toc208410840 \h </w:instrText>
            </w:r>
            <w:r>
              <w:rPr>
                <w:webHidden/>
              </w:rPr>
            </w:r>
            <w:r>
              <w:rPr>
                <w:webHidden/>
              </w:rPr>
              <w:fldChar w:fldCharType="separate"/>
            </w:r>
            <w:r>
              <w:rPr>
                <w:webHidden/>
              </w:rPr>
              <w:t>2</w:t>
            </w:r>
            <w:r>
              <w:rPr>
                <w:webHidden/>
              </w:rPr>
              <w:fldChar w:fldCharType="end"/>
            </w:r>
          </w:hyperlink>
        </w:p>
        <w:p w14:paraId="4F5F5F7E" w14:textId="6D03D74A" w:rsidR="007271F2" w:rsidRDefault="007271F2">
          <w:pPr>
            <w:pStyle w:val="TOC1"/>
            <w:rPr>
              <w:rFonts w:asciiTheme="minorHAnsi" w:eastAsiaTheme="minorEastAsia" w:hAnsiTheme="minorHAnsi" w:cstheme="minorBidi"/>
              <w:kern w:val="2"/>
              <w:szCs w:val="24"/>
              <w:lang w:eastAsia="en-GB" w:bidi="ar-SA"/>
              <w14:ligatures w14:val="standardContextual"/>
            </w:rPr>
          </w:pPr>
          <w:hyperlink w:anchor="_Toc208410841" w:history="1">
            <w:r w:rsidRPr="00E562AB">
              <w:rPr>
                <w:rStyle w:val="Hyperlink"/>
              </w:rPr>
              <w:t>Internal Drainage Board (IDB)</w:t>
            </w:r>
            <w:r>
              <w:rPr>
                <w:webHidden/>
              </w:rPr>
              <w:tab/>
            </w:r>
            <w:r>
              <w:rPr>
                <w:webHidden/>
              </w:rPr>
              <w:fldChar w:fldCharType="begin"/>
            </w:r>
            <w:r>
              <w:rPr>
                <w:webHidden/>
              </w:rPr>
              <w:instrText xml:space="preserve"> PAGEREF _Toc208410841 \h </w:instrText>
            </w:r>
            <w:r>
              <w:rPr>
                <w:webHidden/>
              </w:rPr>
            </w:r>
            <w:r>
              <w:rPr>
                <w:webHidden/>
              </w:rPr>
              <w:fldChar w:fldCharType="separate"/>
            </w:r>
            <w:r>
              <w:rPr>
                <w:webHidden/>
              </w:rPr>
              <w:t>3</w:t>
            </w:r>
            <w:r>
              <w:rPr>
                <w:webHidden/>
              </w:rPr>
              <w:fldChar w:fldCharType="end"/>
            </w:r>
          </w:hyperlink>
        </w:p>
        <w:p w14:paraId="18DF54F2" w14:textId="5AC5E116" w:rsidR="007271F2" w:rsidRDefault="007271F2">
          <w:pPr>
            <w:pStyle w:val="TOC1"/>
            <w:rPr>
              <w:rFonts w:asciiTheme="minorHAnsi" w:eastAsiaTheme="minorEastAsia" w:hAnsiTheme="minorHAnsi" w:cstheme="minorBidi"/>
              <w:kern w:val="2"/>
              <w:szCs w:val="24"/>
              <w:lang w:eastAsia="en-GB" w:bidi="ar-SA"/>
              <w14:ligatures w14:val="standardContextual"/>
            </w:rPr>
          </w:pPr>
          <w:hyperlink w:anchor="_Toc208410842" w:history="1">
            <w:r w:rsidRPr="00E562AB">
              <w:rPr>
                <w:rStyle w:val="Hyperlink"/>
              </w:rPr>
              <w:t>Marine Management Organisation (MMO)</w:t>
            </w:r>
            <w:r>
              <w:rPr>
                <w:webHidden/>
              </w:rPr>
              <w:tab/>
            </w:r>
            <w:r>
              <w:rPr>
                <w:webHidden/>
              </w:rPr>
              <w:fldChar w:fldCharType="begin"/>
            </w:r>
            <w:r>
              <w:rPr>
                <w:webHidden/>
              </w:rPr>
              <w:instrText xml:space="preserve"> PAGEREF _Toc208410842 \h </w:instrText>
            </w:r>
            <w:r>
              <w:rPr>
                <w:webHidden/>
              </w:rPr>
            </w:r>
            <w:r>
              <w:rPr>
                <w:webHidden/>
              </w:rPr>
              <w:fldChar w:fldCharType="separate"/>
            </w:r>
            <w:r>
              <w:rPr>
                <w:webHidden/>
              </w:rPr>
              <w:t>4</w:t>
            </w:r>
            <w:r>
              <w:rPr>
                <w:webHidden/>
              </w:rPr>
              <w:fldChar w:fldCharType="end"/>
            </w:r>
          </w:hyperlink>
        </w:p>
        <w:p w14:paraId="4ACA782B" w14:textId="124D682E" w:rsidR="007271F2" w:rsidRDefault="007271F2">
          <w:pPr>
            <w:pStyle w:val="TOC1"/>
            <w:rPr>
              <w:rFonts w:asciiTheme="minorHAnsi" w:eastAsiaTheme="minorEastAsia" w:hAnsiTheme="minorHAnsi" w:cstheme="minorBidi"/>
              <w:kern w:val="2"/>
              <w:szCs w:val="24"/>
              <w:lang w:eastAsia="en-GB" w:bidi="ar-SA"/>
              <w14:ligatures w14:val="standardContextual"/>
            </w:rPr>
          </w:pPr>
          <w:hyperlink w:anchor="_Toc208410843" w:history="1">
            <w:r w:rsidRPr="00E562AB">
              <w:rPr>
                <w:rStyle w:val="Hyperlink"/>
                <w:lang w:val="nb-NO"/>
              </w:rPr>
              <w:t>Natural England</w:t>
            </w:r>
            <w:r>
              <w:rPr>
                <w:webHidden/>
              </w:rPr>
              <w:tab/>
            </w:r>
            <w:r>
              <w:rPr>
                <w:webHidden/>
              </w:rPr>
              <w:fldChar w:fldCharType="begin"/>
            </w:r>
            <w:r>
              <w:rPr>
                <w:webHidden/>
              </w:rPr>
              <w:instrText xml:space="preserve"> PAGEREF _Toc208410843 \h </w:instrText>
            </w:r>
            <w:r>
              <w:rPr>
                <w:webHidden/>
              </w:rPr>
            </w:r>
            <w:r>
              <w:rPr>
                <w:webHidden/>
              </w:rPr>
              <w:fldChar w:fldCharType="separate"/>
            </w:r>
            <w:r>
              <w:rPr>
                <w:webHidden/>
              </w:rPr>
              <w:t>4</w:t>
            </w:r>
            <w:r>
              <w:rPr>
                <w:webHidden/>
              </w:rPr>
              <w:fldChar w:fldCharType="end"/>
            </w:r>
          </w:hyperlink>
        </w:p>
        <w:p w14:paraId="5470E28F" w14:textId="79F9F8F2" w:rsidR="007271F2" w:rsidRDefault="007271F2">
          <w:pPr>
            <w:pStyle w:val="TOC1"/>
            <w:rPr>
              <w:rFonts w:asciiTheme="minorHAnsi" w:eastAsiaTheme="minorEastAsia" w:hAnsiTheme="minorHAnsi" w:cstheme="minorBidi"/>
              <w:kern w:val="2"/>
              <w:szCs w:val="24"/>
              <w:lang w:eastAsia="en-GB" w:bidi="ar-SA"/>
              <w14:ligatures w14:val="standardContextual"/>
            </w:rPr>
          </w:pPr>
          <w:hyperlink w:anchor="_Toc208410844" w:history="1">
            <w:r w:rsidRPr="00E562AB">
              <w:rPr>
                <w:rStyle w:val="Hyperlink"/>
              </w:rPr>
              <w:t>Natural Resources Wales (NRW)</w:t>
            </w:r>
            <w:r>
              <w:rPr>
                <w:webHidden/>
              </w:rPr>
              <w:tab/>
            </w:r>
            <w:r>
              <w:rPr>
                <w:webHidden/>
              </w:rPr>
              <w:fldChar w:fldCharType="begin"/>
            </w:r>
            <w:r>
              <w:rPr>
                <w:webHidden/>
              </w:rPr>
              <w:instrText xml:space="preserve"> PAGEREF _Toc208410844 \h </w:instrText>
            </w:r>
            <w:r>
              <w:rPr>
                <w:webHidden/>
              </w:rPr>
            </w:r>
            <w:r>
              <w:rPr>
                <w:webHidden/>
              </w:rPr>
              <w:fldChar w:fldCharType="separate"/>
            </w:r>
            <w:r>
              <w:rPr>
                <w:webHidden/>
              </w:rPr>
              <w:t>5</w:t>
            </w:r>
            <w:r>
              <w:rPr>
                <w:webHidden/>
              </w:rPr>
              <w:fldChar w:fldCharType="end"/>
            </w:r>
          </w:hyperlink>
        </w:p>
        <w:p w14:paraId="09B07918" w14:textId="253CBEB7" w:rsidR="007271F2" w:rsidRDefault="007271F2">
          <w:pPr>
            <w:pStyle w:val="TOC1"/>
            <w:rPr>
              <w:rFonts w:asciiTheme="minorHAnsi" w:eastAsiaTheme="minorEastAsia" w:hAnsiTheme="minorHAnsi" w:cstheme="minorBidi"/>
              <w:kern w:val="2"/>
              <w:szCs w:val="24"/>
              <w:lang w:eastAsia="en-GB" w:bidi="ar-SA"/>
              <w14:ligatures w14:val="standardContextual"/>
            </w:rPr>
          </w:pPr>
          <w:hyperlink w:anchor="_Toc208410845" w:history="1">
            <w:r w:rsidRPr="00E562AB">
              <w:rPr>
                <w:rStyle w:val="Hyperlink"/>
                <w:lang w:val="nb-NO"/>
              </w:rPr>
              <w:t>Nuleaf</w:t>
            </w:r>
            <w:r>
              <w:rPr>
                <w:webHidden/>
              </w:rPr>
              <w:tab/>
            </w:r>
            <w:r>
              <w:rPr>
                <w:webHidden/>
              </w:rPr>
              <w:fldChar w:fldCharType="begin"/>
            </w:r>
            <w:r>
              <w:rPr>
                <w:webHidden/>
              </w:rPr>
              <w:instrText xml:space="preserve"> PAGEREF _Toc208410845 \h </w:instrText>
            </w:r>
            <w:r>
              <w:rPr>
                <w:webHidden/>
              </w:rPr>
            </w:r>
            <w:r>
              <w:rPr>
                <w:webHidden/>
              </w:rPr>
              <w:fldChar w:fldCharType="separate"/>
            </w:r>
            <w:r>
              <w:rPr>
                <w:webHidden/>
              </w:rPr>
              <w:t>5</w:t>
            </w:r>
            <w:r>
              <w:rPr>
                <w:webHidden/>
              </w:rPr>
              <w:fldChar w:fldCharType="end"/>
            </w:r>
          </w:hyperlink>
        </w:p>
        <w:p w14:paraId="52224BD5" w14:textId="4971DED5" w:rsidR="007271F2" w:rsidRDefault="007271F2">
          <w:pPr>
            <w:pStyle w:val="TOC1"/>
            <w:rPr>
              <w:rFonts w:asciiTheme="minorHAnsi" w:eastAsiaTheme="minorEastAsia" w:hAnsiTheme="minorHAnsi" w:cstheme="minorBidi"/>
              <w:kern w:val="2"/>
              <w:szCs w:val="24"/>
              <w:lang w:eastAsia="en-GB" w:bidi="ar-SA"/>
              <w14:ligatures w14:val="standardContextual"/>
            </w:rPr>
          </w:pPr>
          <w:hyperlink w:anchor="_Toc208410846" w:history="1">
            <w:r w:rsidRPr="00E562AB">
              <w:rPr>
                <w:rStyle w:val="Hyperlink"/>
                <w:lang w:val="nb-NO"/>
              </w:rPr>
              <w:t>Somerset Council</w:t>
            </w:r>
            <w:r>
              <w:rPr>
                <w:webHidden/>
              </w:rPr>
              <w:tab/>
            </w:r>
            <w:r>
              <w:rPr>
                <w:webHidden/>
              </w:rPr>
              <w:fldChar w:fldCharType="begin"/>
            </w:r>
            <w:r>
              <w:rPr>
                <w:webHidden/>
              </w:rPr>
              <w:instrText xml:space="preserve"> PAGEREF _Toc208410846 \h </w:instrText>
            </w:r>
            <w:r>
              <w:rPr>
                <w:webHidden/>
              </w:rPr>
            </w:r>
            <w:r>
              <w:rPr>
                <w:webHidden/>
              </w:rPr>
              <w:fldChar w:fldCharType="separate"/>
            </w:r>
            <w:r>
              <w:rPr>
                <w:webHidden/>
              </w:rPr>
              <w:t>7</w:t>
            </w:r>
            <w:r>
              <w:rPr>
                <w:webHidden/>
              </w:rPr>
              <w:fldChar w:fldCharType="end"/>
            </w:r>
          </w:hyperlink>
        </w:p>
        <w:p w14:paraId="08C41A7A" w14:textId="7D87EDA4" w:rsidR="007271F2" w:rsidRDefault="007271F2">
          <w:pPr>
            <w:pStyle w:val="TOC1"/>
            <w:rPr>
              <w:rFonts w:asciiTheme="minorHAnsi" w:eastAsiaTheme="minorEastAsia" w:hAnsiTheme="minorHAnsi" w:cstheme="minorBidi"/>
              <w:kern w:val="2"/>
              <w:szCs w:val="24"/>
              <w:lang w:eastAsia="en-GB" w:bidi="ar-SA"/>
              <w14:ligatures w14:val="standardContextual"/>
            </w:rPr>
          </w:pPr>
          <w:hyperlink w:anchor="_Toc208410847" w:history="1">
            <w:r w:rsidRPr="00E562AB">
              <w:rPr>
                <w:rStyle w:val="Hyperlink"/>
                <w:lang w:val="nb-NO"/>
              </w:rPr>
              <w:t>Somerset Wildlife Trust (SWT)</w:t>
            </w:r>
            <w:r>
              <w:rPr>
                <w:webHidden/>
              </w:rPr>
              <w:tab/>
            </w:r>
            <w:r>
              <w:rPr>
                <w:webHidden/>
              </w:rPr>
              <w:fldChar w:fldCharType="begin"/>
            </w:r>
            <w:r>
              <w:rPr>
                <w:webHidden/>
              </w:rPr>
              <w:instrText xml:space="preserve"> PAGEREF _Toc208410847 \h </w:instrText>
            </w:r>
            <w:r>
              <w:rPr>
                <w:webHidden/>
              </w:rPr>
            </w:r>
            <w:r>
              <w:rPr>
                <w:webHidden/>
              </w:rPr>
              <w:fldChar w:fldCharType="separate"/>
            </w:r>
            <w:r>
              <w:rPr>
                <w:webHidden/>
              </w:rPr>
              <w:t>11</w:t>
            </w:r>
            <w:r>
              <w:rPr>
                <w:webHidden/>
              </w:rPr>
              <w:fldChar w:fldCharType="end"/>
            </w:r>
          </w:hyperlink>
        </w:p>
        <w:p w14:paraId="6638639B" w14:textId="478EEF67" w:rsidR="007271F2" w:rsidRDefault="007271F2">
          <w:pPr>
            <w:pStyle w:val="TOC1"/>
            <w:rPr>
              <w:rFonts w:asciiTheme="minorHAnsi" w:eastAsiaTheme="minorEastAsia" w:hAnsiTheme="minorHAnsi" w:cstheme="minorBidi"/>
              <w:kern w:val="2"/>
              <w:szCs w:val="24"/>
              <w:lang w:eastAsia="en-GB" w:bidi="ar-SA"/>
              <w14:ligatures w14:val="standardContextual"/>
            </w:rPr>
          </w:pPr>
          <w:hyperlink w:anchor="_Toc208410848" w:history="1">
            <w:r w:rsidRPr="00E562AB">
              <w:rPr>
                <w:rStyle w:val="Hyperlink"/>
              </w:rPr>
              <w:t>Conclusions</w:t>
            </w:r>
            <w:r>
              <w:rPr>
                <w:webHidden/>
              </w:rPr>
              <w:tab/>
            </w:r>
            <w:r>
              <w:rPr>
                <w:webHidden/>
              </w:rPr>
              <w:fldChar w:fldCharType="begin"/>
            </w:r>
            <w:r>
              <w:rPr>
                <w:webHidden/>
              </w:rPr>
              <w:instrText xml:space="preserve"> PAGEREF _Toc208410848 \h </w:instrText>
            </w:r>
            <w:r>
              <w:rPr>
                <w:webHidden/>
              </w:rPr>
            </w:r>
            <w:r>
              <w:rPr>
                <w:webHidden/>
              </w:rPr>
              <w:fldChar w:fldCharType="separate"/>
            </w:r>
            <w:r>
              <w:rPr>
                <w:webHidden/>
              </w:rPr>
              <w:t>14</w:t>
            </w:r>
            <w:r>
              <w:rPr>
                <w:webHidden/>
              </w:rPr>
              <w:fldChar w:fldCharType="end"/>
            </w:r>
          </w:hyperlink>
        </w:p>
        <w:p w14:paraId="4C9FABF5" w14:textId="1C520E5F" w:rsidR="00F27FAB" w:rsidRDefault="00F27FAB">
          <w:r>
            <w:rPr>
              <w:b/>
              <w:bCs/>
            </w:rPr>
            <w:fldChar w:fldCharType="end"/>
          </w:r>
        </w:p>
      </w:sdtContent>
    </w:sdt>
    <w:p w14:paraId="776DC644" w14:textId="1C000E9A" w:rsidR="003E098E" w:rsidRDefault="003E098E" w:rsidP="00267815"/>
    <w:p w14:paraId="495C231A" w14:textId="77777777" w:rsidR="003E098E" w:rsidRDefault="003E098E" w:rsidP="00267815">
      <w:pPr>
        <w:sectPr w:rsidR="003E098E" w:rsidSect="00B82646">
          <w:headerReference w:type="even" r:id="rId10"/>
          <w:headerReference w:type="default" r:id="rId11"/>
          <w:footerReference w:type="even" r:id="rId12"/>
          <w:footerReference w:type="default" r:id="rId13"/>
          <w:pgSz w:w="11906" w:h="16838" w:code="9"/>
          <w:pgMar w:top="1440" w:right="1080" w:bottom="1440" w:left="1080" w:header="397" w:footer="397" w:gutter="0"/>
          <w:cols w:space="312"/>
          <w:docGrid w:linePitch="360"/>
        </w:sectPr>
      </w:pPr>
    </w:p>
    <w:p w14:paraId="358C584D" w14:textId="23DC793E" w:rsidR="005B57E4" w:rsidRDefault="006E70F8" w:rsidP="006E70F8">
      <w:pPr>
        <w:pStyle w:val="Heading1"/>
      </w:pPr>
      <w:bookmarkStart w:id="2" w:name="_Toc88503661"/>
      <w:bookmarkStart w:id="3" w:name="_Toc208410837"/>
      <w:bookmarkEnd w:id="0"/>
      <w:r>
        <w:lastRenderedPageBreak/>
        <w:t>Introduction</w:t>
      </w:r>
      <w:bookmarkEnd w:id="2"/>
      <w:bookmarkEnd w:id="3"/>
    </w:p>
    <w:p w14:paraId="49C2BBC2" w14:textId="7339ECA4" w:rsidR="002036D3" w:rsidRDefault="00C619A3" w:rsidP="00C619A3">
      <w:r>
        <w:t>T</w:t>
      </w:r>
      <w:r w:rsidRPr="00C619A3">
        <w:t xml:space="preserve">he Nuclear Reactors (Environmental Impact Assessment for Decommissioning) Regulations 1999, as amended (EIADR) </w:t>
      </w:r>
      <w:r w:rsidR="000E0BB8">
        <w:t>is</w:t>
      </w:r>
      <w:r w:rsidR="002036D3">
        <w:t xml:space="preserve"> a legal instrument that </w:t>
      </w:r>
      <w:r w:rsidR="00735E8C" w:rsidRPr="00735E8C">
        <w:t xml:space="preserve">requires the environmental impact of decommissioning nuclear power stations and other nuclear reactors to be considered before consent for the decommissioning project to commence can be granted. </w:t>
      </w:r>
      <w:r w:rsidR="002036D3">
        <w:t xml:space="preserve">To obtain consent, the licensee </w:t>
      </w:r>
      <w:r w:rsidR="00821F7D">
        <w:t xml:space="preserve">must </w:t>
      </w:r>
      <w:r w:rsidR="002036D3">
        <w:t xml:space="preserve">submit an environmental statement (ES) to </w:t>
      </w:r>
      <w:r w:rsidR="0006018B">
        <w:t>us</w:t>
      </w:r>
      <w:r w:rsidR="002036D3">
        <w:t xml:space="preserve"> which presents a detailed environmental impact assessment (EIA) for the proposed decommissioning project and any features of the project or measures envisaged to avoid, prevent or reduce and, if possible, offset, any likely significant adverse effects on the environment.</w:t>
      </w:r>
    </w:p>
    <w:p w14:paraId="622F6A8C" w14:textId="642C5220" w:rsidR="00C63C35" w:rsidRDefault="008C6554" w:rsidP="0057775A">
      <w:r w:rsidRPr="0030509E">
        <w:t xml:space="preserve">On </w:t>
      </w:r>
      <w:r w:rsidR="00D95EC9">
        <w:t>30 August 2024</w:t>
      </w:r>
      <w:r w:rsidRPr="0030509E">
        <w:t>, EDF Energy Nuclear Generation Ltd (EDF</w:t>
      </w:r>
      <w:r>
        <w:t>)</w:t>
      </w:r>
      <w:r w:rsidR="00764E49">
        <w:t xml:space="preserve"> </w:t>
      </w:r>
      <w:r w:rsidRPr="0030509E">
        <w:t xml:space="preserve">submitted its </w:t>
      </w:r>
      <w:r w:rsidR="00764E49">
        <w:t>a</w:t>
      </w:r>
      <w:r w:rsidRPr="0030509E">
        <w:t xml:space="preserve">pplication for </w:t>
      </w:r>
      <w:r w:rsidR="00764E49">
        <w:t>c</w:t>
      </w:r>
      <w:r w:rsidRPr="0030509E">
        <w:t xml:space="preserve">onsent to decommission </w:t>
      </w:r>
      <w:r w:rsidR="00D95EC9">
        <w:t>Hinkley Point</w:t>
      </w:r>
      <w:r w:rsidRPr="0030509E">
        <w:t xml:space="preserve"> B nuclear power station (H</w:t>
      </w:r>
      <w:r w:rsidR="00D95EC9">
        <w:t>P</w:t>
      </w:r>
      <w:r w:rsidRPr="0030509E">
        <w:t xml:space="preserve">B) under </w:t>
      </w:r>
      <w:r w:rsidR="00764E49">
        <w:t>EIADR.</w:t>
      </w:r>
      <w:r w:rsidR="0084352E">
        <w:t xml:space="preserve"> </w:t>
      </w:r>
      <w:r w:rsidR="0084352E" w:rsidRPr="007C5033">
        <w:t>The EIADR application also include</w:t>
      </w:r>
      <w:r w:rsidR="001D52B8">
        <w:t>d</w:t>
      </w:r>
      <w:r w:rsidR="0084352E" w:rsidRPr="007C5033">
        <w:t xml:space="preserve"> the relevant information required for ONR to carry out an </w:t>
      </w:r>
      <w:r w:rsidR="0084352E">
        <w:t>‘</w:t>
      </w:r>
      <w:r w:rsidR="0084352E" w:rsidRPr="007C5033">
        <w:t>appropriate assessment</w:t>
      </w:r>
      <w:r w:rsidR="0084352E">
        <w:t>’</w:t>
      </w:r>
      <w:r w:rsidR="0084352E" w:rsidRPr="007C5033">
        <w:t xml:space="preserve"> as the competent authority under Regulation 63 of the Conservation of Habitats and Species Regulations 2017</w:t>
      </w:r>
      <w:r w:rsidR="00C105E8">
        <w:t xml:space="preserve"> (known as the Habitats Regulations)</w:t>
      </w:r>
      <w:r w:rsidR="0084352E" w:rsidRPr="007C5033">
        <w:t xml:space="preserve">. </w:t>
      </w:r>
      <w:r w:rsidR="003F3C94">
        <w:t>This</w:t>
      </w:r>
      <w:r w:rsidR="00131A8F">
        <w:t xml:space="preserve"> is captured in EDF’s ‘shadow’ Habitats Regulations Assessment (HRA) report. </w:t>
      </w:r>
      <w:r w:rsidR="005A0A98" w:rsidRPr="007C5033">
        <w:t>Upon request by ONR, EDF submitted further information to support the application on 28 February 2025 and updated the application documents accordingly</w:t>
      </w:r>
      <w:r w:rsidR="005A0A98">
        <w:t>.</w:t>
      </w:r>
      <w:r w:rsidR="00764E49">
        <w:t xml:space="preserve"> </w:t>
      </w:r>
      <w:r w:rsidR="002036D3">
        <w:t xml:space="preserve">In order to inform </w:t>
      </w:r>
      <w:r w:rsidR="00447865">
        <w:t>our</w:t>
      </w:r>
      <w:r w:rsidR="002036D3">
        <w:t xml:space="preserve"> consent decision, </w:t>
      </w:r>
      <w:r w:rsidR="00447865">
        <w:t>we are</w:t>
      </w:r>
      <w:r w:rsidR="002036D3">
        <w:t xml:space="preserve"> required to consider the </w:t>
      </w:r>
      <w:r w:rsidR="009723A4">
        <w:t>EIADR application</w:t>
      </w:r>
      <w:r w:rsidR="002036D3">
        <w:t xml:space="preserve"> and </w:t>
      </w:r>
      <w:r w:rsidR="00AD62DC">
        <w:t>ha</w:t>
      </w:r>
      <w:r w:rsidR="00447865">
        <w:t>ve</w:t>
      </w:r>
      <w:r w:rsidR="00AD62DC">
        <w:t xml:space="preserve"> a statutory requirement to </w:t>
      </w:r>
      <w:r w:rsidR="002036D3">
        <w:t xml:space="preserve">consult with relevant bodies, which include the appropriate environmental </w:t>
      </w:r>
      <w:r w:rsidR="0062460D">
        <w:t>regulator,</w:t>
      </w:r>
      <w:r w:rsidR="002036D3">
        <w:t xml:space="preserve"> local highway and planning authorities,</w:t>
      </w:r>
      <w:r w:rsidR="00884ADC">
        <w:t xml:space="preserve"> </w:t>
      </w:r>
      <w:r w:rsidR="00D70E15">
        <w:t>s</w:t>
      </w:r>
      <w:r w:rsidR="00884ADC">
        <w:t xml:space="preserve">tatutory </w:t>
      </w:r>
      <w:r w:rsidR="00D70E15">
        <w:t>n</w:t>
      </w:r>
      <w:r w:rsidR="00884ADC">
        <w:t xml:space="preserve">ature </w:t>
      </w:r>
      <w:r w:rsidR="00D70E15">
        <w:t>c</w:t>
      </w:r>
      <w:r w:rsidR="009723A4">
        <w:t>onservation</w:t>
      </w:r>
      <w:r w:rsidR="00884ADC">
        <w:t xml:space="preserve"> </w:t>
      </w:r>
      <w:r w:rsidR="00D70E15">
        <w:t>b</w:t>
      </w:r>
      <w:r w:rsidR="00884ADC">
        <w:t>odies,</w:t>
      </w:r>
      <w:r w:rsidR="002036D3">
        <w:t xml:space="preserve"> together with the public and other interested parties. </w:t>
      </w:r>
      <w:r w:rsidR="00DD59AB">
        <w:t>The consultation was also placed on our website</w:t>
      </w:r>
      <w:r w:rsidR="00C178D2">
        <w:t xml:space="preserve"> and promoted through our social media channels</w:t>
      </w:r>
      <w:r w:rsidR="00ED67E9">
        <w:t xml:space="preserve"> as it was also open to all members of the public.</w:t>
      </w:r>
    </w:p>
    <w:p w14:paraId="10FDB91C" w14:textId="37003D8A" w:rsidR="00C77FE2" w:rsidRDefault="00C63C35" w:rsidP="0057775A">
      <w:r>
        <w:t xml:space="preserve">Between </w:t>
      </w:r>
      <w:r w:rsidR="00D95EC9">
        <w:t>6 March</w:t>
      </w:r>
      <w:r w:rsidR="00FA6956">
        <w:t xml:space="preserve"> </w:t>
      </w:r>
      <w:r w:rsidR="00D95EC9">
        <w:t>2025</w:t>
      </w:r>
      <w:r w:rsidR="00FA6956">
        <w:t xml:space="preserve"> </w:t>
      </w:r>
      <w:r>
        <w:t xml:space="preserve">and </w:t>
      </w:r>
      <w:r w:rsidR="00D95EC9">
        <w:t>6 June</w:t>
      </w:r>
      <w:r>
        <w:t xml:space="preserve"> </w:t>
      </w:r>
      <w:r w:rsidR="00D95EC9">
        <w:t>2025</w:t>
      </w:r>
      <w:r w:rsidR="00D330A1">
        <w:t xml:space="preserve">, </w:t>
      </w:r>
      <w:r w:rsidR="00FB7529">
        <w:t>we</w:t>
      </w:r>
      <w:r w:rsidR="002036D3">
        <w:t xml:space="preserve"> conducted a consultation on the H</w:t>
      </w:r>
      <w:r w:rsidR="00AF7F6B">
        <w:t>P</w:t>
      </w:r>
      <w:r w:rsidR="002036D3">
        <w:t xml:space="preserve">B </w:t>
      </w:r>
      <w:r w:rsidR="009A3E6A">
        <w:t>a</w:t>
      </w:r>
      <w:r w:rsidR="002036D3">
        <w:t xml:space="preserve">pplication for </w:t>
      </w:r>
      <w:r w:rsidR="009A3E6A">
        <w:t>c</w:t>
      </w:r>
      <w:r w:rsidR="002036D3">
        <w:t>onsent and sought views from all of these parties.</w:t>
      </w:r>
      <w:r w:rsidR="0057775A">
        <w:t xml:space="preserve"> </w:t>
      </w:r>
      <w:r w:rsidR="00BA5941" w:rsidRPr="00BA5941">
        <w:t>The responses to the consultation have helped to</w:t>
      </w:r>
      <w:r w:rsidR="008F4785">
        <w:t xml:space="preserve"> inform </w:t>
      </w:r>
      <w:r w:rsidR="00FB7529">
        <w:t>our</w:t>
      </w:r>
      <w:r w:rsidR="008F4785">
        <w:t xml:space="preserve"> assessment of EDF’s</w:t>
      </w:r>
      <w:r w:rsidR="0057775A">
        <w:t xml:space="preserve"> </w:t>
      </w:r>
      <w:r w:rsidR="0015128B">
        <w:t>application</w:t>
      </w:r>
      <w:r w:rsidR="0057775A">
        <w:t xml:space="preserve">. </w:t>
      </w:r>
    </w:p>
    <w:p w14:paraId="0654D9CB" w14:textId="5B5325AB" w:rsidR="009D1AB0" w:rsidRPr="006E70F8" w:rsidRDefault="009D1AB0" w:rsidP="0057775A">
      <w:r w:rsidRPr="00C100A2">
        <w:t xml:space="preserve">This report presents </w:t>
      </w:r>
      <w:r w:rsidR="00FB7529">
        <w:t>our</w:t>
      </w:r>
      <w:r w:rsidRPr="00C100A2">
        <w:t xml:space="preserve"> response to the public consultation</w:t>
      </w:r>
      <w:r w:rsidR="0057775A">
        <w:t>.</w:t>
      </w:r>
    </w:p>
    <w:p w14:paraId="1DC17A2C" w14:textId="2A3242E9" w:rsidR="006E70F8" w:rsidRDefault="006E70F8" w:rsidP="006E70F8">
      <w:pPr>
        <w:pStyle w:val="Heading1"/>
      </w:pPr>
      <w:bookmarkStart w:id="4" w:name="_Toc88503663"/>
      <w:bookmarkStart w:id="5" w:name="_Toc208410838"/>
      <w:r>
        <w:t>Review of comments</w:t>
      </w:r>
      <w:bookmarkEnd w:id="4"/>
      <w:bookmarkEnd w:id="5"/>
    </w:p>
    <w:p w14:paraId="12DABB65" w14:textId="7781FC43" w:rsidR="00D141A1" w:rsidRDefault="00D141A1" w:rsidP="0001552B">
      <w:bookmarkStart w:id="6" w:name="_Toc88503664"/>
      <w:r>
        <w:t xml:space="preserve">We received responses from </w:t>
      </w:r>
      <w:r w:rsidR="00332D5C">
        <w:t>10</w:t>
      </w:r>
      <w:r>
        <w:t xml:space="preserve"> organisations during the consultation. </w:t>
      </w:r>
      <w:r w:rsidRPr="004D65D8">
        <w:t xml:space="preserve">All comments received were collated and carefully considered. </w:t>
      </w:r>
      <w:r w:rsidR="00A60FAB">
        <w:t>The</w:t>
      </w:r>
      <w:r>
        <w:t xml:space="preserve"> consultation comments which</w:t>
      </w:r>
      <w:r w:rsidR="006213D6">
        <w:t xml:space="preserve"> we considered</w:t>
      </w:r>
      <w:r>
        <w:t xml:space="preserve"> required </w:t>
      </w:r>
      <w:r w:rsidR="00A60FAB">
        <w:t xml:space="preserve">a </w:t>
      </w:r>
      <w:r>
        <w:t>response are shown below</w:t>
      </w:r>
      <w:r w:rsidR="007374FF">
        <w:t xml:space="preserve"> along with </w:t>
      </w:r>
      <w:r w:rsidR="007D76E1">
        <w:t>our</w:t>
      </w:r>
      <w:r w:rsidR="007374FF">
        <w:t xml:space="preserve"> response</w:t>
      </w:r>
      <w:r>
        <w:t>. The full consultation responses</w:t>
      </w:r>
      <w:r w:rsidR="00DA34CA">
        <w:t xml:space="preserve"> were used to inform </w:t>
      </w:r>
      <w:r w:rsidR="007D76E1">
        <w:t>our</w:t>
      </w:r>
      <w:r w:rsidR="003049B2">
        <w:t xml:space="preserve"> </w:t>
      </w:r>
      <w:r w:rsidR="00DA34CA">
        <w:t>assessment and</w:t>
      </w:r>
      <w:r>
        <w:t xml:space="preserve"> </w:t>
      </w:r>
      <w:r w:rsidR="00A61A16">
        <w:t>are available</w:t>
      </w:r>
      <w:r w:rsidR="008D3453">
        <w:t xml:space="preserve"> on </w:t>
      </w:r>
      <w:r w:rsidR="00DA34CA">
        <w:t>our</w:t>
      </w:r>
      <w:r w:rsidR="008D3453">
        <w:t xml:space="preserve"> website</w:t>
      </w:r>
      <w:r w:rsidR="00DA34CA">
        <w:t>.</w:t>
      </w:r>
    </w:p>
    <w:p w14:paraId="5D5D2376" w14:textId="77777777" w:rsidR="00DC5406" w:rsidRDefault="00DC5406">
      <w:pPr>
        <w:spacing w:after="0" w:line="240" w:lineRule="auto"/>
      </w:pPr>
      <w:r>
        <w:br w:type="page"/>
      </w:r>
    </w:p>
    <w:p w14:paraId="4AFE187D" w14:textId="77777777" w:rsidR="00796BD5" w:rsidRDefault="00796BD5">
      <w:pPr>
        <w:spacing w:after="0" w:line="240" w:lineRule="auto"/>
        <w:sectPr w:rsidR="00796BD5" w:rsidSect="00AC7165">
          <w:headerReference w:type="even" r:id="rId14"/>
          <w:headerReference w:type="default" r:id="rId15"/>
          <w:footerReference w:type="even" r:id="rId16"/>
          <w:footerReference w:type="default" r:id="rId17"/>
          <w:pgSz w:w="11906" w:h="16838" w:code="9"/>
          <w:pgMar w:top="1440" w:right="1080" w:bottom="1440" w:left="1080" w:header="397" w:footer="397" w:gutter="0"/>
          <w:pgNumType w:start="1"/>
          <w:cols w:space="312"/>
          <w:docGrid w:linePitch="360"/>
        </w:sectPr>
      </w:pPr>
    </w:p>
    <w:tbl>
      <w:tblPr>
        <w:tblStyle w:val="TableGrid"/>
        <w:tblW w:w="9889" w:type="dxa"/>
        <w:tblInd w:w="-108" w:type="dxa"/>
        <w:tblBorders>
          <w:top w:val="single" w:sz="4" w:space="0" w:color="07716C"/>
          <w:left w:val="none" w:sz="0" w:space="0" w:color="auto"/>
          <w:bottom w:val="single" w:sz="4" w:space="0" w:color="07716C"/>
          <w:right w:val="none" w:sz="0" w:space="0" w:color="auto"/>
          <w:insideH w:val="single" w:sz="4" w:space="0" w:color="07716C"/>
          <w:insideV w:val="single" w:sz="4" w:space="0" w:color="07716C"/>
        </w:tblBorders>
        <w:tblLook w:val="04A0" w:firstRow="1" w:lastRow="0" w:firstColumn="1" w:lastColumn="0" w:noHBand="0" w:noVBand="1"/>
      </w:tblPr>
      <w:tblGrid>
        <w:gridCol w:w="817"/>
        <w:gridCol w:w="8118"/>
        <w:gridCol w:w="137"/>
        <w:gridCol w:w="817"/>
      </w:tblGrid>
      <w:tr w:rsidR="00205A45" w:rsidRPr="00205A45" w14:paraId="5DC43E4E" w14:textId="77777777" w:rsidTr="00626B1D">
        <w:trPr>
          <w:trHeight w:val="567"/>
        </w:trPr>
        <w:tc>
          <w:tcPr>
            <w:tcW w:w="9889" w:type="dxa"/>
            <w:gridSpan w:val="4"/>
            <w:shd w:val="clear" w:color="auto" w:fill="22413A"/>
            <w:vAlign w:val="center"/>
          </w:tcPr>
          <w:p w14:paraId="04CE5BE0" w14:textId="5CDCB61A" w:rsidR="00FF488E" w:rsidRPr="00C72CDB" w:rsidRDefault="006F2BE8" w:rsidP="00F433BC">
            <w:pPr>
              <w:pStyle w:val="Heading1"/>
              <w:spacing w:before="120" w:after="120"/>
              <w:rPr>
                <w:b/>
                <w:bCs/>
                <w:color w:val="FFFFFF" w:themeColor="background1"/>
                <w:sz w:val="40"/>
                <w:szCs w:val="40"/>
              </w:rPr>
            </w:pPr>
            <w:bookmarkStart w:id="7" w:name="_Toc208410839"/>
            <w:bookmarkEnd w:id="6"/>
            <w:r>
              <w:rPr>
                <w:color w:val="FFFFFF" w:themeColor="background1"/>
                <w:sz w:val="40"/>
                <w:szCs w:val="40"/>
              </w:rPr>
              <w:lastRenderedPageBreak/>
              <w:t>Environment Agency</w:t>
            </w:r>
            <w:bookmarkEnd w:id="7"/>
          </w:p>
        </w:tc>
      </w:tr>
      <w:tr w:rsidR="0045788E" w:rsidRPr="004B64C6" w14:paraId="1436ABDE" w14:textId="77777777" w:rsidTr="00626B1D">
        <w:tc>
          <w:tcPr>
            <w:tcW w:w="9889" w:type="dxa"/>
            <w:gridSpan w:val="4"/>
            <w:shd w:val="clear" w:color="auto" w:fill="E8F3DA" w:themeFill="accent4" w:themeFillTint="33"/>
            <w:vAlign w:val="center"/>
          </w:tcPr>
          <w:p w14:paraId="18EA43BD" w14:textId="01E93533" w:rsidR="0045788E" w:rsidRPr="004B64C6" w:rsidRDefault="0045788E" w:rsidP="00FF15C6">
            <w:pPr>
              <w:spacing w:before="120" w:after="120"/>
            </w:pPr>
            <w:r w:rsidRPr="004B64C6">
              <w:rPr>
                <w:color w:val="22413A"/>
              </w:rPr>
              <w:t>Consultation comment</w:t>
            </w:r>
          </w:p>
        </w:tc>
      </w:tr>
      <w:tr w:rsidR="00FF488E" w14:paraId="7634CA6D" w14:textId="77777777" w:rsidTr="009002A1">
        <w:tc>
          <w:tcPr>
            <w:tcW w:w="817" w:type="dxa"/>
          </w:tcPr>
          <w:p w14:paraId="459969CF" w14:textId="7395FA13" w:rsidR="00FF488E" w:rsidRDefault="00FF488E" w:rsidP="00026981">
            <w:pPr>
              <w:spacing w:before="120" w:after="120"/>
            </w:pPr>
          </w:p>
        </w:tc>
        <w:tc>
          <w:tcPr>
            <w:tcW w:w="9072" w:type="dxa"/>
            <w:gridSpan w:val="3"/>
          </w:tcPr>
          <w:p w14:paraId="297D059D" w14:textId="67DC58E3" w:rsidR="00FF488E" w:rsidRDefault="005673FF" w:rsidP="00337F8F">
            <w:r>
              <w:t>“</w:t>
            </w:r>
            <w:r w:rsidRPr="005673FF">
              <w:t>The operational dates of a DWPF</w:t>
            </w:r>
            <w:r w:rsidR="00337F8F">
              <w:t xml:space="preserve"> [</w:t>
            </w:r>
            <w:r w:rsidR="00337F8F" w:rsidRPr="00337F8F">
              <w:t>Decommissioning Waste Processing Facility</w:t>
            </w:r>
            <w:r w:rsidR="00337F8F">
              <w:t>]</w:t>
            </w:r>
            <w:r w:rsidRPr="005673FF">
              <w:t xml:space="preserve"> up and running seems overly optimistic considering there has been no planning application yet and there is also currently still a ‘legal pause’ on the building of the DWPF by the NDA</w:t>
            </w:r>
            <w:r w:rsidR="007370A6">
              <w:t xml:space="preserve"> [Nuclear Decommissioning Authority]</w:t>
            </w:r>
            <w:r w:rsidRPr="005673FF">
              <w:t>/ NRS</w:t>
            </w:r>
            <w:r w:rsidR="007370A6">
              <w:t xml:space="preserve"> [Nuclear Restoration Services]</w:t>
            </w:r>
            <w:r w:rsidRPr="005673FF">
              <w:t>. When is the CRAWD</w:t>
            </w:r>
            <w:r w:rsidR="009F7B0F">
              <w:t xml:space="preserve"> [</w:t>
            </w:r>
            <w:r w:rsidR="009F7B0F" w:rsidRPr="009F7B0F">
              <w:t>Contaminated Radioactive Waste Disposal</w:t>
            </w:r>
            <w:r w:rsidR="009F7B0F">
              <w:t>]</w:t>
            </w:r>
            <w:r w:rsidRPr="005673FF">
              <w:t xml:space="preserve"> (current solid radwaste facility) being decommissioned in this timeline?</w:t>
            </w:r>
            <w:r>
              <w:t>”</w:t>
            </w:r>
          </w:p>
        </w:tc>
      </w:tr>
      <w:tr w:rsidR="0045788E" w:rsidRPr="004B64C6" w14:paraId="63D0F63C" w14:textId="77777777" w:rsidTr="00626B1D">
        <w:tc>
          <w:tcPr>
            <w:tcW w:w="9889" w:type="dxa"/>
            <w:gridSpan w:val="4"/>
            <w:shd w:val="clear" w:color="auto" w:fill="E8F3DA" w:themeFill="accent4" w:themeFillTint="33"/>
            <w:vAlign w:val="center"/>
          </w:tcPr>
          <w:p w14:paraId="06460CC7" w14:textId="40EB12F8" w:rsidR="0045788E" w:rsidRPr="004B64C6" w:rsidRDefault="0045788E" w:rsidP="00FF15C6">
            <w:pPr>
              <w:spacing w:before="120" w:after="120"/>
            </w:pPr>
            <w:r w:rsidRPr="004B64C6">
              <w:rPr>
                <w:color w:val="22413A"/>
              </w:rPr>
              <w:t>ONR’s response</w:t>
            </w:r>
          </w:p>
        </w:tc>
      </w:tr>
      <w:tr w:rsidR="00FF488E" w14:paraId="00A83A6B" w14:textId="77777777" w:rsidTr="009002A1">
        <w:tc>
          <w:tcPr>
            <w:tcW w:w="817" w:type="dxa"/>
          </w:tcPr>
          <w:p w14:paraId="0E2046AE" w14:textId="77777777" w:rsidR="00FF488E" w:rsidRDefault="00FF488E" w:rsidP="00DF1289">
            <w:pPr>
              <w:spacing w:before="120" w:after="120"/>
              <w:jc w:val="center"/>
            </w:pPr>
          </w:p>
        </w:tc>
        <w:tc>
          <w:tcPr>
            <w:tcW w:w="9072" w:type="dxa"/>
            <w:gridSpan w:val="3"/>
          </w:tcPr>
          <w:p w14:paraId="07444852" w14:textId="2A486776" w:rsidR="00FF488E" w:rsidRDefault="005A59C9" w:rsidP="00FE3619">
            <w:pPr>
              <w:spacing w:before="120" w:after="120"/>
            </w:pPr>
            <w:r>
              <w:t>W</w:t>
            </w:r>
            <w:r w:rsidR="002654EE">
              <w:t>e</w:t>
            </w:r>
            <w:r>
              <w:t xml:space="preserve"> </w:t>
            </w:r>
            <w:r w:rsidR="002654EE">
              <w:t>acknowledge</w:t>
            </w:r>
            <w:r>
              <w:t xml:space="preserve"> that the assumptions</w:t>
            </w:r>
            <w:r w:rsidR="002654EE">
              <w:t xml:space="preserve"> around the timing of the DWPF may have changed since the</w:t>
            </w:r>
            <w:r w:rsidR="00AF1680">
              <w:t xml:space="preserve"> writing of the ES.</w:t>
            </w:r>
            <w:r>
              <w:t xml:space="preserve"> </w:t>
            </w:r>
            <w:r w:rsidR="00AD4D1B">
              <w:t>EDF has advised that t</w:t>
            </w:r>
            <w:r w:rsidR="00AD4D1B" w:rsidRPr="00AD4D1B">
              <w:t>he CRAWD will remain operational for waste processing until the DWPF is constructed and becomes operational, currently anticipated around 2030/31, after which the CRAWD will be decommissioned.</w:t>
            </w:r>
          </w:p>
        </w:tc>
      </w:tr>
      <w:tr w:rsidR="00D60854" w14:paraId="061C6492" w14:textId="77777777" w:rsidTr="00626B1D">
        <w:tc>
          <w:tcPr>
            <w:tcW w:w="9889" w:type="dxa"/>
            <w:gridSpan w:val="4"/>
            <w:shd w:val="clear" w:color="auto" w:fill="E8F3DA" w:themeFill="accent4" w:themeFillTint="33"/>
          </w:tcPr>
          <w:p w14:paraId="572373C0" w14:textId="7EB0ED3A" w:rsidR="00D60854" w:rsidRDefault="00BF104A" w:rsidP="00FE3619">
            <w:pPr>
              <w:spacing w:before="120" w:after="120"/>
            </w:pPr>
            <w:r w:rsidRPr="0088496E">
              <w:rPr>
                <w:color w:val="033835" w:themeColor="accent1" w:themeShade="80"/>
              </w:rPr>
              <w:t>Consultation comment</w:t>
            </w:r>
          </w:p>
        </w:tc>
      </w:tr>
      <w:tr w:rsidR="00D60854" w14:paraId="2F59F7EF" w14:textId="77777777" w:rsidTr="009002A1">
        <w:tc>
          <w:tcPr>
            <w:tcW w:w="817" w:type="dxa"/>
          </w:tcPr>
          <w:p w14:paraId="56726898" w14:textId="77777777" w:rsidR="00D60854" w:rsidRDefault="00D60854" w:rsidP="00DF1289">
            <w:pPr>
              <w:spacing w:before="120" w:after="120"/>
              <w:jc w:val="center"/>
            </w:pPr>
          </w:p>
        </w:tc>
        <w:tc>
          <w:tcPr>
            <w:tcW w:w="9072" w:type="dxa"/>
            <w:gridSpan w:val="3"/>
          </w:tcPr>
          <w:p w14:paraId="7E236801" w14:textId="6D5A6DB3" w:rsidR="00D60854" w:rsidRDefault="00BF104A" w:rsidP="002D6032">
            <w:pPr>
              <w:spacing w:before="120" w:after="120"/>
            </w:pPr>
            <w:r>
              <w:t>“</w:t>
            </w:r>
            <w:r w:rsidRPr="00BF104A">
              <w:t>EA would recommend that a weigh bridge is added as a requirement of the DWPF, if there is no other weighbridge available on site. In the past the station has had waste mis consignments, which may have been picked up by the final check of a weighbridge. With the increase in both radwaste and controlled wastes during the preparation for quiescence phase a weighbridge could help prevent the likelihood of a mis consignment and any regulatory action.</w:t>
            </w:r>
            <w:r>
              <w:t>”</w:t>
            </w:r>
          </w:p>
        </w:tc>
      </w:tr>
      <w:tr w:rsidR="00D60854" w14:paraId="63B9F119" w14:textId="77777777" w:rsidTr="00626B1D">
        <w:tc>
          <w:tcPr>
            <w:tcW w:w="9889" w:type="dxa"/>
            <w:gridSpan w:val="4"/>
            <w:shd w:val="clear" w:color="auto" w:fill="E8F3DA" w:themeFill="accent4" w:themeFillTint="33"/>
          </w:tcPr>
          <w:p w14:paraId="7D37E0D9" w14:textId="035527A9" w:rsidR="00D60854" w:rsidRDefault="00BF104A" w:rsidP="00FE3619">
            <w:pPr>
              <w:spacing w:before="120" w:after="120"/>
            </w:pPr>
            <w:r w:rsidRPr="0088496E">
              <w:rPr>
                <w:color w:val="033835" w:themeColor="accent1" w:themeShade="80"/>
              </w:rPr>
              <w:t>ONR’s response</w:t>
            </w:r>
          </w:p>
        </w:tc>
      </w:tr>
      <w:tr w:rsidR="00D60854" w14:paraId="0EA2820F" w14:textId="77777777" w:rsidTr="009002A1">
        <w:tc>
          <w:tcPr>
            <w:tcW w:w="817" w:type="dxa"/>
          </w:tcPr>
          <w:p w14:paraId="49272D92" w14:textId="77777777" w:rsidR="00D60854" w:rsidRDefault="00D60854" w:rsidP="00DF1289">
            <w:pPr>
              <w:spacing w:before="120" w:after="120"/>
              <w:jc w:val="center"/>
            </w:pPr>
          </w:p>
        </w:tc>
        <w:tc>
          <w:tcPr>
            <w:tcW w:w="9072" w:type="dxa"/>
            <w:gridSpan w:val="3"/>
          </w:tcPr>
          <w:p w14:paraId="7F0C1C31" w14:textId="0CE6DB4B" w:rsidR="00D60854" w:rsidRDefault="00A54ECF" w:rsidP="00FE3619">
            <w:pPr>
              <w:spacing w:before="120" w:after="120"/>
            </w:pPr>
            <w:r>
              <w:t xml:space="preserve">We </w:t>
            </w:r>
            <w:r w:rsidR="004B48DA">
              <w:t xml:space="preserve">acknowledge this recommendation and </w:t>
            </w:r>
            <w:r>
              <w:t>not</w:t>
            </w:r>
            <w:r w:rsidR="004B48DA">
              <w:t>e that the</w:t>
            </w:r>
            <w:r>
              <w:t xml:space="preserve"> </w:t>
            </w:r>
            <w:r w:rsidR="00336660">
              <w:t xml:space="preserve">design and </w:t>
            </w:r>
            <w:r w:rsidR="004B48DA">
              <w:t>s</w:t>
            </w:r>
            <w:r w:rsidR="00C04DF3">
              <w:t>pecifications of the DWPF</w:t>
            </w:r>
            <w:r w:rsidR="00675164">
              <w:t xml:space="preserve"> </w:t>
            </w:r>
            <w:r w:rsidR="00336660">
              <w:t>are ongoing</w:t>
            </w:r>
            <w:r w:rsidR="00DD3081">
              <w:t xml:space="preserve"> and</w:t>
            </w:r>
            <w:r w:rsidR="00336660">
              <w:t xml:space="preserve"> </w:t>
            </w:r>
            <w:r w:rsidR="00876236">
              <w:t xml:space="preserve">are </w:t>
            </w:r>
            <w:r w:rsidR="00675164">
              <w:t>for the licensee to determine.</w:t>
            </w:r>
          </w:p>
        </w:tc>
      </w:tr>
      <w:tr w:rsidR="00205A45" w14:paraId="5759FEFF" w14:textId="77777777" w:rsidTr="00626B1D">
        <w:trPr>
          <w:trHeight w:val="567"/>
        </w:trPr>
        <w:tc>
          <w:tcPr>
            <w:tcW w:w="9889" w:type="dxa"/>
            <w:gridSpan w:val="4"/>
            <w:shd w:val="clear" w:color="auto" w:fill="22413A"/>
          </w:tcPr>
          <w:p w14:paraId="7CDE1403" w14:textId="237B4CBC" w:rsidR="00205A45" w:rsidRPr="00C72CDB" w:rsidRDefault="00BA555E" w:rsidP="00F433BC">
            <w:pPr>
              <w:pStyle w:val="Heading1"/>
              <w:spacing w:before="120" w:after="120"/>
              <w:rPr>
                <w:color w:val="FFFFFF" w:themeColor="background1"/>
                <w:sz w:val="40"/>
                <w:szCs w:val="40"/>
              </w:rPr>
            </w:pPr>
            <w:bookmarkStart w:id="8" w:name="_Toc208410841"/>
            <w:r>
              <w:rPr>
                <w:color w:val="FFFFFF" w:themeColor="background1"/>
                <w:sz w:val="40"/>
                <w:szCs w:val="40"/>
              </w:rPr>
              <w:t>Internal Drainage Board</w:t>
            </w:r>
            <w:r w:rsidR="00461BA0">
              <w:rPr>
                <w:color w:val="FFFFFF" w:themeColor="background1"/>
                <w:sz w:val="40"/>
                <w:szCs w:val="40"/>
              </w:rPr>
              <w:t xml:space="preserve"> (IDB)</w:t>
            </w:r>
            <w:bookmarkEnd w:id="8"/>
          </w:p>
        </w:tc>
      </w:tr>
      <w:tr w:rsidR="006905A5" w:rsidRPr="00252B8A" w14:paraId="4035D08F" w14:textId="77777777" w:rsidTr="00626B1D">
        <w:trPr>
          <w:trHeight w:val="567"/>
        </w:trPr>
        <w:tc>
          <w:tcPr>
            <w:tcW w:w="9889" w:type="dxa"/>
            <w:gridSpan w:val="4"/>
            <w:shd w:val="clear" w:color="auto" w:fill="E8F3DA" w:themeFill="accent4" w:themeFillTint="33"/>
          </w:tcPr>
          <w:p w14:paraId="1F6AF84E" w14:textId="746BD372" w:rsidR="006905A5" w:rsidRPr="00252B8A" w:rsidRDefault="006905A5" w:rsidP="00FF15C6">
            <w:pPr>
              <w:spacing w:before="120" w:after="120"/>
            </w:pPr>
            <w:r w:rsidRPr="00252B8A">
              <w:rPr>
                <w:color w:val="22413A"/>
              </w:rPr>
              <w:t>Consultation comment</w:t>
            </w:r>
          </w:p>
        </w:tc>
      </w:tr>
      <w:tr w:rsidR="00FF488E" w14:paraId="553A1ECD" w14:textId="77777777" w:rsidTr="009002A1">
        <w:tc>
          <w:tcPr>
            <w:tcW w:w="817" w:type="dxa"/>
          </w:tcPr>
          <w:p w14:paraId="559DBB68" w14:textId="30A1BD6A" w:rsidR="00FF488E" w:rsidRDefault="00FF488E" w:rsidP="00DF1289">
            <w:pPr>
              <w:spacing w:before="120" w:after="120"/>
              <w:jc w:val="center"/>
            </w:pPr>
          </w:p>
        </w:tc>
        <w:tc>
          <w:tcPr>
            <w:tcW w:w="9072" w:type="dxa"/>
            <w:gridSpan w:val="3"/>
          </w:tcPr>
          <w:p w14:paraId="25049EB1" w14:textId="77777777" w:rsidR="00461BA0" w:rsidRDefault="00AD1B58" w:rsidP="00AD1B58">
            <w:pPr>
              <w:spacing w:before="120" w:after="120"/>
            </w:pPr>
            <w:r>
              <w:t>“</w:t>
            </w:r>
            <w:r w:rsidRPr="00AD1B58">
              <w:t xml:space="preserve">The IDB has no objection to the proposal but would like to recommend the following conditions: </w:t>
            </w:r>
          </w:p>
          <w:p w14:paraId="2B0E8E73" w14:textId="77777777" w:rsidR="00461BA0" w:rsidRPr="00461BA0" w:rsidRDefault="00AD1B58" w:rsidP="00AD1B58">
            <w:pPr>
              <w:spacing w:before="120" w:after="120"/>
              <w:rPr>
                <w:b/>
                <w:bCs/>
              </w:rPr>
            </w:pPr>
            <w:r w:rsidRPr="00461BA0">
              <w:rPr>
                <w:b/>
                <w:bCs/>
              </w:rPr>
              <w:t xml:space="preserve">Conditions: </w:t>
            </w:r>
          </w:p>
          <w:p w14:paraId="6BB5BB18" w14:textId="16025615" w:rsidR="00461BA0" w:rsidRDefault="00AD1B58" w:rsidP="00984D3E">
            <w:pPr>
              <w:pStyle w:val="ListParagraph"/>
              <w:numPr>
                <w:ilvl w:val="0"/>
                <w:numId w:val="44"/>
              </w:numPr>
              <w:spacing w:before="120" w:after="120"/>
            </w:pPr>
            <w:r w:rsidRPr="00AD1B58">
              <w:t xml:space="preserve">During the decommissioning phase and beyond, we would require access to the rhynes, and the decommissioning works should make sure our current access is maintained. </w:t>
            </w:r>
          </w:p>
          <w:p w14:paraId="25C03A5A" w14:textId="4EF2821F" w:rsidR="00461BA0" w:rsidRDefault="00AD1B58" w:rsidP="00984D3E">
            <w:pPr>
              <w:pStyle w:val="ListParagraph"/>
              <w:numPr>
                <w:ilvl w:val="0"/>
                <w:numId w:val="44"/>
              </w:numPr>
              <w:spacing w:before="120" w:after="120"/>
            </w:pPr>
            <w:r w:rsidRPr="00AD1B58">
              <w:t xml:space="preserve">No building material shall be located within 9m of the rhynes or ordinary watercourse or interfere with our access. </w:t>
            </w:r>
          </w:p>
          <w:p w14:paraId="2E75E121" w14:textId="789ED0C3" w:rsidR="00461BA0" w:rsidRDefault="00AD1B58" w:rsidP="00984D3E">
            <w:pPr>
              <w:pStyle w:val="ListParagraph"/>
              <w:numPr>
                <w:ilvl w:val="0"/>
                <w:numId w:val="44"/>
              </w:numPr>
              <w:spacing w:before="120" w:after="120"/>
            </w:pPr>
            <w:r w:rsidRPr="00AD1B58">
              <w:t xml:space="preserve">No fences should be erected that prevent our access to the rhynes </w:t>
            </w:r>
          </w:p>
          <w:p w14:paraId="71738C98" w14:textId="77777777" w:rsidR="00461BA0" w:rsidRDefault="00AD1B58" w:rsidP="00AD1B58">
            <w:pPr>
              <w:spacing w:before="120" w:after="120"/>
            </w:pPr>
            <w:r w:rsidRPr="00AD1B58">
              <w:lastRenderedPageBreak/>
              <w:t xml:space="preserve">The Board would request that the following informative is added to any permission that is granted: </w:t>
            </w:r>
          </w:p>
          <w:p w14:paraId="1D732FB5" w14:textId="77777777" w:rsidR="00461BA0" w:rsidRDefault="00AD1B58" w:rsidP="00AD1B58">
            <w:pPr>
              <w:spacing w:before="120" w:after="120"/>
            </w:pPr>
            <w:r w:rsidRPr="00461BA0">
              <w:rPr>
                <w:b/>
                <w:bCs/>
              </w:rPr>
              <w:t xml:space="preserve">Informative: </w:t>
            </w:r>
            <w:r w:rsidRPr="00AD1B58">
              <w:t xml:space="preserve">The drainage of the site remains unchanged with a discharge directly into the estuary hence any water quality issue of the drainage resulting from the decommissioning work is a matter for the Environment Agency. </w:t>
            </w:r>
          </w:p>
          <w:p w14:paraId="65ECD1E8" w14:textId="77777777" w:rsidR="00984D3E" w:rsidRDefault="00AD1B58" w:rsidP="00AD1B58">
            <w:pPr>
              <w:spacing w:before="120" w:after="120"/>
            </w:pPr>
            <w:r w:rsidRPr="00AD1B58">
              <w:t xml:space="preserve">The applicant is advised that, prior to works commencing on site, Land Drainage Consent is required under section 23 and 66 of the Land Drainage Act 1991 from the Internal Drainage Board for any construction in, or within, 9m of a watercourse and for the introduction of additional flow into a watercourse in the Board's District (or from the Environment Agency for an EA Main River). </w:t>
            </w:r>
          </w:p>
          <w:p w14:paraId="60916C23" w14:textId="0B8AD0BD" w:rsidR="00FF488E" w:rsidRDefault="00AD1B58" w:rsidP="00AD1B58">
            <w:pPr>
              <w:spacing w:before="120" w:after="120"/>
            </w:pPr>
            <w:r w:rsidRPr="00AD1B58">
              <w:t>There must be no interruption to the surface water drainage system of the surrounding land as a result of the operations on the site. Provisions must be made to ensure that all existing drainage systems continue to operate effectively and that riparian owners upstream and downstream of the site are not adversely affected</w:t>
            </w:r>
            <w:r w:rsidR="00984D3E">
              <w:t>.</w:t>
            </w:r>
            <w:r w:rsidR="00611604">
              <w:t>”</w:t>
            </w:r>
          </w:p>
        </w:tc>
      </w:tr>
      <w:tr w:rsidR="006905A5" w:rsidRPr="00252B8A" w14:paraId="1000AF05" w14:textId="77777777" w:rsidTr="00626B1D">
        <w:trPr>
          <w:trHeight w:val="567"/>
        </w:trPr>
        <w:tc>
          <w:tcPr>
            <w:tcW w:w="9889" w:type="dxa"/>
            <w:gridSpan w:val="4"/>
            <w:shd w:val="clear" w:color="auto" w:fill="E8F3DA" w:themeFill="accent4" w:themeFillTint="33"/>
          </w:tcPr>
          <w:p w14:paraId="18354F6C" w14:textId="1C28DE84" w:rsidR="006905A5" w:rsidRPr="00252B8A" w:rsidRDefault="006905A5" w:rsidP="00FF15C6">
            <w:pPr>
              <w:spacing w:before="120" w:after="120"/>
            </w:pPr>
            <w:r w:rsidRPr="00252B8A">
              <w:rPr>
                <w:color w:val="22413A"/>
              </w:rPr>
              <w:lastRenderedPageBreak/>
              <w:t>ONR’s response</w:t>
            </w:r>
          </w:p>
        </w:tc>
      </w:tr>
      <w:tr w:rsidR="00FF488E" w14:paraId="10EA6C96" w14:textId="77777777" w:rsidTr="009002A1">
        <w:tc>
          <w:tcPr>
            <w:tcW w:w="817" w:type="dxa"/>
          </w:tcPr>
          <w:p w14:paraId="0CB6A148" w14:textId="77777777" w:rsidR="00FF488E" w:rsidRDefault="00FF488E" w:rsidP="00DF1289">
            <w:pPr>
              <w:spacing w:before="120" w:after="120"/>
              <w:jc w:val="center"/>
            </w:pPr>
          </w:p>
        </w:tc>
        <w:tc>
          <w:tcPr>
            <w:tcW w:w="9072" w:type="dxa"/>
            <w:gridSpan w:val="3"/>
          </w:tcPr>
          <w:p w14:paraId="5555F8E8" w14:textId="14382129" w:rsidR="00FF488E" w:rsidRPr="00E80116" w:rsidRDefault="00681B16" w:rsidP="00BF3327">
            <w:pPr>
              <w:spacing w:before="120" w:after="120"/>
            </w:pPr>
            <w:r w:rsidRPr="00BF3327">
              <w:t>EDF has acknowledged these requests and agreed for existing access and egress routes for IDB to be maintained</w:t>
            </w:r>
            <w:r>
              <w:t xml:space="preserve">. </w:t>
            </w:r>
            <w:r w:rsidR="002F3D79">
              <w:t>C</w:t>
            </w:r>
            <w:r w:rsidR="00BF3327" w:rsidRPr="00BF3327">
              <w:t xml:space="preserve">onditions </w:t>
            </w:r>
            <w:r w:rsidR="002F3D79">
              <w:t>can be</w:t>
            </w:r>
            <w:r w:rsidR="00BF3327" w:rsidRPr="00BF3327">
              <w:t xml:space="preserve"> attached to EIADR consents when considered necessary in the interests of limiting the impact of the project on the environment,</w:t>
            </w:r>
            <w:r w:rsidR="008212DD">
              <w:t xml:space="preserve"> however,</w:t>
            </w:r>
            <w:r w:rsidR="00BF3327" w:rsidRPr="00BF3327">
              <w:t xml:space="preserve"> </w:t>
            </w:r>
            <w:r w:rsidR="00FC45E2">
              <w:t>we do</w:t>
            </w:r>
            <w:r w:rsidR="00BF3327" w:rsidRPr="00BF3327">
              <w:t xml:space="preserve"> not consider the conditions </w:t>
            </w:r>
            <w:r w:rsidR="008212DD">
              <w:t xml:space="preserve">identified above </w:t>
            </w:r>
            <w:r w:rsidR="00BF3327" w:rsidRPr="00BF3327">
              <w:t xml:space="preserve">to be required as part of the consent. </w:t>
            </w:r>
          </w:p>
        </w:tc>
      </w:tr>
      <w:tr w:rsidR="00A52C05" w:rsidRPr="00C72CDB" w14:paraId="296A8D7E" w14:textId="77777777" w:rsidTr="00A52C05">
        <w:trPr>
          <w:trHeight w:val="567"/>
        </w:trPr>
        <w:tc>
          <w:tcPr>
            <w:tcW w:w="9889" w:type="dxa"/>
            <w:gridSpan w:val="4"/>
            <w:shd w:val="clear" w:color="auto" w:fill="22413A"/>
          </w:tcPr>
          <w:p w14:paraId="72405785" w14:textId="208E83EA" w:rsidR="00A52C05" w:rsidRPr="00C72CDB" w:rsidRDefault="00A52C05" w:rsidP="00A52C05">
            <w:pPr>
              <w:pStyle w:val="Heading1"/>
              <w:spacing w:before="120" w:after="120"/>
              <w:rPr>
                <w:color w:val="FFFFFF" w:themeColor="background1"/>
                <w:sz w:val="40"/>
                <w:szCs w:val="40"/>
              </w:rPr>
            </w:pPr>
            <w:bookmarkStart w:id="9" w:name="_Toc208410842"/>
            <w:r>
              <w:rPr>
                <w:color w:val="FFFFFF" w:themeColor="background1"/>
                <w:sz w:val="40"/>
                <w:szCs w:val="40"/>
              </w:rPr>
              <w:t xml:space="preserve">Marine Management Organisation </w:t>
            </w:r>
            <w:r w:rsidR="00AC1647">
              <w:rPr>
                <w:color w:val="FFFFFF" w:themeColor="background1"/>
                <w:sz w:val="40"/>
                <w:szCs w:val="40"/>
              </w:rPr>
              <w:t>(MMO)</w:t>
            </w:r>
            <w:bookmarkEnd w:id="9"/>
          </w:p>
        </w:tc>
      </w:tr>
      <w:tr w:rsidR="00A52C05" w:rsidRPr="00252B8A" w14:paraId="09D0A382" w14:textId="77777777" w:rsidTr="00A52C05">
        <w:trPr>
          <w:trHeight w:val="567"/>
        </w:trPr>
        <w:tc>
          <w:tcPr>
            <w:tcW w:w="9889" w:type="dxa"/>
            <w:gridSpan w:val="4"/>
            <w:shd w:val="clear" w:color="auto" w:fill="E8F3DA" w:themeFill="accent4" w:themeFillTint="33"/>
          </w:tcPr>
          <w:p w14:paraId="77C2DE22" w14:textId="77F8A15A" w:rsidR="00A52C05" w:rsidRPr="00252B8A" w:rsidRDefault="00A52C05" w:rsidP="001B670E">
            <w:pPr>
              <w:spacing w:before="120" w:after="120"/>
            </w:pPr>
            <w:r w:rsidRPr="00252B8A">
              <w:rPr>
                <w:color w:val="22413A"/>
              </w:rPr>
              <w:t>Consultation comment</w:t>
            </w:r>
          </w:p>
        </w:tc>
      </w:tr>
      <w:tr w:rsidR="00A52C05" w14:paraId="09199EF6" w14:textId="77777777" w:rsidTr="009002A1">
        <w:tc>
          <w:tcPr>
            <w:tcW w:w="817" w:type="dxa"/>
          </w:tcPr>
          <w:p w14:paraId="241D6E19" w14:textId="77777777" w:rsidR="00A52C05" w:rsidRDefault="00A52C05" w:rsidP="001B670E">
            <w:pPr>
              <w:spacing w:before="120"/>
            </w:pPr>
          </w:p>
        </w:tc>
        <w:tc>
          <w:tcPr>
            <w:tcW w:w="9072" w:type="dxa"/>
            <w:gridSpan w:val="3"/>
          </w:tcPr>
          <w:p w14:paraId="633C05B1" w14:textId="59A01BC3" w:rsidR="00AD4024" w:rsidRDefault="00AD4024" w:rsidP="008B6DC9">
            <w:pPr>
              <w:spacing w:before="120" w:after="120"/>
            </w:pPr>
            <w:r>
              <w:t xml:space="preserve">The responsibilities of MMO include the licensing of construction works, deposits and removals in English inshore and offshore waters and for Welsh </w:t>
            </w:r>
            <w:r w:rsidRPr="00DB7CB9">
              <w:t>and Northern Ireland offshore waters by way of a marine licence</w:t>
            </w:r>
            <w:r>
              <w:t xml:space="preserve">. MMO noted that </w:t>
            </w:r>
            <w:r w:rsidRPr="00AD4024">
              <w:t>a marine licence will be required for several activities of the decommissioning process</w:t>
            </w:r>
            <w:r w:rsidR="001A3FC3">
              <w:t xml:space="preserve"> for HPB</w:t>
            </w:r>
            <w:r w:rsidRPr="00AD4024">
              <w:t>.</w:t>
            </w:r>
          </w:p>
          <w:p w14:paraId="62A67114" w14:textId="7AABCDCF" w:rsidR="001F1DE9" w:rsidRDefault="008647F3" w:rsidP="008B6DC9">
            <w:pPr>
              <w:spacing w:before="120" w:after="120"/>
            </w:pPr>
            <w:r>
              <w:t xml:space="preserve">MMO raised a number of </w:t>
            </w:r>
            <w:r w:rsidR="008B6DC9">
              <w:t xml:space="preserve">issues </w:t>
            </w:r>
            <w:r w:rsidR="00766219">
              <w:t>and concluded</w:t>
            </w:r>
            <w:r w:rsidR="008B6DC9" w:rsidRPr="008B6DC9">
              <w:t xml:space="preserve"> that insufficient information ha</w:t>
            </w:r>
            <w:r w:rsidR="00766219">
              <w:t>d</w:t>
            </w:r>
            <w:r w:rsidR="008B6DC9" w:rsidRPr="008B6DC9">
              <w:t xml:space="preserve"> been provided within </w:t>
            </w:r>
            <w:r w:rsidR="00B92D9D">
              <w:t>EDF’s</w:t>
            </w:r>
            <w:r w:rsidR="008B6DC9" w:rsidRPr="008B6DC9">
              <w:t xml:space="preserve"> </w:t>
            </w:r>
            <w:r w:rsidR="00E71709">
              <w:t>ES</w:t>
            </w:r>
            <w:r w:rsidR="008B6DC9" w:rsidRPr="008B6DC9">
              <w:t xml:space="preserve"> and </w:t>
            </w:r>
            <w:r w:rsidR="00116EC8">
              <w:t xml:space="preserve">shadow </w:t>
            </w:r>
            <w:r w:rsidR="00BC104F">
              <w:t>HRA</w:t>
            </w:r>
            <w:r w:rsidR="005404D4">
              <w:t xml:space="preserve"> report</w:t>
            </w:r>
            <w:r w:rsidR="008B6DC9" w:rsidRPr="008B6DC9">
              <w:t xml:space="preserve"> to sufficiently assess the potential marine impacts of the proposed works.</w:t>
            </w:r>
            <w:r w:rsidR="00DB50A2">
              <w:t xml:space="preserve"> </w:t>
            </w:r>
          </w:p>
          <w:p w14:paraId="18156D95" w14:textId="7911C2E9" w:rsidR="002B6E4B" w:rsidRDefault="00DB50A2" w:rsidP="00D06126">
            <w:pPr>
              <w:spacing w:before="120" w:after="120"/>
            </w:pPr>
            <w:r>
              <w:t xml:space="preserve">For example, MMO considered there to be gaps in the description of the cessation of the </w:t>
            </w:r>
            <w:r w:rsidR="00126C47">
              <w:t>cooling water</w:t>
            </w:r>
            <w:r>
              <w:t xml:space="preserve"> system, operation of the </w:t>
            </w:r>
            <w:r w:rsidR="001F1DE9">
              <w:t>Active Effluent Discharge Line (</w:t>
            </w:r>
            <w:r>
              <w:t>AEDL</w:t>
            </w:r>
            <w:r w:rsidR="001F1DE9">
              <w:t>)</w:t>
            </w:r>
            <w:r>
              <w:t xml:space="preserve"> and </w:t>
            </w:r>
            <w:r w:rsidR="001F1DE9">
              <w:t>Sewage Treatment Plant Line (</w:t>
            </w:r>
            <w:r>
              <w:t>STPL</w:t>
            </w:r>
            <w:r w:rsidR="001F1DE9">
              <w:t>)</w:t>
            </w:r>
            <w:r>
              <w:t>, and the potential impacts in relation to these activities.</w:t>
            </w:r>
          </w:p>
        </w:tc>
      </w:tr>
      <w:tr w:rsidR="00A52C05" w:rsidRPr="00252B8A" w14:paraId="471DFBFA" w14:textId="77777777" w:rsidTr="00A52C05">
        <w:trPr>
          <w:trHeight w:val="567"/>
        </w:trPr>
        <w:tc>
          <w:tcPr>
            <w:tcW w:w="9889" w:type="dxa"/>
            <w:gridSpan w:val="4"/>
            <w:shd w:val="clear" w:color="auto" w:fill="E8F3DA" w:themeFill="accent4" w:themeFillTint="33"/>
          </w:tcPr>
          <w:p w14:paraId="36F3EED4" w14:textId="77777777" w:rsidR="00A52C05" w:rsidRPr="00252B8A" w:rsidRDefault="00A52C05" w:rsidP="001B670E">
            <w:pPr>
              <w:spacing w:before="120" w:after="120"/>
            </w:pPr>
            <w:r w:rsidRPr="00252B8A">
              <w:rPr>
                <w:color w:val="22413A"/>
              </w:rPr>
              <w:t>ONR’s response</w:t>
            </w:r>
          </w:p>
        </w:tc>
      </w:tr>
      <w:tr w:rsidR="00A52C05" w:rsidRPr="00D83234" w14:paraId="6797B88F" w14:textId="77777777" w:rsidTr="009002A1">
        <w:tc>
          <w:tcPr>
            <w:tcW w:w="817" w:type="dxa"/>
          </w:tcPr>
          <w:p w14:paraId="6458922A" w14:textId="77777777" w:rsidR="00A52C05" w:rsidRDefault="00A52C05" w:rsidP="001B670E">
            <w:pPr>
              <w:spacing w:before="120"/>
              <w:jc w:val="center"/>
            </w:pPr>
          </w:p>
        </w:tc>
        <w:tc>
          <w:tcPr>
            <w:tcW w:w="9072" w:type="dxa"/>
            <w:gridSpan w:val="3"/>
          </w:tcPr>
          <w:p w14:paraId="7023E9FD" w14:textId="71B1AAF7" w:rsidR="002B52F4" w:rsidRDefault="00130BA2" w:rsidP="00DD515A">
            <w:pPr>
              <w:spacing w:before="120" w:after="120"/>
            </w:pPr>
            <w:r>
              <w:t xml:space="preserve">In response to MMO’s comments, </w:t>
            </w:r>
            <w:r w:rsidR="00042AE4">
              <w:t>we</w:t>
            </w:r>
            <w:r>
              <w:t xml:space="preserve"> </w:t>
            </w:r>
            <w:r w:rsidR="00C405DE">
              <w:t>arranged direct contact between EDF and MMO</w:t>
            </w:r>
            <w:r w:rsidR="00014DED">
              <w:t xml:space="preserve"> to</w:t>
            </w:r>
            <w:r w:rsidR="00885DBC">
              <w:t xml:space="preserve"> provid</w:t>
            </w:r>
            <w:r w:rsidR="00014DED">
              <w:t>e an</w:t>
            </w:r>
            <w:r w:rsidR="00885DBC">
              <w:t xml:space="preserve"> opportunity for the </w:t>
            </w:r>
            <w:r w:rsidR="00661B1D">
              <w:t>issues</w:t>
            </w:r>
            <w:r w:rsidR="00885DBC">
              <w:t xml:space="preserve"> to be </w:t>
            </w:r>
            <w:r w:rsidR="00661B1D">
              <w:t xml:space="preserve">addressed. We </w:t>
            </w:r>
            <w:r w:rsidR="00D364DE">
              <w:t xml:space="preserve">also </w:t>
            </w:r>
            <w:r w:rsidR="00042AE4">
              <w:t>requested further</w:t>
            </w:r>
            <w:r w:rsidR="00D364DE">
              <w:t xml:space="preserve"> written</w:t>
            </w:r>
            <w:r w:rsidR="00042AE4">
              <w:t xml:space="preserve"> evidence be provided </w:t>
            </w:r>
            <w:r w:rsidR="00D364DE">
              <w:t>by EDF</w:t>
            </w:r>
            <w:r w:rsidR="00BE0C65">
              <w:t xml:space="preserve"> in relation to the comments, and after consideration of that evidence, we were satisfied </w:t>
            </w:r>
            <w:r w:rsidR="007B24B3">
              <w:t xml:space="preserve">that </w:t>
            </w:r>
            <w:r w:rsidR="00BC104F">
              <w:t xml:space="preserve">the outcome of the </w:t>
            </w:r>
            <w:r w:rsidR="000D4436">
              <w:t>ES</w:t>
            </w:r>
            <w:r w:rsidR="00BC104F">
              <w:t xml:space="preserve"> and HRA </w:t>
            </w:r>
            <w:r w:rsidR="00A22AC8">
              <w:t xml:space="preserve">would not change. </w:t>
            </w:r>
            <w:r w:rsidR="001F1DE9">
              <w:t xml:space="preserve">We expect any remaining concerns can be addressed </w:t>
            </w:r>
            <w:r w:rsidR="00DC30D8">
              <w:lastRenderedPageBreak/>
              <w:t xml:space="preserve">between EDF and MMO </w:t>
            </w:r>
            <w:r w:rsidR="001F1DE9">
              <w:t xml:space="preserve">as the detailed methodologies for the marine works develop ahead of the applications for the marine licences required for the </w:t>
            </w:r>
            <w:r w:rsidR="002F0544">
              <w:t>decommissioning project</w:t>
            </w:r>
            <w:r w:rsidR="001F1DE9">
              <w:t xml:space="preserve">.  </w:t>
            </w:r>
          </w:p>
          <w:p w14:paraId="34EC4820" w14:textId="3C664871" w:rsidR="00A52C05" w:rsidRPr="00D83234" w:rsidRDefault="00D73F9F" w:rsidP="001B7822">
            <w:pPr>
              <w:spacing w:before="120" w:after="120"/>
            </w:pPr>
            <w:r>
              <w:t xml:space="preserve">Cessation of the cooling water system, along with other activities such as reactor defueling, are necessary preconditions for initiating the decommissioning and dismantling of the power station, and are therefore not within the scope of EIADR. </w:t>
            </w:r>
            <w:r w:rsidR="001F1DE9">
              <w:t>In relation to the</w:t>
            </w:r>
            <w:r w:rsidR="00B04B7A">
              <w:t xml:space="preserve"> operation of </w:t>
            </w:r>
            <w:r w:rsidR="0085478E">
              <w:t>the</w:t>
            </w:r>
            <w:r w:rsidR="00126C47">
              <w:t xml:space="preserve"> AEDL and STPL, we</w:t>
            </w:r>
            <w:r w:rsidR="00DD21FE">
              <w:t xml:space="preserve"> can confirm that</w:t>
            </w:r>
            <w:r w:rsidR="00DD515A">
              <w:t xml:space="preserve"> these activities are outside the scope of EIADR </w:t>
            </w:r>
            <w:r w:rsidR="00DD21FE">
              <w:t>since</w:t>
            </w:r>
            <w:r w:rsidR="00DD515A">
              <w:t xml:space="preserve"> the operation of the AEDL and STPL are regulated by </w:t>
            </w:r>
            <w:r w:rsidR="00DD21FE">
              <w:t>the Environment Agency</w:t>
            </w:r>
            <w:r w:rsidR="00DD515A">
              <w:t xml:space="preserve"> under existing permits issued under the Environmental Permitting Regulations (England and Wales) 2016. </w:t>
            </w:r>
            <w:r w:rsidR="007F29D8">
              <w:t xml:space="preserve">This </w:t>
            </w:r>
            <w:r w:rsidR="00616691">
              <w:t>avoids dual regulation, in line with the Regulators’ Code.</w:t>
            </w:r>
          </w:p>
        </w:tc>
      </w:tr>
      <w:tr w:rsidR="00A52C05" w:rsidRPr="00D365AD" w14:paraId="2EC152D0" w14:textId="77777777" w:rsidTr="00A52C05">
        <w:trPr>
          <w:trHeight w:hRule="exact" w:val="709"/>
          <w:tblHeader/>
        </w:trPr>
        <w:tc>
          <w:tcPr>
            <w:tcW w:w="9889" w:type="dxa"/>
            <w:gridSpan w:val="4"/>
            <w:shd w:val="clear" w:color="auto" w:fill="22413A"/>
            <w:vAlign w:val="center"/>
          </w:tcPr>
          <w:p w14:paraId="429023FC" w14:textId="35AD0B16" w:rsidR="00A52C05" w:rsidRPr="00D365AD" w:rsidRDefault="00BA555E" w:rsidP="00BA555E">
            <w:pPr>
              <w:pStyle w:val="Heading1"/>
              <w:spacing w:before="120" w:after="120"/>
              <w:rPr>
                <w:b/>
                <w:bCs/>
                <w:color w:val="FFFFFF" w:themeColor="background1"/>
                <w:sz w:val="40"/>
                <w:szCs w:val="40"/>
                <w:lang w:val="nb-NO"/>
              </w:rPr>
            </w:pPr>
            <w:bookmarkStart w:id="10" w:name="_Toc208410843"/>
            <w:r>
              <w:rPr>
                <w:color w:val="FFFFFF" w:themeColor="background1"/>
                <w:sz w:val="40"/>
                <w:szCs w:val="40"/>
                <w:lang w:val="nb-NO"/>
              </w:rPr>
              <w:lastRenderedPageBreak/>
              <w:t>Natural England</w:t>
            </w:r>
            <w:bookmarkEnd w:id="10"/>
          </w:p>
        </w:tc>
      </w:tr>
      <w:tr w:rsidR="00A52C05" w:rsidRPr="00252B8A" w14:paraId="200335E7" w14:textId="77777777" w:rsidTr="00A52C05">
        <w:trPr>
          <w:trHeight w:val="567"/>
          <w:tblHeader/>
        </w:trPr>
        <w:tc>
          <w:tcPr>
            <w:tcW w:w="9889" w:type="dxa"/>
            <w:gridSpan w:val="4"/>
            <w:shd w:val="clear" w:color="auto" w:fill="E8F3DA" w:themeFill="accent4" w:themeFillTint="33"/>
            <w:vAlign w:val="center"/>
          </w:tcPr>
          <w:p w14:paraId="4992CE5A" w14:textId="0A8E17E0" w:rsidR="00A52C05" w:rsidRPr="00252B8A" w:rsidRDefault="00A52C05" w:rsidP="001B670E">
            <w:pPr>
              <w:spacing w:after="0"/>
              <w:rPr>
                <w:color w:val="22413A"/>
              </w:rPr>
            </w:pPr>
            <w:r w:rsidRPr="00252B8A">
              <w:rPr>
                <w:color w:val="22413A"/>
              </w:rPr>
              <w:t>Consultation comment</w:t>
            </w:r>
          </w:p>
        </w:tc>
      </w:tr>
      <w:tr w:rsidR="00A52C05" w:rsidRPr="00605767" w14:paraId="73FFF2AB" w14:textId="77777777" w:rsidTr="009002A1">
        <w:tc>
          <w:tcPr>
            <w:tcW w:w="817" w:type="dxa"/>
          </w:tcPr>
          <w:p w14:paraId="3637A547" w14:textId="77777777" w:rsidR="00A52C05" w:rsidRDefault="00A52C05" w:rsidP="001B670E">
            <w:pPr>
              <w:spacing w:before="120"/>
            </w:pPr>
          </w:p>
        </w:tc>
        <w:tc>
          <w:tcPr>
            <w:tcW w:w="9072" w:type="dxa"/>
            <w:gridSpan w:val="3"/>
          </w:tcPr>
          <w:p w14:paraId="2E364BA0" w14:textId="1AB57944" w:rsidR="00A52C05" w:rsidRPr="00605767" w:rsidRDefault="00ED0ABC" w:rsidP="00D06126">
            <w:pPr>
              <w:spacing w:before="120" w:after="120"/>
            </w:pPr>
            <w:r>
              <w:t xml:space="preserve">Natural England provided detailed comments on </w:t>
            </w:r>
            <w:r w:rsidR="00B92D9D">
              <w:t>EDF’s</w:t>
            </w:r>
            <w:r w:rsidR="00FD5644">
              <w:t xml:space="preserve"> updated</w:t>
            </w:r>
            <w:r>
              <w:t xml:space="preserve"> shadow HRA report</w:t>
            </w:r>
            <w:r w:rsidR="00FD5644">
              <w:t>,</w:t>
            </w:r>
            <w:r w:rsidR="00C572B1">
              <w:t xml:space="preserve"> and whilst it considered the report to be improved</w:t>
            </w:r>
            <w:r w:rsidR="00811401">
              <w:t xml:space="preserve"> in some areas</w:t>
            </w:r>
            <w:r w:rsidR="00C572B1">
              <w:t>,</w:t>
            </w:r>
            <w:r w:rsidR="00811401">
              <w:t xml:space="preserve"> </w:t>
            </w:r>
            <w:r w:rsidR="00C572B1">
              <w:t>it</w:t>
            </w:r>
            <w:r w:rsidR="00A559C9">
              <w:t xml:space="preserve"> considered there to be</w:t>
            </w:r>
            <w:r w:rsidR="00811401">
              <w:t xml:space="preserve"> </w:t>
            </w:r>
            <w:r w:rsidR="00D560AD">
              <w:t>further evidence</w:t>
            </w:r>
            <w:r w:rsidR="00A559C9">
              <w:t xml:space="preserve"> required in a number of areas</w:t>
            </w:r>
            <w:r w:rsidR="004E0AC7">
              <w:t xml:space="preserve"> to complete the HRA</w:t>
            </w:r>
            <w:r w:rsidR="00D560AD">
              <w:t xml:space="preserve">. </w:t>
            </w:r>
            <w:r w:rsidR="00BF5B5B">
              <w:t>For example,</w:t>
            </w:r>
            <w:r w:rsidR="009E183D">
              <w:t xml:space="preserve"> it </w:t>
            </w:r>
            <w:r w:rsidR="00E65DD5">
              <w:t>considered</w:t>
            </w:r>
            <w:r w:rsidR="009E183D">
              <w:t xml:space="preserve"> more information to be required on the removal o</w:t>
            </w:r>
            <w:r w:rsidR="0056219E">
              <w:t>ff the offshore cooling water intake structure</w:t>
            </w:r>
            <w:r w:rsidR="00E65DD5">
              <w:t xml:space="preserve"> and associated effects on subtidal habitats. </w:t>
            </w:r>
            <w:r w:rsidR="006473E0">
              <w:t xml:space="preserve">Natural England </w:t>
            </w:r>
            <w:r w:rsidR="004E0AC7">
              <w:t xml:space="preserve">also </w:t>
            </w:r>
            <w:r w:rsidR="006473E0">
              <w:t>identified several quality assurance issues</w:t>
            </w:r>
            <w:r w:rsidR="007C3EE8">
              <w:t xml:space="preserve"> in EDF’s </w:t>
            </w:r>
            <w:r w:rsidR="00335CD3">
              <w:t xml:space="preserve">shadow </w:t>
            </w:r>
            <w:r w:rsidR="007C3EE8">
              <w:t>HRA report</w:t>
            </w:r>
            <w:r w:rsidR="00335CD3">
              <w:t>.</w:t>
            </w:r>
          </w:p>
        </w:tc>
      </w:tr>
      <w:tr w:rsidR="00A52C05" w:rsidRPr="00252B8A" w14:paraId="48A08502" w14:textId="77777777" w:rsidTr="00A52C05">
        <w:trPr>
          <w:trHeight w:val="567"/>
        </w:trPr>
        <w:tc>
          <w:tcPr>
            <w:tcW w:w="9889" w:type="dxa"/>
            <w:gridSpan w:val="4"/>
            <w:shd w:val="clear" w:color="auto" w:fill="E8F3DA" w:themeFill="accent4" w:themeFillTint="33"/>
            <w:vAlign w:val="center"/>
          </w:tcPr>
          <w:p w14:paraId="3D0D7724" w14:textId="77777777" w:rsidR="00A52C05" w:rsidRPr="00252B8A" w:rsidRDefault="00A52C05" w:rsidP="001B670E">
            <w:pPr>
              <w:spacing w:after="0"/>
            </w:pPr>
            <w:r w:rsidRPr="00252B8A">
              <w:rPr>
                <w:color w:val="22413A"/>
              </w:rPr>
              <w:t>ONR’s response</w:t>
            </w:r>
          </w:p>
        </w:tc>
      </w:tr>
      <w:tr w:rsidR="00A52C05" w:rsidRPr="00814A0E" w14:paraId="095E9334" w14:textId="77777777" w:rsidTr="009002A1">
        <w:tc>
          <w:tcPr>
            <w:tcW w:w="817" w:type="dxa"/>
          </w:tcPr>
          <w:p w14:paraId="511B6AE7" w14:textId="77777777" w:rsidR="00A52C05" w:rsidRDefault="00A52C05" w:rsidP="001B670E">
            <w:pPr>
              <w:spacing w:before="120"/>
              <w:jc w:val="center"/>
            </w:pPr>
          </w:p>
        </w:tc>
        <w:tc>
          <w:tcPr>
            <w:tcW w:w="9072" w:type="dxa"/>
            <w:gridSpan w:val="3"/>
          </w:tcPr>
          <w:p w14:paraId="1B8ED05D" w14:textId="55EE0E28" w:rsidR="00A52C05" w:rsidRDefault="003C2B0C" w:rsidP="001B670E">
            <w:pPr>
              <w:spacing w:before="120" w:after="120"/>
            </w:pPr>
            <w:r>
              <w:t>Natural England</w:t>
            </w:r>
            <w:r w:rsidR="00977821">
              <w:t xml:space="preserve">’s </w:t>
            </w:r>
            <w:r w:rsidR="00665067">
              <w:t>advice was considered by ONR’s specialist inspector throughout the assessment process to inform the consent decision</w:t>
            </w:r>
            <w:r w:rsidR="00C940D5">
              <w:t xml:space="preserve">. </w:t>
            </w:r>
            <w:r w:rsidR="00D3604C">
              <w:t xml:space="preserve">The key issues </w:t>
            </w:r>
            <w:r w:rsidR="00DB615F">
              <w:t>raised by Natural England</w:t>
            </w:r>
            <w:r w:rsidR="00D3604C">
              <w:t xml:space="preserve"> were identified</w:t>
            </w:r>
            <w:r w:rsidR="00DB615F">
              <w:t xml:space="preserve"> and further evidence </w:t>
            </w:r>
            <w:r w:rsidR="00D3604C">
              <w:t xml:space="preserve">was sought </w:t>
            </w:r>
            <w:r w:rsidR="00DB615F">
              <w:t>from EDF</w:t>
            </w:r>
            <w:r w:rsidR="00577D37">
              <w:t xml:space="preserve"> where necessary</w:t>
            </w:r>
            <w:r w:rsidR="00FD5D7C">
              <w:t>. For example,</w:t>
            </w:r>
            <w:r w:rsidR="008A372D">
              <w:t xml:space="preserve"> </w:t>
            </w:r>
            <w:r w:rsidR="00A35D70">
              <w:t>the assessment</w:t>
            </w:r>
            <w:r w:rsidR="008A372D">
              <w:t xml:space="preserve"> confirmed th</w:t>
            </w:r>
            <w:r w:rsidR="009E180C">
              <w:t>at the</w:t>
            </w:r>
            <w:r w:rsidR="00516468">
              <w:t xml:space="preserve"> total los</w:t>
            </w:r>
            <w:r w:rsidR="005162DC">
              <w:t>s</w:t>
            </w:r>
            <w:r w:rsidR="008A372D">
              <w:t xml:space="preserve"> of </w:t>
            </w:r>
            <w:r w:rsidR="00A656D4">
              <w:t>Sabellaria alveolata</w:t>
            </w:r>
            <w:r w:rsidR="00516468">
              <w:t xml:space="preserve"> </w:t>
            </w:r>
            <w:r w:rsidR="005162DC">
              <w:t xml:space="preserve">reef </w:t>
            </w:r>
            <w:r w:rsidR="00516468">
              <w:t xml:space="preserve">would be de minimis by </w:t>
            </w:r>
            <w:r w:rsidR="005A4D61">
              <w:t>obtaining</w:t>
            </w:r>
            <w:r w:rsidR="004A2652">
              <w:t xml:space="preserve"> information on the</w:t>
            </w:r>
            <w:r w:rsidR="001D25EC">
              <w:t xml:space="preserve"> </w:t>
            </w:r>
            <w:r w:rsidR="00100EDC">
              <w:t>methodology of the</w:t>
            </w:r>
            <w:r w:rsidR="001D25EC">
              <w:t xml:space="preserve"> removal of the concrete</w:t>
            </w:r>
            <w:r w:rsidR="00100EDC">
              <w:t xml:space="preserve"> </w:t>
            </w:r>
            <w:r w:rsidR="005A4D61">
              <w:t>cooling</w:t>
            </w:r>
            <w:r w:rsidR="00100EDC">
              <w:t xml:space="preserve"> water intake structure</w:t>
            </w:r>
            <w:r w:rsidR="004A2652">
              <w:t xml:space="preserve"> at sea.</w:t>
            </w:r>
          </w:p>
          <w:p w14:paraId="337E0150" w14:textId="57CAE866" w:rsidR="00AD0150" w:rsidRDefault="009D3774" w:rsidP="001B670E">
            <w:pPr>
              <w:spacing w:before="120" w:after="120"/>
            </w:pPr>
            <w:r>
              <w:t xml:space="preserve">Following receipt of </w:t>
            </w:r>
            <w:r w:rsidR="00853407">
              <w:t xml:space="preserve">all the </w:t>
            </w:r>
            <w:r w:rsidR="00E12564">
              <w:t>supporting</w:t>
            </w:r>
            <w:r w:rsidR="00853407">
              <w:t xml:space="preserve"> </w:t>
            </w:r>
            <w:r>
              <w:t>evidence from EDF</w:t>
            </w:r>
            <w:r w:rsidR="00232B59">
              <w:t>,</w:t>
            </w:r>
            <w:r>
              <w:t xml:space="preserve"> </w:t>
            </w:r>
            <w:r w:rsidR="00975702">
              <w:t>the specialist inspector</w:t>
            </w:r>
            <w:r w:rsidR="003B180F">
              <w:t xml:space="preserve"> judged </w:t>
            </w:r>
            <w:r w:rsidR="00853407">
              <w:t>EDF’s</w:t>
            </w:r>
            <w:r w:rsidR="003B180F">
              <w:t xml:space="preserve"> shadow HRA report </w:t>
            </w:r>
            <w:r w:rsidR="00297A40">
              <w:t>t</w:t>
            </w:r>
            <w:r w:rsidR="003B180F">
              <w:t xml:space="preserve">o be </w:t>
            </w:r>
            <w:r w:rsidR="00297A40">
              <w:t>acceptable</w:t>
            </w:r>
            <w:r w:rsidR="0069739D">
              <w:t>, therefore we consider the</w:t>
            </w:r>
            <w:r w:rsidR="0074461C">
              <w:t xml:space="preserve"> </w:t>
            </w:r>
            <w:r w:rsidR="00C105E8">
              <w:t>appropriate assessment under</w:t>
            </w:r>
            <w:r w:rsidR="00D67059">
              <w:t xml:space="preserve"> </w:t>
            </w:r>
            <w:r w:rsidR="0069739D">
              <w:t xml:space="preserve">the Habitats Regulations to be complete. </w:t>
            </w:r>
          </w:p>
          <w:p w14:paraId="23E0FD35" w14:textId="3515CBFC" w:rsidR="004A2652" w:rsidRPr="00814A0E" w:rsidRDefault="00200F34" w:rsidP="001B670E">
            <w:pPr>
              <w:spacing w:before="120" w:after="120"/>
            </w:pPr>
            <w:r>
              <w:t>We did not consider</w:t>
            </w:r>
            <w:r w:rsidR="002232DB">
              <w:t xml:space="preserve"> quality assurance </w:t>
            </w:r>
            <w:r>
              <w:t xml:space="preserve">issues to impact the outcome of the HRA, therefore </w:t>
            </w:r>
            <w:r w:rsidR="00404C26">
              <w:t xml:space="preserve">we did not </w:t>
            </w:r>
            <w:r w:rsidR="007A35BE">
              <w:t>require th</w:t>
            </w:r>
            <w:r w:rsidR="00E12564">
              <w:t>o</w:t>
            </w:r>
            <w:r w:rsidR="007A35BE">
              <w:t xml:space="preserve">se to be rectified. </w:t>
            </w:r>
          </w:p>
        </w:tc>
      </w:tr>
      <w:tr w:rsidR="007F0341" w14:paraId="61DC7B3F" w14:textId="77777777" w:rsidTr="00626B1D">
        <w:trPr>
          <w:trHeight w:val="567"/>
        </w:trPr>
        <w:tc>
          <w:tcPr>
            <w:tcW w:w="9889" w:type="dxa"/>
            <w:gridSpan w:val="4"/>
            <w:shd w:val="clear" w:color="auto" w:fill="22413A"/>
          </w:tcPr>
          <w:p w14:paraId="1EC00929" w14:textId="10B3302C" w:rsidR="007F0341" w:rsidRPr="00C72CDB" w:rsidRDefault="00BA555E" w:rsidP="00BA555E">
            <w:pPr>
              <w:pStyle w:val="Heading1"/>
              <w:spacing w:before="120" w:after="120"/>
              <w:rPr>
                <w:color w:val="FFFFFF" w:themeColor="background1"/>
                <w:sz w:val="40"/>
                <w:szCs w:val="40"/>
              </w:rPr>
            </w:pPr>
            <w:bookmarkStart w:id="11" w:name="_Toc208410844"/>
            <w:r>
              <w:rPr>
                <w:color w:val="FFFFFF" w:themeColor="background1"/>
                <w:sz w:val="40"/>
                <w:szCs w:val="40"/>
              </w:rPr>
              <w:t>Natural Resources Wales</w:t>
            </w:r>
            <w:r w:rsidR="00881DED">
              <w:rPr>
                <w:color w:val="FFFFFF" w:themeColor="background1"/>
                <w:sz w:val="40"/>
                <w:szCs w:val="40"/>
              </w:rPr>
              <w:t xml:space="preserve"> </w:t>
            </w:r>
            <w:r w:rsidR="00577D37">
              <w:rPr>
                <w:color w:val="FFFFFF" w:themeColor="background1"/>
                <w:sz w:val="40"/>
                <w:szCs w:val="40"/>
              </w:rPr>
              <w:t>(NRW)</w:t>
            </w:r>
            <w:bookmarkEnd w:id="11"/>
          </w:p>
        </w:tc>
      </w:tr>
      <w:tr w:rsidR="006905A5" w:rsidRPr="00252B8A" w14:paraId="5AE5AAFD" w14:textId="77777777" w:rsidTr="00626B1D">
        <w:trPr>
          <w:trHeight w:val="567"/>
        </w:trPr>
        <w:tc>
          <w:tcPr>
            <w:tcW w:w="9889" w:type="dxa"/>
            <w:gridSpan w:val="4"/>
            <w:shd w:val="clear" w:color="auto" w:fill="E8F3DA" w:themeFill="accent4" w:themeFillTint="33"/>
          </w:tcPr>
          <w:p w14:paraId="36F5B76C" w14:textId="15F5B9C7" w:rsidR="006905A5" w:rsidRPr="00252B8A" w:rsidRDefault="006905A5" w:rsidP="00FF15C6">
            <w:pPr>
              <w:spacing w:before="120" w:after="120"/>
            </w:pPr>
            <w:r w:rsidRPr="00252B8A">
              <w:rPr>
                <w:color w:val="22413A"/>
              </w:rPr>
              <w:t>Consultation comment</w:t>
            </w:r>
          </w:p>
        </w:tc>
      </w:tr>
      <w:tr w:rsidR="00FF488E" w14:paraId="7892F3AA" w14:textId="77777777" w:rsidTr="009002A1">
        <w:tc>
          <w:tcPr>
            <w:tcW w:w="817" w:type="dxa"/>
          </w:tcPr>
          <w:p w14:paraId="4E5010D9" w14:textId="23AC7F60" w:rsidR="00FF488E" w:rsidRDefault="00FF488E" w:rsidP="00F406AF">
            <w:pPr>
              <w:spacing w:before="120"/>
            </w:pPr>
          </w:p>
        </w:tc>
        <w:tc>
          <w:tcPr>
            <w:tcW w:w="9072" w:type="dxa"/>
            <w:gridSpan w:val="3"/>
          </w:tcPr>
          <w:p w14:paraId="798F2A4A" w14:textId="4448DF00" w:rsidR="00FD7765" w:rsidRDefault="00FC0A65" w:rsidP="00FD7765">
            <w:pPr>
              <w:spacing w:before="120" w:after="120"/>
            </w:pPr>
            <w:r>
              <w:t xml:space="preserve">NRW considered a number of actions </w:t>
            </w:r>
            <w:r w:rsidR="004C1638">
              <w:t xml:space="preserve">to be </w:t>
            </w:r>
            <w:r>
              <w:t xml:space="preserve">required to fully address the </w:t>
            </w:r>
            <w:r w:rsidR="0056181D" w:rsidRPr="0056181D">
              <w:t>potential implications of the proposal on marine mammals</w:t>
            </w:r>
            <w:r w:rsidR="0056181D">
              <w:t xml:space="preserve">. For example, </w:t>
            </w:r>
            <w:r w:rsidR="001B7E3A">
              <w:t xml:space="preserve">NRW requested a </w:t>
            </w:r>
            <w:r w:rsidR="001B7E3A" w:rsidRPr="001B7E3A">
              <w:t xml:space="preserve">clear justification for the exclusion of marine mammals from the in-combination assessment in Section 2 of </w:t>
            </w:r>
            <w:r w:rsidR="002E245A">
              <w:t>EDF’s</w:t>
            </w:r>
            <w:r w:rsidR="001B7E3A" w:rsidRPr="001B7E3A">
              <w:t xml:space="preserve"> </w:t>
            </w:r>
            <w:r w:rsidR="001B7E3A">
              <w:t>shadow HRA report</w:t>
            </w:r>
            <w:r w:rsidR="001B7E3A" w:rsidRPr="001B7E3A">
              <w:t>.</w:t>
            </w:r>
            <w:r w:rsidR="00FD7765" w:rsidRPr="000D2D1B">
              <w:t xml:space="preserve"> </w:t>
            </w:r>
          </w:p>
          <w:p w14:paraId="70A32860" w14:textId="3A9FD486" w:rsidR="00DE0CD2" w:rsidRDefault="00FD7765" w:rsidP="00FF0D09">
            <w:pPr>
              <w:spacing w:before="120" w:after="120"/>
            </w:pPr>
            <w:r w:rsidRPr="000D2D1B">
              <w:lastRenderedPageBreak/>
              <w:t>NRW agree</w:t>
            </w:r>
            <w:r>
              <w:t>d</w:t>
            </w:r>
            <w:r w:rsidRPr="000D2D1B">
              <w:t xml:space="preserve"> with the outcome of the shadow HRA of no adverse effect on site integrity on fish receptors, however</w:t>
            </w:r>
            <w:r>
              <w:t>,</w:t>
            </w:r>
            <w:r w:rsidRPr="000D2D1B">
              <w:t xml:space="preserve"> </w:t>
            </w:r>
            <w:r>
              <w:t>it</w:t>
            </w:r>
            <w:r w:rsidRPr="000D2D1B">
              <w:t xml:space="preserve"> note</w:t>
            </w:r>
            <w:r>
              <w:t>d</w:t>
            </w:r>
            <w:r w:rsidRPr="000D2D1B">
              <w:t xml:space="preserve"> a number of omissions and errors in the reports</w:t>
            </w:r>
            <w:r>
              <w:t>.</w:t>
            </w:r>
          </w:p>
        </w:tc>
      </w:tr>
      <w:tr w:rsidR="006905A5" w:rsidRPr="00252B8A" w14:paraId="44040E50" w14:textId="77777777" w:rsidTr="00626B1D">
        <w:trPr>
          <w:trHeight w:val="567"/>
        </w:trPr>
        <w:tc>
          <w:tcPr>
            <w:tcW w:w="9889" w:type="dxa"/>
            <w:gridSpan w:val="4"/>
            <w:shd w:val="clear" w:color="auto" w:fill="E8F3DA" w:themeFill="accent4" w:themeFillTint="33"/>
          </w:tcPr>
          <w:p w14:paraId="7736B432" w14:textId="0898F4FA" w:rsidR="006905A5" w:rsidRPr="00252B8A" w:rsidRDefault="006905A5" w:rsidP="00FF15C6">
            <w:pPr>
              <w:spacing w:before="120" w:after="120"/>
            </w:pPr>
            <w:r w:rsidRPr="00252B8A">
              <w:rPr>
                <w:color w:val="22413A"/>
              </w:rPr>
              <w:lastRenderedPageBreak/>
              <w:t>ONR’s response</w:t>
            </w:r>
          </w:p>
        </w:tc>
      </w:tr>
      <w:tr w:rsidR="00FF488E" w14:paraId="260AF1E0" w14:textId="77777777" w:rsidTr="009002A1">
        <w:tc>
          <w:tcPr>
            <w:tcW w:w="817" w:type="dxa"/>
          </w:tcPr>
          <w:p w14:paraId="38E54E61" w14:textId="77777777" w:rsidR="00FF488E" w:rsidRDefault="00FF488E" w:rsidP="00DF1289">
            <w:pPr>
              <w:spacing w:before="120"/>
              <w:jc w:val="center"/>
            </w:pPr>
          </w:p>
        </w:tc>
        <w:tc>
          <w:tcPr>
            <w:tcW w:w="9072" w:type="dxa"/>
            <w:gridSpan w:val="3"/>
          </w:tcPr>
          <w:p w14:paraId="77CC9F27" w14:textId="39C44829" w:rsidR="00F73777" w:rsidRDefault="00F73777" w:rsidP="00F73777">
            <w:pPr>
              <w:spacing w:before="120" w:after="120"/>
            </w:pPr>
            <w:r>
              <w:t xml:space="preserve">NRW’s advice was considered by ONR’s specialist inspector throughout the assessment process to inform the consent decision. </w:t>
            </w:r>
            <w:r w:rsidR="00A0671C">
              <w:t>The</w:t>
            </w:r>
            <w:r>
              <w:t xml:space="preserve"> key issues raised by </w:t>
            </w:r>
            <w:r w:rsidR="006E6292">
              <w:t>NRW</w:t>
            </w:r>
            <w:r>
              <w:t xml:space="preserve"> </w:t>
            </w:r>
            <w:r w:rsidR="00982BB2">
              <w:t xml:space="preserve">were identified </w:t>
            </w:r>
            <w:r>
              <w:t>and further evidence</w:t>
            </w:r>
            <w:r w:rsidR="00982BB2">
              <w:t xml:space="preserve"> was sought</w:t>
            </w:r>
            <w:r>
              <w:t xml:space="preserve"> from EDF where necessary. For example,</w:t>
            </w:r>
            <w:r w:rsidR="00480282">
              <w:t xml:space="preserve"> EDF</w:t>
            </w:r>
            <w:r>
              <w:t xml:space="preserve"> </w:t>
            </w:r>
            <w:r w:rsidR="009104C0">
              <w:t>provided justification for why marine mammals were</w:t>
            </w:r>
            <w:r w:rsidR="007218FE">
              <w:t xml:space="preserve"> excluded from the in-combination assessment.</w:t>
            </w:r>
            <w:r>
              <w:t xml:space="preserve"> </w:t>
            </w:r>
          </w:p>
          <w:p w14:paraId="00028E1D" w14:textId="2BF95250" w:rsidR="00F73777" w:rsidRDefault="00F73777" w:rsidP="00F73777">
            <w:pPr>
              <w:spacing w:before="120" w:after="120"/>
            </w:pPr>
            <w:r>
              <w:t xml:space="preserve">Following receipt of all the supporting evidence from EDF, </w:t>
            </w:r>
            <w:r w:rsidR="00C859EA">
              <w:t>the specialist inspector</w:t>
            </w:r>
            <w:r>
              <w:t xml:space="preserve"> judged EDF’s shadow HRA report to be acceptable, therefore we consider the appropriate assessment under the Habitats Regulations to be complete. </w:t>
            </w:r>
          </w:p>
          <w:p w14:paraId="4FFCB781" w14:textId="50B7402A" w:rsidR="00FF488E" w:rsidRPr="00D83234" w:rsidRDefault="007218FE" w:rsidP="00F73777">
            <w:pPr>
              <w:spacing w:before="120" w:after="120"/>
            </w:pPr>
            <w:r>
              <w:t>We acknowledge</w:t>
            </w:r>
            <w:r w:rsidR="00B536CD">
              <w:t xml:space="preserve"> the </w:t>
            </w:r>
            <w:r w:rsidR="00FA07BC">
              <w:t>omissions</w:t>
            </w:r>
            <w:r w:rsidR="00B536CD">
              <w:t xml:space="preserve"> and errors NRW identified in </w:t>
            </w:r>
            <w:r w:rsidR="001678C6">
              <w:t>EDF’s</w:t>
            </w:r>
            <w:r w:rsidR="00FA07BC">
              <w:t xml:space="preserve"> shadow HRA report but</w:t>
            </w:r>
            <w:r>
              <w:t xml:space="preserve"> </w:t>
            </w:r>
            <w:r w:rsidR="00FA07BC">
              <w:t>w</w:t>
            </w:r>
            <w:r w:rsidR="00F73777">
              <w:t xml:space="preserve">e did not consider </w:t>
            </w:r>
            <w:r w:rsidR="00FA07BC">
              <w:t>them</w:t>
            </w:r>
            <w:r w:rsidR="00F73777">
              <w:t xml:space="preserve"> to impact the outcome of the HRA, therefore we did not require those to be rectified.</w:t>
            </w:r>
          </w:p>
        </w:tc>
      </w:tr>
      <w:tr w:rsidR="008C044D" w:rsidRPr="00D365AD" w14:paraId="4392E2AE" w14:textId="77777777" w:rsidTr="001B670E">
        <w:trPr>
          <w:trHeight w:hRule="exact" w:val="709"/>
          <w:tblHeader/>
        </w:trPr>
        <w:tc>
          <w:tcPr>
            <w:tcW w:w="9889" w:type="dxa"/>
            <w:gridSpan w:val="4"/>
            <w:shd w:val="clear" w:color="auto" w:fill="22413A"/>
            <w:vAlign w:val="center"/>
          </w:tcPr>
          <w:p w14:paraId="1AC2F08C" w14:textId="77777777" w:rsidR="008C044D" w:rsidRPr="00D365AD" w:rsidRDefault="008C044D" w:rsidP="001B670E">
            <w:pPr>
              <w:pStyle w:val="Heading1"/>
              <w:spacing w:before="120" w:after="120"/>
              <w:rPr>
                <w:b/>
                <w:bCs/>
                <w:color w:val="FFFFFF" w:themeColor="background1"/>
                <w:sz w:val="40"/>
                <w:szCs w:val="40"/>
                <w:lang w:val="nb-NO"/>
              </w:rPr>
            </w:pPr>
            <w:bookmarkStart w:id="12" w:name="_Toc208410845"/>
            <w:r>
              <w:rPr>
                <w:color w:val="FFFFFF" w:themeColor="background1"/>
                <w:sz w:val="40"/>
                <w:szCs w:val="40"/>
                <w:lang w:val="nb-NO"/>
              </w:rPr>
              <w:t>Nuleaf</w:t>
            </w:r>
            <w:bookmarkEnd w:id="12"/>
            <w:r>
              <w:rPr>
                <w:color w:val="FFFFFF" w:themeColor="background1"/>
                <w:sz w:val="40"/>
                <w:szCs w:val="40"/>
                <w:lang w:val="nb-NO"/>
              </w:rPr>
              <w:t xml:space="preserve"> </w:t>
            </w:r>
          </w:p>
        </w:tc>
      </w:tr>
      <w:tr w:rsidR="008C044D" w:rsidRPr="00252B8A" w14:paraId="5E689A0E" w14:textId="77777777" w:rsidTr="001B670E">
        <w:trPr>
          <w:trHeight w:val="567"/>
          <w:tblHeader/>
        </w:trPr>
        <w:tc>
          <w:tcPr>
            <w:tcW w:w="9889" w:type="dxa"/>
            <w:gridSpan w:val="4"/>
            <w:shd w:val="clear" w:color="auto" w:fill="E8F3DA" w:themeFill="accent4" w:themeFillTint="33"/>
            <w:vAlign w:val="center"/>
          </w:tcPr>
          <w:p w14:paraId="750F1369" w14:textId="716353AD" w:rsidR="008C044D" w:rsidRPr="00252B8A" w:rsidRDefault="008C044D" w:rsidP="001B670E">
            <w:pPr>
              <w:spacing w:after="0"/>
              <w:rPr>
                <w:color w:val="22413A"/>
              </w:rPr>
            </w:pPr>
            <w:r w:rsidRPr="00252B8A">
              <w:rPr>
                <w:color w:val="22413A"/>
              </w:rPr>
              <w:t>Consultation comment</w:t>
            </w:r>
          </w:p>
        </w:tc>
      </w:tr>
      <w:tr w:rsidR="008C044D" w:rsidRPr="00605767" w14:paraId="0A84378D" w14:textId="77777777" w:rsidTr="009002A1">
        <w:tc>
          <w:tcPr>
            <w:tcW w:w="817" w:type="dxa"/>
          </w:tcPr>
          <w:p w14:paraId="6DEAEF1D" w14:textId="77777777" w:rsidR="008C044D" w:rsidRDefault="008C044D" w:rsidP="001B670E">
            <w:pPr>
              <w:spacing w:before="120"/>
            </w:pPr>
          </w:p>
        </w:tc>
        <w:tc>
          <w:tcPr>
            <w:tcW w:w="9072" w:type="dxa"/>
            <w:gridSpan w:val="3"/>
          </w:tcPr>
          <w:p w14:paraId="6E0DCE4C" w14:textId="0D29B6B8" w:rsidR="00B171DD" w:rsidRDefault="00D55D79" w:rsidP="00B171DD">
            <w:pPr>
              <w:spacing w:before="120" w:after="120"/>
            </w:pPr>
            <w:r>
              <w:t>“</w:t>
            </w:r>
            <w:r w:rsidR="00B171DD" w:rsidRPr="00B171DD">
              <w:t xml:space="preserve">From a local government perspective, we believe the following are of critical importance for the EIADR and for the process of decommissioning and remediating the Hinkley B site and delivering the final Site End State: </w:t>
            </w:r>
          </w:p>
          <w:p w14:paraId="3296723E" w14:textId="77777777" w:rsidR="00B171DD" w:rsidRDefault="00B171DD" w:rsidP="005E60D5">
            <w:pPr>
              <w:pStyle w:val="ListParagraph"/>
              <w:numPr>
                <w:ilvl w:val="0"/>
                <w:numId w:val="45"/>
              </w:numPr>
              <w:spacing w:before="120" w:after="120"/>
            </w:pPr>
            <w:r w:rsidRPr="00B171DD">
              <w:t xml:space="preserve">Effective working between EDF and NRS to ensure a seamless transition of the site to the decommissioning phase of operations. </w:t>
            </w:r>
          </w:p>
          <w:p w14:paraId="21849577" w14:textId="77777777" w:rsidR="00B171DD" w:rsidRDefault="00B171DD" w:rsidP="005E60D5">
            <w:pPr>
              <w:pStyle w:val="ListParagraph"/>
              <w:numPr>
                <w:ilvl w:val="0"/>
                <w:numId w:val="45"/>
              </w:numPr>
              <w:spacing w:before="120" w:after="120"/>
            </w:pPr>
            <w:r w:rsidRPr="00B171DD">
              <w:t xml:space="preserve">Integration of A and B site management where of benefit, for example in terms of waste management and storage. </w:t>
            </w:r>
          </w:p>
          <w:p w14:paraId="362A6370" w14:textId="77777777" w:rsidR="00B171DD" w:rsidRDefault="00B171DD" w:rsidP="005E60D5">
            <w:pPr>
              <w:pStyle w:val="ListParagraph"/>
              <w:numPr>
                <w:ilvl w:val="0"/>
                <w:numId w:val="45"/>
              </w:numPr>
              <w:spacing w:before="120" w:after="120"/>
            </w:pPr>
            <w:r w:rsidRPr="00B171DD">
              <w:t xml:space="preserve">Close liaison with Somerset Council to ensure that all activity on the site is aligned with Council land use and waste planning policies; and with wider policy around socio-economics and sustainable development. </w:t>
            </w:r>
          </w:p>
          <w:p w14:paraId="511EEA3D" w14:textId="0D44AA19" w:rsidR="00B171DD" w:rsidRDefault="00B171DD" w:rsidP="005E60D5">
            <w:pPr>
              <w:pStyle w:val="ListParagraph"/>
              <w:numPr>
                <w:ilvl w:val="0"/>
                <w:numId w:val="45"/>
              </w:numPr>
              <w:spacing w:before="120" w:after="120"/>
            </w:pPr>
            <w:r w:rsidRPr="00B171DD">
              <w:t>Engagement of local authority and community through direct work with the Council and work with the Site Stakeholder Group (SSG)</w:t>
            </w:r>
            <w:r w:rsidR="008E37CA">
              <w:t>.</w:t>
            </w:r>
            <w:r w:rsidRPr="00B171DD">
              <w:t xml:space="preserve"> </w:t>
            </w:r>
          </w:p>
          <w:p w14:paraId="4C2B422A" w14:textId="77777777" w:rsidR="00B171DD" w:rsidRDefault="00B171DD" w:rsidP="005E60D5">
            <w:pPr>
              <w:pStyle w:val="ListParagraph"/>
              <w:numPr>
                <w:ilvl w:val="0"/>
                <w:numId w:val="45"/>
              </w:numPr>
              <w:spacing w:before="120" w:after="120"/>
            </w:pPr>
            <w:r w:rsidRPr="00B171DD">
              <w:t xml:space="preserve">Management of waste arisings in the most sustainable ways possible through application of the waste hierarchy and circular economy principles. </w:t>
            </w:r>
          </w:p>
          <w:p w14:paraId="68E4182E" w14:textId="5AC17ED3" w:rsidR="008C044D" w:rsidRPr="00605767" w:rsidRDefault="00B171DD" w:rsidP="005E60D5">
            <w:pPr>
              <w:pStyle w:val="ListParagraph"/>
              <w:numPr>
                <w:ilvl w:val="0"/>
                <w:numId w:val="45"/>
              </w:numPr>
              <w:spacing w:before="120" w:after="120"/>
            </w:pPr>
            <w:r w:rsidRPr="00B171DD">
              <w:t>Minimising carbon emissions and delivering the best environmental outcomes in terms of issues including biodiversity, transport and noise.</w:t>
            </w:r>
          </w:p>
          <w:p w14:paraId="102293DF" w14:textId="77777777" w:rsidR="00CE7354" w:rsidRPr="00CE7354" w:rsidRDefault="00CE7354" w:rsidP="00CE7354">
            <w:pPr>
              <w:spacing w:before="120" w:after="120"/>
            </w:pPr>
            <w:r w:rsidRPr="00CE7354">
              <w:t>We offer comment on two issues:</w:t>
            </w:r>
          </w:p>
          <w:p w14:paraId="7877CF25" w14:textId="643C5009" w:rsidR="008C044D" w:rsidRPr="00CE7354" w:rsidRDefault="00CE7354" w:rsidP="00CE7354">
            <w:pPr>
              <w:spacing w:before="120" w:after="120"/>
              <w:rPr>
                <w:b/>
                <w:bCs/>
              </w:rPr>
            </w:pPr>
            <w:r w:rsidRPr="00CE7354">
              <w:rPr>
                <w:b/>
                <w:bCs/>
              </w:rPr>
              <w:t>Waste Planning</w:t>
            </w:r>
          </w:p>
          <w:p w14:paraId="64E6EEC5" w14:textId="3A2C1D9F" w:rsidR="00B9045F" w:rsidRDefault="00B9045F" w:rsidP="00B9045F">
            <w:pPr>
              <w:spacing w:before="120" w:after="120"/>
            </w:pPr>
            <w:r w:rsidRPr="00B9045F">
              <w:t>Nuleaf, working through our RWPG, continues to advocate close working between Waste Planning Authorities and site operators to ensure that proposed actions on a site are aligned with planning policies. We are pleased that Somerset Council consider the proposed principles align with local plan</w:t>
            </w:r>
            <w:r w:rsidR="001C1AD0">
              <w:t>ning</w:t>
            </w:r>
            <w:r w:rsidRPr="00B9045F">
              <w:t xml:space="preserve"> policy and also take into account wider principles of sustainable waste management. </w:t>
            </w:r>
          </w:p>
          <w:p w14:paraId="40615C4F" w14:textId="77777777" w:rsidR="009C0BA8" w:rsidRDefault="00B9045F" w:rsidP="009C0BA8">
            <w:pPr>
              <w:spacing w:before="120" w:after="120"/>
            </w:pPr>
            <w:r w:rsidRPr="00B9045F">
              <w:lastRenderedPageBreak/>
              <w:t>It is important that there is active engagement by site operators in the preparation of future Local Plans and Waste Plans to ensure that this alignment continues. It is also important that the operator takes into account Somerset Council policy, for example the Somerset Economic Strategy, as it</w:t>
            </w:r>
            <w:r w:rsidR="009A4BEB">
              <w:t xml:space="preserve"> develops its proposal for the site end state and considers any opportunities</w:t>
            </w:r>
            <w:r w:rsidR="009C0BA8">
              <w:t xml:space="preserve"> </w:t>
            </w:r>
            <w:r w:rsidR="009A4BEB">
              <w:t>for the interim use of land.</w:t>
            </w:r>
            <w:r w:rsidR="009C0BA8">
              <w:t xml:space="preserve"> </w:t>
            </w:r>
          </w:p>
          <w:p w14:paraId="77A8FEA6" w14:textId="77777777" w:rsidR="00CE7354" w:rsidRDefault="009A4BEB" w:rsidP="001D31C3">
            <w:pPr>
              <w:spacing w:before="120" w:after="120"/>
            </w:pPr>
            <w:r>
              <w:t>Finally, we are strong advocates for the development of a Masterplan for site</w:t>
            </w:r>
            <w:r w:rsidR="009C0BA8">
              <w:t xml:space="preserve"> </w:t>
            </w:r>
            <w:r>
              <w:t>under decommissioning, as has been done at Winfrith. Ideally this Masterplan would cover both the A and B sites and also take into consideration operations at the C site. Other tools such as Planning Performance Agreements (PPAs) may also be appropriate.</w:t>
            </w:r>
            <w:r w:rsidR="001D31C3">
              <w:t xml:space="preserve"> </w:t>
            </w:r>
          </w:p>
          <w:p w14:paraId="2051096C" w14:textId="77777777" w:rsidR="00CE7354" w:rsidRPr="00CE7354" w:rsidRDefault="009A4BEB" w:rsidP="001D31C3">
            <w:pPr>
              <w:spacing w:before="120" w:after="120"/>
              <w:rPr>
                <w:b/>
                <w:bCs/>
              </w:rPr>
            </w:pPr>
            <w:r w:rsidRPr="00CE7354">
              <w:rPr>
                <w:b/>
                <w:bCs/>
              </w:rPr>
              <w:t>Stakeholder and community engagement</w:t>
            </w:r>
          </w:p>
          <w:p w14:paraId="1180853D" w14:textId="3C634EEF" w:rsidR="00B9045F" w:rsidRPr="00605767" w:rsidRDefault="009A4BEB" w:rsidP="001D31C3">
            <w:pPr>
              <w:spacing w:before="120" w:after="120"/>
            </w:pPr>
            <w:r>
              <w:t>We note that the SSG will be used to provide updates to the local community,</w:t>
            </w:r>
            <w:r w:rsidR="001D31C3">
              <w:t xml:space="preserve"> </w:t>
            </w:r>
            <w:r>
              <w:t>something we welcome. We believe however that the SSG is not the appropriate vehicle for engagement with local authorities, and therefore SSG engagement should run in parallel with direct dialogue with the local authority.</w:t>
            </w:r>
            <w:r w:rsidR="00D55D79">
              <w:t>”</w:t>
            </w:r>
          </w:p>
        </w:tc>
      </w:tr>
      <w:tr w:rsidR="008C044D" w:rsidRPr="00252B8A" w14:paraId="62F21C18" w14:textId="77777777" w:rsidTr="001B670E">
        <w:trPr>
          <w:trHeight w:val="567"/>
        </w:trPr>
        <w:tc>
          <w:tcPr>
            <w:tcW w:w="9889" w:type="dxa"/>
            <w:gridSpan w:val="4"/>
            <w:shd w:val="clear" w:color="auto" w:fill="E8F3DA" w:themeFill="accent4" w:themeFillTint="33"/>
            <w:vAlign w:val="center"/>
          </w:tcPr>
          <w:p w14:paraId="0D53CD27" w14:textId="77777777" w:rsidR="008C044D" w:rsidRPr="00252B8A" w:rsidRDefault="008C044D" w:rsidP="001B670E">
            <w:pPr>
              <w:spacing w:after="0"/>
            </w:pPr>
            <w:r w:rsidRPr="00252B8A">
              <w:rPr>
                <w:color w:val="22413A"/>
              </w:rPr>
              <w:lastRenderedPageBreak/>
              <w:t>ONR’s response</w:t>
            </w:r>
          </w:p>
        </w:tc>
      </w:tr>
      <w:tr w:rsidR="008C044D" w:rsidRPr="00814A0E" w14:paraId="70D54A70" w14:textId="77777777" w:rsidTr="009002A1">
        <w:tc>
          <w:tcPr>
            <w:tcW w:w="817" w:type="dxa"/>
          </w:tcPr>
          <w:p w14:paraId="7D2CB721" w14:textId="77777777" w:rsidR="008C044D" w:rsidRDefault="008C044D" w:rsidP="001B670E">
            <w:pPr>
              <w:spacing w:before="120"/>
              <w:jc w:val="center"/>
            </w:pPr>
          </w:p>
        </w:tc>
        <w:tc>
          <w:tcPr>
            <w:tcW w:w="9072" w:type="dxa"/>
            <w:gridSpan w:val="3"/>
          </w:tcPr>
          <w:p w14:paraId="50EEB830" w14:textId="79EE004C" w:rsidR="008C044D" w:rsidRDefault="00766B54" w:rsidP="001B670E">
            <w:pPr>
              <w:spacing w:before="120" w:after="120"/>
            </w:pPr>
            <w:r>
              <w:t>T</w:t>
            </w:r>
            <w:r w:rsidR="00953A2F">
              <w:t>ho</w:t>
            </w:r>
            <w:r>
              <w:t xml:space="preserve">ugh not within the </w:t>
            </w:r>
            <w:r w:rsidR="001F137E">
              <w:t>scope</w:t>
            </w:r>
            <w:r>
              <w:t xml:space="preserve"> of EIADR, ONR </w:t>
            </w:r>
            <w:r w:rsidR="00222101">
              <w:t xml:space="preserve">has independent oversight of the </w:t>
            </w:r>
            <w:r w:rsidR="009677C8">
              <w:t>transfer</w:t>
            </w:r>
            <w:r w:rsidR="00222101">
              <w:t xml:space="preserve"> of</w:t>
            </w:r>
            <w:r w:rsidR="00383B82">
              <w:t xml:space="preserve"> </w:t>
            </w:r>
            <w:r w:rsidR="009677C8">
              <w:t>HPB</w:t>
            </w:r>
            <w:r w:rsidR="00383B82">
              <w:t xml:space="preserve"> from EDF to NRS</w:t>
            </w:r>
            <w:r w:rsidR="00551B9B">
              <w:t xml:space="preserve"> </w:t>
            </w:r>
            <w:r w:rsidR="00DB214D">
              <w:t>through</w:t>
            </w:r>
            <w:r w:rsidR="00222E14">
              <w:t xml:space="preserve"> other</w:t>
            </w:r>
            <w:r w:rsidR="00551B9B">
              <w:t xml:space="preserve"> ongoing regulatory activities</w:t>
            </w:r>
            <w:r w:rsidR="00D07083">
              <w:t xml:space="preserve">. </w:t>
            </w:r>
            <w:r w:rsidR="00C201AD">
              <w:t>Before the site can be relicensed to NRS,</w:t>
            </w:r>
            <w:r w:rsidR="00D07083">
              <w:t xml:space="preserve"> ONR must be satisfied that</w:t>
            </w:r>
            <w:r w:rsidR="0067122B">
              <w:t xml:space="preserve"> NRS has </w:t>
            </w:r>
            <w:r w:rsidR="00037A97">
              <w:t xml:space="preserve">met all the requirements of the </w:t>
            </w:r>
            <w:r w:rsidR="00C201AD">
              <w:t>Nuclear Site Licensing regime.</w:t>
            </w:r>
          </w:p>
          <w:p w14:paraId="2F2EAACA" w14:textId="68E1EB4A" w:rsidR="00C00114" w:rsidRDefault="00C00114" w:rsidP="001B670E">
            <w:pPr>
              <w:spacing w:before="120" w:after="120"/>
            </w:pPr>
            <w:r>
              <w:t xml:space="preserve">We understand that the licensee </w:t>
            </w:r>
            <w:r w:rsidR="000A63B9">
              <w:t>has</w:t>
            </w:r>
            <w:r>
              <w:t xml:space="preserve"> regular </w:t>
            </w:r>
            <w:r w:rsidR="00A84BA9">
              <w:t>engagement with</w:t>
            </w:r>
            <w:r w:rsidR="0004551E">
              <w:t xml:space="preserve"> local authorities</w:t>
            </w:r>
            <w:r w:rsidR="0009125F">
              <w:t>, either via</w:t>
            </w:r>
            <w:r w:rsidR="00A84BA9">
              <w:t xml:space="preserve"> </w:t>
            </w:r>
            <w:r w:rsidR="0009125F">
              <w:t>the SSG or direct</w:t>
            </w:r>
            <w:r w:rsidR="00ED3A27">
              <w:t>ly</w:t>
            </w:r>
            <w:r w:rsidR="0009125F">
              <w:t xml:space="preserve">. </w:t>
            </w:r>
            <w:r w:rsidR="003D6064">
              <w:t xml:space="preserve">We </w:t>
            </w:r>
            <w:r w:rsidR="007862F3">
              <w:t>reco</w:t>
            </w:r>
            <w:r w:rsidR="009276CD">
              <w:t xml:space="preserve">gnise the importance of </w:t>
            </w:r>
            <w:r w:rsidR="007B66D8">
              <w:t>those</w:t>
            </w:r>
            <w:r w:rsidR="00C254E0">
              <w:t xml:space="preserve"> </w:t>
            </w:r>
            <w:r w:rsidR="009276CD">
              <w:t>e</w:t>
            </w:r>
            <w:r w:rsidR="00C254E0">
              <w:t xml:space="preserve">ngagements </w:t>
            </w:r>
            <w:r w:rsidR="009276CD">
              <w:t xml:space="preserve">and encourage the licensee to maintain its engagement in them so that </w:t>
            </w:r>
            <w:r w:rsidR="007B66D8">
              <w:t>the</w:t>
            </w:r>
            <w:r w:rsidR="005F0E13">
              <w:t xml:space="preserve"> </w:t>
            </w:r>
            <w:r w:rsidR="00415818">
              <w:t>views</w:t>
            </w:r>
            <w:r w:rsidR="005F0E13">
              <w:t xml:space="preserve"> of</w:t>
            </w:r>
            <w:r w:rsidR="002A453E">
              <w:t xml:space="preserve"> </w:t>
            </w:r>
            <w:r w:rsidR="00415818">
              <w:t>interested</w:t>
            </w:r>
            <w:r w:rsidR="002A453E">
              <w:t xml:space="preserve"> parties, including Nuleaf, are considered.</w:t>
            </w:r>
          </w:p>
          <w:p w14:paraId="377A7B34" w14:textId="460EF09B" w:rsidR="002A453E" w:rsidRPr="00814A0E" w:rsidRDefault="00CD4B42" w:rsidP="00532C02">
            <w:pPr>
              <w:spacing w:before="120" w:after="120"/>
            </w:pPr>
            <w:r>
              <w:t xml:space="preserve">EIADR does not require the licensee to provide a Masterplan, however, </w:t>
            </w:r>
            <w:r w:rsidR="00E929FA">
              <w:t>the EIADR consent conditions do require the licensee to submit an annual Environmental Management Plan (EMP)</w:t>
            </w:r>
            <w:r w:rsidR="00FA4E0B">
              <w:t xml:space="preserve"> which </w:t>
            </w:r>
            <w:r w:rsidR="007E7B59" w:rsidRPr="007E7B59">
              <w:t>identifies mitigation measures, describes the</w:t>
            </w:r>
            <w:r w:rsidR="007E7B59">
              <w:t>ir</w:t>
            </w:r>
            <w:r w:rsidR="007E7B59" w:rsidRPr="007E7B59">
              <w:t xml:space="preserve"> implementation and effectiveness, and </w:t>
            </w:r>
            <w:r w:rsidR="007E7B59">
              <w:t>any changes to them.</w:t>
            </w:r>
            <w:r w:rsidR="00F3529E">
              <w:t xml:space="preserve"> We </w:t>
            </w:r>
            <w:r w:rsidR="00864535">
              <w:t>recognise</w:t>
            </w:r>
            <w:r w:rsidR="00F3529E">
              <w:t xml:space="preserve"> the value of a Masterplan</w:t>
            </w:r>
            <w:r w:rsidR="00864535">
              <w:t xml:space="preserve"> and expect </w:t>
            </w:r>
            <w:r w:rsidR="007E3B1A">
              <w:t xml:space="preserve">such a plan </w:t>
            </w:r>
            <w:r w:rsidR="00915302">
              <w:t>can</w:t>
            </w:r>
            <w:r w:rsidR="007E3B1A">
              <w:t xml:space="preserve"> be discussed between the licensee and the local authority. </w:t>
            </w:r>
            <w:r w:rsidR="00864535">
              <w:t xml:space="preserve"> </w:t>
            </w:r>
          </w:p>
        </w:tc>
      </w:tr>
      <w:tr w:rsidR="00F433BC" w:rsidRPr="00D365AD" w14:paraId="68BC68D1" w14:textId="77777777" w:rsidTr="00F433BC">
        <w:trPr>
          <w:trHeight w:hRule="exact" w:val="709"/>
          <w:tblHeader/>
        </w:trPr>
        <w:tc>
          <w:tcPr>
            <w:tcW w:w="9889" w:type="dxa"/>
            <w:gridSpan w:val="4"/>
            <w:shd w:val="clear" w:color="auto" w:fill="22413A"/>
            <w:vAlign w:val="center"/>
          </w:tcPr>
          <w:p w14:paraId="5F876862" w14:textId="61F1DCD9" w:rsidR="00F433BC" w:rsidRPr="00D365AD" w:rsidRDefault="008C044D" w:rsidP="00F433BC">
            <w:pPr>
              <w:pStyle w:val="Heading1"/>
              <w:spacing w:before="120" w:after="120"/>
              <w:rPr>
                <w:b/>
                <w:bCs/>
                <w:color w:val="FFFFFF" w:themeColor="background1"/>
                <w:sz w:val="40"/>
                <w:szCs w:val="40"/>
                <w:lang w:val="nb-NO"/>
              </w:rPr>
            </w:pPr>
            <w:bookmarkStart w:id="13" w:name="_Toc208410846"/>
            <w:r>
              <w:rPr>
                <w:color w:val="FFFFFF" w:themeColor="background1"/>
                <w:sz w:val="40"/>
                <w:szCs w:val="40"/>
                <w:lang w:val="nb-NO"/>
              </w:rPr>
              <w:t>Somerset Council</w:t>
            </w:r>
            <w:bookmarkEnd w:id="13"/>
          </w:p>
        </w:tc>
      </w:tr>
      <w:tr w:rsidR="009D39A1" w:rsidRPr="00252B8A" w14:paraId="17E78489" w14:textId="77777777" w:rsidTr="00DE3931">
        <w:trPr>
          <w:trHeight w:val="567"/>
          <w:tblHeader/>
        </w:trPr>
        <w:tc>
          <w:tcPr>
            <w:tcW w:w="9889" w:type="dxa"/>
            <w:gridSpan w:val="4"/>
            <w:shd w:val="clear" w:color="auto" w:fill="E8F3DA" w:themeFill="accent4" w:themeFillTint="33"/>
            <w:vAlign w:val="center"/>
          </w:tcPr>
          <w:p w14:paraId="67648FA4" w14:textId="77777777" w:rsidR="009D39A1" w:rsidRPr="00252B8A" w:rsidRDefault="009D39A1" w:rsidP="00DE3931">
            <w:pPr>
              <w:spacing w:after="0"/>
              <w:rPr>
                <w:color w:val="22413A"/>
              </w:rPr>
            </w:pPr>
            <w:r w:rsidRPr="00252B8A">
              <w:rPr>
                <w:color w:val="22413A"/>
              </w:rPr>
              <w:t>Consultation comment</w:t>
            </w:r>
          </w:p>
        </w:tc>
      </w:tr>
      <w:tr w:rsidR="00DC7AA3" w:rsidRPr="00605767" w14:paraId="42E5B76C" w14:textId="77777777" w:rsidTr="009002A1">
        <w:trPr>
          <w:gridAfter w:val="2"/>
          <w:wAfter w:w="954" w:type="dxa"/>
        </w:trPr>
        <w:tc>
          <w:tcPr>
            <w:tcW w:w="817" w:type="dxa"/>
          </w:tcPr>
          <w:p w14:paraId="4940E78B" w14:textId="77777777" w:rsidR="00DC7AA3" w:rsidRPr="00605767" w:rsidRDefault="00DC7AA3" w:rsidP="00DE3931">
            <w:pPr>
              <w:spacing w:before="120" w:after="120"/>
            </w:pPr>
          </w:p>
        </w:tc>
        <w:tc>
          <w:tcPr>
            <w:tcW w:w="8118" w:type="dxa"/>
          </w:tcPr>
          <w:p w14:paraId="3C679B41" w14:textId="2D20D4C2" w:rsidR="00A774C2" w:rsidRDefault="00A774C2" w:rsidP="00A774C2">
            <w:pPr>
              <w:spacing w:before="120" w:after="120"/>
            </w:pPr>
            <w:r>
              <w:t>“</w:t>
            </w:r>
            <w:r w:rsidRPr="00A774C2">
              <w:t xml:space="preserve">It is advised that </w:t>
            </w:r>
            <w:r w:rsidR="008843DC">
              <w:t xml:space="preserve">the </w:t>
            </w:r>
            <w:r w:rsidRPr="00A774C2">
              <w:t xml:space="preserve">formal EMP clearly sets out in what way the measures are “embedded” and the process that would be required and who will be consulted in the event that the applicant needs to vary those embedded measures. </w:t>
            </w:r>
          </w:p>
          <w:p w14:paraId="709495C0" w14:textId="77777777" w:rsidR="00A774C2" w:rsidRDefault="00A774C2" w:rsidP="00A774C2">
            <w:pPr>
              <w:spacing w:before="120" w:after="120"/>
            </w:pPr>
            <w:r w:rsidRPr="00A774C2">
              <w:t xml:space="preserve">In addition, whilst it is presumed that it will be the ONR who will monitor the implementation of the formal EMP, it is considered that the formal EMP should clearly set out who will be responsible for monitoring the mitigation measures and also outline other relevant stakeholders that would require consultation in the event of amendment. </w:t>
            </w:r>
          </w:p>
          <w:p w14:paraId="14169F30" w14:textId="0C13D9BB" w:rsidR="00DC7AA3" w:rsidRPr="00605767" w:rsidRDefault="00A774C2" w:rsidP="00A774C2">
            <w:pPr>
              <w:spacing w:before="120" w:after="120"/>
            </w:pPr>
            <w:r w:rsidRPr="00A774C2">
              <w:lastRenderedPageBreak/>
              <w:t>We request that Somerset Council are consulted on the formal EMP and any future amendments.</w:t>
            </w:r>
            <w:r>
              <w:t>”</w:t>
            </w:r>
          </w:p>
        </w:tc>
      </w:tr>
      <w:tr w:rsidR="009D39A1" w:rsidRPr="00252B8A" w14:paraId="6DA2C4F7" w14:textId="77777777" w:rsidTr="00DE3931">
        <w:trPr>
          <w:trHeight w:val="567"/>
        </w:trPr>
        <w:tc>
          <w:tcPr>
            <w:tcW w:w="9889" w:type="dxa"/>
            <w:gridSpan w:val="4"/>
            <w:shd w:val="clear" w:color="auto" w:fill="E8F3DA" w:themeFill="accent4" w:themeFillTint="33"/>
            <w:vAlign w:val="center"/>
          </w:tcPr>
          <w:p w14:paraId="01BA92EA" w14:textId="77777777" w:rsidR="009D39A1" w:rsidRPr="00252B8A" w:rsidRDefault="009D39A1" w:rsidP="00DE3931">
            <w:pPr>
              <w:spacing w:after="0"/>
            </w:pPr>
            <w:r w:rsidRPr="00252B8A">
              <w:rPr>
                <w:color w:val="22413A"/>
              </w:rPr>
              <w:lastRenderedPageBreak/>
              <w:t>ONR’s response</w:t>
            </w:r>
          </w:p>
        </w:tc>
      </w:tr>
      <w:tr w:rsidR="00D1628F" w:rsidRPr="00814A0E" w14:paraId="62AFC71F" w14:textId="77777777" w:rsidTr="009002A1">
        <w:trPr>
          <w:gridAfter w:val="2"/>
          <w:wAfter w:w="954" w:type="dxa"/>
        </w:trPr>
        <w:tc>
          <w:tcPr>
            <w:tcW w:w="817" w:type="dxa"/>
          </w:tcPr>
          <w:p w14:paraId="73CB751C" w14:textId="2CDEFCE5" w:rsidR="00D1628F" w:rsidRPr="00814A0E" w:rsidRDefault="00D1628F" w:rsidP="00DE3931">
            <w:pPr>
              <w:spacing w:before="120" w:after="120"/>
            </w:pPr>
          </w:p>
        </w:tc>
        <w:tc>
          <w:tcPr>
            <w:tcW w:w="8118" w:type="dxa"/>
          </w:tcPr>
          <w:p w14:paraId="186B2D26" w14:textId="4B07541F" w:rsidR="00D1628F" w:rsidRPr="00814A0E" w:rsidRDefault="00D1628F" w:rsidP="00DE3931">
            <w:pPr>
              <w:spacing w:before="120" w:after="120"/>
            </w:pPr>
            <w:r>
              <w:t xml:space="preserve">Whilst the EIADR consent conditions do not require the licensee to undertake formal consultation on the EMP, the licensee will be required to make the EMP available to the public within 30 days of it being sent to ONR. We encourage the licensee and the Council to engage in discussions </w:t>
            </w:r>
            <w:r w:rsidR="006C6F69">
              <w:t xml:space="preserve">with each other </w:t>
            </w:r>
            <w:r>
              <w:t xml:space="preserve">to allow the opportunity for the Council’s view to be understood.  </w:t>
            </w:r>
          </w:p>
        </w:tc>
      </w:tr>
      <w:tr w:rsidR="00392CA5" w:rsidRPr="00252B8A" w14:paraId="52D31F38" w14:textId="77777777" w:rsidTr="000B2ED0">
        <w:trPr>
          <w:trHeight w:val="567"/>
          <w:tblHeader/>
        </w:trPr>
        <w:tc>
          <w:tcPr>
            <w:tcW w:w="9889" w:type="dxa"/>
            <w:gridSpan w:val="4"/>
            <w:shd w:val="clear" w:color="auto" w:fill="E8F3DA" w:themeFill="accent4" w:themeFillTint="33"/>
            <w:vAlign w:val="center"/>
          </w:tcPr>
          <w:p w14:paraId="66CFF411" w14:textId="77777777" w:rsidR="00392CA5" w:rsidRPr="00252B8A" w:rsidRDefault="00392CA5" w:rsidP="000B2ED0">
            <w:pPr>
              <w:spacing w:after="0"/>
              <w:rPr>
                <w:color w:val="22413A"/>
              </w:rPr>
            </w:pPr>
            <w:r w:rsidRPr="00252B8A">
              <w:rPr>
                <w:color w:val="22413A"/>
              </w:rPr>
              <w:t>Consultation comment</w:t>
            </w:r>
          </w:p>
        </w:tc>
      </w:tr>
      <w:tr w:rsidR="00174A0C" w:rsidRPr="00605767" w14:paraId="6AC8370F" w14:textId="77777777" w:rsidTr="00174A0C">
        <w:trPr>
          <w:gridAfter w:val="2"/>
          <w:wAfter w:w="954" w:type="dxa"/>
        </w:trPr>
        <w:tc>
          <w:tcPr>
            <w:tcW w:w="817" w:type="dxa"/>
          </w:tcPr>
          <w:p w14:paraId="642ED037" w14:textId="490DCA56" w:rsidR="00174A0C" w:rsidRPr="00605767" w:rsidRDefault="00174A0C" w:rsidP="00F763AC">
            <w:pPr>
              <w:spacing w:before="120" w:after="120"/>
            </w:pPr>
          </w:p>
        </w:tc>
        <w:tc>
          <w:tcPr>
            <w:tcW w:w="8118" w:type="dxa"/>
          </w:tcPr>
          <w:p w14:paraId="20BF6D13" w14:textId="311822E7" w:rsidR="00174A0C" w:rsidRPr="00605767" w:rsidRDefault="00174A0C" w:rsidP="000B2ED0">
            <w:pPr>
              <w:spacing w:before="120" w:after="120"/>
            </w:pPr>
            <w:r>
              <w:t>“</w:t>
            </w:r>
            <w:r w:rsidRPr="00392CA5">
              <w:t>The consultation documents lack sufficient detail to make informed comments about the impact that the decommissioning work will potentially have on vulnerable users of the path</w:t>
            </w:r>
            <w:r>
              <w:t xml:space="preserve"> [</w:t>
            </w:r>
            <w:r w:rsidRPr="00F763AC">
              <w:t>King Charles III England Coast Path</w:t>
            </w:r>
            <w:r>
              <w:t>]</w:t>
            </w:r>
            <w:r w:rsidRPr="00392CA5">
              <w:t xml:space="preserve"> and road network. A Construction Management Plan and Travel Plan would assist in providing the detail which is necessary to properly assess the impact and what mitigation may be necessary.</w:t>
            </w:r>
            <w:r>
              <w:t>”</w:t>
            </w:r>
          </w:p>
        </w:tc>
      </w:tr>
      <w:tr w:rsidR="00392CA5" w:rsidRPr="00252B8A" w14:paraId="61DB2161" w14:textId="77777777" w:rsidTr="000B2ED0">
        <w:trPr>
          <w:trHeight w:val="567"/>
        </w:trPr>
        <w:tc>
          <w:tcPr>
            <w:tcW w:w="9889" w:type="dxa"/>
            <w:gridSpan w:val="4"/>
            <w:shd w:val="clear" w:color="auto" w:fill="E8F3DA" w:themeFill="accent4" w:themeFillTint="33"/>
            <w:vAlign w:val="center"/>
          </w:tcPr>
          <w:p w14:paraId="1DF52D64" w14:textId="77777777" w:rsidR="00392CA5" w:rsidRPr="00252B8A" w:rsidRDefault="00392CA5" w:rsidP="000B2ED0">
            <w:pPr>
              <w:spacing w:after="0"/>
            </w:pPr>
            <w:r w:rsidRPr="00252B8A">
              <w:rPr>
                <w:color w:val="22413A"/>
              </w:rPr>
              <w:t>ONR’s response</w:t>
            </w:r>
          </w:p>
        </w:tc>
      </w:tr>
      <w:tr w:rsidR="00174A0C" w:rsidRPr="00814A0E" w14:paraId="423838C1" w14:textId="77777777" w:rsidTr="00174A0C">
        <w:trPr>
          <w:gridAfter w:val="2"/>
          <w:wAfter w:w="954" w:type="dxa"/>
        </w:trPr>
        <w:tc>
          <w:tcPr>
            <w:tcW w:w="817" w:type="dxa"/>
          </w:tcPr>
          <w:p w14:paraId="7AD9A40C" w14:textId="05613663" w:rsidR="00174A0C" w:rsidRPr="00814A0E" w:rsidRDefault="00174A0C" w:rsidP="000B2ED0">
            <w:pPr>
              <w:spacing w:before="120" w:after="120"/>
            </w:pPr>
          </w:p>
        </w:tc>
        <w:tc>
          <w:tcPr>
            <w:tcW w:w="8118" w:type="dxa"/>
          </w:tcPr>
          <w:p w14:paraId="2E9C6E17" w14:textId="0870889C" w:rsidR="00174A0C" w:rsidRPr="00814A0E" w:rsidRDefault="00174A0C" w:rsidP="000B2ED0">
            <w:pPr>
              <w:spacing w:before="120" w:after="120"/>
            </w:pPr>
            <w:r>
              <w:t xml:space="preserve">The </w:t>
            </w:r>
            <w:r w:rsidR="000D4436">
              <w:t>ES</w:t>
            </w:r>
            <w:r>
              <w:t xml:space="preserve"> and EMP include a </w:t>
            </w:r>
            <w:r w:rsidRPr="0095109F">
              <w:t xml:space="preserve">Construction Traffic </w:t>
            </w:r>
            <w:r>
              <w:t>M</w:t>
            </w:r>
            <w:r w:rsidRPr="0095109F">
              <w:t>anagement Plan</w:t>
            </w:r>
            <w:r>
              <w:t xml:space="preserve"> (CTMP) as an embedded measure. An Outline (CTPM) is provided in Appendix 16A of the </w:t>
            </w:r>
            <w:r w:rsidR="000D4436">
              <w:t>ES</w:t>
            </w:r>
            <w:r>
              <w:t>. We considered this in conjunction with the assessment</w:t>
            </w:r>
            <w:r w:rsidR="00AF349B">
              <w:t>s</w:t>
            </w:r>
            <w:r>
              <w:t xml:space="preserve"> presented across the various </w:t>
            </w:r>
            <w:r w:rsidR="00880F44">
              <w:t xml:space="preserve">EIA chapters </w:t>
            </w:r>
            <w:r>
              <w:t>to be acceptable.</w:t>
            </w:r>
          </w:p>
        </w:tc>
      </w:tr>
      <w:tr w:rsidR="00392CA5" w:rsidRPr="00252B8A" w14:paraId="738551E8" w14:textId="77777777" w:rsidTr="000B2ED0">
        <w:trPr>
          <w:trHeight w:val="567"/>
          <w:tblHeader/>
        </w:trPr>
        <w:tc>
          <w:tcPr>
            <w:tcW w:w="9889" w:type="dxa"/>
            <w:gridSpan w:val="4"/>
            <w:shd w:val="clear" w:color="auto" w:fill="E8F3DA" w:themeFill="accent4" w:themeFillTint="33"/>
            <w:vAlign w:val="center"/>
          </w:tcPr>
          <w:p w14:paraId="01E61A23" w14:textId="77777777" w:rsidR="00392CA5" w:rsidRPr="00252B8A" w:rsidRDefault="00392CA5" w:rsidP="000B2ED0">
            <w:pPr>
              <w:spacing w:after="0"/>
              <w:rPr>
                <w:color w:val="22413A"/>
              </w:rPr>
            </w:pPr>
            <w:r w:rsidRPr="00252B8A">
              <w:rPr>
                <w:color w:val="22413A"/>
              </w:rPr>
              <w:t>Consultation comment</w:t>
            </w:r>
          </w:p>
        </w:tc>
      </w:tr>
      <w:tr w:rsidR="009002A1" w:rsidRPr="00605767" w14:paraId="0D2A5F41" w14:textId="77777777" w:rsidTr="009002A1">
        <w:trPr>
          <w:gridAfter w:val="2"/>
          <w:wAfter w:w="954" w:type="dxa"/>
        </w:trPr>
        <w:tc>
          <w:tcPr>
            <w:tcW w:w="817" w:type="dxa"/>
          </w:tcPr>
          <w:p w14:paraId="3F1F73E4" w14:textId="08C2BD65" w:rsidR="009002A1" w:rsidRDefault="009002A1" w:rsidP="009002A1">
            <w:pPr>
              <w:spacing w:before="120" w:after="120"/>
            </w:pPr>
          </w:p>
        </w:tc>
        <w:tc>
          <w:tcPr>
            <w:tcW w:w="8118" w:type="dxa"/>
          </w:tcPr>
          <w:p w14:paraId="35CA1857" w14:textId="77777777" w:rsidR="009002A1" w:rsidRDefault="009002A1" w:rsidP="009002A1">
            <w:pPr>
              <w:spacing w:before="120" w:after="120"/>
            </w:pPr>
            <w:r>
              <w:t>“</w:t>
            </w:r>
            <w:r w:rsidRPr="007641F4">
              <w:t xml:space="preserve">Concern is raised about the lack of detailed consideration of potential impacts on the housing market. With 90% of the current workforce already living locally in permanent housing there ought not to be any significant impacts on the local owner/occupier market from the downsizing of the current workforce. What is less clear is any potential impact on the local rental market from contractors and new employees in the preparation for quiescence phase when considered on a cumulative impact basis with in particular HPC and the Gravity project. </w:t>
            </w:r>
          </w:p>
          <w:p w14:paraId="2D4B64CE" w14:textId="77777777" w:rsidR="009002A1" w:rsidRDefault="009002A1" w:rsidP="009002A1">
            <w:pPr>
              <w:spacing w:before="120" w:after="120"/>
            </w:pPr>
            <w:r w:rsidRPr="007641F4">
              <w:t xml:space="preserve">The consultation document provides no details in respect of impact on the housing rental market. The presence of large numbers of well-paid contractors in the local economy means they can outcompete local people in the rental market which is already experiencing pressure. The applicant is advised to provide an element of modelling of impacts on the rental market, including sensitivity analysis in respect of delayed timelines for HPC. There is the potential for significant impact on the rental market, and knock on effects for the local community in terms of availability and affordability of housing, including risk of homelessness. </w:t>
            </w:r>
          </w:p>
          <w:p w14:paraId="1EFA8E1B" w14:textId="0DEDF254" w:rsidR="00174A0C" w:rsidRPr="00605767" w:rsidRDefault="00174A0C" w:rsidP="00174A0C">
            <w:pPr>
              <w:spacing w:before="120" w:after="120"/>
            </w:pPr>
            <w:r w:rsidRPr="00174A0C">
              <w:t xml:space="preserve">Such impacts are likely to affect the most economically challenged people in the community, notably in Bridgwater. There is also the potential for </w:t>
            </w:r>
            <w:r w:rsidRPr="00174A0C">
              <w:lastRenderedPageBreak/>
              <w:t>landlords to offer substandard accommodation and for overcrowding, with potential negative consequences for physical and mental health. However, it is acknowledged that due to the scale of the decommissioning works, this may only be relevant as an inter-project cumulative impact issue. Nevertheless, it is considered that further consider of this is required by the applicant.</w:t>
            </w:r>
            <w:r>
              <w:t>”</w:t>
            </w:r>
          </w:p>
        </w:tc>
      </w:tr>
      <w:tr w:rsidR="009002A1" w:rsidRPr="00252B8A" w14:paraId="46146BA6" w14:textId="77777777" w:rsidTr="000B2ED0">
        <w:trPr>
          <w:trHeight w:val="567"/>
        </w:trPr>
        <w:tc>
          <w:tcPr>
            <w:tcW w:w="9889" w:type="dxa"/>
            <w:gridSpan w:val="4"/>
            <w:shd w:val="clear" w:color="auto" w:fill="E8F3DA" w:themeFill="accent4" w:themeFillTint="33"/>
            <w:vAlign w:val="center"/>
          </w:tcPr>
          <w:p w14:paraId="2D94F1FE" w14:textId="77777777" w:rsidR="009002A1" w:rsidRPr="00252B8A" w:rsidRDefault="009002A1" w:rsidP="009002A1">
            <w:pPr>
              <w:spacing w:after="0"/>
            </w:pPr>
            <w:r w:rsidRPr="00252B8A">
              <w:rPr>
                <w:color w:val="22413A"/>
              </w:rPr>
              <w:lastRenderedPageBreak/>
              <w:t>ONR’s response</w:t>
            </w:r>
          </w:p>
        </w:tc>
      </w:tr>
      <w:tr w:rsidR="009002A1" w:rsidRPr="00814A0E" w14:paraId="7F64325E" w14:textId="77777777" w:rsidTr="009002A1">
        <w:trPr>
          <w:gridAfter w:val="2"/>
          <w:wAfter w:w="954" w:type="dxa"/>
        </w:trPr>
        <w:tc>
          <w:tcPr>
            <w:tcW w:w="817" w:type="dxa"/>
          </w:tcPr>
          <w:p w14:paraId="54F5E8C4" w14:textId="0052F9D4" w:rsidR="009002A1" w:rsidRPr="00814A0E" w:rsidRDefault="009002A1" w:rsidP="009002A1">
            <w:pPr>
              <w:spacing w:before="120" w:after="120"/>
            </w:pPr>
          </w:p>
        </w:tc>
        <w:tc>
          <w:tcPr>
            <w:tcW w:w="8118" w:type="dxa"/>
          </w:tcPr>
          <w:p w14:paraId="187298FF" w14:textId="4A4B6B97" w:rsidR="009002A1" w:rsidRPr="00814A0E" w:rsidRDefault="009002A1" w:rsidP="009002A1">
            <w:pPr>
              <w:spacing w:before="120" w:after="120"/>
            </w:pPr>
            <w:r>
              <w:t xml:space="preserve">We raised this concern with EDF during our assessment of the application and requested further evidence be provided on this topic area. For clarity, </w:t>
            </w:r>
            <w:r w:rsidRPr="00AA72FF">
              <w:t xml:space="preserve">EDF </w:t>
            </w:r>
            <w:r w:rsidR="00941F75">
              <w:t>explained</w:t>
            </w:r>
            <w:r w:rsidRPr="00AA72FF">
              <w:t xml:space="preserve"> that the majority of the HPB workforce live locally and that there are currently 250 contractors on site to deliver defueling </w:t>
            </w:r>
            <w:r>
              <w:t>of the reactors</w:t>
            </w:r>
            <w:r w:rsidRPr="00AA72FF">
              <w:t>. The Preparations for Quiescence phase</w:t>
            </w:r>
            <w:r>
              <w:t xml:space="preserve"> of the decommissioning project</w:t>
            </w:r>
            <w:r w:rsidRPr="00AA72FF">
              <w:t xml:space="preserve"> is expected to see up to 250 contractors on site (an increase of 50 above the baseline) and the bulk of this contracted labour will be available locally, thereby reducing the requirement for temporary accommodation. Impacts to the local rental market were therefore not scoped in as a potential effect of the proposed works.</w:t>
            </w:r>
            <w:r>
              <w:t xml:space="preserve"> ONR’s specialist inspector was satisfied that EDF had provided sufficient evidence to support the conclusions of the </w:t>
            </w:r>
            <w:r w:rsidR="000D4436">
              <w:t>ES</w:t>
            </w:r>
            <w:r>
              <w:t>.</w:t>
            </w:r>
          </w:p>
        </w:tc>
      </w:tr>
      <w:tr w:rsidR="009002A1" w:rsidRPr="00252B8A" w14:paraId="310CE6B7" w14:textId="77777777" w:rsidTr="000B2ED0">
        <w:trPr>
          <w:trHeight w:val="567"/>
          <w:tblHeader/>
        </w:trPr>
        <w:tc>
          <w:tcPr>
            <w:tcW w:w="9889" w:type="dxa"/>
            <w:gridSpan w:val="4"/>
            <w:shd w:val="clear" w:color="auto" w:fill="E8F3DA" w:themeFill="accent4" w:themeFillTint="33"/>
            <w:vAlign w:val="center"/>
          </w:tcPr>
          <w:p w14:paraId="3C7A0B36" w14:textId="77777777" w:rsidR="009002A1" w:rsidRPr="00252B8A" w:rsidRDefault="009002A1" w:rsidP="009002A1">
            <w:pPr>
              <w:spacing w:after="0"/>
              <w:rPr>
                <w:color w:val="22413A"/>
              </w:rPr>
            </w:pPr>
            <w:r w:rsidRPr="00252B8A">
              <w:rPr>
                <w:color w:val="22413A"/>
              </w:rPr>
              <w:t>Consultation comment</w:t>
            </w:r>
          </w:p>
        </w:tc>
      </w:tr>
      <w:tr w:rsidR="00BE421C" w:rsidRPr="00605767" w14:paraId="170CF3F4" w14:textId="77777777" w:rsidTr="00BE421C">
        <w:trPr>
          <w:gridAfter w:val="2"/>
          <w:wAfter w:w="954" w:type="dxa"/>
        </w:trPr>
        <w:tc>
          <w:tcPr>
            <w:tcW w:w="817" w:type="dxa"/>
          </w:tcPr>
          <w:p w14:paraId="7AD55EE7" w14:textId="7764A403" w:rsidR="00BE421C" w:rsidRPr="00605767" w:rsidRDefault="00BE421C" w:rsidP="00BE421C">
            <w:pPr>
              <w:spacing w:before="120" w:after="120"/>
            </w:pPr>
          </w:p>
        </w:tc>
        <w:tc>
          <w:tcPr>
            <w:tcW w:w="8118" w:type="dxa"/>
          </w:tcPr>
          <w:p w14:paraId="56FBDAFD" w14:textId="3B09B558" w:rsidR="00BE421C" w:rsidRPr="00605767" w:rsidRDefault="00924A9A" w:rsidP="00BE421C">
            <w:pPr>
              <w:spacing w:before="120" w:after="120"/>
            </w:pPr>
            <w:r>
              <w:t>“</w:t>
            </w:r>
            <w:r w:rsidR="00BE421C" w:rsidRPr="00C12C48">
              <w:t>In relation to health and wellbeing, it isn’t clear from the documentation if facilities that currently exist at HPB for staff welfare will be maintained throughout the period of deconstruction and Safestore construction. Given the remote location of HPB, maintaining such services, or providing alternatives, will be important for staff welfare and health.</w:t>
            </w:r>
            <w:r>
              <w:t>”</w:t>
            </w:r>
          </w:p>
        </w:tc>
      </w:tr>
      <w:tr w:rsidR="00BE421C" w:rsidRPr="00252B8A" w14:paraId="4416533F" w14:textId="77777777" w:rsidTr="000B2ED0">
        <w:trPr>
          <w:trHeight w:val="567"/>
        </w:trPr>
        <w:tc>
          <w:tcPr>
            <w:tcW w:w="9889" w:type="dxa"/>
            <w:gridSpan w:val="4"/>
            <w:shd w:val="clear" w:color="auto" w:fill="E8F3DA" w:themeFill="accent4" w:themeFillTint="33"/>
            <w:vAlign w:val="center"/>
          </w:tcPr>
          <w:p w14:paraId="66F79B86" w14:textId="408764A2" w:rsidR="00BE421C" w:rsidRPr="00252B8A" w:rsidRDefault="00BE421C" w:rsidP="00BE421C">
            <w:pPr>
              <w:spacing w:after="0"/>
            </w:pPr>
            <w:r w:rsidRPr="00252B8A">
              <w:rPr>
                <w:color w:val="22413A"/>
              </w:rPr>
              <w:t>ONR’s response</w:t>
            </w:r>
          </w:p>
        </w:tc>
      </w:tr>
      <w:tr w:rsidR="00BE421C" w:rsidRPr="00814A0E" w14:paraId="21B4FF98" w14:textId="77777777" w:rsidTr="00BE421C">
        <w:trPr>
          <w:gridAfter w:val="2"/>
          <w:wAfter w:w="954" w:type="dxa"/>
        </w:trPr>
        <w:tc>
          <w:tcPr>
            <w:tcW w:w="817" w:type="dxa"/>
          </w:tcPr>
          <w:p w14:paraId="094711FB" w14:textId="64CE286E" w:rsidR="00BE421C" w:rsidRPr="00814A0E" w:rsidRDefault="00BE421C" w:rsidP="00BE421C">
            <w:pPr>
              <w:spacing w:before="120" w:after="120"/>
            </w:pPr>
          </w:p>
        </w:tc>
        <w:tc>
          <w:tcPr>
            <w:tcW w:w="8118" w:type="dxa"/>
          </w:tcPr>
          <w:p w14:paraId="2784837C" w14:textId="34EAFEE6" w:rsidR="00BE421C" w:rsidRPr="00814A0E" w:rsidRDefault="00C83F86" w:rsidP="00BC519B">
            <w:pPr>
              <w:spacing w:before="120" w:after="120"/>
            </w:pPr>
            <w:r>
              <w:t xml:space="preserve">We recognise the importance of </w:t>
            </w:r>
            <w:r w:rsidR="0090710C">
              <w:t>staff welfare and health throughout the decommissioning project</w:t>
            </w:r>
            <w:r w:rsidR="00282F12">
              <w:t>, and a</w:t>
            </w:r>
            <w:r w:rsidR="0090710C">
              <w:t xml:space="preserve">s </w:t>
            </w:r>
            <w:r w:rsidR="000444E8">
              <w:t>the enforcing authority</w:t>
            </w:r>
            <w:r w:rsidR="00856197">
              <w:t xml:space="preserve"> for health and safety at HPB, </w:t>
            </w:r>
            <w:r w:rsidR="00BC519B">
              <w:t xml:space="preserve">we </w:t>
            </w:r>
            <w:r w:rsidR="005D6D97">
              <w:t xml:space="preserve">will </w:t>
            </w:r>
            <w:r w:rsidR="00BC519B">
              <w:t xml:space="preserve">maintain oversight of this through our ongoing </w:t>
            </w:r>
            <w:r w:rsidR="00DD1EFC">
              <w:t>site regulation</w:t>
            </w:r>
            <w:r w:rsidR="00BC519B">
              <w:t>.</w:t>
            </w:r>
          </w:p>
        </w:tc>
      </w:tr>
      <w:tr w:rsidR="00BE421C" w:rsidRPr="00252B8A" w14:paraId="1691044B" w14:textId="77777777" w:rsidTr="000B2ED0">
        <w:trPr>
          <w:trHeight w:val="567"/>
          <w:tblHeader/>
        </w:trPr>
        <w:tc>
          <w:tcPr>
            <w:tcW w:w="9889" w:type="dxa"/>
            <w:gridSpan w:val="4"/>
            <w:shd w:val="clear" w:color="auto" w:fill="E8F3DA" w:themeFill="accent4" w:themeFillTint="33"/>
            <w:vAlign w:val="center"/>
          </w:tcPr>
          <w:p w14:paraId="37BE3200" w14:textId="77777777" w:rsidR="00BE421C" w:rsidRPr="00252B8A" w:rsidRDefault="00BE421C" w:rsidP="00BE421C">
            <w:pPr>
              <w:spacing w:after="0"/>
              <w:rPr>
                <w:color w:val="22413A"/>
              </w:rPr>
            </w:pPr>
            <w:r w:rsidRPr="00252B8A">
              <w:rPr>
                <w:color w:val="22413A"/>
              </w:rPr>
              <w:t>Consultation comment</w:t>
            </w:r>
          </w:p>
        </w:tc>
      </w:tr>
      <w:tr w:rsidR="00BE421C" w:rsidRPr="00605767" w14:paraId="4395C707" w14:textId="77777777" w:rsidTr="00BE421C">
        <w:trPr>
          <w:gridAfter w:val="2"/>
          <w:wAfter w:w="954" w:type="dxa"/>
        </w:trPr>
        <w:tc>
          <w:tcPr>
            <w:tcW w:w="817" w:type="dxa"/>
          </w:tcPr>
          <w:p w14:paraId="66736898" w14:textId="186121AA" w:rsidR="00BE421C" w:rsidRPr="00605767" w:rsidRDefault="00BE421C" w:rsidP="00BE421C">
            <w:pPr>
              <w:spacing w:before="120" w:after="120"/>
            </w:pPr>
          </w:p>
        </w:tc>
        <w:tc>
          <w:tcPr>
            <w:tcW w:w="8118" w:type="dxa"/>
          </w:tcPr>
          <w:p w14:paraId="545E6000" w14:textId="77D50E0A" w:rsidR="00BE421C" w:rsidRPr="00605767" w:rsidRDefault="00B975B1" w:rsidP="00BE421C">
            <w:pPr>
              <w:spacing w:before="120" w:after="120"/>
            </w:pPr>
            <w:r>
              <w:t>“</w:t>
            </w:r>
            <w:r w:rsidR="00BE421C">
              <w:t>I</w:t>
            </w:r>
            <w:r w:rsidR="00BE421C" w:rsidRPr="00B15FD1">
              <w:t>t is recommended that any noise related works are limited to normal daytime working hours, and are not carried out on Sundays or Bank Holidays (unless there are specific reasons for having to carry out work at these times).</w:t>
            </w:r>
            <w:r>
              <w:t>”</w:t>
            </w:r>
          </w:p>
        </w:tc>
      </w:tr>
      <w:tr w:rsidR="00BE421C" w:rsidRPr="00252B8A" w14:paraId="1B68FE71" w14:textId="77777777" w:rsidTr="000B2ED0">
        <w:trPr>
          <w:trHeight w:val="567"/>
        </w:trPr>
        <w:tc>
          <w:tcPr>
            <w:tcW w:w="9889" w:type="dxa"/>
            <w:gridSpan w:val="4"/>
            <w:shd w:val="clear" w:color="auto" w:fill="E8F3DA" w:themeFill="accent4" w:themeFillTint="33"/>
            <w:vAlign w:val="center"/>
          </w:tcPr>
          <w:p w14:paraId="64012804" w14:textId="77777777" w:rsidR="00BE421C" w:rsidRPr="00252B8A" w:rsidRDefault="00BE421C" w:rsidP="00BE421C">
            <w:pPr>
              <w:spacing w:after="0"/>
            </w:pPr>
            <w:r w:rsidRPr="00252B8A">
              <w:rPr>
                <w:color w:val="22413A"/>
              </w:rPr>
              <w:t>ONR’s response</w:t>
            </w:r>
          </w:p>
        </w:tc>
      </w:tr>
      <w:tr w:rsidR="00BE421C" w:rsidRPr="00814A0E" w14:paraId="684A992B" w14:textId="77777777" w:rsidTr="00BE421C">
        <w:trPr>
          <w:gridAfter w:val="2"/>
          <w:wAfter w:w="954" w:type="dxa"/>
        </w:trPr>
        <w:tc>
          <w:tcPr>
            <w:tcW w:w="817" w:type="dxa"/>
          </w:tcPr>
          <w:p w14:paraId="57814EA4" w14:textId="6F72A176" w:rsidR="00BE421C" w:rsidRPr="00814A0E" w:rsidRDefault="00BE421C" w:rsidP="00BE421C">
            <w:pPr>
              <w:spacing w:before="120" w:after="120"/>
            </w:pPr>
          </w:p>
        </w:tc>
        <w:tc>
          <w:tcPr>
            <w:tcW w:w="8118" w:type="dxa"/>
          </w:tcPr>
          <w:p w14:paraId="25F5F87D" w14:textId="44F4DB87" w:rsidR="00BE421C" w:rsidRPr="00814A0E" w:rsidRDefault="00B975B1" w:rsidP="00BE421C">
            <w:pPr>
              <w:spacing w:before="120" w:after="120"/>
            </w:pPr>
            <w:r>
              <w:t>We note that th</w:t>
            </w:r>
            <w:r w:rsidR="00BE421C">
              <w:t xml:space="preserve">e </w:t>
            </w:r>
            <w:r w:rsidR="000D4436">
              <w:t>ES</w:t>
            </w:r>
            <w:r w:rsidR="00BE421C">
              <w:t xml:space="preserve"> recognises this and</w:t>
            </w:r>
            <w:r w:rsidR="00551C3E">
              <w:t xml:space="preserve"> that EDF has committed to</w:t>
            </w:r>
            <w:r w:rsidR="00BE421C">
              <w:t xml:space="preserve"> </w:t>
            </w:r>
            <w:r w:rsidR="00877C92">
              <w:t xml:space="preserve">the </w:t>
            </w:r>
            <w:r w:rsidR="00BE421C">
              <w:t>following embedded measure: “</w:t>
            </w:r>
            <w:r w:rsidR="00BE421C" w:rsidRPr="00FB47EE">
              <w:t xml:space="preserve">All noisy activities to be undertaken within hours for noisy activities for construction provided by Somerset Council, </w:t>
            </w:r>
            <w:r w:rsidR="00BE421C" w:rsidRPr="00FB47EE">
              <w:lastRenderedPageBreak/>
              <w:t>except where works need to be undertaken continuously (e.g. for any concrete pours that may be required) or in case of emergencies.</w:t>
            </w:r>
            <w:r w:rsidR="00BE421C">
              <w:t>”</w:t>
            </w:r>
          </w:p>
        </w:tc>
      </w:tr>
      <w:tr w:rsidR="00BE421C" w:rsidRPr="00252B8A" w14:paraId="0738A7D6" w14:textId="77777777" w:rsidTr="000B2ED0">
        <w:trPr>
          <w:trHeight w:val="567"/>
          <w:tblHeader/>
        </w:trPr>
        <w:tc>
          <w:tcPr>
            <w:tcW w:w="9889" w:type="dxa"/>
            <w:gridSpan w:val="4"/>
            <w:shd w:val="clear" w:color="auto" w:fill="E8F3DA" w:themeFill="accent4" w:themeFillTint="33"/>
            <w:vAlign w:val="center"/>
          </w:tcPr>
          <w:p w14:paraId="7D5A2B36" w14:textId="77777777" w:rsidR="00BE421C" w:rsidRPr="00252B8A" w:rsidRDefault="00BE421C" w:rsidP="00BE421C">
            <w:pPr>
              <w:spacing w:after="0"/>
              <w:rPr>
                <w:color w:val="22413A"/>
              </w:rPr>
            </w:pPr>
            <w:r w:rsidRPr="00252B8A">
              <w:rPr>
                <w:color w:val="22413A"/>
              </w:rPr>
              <w:lastRenderedPageBreak/>
              <w:t>Consultation comment</w:t>
            </w:r>
          </w:p>
        </w:tc>
      </w:tr>
      <w:tr w:rsidR="00F83B9A" w:rsidRPr="00605767" w14:paraId="3A03477F" w14:textId="77777777" w:rsidTr="00F83B9A">
        <w:trPr>
          <w:gridAfter w:val="2"/>
          <w:wAfter w:w="954" w:type="dxa"/>
        </w:trPr>
        <w:tc>
          <w:tcPr>
            <w:tcW w:w="817" w:type="dxa"/>
          </w:tcPr>
          <w:p w14:paraId="380E9425" w14:textId="77777777" w:rsidR="00F83B9A" w:rsidRPr="00605767" w:rsidRDefault="00F83B9A" w:rsidP="00BE421C">
            <w:pPr>
              <w:spacing w:before="120" w:after="120"/>
            </w:pPr>
          </w:p>
        </w:tc>
        <w:tc>
          <w:tcPr>
            <w:tcW w:w="8118" w:type="dxa"/>
          </w:tcPr>
          <w:p w14:paraId="3C991BCA" w14:textId="1D67CF58" w:rsidR="00F83B9A" w:rsidRDefault="00F83B9A" w:rsidP="00F83B9A">
            <w:pPr>
              <w:spacing w:before="120" w:after="120"/>
            </w:pPr>
            <w:r>
              <w:t>“</w:t>
            </w:r>
            <w:r w:rsidRPr="002A67A0">
              <w:t xml:space="preserve">Generally, it is considered that the Landscape and Visual Impact Assessment takes a thorough approach and comes to reasonable and realistic conclusions. </w:t>
            </w:r>
          </w:p>
          <w:p w14:paraId="58CBD5F2" w14:textId="77777777" w:rsidR="00F83B9A" w:rsidRDefault="00F83B9A" w:rsidP="00F83B9A">
            <w:pPr>
              <w:spacing w:before="120" w:after="120"/>
            </w:pPr>
            <w:r w:rsidRPr="002A67A0">
              <w:t xml:space="preserve">It is appreciated that the applicant has now provided a viewpoint from the Coastal Path. This is very helpful and confirms the original view that the worst ongoing impact will be from this location. Greater detail outlining what mitigation the applicant is proposing along this stretch of coastal path, will be required, and we would expect to see some hard and soft landscaping measures (eg planting, whether in planters or in the ground), benches and signage. We do not agree with the conclusion reached in 14.6.1 that landscaping would be of little benefit. As stated in Table 14-13, the King Charles III England Coast Path is of national importance and every effort should be made to enhance this route as it passes the Hinkley development. </w:t>
            </w:r>
          </w:p>
          <w:p w14:paraId="1EDB7C48" w14:textId="77777777" w:rsidR="00F83B9A" w:rsidRDefault="00F83B9A" w:rsidP="00F83B9A">
            <w:pPr>
              <w:spacing w:before="120" w:after="120"/>
            </w:pPr>
            <w:r w:rsidRPr="002A67A0">
              <w:t xml:space="preserve">The high fence is considered to be intimidating and visually unappealing, and therefore measures to lessen the impact of this and/or move it further inland need to be considered by the applicant. </w:t>
            </w:r>
          </w:p>
          <w:p w14:paraId="653BA80D" w14:textId="77777777" w:rsidR="00F83B9A" w:rsidRDefault="00F83B9A" w:rsidP="00F83B9A">
            <w:pPr>
              <w:spacing w:before="120" w:after="120"/>
            </w:pPr>
            <w:r w:rsidRPr="002A67A0">
              <w:t xml:space="preserve">The additional information on the colour of aluminium cladding (table 14-5) is helpful. This colour/approach is acceptable given the proximity to other buildings of similar characteristics (such as the Hinkley Point C development). </w:t>
            </w:r>
          </w:p>
          <w:p w14:paraId="238B81E7" w14:textId="7537AB40" w:rsidR="00F83B9A" w:rsidRPr="00605767" w:rsidRDefault="00F83B9A" w:rsidP="00F83B9A">
            <w:pPr>
              <w:spacing w:before="120" w:after="120"/>
            </w:pPr>
            <w:r w:rsidRPr="002A67A0">
              <w:t>The proposed lighting strategy is acceptable and will reduce the overall impact from lighting in this area.</w:t>
            </w:r>
            <w:r>
              <w:t>”</w:t>
            </w:r>
          </w:p>
        </w:tc>
      </w:tr>
      <w:tr w:rsidR="00BE421C" w:rsidRPr="00252B8A" w14:paraId="20141C8D" w14:textId="77777777" w:rsidTr="000B2ED0">
        <w:trPr>
          <w:trHeight w:val="567"/>
        </w:trPr>
        <w:tc>
          <w:tcPr>
            <w:tcW w:w="9889" w:type="dxa"/>
            <w:gridSpan w:val="4"/>
            <w:shd w:val="clear" w:color="auto" w:fill="E8F3DA" w:themeFill="accent4" w:themeFillTint="33"/>
            <w:vAlign w:val="center"/>
          </w:tcPr>
          <w:p w14:paraId="2ADA9F0A" w14:textId="77777777" w:rsidR="00BE421C" w:rsidRPr="00252B8A" w:rsidRDefault="00BE421C" w:rsidP="00BE421C">
            <w:pPr>
              <w:spacing w:after="0"/>
            </w:pPr>
            <w:r>
              <w:t>ONR’s response</w:t>
            </w:r>
          </w:p>
        </w:tc>
      </w:tr>
      <w:tr w:rsidR="00F83B9A" w:rsidRPr="00814A0E" w14:paraId="6831A6C4" w14:textId="77777777" w:rsidTr="00F83B9A">
        <w:trPr>
          <w:gridAfter w:val="2"/>
          <w:wAfter w:w="954" w:type="dxa"/>
        </w:trPr>
        <w:tc>
          <w:tcPr>
            <w:tcW w:w="817" w:type="dxa"/>
          </w:tcPr>
          <w:p w14:paraId="0993894B" w14:textId="79655178" w:rsidR="00F83B9A" w:rsidRPr="00814A0E" w:rsidRDefault="00F83B9A" w:rsidP="00BE421C">
            <w:pPr>
              <w:spacing w:before="120" w:after="120"/>
            </w:pPr>
          </w:p>
        </w:tc>
        <w:tc>
          <w:tcPr>
            <w:tcW w:w="8118" w:type="dxa"/>
          </w:tcPr>
          <w:p w14:paraId="6E2DE8F2" w14:textId="30F5E754" w:rsidR="00F83B9A" w:rsidRDefault="00585F10" w:rsidP="00BE421C">
            <w:pPr>
              <w:spacing w:before="120" w:after="120"/>
            </w:pPr>
            <w:r>
              <w:t>We raised this</w:t>
            </w:r>
            <w:r w:rsidR="00516BC1">
              <w:t xml:space="preserve"> comment</w:t>
            </w:r>
            <w:r w:rsidR="00D67B5D">
              <w:t xml:space="preserve"> with EDF </w:t>
            </w:r>
            <w:r w:rsidR="00230C69">
              <w:t>to understand if additional measures would be required to reduce the visual and landscape impacts.</w:t>
            </w:r>
          </w:p>
          <w:p w14:paraId="69DA0B11" w14:textId="77777777" w:rsidR="001C3B95" w:rsidRDefault="00F35D28" w:rsidP="001C3B95">
            <w:pPr>
              <w:spacing w:before="120" w:after="120"/>
            </w:pPr>
            <w:r>
              <w:t xml:space="preserve">As </w:t>
            </w:r>
            <w:r w:rsidRPr="00F35D28">
              <w:t>the</w:t>
            </w:r>
            <w:r w:rsidR="001C3B95">
              <w:t xml:space="preserve"> coastal</w:t>
            </w:r>
            <w:r w:rsidRPr="00F35D28">
              <w:t xml:space="preserve"> path is currently routed around the southern extent of the site, EDF did not consider additional screening from this viewpoint to be necessary due to the effective screening already provided by the surroundings of the site on all sides, including by the Hinkley Local Wildlife Site</w:t>
            </w:r>
            <w:r w:rsidR="001C3B95">
              <w:t xml:space="preserve">. </w:t>
            </w:r>
            <w:r w:rsidR="001C3B95" w:rsidRPr="00585F10">
              <w:t xml:space="preserve">The ES </w:t>
            </w:r>
            <w:r w:rsidR="001C3B95">
              <w:t xml:space="preserve">also </w:t>
            </w:r>
            <w:r w:rsidR="001C3B95" w:rsidRPr="00585F10">
              <w:t>notes that there is a high proportion of hard standing across the works area with minimal opportunities to introduce new planting.</w:t>
            </w:r>
            <w:r w:rsidR="001C3B95">
              <w:t xml:space="preserve"> </w:t>
            </w:r>
          </w:p>
          <w:p w14:paraId="3E97FF80" w14:textId="7B1B9ECE" w:rsidR="00F35D28" w:rsidRPr="00814A0E" w:rsidRDefault="001C3B95" w:rsidP="001C3B95">
            <w:pPr>
              <w:spacing w:before="120" w:after="120"/>
            </w:pPr>
            <w:r>
              <w:t xml:space="preserve">After consideration, ONR’s specialist inspector was </w:t>
            </w:r>
            <w:r w:rsidR="00F35D28" w:rsidRPr="00F35D28">
              <w:t xml:space="preserve">satisfied that the Safestore cladding in combination with the existing natural screening provided by HPB’s surroundings will reduce the effects to an acceptable level. Any additional amenity features can be discussed between the licensee and </w:t>
            </w:r>
            <w:r>
              <w:t>the</w:t>
            </w:r>
            <w:r w:rsidR="00F35D28" w:rsidRPr="00F35D28">
              <w:t xml:space="preserve"> Council.  </w:t>
            </w:r>
          </w:p>
        </w:tc>
      </w:tr>
      <w:tr w:rsidR="00BE421C" w:rsidRPr="00252B8A" w14:paraId="127513DB" w14:textId="77777777" w:rsidTr="000B2ED0">
        <w:trPr>
          <w:trHeight w:val="567"/>
          <w:tblHeader/>
        </w:trPr>
        <w:tc>
          <w:tcPr>
            <w:tcW w:w="9889" w:type="dxa"/>
            <w:gridSpan w:val="4"/>
            <w:shd w:val="clear" w:color="auto" w:fill="E8F3DA" w:themeFill="accent4" w:themeFillTint="33"/>
            <w:vAlign w:val="center"/>
          </w:tcPr>
          <w:p w14:paraId="53D7A22A" w14:textId="77777777" w:rsidR="00BE421C" w:rsidRPr="00252B8A" w:rsidRDefault="00BE421C" w:rsidP="00BE421C">
            <w:pPr>
              <w:spacing w:after="0"/>
              <w:rPr>
                <w:color w:val="22413A"/>
              </w:rPr>
            </w:pPr>
            <w:r w:rsidRPr="00252B8A">
              <w:rPr>
                <w:color w:val="22413A"/>
              </w:rPr>
              <w:t>Consultation comment</w:t>
            </w:r>
          </w:p>
        </w:tc>
      </w:tr>
      <w:tr w:rsidR="00F83B9A" w:rsidRPr="00605767" w14:paraId="56DDE037" w14:textId="77777777" w:rsidTr="00F83B9A">
        <w:trPr>
          <w:gridAfter w:val="2"/>
          <w:wAfter w:w="954" w:type="dxa"/>
        </w:trPr>
        <w:tc>
          <w:tcPr>
            <w:tcW w:w="817" w:type="dxa"/>
          </w:tcPr>
          <w:p w14:paraId="498005B7" w14:textId="5477A1D9" w:rsidR="00F83B9A" w:rsidRPr="00605767" w:rsidRDefault="00F83B9A" w:rsidP="00BE421C">
            <w:pPr>
              <w:spacing w:before="120" w:after="120"/>
            </w:pPr>
          </w:p>
        </w:tc>
        <w:tc>
          <w:tcPr>
            <w:tcW w:w="8118" w:type="dxa"/>
          </w:tcPr>
          <w:p w14:paraId="30876FEF" w14:textId="10CC5B8E" w:rsidR="00F83B9A" w:rsidRPr="00605767" w:rsidRDefault="005450EF" w:rsidP="00BE421C">
            <w:pPr>
              <w:spacing w:before="120" w:after="120"/>
            </w:pPr>
            <w:r w:rsidRPr="00152628">
              <w:t xml:space="preserve">The Lead Local Flood Authority (part of Somerset Council) considered further information to be needed on </w:t>
            </w:r>
            <w:r>
              <w:t xml:space="preserve">(a) </w:t>
            </w:r>
            <w:r w:rsidRPr="00152628">
              <w:t xml:space="preserve">site specific measures during each phase to manage surface water, </w:t>
            </w:r>
            <w:r>
              <w:t xml:space="preserve">and (b) </w:t>
            </w:r>
            <w:r w:rsidRPr="00152628">
              <w:t>details o</w:t>
            </w:r>
            <w:r>
              <w:t>f</w:t>
            </w:r>
            <w:r w:rsidRPr="00152628">
              <w:t xml:space="preserve"> the drainage system, maintenance arrangements and measures to manage pollution. </w:t>
            </w:r>
            <w:r w:rsidR="00F83B9A">
              <w:t xml:space="preserve">A number of specific comments are given in </w:t>
            </w:r>
            <w:r w:rsidR="00607929">
              <w:t>Somerset Council’s</w:t>
            </w:r>
            <w:r w:rsidR="00F83B9A">
              <w:t xml:space="preserve"> full response.</w:t>
            </w:r>
          </w:p>
        </w:tc>
      </w:tr>
      <w:tr w:rsidR="00BE421C" w:rsidRPr="00252B8A" w14:paraId="3824AA52" w14:textId="77777777" w:rsidTr="000B2ED0">
        <w:trPr>
          <w:trHeight w:val="567"/>
        </w:trPr>
        <w:tc>
          <w:tcPr>
            <w:tcW w:w="9889" w:type="dxa"/>
            <w:gridSpan w:val="4"/>
            <w:shd w:val="clear" w:color="auto" w:fill="E8F3DA" w:themeFill="accent4" w:themeFillTint="33"/>
            <w:vAlign w:val="center"/>
          </w:tcPr>
          <w:p w14:paraId="18EF8742" w14:textId="77777777" w:rsidR="00BE421C" w:rsidRPr="00252B8A" w:rsidRDefault="00BE421C" w:rsidP="00BE421C">
            <w:pPr>
              <w:spacing w:after="0"/>
            </w:pPr>
            <w:r>
              <w:t>ONR’s response</w:t>
            </w:r>
          </w:p>
        </w:tc>
      </w:tr>
      <w:tr w:rsidR="00F83B9A" w:rsidRPr="00814A0E" w14:paraId="29F52C79" w14:textId="77777777" w:rsidTr="00F83B9A">
        <w:trPr>
          <w:gridAfter w:val="2"/>
          <w:wAfter w:w="954" w:type="dxa"/>
        </w:trPr>
        <w:tc>
          <w:tcPr>
            <w:tcW w:w="817" w:type="dxa"/>
          </w:tcPr>
          <w:p w14:paraId="0AE8DF7D" w14:textId="5E591512" w:rsidR="00F83B9A" w:rsidRPr="00814A0E" w:rsidRDefault="00F83B9A" w:rsidP="00BE421C">
            <w:pPr>
              <w:spacing w:before="120" w:after="120"/>
            </w:pPr>
          </w:p>
        </w:tc>
        <w:tc>
          <w:tcPr>
            <w:tcW w:w="8118" w:type="dxa"/>
          </w:tcPr>
          <w:p w14:paraId="62042F14" w14:textId="11CBEFF7" w:rsidR="007134DF" w:rsidRDefault="00F479E5" w:rsidP="00BE421C">
            <w:pPr>
              <w:spacing w:before="120" w:after="120"/>
            </w:pPr>
            <w:r>
              <w:t>We raised this with EDF</w:t>
            </w:r>
            <w:r w:rsidR="008B3B1B">
              <w:t xml:space="preserve"> and were</w:t>
            </w:r>
            <w:r>
              <w:t xml:space="preserve"> </w:t>
            </w:r>
            <w:r w:rsidR="008B3B1B" w:rsidRPr="008B3B1B">
              <w:t>advised that the current drainage system is managed under</w:t>
            </w:r>
            <w:r w:rsidR="00B17276">
              <w:t xml:space="preserve"> the HPB’s</w:t>
            </w:r>
            <w:r w:rsidR="008B3B1B" w:rsidRPr="008B3B1B">
              <w:t xml:space="preserve"> existing asset care requirements which will continue throughout decommissioning under the Integrated Management System to ensure it remains functioning and fit for purpose as the proposed works progress</w:t>
            </w:r>
            <w:r w:rsidR="007D476A">
              <w:t>.</w:t>
            </w:r>
            <w:r w:rsidR="008B3B1B" w:rsidRPr="008B3B1B">
              <w:t xml:space="preserve"> </w:t>
            </w:r>
            <w:r w:rsidR="007D476A">
              <w:t>T</w:t>
            </w:r>
            <w:r w:rsidR="008B3B1B" w:rsidRPr="008B3B1B">
              <w:t>herefore</w:t>
            </w:r>
            <w:r w:rsidR="007D476A">
              <w:t>,</w:t>
            </w:r>
            <w:r w:rsidR="008B3B1B" w:rsidRPr="008B3B1B">
              <w:t xml:space="preserve"> </w:t>
            </w:r>
            <w:r w:rsidR="007134DF">
              <w:t>ONR’s specialist inspector did not</w:t>
            </w:r>
            <w:r w:rsidR="008B3B1B" w:rsidRPr="008B3B1B">
              <w:t xml:space="preserve"> consider this to be part of the decommissioning project. </w:t>
            </w:r>
          </w:p>
          <w:p w14:paraId="4C4F8A62" w14:textId="51078BB8" w:rsidR="00F83B9A" w:rsidRDefault="008B3B1B" w:rsidP="00237261">
            <w:pPr>
              <w:spacing w:before="120" w:after="120"/>
            </w:pPr>
            <w:r w:rsidRPr="008B3B1B">
              <w:t xml:space="preserve">Multiple commitments are provided in the EMP to ensure appropriate drainage provision during the </w:t>
            </w:r>
            <w:r w:rsidR="00BE0AF3">
              <w:t>project</w:t>
            </w:r>
            <w:r w:rsidRPr="008B3B1B">
              <w:t>, for example, the use of a decommissioning drainage plan and implementation of the Site Protection and Monitoring Programme and appropriate groundwater monitoring and management regime, in line with the Integrated Management System.</w:t>
            </w:r>
            <w:r w:rsidR="00F548A3">
              <w:t xml:space="preserve"> </w:t>
            </w:r>
            <w:r w:rsidR="00F548A3" w:rsidRPr="00F548A3">
              <w:t xml:space="preserve">Any new development which comes forward </w:t>
            </w:r>
            <w:r w:rsidR="004243C0">
              <w:t>would</w:t>
            </w:r>
            <w:r w:rsidR="00F548A3" w:rsidRPr="00F548A3">
              <w:t xml:space="preserve"> be subject to its own planning application</w:t>
            </w:r>
            <w:r w:rsidR="00237261">
              <w:t xml:space="preserve"> and should be </w:t>
            </w:r>
            <w:r w:rsidR="00237261" w:rsidRPr="00237261">
              <w:t>designed in accordance with the latest standards.</w:t>
            </w:r>
          </w:p>
          <w:p w14:paraId="3A81DA83" w14:textId="0CA93BAE" w:rsidR="007C5950" w:rsidRDefault="007C5950" w:rsidP="007C5950">
            <w:pPr>
              <w:spacing w:before="120" w:after="120"/>
            </w:pPr>
            <w:r w:rsidRPr="007C5950">
              <w:t xml:space="preserve">With respect to climate change resilience, it is noted that the EMP </w:t>
            </w:r>
            <w:r>
              <w:t>states</w:t>
            </w:r>
            <w:r w:rsidRPr="007C5950">
              <w:t xml:space="preserve"> </w:t>
            </w:r>
            <w:r>
              <w:t>“</w:t>
            </w:r>
            <w:r w:rsidRPr="007C5950">
              <w:t>the Safestore will need to be protected throughout the Quiescence and Final Site Clearance phases (i.e. to 2120 or the date of its demolition if earlier) and that flood mitigation measures will be built into the design of the Proposed Works and incorporated into the Safety Case for HPB.</w:t>
            </w:r>
            <w:r>
              <w:t>”</w:t>
            </w:r>
          </w:p>
          <w:p w14:paraId="2C9888FB" w14:textId="45932C6F" w:rsidR="007C6B96" w:rsidRDefault="007C6B96" w:rsidP="00D40513">
            <w:pPr>
              <w:spacing w:before="120" w:after="120"/>
            </w:pPr>
            <w:r w:rsidRPr="007C6B96">
              <w:t xml:space="preserve">Overall, </w:t>
            </w:r>
            <w:r>
              <w:t>the specialist inspector was</w:t>
            </w:r>
            <w:r w:rsidRPr="007C6B96">
              <w:t xml:space="preserve"> satisfied that an adequate assessment has been carried out on surface water and flood risk and that appropriate mitigation measure are in place. </w:t>
            </w:r>
            <w:r w:rsidR="009403F0">
              <w:t>We</w:t>
            </w:r>
            <w:r w:rsidRPr="007C6B96">
              <w:t xml:space="preserve"> expect the licensee will be able to resolve any remaining drainage queries with the Lead Local Flood Authority directly through its routine engagements with </w:t>
            </w:r>
            <w:r w:rsidR="003653FA">
              <w:t>the</w:t>
            </w:r>
            <w:r w:rsidRPr="007C6B96">
              <w:t xml:space="preserve"> Council.</w:t>
            </w:r>
          </w:p>
          <w:p w14:paraId="71A6E03B" w14:textId="1D24ECAE" w:rsidR="00D40513" w:rsidRPr="00814A0E" w:rsidRDefault="00D40513" w:rsidP="00D40513">
            <w:pPr>
              <w:spacing w:before="120" w:after="120"/>
            </w:pPr>
            <w:r>
              <w:t xml:space="preserve">We note that the Environment Agency </w:t>
            </w:r>
            <w:r w:rsidRPr="00D40513">
              <w:rPr>
                <w:lang w:val="en-US"/>
              </w:rPr>
              <w:t>agree</w:t>
            </w:r>
            <w:r>
              <w:rPr>
                <w:lang w:val="en-US"/>
              </w:rPr>
              <w:t>d</w:t>
            </w:r>
            <w:r w:rsidRPr="00D40513">
              <w:rPr>
                <w:lang w:val="en-US"/>
              </w:rPr>
              <w:t xml:space="preserve"> with the summary findings on flood risk</w:t>
            </w:r>
            <w:r w:rsidR="007E4EFB">
              <w:rPr>
                <w:lang w:val="en-US"/>
              </w:rPr>
              <w:t xml:space="preserve"> and that IDB has no objections to the project.</w:t>
            </w:r>
          </w:p>
        </w:tc>
      </w:tr>
      <w:tr w:rsidR="00BE421C" w:rsidRPr="00D365AD" w14:paraId="366A3FF8" w14:textId="77777777" w:rsidTr="00626B1D">
        <w:trPr>
          <w:trHeight w:hRule="exact" w:val="709"/>
          <w:tblHeader/>
        </w:trPr>
        <w:tc>
          <w:tcPr>
            <w:tcW w:w="9889" w:type="dxa"/>
            <w:gridSpan w:val="4"/>
            <w:shd w:val="clear" w:color="auto" w:fill="22413A"/>
            <w:vAlign w:val="center"/>
          </w:tcPr>
          <w:p w14:paraId="124BE1B8" w14:textId="4CDB0BA6" w:rsidR="00BE421C" w:rsidRPr="00D365AD" w:rsidRDefault="00BE421C" w:rsidP="00BE421C">
            <w:pPr>
              <w:pStyle w:val="Heading1"/>
              <w:spacing w:before="120" w:after="120"/>
              <w:rPr>
                <w:b/>
                <w:bCs/>
                <w:color w:val="FFFFFF" w:themeColor="background1"/>
                <w:sz w:val="40"/>
                <w:szCs w:val="40"/>
                <w:lang w:val="nb-NO"/>
              </w:rPr>
            </w:pPr>
            <w:bookmarkStart w:id="14" w:name="_Toc208410847"/>
            <w:r>
              <w:rPr>
                <w:color w:val="FFFFFF" w:themeColor="background1"/>
                <w:sz w:val="40"/>
                <w:szCs w:val="40"/>
                <w:lang w:val="nb-NO"/>
              </w:rPr>
              <w:t xml:space="preserve">Somerset Wildlife Trust </w:t>
            </w:r>
            <w:r w:rsidR="00E91590">
              <w:rPr>
                <w:color w:val="FFFFFF" w:themeColor="background1"/>
                <w:sz w:val="40"/>
                <w:szCs w:val="40"/>
                <w:lang w:val="nb-NO"/>
              </w:rPr>
              <w:t>(SWT)</w:t>
            </w:r>
            <w:bookmarkEnd w:id="14"/>
          </w:p>
        </w:tc>
      </w:tr>
      <w:tr w:rsidR="003653FA" w:rsidRPr="00252B8A" w14:paraId="7DED2387" w14:textId="77777777" w:rsidTr="000B2ED0">
        <w:trPr>
          <w:trHeight w:val="567"/>
          <w:tblHeader/>
        </w:trPr>
        <w:tc>
          <w:tcPr>
            <w:tcW w:w="9889" w:type="dxa"/>
            <w:gridSpan w:val="4"/>
            <w:shd w:val="clear" w:color="auto" w:fill="E8F3DA" w:themeFill="accent4" w:themeFillTint="33"/>
            <w:vAlign w:val="center"/>
          </w:tcPr>
          <w:p w14:paraId="1692199C" w14:textId="77777777" w:rsidR="003653FA" w:rsidRPr="00252B8A" w:rsidRDefault="003653FA" w:rsidP="000B2ED0">
            <w:pPr>
              <w:spacing w:after="0"/>
              <w:rPr>
                <w:color w:val="22413A"/>
              </w:rPr>
            </w:pPr>
            <w:r w:rsidRPr="00252B8A">
              <w:rPr>
                <w:color w:val="22413A"/>
              </w:rPr>
              <w:t>Consultation comment</w:t>
            </w:r>
          </w:p>
        </w:tc>
      </w:tr>
      <w:tr w:rsidR="00F81285" w:rsidRPr="00605767" w14:paraId="70DD202B" w14:textId="77777777" w:rsidTr="00F81285">
        <w:trPr>
          <w:gridAfter w:val="1"/>
          <w:wAfter w:w="817" w:type="dxa"/>
        </w:trPr>
        <w:tc>
          <w:tcPr>
            <w:tcW w:w="817" w:type="dxa"/>
          </w:tcPr>
          <w:p w14:paraId="3D6358BB" w14:textId="77777777" w:rsidR="00F81285" w:rsidRPr="00605767" w:rsidRDefault="00F81285" w:rsidP="000B2ED0">
            <w:pPr>
              <w:spacing w:before="120" w:after="120"/>
            </w:pPr>
          </w:p>
        </w:tc>
        <w:tc>
          <w:tcPr>
            <w:tcW w:w="8255" w:type="dxa"/>
            <w:gridSpan w:val="2"/>
          </w:tcPr>
          <w:p w14:paraId="5739EB6D" w14:textId="77777777" w:rsidR="006D09E4" w:rsidRDefault="00A81134" w:rsidP="00A81134">
            <w:pPr>
              <w:spacing w:before="120" w:after="120"/>
            </w:pPr>
            <w:r>
              <w:t>“</w:t>
            </w:r>
            <w:r w:rsidR="00F44606" w:rsidRPr="00F44606">
              <w:t>The exclusion of an assessment of the potential polluting effects of radioactive material in the terrestrial, freshwater and marine environments cannot be justified. The ONR cannot possibly conclude that the proposed decommissioning works will not have adverse effects on the natural environment if it cannot be excluded on the basis of available evidence, that there will be no harmful radioactive waste disposal or leakages into the land, freshwater or the marine environment</w:t>
            </w:r>
            <w:r>
              <w:t xml:space="preserve">… </w:t>
            </w:r>
          </w:p>
          <w:p w14:paraId="0D78DDAE" w14:textId="3386D8DA" w:rsidR="00F81285" w:rsidRPr="00605767" w:rsidRDefault="00A81134" w:rsidP="00A81134">
            <w:pPr>
              <w:spacing w:before="120" w:after="120"/>
            </w:pPr>
            <w:r w:rsidRPr="00A81134">
              <w:lastRenderedPageBreak/>
              <w:t>Whilst we acknowledge that the disposal of radioactive waste is not the area we assessed and comment on, it is considered to comment in relation to habitats and the wider natural environment. Any omission of detailed assessment of the potential effects of radioactive wastes (solid, particulate or liquid) on the natural environment in the submitted ES gives us cause to draw ONR to assess if it is fit for purpose to inform of the likely significant effects arising from the decommissioning process.</w:t>
            </w:r>
            <w:r>
              <w:t>”</w:t>
            </w:r>
          </w:p>
        </w:tc>
      </w:tr>
      <w:tr w:rsidR="003653FA" w:rsidRPr="00252B8A" w14:paraId="10CDCE29" w14:textId="77777777" w:rsidTr="000B2ED0">
        <w:trPr>
          <w:trHeight w:val="567"/>
        </w:trPr>
        <w:tc>
          <w:tcPr>
            <w:tcW w:w="9889" w:type="dxa"/>
            <w:gridSpan w:val="4"/>
            <w:shd w:val="clear" w:color="auto" w:fill="E8F3DA" w:themeFill="accent4" w:themeFillTint="33"/>
            <w:vAlign w:val="center"/>
          </w:tcPr>
          <w:p w14:paraId="6E280828" w14:textId="77777777" w:rsidR="003653FA" w:rsidRPr="00252B8A" w:rsidRDefault="003653FA" w:rsidP="000B2ED0">
            <w:pPr>
              <w:spacing w:after="0"/>
            </w:pPr>
            <w:r w:rsidRPr="00252B8A">
              <w:rPr>
                <w:color w:val="22413A"/>
              </w:rPr>
              <w:lastRenderedPageBreak/>
              <w:t>ONR’s response</w:t>
            </w:r>
          </w:p>
        </w:tc>
      </w:tr>
      <w:tr w:rsidR="00F81285" w:rsidRPr="00814A0E" w14:paraId="12E6B638" w14:textId="77777777" w:rsidTr="00F81285">
        <w:trPr>
          <w:gridAfter w:val="1"/>
          <w:wAfter w:w="817" w:type="dxa"/>
        </w:trPr>
        <w:tc>
          <w:tcPr>
            <w:tcW w:w="817" w:type="dxa"/>
          </w:tcPr>
          <w:p w14:paraId="4CF9B7C5" w14:textId="77777777" w:rsidR="00F81285" w:rsidRPr="00814A0E" w:rsidRDefault="00F81285" w:rsidP="000B2ED0">
            <w:pPr>
              <w:spacing w:before="120" w:after="120"/>
            </w:pPr>
          </w:p>
        </w:tc>
        <w:tc>
          <w:tcPr>
            <w:tcW w:w="8255" w:type="dxa"/>
            <w:gridSpan w:val="2"/>
          </w:tcPr>
          <w:p w14:paraId="5B6B4F0B" w14:textId="24192DB8" w:rsidR="002D7C44" w:rsidRDefault="002D7C44" w:rsidP="002D7C44">
            <w:pPr>
              <w:spacing w:before="120" w:after="120"/>
            </w:pPr>
            <w:r>
              <w:t xml:space="preserve">Chapter 2 of the ES provides a description of wastes generated, including estimated volumes, and an overview of how waste will be managed, as per </w:t>
            </w:r>
            <w:r w:rsidR="00B5170F">
              <w:t xml:space="preserve">EIADR </w:t>
            </w:r>
            <w:r>
              <w:t xml:space="preserve">requirements. Whilst radiological waste and discharges will be generated during the </w:t>
            </w:r>
            <w:r w:rsidR="00326EBF">
              <w:t>decommissioning project</w:t>
            </w:r>
            <w:r>
              <w:t>, the management of these wastes and discharges was scoped out of the ES, which was agreed with ONR</w:t>
            </w:r>
            <w:r w:rsidR="00684F3F">
              <w:t xml:space="preserve"> on the following grounds</w:t>
            </w:r>
            <w:r>
              <w:t xml:space="preserve">. </w:t>
            </w:r>
          </w:p>
          <w:p w14:paraId="196CC01C" w14:textId="58C1A03E" w:rsidR="00F81285" w:rsidRDefault="002D7C44" w:rsidP="001A12F8">
            <w:pPr>
              <w:spacing w:before="120" w:after="120"/>
            </w:pPr>
            <w:r>
              <w:t xml:space="preserve">HPB’s environmental permit issued </w:t>
            </w:r>
            <w:r w:rsidR="00A119CE">
              <w:t xml:space="preserve">by the Environment Agency </w:t>
            </w:r>
            <w:r>
              <w:t>under the Environmental Permitting (England and Wales) Regulations 2016</w:t>
            </w:r>
            <w:r w:rsidR="00A119CE">
              <w:t xml:space="preserve"> </w:t>
            </w:r>
            <w:r>
              <w:t xml:space="preserve">sets out limits and conditions relating to the disposal of solid and non-aqueous liquid radioactive wastes, including those relating to wastes arising during decommissioning. To satisfy the </w:t>
            </w:r>
            <w:r w:rsidR="000C0F8B">
              <w:t xml:space="preserve">permit </w:t>
            </w:r>
            <w:r>
              <w:t xml:space="preserve">conditions, </w:t>
            </w:r>
            <w:r w:rsidR="000C0F8B">
              <w:t>the licensee is re</w:t>
            </w:r>
            <w:r w:rsidR="004D440E">
              <w:t xml:space="preserve">quired to manage </w:t>
            </w:r>
            <w:r w:rsidR="000C0F8B">
              <w:t xml:space="preserve">radioactive waste and discharges </w:t>
            </w:r>
            <w:r w:rsidR="004D440E">
              <w:t xml:space="preserve">by </w:t>
            </w:r>
            <w:r>
              <w:t>utilising Best Available Techniques in order to minimise the volume and activity of waste discharges to the environment. The permitting regime ensures that effects from radioactive discharges and disposals to the environment are tolerable and acceptable, and hence prevents significant environmental effects from occurring.</w:t>
            </w:r>
          </w:p>
          <w:p w14:paraId="426AB676" w14:textId="4559997A" w:rsidR="0009230B" w:rsidRPr="00814A0E" w:rsidRDefault="00A41B4F" w:rsidP="00B36858">
            <w:pPr>
              <w:spacing w:before="120" w:after="120"/>
            </w:pPr>
            <w:r>
              <w:t xml:space="preserve">Any changes </w:t>
            </w:r>
            <w:r w:rsidR="00A440DE">
              <w:t xml:space="preserve">to </w:t>
            </w:r>
            <w:r w:rsidR="00A119CE">
              <w:t>radioactive waste</w:t>
            </w:r>
            <w:r w:rsidR="000427DC">
              <w:t xml:space="preserve"> disposals and discharges </w:t>
            </w:r>
            <w:r w:rsidR="006E2C9E">
              <w:t xml:space="preserve">would require a </w:t>
            </w:r>
            <w:r w:rsidR="00035065">
              <w:t xml:space="preserve">permit </w:t>
            </w:r>
            <w:r w:rsidR="006E2C9E">
              <w:t xml:space="preserve">variation and would be assessed </w:t>
            </w:r>
            <w:r w:rsidR="009806C0">
              <w:t xml:space="preserve">by the </w:t>
            </w:r>
            <w:r w:rsidR="00805DD5">
              <w:t>Environment</w:t>
            </w:r>
            <w:r w:rsidR="009806C0">
              <w:t xml:space="preserve"> Agency</w:t>
            </w:r>
            <w:r w:rsidR="00C0596F">
              <w:t xml:space="preserve">, therefore scoping these aspects </w:t>
            </w:r>
            <w:r w:rsidR="00A909DC">
              <w:t xml:space="preserve">out </w:t>
            </w:r>
            <w:r w:rsidR="00C0596F">
              <w:t xml:space="preserve">of </w:t>
            </w:r>
            <w:r w:rsidR="00B36858">
              <w:t xml:space="preserve">the EIADR application </w:t>
            </w:r>
            <w:r w:rsidR="000427DC">
              <w:t>avoid</w:t>
            </w:r>
            <w:r w:rsidR="00B36858">
              <w:t>s</w:t>
            </w:r>
            <w:r w:rsidR="000427DC">
              <w:t xml:space="preserve"> dual regulation</w:t>
            </w:r>
            <w:r w:rsidR="00B36858">
              <w:t xml:space="preserve">. </w:t>
            </w:r>
            <w:r w:rsidR="00E65266">
              <w:t xml:space="preserve">This approach is in line with ONR’s enforcement principles and </w:t>
            </w:r>
            <w:r w:rsidR="004573D5">
              <w:t>the Regulators’ Code.</w:t>
            </w:r>
          </w:p>
        </w:tc>
      </w:tr>
      <w:tr w:rsidR="003653FA" w:rsidRPr="00252B8A" w14:paraId="0AFBB15C" w14:textId="77777777" w:rsidTr="000B2ED0">
        <w:trPr>
          <w:trHeight w:val="567"/>
          <w:tblHeader/>
        </w:trPr>
        <w:tc>
          <w:tcPr>
            <w:tcW w:w="9889" w:type="dxa"/>
            <w:gridSpan w:val="4"/>
            <w:shd w:val="clear" w:color="auto" w:fill="E8F3DA" w:themeFill="accent4" w:themeFillTint="33"/>
            <w:vAlign w:val="center"/>
          </w:tcPr>
          <w:p w14:paraId="37E944A8" w14:textId="77777777" w:rsidR="003653FA" w:rsidRPr="00252B8A" w:rsidRDefault="003653FA" w:rsidP="000B2ED0">
            <w:pPr>
              <w:spacing w:after="0"/>
              <w:rPr>
                <w:color w:val="22413A"/>
              </w:rPr>
            </w:pPr>
            <w:r w:rsidRPr="00252B8A">
              <w:rPr>
                <w:color w:val="22413A"/>
              </w:rPr>
              <w:t>Consultation comment</w:t>
            </w:r>
          </w:p>
        </w:tc>
      </w:tr>
      <w:tr w:rsidR="00F81285" w:rsidRPr="00605767" w14:paraId="60E360D9" w14:textId="77777777" w:rsidTr="00F81285">
        <w:trPr>
          <w:gridAfter w:val="1"/>
          <w:wAfter w:w="817" w:type="dxa"/>
        </w:trPr>
        <w:tc>
          <w:tcPr>
            <w:tcW w:w="817" w:type="dxa"/>
          </w:tcPr>
          <w:p w14:paraId="5426DFE3" w14:textId="77777777" w:rsidR="00F81285" w:rsidRPr="00605767" w:rsidRDefault="00F81285" w:rsidP="000B2ED0">
            <w:pPr>
              <w:spacing w:before="120" w:after="120"/>
            </w:pPr>
          </w:p>
        </w:tc>
        <w:tc>
          <w:tcPr>
            <w:tcW w:w="8255" w:type="dxa"/>
            <w:gridSpan w:val="2"/>
          </w:tcPr>
          <w:p w14:paraId="74CFBF1B" w14:textId="42246651" w:rsidR="00F81285" w:rsidRPr="00605767" w:rsidRDefault="00E91590" w:rsidP="00832D79">
            <w:pPr>
              <w:spacing w:before="120" w:after="120"/>
            </w:pPr>
            <w:r>
              <w:t xml:space="preserve">SWT </w:t>
            </w:r>
            <w:r w:rsidR="00832D79">
              <w:t>considered</w:t>
            </w:r>
            <w:r>
              <w:t xml:space="preserve"> there to be insufficient evidence to support the conclusions that t</w:t>
            </w:r>
            <w:r w:rsidR="00F75830">
              <w:t xml:space="preserve">he </w:t>
            </w:r>
            <w:r w:rsidR="001371EF">
              <w:t>cooling</w:t>
            </w:r>
            <w:r w:rsidR="00A31EFF">
              <w:t xml:space="preserve"> water</w:t>
            </w:r>
            <w:r w:rsidR="001371EF">
              <w:t xml:space="preserve"> intake structure</w:t>
            </w:r>
            <w:r w:rsidR="00A31EFF">
              <w:t xml:space="preserve"> </w:t>
            </w:r>
            <w:r w:rsidR="001371EF">
              <w:t>dismantling works</w:t>
            </w:r>
            <w:r w:rsidR="00F75830">
              <w:t xml:space="preserve"> will</w:t>
            </w:r>
            <w:r w:rsidR="00832D79">
              <w:t xml:space="preserve"> not have significant effects on wildfowl and wading birds: “</w:t>
            </w:r>
            <w:r w:rsidR="00832D79" w:rsidRPr="00832D79">
              <w:t>The ES is not specific about the number of months over which these works will take place or in which months of the year and there is no commitment to restricting these works to the periods of the year when the over-wintering birds will be present or present in their greatest numbers. And there is no detail about the nature of the works themselves and what types of machinery will be used and how much noise and vibration and the extent of visual disturbance this is likely to create.</w:t>
            </w:r>
            <w:r w:rsidR="00832D79">
              <w:t>”</w:t>
            </w:r>
          </w:p>
        </w:tc>
      </w:tr>
      <w:tr w:rsidR="003653FA" w:rsidRPr="00252B8A" w14:paraId="49A27FA3" w14:textId="77777777" w:rsidTr="000B2ED0">
        <w:trPr>
          <w:trHeight w:val="567"/>
        </w:trPr>
        <w:tc>
          <w:tcPr>
            <w:tcW w:w="9889" w:type="dxa"/>
            <w:gridSpan w:val="4"/>
            <w:shd w:val="clear" w:color="auto" w:fill="E8F3DA" w:themeFill="accent4" w:themeFillTint="33"/>
            <w:vAlign w:val="center"/>
          </w:tcPr>
          <w:p w14:paraId="0E07505C" w14:textId="77777777" w:rsidR="003653FA" w:rsidRPr="00252B8A" w:rsidRDefault="003653FA" w:rsidP="000B2ED0">
            <w:pPr>
              <w:spacing w:after="0"/>
            </w:pPr>
            <w:r w:rsidRPr="00252B8A">
              <w:rPr>
                <w:color w:val="22413A"/>
              </w:rPr>
              <w:t>ONR’s response</w:t>
            </w:r>
          </w:p>
        </w:tc>
      </w:tr>
      <w:tr w:rsidR="00F81285" w:rsidRPr="00814A0E" w14:paraId="0765C4D1" w14:textId="77777777" w:rsidTr="00F81285">
        <w:trPr>
          <w:gridAfter w:val="1"/>
          <w:wAfter w:w="817" w:type="dxa"/>
        </w:trPr>
        <w:tc>
          <w:tcPr>
            <w:tcW w:w="817" w:type="dxa"/>
          </w:tcPr>
          <w:p w14:paraId="3279BC95" w14:textId="77777777" w:rsidR="00F81285" w:rsidRPr="00814A0E" w:rsidRDefault="00F81285" w:rsidP="000B2ED0">
            <w:pPr>
              <w:spacing w:before="120" w:after="120"/>
            </w:pPr>
          </w:p>
        </w:tc>
        <w:tc>
          <w:tcPr>
            <w:tcW w:w="8255" w:type="dxa"/>
            <w:gridSpan w:val="2"/>
          </w:tcPr>
          <w:p w14:paraId="0855794C" w14:textId="4D0DF61F" w:rsidR="00F81285" w:rsidRDefault="00404866" w:rsidP="00142BB1">
            <w:pPr>
              <w:spacing w:before="120" w:after="120"/>
            </w:pPr>
            <w:r>
              <w:t>Chapter 2</w:t>
            </w:r>
            <w:r w:rsidR="00A451F7">
              <w:t xml:space="preserve"> of the ES</w:t>
            </w:r>
            <w:r>
              <w:t xml:space="preserve"> provides</w:t>
            </w:r>
            <w:r w:rsidR="00A2554C">
              <w:t xml:space="preserve"> </w:t>
            </w:r>
            <w:r w:rsidR="009D4B7A">
              <w:t>a description of the works required to dismantle the cooling water intake structure</w:t>
            </w:r>
            <w:r w:rsidR="00A451F7">
              <w:t xml:space="preserve"> and</w:t>
            </w:r>
            <w:r w:rsidR="00A2554C">
              <w:t xml:space="preserve"> </w:t>
            </w:r>
            <w:r w:rsidR="005A4981">
              <w:t xml:space="preserve">Graphic </w:t>
            </w:r>
            <w:r w:rsidR="00777943">
              <w:t xml:space="preserve">2-9 provides the indicative </w:t>
            </w:r>
            <w:r w:rsidR="001371EF">
              <w:t>timeline</w:t>
            </w:r>
            <w:r w:rsidR="00777943">
              <w:t xml:space="preserve"> for the</w:t>
            </w:r>
            <w:r w:rsidR="001371EF">
              <w:t>se works</w:t>
            </w:r>
            <w:r w:rsidR="00F439A8">
              <w:t xml:space="preserve">, </w:t>
            </w:r>
            <w:r w:rsidR="00761327">
              <w:t xml:space="preserve">which is </w:t>
            </w:r>
            <w:r w:rsidR="00504ADD">
              <w:t>January to</w:t>
            </w:r>
            <w:r w:rsidR="00761327">
              <w:t xml:space="preserve"> Jun</w:t>
            </w:r>
            <w:r w:rsidR="00A451F7">
              <w:t>e</w:t>
            </w:r>
            <w:r w:rsidR="00761327">
              <w:t xml:space="preserve"> 2029 for the offshore works. </w:t>
            </w:r>
            <w:r w:rsidR="00142BB1">
              <w:t xml:space="preserve">Paragraph </w:t>
            </w:r>
            <w:r w:rsidR="00142BB1" w:rsidRPr="00142BB1">
              <w:t xml:space="preserve">8.10.33 </w:t>
            </w:r>
            <w:r w:rsidR="00142BB1">
              <w:t>of t</w:t>
            </w:r>
            <w:r w:rsidR="00E85C82">
              <w:t>he ES states that</w:t>
            </w:r>
            <w:r w:rsidR="00FC58CB">
              <w:t xml:space="preserve"> </w:t>
            </w:r>
            <w:r w:rsidR="000E68BC">
              <w:t>“</w:t>
            </w:r>
            <w:r w:rsidR="00FC58CB">
              <w:t>t</w:t>
            </w:r>
            <w:r w:rsidR="002568C3" w:rsidRPr="002568C3">
              <w:t>he operation of plant and personnel associated with the Jack-Up Barge, which will provide a working platform at single, fixed location for up to two months during the birds’ overwintering period.</w:t>
            </w:r>
            <w:r w:rsidR="000E68BC">
              <w:t>”</w:t>
            </w:r>
          </w:p>
          <w:p w14:paraId="66E48173" w14:textId="20BFB558" w:rsidR="000549F9" w:rsidRDefault="002318E2" w:rsidP="000549F9">
            <w:pPr>
              <w:spacing w:before="120" w:after="120"/>
            </w:pPr>
            <w:r>
              <w:t xml:space="preserve">EDF committed to the following embedded measure </w:t>
            </w:r>
            <w:r w:rsidR="00BA0BB5">
              <w:t xml:space="preserve">in </w:t>
            </w:r>
            <w:r w:rsidR="00FB00CB">
              <w:t>Chapter</w:t>
            </w:r>
            <w:r w:rsidR="00BA0BB5">
              <w:t xml:space="preserve"> 9 and the EMP: “</w:t>
            </w:r>
            <w:r w:rsidR="000549F9" w:rsidRPr="000549F9">
              <w:t>The deck and surrounding piles of the cooling water intake structure will be removed using conventional methods, and not using explosives, which may include use of (for example) diamond-wire cutting machines, presence of jack-up vessels/ floating cranes/ guard vessels</w:t>
            </w:r>
            <w:r w:rsidR="00BA0BB5">
              <w:t>”.</w:t>
            </w:r>
          </w:p>
          <w:p w14:paraId="28D6D516" w14:textId="77777777" w:rsidR="000E2DD2" w:rsidRDefault="0044217B" w:rsidP="000E2DD2">
            <w:pPr>
              <w:spacing w:before="120" w:after="120"/>
            </w:pPr>
            <w:r>
              <w:t>EDF has</w:t>
            </w:r>
            <w:r w:rsidR="00A512B9">
              <w:t xml:space="preserve"> also</w:t>
            </w:r>
            <w:r>
              <w:t xml:space="preserve"> committed to </w:t>
            </w:r>
            <w:r w:rsidR="00E73242">
              <w:t>the following</w:t>
            </w:r>
            <w:r w:rsidR="004C261E">
              <w:t>, as set out in the EMP: “</w:t>
            </w:r>
            <w:r w:rsidR="004C261E" w:rsidRPr="004C261E">
              <w:t>Undertaking the Proposed Works in accordance with good practice. All noisy activities to be undertaken within hours for noisy activities for construction provided by Somerset Council, except where works need to be undertaken continuously (e.g. for any concrete pours that may be required) or in case of emergencies. Where the potential for significant effects arises, applying methods, considered to be best practice, in accordance with the recommendations in BS 5228:1-2009+A1:201413, the approved code of practice for construction noise.</w:t>
            </w:r>
            <w:r w:rsidR="004C261E">
              <w:t>”</w:t>
            </w:r>
            <w:r w:rsidR="000E2DD2">
              <w:t xml:space="preserve"> </w:t>
            </w:r>
          </w:p>
          <w:p w14:paraId="7A075C1D" w14:textId="6D2EBE1A" w:rsidR="00F25567" w:rsidRPr="00814A0E" w:rsidRDefault="000E2DD2" w:rsidP="000E2DD2">
            <w:pPr>
              <w:spacing w:before="120" w:after="120"/>
            </w:pPr>
            <w:r>
              <w:t xml:space="preserve">We </w:t>
            </w:r>
            <w:r w:rsidRPr="00152628">
              <w:t>recognise that the detailed methodologies for the works are yet to be developed and that these will be required for the marine licence for the works</w:t>
            </w:r>
            <w:r>
              <w:t>, therefore we consider the information EDF provided at this stage to be sufficient.</w:t>
            </w:r>
          </w:p>
        </w:tc>
      </w:tr>
      <w:tr w:rsidR="003653FA" w:rsidRPr="00252B8A" w14:paraId="2F44F829" w14:textId="77777777" w:rsidTr="000B2ED0">
        <w:trPr>
          <w:trHeight w:val="567"/>
          <w:tblHeader/>
        </w:trPr>
        <w:tc>
          <w:tcPr>
            <w:tcW w:w="9889" w:type="dxa"/>
            <w:gridSpan w:val="4"/>
            <w:shd w:val="clear" w:color="auto" w:fill="E8F3DA" w:themeFill="accent4" w:themeFillTint="33"/>
            <w:vAlign w:val="center"/>
          </w:tcPr>
          <w:p w14:paraId="663C3833" w14:textId="77777777" w:rsidR="003653FA" w:rsidRPr="00252B8A" w:rsidRDefault="003653FA" w:rsidP="000B2ED0">
            <w:pPr>
              <w:spacing w:after="0"/>
              <w:rPr>
                <w:color w:val="22413A"/>
              </w:rPr>
            </w:pPr>
            <w:r w:rsidRPr="00252B8A">
              <w:rPr>
                <w:color w:val="22413A"/>
              </w:rPr>
              <w:t>Consultation comment</w:t>
            </w:r>
          </w:p>
        </w:tc>
      </w:tr>
      <w:tr w:rsidR="00F81285" w:rsidRPr="00605767" w14:paraId="5152CF5E" w14:textId="77777777" w:rsidTr="00F81285">
        <w:trPr>
          <w:gridAfter w:val="1"/>
          <w:wAfter w:w="817" w:type="dxa"/>
        </w:trPr>
        <w:tc>
          <w:tcPr>
            <w:tcW w:w="817" w:type="dxa"/>
          </w:tcPr>
          <w:p w14:paraId="6459AFAE" w14:textId="77777777" w:rsidR="00F81285" w:rsidRPr="00605767" w:rsidRDefault="00F81285" w:rsidP="000B2ED0">
            <w:pPr>
              <w:spacing w:before="120" w:after="120"/>
            </w:pPr>
          </w:p>
        </w:tc>
        <w:tc>
          <w:tcPr>
            <w:tcW w:w="8255" w:type="dxa"/>
            <w:gridSpan w:val="2"/>
          </w:tcPr>
          <w:p w14:paraId="03F10B80" w14:textId="5F89D608" w:rsidR="00F81285" w:rsidRPr="00605767" w:rsidRDefault="00B57500" w:rsidP="00A07F91">
            <w:pPr>
              <w:spacing w:before="120" w:after="120"/>
            </w:pPr>
            <w:r w:rsidRPr="00152628">
              <w:t xml:space="preserve">SWT suggested several ecological enhancements for EDF to implement </w:t>
            </w:r>
            <w:r w:rsidR="00191F48">
              <w:t xml:space="preserve">throughout the various phases of the project, for example, </w:t>
            </w:r>
            <w:r w:rsidRPr="00152628">
              <w:t>planting more tree saplings</w:t>
            </w:r>
            <w:r w:rsidR="00A07F91">
              <w:t xml:space="preserve"> and installing </w:t>
            </w:r>
            <w:r w:rsidR="002143F9">
              <w:t xml:space="preserve">a </w:t>
            </w:r>
            <w:r w:rsidR="00A07F91" w:rsidRPr="00A07F91">
              <w:t>hibernaculum for reptiles</w:t>
            </w:r>
            <w:r w:rsidR="002143F9">
              <w:t>.</w:t>
            </w:r>
          </w:p>
        </w:tc>
      </w:tr>
      <w:tr w:rsidR="003653FA" w:rsidRPr="00252B8A" w14:paraId="61E28EDB" w14:textId="77777777" w:rsidTr="000B2ED0">
        <w:trPr>
          <w:trHeight w:val="567"/>
        </w:trPr>
        <w:tc>
          <w:tcPr>
            <w:tcW w:w="9889" w:type="dxa"/>
            <w:gridSpan w:val="4"/>
            <w:shd w:val="clear" w:color="auto" w:fill="E8F3DA" w:themeFill="accent4" w:themeFillTint="33"/>
            <w:vAlign w:val="center"/>
          </w:tcPr>
          <w:p w14:paraId="70EA26E2" w14:textId="77777777" w:rsidR="003653FA" w:rsidRPr="00252B8A" w:rsidRDefault="003653FA" w:rsidP="000B2ED0">
            <w:pPr>
              <w:spacing w:after="0"/>
            </w:pPr>
            <w:r w:rsidRPr="00252B8A">
              <w:rPr>
                <w:color w:val="22413A"/>
              </w:rPr>
              <w:t>ONR’s response</w:t>
            </w:r>
          </w:p>
        </w:tc>
      </w:tr>
      <w:tr w:rsidR="00F81285" w:rsidRPr="00814A0E" w14:paraId="54229CD3" w14:textId="77777777" w:rsidTr="00F81285">
        <w:trPr>
          <w:gridAfter w:val="1"/>
          <w:wAfter w:w="817" w:type="dxa"/>
        </w:trPr>
        <w:tc>
          <w:tcPr>
            <w:tcW w:w="817" w:type="dxa"/>
          </w:tcPr>
          <w:p w14:paraId="2D9274C3" w14:textId="77777777" w:rsidR="00F81285" w:rsidRPr="00814A0E" w:rsidRDefault="00F81285" w:rsidP="000B2ED0">
            <w:pPr>
              <w:spacing w:before="120" w:after="120"/>
            </w:pPr>
          </w:p>
        </w:tc>
        <w:tc>
          <w:tcPr>
            <w:tcW w:w="8255" w:type="dxa"/>
            <w:gridSpan w:val="2"/>
          </w:tcPr>
          <w:p w14:paraId="4B8F50FB" w14:textId="5B3581C0" w:rsidR="00F81285" w:rsidRPr="00814A0E" w:rsidRDefault="006545DA" w:rsidP="00C87526">
            <w:pPr>
              <w:spacing w:before="120" w:after="120"/>
            </w:pPr>
            <w:r>
              <w:t xml:space="preserve">The assessment carried out by </w:t>
            </w:r>
            <w:r w:rsidR="007E6B89">
              <w:t>ONR’s specialist inspector determine</w:t>
            </w:r>
            <w:r>
              <w:t>d</w:t>
            </w:r>
            <w:r w:rsidR="007E6B89">
              <w:t xml:space="preserve"> that the </w:t>
            </w:r>
            <w:r w:rsidR="00920C55">
              <w:t>measures proposed in the ES are sufficient in reducing the impacts of the decommissioning project to an acceptable level.</w:t>
            </w:r>
            <w:r w:rsidR="007E6B89">
              <w:t xml:space="preserve"> </w:t>
            </w:r>
            <w:r w:rsidR="003E3C7B">
              <w:t xml:space="preserve">Whilst the enhancements </w:t>
            </w:r>
            <w:r w:rsidR="00931098">
              <w:t xml:space="preserve">proposed by SWT </w:t>
            </w:r>
            <w:r w:rsidR="003E3C7B">
              <w:t xml:space="preserve">would be </w:t>
            </w:r>
            <w:r w:rsidR="00920C55">
              <w:t>beneficial</w:t>
            </w:r>
            <w:r w:rsidR="007E6B89">
              <w:t xml:space="preserve"> to the environment, </w:t>
            </w:r>
            <w:r w:rsidR="008D6A47">
              <w:t xml:space="preserve">they are not required </w:t>
            </w:r>
            <w:r w:rsidR="006405EC">
              <w:t>for the</w:t>
            </w:r>
            <w:r w:rsidR="008D6A47">
              <w:t xml:space="preserve"> EIADR requirements</w:t>
            </w:r>
            <w:r w:rsidR="006405EC">
              <w:t xml:space="preserve"> to be met</w:t>
            </w:r>
            <w:r w:rsidR="00C27289">
              <w:t>.</w:t>
            </w:r>
          </w:p>
        </w:tc>
      </w:tr>
      <w:tr w:rsidR="00002BD8" w:rsidRPr="00252B8A" w14:paraId="0F371F93" w14:textId="77777777" w:rsidTr="000B2ED0">
        <w:trPr>
          <w:trHeight w:val="567"/>
          <w:tblHeader/>
        </w:trPr>
        <w:tc>
          <w:tcPr>
            <w:tcW w:w="9889" w:type="dxa"/>
            <w:gridSpan w:val="4"/>
            <w:shd w:val="clear" w:color="auto" w:fill="E8F3DA" w:themeFill="accent4" w:themeFillTint="33"/>
            <w:vAlign w:val="center"/>
          </w:tcPr>
          <w:p w14:paraId="17897416" w14:textId="77777777" w:rsidR="00002BD8" w:rsidRPr="00252B8A" w:rsidRDefault="00002BD8" w:rsidP="000B2ED0">
            <w:pPr>
              <w:spacing w:after="0"/>
              <w:rPr>
                <w:color w:val="22413A"/>
              </w:rPr>
            </w:pPr>
            <w:r w:rsidRPr="00252B8A">
              <w:rPr>
                <w:color w:val="22413A"/>
              </w:rPr>
              <w:t>Consultation comment</w:t>
            </w:r>
          </w:p>
        </w:tc>
      </w:tr>
      <w:tr w:rsidR="00002BD8" w:rsidRPr="00605767" w14:paraId="665E6266" w14:textId="77777777" w:rsidTr="000B2ED0">
        <w:tc>
          <w:tcPr>
            <w:tcW w:w="817" w:type="dxa"/>
          </w:tcPr>
          <w:p w14:paraId="50C30AFD" w14:textId="77777777" w:rsidR="00002BD8" w:rsidRDefault="00002BD8" w:rsidP="000B2ED0">
            <w:pPr>
              <w:spacing w:before="120"/>
            </w:pPr>
          </w:p>
        </w:tc>
        <w:tc>
          <w:tcPr>
            <w:tcW w:w="9072" w:type="dxa"/>
            <w:gridSpan w:val="3"/>
          </w:tcPr>
          <w:p w14:paraId="41422530" w14:textId="77777777" w:rsidR="00002BD8" w:rsidRDefault="003C5992" w:rsidP="003C5992">
            <w:pPr>
              <w:spacing w:before="120" w:after="120"/>
            </w:pPr>
            <w:r>
              <w:t>“</w:t>
            </w:r>
            <w:r w:rsidRPr="003C5992">
              <w:t>Surveys to inform the ES recorded a number of Schedule 1 bird species breeding within the application site, most notably Peregrine falcon and Cetti’s warbler. The ES acknowledges that these bird species are likely to be impacted by the proposed works and could be displaced from their nesting sites. As there is no acknowledgement that these disturbance impacts could be unlawful as per Section 1 5) of the Wildlife and Countryside Act,1981 (as amended)</w:t>
            </w:r>
            <w:r>
              <w:t xml:space="preserve">… </w:t>
            </w:r>
          </w:p>
          <w:p w14:paraId="65897BC7" w14:textId="4E577F66" w:rsidR="003C5992" w:rsidRPr="00605767" w:rsidRDefault="003C5992" w:rsidP="003C5992">
            <w:pPr>
              <w:spacing w:before="120" w:after="120"/>
            </w:pPr>
            <w:r w:rsidRPr="003C5992">
              <w:lastRenderedPageBreak/>
              <w:t>The ES should acknowledge that any works that could result in offences under this or any other legal provisions must be subject to the necessary mitigation and compensation measures, which may require the operations to be licenced by Natural England.</w:t>
            </w:r>
            <w:r>
              <w:t>”</w:t>
            </w:r>
          </w:p>
        </w:tc>
      </w:tr>
      <w:tr w:rsidR="00002BD8" w:rsidRPr="00252B8A" w14:paraId="503E53F6" w14:textId="77777777" w:rsidTr="000B2ED0">
        <w:trPr>
          <w:trHeight w:val="567"/>
        </w:trPr>
        <w:tc>
          <w:tcPr>
            <w:tcW w:w="9889" w:type="dxa"/>
            <w:gridSpan w:val="4"/>
            <w:shd w:val="clear" w:color="auto" w:fill="E8F3DA" w:themeFill="accent4" w:themeFillTint="33"/>
            <w:vAlign w:val="center"/>
          </w:tcPr>
          <w:p w14:paraId="4DF1CC7A" w14:textId="77777777" w:rsidR="00002BD8" w:rsidRPr="00252B8A" w:rsidRDefault="00002BD8" w:rsidP="000B2ED0">
            <w:pPr>
              <w:spacing w:after="0"/>
            </w:pPr>
            <w:r w:rsidRPr="00252B8A">
              <w:rPr>
                <w:color w:val="22413A"/>
              </w:rPr>
              <w:lastRenderedPageBreak/>
              <w:t>ONR’s response</w:t>
            </w:r>
          </w:p>
        </w:tc>
      </w:tr>
      <w:tr w:rsidR="00002BD8" w:rsidRPr="00814A0E" w14:paraId="6F7EA568" w14:textId="77777777" w:rsidTr="000B2ED0">
        <w:tc>
          <w:tcPr>
            <w:tcW w:w="817" w:type="dxa"/>
          </w:tcPr>
          <w:p w14:paraId="0227F6F0" w14:textId="77777777" w:rsidR="00002BD8" w:rsidRDefault="00002BD8" w:rsidP="000B2ED0">
            <w:pPr>
              <w:spacing w:before="120"/>
              <w:jc w:val="center"/>
            </w:pPr>
          </w:p>
        </w:tc>
        <w:tc>
          <w:tcPr>
            <w:tcW w:w="9072" w:type="dxa"/>
            <w:gridSpan w:val="3"/>
          </w:tcPr>
          <w:p w14:paraId="5238FE3F" w14:textId="1498297C" w:rsidR="00002BD8" w:rsidRPr="00814A0E" w:rsidRDefault="006E5DB3" w:rsidP="000B2ED0">
            <w:pPr>
              <w:spacing w:before="120" w:after="120"/>
            </w:pPr>
            <w:r>
              <w:t xml:space="preserve">We acknowledge this </w:t>
            </w:r>
            <w:r w:rsidR="00E978FB">
              <w:t xml:space="preserve">and expect the licensee to comply with all relevant </w:t>
            </w:r>
            <w:r w:rsidR="00446717">
              <w:t>legislation</w:t>
            </w:r>
            <w:r w:rsidR="00E978FB">
              <w:t xml:space="preserve">. </w:t>
            </w:r>
            <w:r w:rsidR="00D17C18">
              <w:t xml:space="preserve">We did not require the licensee to update the ES with this </w:t>
            </w:r>
            <w:r w:rsidR="00E05799">
              <w:t xml:space="preserve">information since it </w:t>
            </w:r>
            <w:r w:rsidR="00994993">
              <w:t>is not considered to</w:t>
            </w:r>
            <w:r w:rsidR="00E05799">
              <w:t xml:space="preserve"> impact the conclusion of the ES.</w:t>
            </w:r>
          </w:p>
        </w:tc>
      </w:tr>
    </w:tbl>
    <w:p w14:paraId="30C787F3" w14:textId="77777777" w:rsidR="007F7DF7" w:rsidRDefault="007F7DF7" w:rsidP="007F7DF7">
      <w:pPr>
        <w:pStyle w:val="ListParagraph"/>
        <w:rPr>
          <w:b/>
          <w:bCs/>
        </w:rPr>
      </w:pPr>
    </w:p>
    <w:p w14:paraId="077848F0" w14:textId="4142A89B" w:rsidR="001A2531" w:rsidRDefault="001A2531">
      <w:pPr>
        <w:spacing w:after="0" w:line="240" w:lineRule="auto"/>
        <w:rPr>
          <w:b/>
          <w:bCs/>
        </w:rPr>
        <w:sectPr w:rsidR="001A2531" w:rsidSect="00FF714C">
          <w:pgSz w:w="11906" w:h="16838" w:code="9"/>
          <w:pgMar w:top="986" w:right="1080" w:bottom="1440" w:left="1080" w:header="397" w:footer="0" w:gutter="0"/>
          <w:cols w:space="312"/>
          <w:docGrid w:linePitch="360"/>
        </w:sectPr>
      </w:pPr>
    </w:p>
    <w:p w14:paraId="540D7E5B" w14:textId="019D3A99" w:rsidR="006E70F8" w:rsidRDefault="00B6269A" w:rsidP="006E70F8">
      <w:pPr>
        <w:pStyle w:val="Heading1"/>
      </w:pPr>
      <w:bookmarkStart w:id="15" w:name="_Toc88503669"/>
      <w:bookmarkStart w:id="16" w:name="_Toc208410848"/>
      <w:r>
        <w:lastRenderedPageBreak/>
        <w:t>Conclusions</w:t>
      </w:r>
      <w:bookmarkEnd w:id="15"/>
      <w:bookmarkEnd w:id="16"/>
    </w:p>
    <w:p w14:paraId="093A2FD6" w14:textId="627268C6" w:rsidR="000154C5" w:rsidRDefault="00F53B2F" w:rsidP="00832709">
      <w:r>
        <w:t>We have</w:t>
      </w:r>
      <w:r w:rsidR="00E13F14">
        <w:t xml:space="preserve"> </w:t>
      </w:r>
      <w:r w:rsidR="00FD47B4">
        <w:t xml:space="preserve">carefully </w:t>
      </w:r>
      <w:r w:rsidR="00E13F14">
        <w:t>reviewed and</w:t>
      </w:r>
      <w:r w:rsidR="006C3835">
        <w:t xml:space="preserve"> </w:t>
      </w:r>
      <w:r w:rsidR="00645823">
        <w:t xml:space="preserve">considered all of the </w:t>
      </w:r>
      <w:r w:rsidR="00D304CD" w:rsidRPr="00D304CD">
        <w:t>consultation responses received</w:t>
      </w:r>
      <w:r w:rsidR="00994993">
        <w:t xml:space="preserve"> </w:t>
      </w:r>
      <w:r w:rsidR="00E941CE">
        <w:t xml:space="preserve">and </w:t>
      </w:r>
      <w:r w:rsidR="008E58DB">
        <w:t>have</w:t>
      </w:r>
      <w:r w:rsidR="00E941CE">
        <w:t xml:space="preserve"> raised </w:t>
      </w:r>
      <w:r w:rsidR="00DB33FD">
        <w:t xml:space="preserve">matters </w:t>
      </w:r>
      <w:r w:rsidR="00326F7D">
        <w:t xml:space="preserve">where necessary </w:t>
      </w:r>
      <w:r w:rsidR="00035BB0">
        <w:t>for completing the assessment of the EIADR application.</w:t>
      </w:r>
      <w:r w:rsidR="00DB33FD">
        <w:t xml:space="preserve"> </w:t>
      </w:r>
    </w:p>
    <w:p w14:paraId="658B1BE8" w14:textId="03D5C373" w:rsidR="000154C5" w:rsidRDefault="0060057B" w:rsidP="00832709">
      <w:r>
        <w:t>Based</w:t>
      </w:r>
      <w:r w:rsidR="00093398">
        <w:t xml:space="preserve"> on the </w:t>
      </w:r>
      <w:r>
        <w:t>responses</w:t>
      </w:r>
      <w:r w:rsidR="00093398">
        <w:t xml:space="preserve"> </w:t>
      </w:r>
      <w:r>
        <w:t>received</w:t>
      </w:r>
      <w:r w:rsidR="000154C5">
        <w:t>,</w:t>
      </w:r>
      <w:r w:rsidR="00FD1BB6">
        <w:t xml:space="preserve"> </w:t>
      </w:r>
      <w:r w:rsidR="00841515">
        <w:t xml:space="preserve">we considered it </w:t>
      </w:r>
      <w:r w:rsidR="00EE4140">
        <w:t>necessary</w:t>
      </w:r>
      <w:r w:rsidR="00841515">
        <w:t xml:space="preserve"> </w:t>
      </w:r>
      <w:r w:rsidR="005051F9">
        <w:t xml:space="preserve">to </w:t>
      </w:r>
      <w:r>
        <w:t>r</w:t>
      </w:r>
      <w:r w:rsidR="005051F9">
        <w:t xml:space="preserve">equest </w:t>
      </w:r>
      <w:r w:rsidR="00841515">
        <w:t xml:space="preserve">further evidence from the </w:t>
      </w:r>
      <w:r w:rsidR="005051F9">
        <w:t xml:space="preserve">licensee to support </w:t>
      </w:r>
      <w:r w:rsidR="00EC3106">
        <w:t xml:space="preserve">some of </w:t>
      </w:r>
      <w:r w:rsidR="00841515">
        <w:t>t</w:t>
      </w:r>
      <w:r w:rsidR="005051F9">
        <w:t>he conclusions of the ES and the HRA</w:t>
      </w:r>
      <w:r w:rsidR="00877F63">
        <w:t xml:space="preserve"> and</w:t>
      </w:r>
      <w:r w:rsidR="00C837B5">
        <w:t xml:space="preserve"> to confirm</w:t>
      </w:r>
      <w:r w:rsidR="00877F63">
        <w:t xml:space="preserve"> the adequacy of the measures </w:t>
      </w:r>
      <w:r w:rsidR="008D2605">
        <w:t xml:space="preserve">EDF </w:t>
      </w:r>
      <w:r w:rsidR="00877F63">
        <w:t>proposed to reduce</w:t>
      </w:r>
      <w:r w:rsidR="00602C53">
        <w:t xml:space="preserve"> the</w:t>
      </w:r>
      <w:r w:rsidR="00877F63">
        <w:t xml:space="preserve"> </w:t>
      </w:r>
      <w:r w:rsidR="00837FE2">
        <w:t>environmental</w:t>
      </w:r>
      <w:r w:rsidR="00877F63">
        <w:t xml:space="preserve"> impacts to</w:t>
      </w:r>
      <w:r w:rsidR="00837FE2">
        <w:t xml:space="preserve"> an acceptable level</w:t>
      </w:r>
      <w:r w:rsidR="005051F9">
        <w:t>.</w:t>
      </w:r>
      <w:r w:rsidR="00406429">
        <w:t xml:space="preserve"> After consideration of the evidence submitted, ONR’s specialist inspector did not consider the outcome </w:t>
      </w:r>
      <w:r w:rsidR="00FE7B4C">
        <w:t xml:space="preserve">of the </w:t>
      </w:r>
      <w:r w:rsidR="00CC5607">
        <w:t>ES and HRA</w:t>
      </w:r>
      <w:r w:rsidR="00160DEC">
        <w:t xml:space="preserve"> to have changed</w:t>
      </w:r>
      <w:r w:rsidR="00CC5607">
        <w:t>.</w:t>
      </w:r>
      <w:r w:rsidR="00841515">
        <w:t xml:space="preserve"> </w:t>
      </w:r>
    </w:p>
    <w:p w14:paraId="2C864CAE" w14:textId="52FCF123" w:rsidR="003B3D99" w:rsidRDefault="003B3D99" w:rsidP="00832709">
      <w:r w:rsidRPr="003B3D99">
        <w:t xml:space="preserve">The consultees raised a number of topics that were relevant to the decommissioning process but which did not necessarily require detailed consideration under </w:t>
      </w:r>
      <w:r w:rsidR="00C34EB3">
        <w:t>the</w:t>
      </w:r>
      <w:r w:rsidRPr="003B3D99">
        <w:t xml:space="preserve"> EIADR</w:t>
      </w:r>
      <w:r w:rsidR="00C34EB3">
        <w:t xml:space="preserve"> process</w:t>
      </w:r>
      <w:r w:rsidRPr="003B3D99">
        <w:t xml:space="preserve">. Consultees also raised a number of topics that </w:t>
      </w:r>
      <w:r w:rsidR="00A446A0">
        <w:t>we</w:t>
      </w:r>
      <w:r w:rsidRPr="003B3D99">
        <w:t xml:space="preserve"> consider ha</w:t>
      </w:r>
      <w:r w:rsidR="00A446A0">
        <w:t>ve</w:t>
      </w:r>
      <w:r w:rsidRPr="003B3D99">
        <w:t xml:space="preserve"> been dealt with reasonably in the </w:t>
      </w:r>
      <w:r w:rsidR="002077C4">
        <w:t>application documents</w:t>
      </w:r>
      <w:r w:rsidRPr="003B3D99">
        <w:t xml:space="preserve">, when the long timescale of the project and resulting uncertainties are taken into account. Consequently, </w:t>
      </w:r>
      <w:r w:rsidR="00FB12CB">
        <w:t xml:space="preserve">it is </w:t>
      </w:r>
      <w:r w:rsidR="00B82BCB">
        <w:t>for these reasons</w:t>
      </w:r>
      <w:r w:rsidR="00FB12CB">
        <w:t xml:space="preserve"> that</w:t>
      </w:r>
      <w:r w:rsidR="00B82BCB">
        <w:t xml:space="preserve"> </w:t>
      </w:r>
      <w:r w:rsidR="00A446A0">
        <w:t>we</w:t>
      </w:r>
      <w:r w:rsidRPr="003B3D99">
        <w:t xml:space="preserve"> </w:t>
      </w:r>
      <w:r w:rsidR="00B82BCB">
        <w:t xml:space="preserve">have </w:t>
      </w:r>
      <w:r w:rsidRPr="003B3D99">
        <w:t>decided not to pursue such topics</w:t>
      </w:r>
      <w:r w:rsidR="00FB12CB">
        <w:t>.</w:t>
      </w:r>
    </w:p>
    <w:p w14:paraId="73320376" w14:textId="32D3602F" w:rsidR="00321689" w:rsidRDefault="00D304CD" w:rsidP="00832709">
      <w:r w:rsidRPr="00D304CD">
        <w:t>Along with the publication of this consultation response document, we have published</w:t>
      </w:r>
      <w:r w:rsidR="005B13AC">
        <w:t xml:space="preserve"> </w:t>
      </w:r>
      <w:r w:rsidR="009C46F8">
        <w:t>the</w:t>
      </w:r>
      <w:r w:rsidR="00C90377">
        <w:t xml:space="preserve"> </w:t>
      </w:r>
      <w:r w:rsidR="00CC03D2">
        <w:t xml:space="preserve">full </w:t>
      </w:r>
      <w:r w:rsidR="00321689">
        <w:t>individual</w:t>
      </w:r>
      <w:r w:rsidR="00C90377">
        <w:t xml:space="preserve"> responses received to the consultation</w:t>
      </w:r>
      <w:r w:rsidR="00321689">
        <w:t xml:space="preserve"> exercise</w:t>
      </w:r>
      <w:r w:rsidR="00C90377">
        <w:t xml:space="preserve"> and</w:t>
      </w:r>
      <w:r w:rsidRPr="00D304CD">
        <w:t xml:space="preserve"> our </w:t>
      </w:r>
      <w:r w:rsidR="00D84536">
        <w:t>Project Assessment Report.</w:t>
      </w:r>
      <w:r w:rsidR="00832709">
        <w:t xml:space="preserve"> </w:t>
      </w:r>
    </w:p>
    <w:p w14:paraId="457A699A" w14:textId="23F4ACBA" w:rsidR="005A1E6F" w:rsidRDefault="00FB12CB" w:rsidP="009E07C2">
      <w:r>
        <w:t>We</w:t>
      </w:r>
      <w:r w:rsidR="00D304CD" w:rsidRPr="00D304CD">
        <w:t xml:space="preserve"> will continue to engage with and keep stakeholders informed of </w:t>
      </w:r>
      <w:r w:rsidR="00AF5986">
        <w:t>future EIADR applications.</w:t>
      </w:r>
    </w:p>
    <w:p w14:paraId="64245DD6" w14:textId="78936E94" w:rsidR="00D82A0A" w:rsidRDefault="00D82A0A" w:rsidP="009E07C2">
      <w:pPr>
        <w:sectPr w:rsidR="00D82A0A" w:rsidSect="00935D3F">
          <w:pgSz w:w="11906" w:h="16838" w:code="9"/>
          <w:pgMar w:top="1440" w:right="1080" w:bottom="1440" w:left="1080" w:header="397" w:footer="397" w:gutter="0"/>
          <w:cols w:space="312"/>
          <w:docGrid w:linePitch="360"/>
        </w:sectPr>
      </w:pPr>
    </w:p>
    <w:p w14:paraId="137D2054" w14:textId="77777777" w:rsidR="00B82646" w:rsidRDefault="00B82646" w:rsidP="00B82646"/>
    <w:p w14:paraId="424DF84E" w14:textId="77777777" w:rsidR="00B82646" w:rsidRDefault="00B82646" w:rsidP="00B82646"/>
    <w:p w14:paraId="443B8E3E" w14:textId="77777777" w:rsidR="00B82646" w:rsidRDefault="00B82646" w:rsidP="00B82646"/>
    <w:p w14:paraId="3BCCCC6C" w14:textId="77777777" w:rsidR="00B82646" w:rsidRDefault="00B82646" w:rsidP="00B82646"/>
    <w:p w14:paraId="3ACB144A" w14:textId="77777777" w:rsidR="00B82646" w:rsidRDefault="00B82646" w:rsidP="00B82646"/>
    <w:p w14:paraId="1BD6388C" w14:textId="77777777" w:rsidR="00B82646" w:rsidRDefault="00B82646" w:rsidP="00B82646"/>
    <w:p w14:paraId="0444084A" w14:textId="77777777" w:rsidR="00B82646" w:rsidRDefault="00B82646" w:rsidP="00B82646"/>
    <w:p w14:paraId="40FE9F8D" w14:textId="77777777" w:rsidR="00B82646" w:rsidRDefault="00B82646" w:rsidP="00B82646"/>
    <w:p w14:paraId="033BC58F" w14:textId="77777777" w:rsidR="00B82646" w:rsidRDefault="00B82646" w:rsidP="00B82646"/>
    <w:p w14:paraId="2716B08E" w14:textId="77777777" w:rsidR="00B82646" w:rsidRDefault="00B82646" w:rsidP="00B82646"/>
    <w:p w14:paraId="2C7FF482" w14:textId="77777777" w:rsidR="00B82646" w:rsidRDefault="00B82646" w:rsidP="00B82646"/>
    <w:p w14:paraId="43D3DD31" w14:textId="77777777" w:rsidR="00B82646" w:rsidRDefault="00B82646" w:rsidP="00B82646"/>
    <w:p w14:paraId="31D982F5" w14:textId="77777777" w:rsidR="00B82646" w:rsidRDefault="00B82646" w:rsidP="00B82646"/>
    <w:p w14:paraId="0081C8E6" w14:textId="77777777" w:rsidR="00B82646" w:rsidRDefault="00B82646" w:rsidP="00B82646"/>
    <w:p w14:paraId="0E04D582" w14:textId="77777777" w:rsidR="00B82646" w:rsidRDefault="00B82646" w:rsidP="00B82646"/>
    <w:p w14:paraId="6A7F874F" w14:textId="77777777" w:rsidR="00B82646" w:rsidRDefault="00B82646" w:rsidP="00B82646"/>
    <w:p w14:paraId="3976D80D" w14:textId="77777777" w:rsidR="00B82646" w:rsidRDefault="00B82646" w:rsidP="00B82646"/>
    <w:p w14:paraId="1F4B2D90" w14:textId="77777777" w:rsidR="00B82646" w:rsidRDefault="00B82646" w:rsidP="00B82646"/>
    <w:p w14:paraId="221FA1B1" w14:textId="77777777" w:rsidR="00B82646" w:rsidRDefault="00B82646" w:rsidP="00B82646"/>
    <w:p w14:paraId="328AB581" w14:textId="77777777" w:rsidR="00B82646" w:rsidRDefault="00B82646" w:rsidP="00B82646"/>
    <w:p w14:paraId="0E61E42B" w14:textId="77777777" w:rsidR="00B82646" w:rsidRDefault="00B82646" w:rsidP="00B82646"/>
    <w:p w14:paraId="5C7AF1FA" w14:textId="77777777" w:rsidR="00B82646" w:rsidRDefault="00B82646" w:rsidP="00B82646"/>
    <w:p w14:paraId="73A1F209" w14:textId="77777777" w:rsidR="00B82646" w:rsidRDefault="00B82646" w:rsidP="00B82646"/>
    <w:p w14:paraId="7978DDF9" w14:textId="77777777" w:rsidR="00B82646" w:rsidRDefault="00B82646" w:rsidP="00B82646"/>
    <w:p w14:paraId="4435EC74" w14:textId="77777777" w:rsidR="001B248E" w:rsidRDefault="001B248E" w:rsidP="00B82646">
      <w:pPr>
        <w:pStyle w:val="Copyright"/>
      </w:pPr>
    </w:p>
    <w:p w14:paraId="70BAECF7" w14:textId="5817C10F" w:rsidR="00B82646" w:rsidRDefault="00B82646" w:rsidP="00B82646">
      <w:pPr>
        <w:pStyle w:val="Copyright"/>
      </w:pPr>
      <w:r>
        <w:t xml:space="preserve">Any enquiries related to this document should be sent to </w:t>
      </w:r>
      <w:hyperlink r:id="rId18" w:history="1">
        <w:r w:rsidR="00830FEF" w:rsidRPr="00F60C66">
          <w:rPr>
            <w:rStyle w:val="Hyperlink"/>
            <w:color w:val="07716C"/>
          </w:rPr>
          <w:t>contact@onr.gov.uk</w:t>
        </w:r>
      </w:hyperlink>
    </w:p>
    <w:p w14:paraId="41C10C56" w14:textId="77777777" w:rsidR="00830FEF" w:rsidRDefault="00830FEF" w:rsidP="00B82646">
      <w:pPr>
        <w:pStyle w:val="Copyright"/>
      </w:pPr>
    </w:p>
    <w:p w14:paraId="4E21BD29" w14:textId="6994E900" w:rsidR="00B82646" w:rsidRDefault="00B82646" w:rsidP="00B82646">
      <w:pPr>
        <w:pStyle w:val="Copyright"/>
      </w:pPr>
      <w:r>
        <w:t>Published</w:t>
      </w:r>
      <w:r w:rsidR="00B6050C">
        <w:t xml:space="preserve"> </w:t>
      </w:r>
      <w:r w:rsidR="009859BB">
        <w:t>October</w:t>
      </w:r>
      <w:r w:rsidR="007271F2">
        <w:t xml:space="preserve"> 2025</w:t>
      </w:r>
    </w:p>
    <w:p w14:paraId="0A922F02" w14:textId="4E48CECD" w:rsidR="00F76300" w:rsidRDefault="00F76300" w:rsidP="00B82646">
      <w:pPr>
        <w:pStyle w:val="Copyright"/>
      </w:pPr>
      <w:r w:rsidRPr="00F76300">
        <w:t xml:space="preserve">© Office for Nuclear Regulation, </w:t>
      </w:r>
      <w:r w:rsidR="00E45E93">
        <w:t>202</w:t>
      </w:r>
      <w:r w:rsidR="007271F2">
        <w:t>5</w:t>
      </w:r>
    </w:p>
    <w:sectPr w:rsidR="00F76300" w:rsidSect="00B82646">
      <w:headerReference w:type="default" r:id="rId19"/>
      <w:footerReference w:type="default" r:id="rId20"/>
      <w:pgSz w:w="11906" w:h="16838" w:code="9"/>
      <w:pgMar w:top="1440" w:right="1080" w:bottom="1440" w:left="1080" w:header="397" w:footer="397" w:gutter="0"/>
      <w:cols w:space="31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3B7DF" w14:textId="77777777" w:rsidR="00CF5666" w:rsidRDefault="00CF5666" w:rsidP="007D199A">
      <w:pPr>
        <w:spacing w:after="0"/>
      </w:pPr>
      <w:r>
        <w:separator/>
      </w:r>
    </w:p>
    <w:p w14:paraId="7F71C8B0" w14:textId="77777777" w:rsidR="00CF5666" w:rsidRDefault="00CF5666"/>
  </w:endnote>
  <w:endnote w:type="continuationSeparator" w:id="0">
    <w:p w14:paraId="1AE2F024" w14:textId="77777777" w:rsidR="00CF5666" w:rsidRDefault="00CF5666" w:rsidP="007D199A">
      <w:pPr>
        <w:spacing w:after="0"/>
      </w:pPr>
      <w:r>
        <w:continuationSeparator/>
      </w:r>
    </w:p>
    <w:p w14:paraId="0F2342CA" w14:textId="77777777" w:rsidR="00CF5666" w:rsidRDefault="00CF5666"/>
  </w:endnote>
  <w:endnote w:type="continuationNotice" w:id="1">
    <w:p w14:paraId="01DD80CA" w14:textId="77777777" w:rsidR="00CF5666" w:rsidRDefault="00CF56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rEavesXLModOT">
    <w:altName w:val="Calibri"/>
    <w:panose1 w:val="00000000000000000000"/>
    <w:charset w:val="00"/>
    <w:family w:val="swiss"/>
    <w:notTrueType/>
    <w:pitch w:val="variable"/>
    <w:sig w:usb0="0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CE93" w14:textId="77777777" w:rsidR="00CE617B" w:rsidRDefault="00CE617B" w:rsidP="008229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9981F" w14:textId="77777777" w:rsidR="00CE617B" w:rsidRPr="00CE6198" w:rsidRDefault="00CE617B" w:rsidP="008229BA">
    <w:pPr>
      <w:pStyle w:val="Footer"/>
      <w:rPr>
        <w:rStyle w:val="PageNumbe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0E080" w14:textId="77777777" w:rsidR="00CE617B" w:rsidRPr="008C50C3" w:rsidRDefault="00CE617B" w:rsidP="008229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8092720"/>
      <w:docPartObj>
        <w:docPartGallery w:val="Page Numbers (Bottom of Page)"/>
        <w:docPartUnique/>
      </w:docPartObj>
    </w:sdtPr>
    <w:sdtEndPr>
      <w:rPr>
        <w:noProof/>
        <w:color w:val="07716C"/>
      </w:rPr>
    </w:sdtEndPr>
    <w:sdtContent>
      <w:p w14:paraId="0EC22D1C" w14:textId="7E6CF176" w:rsidR="00CE617B" w:rsidRPr="00AC7165" w:rsidRDefault="00AC7165" w:rsidP="00AC7165">
        <w:pPr>
          <w:pStyle w:val="Footer"/>
          <w:rPr>
            <w:rStyle w:val="PageNumber"/>
            <w:color w:val="07716C"/>
            <w:sz w:val="24"/>
          </w:rPr>
        </w:pPr>
        <w:r w:rsidRPr="00AC7165">
          <w:rPr>
            <w:color w:val="07716C"/>
          </w:rPr>
          <w:fldChar w:fldCharType="begin"/>
        </w:r>
        <w:r w:rsidRPr="00AC7165">
          <w:rPr>
            <w:color w:val="07716C"/>
          </w:rPr>
          <w:instrText xml:space="preserve"> PAGE   \* MERGEFORMAT </w:instrText>
        </w:r>
        <w:r w:rsidRPr="00AC7165">
          <w:rPr>
            <w:color w:val="07716C"/>
          </w:rPr>
          <w:fldChar w:fldCharType="separate"/>
        </w:r>
        <w:r w:rsidRPr="00AC7165">
          <w:rPr>
            <w:noProof/>
            <w:color w:val="07716C"/>
          </w:rPr>
          <w:t>2</w:t>
        </w:r>
        <w:r w:rsidRPr="00AC7165">
          <w:rPr>
            <w:noProof/>
            <w:color w:val="07716C"/>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F94BB" w14:textId="77777777" w:rsidR="00CE617B" w:rsidRPr="00B82646" w:rsidRDefault="00CE617B" w:rsidP="00B82646">
    <w:pPr>
      <w:pStyle w:val="Footer"/>
      <w:rPr>
        <w:rStyle w:val="PageNumber"/>
        <w:color w:val="22413A"/>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F47A6" w14:textId="77777777" w:rsidR="00CF5666" w:rsidRPr="005E0344" w:rsidRDefault="00CF5666" w:rsidP="005E0344">
      <w:pPr>
        <w:spacing w:after="120"/>
        <w:rPr>
          <w:color w:val="000000" w:themeColor="text2"/>
        </w:rPr>
      </w:pPr>
      <w:r w:rsidRPr="005E0344">
        <w:rPr>
          <w:color w:val="000000" w:themeColor="text2"/>
        </w:rPr>
        <w:separator/>
      </w:r>
    </w:p>
  </w:footnote>
  <w:footnote w:type="continuationSeparator" w:id="0">
    <w:p w14:paraId="6A0D3B0B" w14:textId="77777777" w:rsidR="00CF5666" w:rsidRPr="005E0344" w:rsidRDefault="00CF5666" w:rsidP="0090581D">
      <w:pPr>
        <w:spacing w:after="120"/>
        <w:rPr>
          <w:color w:val="000000" w:themeColor="text2"/>
        </w:rPr>
      </w:pPr>
      <w:r w:rsidRPr="005E0344">
        <w:rPr>
          <w:color w:val="000000" w:themeColor="text2"/>
        </w:rPr>
        <w:continuationSeparator/>
      </w:r>
    </w:p>
    <w:p w14:paraId="189F0ADC" w14:textId="77777777" w:rsidR="00CF5666" w:rsidRDefault="00CF5666"/>
  </w:footnote>
  <w:footnote w:type="continuationNotice" w:id="1">
    <w:p w14:paraId="7B7AC401" w14:textId="77777777" w:rsidR="00CF5666" w:rsidRDefault="00CF5666">
      <w:pPr>
        <w:spacing w:after="0"/>
      </w:pPr>
    </w:p>
    <w:p w14:paraId="2FBE419E" w14:textId="77777777" w:rsidR="00CF5666" w:rsidRDefault="00CF56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95105" w14:textId="77777777" w:rsidR="00CE617B" w:rsidRDefault="00CE617B" w:rsidP="00091EEA">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4B36F" w14:textId="77777777" w:rsidR="00CE617B" w:rsidRPr="00267815" w:rsidRDefault="00CE617B" w:rsidP="002572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65257" w14:textId="77777777" w:rsidR="00CE617B" w:rsidRDefault="00CE617B" w:rsidP="00091EEA">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7FA06" w14:textId="77777777" w:rsidR="00CE617B" w:rsidRPr="008C50C3" w:rsidRDefault="00CE617B" w:rsidP="0025728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AE1C" w14:textId="03C0C636" w:rsidR="00CE617B" w:rsidRPr="00DF1289" w:rsidRDefault="00DF1289" w:rsidP="00DF1289">
    <w:pPr>
      <w:pStyle w:val="Header"/>
    </w:pPr>
    <w:r w:rsidRPr="00364E8D">
      <w:t xml:space="preserve">Response to consultation on </w:t>
    </w:r>
    <w:r>
      <w:t xml:space="preserve">the application for </w:t>
    </w:r>
    <w:r w:rsidR="00D22625">
      <w:t xml:space="preserve">EIADR </w:t>
    </w:r>
    <w:r>
      <w:t xml:space="preserve">consent for </w:t>
    </w:r>
    <w:r w:rsidR="00110AF8">
      <w:t>Hinkley Point</w:t>
    </w:r>
    <w:r>
      <w:t xml:space="preserve"> B</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56DE3" w14:textId="77777777" w:rsidR="00CE617B" w:rsidRPr="00B82646" w:rsidRDefault="00CE617B" w:rsidP="00B82646">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B08F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4C42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412F5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3406A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78D9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8CC2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004E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8BAEE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0E97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3A33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762BB"/>
    <w:multiLevelType w:val="hybridMultilevel"/>
    <w:tmpl w:val="BC92A5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5B94A56"/>
    <w:multiLevelType w:val="hybridMultilevel"/>
    <w:tmpl w:val="BC92A532"/>
    <w:lvl w:ilvl="0" w:tplc="6DE692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C28014E"/>
    <w:multiLevelType w:val="hybridMultilevel"/>
    <w:tmpl w:val="BC92A5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FFA1432"/>
    <w:multiLevelType w:val="hybridMultilevel"/>
    <w:tmpl w:val="CB2C026C"/>
    <w:lvl w:ilvl="0" w:tplc="669CE10E">
      <w:start w:val="1"/>
      <w:numFmt w:val="decimal"/>
      <w:lvlText w:val="%1."/>
      <w:lvlJc w:val="left"/>
      <w:pPr>
        <w:ind w:left="720" w:hanging="360"/>
      </w:pPr>
      <w:rPr>
        <w:rFonts w:hint="default"/>
        <w:color w:val="22413A"/>
        <w:sz w:val="48"/>
        <w:szCs w:val="4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E355DE"/>
    <w:multiLevelType w:val="hybridMultilevel"/>
    <w:tmpl w:val="E7425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542A77"/>
    <w:multiLevelType w:val="multilevel"/>
    <w:tmpl w:val="4C12AB7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117"/>
        </w:tabs>
        <w:ind w:left="1117" w:hanging="397"/>
      </w:pPr>
      <w:rPr>
        <w:rFonts w:hint="default"/>
      </w:rPr>
    </w:lvl>
    <w:lvl w:ilvl="3">
      <w:start w:val="1"/>
      <w:numFmt w:val="lowerRoman"/>
      <w:lvlText w:val="%4)"/>
      <w:lvlJc w:val="left"/>
      <w:pPr>
        <w:tabs>
          <w:tab w:val="num" w:pos="1514"/>
        </w:tabs>
        <w:ind w:left="1514" w:hanging="39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E2C3FED"/>
    <w:multiLevelType w:val="hybridMultilevel"/>
    <w:tmpl w:val="CD4C697E"/>
    <w:lvl w:ilvl="0" w:tplc="82EE8854">
      <w:start w:val="1"/>
      <w:numFmt w:val="bullet"/>
      <w:lvlText w:val=""/>
      <w:lvlJc w:val="left"/>
      <w:pPr>
        <w:ind w:left="720" w:hanging="360"/>
      </w:pPr>
      <w:rPr>
        <w:rFonts w:ascii="Symbol" w:hAnsi="Symbol" w:hint="default"/>
        <w:color w:val="07716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CC00C4"/>
    <w:multiLevelType w:val="hybridMultilevel"/>
    <w:tmpl w:val="125CB49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09B24A4"/>
    <w:multiLevelType w:val="hybridMultilevel"/>
    <w:tmpl w:val="BAA62BEE"/>
    <w:lvl w:ilvl="0" w:tplc="FFFFFFFF">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24C6DB9"/>
    <w:multiLevelType w:val="hybridMultilevel"/>
    <w:tmpl w:val="BAB65E54"/>
    <w:lvl w:ilvl="0" w:tplc="13AAB4A8">
      <w:start w:val="1"/>
      <w:numFmt w:val="bullet"/>
      <w:lvlText w:val=""/>
      <w:lvlJc w:val="left"/>
      <w:pPr>
        <w:ind w:left="720" w:hanging="360"/>
      </w:pPr>
      <w:rPr>
        <w:rFonts w:ascii="Symbol" w:hAnsi="Symbol" w:hint="default"/>
        <w:color w:val="000000"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ED382C"/>
    <w:multiLevelType w:val="hybridMultilevel"/>
    <w:tmpl w:val="46EE6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4B262F"/>
    <w:multiLevelType w:val="hybridMultilevel"/>
    <w:tmpl w:val="379CA858"/>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34D45E8"/>
    <w:multiLevelType w:val="hybridMultilevel"/>
    <w:tmpl w:val="54D283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BB70C27"/>
    <w:multiLevelType w:val="hybridMultilevel"/>
    <w:tmpl w:val="6658CF8E"/>
    <w:lvl w:ilvl="0" w:tplc="B1301426">
      <w:start w:val="1"/>
      <w:numFmt w:val="bullet"/>
      <w:pStyle w:val="Bulletlist2"/>
      <w:lvlText w:val=""/>
      <w:lvlJc w:val="left"/>
      <w:pPr>
        <w:ind w:left="757" w:hanging="360"/>
      </w:pPr>
      <w:rPr>
        <w:rFonts w:ascii="Symbol" w:hAnsi="Symbol" w:hint="default"/>
        <w:strike w:val="0"/>
        <w:dstrike w:val="0"/>
        <w:color w:val="07716C" w:themeColor="accen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E3600E"/>
    <w:multiLevelType w:val="hybridMultilevel"/>
    <w:tmpl w:val="9808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2C0D49"/>
    <w:multiLevelType w:val="hybridMultilevel"/>
    <w:tmpl w:val="CDA24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5C7DB8"/>
    <w:multiLevelType w:val="hybridMultilevel"/>
    <w:tmpl w:val="763AF6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65A33B0"/>
    <w:multiLevelType w:val="hybridMultilevel"/>
    <w:tmpl w:val="92A67CC0"/>
    <w:lvl w:ilvl="0" w:tplc="5EC05B06">
      <w:start w:val="1"/>
      <w:numFmt w:val="decimal"/>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A305C6C"/>
    <w:multiLevelType w:val="hybridMultilevel"/>
    <w:tmpl w:val="F9166AA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56251AC3"/>
    <w:multiLevelType w:val="hybridMultilevel"/>
    <w:tmpl w:val="336C4152"/>
    <w:lvl w:ilvl="0" w:tplc="3148E282">
      <w:start w:val="1"/>
      <w:numFmt w:val="bullet"/>
      <w:pStyle w:val="BulletList3"/>
      <w:lvlText w:val=""/>
      <w:lvlJc w:val="left"/>
      <w:pPr>
        <w:ind w:left="1072" w:hanging="358"/>
      </w:pPr>
      <w:rPr>
        <w:rFonts w:ascii="Symbol" w:hAnsi="Symbol" w:hint="default"/>
        <w:strike w:val="0"/>
        <w:dstrike w:val="0"/>
        <w:color w:val="10647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B3653D"/>
    <w:multiLevelType w:val="hybridMultilevel"/>
    <w:tmpl w:val="92A67CC0"/>
    <w:lvl w:ilvl="0" w:tplc="FFFFFFFF">
      <w:start w:val="1"/>
      <w:numFmt w:val="decimal"/>
      <w:lvlText w:val="%1."/>
      <w:lvlJc w:val="left"/>
      <w:pPr>
        <w:ind w:left="1080" w:hanging="72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C016118"/>
    <w:multiLevelType w:val="hybridMultilevel"/>
    <w:tmpl w:val="92A67CC0"/>
    <w:lvl w:ilvl="0" w:tplc="FFFFFFFF">
      <w:start w:val="1"/>
      <w:numFmt w:val="decimal"/>
      <w:lvlText w:val="%1."/>
      <w:lvlJc w:val="left"/>
      <w:pPr>
        <w:ind w:left="1080" w:hanging="72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FDE22E7"/>
    <w:multiLevelType w:val="hybridMultilevel"/>
    <w:tmpl w:val="379CA858"/>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16B1D09"/>
    <w:multiLevelType w:val="hybridMultilevel"/>
    <w:tmpl w:val="379CA858"/>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29117D5"/>
    <w:multiLevelType w:val="hybridMultilevel"/>
    <w:tmpl w:val="321CCD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843D4B"/>
    <w:multiLevelType w:val="hybridMultilevel"/>
    <w:tmpl w:val="4684CA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6690D5E"/>
    <w:multiLevelType w:val="hybridMultilevel"/>
    <w:tmpl w:val="379CA858"/>
    <w:lvl w:ilvl="0" w:tplc="3E3035E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8460D01"/>
    <w:multiLevelType w:val="hybridMultilevel"/>
    <w:tmpl w:val="457C217C"/>
    <w:lvl w:ilvl="0" w:tplc="FFFFFFFF">
      <w:start w:val="1"/>
      <w:numFmt w:val="decimal"/>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ADC48CA"/>
    <w:multiLevelType w:val="hybridMultilevel"/>
    <w:tmpl w:val="9272BD24"/>
    <w:lvl w:ilvl="0" w:tplc="08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9" w15:restartNumberingAfterBreak="0">
    <w:nsid w:val="718A0F99"/>
    <w:multiLevelType w:val="multilevel"/>
    <w:tmpl w:val="0468747C"/>
    <w:lvl w:ilvl="0">
      <w:start w:val="1"/>
      <w:numFmt w:val="decimal"/>
      <w:pStyle w:val="NumList1"/>
      <w:lvlText w:val="%1."/>
      <w:lvlJc w:val="left"/>
      <w:pPr>
        <w:ind w:left="357" w:hanging="357"/>
      </w:pPr>
      <w:rPr>
        <w:rFonts w:hint="default"/>
      </w:rPr>
    </w:lvl>
    <w:lvl w:ilvl="1">
      <w:start w:val="1"/>
      <w:numFmt w:val="lowerLetter"/>
      <w:pStyle w:val="NumList2"/>
      <w:lvlText w:val="%2)"/>
      <w:lvlJc w:val="left"/>
      <w:pPr>
        <w:ind w:left="714" w:hanging="35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1B200A8"/>
    <w:multiLevelType w:val="hybridMultilevel"/>
    <w:tmpl w:val="CE7020C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75F46359"/>
    <w:multiLevelType w:val="hybridMultilevel"/>
    <w:tmpl w:val="07489066"/>
    <w:lvl w:ilvl="0" w:tplc="84566458">
      <w:start w:val="1"/>
      <w:numFmt w:val="bullet"/>
      <w:pStyle w:val="Bulletlist1"/>
      <w:lvlText w:val=""/>
      <w:lvlJc w:val="left"/>
      <w:pPr>
        <w:ind w:left="360" w:hanging="360"/>
      </w:pPr>
      <w:rPr>
        <w:rFonts w:ascii="Symbol" w:hAnsi="Symbol" w:hint="default"/>
        <w:strike w:val="0"/>
        <w:dstrike w:val="0"/>
        <w:color w:val="07716C" w:themeColor="accen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5481867">
    <w:abstractNumId w:val="9"/>
  </w:num>
  <w:num w:numId="2" w16cid:durableId="1946422200">
    <w:abstractNumId w:val="7"/>
  </w:num>
  <w:num w:numId="3" w16cid:durableId="1608849931">
    <w:abstractNumId w:val="6"/>
  </w:num>
  <w:num w:numId="4" w16cid:durableId="868488028">
    <w:abstractNumId w:val="5"/>
  </w:num>
  <w:num w:numId="5" w16cid:durableId="94634508">
    <w:abstractNumId w:val="4"/>
  </w:num>
  <w:num w:numId="6" w16cid:durableId="1571842914">
    <w:abstractNumId w:val="8"/>
  </w:num>
  <w:num w:numId="7" w16cid:durableId="535001518">
    <w:abstractNumId w:val="3"/>
  </w:num>
  <w:num w:numId="8" w16cid:durableId="1848247396">
    <w:abstractNumId w:val="2"/>
  </w:num>
  <w:num w:numId="9" w16cid:durableId="2008972817">
    <w:abstractNumId w:val="1"/>
  </w:num>
  <w:num w:numId="10" w16cid:durableId="1384644817">
    <w:abstractNumId w:val="0"/>
  </w:num>
  <w:num w:numId="11" w16cid:durableId="967273901">
    <w:abstractNumId w:val="15"/>
  </w:num>
  <w:num w:numId="12" w16cid:durableId="1327856366">
    <w:abstractNumId w:val="41"/>
  </w:num>
  <w:num w:numId="13" w16cid:durableId="262615982">
    <w:abstractNumId w:val="23"/>
  </w:num>
  <w:num w:numId="14" w16cid:durableId="1244610644">
    <w:abstractNumId w:val="19"/>
  </w:num>
  <w:num w:numId="15" w16cid:durableId="898053474">
    <w:abstractNumId w:val="41"/>
    <w:lvlOverride w:ilvl="0">
      <w:startOverride w:val="1"/>
    </w:lvlOverride>
  </w:num>
  <w:num w:numId="16" w16cid:durableId="845249921">
    <w:abstractNumId w:val="23"/>
    <w:lvlOverride w:ilvl="0">
      <w:startOverride w:val="1"/>
    </w:lvlOverride>
  </w:num>
  <w:num w:numId="17" w16cid:durableId="129056065">
    <w:abstractNumId w:val="19"/>
    <w:lvlOverride w:ilvl="0">
      <w:startOverride w:val="1"/>
    </w:lvlOverride>
  </w:num>
  <w:num w:numId="18" w16cid:durableId="1478649986">
    <w:abstractNumId w:val="39"/>
  </w:num>
  <w:num w:numId="19" w16cid:durableId="152257936">
    <w:abstractNumId w:val="29"/>
  </w:num>
  <w:num w:numId="20" w16cid:durableId="492992570">
    <w:abstractNumId w:val="16"/>
  </w:num>
  <w:num w:numId="21" w16cid:durableId="2109500848">
    <w:abstractNumId w:val="34"/>
  </w:num>
  <w:num w:numId="22" w16cid:durableId="1873885114">
    <w:abstractNumId w:val="24"/>
  </w:num>
  <w:num w:numId="23" w16cid:durableId="1873953089">
    <w:abstractNumId w:val="20"/>
  </w:num>
  <w:num w:numId="24" w16cid:durableId="1505238708">
    <w:abstractNumId w:val="25"/>
  </w:num>
  <w:num w:numId="25" w16cid:durableId="849875769">
    <w:abstractNumId w:val="36"/>
  </w:num>
  <w:num w:numId="26" w16cid:durableId="624697566">
    <w:abstractNumId w:val="33"/>
  </w:num>
  <w:num w:numId="27" w16cid:durableId="536043863">
    <w:abstractNumId w:val="18"/>
  </w:num>
  <w:num w:numId="28" w16cid:durableId="879441447">
    <w:abstractNumId w:val="22"/>
  </w:num>
  <w:num w:numId="29" w16cid:durableId="1432431340">
    <w:abstractNumId w:val="35"/>
  </w:num>
  <w:num w:numId="30" w16cid:durableId="2024478084">
    <w:abstractNumId w:val="17"/>
  </w:num>
  <w:num w:numId="31" w16cid:durableId="235407628">
    <w:abstractNumId w:val="28"/>
  </w:num>
  <w:num w:numId="32" w16cid:durableId="1326087445">
    <w:abstractNumId w:val="40"/>
  </w:num>
  <w:num w:numId="33" w16cid:durableId="1132362314">
    <w:abstractNumId w:val="38"/>
  </w:num>
  <w:num w:numId="34" w16cid:durableId="333341960">
    <w:abstractNumId w:val="11"/>
  </w:num>
  <w:num w:numId="35" w16cid:durableId="2021926295">
    <w:abstractNumId w:val="10"/>
  </w:num>
  <w:num w:numId="36" w16cid:durableId="1000811008">
    <w:abstractNumId w:val="12"/>
  </w:num>
  <w:num w:numId="37" w16cid:durableId="125393941">
    <w:abstractNumId w:val="21"/>
  </w:num>
  <w:num w:numId="38" w16cid:durableId="729886105">
    <w:abstractNumId w:val="32"/>
  </w:num>
  <w:num w:numId="39" w16cid:durableId="231433287">
    <w:abstractNumId w:val="13"/>
  </w:num>
  <w:num w:numId="40" w16cid:durableId="161817449">
    <w:abstractNumId w:val="27"/>
  </w:num>
  <w:num w:numId="41" w16cid:durableId="506025115">
    <w:abstractNumId w:val="30"/>
  </w:num>
  <w:num w:numId="42" w16cid:durableId="336734427">
    <w:abstractNumId w:val="31"/>
  </w:num>
  <w:num w:numId="43" w16cid:durableId="1355644114">
    <w:abstractNumId w:val="37"/>
  </w:num>
  <w:num w:numId="44" w16cid:durableId="2079861510">
    <w:abstractNumId w:val="26"/>
  </w:num>
  <w:num w:numId="45" w16cid:durableId="20641402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9EF"/>
    <w:rsid w:val="000006D7"/>
    <w:rsid w:val="00002BD8"/>
    <w:rsid w:val="00002F03"/>
    <w:rsid w:val="000045A0"/>
    <w:rsid w:val="00011177"/>
    <w:rsid w:val="00011D2B"/>
    <w:rsid w:val="00012803"/>
    <w:rsid w:val="00013807"/>
    <w:rsid w:val="0001424B"/>
    <w:rsid w:val="00014814"/>
    <w:rsid w:val="00014DED"/>
    <w:rsid w:val="000154C5"/>
    <w:rsid w:val="0001552B"/>
    <w:rsid w:val="000216F0"/>
    <w:rsid w:val="00024522"/>
    <w:rsid w:val="00024B2E"/>
    <w:rsid w:val="00026524"/>
    <w:rsid w:val="00026981"/>
    <w:rsid w:val="00027F4F"/>
    <w:rsid w:val="00030430"/>
    <w:rsid w:val="0003078E"/>
    <w:rsid w:val="00031B89"/>
    <w:rsid w:val="00032B7A"/>
    <w:rsid w:val="00035065"/>
    <w:rsid w:val="0003540C"/>
    <w:rsid w:val="00035BB0"/>
    <w:rsid w:val="0003693D"/>
    <w:rsid w:val="00037A97"/>
    <w:rsid w:val="000427DC"/>
    <w:rsid w:val="00042AE4"/>
    <w:rsid w:val="00043EBA"/>
    <w:rsid w:val="00043F76"/>
    <w:rsid w:val="0004440F"/>
    <w:rsid w:val="000444E8"/>
    <w:rsid w:val="0004551E"/>
    <w:rsid w:val="000456F6"/>
    <w:rsid w:val="00046A67"/>
    <w:rsid w:val="00052C8A"/>
    <w:rsid w:val="00053F6A"/>
    <w:rsid w:val="000548C8"/>
    <w:rsid w:val="000549F9"/>
    <w:rsid w:val="0006018B"/>
    <w:rsid w:val="00061FA3"/>
    <w:rsid w:val="0006393A"/>
    <w:rsid w:val="000704E6"/>
    <w:rsid w:val="00073F8E"/>
    <w:rsid w:val="0007455F"/>
    <w:rsid w:val="00075605"/>
    <w:rsid w:val="000775F9"/>
    <w:rsid w:val="00082879"/>
    <w:rsid w:val="00086CBF"/>
    <w:rsid w:val="0009125F"/>
    <w:rsid w:val="00091EEA"/>
    <w:rsid w:val="0009230B"/>
    <w:rsid w:val="00093398"/>
    <w:rsid w:val="000A0855"/>
    <w:rsid w:val="000A0C29"/>
    <w:rsid w:val="000A3EC6"/>
    <w:rsid w:val="000A415A"/>
    <w:rsid w:val="000A5205"/>
    <w:rsid w:val="000A63B9"/>
    <w:rsid w:val="000A7BE4"/>
    <w:rsid w:val="000B1C03"/>
    <w:rsid w:val="000B4BDA"/>
    <w:rsid w:val="000B63B2"/>
    <w:rsid w:val="000C01D3"/>
    <w:rsid w:val="000C0BFA"/>
    <w:rsid w:val="000C0F8B"/>
    <w:rsid w:val="000C1D91"/>
    <w:rsid w:val="000C2774"/>
    <w:rsid w:val="000C2DDC"/>
    <w:rsid w:val="000C3B15"/>
    <w:rsid w:val="000C3C8D"/>
    <w:rsid w:val="000C489B"/>
    <w:rsid w:val="000D0D76"/>
    <w:rsid w:val="000D2D1B"/>
    <w:rsid w:val="000D2FD4"/>
    <w:rsid w:val="000D4436"/>
    <w:rsid w:val="000D5DCB"/>
    <w:rsid w:val="000E0BB8"/>
    <w:rsid w:val="000E2DD2"/>
    <w:rsid w:val="000E5251"/>
    <w:rsid w:val="000E68BC"/>
    <w:rsid w:val="000E7AAF"/>
    <w:rsid w:val="000F1B7B"/>
    <w:rsid w:val="000F2ED4"/>
    <w:rsid w:val="00100EDC"/>
    <w:rsid w:val="00101878"/>
    <w:rsid w:val="001028E8"/>
    <w:rsid w:val="00103ACE"/>
    <w:rsid w:val="00105476"/>
    <w:rsid w:val="00110AF8"/>
    <w:rsid w:val="00112C3D"/>
    <w:rsid w:val="00113141"/>
    <w:rsid w:val="00113E36"/>
    <w:rsid w:val="00114964"/>
    <w:rsid w:val="00116168"/>
    <w:rsid w:val="00116EC8"/>
    <w:rsid w:val="00117A57"/>
    <w:rsid w:val="00121758"/>
    <w:rsid w:val="00122FCC"/>
    <w:rsid w:val="00126752"/>
    <w:rsid w:val="00126C47"/>
    <w:rsid w:val="00130B30"/>
    <w:rsid w:val="00130BA2"/>
    <w:rsid w:val="00130F06"/>
    <w:rsid w:val="00131A8F"/>
    <w:rsid w:val="00131E58"/>
    <w:rsid w:val="00133598"/>
    <w:rsid w:val="00133701"/>
    <w:rsid w:val="00135A49"/>
    <w:rsid w:val="001371EF"/>
    <w:rsid w:val="0014015D"/>
    <w:rsid w:val="00142BB1"/>
    <w:rsid w:val="00142FAD"/>
    <w:rsid w:val="00143ADC"/>
    <w:rsid w:val="001472AE"/>
    <w:rsid w:val="00147AE4"/>
    <w:rsid w:val="00147D3F"/>
    <w:rsid w:val="0015128B"/>
    <w:rsid w:val="00151A1E"/>
    <w:rsid w:val="00151FD6"/>
    <w:rsid w:val="00152388"/>
    <w:rsid w:val="00153A6A"/>
    <w:rsid w:val="001571E5"/>
    <w:rsid w:val="001578B3"/>
    <w:rsid w:val="00160DEC"/>
    <w:rsid w:val="0016477E"/>
    <w:rsid w:val="00166630"/>
    <w:rsid w:val="001678C6"/>
    <w:rsid w:val="0017008A"/>
    <w:rsid w:val="00174A0C"/>
    <w:rsid w:val="00176319"/>
    <w:rsid w:val="001764D6"/>
    <w:rsid w:val="00176906"/>
    <w:rsid w:val="0017706A"/>
    <w:rsid w:val="00177666"/>
    <w:rsid w:val="0018352B"/>
    <w:rsid w:val="001847F1"/>
    <w:rsid w:val="001849CA"/>
    <w:rsid w:val="00185410"/>
    <w:rsid w:val="00185CD0"/>
    <w:rsid w:val="001900DB"/>
    <w:rsid w:val="00191F48"/>
    <w:rsid w:val="00192352"/>
    <w:rsid w:val="00195F80"/>
    <w:rsid w:val="001A12F8"/>
    <w:rsid w:val="001A166D"/>
    <w:rsid w:val="001A2531"/>
    <w:rsid w:val="001A33E7"/>
    <w:rsid w:val="001A3FC3"/>
    <w:rsid w:val="001A5EB0"/>
    <w:rsid w:val="001B248E"/>
    <w:rsid w:val="001B4836"/>
    <w:rsid w:val="001B7822"/>
    <w:rsid w:val="001B7E3A"/>
    <w:rsid w:val="001C1AD0"/>
    <w:rsid w:val="001C1CDD"/>
    <w:rsid w:val="001C2292"/>
    <w:rsid w:val="001C3B95"/>
    <w:rsid w:val="001C4D63"/>
    <w:rsid w:val="001C7354"/>
    <w:rsid w:val="001D097F"/>
    <w:rsid w:val="001D0B9A"/>
    <w:rsid w:val="001D0DE0"/>
    <w:rsid w:val="001D1AC3"/>
    <w:rsid w:val="001D1FDB"/>
    <w:rsid w:val="001D25EC"/>
    <w:rsid w:val="001D31C3"/>
    <w:rsid w:val="001D52B8"/>
    <w:rsid w:val="001D5AFF"/>
    <w:rsid w:val="001D74B4"/>
    <w:rsid w:val="001E00F5"/>
    <w:rsid w:val="001E03E1"/>
    <w:rsid w:val="001E09D3"/>
    <w:rsid w:val="001F059F"/>
    <w:rsid w:val="001F137E"/>
    <w:rsid w:val="001F1DE9"/>
    <w:rsid w:val="001F43A1"/>
    <w:rsid w:val="001F4CAC"/>
    <w:rsid w:val="00200811"/>
    <w:rsid w:val="00200CA1"/>
    <w:rsid w:val="00200F34"/>
    <w:rsid w:val="002034C7"/>
    <w:rsid w:val="002036D3"/>
    <w:rsid w:val="00204744"/>
    <w:rsid w:val="00205A45"/>
    <w:rsid w:val="002077C4"/>
    <w:rsid w:val="00212CB7"/>
    <w:rsid w:val="0021338D"/>
    <w:rsid w:val="002143F9"/>
    <w:rsid w:val="00214D43"/>
    <w:rsid w:val="00221BDD"/>
    <w:rsid w:val="00221EC3"/>
    <w:rsid w:val="00222101"/>
    <w:rsid w:val="00222E14"/>
    <w:rsid w:val="002232DB"/>
    <w:rsid w:val="002238B4"/>
    <w:rsid w:val="00224AAA"/>
    <w:rsid w:val="00230C69"/>
    <w:rsid w:val="002318E2"/>
    <w:rsid w:val="002319AB"/>
    <w:rsid w:val="002319AC"/>
    <w:rsid w:val="002320C4"/>
    <w:rsid w:val="00232B59"/>
    <w:rsid w:val="00234342"/>
    <w:rsid w:val="002347A1"/>
    <w:rsid w:val="00237261"/>
    <w:rsid w:val="0024026A"/>
    <w:rsid w:val="0024040D"/>
    <w:rsid w:val="0024210B"/>
    <w:rsid w:val="00244063"/>
    <w:rsid w:val="00244A61"/>
    <w:rsid w:val="00245931"/>
    <w:rsid w:val="00245D03"/>
    <w:rsid w:val="002464E4"/>
    <w:rsid w:val="002473C9"/>
    <w:rsid w:val="00251F18"/>
    <w:rsid w:val="0025253F"/>
    <w:rsid w:val="00252B8A"/>
    <w:rsid w:val="00255FA3"/>
    <w:rsid w:val="002568C3"/>
    <w:rsid w:val="00257288"/>
    <w:rsid w:val="00260ED0"/>
    <w:rsid w:val="00261EF8"/>
    <w:rsid w:val="0026270F"/>
    <w:rsid w:val="002629F8"/>
    <w:rsid w:val="00263262"/>
    <w:rsid w:val="00263396"/>
    <w:rsid w:val="00263F53"/>
    <w:rsid w:val="00264C8B"/>
    <w:rsid w:val="002654EE"/>
    <w:rsid w:val="002659FA"/>
    <w:rsid w:val="002676B4"/>
    <w:rsid w:val="00267815"/>
    <w:rsid w:val="0028010B"/>
    <w:rsid w:val="00280DDF"/>
    <w:rsid w:val="0028172B"/>
    <w:rsid w:val="0028268D"/>
    <w:rsid w:val="00282F12"/>
    <w:rsid w:val="002836DC"/>
    <w:rsid w:val="0028458B"/>
    <w:rsid w:val="00285090"/>
    <w:rsid w:val="002871C4"/>
    <w:rsid w:val="002902CB"/>
    <w:rsid w:val="002917FF"/>
    <w:rsid w:val="00292407"/>
    <w:rsid w:val="00292ADF"/>
    <w:rsid w:val="002938A0"/>
    <w:rsid w:val="00297A40"/>
    <w:rsid w:val="00297B74"/>
    <w:rsid w:val="00297D48"/>
    <w:rsid w:val="002A453E"/>
    <w:rsid w:val="002A67A0"/>
    <w:rsid w:val="002A752A"/>
    <w:rsid w:val="002A78B4"/>
    <w:rsid w:val="002B1C53"/>
    <w:rsid w:val="002B263C"/>
    <w:rsid w:val="002B38D8"/>
    <w:rsid w:val="002B52F4"/>
    <w:rsid w:val="002B6E4B"/>
    <w:rsid w:val="002D6032"/>
    <w:rsid w:val="002D7146"/>
    <w:rsid w:val="002D7883"/>
    <w:rsid w:val="002D7C44"/>
    <w:rsid w:val="002E046A"/>
    <w:rsid w:val="002E0BE4"/>
    <w:rsid w:val="002E11A8"/>
    <w:rsid w:val="002E245A"/>
    <w:rsid w:val="002E355B"/>
    <w:rsid w:val="002E6A6A"/>
    <w:rsid w:val="002F0544"/>
    <w:rsid w:val="002F0B4A"/>
    <w:rsid w:val="002F1627"/>
    <w:rsid w:val="002F1B59"/>
    <w:rsid w:val="002F3397"/>
    <w:rsid w:val="002F3D79"/>
    <w:rsid w:val="002F438E"/>
    <w:rsid w:val="002F6CEC"/>
    <w:rsid w:val="0030380D"/>
    <w:rsid w:val="003049B2"/>
    <w:rsid w:val="0030509E"/>
    <w:rsid w:val="003053A7"/>
    <w:rsid w:val="00311287"/>
    <w:rsid w:val="00312411"/>
    <w:rsid w:val="00316766"/>
    <w:rsid w:val="00317C70"/>
    <w:rsid w:val="003201AB"/>
    <w:rsid w:val="00321689"/>
    <w:rsid w:val="00323E71"/>
    <w:rsid w:val="00326EBF"/>
    <w:rsid w:val="00326F7D"/>
    <w:rsid w:val="003319AC"/>
    <w:rsid w:val="00332D5C"/>
    <w:rsid w:val="00333F96"/>
    <w:rsid w:val="00335CD3"/>
    <w:rsid w:val="00336660"/>
    <w:rsid w:val="00337F8F"/>
    <w:rsid w:val="00344433"/>
    <w:rsid w:val="00346C8E"/>
    <w:rsid w:val="00347C8A"/>
    <w:rsid w:val="00356061"/>
    <w:rsid w:val="00360069"/>
    <w:rsid w:val="0036049E"/>
    <w:rsid w:val="00363F38"/>
    <w:rsid w:val="00364E8D"/>
    <w:rsid w:val="003653FA"/>
    <w:rsid w:val="00367BD5"/>
    <w:rsid w:val="00372390"/>
    <w:rsid w:val="00374AE0"/>
    <w:rsid w:val="00375EC2"/>
    <w:rsid w:val="0038067E"/>
    <w:rsid w:val="00382C8E"/>
    <w:rsid w:val="00383B82"/>
    <w:rsid w:val="00392CA5"/>
    <w:rsid w:val="00393B78"/>
    <w:rsid w:val="00394F09"/>
    <w:rsid w:val="003968FF"/>
    <w:rsid w:val="003A01E9"/>
    <w:rsid w:val="003A1F50"/>
    <w:rsid w:val="003A2FDF"/>
    <w:rsid w:val="003A5792"/>
    <w:rsid w:val="003B1643"/>
    <w:rsid w:val="003B180F"/>
    <w:rsid w:val="003B3D99"/>
    <w:rsid w:val="003B40D0"/>
    <w:rsid w:val="003B4BA6"/>
    <w:rsid w:val="003C0306"/>
    <w:rsid w:val="003C114C"/>
    <w:rsid w:val="003C1595"/>
    <w:rsid w:val="003C1DF4"/>
    <w:rsid w:val="003C2B0C"/>
    <w:rsid w:val="003C465D"/>
    <w:rsid w:val="003C4DF7"/>
    <w:rsid w:val="003C5992"/>
    <w:rsid w:val="003C6F02"/>
    <w:rsid w:val="003C73E6"/>
    <w:rsid w:val="003C7D67"/>
    <w:rsid w:val="003D495D"/>
    <w:rsid w:val="003D58B8"/>
    <w:rsid w:val="003D6064"/>
    <w:rsid w:val="003E01FE"/>
    <w:rsid w:val="003E098E"/>
    <w:rsid w:val="003E1A2F"/>
    <w:rsid w:val="003E1E94"/>
    <w:rsid w:val="003E219D"/>
    <w:rsid w:val="003E2FAE"/>
    <w:rsid w:val="003E3C7B"/>
    <w:rsid w:val="003E487B"/>
    <w:rsid w:val="003F09EC"/>
    <w:rsid w:val="003F1E52"/>
    <w:rsid w:val="003F3C94"/>
    <w:rsid w:val="003F7CB9"/>
    <w:rsid w:val="00401E35"/>
    <w:rsid w:val="00404866"/>
    <w:rsid w:val="00404C26"/>
    <w:rsid w:val="00406429"/>
    <w:rsid w:val="004074BC"/>
    <w:rsid w:val="00407CF7"/>
    <w:rsid w:val="00407FF5"/>
    <w:rsid w:val="004126C4"/>
    <w:rsid w:val="0041360C"/>
    <w:rsid w:val="00413E8C"/>
    <w:rsid w:val="00415818"/>
    <w:rsid w:val="00415ED6"/>
    <w:rsid w:val="00415FCB"/>
    <w:rsid w:val="00417810"/>
    <w:rsid w:val="00417CAF"/>
    <w:rsid w:val="00420A11"/>
    <w:rsid w:val="0042206C"/>
    <w:rsid w:val="00422265"/>
    <w:rsid w:val="00422597"/>
    <w:rsid w:val="00422663"/>
    <w:rsid w:val="00423ACF"/>
    <w:rsid w:val="004243C0"/>
    <w:rsid w:val="00427413"/>
    <w:rsid w:val="004304DF"/>
    <w:rsid w:val="00436C5D"/>
    <w:rsid w:val="00436FEC"/>
    <w:rsid w:val="004373A7"/>
    <w:rsid w:val="00437D94"/>
    <w:rsid w:val="0044030C"/>
    <w:rsid w:val="00442062"/>
    <w:rsid w:val="0044217B"/>
    <w:rsid w:val="004421E6"/>
    <w:rsid w:val="00446717"/>
    <w:rsid w:val="00447865"/>
    <w:rsid w:val="00450351"/>
    <w:rsid w:val="004573D5"/>
    <w:rsid w:val="0045788E"/>
    <w:rsid w:val="0046123C"/>
    <w:rsid w:val="00461BA0"/>
    <w:rsid w:val="0046339D"/>
    <w:rsid w:val="0046408D"/>
    <w:rsid w:val="004648A4"/>
    <w:rsid w:val="00467E71"/>
    <w:rsid w:val="00471380"/>
    <w:rsid w:val="004740F7"/>
    <w:rsid w:val="0047606B"/>
    <w:rsid w:val="00480282"/>
    <w:rsid w:val="00481F06"/>
    <w:rsid w:val="00483853"/>
    <w:rsid w:val="0048389D"/>
    <w:rsid w:val="00484F2F"/>
    <w:rsid w:val="00491C52"/>
    <w:rsid w:val="00494F0D"/>
    <w:rsid w:val="00495C5B"/>
    <w:rsid w:val="00496BDE"/>
    <w:rsid w:val="00496BFD"/>
    <w:rsid w:val="004A00A2"/>
    <w:rsid w:val="004A0A6F"/>
    <w:rsid w:val="004A2652"/>
    <w:rsid w:val="004A3BB8"/>
    <w:rsid w:val="004A3DF2"/>
    <w:rsid w:val="004A4F1F"/>
    <w:rsid w:val="004B24BF"/>
    <w:rsid w:val="004B48DA"/>
    <w:rsid w:val="004B64C6"/>
    <w:rsid w:val="004B70B9"/>
    <w:rsid w:val="004B7871"/>
    <w:rsid w:val="004C1638"/>
    <w:rsid w:val="004C261E"/>
    <w:rsid w:val="004C361D"/>
    <w:rsid w:val="004C4301"/>
    <w:rsid w:val="004C4891"/>
    <w:rsid w:val="004C5158"/>
    <w:rsid w:val="004C5570"/>
    <w:rsid w:val="004C7D34"/>
    <w:rsid w:val="004D2C89"/>
    <w:rsid w:val="004D3B23"/>
    <w:rsid w:val="004D3D0A"/>
    <w:rsid w:val="004D416C"/>
    <w:rsid w:val="004D440E"/>
    <w:rsid w:val="004D492E"/>
    <w:rsid w:val="004D5EDC"/>
    <w:rsid w:val="004D65D8"/>
    <w:rsid w:val="004E0806"/>
    <w:rsid w:val="004E0AC7"/>
    <w:rsid w:val="004E10C3"/>
    <w:rsid w:val="004E3664"/>
    <w:rsid w:val="004E45EC"/>
    <w:rsid w:val="004F0024"/>
    <w:rsid w:val="004F1E79"/>
    <w:rsid w:val="004F5F33"/>
    <w:rsid w:val="0050034F"/>
    <w:rsid w:val="0050103A"/>
    <w:rsid w:val="00501E20"/>
    <w:rsid w:val="00503994"/>
    <w:rsid w:val="00504ADD"/>
    <w:rsid w:val="005051F9"/>
    <w:rsid w:val="005073A3"/>
    <w:rsid w:val="0050755F"/>
    <w:rsid w:val="00510D35"/>
    <w:rsid w:val="00511B0F"/>
    <w:rsid w:val="00513A15"/>
    <w:rsid w:val="00514CA2"/>
    <w:rsid w:val="005162DC"/>
    <w:rsid w:val="005163EE"/>
    <w:rsid w:val="00516468"/>
    <w:rsid w:val="00516BC1"/>
    <w:rsid w:val="005171CD"/>
    <w:rsid w:val="00521F97"/>
    <w:rsid w:val="0052221F"/>
    <w:rsid w:val="00523DCA"/>
    <w:rsid w:val="00527C1C"/>
    <w:rsid w:val="00531532"/>
    <w:rsid w:val="00532C02"/>
    <w:rsid w:val="00534988"/>
    <w:rsid w:val="005404D4"/>
    <w:rsid w:val="005443BE"/>
    <w:rsid w:val="005450EF"/>
    <w:rsid w:val="0054799A"/>
    <w:rsid w:val="00551B9B"/>
    <w:rsid w:val="00551C3E"/>
    <w:rsid w:val="005534F7"/>
    <w:rsid w:val="0055388E"/>
    <w:rsid w:val="005549EA"/>
    <w:rsid w:val="00554F52"/>
    <w:rsid w:val="00557253"/>
    <w:rsid w:val="0056181D"/>
    <w:rsid w:val="00561FAB"/>
    <w:rsid w:val="0056219E"/>
    <w:rsid w:val="00563AD5"/>
    <w:rsid w:val="0056617E"/>
    <w:rsid w:val="005672DE"/>
    <w:rsid w:val="005673FF"/>
    <w:rsid w:val="005754AE"/>
    <w:rsid w:val="0057775A"/>
    <w:rsid w:val="00577CD9"/>
    <w:rsid w:val="00577D37"/>
    <w:rsid w:val="00577FB5"/>
    <w:rsid w:val="00581D4B"/>
    <w:rsid w:val="00583D10"/>
    <w:rsid w:val="00584DD4"/>
    <w:rsid w:val="005852D1"/>
    <w:rsid w:val="00585F10"/>
    <w:rsid w:val="00586AE7"/>
    <w:rsid w:val="00587A22"/>
    <w:rsid w:val="00587A33"/>
    <w:rsid w:val="005909BE"/>
    <w:rsid w:val="00590C53"/>
    <w:rsid w:val="0059299D"/>
    <w:rsid w:val="0059422A"/>
    <w:rsid w:val="00595548"/>
    <w:rsid w:val="00595DA5"/>
    <w:rsid w:val="00597747"/>
    <w:rsid w:val="0059795F"/>
    <w:rsid w:val="00597EB1"/>
    <w:rsid w:val="005A0A98"/>
    <w:rsid w:val="005A1E6F"/>
    <w:rsid w:val="005A339A"/>
    <w:rsid w:val="005A4981"/>
    <w:rsid w:val="005A4A33"/>
    <w:rsid w:val="005A4CDD"/>
    <w:rsid w:val="005A4D61"/>
    <w:rsid w:val="005A59C9"/>
    <w:rsid w:val="005B13AC"/>
    <w:rsid w:val="005B57E4"/>
    <w:rsid w:val="005B5ABD"/>
    <w:rsid w:val="005B650C"/>
    <w:rsid w:val="005B7440"/>
    <w:rsid w:val="005C140A"/>
    <w:rsid w:val="005C288B"/>
    <w:rsid w:val="005C37B9"/>
    <w:rsid w:val="005C4CB4"/>
    <w:rsid w:val="005C61A1"/>
    <w:rsid w:val="005C6763"/>
    <w:rsid w:val="005D2F4F"/>
    <w:rsid w:val="005D3164"/>
    <w:rsid w:val="005D3BC7"/>
    <w:rsid w:val="005D4C08"/>
    <w:rsid w:val="005D5EC6"/>
    <w:rsid w:val="005D6D97"/>
    <w:rsid w:val="005D6F73"/>
    <w:rsid w:val="005E0344"/>
    <w:rsid w:val="005E0D9C"/>
    <w:rsid w:val="005E0FF8"/>
    <w:rsid w:val="005E41E1"/>
    <w:rsid w:val="005E440B"/>
    <w:rsid w:val="005E5489"/>
    <w:rsid w:val="005E567B"/>
    <w:rsid w:val="005E60D5"/>
    <w:rsid w:val="005F0032"/>
    <w:rsid w:val="005F0035"/>
    <w:rsid w:val="005F0E13"/>
    <w:rsid w:val="005F0E4E"/>
    <w:rsid w:val="005F2C85"/>
    <w:rsid w:val="005F413A"/>
    <w:rsid w:val="0060057B"/>
    <w:rsid w:val="00601F23"/>
    <w:rsid w:val="00602C53"/>
    <w:rsid w:val="00605767"/>
    <w:rsid w:val="00605ADB"/>
    <w:rsid w:val="00607929"/>
    <w:rsid w:val="006104D0"/>
    <w:rsid w:val="00611155"/>
    <w:rsid w:val="00611604"/>
    <w:rsid w:val="00611C9F"/>
    <w:rsid w:val="00612AD3"/>
    <w:rsid w:val="0061425A"/>
    <w:rsid w:val="00614721"/>
    <w:rsid w:val="006159C6"/>
    <w:rsid w:val="00616691"/>
    <w:rsid w:val="006170CA"/>
    <w:rsid w:val="006213D6"/>
    <w:rsid w:val="00622692"/>
    <w:rsid w:val="00622801"/>
    <w:rsid w:val="006235BE"/>
    <w:rsid w:val="0062460D"/>
    <w:rsid w:val="00624C02"/>
    <w:rsid w:val="00624F3B"/>
    <w:rsid w:val="00626B1D"/>
    <w:rsid w:val="00626FD0"/>
    <w:rsid w:val="00627555"/>
    <w:rsid w:val="00627992"/>
    <w:rsid w:val="00627F7A"/>
    <w:rsid w:val="00627FAD"/>
    <w:rsid w:val="00630A6F"/>
    <w:rsid w:val="006322A0"/>
    <w:rsid w:val="006333A2"/>
    <w:rsid w:val="006342C0"/>
    <w:rsid w:val="00635912"/>
    <w:rsid w:val="00635AD3"/>
    <w:rsid w:val="006361FD"/>
    <w:rsid w:val="00637109"/>
    <w:rsid w:val="0064029B"/>
    <w:rsid w:val="006405EC"/>
    <w:rsid w:val="0064226F"/>
    <w:rsid w:val="006447CA"/>
    <w:rsid w:val="00645823"/>
    <w:rsid w:val="006473E0"/>
    <w:rsid w:val="00653298"/>
    <w:rsid w:val="00653AF2"/>
    <w:rsid w:val="00654252"/>
    <w:rsid w:val="0065455E"/>
    <w:rsid w:val="006545DA"/>
    <w:rsid w:val="00655088"/>
    <w:rsid w:val="006557B2"/>
    <w:rsid w:val="00655AB0"/>
    <w:rsid w:val="00661B1D"/>
    <w:rsid w:val="00662877"/>
    <w:rsid w:val="00663011"/>
    <w:rsid w:val="00663A7C"/>
    <w:rsid w:val="00664728"/>
    <w:rsid w:val="00665067"/>
    <w:rsid w:val="00667DF2"/>
    <w:rsid w:val="006704B5"/>
    <w:rsid w:val="00670DF1"/>
    <w:rsid w:val="0067122B"/>
    <w:rsid w:val="00671345"/>
    <w:rsid w:val="00672A9B"/>
    <w:rsid w:val="0067387F"/>
    <w:rsid w:val="00675164"/>
    <w:rsid w:val="00675884"/>
    <w:rsid w:val="00676988"/>
    <w:rsid w:val="0067786C"/>
    <w:rsid w:val="006779B5"/>
    <w:rsid w:val="00681B16"/>
    <w:rsid w:val="0068472E"/>
    <w:rsid w:val="00684F3F"/>
    <w:rsid w:val="0068731E"/>
    <w:rsid w:val="006905A5"/>
    <w:rsid w:val="00692952"/>
    <w:rsid w:val="0069398C"/>
    <w:rsid w:val="006954F4"/>
    <w:rsid w:val="006960D6"/>
    <w:rsid w:val="00696EE0"/>
    <w:rsid w:val="0069739D"/>
    <w:rsid w:val="00697472"/>
    <w:rsid w:val="00697980"/>
    <w:rsid w:val="00697B46"/>
    <w:rsid w:val="006A19EF"/>
    <w:rsid w:val="006A43D5"/>
    <w:rsid w:val="006B1DBB"/>
    <w:rsid w:val="006B3828"/>
    <w:rsid w:val="006B7584"/>
    <w:rsid w:val="006C045F"/>
    <w:rsid w:val="006C2BFB"/>
    <w:rsid w:val="006C3835"/>
    <w:rsid w:val="006C63B0"/>
    <w:rsid w:val="006C6F69"/>
    <w:rsid w:val="006C792E"/>
    <w:rsid w:val="006D09E4"/>
    <w:rsid w:val="006D0CEA"/>
    <w:rsid w:val="006D116C"/>
    <w:rsid w:val="006D39F8"/>
    <w:rsid w:val="006D441D"/>
    <w:rsid w:val="006D47FE"/>
    <w:rsid w:val="006D5DCB"/>
    <w:rsid w:val="006E1D4D"/>
    <w:rsid w:val="006E2C9E"/>
    <w:rsid w:val="006E33DC"/>
    <w:rsid w:val="006E4AC3"/>
    <w:rsid w:val="006E5DB3"/>
    <w:rsid w:val="006E6292"/>
    <w:rsid w:val="006E70F8"/>
    <w:rsid w:val="006E7C42"/>
    <w:rsid w:val="006E7CDE"/>
    <w:rsid w:val="006F076A"/>
    <w:rsid w:val="006F168A"/>
    <w:rsid w:val="006F1E42"/>
    <w:rsid w:val="006F2883"/>
    <w:rsid w:val="006F2BE8"/>
    <w:rsid w:val="006F43AC"/>
    <w:rsid w:val="006F487F"/>
    <w:rsid w:val="006F5076"/>
    <w:rsid w:val="006F6009"/>
    <w:rsid w:val="006F7256"/>
    <w:rsid w:val="00700270"/>
    <w:rsid w:val="0070321D"/>
    <w:rsid w:val="007048B2"/>
    <w:rsid w:val="00705BAD"/>
    <w:rsid w:val="007068BA"/>
    <w:rsid w:val="007118EC"/>
    <w:rsid w:val="00711994"/>
    <w:rsid w:val="007128AE"/>
    <w:rsid w:val="00713295"/>
    <w:rsid w:val="007134DF"/>
    <w:rsid w:val="0071551C"/>
    <w:rsid w:val="00715E9F"/>
    <w:rsid w:val="00716AB1"/>
    <w:rsid w:val="007218FE"/>
    <w:rsid w:val="00721D63"/>
    <w:rsid w:val="00722926"/>
    <w:rsid w:val="00723D61"/>
    <w:rsid w:val="00723F26"/>
    <w:rsid w:val="00724095"/>
    <w:rsid w:val="007258A9"/>
    <w:rsid w:val="00725C8C"/>
    <w:rsid w:val="007271F2"/>
    <w:rsid w:val="00732A67"/>
    <w:rsid w:val="00732C7B"/>
    <w:rsid w:val="00734D2B"/>
    <w:rsid w:val="00735E8C"/>
    <w:rsid w:val="0073651C"/>
    <w:rsid w:val="007370A6"/>
    <w:rsid w:val="007374FF"/>
    <w:rsid w:val="00737705"/>
    <w:rsid w:val="007378F0"/>
    <w:rsid w:val="00737D89"/>
    <w:rsid w:val="007420AC"/>
    <w:rsid w:val="00742617"/>
    <w:rsid w:val="0074461C"/>
    <w:rsid w:val="007473F1"/>
    <w:rsid w:val="00751018"/>
    <w:rsid w:val="00754893"/>
    <w:rsid w:val="00756059"/>
    <w:rsid w:val="0075710B"/>
    <w:rsid w:val="00761327"/>
    <w:rsid w:val="007641F4"/>
    <w:rsid w:val="00764E49"/>
    <w:rsid w:val="007650C5"/>
    <w:rsid w:val="00766219"/>
    <w:rsid w:val="00766B54"/>
    <w:rsid w:val="00773DC2"/>
    <w:rsid w:val="0077688F"/>
    <w:rsid w:val="00777943"/>
    <w:rsid w:val="00780935"/>
    <w:rsid w:val="00783AFA"/>
    <w:rsid w:val="00785427"/>
    <w:rsid w:val="007862F3"/>
    <w:rsid w:val="00787549"/>
    <w:rsid w:val="00790540"/>
    <w:rsid w:val="00794997"/>
    <w:rsid w:val="00795C4F"/>
    <w:rsid w:val="007968CA"/>
    <w:rsid w:val="00796BD5"/>
    <w:rsid w:val="007A0654"/>
    <w:rsid w:val="007A31C5"/>
    <w:rsid w:val="007A35BE"/>
    <w:rsid w:val="007A43FF"/>
    <w:rsid w:val="007A6884"/>
    <w:rsid w:val="007B24B3"/>
    <w:rsid w:val="007B3918"/>
    <w:rsid w:val="007B66D8"/>
    <w:rsid w:val="007C02AF"/>
    <w:rsid w:val="007C2EC4"/>
    <w:rsid w:val="007C3EE8"/>
    <w:rsid w:val="007C5950"/>
    <w:rsid w:val="007C6B96"/>
    <w:rsid w:val="007C6CDF"/>
    <w:rsid w:val="007D04D5"/>
    <w:rsid w:val="007D1749"/>
    <w:rsid w:val="007D199A"/>
    <w:rsid w:val="007D2EBE"/>
    <w:rsid w:val="007D476A"/>
    <w:rsid w:val="007D7330"/>
    <w:rsid w:val="007D76E1"/>
    <w:rsid w:val="007D7AD1"/>
    <w:rsid w:val="007E007D"/>
    <w:rsid w:val="007E1C07"/>
    <w:rsid w:val="007E2A01"/>
    <w:rsid w:val="007E2AEB"/>
    <w:rsid w:val="007E3B1A"/>
    <w:rsid w:val="007E4EFB"/>
    <w:rsid w:val="007E6B89"/>
    <w:rsid w:val="007E7B59"/>
    <w:rsid w:val="007F0341"/>
    <w:rsid w:val="007F24B6"/>
    <w:rsid w:val="007F29D8"/>
    <w:rsid w:val="007F4C37"/>
    <w:rsid w:val="007F7DF7"/>
    <w:rsid w:val="00801241"/>
    <w:rsid w:val="00802A36"/>
    <w:rsid w:val="00803D94"/>
    <w:rsid w:val="0080450C"/>
    <w:rsid w:val="00805DD5"/>
    <w:rsid w:val="00805FB5"/>
    <w:rsid w:val="00806E66"/>
    <w:rsid w:val="008107CB"/>
    <w:rsid w:val="00811401"/>
    <w:rsid w:val="008126E9"/>
    <w:rsid w:val="008127C7"/>
    <w:rsid w:val="00814A0E"/>
    <w:rsid w:val="0081506D"/>
    <w:rsid w:val="008212DD"/>
    <w:rsid w:val="00821F7D"/>
    <w:rsid w:val="008229BA"/>
    <w:rsid w:val="00822D5C"/>
    <w:rsid w:val="00825540"/>
    <w:rsid w:val="00830FEF"/>
    <w:rsid w:val="0083103F"/>
    <w:rsid w:val="008325EE"/>
    <w:rsid w:val="00832709"/>
    <w:rsid w:val="00832D79"/>
    <w:rsid w:val="00837099"/>
    <w:rsid w:val="00837360"/>
    <w:rsid w:val="00837C78"/>
    <w:rsid w:val="00837FE2"/>
    <w:rsid w:val="00841515"/>
    <w:rsid w:val="00842FE9"/>
    <w:rsid w:val="0084352E"/>
    <w:rsid w:val="00843CB6"/>
    <w:rsid w:val="00845390"/>
    <w:rsid w:val="00846387"/>
    <w:rsid w:val="00850025"/>
    <w:rsid w:val="0085106F"/>
    <w:rsid w:val="008515EC"/>
    <w:rsid w:val="00853097"/>
    <w:rsid w:val="00853407"/>
    <w:rsid w:val="00853C6C"/>
    <w:rsid w:val="0085478E"/>
    <w:rsid w:val="00855552"/>
    <w:rsid w:val="00856134"/>
    <w:rsid w:val="00856197"/>
    <w:rsid w:val="00857CED"/>
    <w:rsid w:val="00860061"/>
    <w:rsid w:val="0086063E"/>
    <w:rsid w:val="008606F0"/>
    <w:rsid w:val="00863664"/>
    <w:rsid w:val="00863DA0"/>
    <w:rsid w:val="00864535"/>
    <w:rsid w:val="008647F3"/>
    <w:rsid w:val="00865489"/>
    <w:rsid w:val="0086553D"/>
    <w:rsid w:val="00865D45"/>
    <w:rsid w:val="008660C6"/>
    <w:rsid w:val="00874FEB"/>
    <w:rsid w:val="00876236"/>
    <w:rsid w:val="00877C92"/>
    <w:rsid w:val="00877F63"/>
    <w:rsid w:val="00880F44"/>
    <w:rsid w:val="00881DED"/>
    <w:rsid w:val="00882AA4"/>
    <w:rsid w:val="00883E22"/>
    <w:rsid w:val="008843DC"/>
    <w:rsid w:val="0088496E"/>
    <w:rsid w:val="00884ADC"/>
    <w:rsid w:val="00884E43"/>
    <w:rsid w:val="00885C49"/>
    <w:rsid w:val="00885DBC"/>
    <w:rsid w:val="008871FA"/>
    <w:rsid w:val="008876BD"/>
    <w:rsid w:val="00887EC6"/>
    <w:rsid w:val="0089084C"/>
    <w:rsid w:val="008916F7"/>
    <w:rsid w:val="0089242F"/>
    <w:rsid w:val="00893034"/>
    <w:rsid w:val="00893409"/>
    <w:rsid w:val="00893A47"/>
    <w:rsid w:val="00893D9F"/>
    <w:rsid w:val="008A2379"/>
    <w:rsid w:val="008A2BDD"/>
    <w:rsid w:val="008A2C86"/>
    <w:rsid w:val="008A372D"/>
    <w:rsid w:val="008A3CDE"/>
    <w:rsid w:val="008A4329"/>
    <w:rsid w:val="008A4631"/>
    <w:rsid w:val="008A5615"/>
    <w:rsid w:val="008A578E"/>
    <w:rsid w:val="008A6C1E"/>
    <w:rsid w:val="008A701F"/>
    <w:rsid w:val="008B3B1B"/>
    <w:rsid w:val="008B4D2E"/>
    <w:rsid w:val="008B54A2"/>
    <w:rsid w:val="008B5732"/>
    <w:rsid w:val="008B6DC9"/>
    <w:rsid w:val="008B7BCC"/>
    <w:rsid w:val="008C044D"/>
    <w:rsid w:val="008C499E"/>
    <w:rsid w:val="008C50C3"/>
    <w:rsid w:val="008C60A5"/>
    <w:rsid w:val="008C6554"/>
    <w:rsid w:val="008C7094"/>
    <w:rsid w:val="008D0C4B"/>
    <w:rsid w:val="008D1911"/>
    <w:rsid w:val="008D2605"/>
    <w:rsid w:val="008D2B97"/>
    <w:rsid w:val="008D3453"/>
    <w:rsid w:val="008D448F"/>
    <w:rsid w:val="008D5732"/>
    <w:rsid w:val="008D6A47"/>
    <w:rsid w:val="008D6C81"/>
    <w:rsid w:val="008D7C34"/>
    <w:rsid w:val="008E090F"/>
    <w:rsid w:val="008E0C84"/>
    <w:rsid w:val="008E13AE"/>
    <w:rsid w:val="008E2E17"/>
    <w:rsid w:val="008E37CA"/>
    <w:rsid w:val="008E58DB"/>
    <w:rsid w:val="008E6CF0"/>
    <w:rsid w:val="008F1439"/>
    <w:rsid w:val="008F30F8"/>
    <w:rsid w:val="008F33F3"/>
    <w:rsid w:val="008F354A"/>
    <w:rsid w:val="008F4785"/>
    <w:rsid w:val="008F497F"/>
    <w:rsid w:val="008F63B0"/>
    <w:rsid w:val="008F7051"/>
    <w:rsid w:val="008F7985"/>
    <w:rsid w:val="009002A1"/>
    <w:rsid w:val="00902655"/>
    <w:rsid w:val="009029F6"/>
    <w:rsid w:val="009033A9"/>
    <w:rsid w:val="00903783"/>
    <w:rsid w:val="0090581D"/>
    <w:rsid w:val="0090615F"/>
    <w:rsid w:val="0090710C"/>
    <w:rsid w:val="00910204"/>
    <w:rsid w:val="009104C0"/>
    <w:rsid w:val="0091439C"/>
    <w:rsid w:val="00915302"/>
    <w:rsid w:val="00920341"/>
    <w:rsid w:val="00920572"/>
    <w:rsid w:val="00920BF2"/>
    <w:rsid w:val="00920C55"/>
    <w:rsid w:val="00920E24"/>
    <w:rsid w:val="0092360C"/>
    <w:rsid w:val="009238A2"/>
    <w:rsid w:val="00923A8D"/>
    <w:rsid w:val="00924292"/>
    <w:rsid w:val="00924A9A"/>
    <w:rsid w:val="00925000"/>
    <w:rsid w:val="00925BD1"/>
    <w:rsid w:val="009276CD"/>
    <w:rsid w:val="00931098"/>
    <w:rsid w:val="009319E2"/>
    <w:rsid w:val="009349A9"/>
    <w:rsid w:val="00935D3F"/>
    <w:rsid w:val="00936C52"/>
    <w:rsid w:val="0093744A"/>
    <w:rsid w:val="009403AE"/>
    <w:rsid w:val="009403F0"/>
    <w:rsid w:val="00940B87"/>
    <w:rsid w:val="00941551"/>
    <w:rsid w:val="00941F75"/>
    <w:rsid w:val="00943264"/>
    <w:rsid w:val="00943F8E"/>
    <w:rsid w:val="00946048"/>
    <w:rsid w:val="00950994"/>
    <w:rsid w:val="0095109F"/>
    <w:rsid w:val="00953A2F"/>
    <w:rsid w:val="0095489B"/>
    <w:rsid w:val="00955DFC"/>
    <w:rsid w:val="009600D3"/>
    <w:rsid w:val="009618AF"/>
    <w:rsid w:val="009653E0"/>
    <w:rsid w:val="00965BBB"/>
    <w:rsid w:val="00966FB9"/>
    <w:rsid w:val="009671CD"/>
    <w:rsid w:val="00967222"/>
    <w:rsid w:val="0096763E"/>
    <w:rsid w:val="009677C8"/>
    <w:rsid w:val="009723A4"/>
    <w:rsid w:val="00973A4D"/>
    <w:rsid w:val="00973DA9"/>
    <w:rsid w:val="00974ECE"/>
    <w:rsid w:val="009751A9"/>
    <w:rsid w:val="00975702"/>
    <w:rsid w:val="00977821"/>
    <w:rsid w:val="009806C0"/>
    <w:rsid w:val="00980F9C"/>
    <w:rsid w:val="00981FC7"/>
    <w:rsid w:val="00982BB2"/>
    <w:rsid w:val="00984D3E"/>
    <w:rsid w:val="009859BB"/>
    <w:rsid w:val="0098632B"/>
    <w:rsid w:val="00990070"/>
    <w:rsid w:val="00990B92"/>
    <w:rsid w:val="00992859"/>
    <w:rsid w:val="00994993"/>
    <w:rsid w:val="009951E2"/>
    <w:rsid w:val="009964D9"/>
    <w:rsid w:val="00996DF8"/>
    <w:rsid w:val="009970F5"/>
    <w:rsid w:val="00997BFB"/>
    <w:rsid w:val="00997DD6"/>
    <w:rsid w:val="009A0B12"/>
    <w:rsid w:val="009A3E6A"/>
    <w:rsid w:val="009A3E94"/>
    <w:rsid w:val="009A4BEB"/>
    <w:rsid w:val="009A6D71"/>
    <w:rsid w:val="009B2BD2"/>
    <w:rsid w:val="009B3C86"/>
    <w:rsid w:val="009B5D53"/>
    <w:rsid w:val="009B5DB3"/>
    <w:rsid w:val="009B6196"/>
    <w:rsid w:val="009C0BA8"/>
    <w:rsid w:val="009C0EDE"/>
    <w:rsid w:val="009C15F3"/>
    <w:rsid w:val="009C198B"/>
    <w:rsid w:val="009C1F40"/>
    <w:rsid w:val="009C467C"/>
    <w:rsid w:val="009C46F8"/>
    <w:rsid w:val="009D1AB0"/>
    <w:rsid w:val="009D23BA"/>
    <w:rsid w:val="009D2984"/>
    <w:rsid w:val="009D3774"/>
    <w:rsid w:val="009D39A1"/>
    <w:rsid w:val="009D4B7A"/>
    <w:rsid w:val="009D4C30"/>
    <w:rsid w:val="009D6057"/>
    <w:rsid w:val="009E07C2"/>
    <w:rsid w:val="009E180C"/>
    <w:rsid w:val="009E183D"/>
    <w:rsid w:val="009E3135"/>
    <w:rsid w:val="009E411E"/>
    <w:rsid w:val="009E5B61"/>
    <w:rsid w:val="009F073B"/>
    <w:rsid w:val="009F160C"/>
    <w:rsid w:val="009F3B0D"/>
    <w:rsid w:val="009F58DA"/>
    <w:rsid w:val="009F72F9"/>
    <w:rsid w:val="009F7388"/>
    <w:rsid w:val="009F7B0F"/>
    <w:rsid w:val="00A00AF0"/>
    <w:rsid w:val="00A04CC3"/>
    <w:rsid w:val="00A0515D"/>
    <w:rsid w:val="00A0671C"/>
    <w:rsid w:val="00A07F91"/>
    <w:rsid w:val="00A10942"/>
    <w:rsid w:val="00A119CE"/>
    <w:rsid w:val="00A14B5A"/>
    <w:rsid w:val="00A16D58"/>
    <w:rsid w:val="00A22AC8"/>
    <w:rsid w:val="00A25192"/>
    <w:rsid w:val="00A2554C"/>
    <w:rsid w:val="00A26E62"/>
    <w:rsid w:val="00A3138E"/>
    <w:rsid w:val="00A31EFF"/>
    <w:rsid w:val="00A3567F"/>
    <w:rsid w:val="00A35D70"/>
    <w:rsid w:val="00A37698"/>
    <w:rsid w:val="00A40A67"/>
    <w:rsid w:val="00A40DDA"/>
    <w:rsid w:val="00A40F8A"/>
    <w:rsid w:val="00A41B4F"/>
    <w:rsid w:val="00A41ED3"/>
    <w:rsid w:val="00A440DE"/>
    <w:rsid w:val="00A446A0"/>
    <w:rsid w:val="00A451F7"/>
    <w:rsid w:val="00A4786B"/>
    <w:rsid w:val="00A512B9"/>
    <w:rsid w:val="00A520DC"/>
    <w:rsid w:val="00A52C05"/>
    <w:rsid w:val="00A53F31"/>
    <w:rsid w:val="00A549F2"/>
    <w:rsid w:val="00A54ECF"/>
    <w:rsid w:val="00A559C9"/>
    <w:rsid w:val="00A60FAB"/>
    <w:rsid w:val="00A61A16"/>
    <w:rsid w:val="00A61C49"/>
    <w:rsid w:val="00A656D4"/>
    <w:rsid w:val="00A66C8A"/>
    <w:rsid w:val="00A706DA"/>
    <w:rsid w:val="00A742BE"/>
    <w:rsid w:val="00A7587A"/>
    <w:rsid w:val="00A7700D"/>
    <w:rsid w:val="00A77362"/>
    <w:rsid w:val="00A774C2"/>
    <w:rsid w:val="00A80ECA"/>
    <w:rsid w:val="00A81134"/>
    <w:rsid w:val="00A817FE"/>
    <w:rsid w:val="00A81D82"/>
    <w:rsid w:val="00A82978"/>
    <w:rsid w:val="00A84BA9"/>
    <w:rsid w:val="00A851DD"/>
    <w:rsid w:val="00A861FD"/>
    <w:rsid w:val="00A8722E"/>
    <w:rsid w:val="00A90396"/>
    <w:rsid w:val="00A909DC"/>
    <w:rsid w:val="00A90B55"/>
    <w:rsid w:val="00A91A7D"/>
    <w:rsid w:val="00A93E33"/>
    <w:rsid w:val="00A95F96"/>
    <w:rsid w:val="00A96FFA"/>
    <w:rsid w:val="00A97BB5"/>
    <w:rsid w:val="00A97FE1"/>
    <w:rsid w:val="00AA537E"/>
    <w:rsid w:val="00AA72FF"/>
    <w:rsid w:val="00AB2912"/>
    <w:rsid w:val="00AB344C"/>
    <w:rsid w:val="00AB4353"/>
    <w:rsid w:val="00AB5932"/>
    <w:rsid w:val="00AB6970"/>
    <w:rsid w:val="00AC1348"/>
    <w:rsid w:val="00AC1647"/>
    <w:rsid w:val="00AC1939"/>
    <w:rsid w:val="00AC4106"/>
    <w:rsid w:val="00AC7165"/>
    <w:rsid w:val="00AC7C05"/>
    <w:rsid w:val="00AD0150"/>
    <w:rsid w:val="00AD167C"/>
    <w:rsid w:val="00AD17C7"/>
    <w:rsid w:val="00AD1B58"/>
    <w:rsid w:val="00AD3DAC"/>
    <w:rsid w:val="00AD4024"/>
    <w:rsid w:val="00AD4041"/>
    <w:rsid w:val="00AD4D1B"/>
    <w:rsid w:val="00AD5DE4"/>
    <w:rsid w:val="00AD62DC"/>
    <w:rsid w:val="00AD69CF"/>
    <w:rsid w:val="00AD69D5"/>
    <w:rsid w:val="00AD72AF"/>
    <w:rsid w:val="00AD7D27"/>
    <w:rsid w:val="00AE302B"/>
    <w:rsid w:val="00AE57D9"/>
    <w:rsid w:val="00AE610C"/>
    <w:rsid w:val="00AE7DFF"/>
    <w:rsid w:val="00AF1680"/>
    <w:rsid w:val="00AF1969"/>
    <w:rsid w:val="00AF2A70"/>
    <w:rsid w:val="00AF349B"/>
    <w:rsid w:val="00AF5986"/>
    <w:rsid w:val="00AF7900"/>
    <w:rsid w:val="00AF7F6B"/>
    <w:rsid w:val="00B04B7A"/>
    <w:rsid w:val="00B07148"/>
    <w:rsid w:val="00B12101"/>
    <w:rsid w:val="00B14292"/>
    <w:rsid w:val="00B15FD1"/>
    <w:rsid w:val="00B1662E"/>
    <w:rsid w:val="00B171DD"/>
    <w:rsid w:val="00B17276"/>
    <w:rsid w:val="00B17C15"/>
    <w:rsid w:val="00B209B4"/>
    <w:rsid w:val="00B259DF"/>
    <w:rsid w:val="00B30A55"/>
    <w:rsid w:val="00B32FF0"/>
    <w:rsid w:val="00B3424C"/>
    <w:rsid w:val="00B35BA5"/>
    <w:rsid w:val="00B36858"/>
    <w:rsid w:val="00B43757"/>
    <w:rsid w:val="00B44B1F"/>
    <w:rsid w:val="00B50606"/>
    <w:rsid w:val="00B5170F"/>
    <w:rsid w:val="00B526DB"/>
    <w:rsid w:val="00B52B24"/>
    <w:rsid w:val="00B536CD"/>
    <w:rsid w:val="00B55987"/>
    <w:rsid w:val="00B57500"/>
    <w:rsid w:val="00B601BD"/>
    <w:rsid w:val="00B6050C"/>
    <w:rsid w:val="00B607E3"/>
    <w:rsid w:val="00B6269A"/>
    <w:rsid w:val="00B6380D"/>
    <w:rsid w:val="00B64E72"/>
    <w:rsid w:val="00B658EE"/>
    <w:rsid w:val="00B6624C"/>
    <w:rsid w:val="00B728B4"/>
    <w:rsid w:val="00B73072"/>
    <w:rsid w:val="00B73A44"/>
    <w:rsid w:val="00B7632C"/>
    <w:rsid w:val="00B77913"/>
    <w:rsid w:val="00B77FDF"/>
    <w:rsid w:val="00B80FAF"/>
    <w:rsid w:val="00B824FB"/>
    <w:rsid w:val="00B82646"/>
    <w:rsid w:val="00B82BCB"/>
    <w:rsid w:val="00B9045F"/>
    <w:rsid w:val="00B90E51"/>
    <w:rsid w:val="00B9169E"/>
    <w:rsid w:val="00B92D9D"/>
    <w:rsid w:val="00B936F0"/>
    <w:rsid w:val="00B95241"/>
    <w:rsid w:val="00B964EE"/>
    <w:rsid w:val="00B96919"/>
    <w:rsid w:val="00B97359"/>
    <w:rsid w:val="00B975B1"/>
    <w:rsid w:val="00B97A8F"/>
    <w:rsid w:val="00BA0AB4"/>
    <w:rsid w:val="00BA0BB5"/>
    <w:rsid w:val="00BA0C0D"/>
    <w:rsid w:val="00BA11BB"/>
    <w:rsid w:val="00BA1EC8"/>
    <w:rsid w:val="00BA3068"/>
    <w:rsid w:val="00BA4E58"/>
    <w:rsid w:val="00BA555E"/>
    <w:rsid w:val="00BA5941"/>
    <w:rsid w:val="00BA6766"/>
    <w:rsid w:val="00BA7074"/>
    <w:rsid w:val="00BB0857"/>
    <w:rsid w:val="00BB44BC"/>
    <w:rsid w:val="00BB7829"/>
    <w:rsid w:val="00BC104F"/>
    <w:rsid w:val="00BC38E5"/>
    <w:rsid w:val="00BC4D1E"/>
    <w:rsid w:val="00BC519B"/>
    <w:rsid w:val="00BC6B30"/>
    <w:rsid w:val="00BC7C8B"/>
    <w:rsid w:val="00BD1457"/>
    <w:rsid w:val="00BD216F"/>
    <w:rsid w:val="00BD257F"/>
    <w:rsid w:val="00BE0AF3"/>
    <w:rsid w:val="00BE0C65"/>
    <w:rsid w:val="00BE2AD9"/>
    <w:rsid w:val="00BE2B7F"/>
    <w:rsid w:val="00BE3AD7"/>
    <w:rsid w:val="00BE421C"/>
    <w:rsid w:val="00BE4F57"/>
    <w:rsid w:val="00BF104A"/>
    <w:rsid w:val="00BF27FE"/>
    <w:rsid w:val="00BF3327"/>
    <w:rsid w:val="00BF5A50"/>
    <w:rsid w:val="00BF5B5B"/>
    <w:rsid w:val="00C00114"/>
    <w:rsid w:val="00C00EE3"/>
    <w:rsid w:val="00C01C42"/>
    <w:rsid w:val="00C02D05"/>
    <w:rsid w:val="00C043B3"/>
    <w:rsid w:val="00C04DF3"/>
    <w:rsid w:val="00C05395"/>
    <w:rsid w:val="00C0596F"/>
    <w:rsid w:val="00C07181"/>
    <w:rsid w:val="00C079AB"/>
    <w:rsid w:val="00C105E8"/>
    <w:rsid w:val="00C108D0"/>
    <w:rsid w:val="00C10E61"/>
    <w:rsid w:val="00C115EE"/>
    <w:rsid w:val="00C12C48"/>
    <w:rsid w:val="00C12FF9"/>
    <w:rsid w:val="00C14787"/>
    <w:rsid w:val="00C1596D"/>
    <w:rsid w:val="00C15B8D"/>
    <w:rsid w:val="00C17010"/>
    <w:rsid w:val="00C178D2"/>
    <w:rsid w:val="00C201AD"/>
    <w:rsid w:val="00C20562"/>
    <w:rsid w:val="00C227D7"/>
    <w:rsid w:val="00C237B3"/>
    <w:rsid w:val="00C23A96"/>
    <w:rsid w:val="00C249C6"/>
    <w:rsid w:val="00C254E0"/>
    <w:rsid w:val="00C27289"/>
    <w:rsid w:val="00C327CB"/>
    <w:rsid w:val="00C32CC1"/>
    <w:rsid w:val="00C338C7"/>
    <w:rsid w:val="00C34EB3"/>
    <w:rsid w:val="00C3612A"/>
    <w:rsid w:val="00C36226"/>
    <w:rsid w:val="00C405DE"/>
    <w:rsid w:val="00C4110B"/>
    <w:rsid w:val="00C41800"/>
    <w:rsid w:val="00C426EC"/>
    <w:rsid w:val="00C44552"/>
    <w:rsid w:val="00C509C5"/>
    <w:rsid w:val="00C5237C"/>
    <w:rsid w:val="00C52AAE"/>
    <w:rsid w:val="00C572B1"/>
    <w:rsid w:val="00C619A3"/>
    <w:rsid w:val="00C6357D"/>
    <w:rsid w:val="00C63C35"/>
    <w:rsid w:val="00C64117"/>
    <w:rsid w:val="00C64596"/>
    <w:rsid w:val="00C6483C"/>
    <w:rsid w:val="00C64AE9"/>
    <w:rsid w:val="00C65398"/>
    <w:rsid w:val="00C67702"/>
    <w:rsid w:val="00C703BA"/>
    <w:rsid w:val="00C70CFF"/>
    <w:rsid w:val="00C70D41"/>
    <w:rsid w:val="00C71082"/>
    <w:rsid w:val="00C718FE"/>
    <w:rsid w:val="00C71A4F"/>
    <w:rsid w:val="00C72CDB"/>
    <w:rsid w:val="00C74FA9"/>
    <w:rsid w:val="00C77FE2"/>
    <w:rsid w:val="00C8194D"/>
    <w:rsid w:val="00C81C85"/>
    <w:rsid w:val="00C8249C"/>
    <w:rsid w:val="00C837B5"/>
    <w:rsid w:val="00C83F86"/>
    <w:rsid w:val="00C859EA"/>
    <w:rsid w:val="00C86A7C"/>
    <w:rsid w:val="00C87018"/>
    <w:rsid w:val="00C87526"/>
    <w:rsid w:val="00C8773D"/>
    <w:rsid w:val="00C87ABB"/>
    <w:rsid w:val="00C90377"/>
    <w:rsid w:val="00C90847"/>
    <w:rsid w:val="00C9121A"/>
    <w:rsid w:val="00C91831"/>
    <w:rsid w:val="00C91866"/>
    <w:rsid w:val="00C92688"/>
    <w:rsid w:val="00C940D5"/>
    <w:rsid w:val="00C94DBE"/>
    <w:rsid w:val="00C953DF"/>
    <w:rsid w:val="00C9552E"/>
    <w:rsid w:val="00C96856"/>
    <w:rsid w:val="00C96D47"/>
    <w:rsid w:val="00C97344"/>
    <w:rsid w:val="00CA35FF"/>
    <w:rsid w:val="00CB182D"/>
    <w:rsid w:val="00CC03D2"/>
    <w:rsid w:val="00CC5607"/>
    <w:rsid w:val="00CD18FB"/>
    <w:rsid w:val="00CD2EB9"/>
    <w:rsid w:val="00CD338B"/>
    <w:rsid w:val="00CD4B42"/>
    <w:rsid w:val="00CD6B0B"/>
    <w:rsid w:val="00CD7A44"/>
    <w:rsid w:val="00CE2709"/>
    <w:rsid w:val="00CE2D64"/>
    <w:rsid w:val="00CE4897"/>
    <w:rsid w:val="00CE617B"/>
    <w:rsid w:val="00CE6198"/>
    <w:rsid w:val="00CE6488"/>
    <w:rsid w:val="00CE7354"/>
    <w:rsid w:val="00CE7E05"/>
    <w:rsid w:val="00CF076E"/>
    <w:rsid w:val="00CF410D"/>
    <w:rsid w:val="00CF5666"/>
    <w:rsid w:val="00CF6230"/>
    <w:rsid w:val="00CF795F"/>
    <w:rsid w:val="00D00BCD"/>
    <w:rsid w:val="00D00F13"/>
    <w:rsid w:val="00D017FC"/>
    <w:rsid w:val="00D0226A"/>
    <w:rsid w:val="00D06126"/>
    <w:rsid w:val="00D06186"/>
    <w:rsid w:val="00D07083"/>
    <w:rsid w:val="00D10151"/>
    <w:rsid w:val="00D113A5"/>
    <w:rsid w:val="00D1257D"/>
    <w:rsid w:val="00D12AC9"/>
    <w:rsid w:val="00D13147"/>
    <w:rsid w:val="00D141A1"/>
    <w:rsid w:val="00D14616"/>
    <w:rsid w:val="00D1628F"/>
    <w:rsid w:val="00D17C18"/>
    <w:rsid w:val="00D20C97"/>
    <w:rsid w:val="00D22625"/>
    <w:rsid w:val="00D24680"/>
    <w:rsid w:val="00D304CD"/>
    <w:rsid w:val="00D33072"/>
    <w:rsid w:val="00D330A1"/>
    <w:rsid w:val="00D330F7"/>
    <w:rsid w:val="00D35106"/>
    <w:rsid w:val="00D3604C"/>
    <w:rsid w:val="00D364DE"/>
    <w:rsid w:val="00D365AD"/>
    <w:rsid w:val="00D37499"/>
    <w:rsid w:val="00D37D04"/>
    <w:rsid w:val="00D40355"/>
    <w:rsid w:val="00D40513"/>
    <w:rsid w:val="00D41689"/>
    <w:rsid w:val="00D43602"/>
    <w:rsid w:val="00D45576"/>
    <w:rsid w:val="00D5291D"/>
    <w:rsid w:val="00D52927"/>
    <w:rsid w:val="00D53C12"/>
    <w:rsid w:val="00D55D79"/>
    <w:rsid w:val="00D560AD"/>
    <w:rsid w:val="00D5715A"/>
    <w:rsid w:val="00D57FAA"/>
    <w:rsid w:val="00D60854"/>
    <w:rsid w:val="00D6103B"/>
    <w:rsid w:val="00D62D7C"/>
    <w:rsid w:val="00D63308"/>
    <w:rsid w:val="00D65399"/>
    <w:rsid w:val="00D67059"/>
    <w:rsid w:val="00D67B5D"/>
    <w:rsid w:val="00D70E15"/>
    <w:rsid w:val="00D71687"/>
    <w:rsid w:val="00D7290F"/>
    <w:rsid w:val="00D73F9F"/>
    <w:rsid w:val="00D740ED"/>
    <w:rsid w:val="00D74813"/>
    <w:rsid w:val="00D75EBF"/>
    <w:rsid w:val="00D80357"/>
    <w:rsid w:val="00D82A0A"/>
    <w:rsid w:val="00D83234"/>
    <w:rsid w:val="00D84536"/>
    <w:rsid w:val="00D84A34"/>
    <w:rsid w:val="00D86A01"/>
    <w:rsid w:val="00D86B59"/>
    <w:rsid w:val="00D8761C"/>
    <w:rsid w:val="00D905F5"/>
    <w:rsid w:val="00D9121D"/>
    <w:rsid w:val="00D92BE1"/>
    <w:rsid w:val="00D95EC9"/>
    <w:rsid w:val="00DA2389"/>
    <w:rsid w:val="00DA30BC"/>
    <w:rsid w:val="00DA34CA"/>
    <w:rsid w:val="00DA459E"/>
    <w:rsid w:val="00DA5181"/>
    <w:rsid w:val="00DA6D70"/>
    <w:rsid w:val="00DA6FB9"/>
    <w:rsid w:val="00DA7405"/>
    <w:rsid w:val="00DB214D"/>
    <w:rsid w:val="00DB30B5"/>
    <w:rsid w:val="00DB33FD"/>
    <w:rsid w:val="00DB5011"/>
    <w:rsid w:val="00DB50A2"/>
    <w:rsid w:val="00DB6050"/>
    <w:rsid w:val="00DB615F"/>
    <w:rsid w:val="00DB684E"/>
    <w:rsid w:val="00DB6FB5"/>
    <w:rsid w:val="00DB700F"/>
    <w:rsid w:val="00DB7BC3"/>
    <w:rsid w:val="00DB7CB9"/>
    <w:rsid w:val="00DC0181"/>
    <w:rsid w:val="00DC1045"/>
    <w:rsid w:val="00DC29C5"/>
    <w:rsid w:val="00DC2C34"/>
    <w:rsid w:val="00DC30D8"/>
    <w:rsid w:val="00DC38D7"/>
    <w:rsid w:val="00DC5406"/>
    <w:rsid w:val="00DC602C"/>
    <w:rsid w:val="00DC6551"/>
    <w:rsid w:val="00DC7AA3"/>
    <w:rsid w:val="00DD1EFC"/>
    <w:rsid w:val="00DD21FE"/>
    <w:rsid w:val="00DD3081"/>
    <w:rsid w:val="00DD515A"/>
    <w:rsid w:val="00DD59AB"/>
    <w:rsid w:val="00DD6005"/>
    <w:rsid w:val="00DE09F4"/>
    <w:rsid w:val="00DE0CD2"/>
    <w:rsid w:val="00DE2C87"/>
    <w:rsid w:val="00DE2D1A"/>
    <w:rsid w:val="00DE4576"/>
    <w:rsid w:val="00DF1289"/>
    <w:rsid w:val="00DF27DA"/>
    <w:rsid w:val="00DF3ADE"/>
    <w:rsid w:val="00DF4DBE"/>
    <w:rsid w:val="00DF5B70"/>
    <w:rsid w:val="00DF61C1"/>
    <w:rsid w:val="00E001BC"/>
    <w:rsid w:val="00E018F6"/>
    <w:rsid w:val="00E039E8"/>
    <w:rsid w:val="00E03B93"/>
    <w:rsid w:val="00E049D0"/>
    <w:rsid w:val="00E05799"/>
    <w:rsid w:val="00E07740"/>
    <w:rsid w:val="00E10E82"/>
    <w:rsid w:val="00E12564"/>
    <w:rsid w:val="00E13F14"/>
    <w:rsid w:val="00E17139"/>
    <w:rsid w:val="00E25727"/>
    <w:rsid w:val="00E25959"/>
    <w:rsid w:val="00E310EC"/>
    <w:rsid w:val="00E3214E"/>
    <w:rsid w:val="00E35ED7"/>
    <w:rsid w:val="00E40820"/>
    <w:rsid w:val="00E42527"/>
    <w:rsid w:val="00E425EA"/>
    <w:rsid w:val="00E44CDB"/>
    <w:rsid w:val="00E45E93"/>
    <w:rsid w:val="00E4658F"/>
    <w:rsid w:val="00E4718C"/>
    <w:rsid w:val="00E540E1"/>
    <w:rsid w:val="00E54485"/>
    <w:rsid w:val="00E54A67"/>
    <w:rsid w:val="00E56F0D"/>
    <w:rsid w:val="00E607B1"/>
    <w:rsid w:val="00E61C0D"/>
    <w:rsid w:val="00E63EB4"/>
    <w:rsid w:val="00E65266"/>
    <w:rsid w:val="00E65542"/>
    <w:rsid w:val="00E65DD5"/>
    <w:rsid w:val="00E66160"/>
    <w:rsid w:val="00E67AA3"/>
    <w:rsid w:val="00E709B6"/>
    <w:rsid w:val="00E71329"/>
    <w:rsid w:val="00E71709"/>
    <w:rsid w:val="00E71FF2"/>
    <w:rsid w:val="00E73242"/>
    <w:rsid w:val="00E736C6"/>
    <w:rsid w:val="00E77E3F"/>
    <w:rsid w:val="00E80116"/>
    <w:rsid w:val="00E8363B"/>
    <w:rsid w:val="00E84452"/>
    <w:rsid w:val="00E84687"/>
    <w:rsid w:val="00E84966"/>
    <w:rsid w:val="00E854D6"/>
    <w:rsid w:val="00E855B4"/>
    <w:rsid w:val="00E85C82"/>
    <w:rsid w:val="00E86491"/>
    <w:rsid w:val="00E876E0"/>
    <w:rsid w:val="00E90E34"/>
    <w:rsid w:val="00E91590"/>
    <w:rsid w:val="00E92383"/>
    <w:rsid w:val="00E929FA"/>
    <w:rsid w:val="00E937E8"/>
    <w:rsid w:val="00E941CE"/>
    <w:rsid w:val="00E978FB"/>
    <w:rsid w:val="00E97A99"/>
    <w:rsid w:val="00EA1B3A"/>
    <w:rsid w:val="00EA2109"/>
    <w:rsid w:val="00EB41F5"/>
    <w:rsid w:val="00EB5F2D"/>
    <w:rsid w:val="00EB6485"/>
    <w:rsid w:val="00EB6868"/>
    <w:rsid w:val="00EC3106"/>
    <w:rsid w:val="00EC36E0"/>
    <w:rsid w:val="00EC5FBF"/>
    <w:rsid w:val="00ED0ABC"/>
    <w:rsid w:val="00ED0F92"/>
    <w:rsid w:val="00ED362D"/>
    <w:rsid w:val="00ED3A27"/>
    <w:rsid w:val="00ED4686"/>
    <w:rsid w:val="00ED4D4E"/>
    <w:rsid w:val="00ED67E9"/>
    <w:rsid w:val="00EE00ED"/>
    <w:rsid w:val="00EE024D"/>
    <w:rsid w:val="00EE0C77"/>
    <w:rsid w:val="00EE4140"/>
    <w:rsid w:val="00EE42AE"/>
    <w:rsid w:val="00EE4490"/>
    <w:rsid w:val="00EE4E54"/>
    <w:rsid w:val="00EE6BCB"/>
    <w:rsid w:val="00EF19BF"/>
    <w:rsid w:val="00EF2163"/>
    <w:rsid w:val="00EF6FD2"/>
    <w:rsid w:val="00F000DA"/>
    <w:rsid w:val="00F02E15"/>
    <w:rsid w:val="00F04597"/>
    <w:rsid w:val="00F04D3E"/>
    <w:rsid w:val="00F14471"/>
    <w:rsid w:val="00F20D41"/>
    <w:rsid w:val="00F233B5"/>
    <w:rsid w:val="00F23E47"/>
    <w:rsid w:val="00F24C90"/>
    <w:rsid w:val="00F25567"/>
    <w:rsid w:val="00F26CB4"/>
    <w:rsid w:val="00F27FAB"/>
    <w:rsid w:val="00F3529E"/>
    <w:rsid w:val="00F35D28"/>
    <w:rsid w:val="00F361CC"/>
    <w:rsid w:val="00F36A72"/>
    <w:rsid w:val="00F3745D"/>
    <w:rsid w:val="00F4035D"/>
    <w:rsid w:val="00F406AF"/>
    <w:rsid w:val="00F433BC"/>
    <w:rsid w:val="00F436BB"/>
    <w:rsid w:val="00F439A8"/>
    <w:rsid w:val="00F44606"/>
    <w:rsid w:val="00F457E0"/>
    <w:rsid w:val="00F47145"/>
    <w:rsid w:val="00F479E5"/>
    <w:rsid w:val="00F53B2F"/>
    <w:rsid w:val="00F545BF"/>
    <w:rsid w:val="00F548A3"/>
    <w:rsid w:val="00F57024"/>
    <w:rsid w:val="00F577CF"/>
    <w:rsid w:val="00F60C66"/>
    <w:rsid w:val="00F64647"/>
    <w:rsid w:val="00F65B7D"/>
    <w:rsid w:val="00F71B56"/>
    <w:rsid w:val="00F72A90"/>
    <w:rsid w:val="00F73777"/>
    <w:rsid w:val="00F75031"/>
    <w:rsid w:val="00F75830"/>
    <w:rsid w:val="00F76300"/>
    <w:rsid w:val="00F763AC"/>
    <w:rsid w:val="00F81285"/>
    <w:rsid w:val="00F832C8"/>
    <w:rsid w:val="00F83B9A"/>
    <w:rsid w:val="00F86284"/>
    <w:rsid w:val="00F86F33"/>
    <w:rsid w:val="00F8707C"/>
    <w:rsid w:val="00F873B3"/>
    <w:rsid w:val="00F92506"/>
    <w:rsid w:val="00F93BE5"/>
    <w:rsid w:val="00F93FCD"/>
    <w:rsid w:val="00F94E0C"/>
    <w:rsid w:val="00FA07BC"/>
    <w:rsid w:val="00FA0F30"/>
    <w:rsid w:val="00FA2CB1"/>
    <w:rsid w:val="00FA42B9"/>
    <w:rsid w:val="00FA4BA6"/>
    <w:rsid w:val="00FA4E0B"/>
    <w:rsid w:val="00FA5ED3"/>
    <w:rsid w:val="00FA6956"/>
    <w:rsid w:val="00FA755A"/>
    <w:rsid w:val="00FB00CB"/>
    <w:rsid w:val="00FB12CB"/>
    <w:rsid w:val="00FB1581"/>
    <w:rsid w:val="00FB2B0F"/>
    <w:rsid w:val="00FB419A"/>
    <w:rsid w:val="00FB47EE"/>
    <w:rsid w:val="00FB4F6B"/>
    <w:rsid w:val="00FB5FE1"/>
    <w:rsid w:val="00FB7529"/>
    <w:rsid w:val="00FC0A65"/>
    <w:rsid w:val="00FC2948"/>
    <w:rsid w:val="00FC45E2"/>
    <w:rsid w:val="00FC46EF"/>
    <w:rsid w:val="00FC58CB"/>
    <w:rsid w:val="00FC5B7C"/>
    <w:rsid w:val="00FC715E"/>
    <w:rsid w:val="00FC7D03"/>
    <w:rsid w:val="00FD1BB6"/>
    <w:rsid w:val="00FD2892"/>
    <w:rsid w:val="00FD2FE5"/>
    <w:rsid w:val="00FD31B3"/>
    <w:rsid w:val="00FD4204"/>
    <w:rsid w:val="00FD47B4"/>
    <w:rsid w:val="00FD5404"/>
    <w:rsid w:val="00FD5644"/>
    <w:rsid w:val="00FD5D7C"/>
    <w:rsid w:val="00FD7765"/>
    <w:rsid w:val="00FD7B07"/>
    <w:rsid w:val="00FE1F4A"/>
    <w:rsid w:val="00FE2CE4"/>
    <w:rsid w:val="00FE32FB"/>
    <w:rsid w:val="00FE3619"/>
    <w:rsid w:val="00FE4084"/>
    <w:rsid w:val="00FE5BEE"/>
    <w:rsid w:val="00FE7B4C"/>
    <w:rsid w:val="00FF05F3"/>
    <w:rsid w:val="00FF0D09"/>
    <w:rsid w:val="00FF15C6"/>
    <w:rsid w:val="00FF1F23"/>
    <w:rsid w:val="00FF3CCB"/>
    <w:rsid w:val="00FF488E"/>
    <w:rsid w:val="00FF57B5"/>
    <w:rsid w:val="00FF67CD"/>
    <w:rsid w:val="00FF714C"/>
    <w:rsid w:val="0EB7E92A"/>
    <w:rsid w:val="10450E6A"/>
    <w:rsid w:val="4D9304EA"/>
    <w:rsid w:val="4FED15BE"/>
    <w:rsid w:val="59854C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4A438"/>
  <w15:docId w15:val="{67FA7BC2-13AF-474A-9143-DCC8CE84C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C87"/>
    <w:pPr>
      <w:spacing w:after="240" w:line="252" w:lineRule="auto"/>
    </w:pPr>
    <w:rPr>
      <w:rFonts w:ascii="Arial" w:hAnsi="Arial"/>
      <w:sz w:val="24"/>
      <w:szCs w:val="22"/>
      <w:lang w:eastAsia="en-US" w:bidi="he-IL"/>
    </w:rPr>
  </w:style>
  <w:style w:type="paragraph" w:styleId="Heading1">
    <w:name w:val="heading 1"/>
    <w:basedOn w:val="Normal"/>
    <w:next w:val="Normal"/>
    <w:link w:val="Heading1Char"/>
    <w:qFormat/>
    <w:rsid w:val="00F47145"/>
    <w:pPr>
      <w:keepNext/>
      <w:spacing w:before="240"/>
      <w:outlineLvl w:val="0"/>
    </w:pPr>
    <w:rPr>
      <w:color w:val="22413A"/>
      <w:sz w:val="48"/>
    </w:rPr>
  </w:style>
  <w:style w:type="paragraph" w:styleId="Heading2">
    <w:name w:val="heading 2"/>
    <w:basedOn w:val="Normal"/>
    <w:next w:val="Normal"/>
    <w:link w:val="Heading2Char"/>
    <w:qFormat/>
    <w:rsid w:val="00F47145"/>
    <w:pPr>
      <w:keepNext/>
      <w:outlineLvl w:val="1"/>
    </w:pPr>
    <w:rPr>
      <w:color w:val="22413A"/>
      <w:sz w:val="36"/>
    </w:rPr>
  </w:style>
  <w:style w:type="paragraph" w:styleId="Heading3">
    <w:name w:val="heading 3"/>
    <w:basedOn w:val="Normal"/>
    <w:next w:val="Normal"/>
    <w:link w:val="Heading3Char"/>
    <w:qFormat/>
    <w:rsid w:val="00F47145"/>
    <w:pPr>
      <w:keepNext/>
      <w:outlineLvl w:val="2"/>
    </w:pPr>
    <w:rPr>
      <w:i/>
      <w:color w:val="22413A"/>
      <w:sz w:val="28"/>
    </w:rPr>
  </w:style>
  <w:style w:type="paragraph" w:styleId="Heading4">
    <w:name w:val="heading 4"/>
    <w:basedOn w:val="Normal"/>
    <w:next w:val="Normal"/>
    <w:link w:val="Heading4Char"/>
    <w:qFormat/>
    <w:rsid w:val="00F47145"/>
    <w:pPr>
      <w:keepNext/>
      <w:outlineLvl w:val="3"/>
    </w:pPr>
    <w:rPr>
      <w:b/>
      <w:color w:val="22413A"/>
    </w:rPr>
  </w:style>
  <w:style w:type="paragraph" w:styleId="Heading5">
    <w:name w:val="heading 5"/>
    <w:basedOn w:val="Normal"/>
    <w:next w:val="Normal"/>
    <w:link w:val="Heading5Char"/>
    <w:qFormat/>
    <w:rsid w:val="00F47145"/>
    <w:pPr>
      <w:keepNext/>
      <w:outlineLvl w:val="4"/>
    </w:pPr>
    <w:rPr>
      <w:i/>
      <w:noProof/>
      <w:color w:val="22413A"/>
    </w:rPr>
  </w:style>
  <w:style w:type="paragraph" w:styleId="Heading6">
    <w:name w:val="heading 6"/>
    <w:basedOn w:val="Normal"/>
    <w:next w:val="Normal"/>
    <w:link w:val="Heading6Char"/>
    <w:qFormat/>
    <w:rsid w:val="00F47145"/>
    <w:pPr>
      <w:keepNext/>
      <w:keepLines/>
      <w:outlineLvl w:val="5"/>
    </w:pPr>
    <w:rPr>
      <w:rFonts w:asciiTheme="majorHAnsi" w:eastAsiaTheme="majorEastAsia" w:hAnsiTheme="majorHAnsi" w:cstheme="majorBidi"/>
      <w:i/>
      <w:color w:val="22413A"/>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57288"/>
    <w:pPr>
      <w:pBdr>
        <w:bottom w:val="single" w:sz="4" w:space="6" w:color="22413A"/>
      </w:pBdr>
      <w:tabs>
        <w:tab w:val="center" w:pos="4513"/>
        <w:tab w:val="right" w:pos="9026"/>
      </w:tabs>
      <w:jc w:val="right"/>
    </w:pPr>
    <w:rPr>
      <w:color w:val="22413A"/>
      <w:sz w:val="18"/>
    </w:rPr>
  </w:style>
  <w:style w:type="character" w:customStyle="1" w:styleId="HeaderChar">
    <w:name w:val="Header Char"/>
    <w:link w:val="Header"/>
    <w:uiPriority w:val="99"/>
    <w:semiHidden/>
    <w:rsid w:val="00257288"/>
    <w:rPr>
      <w:rFonts w:ascii="Arial" w:hAnsi="Arial"/>
      <w:color w:val="22413A"/>
      <w:sz w:val="18"/>
      <w:szCs w:val="22"/>
      <w:lang w:eastAsia="en-US" w:bidi="he-IL"/>
    </w:rPr>
  </w:style>
  <w:style w:type="paragraph" w:styleId="Footer">
    <w:name w:val="footer"/>
    <w:basedOn w:val="Normal"/>
    <w:link w:val="FooterChar"/>
    <w:uiPriority w:val="99"/>
    <w:rsid w:val="008229BA"/>
    <w:pPr>
      <w:tabs>
        <w:tab w:val="center" w:pos="4513"/>
        <w:tab w:val="right" w:pos="9026"/>
      </w:tabs>
      <w:jc w:val="right"/>
    </w:pPr>
    <w:rPr>
      <w:color w:val="22413A"/>
    </w:rPr>
  </w:style>
  <w:style w:type="character" w:customStyle="1" w:styleId="FooterChar">
    <w:name w:val="Footer Char"/>
    <w:link w:val="Footer"/>
    <w:uiPriority w:val="99"/>
    <w:rsid w:val="008229BA"/>
    <w:rPr>
      <w:rFonts w:ascii="Arial" w:hAnsi="Arial"/>
      <w:color w:val="22413A"/>
      <w:sz w:val="24"/>
      <w:szCs w:val="22"/>
      <w:lang w:eastAsia="en-US" w:bidi="he-IL"/>
    </w:rPr>
  </w:style>
  <w:style w:type="character" w:styleId="PageNumber">
    <w:name w:val="page number"/>
    <w:uiPriority w:val="99"/>
    <w:semiHidden/>
    <w:rsid w:val="00FD4204"/>
    <w:rPr>
      <w:rFonts w:ascii="Arial" w:hAnsi="Arial"/>
      <w:b w:val="0"/>
      <w:color w:val="auto"/>
      <w:sz w:val="22"/>
    </w:rPr>
  </w:style>
  <w:style w:type="character" w:customStyle="1" w:styleId="Heading2Char">
    <w:name w:val="Heading 2 Char"/>
    <w:link w:val="Heading2"/>
    <w:rsid w:val="00F47145"/>
    <w:rPr>
      <w:rFonts w:ascii="Arial" w:hAnsi="Arial"/>
      <w:color w:val="22413A"/>
      <w:sz w:val="36"/>
      <w:szCs w:val="22"/>
      <w:lang w:eastAsia="en-US" w:bidi="he-IL"/>
    </w:rPr>
  </w:style>
  <w:style w:type="character" w:customStyle="1" w:styleId="Heading3Char">
    <w:name w:val="Heading 3 Char"/>
    <w:link w:val="Heading3"/>
    <w:rsid w:val="00F47145"/>
    <w:rPr>
      <w:rFonts w:ascii="Arial" w:hAnsi="Arial"/>
      <w:i/>
      <w:color w:val="22413A"/>
      <w:sz w:val="28"/>
      <w:szCs w:val="22"/>
      <w:lang w:eastAsia="en-US" w:bidi="he-IL"/>
    </w:rPr>
  </w:style>
  <w:style w:type="character" w:customStyle="1" w:styleId="Heading4Char">
    <w:name w:val="Heading 4 Char"/>
    <w:link w:val="Heading4"/>
    <w:rsid w:val="00F47145"/>
    <w:rPr>
      <w:rFonts w:ascii="Arial" w:hAnsi="Arial"/>
      <w:b/>
      <w:color w:val="22413A"/>
      <w:sz w:val="24"/>
      <w:szCs w:val="22"/>
      <w:lang w:eastAsia="en-US" w:bidi="he-IL"/>
    </w:rPr>
  </w:style>
  <w:style w:type="character" w:customStyle="1" w:styleId="Heading5Char">
    <w:name w:val="Heading 5 Char"/>
    <w:link w:val="Heading5"/>
    <w:rsid w:val="00F47145"/>
    <w:rPr>
      <w:rFonts w:ascii="Arial" w:hAnsi="Arial"/>
      <w:i/>
      <w:noProof/>
      <w:color w:val="22413A"/>
      <w:sz w:val="24"/>
      <w:szCs w:val="22"/>
      <w:lang w:eastAsia="en-US" w:bidi="he-IL"/>
    </w:rPr>
  </w:style>
  <w:style w:type="character" w:customStyle="1" w:styleId="Heading1Char">
    <w:name w:val="Heading 1 Char"/>
    <w:link w:val="Heading1"/>
    <w:rsid w:val="00F47145"/>
    <w:rPr>
      <w:rFonts w:ascii="Arial" w:hAnsi="Arial"/>
      <w:color w:val="22413A"/>
      <w:sz w:val="48"/>
      <w:szCs w:val="22"/>
      <w:lang w:eastAsia="en-US" w:bidi="he-IL"/>
    </w:rPr>
  </w:style>
  <w:style w:type="table" w:styleId="TableGrid">
    <w:name w:val="Table Grid"/>
    <w:basedOn w:val="TableNormal"/>
    <w:uiPriority w:val="39"/>
    <w:rsid w:val="00BB78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1">
    <w:name w:val="Bullet list 1"/>
    <w:basedOn w:val="Normal"/>
    <w:uiPriority w:val="1"/>
    <w:qFormat/>
    <w:rsid w:val="00E66160"/>
    <w:pPr>
      <w:numPr>
        <w:numId w:val="12"/>
      </w:numPr>
    </w:pPr>
    <w:rPr>
      <w:noProof/>
    </w:rPr>
  </w:style>
  <w:style w:type="paragraph" w:customStyle="1" w:styleId="Bulletlist2">
    <w:name w:val="Bullet list 2"/>
    <w:basedOn w:val="Normal"/>
    <w:uiPriority w:val="1"/>
    <w:qFormat/>
    <w:rsid w:val="00346C8E"/>
    <w:pPr>
      <w:numPr>
        <w:numId w:val="13"/>
      </w:numPr>
      <w:ind w:left="714" w:hanging="357"/>
    </w:pPr>
    <w:rPr>
      <w:noProof/>
    </w:rPr>
  </w:style>
  <w:style w:type="paragraph" w:customStyle="1" w:styleId="TableandChartNote">
    <w:name w:val="Table and Chart Note"/>
    <w:basedOn w:val="Normal"/>
    <w:uiPriority w:val="1"/>
    <w:qFormat/>
    <w:rsid w:val="007068BA"/>
    <w:pPr>
      <w:spacing w:before="60"/>
    </w:pPr>
    <w:rPr>
      <w:b/>
      <w:noProof/>
      <w:color w:val="000000" w:themeColor="text2"/>
      <w:sz w:val="20"/>
      <w:szCs w:val="20"/>
    </w:rPr>
  </w:style>
  <w:style w:type="table" w:customStyle="1" w:styleId="ONRTable2">
    <w:name w:val="ONR Table 2"/>
    <w:basedOn w:val="TableNormal"/>
    <w:uiPriority w:val="99"/>
    <w:rsid w:val="002319AC"/>
    <w:rPr>
      <w:rFonts w:ascii="Arial" w:hAnsi="Arial"/>
      <w:sz w:val="22"/>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57" w:type="dxa"/>
        <w:left w:w="113" w:type="dxa"/>
        <w:bottom w:w="57" w:type="dxa"/>
        <w:right w:w="113" w:type="dxa"/>
      </w:tblCellMar>
    </w:tblPr>
    <w:tcPr>
      <w:shd w:val="clear" w:color="auto" w:fill="D4EFE5"/>
    </w:tcPr>
    <w:tblStylePr w:type="firstRow">
      <w:rPr>
        <w:b/>
        <w:color w:val="FFFFFF"/>
      </w:rPr>
      <w:tblPr/>
      <w:tcPr>
        <w:shd w:val="clear" w:color="auto" w:fill="22413A"/>
      </w:tcPr>
    </w:tblStylePr>
  </w:style>
  <w:style w:type="paragraph" w:customStyle="1" w:styleId="TableText">
    <w:name w:val="Table Text"/>
    <w:basedOn w:val="Normal"/>
    <w:uiPriority w:val="1"/>
    <w:qFormat/>
    <w:rsid w:val="00884E43"/>
    <w:pPr>
      <w:spacing w:before="60" w:after="60"/>
    </w:pPr>
  </w:style>
  <w:style w:type="paragraph" w:styleId="TOC1">
    <w:name w:val="toc 1"/>
    <w:basedOn w:val="Normal"/>
    <w:next w:val="Normal"/>
    <w:uiPriority w:val="39"/>
    <w:rsid w:val="00C1596D"/>
    <w:pPr>
      <w:tabs>
        <w:tab w:val="right" w:leader="dot" w:pos="9752"/>
      </w:tabs>
      <w:spacing w:before="240" w:after="0"/>
    </w:pPr>
    <w:rPr>
      <w:noProof/>
    </w:rPr>
  </w:style>
  <w:style w:type="paragraph" w:styleId="TOC2">
    <w:name w:val="toc 2"/>
    <w:basedOn w:val="Normal"/>
    <w:next w:val="Normal"/>
    <w:uiPriority w:val="39"/>
    <w:rsid w:val="00C1596D"/>
    <w:pPr>
      <w:tabs>
        <w:tab w:val="right" w:leader="dot" w:pos="9752"/>
      </w:tabs>
      <w:spacing w:before="120" w:after="0"/>
      <w:ind w:left="284"/>
    </w:pPr>
    <w:rPr>
      <w:noProof/>
    </w:rPr>
  </w:style>
  <w:style w:type="character" w:styleId="Hyperlink">
    <w:name w:val="Hyperlink"/>
    <w:uiPriority w:val="99"/>
    <w:unhideWhenUsed/>
    <w:rsid w:val="00F71B56"/>
    <w:rPr>
      <w:color w:val="0563C1"/>
      <w:u w:val="single"/>
    </w:rPr>
  </w:style>
  <w:style w:type="paragraph" w:styleId="TOC3">
    <w:name w:val="toc 3"/>
    <w:basedOn w:val="Normal"/>
    <w:next w:val="Normal"/>
    <w:autoRedefine/>
    <w:uiPriority w:val="39"/>
    <w:semiHidden/>
    <w:rsid w:val="004C361D"/>
    <w:pPr>
      <w:tabs>
        <w:tab w:val="right" w:leader="dot" w:pos="9469"/>
      </w:tabs>
      <w:spacing w:before="120" w:after="0"/>
      <w:ind w:left="720"/>
    </w:pPr>
  </w:style>
  <w:style w:type="paragraph" w:customStyle="1" w:styleId="ContentsHeading">
    <w:name w:val="Contents Heading"/>
    <w:basedOn w:val="Normal"/>
    <w:uiPriority w:val="99"/>
    <w:semiHidden/>
    <w:qFormat/>
    <w:rsid w:val="00EE0C77"/>
    <w:pPr>
      <w:spacing w:before="240" w:after="120"/>
    </w:pPr>
    <w:rPr>
      <w:color w:val="22413A"/>
      <w:sz w:val="48"/>
      <w:szCs w:val="48"/>
    </w:rPr>
  </w:style>
  <w:style w:type="paragraph" w:customStyle="1" w:styleId="CoverDate">
    <w:name w:val="Cover Date"/>
    <w:basedOn w:val="Normal"/>
    <w:uiPriority w:val="99"/>
    <w:semiHidden/>
    <w:qFormat/>
    <w:rsid w:val="00185410"/>
    <w:pPr>
      <w:spacing w:before="240"/>
    </w:pPr>
    <w:rPr>
      <w:color w:val="FFFFFF" w:themeColor="background1"/>
      <w:sz w:val="28"/>
      <w:szCs w:val="28"/>
    </w:rPr>
  </w:style>
  <w:style w:type="paragraph" w:customStyle="1" w:styleId="CoverTitle">
    <w:name w:val="Cover Title"/>
    <w:basedOn w:val="Normal"/>
    <w:uiPriority w:val="99"/>
    <w:semiHidden/>
    <w:qFormat/>
    <w:rsid w:val="001E03E1"/>
    <w:pPr>
      <w:ind w:left="227"/>
    </w:pPr>
    <w:rPr>
      <w:b/>
      <w:color w:val="FFFFFF" w:themeColor="background1"/>
      <w:sz w:val="90"/>
      <w:szCs w:val="88"/>
    </w:rPr>
  </w:style>
  <w:style w:type="paragraph" w:customStyle="1" w:styleId="InnerCoverTitle">
    <w:name w:val="Inner Cover Title"/>
    <w:basedOn w:val="Normal"/>
    <w:uiPriority w:val="99"/>
    <w:semiHidden/>
    <w:qFormat/>
    <w:rsid w:val="00420A11"/>
    <w:rPr>
      <w:color w:val="22413A"/>
      <w:sz w:val="48"/>
    </w:rPr>
  </w:style>
  <w:style w:type="paragraph" w:styleId="FootnoteText">
    <w:name w:val="footnote text"/>
    <w:basedOn w:val="Normal"/>
    <w:link w:val="FootnoteTextChar"/>
    <w:uiPriority w:val="99"/>
    <w:semiHidden/>
    <w:unhideWhenUsed/>
    <w:rsid w:val="00C32CC1"/>
    <w:pPr>
      <w:spacing w:after="120"/>
      <w:ind w:left="397" w:hanging="397"/>
    </w:pPr>
    <w:rPr>
      <w:sz w:val="20"/>
      <w:szCs w:val="20"/>
    </w:rPr>
  </w:style>
  <w:style w:type="character" w:customStyle="1" w:styleId="FootnoteTextChar">
    <w:name w:val="Footnote Text Char"/>
    <w:basedOn w:val="DefaultParagraphFont"/>
    <w:link w:val="FootnoteText"/>
    <w:uiPriority w:val="99"/>
    <w:semiHidden/>
    <w:rsid w:val="00C32CC1"/>
    <w:rPr>
      <w:lang w:eastAsia="en-US" w:bidi="he-IL"/>
    </w:rPr>
  </w:style>
  <w:style w:type="character" w:styleId="FootnoteReference">
    <w:name w:val="footnote reference"/>
    <w:basedOn w:val="DefaultParagraphFont"/>
    <w:uiPriority w:val="99"/>
    <w:semiHidden/>
    <w:unhideWhenUsed/>
    <w:rsid w:val="00C32CC1"/>
    <w:rPr>
      <w:vertAlign w:val="superscript"/>
    </w:rPr>
  </w:style>
  <w:style w:type="character" w:styleId="PlaceholderText">
    <w:name w:val="Placeholder Text"/>
    <w:basedOn w:val="DefaultParagraphFont"/>
    <w:uiPriority w:val="99"/>
    <w:semiHidden/>
    <w:rsid w:val="0095489B"/>
    <w:rPr>
      <w:color w:val="808080"/>
    </w:rPr>
  </w:style>
  <w:style w:type="paragraph" w:styleId="BalloonText">
    <w:name w:val="Balloon Text"/>
    <w:basedOn w:val="Normal"/>
    <w:link w:val="BalloonTextChar"/>
    <w:uiPriority w:val="99"/>
    <w:semiHidden/>
    <w:unhideWhenUsed/>
    <w:rsid w:val="00696EE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6EE0"/>
    <w:rPr>
      <w:rFonts w:ascii="Tahoma" w:hAnsi="Tahoma" w:cs="Tahoma"/>
      <w:sz w:val="16"/>
      <w:szCs w:val="16"/>
      <w:lang w:eastAsia="en-US" w:bidi="he-IL"/>
    </w:rPr>
  </w:style>
  <w:style w:type="paragraph" w:customStyle="1" w:styleId="InnerCoverDate">
    <w:name w:val="Inner Cover Date"/>
    <w:basedOn w:val="CoverDate"/>
    <w:uiPriority w:val="99"/>
    <w:semiHidden/>
    <w:qFormat/>
    <w:rsid w:val="00420A11"/>
    <w:rPr>
      <w:color w:val="22413A"/>
    </w:rPr>
  </w:style>
  <w:style w:type="paragraph" w:customStyle="1" w:styleId="InnerCoverAuthor">
    <w:name w:val="Inner Cover Author"/>
    <w:basedOn w:val="Normal"/>
    <w:uiPriority w:val="99"/>
    <w:semiHidden/>
    <w:qFormat/>
    <w:rsid w:val="00420A11"/>
    <w:rPr>
      <w:color w:val="22413A"/>
      <w:sz w:val="28"/>
      <w:szCs w:val="28"/>
    </w:rPr>
  </w:style>
  <w:style w:type="paragraph" w:customStyle="1" w:styleId="TableandChartCaption">
    <w:name w:val="Table and Chart Caption"/>
    <w:basedOn w:val="Normal"/>
    <w:uiPriority w:val="1"/>
    <w:qFormat/>
    <w:rsid w:val="005754AE"/>
    <w:pPr>
      <w:spacing w:before="60"/>
    </w:pPr>
    <w:rPr>
      <w:rFonts w:asciiTheme="minorHAnsi" w:eastAsiaTheme="minorHAnsi" w:hAnsiTheme="minorHAnsi" w:cstheme="minorBidi"/>
      <w:b/>
      <w:noProof/>
      <w:color w:val="22413A"/>
      <w:sz w:val="20"/>
      <w:szCs w:val="18"/>
      <w:lang w:bidi="ar-SA"/>
    </w:rPr>
  </w:style>
  <w:style w:type="table" w:customStyle="1" w:styleId="ONRTable1">
    <w:name w:val="ONR Table 1"/>
    <w:basedOn w:val="TableNormal"/>
    <w:uiPriority w:val="99"/>
    <w:rsid w:val="002319AC"/>
    <w:rPr>
      <w:rFonts w:asciiTheme="minorHAnsi" w:eastAsiaTheme="minorHAnsi" w:hAnsiTheme="minorHAnsi" w:cstheme="minorBidi"/>
      <w:sz w:val="22"/>
      <w:szCs w:val="22"/>
      <w:lang w:eastAsia="en-US"/>
    </w:rPr>
    <w:tblPr>
      <w:tblInd w:w="0" w:type="nil"/>
      <w:tblBorders>
        <w:bottom w:val="single" w:sz="4" w:space="0" w:color="22413A"/>
        <w:insideH w:val="single" w:sz="4" w:space="0" w:color="22413A"/>
        <w:insideV w:val="single" w:sz="4" w:space="0" w:color="22413A"/>
      </w:tblBorders>
      <w:tblCellMar>
        <w:top w:w="57" w:type="dxa"/>
        <w:left w:w="113" w:type="dxa"/>
        <w:bottom w:w="57" w:type="dxa"/>
        <w:right w:w="113" w:type="dxa"/>
      </w:tblCellMar>
    </w:tblPr>
    <w:tblStylePr w:type="firstRow">
      <w:rPr>
        <w:b/>
        <w:color w:val="FFFFFF" w:themeColor="background1"/>
      </w:rPr>
      <w:tblPr/>
      <w:tcPr>
        <w:tcBorders>
          <w:top w:val="nil"/>
          <w:left w:val="nil"/>
          <w:bottom w:val="nil"/>
          <w:right w:val="nil"/>
          <w:insideH w:val="nil"/>
          <w:insideV w:val="single" w:sz="4" w:space="0" w:color="FFFFFF" w:themeColor="background1"/>
          <w:tl2br w:val="nil"/>
          <w:tr2bl w:val="nil"/>
        </w:tcBorders>
        <w:shd w:val="clear" w:color="auto" w:fill="22413A"/>
      </w:tcPr>
    </w:tblStylePr>
  </w:style>
  <w:style w:type="table" w:customStyle="1" w:styleId="Box1">
    <w:name w:val="Box 1"/>
    <w:basedOn w:val="TableNormal"/>
    <w:uiPriority w:val="99"/>
    <w:rsid w:val="002319AC"/>
    <w:rPr>
      <w:rFonts w:asciiTheme="minorHAnsi" w:eastAsiaTheme="minorHAnsi" w:hAnsiTheme="minorHAnsi" w:cstheme="minorBidi"/>
      <w:sz w:val="22"/>
      <w:szCs w:val="22"/>
      <w:lang w:eastAsia="en-US"/>
    </w:rPr>
    <w:tblPr>
      <w:tblInd w:w="0" w:type="nil"/>
      <w:tblBorders>
        <w:top w:val="single" w:sz="4" w:space="0" w:color="22413A"/>
        <w:left w:val="single" w:sz="4" w:space="0" w:color="22413A"/>
        <w:bottom w:val="single" w:sz="4" w:space="0" w:color="22413A"/>
        <w:right w:val="single" w:sz="4" w:space="0" w:color="22413A"/>
      </w:tblBorders>
      <w:tblCellMar>
        <w:top w:w="57" w:type="dxa"/>
        <w:left w:w="113" w:type="dxa"/>
        <w:bottom w:w="57" w:type="dxa"/>
        <w:right w:w="113" w:type="dxa"/>
      </w:tblCellMar>
    </w:tblPr>
  </w:style>
  <w:style w:type="table" w:customStyle="1" w:styleId="Box2">
    <w:name w:val="Box 2"/>
    <w:basedOn w:val="TableNormal"/>
    <w:uiPriority w:val="99"/>
    <w:rsid w:val="002319AC"/>
    <w:rPr>
      <w:rFonts w:asciiTheme="minorHAnsi" w:eastAsiaTheme="minorHAnsi" w:hAnsiTheme="minorHAnsi" w:cstheme="minorBidi"/>
      <w:sz w:val="22"/>
      <w:szCs w:val="22"/>
      <w:lang w:eastAsia="en-US"/>
    </w:rPr>
    <w:tblPr>
      <w:tblInd w:w="0" w:type="nil"/>
      <w:tblBorders>
        <w:top w:val="single" w:sz="4" w:space="0" w:color="22413A"/>
        <w:left w:val="single" w:sz="4" w:space="0" w:color="22413A"/>
        <w:bottom w:val="single" w:sz="4" w:space="0" w:color="22413A"/>
        <w:right w:val="single" w:sz="4" w:space="0" w:color="22413A"/>
      </w:tblBorders>
      <w:tblCellMar>
        <w:top w:w="57" w:type="dxa"/>
        <w:left w:w="113" w:type="dxa"/>
        <w:bottom w:w="57" w:type="dxa"/>
        <w:right w:w="113" w:type="dxa"/>
      </w:tblCellMar>
    </w:tblPr>
    <w:tblStylePr w:type="firstRow">
      <w:rPr>
        <w:b/>
        <w:color w:val="FFFFFF" w:themeColor="background1"/>
      </w:rPr>
      <w:tblPr/>
      <w:tcPr>
        <w:shd w:val="clear" w:color="auto" w:fill="22413A"/>
      </w:tcPr>
    </w:tblStylePr>
  </w:style>
  <w:style w:type="paragraph" w:customStyle="1" w:styleId="QuoteText">
    <w:name w:val="Quote Text"/>
    <w:basedOn w:val="Normal"/>
    <w:uiPriority w:val="1"/>
    <w:qFormat/>
    <w:rsid w:val="004A3DF2"/>
    <w:pPr>
      <w:pBdr>
        <w:top w:val="single" w:sz="4" w:space="6" w:color="22413A"/>
        <w:bottom w:val="single" w:sz="4" w:space="6" w:color="22413A"/>
      </w:pBdr>
      <w:spacing w:before="240"/>
    </w:pPr>
    <w:rPr>
      <w:rFonts w:asciiTheme="minorHAnsi" w:eastAsiaTheme="minorHAnsi" w:hAnsiTheme="minorHAnsi" w:cstheme="minorBidi"/>
      <w:color w:val="22413A"/>
      <w:sz w:val="28"/>
      <w:szCs w:val="30"/>
      <w:lang w:bidi="ar-SA"/>
    </w:rPr>
  </w:style>
  <w:style w:type="paragraph" w:customStyle="1" w:styleId="NumList1">
    <w:name w:val="Num List 1"/>
    <w:basedOn w:val="Normal"/>
    <w:uiPriority w:val="1"/>
    <w:qFormat/>
    <w:rsid w:val="00FD31B3"/>
    <w:pPr>
      <w:numPr>
        <w:numId w:val="18"/>
      </w:numPr>
    </w:pPr>
    <w:rPr>
      <w:rFonts w:asciiTheme="minorHAnsi" w:eastAsiaTheme="minorHAnsi" w:hAnsiTheme="minorHAnsi" w:cstheme="minorBidi"/>
      <w:noProof/>
      <w:lang w:bidi="ar-SA"/>
    </w:rPr>
  </w:style>
  <w:style w:type="paragraph" w:customStyle="1" w:styleId="NumList2">
    <w:name w:val="Num List 2"/>
    <w:basedOn w:val="Normal"/>
    <w:uiPriority w:val="1"/>
    <w:qFormat/>
    <w:rsid w:val="00FD31B3"/>
    <w:pPr>
      <w:numPr>
        <w:ilvl w:val="1"/>
        <w:numId w:val="18"/>
      </w:numPr>
    </w:pPr>
    <w:rPr>
      <w:rFonts w:asciiTheme="minorHAnsi" w:eastAsiaTheme="minorHAnsi" w:hAnsiTheme="minorHAnsi" w:cstheme="minorBidi"/>
      <w:lang w:bidi="ar-SA"/>
    </w:rPr>
  </w:style>
  <w:style w:type="paragraph" w:customStyle="1" w:styleId="BulletList3">
    <w:name w:val="Bullet List 3"/>
    <w:basedOn w:val="ListParagraph"/>
    <w:uiPriority w:val="1"/>
    <w:qFormat/>
    <w:rsid w:val="00FD31B3"/>
    <w:pPr>
      <w:numPr>
        <w:numId w:val="19"/>
      </w:numPr>
      <w:ind w:left="360" w:hanging="360"/>
      <w:contextualSpacing w:val="0"/>
    </w:pPr>
    <w:rPr>
      <w:rFonts w:asciiTheme="minorHAnsi" w:eastAsiaTheme="minorHAnsi" w:hAnsiTheme="minorHAnsi" w:cstheme="minorBidi"/>
      <w:noProof/>
      <w:lang w:bidi="ar-SA"/>
    </w:rPr>
  </w:style>
  <w:style w:type="character" w:styleId="CommentReference">
    <w:name w:val="annotation reference"/>
    <w:basedOn w:val="DefaultParagraphFont"/>
    <w:uiPriority w:val="99"/>
    <w:semiHidden/>
    <w:unhideWhenUsed/>
    <w:rsid w:val="00FD31B3"/>
    <w:rPr>
      <w:sz w:val="16"/>
      <w:szCs w:val="16"/>
    </w:rPr>
  </w:style>
  <w:style w:type="paragraph" w:styleId="CommentText">
    <w:name w:val="annotation text"/>
    <w:basedOn w:val="Normal"/>
    <w:link w:val="CommentTextChar"/>
    <w:uiPriority w:val="99"/>
    <w:unhideWhenUsed/>
    <w:rsid w:val="00FD31B3"/>
    <w:pPr>
      <w:spacing w:line="240" w:lineRule="auto"/>
    </w:pPr>
    <w:rPr>
      <w:rFonts w:asciiTheme="minorHAnsi" w:eastAsiaTheme="minorHAnsi" w:hAnsiTheme="minorHAnsi" w:cstheme="minorBidi"/>
      <w:sz w:val="20"/>
      <w:szCs w:val="20"/>
      <w:lang w:bidi="ar-SA"/>
    </w:rPr>
  </w:style>
  <w:style w:type="character" w:customStyle="1" w:styleId="CommentTextChar">
    <w:name w:val="Comment Text Char"/>
    <w:basedOn w:val="DefaultParagraphFont"/>
    <w:link w:val="CommentText"/>
    <w:uiPriority w:val="99"/>
    <w:rsid w:val="00FD31B3"/>
    <w:rPr>
      <w:rFonts w:asciiTheme="minorHAnsi" w:eastAsiaTheme="minorHAnsi" w:hAnsiTheme="minorHAnsi" w:cstheme="minorBidi"/>
      <w:lang w:eastAsia="en-US"/>
    </w:rPr>
  </w:style>
  <w:style w:type="paragraph" w:styleId="ListParagraph">
    <w:name w:val="List Paragraph"/>
    <w:basedOn w:val="Normal"/>
    <w:uiPriority w:val="34"/>
    <w:semiHidden/>
    <w:qFormat/>
    <w:rsid w:val="00FD31B3"/>
    <w:pPr>
      <w:ind w:left="720"/>
      <w:contextualSpacing/>
    </w:pPr>
  </w:style>
  <w:style w:type="character" w:styleId="IntenseEmphasis">
    <w:name w:val="Intense Emphasis"/>
    <w:basedOn w:val="DefaultParagraphFont"/>
    <w:uiPriority w:val="21"/>
    <w:semiHidden/>
    <w:qFormat/>
    <w:rsid w:val="004648A4"/>
    <w:rPr>
      <w:i/>
      <w:iCs/>
      <w:color w:val="22413A"/>
    </w:rPr>
  </w:style>
  <w:style w:type="character" w:styleId="IntenseReference">
    <w:name w:val="Intense Reference"/>
    <w:basedOn w:val="DefaultParagraphFont"/>
    <w:uiPriority w:val="32"/>
    <w:semiHidden/>
    <w:qFormat/>
    <w:rsid w:val="004648A4"/>
    <w:rPr>
      <w:b/>
      <w:bCs/>
      <w:smallCaps/>
      <w:color w:val="22413A"/>
      <w:spacing w:val="5"/>
    </w:rPr>
  </w:style>
  <w:style w:type="paragraph" w:styleId="IntenseQuote">
    <w:name w:val="Intense Quote"/>
    <w:basedOn w:val="Normal"/>
    <w:next w:val="Normal"/>
    <w:link w:val="IntenseQuoteChar"/>
    <w:uiPriority w:val="30"/>
    <w:semiHidden/>
    <w:qFormat/>
    <w:rsid w:val="004648A4"/>
    <w:pPr>
      <w:pBdr>
        <w:top w:val="single" w:sz="4" w:space="10" w:color="22413A"/>
        <w:bottom w:val="single" w:sz="4" w:space="10" w:color="22413A"/>
      </w:pBdr>
      <w:spacing w:before="360" w:after="360"/>
      <w:ind w:left="864" w:right="864"/>
      <w:jc w:val="center"/>
    </w:pPr>
    <w:rPr>
      <w:i/>
      <w:iCs/>
      <w:color w:val="22413A"/>
    </w:rPr>
  </w:style>
  <w:style w:type="character" w:customStyle="1" w:styleId="IntenseQuoteChar">
    <w:name w:val="Intense Quote Char"/>
    <w:basedOn w:val="DefaultParagraphFont"/>
    <w:link w:val="IntenseQuote"/>
    <w:uiPriority w:val="30"/>
    <w:semiHidden/>
    <w:rsid w:val="003C114C"/>
    <w:rPr>
      <w:rFonts w:ascii="Arial" w:hAnsi="Arial"/>
      <w:i/>
      <w:iCs/>
      <w:color w:val="22413A"/>
      <w:sz w:val="24"/>
      <w:szCs w:val="22"/>
      <w:lang w:eastAsia="en-US" w:bidi="he-IL"/>
    </w:rPr>
  </w:style>
  <w:style w:type="character" w:customStyle="1" w:styleId="Heading6Char">
    <w:name w:val="Heading 6 Char"/>
    <w:basedOn w:val="DefaultParagraphFont"/>
    <w:link w:val="Heading6"/>
    <w:rsid w:val="00F47145"/>
    <w:rPr>
      <w:rFonts w:asciiTheme="majorHAnsi" w:eastAsiaTheme="majorEastAsia" w:hAnsiTheme="majorHAnsi" w:cstheme="majorBidi"/>
      <w:i/>
      <w:color w:val="22413A"/>
      <w:sz w:val="24"/>
      <w:szCs w:val="22"/>
      <w:u w:val="single"/>
      <w:lang w:eastAsia="en-US" w:bidi="he-IL"/>
    </w:rPr>
  </w:style>
  <w:style w:type="paragraph" w:customStyle="1" w:styleId="Copyright">
    <w:name w:val="Copyright"/>
    <w:basedOn w:val="Normal"/>
    <w:uiPriority w:val="99"/>
    <w:semiHidden/>
    <w:qFormat/>
    <w:rsid w:val="00B82646"/>
    <w:pPr>
      <w:spacing w:after="0"/>
    </w:pPr>
    <w:rPr>
      <w:color w:val="22413A"/>
      <w:sz w:val="16"/>
      <w:szCs w:val="16"/>
    </w:rPr>
  </w:style>
  <w:style w:type="character" w:styleId="UnresolvedMention">
    <w:name w:val="Unresolved Mention"/>
    <w:basedOn w:val="DefaultParagraphFont"/>
    <w:uiPriority w:val="99"/>
    <w:semiHidden/>
    <w:unhideWhenUsed/>
    <w:rsid w:val="00BA5941"/>
    <w:rPr>
      <w:color w:val="605E5C"/>
      <w:shd w:val="clear" w:color="auto" w:fill="E1DFDD"/>
    </w:rPr>
  </w:style>
  <w:style w:type="character" w:styleId="FollowedHyperlink">
    <w:name w:val="FollowedHyperlink"/>
    <w:basedOn w:val="DefaultParagraphFont"/>
    <w:uiPriority w:val="99"/>
    <w:semiHidden/>
    <w:unhideWhenUsed/>
    <w:rsid w:val="00BA5941"/>
    <w:rPr>
      <w:color w:val="AA1C76" w:themeColor="followedHyperlink"/>
      <w:u w:val="single"/>
    </w:rPr>
  </w:style>
  <w:style w:type="paragraph" w:styleId="BodyText">
    <w:name w:val="Body Text"/>
    <w:basedOn w:val="Normal"/>
    <w:link w:val="BodyTextChar"/>
    <w:uiPriority w:val="1"/>
    <w:qFormat/>
    <w:rsid w:val="00E86491"/>
    <w:pPr>
      <w:widowControl w:val="0"/>
      <w:autoSpaceDE w:val="0"/>
      <w:autoSpaceDN w:val="0"/>
      <w:spacing w:line="240" w:lineRule="auto"/>
    </w:pPr>
    <w:rPr>
      <w:rFonts w:eastAsia="Arial"/>
      <w:szCs w:val="24"/>
      <w:lang w:bidi="ar-SA"/>
    </w:rPr>
  </w:style>
  <w:style w:type="character" w:customStyle="1" w:styleId="BodyTextChar">
    <w:name w:val="Body Text Char"/>
    <w:basedOn w:val="DefaultParagraphFont"/>
    <w:link w:val="BodyText"/>
    <w:uiPriority w:val="1"/>
    <w:rsid w:val="00E86491"/>
    <w:rPr>
      <w:rFonts w:ascii="Arial" w:eastAsia="Arial" w:hAnsi="Arial"/>
      <w:sz w:val="24"/>
      <w:szCs w:val="24"/>
      <w:lang w:eastAsia="en-US"/>
    </w:rPr>
  </w:style>
  <w:style w:type="paragraph" w:styleId="CommentSubject">
    <w:name w:val="annotation subject"/>
    <w:basedOn w:val="CommentText"/>
    <w:next w:val="CommentText"/>
    <w:link w:val="CommentSubjectChar"/>
    <w:uiPriority w:val="99"/>
    <w:semiHidden/>
    <w:unhideWhenUsed/>
    <w:rsid w:val="00534988"/>
    <w:rPr>
      <w:rFonts w:ascii="Arial" w:eastAsia="Calibri" w:hAnsi="Arial" w:cs="Arial"/>
      <w:b/>
      <w:bCs/>
      <w:lang w:bidi="he-IL"/>
    </w:rPr>
  </w:style>
  <w:style w:type="character" w:customStyle="1" w:styleId="CommentSubjectChar">
    <w:name w:val="Comment Subject Char"/>
    <w:basedOn w:val="CommentTextChar"/>
    <w:link w:val="CommentSubject"/>
    <w:uiPriority w:val="99"/>
    <w:semiHidden/>
    <w:rsid w:val="00534988"/>
    <w:rPr>
      <w:rFonts w:ascii="Arial" w:eastAsiaTheme="minorHAnsi" w:hAnsi="Arial" w:cstheme="minorBidi"/>
      <w:b/>
      <w:bCs/>
      <w:lang w:eastAsia="en-US" w:bidi="he-IL"/>
    </w:rPr>
  </w:style>
  <w:style w:type="paragraph" w:customStyle="1" w:styleId="Covertitle1">
    <w:name w:val="Cover title 1"/>
    <w:basedOn w:val="CoverTitle"/>
    <w:uiPriority w:val="99"/>
    <w:qFormat/>
    <w:rsid w:val="0028268D"/>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uppressAutoHyphens/>
      <w:autoSpaceDE w:val="0"/>
      <w:autoSpaceDN w:val="0"/>
      <w:adjustRightInd w:val="0"/>
      <w:spacing w:after="295" w:line="320" w:lineRule="atLeast"/>
      <w:ind w:left="0"/>
      <w:textAlignment w:val="center"/>
    </w:pPr>
    <w:rPr>
      <w:rFonts w:cs="MrEavesXLModOT"/>
      <w:sz w:val="66"/>
      <w:szCs w:val="66"/>
      <w:lang w:eastAsia="en-GB" w:bidi="ar-SA"/>
    </w:rPr>
  </w:style>
  <w:style w:type="paragraph" w:styleId="TOCHeading">
    <w:name w:val="TOC Heading"/>
    <w:basedOn w:val="Heading1"/>
    <w:next w:val="Normal"/>
    <w:uiPriority w:val="39"/>
    <w:unhideWhenUsed/>
    <w:qFormat/>
    <w:rsid w:val="00F27FAB"/>
    <w:pPr>
      <w:keepLines/>
      <w:spacing w:after="0" w:line="259" w:lineRule="auto"/>
      <w:outlineLvl w:val="9"/>
    </w:pPr>
    <w:rPr>
      <w:rFonts w:asciiTheme="majorHAnsi" w:eastAsiaTheme="majorEastAsia" w:hAnsiTheme="majorHAnsi" w:cstheme="majorBidi"/>
      <w:color w:val="055450" w:themeColor="accent1" w:themeShade="BF"/>
      <w:sz w:val="32"/>
      <w:szCs w:val="32"/>
      <w:lang w:eastAsia="en-GB" w:bidi="ar-SA"/>
    </w:rPr>
  </w:style>
  <w:style w:type="paragraph" w:styleId="Revision">
    <w:name w:val="Revision"/>
    <w:hidden/>
    <w:uiPriority w:val="99"/>
    <w:semiHidden/>
    <w:rsid w:val="00B12101"/>
    <w:rPr>
      <w:rFonts w:ascii="Arial" w:hAnsi="Arial"/>
      <w:sz w:val="24"/>
      <w:szCs w:val="22"/>
      <w:lang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69340">
      <w:bodyDiv w:val="1"/>
      <w:marLeft w:val="0"/>
      <w:marRight w:val="0"/>
      <w:marTop w:val="0"/>
      <w:marBottom w:val="0"/>
      <w:divBdr>
        <w:top w:val="none" w:sz="0" w:space="0" w:color="auto"/>
        <w:left w:val="none" w:sz="0" w:space="0" w:color="auto"/>
        <w:bottom w:val="none" w:sz="0" w:space="0" w:color="auto"/>
        <w:right w:val="none" w:sz="0" w:space="0" w:color="auto"/>
      </w:divBdr>
    </w:div>
    <w:div w:id="202256884">
      <w:bodyDiv w:val="1"/>
      <w:marLeft w:val="0"/>
      <w:marRight w:val="0"/>
      <w:marTop w:val="0"/>
      <w:marBottom w:val="0"/>
      <w:divBdr>
        <w:top w:val="none" w:sz="0" w:space="0" w:color="auto"/>
        <w:left w:val="none" w:sz="0" w:space="0" w:color="auto"/>
        <w:bottom w:val="none" w:sz="0" w:space="0" w:color="auto"/>
        <w:right w:val="none" w:sz="0" w:space="0" w:color="auto"/>
      </w:divBdr>
    </w:div>
    <w:div w:id="456877141">
      <w:bodyDiv w:val="1"/>
      <w:marLeft w:val="0"/>
      <w:marRight w:val="0"/>
      <w:marTop w:val="0"/>
      <w:marBottom w:val="0"/>
      <w:divBdr>
        <w:top w:val="none" w:sz="0" w:space="0" w:color="auto"/>
        <w:left w:val="none" w:sz="0" w:space="0" w:color="auto"/>
        <w:bottom w:val="none" w:sz="0" w:space="0" w:color="auto"/>
        <w:right w:val="none" w:sz="0" w:space="0" w:color="auto"/>
      </w:divBdr>
    </w:div>
    <w:div w:id="533887462">
      <w:bodyDiv w:val="1"/>
      <w:marLeft w:val="0"/>
      <w:marRight w:val="0"/>
      <w:marTop w:val="0"/>
      <w:marBottom w:val="0"/>
      <w:divBdr>
        <w:top w:val="none" w:sz="0" w:space="0" w:color="auto"/>
        <w:left w:val="none" w:sz="0" w:space="0" w:color="auto"/>
        <w:bottom w:val="none" w:sz="0" w:space="0" w:color="auto"/>
        <w:right w:val="none" w:sz="0" w:space="0" w:color="auto"/>
      </w:divBdr>
    </w:div>
    <w:div w:id="557017850">
      <w:bodyDiv w:val="1"/>
      <w:marLeft w:val="0"/>
      <w:marRight w:val="0"/>
      <w:marTop w:val="0"/>
      <w:marBottom w:val="0"/>
      <w:divBdr>
        <w:top w:val="none" w:sz="0" w:space="0" w:color="auto"/>
        <w:left w:val="none" w:sz="0" w:space="0" w:color="auto"/>
        <w:bottom w:val="none" w:sz="0" w:space="0" w:color="auto"/>
        <w:right w:val="none" w:sz="0" w:space="0" w:color="auto"/>
      </w:divBdr>
    </w:div>
    <w:div w:id="1135879354">
      <w:bodyDiv w:val="1"/>
      <w:marLeft w:val="0"/>
      <w:marRight w:val="0"/>
      <w:marTop w:val="0"/>
      <w:marBottom w:val="0"/>
      <w:divBdr>
        <w:top w:val="none" w:sz="0" w:space="0" w:color="auto"/>
        <w:left w:val="none" w:sz="0" w:space="0" w:color="auto"/>
        <w:bottom w:val="none" w:sz="0" w:space="0" w:color="auto"/>
        <w:right w:val="none" w:sz="0" w:space="0" w:color="auto"/>
      </w:divBdr>
    </w:div>
    <w:div w:id="1408839961">
      <w:bodyDiv w:val="1"/>
      <w:marLeft w:val="0"/>
      <w:marRight w:val="0"/>
      <w:marTop w:val="0"/>
      <w:marBottom w:val="0"/>
      <w:divBdr>
        <w:top w:val="none" w:sz="0" w:space="0" w:color="auto"/>
        <w:left w:val="none" w:sz="0" w:space="0" w:color="auto"/>
        <w:bottom w:val="none" w:sz="0" w:space="0" w:color="auto"/>
        <w:right w:val="none" w:sz="0" w:space="0" w:color="auto"/>
      </w:divBdr>
    </w:div>
    <w:div w:id="1494755407">
      <w:bodyDiv w:val="1"/>
      <w:marLeft w:val="0"/>
      <w:marRight w:val="0"/>
      <w:marTop w:val="0"/>
      <w:marBottom w:val="0"/>
      <w:divBdr>
        <w:top w:val="none" w:sz="0" w:space="0" w:color="auto"/>
        <w:left w:val="none" w:sz="0" w:space="0" w:color="auto"/>
        <w:bottom w:val="none" w:sz="0" w:space="0" w:color="auto"/>
        <w:right w:val="none" w:sz="0" w:space="0" w:color="auto"/>
      </w:divBdr>
    </w:div>
    <w:div w:id="2054888290">
      <w:bodyDiv w:val="1"/>
      <w:marLeft w:val="0"/>
      <w:marRight w:val="0"/>
      <w:marTop w:val="0"/>
      <w:marBottom w:val="0"/>
      <w:divBdr>
        <w:top w:val="none" w:sz="0" w:space="0" w:color="auto"/>
        <w:left w:val="none" w:sz="0" w:space="0" w:color="auto"/>
        <w:bottom w:val="none" w:sz="0" w:space="0" w:color="auto"/>
        <w:right w:val="none" w:sz="0" w:space="0" w:color="auto"/>
      </w:divBdr>
    </w:div>
    <w:div w:id="211304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mailto:contact@onr.gov.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NR colours">
      <a:dk1>
        <a:sysClr val="windowText" lastClr="000000"/>
      </a:dk1>
      <a:lt1>
        <a:srgbClr val="FFFFFF"/>
      </a:lt1>
      <a:dk2>
        <a:srgbClr val="000000"/>
      </a:dk2>
      <a:lt2>
        <a:srgbClr val="FFFFFF"/>
      </a:lt2>
      <a:accent1>
        <a:srgbClr val="07716C"/>
      </a:accent1>
      <a:accent2>
        <a:srgbClr val="F26522"/>
      </a:accent2>
      <a:accent3>
        <a:srgbClr val="4BC3CA"/>
      </a:accent3>
      <a:accent4>
        <a:srgbClr val="90C346"/>
      </a:accent4>
      <a:accent5>
        <a:srgbClr val="AA1C76"/>
      </a:accent5>
      <a:accent6>
        <a:srgbClr val="8E8E8D"/>
      </a:accent6>
      <a:hlink>
        <a:srgbClr val="07716C"/>
      </a:hlink>
      <a:folHlink>
        <a:srgbClr val="AA1C76"/>
      </a:folHlink>
    </a:clrScheme>
    <a:fontScheme name="ONR">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81E63-E493-4A31-BDA2-2DCDCF085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5037</Words>
  <Characters>28711</Characters>
  <Application>Microsoft Office Word</Application>
  <DocSecurity>4</DocSecurity>
  <Lines>239</Lines>
  <Paragraphs>67</Paragraphs>
  <ScaleCrop>false</ScaleCrop>
  <HeadingPairs>
    <vt:vector size="2" baseType="variant">
      <vt:variant>
        <vt:lpstr>Title</vt:lpstr>
      </vt:variant>
      <vt:variant>
        <vt:i4>1</vt:i4>
      </vt:variant>
    </vt:vector>
  </HeadingPairs>
  <TitlesOfParts>
    <vt:vector size="1" baseType="lpstr">
      <vt:lpstr>[Title]</vt:lpstr>
    </vt:vector>
  </TitlesOfParts>
  <Manager>Office for Nuclear Regulation</Manager>
  <Company>Office for Nuclear Regulation</Company>
  <LinksUpToDate>false</LinksUpToDate>
  <CharactersWithSpaces>33681</CharactersWithSpaces>
  <SharedDoc>false</SharedDoc>
  <HLinks>
    <vt:vector size="138" baseType="variant">
      <vt:variant>
        <vt:i4>2293820</vt:i4>
      </vt:variant>
      <vt:variant>
        <vt:i4>93</vt:i4>
      </vt:variant>
      <vt:variant>
        <vt:i4>0</vt:i4>
      </vt:variant>
      <vt:variant>
        <vt:i4>5</vt:i4>
      </vt:variant>
      <vt:variant>
        <vt:lpwstr>https://www.onr.org.uk/licensing-nuclear-installations.pdf</vt:lpwstr>
      </vt:variant>
      <vt:variant>
        <vt:lpwstr/>
      </vt:variant>
      <vt:variant>
        <vt:i4>7405664</vt:i4>
      </vt:variant>
      <vt:variant>
        <vt:i4>90</vt:i4>
      </vt:variant>
      <vt:variant>
        <vt:i4>0</vt:i4>
      </vt:variant>
      <vt:variant>
        <vt:i4>5</vt:i4>
      </vt:variant>
      <vt:variant>
        <vt:lpwstr>https://www.gov.uk/government/news/position-paper-on-regulation-of-a-geological-disposal-facility-and-management-of-radioactive-waste-published</vt:lpwstr>
      </vt:variant>
      <vt:variant>
        <vt:lpwstr/>
      </vt:variant>
      <vt:variant>
        <vt:i4>3997749</vt:i4>
      </vt:variant>
      <vt:variant>
        <vt:i4>87</vt:i4>
      </vt:variant>
      <vt:variant>
        <vt:i4>0</vt:i4>
      </vt:variant>
      <vt:variant>
        <vt:i4>5</vt:i4>
      </vt:variant>
      <vt:variant>
        <vt:lpwstr>https://www.onr.org.uk/documents/2019/geological-disposal-overview.pdf</vt:lpwstr>
      </vt:variant>
      <vt:variant>
        <vt:lpwstr/>
      </vt:variant>
      <vt:variant>
        <vt:i4>2883637</vt:i4>
      </vt:variant>
      <vt:variant>
        <vt:i4>84</vt:i4>
      </vt:variant>
      <vt:variant>
        <vt:i4>0</vt:i4>
      </vt:variant>
      <vt:variant>
        <vt:i4>5</vt:i4>
      </vt:variant>
      <vt:variant>
        <vt:lpwstr>https://www.iaea.org/resources/safety-standards/safety-glossary</vt:lpwstr>
      </vt:variant>
      <vt:variant>
        <vt:lpwstr/>
      </vt:variant>
      <vt:variant>
        <vt:i4>7667799</vt:i4>
      </vt:variant>
      <vt:variant>
        <vt:i4>81</vt:i4>
      </vt:variant>
      <vt:variant>
        <vt:i4>0</vt:i4>
      </vt:variant>
      <vt:variant>
        <vt:i4>5</vt:i4>
      </vt:variant>
      <vt:variant>
        <vt:lpwstr>https://assets.publishing.service.gov.uk/government/uploads/system/uploads/attachment_data/file/1022286/towards-fusion-energy-uk-government-proposals-regulatory-framework-fusion-energy.pdf</vt:lpwstr>
      </vt:variant>
      <vt:variant>
        <vt:lpwstr/>
      </vt:variant>
      <vt:variant>
        <vt:i4>2359339</vt:i4>
      </vt:variant>
      <vt:variant>
        <vt:i4>78</vt:i4>
      </vt:variant>
      <vt:variant>
        <vt:i4>0</vt:i4>
      </vt:variant>
      <vt:variant>
        <vt:i4>5</vt:i4>
      </vt:variant>
      <vt:variant>
        <vt:lpwstr>https://www.legislation.gov.uk/uksi/2019/703/contents/made</vt:lpwstr>
      </vt:variant>
      <vt:variant>
        <vt:lpwstr/>
      </vt:variant>
      <vt:variant>
        <vt:i4>4128876</vt:i4>
      </vt:variant>
      <vt:variant>
        <vt:i4>75</vt:i4>
      </vt:variant>
      <vt:variant>
        <vt:i4>0</vt:i4>
      </vt:variant>
      <vt:variant>
        <vt:i4>5</vt:i4>
      </vt:variant>
      <vt:variant>
        <vt:lpwstr>https://www.legislation.gov.uk/uksi/2017/1075/contents/made</vt:lpwstr>
      </vt:variant>
      <vt:variant>
        <vt:lpwstr/>
      </vt:variant>
      <vt:variant>
        <vt:i4>6750246</vt:i4>
      </vt:variant>
      <vt:variant>
        <vt:i4>72</vt:i4>
      </vt:variant>
      <vt:variant>
        <vt:i4>0</vt:i4>
      </vt:variant>
      <vt:variant>
        <vt:i4>5</vt:i4>
      </vt:variant>
      <vt:variant>
        <vt:lpwstr>https://www.gov.uk/government/publications/regulators-code</vt:lpwstr>
      </vt:variant>
      <vt:variant>
        <vt:lpwstr/>
      </vt:variant>
      <vt:variant>
        <vt:i4>5636106</vt:i4>
      </vt:variant>
      <vt:variant>
        <vt:i4>69</vt:i4>
      </vt:variant>
      <vt:variant>
        <vt:i4>0</vt:i4>
      </vt:variant>
      <vt:variant>
        <vt:i4>5</vt:i4>
      </vt:variant>
      <vt:variant>
        <vt:lpwstr>https://www.gov.uk/government/publications/nuclear-decommissioning-authority-strategy-effective-from-march-2021/nuclear-decommissioning-authority-strategy-effective-from-march-2021</vt:lpwstr>
      </vt:variant>
      <vt:variant>
        <vt:lpwstr/>
      </vt:variant>
      <vt:variant>
        <vt:i4>196723</vt:i4>
      </vt:variant>
      <vt:variant>
        <vt:i4>66</vt:i4>
      </vt:variant>
      <vt:variant>
        <vt:i4>0</vt:i4>
      </vt:variant>
      <vt:variant>
        <vt:i4>5</vt:i4>
      </vt:variant>
      <vt:variant>
        <vt:lpwstr>mailto:contact@onr.gov.uk</vt:lpwstr>
      </vt:variant>
      <vt:variant>
        <vt:lpwstr/>
      </vt:variant>
      <vt:variant>
        <vt:i4>2293820</vt:i4>
      </vt:variant>
      <vt:variant>
        <vt:i4>63</vt:i4>
      </vt:variant>
      <vt:variant>
        <vt:i4>0</vt:i4>
      </vt:variant>
      <vt:variant>
        <vt:i4>5</vt:i4>
      </vt:variant>
      <vt:variant>
        <vt:lpwstr>https://www.onr.org.uk/licensing-nuclear-installations.pdf</vt:lpwstr>
      </vt:variant>
      <vt:variant>
        <vt:lpwstr/>
      </vt:variant>
      <vt:variant>
        <vt:i4>3342440</vt:i4>
      </vt:variant>
      <vt:variant>
        <vt:i4>60</vt:i4>
      </vt:variant>
      <vt:variant>
        <vt:i4>0</vt:i4>
      </vt:variant>
      <vt:variant>
        <vt:i4>5</vt:i4>
      </vt:variant>
      <vt:variant>
        <vt:lpwstr>https://www.gov.uk/government/publications/nuclear-and-radiological-safety-review-of-the-uk-framework-2019</vt:lpwstr>
      </vt:variant>
      <vt:variant>
        <vt:lpwstr/>
      </vt:variant>
      <vt:variant>
        <vt:i4>5242965</vt:i4>
      </vt:variant>
      <vt:variant>
        <vt:i4>57</vt:i4>
      </vt:variant>
      <vt:variant>
        <vt:i4>0</vt:i4>
      </vt:variant>
      <vt:variant>
        <vt:i4>5</vt:i4>
      </vt:variant>
      <vt:variant>
        <vt:lpwstr>https://www.legislation.gov.uk/ukpga/1965/57/contents</vt:lpwstr>
      </vt:variant>
      <vt:variant>
        <vt:lpwstr/>
      </vt:variant>
      <vt:variant>
        <vt:i4>1048630</vt:i4>
      </vt:variant>
      <vt:variant>
        <vt:i4>50</vt:i4>
      </vt:variant>
      <vt:variant>
        <vt:i4>0</vt:i4>
      </vt:variant>
      <vt:variant>
        <vt:i4>5</vt:i4>
      </vt:variant>
      <vt:variant>
        <vt:lpwstr/>
      </vt:variant>
      <vt:variant>
        <vt:lpwstr>_Toc82167586</vt:lpwstr>
      </vt:variant>
      <vt:variant>
        <vt:i4>1245238</vt:i4>
      </vt:variant>
      <vt:variant>
        <vt:i4>44</vt:i4>
      </vt:variant>
      <vt:variant>
        <vt:i4>0</vt:i4>
      </vt:variant>
      <vt:variant>
        <vt:i4>5</vt:i4>
      </vt:variant>
      <vt:variant>
        <vt:lpwstr/>
      </vt:variant>
      <vt:variant>
        <vt:lpwstr>_Toc82167585</vt:lpwstr>
      </vt:variant>
      <vt:variant>
        <vt:i4>1179702</vt:i4>
      </vt:variant>
      <vt:variant>
        <vt:i4>38</vt:i4>
      </vt:variant>
      <vt:variant>
        <vt:i4>0</vt:i4>
      </vt:variant>
      <vt:variant>
        <vt:i4>5</vt:i4>
      </vt:variant>
      <vt:variant>
        <vt:lpwstr/>
      </vt:variant>
      <vt:variant>
        <vt:lpwstr>_Toc82167584</vt:lpwstr>
      </vt:variant>
      <vt:variant>
        <vt:i4>1376310</vt:i4>
      </vt:variant>
      <vt:variant>
        <vt:i4>32</vt:i4>
      </vt:variant>
      <vt:variant>
        <vt:i4>0</vt:i4>
      </vt:variant>
      <vt:variant>
        <vt:i4>5</vt:i4>
      </vt:variant>
      <vt:variant>
        <vt:lpwstr/>
      </vt:variant>
      <vt:variant>
        <vt:lpwstr>_Toc82167583</vt:lpwstr>
      </vt:variant>
      <vt:variant>
        <vt:i4>1310774</vt:i4>
      </vt:variant>
      <vt:variant>
        <vt:i4>26</vt:i4>
      </vt:variant>
      <vt:variant>
        <vt:i4>0</vt:i4>
      </vt:variant>
      <vt:variant>
        <vt:i4>5</vt:i4>
      </vt:variant>
      <vt:variant>
        <vt:lpwstr/>
      </vt:variant>
      <vt:variant>
        <vt:lpwstr>_Toc82167582</vt:lpwstr>
      </vt:variant>
      <vt:variant>
        <vt:i4>1507382</vt:i4>
      </vt:variant>
      <vt:variant>
        <vt:i4>20</vt:i4>
      </vt:variant>
      <vt:variant>
        <vt:i4>0</vt:i4>
      </vt:variant>
      <vt:variant>
        <vt:i4>5</vt:i4>
      </vt:variant>
      <vt:variant>
        <vt:lpwstr/>
      </vt:variant>
      <vt:variant>
        <vt:lpwstr>_Toc82167581</vt:lpwstr>
      </vt:variant>
      <vt:variant>
        <vt:i4>1441846</vt:i4>
      </vt:variant>
      <vt:variant>
        <vt:i4>14</vt:i4>
      </vt:variant>
      <vt:variant>
        <vt:i4>0</vt:i4>
      </vt:variant>
      <vt:variant>
        <vt:i4>5</vt:i4>
      </vt:variant>
      <vt:variant>
        <vt:lpwstr/>
      </vt:variant>
      <vt:variant>
        <vt:lpwstr>_Toc82167580</vt:lpwstr>
      </vt:variant>
      <vt:variant>
        <vt:i4>2031673</vt:i4>
      </vt:variant>
      <vt:variant>
        <vt:i4>8</vt:i4>
      </vt:variant>
      <vt:variant>
        <vt:i4>0</vt:i4>
      </vt:variant>
      <vt:variant>
        <vt:i4>5</vt:i4>
      </vt:variant>
      <vt:variant>
        <vt:lpwstr/>
      </vt:variant>
      <vt:variant>
        <vt:lpwstr>_Toc82167579</vt:lpwstr>
      </vt:variant>
      <vt:variant>
        <vt:i4>1966137</vt:i4>
      </vt:variant>
      <vt:variant>
        <vt:i4>2</vt:i4>
      </vt:variant>
      <vt:variant>
        <vt:i4>0</vt:i4>
      </vt:variant>
      <vt:variant>
        <vt:i4>5</vt:i4>
      </vt:variant>
      <vt:variant>
        <vt:lpwstr/>
      </vt:variant>
      <vt:variant>
        <vt:lpwstr>_Toc82167578</vt:lpwstr>
      </vt:variant>
      <vt:variant>
        <vt:i4>1114232</vt:i4>
      </vt:variant>
      <vt:variant>
        <vt:i4>0</vt:i4>
      </vt:variant>
      <vt:variant>
        <vt:i4>0</vt:i4>
      </vt:variant>
      <vt:variant>
        <vt:i4>5</vt:i4>
      </vt:variant>
      <vt:variant>
        <vt:lpwstr>https://assets.publishing.service.gov.uk/government/uploads/system/uploads/attachment_data/file/766643/Implementing_Geological_Disposal_-_Working_with_Communities.pdf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[Subtitle or description]</dc:subject>
  <cp:keywords>[Key words separated by commas]</cp:keywords>
  <dc:description/>
  <cp:revision>2</cp:revision>
  <cp:lastPrinted>2021-11-22T20:06:00Z</cp:lastPrinted>
  <dcterms:created xsi:type="dcterms:W3CDTF">2025-10-29T12:23:00Z</dcterms:created>
  <dcterms:modified xsi:type="dcterms:W3CDTF">2025-10-29T12:23:00Z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2021-10-12T12:59:39Z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e6fd73c0-e583-4b1c-8ce1-c2e055610490</vt:lpwstr>
  </property>
  <property fmtid="{D5CDD505-2E9C-101B-9397-08002B2CF9AE}" pid="8" name="MSIP_Label_ba62f585-b40f-4ab9-bafe-39150f03d124_ContentBits">
    <vt:lpwstr>0</vt:lpwstr>
  </property>
  <property fmtid="{D5CDD505-2E9C-101B-9397-08002B2CF9AE}" pid="9" name="MSIP_Label_9e5e003a-90eb-47c9-a506-ad47e7a0b281_Enabled">
    <vt:lpwstr>true</vt:lpwstr>
  </property>
  <property fmtid="{D5CDD505-2E9C-101B-9397-08002B2CF9AE}" pid="10" name="MSIP_Label_9e5e003a-90eb-47c9-a506-ad47e7a0b281_SetDate">
    <vt:lpwstr>2021-10-29T10:21:38Z</vt:lpwstr>
  </property>
  <property fmtid="{D5CDD505-2E9C-101B-9397-08002B2CF9AE}" pid="11" name="MSIP_Label_9e5e003a-90eb-47c9-a506-ad47e7a0b281_Method">
    <vt:lpwstr>Privileged</vt:lpwstr>
  </property>
  <property fmtid="{D5CDD505-2E9C-101B-9397-08002B2CF9AE}" pid="12" name="MSIP_Label_9e5e003a-90eb-47c9-a506-ad47e7a0b281_Name">
    <vt:lpwstr>OFFICIAL</vt:lpwstr>
  </property>
  <property fmtid="{D5CDD505-2E9C-101B-9397-08002B2CF9AE}" pid="13" name="MSIP_Label_9e5e003a-90eb-47c9-a506-ad47e7a0b281_SiteId">
    <vt:lpwstr>742775df-8077-48d6-81d0-1e82a1f52cb8</vt:lpwstr>
  </property>
  <property fmtid="{D5CDD505-2E9C-101B-9397-08002B2CF9AE}" pid="14" name="MSIP_Label_9e5e003a-90eb-47c9-a506-ad47e7a0b281_ActionId">
    <vt:lpwstr>84198238-3389-427e-968d-f6e10557d07f</vt:lpwstr>
  </property>
  <property fmtid="{D5CDD505-2E9C-101B-9397-08002B2CF9AE}" pid="15" name="MSIP_Label_9e5e003a-90eb-47c9-a506-ad47e7a0b281_ContentBits">
    <vt:lpwstr>0</vt:lpwstr>
  </property>
</Properties>
</file>