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81692" w14:textId="4E6DC6A5" w:rsidR="47F6EC45" w:rsidRDefault="00AD4C75" w:rsidP="005331F7">
      <w:pPr>
        <w:pStyle w:val="Heading-1"/>
      </w:pPr>
      <w:r>
        <w:t>Ministerial Reporting Criteria (MRC)</w:t>
      </w:r>
    </w:p>
    <w:p w14:paraId="30D8DCF5" w14:textId="2CBA011E" w:rsidR="00585192" w:rsidRDefault="00585192" w:rsidP="00775572">
      <w:pPr>
        <w:pStyle w:val="ListParagraph"/>
      </w:pPr>
      <w:r>
        <w:t>All reporting criteria in this table must be read in the context set out in guidance ONR-</w:t>
      </w:r>
      <w:r w:rsidR="53B321C3">
        <w:t>OL</w:t>
      </w:r>
      <w:r>
        <w:t>-PROC-002, and ONR-</w:t>
      </w:r>
      <w:r w:rsidR="16ABA246">
        <w:t>OL</w:t>
      </w:r>
      <w:r>
        <w:t xml:space="preserve">-GD-002 to 006 relevant to ONR purposes of regulation. This guidance references the detail and expectations for these categories. </w:t>
      </w:r>
    </w:p>
    <w:p w14:paraId="5FBED5E8" w14:textId="5A7ECBBD" w:rsidR="00585192" w:rsidRDefault="00585192" w:rsidP="00585192">
      <w:pPr>
        <w:pStyle w:val="ListParagraph"/>
      </w:pPr>
      <w:r>
        <w:t xml:space="preserve">Reporting times for all criteria listed in the table are </w:t>
      </w:r>
      <w:r w:rsidR="00E52218" w:rsidRPr="00E52218">
        <w:rPr>
          <w:b/>
          <w:bCs/>
        </w:rPr>
        <w:t>immediate</w:t>
      </w:r>
      <w:r w:rsidR="00E52218">
        <w:t>.</w:t>
      </w:r>
    </w:p>
    <w:p w14:paraId="311738CB" w14:textId="73E69CF9" w:rsidR="00431788" w:rsidRDefault="00431788" w:rsidP="00B449AB">
      <w:pPr>
        <w:pStyle w:val="Heading-2"/>
      </w:pPr>
      <w:r>
        <w:t>Generic</w:t>
      </w:r>
    </w:p>
    <w:tbl>
      <w:tblPr>
        <w:tblStyle w:val="ONRTable1"/>
        <w:tblW w:w="5000" w:type="pct"/>
        <w:tblInd w:w="0" w:type="dxa"/>
        <w:tblLook w:val="04A0" w:firstRow="1" w:lastRow="0" w:firstColumn="1" w:lastColumn="0" w:noHBand="0" w:noVBand="1"/>
      </w:tblPr>
      <w:tblGrid>
        <w:gridCol w:w="5732"/>
        <w:gridCol w:w="1621"/>
        <w:gridCol w:w="1674"/>
      </w:tblGrid>
      <w:tr w:rsidR="00B449AB" w:rsidRPr="00AD4C75" w14:paraId="66DA11BA" w14:textId="77777777" w:rsidTr="00B449AB">
        <w:trPr>
          <w:cnfStyle w:val="100000000000" w:firstRow="1" w:lastRow="0" w:firstColumn="0" w:lastColumn="0" w:oddVBand="0" w:evenVBand="0" w:oddHBand="0" w:evenHBand="0" w:firstRowFirstColumn="0" w:firstRowLastColumn="0" w:lastRowFirstColumn="0" w:lastRowLastColumn="0"/>
          <w:cantSplit/>
          <w:trHeight w:val="652"/>
          <w:tblHeader/>
        </w:trPr>
        <w:tc>
          <w:tcPr>
            <w:tcW w:w="3175" w:type="pct"/>
            <w:hideMark/>
          </w:tcPr>
          <w:p w14:paraId="065C0263" w14:textId="77777777" w:rsidR="00B449AB" w:rsidRPr="00AD4C75" w:rsidRDefault="00B449AB" w:rsidP="00AD4C75">
            <w:pPr>
              <w:spacing w:after="60" w:line="252" w:lineRule="auto"/>
              <w:rPr>
                <w:rFonts w:eastAsia="Times New Roman"/>
                <w:b w:val="0"/>
                <w:szCs w:val="22"/>
                <w:lang w:eastAsia="en-GB"/>
              </w:rPr>
            </w:pPr>
            <w:r w:rsidRPr="00AD4C75">
              <w:rPr>
                <w:rFonts w:eastAsia="Times New Roman"/>
                <w:b w:val="0"/>
                <w:szCs w:val="22"/>
                <w:lang w:eastAsia="en-GB"/>
              </w:rPr>
              <w:t>Description of criteria</w:t>
            </w:r>
          </w:p>
        </w:tc>
        <w:tc>
          <w:tcPr>
            <w:tcW w:w="898" w:type="pct"/>
            <w:hideMark/>
          </w:tcPr>
          <w:p w14:paraId="12D43189" w14:textId="4446F304" w:rsidR="00B449AB" w:rsidRPr="00AD4C75" w:rsidRDefault="00B449AB" w:rsidP="00AD4C75">
            <w:pPr>
              <w:spacing w:after="60" w:line="252" w:lineRule="auto"/>
              <w:jc w:val="center"/>
              <w:rPr>
                <w:rFonts w:eastAsia="Times New Roman"/>
                <w:b w:val="0"/>
                <w:szCs w:val="22"/>
                <w:lang w:eastAsia="en-GB"/>
              </w:rPr>
            </w:pPr>
            <w:r w:rsidRPr="00AD4C75">
              <w:rPr>
                <w:rFonts w:eastAsia="Times New Roman"/>
                <w:b w:val="0"/>
                <w:szCs w:val="22"/>
                <w:lang w:eastAsia="en-GB"/>
              </w:rPr>
              <w:t>Origin of</w:t>
            </w:r>
            <w:r w:rsidRPr="00AD4C75">
              <w:rPr>
                <w:rFonts w:eastAsia="Times New Roman"/>
                <w:b w:val="0"/>
                <w:szCs w:val="22"/>
                <w:lang w:eastAsia="en-GB"/>
              </w:rPr>
              <w:br/>
              <w:t>legislation</w:t>
            </w:r>
            <w:r>
              <w:rPr>
                <w:rFonts w:eastAsia="Times New Roman"/>
                <w:b w:val="0"/>
                <w:szCs w:val="22"/>
                <w:lang w:eastAsia="en-GB"/>
              </w:rPr>
              <w:t xml:space="preserve"> </w:t>
            </w:r>
            <w:r w:rsidRPr="00AD4C75">
              <w:rPr>
                <w:rFonts w:eastAsia="Times New Roman"/>
                <w:b w:val="0"/>
                <w:szCs w:val="22"/>
                <w:lang w:eastAsia="en-GB"/>
              </w:rPr>
              <w:t>(ONR Incident category)</w:t>
            </w:r>
          </w:p>
        </w:tc>
        <w:tc>
          <w:tcPr>
            <w:tcW w:w="927" w:type="pct"/>
            <w:hideMark/>
          </w:tcPr>
          <w:p w14:paraId="717D16A1" w14:textId="77777777" w:rsidR="00B449AB" w:rsidRPr="00AD4C75" w:rsidRDefault="00B449AB" w:rsidP="00AD4C75">
            <w:pPr>
              <w:spacing w:after="60" w:line="252" w:lineRule="auto"/>
              <w:jc w:val="center"/>
              <w:rPr>
                <w:rFonts w:eastAsia="Times New Roman"/>
                <w:b w:val="0"/>
                <w:color w:val="000000"/>
                <w:szCs w:val="22"/>
                <w:lang w:eastAsia="en-GB"/>
              </w:rPr>
            </w:pPr>
            <w:r w:rsidRPr="00AD4C75">
              <w:rPr>
                <w:rFonts w:eastAsia="Times New Roman"/>
                <w:b w:val="0"/>
                <w:color w:val="000000"/>
                <w:szCs w:val="22"/>
                <w:lang w:eastAsia="en-GB"/>
              </w:rPr>
              <w:t>Ministerial Reportable Criteria (MRC)</w:t>
            </w:r>
          </w:p>
        </w:tc>
      </w:tr>
      <w:tr w:rsidR="00B449AB" w:rsidRPr="00AD4C75" w14:paraId="314BB2BD" w14:textId="77777777" w:rsidTr="00B449AB">
        <w:trPr>
          <w:cantSplit/>
          <w:trHeight w:val="600"/>
        </w:trPr>
        <w:tc>
          <w:tcPr>
            <w:tcW w:w="3175" w:type="pct"/>
            <w:hideMark/>
          </w:tcPr>
          <w:p w14:paraId="753E8380"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Events likely to attract, or that have attracted, significant national media or public attention.</w:t>
            </w:r>
          </w:p>
        </w:tc>
        <w:tc>
          <w:tcPr>
            <w:tcW w:w="898" w:type="pct"/>
            <w:hideMark/>
          </w:tcPr>
          <w:p w14:paraId="7A47BDC2"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(AN01)</w:t>
            </w:r>
          </w:p>
        </w:tc>
        <w:tc>
          <w:tcPr>
            <w:tcW w:w="927" w:type="pct"/>
            <w:hideMark/>
          </w:tcPr>
          <w:p w14:paraId="2D47A9D9"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MRC-MEDIA</w:t>
            </w:r>
          </w:p>
        </w:tc>
      </w:tr>
      <w:tr w:rsidR="00B449AB" w:rsidRPr="00AD4C75" w14:paraId="64D91A33" w14:textId="77777777" w:rsidTr="00B449AB">
        <w:trPr>
          <w:cantSplit/>
          <w:trHeight w:val="330"/>
        </w:trPr>
        <w:tc>
          <w:tcPr>
            <w:tcW w:w="3175" w:type="pct"/>
            <w:hideMark/>
          </w:tcPr>
          <w:p w14:paraId="78F1AFA1"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Events that are categorised as INES level 2 and above.</w:t>
            </w:r>
          </w:p>
        </w:tc>
        <w:tc>
          <w:tcPr>
            <w:tcW w:w="898" w:type="pct"/>
            <w:hideMark/>
          </w:tcPr>
          <w:p w14:paraId="6AEBA022"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(INES)</w:t>
            </w:r>
          </w:p>
        </w:tc>
        <w:tc>
          <w:tcPr>
            <w:tcW w:w="927" w:type="pct"/>
            <w:hideMark/>
          </w:tcPr>
          <w:p w14:paraId="6C6B20E0"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MRC-INES</w:t>
            </w:r>
          </w:p>
        </w:tc>
      </w:tr>
    </w:tbl>
    <w:p w14:paraId="0B1EBB8A" w14:textId="77777777" w:rsidR="00431788" w:rsidRPr="00B449AB" w:rsidRDefault="00431788" w:rsidP="00B449AB">
      <w:pPr>
        <w:pStyle w:val="Heading-2"/>
      </w:pPr>
      <w:r w:rsidRPr="00B449AB">
        <w:t>Nuclear site health and safety</w:t>
      </w:r>
    </w:p>
    <w:tbl>
      <w:tblPr>
        <w:tblStyle w:val="ONRTable1"/>
        <w:tblW w:w="5000" w:type="pct"/>
        <w:tblInd w:w="0" w:type="dxa"/>
        <w:tblLook w:val="04A0" w:firstRow="1" w:lastRow="0" w:firstColumn="1" w:lastColumn="0" w:noHBand="0" w:noVBand="1"/>
      </w:tblPr>
      <w:tblGrid>
        <w:gridCol w:w="5732"/>
        <w:gridCol w:w="1621"/>
        <w:gridCol w:w="1674"/>
      </w:tblGrid>
      <w:tr w:rsidR="00B449AB" w:rsidRPr="00AD4C75" w14:paraId="5B5216AB" w14:textId="77777777" w:rsidTr="007A5CAC">
        <w:trPr>
          <w:cnfStyle w:val="100000000000" w:firstRow="1" w:lastRow="0" w:firstColumn="0" w:lastColumn="0" w:oddVBand="0" w:evenVBand="0" w:oddHBand="0" w:evenHBand="0" w:firstRowFirstColumn="0" w:firstRowLastColumn="0" w:lastRowFirstColumn="0" w:lastRowLastColumn="0"/>
          <w:cantSplit/>
          <w:trHeight w:val="652"/>
          <w:tblHeader/>
        </w:trPr>
        <w:tc>
          <w:tcPr>
            <w:tcW w:w="3175" w:type="pct"/>
            <w:hideMark/>
          </w:tcPr>
          <w:p w14:paraId="70E31010" w14:textId="77777777" w:rsidR="00B449AB" w:rsidRPr="00AD4C75" w:rsidRDefault="00B449AB" w:rsidP="00E5319E">
            <w:pPr>
              <w:spacing w:after="60" w:line="252" w:lineRule="auto"/>
              <w:rPr>
                <w:rFonts w:eastAsia="Times New Roman"/>
                <w:b w:val="0"/>
                <w:szCs w:val="22"/>
                <w:lang w:eastAsia="en-GB"/>
              </w:rPr>
            </w:pPr>
            <w:r w:rsidRPr="00AD4C75">
              <w:rPr>
                <w:rFonts w:eastAsia="Times New Roman"/>
                <w:b w:val="0"/>
                <w:szCs w:val="22"/>
                <w:lang w:eastAsia="en-GB"/>
              </w:rPr>
              <w:t>Description of criteria</w:t>
            </w:r>
          </w:p>
        </w:tc>
        <w:tc>
          <w:tcPr>
            <w:tcW w:w="898" w:type="pct"/>
            <w:hideMark/>
          </w:tcPr>
          <w:p w14:paraId="51EC3AF6" w14:textId="77777777" w:rsidR="00B449AB" w:rsidRPr="00AD4C75" w:rsidRDefault="00B449AB" w:rsidP="00E5319E">
            <w:pPr>
              <w:spacing w:after="60" w:line="252" w:lineRule="auto"/>
              <w:jc w:val="center"/>
              <w:rPr>
                <w:rFonts w:eastAsia="Times New Roman"/>
                <w:b w:val="0"/>
                <w:szCs w:val="22"/>
                <w:lang w:eastAsia="en-GB"/>
              </w:rPr>
            </w:pPr>
            <w:r w:rsidRPr="00AD4C75">
              <w:rPr>
                <w:rFonts w:eastAsia="Times New Roman"/>
                <w:b w:val="0"/>
                <w:szCs w:val="22"/>
                <w:lang w:eastAsia="en-GB"/>
              </w:rPr>
              <w:t>Origin of</w:t>
            </w:r>
            <w:r w:rsidRPr="00AD4C75">
              <w:rPr>
                <w:rFonts w:eastAsia="Times New Roman"/>
                <w:b w:val="0"/>
                <w:szCs w:val="22"/>
                <w:lang w:eastAsia="en-GB"/>
              </w:rPr>
              <w:br/>
              <w:t>legislation</w:t>
            </w:r>
            <w:r>
              <w:rPr>
                <w:rFonts w:eastAsia="Times New Roman"/>
                <w:b w:val="0"/>
                <w:szCs w:val="22"/>
                <w:lang w:eastAsia="en-GB"/>
              </w:rPr>
              <w:t xml:space="preserve"> </w:t>
            </w:r>
            <w:r w:rsidRPr="00AD4C75">
              <w:rPr>
                <w:rFonts w:eastAsia="Times New Roman"/>
                <w:b w:val="0"/>
                <w:szCs w:val="22"/>
                <w:lang w:eastAsia="en-GB"/>
              </w:rPr>
              <w:t>(ONR Incident category)</w:t>
            </w:r>
          </w:p>
        </w:tc>
        <w:tc>
          <w:tcPr>
            <w:tcW w:w="927" w:type="pct"/>
            <w:hideMark/>
          </w:tcPr>
          <w:p w14:paraId="6E9EC0A9" w14:textId="77777777" w:rsidR="00B449AB" w:rsidRPr="00AD4C75" w:rsidRDefault="00B449AB" w:rsidP="00E5319E">
            <w:pPr>
              <w:spacing w:after="60" w:line="252" w:lineRule="auto"/>
              <w:jc w:val="center"/>
              <w:rPr>
                <w:rFonts w:eastAsia="Times New Roman"/>
                <w:b w:val="0"/>
                <w:color w:val="000000"/>
                <w:szCs w:val="22"/>
                <w:lang w:eastAsia="en-GB"/>
              </w:rPr>
            </w:pPr>
            <w:r w:rsidRPr="00AD4C75">
              <w:rPr>
                <w:rFonts w:eastAsia="Times New Roman"/>
                <w:b w:val="0"/>
                <w:color w:val="000000"/>
                <w:szCs w:val="22"/>
                <w:lang w:eastAsia="en-GB"/>
              </w:rPr>
              <w:t>Ministerial Reportable Criteria (MRC)</w:t>
            </w:r>
          </w:p>
        </w:tc>
      </w:tr>
      <w:tr w:rsidR="00B449AB" w:rsidRPr="00AD4C75" w14:paraId="27FBAB5D" w14:textId="77777777" w:rsidTr="007A5CAC">
        <w:trPr>
          <w:cantSplit/>
          <w:trHeight w:val="1476"/>
        </w:trPr>
        <w:tc>
          <w:tcPr>
            <w:tcW w:w="3175" w:type="pct"/>
            <w:hideMark/>
          </w:tcPr>
          <w:p w14:paraId="5994900F"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Events reportable to ONR under the Reporting of Injuries, Diseases and Dangerous Occurrences Regulations (RIDDOR) 2013 which resulted in either:</w:t>
            </w:r>
            <w:r w:rsidRPr="00AD4C75">
              <w:rPr>
                <w:rFonts w:eastAsia="Times New Roman"/>
                <w:szCs w:val="22"/>
                <w:lang w:eastAsia="en-GB"/>
              </w:rPr>
              <w:br/>
              <w:t>One or more deaths at a nuclear licensed site;</w:t>
            </w:r>
            <w:r w:rsidRPr="00AD4C75">
              <w:rPr>
                <w:rFonts w:eastAsia="Times New Roman"/>
                <w:szCs w:val="22"/>
                <w:lang w:eastAsia="en-GB"/>
              </w:rPr>
              <w:br/>
            </w:r>
            <w:r w:rsidRPr="00AD4C75">
              <w:rPr>
                <w:rFonts w:eastAsia="Times New Roman"/>
                <w:b/>
                <w:bCs/>
                <w:szCs w:val="22"/>
                <w:lang w:eastAsia="en-GB"/>
              </w:rPr>
              <w:t>or</w:t>
            </w:r>
            <w:r w:rsidRPr="00AD4C75">
              <w:rPr>
                <w:rFonts w:eastAsia="Times New Roman"/>
                <w:szCs w:val="22"/>
                <w:lang w:eastAsia="en-GB"/>
              </w:rPr>
              <w:br/>
              <w:t>Two or more persons (workers or non-workers) suffer non-fatal but RIDDOR reportable injuries.</w:t>
            </w:r>
          </w:p>
        </w:tc>
        <w:tc>
          <w:tcPr>
            <w:tcW w:w="898" w:type="pct"/>
            <w:hideMark/>
          </w:tcPr>
          <w:p w14:paraId="33677E45"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RIDDOR'13</w:t>
            </w:r>
            <w:r w:rsidRPr="00AD4C75">
              <w:rPr>
                <w:rFonts w:eastAsia="Times New Roman"/>
                <w:szCs w:val="22"/>
                <w:lang w:eastAsia="en-GB"/>
              </w:rPr>
              <w:br/>
              <w:t>(HS01)</w:t>
            </w:r>
          </w:p>
        </w:tc>
        <w:tc>
          <w:tcPr>
            <w:tcW w:w="927" w:type="pct"/>
            <w:vMerge w:val="restart"/>
            <w:hideMark/>
          </w:tcPr>
          <w:p w14:paraId="2463E958"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MRC-NSHS</w:t>
            </w:r>
          </w:p>
        </w:tc>
      </w:tr>
      <w:tr w:rsidR="00B449AB" w:rsidRPr="00AD4C75" w14:paraId="015532FD" w14:textId="77777777" w:rsidTr="007A5CAC">
        <w:trPr>
          <w:cantSplit/>
          <w:trHeight w:val="995"/>
        </w:trPr>
        <w:tc>
          <w:tcPr>
            <w:tcW w:w="3175" w:type="pct"/>
            <w:hideMark/>
          </w:tcPr>
          <w:p w14:paraId="3149996F"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 major accident meaning an occurrence such as a major emission, fire, or explosion resulting from uncontrolled developments in the course of the operation of any establishment to which the Control of Major Accident Hazards (COMAH) Regulations 2015 apply, and leading to serious danger to human health or the environment (whether immediate or delayed) inside or outside the establishment, and involving one or more dangerous substances.</w:t>
            </w:r>
          </w:p>
        </w:tc>
        <w:tc>
          <w:tcPr>
            <w:tcW w:w="898" w:type="pct"/>
            <w:hideMark/>
          </w:tcPr>
          <w:p w14:paraId="6F8FF463"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COMAH'15</w:t>
            </w:r>
          </w:p>
        </w:tc>
        <w:tc>
          <w:tcPr>
            <w:tcW w:w="927" w:type="pct"/>
            <w:vMerge/>
            <w:hideMark/>
          </w:tcPr>
          <w:p w14:paraId="009F7B98" w14:textId="77777777" w:rsidR="00B449AB" w:rsidRPr="00AD4C75" w:rsidRDefault="00B449AB" w:rsidP="00AD4C75">
            <w:pPr>
              <w:spacing w:after="60" w:line="252" w:lineRule="auto"/>
              <w:rPr>
                <w:rFonts w:eastAsia="Times New Roman"/>
                <w:color w:val="000000"/>
                <w:szCs w:val="22"/>
                <w:lang w:eastAsia="en-GB"/>
              </w:rPr>
            </w:pPr>
          </w:p>
        </w:tc>
      </w:tr>
    </w:tbl>
    <w:p w14:paraId="6FE33348" w14:textId="77777777" w:rsidR="00360A9B" w:rsidRDefault="00360A9B" w:rsidP="00360A9B">
      <w:pPr>
        <w:pStyle w:val="ListParagraph"/>
        <w:rPr>
          <w:lang w:eastAsia="en-GB"/>
        </w:rPr>
      </w:pPr>
    </w:p>
    <w:p w14:paraId="3BEA72B3" w14:textId="77777777" w:rsidR="00FF381D" w:rsidRDefault="00F14286" w:rsidP="00B449AB">
      <w:pPr>
        <w:pStyle w:val="Heading-2"/>
      </w:pPr>
      <w:r>
        <w:lastRenderedPageBreak/>
        <w:t>Nuclear safety and radiological safety</w:t>
      </w:r>
    </w:p>
    <w:tbl>
      <w:tblPr>
        <w:tblStyle w:val="ONRTable1"/>
        <w:tblW w:w="5000" w:type="pct"/>
        <w:tblInd w:w="0" w:type="dxa"/>
        <w:tblLook w:val="04A0" w:firstRow="1" w:lastRow="0" w:firstColumn="1" w:lastColumn="0" w:noHBand="0" w:noVBand="1"/>
      </w:tblPr>
      <w:tblGrid>
        <w:gridCol w:w="5732"/>
        <w:gridCol w:w="1621"/>
        <w:gridCol w:w="1674"/>
      </w:tblGrid>
      <w:tr w:rsidR="00B449AB" w:rsidRPr="00AD4C75" w14:paraId="05D8F352" w14:textId="77777777" w:rsidTr="397957B2">
        <w:trPr>
          <w:cnfStyle w:val="100000000000" w:firstRow="1" w:lastRow="0" w:firstColumn="0" w:lastColumn="0" w:oddVBand="0" w:evenVBand="0" w:oddHBand="0" w:evenHBand="0" w:firstRowFirstColumn="0" w:firstRowLastColumn="0" w:lastRowFirstColumn="0" w:lastRowLastColumn="0"/>
          <w:cantSplit/>
          <w:trHeight w:val="652"/>
          <w:tblHeader/>
        </w:trPr>
        <w:tc>
          <w:tcPr>
            <w:tcW w:w="3175" w:type="pct"/>
            <w:hideMark/>
          </w:tcPr>
          <w:p w14:paraId="79EE8262" w14:textId="77777777" w:rsidR="00B449AB" w:rsidRPr="00AD4C75" w:rsidRDefault="00B449AB" w:rsidP="00E5319E">
            <w:pPr>
              <w:spacing w:after="60" w:line="252" w:lineRule="auto"/>
              <w:rPr>
                <w:rFonts w:eastAsia="Times New Roman"/>
                <w:b w:val="0"/>
                <w:szCs w:val="22"/>
                <w:lang w:eastAsia="en-GB"/>
              </w:rPr>
            </w:pPr>
            <w:r w:rsidRPr="00AD4C75">
              <w:rPr>
                <w:rFonts w:eastAsia="Times New Roman"/>
                <w:b w:val="0"/>
                <w:szCs w:val="22"/>
                <w:lang w:eastAsia="en-GB"/>
              </w:rPr>
              <w:t>Description of criteria</w:t>
            </w:r>
          </w:p>
        </w:tc>
        <w:tc>
          <w:tcPr>
            <w:tcW w:w="898" w:type="pct"/>
            <w:hideMark/>
          </w:tcPr>
          <w:p w14:paraId="4E0CE1C9" w14:textId="77777777" w:rsidR="00B449AB" w:rsidRPr="00AD4C75" w:rsidRDefault="00B449AB" w:rsidP="00E5319E">
            <w:pPr>
              <w:spacing w:after="60" w:line="252" w:lineRule="auto"/>
              <w:jc w:val="center"/>
              <w:rPr>
                <w:rFonts w:eastAsia="Times New Roman"/>
                <w:b w:val="0"/>
                <w:szCs w:val="22"/>
                <w:lang w:eastAsia="en-GB"/>
              </w:rPr>
            </w:pPr>
            <w:r w:rsidRPr="00AD4C75">
              <w:rPr>
                <w:rFonts w:eastAsia="Times New Roman"/>
                <w:b w:val="0"/>
                <w:szCs w:val="22"/>
                <w:lang w:eastAsia="en-GB"/>
              </w:rPr>
              <w:t>Origin of</w:t>
            </w:r>
            <w:r w:rsidRPr="00AD4C75">
              <w:rPr>
                <w:rFonts w:eastAsia="Times New Roman"/>
                <w:b w:val="0"/>
                <w:szCs w:val="22"/>
                <w:lang w:eastAsia="en-GB"/>
              </w:rPr>
              <w:br/>
              <w:t>legislation</w:t>
            </w:r>
            <w:r>
              <w:rPr>
                <w:rFonts w:eastAsia="Times New Roman"/>
                <w:b w:val="0"/>
                <w:szCs w:val="22"/>
                <w:lang w:eastAsia="en-GB"/>
              </w:rPr>
              <w:t xml:space="preserve"> </w:t>
            </w:r>
            <w:r w:rsidRPr="00AD4C75">
              <w:rPr>
                <w:rFonts w:eastAsia="Times New Roman"/>
                <w:b w:val="0"/>
                <w:szCs w:val="22"/>
                <w:lang w:eastAsia="en-GB"/>
              </w:rPr>
              <w:t>(ONR Incident category)</w:t>
            </w:r>
          </w:p>
        </w:tc>
        <w:tc>
          <w:tcPr>
            <w:tcW w:w="927" w:type="pct"/>
            <w:hideMark/>
          </w:tcPr>
          <w:p w14:paraId="5F3EC358" w14:textId="77777777" w:rsidR="00B449AB" w:rsidRPr="00AD4C75" w:rsidRDefault="00B449AB" w:rsidP="00E5319E">
            <w:pPr>
              <w:spacing w:after="60" w:line="252" w:lineRule="auto"/>
              <w:jc w:val="center"/>
              <w:rPr>
                <w:rFonts w:eastAsia="Times New Roman"/>
                <w:b w:val="0"/>
                <w:color w:val="000000"/>
                <w:szCs w:val="22"/>
                <w:lang w:eastAsia="en-GB"/>
              </w:rPr>
            </w:pPr>
            <w:r w:rsidRPr="00AD4C75">
              <w:rPr>
                <w:rFonts w:eastAsia="Times New Roman"/>
                <w:b w:val="0"/>
                <w:color w:val="000000"/>
                <w:szCs w:val="22"/>
                <w:lang w:eastAsia="en-GB"/>
              </w:rPr>
              <w:t>Ministerial Reportable Criteria (MRC)</w:t>
            </w:r>
          </w:p>
        </w:tc>
      </w:tr>
      <w:tr w:rsidR="00B449AB" w:rsidRPr="002E7C92" w14:paraId="714AFED3" w14:textId="77777777" w:rsidTr="397957B2">
        <w:trPr>
          <w:cantSplit/>
          <w:trHeight w:val="900"/>
        </w:trPr>
        <w:tc>
          <w:tcPr>
            <w:tcW w:w="3175" w:type="pct"/>
            <w:hideMark/>
          </w:tcPr>
          <w:p w14:paraId="41640993" w14:textId="77777777" w:rsidR="00B449AB" w:rsidRPr="002E7C92" w:rsidRDefault="00B449AB" w:rsidP="00AD4C75">
            <w:pPr>
              <w:spacing w:after="60" w:line="252" w:lineRule="auto"/>
              <w:rPr>
                <w:rFonts w:eastAsia="Times New Roman"/>
                <w:sz w:val="20"/>
                <w:szCs w:val="20"/>
                <w:lang w:eastAsia="en-GB"/>
              </w:rPr>
            </w:pPr>
            <w:r w:rsidRPr="002E7C92">
              <w:rPr>
                <w:rFonts w:eastAsia="Times New Roman"/>
                <w:sz w:val="20"/>
                <w:szCs w:val="20"/>
                <w:lang w:eastAsia="en-GB"/>
              </w:rPr>
              <w:t>3(a) any occurrence on a licensed site involving the emission of ionising radiations or the release of radioactive or toxic substances, causing or likely to cause death, or serious injury, on or off the site.</w:t>
            </w:r>
          </w:p>
        </w:tc>
        <w:tc>
          <w:tcPr>
            <w:tcW w:w="898" w:type="pct"/>
            <w:hideMark/>
          </w:tcPr>
          <w:p w14:paraId="35D01A67"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NI(DO)R'65</w:t>
            </w:r>
            <w:r w:rsidRPr="002E7C92">
              <w:rPr>
                <w:rFonts w:eastAsia="Times New Roman"/>
                <w:sz w:val="20"/>
                <w:szCs w:val="20"/>
                <w:lang w:eastAsia="en-GB"/>
              </w:rPr>
              <w:br/>
              <w:t>(RS01)</w:t>
            </w:r>
          </w:p>
        </w:tc>
        <w:tc>
          <w:tcPr>
            <w:tcW w:w="927" w:type="pct"/>
            <w:vMerge w:val="restart"/>
            <w:hideMark/>
          </w:tcPr>
          <w:p w14:paraId="0B91BEA2" w14:textId="77777777" w:rsidR="00B449AB" w:rsidRPr="002E7C92" w:rsidRDefault="00B449AB" w:rsidP="00AD4C75">
            <w:pPr>
              <w:spacing w:after="60" w:line="252" w:lineRule="auto"/>
              <w:jc w:val="center"/>
              <w:rPr>
                <w:rFonts w:eastAsia="Times New Roman"/>
                <w:color w:val="000000"/>
                <w:sz w:val="20"/>
                <w:szCs w:val="20"/>
                <w:lang w:eastAsia="en-GB"/>
              </w:rPr>
            </w:pPr>
            <w:r w:rsidRPr="002E7C92">
              <w:rPr>
                <w:rFonts w:eastAsia="Times New Roman"/>
                <w:color w:val="000000"/>
                <w:sz w:val="20"/>
                <w:szCs w:val="20"/>
                <w:lang w:eastAsia="en-GB"/>
              </w:rPr>
              <w:t>MRC-SAF-01</w:t>
            </w:r>
          </w:p>
        </w:tc>
      </w:tr>
      <w:tr w:rsidR="00B449AB" w:rsidRPr="002E7C92" w14:paraId="3FC218CA" w14:textId="77777777" w:rsidTr="397957B2">
        <w:trPr>
          <w:cantSplit/>
          <w:trHeight w:val="529"/>
        </w:trPr>
        <w:tc>
          <w:tcPr>
            <w:tcW w:w="3175" w:type="pct"/>
            <w:hideMark/>
          </w:tcPr>
          <w:p w14:paraId="6E218D29" w14:textId="77777777" w:rsidR="00B449AB" w:rsidRPr="002E7C92" w:rsidRDefault="00B449AB" w:rsidP="00AD4C75">
            <w:pPr>
              <w:spacing w:after="60" w:line="252" w:lineRule="auto"/>
              <w:rPr>
                <w:rFonts w:eastAsia="Times New Roman"/>
                <w:sz w:val="20"/>
                <w:szCs w:val="20"/>
                <w:lang w:eastAsia="en-GB"/>
              </w:rPr>
            </w:pPr>
            <w:r w:rsidRPr="002E7C92">
              <w:rPr>
                <w:rFonts w:eastAsia="Times New Roman"/>
                <w:sz w:val="20"/>
                <w:szCs w:val="20"/>
                <w:lang w:eastAsia="en-GB"/>
              </w:rPr>
              <w:t>3(b) any occurrences during transport causing or likely to cause death or serious injury or the breach of containment of a transport package.</w:t>
            </w:r>
          </w:p>
        </w:tc>
        <w:tc>
          <w:tcPr>
            <w:tcW w:w="898" w:type="pct"/>
            <w:hideMark/>
          </w:tcPr>
          <w:p w14:paraId="183158EE"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NI(DO)R'65</w:t>
            </w:r>
            <w:r w:rsidRPr="002E7C92">
              <w:rPr>
                <w:rFonts w:eastAsia="Times New Roman"/>
                <w:sz w:val="20"/>
                <w:szCs w:val="20"/>
                <w:lang w:eastAsia="en-GB"/>
              </w:rPr>
              <w:br/>
              <w:t>(TS01)</w:t>
            </w:r>
          </w:p>
        </w:tc>
        <w:tc>
          <w:tcPr>
            <w:tcW w:w="927" w:type="pct"/>
            <w:vMerge/>
            <w:hideMark/>
          </w:tcPr>
          <w:p w14:paraId="382D5FD4" w14:textId="77777777" w:rsidR="00B449AB" w:rsidRPr="002E7C92" w:rsidRDefault="00B449AB" w:rsidP="00AD4C75">
            <w:pPr>
              <w:spacing w:after="60" w:line="252" w:lineRule="auto"/>
              <w:rPr>
                <w:rFonts w:eastAsia="Times New Roman"/>
                <w:color w:val="000000"/>
                <w:sz w:val="20"/>
                <w:szCs w:val="20"/>
                <w:lang w:eastAsia="en-GB"/>
              </w:rPr>
            </w:pPr>
          </w:p>
        </w:tc>
      </w:tr>
      <w:tr w:rsidR="00B449AB" w:rsidRPr="002E7C92" w14:paraId="5A768112" w14:textId="77777777" w:rsidTr="397957B2">
        <w:trPr>
          <w:cantSplit/>
          <w:trHeight w:val="399"/>
        </w:trPr>
        <w:tc>
          <w:tcPr>
            <w:tcW w:w="3175" w:type="pct"/>
            <w:hideMark/>
          </w:tcPr>
          <w:p w14:paraId="225CC40E" w14:textId="77777777" w:rsidR="00B449AB" w:rsidRPr="002E7C92" w:rsidRDefault="00B449AB" w:rsidP="00AD4C75">
            <w:pPr>
              <w:spacing w:after="60" w:line="252" w:lineRule="auto"/>
              <w:rPr>
                <w:rFonts w:eastAsia="Times New Roman"/>
                <w:sz w:val="20"/>
                <w:szCs w:val="20"/>
                <w:lang w:eastAsia="en-GB"/>
              </w:rPr>
            </w:pPr>
            <w:r w:rsidRPr="002E7C92">
              <w:rPr>
                <w:rFonts w:eastAsia="Times New Roman"/>
                <w:sz w:val="20"/>
                <w:szCs w:val="20"/>
                <w:lang w:eastAsia="en-GB"/>
              </w:rPr>
              <w:t>3(c) any explosion or fire on a licensed site affecting or likely to affect the safe working or safe condition of the nuclear installation.</w:t>
            </w:r>
          </w:p>
        </w:tc>
        <w:tc>
          <w:tcPr>
            <w:tcW w:w="898" w:type="pct"/>
            <w:hideMark/>
          </w:tcPr>
          <w:p w14:paraId="5BDA1457"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NI(DO)R'65</w:t>
            </w:r>
            <w:r w:rsidRPr="002E7C92">
              <w:rPr>
                <w:rFonts w:eastAsia="Times New Roman"/>
                <w:sz w:val="20"/>
                <w:szCs w:val="20"/>
                <w:lang w:eastAsia="en-GB"/>
              </w:rPr>
              <w:br/>
              <w:t>(NS01)</w:t>
            </w:r>
          </w:p>
        </w:tc>
        <w:tc>
          <w:tcPr>
            <w:tcW w:w="927" w:type="pct"/>
            <w:vMerge/>
            <w:hideMark/>
          </w:tcPr>
          <w:p w14:paraId="584B43D7" w14:textId="77777777" w:rsidR="00B449AB" w:rsidRPr="002E7C92" w:rsidRDefault="00B449AB" w:rsidP="00AD4C75">
            <w:pPr>
              <w:spacing w:after="60" w:line="252" w:lineRule="auto"/>
              <w:rPr>
                <w:rFonts w:eastAsia="Times New Roman"/>
                <w:color w:val="000000"/>
                <w:sz w:val="20"/>
                <w:szCs w:val="20"/>
                <w:lang w:eastAsia="en-GB"/>
              </w:rPr>
            </w:pPr>
          </w:p>
        </w:tc>
      </w:tr>
      <w:tr w:rsidR="00B449AB" w:rsidRPr="002E7C92" w14:paraId="6928FCEA" w14:textId="77777777" w:rsidTr="397957B2">
        <w:trPr>
          <w:cantSplit/>
          <w:trHeight w:val="226"/>
        </w:trPr>
        <w:tc>
          <w:tcPr>
            <w:tcW w:w="3175" w:type="pct"/>
            <w:hideMark/>
          </w:tcPr>
          <w:p w14:paraId="0366CDAE" w14:textId="77777777" w:rsidR="00B449AB" w:rsidRPr="002E7C92" w:rsidRDefault="00B449AB" w:rsidP="00AD4C75">
            <w:pPr>
              <w:spacing w:after="60" w:line="252" w:lineRule="auto"/>
              <w:rPr>
                <w:rFonts w:eastAsia="Times New Roman"/>
                <w:sz w:val="20"/>
                <w:szCs w:val="20"/>
                <w:lang w:eastAsia="en-GB"/>
              </w:rPr>
            </w:pPr>
            <w:r w:rsidRPr="002E7C92">
              <w:rPr>
                <w:rFonts w:eastAsia="Times New Roman"/>
                <w:sz w:val="20"/>
                <w:szCs w:val="20"/>
                <w:lang w:eastAsia="en-GB"/>
              </w:rPr>
              <w:t>3(d) any uncontrolled criticality excursion.</w:t>
            </w:r>
          </w:p>
        </w:tc>
        <w:tc>
          <w:tcPr>
            <w:tcW w:w="898" w:type="pct"/>
            <w:hideMark/>
          </w:tcPr>
          <w:p w14:paraId="19ED399F"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NI(DO)R'65</w:t>
            </w:r>
            <w:r w:rsidRPr="002E7C92">
              <w:rPr>
                <w:rFonts w:eastAsia="Times New Roman"/>
                <w:sz w:val="20"/>
                <w:szCs w:val="20"/>
                <w:lang w:eastAsia="en-GB"/>
              </w:rPr>
              <w:br/>
              <w:t>(NS02)</w:t>
            </w:r>
          </w:p>
        </w:tc>
        <w:tc>
          <w:tcPr>
            <w:tcW w:w="927" w:type="pct"/>
            <w:vMerge/>
            <w:hideMark/>
          </w:tcPr>
          <w:p w14:paraId="3CC83F16" w14:textId="77777777" w:rsidR="00B449AB" w:rsidRPr="002E7C92" w:rsidRDefault="00B449AB" w:rsidP="00AD4C75">
            <w:pPr>
              <w:spacing w:after="60" w:line="252" w:lineRule="auto"/>
              <w:rPr>
                <w:rFonts w:eastAsia="Times New Roman"/>
                <w:color w:val="000000"/>
                <w:sz w:val="20"/>
                <w:szCs w:val="20"/>
                <w:lang w:eastAsia="en-GB"/>
              </w:rPr>
            </w:pPr>
          </w:p>
        </w:tc>
      </w:tr>
      <w:tr w:rsidR="00B449AB" w:rsidRPr="002E7C92" w14:paraId="791ADFF1" w14:textId="77777777" w:rsidTr="397957B2">
        <w:trPr>
          <w:cantSplit/>
          <w:trHeight w:val="900"/>
        </w:trPr>
        <w:tc>
          <w:tcPr>
            <w:tcW w:w="3175" w:type="pct"/>
            <w:hideMark/>
          </w:tcPr>
          <w:p w14:paraId="74C0F87E" w14:textId="165818BE" w:rsidR="00B449AB" w:rsidRPr="002E7C92" w:rsidRDefault="00B449AB" w:rsidP="00AD4C75">
            <w:pPr>
              <w:spacing w:after="60" w:line="252" w:lineRule="auto"/>
              <w:rPr>
                <w:rFonts w:eastAsia="Times New Roman"/>
                <w:sz w:val="20"/>
                <w:szCs w:val="20"/>
                <w:lang w:eastAsia="en-GB"/>
              </w:rPr>
            </w:pPr>
            <w:r w:rsidRPr="397957B2">
              <w:rPr>
                <w:rFonts w:eastAsia="Times New Roman"/>
                <w:sz w:val="20"/>
                <w:szCs w:val="20"/>
                <w:lang w:eastAsia="en-GB"/>
              </w:rPr>
              <w:t>Confirmed exposure to radiation of individuals which exceed or are expected to exceed, the dose limits specified in Schedule 3 to the Ionising Radiation Regulations</w:t>
            </w:r>
            <w:r w:rsidR="2F293FA9" w:rsidRPr="397957B2">
              <w:rPr>
                <w:rFonts w:eastAsia="Times New Roman"/>
                <w:sz w:val="20"/>
                <w:szCs w:val="20"/>
                <w:lang w:eastAsia="en-GB"/>
              </w:rPr>
              <w:t xml:space="preserve"> 2017</w:t>
            </w:r>
            <w:r w:rsidRPr="397957B2">
              <w:rPr>
                <w:rFonts w:eastAsia="Times New Roman"/>
                <w:sz w:val="20"/>
                <w:szCs w:val="20"/>
                <w:lang w:eastAsia="en-GB"/>
              </w:rPr>
              <w:t xml:space="preserve"> </w:t>
            </w:r>
            <w:r w:rsidR="3D19AC0A" w:rsidRPr="397957B2">
              <w:rPr>
                <w:rFonts w:eastAsia="Times New Roman"/>
                <w:sz w:val="20"/>
                <w:szCs w:val="20"/>
                <w:lang w:eastAsia="en-GB"/>
              </w:rPr>
              <w:t>(</w:t>
            </w:r>
            <w:r w:rsidRPr="397957B2">
              <w:rPr>
                <w:rFonts w:eastAsia="Times New Roman"/>
                <w:sz w:val="20"/>
                <w:szCs w:val="20"/>
                <w:lang w:eastAsia="en-GB"/>
              </w:rPr>
              <w:t>IRR17</w:t>
            </w:r>
            <w:r w:rsidR="16119A3C" w:rsidRPr="397957B2">
              <w:rPr>
                <w:rFonts w:eastAsia="Times New Roman"/>
                <w:sz w:val="20"/>
                <w:szCs w:val="20"/>
                <w:lang w:eastAsia="en-GB"/>
              </w:rPr>
              <w:t>)</w:t>
            </w:r>
            <w:r w:rsidRPr="397957B2">
              <w:rPr>
                <w:rFonts w:eastAsia="Times New Roman"/>
                <w:sz w:val="20"/>
                <w:szCs w:val="20"/>
                <w:lang w:eastAsia="en-GB"/>
              </w:rPr>
              <w:t>.</w:t>
            </w:r>
          </w:p>
        </w:tc>
        <w:tc>
          <w:tcPr>
            <w:tcW w:w="898" w:type="pct"/>
            <w:hideMark/>
          </w:tcPr>
          <w:p w14:paraId="2A09FF86"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IRR17</w:t>
            </w:r>
            <w:r w:rsidRPr="002E7C92">
              <w:rPr>
                <w:rFonts w:eastAsia="Times New Roman"/>
                <w:sz w:val="20"/>
                <w:szCs w:val="20"/>
                <w:lang w:eastAsia="en-GB"/>
              </w:rPr>
              <w:br/>
              <w:t>(RS08)</w:t>
            </w:r>
          </w:p>
        </w:tc>
        <w:tc>
          <w:tcPr>
            <w:tcW w:w="927" w:type="pct"/>
            <w:noWrap/>
            <w:hideMark/>
          </w:tcPr>
          <w:p w14:paraId="5C9C73FF" w14:textId="77777777" w:rsidR="00B449AB" w:rsidRPr="002E7C92" w:rsidRDefault="00B449AB" w:rsidP="00AD4C75">
            <w:pPr>
              <w:spacing w:after="60" w:line="252" w:lineRule="auto"/>
              <w:jc w:val="center"/>
              <w:rPr>
                <w:rFonts w:eastAsia="Times New Roman"/>
                <w:color w:val="000000"/>
                <w:sz w:val="20"/>
                <w:szCs w:val="20"/>
                <w:lang w:eastAsia="en-GB"/>
              </w:rPr>
            </w:pPr>
            <w:r w:rsidRPr="002E7C92">
              <w:rPr>
                <w:rFonts w:eastAsia="Times New Roman"/>
                <w:color w:val="000000"/>
                <w:sz w:val="20"/>
                <w:szCs w:val="20"/>
                <w:lang w:eastAsia="en-GB"/>
              </w:rPr>
              <w:t>MRC-SAF-02</w:t>
            </w:r>
          </w:p>
        </w:tc>
      </w:tr>
      <w:tr w:rsidR="00B449AB" w:rsidRPr="002E7C92" w14:paraId="18CEE1A8" w14:textId="77777777" w:rsidTr="397957B2">
        <w:trPr>
          <w:cantSplit/>
          <w:trHeight w:val="2746"/>
        </w:trPr>
        <w:tc>
          <w:tcPr>
            <w:tcW w:w="3175" w:type="pct"/>
            <w:hideMark/>
          </w:tcPr>
          <w:p w14:paraId="10178B63" w14:textId="3278C590" w:rsidR="00B449AB" w:rsidRPr="002E7C92" w:rsidRDefault="00B449AB" w:rsidP="00AD4C75">
            <w:pPr>
              <w:spacing w:after="60" w:line="252" w:lineRule="auto"/>
              <w:rPr>
                <w:rFonts w:eastAsia="Times New Roman"/>
                <w:sz w:val="20"/>
                <w:szCs w:val="20"/>
                <w:lang w:eastAsia="en-GB"/>
              </w:rPr>
            </w:pPr>
            <w:r w:rsidRPr="397957B2">
              <w:rPr>
                <w:rFonts w:eastAsia="Times New Roman"/>
                <w:sz w:val="20"/>
                <w:szCs w:val="20"/>
                <w:lang w:eastAsia="en-GB"/>
              </w:rPr>
              <w:t>Any incident that meets either of these criteria:</w:t>
            </w:r>
            <w:r>
              <w:br/>
            </w:r>
            <w:r w:rsidRPr="397957B2">
              <w:rPr>
                <w:rFonts w:eastAsia="Times New Roman"/>
                <w:sz w:val="20"/>
                <w:szCs w:val="20"/>
                <w:lang w:eastAsia="en-GB"/>
              </w:rPr>
              <w:t>a) Any operations that identify defects or misconfigurations with higher classification safety Systems, Structures and Components (SSC) that prevent performance of the SSC’s safety case defined nuclear safety functions (NS08)</w:t>
            </w:r>
            <w:r>
              <w:br/>
            </w:r>
            <w:r w:rsidRPr="397957B2">
              <w:rPr>
                <w:rFonts w:eastAsia="Times New Roman"/>
                <w:b/>
                <w:bCs/>
                <w:sz w:val="20"/>
                <w:szCs w:val="20"/>
                <w:lang w:eastAsia="en-GB"/>
              </w:rPr>
              <w:t>or</w:t>
            </w:r>
            <w:r>
              <w:br/>
            </w:r>
            <w:r w:rsidRPr="397957B2">
              <w:rPr>
                <w:rFonts w:eastAsia="Times New Roman"/>
                <w:sz w:val="20"/>
                <w:szCs w:val="20"/>
                <w:lang w:eastAsia="en-GB"/>
              </w:rPr>
              <w:t>b) Any safety analysis and/or quality assurance activity that identifies higher safety classification Systems, Structures and Components cannot perform their safety case defined nuclear safety functions (NS12).</w:t>
            </w:r>
            <w:r>
              <w:br/>
            </w:r>
            <w:r w:rsidR="355E5051" w:rsidRPr="397957B2">
              <w:rPr>
                <w:rFonts w:eastAsia="Times New Roman"/>
                <w:b/>
                <w:bCs/>
                <w:sz w:val="20"/>
                <w:szCs w:val="20"/>
                <w:lang w:eastAsia="en-GB"/>
              </w:rPr>
              <w:t>and</w:t>
            </w:r>
            <w:r>
              <w:br/>
            </w:r>
            <w:r w:rsidRPr="397957B2">
              <w:rPr>
                <w:rFonts w:eastAsia="Times New Roman"/>
                <w:sz w:val="20"/>
                <w:szCs w:val="20"/>
                <w:lang w:eastAsia="en-GB"/>
              </w:rPr>
              <w:t>the overall impact means that an adequate safety case to continue operations cannot be made.</w:t>
            </w:r>
          </w:p>
        </w:tc>
        <w:tc>
          <w:tcPr>
            <w:tcW w:w="898" w:type="pct"/>
            <w:hideMark/>
          </w:tcPr>
          <w:p w14:paraId="724B07C3"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NI(DO)R'65</w:t>
            </w:r>
            <w:r w:rsidRPr="002E7C92">
              <w:rPr>
                <w:rFonts w:eastAsia="Times New Roman"/>
                <w:sz w:val="20"/>
                <w:szCs w:val="20"/>
                <w:lang w:eastAsia="en-GB"/>
              </w:rPr>
              <w:br/>
              <w:t>(NS03)</w:t>
            </w:r>
          </w:p>
        </w:tc>
        <w:tc>
          <w:tcPr>
            <w:tcW w:w="927" w:type="pct"/>
            <w:hideMark/>
          </w:tcPr>
          <w:p w14:paraId="4375C9E3" w14:textId="77777777" w:rsidR="00B449AB" w:rsidRPr="002E7C92" w:rsidRDefault="00B449AB" w:rsidP="00AD4C75">
            <w:pPr>
              <w:spacing w:after="60" w:line="252" w:lineRule="auto"/>
              <w:jc w:val="center"/>
              <w:rPr>
                <w:rFonts w:eastAsia="Times New Roman"/>
                <w:color w:val="000000"/>
                <w:sz w:val="20"/>
                <w:szCs w:val="20"/>
                <w:lang w:eastAsia="en-GB"/>
              </w:rPr>
            </w:pPr>
            <w:r w:rsidRPr="002E7C92">
              <w:rPr>
                <w:rFonts w:eastAsia="Times New Roman"/>
                <w:color w:val="000000"/>
                <w:sz w:val="20"/>
                <w:szCs w:val="20"/>
                <w:lang w:eastAsia="en-GB"/>
              </w:rPr>
              <w:t>MRC-SAF-03</w:t>
            </w:r>
          </w:p>
        </w:tc>
      </w:tr>
      <w:tr w:rsidR="00B449AB" w:rsidRPr="002E7C92" w14:paraId="580BEC46" w14:textId="77777777" w:rsidTr="397957B2">
        <w:trPr>
          <w:cantSplit/>
          <w:trHeight w:val="1096"/>
        </w:trPr>
        <w:tc>
          <w:tcPr>
            <w:tcW w:w="3175" w:type="pct"/>
            <w:hideMark/>
          </w:tcPr>
          <w:p w14:paraId="313A8186" w14:textId="7CDC6C9E" w:rsidR="00B449AB" w:rsidRPr="002E7C92" w:rsidRDefault="00B449AB" w:rsidP="397957B2">
            <w:pPr>
              <w:spacing w:after="60" w:line="252" w:lineRule="auto"/>
              <w:rPr>
                <w:rFonts w:eastAsia="Times New Roman"/>
                <w:sz w:val="20"/>
                <w:szCs w:val="20"/>
                <w:lang w:eastAsia="en-GB"/>
              </w:rPr>
            </w:pPr>
            <w:r w:rsidRPr="397957B2">
              <w:rPr>
                <w:rFonts w:eastAsia="Times New Roman"/>
                <w:sz w:val="20"/>
                <w:szCs w:val="20"/>
                <w:lang w:eastAsia="en-GB"/>
              </w:rPr>
              <w:t xml:space="preserve">Abnormal occurrences leading to a confirmed release to atmosphere or spillage of a radioactive substance which exceeds or is expected to exceed, the limits set out in Column 5 of Part 1 of </w:t>
            </w:r>
            <w:r w:rsidR="34849A36" w:rsidRPr="397957B2">
              <w:rPr>
                <w:rFonts w:eastAsia="Times New Roman"/>
                <w:sz w:val="20"/>
                <w:szCs w:val="20"/>
                <w:lang w:eastAsia="en-GB"/>
              </w:rPr>
              <w:t>the Ionising Radiation Regulations 2017 (IRR17)</w:t>
            </w:r>
            <w:r w:rsidRPr="397957B2">
              <w:rPr>
                <w:rFonts w:eastAsia="Times New Roman"/>
                <w:sz w:val="20"/>
                <w:szCs w:val="20"/>
                <w:lang w:eastAsia="en-GB"/>
              </w:rPr>
              <w:t>, except where the release is in a manner specified in an Authorisation under the Environmental Permitting Regulation 2010 or Environmental Authorisations (Scotland) Regulations 2018 (EASR18).</w:t>
            </w:r>
          </w:p>
        </w:tc>
        <w:tc>
          <w:tcPr>
            <w:tcW w:w="898" w:type="pct"/>
            <w:hideMark/>
          </w:tcPr>
          <w:p w14:paraId="2C87B7AA"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IRR17</w:t>
            </w:r>
            <w:r w:rsidRPr="002E7C92">
              <w:rPr>
                <w:rFonts w:eastAsia="Times New Roman"/>
                <w:sz w:val="20"/>
                <w:szCs w:val="20"/>
                <w:lang w:eastAsia="en-GB"/>
              </w:rPr>
              <w:br/>
              <w:t>(RS02)</w:t>
            </w:r>
          </w:p>
        </w:tc>
        <w:tc>
          <w:tcPr>
            <w:tcW w:w="927" w:type="pct"/>
            <w:hideMark/>
          </w:tcPr>
          <w:p w14:paraId="6D9DC142" w14:textId="77777777" w:rsidR="00B449AB" w:rsidRPr="002E7C92" w:rsidRDefault="00B449AB" w:rsidP="00AD4C75">
            <w:pPr>
              <w:spacing w:after="60" w:line="252" w:lineRule="auto"/>
              <w:jc w:val="center"/>
              <w:rPr>
                <w:rFonts w:eastAsia="Times New Roman"/>
                <w:color w:val="000000"/>
                <w:sz w:val="20"/>
                <w:szCs w:val="20"/>
                <w:lang w:eastAsia="en-GB"/>
              </w:rPr>
            </w:pPr>
            <w:r w:rsidRPr="002E7C92">
              <w:rPr>
                <w:rFonts w:eastAsia="Times New Roman"/>
                <w:color w:val="000000"/>
                <w:sz w:val="20"/>
                <w:szCs w:val="20"/>
                <w:lang w:eastAsia="en-GB"/>
              </w:rPr>
              <w:t>MRC-SAF-04</w:t>
            </w:r>
          </w:p>
        </w:tc>
      </w:tr>
      <w:tr w:rsidR="00B449AB" w:rsidRPr="002E7C92" w14:paraId="452AC9A4" w14:textId="77777777" w:rsidTr="397957B2">
        <w:trPr>
          <w:cantSplit/>
          <w:trHeight w:val="245"/>
        </w:trPr>
        <w:tc>
          <w:tcPr>
            <w:tcW w:w="3175" w:type="pct"/>
            <w:hideMark/>
          </w:tcPr>
          <w:p w14:paraId="6CB5087E" w14:textId="77777777" w:rsidR="00B449AB" w:rsidRPr="002E7C92" w:rsidRDefault="00B449AB" w:rsidP="00AD4C75">
            <w:pPr>
              <w:spacing w:after="60" w:line="252" w:lineRule="auto"/>
              <w:rPr>
                <w:rFonts w:eastAsia="Times New Roman"/>
                <w:sz w:val="20"/>
                <w:szCs w:val="20"/>
                <w:lang w:eastAsia="en-GB"/>
              </w:rPr>
            </w:pPr>
            <w:r w:rsidRPr="002E7C92">
              <w:rPr>
                <w:rFonts w:eastAsia="Times New Roman"/>
                <w:sz w:val="20"/>
                <w:szCs w:val="20"/>
                <w:lang w:eastAsia="en-GB"/>
              </w:rPr>
              <w:t>Abnormal occurrences leading to a release or suspected release or spread of radioactivity, on or off site, which requires special action or special investigation by the Operator.</w:t>
            </w:r>
          </w:p>
        </w:tc>
        <w:tc>
          <w:tcPr>
            <w:tcW w:w="898" w:type="pct"/>
            <w:hideMark/>
          </w:tcPr>
          <w:p w14:paraId="7813C8EC" w14:textId="77777777" w:rsidR="00B449AB" w:rsidRPr="002E7C92" w:rsidRDefault="00B449AB" w:rsidP="00AD4C75">
            <w:pPr>
              <w:spacing w:after="60" w:line="252" w:lineRule="auto"/>
              <w:jc w:val="center"/>
              <w:rPr>
                <w:rFonts w:eastAsia="Times New Roman"/>
                <w:sz w:val="20"/>
                <w:szCs w:val="20"/>
                <w:lang w:eastAsia="en-GB"/>
              </w:rPr>
            </w:pPr>
            <w:r w:rsidRPr="002E7C92">
              <w:rPr>
                <w:rFonts w:eastAsia="Times New Roman"/>
                <w:sz w:val="20"/>
                <w:szCs w:val="20"/>
                <w:lang w:eastAsia="en-GB"/>
              </w:rPr>
              <w:t>NI(DO)R'65</w:t>
            </w:r>
            <w:r w:rsidRPr="002E7C92">
              <w:rPr>
                <w:rFonts w:eastAsia="Times New Roman"/>
                <w:sz w:val="20"/>
                <w:szCs w:val="20"/>
                <w:lang w:eastAsia="en-GB"/>
              </w:rPr>
              <w:br/>
              <w:t>(RS03)</w:t>
            </w:r>
          </w:p>
        </w:tc>
        <w:tc>
          <w:tcPr>
            <w:tcW w:w="927" w:type="pct"/>
            <w:hideMark/>
          </w:tcPr>
          <w:p w14:paraId="2A100F61" w14:textId="77777777" w:rsidR="00B449AB" w:rsidRPr="002E7C92" w:rsidRDefault="00B449AB" w:rsidP="00AD4C75">
            <w:pPr>
              <w:spacing w:after="60" w:line="252" w:lineRule="auto"/>
              <w:jc w:val="center"/>
              <w:rPr>
                <w:rFonts w:eastAsia="Times New Roman"/>
                <w:color w:val="000000"/>
                <w:sz w:val="20"/>
                <w:szCs w:val="20"/>
                <w:lang w:eastAsia="en-GB"/>
              </w:rPr>
            </w:pPr>
            <w:r w:rsidRPr="002E7C92">
              <w:rPr>
                <w:rFonts w:eastAsia="Times New Roman"/>
                <w:color w:val="000000"/>
                <w:sz w:val="20"/>
                <w:szCs w:val="20"/>
                <w:lang w:eastAsia="en-GB"/>
              </w:rPr>
              <w:t>MRC-SAF-05</w:t>
            </w:r>
          </w:p>
        </w:tc>
      </w:tr>
    </w:tbl>
    <w:p w14:paraId="4AEE6868" w14:textId="77777777" w:rsidR="00360A9B" w:rsidRDefault="00360A9B" w:rsidP="00B449AB">
      <w:pPr>
        <w:pStyle w:val="Heading-2"/>
      </w:pPr>
      <w:r>
        <w:lastRenderedPageBreak/>
        <w:t>Transport</w:t>
      </w:r>
    </w:p>
    <w:tbl>
      <w:tblPr>
        <w:tblStyle w:val="ONRTable1"/>
        <w:tblW w:w="9124" w:type="dxa"/>
        <w:tblInd w:w="0" w:type="dxa"/>
        <w:tblLook w:val="04A0" w:firstRow="1" w:lastRow="0" w:firstColumn="1" w:lastColumn="0" w:noHBand="0" w:noVBand="1"/>
      </w:tblPr>
      <w:tblGrid>
        <w:gridCol w:w="5670"/>
        <w:gridCol w:w="1665"/>
        <w:gridCol w:w="1789"/>
      </w:tblGrid>
      <w:tr w:rsidR="00B449AB" w:rsidRPr="00AD4C75" w14:paraId="5E0BE197" w14:textId="77777777" w:rsidTr="6CEBDF07">
        <w:trPr>
          <w:cnfStyle w:val="100000000000" w:firstRow="1" w:lastRow="0" w:firstColumn="0" w:lastColumn="0" w:oddVBand="0" w:evenVBand="0" w:oddHBand="0" w:evenHBand="0" w:firstRowFirstColumn="0" w:firstRowLastColumn="0" w:lastRowFirstColumn="0" w:lastRowLastColumn="0"/>
          <w:cantSplit/>
          <w:trHeight w:val="652"/>
          <w:tblHeader/>
        </w:trPr>
        <w:tc>
          <w:tcPr>
            <w:tcW w:w="5670" w:type="dxa"/>
            <w:hideMark/>
          </w:tcPr>
          <w:p w14:paraId="1908EF03" w14:textId="77777777" w:rsidR="00B449AB" w:rsidRPr="00AD4C75" w:rsidRDefault="00B449AB" w:rsidP="00E5319E">
            <w:pPr>
              <w:spacing w:after="60" w:line="252" w:lineRule="auto"/>
              <w:rPr>
                <w:rFonts w:eastAsia="Times New Roman"/>
                <w:b w:val="0"/>
                <w:szCs w:val="22"/>
                <w:lang w:eastAsia="en-GB"/>
              </w:rPr>
            </w:pPr>
            <w:r w:rsidRPr="00AD4C75">
              <w:rPr>
                <w:rFonts w:eastAsia="Times New Roman"/>
                <w:b w:val="0"/>
                <w:szCs w:val="22"/>
                <w:lang w:eastAsia="en-GB"/>
              </w:rPr>
              <w:t>Description of criteria</w:t>
            </w:r>
          </w:p>
        </w:tc>
        <w:tc>
          <w:tcPr>
            <w:tcW w:w="1665" w:type="dxa"/>
            <w:hideMark/>
          </w:tcPr>
          <w:p w14:paraId="06C61046" w14:textId="77777777" w:rsidR="00B449AB" w:rsidRPr="00AD4C75" w:rsidRDefault="00B449AB" w:rsidP="00E5319E">
            <w:pPr>
              <w:spacing w:after="60" w:line="252" w:lineRule="auto"/>
              <w:jc w:val="center"/>
              <w:rPr>
                <w:rFonts w:eastAsia="Times New Roman"/>
                <w:b w:val="0"/>
                <w:szCs w:val="22"/>
                <w:lang w:eastAsia="en-GB"/>
              </w:rPr>
            </w:pPr>
            <w:r w:rsidRPr="00AD4C75">
              <w:rPr>
                <w:rFonts w:eastAsia="Times New Roman"/>
                <w:b w:val="0"/>
                <w:szCs w:val="22"/>
                <w:lang w:eastAsia="en-GB"/>
              </w:rPr>
              <w:t>Origin of</w:t>
            </w:r>
            <w:r w:rsidRPr="00AD4C75">
              <w:rPr>
                <w:rFonts w:eastAsia="Times New Roman"/>
                <w:b w:val="0"/>
                <w:szCs w:val="22"/>
                <w:lang w:eastAsia="en-GB"/>
              </w:rPr>
              <w:br/>
              <w:t>legislation</w:t>
            </w:r>
            <w:r>
              <w:rPr>
                <w:rFonts w:eastAsia="Times New Roman"/>
                <w:b w:val="0"/>
                <w:szCs w:val="22"/>
                <w:lang w:eastAsia="en-GB"/>
              </w:rPr>
              <w:t xml:space="preserve"> </w:t>
            </w:r>
            <w:r w:rsidRPr="00AD4C75">
              <w:rPr>
                <w:rFonts w:eastAsia="Times New Roman"/>
                <w:b w:val="0"/>
                <w:szCs w:val="22"/>
                <w:lang w:eastAsia="en-GB"/>
              </w:rPr>
              <w:t>(ONR Incident category)</w:t>
            </w:r>
          </w:p>
        </w:tc>
        <w:tc>
          <w:tcPr>
            <w:tcW w:w="1789" w:type="dxa"/>
            <w:hideMark/>
          </w:tcPr>
          <w:p w14:paraId="776AFA29" w14:textId="77777777" w:rsidR="00B449AB" w:rsidRPr="00AD4C75" w:rsidRDefault="00B449AB" w:rsidP="00E5319E">
            <w:pPr>
              <w:spacing w:after="60" w:line="252" w:lineRule="auto"/>
              <w:jc w:val="center"/>
              <w:rPr>
                <w:rFonts w:eastAsia="Times New Roman"/>
                <w:b w:val="0"/>
                <w:color w:val="000000"/>
                <w:szCs w:val="22"/>
                <w:lang w:eastAsia="en-GB"/>
              </w:rPr>
            </w:pPr>
            <w:r w:rsidRPr="00AD4C75">
              <w:rPr>
                <w:rFonts w:eastAsia="Times New Roman"/>
                <w:b w:val="0"/>
                <w:color w:val="000000"/>
                <w:szCs w:val="22"/>
                <w:lang w:eastAsia="en-GB"/>
              </w:rPr>
              <w:t>Ministerial Reportable Criteria (MRC)</w:t>
            </w:r>
          </w:p>
        </w:tc>
      </w:tr>
      <w:tr w:rsidR="00017692" w:rsidRPr="00AD4C75" w14:paraId="7E83730C" w14:textId="77777777" w:rsidTr="6CEBDF07">
        <w:trPr>
          <w:cantSplit/>
          <w:trHeight w:val="1689"/>
        </w:trPr>
        <w:tc>
          <w:tcPr>
            <w:tcW w:w="5670" w:type="dxa"/>
            <w:hideMark/>
          </w:tcPr>
          <w:p w14:paraId="5FC6BCBA" w14:textId="77777777" w:rsidR="00B449AB" w:rsidRPr="00AD4C75" w:rsidRDefault="00B449AB" w:rsidP="00AD4C75">
            <w:pPr>
              <w:spacing w:after="60" w:line="252" w:lineRule="auto"/>
              <w:rPr>
                <w:rFonts w:eastAsia="Times New Roman"/>
                <w:color w:val="000000"/>
                <w:szCs w:val="22"/>
                <w:lang w:eastAsia="en-GB"/>
              </w:rPr>
            </w:pPr>
            <w:r w:rsidRPr="00AD4C75">
              <w:rPr>
                <w:rFonts w:eastAsia="Times New Roman"/>
                <w:color w:val="000000"/>
                <w:szCs w:val="22"/>
                <w:lang w:eastAsia="en-GB"/>
              </w:rPr>
              <w:t xml:space="preserve">A radiation emergency: a situation arising during the course of the carriage of a consignment of class 7 goods that requires urgent action in order to protect workers, members of the public or the population (either partially or as a whole) from exposure; </w:t>
            </w:r>
            <w:r w:rsidRPr="00AD4C75">
              <w:rPr>
                <w:rFonts w:eastAsia="Times New Roman"/>
                <w:color w:val="000000"/>
                <w:szCs w:val="22"/>
                <w:lang w:eastAsia="en-GB"/>
              </w:rPr>
              <w:br w:type="page"/>
              <w:t xml:space="preserve">Or, </w:t>
            </w:r>
            <w:r w:rsidRPr="00AD4C75">
              <w:rPr>
                <w:rFonts w:eastAsia="Times New Roman"/>
                <w:color w:val="000000"/>
                <w:szCs w:val="22"/>
                <w:lang w:eastAsia="en-GB"/>
              </w:rPr>
              <w:br w:type="page"/>
              <w:t>Any occurrence during the carriage of nuclear matter, causing or likely to cause death, or serious injury to persons by reason of the radioactive properties of such nuclear matter.</w:t>
            </w:r>
            <w:r w:rsidRPr="00AD4C75">
              <w:rPr>
                <w:rFonts w:eastAsia="Times New Roman"/>
                <w:color w:val="000000"/>
                <w:szCs w:val="22"/>
                <w:lang w:eastAsia="en-GB"/>
              </w:rPr>
              <w:br w:type="page"/>
              <w:t>Or,</w:t>
            </w:r>
            <w:r w:rsidRPr="00AD4C75">
              <w:rPr>
                <w:rFonts w:eastAsia="Times New Roman"/>
                <w:color w:val="000000"/>
                <w:szCs w:val="22"/>
                <w:lang w:eastAsia="en-GB"/>
              </w:rPr>
              <w:br w:type="page"/>
              <w:t>Emergency arrangements have been initiated in relation to class 7 goods even if, in the event, no intervention was made pursuant to those arrangements.</w:t>
            </w:r>
          </w:p>
        </w:tc>
        <w:tc>
          <w:tcPr>
            <w:tcW w:w="1665" w:type="dxa"/>
            <w:hideMark/>
          </w:tcPr>
          <w:p w14:paraId="66430854" w14:textId="4C2E2658" w:rsidR="00B449AB" w:rsidRPr="00E5319E" w:rsidRDefault="00B449AB" w:rsidP="00AD4C75">
            <w:pPr>
              <w:spacing w:after="60" w:line="252" w:lineRule="auto"/>
              <w:jc w:val="center"/>
              <w:rPr>
                <w:rFonts w:eastAsia="Times New Roman"/>
                <w:szCs w:val="22"/>
                <w:lang w:val="pl-PL" w:eastAsia="en-GB"/>
              </w:rPr>
            </w:pPr>
            <w:r w:rsidRPr="00E5319E">
              <w:rPr>
                <w:rFonts w:eastAsia="Times New Roman"/>
                <w:szCs w:val="22"/>
                <w:lang w:val="pl-PL" w:eastAsia="en-GB"/>
              </w:rPr>
              <w:t>CDG'09</w:t>
            </w:r>
            <w:r w:rsidRPr="00E5319E">
              <w:rPr>
                <w:rFonts w:eastAsia="Times New Roman"/>
                <w:szCs w:val="22"/>
                <w:lang w:val="pl-PL" w:eastAsia="en-GB"/>
              </w:rPr>
              <w:br w:type="page"/>
              <w:t>NI</w:t>
            </w:r>
            <w:r w:rsidR="00017692" w:rsidRPr="00E5319E">
              <w:rPr>
                <w:rFonts w:eastAsia="Times New Roman"/>
                <w:szCs w:val="22"/>
                <w:lang w:val="pl-PL" w:eastAsia="en-GB"/>
              </w:rPr>
              <w:br/>
            </w:r>
            <w:r w:rsidRPr="00E5319E">
              <w:rPr>
                <w:rFonts w:eastAsia="Times New Roman"/>
                <w:szCs w:val="22"/>
                <w:lang w:val="pl-PL" w:eastAsia="en-GB"/>
              </w:rPr>
              <w:t>(DO)R'65</w:t>
            </w:r>
            <w:r w:rsidRPr="00E5319E">
              <w:rPr>
                <w:rFonts w:eastAsia="Times New Roman"/>
                <w:szCs w:val="22"/>
                <w:lang w:val="pl-PL" w:eastAsia="en-GB"/>
              </w:rPr>
              <w:br w:type="page"/>
            </w:r>
            <w:r w:rsidRPr="00E5319E">
              <w:rPr>
                <w:rFonts w:eastAsia="Times New Roman"/>
                <w:szCs w:val="22"/>
                <w:lang w:val="pl-PL" w:eastAsia="en-GB"/>
              </w:rPr>
              <w:br/>
              <w:t>(TS01)</w:t>
            </w:r>
            <w:r w:rsidRPr="00E5319E">
              <w:rPr>
                <w:rFonts w:eastAsia="Times New Roman"/>
                <w:szCs w:val="22"/>
                <w:lang w:val="pl-PL" w:eastAsia="en-GB"/>
              </w:rPr>
              <w:br w:type="page"/>
              <w:t>(TS03)</w:t>
            </w:r>
          </w:p>
        </w:tc>
        <w:tc>
          <w:tcPr>
            <w:tcW w:w="1789" w:type="dxa"/>
            <w:noWrap/>
            <w:hideMark/>
          </w:tcPr>
          <w:p w14:paraId="34A379C6"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MRC-TRAN-01</w:t>
            </w:r>
          </w:p>
        </w:tc>
      </w:tr>
      <w:tr w:rsidR="00B449AB" w:rsidRPr="00AD4C75" w14:paraId="644AAE39" w14:textId="77777777" w:rsidTr="6CEBDF07">
        <w:trPr>
          <w:cantSplit/>
          <w:trHeight w:val="600"/>
        </w:trPr>
        <w:tc>
          <w:tcPr>
            <w:tcW w:w="5670" w:type="dxa"/>
            <w:hideMark/>
          </w:tcPr>
          <w:p w14:paraId="5059C7E3"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Theft or loss of High Consequence Radioactive Material in carriage (High Consequence Radioactive Material (HCRM) is defined in ADR 1.10.3.1.3.)</w:t>
            </w:r>
          </w:p>
        </w:tc>
        <w:tc>
          <w:tcPr>
            <w:tcW w:w="1665" w:type="dxa"/>
            <w:hideMark/>
          </w:tcPr>
          <w:p w14:paraId="1F562470"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CDG'09</w:t>
            </w:r>
            <w:r w:rsidRPr="00AD4C75">
              <w:rPr>
                <w:rFonts w:eastAsia="Times New Roman"/>
                <w:szCs w:val="22"/>
                <w:lang w:eastAsia="en-GB"/>
              </w:rPr>
              <w:br/>
              <w:t>(TS02)</w:t>
            </w:r>
          </w:p>
        </w:tc>
        <w:tc>
          <w:tcPr>
            <w:tcW w:w="1789" w:type="dxa"/>
            <w:noWrap/>
            <w:hideMark/>
          </w:tcPr>
          <w:p w14:paraId="46C08F6A"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MRC-TRAN-02</w:t>
            </w:r>
          </w:p>
        </w:tc>
      </w:tr>
      <w:tr w:rsidR="00B449AB" w:rsidRPr="00AD4C75" w14:paraId="18C5BACE" w14:textId="77777777" w:rsidTr="6CEBDF07">
        <w:trPr>
          <w:cantSplit/>
          <w:trHeight w:val="503"/>
        </w:trPr>
        <w:tc>
          <w:tcPr>
            <w:tcW w:w="5670" w:type="dxa"/>
            <w:hideMark/>
          </w:tcPr>
          <w:p w14:paraId="5233BA64" w14:textId="4CFE9829" w:rsidR="00B449AB" w:rsidRPr="00AD4C75" w:rsidRDefault="00B449AB" w:rsidP="00AD4C75">
            <w:pPr>
              <w:spacing w:after="60" w:line="252" w:lineRule="auto"/>
              <w:rPr>
                <w:rFonts w:eastAsia="Times New Roman"/>
                <w:color w:val="000000"/>
                <w:szCs w:val="22"/>
                <w:lang w:eastAsia="en-GB"/>
              </w:rPr>
            </w:pPr>
            <w:r w:rsidRPr="00AD4C75">
              <w:rPr>
                <w:rFonts w:eastAsia="Times New Roman"/>
                <w:color w:val="000000"/>
                <w:szCs w:val="22"/>
                <w:lang w:eastAsia="en-GB"/>
              </w:rPr>
              <w:t>An occurrence during loading, carriage or unloading of class 7 dangerous goods involving (a) any release of activity greater than A</w:t>
            </w:r>
            <w:r w:rsidRPr="00AD4C75">
              <w:rPr>
                <w:rFonts w:eastAsia="Times New Roman"/>
                <w:color w:val="000000"/>
                <w:szCs w:val="22"/>
                <w:vertAlign w:val="subscript"/>
                <w:lang w:eastAsia="en-GB"/>
              </w:rPr>
              <w:t>2</w:t>
            </w:r>
            <w:r w:rsidRPr="00AD4C75">
              <w:rPr>
                <w:rFonts w:eastAsia="Times New Roman"/>
                <w:color w:val="000000"/>
                <w:szCs w:val="22"/>
                <w:lang w:eastAsia="en-GB"/>
              </w:rPr>
              <w:t xml:space="preserve"> (IAEA SSR6 Table 2) of radioactive material from the packages or from the conveyance if being transported unpackaged; or (b) exposure leading to a breach of the limits set out in IRR17 to workers or members of the public</w:t>
            </w:r>
            <w:r>
              <w:rPr>
                <w:rFonts w:eastAsia="Times New Roman"/>
                <w:color w:val="000000"/>
                <w:szCs w:val="22"/>
                <w:lang w:eastAsia="en-GB"/>
              </w:rPr>
              <w:t>.</w:t>
            </w:r>
          </w:p>
        </w:tc>
        <w:tc>
          <w:tcPr>
            <w:tcW w:w="1665" w:type="dxa"/>
            <w:hideMark/>
          </w:tcPr>
          <w:p w14:paraId="25827D4D"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ADR</w:t>
            </w:r>
            <w:r w:rsidRPr="00AD4C75">
              <w:rPr>
                <w:rFonts w:eastAsia="Times New Roman"/>
                <w:szCs w:val="22"/>
                <w:lang w:eastAsia="en-GB"/>
              </w:rPr>
              <w:br/>
              <w:t>(TS04)</w:t>
            </w:r>
          </w:p>
        </w:tc>
        <w:tc>
          <w:tcPr>
            <w:tcW w:w="1789" w:type="dxa"/>
            <w:noWrap/>
            <w:hideMark/>
          </w:tcPr>
          <w:p w14:paraId="1A0DA6D3"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MRC-TRAN-03</w:t>
            </w:r>
          </w:p>
        </w:tc>
      </w:tr>
      <w:tr w:rsidR="00B449AB" w:rsidRPr="00AD4C75" w14:paraId="41D2E424" w14:textId="77777777" w:rsidTr="6CEBDF07">
        <w:trPr>
          <w:cantSplit/>
          <w:trHeight w:val="1237"/>
        </w:trPr>
        <w:tc>
          <w:tcPr>
            <w:tcW w:w="5670" w:type="dxa"/>
            <w:hideMark/>
          </w:tcPr>
          <w:p w14:paraId="27C1E4DD"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 xml:space="preserve">An occurrence during loading, carriage or unloading of class 7 dangerous goods, where there is reason to believe that there has been a significant degradation in any Type B(U), Type B(M), Type C or Fissile package safety function (containment, shielding, thermal protection, or criticality) that may have rendered the package unsuitable for continued carriage without additional safety measures. (As defined in ADR 6.4). </w:t>
            </w:r>
          </w:p>
        </w:tc>
        <w:tc>
          <w:tcPr>
            <w:tcW w:w="1665" w:type="dxa"/>
            <w:hideMark/>
          </w:tcPr>
          <w:p w14:paraId="5475AC81" w14:textId="77777777" w:rsidR="00B449AB" w:rsidRPr="007E5E80" w:rsidRDefault="00B449AB" w:rsidP="00AD4C75">
            <w:pPr>
              <w:spacing w:after="60" w:line="252" w:lineRule="auto"/>
              <w:jc w:val="center"/>
              <w:rPr>
                <w:rFonts w:eastAsia="Times New Roman"/>
                <w:szCs w:val="22"/>
                <w:lang w:val="pl-PL" w:eastAsia="en-GB"/>
              </w:rPr>
            </w:pPr>
            <w:r w:rsidRPr="007E5E80">
              <w:rPr>
                <w:rFonts w:eastAsia="Times New Roman"/>
                <w:szCs w:val="22"/>
                <w:lang w:val="pl-PL" w:eastAsia="en-GB"/>
              </w:rPr>
              <w:t>ADR</w:t>
            </w:r>
            <w:r w:rsidRPr="007E5E80">
              <w:rPr>
                <w:rFonts w:eastAsia="Times New Roman"/>
                <w:szCs w:val="22"/>
                <w:lang w:val="pl-PL" w:eastAsia="en-GB"/>
              </w:rPr>
              <w:br/>
              <w:t>NI(DO)R'65</w:t>
            </w:r>
            <w:r w:rsidRPr="007E5E80">
              <w:rPr>
                <w:rFonts w:eastAsia="Times New Roman"/>
                <w:szCs w:val="22"/>
                <w:lang w:val="pl-PL" w:eastAsia="en-GB"/>
              </w:rPr>
              <w:br/>
              <w:t>(TS05)</w:t>
            </w:r>
          </w:p>
        </w:tc>
        <w:tc>
          <w:tcPr>
            <w:tcW w:w="1789" w:type="dxa"/>
            <w:noWrap/>
            <w:hideMark/>
          </w:tcPr>
          <w:p w14:paraId="4167AFDF"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MRC-TRAN-04</w:t>
            </w:r>
          </w:p>
        </w:tc>
      </w:tr>
      <w:tr w:rsidR="00B449AB" w:rsidRPr="00AD4C75" w14:paraId="15C0BE7C" w14:textId="77777777" w:rsidTr="6CEBDF07">
        <w:trPr>
          <w:cantSplit/>
          <w:trHeight w:val="1150"/>
        </w:trPr>
        <w:tc>
          <w:tcPr>
            <w:tcW w:w="5670" w:type="dxa"/>
            <w:hideMark/>
          </w:tcPr>
          <w:p w14:paraId="207DCF1C"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An occurrence where class 7 dangerous goods have been transported with any non-compliance regarding radiation or contamination levels where those levels are greater than ten times the prescribed regulatory limits (as set within ADR); excluding where material activity is within excepted package limits.</w:t>
            </w:r>
          </w:p>
        </w:tc>
        <w:tc>
          <w:tcPr>
            <w:tcW w:w="1665" w:type="dxa"/>
            <w:hideMark/>
          </w:tcPr>
          <w:p w14:paraId="157F241D"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ADR</w:t>
            </w:r>
            <w:r w:rsidRPr="00AD4C75">
              <w:rPr>
                <w:rFonts w:eastAsia="Times New Roman"/>
                <w:szCs w:val="22"/>
                <w:lang w:eastAsia="en-GB"/>
              </w:rPr>
              <w:br/>
              <w:t>(TS06)</w:t>
            </w:r>
          </w:p>
        </w:tc>
        <w:tc>
          <w:tcPr>
            <w:tcW w:w="1789" w:type="dxa"/>
            <w:noWrap/>
            <w:hideMark/>
          </w:tcPr>
          <w:p w14:paraId="49993630"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MRC-TRAN-05</w:t>
            </w:r>
          </w:p>
        </w:tc>
      </w:tr>
    </w:tbl>
    <w:p w14:paraId="0E8B1B03" w14:textId="77777777" w:rsidR="00360A9B" w:rsidRDefault="00360A9B" w:rsidP="00B449AB">
      <w:pPr>
        <w:pStyle w:val="Heading-2"/>
      </w:pPr>
      <w:r>
        <w:lastRenderedPageBreak/>
        <w:t>Safeguards</w:t>
      </w:r>
    </w:p>
    <w:tbl>
      <w:tblPr>
        <w:tblStyle w:val="ONRTable1"/>
        <w:tblW w:w="5000" w:type="pct"/>
        <w:tblInd w:w="0" w:type="dxa"/>
        <w:tblLook w:val="04A0" w:firstRow="1" w:lastRow="0" w:firstColumn="1" w:lastColumn="0" w:noHBand="0" w:noVBand="1"/>
      </w:tblPr>
      <w:tblGrid>
        <w:gridCol w:w="5017"/>
        <w:gridCol w:w="1847"/>
        <w:gridCol w:w="2163"/>
      </w:tblGrid>
      <w:tr w:rsidR="00B449AB" w:rsidRPr="00AD4C75" w14:paraId="516CF105" w14:textId="77777777" w:rsidTr="00B449AB">
        <w:trPr>
          <w:cnfStyle w:val="100000000000" w:firstRow="1" w:lastRow="0" w:firstColumn="0" w:lastColumn="0" w:oddVBand="0" w:evenVBand="0" w:oddHBand="0" w:evenHBand="0" w:firstRowFirstColumn="0" w:firstRowLastColumn="0" w:lastRowFirstColumn="0" w:lastRowLastColumn="0"/>
          <w:cantSplit/>
          <w:trHeight w:val="652"/>
          <w:tblHeader/>
        </w:trPr>
        <w:tc>
          <w:tcPr>
            <w:tcW w:w="2779" w:type="pct"/>
            <w:hideMark/>
          </w:tcPr>
          <w:p w14:paraId="1DC3990F" w14:textId="77777777" w:rsidR="00B449AB" w:rsidRPr="00AD4C75" w:rsidRDefault="00B449AB" w:rsidP="00E5319E">
            <w:pPr>
              <w:spacing w:after="60" w:line="252" w:lineRule="auto"/>
              <w:rPr>
                <w:rFonts w:eastAsia="Times New Roman"/>
                <w:b w:val="0"/>
                <w:szCs w:val="22"/>
                <w:lang w:eastAsia="en-GB"/>
              </w:rPr>
            </w:pPr>
            <w:r w:rsidRPr="00AD4C75">
              <w:rPr>
                <w:rFonts w:eastAsia="Times New Roman"/>
                <w:b w:val="0"/>
                <w:szCs w:val="22"/>
                <w:lang w:eastAsia="en-GB"/>
              </w:rPr>
              <w:t>Description of criteria</w:t>
            </w:r>
          </w:p>
        </w:tc>
        <w:tc>
          <w:tcPr>
            <w:tcW w:w="1023" w:type="pct"/>
            <w:hideMark/>
          </w:tcPr>
          <w:p w14:paraId="73D395A2" w14:textId="77777777" w:rsidR="00B449AB" w:rsidRPr="00AD4C75" w:rsidRDefault="00B449AB" w:rsidP="00E5319E">
            <w:pPr>
              <w:spacing w:after="60" w:line="252" w:lineRule="auto"/>
              <w:jc w:val="center"/>
              <w:rPr>
                <w:rFonts w:eastAsia="Times New Roman"/>
                <w:b w:val="0"/>
                <w:szCs w:val="22"/>
                <w:lang w:eastAsia="en-GB"/>
              </w:rPr>
            </w:pPr>
            <w:r w:rsidRPr="00AD4C75">
              <w:rPr>
                <w:rFonts w:eastAsia="Times New Roman"/>
                <w:b w:val="0"/>
                <w:szCs w:val="22"/>
                <w:lang w:eastAsia="en-GB"/>
              </w:rPr>
              <w:t>Origin of</w:t>
            </w:r>
            <w:r w:rsidRPr="00AD4C75">
              <w:rPr>
                <w:rFonts w:eastAsia="Times New Roman"/>
                <w:b w:val="0"/>
                <w:szCs w:val="22"/>
                <w:lang w:eastAsia="en-GB"/>
              </w:rPr>
              <w:br/>
              <w:t>legislation</w:t>
            </w:r>
            <w:r>
              <w:rPr>
                <w:rFonts w:eastAsia="Times New Roman"/>
                <w:b w:val="0"/>
                <w:szCs w:val="22"/>
                <w:lang w:eastAsia="en-GB"/>
              </w:rPr>
              <w:t xml:space="preserve"> </w:t>
            </w:r>
            <w:r w:rsidRPr="00AD4C75">
              <w:rPr>
                <w:rFonts w:eastAsia="Times New Roman"/>
                <w:b w:val="0"/>
                <w:szCs w:val="22"/>
                <w:lang w:eastAsia="en-GB"/>
              </w:rPr>
              <w:t>(ONR Incident category)</w:t>
            </w:r>
          </w:p>
        </w:tc>
        <w:tc>
          <w:tcPr>
            <w:tcW w:w="1198" w:type="pct"/>
            <w:hideMark/>
          </w:tcPr>
          <w:p w14:paraId="1720691B" w14:textId="77777777" w:rsidR="00B449AB" w:rsidRPr="00AD4C75" w:rsidRDefault="00B449AB" w:rsidP="00E5319E">
            <w:pPr>
              <w:spacing w:after="60" w:line="252" w:lineRule="auto"/>
              <w:jc w:val="center"/>
              <w:rPr>
                <w:rFonts w:eastAsia="Times New Roman"/>
                <w:b w:val="0"/>
                <w:color w:val="000000"/>
                <w:szCs w:val="22"/>
                <w:lang w:eastAsia="en-GB"/>
              </w:rPr>
            </w:pPr>
            <w:r w:rsidRPr="00AD4C75">
              <w:rPr>
                <w:rFonts w:eastAsia="Times New Roman"/>
                <w:b w:val="0"/>
                <w:color w:val="000000"/>
                <w:szCs w:val="22"/>
                <w:lang w:eastAsia="en-GB"/>
              </w:rPr>
              <w:t>Ministerial Reportable Criteria (MRC)</w:t>
            </w:r>
          </w:p>
        </w:tc>
      </w:tr>
      <w:tr w:rsidR="00B449AB" w:rsidRPr="00AD4C75" w14:paraId="1B56C643" w14:textId="77777777" w:rsidTr="00B449AB">
        <w:trPr>
          <w:cantSplit/>
          <w:trHeight w:val="705"/>
        </w:trPr>
        <w:tc>
          <w:tcPr>
            <w:tcW w:w="2779" w:type="pct"/>
            <w:hideMark/>
          </w:tcPr>
          <w:p w14:paraId="3DE2EFAE" w14:textId="77777777" w:rsidR="00B449AB" w:rsidRPr="00AD4C75" w:rsidRDefault="00B449AB" w:rsidP="00AD4C75">
            <w:pPr>
              <w:spacing w:after="60" w:line="252" w:lineRule="auto"/>
              <w:rPr>
                <w:rFonts w:eastAsia="Times New Roman"/>
                <w:color w:val="000000"/>
                <w:szCs w:val="22"/>
                <w:lang w:eastAsia="en-GB"/>
              </w:rPr>
            </w:pPr>
            <w:r w:rsidRPr="00AD4C75">
              <w:rPr>
                <w:rFonts w:eastAsia="Times New Roman"/>
                <w:color w:val="000000"/>
                <w:szCs w:val="22"/>
                <w:lang w:eastAsia="en-GB"/>
              </w:rPr>
              <w:t>An event affecting the health and safety of IAEA safeguards personnel,</w:t>
            </w:r>
            <w:r w:rsidRPr="00AD4C75">
              <w:rPr>
                <w:rFonts w:eastAsia="Times New Roman"/>
                <w:color w:val="000000"/>
                <w:szCs w:val="22"/>
                <w:lang w:eastAsia="en-GB"/>
              </w:rPr>
              <w:br w:type="page"/>
              <w:t>This includes conventional health and safety injuries, unexpected radiological exposure/dose and any other accidents or rule breaches that have a negative impact on the individual’s health and safety.</w:t>
            </w:r>
          </w:p>
        </w:tc>
        <w:tc>
          <w:tcPr>
            <w:tcW w:w="1023" w:type="pct"/>
            <w:hideMark/>
          </w:tcPr>
          <w:p w14:paraId="4611AB5F"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IAEA VOA</w:t>
            </w:r>
            <w:r w:rsidRPr="00AD4C75">
              <w:rPr>
                <w:rFonts w:eastAsia="Times New Roman"/>
                <w:szCs w:val="22"/>
                <w:lang w:eastAsia="en-GB"/>
              </w:rPr>
              <w:br w:type="page"/>
              <w:t>(SG01a/</w:t>
            </w:r>
            <w:proofErr w:type="spellStart"/>
            <w:r w:rsidRPr="00AD4C75">
              <w:rPr>
                <w:rFonts w:eastAsia="Times New Roman"/>
                <w:szCs w:val="22"/>
                <w:lang w:eastAsia="en-GB"/>
              </w:rPr>
              <w:t>i</w:t>
            </w:r>
            <w:proofErr w:type="spellEnd"/>
            <w:r w:rsidRPr="00AD4C75">
              <w:rPr>
                <w:rFonts w:eastAsia="Times New Roman"/>
                <w:szCs w:val="22"/>
                <w:lang w:eastAsia="en-GB"/>
              </w:rPr>
              <w:t>)</w:t>
            </w:r>
          </w:p>
        </w:tc>
        <w:tc>
          <w:tcPr>
            <w:tcW w:w="1198" w:type="pct"/>
            <w:noWrap/>
            <w:hideMark/>
          </w:tcPr>
          <w:p w14:paraId="2EE82817"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MRC-GUARD-01</w:t>
            </w:r>
          </w:p>
        </w:tc>
      </w:tr>
      <w:tr w:rsidR="00B449AB" w:rsidRPr="00AD4C75" w14:paraId="3088EC96" w14:textId="77777777" w:rsidTr="00B449AB">
        <w:trPr>
          <w:cantSplit/>
          <w:trHeight w:val="738"/>
        </w:trPr>
        <w:tc>
          <w:tcPr>
            <w:tcW w:w="2779" w:type="pct"/>
            <w:hideMark/>
          </w:tcPr>
          <w:p w14:paraId="13CF2279"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Denial or restriction of IAEA inspector access to a facility/site/location where access would be expected in accordance with the UK/IAEA Voluntary Offer Safeguards Agreement (VOA) (INFCIRC/951) or the UK Additional Protocol Agreement (INFCIRC/951 Add. 1).</w:t>
            </w:r>
          </w:p>
        </w:tc>
        <w:tc>
          <w:tcPr>
            <w:tcW w:w="1023" w:type="pct"/>
            <w:hideMark/>
          </w:tcPr>
          <w:p w14:paraId="0C6A2AF1"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IAEA VOA</w:t>
            </w:r>
            <w:r w:rsidRPr="00AD4C75">
              <w:rPr>
                <w:rFonts w:eastAsia="Times New Roman"/>
                <w:szCs w:val="22"/>
                <w:lang w:eastAsia="en-GB"/>
              </w:rPr>
              <w:br/>
              <w:t>(SG01a/ii)</w:t>
            </w:r>
          </w:p>
        </w:tc>
        <w:tc>
          <w:tcPr>
            <w:tcW w:w="1198" w:type="pct"/>
            <w:noWrap/>
            <w:hideMark/>
          </w:tcPr>
          <w:p w14:paraId="5FFE0EC1"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MRC-GUARD-02</w:t>
            </w:r>
          </w:p>
        </w:tc>
      </w:tr>
      <w:tr w:rsidR="00B449AB" w:rsidRPr="00AD4C75" w14:paraId="0A228ADF" w14:textId="77777777" w:rsidTr="00B449AB">
        <w:trPr>
          <w:cantSplit/>
          <w:trHeight w:val="416"/>
        </w:trPr>
        <w:tc>
          <w:tcPr>
            <w:tcW w:w="2779" w:type="pct"/>
            <w:hideMark/>
          </w:tcPr>
          <w:p w14:paraId="7BC8372D"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IAEA safeguards seals on equipment or plant deliberately detached by non-IAEA staff, lost or showing signs of deliberate tampering, or evidence of tampering with IAEA equipment.</w:t>
            </w:r>
          </w:p>
        </w:tc>
        <w:tc>
          <w:tcPr>
            <w:tcW w:w="1023" w:type="pct"/>
            <w:hideMark/>
          </w:tcPr>
          <w:p w14:paraId="4AF9B461"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IAEA VOA</w:t>
            </w:r>
            <w:r w:rsidRPr="00AD4C75">
              <w:rPr>
                <w:rFonts w:eastAsia="Times New Roman"/>
                <w:szCs w:val="22"/>
                <w:lang w:eastAsia="en-GB"/>
              </w:rPr>
              <w:br/>
              <w:t>(SG01a/iii)</w:t>
            </w:r>
          </w:p>
        </w:tc>
        <w:tc>
          <w:tcPr>
            <w:tcW w:w="1198" w:type="pct"/>
            <w:noWrap/>
            <w:hideMark/>
          </w:tcPr>
          <w:p w14:paraId="6889D0F7"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MRC-GUARD-03</w:t>
            </w:r>
          </w:p>
        </w:tc>
      </w:tr>
      <w:tr w:rsidR="00B449AB" w:rsidRPr="00AD4C75" w14:paraId="271ECD97" w14:textId="77777777" w:rsidTr="00B449AB">
        <w:trPr>
          <w:cantSplit/>
          <w:trHeight w:val="900"/>
        </w:trPr>
        <w:tc>
          <w:tcPr>
            <w:tcW w:w="2779" w:type="pct"/>
            <w:hideMark/>
          </w:tcPr>
          <w:p w14:paraId="3D3B19C2"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 discrepancy involving 1 significant quantity (as defined in NS(EU)R'19) or more of qualifying nuclear material resulting from material unaccounted for (MUF), or shipper-receiver differences (SRD).</w:t>
            </w:r>
          </w:p>
        </w:tc>
        <w:tc>
          <w:tcPr>
            <w:tcW w:w="1023" w:type="pct"/>
            <w:hideMark/>
          </w:tcPr>
          <w:p w14:paraId="1F57EEBC" w14:textId="77777777" w:rsidR="00B449AB" w:rsidRPr="003116AC" w:rsidRDefault="00B449AB" w:rsidP="00AD4C75">
            <w:pPr>
              <w:spacing w:after="60" w:line="252" w:lineRule="auto"/>
              <w:jc w:val="center"/>
              <w:rPr>
                <w:rFonts w:eastAsia="Times New Roman"/>
                <w:szCs w:val="22"/>
                <w:lang w:val="fr-FR" w:eastAsia="en-GB"/>
              </w:rPr>
            </w:pPr>
            <w:r w:rsidRPr="003116AC">
              <w:rPr>
                <w:rFonts w:eastAsia="Times New Roman"/>
                <w:szCs w:val="22"/>
                <w:lang w:val="fr-FR" w:eastAsia="en-GB"/>
              </w:rPr>
              <w:t>NS(EU)R'19</w:t>
            </w:r>
            <w:r w:rsidRPr="003116AC">
              <w:rPr>
                <w:rFonts w:eastAsia="Times New Roman"/>
                <w:szCs w:val="22"/>
                <w:lang w:val="fr-FR" w:eastAsia="en-GB"/>
              </w:rPr>
              <w:br/>
              <w:t>(SG01b/i)</w:t>
            </w:r>
          </w:p>
        </w:tc>
        <w:tc>
          <w:tcPr>
            <w:tcW w:w="1198" w:type="pct"/>
            <w:noWrap/>
            <w:hideMark/>
          </w:tcPr>
          <w:p w14:paraId="0B6E722D"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MRC-GUARD-04</w:t>
            </w:r>
          </w:p>
        </w:tc>
      </w:tr>
      <w:tr w:rsidR="00B449AB" w:rsidRPr="00AD4C75" w14:paraId="7EE0C31E" w14:textId="77777777" w:rsidTr="00B449AB">
        <w:trPr>
          <w:cantSplit/>
          <w:trHeight w:val="600"/>
        </w:trPr>
        <w:tc>
          <w:tcPr>
            <w:tcW w:w="2779" w:type="pct"/>
            <w:hideMark/>
          </w:tcPr>
          <w:p w14:paraId="1E845551"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Failure to locate a discrete ‘item’ containing qualifying nuclear material as it is reported in the operator’s nuclear material accountancy system.</w:t>
            </w:r>
          </w:p>
        </w:tc>
        <w:tc>
          <w:tcPr>
            <w:tcW w:w="1023" w:type="pct"/>
            <w:hideMark/>
          </w:tcPr>
          <w:p w14:paraId="55C9D832" w14:textId="77777777" w:rsidR="00B449AB" w:rsidRPr="007E5E80" w:rsidRDefault="00B449AB" w:rsidP="00AD4C75">
            <w:pPr>
              <w:spacing w:after="60" w:line="252" w:lineRule="auto"/>
              <w:jc w:val="center"/>
              <w:rPr>
                <w:rFonts w:eastAsia="Times New Roman"/>
                <w:szCs w:val="22"/>
                <w:lang w:val="pt-PT" w:eastAsia="en-GB"/>
              </w:rPr>
            </w:pPr>
            <w:r w:rsidRPr="007E5E80">
              <w:rPr>
                <w:rFonts w:eastAsia="Times New Roman"/>
                <w:szCs w:val="22"/>
                <w:lang w:val="pt-PT" w:eastAsia="en-GB"/>
              </w:rPr>
              <w:t>NS(EU)R'19</w:t>
            </w:r>
            <w:r w:rsidRPr="007E5E80">
              <w:rPr>
                <w:rFonts w:eastAsia="Times New Roman"/>
                <w:szCs w:val="22"/>
                <w:lang w:val="pt-PT" w:eastAsia="en-GB"/>
              </w:rPr>
              <w:br/>
              <w:t>(SG01b/</w:t>
            </w:r>
            <w:proofErr w:type="spellStart"/>
            <w:r w:rsidRPr="007E5E80">
              <w:rPr>
                <w:rFonts w:eastAsia="Times New Roman"/>
                <w:szCs w:val="22"/>
                <w:lang w:val="pt-PT" w:eastAsia="en-GB"/>
              </w:rPr>
              <w:t>ii</w:t>
            </w:r>
            <w:proofErr w:type="spellEnd"/>
            <w:r w:rsidRPr="007E5E80">
              <w:rPr>
                <w:rFonts w:eastAsia="Times New Roman"/>
                <w:szCs w:val="22"/>
                <w:lang w:val="pt-PT" w:eastAsia="en-GB"/>
              </w:rPr>
              <w:t>)</w:t>
            </w:r>
          </w:p>
        </w:tc>
        <w:tc>
          <w:tcPr>
            <w:tcW w:w="1198" w:type="pct"/>
            <w:noWrap/>
            <w:hideMark/>
          </w:tcPr>
          <w:p w14:paraId="3B77D2DA"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MRC-GUARD-05</w:t>
            </w:r>
          </w:p>
        </w:tc>
      </w:tr>
    </w:tbl>
    <w:p w14:paraId="7698F374" w14:textId="77777777" w:rsidR="00EC4EF6" w:rsidRDefault="00EC4EF6" w:rsidP="00B449AB">
      <w:pPr>
        <w:pStyle w:val="Heading-2"/>
        <w:sectPr w:rsidR="00EC4EF6" w:rsidSect="00FF381D">
          <w:headerReference w:type="default" r:id="rId12"/>
          <w:footerReference w:type="default" r:id="rId13"/>
          <w:headerReference w:type="first" r:id="rId14"/>
          <w:footerReference w:type="first" r:id="rId15"/>
          <w:pgSz w:w="11907" w:h="16839" w:code="9"/>
          <w:pgMar w:top="1440" w:right="1440" w:bottom="1440" w:left="1440" w:header="397" w:footer="397" w:gutter="0"/>
          <w:cols w:space="708"/>
          <w:docGrid w:linePitch="360"/>
        </w:sectPr>
      </w:pPr>
    </w:p>
    <w:p w14:paraId="6BC1D34E" w14:textId="77777777" w:rsidR="00B449AB" w:rsidRDefault="00B449AB" w:rsidP="00B449AB">
      <w:pPr>
        <w:pStyle w:val="Heading-2"/>
      </w:pPr>
      <w:r>
        <w:lastRenderedPageBreak/>
        <w:t>Security</w:t>
      </w:r>
    </w:p>
    <w:tbl>
      <w:tblPr>
        <w:tblStyle w:val="ONRTable1"/>
        <w:tblW w:w="5000" w:type="pct"/>
        <w:tblInd w:w="0" w:type="dxa"/>
        <w:tblLook w:val="04A0" w:firstRow="1" w:lastRow="0" w:firstColumn="1" w:lastColumn="0" w:noHBand="0" w:noVBand="1"/>
      </w:tblPr>
      <w:tblGrid>
        <w:gridCol w:w="5656"/>
        <w:gridCol w:w="1526"/>
        <w:gridCol w:w="1845"/>
      </w:tblGrid>
      <w:tr w:rsidR="00B449AB" w:rsidRPr="00AD4C75" w14:paraId="2303D90A" w14:textId="77777777" w:rsidTr="00B449AB">
        <w:trPr>
          <w:cnfStyle w:val="100000000000" w:firstRow="1" w:lastRow="0" w:firstColumn="0" w:lastColumn="0" w:oddVBand="0" w:evenVBand="0" w:oddHBand="0" w:evenHBand="0" w:firstRowFirstColumn="0" w:firstRowLastColumn="0" w:lastRowFirstColumn="0" w:lastRowLastColumn="0"/>
          <w:cantSplit/>
          <w:trHeight w:val="652"/>
          <w:tblHeader/>
        </w:trPr>
        <w:tc>
          <w:tcPr>
            <w:tcW w:w="3133" w:type="pct"/>
            <w:hideMark/>
          </w:tcPr>
          <w:p w14:paraId="5773BA2D" w14:textId="77777777" w:rsidR="00B449AB" w:rsidRPr="00AD4C75" w:rsidRDefault="00B449AB" w:rsidP="00E5319E">
            <w:pPr>
              <w:spacing w:after="60" w:line="252" w:lineRule="auto"/>
              <w:rPr>
                <w:rFonts w:eastAsia="Times New Roman"/>
                <w:b w:val="0"/>
                <w:szCs w:val="22"/>
                <w:lang w:eastAsia="en-GB"/>
              </w:rPr>
            </w:pPr>
            <w:r w:rsidRPr="00AD4C75">
              <w:rPr>
                <w:rFonts w:eastAsia="Times New Roman"/>
                <w:b w:val="0"/>
                <w:szCs w:val="22"/>
                <w:lang w:eastAsia="en-GB"/>
              </w:rPr>
              <w:t>Description of criteria</w:t>
            </w:r>
          </w:p>
        </w:tc>
        <w:tc>
          <w:tcPr>
            <w:tcW w:w="845" w:type="pct"/>
            <w:hideMark/>
          </w:tcPr>
          <w:p w14:paraId="0DBA34D4" w14:textId="77777777" w:rsidR="00B449AB" w:rsidRPr="00AD4C75" w:rsidRDefault="00B449AB" w:rsidP="00E5319E">
            <w:pPr>
              <w:spacing w:after="60" w:line="252" w:lineRule="auto"/>
              <w:jc w:val="center"/>
              <w:rPr>
                <w:rFonts w:eastAsia="Times New Roman"/>
                <w:b w:val="0"/>
                <w:szCs w:val="22"/>
                <w:lang w:eastAsia="en-GB"/>
              </w:rPr>
            </w:pPr>
            <w:r w:rsidRPr="00AD4C75">
              <w:rPr>
                <w:rFonts w:eastAsia="Times New Roman"/>
                <w:b w:val="0"/>
                <w:szCs w:val="22"/>
                <w:lang w:eastAsia="en-GB"/>
              </w:rPr>
              <w:t>Origin of</w:t>
            </w:r>
            <w:r w:rsidRPr="00AD4C75">
              <w:rPr>
                <w:rFonts w:eastAsia="Times New Roman"/>
                <w:b w:val="0"/>
                <w:szCs w:val="22"/>
                <w:lang w:eastAsia="en-GB"/>
              </w:rPr>
              <w:br/>
              <w:t>legislation</w:t>
            </w:r>
            <w:r>
              <w:rPr>
                <w:rFonts w:eastAsia="Times New Roman"/>
                <w:b w:val="0"/>
                <w:szCs w:val="22"/>
                <w:lang w:eastAsia="en-GB"/>
              </w:rPr>
              <w:t xml:space="preserve"> </w:t>
            </w:r>
            <w:r w:rsidRPr="00AD4C75">
              <w:rPr>
                <w:rFonts w:eastAsia="Times New Roman"/>
                <w:b w:val="0"/>
                <w:szCs w:val="22"/>
                <w:lang w:eastAsia="en-GB"/>
              </w:rPr>
              <w:t>(ONR Incident category)</w:t>
            </w:r>
          </w:p>
        </w:tc>
        <w:tc>
          <w:tcPr>
            <w:tcW w:w="1022" w:type="pct"/>
            <w:hideMark/>
          </w:tcPr>
          <w:p w14:paraId="3B8972BF" w14:textId="77777777" w:rsidR="00B449AB" w:rsidRPr="00AD4C75" w:rsidRDefault="00B449AB" w:rsidP="00E5319E">
            <w:pPr>
              <w:spacing w:after="60" w:line="252" w:lineRule="auto"/>
              <w:jc w:val="center"/>
              <w:rPr>
                <w:rFonts w:eastAsia="Times New Roman"/>
                <w:b w:val="0"/>
                <w:color w:val="000000"/>
                <w:szCs w:val="22"/>
                <w:lang w:eastAsia="en-GB"/>
              </w:rPr>
            </w:pPr>
            <w:r w:rsidRPr="00AD4C75">
              <w:rPr>
                <w:rFonts w:eastAsia="Times New Roman"/>
                <w:b w:val="0"/>
                <w:color w:val="000000"/>
                <w:szCs w:val="22"/>
                <w:lang w:eastAsia="en-GB"/>
              </w:rPr>
              <w:t>Ministerial Reportable Criteria (MRC)</w:t>
            </w:r>
          </w:p>
        </w:tc>
      </w:tr>
      <w:tr w:rsidR="00B449AB" w:rsidRPr="00AD4C75" w14:paraId="786CFE7D" w14:textId="77777777" w:rsidTr="00B449AB">
        <w:trPr>
          <w:cantSplit/>
          <w:trHeight w:val="198"/>
        </w:trPr>
        <w:tc>
          <w:tcPr>
            <w:tcW w:w="3133" w:type="pct"/>
            <w:hideMark/>
          </w:tcPr>
          <w:p w14:paraId="142BFB67"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Any malicious unauthorised incursion on to the premises or any attempted or suspected such incursion</w:t>
            </w:r>
          </w:p>
        </w:tc>
        <w:tc>
          <w:tcPr>
            <w:tcW w:w="845" w:type="pct"/>
            <w:hideMark/>
          </w:tcPr>
          <w:p w14:paraId="76585E67"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NISR'03</w:t>
            </w:r>
            <w:r w:rsidRPr="00AD4C75">
              <w:rPr>
                <w:rFonts w:eastAsia="Times New Roman"/>
                <w:szCs w:val="22"/>
                <w:lang w:eastAsia="en-GB"/>
              </w:rPr>
              <w:br/>
              <w:t>(SC10a)</w:t>
            </w:r>
          </w:p>
        </w:tc>
        <w:tc>
          <w:tcPr>
            <w:tcW w:w="1022" w:type="pct"/>
            <w:noWrap/>
            <w:hideMark/>
          </w:tcPr>
          <w:p w14:paraId="372A9A44"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MRC-SEC-01</w:t>
            </w:r>
          </w:p>
        </w:tc>
      </w:tr>
      <w:tr w:rsidR="00B449AB" w:rsidRPr="00AD4C75" w14:paraId="2F94A142" w14:textId="77777777" w:rsidTr="00B449AB">
        <w:trPr>
          <w:cantSplit/>
          <w:trHeight w:val="336"/>
        </w:trPr>
        <w:tc>
          <w:tcPr>
            <w:tcW w:w="3133" w:type="pct"/>
            <w:hideMark/>
          </w:tcPr>
          <w:p w14:paraId="2FB5362B"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Any incident occurring on the premises involving an explosive or incendiary device or suspected such device, or a firearm or replica firearm</w:t>
            </w:r>
          </w:p>
        </w:tc>
        <w:tc>
          <w:tcPr>
            <w:tcW w:w="845" w:type="pct"/>
            <w:hideMark/>
          </w:tcPr>
          <w:p w14:paraId="55EBE796"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NISR'03</w:t>
            </w:r>
            <w:r w:rsidRPr="00AD4C75">
              <w:rPr>
                <w:rFonts w:eastAsia="Times New Roman"/>
                <w:szCs w:val="22"/>
                <w:lang w:eastAsia="en-GB"/>
              </w:rPr>
              <w:br/>
              <w:t>(SC10b)</w:t>
            </w:r>
          </w:p>
        </w:tc>
        <w:tc>
          <w:tcPr>
            <w:tcW w:w="1022" w:type="pct"/>
            <w:noWrap/>
            <w:hideMark/>
          </w:tcPr>
          <w:p w14:paraId="562048C5"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MRC-SEC-02</w:t>
            </w:r>
          </w:p>
        </w:tc>
      </w:tr>
      <w:tr w:rsidR="00B449AB" w:rsidRPr="00AD4C75" w14:paraId="5C5AAECA" w14:textId="77777777" w:rsidTr="00B449AB">
        <w:trPr>
          <w:cantSplit/>
          <w:trHeight w:val="757"/>
        </w:trPr>
        <w:tc>
          <w:tcPr>
            <w:tcW w:w="3133" w:type="pct"/>
            <w:hideMark/>
          </w:tcPr>
          <w:p w14:paraId="04E759D0"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Any theft or attempted theft,  loss or suspected loss, or unauthorised movement of: nuclear material used or stored on the premises; nuclear material in transit to or from the premises; and in the case of premises which form part of a nuclear site, any theft or attempted theft, loss or suspected loss, or unauthorised movement of other radioactive material used or stored on them.</w:t>
            </w:r>
          </w:p>
        </w:tc>
        <w:tc>
          <w:tcPr>
            <w:tcW w:w="845" w:type="pct"/>
            <w:hideMark/>
          </w:tcPr>
          <w:p w14:paraId="3A6D36BC"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NISR'03</w:t>
            </w:r>
            <w:r w:rsidRPr="00AD4C75">
              <w:rPr>
                <w:rFonts w:eastAsia="Times New Roman"/>
                <w:szCs w:val="22"/>
                <w:lang w:eastAsia="en-GB"/>
              </w:rPr>
              <w:br/>
              <w:t>(SC10e)</w:t>
            </w:r>
            <w:r w:rsidRPr="00AD4C75">
              <w:rPr>
                <w:rFonts w:eastAsia="Times New Roman"/>
                <w:szCs w:val="22"/>
                <w:lang w:eastAsia="en-GB"/>
              </w:rPr>
              <w:br/>
            </w:r>
            <w:r w:rsidRPr="00AD4C75">
              <w:rPr>
                <w:rFonts w:eastAsia="Times New Roman"/>
                <w:szCs w:val="22"/>
                <w:lang w:eastAsia="en-GB"/>
              </w:rPr>
              <w:br/>
              <w:t>IRR17</w:t>
            </w:r>
            <w:r w:rsidRPr="00AD4C75">
              <w:rPr>
                <w:rFonts w:eastAsia="Times New Roman"/>
                <w:szCs w:val="22"/>
                <w:lang w:eastAsia="en-GB"/>
              </w:rPr>
              <w:br/>
              <w:t>(RS13)</w:t>
            </w:r>
          </w:p>
        </w:tc>
        <w:tc>
          <w:tcPr>
            <w:tcW w:w="1022" w:type="pct"/>
            <w:noWrap/>
            <w:hideMark/>
          </w:tcPr>
          <w:p w14:paraId="0AD9B0A7"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MRC-SEC-03</w:t>
            </w:r>
          </w:p>
        </w:tc>
      </w:tr>
      <w:tr w:rsidR="00B449AB" w:rsidRPr="00AD4C75" w14:paraId="0528D976" w14:textId="77777777" w:rsidTr="00B449AB">
        <w:trPr>
          <w:cantSplit/>
          <w:trHeight w:val="600"/>
        </w:trPr>
        <w:tc>
          <w:tcPr>
            <w:tcW w:w="3133" w:type="pct"/>
            <w:hideMark/>
          </w:tcPr>
          <w:p w14:paraId="284A1A26" w14:textId="77777777"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Any theft, attempted theft, suspected theft, or, any loss or unauthorised disclosure of, sensitive nuclear information classified as SECRET or above.</w:t>
            </w:r>
          </w:p>
        </w:tc>
        <w:tc>
          <w:tcPr>
            <w:tcW w:w="845" w:type="pct"/>
            <w:hideMark/>
          </w:tcPr>
          <w:p w14:paraId="3DD9E2E5"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NISR'03</w:t>
            </w:r>
            <w:r w:rsidRPr="00AD4C75">
              <w:rPr>
                <w:rFonts w:eastAsia="Times New Roman"/>
                <w:szCs w:val="22"/>
                <w:lang w:eastAsia="en-GB"/>
              </w:rPr>
              <w:br/>
              <w:t>(SC10f &amp; 22a)</w:t>
            </w:r>
          </w:p>
        </w:tc>
        <w:tc>
          <w:tcPr>
            <w:tcW w:w="1022" w:type="pct"/>
            <w:vMerge w:val="restart"/>
            <w:noWrap/>
            <w:hideMark/>
          </w:tcPr>
          <w:p w14:paraId="6AE242C8"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MRC-SEC-04</w:t>
            </w:r>
          </w:p>
        </w:tc>
      </w:tr>
      <w:tr w:rsidR="00B449AB" w:rsidRPr="00AD4C75" w14:paraId="44BBC165" w14:textId="77777777" w:rsidTr="00B449AB">
        <w:trPr>
          <w:cantSplit/>
          <w:trHeight w:val="600"/>
        </w:trPr>
        <w:tc>
          <w:tcPr>
            <w:tcW w:w="3133" w:type="pct"/>
            <w:hideMark/>
          </w:tcPr>
          <w:p w14:paraId="152D6EAD" w14:textId="6A19EE20" w:rsidR="00B449AB" w:rsidRPr="00AD4C75" w:rsidRDefault="00B449AB" w:rsidP="00AD4C75">
            <w:pPr>
              <w:spacing w:after="60" w:line="252" w:lineRule="auto"/>
              <w:rPr>
                <w:rFonts w:eastAsia="Times New Roman"/>
                <w:szCs w:val="22"/>
                <w:lang w:eastAsia="en-GB"/>
              </w:rPr>
            </w:pPr>
            <w:r w:rsidRPr="00AD4C75">
              <w:rPr>
                <w:rFonts w:eastAsia="Times New Roman"/>
                <w:szCs w:val="22"/>
                <w:lang w:eastAsia="en-GB"/>
              </w:rPr>
              <w:t>Any unauthorised access, or attempted unauthorised access to sensitive nuclear information classified as SECRET or above.</w:t>
            </w:r>
          </w:p>
        </w:tc>
        <w:tc>
          <w:tcPr>
            <w:tcW w:w="845" w:type="pct"/>
            <w:hideMark/>
          </w:tcPr>
          <w:p w14:paraId="0AFBA52A"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NISR'03</w:t>
            </w:r>
            <w:r w:rsidRPr="00AD4C75">
              <w:rPr>
                <w:rFonts w:eastAsia="Times New Roman"/>
                <w:szCs w:val="22"/>
                <w:lang w:eastAsia="en-GB"/>
              </w:rPr>
              <w:br/>
              <w:t>(SC10g &amp; 22b)</w:t>
            </w:r>
          </w:p>
        </w:tc>
        <w:tc>
          <w:tcPr>
            <w:tcW w:w="1022" w:type="pct"/>
            <w:vMerge/>
            <w:hideMark/>
          </w:tcPr>
          <w:p w14:paraId="72FBE637" w14:textId="77777777" w:rsidR="00B449AB" w:rsidRPr="00AD4C75" w:rsidRDefault="00B449AB" w:rsidP="00AD4C75">
            <w:pPr>
              <w:spacing w:after="60" w:line="252" w:lineRule="auto"/>
              <w:rPr>
                <w:rFonts w:eastAsia="Times New Roman"/>
                <w:color w:val="000000"/>
                <w:szCs w:val="22"/>
                <w:lang w:eastAsia="en-GB"/>
              </w:rPr>
            </w:pPr>
          </w:p>
        </w:tc>
      </w:tr>
      <w:tr w:rsidR="00B449AB" w:rsidRPr="00AD4C75" w14:paraId="49C4894A" w14:textId="77777777" w:rsidTr="00B449AB">
        <w:trPr>
          <w:cantSplit/>
          <w:trHeight w:val="1515"/>
        </w:trPr>
        <w:tc>
          <w:tcPr>
            <w:tcW w:w="3133" w:type="pct"/>
            <w:hideMark/>
          </w:tcPr>
          <w:p w14:paraId="4005A168" w14:textId="77777777" w:rsidR="00B449AB" w:rsidRDefault="00B449AB" w:rsidP="00AD4C75">
            <w:pPr>
              <w:spacing w:after="60" w:line="252" w:lineRule="auto"/>
              <w:rPr>
                <w:rFonts w:eastAsia="Times New Roman"/>
                <w:szCs w:val="22"/>
                <w:lang w:eastAsia="en-GB"/>
              </w:rPr>
            </w:pPr>
            <w:r w:rsidRPr="00AD4C75">
              <w:rPr>
                <w:rFonts w:eastAsia="Times New Roman"/>
                <w:szCs w:val="22"/>
                <w:lang w:eastAsia="en-GB"/>
              </w:rPr>
              <w:t xml:space="preserve">Any confirmed </w:t>
            </w:r>
            <w:proofErr w:type="spellStart"/>
            <w:r w:rsidRPr="00AD4C75">
              <w:rPr>
                <w:rFonts w:eastAsia="Times New Roman"/>
                <w:szCs w:val="22"/>
                <w:lang w:eastAsia="en-GB"/>
              </w:rPr>
              <w:t>cyber attack</w:t>
            </w:r>
            <w:proofErr w:type="spellEnd"/>
            <w:r w:rsidRPr="00AD4C75">
              <w:rPr>
                <w:rFonts w:eastAsia="Times New Roman"/>
                <w:szCs w:val="22"/>
                <w:lang w:eastAsia="en-GB"/>
              </w:rPr>
              <w:t xml:space="preserve"> that resulted in the compromise (loss of confidentiality, integrity or availability) of:</w:t>
            </w:r>
          </w:p>
          <w:p w14:paraId="2D1136E8" w14:textId="77777777" w:rsidR="00B449AB" w:rsidRDefault="00B449AB" w:rsidP="00AD4C75">
            <w:pPr>
              <w:pStyle w:val="ListParagraph"/>
              <w:numPr>
                <w:ilvl w:val="0"/>
                <w:numId w:val="20"/>
              </w:numPr>
              <w:spacing w:before="0" w:after="60"/>
              <w:ind w:left="450"/>
              <w:rPr>
                <w:sz w:val="22"/>
                <w:szCs w:val="22"/>
                <w:lang w:eastAsia="en-GB"/>
              </w:rPr>
            </w:pPr>
            <w:r w:rsidRPr="00AD4C75">
              <w:rPr>
                <w:sz w:val="22"/>
                <w:szCs w:val="22"/>
                <w:lang w:eastAsia="en-GB"/>
              </w:rPr>
              <w:t>Operational Technology categorised as ‘minor’ or above.</w:t>
            </w:r>
          </w:p>
          <w:p w14:paraId="2D7EE065" w14:textId="204909FF" w:rsidR="00B449AB" w:rsidRPr="00AD4C75" w:rsidRDefault="00B449AB" w:rsidP="00AD4C75">
            <w:pPr>
              <w:pStyle w:val="ListParagraph"/>
              <w:numPr>
                <w:ilvl w:val="0"/>
                <w:numId w:val="20"/>
              </w:numPr>
              <w:spacing w:before="0" w:after="60"/>
              <w:ind w:left="450"/>
              <w:rPr>
                <w:sz w:val="22"/>
                <w:szCs w:val="22"/>
                <w:lang w:eastAsia="en-GB"/>
              </w:rPr>
            </w:pPr>
            <w:r w:rsidRPr="00AD4C75">
              <w:rPr>
                <w:sz w:val="22"/>
                <w:szCs w:val="22"/>
                <w:lang w:eastAsia="en-GB"/>
              </w:rPr>
              <w:t>Information Technology and/or associated network(s) handling sensitive nuclear information.</w:t>
            </w:r>
          </w:p>
        </w:tc>
        <w:tc>
          <w:tcPr>
            <w:tcW w:w="845" w:type="pct"/>
            <w:hideMark/>
          </w:tcPr>
          <w:p w14:paraId="77733D5B" w14:textId="77777777" w:rsidR="00B449AB" w:rsidRPr="00AD4C75" w:rsidRDefault="00B449AB" w:rsidP="00AD4C75">
            <w:pPr>
              <w:spacing w:after="60" w:line="252" w:lineRule="auto"/>
              <w:jc w:val="center"/>
              <w:rPr>
                <w:rFonts w:eastAsia="Times New Roman"/>
                <w:szCs w:val="22"/>
                <w:lang w:eastAsia="en-GB"/>
              </w:rPr>
            </w:pPr>
            <w:r w:rsidRPr="00AD4C75">
              <w:rPr>
                <w:rFonts w:eastAsia="Times New Roman"/>
                <w:szCs w:val="22"/>
                <w:lang w:eastAsia="en-GB"/>
              </w:rPr>
              <w:t>NISR'03</w:t>
            </w:r>
            <w:r w:rsidRPr="00AD4C75">
              <w:rPr>
                <w:rFonts w:eastAsia="Times New Roman"/>
                <w:szCs w:val="22"/>
                <w:lang w:eastAsia="en-GB"/>
              </w:rPr>
              <w:br/>
              <w:t>(SC10j)</w:t>
            </w:r>
          </w:p>
        </w:tc>
        <w:tc>
          <w:tcPr>
            <w:tcW w:w="1022" w:type="pct"/>
            <w:noWrap/>
            <w:hideMark/>
          </w:tcPr>
          <w:p w14:paraId="1B05D4E1" w14:textId="77777777" w:rsidR="00B449AB" w:rsidRPr="00AD4C75" w:rsidRDefault="00B449AB" w:rsidP="00AD4C75">
            <w:pPr>
              <w:spacing w:after="60" w:line="252" w:lineRule="auto"/>
              <w:jc w:val="center"/>
              <w:rPr>
                <w:rFonts w:eastAsia="Times New Roman"/>
                <w:color w:val="000000"/>
                <w:szCs w:val="22"/>
                <w:lang w:eastAsia="en-GB"/>
              </w:rPr>
            </w:pPr>
            <w:r w:rsidRPr="00AD4C75">
              <w:rPr>
                <w:rFonts w:eastAsia="Times New Roman"/>
                <w:color w:val="000000"/>
                <w:szCs w:val="22"/>
                <w:lang w:eastAsia="en-GB"/>
              </w:rPr>
              <w:t>MRC-SEC-05</w:t>
            </w:r>
          </w:p>
        </w:tc>
      </w:tr>
    </w:tbl>
    <w:p w14:paraId="4CE3F7A6" w14:textId="77777777" w:rsidR="005331F7" w:rsidRPr="007342A4" w:rsidRDefault="005331F7" w:rsidP="1D807A8C">
      <w:pPr>
        <w:rPr>
          <w:rFonts w:cs="Arial"/>
          <w:sz w:val="24"/>
          <w:lang w:val="en-US"/>
        </w:rPr>
      </w:pPr>
    </w:p>
    <w:p w14:paraId="6202A0F5" w14:textId="5DCCDC33" w:rsidR="1D807A8C" w:rsidRDefault="1D807A8C" w:rsidP="1D807A8C">
      <w:pPr>
        <w:rPr>
          <w:rFonts w:cs="Arial"/>
          <w:sz w:val="24"/>
          <w:lang w:val="en-US"/>
        </w:rPr>
      </w:pPr>
    </w:p>
    <w:p w14:paraId="3E380DD2" w14:textId="184B324E" w:rsidR="1D807A8C" w:rsidRDefault="1D807A8C" w:rsidP="1D807A8C">
      <w:pPr>
        <w:rPr>
          <w:rFonts w:cs="Arial"/>
          <w:sz w:val="24"/>
          <w:lang w:val="en-US"/>
        </w:rPr>
      </w:pPr>
    </w:p>
    <w:p w14:paraId="22C0BD9D" w14:textId="18F4789C" w:rsidR="1D807A8C" w:rsidRDefault="1D807A8C" w:rsidP="1D807A8C">
      <w:pPr>
        <w:rPr>
          <w:rFonts w:cs="Arial"/>
          <w:sz w:val="24"/>
          <w:lang w:val="en-US"/>
        </w:rPr>
      </w:pPr>
    </w:p>
    <w:p w14:paraId="54202C02" w14:textId="15E1D532" w:rsidR="1D807A8C" w:rsidRDefault="1D807A8C" w:rsidP="1D807A8C">
      <w:pPr>
        <w:rPr>
          <w:rFonts w:cs="Arial"/>
          <w:sz w:val="24"/>
          <w:lang w:val="en-US"/>
        </w:rPr>
      </w:pPr>
    </w:p>
    <w:p w14:paraId="585B219C" w14:textId="46F26A2C" w:rsidR="1D807A8C" w:rsidRDefault="1D807A8C" w:rsidP="1D807A8C">
      <w:pPr>
        <w:rPr>
          <w:rFonts w:cs="Arial"/>
          <w:sz w:val="24"/>
          <w:lang w:val="en-US"/>
        </w:rPr>
      </w:pPr>
    </w:p>
    <w:p w14:paraId="2F198ADB" w14:textId="3BC02800" w:rsidR="1D807A8C" w:rsidRDefault="1D807A8C" w:rsidP="1D807A8C">
      <w:pPr>
        <w:rPr>
          <w:rFonts w:cs="Arial"/>
          <w:sz w:val="24"/>
          <w:lang w:val="en-US"/>
        </w:rPr>
      </w:pPr>
    </w:p>
    <w:p w14:paraId="1ACF892B" w14:textId="26A84BCF" w:rsidR="1D807A8C" w:rsidRDefault="1D807A8C" w:rsidP="1D807A8C">
      <w:pPr>
        <w:rPr>
          <w:rFonts w:cs="Arial"/>
          <w:sz w:val="24"/>
          <w:lang w:val="en-US"/>
        </w:rPr>
      </w:pPr>
    </w:p>
    <w:p w14:paraId="065D979A" w14:textId="00B4A42A" w:rsidR="1D807A8C" w:rsidRDefault="1D807A8C" w:rsidP="1D807A8C">
      <w:pPr>
        <w:rPr>
          <w:rFonts w:cs="Arial"/>
          <w:sz w:val="24"/>
          <w:lang w:val="en-US"/>
        </w:rPr>
      </w:pPr>
    </w:p>
    <w:p w14:paraId="5D808C81" w14:textId="5975BA04" w:rsidR="1D807A8C" w:rsidRDefault="1D807A8C" w:rsidP="1D807A8C">
      <w:pPr>
        <w:rPr>
          <w:rFonts w:cs="Arial"/>
          <w:sz w:val="24"/>
          <w:lang w:val="en-US"/>
        </w:rPr>
      </w:pPr>
    </w:p>
    <w:p w14:paraId="4EF3001D" w14:textId="733CB9FE" w:rsidR="005331F7" w:rsidRPr="007342A4" w:rsidRDefault="005331F7" w:rsidP="00B449AB">
      <w:pPr>
        <w:rPr>
          <w:rFonts w:cs="Arial"/>
          <w:sz w:val="24"/>
          <w:lang w:val="en-US"/>
        </w:rPr>
      </w:pPr>
    </w:p>
    <w:sectPr w:rsidR="005331F7" w:rsidRPr="007342A4" w:rsidSect="00FF381D">
      <w:pgSz w:w="11907" w:h="16839" w:code="9"/>
      <w:pgMar w:top="1440" w:right="1440" w:bottom="1440" w:left="1440" w:header="397" w:footer="39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QAAAL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75B5E" w14:textId="77777777" w:rsidR="00102377" w:rsidRDefault="00102377">
      <w:r>
        <w:separator/>
      </w:r>
    </w:p>
  </w:endnote>
  <w:endnote w:type="continuationSeparator" w:id="0">
    <w:p w14:paraId="1F5924E0" w14:textId="77777777" w:rsidR="00102377" w:rsidRDefault="00102377">
      <w:r>
        <w:continuationSeparator/>
      </w:r>
    </w:p>
  </w:endnote>
  <w:endnote w:type="continuationNotice" w:id="1">
    <w:p w14:paraId="22746B8F" w14:textId="77777777" w:rsidR="00102377" w:rsidRDefault="00102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A886" w14:textId="4916EE05" w:rsidR="00FD5EDF" w:rsidRPr="00B371F1" w:rsidRDefault="00B371F1" w:rsidP="006F300F">
    <w:pPr>
      <w:pStyle w:val="Footer"/>
      <w:tabs>
        <w:tab w:val="clear" w:pos="4153"/>
        <w:tab w:val="clear" w:pos="8306"/>
      </w:tabs>
      <w:jc w:val="right"/>
      <w:rPr>
        <w:sz w:val="24"/>
        <w:szCs w:val="32"/>
      </w:rPr>
    </w:pPr>
    <w:r w:rsidRPr="00B371F1">
      <w:rPr>
        <w:sz w:val="24"/>
        <w:szCs w:val="32"/>
      </w:rPr>
      <w:t xml:space="preserve">Page </w:t>
    </w:r>
    <w:r w:rsidRPr="00B371F1">
      <w:rPr>
        <w:b/>
        <w:bCs/>
        <w:sz w:val="24"/>
        <w:szCs w:val="32"/>
      </w:rPr>
      <w:fldChar w:fldCharType="begin"/>
    </w:r>
    <w:r w:rsidRPr="00B371F1">
      <w:rPr>
        <w:b/>
        <w:bCs/>
        <w:sz w:val="24"/>
        <w:szCs w:val="32"/>
      </w:rPr>
      <w:instrText>PAGE  \* Arabic  \* MERGEFORMAT</w:instrText>
    </w:r>
    <w:r w:rsidRPr="00B371F1">
      <w:rPr>
        <w:b/>
        <w:bCs/>
        <w:sz w:val="24"/>
        <w:szCs w:val="32"/>
      </w:rPr>
      <w:fldChar w:fldCharType="separate"/>
    </w:r>
    <w:r w:rsidRPr="00B371F1">
      <w:rPr>
        <w:b/>
        <w:bCs/>
        <w:sz w:val="24"/>
        <w:szCs w:val="32"/>
      </w:rPr>
      <w:t>1</w:t>
    </w:r>
    <w:r w:rsidRPr="00B371F1">
      <w:rPr>
        <w:b/>
        <w:bCs/>
        <w:sz w:val="24"/>
        <w:szCs w:val="32"/>
      </w:rPr>
      <w:fldChar w:fldCharType="end"/>
    </w:r>
    <w:r w:rsidRPr="00B371F1">
      <w:rPr>
        <w:sz w:val="24"/>
        <w:szCs w:val="32"/>
      </w:rPr>
      <w:t xml:space="preserve"> of </w:t>
    </w:r>
    <w:r w:rsidRPr="00B371F1">
      <w:rPr>
        <w:b/>
        <w:bCs/>
        <w:sz w:val="24"/>
        <w:szCs w:val="32"/>
      </w:rPr>
      <w:fldChar w:fldCharType="begin"/>
    </w:r>
    <w:r w:rsidRPr="00B371F1">
      <w:rPr>
        <w:b/>
        <w:bCs/>
        <w:sz w:val="24"/>
        <w:szCs w:val="32"/>
      </w:rPr>
      <w:instrText>NUMPAGES  \* Arabic  \* MERGEFORMAT</w:instrText>
    </w:r>
    <w:r w:rsidRPr="00B371F1">
      <w:rPr>
        <w:b/>
        <w:bCs/>
        <w:sz w:val="24"/>
        <w:szCs w:val="32"/>
      </w:rPr>
      <w:fldChar w:fldCharType="separate"/>
    </w:r>
    <w:r w:rsidRPr="00B371F1">
      <w:rPr>
        <w:b/>
        <w:bCs/>
        <w:sz w:val="24"/>
        <w:szCs w:val="32"/>
      </w:rPr>
      <w:t>2</w:t>
    </w:r>
    <w:r w:rsidRPr="00B371F1">
      <w:rPr>
        <w:b/>
        <w:bCs/>
        <w:sz w:val="24"/>
        <w:szCs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80088" w14:textId="6D97CAD4" w:rsidR="00EE530C" w:rsidRPr="00EE530C" w:rsidRDefault="00B371F1" w:rsidP="005D6D3D">
    <w:pPr>
      <w:pStyle w:val="Footer"/>
      <w:tabs>
        <w:tab w:val="clear" w:pos="4153"/>
        <w:tab w:val="clear" w:pos="8306"/>
      </w:tabs>
      <w:rPr>
        <w:color w:val="006D68"/>
      </w:rPr>
    </w:pPr>
    <w:r w:rsidRPr="005F5663">
      <w:rPr>
        <w:rFonts w:cs="Arial"/>
        <w:sz w:val="24"/>
      </w:rPr>
      <w:t>ONR-TD-REG-</w:t>
    </w:r>
    <w:r w:rsidR="005F5663" w:rsidRPr="005F5663">
      <w:rPr>
        <w:rFonts w:cs="Arial"/>
        <w:sz w:val="24"/>
      </w:rPr>
      <w:t>24-036</w:t>
    </w:r>
    <w:r w:rsidR="00EE530C" w:rsidRPr="0025586D">
      <w:rPr>
        <w:color w:val="22413A"/>
        <w:sz w:val="24"/>
      </w:rPr>
      <w:tab/>
    </w:r>
    <w:r w:rsidR="005D6D3D">
      <w:rPr>
        <w:color w:val="22413A"/>
        <w:sz w:val="24"/>
      </w:rPr>
      <w:tab/>
    </w:r>
    <w:r w:rsidR="005D6D3D">
      <w:rPr>
        <w:color w:val="22413A"/>
        <w:sz w:val="24"/>
      </w:rPr>
      <w:tab/>
    </w:r>
    <w:r w:rsidR="005D6D3D">
      <w:rPr>
        <w:color w:val="22413A"/>
        <w:sz w:val="24"/>
      </w:rPr>
      <w:tab/>
    </w:r>
    <w:r w:rsidR="005D6D3D">
      <w:rPr>
        <w:color w:val="22413A"/>
        <w:sz w:val="24"/>
      </w:rPr>
      <w:tab/>
    </w:r>
    <w:r w:rsidR="005D6D3D">
      <w:rPr>
        <w:color w:val="22413A"/>
        <w:sz w:val="24"/>
      </w:rPr>
      <w:tab/>
    </w:r>
    <w:r>
      <w:rPr>
        <w:color w:val="22413A"/>
        <w:sz w:val="24"/>
      </w:rPr>
      <w:tab/>
    </w:r>
    <w:r w:rsidRPr="00B371F1">
      <w:rPr>
        <w:sz w:val="24"/>
      </w:rPr>
      <w:t xml:space="preserve">Page </w:t>
    </w:r>
    <w:r w:rsidRPr="00B371F1">
      <w:rPr>
        <w:b/>
        <w:bCs/>
        <w:sz w:val="24"/>
      </w:rPr>
      <w:fldChar w:fldCharType="begin"/>
    </w:r>
    <w:r w:rsidRPr="00B371F1">
      <w:rPr>
        <w:b/>
        <w:bCs/>
        <w:sz w:val="24"/>
      </w:rPr>
      <w:instrText>PAGE  \* Arabic  \* MERGEFORMAT</w:instrText>
    </w:r>
    <w:r w:rsidRPr="00B371F1">
      <w:rPr>
        <w:b/>
        <w:bCs/>
        <w:sz w:val="24"/>
      </w:rPr>
      <w:fldChar w:fldCharType="separate"/>
    </w:r>
    <w:r w:rsidRPr="00B371F1">
      <w:rPr>
        <w:b/>
        <w:bCs/>
        <w:sz w:val="24"/>
      </w:rPr>
      <w:t>1</w:t>
    </w:r>
    <w:r w:rsidRPr="00B371F1">
      <w:rPr>
        <w:b/>
        <w:bCs/>
        <w:sz w:val="24"/>
      </w:rPr>
      <w:fldChar w:fldCharType="end"/>
    </w:r>
    <w:r w:rsidRPr="00B371F1">
      <w:rPr>
        <w:sz w:val="24"/>
      </w:rPr>
      <w:t xml:space="preserve"> of </w:t>
    </w:r>
    <w:r w:rsidRPr="00B371F1">
      <w:rPr>
        <w:b/>
        <w:bCs/>
        <w:sz w:val="24"/>
      </w:rPr>
      <w:fldChar w:fldCharType="begin"/>
    </w:r>
    <w:r w:rsidRPr="00B371F1">
      <w:rPr>
        <w:b/>
        <w:bCs/>
        <w:sz w:val="24"/>
      </w:rPr>
      <w:instrText>NUMPAGES  \* Arabic  \* MERGEFORMAT</w:instrText>
    </w:r>
    <w:r w:rsidRPr="00B371F1">
      <w:rPr>
        <w:b/>
        <w:bCs/>
        <w:sz w:val="24"/>
      </w:rPr>
      <w:fldChar w:fldCharType="separate"/>
    </w:r>
    <w:r w:rsidRPr="00B371F1">
      <w:rPr>
        <w:b/>
        <w:bCs/>
        <w:sz w:val="24"/>
      </w:rPr>
      <w:t>2</w:t>
    </w:r>
    <w:r w:rsidRPr="00B371F1">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99BE6" w14:textId="77777777" w:rsidR="00102377" w:rsidRDefault="00102377">
      <w:r>
        <w:separator/>
      </w:r>
    </w:p>
  </w:footnote>
  <w:footnote w:type="continuationSeparator" w:id="0">
    <w:p w14:paraId="7F06291C" w14:textId="77777777" w:rsidR="00102377" w:rsidRDefault="00102377">
      <w:r>
        <w:continuationSeparator/>
      </w:r>
    </w:p>
  </w:footnote>
  <w:footnote w:type="continuationNotice" w:id="1">
    <w:p w14:paraId="5AD38736" w14:textId="77777777" w:rsidR="00102377" w:rsidRDefault="00102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18FCA" w14:textId="20526690" w:rsidR="007211C4" w:rsidRPr="00DF340F" w:rsidRDefault="004714F6" w:rsidP="002D0DBA">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20" w:line="252" w:lineRule="auto"/>
      <w:jc w:val="right"/>
      <w:rPr>
        <w:rFonts w:asciiTheme="minorBidi" w:hAnsiTheme="minorBidi" w:cstheme="minorBidi"/>
        <w:sz w:val="22"/>
        <w:szCs w:val="22"/>
        <w:lang w:val="en-GB"/>
      </w:rPr>
    </w:pPr>
    <w:r>
      <w:rPr>
        <w:rFonts w:asciiTheme="minorBidi" w:hAnsiTheme="minorBidi" w:cstheme="minorBidi"/>
        <w:sz w:val="22"/>
        <w:szCs w:val="22"/>
        <w:lang w:val="en-GB"/>
      </w:rPr>
      <w:t>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B361" w14:textId="77777777" w:rsidR="005954D8" w:rsidRDefault="005954D8" w:rsidP="00AB65EF">
    <w:pPr>
      <w:pStyle w:val="Header"/>
      <w:jc w:val="right"/>
      <w:rPr>
        <w:rFonts w:cs="Arial"/>
        <w:bCs/>
        <w:iCs/>
        <w:kern w:val="36"/>
        <w:szCs w:val="20"/>
      </w:rPr>
    </w:pPr>
  </w:p>
  <w:p w14:paraId="2D553836" w14:textId="4595BFCB" w:rsidR="00EF20FB" w:rsidRDefault="006A0D27" w:rsidP="00AB65EF">
    <w:pPr>
      <w:pStyle w:val="Header"/>
      <w:jc w:val="right"/>
      <w:rPr>
        <w:rFonts w:cs="Arial"/>
        <w:bCs/>
        <w:iCs/>
        <w:kern w:val="36"/>
        <w:szCs w:val="20"/>
      </w:rPr>
    </w:pPr>
    <w:r>
      <w:rPr>
        <w:noProof/>
        <w:lang w:eastAsia="en-GB"/>
      </w:rPr>
      <w:drawing>
        <wp:anchor distT="0" distB="0" distL="114300" distR="114300" simplePos="0" relativeHeight="251658240" behindDoc="0" locked="0" layoutInCell="1" allowOverlap="1" wp14:anchorId="2D9AB5DC" wp14:editId="3022E41B">
          <wp:simplePos x="0" y="0"/>
          <wp:positionH relativeFrom="page">
            <wp:posOffset>665480</wp:posOffset>
          </wp:positionH>
          <wp:positionV relativeFrom="page">
            <wp:posOffset>340360</wp:posOffset>
          </wp:positionV>
          <wp:extent cx="2895600" cy="638175"/>
          <wp:effectExtent l="0" t="0" r="0" b="9525"/>
          <wp:wrapNone/>
          <wp:docPr id="1657636298" name="Picture 1657636298"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04" t="22215" r="7504" b="22215"/>
                  <a:stretch>
                    <a:fillRect/>
                  </a:stretch>
                </pic:blipFill>
                <pic:spPr bwMode="auto">
                  <a:xfrm>
                    <a:off x="0" y="0"/>
                    <a:ext cx="2895600" cy="638175"/>
                  </a:xfrm>
                  <a:prstGeom prst="rect">
                    <a:avLst/>
                  </a:prstGeom>
                  <a:noFill/>
                </pic:spPr>
              </pic:pic>
            </a:graphicData>
          </a:graphic>
          <wp14:sizeRelH relativeFrom="page">
            <wp14:pctWidth>0</wp14:pctWidth>
          </wp14:sizeRelH>
          <wp14:sizeRelV relativeFrom="page">
            <wp14:pctHeight>0</wp14:pctHeight>
          </wp14:sizeRelV>
        </wp:anchor>
      </w:drawing>
    </w:r>
    <w:r w:rsidR="00AB65EF" w:rsidRPr="0025586D">
      <w:rPr>
        <w:rFonts w:cs="Arial"/>
        <w:bCs/>
        <w:iCs/>
        <w:kern w:val="36"/>
        <w:szCs w:val="20"/>
      </w:rPr>
      <w:t>© Office for Nuclear Regulation</w:t>
    </w:r>
    <w:r w:rsidR="00AB65EF" w:rsidRPr="0025586D">
      <w:rPr>
        <w:rFonts w:cs="Arial"/>
        <w:bCs/>
        <w:iCs/>
        <w:kern w:val="36"/>
        <w:szCs w:val="20"/>
      </w:rPr>
      <w:br/>
    </w:r>
    <w:r w:rsidR="00AB65EF">
      <w:rPr>
        <w:rFonts w:cs="Arial"/>
        <w:b/>
        <w:iCs/>
        <w:kern w:val="36"/>
        <w:szCs w:val="20"/>
      </w:rPr>
      <w:t>Uncontrolled when printed</w:t>
    </w:r>
    <w:r w:rsidR="00AB65EF" w:rsidRPr="0025586D">
      <w:rPr>
        <w:rFonts w:cs="Arial"/>
        <w:bCs/>
        <w:iCs/>
        <w:kern w:val="36"/>
        <w:szCs w:val="20"/>
      </w:rPr>
      <w:br/>
      <w:t>If you wish to reuse this information visit</w:t>
    </w:r>
  </w:p>
  <w:p w14:paraId="15064BE8" w14:textId="2F56631B" w:rsidR="001D6FE4" w:rsidRDefault="00AB65EF" w:rsidP="00AB65EF">
    <w:pPr>
      <w:pStyle w:val="Header"/>
      <w:jc w:val="right"/>
    </w:pPr>
    <w:hyperlink r:id="rId2" w:tooltip="http://www.onr.org.uk/copyright" w:history="1">
      <w:r w:rsidRPr="0025586D">
        <w:rPr>
          <w:rStyle w:val="Hyperlink"/>
          <w:rFonts w:cs="Arial"/>
          <w:bCs/>
          <w:iCs/>
          <w:kern w:val="36"/>
          <w:szCs w:val="20"/>
        </w:rPr>
        <w:t>www.onr.org.uk/copyright</w:t>
      </w:r>
    </w:hyperlink>
    <w:r w:rsidRPr="0025586D">
      <w:rPr>
        <w:rFonts w:cs="Arial"/>
        <w:bCs/>
        <w:iCs/>
        <w:kern w:val="36"/>
        <w:szCs w:val="20"/>
      </w:rPr>
      <w:t> for details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54A5"/>
    <w:multiLevelType w:val="hybridMultilevel"/>
    <w:tmpl w:val="ECCA9B40"/>
    <w:lvl w:ilvl="0" w:tplc="DD7C743A">
      <w:start w:val="1"/>
      <w:numFmt w:val="lowerLetter"/>
      <w:pStyle w:val="Numbera"/>
      <w:lvlText w:val="%1)"/>
      <w:lvlJc w:val="left"/>
      <w:pPr>
        <w:tabs>
          <w:tab w:val="num" w:pos="1152"/>
        </w:tabs>
        <w:ind w:left="1152" w:hanging="432"/>
      </w:pPr>
      <w:rPr>
        <w:rFonts w:ascii="Arial" w:hAnsi="Arial" w:hint="default"/>
        <w:sz w:val="24"/>
      </w:rPr>
    </w:lvl>
    <w:lvl w:ilvl="1" w:tplc="559489D2" w:tentative="1">
      <w:start w:val="1"/>
      <w:numFmt w:val="lowerLetter"/>
      <w:lvlText w:val="%2."/>
      <w:lvlJc w:val="left"/>
      <w:pPr>
        <w:tabs>
          <w:tab w:val="num" w:pos="1152"/>
        </w:tabs>
        <w:ind w:left="1152" w:hanging="360"/>
      </w:pPr>
    </w:lvl>
    <w:lvl w:ilvl="2" w:tplc="E144676C" w:tentative="1">
      <w:start w:val="1"/>
      <w:numFmt w:val="lowerRoman"/>
      <w:lvlText w:val="%3."/>
      <w:lvlJc w:val="right"/>
      <w:pPr>
        <w:tabs>
          <w:tab w:val="num" w:pos="1872"/>
        </w:tabs>
        <w:ind w:left="1872" w:hanging="180"/>
      </w:pPr>
    </w:lvl>
    <w:lvl w:ilvl="3" w:tplc="2BE8A7E2" w:tentative="1">
      <w:start w:val="1"/>
      <w:numFmt w:val="decimal"/>
      <w:lvlText w:val="%4."/>
      <w:lvlJc w:val="left"/>
      <w:pPr>
        <w:tabs>
          <w:tab w:val="num" w:pos="2592"/>
        </w:tabs>
        <w:ind w:left="2592" w:hanging="360"/>
      </w:pPr>
    </w:lvl>
    <w:lvl w:ilvl="4" w:tplc="03E8242E" w:tentative="1">
      <w:start w:val="1"/>
      <w:numFmt w:val="lowerLetter"/>
      <w:lvlText w:val="%5."/>
      <w:lvlJc w:val="left"/>
      <w:pPr>
        <w:tabs>
          <w:tab w:val="num" w:pos="3312"/>
        </w:tabs>
        <w:ind w:left="3312" w:hanging="360"/>
      </w:pPr>
    </w:lvl>
    <w:lvl w:ilvl="5" w:tplc="58042C86" w:tentative="1">
      <w:start w:val="1"/>
      <w:numFmt w:val="lowerRoman"/>
      <w:lvlText w:val="%6."/>
      <w:lvlJc w:val="right"/>
      <w:pPr>
        <w:tabs>
          <w:tab w:val="num" w:pos="4032"/>
        </w:tabs>
        <w:ind w:left="4032" w:hanging="180"/>
      </w:pPr>
    </w:lvl>
    <w:lvl w:ilvl="6" w:tplc="95F42686" w:tentative="1">
      <w:start w:val="1"/>
      <w:numFmt w:val="decimal"/>
      <w:lvlText w:val="%7."/>
      <w:lvlJc w:val="left"/>
      <w:pPr>
        <w:tabs>
          <w:tab w:val="num" w:pos="4752"/>
        </w:tabs>
        <w:ind w:left="4752" w:hanging="360"/>
      </w:pPr>
    </w:lvl>
    <w:lvl w:ilvl="7" w:tplc="32CAC66C" w:tentative="1">
      <w:start w:val="1"/>
      <w:numFmt w:val="lowerLetter"/>
      <w:lvlText w:val="%8."/>
      <w:lvlJc w:val="left"/>
      <w:pPr>
        <w:tabs>
          <w:tab w:val="num" w:pos="5472"/>
        </w:tabs>
        <w:ind w:left="5472" w:hanging="360"/>
      </w:pPr>
    </w:lvl>
    <w:lvl w:ilvl="8" w:tplc="AC34CEE0" w:tentative="1">
      <w:start w:val="1"/>
      <w:numFmt w:val="lowerRoman"/>
      <w:lvlText w:val="%9."/>
      <w:lvlJc w:val="right"/>
      <w:pPr>
        <w:tabs>
          <w:tab w:val="num" w:pos="6192"/>
        </w:tabs>
        <w:ind w:left="6192" w:hanging="180"/>
      </w:pPr>
    </w:lvl>
  </w:abstractNum>
  <w:abstractNum w:abstractNumId="1" w15:restartNumberingAfterBreak="0">
    <w:nsid w:val="050C49EC"/>
    <w:multiLevelType w:val="multilevel"/>
    <w:tmpl w:val="0D168726"/>
    <w:lvl w:ilvl="0">
      <w:start w:val="1"/>
      <w:numFmt w:val="decimal"/>
      <w:lvlText w:val="%1."/>
      <w:lvlJc w:val="left"/>
      <w:pPr>
        <w:ind w:left="1080" w:hanging="360"/>
      </w:pPr>
    </w:lvl>
    <w:lvl w:ilvl="1">
      <w:start w:val="1"/>
      <w:numFmt w:val="decimal"/>
      <w:lvlText w:val="%1.%2."/>
      <w:lvlJc w:val="left"/>
      <w:pPr>
        <w:ind w:left="1512" w:hanging="432"/>
      </w:pPr>
      <w:rPr>
        <w:sz w:val="36"/>
        <w:szCs w:val="36"/>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86A013E"/>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16250"/>
    <w:multiLevelType w:val="hybridMultilevel"/>
    <w:tmpl w:val="83222F56"/>
    <w:lvl w:ilvl="0" w:tplc="69008246">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F22F6"/>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D0730"/>
    <w:multiLevelType w:val="multilevel"/>
    <w:tmpl w:val="03CAB566"/>
    <w:lvl w:ilvl="0">
      <w:start w:val="1"/>
      <w:numFmt w:val="bullet"/>
      <w:pStyle w:val="Bullet1"/>
      <w:lvlText w:val=""/>
      <w:lvlJc w:val="left"/>
      <w:pPr>
        <w:tabs>
          <w:tab w:val="num" w:pos="-31680"/>
        </w:tabs>
        <w:ind w:left="720" w:hanging="720"/>
      </w:pPr>
      <w:rPr>
        <w:rFonts w:ascii="Symbol" w:hAnsi="Symbol" w:hint="default"/>
        <w:b w:val="0"/>
        <w:i w:val="0"/>
        <w:sz w:val="24"/>
      </w:rPr>
    </w:lvl>
    <w:lvl w:ilvl="1">
      <w:start w:val="1"/>
      <w:numFmt w:val="bullet"/>
      <w:lvlText w:val="○"/>
      <w:lvlJc w:val="left"/>
      <w:pPr>
        <w:tabs>
          <w:tab w:val="num" w:pos="-31680"/>
        </w:tabs>
        <w:ind w:left="1440" w:hanging="720"/>
      </w:pPr>
      <w:rPr>
        <w:rFonts w:ascii="Arial" w:hAnsi="Arial"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lowerLetter"/>
      <w:lvlRestart w:val="0"/>
      <w:lvlText w:val="%5)"/>
      <w:lvlJc w:val="left"/>
      <w:pPr>
        <w:tabs>
          <w:tab w:val="num" w:pos="1800"/>
        </w:tabs>
        <w:ind w:left="1800" w:hanging="720"/>
      </w:pPr>
      <w:rPr>
        <w:rFonts w:hint="default"/>
      </w:rPr>
    </w:lvl>
    <w:lvl w:ilvl="5">
      <w:start w:val="1"/>
      <w:numFmt w:val="lowerRoman"/>
      <w:lvlText w:val="%6)"/>
      <w:lvlJc w:val="left"/>
      <w:pPr>
        <w:tabs>
          <w:tab w:val="num" w:pos="2401"/>
        </w:tabs>
        <w:ind w:left="2401" w:hanging="601"/>
      </w:pPr>
      <w:rPr>
        <w:rFonts w:hint="default"/>
      </w:rPr>
    </w:lvl>
    <w:lvl w:ilvl="6">
      <w:start w:val="1"/>
      <w:numFmt w:val="bullet"/>
      <w:lvlText w:val=""/>
      <w:lvlJc w:val="left"/>
      <w:pPr>
        <w:tabs>
          <w:tab w:val="num" w:pos="360"/>
        </w:tabs>
        <w:ind w:left="1080" w:hanging="720"/>
      </w:pPr>
      <w:rPr>
        <w:rFonts w:ascii="Symbol" w:hAnsi="Symbol" w:hint="default"/>
        <w:sz w:val="24"/>
      </w:rPr>
    </w:lvl>
    <w:lvl w:ilvl="7">
      <w:start w:val="1"/>
      <w:numFmt w:val="bullet"/>
      <w:lvlText w:val=""/>
      <w:lvlJc w:val="left"/>
      <w:pPr>
        <w:tabs>
          <w:tab w:val="num" w:pos="1800"/>
        </w:tabs>
        <w:ind w:left="1800" w:hanging="720"/>
      </w:pPr>
      <w:rPr>
        <w:rFonts w:ascii="Symbol" w:hAnsi="Symbol" w:hint="default"/>
        <w:sz w:val="28"/>
      </w:rPr>
    </w:lvl>
    <w:lvl w:ilvl="8">
      <w:start w:val="1"/>
      <w:numFmt w:val="bullet"/>
      <w:lvlText w:val=""/>
      <w:lvlJc w:val="left"/>
      <w:pPr>
        <w:tabs>
          <w:tab w:val="num" w:pos="2401"/>
        </w:tabs>
        <w:ind w:left="2401" w:hanging="601"/>
      </w:pPr>
      <w:rPr>
        <w:rFonts w:ascii="Symbol" w:hAnsi="Symbol" w:hint="default"/>
        <w:sz w:val="28"/>
      </w:rPr>
    </w:lvl>
  </w:abstractNum>
  <w:abstractNum w:abstractNumId="6" w15:restartNumberingAfterBreak="0">
    <w:nsid w:val="354E3C23"/>
    <w:multiLevelType w:val="hybridMultilevel"/>
    <w:tmpl w:val="FD3217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F02CC"/>
    <w:multiLevelType w:val="hybridMultilevel"/>
    <w:tmpl w:val="F9468378"/>
    <w:lvl w:ilvl="0" w:tplc="F7DC465C">
      <w:start w:val="1"/>
      <w:numFmt w:val="bullet"/>
      <w:pStyle w:val="ONRSquareBullet1"/>
      <w:lvlText w:val=""/>
      <w:lvlJc w:val="left"/>
      <w:pPr>
        <w:tabs>
          <w:tab w:val="num" w:pos="567"/>
        </w:tabs>
        <w:ind w:left="567"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589"/>
        </w:tabs>
        <w:ind w:left="589" w:hanging="360"/>
      </w:pPr>
      <w:rPr>
        <w:rFonts w:ascii="Courier New" w:hAnsi="Courier New" w:cs="Courier New" w:hint="default"/>
      </w:rPr>
    </w:lvl>
    <w:lvl w:ilvl="2" w:tplc="08090005">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8" w15:restartNumberingAfterBreak="0">
    <w:nsid w:val="37AE5F86"/>
    <w:multiLevelType w:val="hybridMultilevel"/>
    <w:tmpl w:val="BE869862"/>
    <w:lvl w:ilvl="0" w:tplc="0CA46EF4">
      <w:start w:val="1"/>
      <w:numFmt w:val="lowerRoman"/>
      <w:pStyle w:val="Numberi"/>
      <w:lvlText w:val="%1)"/>
      <w:lvlJc w:val="right"/>
      <w:pPr>
        <w:tabs>
          <w:tab w:val="num" w:pos="1656"/>
        </w:tabs>
        <w:ind w:left="1656" w:hanging="360"/>
      </w:pPr>
      <w:rPr>
        <w:rFonts w:ascii="Arial" w:hAnsi="Arial" w:hint="default"/>
        <w:b w:val="0"/>
        <w:i w:val="0"/>
        <w:sz w:val="24"/>
      </w:rPr>
    </w:lvl>
    <w:lvl w:ilvl="1" w:tplc="284EAE58" w:tentative="1">
      <w:start w:val="1"/>
      <w:numFmt w:val="lowerLetter"/>
      <w:lvlText w:val="%2."/>
      <w:lvlJc w:val="left"/>
      <w:pPr>
        <w:tabs>
          <w:tab w:val="num" w:pos="1440"/>
        </w:tabs>
        <w:ind w:left="1440" w:hanging="360"/>
      </w:pPr>
    </w:lvl>
    <w:lvl w:ilvl="2" w:tplc="EC5C3B40" w:tentative="1">
      <w:start w:val="1"/>
      <w:numFmt w:val="lowerRoman"/>
      <w:lvlText w:val="%3."/>
      <w:lvlJc w:val="right"/>
      <w:pPr>
        <w:tabs>
          <w:tab w:val="num" w:pos="2160"/>
        </w:tabs>
        <w:ind w:left="2160" w:hanging="180"/>
      </w:pPr>
    </w:lvl>
    <w:lvl w:ilvl="3" w:tplc="7A8A8FBC" w:tentative="1">
      <w:start w:val="1"/>
      <w:numFmt w:val="decimal"/>
      <w:lvlText w:val="%4."/>
      <w:lvlJc w:val="left"/>
      <w:pPr>
        <w:tabs>
          <w:tab w:val="num" w:pos="2880"/>
        </w:tabs>
        <w:ind w:left="2880" w:hanging="360"/>
      </w:pPr>
    </w:lvl>
    <w:lvl w:ilvl="4" w:tplc="C2D88370" w:tentative="1">
      <w:start w:val="1"/>
      <w:numFmt w:val="lowerLetter"/>
      <w:lvlText w:val="%5."/>
      <w:lvlJc w:val="left"/>
      <w:pPr>
        <w:tabs>
          <w:tab w:val="num" w:pos="3600"/>
        </w:tabs>
        <w:ind w:left="3600" w:hanging="360"/>
      </w:pPr>
    </w:lvl>
    <w:lvl w:ilvl="5" w:tplc="E3AE4C10" w:tentative="1">
      <w:start w:val="1"/>
      <w:numFmt w:val="lowerRoman"/>
      <w:lvlText w:val="%6."/>
      <w:lvlJc w:val="right"/>
      <w:pPr>
        <w:tabs>
          <w:tab w:val="num" w:pos="4320"/>
        </w:tabs>
        <w:ind w:left="4320" w:hanging="180"/>
      </w:pPr>
    </w:lvl>
    <w:lvl w:ilvl="6" w:tplc="61C8B400" w:tentative="1">
      <w:start w:val="1"/>
      <w:numFmt w:val="decimal"/>
      <w:lvlText w:val="%7."/>
      <w:lvlJc w:val="left"/>
      <w:pPr>
        <w:tabs>
          <w:tab w:val="num" w:pos="5040"/>
        </w:tabs>
        <w:ind w:left="5040" w:hanging="360"/>
      </w:pPr>
    </w:lvl>
    <w:lvl w:ilvl="7" w:tplc="03E00AF4" w:tentative="1">
      <w:start w:val="1"/>
      <w:numFmt w:val="lowerLetter"/>
      <w:lvlText w:val="%8."/>
      <w:lvlJc w:val="left"/>
      <w:pPr>
        <w:tabs>
          <w:tab w:val="num" w:pos="5760"/>
        </w:tabs>
        <w:ind w:left="5760" w:hanging="360"/>
      </w:pPr>
    </w:lvl>
    <w:lvl w:ilvl="8" w:tplc="71507626" w:tentative="1">
      <w:start w:val="1"/>
      <w:numFmt w:val="lowerRoman"/>
      <w:lvlText w:val="%9."/>
      <w:lvlJc w:val="right"/>
      <w:pPr>
        <w:tabs>
          <w:tab w:val="num" w:pos="6480"/>
        </w:tabs>
        <w:ind w:left="6480" w:hanging="180"/>
      </w:pPr>
    </w:lvl>
  </w:abstractNum>
  <w:abstractNum w:abstractNumId="9" w15:restartNumberingAfterBreak="0">
    <w:nsid w:val="3A131EFE"/>
    <w:multiLevelType w:val="multilevel"/>
    <w:tmpl w:val="1298B756"/>
    <w:lvl w:ilvl="0">
      <w:start w:val="1"/>
      <w:numFmt w:val="decimal"/>
      <w:pStyle w:val="Numb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5)"/>
      <w:lvlJc w:val="left"/>
      <w:pPr>
        <w:tabs>
          <w:tab w:val="num" w:pos="-31680"/>
        </w:tabs>
        <w:ind w:left="1440" w:hanging="720"/>
      </w:pPr>
      <w:rPr>
        <w:rFonts w:hint="default"/>
      </w:rPr>
    </w:lvl>
    <w:lvl w:ilvl="5">
      <w:start w:val="1"/>
      <w:numFmt w:val="lowerRoman"/>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0" w15:restartNumberingAfterBreak="0">
    <w:nsid w:val="3A59A789"/>
    <w:multiLevelType w:val="hybridMultilevel"/>
    <w:tmpl w:val="EEB09406"/>
    <w:lvl w:ilvl="0" w:tplc="44C6B6DC">
      <w:start w:val="1"/>
      <w:numFmt w:val="bullet"/>
      <w:lvlText w:val=""/>
      <w:lvlJc w:val="left"/>
      <w:pPr>
        <w:ind w:left="720" w:hanging="360"/>
      </w:pPr>
      <w:rPr>
        <w:rFonts w:ascii="Symbol" w:hAnsi="Symbol" w:hint="default"/>
      </w:rPr>
    </w:lvl>
    <w:lvl w:ilvl="1" w:tplc="CA56C922">
      <w:start w:val="1"/>
      <w:numFmt w:val="bullet"/>
      <w:lvlText w:val="o"/>
      <w:lvlJc w:val="left"/>
      <w:pPr>
        <w:ind w:left="1440" w:hanging="360"/>
      </w:pPr>
      <w:rPr>
        <w:rFonts w:ascii="Courier New" w:hAnsi="Courier New" w:hint="default"/>
      </w:rPr>
    </w:lvl>
    <w:lvl w:ilvl="2" w:tplc="9DEA8F94">
      <w:start w:val="1"/>
      <w:numFmt w:val="bullet"/>
      <w:lvlText w:val=""/>
      <w:lvlJc w:val="left"/>
      <w:pPr>
        <w:ind w:left="2160" w:hanging="360"/>
      </w:pPr>
      <w:rPr>
        <w:rFonts w:ascii="Wingdings" w:hAnsi="Wingdings" w:hint="default"/>
      </w:rPr>
    </w:lvl>
    <w:lvl w:ilvl="3" w:tplc="C7EA0206">
      <w:start w:val="1"/>
      <w:numFmt w:val="bullet"/>
      <w:lvlText w:val=""/>
      <w:lvlJc w:val="left"/>
      <w:pPr>
        <w:ind w:left="2880" w:hanging="360"/>
      </w:pPr>
      <w:rPr>
        <w:rFonts w:ascii="Symbol" w:hAnsi="Symbol" w:hint="default"/>
      </w:rPr>
    </w:lvl>
    <w:lvl w:ilvl="4" w:tplc="F844D274">
      <w:start w:val="1"/>
      <w:numFmt w:val="bullet"/>
      <w:lvlText w:val="o"/>
      <w:lvlJc w:val="left"/>
      <w:pPr>
        <w:ind w:left="3600" w:hanging="360"/>
      </w:pPr>
      <w:rPr>
        <w:rFonts w:ascii="Courier New" w:hAnsi="Courier New" w:hint="default"/>
      </w:rPr>
    </w:lvl>
    <w:lvl w:ilvl="5" w:tplc="2766E354">
      <w:start w:val="1"/>
      <w:numFmt w:val="bullet"/>
      <w:lvlText w:val=""/>
      <w:lvlJc w:val="left"/>
      <w:pPr>
        <w:ind w:left="4320" w:hanging="360"/>
      </w:pPr>
      <w:rPr>
        <w:rFonts w:ascii="Wingdings" w:hAnsi="Wingdings" w:hint="default"/>
      </w:rPr>
    </w:lvl>
    <w:lvl w:ilvl="6" w:tplc="BBC2A6EC">
      <w:start w:val="1"/>
      <w:numFmt w:val="bullet"/>
      <w:lvlText w:val=""/>
      <w:lvlJc w:val="left"/>
      <w:pPr>
        <w:ind w:left="5040" w:hanging="360"/>
      </w:pPr>
      <w:rPr>
        <w:rFonts w:ascii="Symbol" w:hAnsi="Symbol" w:hint="default"/>
      </w:rPr>
    </w:lvl>
    <w:lvl w:ilvl="7" w:tplc="41EA0F8C">
      <w:start w:val="1"/>
      <w:numFmt w:val="bullet"/>
      <w:lvlText w:val="o"/>
      <w:lvlJc w:val="left"/>
      <w:pPr>
        <w:ind w:left="5760" w:hanging="360"/>
      </w:pPr>
      <w:rPr>
        <w:rFonts w:ascii="Courier New" w:hAnsi="Courier New" w:hint="default"/>
      </w:rPr>
    </w:lvl>
    <w:lvl w:ilvl="8" w:tplc="EE640100">
      <w:start w:val="1"/>
      <w:numFmt w:val="bullet"/>
      <w:lvlText w:val=""/>
      <w:lvlJc w:val="left"/>
      <w:pPr>
        <w:ind w:left="6480" w:hanging="360"/>
      </w:pPr>
      <w:rPr>
        <w:rFonts w:ascii="Wingdings" w:hAnsi="Wingdings" w:hint="default"/>
      </w:rPr>
    </w:lvl>
  </w:abstractNum>
  <w:abstractNum w:abstractNumId="11" w15:restartNumberingAfterBreak="0">
    <w:nsid w:val="44203A2E"/>
    <w:multiLevelType w:val="hybridMultilevel"/>
    <w:tmpl w:val="4168B188"/>
    <w:lvl w:ilvl="0" w:tplc="42A40DB2">
      <w:start w:val="1"/>
      <w:numFmt w:val="bullet"/>
      <w:lvlText w:val="·"/>
      <w:lvlJc w:val="left"/>
      <w:pPr>
        <w:ind w:left="720" w:hanging="360"/>
      </w:pPr>
      <w:rPr>
        <w:rFonts w:ascii="Symbol" w:hAnsi="Symbol" w:hint="default"/>
      </w:rPr>
    </w:lvl>
    <w:lvl w:ilvl="1" w:tplc="C65C2CD0">
      <w:start w:val="1"/>
      <w:numFmt w:val="bullet"/>
      <w:lvlText w:val="o"/>
      <w:lvlJc w:val="left"/>
      <w:pPr>
        <w:ind w:left="1440" w:hanging="360"/>
      </w:pPr>
      <w:rPr>
        <w:rFonts w:ascii="Courier New" w:hAnsi="Courier New" w:hint="default"/>
      </w:rPr>
    </w:lvl>
    <w:lvl w:ilvl="2" w:tplc="A5982488">
      <w:start w:val="1"/>
      <w:numFmt w:val="bullet"/>
      <w:lvlText w:val=""/>
      <w:lvlJc w:val="left"/>
      <w:pPr>
        <w:ind w:left="2160" w:hanging="360"/>
      </w:pPr>
      <w:rPr>
        <w:rFonts w:ascii="Wingdings" w:hAnsi="Wingdings" w:hint="default"/>
      </w:rPr>
    </w:lvl>
    <w:lvl w:ilvl="3" w:tplc="E74CEB38">
      <w:start w:val="1"/>
      <w:numFmt w:val="bullet"/>
      <w:lvlText w:val=""/>
      <w:lvlJc w:val="left"/>
      <w:pPr>
        <w:ind w:left="2880" w:hanging="360"/>
      </w:pPr>
      <w:rPr>
        <w:rFonts w:ascii="Symbol" w:hAnsi="Symbol" w:hint="default"/>
      </w:rPr>
    </w:lvl>
    <w:lvl w:ilvl="4" w:tplc="773C952A">
      <w:start w:val="1"/>
      <w:numFmt w:val="bullet"/>
      <w:lvlText w:val="o"/>
      <w:lvlJc w:val="left"/>
      <w:pPr>
        <w:ind w:left="3600" w:hanging="360"/>
      </w:pPr>
      <w:rPr>
        <w:rFonts w:ascii="Courier New" w:hAnsi="Courier New" w:hint="default"/>
      </w:rPr>
    </w:lvl>
    <w:lvl w:ilvl="5" w:tplc="15909926">
      <w:start w:val="1"/>
      <w:numFmt w:val="bullet"/>
      <w:lvlText w:val=""/>
      <w:lvlJc w:val="left"/>
      <w:pPr>
        <w:ind w:left="4320" w:hanging="360"/>
      </w:pPr>
      <w:rPr>
        <w:rFonts w:ascii="Wingdings" w:hAnsi="Wingdings" w:hint="default"/>
      </w:rPr>
    </w:lvl>
    <w:lvl w:ilvl="6" w:tplc="D7960C86">
      <w:start w:val="1"/>
      <w:numFmt w:val="bullet"/>
      <w:lvlText w:val=""/>
      <w:lvlJc w:val="left"/>
      <w:pPr>
        <w:ind w:left="5040" w:hanging="360"/>
      </w:pPr>
      <w:rPr>
        <w:rFonts w:ascii="Symbol" w:hAnsi="Symbol" w:hint="default"/>
      </w:rPr>
    </w:lvl>
    <w:lvl w:ilvl="7" w:tplc="C56E9D52">
      <w:start w:val="1"/>
      <w:numFmt w:val="bullet"/>
      <w:lvlText w:val="o"/>
      <w:lvlJc w:val="left"/>
      <w:pPr>
        <w:ind w:left="5760" w:hanging="360"/>
      </w:pPr>
      <w:rPr>
        <w:rFonts w:ascii="Courier New" w:hAnsi="Courier New" w:hint="default"/>
      </w:rPr>
    </w:lvl>
    <w:lvl w:ilvl="8" w:tplc="D5D03C24">
      <w:start w:val="1"/>
      <w:numFmt w:val="bullet"/>
      <w:lvlText w:val=""/>
      <w:lvlJc w:val="left"/>
      <w:pPr>
        <w:ind w:left="6480" w:hanging="360"/>
      </w:pPr>
      <w:rPr>
        <w:rFonts w:ascii="Wingdings" w:hAnsi="Wingdings" w:hint="default"/>
      </w:rPr>
    </w:lvl>
  </w:abstractNum>
  <w:abstractNum w:abstractNumId="12" w15:restartNumberingAfterBreak="0">
    <w:nsid w:val="5B505AB8"/>
    <w:multiLevelType w:val="multilevel"/>
    <w:tmpl w:val="DE84116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1"/>
      <w:lvlText w:val="(%5)"/>
      <w:lvlJc w:val="left"/>
      <w:pPr>
        <w:tabs>
          <w:tab w:val="num" w:pos="-31680"/>
        </w:tabs>
        <w:ind w:left="1440" w:hanging="720"/>
      </w:pPr>
      <w:rPr>
        <w:rFonts w:hint="default"/>
      </w:rPr>
    </w:lvl>
    <w:lvl w:ilvl="5">
      <w:start w:val="1"/>
      <w:numFmt w:val="lowerRoman"/>
      <w:lvlRestart w:val="1"/>
      <w:lvlText w:val="(%6)"/>
      <w:lvlJc w:val="left"/>
      <w:pPr>
        <w:tabs>
          <w:tab w:val="num" w:pos="-31680"/>
        </w:tabs>
        <w:ind w:left="2160" w:hanging="720"/>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3" w15:restartNumberingAfterBreak="0">
    <w:nsid w:val="6120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21448E"/>
    <w:multiLevelType w:val="hybridMultilevel"/>
    <w:tmpl w:val="5F28EFE2"/>
    <w:lvl w:ilvl="0" w:tplc="AFE467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451CAE"/>
    <w:multiLevelType w:val="multilevel"/>
    <w:tmpl w:val="603C67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Restart w:val="0"/>
      <w:lvlText w:val="%5)"/>
      <w:lvlJc w:val="left"/>
      <w:pPr>
        <w:tabs>
          <w:tab w:val="num" w:pos="1440"/>
        </w:tabs>
        <w:ind w:left="1440" w:hanging="720"/>
      </w:pPr>
      <w:rPr>
        <w:rFonts w:hint="default"/>
      </w:rPr>
    </w:lvl>
    <w:lvl w:ilvl="5">
      <w:start w:val="1"/>
      <w:numFmt w:val="lowerRoman"/>
      <w:lvlText w:val="%6)"/>
      <w:lvlJc w:val="left"/>
      <w:pPr>
        <w:tabs>
          <w:tab w:val="num" w:pos="2041"/>
        </w:tabs>
        <w:ind w:left="2041" w:hanging="601"/>
      </w:pPr>
      <w:rPr>
        <w:rFonts w:hint="default"/>
      </w:rPr>
    </w:lvl>
    <w:lvl w:ilvl="6">
      <w:start w:val="1"/>
      <w:numFmt w:val="bullet"/>
      <w:lvlText w:val=""/>
      <w:lvlJc w:val="left"/>
      <w:pPr>
        <w:tabs>
          <w:tab w:val="num" w:pos="720"/>
        </w:tabs>
        <w:ind w:left="720" w:hanging="720"/>
      </w:pPr>
      <w:rPr>
        <w:rFonts w:ascii="Symbol" w:hAnsi="Symbol" w:hint="default"/>
        <w:sz w:val="24"/>
      </w:rPr>
    </w:lvl>
    <w:lvl w:ilvl="7">
      <w:start w:val="1"/>
      <w:numFmt w:val="bullet"/>
      <w:lvlText w:val=""/>
      <w:lvlJc w:val="left"/>
      <w:pPr>
        <w:tabs>
          <w:tab w:val="num" w:pos="1440"/>
        </w:tabs>
        <w:ind w:left="1440" w:hanging="720"/>
      </w:pPr>
      <w:rPr>
        <w:rFonts w:ascii="Symbol" w:hAnsi="Symbol" w:hint="default"/>
        <w:sz w:val="28"/>
      </w:rPr>
    </w:lvl>
    <w:lvl w:ilvl="8">
      <w:start w:val="1"/>
      <w:numFmt w:val="bullet"/>
      <w:lvlText w:val=""/>
      <w:lvlJc w:val="left"/>
      <w:pPr>
        <w:tabs>
          <w:tab w:val="num" w:pos="2041"/>
        </w:tabs>
        <w:ind w:left="2041" w:hanging="601"/>
      </w:pPr>
      <w:rPr>
        <w:rFonts w:ascii="Symbol" w:hAnsi="Symbol" w:hint="default"/>
        <w:sz w:val="28"/>
      </w:rPr>
    </w:lvl>
  </w:abstractNum>
  <w:abstractNum w:abstractNumId="16" w15:restartNumberingAfterBreak="0">
    <w:nsid w:val="74564D02"/>
    <w:multiLevelType w:val="hybridMultilevel"/>
    <w:tmpl w:val="2F5679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2C659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52E4177"/>
    <w:multiLevelType w:val="multilevel"/>
    <w:tmpl w:val="251E6DCE"/>
    <w:lvl w:ilvl="0">
      <w:start w:val="1"/>
      <w:numFmt w:val="bullet"/>
      <w:lvlText w:val=""/>
      <w:lvlJc w:val="left"/>
      <w:pPr>
        <w:tabs>
          <w:tab w:val="num" w:pos="-3168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662619"/>
    <w:multiLevelType w:val="hybridMultilevel"/>
    <w:tmpl w:val="43F8FBF0"/>
    <w:lvl w:ilvl="0" w:tplc="D44C0BEE">
      <w:start w:val="1"/>
      <w:numFmt w:val="bullet"/>
      <w:lvlText w:val=""/>
      <w:lvlJc w:val="left"/>
      <w:pPr>
        <w:tabs>
          <w:tab w:val="num" w:pos="1191"/>
        </w:tabs>
        <w:ind w:left="1191"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86855492">
    <w:abstractNumId w:val="10"/>
  </w:num>
  <w:num w:numId="2" w16cid:durableId="1426263823">
    <w:abstractNumId w:val="11"/>
  </w:num>
  <w:num w:numId="3" w16cid:durableId="2027050486">
    <w:abstractNumId w:val="5"/>
  </w:num>
  <w:num w:numId="4" w16cid:durableId="216473005">
    <w:abstractNumId w:val="19"/>
  </w:num>
  <w:num w:numId="5" w16cid:durableId="723409323">
    <w:abstractNumId w:val="9"/>
  </w:num>
  <w:num w:numId="6" w16cid:durableId="1682199988">
    <w:abstractNumId w:val="0"/>
  </w:num>
  <w:num w:numId="7" w16cid:durableId="1097290363">
    <w:abstractNumId w:val="8"/>
  </w:num>
  <w:num w:numId="8" w16cid:durableId="380403413">
    <w:abstractNumId w:val="17"/>
  </w:num>
  <w:num w:numId="9" w16cid:durableId="1981569485">
    <w:abstractNumId w:val="15"/>
  </w:num>
  <w:num w:numId="10" w16cid:durableId="1238396695">
    <w:abstractNumId w:val="12"/>
  </w:num>
  <w:num w:numId="11" w16cid:durableId="1059018171">
    <w:abstractNumId w:val="18"/>
  </w:num>
  <w:num w:numId="12" w16cid:durableId="1502115315">
    <w:abstractNumId w:val="2"/>
  </w:num>
  <w:num w:numId="13" w16cid:durableId="1053501945">
    <w:abstractNumId w:val="4"/>
  </w:num>
  <w:num w:numId="14" w16cid:durableId="53240896">
    <w:abstractNumId w:val="16"/>
  </w:num>
  <w:num w:numId="15" w16cid:durableId="1360742812">
    <w:abstractNumId w:val="7"/>
  </w:num>
  <w:num w:numId="16" w16cid:durableId="1599370349">
    <w:abstractNumId w:val="6"/>
  </w:num>
  <w:num w:numId="17" w16cid:durableId="1485701705">
    <w:abstractNumId w:val="3"/>
  </w:num>
  <w:num w:numId="18" w16cid:durableId="980117463">
    <w:abstractNumId w:val="13"/>
  </w:num>
  <w:num w:numId="19" w16cid:durableId="998078622">
    <w:abstractNumId w:val="1"/>
  </w:num>
  <w:num w:numId="20" w16cid:durableId="3207382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FB"/>
    <w:rsid w:val="00002CC5"/>
    <w:rsid w:val="000034A0"/>
    <w:rsid w:val="00004105"/>
    <w:rsid w:val="00004572"/>
    <w:rsid w:val="00005A8E"/>
    <w:rsid w:val="00011FD7"/>
    <w:rsid w:val="000170EA"/>
    <w:rsid w:val="00017692"/>
    <w:rsid w:val="00023C18"/>
    <w:rsid w:val="000242D2"/>
    <w:rsid w:val="00025EED"/>
    <w:rsid w:val="0003084A"/>
    <w:rsid w:val="00030D3C"/>
    <w:rsid w:val="00033DD6"/>
    <w:rsid w:val="0004178D"/>
    <w:rsid w:val="00046643"/>
    <w:rsid w:val="00050D93"/>
    <w:rsid w:val="000530FB"/>
    <w:rsid w:val="00056526"/>
    <w:rsid w:val="000621AA"/>
    <w:rsid w:val="0006381D"/>
    <w:rsid w:val="000645BC"/>
    <w:rsid w:val="00066180"/>
    <w:rsid w:val="000715BD"/>
    <w:rsid w:val="000716CE"/>
    <w:rsid w:val="00071809"/>
    <w:rsid w:val="00074378"/>
    <w:rsid w:val="00075BC1"/>
    <w:rsid w:val="00084940"/>
    <w:rsid w:val="00084C04"/>
    <w:rsid w:val="00084F2A"/>
    <w:rsid w:val="00085BC9"/>
    <w:rsid w:val="00096D99"/>
    <w:rsid w:val="00096F71"/>
    <w:rsid w:val="00097EBA"/>
    <w:rsid w:val="00097FD6"/>
    <w:rsid w:val="000A17A4"/>
    <w:rsid w:val="000A1F3B"/>
    <w:rsid w:val="000A4987"/>
    <w:rsid w:val="000B077C"/>
    <w:rsid w:val="000B0E78"/>
    <w:rsid w:val="000B1716"/>
    <w:rsid w:val="000B1AF1"/>
    <w:rsid w:val="000B4C8A"/>
    <w:rsid w:val="000B4E40"/>
    <w:rsid w:val="000B4EF5"/>
    <w:rsid w:val="000C011F"/>
    <w:rsid w:val="000C09B5"/>
    <w:rsid w:val="000C0E91"/>
    <w:rsid w:val="000C1729"/>
    <w:rsid w:val="000C32FA"/>
    <w:rsid w:val="000D6244"/>
    <w:rsid w:val="000E6559"/>
    <w:rsid w:val="000F038F"/>
    <w:rsid w:val="000F5DC6"/>
    <w:rsid w:val="000F7ABA"/>
    <w:rsid w:val="000F7E79"/>
    <w:rsid w:val="00102377"/>
    <w:rsid w:val="0010274E"/>
    <w:rsid w:val="00104837"/>
    <w:rsid w:val="00105F44"/>
    <w:rsid w:val="00106A9E"/>
    <w:rsid w:val="00112B02"/>
    <w:rsid w:val="00121023"/>
    <w:rsid w:val="0012391B"/>
    <w:rsid w:val="00123E64"/>
    <w:rsid w:val="001242EF"/>
    <w:rsid w:val="00130657"/>
    <w:rsid w:val="00131980"/>
    <w:rsid w:val="00131ECC"/>
    <w:rsid w:val="001320C0"/>
    <w:rsid w:val="00136957"/>
    <w:rsid w:val="001376A7"/>
    <w:rsid w:val="00137D36"/>
    <w:rsid w:val="00144A38"/>
    <w:rsid w:val="00145150"/>
    <w:rsid w:val="0014543D"/>
    <w:rsid w:val="00145709"/>
    <w:rsid w:val="00147033"/>
    <w:rsid w:val="0015403A"/>
    <w:rsid w:val="001554A1"/>
    <w:rsid w:val="00156058"/>
    <w:rsid w:val="0016450B"/>
    <w:rsid w:val="00164F4F"/>
    <w:rsid w:val="001652B8"/>
    <w:rsid w:val="00165DE1"/>
    <w:rsid w:val="00170D83"/>
    <w:rsid w:val="00171AF4"/>
    <w:rsid w:val="0017284F"/>
    <w:rsid w:val="001824FB"/>
    <w:rsid w:val="00182AA0"/>
    <w:rsid w:val="001846F7"/>
    <w:rsid w:val="00187003"/>
    <w:rsid w:val="001873AE"/>
    <w:rsid w:val="001873D0"/>
    <w:rsid w:val="00187512"/>
    <w:rsid w:val="001926E5"/>
    <w:rsid w:val="0019277C"/>
    <w:rsid w:val="00192FEC"/>
    <w:rsid w:val="00193433"/>
    <w:rsid w:val="001939DC"/>
    <w:rsid w:val="00194A76"/>
    <w:rsid w:val="00195114"/>
    <w:rsid w:val="00197749"/>
    <w:rsid w:val="001A0D2D"/>
    <w:rsid w:val="001A6799"/>
    <w:rsid w:val="001B0963"/>
    <w:rsid w:val="001B5987"/>
    <w:rsid w:val="001B6D65"/>
    <w:rsid w:val="001C3DB8"/>
    <w:rsid w:val="001D4E30"/>
    <w:rsid w:val="001D4F2F"/>
    <w:rsid w:val="001D6FE4"/>
    <w:rsid w:val="001E7BD7"/>
    <w:rsid w:val="001F030D"/>
    <w:rsid w:val="001F1D4C"/>
    <w:rsid w:val="00200CB7"/>
    <w:rsid w:val="00202467"/>
    <w:rsid w:val="00203660"/>
    <w:rsid w:val="00204AB7"/>
    <w:rsid w:val="00206724"/>
    <w:rsid w:val="00207205"/>
    <w:rsid w:val="0021074A"/>
    <w:rsid w:val="00211C7F"/>
    <w:rsid w:val="00214397"/>
    <w:rsid w:val="00216018"/>
    <w:rsid w:val="002250F4"/>
    <w:rsid w:val="00232656"/>
    <w:rsid w:val="00232678"/>
    <w:rsid w:val="002352FD"/>
    <w:rsid w:val="002353D2"/>
    <w:rsid w:val="002354A1"/>
    <w:rsid w:val="00236864"/>
    <w:rsid w:val="00236E94"/>
    <w:rsid w:val="00240549"/>
    <w:rsid w:val="00241CFE"/>
    <w:rsid w:val="002458B2"/>
    <w:rsid w:val="00246BA0"/>
    <w:rsid w:val="00250271"/>
    <w:rsid w:val="002506D4"/>
    <w:rsid w:val="00250D40"/>
    <w:rsid w:val="00251AC2"/>
    <w:rsid w:val="00252706"/>
    <w:rsid w:val="002620C8"/>
    <w:rsid w:val="00263AAC"/>
    <w:rsid w:val="002646F6"/>
    <w:rsid w:val="00265D8F"/>
    <w:rsid w:val="00266224"/>
    <w:rsid w:val="0026684D"/>
    <w:rsid w:val="0027202D"/>
    <w:rsid w:val="0027411F"/>
    <w:rsid w:val="00274194"/>
    <w:rsid w:val="00282E6D"/>
    <w:rsid w:val="002834B7"/>
    <w:rsid w:val="0028356A"/>
    <w:rsid w:val="0028399C"/>
    <w:rsid w:val="00287C98"/>
    <w:rsid w:val="00290FFC"/>
    <w:rsid w:val="002920A9"/>
    <w:rsid w:val="002939C3"/>
    <w:rsid w:val="00295917"/>
    <w:rsid w:val="00296115"/>
    <w:rsid w:val="002A150F"/>
    <w:rsid w:val="002A1E0F"/>
    <w:rsid w:val="002A3B13"/>
    <w:rsid w:val="002A7B29"/>
    <w:rsid w:val="002B3828"/>
    <w:rsid w:val="002B56CC"/>
    <w:rsid w:val="002B5D1E"/>
    <w:rsid w:val="002B77BE"/>
    <w:rsid w:val="002C0E04"/>
    <w:rsid w:val="002C18CE"/>
    <w:rsid w:val="002C3ABC"/>
    <w:rsid w:val="002C4068"/>
    <w:rsid w:val="002C5BCD"/>
    <w:rsid w:val="002C73A2"/>
    <w:rsid w:val="002D0DBA"/>
    <w:rsid w:val="002D1976"/>
    <w:rsid w:val="002D3164"/>
    <w:rsid w:val="002D3326"/>
    <w:rsid w:val="002D52D2"/>
    <w:rsid w:val="002D595B"/>
    <w:rsid w:val="002E5EC9"/>
    <w:rsid w:val="002E7C92"/>
    <w:rsid w:val="002F48FF"/>
    <w:rsid w:val="0030097C"/>
    <w:rsid w:val="00301727"/>
    <w:rsid w:val="00301EB6"/>
    <w:rsid w:val="0030370E"/>
    <w:rsid w:val="0030707C"/>
    <w:rsid w:val="003077ED"/>
    <w:rsid w:val="00307EF6"/>
    <w:rsid w:val="003116AC"/>
    <w:rsid w:val="003151CE"/>
    <w:rsid w:val="0031706E"/>
    <w:rsid w:val="00317DDD"/>
    <w:rsid w:val="00323247"/>
    <w:rsid w:val="003239D6"/>
    <w:rsid w:val="003315DD"/>
    <w:rsid w:val="00331A12"/>
    <w:rsid w:val="003339DC"/>
    <w:rsid w:val="003345F2"/>
    <w:rsid w:val="0033701F"/>
    <w:rsid w:val="00341595"/>
    <w:rsid w:val="00343CD4"/>
    <w:rsid w:val="00344E7D"/>
    <w:rsid w:val="00346A56"/>
    <w:rsid w:val="0036029D"/>
    <w:rsid w:val="00360A9B"/>
    <w:rsid w:val="00361170"/>
    <w:rsid w:val="00362659"/>
    <w:rsid w:val="00363F34"/>
    <w:rsid w:val="003674A3"/>
    <w:rsid w:val="003703FD"/>
    <w:rsid w:val="003737BE"/>
    <w:rsid w:val="00373E6D"/>
    <w:rsid w:val="003750ED"/>
    <w:rsid w:val="00376103"/>
    <w:rsid w:val="00377507"/>
    <w:rsid w:val="00380009"/>
    <w:rsid w:val="0038149E"/>
    <w:rsid w:val="003832ED"/>
    <w:rsid w:val="00386108"/>
    <w:rsid w:val="00390F5D"/>
    <w:rsid w:val="00396904"/>
    <w:rsid w:val="00396E04"/>
    <w:rsid w:val="00397815"/>
    <w:rsid w:val="003A0387"/>
    <w:rsid w:val="003A07C0"/>
    <w:rsid w:val="003A10D3"/>
    <w:rsid w:val="003A33CC"/>
    <w:rsid w:val="003A3557"/>
    <w:rsid w:val="003A4642"/>
    <w:rsid w:val="003A6010"/>
    <w:rsid w:val="003A6221"/>
    <w:rsid w:val="003B043E"/>
    <w:rsid w:val="003B2684"/>
    <w:rsid w:val="003B4E6C"/>
    <w:rsid w:val="003B4F8F"/>
    <w:rsid w:val="003B6A71"/>
    <w:rsid w:val="003C0D73"/>
    <w:rsid w:val="003C13B7"/>
    <w:rsid w:val="003C1911"/>
    <w:rsid w:val="003C43CF"/>
    <w:rsid w:val="003C6B07"/>
    <w:rsid w:val="003C7B5E"/>
    <w:rsid w:val="003D005E"/>
    <w:rsid w:val="003D115E"/>
    <w:rsid w:val="003D1C16"/>
    <w:rsid w:val="003D5A24"/>
    <w:rsid w:val="003D6FC1"/>
    <w:rsid w:val="003E358F"/>
    <w:rsid w:val="003F45E9"/>
    <w:rsid w:val="003F550D"/>
    <w:rsid w:val="003F5EAC"/>
    <w:rsid w:val="003F6CB0"/>
    <w:rsid w:val="004003B0"/>
    <w:rsid w:val="00406C0B"/>
    <w:rsid w:val="00406ED5"/>
    <w:rsid w:val="00407276"/>
    <w:rsid w:val="00410EF5"/>
    <w:rsid w:val="0042163E"/>
    <w:rsid w:val="00422B99"/>
    <w:rsid w:val="0042669D"/>
    <w:rsid w:val="00431788"/>
    <w:rsid w:val="004328B2"/>
    <w:rsid w:val="00432CEC"/>
    <w:rsid w:val="00434192"/>
    <w:rsid w:val="004357D7"/>
    <w:rsid w:val="004437BD"/>
    <w:rsid w:val="00445934"/>
    <w:rsid w:val="0044784D"/>
    <w:rsid w:val="00450412"/>
    <w:rsid w:val="004551FE"/>
    <w:rsid w:val="00456AB4"/>
    <w:rsid w:val="004572AE"/>
    <w:rsid w:val="004632E5"/>
    <w:rsid w:val="00464ADF"/>
    <w:rsid w:val="004714F6"/>
    <w:rsid w:val="0047418E"/>
    <w:rsid w:val="004769E4"/>
    <w:rsid w:val="00477430"/>
    <w:rsid w:val="0048011E"/>
    <w:rsid w:val="004851DF"/>
    <w:rsid w:val="00491E30"/>
    <w:rsid w:val="00494BE3"/>
    <w:rsid w:val="00494F69"/>
    <w:rsid w:val="00496BC5"/>
    <w:rsid w:val="004A2485"/>
    <w:rsid w:val="004A58DB"/>
    <w:rsid w:val="004B03EA"/>
    <w:rsid w:val="004B0550"/>
    <w:rsid w:val="004B3A56"/>
    <w:rsid w:val="004B4090"/>
    <w:rsid w:val="004C1274"/>
    <w:rsid w:val="004D121A"/>
    <w:rsid w:val="004D31A2"/>
    <w:rsid w:val="004D4D4F"/>
    <w:rsid w:val="004E1008"/>
    <w:rsid w:val="004E2B93"/>
    <w:rsid w:val="004E59A4"/>
    <w:rsid w:val="004F02C6"/>
    <w:rsid w:val="004F0F4F"/>
    <w:rsid w:val="004F1B3F"/>
    <w:rsid w:val="004F234D"/>
    <w:rsid w:val="004F24BC"/>
    <w:rsid w:val="004F357E"/>
    <w:rsid w:val="004F60A8"/>
    <w:rsid w:val="004F6AAF"/>
    <w:rsid w:val="004F7275"/>
    <w:rsid w:val="00500E21"/>
    <w:rsid w:val="005031BA"/>
    <w:rsid w:val="0050414B"/>
    <w:rsid w:val="00507677"/>
    <w:rsid w:val="0051086C"/>
    <w:rsid w:val="00517DD0"/>
    <w:rsid w:val="00520131"/>
    <w:rsid w:val="0052025D"/>
    <w:rsid w:val="00520DC5"/>
    <w:rsid w:val="005235FF"/>
    <w:rsid w:val="0053187E"/>
    <w:rsid w:val="005322E6"/>
    <w:rsid w:val="00532CCE"/>
    <w:rsid w:val="005331F7"/>
    <w:rsid w:val="00534581"/>
    <w:rsid w:val="00537BE9"/>
    <w:rsid w:val="00540109"/>
    <w:rsid w:val="005402FB"/>
    <w:rsid w:val="005408DD"/>
    <w:rsid w:val="00542C07"/>
    <w:rsid w:val="00542D36"/>
    <w:rsid w:val="005431EB"/>
    <w:rsid w:val="005442CB"/>
    <w:rsid w:val="00544A5A"/>
    <w:rsid w:val="005461A6"/>
    <w:rsid w:val="00547931"/>
    <w:rsid w:val="00550AF4"/>
    <w:rsid w:val="00551FFA"/>
    <w:rsid w:val="005541C1"/>
    <w:rsid w:val="00562F2F"/>
    <w:rsid w:val="00566F8C"/>
    <w:rsid w:val="00572688"/>
    <w:rsid w:val="00577DFC"/>
    <w:rsid w:val="00577F57"/>
    <w:rsid w:val="00584F45"/>
    <w:rsid w:val="00585192"/>
    <w:rsid w:val="00585770"/>
    <w:rsid w:val="00586AC6"/>
    <w:rsid w:val="005901B8"/>
    <w:rsid w:val="00590293"/>
    <w:rsid w:val="0059124A"/>
    <w:rsid w:val="005947C2"/>
    <w:rsid w:val="005954D8"/>
    <w:rsid w:val="00595B0B"/>
    <w:rsid w:val="00595EB3"/>
    <w:rsid w:val="005963AB"/>
    <w:rsid w:val="005963C6"/>
    <w:rsid w:val="005971F5"/>
    <w:rsid w:val="005A1570"/>
    <w:rsid w:val="005A1CE9"/>
    <w:rsid w:val="005A1FDB"/>
    <w:rsid w:val="005A2347"/>
    <w:rsid w:val="005A3182"/>
    <w:rsid w:val="005A3A7E"/>
    <w:rsid w:val="005A4310"/>
    <w:rsid w:val="005A43FE"/>
    <w:rsid w:val="005A5A87"/>
    <w:rsid w:val="005A5D40"/>
    <w:rsid w:val="005A707D"/>
    <w:rsid w:val="005A7C88"/>
    <w:rsid w:val="005B10DD"/>
    <w:rsid w:val="005B2593"/>
    <w:rsid w:val="005B2793"/>
    <w:rsid w:val="005B42BC"/>
    <w:rsid w:val="005C0C5E"/>
    <w:rsid w:val="005C4B8F"/>
    <w:rsid w:val="005C5732"/>
    <w:rsid w:val="005C70D0"/>
    <w:rsid w:val="005C7CBE"/>
    <w:rsid w:val="005D256F"/>
    <w:rsid w:val="005D4814"/>
    <w:rsid w:val="005D483F"/>
    <w:rsid w:val="005D5EE2"/>
    <w:rsid w:val="005D6D3D"/>
    <w:rsid w:val="005E0C22"/>
    <w:rsid w:val="005E30DB"/>
    <w:rsid w:val="005E3679"/>
    <w:rsid w:val="005E4A27"/>
    <w:rsid w:val="005E4E4E"/>
    <w:rsid w:val="005E73EA"/>
    <w:rsid w:val="005E7603"/>
    <w:rsid w:val="005F5663"/>
    <w:rsid w:val="005F746B"/>
    <w:rsid w:val="0060188C"/>
    <w:rsid w:val="00601AB5"/>
    <w:rsid w:val="00603B6A"/>
    <w:rsid w:val="00605ECE"/>
    <w:rsid w:val="00610833"/>
    <w:rsid w:val="00610F09"/>
    <w:rsid w:val="00614A01"/>
    <w:rsid w:val="00615361"/>
    <w:rsid w:val="00620ED0"/>
    <w:rsid w:val="006251C0"/>
    <w:rsid w:val="00625EDD"/>
    <w:rsid w:val="0062779D"/>
    <w:rsid w:val="006311DE"/>
    <w:rsid w:val="00631C29"/>
    <w:rsid w:val="006332D5"/>
    <w:rsid w:val="006406DA"/>
    <w:rsid w:val="00642C6C"/>
    <w:rsid w:val="006434BB"/>
    <w:rsid w:val="0064674B"/>
    <w:rsid w:val="006473EE"/>
    <w:rsid w:val="00647BDB"/>
    <w:rsid w:val="00651AAD"/>
    <w:rsid w:val="0065349A"/>
    <w:rsid w:val="0065432C"/>
    <w:rsid w:val="006559CF"/>
    <w:rsid w:val="00659348"/>
    <w:rsid w:val="006659B0"/>
    <w:rsid w:val="0067074E"/>
    <w:rsid w:val="00671F1A"/>
    <w:rsid w:val="00673E56"/>
    <w:rsid w:val="00674A4F"/>
    <w:rsid w:val="00674F02"/>
    <w:rsid w:val="006766B6"/>
    <w:rsid w:val="00682CD0"/>
    <w:rsid w:val="0068426F"/>
    <w:rsid w:val="00696042"/>
    <w:rsid w:val="006A0D27"/>
    <w:rsid w:val="006A1D7C"/>
    <w:rsid w:val="006A3B04"/>
    <w:rsid w:val="006A505C"/>
    <w:rsid w:val="006A6198"/>
    <w:rsid w:val="006A6A26"/>
    <w:rsid w:val="006A78FD"/>
    <w:rsid w:val="006B267D"/>
    <w:rsid w:val="006B3919"/>
    <w:rsid w:val="006B5592"/>
    <w:rsid w:val="006B6EDC"/>
    <w:rsid w:val="006C24F3"/>
    <w:rsid w:val="006C407A"/>
    <w:rsid w:val="006C5F90"/>
    <w:rsid w:val="006D09BA"/>
    <w:rsid w:val="006D5BAF"/>
    <w:rsid w:val="006E22AC"/>
    <w:rsid w:val="006F1199"/>
    <w:rsid w:val="006F215C"/>
    <w:rsid w:val="006F2251"/>
    <w:rsid w:val="006F28E4"/>
    <w:rsid w:val="006F300F"/>
    <w:rsid w:val="006F47B7"/>
    <w:rsid w:val="006F79FA"/>
    <w:rsid w:val="007003B5"/>
    <w:rsid w:val="00702BEB"/>
    <w:rsid w:val="00707878"/>
    <w:rsid w:val="00710B19"/>
    <w:rsid w:val="007114C3"/>
    <w:rsid w:val="0071189F"/>
    <w:rsid w:val="007134DF"/>
    <w:rsid w:val="007150D9"/>
    <w:rsid w:val="007157A3"/>
    <w:rsid w:val="00715F31"/>
    <w:rsid w:val="007211C4"/>
    <w:rsid w:val="00730C34"/>
    <w:rsid w:val="0073400F"/>
    <w:rsid w:val="007342A4"/>
    <w:rsid w:val="00737D4D"/>
    <w:rsid w:val="00740BE2"/>
    <w:rsid w:val="007410EF"/>
    <w:rsid w:val="0074121E"/>
    <w:rsid w:val="0074131A"/>
    <w:rsid w:val="0074149B"/>
    <w:rsid w:val="0074481A"/>
    <w:rsid w:val="007454CE"/>
    <w:rsid w:val="00745BB2"/>
    <w:rsid w:val="00750ECD"/>
    <w:rsid w:val="0075146E"/>
    <w:rsid w:val="00751674"/>
    <w:rsid w:val="0075354F"/>
    <w:rsid w:val="00767D7F"/>
    <w:rsid w:val="00771884"/>
    <w:rsid w:val="007721F0"/>
    <w:rsid w:val="00775572"/>
    <w:rsid w:val="00776E89"/>
    <w:rsid w:val="00777A12"/>
    <w:rsid w:val="0078031A"/>
    <w:rsid w:val="0078050F"/>
    <w:rsid w:val="00782C4F"/>
    <w:rsid w:val="0078488E"/>
    <w:rsid w:val="00787ECB"/>
    <w:rsid w:val="007924B5"/>
    <w:rsid w:val="00793BC9"/>
    <w:rsid w:val="00794CDF"/>
    <w:rsid w:val="007A4511"/>
    <w:rsid w:val="007A4C2C"/>
    <w:rsid w:val="007A5CAC"/>
    <w:rsid w:val="007A5FA6"/>
    <w:rsid w:val="007A7E2D"/>
    <w:rsid w:val="007B0C1D"/>
    <w:rsid w:val="007B47D5"/>
    <w:rsid w:val="007B71B5"/>
    <w:rsid w:val="007B76AD"/>
    <w:rsid w:val="007C1170"/>
    <w:rsid w:val="007C1225"/>
    <w:rsid w:val="007D3A4B"/>
    <w:rsid w:val="007E3624"/>
    <w:rsid w:val="007E5E80"/>
    <w:rsid w:val="007F3DB4"/>
    <w:rsid w:val="007F7246"/>
    <w:rsid w:val="00801A36"/>
    <w:rsid w:val="0080240B"/>
    <w:rsid w:val="0080324C"/>
    <w:rsid w:val="0080365D"/>
    <w:rsid w:val="00804E89"/>
    <w:rsid w:val="00806754"/>
    <w:rsid w:val="00807BD5"/>
    <w:rsid w:val="0081143C"/>
    <w:rsid w:val="0081214F"/>
    <w:rsid w:val="008171F5"/>
    <w:rsid w:val="00820D74"/>
    <w:rsid w:val="00821140"/>
    <w:rsid w:val="00822F30"/>
    <w:rsid w:val="00825D4E"/>
    <w:rsid w:val="00826E0A"/>
    <w:rsid w:val="008270D1"/>
    <w:rsid w:val="00827B9F"/>
    <w:rsid w:val="008358AE"/>
    <w:rsid w:val="0083634E"/>
    <w:rsid w:val="008378F2"/>
    <w:rsid w:val="00837ECF"/>
    <w:rsid w:val="00837F48"/>
    <w:rsid w:val="008415A5"/>
    <w:rsid w:val="00842AA1"/>
    <w:rsid w:val="0084363A"/>
    <w:rsid w:val="00845268"/>
    <w:rsid w:val="00850B59"/>
    <w:rsid w:val="00850BAE"/>
    <w:rsid w:val="008534B9"/>
    <w:rsid w:val="00853675"/>
    <w:rsid w:val="0085448D"/>
    <w:rsid w:val="00861F18"/>
    <w:rsid w:val="00862DE4"/>
    <w:rsid w:val="00866CFB"/>
    <w:rsid w:val="00871C6B"/>
    <w:rsid w:val="00872D99"/>
    <w:rsid w:val="00873444"/>
    <w:rsid w:val="00875A55"/>
    <w:rsid w:val="0087677B"/>
    <w:rsid w:val="00880E74"/>
    <w:rsid w:val="00882F8C"/>
    <w:rsid w:val="008830FA"/>
    <w:rsid w:val="008835CF"/>
    <w:rsid w:val="00891423"/>
    <w:rsid w:val="008915DA"/>
    <w:rsid w:val="00892E9B"/>
    <w:rsid w:val="00893FF8"/>
    <w:rsid w:val="008940BC"/>
    <w:rsid w:val="008A11D1"/>
    <w:rsid w:val="008A3ADB"/>
    <w:rsid w:val="008A4A7A"/>
    <w:rsid w:val="008A55FC"/>
    <w:rsid w:val="008A5C92"/>
    <w:rsid w:val="008A7BDD"/>
    <w:rsid w:val="008B722B"/>
    <w:rsid w:val="008C24EA"/>
    <w:rsid w:val="008D0991"/>
    <w:rsid w:val="008D0B46"/>
    <w:rsid w:val="008D16E5"/>
    <w:rsid w:val="008D3FD8"/>
    <w:rsid w:val="008D458D"/>
    <w:rsid w:val="008D7533"/>
    <w:rsid w:val="008E118E"/>
    <w:rsid w:val="008E1CD3"/>
    <w:rsid w:val="008E77E7"/>
    <w:rsid w:val="008F164F"/>
    <w:rsid w:val="008F2403"/>
    <w:rsid w:val="008F57BC"/>
    <w:rsid w:val="00900694"/>
    <w:rsid w:val="00901986"/>
    <w:rsid w:val="00902667"/>
    <w:rsid w:val="00905B6F"/>
    <w:rsid w:val="009071F8"/>
    <w:rsid w:val="009078AA"/>
    <w:rsid w:val="0091041C"/>
    <w:rsid w:val="009117FE"/>
    <w:rsid w:val="00913063"/>
    <w:rsid w:val="00914742"/>
    <w:rsid w:val="009202AD"/>
    <w:rsid w:val="00921839"/>
    <w:rsid w:val="00922696"/>
    <w:rsid w:val="009273FB"/>
    <w:rsid w:val="00932449"/>
    <w:rsid w:val="00932851"/>
    <w:rsid w:val="009339A6"/>
    <w:rsid w:val="00936F88"/>
    <w:rsid w:val="00944B53"/>
    <w:rsid w:val="00945A7B"/>
    <w:rsid w:val="00950364"/>
    <w:rsid w:val="009505CD"/>
    <w:rsid w:val="00950C58"/>
    <w:rsid w:val="00952CF7"/>
    <w:rsid w:val="00953352"/>
    <w:rsid w:val="00953820"/>
    <w:rsid w:val="00955458"/>
    <w:rsid w:val="00956ABA"/>
    <w:rsid w:val="009605B1"/>
    <w:rsid w:val="009613E6"/>
    <w:rsid w:val="009632E7"/>
    <w:rsid w:val="00964D89"/>
    <w:rsid w:val="00967C48"/>
    <w:rsid w:val="00971B1A"/>
    <w:rsid w:val="009739C8"/>
    <w:rsid w:val="00975D89"/>
    <w:rsid w:val="009763C8"/>
    <w:rsid w:val="00993325"/>
    <w:rsid w:val="00996EC6"/>
    <w:rsid w:val="009A1E6E"/>
    <w:rsid w:val="009A29CB"/>
    <w:rsid w:val="009A5FC9"/>
    <w:rsid w:val="009B2A94"/>
    <w:rsid w:val="009B62F0"/>
    <w:rsid w:val="009C038A"/>
    <w:rsid w:val="009C3194"/>
    <w:rsid w:val="009C3983"/>
    <w:rsid w:val="009D1738"/>
    <w:rsid w:val="009D33C6"/>
    <w:rsid w:val="009D3FFF"/>
    <w:rsid w:val="009D6D20"/>
    <w:rsid w:val="009D7B9D"/>
    <w:rsid w:val="009E0B18"/>
    <w:rsid w:val="009E28C1"/>
    <w:rsid w:val="009E79B3"/>
    <w:rsid w:val="009F29B6"/>
    <w:rsid w:val="009F6636"/>
    <w:rsid w:val="00A01312"/>
    <w:rsid w:val="00A01BCA"/>
    <w:rsid w:val="00A028D3"/>
    <w:rsid w:val="00A04FD6"/>
    <w:rsid w:val="00A10729"/>
    <w:rsid w:val="00A148B2"/>
    <w:rsid w:val="00A20A09"/>
    <w:rsid w:val="00A21179"/>
    <w:rsid w:val="00A24176"/>
    <w:rsid w:val="00A24677"/>
    <w:rsid w:val="00A24FC7"/>
    <w:rsid w:val="00A276E5"/>
    <w:rsid w:val="00A32559"/>
    <w:rsid w:val="00A334A7"/>
    <w:rsid w:val="00A33BD7"/>
    <w:rsid w:val="00A34AA1"/>
    <w:rsid w:val="00A35A85"/>
    <w:rsid w:val="00A364B8"/>
    <w:rsid w:val="00A36618"/>
    <w:rsid w:val="00A40D41"/>
    <w:rsid w:val="00A42123"/>
    <w:rsid w:val="00A43B7F"/>
    <w:rsid w:val="00A46F19"/>
    <w:rsid w:val="00A51177"/>
    <w:rsid w:val="00A5208C"/>
    <w:rsid w:val="00A54D7E"/>
    <w:rsid w:val="00A568A8"/>
    <w:rsid w:val="00A612F1"/>
    <w:rsid w:val="00A61822"/>
    <w:rsid w:val="00A62054"/>
    <w:rsid w:val="00A64BBF"/>
    <w:rsid w:val="00A6780C"/>
    <w:rsid w:val="00A7040E"/>
    <w:rsid w:val="00A7576C"/>
    <w:rsid w:val="00A761AC"/>
    <w:rsid w:val="00A764F7"/>
    <w:rsid w:val="00A81C8E"/>
    <w:rsid w:val="00A8294F"/>
    <w:rsid w:val="00A83652"/>
    <w:rsid w:val="00A83A3E"/>
    <w:rsid w:val="00A848E3"/>
    <w:rsid w:val="00A877BA"/>
    <w:rsid w:val="00A877D7"/>
    <w:rsid w:val="00A94DA4"/>
    <w:rsid w:val="00A9523D"/>
    <w:rsid w:val="00A9569F"/>
    <w:rsid w:val="00A960F0"/>
    <w:rsid w:val="00AA63A3"/>
    <w:rsid w:val="00AA7BCA"/>
    <w:rsid w:val="00AB10A8"/>
    <w:rsid w:val="00AB26C3"/>
    <w:rsid w:val="00AB655B"/>
    <w:rsid w:val="00AB65EF"/>
    <w:rsid w:val="00AB6B92"/>
    <w:rsid w:val="00AC14D9"/>
    <w:rsid w:val="00AC1902"/>
    <w:rsid w:val="00AC5234"/>
    <w:rsid w:val="00AC7848"/>
    <w:rsid w:val="00AC7CED"/>
    <w:rsid w:val="00AD21BD"/>
    <w:rsid w:val="00AD4C75"/>
    <w:rsid w:val="00AF01C8"/>
    <w:rsid w:val="00AF2AB8"/>
    <w:rsid w:val="00AF2C84"/>
    <w:rsid w:val="00AF6BCE"/>
    <w:rsid w:val="00AF7166"/>
    <w:rsid w:val="00B01557"/>
    <w:rsid w:val="00B02302"/>
    <w:rsid w:val="00B058E1"/>
    <w:rsid w:val="00B0709C"/>
    <w:rsid w:val="00B0715C"/>
    <w:rsid w:val="00B112E6"/>
    <w:rsid w:val="00B12D26"/>
    <w:rsid w:val="00B13049"/>
    <w:rsid w:val="00B13161"/>
    <w:rsid w:val="00B1496E"/>
    <w:rsid w:val="00B15A63"/>
    <w:rsid w:val="00B2081F"/>
    <w:rsid w:val="00B22741"/>
    <w:rsid w:val="00B27C1F"/>
    <w:rsid w:val="00B27C51"/>
    <w:rsid w:val="00B3355A"/>
    <w:rsid w:val="00B335BB"/>
    <w:rsid w:val="00B33909"/>
    <w:rsid w:val="00B353BA"/>
    <w:rsid w:val="00B35714"/>
    <w:rsid w:val="00B371F1"/>
    <w:rsid w:val="00B4069A"/>
    <w:rsid w:val="00B43170"/>
    <w:rsid w:val="00B449AB"/>
    <w:rsid w:val="00B50DBB"/>
    <w:rsid w:val="00B56E28"/>
    <w:rsid w:val="00B605A6"/>
    <w:rsid w:val="00B609E7"/>
    <w:rsid w:val="00B6128B"/>
    <w:rsid w:val="00B61794"/>
    <w:rsid w:val="00B6237B"/>
    <w:rsid w:val="00B64B3D"/>
    <w:rsid w:val="00B66AAE"/>
    <w:rsid w:val="00B7654B"/>
    <w:rsid w:val="00B77682"/>
    <w:rsid w:val="00B80C89"/>
    <w:rsid w:val="00B81B18"/>
    <w:rsid w:val="00B82B8C"/>
    <w:rsid w:val="00B851E8"/>
    <w:rsid w:val="00B915A4"/>
    <w:rsid w:val="00B9175E"/>
    <w:rsid w:val="00B92203"/>
    <w:rsid w:val="00B93A6E"/>
    <w:rsid w:val="00B94AD7"/>
    <w:rsid w:val="00BA04BA"/>
    <w:rsid w:val="00BA46CD"/>
    <w:rsid w:val="00BA59E8"/>
    <w:rsid w:val="00BA7712"/>
    <w:rsid w:val="00BB3EC0"/>
    <w:rsid w:val="00BB5912"/>
    <w:rsid w:val="00BB744F"/>
    <w:rsid w:val="00BC4E49"/>
    <w:rsid w:val="00BC610D"/>
    <w:rsid w:val="00BC7B3A"/>
    <w:rsid w:val="00BD762E"/>
    <w:rsid w:val="00BE0AA4"/>
    <w:rsid w:val="00BE1EF9"/>
    <w:rsid w:val="00BE573D"/>
    <w:rsid w:val="00BE57D5"/>
    <w:rsid w:val="00BE7154"/>
    <w:rsid w:val="00BF0F01"/>
    <w:rsid w:val="00BF124D"/>
    <w:rsid w:val="00BF5946"/>
    <w:rsid w:val="00C01113"/>
    <w:rsid w:val="00C014E9"/>
    <w:rsid w:val="00C015A0"/>
    <w:rsid w:val="00C01637"/>
    <w:rsid w:val="00C01BE6"/>
    <w:rsid w:val="00C02390"/>
    <w:rsid w:val="00C062E2"/>
    <w:rsid w:val="00C06728"/>
    <w:rsid w:val="00C11570"/>
    <w:rsid w:val="00C11DE9"/>
    <w:rsid w:val="00C12669"/>
    <w:rsid w:val="00C13B64"/>
    <w:rsid w:val="00C20914"/>
    <w:rsid w:val="00C211EB"/>
    <w:rsid w:val="00C22491"/>
    <w:rsid w:val="00C235EF"/>
    <w:rsid w:val="00C237DD"/>
    <w:rsid w:val="00C25583"/>
    <w:rsid w:val="00C30266"/>
    <w:rsid w:val="00C310EC"/>
    <w:rsid w:val="00C373CD"/>
    <w:rsid w:val="00C37EB6"/>
    <w:rsid w:val="00C413FB"/>
    <w:rsid w:val="00C41E98"/>
    <w:rsid w:val="00C46C3F"/>
    <w:rsid w:val="00C52308"/>
    <w:rsid w:val="00C540DE"/>
    <w:rsid w:val="00C65B9A"/>
    <w:rsid w:val="00C67CD3"/>
    <w:rsid w:val="00C733F8"/>
    <w:rsid w:val="00C74FF7"/>
    <w:rsid w:val="00C75A1C"/>
    <w:rsid w:val="00C8156F"/>
    <w:rsid w:val="00C853BA"/>
    <w:rsid w:val="00C87236"/>
    <w:rsid w:val="00C90BA8"/>
    <w:rsid w:val="00C94A54"/>
    <w:rsid w:val="00C95AB2"/>
    <w:rsid w:val="00C974BC"/>
    <w:rsid w:val="00C97642"/>
    <w:rsid w:val="00C97D14"/>
    <w:rsid w:val="00CA11A5"/>
    <w:rsid w:val="00CA12A1"/>
    <w:rsid w:val="00CA40FE"/>
    <w:rsid w:val="00CA4786"/>
    <w:rsid w:val="00CA4FF3"/>
    <w:rsid w:val="00CB62F8"/>
    <w:rsid w:val="00CB7E3A"/>
    <w:rsid w:val="00CB7F54"/>
    <w:rsid w:val="00CD285A"/>
    <w:rsid w:val="00CD34BE"/>
    <w:rsid w:val="00CD421F"/>
    <w:rsid w:val="00CD56F4"/>
    <w:rsid w:val="00CD67ED"/>
    <w:rsid w:val="00CE28D8"/>
    <w:rsid w:val="00CE2F3E"/>
    <w:rsid w:val="00CE35B6"/>
    <w:rsid w:val="00CE5958"/>
    <w:rsid w:val="00CE79C9"/>
    <w:rsid w:val="00CE7EBC"/>
    <w:rsid w:val="00CF0EC4"/>
    <w:rsid w:val="00CF238E"/>
    <w:rsid w:val="00CF3F45"/>
    <w:rsid w:val="00CF62DD"/>
    <w:rsid w:val="00D03918"/>
    <w:rsid w:val="00D04741"/>
    <w:rsid w:val="00D04A74"/>
    <w:rsid w:val="00D103C9"/>
    <w:rsid w:val="00D12D9E"/>
    <w:rsid w:val="00D16435"/>
    <w:rsid w:val="00D16540"/>
    <w:rsid w:val="00D25CCB"/>
    <w:rsid w:val="00D273AE"/>
    <w:rsid w:val="00D3061A"/>
    <w:rsid w:val="00D30D4B"/>
    <w:rsid w:val="00D31391"/>
    <w:rsid w:val="00D32EE9"/>
    <w:rsid w:val="00D361E0"/>
    <w:rsid w:val="00D3756E"/>
    <w:rsid w:val="00D4302C"/>
    <w:rsid w:val="00D442F0"/>
    <w:rsid w:val="00D45F06"/>
    <w:rsid w:val="00D52065"/>
    <w:rsid w:val="00D52A93"/>
    <w:rsid w:val="00D53416"/>
    <w:rsid w:val="00D5451C"/>
    <w:rsid w:val="00D60BA9"/>
    <w:rsid w:val="00D64835"/>
    <w:rsid w:val="00D702BA"/>
    <w:rsid w:val="00D71B34"/>
    <w:rsid w:val="00D7747E"/>
    <w:rsid w:val="00D84D41"/>
    <w:rsid w:val="00D86E3C"/>
    <w:rsid w:val="00DA17D7"/>
    <w:rsid w:val="00DA5183"/>
    <w:rsid w:val="00DA6D81"/>
    <w:rsid w:val="00DA7689"/>
    <w:rsid w:val="00DB0796"/>
    <w:rsid w:val="00DB4245"/>
    <w:rsid w:val="00DB46F1"/>
    <w:rsid w:val="00DB6E8A"/>
    <w:rsid w:val="00DB765A"/>
    <w:rsid w:val="00DC0147"/>
    <w:rsid w:val="00DC41CC"/>
    <w:rsid w:val="00DC6611"/>
    <w:rsid w:val="00DC6AE7"/>
    <w:rsid w:val="00DC792F"/>
    <w:rsid w:val="00DD0F07"/>
    <w:rsid w:val="00DD1678"/>
    <w:rsid w:val="00DD2DCB"/>
    <w:rsid w:val="00DD3393"/>
    <w:rsid w:val="00DD5500"/>
    <w:rsid w:val="00DD772C"/>
    <w:rsid w:val="00DD7F56"/>
    <w:rsid w:val="00DE1A15"/>
    <w:rsid w:val="00DE1DEA"/>
    <w:rsid w:val="00DE2CA1"/>
    <w:rsid w:val="00DE4417"/>
    <w:rsid w:val="00DE6874"/>
    <w:rsid w:val="00DE7F8A"/>
    <w:rsid w:val="00DF0B79"/>
    <w:rsid w:val="00DF340F"/>
    <w:rsid w:val="00DF3697"/>
    <w:rsid w:val="00DF399F"/>
    <w:rsid w:val="00DF4426"/>
    <w:rsid w:val="00DF4A1C"/>
    <w:rsid w:val="00DF4E0C"/>
    <w:rsid w:val="00DF53D9"/>
    <w:rsid w:val="00E02A59"/>
    <w:rsid w:val="00E03887"/>
    <w:rsid w:val="00E11E2B"/>
    <w:rsid w:val="00E11E95"/>
    <w:rsid w:val="00E12A39"/>
    <w:rsid w:val="00E1642A"/>
    <w:rsid w:val="00E16E16"/>
    <w:rsid w:val="00E20645"/>
    <w:rsid w:val="00E21739"/>
    <w:rsid w:val="00E257AA"/>
    <w:rsid w:val="00E26355"/>
    <w:rsid w:val="00E30637"/>
    <w:rsid w:val="00E4069E"/>
    <w:rsid w:val="00E413DE"/>
    <w:rsid w:val="00E50EE3"/>
    <w:rsid w:val="00E51B3D"/>
    <w:rsid w:val="00E52218"/>
    <w:rsid w:val="00E5319E"/>
    <w:rsid w:val="00E62313"/>
    <w:rsid w:val="00E629CE"/>
    <w:rsid w:val="00E64D95"/>
    <w:rsid w:val="00E674B3"/>
    <w:rsid w:val="00E67AFE"/>
    <w:rsid w:val="00E70739"/>
    <w:rsid w:val="00E731DA"/>
    <w:rsid w:val="00E7329B"/>
    <w:rsid w:val="00E822BB"/>
    <w:rsid w:val="00E87C8C"/>
    <w:rsid w:val="00E90478"/>
    <w:rsid w:val="00E92E8F"/>
    <w:rsid w:val="00E967FC"/>
    <w:rsid w:val="00E975EB"/>
    <w:rsid w:val="00EA4E5A"/>
    <w:rsid w:val="00EA6555"/>
    <w:rsid w:val="00EA7C8C"/>
    <w:rsid w:val="00EB07A7"/>
    <w:rsid w:val="00EB243B"/>
    <w:rsid w:val="00EB2BE8"/>
    <w:rsid w:val="00EB401A"/>
    <w:rsid w:val="00EB6A73"/>
    <w:rsid w:val="00EBF1B5"/>
    <w:rsid w:val="00EC3441"/>
    <w:rsid w:val="00EC4EF6"/>
    <w:rsid w:val="00EC56FD"/>
    <w:rsid w:val="00EC6CDD"/>
    <w:rsid w:val="00ED0B11"/>
    <w:rsid w:val="00ED4E61"/>
    <w:rsid w:val="00ED5396"/>
    <w:rsid w:val="00ED5D36"/>
    <w:rsid w:val="00ED5F2B"/>
    <w:rsid w:val="00EE283B"/>
    <w:rsid w:val="00EE2A1C"/>
    <w:rsid w:val="00EE3E1F"/>
    <w:rsid w:val="00EE4C6A"/>
    <w:rsid w:val="00EE530C"/>
    <w:rsid w:val="00EE6FCD"/>
    <w:rsid w:val="00EF0B87"/>
    <w:rsid w:val="00EF20FB"/>
    <w:rsid w:val="00EF6060"/>
    <w:rsid w:val="00F01752"/>
    <w:rsid w:val="00F01A76"/>
    <w:rsid w:val="00F053B2"/>
    <w:rsid w:val="00F07575"/>
    <w:rsid w:val="00F12FAE"/>
    <w:rsid w:val="00F13971"/>
    <w:rsid w:val="00F14286"/>
    <w:rsid w:val="00F14778"/>
    <w:rsid w:val="00F157EA"/>
    <w:rsid w:val="00F1663B"/>
    <w:rsid w:val="00F17265"/>
    <w:rsid w:val="00F20215"/>
    <w:rsid w:val="00F21061"/>
    <w:rsid w:val="00F241C6"/>
    <w:rsid w:val="00F2734A"/>
    <w:rsid w:val="00F30359"/>
    <w:rsid w:val="00F337B4"/>
    <w:rsid w:val="00F365C9"/>
    <w:rsid w:val="00F41F7E"/>
    <w:rsid w:val="00F4524C"/>
    <w:rsid w:val="00F47565"/>
    <w:rsid w:val="00F5412D"/>
    <w:rsid w:val="00F56E93"/>
    <w:rsid w:val="00F601D4"/>
    <w:rsid w:val="00F6075D"/>
    <w:rsid w:val="00F6533D"/>
    <w:rsid w:val="00F7693B"/>
    <w:rsid w:val="00F80EAC"/>
    <w:rsid w:val="00F8366B"/>
    <w:rsid w:val="00F84550"/>
    <w:rsid w:val="00F85133"/>
    <w:rsid w:val="00F860EF"/>
    <w:rsid w:val="00F90D45"/>
    <w:rsid w:val="00F93EC6"/>
    <w:rsid w:val="00F951F7"/>
    <w:rsid w:val="00FA07B3"/>
    <w:rsid w:val="00FA0ECA"/>
    <w:rsid w:val="00FA192B"/>
    <w:rsid w:val="00FA1DE6"/>
    <w:rsid w:val="00FA399A"/>
    <w:rsid w:val="00FA432F"/>
    <w:rsid w:val="00FC37B1"/>
    <w:rsid w:val="00FC63F0"/>
    <w:rsid w:val="00FD0445"/>
    <w:rsid w:val="00FD13CE"/>
    <w:rsid w:val="00FD1FA4"/>
    <w:rsid w:val="00FD3979"/>
    <w:rsid w:val="00FD3B4B"/>
    <w:rsid w:val="00FD5EDF"/>
    <w:rsid w:val="00FD749E"/>
    <w:rsid w:val="00FD7700"/>
    <w:rsid w:val="00FE0609"/>
    <w:rsid w:val="00FE067C"/>
    <w:rsid w:val="00FE0772"/>
    <w:rsid w:val="00FE1BA8"/>
    <w:rsid w:val="00FE3F02"/>
    <w:rsid w:val="00FE416B"/>
    <w:rsid w:val="00FE6280"/>
    <w:rsid w:val="00FF0A6B"/>
    <w:rsid w:val="00FF1AFB"/>
    <w:rsid w:val="00FF1C79"/>
    <w:rsid w:val="00FF381D"/>
    <w:rsid w:val="00FF469D"/>
    <w:rsid w:val="00FF5E61"/>
    <w:rsid w:val="00FF752F"/>
    <w:rsid w:val="00FF7CDB"/>
    <w:rsid w:val="0132C82C"/>
    <w:rsid w:val="0137F174"/>
    <w:rsid w:val="017A9E0D"/>
    <w:rsid w:val="018423D7"/>
    <w:rsid w:val="02108AEB"/>
    <w:rsid w:val="02228B0C"/>
    <w:rsid w:val="022D1A55"/>
    <w:rsid w:val="025B886E"/>
    <w:rsid w:val="029602E6"/>
    <w:rsid w:val="0297584A"/>
    <w:rsid w:val="029B9854"/>
    <w:rsid w:val="0355492A"/>
    <w:rsid w:val="03595025"/>
    <w:rsid w:val="037C745C"/>
    <w:rsid w:val="03C1EC87"/>
    <w:rsid w:val="043D75FF"/>
    <w:rsid w:val="043E54BA"/>
    <w:rsid w:val="0470F5BA"/>
    <w:rsid w:val="0487958C"/>
    <w:rsid w:val="04B8B2F7"/>
    <w:rsid w:val="04FA7234"/>
    <w:rsid w:val="051BADAE"/>
    <w:rsid w:val="05203243"/>
    <w:rsid w:val="053B8397"/>
    <w:rsid w:val="059FDFD0"/>
    <w:rsid w:val="05E07A61"/>
    <w:rsid w:val="0610FAB9"/>
    <w:rsid w:val="06691FB5"/>
    <w:rsid w:val="06787828"/>
    <w:rsid w:val="0692DA9C"/>
    <w:rsid w:val="06B4151E"/>
    <w:rsid w:val="06BE5B27"/>
    <w:rsid w:val="06CB4917"/>
    <w:rsid w:val="06E590F7"/>
    <w:rsid w:val="06ECB7CB"/>
    <w:rsid w:val="070772C4"/>
    <w:rsid w:val="078C7EE2"/>
    <w:rsid w:val="07935007"/>
    <w:rsid w:val="07B9C776"/>
    <w:rsid w:val="07DC059C"/>
    <w:rsid w:val="07FA8C55"/>
    <w:rsid w:val="0801CA01"/>
    <w:rsid w:val="083A70D9"/>
    <w:rsid w:val="084DF11B"/>
    <w:rsid w:val="0857917E"/>
    <w:rsid w:val="0857D305"/>
    <w:rsid w:val="0883EC0B"/>
    <w:rsid w:val="08B97386"/>
    <w:rsid w:val="08BFF430"/>
    <w:rsid w:val="08CD2681"/>
    <w:rsid w:val="09314380"/>
    <w:rsid w:val="0957B2FD"/>
    <w:rsid w:val="099BC7DE"/>
    <w:rsid w:val="09D99168"/>
    <w:rsid w:val="0A044936"/>
    <w:rsid w:val="0A4FBF9F"/>
    <w:rsid w:val="0AB3EB84"/>
    <w:rsid w:val="0ADB63CA"/>
    <w:rsid w:val="0B4D3673"/>
    <w:rsid w:val="0B532EF3"/>
    <w:rsid w:val="0B75214F"/>
    <w:rsid w:val="0BB9021A"/>
    <w:rsid w:val="0BF83D1A"/>
    <w:rsid w:val="0C4C201D"/>
    <w:rsid w:val="0C64B188"/>
    <w:rsid w:val="0C7CADCC"/>
    <w:rsid w:val="0C84E93F"/>
    <w:rsid w:val="0CFBC33F"/>
    <w:rsid w:val="0D063671"/>
    <w:rsid w:val="0D2356A2"/>
    <w:rsid w:val="0D2B4428"/>
    <w:rsid w:val="0DCFA50D"/>
    <w:rsid w:val="0DE42E43"/>
    <w:rsid w:val="0E1938BA"/>
    <w:rsid w:val="0EC71489"/>
    <w:rsid w:val="0F2DC6BA"/>
    <w:rsid w:val="0F564CA8"/>
    <w:rsid w:val="0FA2562C"/>
    <w:rsid w:val="0FB83AE1"/>
    <w:rsid w:val="0FBBE929"/>
    <w:rsid w:val="100B0962"/>
    <w:rsid w:val="103AF1C7"/>
    <w:rsid w:val="106639DC"/>
    <w:rsid w:val="107C320B"/>
    <w:rsid w:val="10A13857"/>
    <w:rsid w:val="10D2D451"/>
    <w:rsid w:val="10EBC415"/>
    <w:rsid w:val="1101550A"/>
    <w:rsid w:val="11050E9A"/>
    <w:rsid w:val="110AAA1C"/>
    <w:rsid w:val="114FC173"/>
    <w:rsid w:val="11D6B64F"/>
    <w:rsid w:val="11D6F596"/>
    <w:rsid w:val="1202F964"/>
    <w:rsid w:val="120EA101"/>
    <w:rsid w:val="120FA120"/>
    <w:rsid w:val="12283D5F"/>
    <w:rsid w:val="1228439E"/>
    <w:rsid w:val="1230C1A8"/>
    <w:rsid w:val="134990C1"/>
    <w:rsid w:val="1358F13F"/>
    <w:rsid w:val="1378941E"/>
    <w:rsid w:val="13E9B14B"/>
    <w:rsid w:val="14426191"/>
    <w:rsid w:val="1453EB84"/>
    <w:rsid w:val="148466B5"/>
    <w:rsid w:val="1486E756"/>
    <w:rsid w:val="148BAC04"/>
    <w:rsid w:val="149F1013"/>
    <w:rsid w:val="14E3B3F6"/>
    <w:rsid w:val="15167A62"/>
    <w:rsid w:val="152891A0"/>
    <w:rsid w:val="152F51E9"/>
    <w:rsid w:val="1551800C"/>
    <w:rsid w:val="158581AC"/>
    <w:rsid w:val="1590A07B"/>
    <w:rsid w:val="15B5AA9A"/>
    <w:rsid w:val="16119A3C"/>
    <w:rsid w:val="16277C65"/>
    <w:rsid w:val="1638EA0D"/>
    <w:rsid w:val="16ABA246"/>
    <w:rsid w:val="17251F08"/>
    <w:rsid w:val="17496957"/>
    <w:rsid w:val="17534E88"/>
    <w:rsid w:val="17712EB6"/>
    <w:rsid w:val="17CCAFFF"/>
    <w:rsid w:val="17CE61D1"/>
    <w:rsid w:val="17DB271E"/>
    <w:rsid w:val="17DB3E4F"/>
    <w:rsid w:val="18513757"/>
    <w:rsid w:val="18D5F3BF"/>
    <w:rsid w:val="18F87F10"/>
    <w:rsid w:val="1907591C"/>
    <w:rsid w:val="190AA7A8"/>
    <w:rsid w:val="1919E320"/>
    <w:rsid w:val="192E3EED"/>
    <w:rsid w:val="1947E2B3"/>
    <w:rsid w:val="195F4BF5"/>
    <w:rsid w:val="196A3232"/>
    <w:rsid w:val="1A09C730"/>
    <w:rsid w:val="1A1EE0BE"/>
    <w:rsid w:val="1A55AA02"/>
    <w:rsid w:val="1A7B83A5"/>
    <w:rsid w:val="1A84BE91"/>
    <w:rsid w:val="1AB5B381"/>
    <w:rsid w:val="1AE90219"/>
    <w:rsid w:val="1B528193"/>
    <w:rsid w:val="1B8CD4EE"/>
    <w:rsid w:val="1BA76F38"/>
    <w:rsid w:val="1BB4DE04"/>
    <w:rsid w:val="1BE10434"/>
    <w:rsid w:val="1C23477E"/>
    <w:rsid w:val="1C32AE23"/>
    <w:rsid w:val="1C9E22B3"/>
    <w:rsid w:val="1CC0CC3A"/>
    <w:rsid w:val="1CC32FAD"/>
    <w:rsid w:val="1CDB5061"/>
    <w:rsid w:val="1CFCF3A1"/>
    <w:rsid w:val="1D0BDF9F"/>
    <w:rsid w:val="1D35C99F"/>
    <w:rsid w:val="1D3E1B0D"/>
    <w:rsid w:val="1D4167F2"/>
    <w:rsid w:val="1D6516BF"/>
    <w:rsid w:val="1D6CC514"/>
    <w:rsid w:val="1D807A8C"/>
    <w:rsid w:val="1D9A0230"/>
    <w:rsid w:val="1DC73E52"/>
    <w:rsid w:val="1E0202EE"/>
    <w:rsid w:val="1E471A4A"/>
    <w:rsid w:val="1EB44DED"/>
    <w:rsid w:val="1EBC6AE6"/>
    <w:rsid w:val="1ED37947"/>
    <w:rsid w:val="1EEC7EC6"/>
    <w:rsid w:val="1F0AB021"/>
    <w:rsid w:val="1F231F77"/>
    <w:rsid w:val="1F2A46F5"/>
    <w:rsid w:val="1F3C0580"/>
    <w:rsid w:val="1F83F19E"/>
    <w:rsid w:val="1F871BEA"/>
    <w:rsid w:val="1F9D8071"/>
    <w:rsid w:val="1FA237E9"/>
    <w:rsid w:val="1FB3EDC9"/>
    <w:rsid w:val="1FF624C1"/>
    <w:rsid w:val="20141FB4"/>
    <w:rsid w:val="206F26CA"/>
    <w:rsid w:val="20771450"/>
    <w:rsid w:val="20781B07"/>
    <w:rsid w:val="208FC747"/>
    <w:rsid w:val="20A68082"/>
    <w:rsid w:val="20C0C2AB"/>
    <w:rsid w:val="20E21A09"/>
    <w:rsid w:val="213950D2"/>
    <w:rsid w:val="216A838A"/>
    <w:rsid w:val="217D319D"/>
    <w:rsid w:val="218BFEBA"/>
    <w:rsid w:val="21A95AAE"/>
    <w:rsid w:val="220356DE"/>
    <w:rsid w:val="2213EB68"/>
    <w:rsid w:val="222F2D5D"/>
    <w:rsid w:val="22443851"/>
    <w:rsid w:val="2245C579"/>
    <w:rsid w:val="225184E5"/>
    <w:rsid w:val="225AC039"/>
    <w:rsid w:val="2276D011"/>
    <w:rsid w:val="229E247C"/>
    <w:rsid w:val="22A52D38"/>
    <w:rsid w:val="22EF73AB"/>
    <w:rsid w:val="23130578"/>
    <w:rsid w:val="2327CF1B"/>
    <w:rsid w:val="23452B0F"/>
    <w:rsid w:val="235794D6"/>
    <w:rsid w:val="23653151"/>
    <w:rsid w:val="2377A0E8"/>
    <w:rsid w:val="23AEB512"/>
    <w:rsid w:val="23CBEB66"/>
    <w:rsid w:val="23FDFDF7"/>
    <w:rsid w:val="2471320E"/>
    <w:rsid w:val="25449E35"/>
    <w:rsid w:val="254B8C2A"/>
    <w:rsid w:val="255BC04A"/>
    <w:rsid w:val="25D3AC46"/>
    <w:rsid w:val="25D8E576"/>
    <w:rsid w:val="25F22271"/>
    <w:rsid w:val="26073365"/>
    <w:rsid w:val="262174E2"/>
    <w:rsid w:val="2650A2C0"/>
    <w:rsid w:val="2660F5BC"/>
    <w:rsid w:val="268F3598"/>
    <w:rsid w:val="26D52D90"/>
    <w:rsid w:val="26F4D17A"/>
    <w:rsid w:val="276229E1"/>
    <w:rsid w:val="2783FD73"/>
    <w:rsid w:val="278FBCD7"/>
    <w:rsid w:val="27A89256"/>
    <w:rsid w:val="27B34FE4"/>
    <w:rsid w:val="27B92708"/>
    <w:rsid w:val="27D119EE"/>
    <w:rsid w:val="27E15E16"/>
    <w:rsid w:val="27FB403E"/>
    <w:rsid w:val="2818CB13"/>
    <w:rsid w:val="284712F6"/>
    <w:rsid w:val="286F0D92"/>
    <w:rsid w:val="28C105D2"/>
    <w:rsid w:val="294462B7"/>
    <w:rsid w:val="29884382"/>
    <w:rsid w:val="298D2461"/>
    <w:rsid w:val="2997109F"/>
    <w:rsid w:val="2A114709"/>
    <w:rsid w:val="2A2C30A8"/>
    <w:rsid w:val="2A906179"/>
    <w:rsid w:val="2AB986DA"/>
    <w:rsid w:val="2ABCD896"/>
    <w:rsid w:val="2ADB5E55"/>
    <w:rsid w:val="2AFA8590"/>
    <w:rsid w:val="2C7C0379"/>
    <w:rsid w:val="2CB4CF39"/>
    <w:rsid w:val="2D70B52F"/>
    <w:rsid w:val="2D76CC7B"/>
    <w:rsid w:val="2D97E29E"/>
    <w:rsid w:val="2DA690F1"/>
    <w:rsid w:val="2DC27454"/>
    <w:rsid w:val="2DD5EF38"/>
    <w:rsid w:val="2E0D3CF2"/>
    <w:rsid w:val="2E17D3DA"/>
    <w:rsid w:val="2E226E7C"/>
    <w:rsid w:val="2E6560BC"/>
    <w:rsid w:val="2E77C053"/>
    <w:rsid w:val="2E838290"/>
    <w:rsid w:val="2E9A5B0D"/>
    <w:rsid w:val="2F293FA9"/>
    <w:rsid w:val="2F572C81"/>
    <w:rsid w:val="2F57C8A5"/>
    <w:rsid w:val="2F8B547A"/>
    <w:rsid w:val="2FB3A43B"/>
    <w:rsid w:val="2FC14B05"/>
    <w:rsid w:val="2FDFA427"/>
    <w:rsid w:val="2FF78506"/>
    <w:rsid w:val="3006A360"/>
    <w:rsid w:val="3012B743"/>
    <w:rsid w:val="305491AE"/>
    <w:rsid w:val="307EDB32"/>
    <w:rsid w:val="30D21F9C"/>
    <w:rsid w:val="30D3A90B"/>
    <w:rsid w:val="30F30240"/>
    <w:rsid w:val="314F749C"/>
    <w:rsid w:val="315470AF"/>
    <w:rsid w:val="316F17FF"/>
    <w:rsid w:val="3199EDB2"/>
    <w:rsid w:val="319D54BF"/>
    <w:rsid w:val="3229087B"/>
    <w:rsid w:val="3239056A"/>
    <w:rsid w:val="326DE4CE"/>
    <w:rsid w:val="32A8FA27"/>
    <w:rsid w:val="32BF5FFD"/>
    <w:rsid w:val="32C741F0"/>
    <w:rsid w:val="32DE78EC"/>
    <w:rsid w:val="332410BD"/>
    <w:rsid w:val="33391407"/>
    <w:rsid w:val="33519305"/>
    <w:rsid w:val="3399A3AA"/>
    <w:rsid w:val="34214290"/>
    <w:rsid w:val="3482CF01"/>
    <w:rsid w:val="34849A36"/>
    <w:rsid w:val="354444A8"/>
    <w:rsid w:val="355E5051"/>
    <w:rsid w:val="35EE663B"/>
    <w:rsid w:val="35F60441"/>
    <w:rsid w:val="36206AE4"/>
    <w:rsid w:val="36450F53"/>
    <w:rsid w:val="365FB0D6"/>
    <w:rsid w:val="36F4EE87"/>
    <w:rsid w:val="373F3A7D"/>
    <w:rsid w:val="37447F84"/>
    <w:rsid w:val="37809D73"/>
    <w:rsid w:val="3786B3A2"/>
    <w:rsid w:val="37B32022"/>
    <w:rsid w:val="37D71434"/>
    <w:rsid w:val="37E023A0"/>
    <w:rsid w:val="37F03C91"/>
    <w:rsid w:val="37FCE267"/>
    <w:rsid w:val="38B84381"/>
    <w:rsid w:val="38FB44F0"/>
    <w:rsid w:val="393FF2C6"/>
    <w:rsid w:val="397957B2"/>
    <w:rsid w:val="39E75E28"/>
    <w:rsid w:val="3A23E640"/>
    <w:rsid w:val="3A341A60"/>
    <w:rsid w:val="3A7A8B51"/>
    <w:rsid w:val="3ABA20C0"/>
    <w:rsid w:val="3AC8A8DF"/>
    <w:rsid w:val="3ADD7834"/>
    <w:rsid w:val="3AFE3A38"/>
    <w:rsid w:val="3AFF4AA6"/>
    <w:rsid w:val="3B3CCD9B"/>
    <w:rsid w:val="3BF4EAAF"/>
    <w:rsid w:val="3CB550CC"/>
    <w:rsid w:val="3D19AC0A"/>
    <w:rsid w:val="3D1D8BF5"/>
    <w:rsid w:val="3D32D411"/>
    <w:rsid w:val="3D6917E4"/>
    <w:rsid w:val="3DECA59E"/>
    <w:rsid w:val="3E09FB3A"/>
    <w:rsid w:val="3E4655B8"/>
    <w:rsid w:val="3E553FB1"/>
    <w:rsid w:val="3EAE7385"/>
    <w:rsid w:val="3ED859C7"/>
    <w:rsid w:val="3F08923A"/>
    <w:rsid w:val="3F4B6267"/>
    <w:rsid w:val="3F57ADCA"/>
    <w:rsid w:val="3F812B44"/>
    <w:rsid w:val="3F874555"/>
    <w:rsid w:val="3F91D9C5"/>
    <w:rsid w:val="404567D8"/>
    <w:rsid w:val="408A5665"/>
    <w:rsid w:val="408B07A8"/>
    <w:rsid w:val="40C6E499"/>
    <w:rsid w:val="40D1FF86"/>
    <w:rsid w:val="410B754E"/>
    <w:rsid w:val="41255C18"/>
    <w:rsid w:val="412AD6C0"/>
    <w:rsid w:val="412FFCDC"/>
    <w:rsid w:val="417DF67A"/>
    <w:rsid w:val="41819B76"/>
    <w:rsid w:val="4193DECF"/>
    <w:rsid w:val="41F426D9"/>
    <w:rsid w:val="420FE6A6"/>
    <w:rsid w:val="422489C0"/>
    <w:rsid w:val="422626C6"/>
    <w:rsid w:val="42346430"/>
    <w:rsid w:val="4245FD6A"/>
    <w:rsid w:val="426B3898"/>
    <w:rsid w:val="42A51A09"/>
    <w:rsid w:val="42CCD1F4"/>
    <w:rsid w:val="42DC0907"/>
    <w:rsid w:val="42E5FBCB"/>
    <w:rsid w:val="4315396B"/>
    <w:rsid w:val="43E2B148"/>
    <w:rsid w:val="43ECF0DA"/>
    <w:rsid w:val="4442F6A6"/>
    <w:rsid w:val="449F138A"/>
    <w:rsid w:val="44AA6790"/>
    <w:rsid w:val="44B5973C"/>
    <w:rsid w:val="44BBD615"/>
    <w:rsid w:val="44D17126"/>
    <w:rsid w:val="44FC082D"/>
    <w:rsid w:val="4515EE9D"/>
    <w:rsid w:val="451E794B"/>
    <w:rsid w:val="452DA0C2"/>
    <w:rsid w:val="45476A2E"/>
    <w:rsid w:val="456104CE"/>
    <w:rsid w:val="460D458F"/>
    <w:rsid w:val="4683BFDC"/>
    <w:rsid w:val="46D340B7"/>
    <w:rsid w:val="46D4E785"/>
    <w:rsid w:val="46FC12AA"/>
    <w:rsid w:val="4763646C"/>
    <w:rsid w:val="47720BB2"/>
    <w:rsid w:val="47807683"/>
    <w:rsid w:val="47839932"/>
    <w:rsid w:val="47847C2B"/>
    <w:rsid w:val="47F6EC45"/>
    <w:rsid w:val="482116DF"/>
    <w:rsid w:val="487A165F"/>
    <w:rsid w:val="48AC468C"/>
    <w:rsid w:val="492E1625"/>
    <w:rsid w:val="496781D9"/>
    <w:rsid w:val="497403CD"/>
    <w:rsid w:val="49D766D6"/>
    <w:rsid w:val="4A533267"/>
    <w:rsid w:val="4A63A2F5"/>
    <w:rsid w:val="4A8410A1"/>
    <w:rsid w:val="4AAD21E2"/>
    <w:rsid w:val="4AF852DF"/>
    <w:rsid w:val="4B34DCF2"/>
    <w:rsid w:val="4B3ADBBC"/>
    <w:rsid w:val="4B3E011D"/>
    <w:rsid w:val="4B58C2E9"/>
    <w:rsid w:val="4B90B1A6"/>
    <w:rsid w:val="4BD39D3E"/>
    <w:rsid w:val="4BE71542"/>
    <w:rsid w:val="4C32A6EC"/>
    <w:rsid w:val="4C80C1CE"/>
    <w:rsid w:val="4C8379FC"/>
    <w:rsid w:val="4C891374"/>
    <w:rsid w:val="4C9BDB0F"/>
    <w:rsid w:val="4CC0A921"/>
    <w:rsid w:val="4D62A90E"/>
    <w:rsid w:val="4D82E5A3"/>
    <w:rsid w:val="4D9D5E14"/>
    <w:rsid w:val="4DAF52E0"/>
    <w:rsid w:val="4DD2ABEB"/>
    <w:rsid w:val="4E16A886"/>
    <w:rsid w:val="4E208C69"/>
    <w:rsid w:val="4E32BA9E"/>
    <w:rsid w:val="4E56DE0D"/>
    <w:rsid w:val="4E98AA30"/>
    <w:rsid w:val="4EAAD7F9"/>
    <w:rsid w:val="4EF1B315"/>
    <w:rsid w:val="4F033D08"/>
    <w:rsid w:val="4F515BF8"/>
    <w:rsid w:val="4F6AAD26"/>
    <w:rsid w:val="4FCC3F14"/>
    <w:rsid w:val="5046A85A"/>
    <w:rsid w:val="5088E188"/>
    <w:rsid w:val="50B13914"/>
    <w:rsid w:val="50BA8665"/>
    <w:rsid w:val="50C273EB"/>
    <w:rsid w:val="51022154"/>
    <w:rsid w:val="512D731B"/>
    <w:rsid w:val="519573D9"/>
    <w:rsid w:val="51AC8A2C"/>
    <w:rsid w:val="51AD42A1"/>
    <w:rsid w:val="51F1D014"/>
    <w:rsid w:val="5200F740"/>
    <w:rsid w:val="521C92ED"/>
    <w:rsid w:val="523320D6"/>
    <w:rsid w:val="523DEDC1"/>
    <w:rsid w:val="525649E3"/>
    <w:rsid w:val="5270A93E"/>
    <w:rsid w:val="5275FA29"/>
    <w:rsid w:val="52A73EFE"/>
    <w:rsid w:val="52B0F234"/>
    <w:rsid w:val="52DCC184"/>
    <w:rsid w:val="5304ADFA"/>
    <w:rsid w:val="532BCC87"/>
    <w:rsid w:val="537E491C"/>
    <w:rsid w:val="53B321C3"/>
    <w:rsid w:val="53BE65D5"/>
    <w:rsid w:val="53C34947"/>
    <w:rsid w:val="540A853B"/>
    <w:rsid w:val="54436FD9"/>
    <w:rsid w:val="544CC295"/>
    <w:rsid w:val="546C8691"/>
    <w:rsid w:val="549E2EFE"/>
    <w:rsid w:val="54CC37EB"/>
    <w:rsid w:val="552C7145"/>
    <w:rsid w:val="55747004"/>
    <w:rsid w:val="55BF0893"/>
    <w:rsid w:val="55E1EFBD"/>
    <w:rsid w:val="55F791F3"/>
    <w:rsid w:val="560F4900"/>
    <w:rsid w:val="563E9B6B"/>
    <w:rsid w:val="56575747"/>
    <w:rsid w:val="569BF3A2"/>
    <w:rsid w:val="56D6CC7B"/>
    <w:rsid w:val="56F9A576"/>
    <w:rsid w:val="57094FDA"/>
    <w:rsid w:val="57286E48"/>
    <w:rsid w:val="575C6DDD"/>
    <w:rsid w:val="57A26E51"/>
    <w:rsid w:val="57C3DCC6"/>
    <w:rsid w:val="57DFD0E7"/>
    <w:rsid w:val="57ECC7E4"/>
    <w:rsid w:val="57FC1C08"/>
    <w:rsid w:val="583891E2"/>
    <w:rsid w:val="585783BD"/>
    <w:rsid w:val="58CEAFEB"/>
    <w:rsid w:val="59516746"/>
    <w:rsid w:val="599262EB"/>
    <w:rsid w:val="5A12A4C4"/>
    <w:rsid w:val="5A4C19D3"/>
    <w:rsid w:val="5A559D10"/>
    <w:rsid w:val="5A5E3D45"/>
    <w:rsid w:val="5AA2FD81"/>
    <w:rsid w:val="5AD4ABE9"/>
    <w:rsid w:val="5AE5B2D7"/>
    <w:rsid w:val="5B3AFC8A"/>
    <w:rsid w:val="5B60A56B"/>
    <w:rsid w:val="5BF16D71"/>
    <w:rsid w:val="5C62328C"/>
    <w:rsid w:val="5CE9F433"/>
    <w:rsid w:val="5CF4453F"/>
    <w:rsid w:val="5D0C0305"/>
    <w:rsid w:val="5D4A4586"/>
    <w:rsid w:val="5DA2210E"/>
    <w:rsid w:val="5DEB4DBF"/>
    <w:rsid w:val="5E247F47"/>
    <w:rsid w:val="5EA93DFD"/>
    <w:rsid w:val="5EB6A339"/>
    <w:rsid w:val="5EE615E7"/>
    <w:rsid w:val="5EFA7C7E"/>
    <w:rsid w:val="5F66603F"/>
    <w:rsid w:val="5F9BC1D0"/>
    <w:rsid w:val="5FACD130"/>
    <w:rsid w:val="606CB829"/>
    <w:rsid w:val="6079F14D"/>
    <w:rsid w:val="6081E648"/>
    <w:rsid w:val="60E25059"/>
    <w:rsid w:val="6179570E"/>
    <w:rsid w:val="6184B720"/>
    <w:rsid w:val="6199AB7F"/>
    <w:rsid w:val="61E41085"/>
    <w:rsid w:val="61F71316"/>
    <w:rsid w:val="626CB558"/>
    <w:rsid w:val="6284D8A4"/>
    <w:rsid w:val="62C91E26"/>
    <w:rsid w:val="6335DA4F"/>
    <w:rsid w:val="6335E8A3"/>
    <w:rsid w:val="638150B6"/>
    <w:rsid w:val="63F87813"/>
    <w:rsid w:val="64103877"/>
    <w:rsid w:val="646DDA17"/>
    <w:rsid w:val="64BE6C85"/>
    <w:rsid w:val="64D1AAB0"/>
    <w:rsid w:val="64DB2EFB"/>
    <w:rsid w:val="64F27334"/>
    <w:rsid w:val="65C65B50"/>
    <w:rsid w:val="65E54D34"/>
    <w:rsid w:val="65F5BA8C"/>
    <w:rsid w:val="6621C425"/>
    <w:rsid w:val="6638AA9D"/>
    <w:rsid w:val="663E24DA"/>
    <w:rsid w:val="6675FF1F"/>
    <w:rsid w:val="667AA4D9"/>
    <w:rsid w:val="66AFC6F3"/>
    <w:rsid w:val="66D36B64"/>
    <w:rsid w:val="66DAD958"/>
    <w:rsid w:val="66EDC9C6"/>
    <w:rsid w:val="66F871B0"/>
    <w:rsid w:val="66FCA08D"/>
    <w:rsid w:val="6716E108"/>
    <w:rsid w:val="672455E3"/>
    <w:rsid w:val="67490354"/>
    <w:rsid w:val="67918AED"/>
    <w:rsid w:val="6805379C"/>
    <w:rsid w:val="6846F386"/>
    <w:rsid w:val="68A2A327"/>
    <w:rsid w:val="68AB8268"/>
    <w:rsid w:val="68D0B9B8"/>
    <w:rsid w:val="691C077D"/>
    <w:rsid w:val="692ABAD9"/>
    <w:rsid w:val="69A51BD3"/>
    <w:rsid w:val="6A202DA4"/>
    <w:rsid w:val="6A5FD5AE"/>
    <w:rsid w:val="6A640D0D"/>
    <w:rsid w:val="6A9DD6A2"/>
    <w:rsid w:val="6ABE9C8C"/>
    <w:rsid w:val="6AFDF552"/>
    <w:rsid w:val="6B4AAFB2"/>
    <w:rsid w:val="6B5FDEFF"/>
    <w:rsid w:val="6B6E98A8"/>
    <w:rsid w:val="6B84CCFF"/>
    <w:rsid w:val="6B86566E"/>
    <w:rsid w:val="6BA5E046"/>
    <w:rsid w:val="6BDC8834"/>
    <w:rsid w:val="6BE19C56"/>
    <w:rsid w:val="6C109232"/>
    <w:rsid w:val="6C1A8013"/>
    <w:rsid w:val="6C25DC11"/>
    <w:rsid w:val="6C625B9B"/>
    <w:rsid w:val="6C74B81D"/>
    <w:rsid w:val="6CA01243"/>
    <w:rsid w:val="6CD84743"/>
    <w:rsid w:val="6CDCBC95"/>
    <w:rsid w:val="6CE03453"/>
    <w:rsid w:val="6CEBDF07"/>
    <w:rsid w:val="6D2226CF"/>
    <w:rsid w:val="6D8599EC"/>
    <w:rsid w:val="6DFC00ED"/>
    <w:rsid w:val="6E8D9174"/>
    <w:rsid w:val="6EAE26F0"/>
    <w:rsid w:val="6EAE68C5"/>
    <w:rsid w:val="6EBC6DC1"/>
    <w:rsid w:val="6EF6F510"/>
    <w:rsid w:val="6F038A7C"/>
    <w:rsid w:val="6F228905"/>
    <w:rsid w:val="6F6C4FE9"/>
    <w:rsid w:val="6F8330DF"/>
    <w:rsid w:val="6F837475"/>
    <w:rsid w:val="6F9891C6"/>
    <w:rsid w:val="6F99FC5D"/>
    <w:rsid w:val="6FB2B9C2"/>
    <w:rsid w:val="6FCC40E8"/>
    <w:rsid w:val="6FF39626"/>
    <w:rsid w:val="700A2B32"/>
    <w:rsid w:val="70145D57"/>
    <w:rsid w:val="70528CDF"/>
    <w:rsid w:val="70A3383D"/>
    <w:rsid w:val="70A6E5A1"/>
    <w:rsid w:val="70D28AA8"/>
    <w:rsid w:val="711CA461"/>
    <w:rsid w:val="711F8EFC"/>
    <w:rsid w:val="714ED593"/>
    <w:rsid w:val="71AF49DF"/>
    <w:rsid w:val="71C95615"/>
    <w:rsid w:val="71F9F1BB"/>
    <w:rsid w:val="72105443"/>
    <w:rsid w:val="72373EB5"/>
    <w:rsid w:val="727B380C"/>
    <w:rsid w:val="72D30A59"/>
    <w:rsid w:val="730C79E2"/>
    <w:rsid w:val="7311CD7F"/>
    <w:rsid w:val="731C5881"/>
    <w:rsid w:val="7341CBF4"/>
    <w:rsid w:val="7353A10C"/>
    <w:rsid w:val="736AF0E4"/>
    <w:rsid w:val="736FA2C8"/>
    <w:rsid w:val="73B7D45E"/>
    <w:rsid w:val="73C81157"/>
    <w:rsid w:val="73C8E71D"/>
    <w:rsid w:val="73EC74C8"/>
    <w:rsid w:val="73F5071E"/>
    <w:rsid w:val="743EBA55"/>
    <w:rsid w:val="7447AE92"/>
    <w:rsid w:val="74777B4A"/>
    <w:rsid w:val="747B0438"/>
    <w:rsid w:val="74852B46"/>
    <w:rsid w:val="7489C7A3"/>
    <w:rsid w:val="748DD3C4"/>
    <w:rsid w:val="74A17603"/>
    <w:rsid w:val="74E7CE22"/>
    <w:rsid w:val="74ED7452"/>
    <w:rsid w:val="74ED98E8"/>
    <w:rsid w:val="74EFBC00"/>
    <w:rsid w:val="752BAF45"/>
    <w:rsid w:val="758427A6"/>
    <w:rsid w:val="75992339"/>
    <w:rsid w:val="75B85DBC"/>
    <w:rsid w:val="75C356BD"/>
    <w:rsid w:val="75D84C97"/>
    <w:rsid w:val="75DA8AB6"/>
    <w:rsid w:val="75DB916D"/>
    <w:rsid w:val="7620FBA7"/>
    <w:rsid w:val="76339ABA"/>
    <w:rsid w:val="7646BFB9"/>
    <w:rsid w:val="7661C30C"/>
    <w:rsid w:val="768665AC"/>
    <w:rsid w:val="76D4C0B7"/>
    <w:rsid w:val="77BC917A"/>
    <w:rsid w:val="78AB097D"/>
    <w:rsid w:val="7913498C"/>
    <w:rsid w:val="793F740C"/>
    <w:rsid w:val="794DDCBB"/>
    <w:rsid w:val="79B076F0"/>
    <w:rsid w:val="79B98479"/>
    <w:rsid w:val="79D55834"/>
    <w:rsid w:val="79E066B6"/>
    <w:rsid w:val="79ED9011"/>
    <w:rsid w:val="79FF2068"/>
    <w:rsid w:val="7A1B751A"/>
    <w:rsid w:val="7A9C56F0"/>
    <w:rsid w:val="7AA40651"/>
    <w:rsid w:val="7ACD25F6"/>
    <w:rsid w:val="7B508AE8"/>
    <w:rsid w:val="7B716276"/>
    <w:rsid w:val="7B82E5C3"/>
    <w:rsid w:val="7BFC09F4"/>
    <w:rsid w:val="7C6D38DC"/>
    <w:rsid w:val="7D2AF147"/>
    <w:rsid w:val="7D5C62B3"/>
    <w:rsid w:val="7DA9D767"/>
    <w:rsid w:val="7DD65628"/>
    <w:rsid w:val="7DFB2769"/>
    <w:rsid w:val="7E06C085"/>
    <w:rsid w:val="7E36728E"/>
    <w:rsid w:val="7EA90338"/>
    <w:rsid w:val="7ECB712B"/>
    <w:rsid w:val="7ED8EA28"/>
    <w:rsid w:val="7F0B933B"/>
    <w:rsid w:val="7F445F1A"/>
    <w:rsid w:val="7F76A7C9"/>
    <w:rsid w:val="7FE42D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06868"/>
  <w15:docId w15:val="{5F231E6B-0008-4C1F-9D71-31FCBB8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150"/>
    <w:rPr>
      <w:rFonts w:ascii="Arial" w:hAnsi="Arial"/>
      <w:szCs w:val="24"/>
      <w:lang w:eastAsia="en-US"/>
    </w:rPr>
  </w:style>
  <w:style w:type="paragraph" w:styleId="Heading1">
    <w:name w:val="heading 1"/>
    <w:aliases w:val="Centre"/>
    <w:basedOn w:val="Normal"/>
    <w:next w:val="Normal"/>
    <w:rsid w:val="00200CB7"/>
    <w:pPr>
      <w:keepNext/>
      <w:jc w:val="center"/>
      <w:outlineLvl w:val="0"/>
    </w:pPr>
    <w:rPr>
      <w:rFonts w:cs="Arial"/>
      <w:b/>
      <w:bCs/>
      <w:caps/>
      <w:kern w:val="32"/>
      <w:sz w:val="28"/>
      <w:szCs w:val="32"/>
    </w:rPr>
  </w:style>
  <w:style w:type="paragraph" w:styleId="Heading2">
    <w:name w:val="heading 2"/>
    <w:aliases w:val="Left"/>
    <w:basedOn w:val="Normal"/>
    <w:next w:val="Normal"/>
    <w:rsid w:val="00200CB7"/>
    <w:pPr>
      <w:keepNext/>
      <w:outlineLvl w:val="1"/>
    </w:pPr>
    <w:rPr>
      <w:rFonts w:cs="Arial"/>
      <w:b/>
      <w:bCs/>
      <w:iCs/>
      <w:caps/>
      <w:szCs w:val="28"/>
    </w:rPr>
  </w:style>
  <w:style w:type="paragraph" w:styleId="Heading3">
    <w:name w:val="heading 3"/>
    <w:aliases w:val="Sub"/>
    <w:basedOn w:val="Normal"/>
    <w:next w:val="Normal"/>
    <w:rsid w:val="00200CB7"/>
    <w:pPr>
      <w:keepNext/>
      <w:outlineLvl w:val="2"/>
    </w:pPr>
    <w:rPr>
      <w:rFonts w:cs="Arial"/>
      <w:b/>
      <w:bCs/>
      <w:szCs w:val="26"/>
    </w:rPr>
  </w:style>
  <w:style w:type="paragraph" w:styleId="Heading4">
    <w:name w:val="heading 4"/>
    <w:basedOn w:val="Normal"/>
    <w:next w:val="Normal"/>
    <w:rsid w:val="002C406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FF1AFB"/>
    <w:pPr>
      <w:numPr>
        <w:numId w:val="3"/>
      </w:numPr>
      <w:tabs>
        <w:tab w:val="clear" w:pos="-31680"/>
        <w:tab w:val="num" w:pos="360"/>
      </w:tabs>
      <w:ind w:left="0" w:firstLine="0"/>
      <w:contextualSpacing/>
    </w:pPr>
  </w:style>
  <w:style w:type="character" w:customStyle="1" w:styleId="ONRNormalChar">
    <w:name w:val="ONR Normal Char"/>
    <w:link w:val="ONRNormal"/>
    <w:rsid w:val="00145150"/>
    <w:rPr>
      <w:rFonts w:ascii="Arial" w:hAnsi="Arial" w:cs="Arial"/>
      <w:szCs w:val="22"/>
      <w:lang w:val="en-GB" w:eastAsia="en-US" w:bidi="ar-SA"/>
    </w:rPr>
  </w:style>
  <w:style w:type="paragraph" w:customStyle="1" w:styleId="Number">
    <w:name w:val="Number"/>
    <w:basedOn w:val="Normal"/>
    <w:rsid w:val="00030D3C"/>
    <w:pPr>
      <w:numPr>
        <w:numId w:val="5"/>
      </w:numPr>
    </w:pPr>
  </w:style>
  <w:style w:type="paragraph" w:customStyle="1" w:styleId="Numbera">
    <w:name w:val="Number a)"/>
    <w:basedOn w:val="Normal"/>
    <w:rsid w:val="00200CB7"/>
    <w:pPr>
      <w:numPr>
        <w:numId w:val="6"/>
      </w:numPr>
    </w:pPr>
  </w:style>
  <w:style w:type="paragraph" w:customStyle="1" w:styleId="Numberi">
    <w:name w:val="Number i)"/>
    <w:basedOn w:val="Normal"/>
    <w:rsid w:val="00200CB7"/>
    <w:pPr>
      <w:numPr>
        <w:numId w:val="7"/>
      </w:numPr>
    </w:pPr>
  </w:style>
  <w:style w:type="table" w:styleId="TableGrid">
    <w:name w:val="Table Grid"/>
    <w:basedOn w:val="TableNormal"/>
    <w:uiPriority w:val="5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customStyle="1" w:styleId="ONRTableTextStyle-Normal">
    <w:name w:val="ONR Table Text Style - Normal"/>
    <w:basedOn w:val="ONRNormal"/>
    <w:locked/>
    <w:rsid w:val="00145150"/>
    <w:pPr>
      <w:spacing w:after="0"/>
    </w:pPr>
    <w:rPr>
      <w:iCs/>
    </w:rPr>
  </w:style>
  <w:style w:type="paragraph" w:customStyle="1" w:styleId="ONRNormal">
    <w:name w:val="ONR Normal"/>
    <w:link w:val="ONRNormalChar"/>
    <w:locked/>
    <w:rsid w:val="00145150"/>
    <w:pPr>
      <w:spacing w:after="120"/>
    </w:pPr>
    <w:rPr>
      <w:rFonts w:ascii="Arial" w:hAnsi="Arial" w:cs="Arial"/>
      <w:szCs w:val="22"/>
      <w:lang w:eastAsia="en-US"/>
    </w:rPr>
  </w:style>
  <w:style w:type="paragraph" w:styleId="Header">
    <w:name w:val="header"/>
    <w:basedOn w:val="Normal"/>
    <w:rsid w:val="00603B6A"/>
    <w:pPr>
      <w:tabs>
        <w:tab w:val="center" w:pos="4153"/>
        <w:tab w:val="right" w:pos="8306"/>
      </w:tabs>
    </w:pPr>
  </w:style>
  <w:style w:type="paragraph" w:styleId="Footer">
    <w:name w:val="footer"/>
    <w:basedOn w:val="Normal"/>
    <w:link w:val="FooterChar"/>
    <w:rsid w:val="00603B6A"/>
    <w:pPr>
      <w:tabs>
        <w:tab w:val="center" w:pos="4153"/>
        <w:tab w:val="right" w:pos="8306"/>
      </w:tabs>
    </w:pPr>
  </w:style>
  <w:style w:type="paragraph" w:customStyle="1" w:styleId="DefaultText1">
    <w:name w:val="Default Text:1"/>
    <w:basedOn w:val="Normal"/>
    <w:rsid w:val="002C4068"/>
    <w:pPr>
      <w:overflowPunct w:val="0"/>
      <w:autoSpaceDE w:val="0"/>
      <w:autoSpaceDN w:val="0"/>
      <w:adjustRightInd w:val="0"/>
      <w:jc w:val="both"/>
      <w:textAlignment w:val="baseline"/>
    </w:pPr>
    <w:rPr>
      <w:rFonts w:ascii="Times New Roman" w:hAnsi="Times New Roman"/>
      <w:sz w:val="24"/>
      <w:szCs w:val="20"/>
      <w:lang w:val="en-US"/>
    </w:rPr>
  </w:style>
  <w:style w:type="paragraph" w:customStyle="1" w:styleId="DefaultText">
    <w:name w:val="Default Text"/>
    <w:basedOn w:val="Normal"/>
    <w:rsid w:val="002C4068"/>
    <w:pPr>
      <w:overflowPunct w:val="0"/>
      <w:autoSpaceDE w:val="0"/>
      <w:autoSpaceDN w:val="0"/>
      <w:adjustRightInd w:val="0"/>
      <w:jc w:val="both"/>
      <w:textAlignment w:val="baseline"/>
    </w:pPr>
    <w:rPr>
      <w:rFonts w:ascii="Times New Roman" w:hAnsi="Times New Roman"/>
      <w:sz w:val="24"/>
      <w:szCs w:val="20"/>
      <w:lang w:val="en-US"/>
    </w:rPr>
  </w:style>
  <w:style w:type="paragraph" w:customStyle="1" w:styleId="Pane1">
    <w:name w:val="Pane 1"/>
    <w:basedOn w:val="Normal"/>
    <w:rsid w:val="002C4068"/>
    <w:pPr>
      <w:framePr w:hSpace="57" w:wrap="around" w:hAnchor="margin" w:x="1" w:y="1"/>
    </w:pPr>
    <w:rPr>
      <w:szCs w:val="20"/>
    </w:rPr>
  </w:style>
  <w:style w:type="paragraph" w:customStyle="1" w:styleId="TableText">
    <w:name w:val="Table Text"/>
    <w:basedOn w:val="Normal"/>
    <w:rsid w:val="002C4068"/>
    <w:pPr>
      <w:overflowPunct w:val="0"/>
      <w:autoSpaceDE w:val="0"/>
      <w:autoSpaceDN w:val="0"/>
      <w:adjustRightInd w:val="0"/>
      <w:jc w:val="both"/>
      <w:textAlignment w:val="baseline"/>
    </w:pPr>
    <w:rPr>
      <w:rFonts w:ascii="TimesNewRomanPS" w:hAnsi="TimesNewRomanPS"/>
      <w:sz w:val="24"/>
      <w:szCs w:val="20"/>
      <w:lang w:val="en-US"/>
    </w:rPr>
  </w:style>
  <w:style w:type="paragraph" w:styleId="BalloonText">
    <w:name w:val="Balloon Text"/>
    <w:basedOn w:val="Normal"/>
    <w:semiHidden/>
    <w:rsid w:val="000F038F"/>
    <w:rPr>
      <w:rFonts w:ascii="Tahoma" w:hAnsi="Tahoma" w:cs="Tahoma"/>
      <w:sz w:val="16"/>
      <w:szCs w:val="16"/>
    </w:rPr>
  </w:style>
  <w:style w:type="paragraph" w:customStyle="1" w:styleId="ONRSquareBullet1">
    <w:name w:val="ONR Square Bullet 1"/>
    <w:basedOn w:val="Normal"/>
    <w:rsid w:val="004F02C6"/>
    <w:pPr>
      <w:numPr>
        <w:numId w:val="15"/>
      </w:numPr>
      <w:spacing w:after="120"/>
    </w:pPr>
    <w:rPr>
      <w:rFonts w:cs="Arial"/>
      <w:sz w:val="22"/>
      <w:szCs w:val="22"/>
    </w:rPr>
  </w:style>
  <w:style w:type="character" w:styleId="CommentReference">
    <w:name w:val="annotation reference"/>
    <w:semiHidden/>
    <w:rsid w:val="00192FEC"/>
    <w:rPr>
      <w:sz w:val="16"/>
      <w:szCs w:val="16"/>
    </w:rPr>
  </w:style>
  <w:style w:type="paragraph" w:styleId="CommentText">
    <w:name w:val="annotation text"/>
    <w:basedOn w:val="Normal"/>
    <w:semiHidden/>
    <w:rsid w:val="00192FEC"/>
    <w:rPr>
      <w:szCs w:val="20"/>
    </w:rPr>
  </w:style>
  <w:style w:type="paragraph" w:styleId="CommentSubject">
    <w:name w:val="annotation subject"/>
    <w:basedOn w:val="CommentText"/>
    <w:next w:val="CommentText"/>
    <w:semiHidden/>
    <w:rsid w:val="00192FEC"/>
    <w:rPr>
      <w:b/>
      <w:bCs/>
    </w:rPr>
  </w:style>
  <w:style w:type="character" w:styleId="Hyperlink">
    <w:name w:val="Hyperlink"/>
    <w:basedOn w:val="DefaultParagraphFont"/>
    <w:rsid w:val="00A848E3"/>
    <w:rPr>
      <w:color w:val="0000FF" w:themeColor="hyperlink"/>
      <w:u w:val="single"/>
    </w:rPr>
  </w:style>
  <w:style w:type="paragraph" w:customStyle="1" w:styleId="Default">
    <w:name w:val="Default"/>
    <w:rsid w:val="00751674"/>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E03887"/>
    <w:pPr>
      <w:spacing w:before="240" w:after="120" w:line="252" w:lineRule="auto"/>
    </w:pPr>
    <w:rPr>
      <w:sz w:val="24"/>
      <w:szCs w:val="32"/>
    </w:rPr>
  </w:style>
  <w:style w:type="character" w:customStyle="1" w:styleId="ListParagraphChar">
    <w:name w:val="List Paragraph Char"/>
    <w:link w:val="ListParagraph"/>
    <w:uiPriority w:val="34"/>
    <w:locked/>
    <w:rsid w:val="00E03887"/>
    <w:rPr>
      <w:rFonts w:ascii="Arial" w:hAnsi="Arial"/>
      <w:sz w:val="24"/>
      <w:szCs w:val="32"/>
      <w:lang w:eastAsia="en-US"/>
    </w:rPr>
  </w:style>
  <w:style w:type="paragraph" w:styleId="Revision">
    <w:name w:val="Revision"/>
    <w:hidden/>
    <w:uiPriority w:val="99"/>
    <w:semiHidden/>
    <w:rsid w:val="005A1CE9"/>
    <w:rPr>
      <w:rFonts w:ascii="Arial" w:hAnsi="Arial"/>
      <w:szCs w:val="24"/>
      <w:lang w:eastAsia="en-US"/>
    </w:rPr>
  </w:style>
  <w:style w:type="table" w:customStyle="1" w:styleId="Style1">
    <w:name w:val="Style1"/>
    <w:basedOn w:val="TableNormal"/>
    <w:uiPriority w:val="99"/>
    <w:rsid w:val="000C011F"/>
    <w:pPr>
      <w:spacing w:before="60" w:after="60"/>
    </w:pPr>
    <w:rPr>
      <w:rFonts w:ascii="Arial" w:hAnsi="Arial"/>
      <w:sz w:val="24"/>
      <w:lang w:eastAsia="en-US"/>
    </w:rPr>
    <w:tblPr>
      <w:tblInd w:w="0" w:type="nil"/>
      <w:tblBorders>
        <w:top w:val="single" w:sz="4" w:space="0" w:color="006D68"/>
        <w:left w:val="single" w:sz="4" w:space="0" w:color="006D68"/>
        <w:bottom w:val="single" w:sz="4" w:space="0" w:color="006D68"/>
        <w:right w:val="single" w:sz="4" w:space="0" w:color="006D68"/>
        <w:insideH w:val="single" w:sz="4" w:space="0" w:color="006D68"/>
        <w:insideV w:val="single" w:sz="4" w:space="0" w:color="006D68"/>
      </w:tblBorders>
    </w:tblPr>
    <w:tblStylePr w:type="firstRow">
      <w:rPr>
        <w:rFonts w:ascii="Arial" w:hAnsi="Arial" w:cs="Arial" w:hint="default"/>
        <w:b/>
        <w:color w:val="FFFFFF" w:themeColor="background1"/>
        <w:sz w:val="24"/>
        <w:szCs w:val="24"/>
      </w:rPr>
      <w:tblPr/>
      <w:tcPr>
        <w:shd w:val="clear" w:color="auto" w:fill="006D68"/>
      </w:tcPr>
    </w:tblStylePr>
  </w:style>
  <w:style w:type="character" w:styleId="UnresolvedMention">
    <w:name w:val="Unresolved Mention"/>
    <w:basedOn w:val="DefaultParagraphFont"/>
    <w:uiPriority w:val="99"/>
    <w:semiHidden/>
    <w:unhideWhenUsed/>
    <w:rsid w:val="00A20A09"/>
    <w:rPr>
      <w:color w:val="605E5C"/>
      <w:shd w:val="clear" w:color="auto" w:fill="E1DFDD"/>
    </w:rPr>
  </w:style>
  <w:style w:type="character" w:customStyle="1" w:styleId="FooterChar">
    <w:name w:val="Footer Char"/>
    <w:basedOn w:val="DefaultParagraphFont"/>
    <w:link w:val="Footer"/>
    <w:rsid w:val="009F6636"/>
    <w:rPr>
      <w:rFonts w:ascii="Arial" w:hAnsi="Arial"/>
      <w:szCs w:val="24"/>
      <w:lang w:eastAsia="en-US"/>
    </w:rPr>
  </w:style>
  <w:style w:type="paragraph" w:customStyle="1" w:styleId="Heading-1">
    <w:name w:val="Heading-1"/>
    <w:basedOn w:val="Heading1"/>
    <w:link w:val="Heading-1Char"/>
    <w:qFormat/>
    <w:rsid w:val="006F300F"/>
    <w:pPr>
      <w:spacing w:after="120" w:line="252" w:lineRule="auto"/>
      <w:jc w:val="left"/>
    </w:pPr>
    <w:rPr>
      <w:b w:val="0"/>
      <w:bCs w:val="0"/>
      <w:caps w:val="0"/>
      <w:sz w:val="48"/>
      <w:szCs w:val="48"/>
      <w:lang w:val="en-US"/>
    </w:rPr>
  </w:style>
  <w:style w:type="character" w:customStyle="1" w:styleId="Heading-1Char">
    <w:name w:val="Heading-1 Char"/>
    <w:basedOn w:val="DefaultParagraphFont"/>
    <w:link w:val="Heading-1"/>
    <w:rsid w:val="006F300F"/>
    <w:rPr>
      <w:rFonts w:ascii="Arial" w:hAnsi="Arial" w:cs="Arial"/>
      <w:kern w:val="32"/>
      <w:sz w:val="48"/>
      <w:szCs w:val="48"/>
      <w:lang w:val="en-US" w:eastAsia="en-US"/>
    </w:rPr>
  </w:style>
  <w:style w:type="paragraph" w:styleId="FootnoteText">
    <w:name w:val="footnote text"/>
    <w:basedOn w:val="Normal"/>
    <w:link w:val="FootnoteTextChar"/>
    <w:semiHidden/>
    <w:unhideWhenUsed/>
    <w:rsid w:val="006E22AC"/>
    <w:rPr>
      <w:szCs w:val="20"/>
    </w:rPr>
  </w:style>
  <w:style w:type="character" w:customStyle="1" w:styleId="FootnoteTextChar">
    <w:name w:val="Footnote Text Char"/>
    <w:basedOn w:val="DefaultParagraphFont"/>
    <w:link w:val="FootnoteText"/>
    <w:semiHidden/>
    <w:rsid w:val="006E22AC"/>
    <w:rPr>
      <w:rFonts w:ascii="Arial" w:hAnsi="Arial"/>
      <w:lang w:eastAsia="en-US"/>
    </w:rPr>
  </w:style>
  <w:style w:type="character" w:styleId="FootnoteReference">
    <w:name w:val="footnote reference"/>
    <w:basedOn w:val="DefaultParagraphFont"/>
    <w:semiHidden/>
    <w:unhideWhenUsed/>
    <w:rsid w:val="006E22AC"/>
    <w:rPr>
      <w:vertAlign w:val="superscript"/>
    </w:rPr>
  </w:style>
  <w:style w:type="paragraph" w:customStyle="1" w:styleId="Heading-2">
    <w:name w:val="Heading-2"/>
    <w:basedOn w:val="Heading2"/>
    <w:link w:val="Heading-2Char"/>
    <w:qFormat/>
    <w:rsid w:val="00B449AB"/>
    <w:pPr>
      <w:spacing w:before="240" w:after="120" w:line="252" w:lineRule="auto"/>
      <w:ind w:left="851" w:hanging="851"/>
    </w:pPr>
    <w:rPr>
      <w:rFonts w:eastAsia="Arial"/>
      <w:b w:val="0"/>
      <w:bCs w:val="0"/>
      <w:caps w:val="0"/>
      <w:sz w:val="36"/>
      <w:szCs w:val="36"/>
      <w:lang w:eastAsia="en-GB"/>
    </w:rPr>
  </w:style>
  <w:style w:type="character" w:customStyle="1" w:styleId="Heading-2Char">
    <w:name w:val="Heading-2 Char"/>
    <w:basedOn w:val="Heading-1Char"/>
    <w:link w:val="Heading-2"/>
    <w:rsid w:val="00B449AB"/>
    <w:rPr>
      <w:rFonts w:ascii="Arial" w:eastAsia="Arial" w:hAnsi="Arial" w:cs="Arial"/>
      <w:iCs/>
      <w:kern w:val="32"/>
      <w:sz w:val="36"/>
      <w:szCs w:val="36"/>
      <w:lang w:val="en-US" w:eastAsia="en-US"/>
    </w:rPr>
  </w:style>
  <w:style w:type="character" w:styleId="PlaceholderText">
    <w:name w:val="Placeholder Text"/>
    <w:basedOn w:val="DefaultParagraphFont"/>
    <w:uiPriority w:val="99"/>
    <w:semiHidden/>
    <w:rsid w:val="00DF340F"/>
    <w:rPr>
      <w:color w:val="666666"/>
    </w:rPr>
  </w:style>
  <w:style w:type="table" w:customStyle="1" w:styleId="ONRTable1">
    <w:name w:val="ONR Table 1"/>
    <w:basedOn w:val="TableNormal"/>
    <w:uiPriority w:val="99"/>
    <w:rsid w:val="005331F7"/>
    <w:rPr>
      <w:rFonts w:asciiTheme="minorHAnsi" w:eastAsiaTheme="minorHAnsi" w:hAnsiTheme="minorHAnsi" w:cstheme="minorBidi"/>
      <w:sz w:val="22"/>
      <w:szCs w:val="22"/>
      <w:lang w:eastAsia="en-US"/>
    </w:rPr>
    <w:tblPr>
      <w:tblInd w:w="0" w:type="nil"/>
      <w:tblBorders>
        <w:bottom w:val="single" w:sz="4" w:space="0" w:color="22413A"/>
        <w:insideH w:val="single" w:sz="4" w:space="0" w:color="22413A"/>
        <w:insideV w:val="single" w:sz="4" w:space="0" w:color="22413A"/>
      </w:tblBorders>
      <w:tblCellMar>
        <w:top w:w="57" w:type="dxa"/>
        <w:left w:w="113" w:type="dxa"/>
        <w:bottom w:w="57" w:type="dxa"/>
        <w:right w:w="113" w:type="dxa"/>
      </w:tblCellMar>
    </w:tblPr>
    <w:tblStylePr w:type="firstRow">
      <w:rPr>
        <w:b/>
        <w:color w:val="auto"/>
      </w:rPr>
      <w:tblPr/>
      <w:tcPr>
        <w:tcBorders>
          <w:top w:val="nil"/>
          <w:left w:val="nil"/>
          <w:bottom w:val="nil"/>
          <w:right w:val="nil"/>
          <w:insideH w:val="nil"/>
          <w:insideV w:val="single" w:sz="4" w:space="0" w:color="22413A"/>
          <w:tl2br w:val="nil"/>
          <w:tr2bl w:val="nil"/>
        </w:tcBorders>
        <w:shd w:val="clear" w:color="auto" w:fill="D4EFE5"/>
      </w:tcPr>
    </w:tblStylePr>
  </w:style>
  <w:style w:type="character" w:styleId="Mention">
    <w:name w:val="Mention"/>
    <w:basedOn w:val="DefaultParagraphFont"/>
    <w:uiPriority w:val="99"/>
    <w:unhideWhenUsed/>
    <w:rsid w:val="00CE7EBC"/>
    <w:rPr>
      <w:color w:val="2B579A"/>
      <w:shd w:val="clear" w:color="auto" w:fill="E1DFDD"/>
    </w:rPr>
  </w:style>
  <w:style w:type="paragraph" w:styleId="NormalWeb">
    <w:name w:val="Normal (Web)"/>
    <w:basedOn w:val="Normal"/>
    <w:uiPriority w:val="99"/>
    <w:semiHidden/>
    <w:unhideWhenUsed/>
    <w:rsid w:val="000C32FA"/>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4690">
      <w:bodyDiv w:val="1"/>
      <w:marLeft w:val="0"/>
      <w:marRight w:val="0"/>
      <w:marTop w:val="0"/>
      <w:marBottom w:val="0"/>
      <w:divBdr>
        <w:top w:val="none" w:sz="0" w:space="0" w:color="auto"/>
        <w:left w:val="none" w:sz="0" w:space="0" w:color="auto"/>
        <w:bottom w:val="none" w:sz="0" w:space="0" w:color="auto"/>
        <w:right w:val="none" w:sz="0" w:space="0" w:color="auto"/>
      </w:divBdr>
    </w:div>
    <w:div w:id="69816248">
      <w:bodyDiv w:val="1"/>
      <w:marLeft w:val="0"/>
      <w:marRight w:val="0"/>
      <w:marTop w:val="0"/>
      <w:marBottom w:val="0"/>
      <w:divBdr>
        <w:top w:val="none" w:sz="0" w:space="0" w:color="auto"/>
        <w:left w:val="none" w:sz="0" w:space="0" w:color="auto"/>
        <w:bottom w:val="none" w:sz="0" w:space="0" w:color="auto"/>
        <w:right w:val="none" w:sz="0" w:space="0" w:color="auto"/>
      </w:divBdr>
    </w:div>
    <w:div w:id="257518511">
      <w:bodyDiv w:val="1"/>
      <w:marLeft w:val="0"/>
      <w:marRight w:val="0"/>
      <w:marTop w:val="0"/>
      <w:marBottom w:val="0"/>
      <w:divBdr>
        <w:top w:val="none" w:sz="0" w:space="0" w:color="auto"/>
        <w:left w:val="none" w:sz="0" w:space="0" w:color="auto"/>
        <w:bottom w:val="none" w:sz="0" w:space="0" w:color="auto"/>
        <w:right w:val="none" w:sz="0" w:space="0" w:color="auto"/>
      </w:divBdr>
    </w:div>
    <w:div w:id="596405246">
      <w:bodyDiv w:val="1"/>
      <w:marLeft w:val="0"/>
      <w:marRight w:val="0"/>
      <w:marTop w:val="0"/>
      <w:marBottom w:val="0"/>
      <w:divBdr>
        <w:top w:val="none" w:sz="0" w:space="0" w:color="auto"/>
        <w:left w:val="none" w:sz="0" w:space="0" w:color="auto"/>
        <w:bottom w:val="none" w:sz="0" w:space="0" w:color="auto"/>
        <w:right w:val="none" w:sz="0" w:space="0" w:color="auto"/>
      </w:divBdr>
    </w:div>
    <w:div w:id="655886047">
      <w:bodyDiv w:val="1"/>
      <w:marLeft w:val="0"/>
      <w:marRight w:val="0"/>
      <w:marTop w:val="0"/>
      <w:marBottom w:val="0"/>
      <w:divBdr>
        <w:top w:val="none" w:sz="0" w:space="0" w:color="auto"/>
        <w:left w:val="none" w:sz="0" w:space="0" w:color="auto"/>
        <w:bottom w:val="none" w:sz="0" w:space="0" w:color="auto"/>
        <w:right w:val="none" w:sz="0" w:space="0" w:color="auto"/>
      </w:divBdr>
    </w:div>
    <w:div w:id="713188910">
      <w:bodyDiv w:val="1"/>
      <w:marLeft w:val="0"/>
      <w:marRight w:val="0"/>
      <w:marTop w:val="0"/>
      <w:marBottom w:val="0"/>
      <w:divBdr>
        <w:top w:val="none" w:sz="0" w:space="0" w:color="auto"/>
        <w:left w:val="none" w:sz="0" w:space="0" w:color="auto"/>
        <w:bottom w:val="none" w:sz="0" w:space="0" w:color="auto"/>
        <w:right w:val="none" w:sz="0" w:space="0" w:color="auto"/>
      </w:divBdr>
    </w:div>
    <w:div w:id="1126587413">
      <w:bodyDiv w:val="1"/>
      <w:marLeft w:val="0"/>
      <w:marRight w:val="0"/>
      <w:marTop w:val="0"/>
      <w:marBottom w:val="0"/>
      <w:divBdr>
        <w:top w:val="none" w:sz="0" w:space="0" w:color="auto"/>
        <w:left w:val="none" w:sz="0" w:space="0" w:color="auto"/>
        <w:bottom w:val="none" w:sz="0" w:space="0" w:color="auto"/>
        <w:right w:val="none" w:sz="0" w:space="0" w:color="auto"/>
      </w:divBdr>
    </w:div>
    <w:div w:id="1818452381">
      <w:bodyDiv w:val="1"/>
      <w:marLeft w:val="0"/>
      <w:marRight w:val="0"/>
      <w:marTop w:val="0"/>
      <w:marBottom w:val="0"/>
      <w:divBdr>
        <w:top w:val="none" w:sz="0" w:space="0" w:color="auto"/>
        <w:left w:val="none" w:sz="0" w:space="0" w:color="auto"/>
        <w:bottom w:val="none" w:sz="0" w:space="0" w:color="auto"/>
        <w:right w:val="none" w:sz="0" w:space="0" w:color="auto"/>
      </w:divBdr>
    </w:div>
    <w:div w:id="21090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onr.org.uk/copyrigh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2190a4c-5968-43e2-9dfb-2c8e4f0dcc61">
      <UserInfo>
        <DisplayName/>
        <AccountId xsi:nil="true"/>
        <AccountType/>
      </UserInfo>
    </SharedWithUsers>
    <TaxCatchAll xmlns="e2190a4c-5968-43e2-9dfb-2c8e4f0dcc61" xsi:nil="true"/>
    <lcf76f155ced4ddcb4097134ff3c332f xmlns="729a6f9d-3f32-42ac-acf1-d5ecfa3937de">
      <Terms xmlns="http://schemas.microsoft.com/office/infopath/2007/PartnerControls"/>
    </lcf76f155ced4ddcb4097134ff3c332f>
    <MediaLengthInSeconds xmlns="729a6f9d-3f32-42ac-acf1-d5ecfa3937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DFBED514CE1545AFF76711782B71B8" ma:contentTypeVersion="16" ma:contentTypeDescription="Create a new document." ma:contentTypeScope="" ma:versionID="f78bc98a51b87c1ec9d3eac0a5a7ae64">
  <xsd:schema xmlns:xsd="http://www.w3.org/2001/XMLSchema" xmlns:xs="http://www.w3.org/2001/XMLSchema" xmlns:p="http://schemas.microsoft.com/office/2006/metadata/properties" xmlns:ns2="729a6f9d-3f32-42ac-acf1-d5ecfa3937de" xmlns:ns3="e2190a4c-5968-43e2-9dfb-2c8e4f0dcc61" targetNamespace="http://schemas.microsoft.com/office/2006/metadata/properties" ma:root="true" ma:fieldsID="9122d28265ccfc3114a1c2862c5950e4" ns2:_="" ns3:_="">
    <xsd:import namespace="729a6f9d-3f32-42ac-acf1-d5ecfa3937de"/>
    <xsd:import namespace="e2190a4c-5968-43e2-9dfb-2c8e4f0dc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a6f9d-3f32-42ac-acf1-d5ecfa3937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693000-3e12-4b44-a742-9a2ba35b7d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90a4c-5968-43e2-9dfb-2c8e4f0dcc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11b1cc5-3596-4fc7-8698-9c693bc52871}" ma:internalName="TaxCatchAll" ma:showField="CatchAllData" ma:web="e2190a4c-5968-43e2-9dfb-2c8e4f0dc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B1D53-6BF0-433D-BFD9-B601E41D9C2E}">
  <ds:schemaRefs>
    <ds:schemaRef ds:uri="http://schemas.microsoft.com/sharepoint/v3/contenttype/forms"/>
  </ds:schemaRefs>
</ds:datastoreItem>
</file>

<file path=customXml/itemProps2.xml><?xml version="1.0" encoding="utf-8"?>
<ds:datastoreItem xmlns:ds="http://schemas.openxmlformats.org/officeDocument/2006/customXml" ds:itemID="{10F2D5C1-40F2-4924-A8C3-AA204BF2D9AC}">
  <ds:schemaRefs>
    <ds:schemaRef ds:uri="http://schemas.openxmlformats.org/officeDocument/2006/bibliography"/>
  </ds:schemaRefs>
</ds:datastoreItem>
</file>

<file path=customXml/itemProps3.xml><?xml version="1.0" encoding="utf-8"?>
<ds:datastoreItem xmlns:ds="http://schemas.openxmlformats.org/officeDocument/2006/customXml" ds:itemID="{8A60CCC5-B87F-4A6A-BC61-69BFB77DA35F}">
  <ds:schemaRefs>
    <ds:schemaRef ds:uri="http://schemas.microsoft.com/office/2006/metadata/properties"/>
    <ds:schemaRef ds:uri="http://schemas.microsoft.com/office/infopath/2007/PartnerControls"/>
    <ds:schemaRef ds:uri="e2190a4c-5968-43e2-9dfb-2c8e4f0dcc61"/>
    <ds:schemaRef ds:uri="729a6f9d-3f32-42ac-acf1-d5ecfa3937de"/>
  </ds:schemaRefs>
</ds:datastoreItem>
</file>

<file path=customXml/itemProps4.xml><?xml version="1.0" encoding="utf-8"?>
<ds:datastoreItem xmlns:ds="http://schemas.openxmlformats.org/officeDocument/2006/customXml" ds:itemID="{8A63BBFE-9933-43AE-A942-F29FB5373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a6f9d-3f32-42ac-acf1-d5ecfa3937de"/>
    <ds:schemaRef ds:uri="e2190a4c-5968-43e2-9dfb-2c8e4f0dc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7432</Characters>
  <Application>Microsoft Office Word</Application>
  <DocSecurity>0</DocSecurity>
  <Lines>61</Lines>
  <Paragraphs>17</Paragraphs>
  <ScaleCrop>false</ScaleCrop>
  <Company>Health and Safety Executive</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adodds</dc:creator>
  <cp:keywords/>
  <cp:lastModifiedBy>Lindsey Cairns</cp:lastModifiedBy>
  <cp:revision>19</cp:revision>
  <cp:lastPrinted>2019-09-14T17:29:00Z</cp:lastPrinted>
  <dcterms:created xsi:type="dcterms:W3CDTF">2024-09-17T00:14:00Z</dcterms:created>
  <dcterms:modified xsi:type="dcterms:W3CDTF">2025-04-29T15:57:00Z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0x010100D4DFBED514CE1545AFF76711782B71B8</vt:lpwstr>
  </property>
  <property fmtid="{D5CDD505-2E9C-101B-9397-08002B2CF9AE}" pid="4" name="MSIP_Label_9e5e003a-90eb-47c9-a506-ad47e7a0b281_Enabled">
    <vt:lpwstr>true</vt:lpwstr>
  </property>
  <property fmtid="{D5CDD505-2E9C-101B-9397-08002B2CF9AE}" pid="5" name="MSIP_Label_9e5e003a-90eb-47c9-a506-ad47e7a0b281_SetDate">
    <vt:lpwstr>2021-10-13T11:05:20Z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3216bc3c-afc8-4fef-b9f4-677c2f0ea403</vt:lpwstr>
  </property>
  <property fmtid="{D5CDD505-2E9C-101B-9397-08002B2CF9AE}" pid="10" name="MSIP_Label_9e5e003a-90eb-47c9-a506-ad47e7a0b281_ContentBits">
    <vt:lpwstr>0</vt:lpwstr>
  </property>
  <property fmtid="{D5CDD505-2E9C-101B-9397-08002B2CF9AE}" pid="11" name="MediaServiceImageTags">
    <vt:lpwstr/>
  </property>
  <property fmtid="{D5CDD505-2E9C-101B-9397-08002B2CF9AE}" pid="12" name="_ColorHex">
    <vt:lpwstr/>
  </property>
  <property fmtid="{D5CDD505-2E9C-101B-9397-08002B2CF9AE}" pid="13" name="ComplianceAssetId">
    <vt:lpwstr/>
  </property>
  <property fmtid="{D5CDD505-2E9C-101B-9397-08002B2CF9AE}" pid="14" name="_ExtendedDescription">
    <vt:lpwstr/>
  </property>
  <property fmtid="{D5CDD505-2E9C-101B-9397-08002B2CF9AE}" pid="15" name="_ColorTag">
    <vt:lpwstr/>
  </property>
  <property fmtid="{D5CDD505-2E9C-101B-9397-08002B2CF9AE}" pid="16" name="TriggerFlowInfo">
    <vt:lpwstr/>
  </property>
  <property fmtid="{D5CDD505-2E9C-101B-9397-08002B2CF9AE}" pid="17" name="_Emoji">
    <vt:lpwstr/>
  </property>
</Properties>
</file>