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D666B4B"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03AC76E8" w:rsidR="00D0226A" w:rsidRPr="001E03E1" w:rsidRDefault="00000000"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965FF4">
                      <w:rPr>
                        <w:sz w:val="52"/>
                        <w:szCs w:val="52"/>
                      </w:rPr>
                      <w:t>Management of Radioactive Waste on Nuclear Licensed Sites</w:t>
                    </w:r>
                  </w:sdtContent>
                </w:sdt>
              </w:sdtContent>
            </w:sdt>
          </w:p>
        </w:tc>
      </w:tr>
    </w:tbl>
    <w:p w14:paraId="56A09D10" w14:textId="77777777" w:rsidR="00D0226A" w:rsidRDefault="00D0226A">
      <w:pPr>
        <w:spacing w:after="0"/>
      </w:pPr>
    </w:p>
    <w:p w14:paraId="6AB6425B" w14:textId="3159CEFC" w:rsidR="00D0226A" w:rsidRDefault="00881B6F">
      <w:pPr>
        <w:spacing w:after="0"/>
      </w:pPr>
      <w:r>
        <w:rPr>
          <w:noProof/>
        </w:rPr>
        <w:drawing>
          <wp:anchor distT="0" distB="0" distL="114300" distR="114300" simplePos="0" relativeHeight="251658240" behindDoc="1" locked="0" layoutInCell="1" allowOverlap="1" wp14:anchorId="10B0A4AA" wp14:editId="4E9D906A">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45009783" w:rsidR="00004C16" w:rsidRPr="00F63AA5" w:rsidRDefault="00000000" w:rsidP="00004C16">
      <w:pPr>
        <w:rPr>
          <w:sz w:val="18"/>
          <w:szCs w:val="16"/>
        </w:rPr>
      </w:pPr>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965FF4">
            <w:rPr>
              <w:rStyle w:val="Style2"/>
            </w:rPr>
            <w:t>Management of Radioactive Waste on Nuclear Licensed Sites</w:t>
          </w:r>
        </w:sdtContent>
      </w:sdt>
    </w:p>
    <w:p w14:paraId="10432EBB" w14:textId="5F3A7E45" w:rsidR="002D5F2E" w:rsidRDefault="00AD298F" w:rsidP="002D5F2E">
      <w:pPr>
        <w:rPr>
          <w:sz w:val="28"/>
          <w:szCs w:val="28"/>
        </w:rPr>
      </w:pPr>
      <w:r>
        <w:rPr>
          <w:b/>
          <w:bCs/>
          <w:sz w:val="28"/>
          <w:szCs w:val="28"/>
        </w:rPr>
        <w:t xml:space="preserve">Head of </w:t>
      </w:r>
      <w:r w:rsidR="002B2FBA">
        <w:rPr>
          <w:b/>
          <w:bCs/>
          <w:sz w:val="28"/>
          <w:szCs w:val="28"/>
        </w:rPr>
        <w:t>P</w:t>
      </w:r>
      <w:r>
        <w:rPr>
          <w:b/>
          <w:bCs/>
          <w:sz w:val="28"/>
          <w:szCs w:val="28"/>
        </w:rPr>
        <w:t>rofession</w:t>
      </w:r>
      <w:r w:rsidR="002D5F2E">
        <w:rPr>
          <w:sz w:val="28"/>
          <w:szCs w:val="28"/>
        </w:rPr>
        <w:t xml:space="preserve">: </w:t>
      </w:r>
      <w:r w:rsidR="00965FF4">
        <w:rPr>
          <w:sz w:val="28"/>
          <w:szCs w:val="28"/>
        </w:rPr>
        <w:t>Nuclear Liabilities Regulation</w:t>
      </w:r>
      <w:r w:rsidR="00206DF2">
        <w:rPr>
          <w:sz w:val="28"/>
          <w:szCs w:val="28"/>
        </w:rPr>
        <w:t>, Chemistry and Chemical Engineering</w:t>
      </w:r>
      <w:r w:rsidR="002D5F2E">
        <w:rPr>
          <w:sz w:val="28"/>
          <w:szCs w:val="28"/>
        </w:rPr>
        <w:t xml:space="preserve"> </w:t>
      </w:r>
    </w:p>
    <w:p w14:paraId="61A25C0F" w14:textId="77777777" w:rsidR="00004C16" w:rsidRDefault="00004C16" w:rsidP="00004C16">
      <w:pPr>
        <w:rPr>
          <w:sz w:val="28"/>
          <w:szCs w:val="28"/>
        </w:rPr>
      </w:pPr>
    </w:p>
    <w:p w14:paraId="4C7A948F" w14:textId="3EA031FB" w:rsidR="00245A0D" w:rsidRPr="002D5F2E" w:rsidRDefault="00245A0D" w:rsidP="00245A0D">
      <w:pPr>
        <w:rPr>
          <w:szCs w:val="24"/>
        </w:rPr>
      </w:pPr>
      <w:r w:rsidRPr="002D5F2E">
        <w:rPr>
          <w:b/>
          <w:bCs/>
          <w:szCs w:val="24"/>
        </w:rPr>
        <w:t>Authored by</w:t>
      </w:r>
      <w:r w:rsidR="00CE1DB2" w:rsidRPr="002D5F2E">
        <w:rPr>
          <w:szCs w:val="24"/>
        </w:rPr>
        <w:t>:</w:t>
      </w:r>
      <w:r w:rsidRPr="002D5F2E">
        <w:rPr>
          <w:szCs w:val="24"/>
        </w:rPr>
        <w:t xml:space="preserve"> </w:t>
      </w:r>
      <w:r w:rsidR="00965FF4">
        <w:rPr>
          <w:szCs w:val="24"/>
        </w:rPr>
        <w:t>Nuclear Safety Inspector</w:t>
      </w:r>
    </w:p>
    <w:p w14:paraId="15A21CF3" w14:textId="5CF0E27A" w:rsidR="00245A0D" w:rsidRPr="002D5F2E" w:rsidRDefault="00245A0D" w:rsidP="00245A0D">
      <w:pPr>
        <w:rPr>
          <w:szCs w:val="24"/>
        </w:rPr>
      </w:pPr>
      <w:r w:rsidRPr="002D5F2E">
        <w:rPr>
          <w:b/>
          <w:bCs/>
          <w:szCs w:val="24"/>
        </w:rPr>
        <w:t>Approved by</w:t>
      </w:r>
      <w:r w:rsidR="00CE1DB2" w:rsidRPr="002D5F2E">
        <w:rPr>
          <w:szCs w:val="24"/>
        </w:rPr>
        <w:t>:</w:t>
      </w:r>
      <w:r w:rsidRPr="002D5F2E">
        <w:rPr>
          <w:szCs w:val="24"/>
        </w:rPr>
        <w:t xml:space="preserve"> </w:t>
      </w:r>
      <w:r w:rsidR="00965FF4">
        <w:rPr>
          <w:szCs w:val="24"/>
        </w:rPr>
        <w:t>Head of Profession</w:t>
      </w:r>
    </w:p>
    <w:p w14:paraId="247E3769" w14:textId="02464AD5" w:rsidR="00004C16" w:rsidRPr="002D5F2E" w:rsidRDefault="00004C16" w:rsidP="00004C16">
      <w:pPr>
        <w:rPr>
          <w:szCs w:val="24"/>
        </w:rPr>
      </w:pPr>
      <w:r w:rsidRPr="002D5F2E">
        <w:rPr>
          <w:b/>
          <w:bCs/>
          <w:szCs w:val="24"/>
        </w:rPr>
        <w:t>Issue</w:t>
      </w:r>
      <w:r w:rsidRPr="002D5F2E">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965FF4">
            <w:rPr>
              <w:szCs w:val="24"/>
            </w:rPr>
            <w:t>8</w:t>
          </w:r>
        </w:sdtContent>
      </w:sdt>
    </w:p>
    <w:p w14:paraId="19206F45" w14:textId="62858B33" w:rsidR="00004C16" w:rsidRPr="002D5F2E" w:rsidRDefault="00AD298F" w:rsidP="00004C16">
      <w:pPr>
        <w:rPr>
          <w:szCs w:val="24"/>
        </w:rPr>
      </w:pPr>
      <w:r>
        <w:rPr>
          <w:b/>
          <w:bCs/>
          <w:szCs w:val="24"/>
        </w:rPr>
        <w:t>Published</w:t>
      </w:r>
      <w:r w:rsidR="00004C16" w:rsidRPr="002D5F2E">
        <w:rPr>
          <w:szCs w:val="24"/>
        </w:rPr>
        <w:t xml:space="preserve">: </w:t>
      </w:r>
      <w:r w:rsidR="00754268">
        <w:rPr>
          <w:szCs w:val="24"/>
        </w:rPr>
        <w:t>May-25</w:t>
      </w:r>
    </w:p>
    <w:p w14:paraId="06A6B3A5" w14:textId="2AB7EED9" w:rsidR="00E57DB9" w:rsidRPr="002D5F2E" w:rsidRDefault="00E57DB9" w:rsidP="00E57DB9">
      <w:pPr>
        <w:rPr>
          <w:szCs w:val="24"/>
        </w:rPr>
      </w:pPr>
      <w:r w:rsidRPr="002D5F2E">
        <w:rPr>
          <w:b/>
          <w:bCs/>
          <w:szCs w:val="24"/>
        </w:rPr>
        <w:t xml:space="preserve">Next </w:t>
      </w:r>
      <w:r w:rsidR="00AD298F">
        <w:rPr>
          <w:b/>
          <w:bCs/>
          <w:szCs w:val="24"/>
        </w:rPr>
        <w:t>scheduled review</w:t>
      </w:r>
      <w:r w:rsidRPr="002D5F2E">
        <w:rPr>
          <w:szCs w:val="24"/>
        </w:rPr>
        <w:t>:</w:t>
      </w:r>
      <w:r w:rsidR="00AE4F54" w:rsidRPr="002D5F2E">
        <w:rPr>
          <w:szCs w:val="24"/>
        </w:rPr>
        <w:t xml:space="preserve"> </w:t>
      </w:r>
      <w:r w:rsidR="00FC384A">
        <w:rPr>
          <w:szCs w:val="24"/>
        </w:rPr>
        <w:t>Dec</w:t>
      </w:r>
      <w:r w:rsidR="00965FF4">
        <w:rPr>
          <w:szCs w:val="24"/>
        </w:rPr>
        <w:t>-2</w:t>
      </w:r>
      <w:r w:rsidR="00571918">
        <w:rPr>
          <w:szCs w:val="24"/>
        </w:rPr>
        <w:t>8</w:t>
      </w:r>
    </w:p>
    <w:p w14:paraId="6DA341A1" w14:textId="0A3EE191" w:rsidR="00347CA8" w:rsidRPr="002D5F2E" w:rsidRDefault="00347CA8" w:rsidP="00E57DB9">
      <w:pPr>
        <w:rPr>
          <w:szCs w:val="24"/>
        </w:rPr>
      </w:pPr>
      <w:r w:rsidRPr="002D5F2E">
        <w:rPr>
          <w:b/>
          <w:bCs/>
          <w:szCs w:val="24"/>
        </w:rPr>
        <w:t>Doc</w:t>
      </w:r>
      <w:r w:rsidR="00AD298F">
        <w:rPr>
          <w:b/>
          <w:bCs/>
          <w:szCs w:val="24"/>
        </w:rPr>
        <w:t>ument reference</w:t>
      </w:r>
      <w:r w:rsidRPr="002D5F2E">
        <w:rPr>
          <w:szCs w:val="24"/>
        </w:rPr>
        <w:t xml:space="preserve">: </w:t>
      </w:r>
      <w:r w:rsidR="0027710F">
        <w:rPr>
          <w:szCs w:val="24"/>
        </w:rPr>
        <w:t>NS-TAST-GD-024</w:t>
      </w:r>
    </w:p>
    <w:p w14:paraId="55057C62" w14:textId="4ED1BB66" w:rsidR="00004C16" w:rsidRPr="002D5F2E" w:rsidRDefault="00004C16" w:rsidP="00004C16">
      <w:pPr>
        <w:rPr>
          <w:szCs w:val="24"/>
        </w:rPr>
      </w:pPr>
      <w:r w:rsidRPr="002D5F2E">
        <w:rPr>
          <w:b/>
          <w:bCs/>
          <w:szCs w:val="24"/>
        </w:rPr>
        <w:t xml:space="preserve">Record </w:t>
      </w:r>
      <w:r w:rsidR="00AD298F">
        <w:rPr>
          <w:b/>
          <w:bCs/>
          <w:szCs w:val="24"/>
        </w:rPr>
        <w:t>reference</w:t>
      </w:r>
      <w:r w:rsidRPr="002D5F2E">
        <w:rPr>
          <w:szCs w:val="24"/>
        </w:rPr>
        <w:t xml:space="preserve">: </w:t>
      </w:r>
      <w:hyperlink r:id="rId11" w:tgtFrame="_blank" w:tooltip="ONRHH-822789359-20186" w:history="1">
        <w:r w:rsidR="00FD2CA9" w:rsidRPr="00FD2CA9">
          <w:rPr>
            <w:rStyle w:val="Hyperlink"/>
            <w:szCs w:val="24"/>
          </w:rPr>
          <w:t>ONRHH-822789359-20186</w:t>
        </w:r>
      </w:hyperlink>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2D5F2E"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0C9F6AF7" w:rsidR="00595C8C" w:rsidRPr="002D5F2E" w:rsidRDefault="00595C8C" w:rsidP="00595C8C">
            <w:pPr>
              <w:spacing w:before="60" w:after="60"/>
              <w:rPr>
                <w:b w:val="0"/>
                <w:bCs/>
                <w:szCs w:val="24"/>
              </w:rPr>
            </w:pPr>
            <w:r w:rsidRPr="002D5F2E">
              <w:rPr>
                <w:b w:val="0"/>
                <w:bCs/>
                <w:szCs w:val="24"/>
              </w:rPr>
              <w:t>Issue</w:t>
            </w:r>
          </w:p>
        </w:tc>
        <w:tc>
          <w:tcPr>
            <w:tcW w:w="7466" w:type="dxa"/>
          </w:tcPr>
          <w:p w14:paraId="2D00C3FD" w14:textId="0E4FF134" w:rsidR="00595C8C" w:rsidRPr="002D5F2E" w:rsidRDefault="00595C8C" w:rsidP="00595C8C">
            <w:pPr>
              <w:spacing w:before="60" w:after="60"/>
              <w:rPr>
                <w:b w:val="0"/>
                <w:bCs/>
                <w:szCs w:val="24"/>
              </w:rPr>
            </w:pPr>
            <w:r w:rsidRPr="002D5F2E">
              <w:rPr>
                <w:b w:val="0"/>
                <w:bCs/>
                <w:szCs w:val="24"/>
              </w:rPr>
              <w:t xml:space="preserve">Description of </w:t>
            </w:r>
            <w:r w:rsidR="001C19DE">
              <w:rPr>
                <w:b w:val="0"/>
                <w:bCs/>
                <w:szCs w:val="24"/>
              </w:rPr>
              <w:t>u</w:t>
            </w:r>
            <w:r w:rsidRPr="002D5F2E">
              <w:rPr>
                <w:b w:val="0"/>
                <w:bCs/>
                <w:szCs w:val="24"/>
              </w:rPr>
              <w:t>pdate(s)</w:t>
            </w:r>
          </w:p>
        </w:tc>
      </w:tr>
      <w:tr w:rsidR="00595C8C" w:rsidRPr="002D5F2E" w14:paraId="0B4E4E42" w14:textId="77777777" w:rsidTr="00E20B32">
        <w:tc>
          <w:tcPr>
            <w:tcW w:w="1550" w:type="dxa"/>
          </w:tcPr>
          <w:p w14:paraId="65482A03" w14:textId="7D9D9899" w:rsidR="00595C8C" w:rsidRPr="002D5F2E" w:rsidRDefault="00965FF4" w:rsidP="00595C8C">
            <w:pPr>
              <w:spacing w:before="60" w:after="60"/>
              <w:rPr>
                <w:szCs w:val="24"/>
              </w:rPr>
            </w:pPr>
            <w:r>
              <w:rPr>
                <w:szCs w:val="24"/>
              </w:rPr>
              <w:t>8</w:t>
            </w:r>
          </w:p>
        </w:tc>
        <w:tc>
          <w:tcPr>
            <w:tcW w:w="7466" w:type="dxa"/>
          </w:tcPr>
          <w:p w14:paraId="1C80912E" w14:textId="12FA0489" w:rsidR="00595C8C" w:rsidRPr="002D5F2E" w:rsidRDefault="001C7D1B" w:rsidP="00595C8C">
            <w:pPr>
              <w:spacing w:before="60" w:after="60"/>
              <w:rPr>
                <w:szCs w:val="24"/>
              </w:rPr>
            </w:pPr>
            <w:r>
              <w:rPr>
                <w:szCs w:val="24"/>
              </w:rPr>
              <w:t>Restructuring to separate guidance on radioactive waste and radioactive materials</w:t>
            </w:r>
            <w:r w:rsidRPr="002D5F2E">
              <w:rPr>
                <w:szCs w:val="24"/>
              </w:rPr>
              <w:t>.</w:t>
            </w:r>
            <w:r>
              <w:rPr>
                <w:szCs w:val="24"/>
              </w:rPr>
              <w:t xml:space="preserve"> This document, NS-TAST-GD-024, now focusses on radioactive waste only and guidance relating to the management of radioactive materials </w:t>
            </w:r>
            <w:r w:rsidR="00FB7DBE">
              <w:rPr>
                <w:szCs w:val="24"/>
              </w:rPr>
              <w:t>will</w:t>
            </w:r>
            <w:r w:rsidR="003562A8">
              <w:rPr>
                <w:szCs w:val="24"/>
              </w:rPr>
              <w:t xml:space="preserve"> be</w:t>
            </w:r>
            <w:r>
              <w:rPr>
                <w:szCs w:val="24"/>
              </w:rPr>
              <w:t xml:space="preserve"> integrated into </w:t>
            </w:r>
            <w:r w:rsidRPr="00D02934">
              <w:rPr>
                <w:szCs w:val="24"/>
              </w:rPr>
              <w:t>NS-TAST-GD-023</w:t>
            </w:r>
            <w:r w:rsidRPr="00434D2C">
              <w:rPr>
                <w:szCs w:val="24"/>
              </w:rPr>
              <w:t>.</w:t>
            </w:r>
          </w:p>
        </w:tc>
      </w:tr>
    </w:tbl>
    <w:p w14:paraId="1FDB4B56" w14:textId="6C10B266" w:rsidR="00595C8C" w:rsidRDefault="00595C8C" w:rsidP="00323E71">
      <w:pPr>
        <w:sectPr w:rsidR="00595C8C" w:rsidSect="000B2BCD">
          <w:headerReference w:type="default" r:id="rId12"/>
          <w:footerReference w:type="default" r:id="rId13"/>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2CA576CE" w14:textId="19B9B55D" w:rsidR="00046017" w:rsidRDefault="00404B0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86205525" w:history="1">
        <w:r w:rsidR="00046017" w:rsidRPr="00A65088">
          <w:rPr>
            <w:rStyle w:val="Hyperlink"/>
          </w:rPr>
          <w:t>1.</w:t>
        </w:r>
        <w:r w:rsidR="00046017">
          <w:rPr>
            <w:rFonts w:asciiTheme="minorHAnsi" w:eastAsiaTheme="minorEastAsia" w:hAnsiTheme="minorHAnsi" w:cstheme="minorBidi"/>
            <w:kern w:val="2"/>
            <w:sz w:val="22"/>
            <w:lang w:eastAsia="en-GB" w:bidi="ar-SA"/>
            <w14:ligatures w14:val="standardContextual"/>
          </w:rPr>
          <w:tab/>
        </w:r>
        <w:r w:rsidR="00046017" w:rsidRPr="00A65088">
          <w:rPr>
            <w:rStyle w:val="Hyperlink"/>
          </w:rPr>
          <w:t>Introduction</w:t>
        </w:r>
        <w:r w:rsidR="00046017">
          <w:rPr>
            <w:webHidden/>
          </w:rPr>
          <w:tab/>
        </w:r>
        <w:r w:rsidR="00046017">
          <w:rPr>
            <w:webHidden/>
          </w:rPr>
          <w:fldChar w:fldCharType="begin"/>
        </w:r>
        <w:r w:rsidR="00046017">
          <w:rPr>
            <w:webHidden/>
          </w:rPr>
          <w:instrText xml:space="preserve"> PAGEREF _Toc186205525 \h </w:instrText>
        </w:r>
        <w:r w:rsidR="00046017">
          <w:rPr>
            <w:webHidden/>
          </w:rPr>
        </w:r>
        <w:r w:rsidR="00046017">
          <w:rPr>
            <w:webHidden/>
          </w:rPr>
          <w:fldChar w:fldCharType="separate"/>
        </w:r>
        <w:r w:rsidR="00046017">
          <w:rPr>
            <w:webHidden/>
          </w:rPr>
          <w:t>4</w:t>
        </w:r>
        <w:r w:rsidR="00046017">
          <w:rPr>
            <w:webHidden/>
          </w:rPr>
          <w:fldChar w:fldCharType="end"/>
        </w:r>
      </w:hyperlink>
    </w:p>
    <w:p w14:paraId="62CB7EB2" w14:textId="500B3B3A" w:rsidR="00046017" w:rsidRDefault="0004601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6205526" w:history="1">
        <w:r w:rsidRPr="00A65088">
          <w:rPr>
            <w:rStyle w:val="Hyperlink"/>
          </w:rPr>
          <w:t>2.</w:t>
        </w:r>
        <w:r>
          <w:rPr>
            <w:rFonts w:asciiTheme="minorHAnsi" w:eastAsiaTheme="minorEastAsia" w:hAnsiTheme="minorHAnsi" w:cstheme="minorBidi"/>
            <w:kern w:val="2"/>
            <w:sz w:val="22"/>
            <w:lang w:eastAsia="en-GB" w:bidi="ar-SA"/>
            <w14:ligatures w14:val="standardContextual"/>
          </w:rPr>
          <w:tab/>
        </w:r>
        <w:r w:rsidRPr="00A65088">
          <w:rPr>
            <w:rStyle w:val="Hyperlink"/>
          </w:rPr>
          <w:t>Purpose and scope</w:t>
        </w:r>
        <w:r>
          <w:rPr>
            <w:webHidden/>
          </w:rPr>
          <w:tab/>
        </w:r>
        <w:r>
          <w:rPr>
            <w:webHidden/>
          </w:rPr>
          <w:fldChar w:fldCharType="begin"/>
        </w:r>
        <w:r>
          <w:rPr>
            <w:webHidden/>
          </w:rPr>
          <w:instrText xml:space="preserve"> PAGEREF _Toc186205526 \h </w:instrText>
        </w:r>
        <w:r>
          <w:rPr>
            <w:webHidden/>
          </w:rPr>
        </w:r>
        <w:r>
          <w:rPr>
            <w:webHidden/>
          </w:rPr>
          <w:fldChar w:fldCharType="separate"/>
        </w:r>
        <w:r>
          <w:rPr>
            <w:webHidden/>
          </w:rPr>
          <w:t>4</w:t>
        </w:r>
        <w:r>
          <w:rPr>
            <w:webHidden/>
          </w:rPr>
          <w:fldChar w:fldCharType="end"/>
        </w:r>
      </w:hyperlink>
    </w:p>
    <w:p w14:paraId="33C865E8" w14:textId="760ECE71" w:rsidR="00046017" w:rsidRDefault="0004601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6205527" w:history="1">
        <w:r w:rsidRPr="00A65088">
          <w:rPr>
            <w:rStyle w:val="Hyperlink"/>
          </w:rPr>
          <w:t>3.</w:t>
        </w:r>
        <w:r>
          <w:rPr>
            <w:rFonts w:asciiTheme="minorHAnsi" w:eastAsiaTheme="minorEastAsia" w:hAnsiTheme="minorHAnsi" w:cstheme="minorBidi"/>
            <w:kern w:val="2"/>
            <w:sz w:val="22"/>
            <w:lang w:eastAsia="en-GB" w:bidi="ar-SA"/>
            <w14:ligatures w14:val="standardContextual"/>
          </w:rPr>
          <w:tab/>
        </w:r>
        <w:r w:rsidRPr="00A65088">
          <w:rPr>
            <w:rStyle w:val="Hyperlink"/>
          </w:rPr>
          <w:t xml:space="preserve">Relationship to licence and other relevant legislation </w:t>
        </w:r>
        <w:r>
          <w:rPr>
            <w:webHidden/>
          </w:rPr>
          <w:tab/>
        </w:r>
        <w:r>
          <w:rPr>
            <w:webHidden/>
          </w:rPr>
          <w:fldChar w:fldCharType="begin"/>
        </w:r>
        <w:r>
          <w:rPr>
            <w:webHidden/>
          </w:rPr>
          <w:instrText xml:space="preserve"> PAGEREF _Toc186205527 \h </w:instrText>
        </w:r>
        <w:r>
          <w:rPr>
            <w:webHidden/>
          </w:rPr>
        </w:r>
        <w:r>
          <w:rPr>
            <w:webHidden/>
          </w:rPr>
          <w:fldChar w:fldCharType="separate"/>
        </w:r>
        <w:r>
          <w:rPr>
            <w:webHidden/>
          </w:rPr>
          <w:t>7</w:t>
        </w:r>
        <w:r>
          <w:rPr>
            <w:webHidden/>
          </w:rPr>
          <w:fldChar w:fldCharType="end"/>
        </w:r>
      </w:hyperlink>
    </w:p>
    <w:p w14:paraId="29FA36B2" w14:textId="57429BFB" w:rsidR="00046017" w:rsidRDefault="0004601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6205528" w:history="1">
        <w:r w:rsidRPr="00A65088">
          <w:rPr>
            <w:rStyle w:val="Hyperlink"/>
          </w:rPr>
          <w:t>4.</w:t>
        </w:r>
        <w:r>
          <w:rPr>
            <w:rFonts w:asciiTheme="minorHAnsi" w:eastAsiaTheme="minorEastAsia" w:hAnsiTheme="minorHAnsi" w:cstheme="minorBidi"/>
            <w:kern w:val="2"/>
            <w:sz w:val="22"/>
            <w:lang w:eastAsia="en-GB" w:bidi="ar-SA"/>
            <w14:ligatures w14:val="standardContextual"/>
          </w:rPr>
          <w:tab/>
        </w:r>
        <w:r w:rsidRPr="00A65088">
          <w:rPr>
            <w:rStyle w:val="Hyperlink"/>
          </w:rPr>
          <w:t>Government policy</w:t>
        </w:r>
        <w:r>
          <w:rPr>
            <w:webHidden/>
          </w:rPr>
          <w:tab/>
        </w:r>
        <w:r>
          <w:rPr>
            <w:webHidden/>
          </w:rPr>
          <w:fldChar w:fldCharType="begin"/>
        </w:r>
        <w:r>
          <w:rPr>
            <w:webHidden/>
          </w:rPr>
          <w:instrText xml:space="preserve"> PAGEREF _Toc186205528 \h </w:instrText>
        </w:r>
        <w:r>
          <w:rPr>
            <w:webHidden/>
          </w:rPr>
        </w:r>
        <w:r>
          <w:rPr>
            <w:webHidden/>
          </w:rPr>
          <w:fldChar w:fldCharType="separate"/>
        </w:r>
        <w:r>
          <w:rPr>
            <w:webHidden/>
          </w:rPr>
          <w:t>12</w:t>
        </w:r>
        <w:r>
          <w:rPr>
            <w:webHidden/>
          </w:rPr>
          <w:fldChar w:fldCharType="end"/>
        </w:r>
      </w:hyperlink>
    </w:p>
    <w:p w14:paraId="7F111417" w14:textId="150DE2F0" w:rsidR="00046017" w:rsidRDefault="0004601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6205529" w:history="1">
        <w:r w:rsidRPr="00A65088">
          <w:rPr>
            <w:rStyle w:val="Hyperlink"/>
          </w:rPr>
          <w:t>5.</w:t>
        </w:r>
        <w:r>
          <w:rPr>
            <w:rFonts w:asciiTheme="minorHAnsi" w:eastAsiaTheme="minorEastAsia" w:hAnsiTheme="minorHAnsi" w:cstheme="minorBidi"/>
            <w:kern w:val="2"/>
            <w:sz w:val="22"/>
            <w:lang w:eastAsia="en-GB" w:bidi="ar-SA"/>
            <w14:ligatures w14:val="standardContextual"/>
          </w:rPr>
          <w:tab/>
        </w:r>
        <w:r w:rsidRPr="00A65088">
          <w:rPr>
            <w:rStyle w:val="Hyperlink"/>
          </w:rPr>
          <w:t>Relationship to Safety Assessment Principles, WENRA Reference Levels, and IAEA Safety Standards and Guides</w:t>
        </w:r>
        <w:r>
          <w:rPr>
            <w:webHidden/>
          </w:rPr>
          <w:tab/>
        </w:r>
        <w:r>
          <w:rPr>
            <w:webHidden/>
          </w:rPr>
          <w:fldChar w:fldCharType="begin"/>
        </w:r>
        <w:r>
          <w:rPr>
            <w:webHidden/>
          </w:rPr>
          <w:instrText xml:space="preserve"> PAGEREF _Toc186205529 \h </w:instrText>
        </w:r>
        <w:r>
          <w:rPr>
            <w:webHidden/>
          </w:rPr>
        </w:r>
        <w:r>
          <w:rPr>
            <w:webHidden/>
          </w:rPr>
          <w:fldChar w:fldCharType="separate"/>
        </w:r>
        <w:r>
          <w:rPr>
            <w:webHidden/>
          </w:rPr>
          <w:t>14</w:t>
        </w:r>
        <w:r>
          <w:rPr>
            <w:webHidden/>
          </w:rPr>
          <w:fldChar w:fldCharType="end"/>
        </w:r>
      </w:hyperlink>
    </w:p>
    <w:p w14:paraId="4D3CB6DB" w14:textId="1688B606" w:rsidR="00046017" w:rsidRDefault="0004601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6205564" w:history="1">
        <w:r w:rsidRPr="00A65088">
          <w:rPr>
            <w:rStyle w:val="Hyperlink"/>
          </w:rPr>
          <w:t>6.</w:t>
        </w:r>
        <w:r>
          <w:rPr>
            <w:rFonts w:asciiTheme="minorHAnsi" w:eastAsiaTheme="minorEastAsia" w:hAnsiTheme="minorHAnsi" w:cstheme="minorBidi"/>
            <w:kern w:val="2"/>
            <w:sz w:val="22"/>
            <w:lang w:eastAsia="en-GB" w:bidi="ar-SA"/>
            <w14:ligatures w14:val="standardContextual"/>
          </w:rPr>
          <w:tab/>
        </w:r>
        <w:r w:rsidRPr="00A65088">
          <w:rPr>
            <w:rStyle w:val="Hyperlink"/>
          </w:rPr>
          <w:t>Advice to inspectors</w:t>
        </w:r>
        <w:r>
          <w:rPr>
            <w:webHidden/>
          </w:rPr>
          <w:tab/>
        </w:r>
        <w:r>
          <w:rPr>
            <w:webHidden/>
          </w:rPr>
          <w:fldChar w:fldCharType="begin"/>
        </w:r>
        <w:r>
          <w:rPr>
            <w:webHidden/>
          </w:rPr>
          <w:instrText xml:space="preserve"> PAGEREF _Toc186205564 \h </w:instrText>
        </w:r>
        <w:r>
          <w:rPr>
            <w:webHidden/>
          </w:rPr>
        </w:r>
        <w:r>
          <w:rPr>
            <w:webHidden/>
          </w:rPr>
          <w:fldChar w:fldCharType="separate"/>
        </w:r>
        <w:r>
          <w:rPr>
            <w:webHidden/>
          </w:rPr>
          <w:t>17</w:t>
        </w:r>
        <w:r>
          <w:rPr>
            <w:webHidden/>
          </w:rPr>
          <w:fldChar w:fldCharType="end"/>
        </w:r>
      </w:hyperlink>
    </w:p>
    <w:p w14:paraId="2D3FDD2E" w14:textId="0978A71C" w:rsidR="00046017" w:rsidRDefault="00046017">
      <w:pPr>
        <w:pStyle w:val="TOC1"/>
        <w:rPr>
          <w:rFonts w:asciiTheme="minorHAnsi" w:eastAsiaTheme="minorEastAsia" w:hAnsiTheme="minorHAnsi" w:cstheme="minorBidi"/>
          <w:kern w:val="2"/>
          <w:sz w:val="22"/>
          <w:lang w:eastAsia="en-GB" w:bidi="ar-SA"/>
          <w14:ligatures w14:val="standardContextual"/>
        </w:rPr>
      </w:pPr>
      <w:hyperlink w:anchor="_Toc186205565" w:history="1">
        <w:r w:rsidRPr="00A65088">
          <w:rPr>
            <w:rStyle w:val="Hyperlink"/>
          </w:rPr>
          <w:t>References</w:t>
        </w:r>
        <w:r>
          <w:rPr>
            <w:webHidden/>
          </w:rPr>
          <w:tab/>
        </w:r>
        <w:r>
          <w:rPr>
            <w:webHidden/>
          </w:rPr>
          <w:fldChar w:fldCharType="begin"/>
        </w:r>
        <w:r>
          <w:rPr>
            <w:webHidden/>
          </w:rPr>
          <w:instrText xml:space="preserve"> PAGEREF _Toc186205565 \h </w:instrText>
        </w:r>
        <w:r>
          <w:rPr>
            <w:webHidden/>
          </w:rPr>
        </w:r>
        <w:r>
          <w:rPr>
            <w:webHidden/>
          </w:rPr>
          <w:fldChar w:fldCharType="separate"/>
        </w:r>
        <w:r>
          <w:rPr>
            <w:webHidden/>
          </w:rPr>
          <w:t>33</w:t>
        </w:r>
        <w:r>
          <w:rPr>
            <w:webHidden/>
          </w:rPr>
          <w:fldChar w:fldCharType="end"/>
        </w:r>
      </w:hyperlink>
    </w:p>
    <w:p w14:paraId="0614FD97" w14:textId="07CD94CF" w:rsidR="00046017" w:rsidRDefault="00046017">
      <w:pPr>
        <w:pStyle w:val="TOC1"/>
        <w:rPr>
          <w:rFonts w:asciiTheme="minorHAnsi" w:eastAsiaTheme="minorEastAsia" w:hAnsiTheme="minorHAnsi" w:cstheme="minorBidi"/>
          <w:kern w:val="2"/>
          <w:sz w:val="22"/>
          <w:lang w:eastAsia="en-GB" w:bidi="ar-SA"/>
          <w14:ligatures w14:val="standardContextual"/>
        </w:rPr>
      </w:pPr>
      <w:hyperlink w:anchor="_Toc186205566" w:history="1">
        <w:r w:rsidRPr="00A65088">
          <w:rPr>
            <w:rStyle w:val="Hyperlink"/>
          </w:rPr>
          <w:t>Glossary and abbreviations</w:t>
        </w:r>
        <w:r>
          <w:rPr>
            <w:webHidden/>
          </w:rPr>
          <w:tab/>
        </w:r>
        <w:r>
          <w:rPr>
            <w:webHidden/>
          </w:rPr>
          <w:fldChar w:fldCharType="begin"/>
        </w:r>
        <w:r>
          <w:rPr>
            <w:webHidden/>
          </w:rPr>
          <w:instrText xml:space="preserve"> PAGEREF _Toc186205566 \h </w:instrText>
        </w:r>
        <w:r>
          <w:rPr>
            <w:webHidden/>
          </w:rPr>
        </w:r>
        <w:r>
          <w:rPr>
            <w:webHidden/>
          </w:rPr>
          <w:fldChar w:fldCharType="separate"/>
        </w:r>
        <w:r>
          <w:rPr>
            <w:webHidden/>
          </w:rPr>
          <w:t>37</w:t>
        </w:r>
        <w:r>
          <w:rPr>
            <w:webHidden/>
          </w:rPr>
          <w:fldChar w:fldCharType="end"/>
        </w:r>
      </w:hyperlink>
    </w:p>
    <w:p w14:paraId="0CC4B54A" w14:textId="00454648"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p>
    <w:p w14:paraId="43A875A4" w14:textId="5DEDA49A" w:rsidR="008D49A5" w:rsidRDefault="008D49A5" w:rsidP="002D5F2E">
      <w:pPr>
        <w:pStyle w:val="Heading1"/>
        <w:numPr>
          <w:ilvl w:val="0"/>
          <w:numId w:val="36"/>
        </w:numPr>
        <w:ind w:left="851" w:hanging="851"/>
      </w:pPr>
      <w:bookmarkStart w:id="1" w:name="_Toc186205525"/>
      <w:bookmarkEnd w:id="0"/>
      <w:r w:rsidRPr="00E90780">
        <w:lastRenderedPageBreak/>
        <w:t>Introduction</w:t>
      </w:r>
      <w:bookmarkEnd w:id="1"/>
    </w:p>
    <w:p w14:paraId="56D71E00" w14:textId="4DB86DF1" w:rsidR="000950B3" w:rsidRPr="00712FD1" w:rsidRDefault="000950B3" w:rsidP="000A51C3">
      <w:pPr>
        <w:pStyle w:val="F9-Paragraph"/>
        <w:numPr>
          <w:ilvl w:val="0"/>
          <w:numId w:val="29"/>
        </w:numPr>
        <w:ind w:left="851" w:hanging="851"/>
      </w:pPr>
      <w:bookmarkStart w:id="2" w:name="_Hlk64448648"/>
      <w:r w:rsidRPr="00712FD1">
        <w:t xml:space="preserve">ONR has established its </w:t>
      </w:r>
      <w:hyperlink r:id="rId18" w:history="1">
        <w:r w:rsidRPr="00F7687C">
          <w:rPr>
            <w:rStyle w:val="Hyperlink"/>
          </w:rPr>
          <w:t>Safety Assessment Principles</w:t>
        </w:r>
      </w:hyperlink>
      <w:r w:rsidRPr="00712FD1">
        <w:t xml:space="preserve"> (SAPs)</w:t>
      </w:r>
      <w:sdt>
        <w:sdtPr>
          <w:id w:val="465177467"/>
          <w:citation/>
        </w:sdtPr>
        <w:sdtContent>
          <w:r w:rsidR="00DB58FF">
            <w:fldChar w:fldCharType="begin"/>
          </w:r>
          <w:r w:rsidR="00DB58FF">
            <w:instrText xml:space="preserve"> CITATION ONR2013 \l 2057 </w:instrText>
          </w:r>
          <w:r w:rsidR="00DB58FF">
            <w:fldChar w:fldCharType="separate"/>
          </w:r>
          <w:r w:rsidR="00717D5C">
            <w:rPr>
              <w:noProof/>
            </w:rPr>
            <w:t xml:space="preserve"> [1]</w:t>
          </w:r>
          <w:r w:rsidR="00DB58FF">
            <w:fldChar w:fldCharType="end"/>
          </w:r>
        </w:sdtContent>
      </w:sdt>
      <w:r w:rsidR="00457E96">
        <w:t xml:space="preserve"> </w:t>
      </w:r>
      <w:r w:rsidRPr="00712FD1">
        <w:t>which apply to the assessment by ONR specialist inspectors of safety cases for nuclear facilities that may be operated by potential licensees, existing licensees, or other dutyholders.</w:t>
      </w:r>
      <w:r>
        <w:t xml:space="preserve"> </w:t>
      </w:r>
      <w:r w:rsidRPr="00712FD1">
        <w:t>The principles presented in the SAPs are supported by a suite of guides to further assist ONR’s inspectors in their technical assessment work in support of making regulatory judgements and decisions. This technical assessment guide (TAG) is one of these guides.</w:t>
      </w:r>
    </w:p>
    <w:p w14:paraId="05AAE39A" w14:textId="4C861FCD" w:rsidR="008D49A5" w:rsidRDefault="000950B3" w:rsidP="00E90780">
      <w:pPr>
        <w:pStyle w:val="Heading1"/>
      </w:pPr>
      <w:bookmarkStart w:id="3" w:name="_Toc186205526"/>
      <w:bookmarkEnd w:id="2"/>
      <w:r>
        <w:t xml:space="preserve">Purpose and </w:t>
      </w:r>
      <w:r w:rsidR="001C19DE">
        <w:t>s</w:t>
      </w:r>
      <w:r>
        <w:t>cope</w:t>
      </w:r>
      <w:bookmarkEnd w:id="3"/>
    </w:p>
    <w:p w14:paraId="03311298" w14:textId="5EFC3A99" w:rsidR="00C20590" w:rsidRDefault="00C20590" w:rsidP="009B2234">
      <w:pPr>
        <w:pStyle w:val="F9-Paragraph"/>
      </w:pPr>
      <w:r>
        <w:t xml:space="preserve">This TAG contains guidance to advise and inform ONR inspectors in exercising their regulatory judgement on the management of </w:t>
      </w:r>
      <w:r w:rsidR="00440BEB">
        <w:t xml:space="preserve">solid, liquid and gaseous </w:t>
      </w:r>
      <w:r w:rsidR="00431EF3">
        <w:t>radioactive waste</w:t>
      </w:r>
      <w:r>
        <w:t xml:space="preserve"> on nuclear licensed sites. The TAG is not written for dutyholders and</w:t>
      </w:r>
      <w:r w:rsidR="0092760F">
        <w:t>,</w:t>
      </w:r>
      <w:r>
        <w:t xml:space="preserve"> although it may be used by dutyholders as a source of guidance or </w:t>
      </w:r>
      <w:r w:rsidR="004121FA">
        <w:t xml:space="preserve">relevant </w:t>
      </w:r>
      <w:r>
        <w:t>good practice</w:t>
      </w:r>
      <w:r w:rsidR="004121FA">
        <w:t xml:space="preserve"> (RGP)</w:t>
      </w:r>
      <w:r>
        <w:t>, it should not be interpreted as a set of prescriptive legal requirements.</w:t>
      </w:r>
    </w:p>
    <w:p w14:paraId="4B8A697B" w14:textId="2BC7BF46" w:rsidR="00C20590" w:rsidRDefault="00C20590" w:rsidP="00AB0754">
      <w:pPr>
        <w:pStyle w:val="F9-Paragraph"/>
      </w:pPr>
      <w:r>
        <w:t>This guidance relates to the management of radioactive waste</w:t>
      </w:r>
      <w:r w:rsidR="00AB0754">
        <w:t xml:space="preserve"> that</w:t>
      </w:r>
      <w:r>
        <w:t xml:space="preserve"> is currently being, or may be accumulated or stored on nuclear licensed sites. In this guidance, the meaning of these terms is as defined in ONR’s Licence Condition Handbook </w:t>
      </w:r>
      <w:sdt>
        <w:sdtPr>
          <w:id w:val="-889959993"/>
          <w:citation/>
        </w:sdtPr>
        <w:sdtContent>
          <w:r w:rsidR="007F1770">
            <w:fldChar w:fldCharType="begin"/>
          </w:r>
          <w:r w:rsidR="007F1770">
            <w:instrText xml:space="preserve"> CITATION LC_Handbook_2017 \l 2057 </w:instrText>
          </w:r>
          <w:r w:rsidR="007F1770">
            <w:fldChar w:fldCharType="separate"/>
          </w:r>
          <w:r w:rsidR="00717D5C">
            <w:rPr>
              <w:noProof/>
            </w:rPr>
            <w:t>[2]</w:t>
          </w:r>
          <w:r w:rsidR="007F1770">
            <w:fldChar w:fldCharType="end"/>
          </w:r>
        </w:sdtContent>
      </w:sdt>
      <w:r w:rsidR="00AB0754">
        <w:t xml:space="preserve"> and in sections 3(14) and 4(7) of the Nuclear Installations Act 1965 (NIA</w:t>
      </w:r>
      <w:r w:rsidR="00E97E64">
        <w:t>19</w:t>
      </w:r>
      <w:r w:rsidR="00AB0754">
        <w:t>65)</w:t>
      </w:r>
      <w:sdt>
        <w:sdtPr>
          <w:id w:val="1444810355"/>
          <w:citation/>
        </w:sdtPr>
        <w:sdtContent>
          <w:r w:rsidR="00AB0754">
            <w:fldChar w:fldCharType="begin"/>
          </w:r>
          <w:r w:rsidR="00AB0754">
            <w:instrText xml:space="preserve"> CITATION NIA65 \l 2057 </w:instrText>
          </w:r>
          <w:r w:rsidR="00AB0754">
            <w:fldChar w:fldCharType="separate"/>
          </w:r>
          <w:r w:rsidR="00717D5C">
            <w:rPr>
              <w:noProof/>
            </w:rPr>
            <w:t xml:space="preserve"> [3]</w:t>
          </w:r>
          <w:r w:rsidR="00AB0754">
            <w:fldChar w:fldCharType="end"/>
          </w:r>
        </w:sdtContent>
      </w:sdt>
      <w:r w:rsidR="00AB0754">
        <w:t>, all of which refer to the relevant environmental legislation</w:t>
      </w:r>
      <w:r>
        <w:t xml:space="preserve">. </w:t>
      </w:r>
      <w:r w:rsidR="00AB0754">
        <w:t xml:space="preserve">Radioactive </w:t>
      </w:r>
      <w:r>
        <w:t xml:space="preserve">waste is also </w:t>
      </w:r>
      <w:r w:rsidR="00AB0754">
        <w:t xml:space="preserve">an example of </w:t>
      </w:r>
      <w:r>
        <w:t xml:space="preserve">nuclear matter, as defined in section 26(1) </w:t>
      </w:r>
      <w:r w:rsidR="00193FAE">
        <w:t xml:space="preserve">of </w:t>
      </w:r>
      <w:r>
        <w:t>NIA</w:t>
      </w:r>
      <w:r w:rsidR="00E97E64">
        <w:t>19</w:t>
      </w:r>
      <w:r>
        <w:t>65</w:t>
      </w:r>
      <w:r w:rsidR="00AB0754">
        <w:t>.</w:t>
      </w:r>
    </w:p>
    <w:p w14:paraId="5380E66F" w14:textId="6AEBB59B" w:rsidR="00C20590" w:rsidRDefault="00C20590" w:rsidP="00AB0754">
      <w:pPr>
        <w:pStyle w:val="F9-Paragraph"/>
      </w:pPr>
      <w:r>
        <w:t xml:space="preserve">This guidance is applicable to the </w:t>
      </w:r>
      <w:r w:rsidR="00AB0754">
        <w:t>management of radioactive waste on nuclear licensed sites prior to disposal (</w:t>
      </w:r>
      <w:r>
        <w:t>predisposal management</w:t>
      </w:r>
      <w:r w:rsidR="00AB0754">
        <w:t>).</w:t>
      </w:r>
      <w:r>
        <w:t xml:space="preserve"> The management of radioactive waste is closely linked with the decommissioning of nuclear facilities, </w:t>
      </w:r>
      <w:r w:rsidR="00D36D9B">
        <w:t xml:space="preserve">therefore </w:t>
      </w:r>
      <w:r>
        <w:t>these activities require an integrated approach.</w:t>
      </w:r>
      <w:r w:rsidR="00AB0754">
        <w:t xml:space="preserve"> </w:t>
      </w:r>
      <w:r>
        <w:t>It covers through-life management of radioactive waste from creation through generation, processing, storage and up to</w:t>
      </w:r>
      <w:r w:rsidR="00EE0035">
        <w:t>,</w:t>
      </w:r>
      <w:r>
        <w:t xml:space="preserve"> but not including</w:t>
      </w:r>
      <w:r w:rsidR="00EE0035">
        <w:t>,</w:t>
      </w:r>
      <w:r>
        <w:t xml:space="preserve"> disposal or discharge. </w:t>
      </w:r>
    </w:p>
    <w:p w14:paraId="13150A77" w14:textId="58D456B7" w:rsidR="00C20590" w:rsidRDefault="00C20590" w:rsidP="00C20590">
      <w:pPr>
        <w:pStyle w:val="F9-Paragraph"/>
      </w:pPr>
      <w:r>
        <w:t>Key terms pertinent to the management of radioactive waste</w:t>
      </w:r>
      <w:r w:rsidR="00E8068B">
        <w:t xml:space="preserve"> used in this TAG</w:t>
      </w:r>
      <w:r>
        <w:t xml:space="preserve"> are defined as follows:</w:t>
      </w:r>
    </w:p>
    <w:p w14:paraId="293F3E6A" w14:textId="35B04F03" w:rsidR="00C20590" w:rsidRDefault="00C20590" w:rsidP="00C20590">
      <w:pPr>
        <w:pStyle w:val="Bulletlist1"/>
      </w:pPr>
      <w:r>
        <w:t>Accumulation</w:t>
      </w:r>
      <w:r w:rsidR="00C04477">
        <w:t>:</w:t>
      </w:r>
      <w:r>
        <w:t xml:space="preserve"> The gathering or amassing of radioactive waste in any form;</w:t>
      </w:r>
    </w:p>
    <w:p w14:paraId="7A4A3169" w14:textId="47D3F7E9" w:rsidR="00C20590" w:rsidRDefault="00C20590" w:rsidP="00C20590">
      <w:pPr>
        <w:pStyle w:val="Bulletlist1"/>
      </w:pPr>
      <w:r>
        <w:t>Processing</w:t>
      </w:r>
      <w:r w:rsidR="00C04477">
        <w:t>:</w:t>
      </w:r>
      <w:r>
        <w:t xml:space="preserve"> Any operation that changes the characteristics of the waste, including pre-treatment, treatment and conditioning;</w:t>
      </w:r>
    </w:p>
    <w:p w14:paraId="105BDE77" w14:textId="1C7215F7" w:rsidR="00C20590" w:rsidRDefault="00C20590" w:rsidP="00C04477">
      <w:pPr>
        <w:pStyle w:val="Bulletlist1"/>
      </w:pPr>
      <w:r>
        <w:t>Storage</w:t>
      </w:r>
      <w:r w:rsidR="00840F6B">
        <w:t>:</w:t>
      </w:r>
      <w:r>
        <w:t xml:space="preserve"> Emplacement of radioactive waste in an appropriate engineered facility with the intention </w:t>
      </w:r>
      <w:r w:rsidR="00840F6B">
        <w:t>and ability to retrieve</w:t>
      </w:r>
      <w:r>
        <w:t>;</w:t>
      </w:r>
    </w:p>
    <w:p w14:paraId="7738097C" w14:textId="5FC15728" w:rsidR="00840F6B" w:rsidRDefault="00C20590" w:rsidP="00C20590">
      <w:pPr>
        <w:pStyle w:val="Bulletlist1"/>
      </w:pPr>
      <w:r>
        <w:t>Disposal</w:t>
      </w:r>
      <w:r w:rsidR="00840F6B">
        <w:t>:</w:t>
      </w:r>
      <w:r>
        <w:t xml:space="preserve"> Emplacement of solid radioactive waste in an appropriate engineered facility without the intention of retrieval</w:t>
      </w:r>
      <w:r w:rsidR="00840F6B">
        <w:t>;</w:t>
      </w:r>
      <w:r w:rsidR="00125A79">
        <w:t xml:space="preserve"> and,</w:t>
      </w:r>
    </w:p>
    <w:p w14:paraId="15CF5389" w14:textId="435FF9CC" w:rsidR="000A51C3" w:rsidRDefault="00840F6B" w:rsidP="00C20590">
      <w:pPr>
        <w:pStyle w:val="Bulletlist1"/>
      </w:pPr>
      <w:r>
        <w:lastRenderedPageBreak/>
        <w:t>Discharge: R</w:t>
      </w:r>
      <w:r w:rsidR="00C20590">
        <w:t>elease of liquid or gaseous radioactive waste to the environment</w:t>
      </w:r>
      <w:r w:rsidR="00965FF4">
        <w:t>.</w:t>
      </w:r>
    </w:p>
    <w:p w14:paraId="06FD1B78" w14:textId="24A2A6D2" w:rsidR="00A8461E" w:rsidRDefault="005567A4" w:rsidP="00A8461E">
      <w:pPr>
        <w:pStyle w:val="F9-Paragraph"/>
      </w:pPr>
      <w:r>
        <w:t>The term “r</w:t>
      </w:r>
      <w:r w:rsidR="00A8461E">
        <w:t>adioactive waste</w:t>
      </w:r>
      <w:r>
        <w:t xml:space="preserve">” covers </w:t>
      </w:r>
      <w:r w:rsidR="00DC1F13">
        <w:t>a wide range of material</w:t>
      </w:r>
      <w:r w:rsidR="00BF4FC8">
        <w:t>, and so it</w:t>
      </w:r>
      <w:r w:rsidR="00A8461E">
        <w:t xml:space="preserve"> is classif</w:t>
      </w:r>
      <w:r w:rsidR="0066564C">
        <w:t xml:space="preserve">ied </w:t>
      </w:r>
      <w:r w:rsidR="00655A1E">
        <w:t xml:space="preserve">in terms of the nature and quantity of the </w:t>
      </w:r>
      <w:r w:rsidR="00FF34CA">
        <w:t xml:space="preserve">radioactivity it contains and its heat-generating capacity. </w:t>
      </w:r>
      <w:r w:rsidR="005C593C">
        <w:t xml:space="preserve">The </w:t>
      </w:r>
      <w:r w:rsidR="00BC408F">
        <w:t xml:space="preserve">guidance in this TAG is applicable to </w:t>
      </w:r>
      <w:r w:rsidR="0002710D">
        <w:t>all of t</w:t>
      </w:r>
      <w:r w:rsidR="002047AA">
        <w:t xml:space="preserve">he following </w:t>
      </w:r>
      <w:r w:rsidR="006D4DE2">
        <w:t xml:space="preserve">classifications of </w:t>
      </w:r>
      <w:r w:rsidR="003D741A">
        <w:t>radioactive waste:</w:t>
      </w:r>
    </w:p>
    <w:p w14:paraId="351F764A" w14:textId="77777777" w:rsidR="003D741A" w:rsidRDefault="003D741A" w:rsidP="003D741A">
      <w:pPr>
        <w:pStyle w:val="Bulletlist1"/>
      </w:pPr>
      <w:r>
        <w:t>High Level Waste (HLW) – waste in which the temperature may rise significantly as a result of its radioactivity, so this factor has to be taken into account in the design of storage or disposal facilities.</w:t>
      </w:r>
    </w:p>
    <w:p w14:paraId="1309B2C7" w14:textId="77777777" w:rsidR="003D741A" w:rsidRDefault="003D741A" w:rsidP="003D741A">
      <w:pPr>
        <w:pStyle w:val="Bulletlist1"/>
      </w:pPr>
      <w:r>
        <w:t>Intermediate Level Waste (ILW) – waste exceeding the upper boundaries for LLW, but which does not require heat generation to be taken into account in the design of storage or disposal facilities.</w:t>
      </w:r>
    </w:p>
    <w:p w14:paraId="761C311D" w14:textId="77777777" w:rsidR="003D741A" w:rsidRDefault="003D741A" w:rsidP="003D741A">
      <w:pPr>
        <w:pStyle w:val="Bulletlist1"/>
      </w:pPr>
      <w:r>
        <w:t>Low Level Waste (LLW) – waste having a radioactive content not exceeding 4 GBq/te of total alpha activity or 12 GBq/te of total beta/gamma activity.</w:t>
      </w:r>
    </w:p>
    <w:p w14:paraId="329527E9" w14:textId="77777777" w:rsidR="003D741A" w:rsidRDefault="003D741A" w:rsidP="003D741A">
      <w:pPr>
        <w:pStyle w:val="Bulletlist1"/>
      </w:pPr>
      <w:r>
        <w:t>Higher Activity Radioactive Waste (HAW) – comprises HLW, ILW and LLW that is not currently suitable for disposal in existing facilities.</w:t>
      </w:r>
    </w:p>
    <w:p w14:paraId="1F28F195" w14:textId="77777777" w:rsidR="003D741A" w:rsidRDefault="003D741A" w:rsidP="003D741A">
      <w:pPr>
        <w:pStyle w:val="Bulletlist1"/>
      </w:pPr>
      <w:r>
        <w:t>Within the LLW definition are additional sub-categories for low volume and high volume very low level waste (VLLW)</w:t>
      </w:r>
    </w:p>
    <w:p w14:paraId="00C8B61A" w14:textId="77777777" w:rsidR="003D741A" w:rsidRDefault="003D741A" w:rsidP="003D741A">
      <w:pPr>
        <w:pStyle w:val="Bulletlist2"/>
      </w:pPr>
      <w:r>
        <w:t>Low volume VLLW – radioactive waste which can be safely disposed of to an unspecified destination with municipal, commercial or industrial waste (“dustbin” disposal):</w:t>
      </w:r>
    </w:p>
    <w:p w14:paraId="2EFEB62C" w14:textId="77777777" w:rsidR="003D741A" w:rsidRDefault="003D741A" w:rsidP="003D741A">
      <w:pPr>
        <w:pStyle w:val="BulletList3"/>
      </w:pPr>
      <w:r>
        <w:t>each 0.1 m</w:t>
      </w:r>
      <w:r w:rsidRPr="00B6505B">
        <w:rPr>
          <w:vertAlign w:val="superscript"/>
        </w:rPr>
        <w:t>3</w:t>
      </w:r>
      <w:r>
        <w:t xml:space="preserve"> of waste contains less than 400 kBq of total activity or single items contain less than 40 kBq of total activity</w:t>
      </w:r>
    </w:p>
    <w:p w14:paraId="7C9F8EB3" w14:textId="01896AE8" w:rsidR="003D741A" w:rsidRDefault="003D741A" w:rsidP="003D741A">
      <w:pPr>
        <w:pStyle w:val="BulletList3"/>
      </w:pPr>
      <w:r>
        <w:t>For wastes containing carbon-14 or tritium:</w:t>
      </w:r>
    </w:p>
    <w:p w14:paraId="103250C5" w14:textId="1885B720" w:rsidR="003D741A" w:rsidRDefault="003D741A" w:rsidP="003D741A">
      <w:pPr>
        <w:pStyle w:val="BulletList3"/>
        <w:numPr>
          <w:ilvl w:val="3"/>
          <w:numId w:val="12"/>
        </w:numPr>
      </w:pPr>
      <w:r>
        <w:t>in each 0.1 m</w:t>
      </w:r>
      <w:r w:rsidRPr="00B6505B">
        <w:rPr>
          <w:vertAlign w:val="superscript"/>
        </w:rPr>
        <w:t>3</w:t>
      </w:r>
      <w:r>
        <w:t>, the activity limit is 4,000 kBq for carbon-14 and tritium taken together; and</w:t>
      </w:r>
    </w:p>
    <w:p w14:paraId="75514871" w14:textId="6D4A1F74" w:rsidR="003D741A" w:rsidRDefault="003D741A" w:rsidP="003D741A">
      <w:pPr>
        <w:pStyle w:val="BulletList3"/>
        <w:numPr>
          <w:ilvl w:val="3"/>
          <w:numId w:val="12"/>
        </w:numPr>
      </w:pPr>
      <w:r>
        <w:t>for any single item, the activity limit is 400 kBq for carbon-14 and tritium taken together.</w:t>
      </w:r>
    </w:p>
    <w:p w14:paraId="4A54FDB4" w14:textId="77777777" w:rsidR="003D741A" w:rsidRDefault="003D741A" w:rsidP="003D741A">
      <w:pPr>
        <w:pStyle w:val="Bulletlist2"/>
        <w:numPr>
          <w:ilvl w:val="0"/>
          <w:numId w:val="0"/>
        </w:numPr>
        <w:ind w:left="1843"/>
      </w:pPr>
      <w:r>
        <w:t>Controls on disposal of this waste, after removal from the premises where the wastes arose, are not necessary.</w:t>
      </w:r>
    </w:p>
    <w:p w14:paraId="3995B689" w14:textId="01D8A1CF" w:rsidR="003D741A" w:rsidRDefault="003D741A" w:rsidP="003D741A">
      <w:pPr>
        <w:pStyle w:val="Bulletlist2"/>
      </w:pPr>
      <w:r>
        <w:t xml:space="preserve">High volume VLLW </w:t>
      </w:r>
      <w:r w:rsidR="00D01DC1">
        <w:t>–</w:t>
      </w:r>
      <w:r>
        <w:t xml:space="preserve"> radioactive waste with maximum concentrations of 4 MBq/te of total activity which can be disposed of in specified landfill sites. For waste containing tritium, the concentration limit for tritium is 40 MBq/te. </w:t>
      </w:r>
    </w:p>
    <w:p w14:paraId="3F887EEF" w14:textId="77777777" w:rsidR="003D741A" w:rsidRDefault="003D741A" w:rsidP="003D741A">
      <w:pPr>
        <w:pStyle w:val="Bulletlist2"/>
        <w:numPr>
          <w:ilvl w:val="0"/>
          <w:numId w:val="0"/>
        </w:numPr>
        <w:ind w:left="1843"/>
      </w:pPr>
      <w:r>
        <w:t>Controls on disposal of this waste, after removal from the premises where the waste arose, will be necessary.</w:t>
      </w:r>
    </w:p>
    <w:p w14:paraId="546E6A02" w14:textId="176FCEA1" w:rsidR="003D741A" w:rsidRDefault="003D741A" w:rsidP="003D741A">
      <w:pPr>
        <w:pStyle w:val="Bulletlist1"/>
      </w:pPr>
      <w:r>
        <w:lastRenderedPageBreak/>
        <w:t xml:space="preserve">Exempt and out of scope waste – waste that can be exempted from some requirements of the environmental legislation (such as permitting) if the preconditions specified in that legislation can be satisfied, or are out of scope of the environmental legislation. Guidance is available on exemptions from environmental legislation in England and Wales </w:t>
      </w:r>
      <w:sdt>
        <w:sdtPr>
          <w:id w:val="-324439760"/>
          <w:citation/>
        </w:sdtPr>
        <w:sdtContent>
          <w:r>
            <w:fldChar w:fldCharType="begin"/>
          </w:r>
          <w:r>
            <w:instrText xml:space="preserve"> CITATION RSR_Exemptions_2018 \l 2057 </w:instrText>
          </w:r>
          <w:r>
            <w:fldChar w:fldCharType="separate"/>
          </w:r>
          <w:r w:rsidR="00717D5C">
            <w:rPr>
              <w:noProof/>
            </w:rPr>
            <w:t>[4]</w:t>
          </w:r>
          <w:r>
            <w:fldChar w:fldCharType="end"/>
          </w:r>
        </w:sdtContent>
      </w:sdt>
      <w:r>
        <w:t xml:space="preserve">, and on the authorisation framework, including General Binding Rules, for Scotland </w:t>
      </w:r>
      <w:sdt>
        <w:sdtPr>
          <w:id w:val="1505167248"/>
          <w:citation/>
        </w:sdtPr>
        <w:sdtContent>
          <w:r>
            <w:fldChar w:fldCharType="begin"/>
          </w:r>
          <w:r>
            <w:instrText xml:space="preserve"> CITATION SEPA_Authorisation_Guidance_2020 \l 2057 </w:instrText>
          </w:r>
          <w:r>
            <w:fldChar w:fldCharType="separate"/>
          </w:r>
          <w:r w:rsidR="00717D5C">
            <w:rPr>
              <w:noProof/>
            </w:rPr>
            <w:t>[5]</w:t>
          </w:r>
          <w:r>
            <w:fldChar w:fldCharType="end"/>
          </w:r>
        </w:sdtContent>
      </w:sdt>
      <w:r>
        <w:t>.</w:t>
      </w:r>
    </w:p>
    <w:p w14:paraId="63E44EE5" w14:textId="1A0B9A1C" w:rsidR="003D275E" w:rsidRDefault="003D275E" w:rsidP="000B3705">
      <w:pPr>
        <w:pStyle w:val="F9-Paragraph"/>
      </w:pPr>
      <w:r>
        <w:t xml:space="preserve">For further background on </w:t>
      </w:r>
      <w:r w:rsidR="00A33BA5">
        <w:t xml:space="preserve">the context of radioactive waste management, including </w:t>
      </w:r>
      <w:r w:rsidR="00985F7D">
        <w:t xml:space="preserve">what </w:t>
      </w:r>
      <w:r w:rsidR="004F65B0">
        <w:t>radioactive waste is</w:t>
      </w:r>
      <w:r w:rsidR="00581C6E">
        <w:t xml:space="preserve"> and the different roles involved in the management of radioactive waste, inspectors should refer to </w:t>
      </w:r>
      <w:r w:rsidR="00197F9F">
        <w:t xml:space="preserve">the joint guidance document </w:t>
      </w:r>
      <w:hyperlink r:id="rId19" w:history="1">
        <w:r w:rsidR="00197F9F" w:rsidRPr="00173341">
          <w:rPr>
            <w:rStyle w:val="Hyperlink"/>
          </w:rPr>
          <w:t>Basic Principles of Radioactive Waste Management</w:t>
        </w:r>
      </w:hyperlink>
      <w:r w:rsidR="006625C5">
        <w:t xml:space="preserve"> </w:t>
      </w:r>
      <w:sdt>
        <w:sdtPr>
          <w:id w:val="-298076850"/>
          <w:citation/>
        </w:sdtPr>
        <w:sdtContent>
          <w:r w:rsidR="006625C5">
            <w:fldChar w:fldCharType="begin"/>
          </w:r>
          <w:r w:rsidR="006625C5">
            <w:instrText xml:space="preserve"> CITATION BasicPrinciples \l 2057 </w:instrText>
          </w:r>
          <w:r w:rsidR="006625C5">
            <w:fldChar w:fldCharType="separate"/>
          </w:r>
          <w:r w:rsidR="00717D5C">
            <w:rPr>
              <w:noProof/>
            </w:rPr>
            <w:t>[6]</w:t>
          </w:r>
          <w:r w:rsidR="006625C5">
            <w:fldChar w:fldCharType="end"/>
          </w:r>
        </w:sdtContent>
      </w:sdt>
      <w:r w:rsidR="006625C5">
        <w:t>.</w:t>
      </w:r>
    </w:p>
    <w:p w14:paraId="3773725B" w14:textId="77777777" w:rsidR="00D97C23" w:rsidRDefault="00D97C23" w:rsidP="00D97C23">
      <w:pPr>
        <w:pStyle w:val="Bulletlist1"/>
        <w:numPr>
          <w:ilvl w:val="0"/>
          <w:numId w:val="0"/>
        </w:numPr>
        <w:ind w:left="1418" w:hanging="357"/>
      </w:pPr>
    </w:p>
    <w:p w14:paraId="3A0A8599" w14:textId="46383260" w:rsidR="00D97C23" w:rsidRDefault="00D97C23" w:rsidP="0019468E">
      <w:pPr>
        <w:pStyle w:val="F9-Paragraph"/>
        <w:numPr>
          <w:ilvl w:val="0"/>
          <w:numId w:val="0"/>
        </w:numPr>
        <w:ind w:left="851" w:hanging="851"/>
        <w:sectPr w:rsidR="00D97C23" w:rsidSect="000B2BCD">
          <w:headerReference w:type="default" r:id="rId20"/>
          <w:footerReference w:type="default" r:id="rId21"/>
          <w:pgSz w:w="11906" w:h="16838" w:code="9"/>
          <w:pgMar w:top="1440" w:right="1440" w:bottom="1440" w:left="1440" w:header="397" w:footer="397" w:gutter="0"/>
          <w:cols w:space="312"/>
          <w:docGrid w:linePitch="360"/>
        </w:sectPr>
      </w:pPr>
    </w:p>
    <w:p w14:paraId="6E712D03" w14:textId="03A76960" w:rsidR="009E0E52" w:rsidRDefault="000950B3" w:rsidP="00E90780">
      <w:pPr>
        <w:pStyle w:val="Heading1"/>
      </w:pPr>
      <w:bookmarkStart w:id="4" w:name="_Toc186205527"/>
      <w:r>
        <w:lastRenderedPageBreak/>
        <w:t xml:space="preserve">Relationship to </w:t>
      </w:r>
      <w:r w:rsidR="001C19DE">
        <w:t>l</w:t>
      </w:r>
      <w:r>
        <w:t xml:space="preserve">icence and other </w:t>
      </w:r>
      <w:r w:rsidR="001C19DE">
        <w:t>r</w:t>
      </w:r>
      <w:r>
        <w:t xml:space="preserve">elevant </w:t>
      </w:r>
      <w:r w:rsidR="001C19DE">
        <w:t>l</w:t>
      </w:r>
      <w:r>
        <w:t xml:space="preserve">egislation </w:t>
      </w:r>
      <w:bookmarkEnd w:id="4"/>
    </w:p>
    <w:p w14:paraId="742A9437" w14:textId="7327BD2E" w:rsidR="000950B3" w:rsidRDefault="00AC044B" w:rsidP="00AC044B">
      <w:pPr>
        <w:pStyle w:val="Heading2"/>
      </w:pPr>
      <w:r>
        <w:t>Nuclear Site Licence Conditions</w:t>
      </w:r>
    </w:p>
    <w:p w14:paraId="6B6E5461" w14:textId="6C23EC3C" w:rsidR="003D5D7F" w:rsidRPr="00363957" w:rsidRDefault="003D5D7F" w:rsidP="003D5D7F">
      <w:pPr>
        <w:pStyle w:val="F9-Paragraph"/>
      </w:pPr>
      <w:r w:rsidRPr="00363957">
        <w:t>All of the licence conditions (LCs) apply and are relevant to activities involving the management of radioactive waste. However, there are a number of LCs that are of particular relevance</w:t>
      </w:r>
      <w:r w:rsidR="00CE26F6" w:rsidRPr="000B3705">
        <w:t xml:space="preserve"> to the guidance provided in this TAG</w:t>
      </w:r>
      <w:r w:rsidRPr="00363957">
        <w:t>:</w:t>
      </w:r>
    </w:p>
    <w:p w14:paraId="61674A79" w14:textId="77777777" w:rsidR="00BE34E9" w:rsidRPr="000B3705" w:rsidRDefault="003D5D7F" w:rsidP="00BE34E9">
      <w:pPr>
        <w:pStyle w:val="Bulletlist1"/>
        <w:rPr>
          <w:b/>
        </w:rPr>
      </w:pPr>
      <w:r w:rsidRPr="000B3705">
        <w:rPr>
          <w:b/>
        </w:rPr>
        <w:t>LC4</w:t>
      </w:r>
      <w:r w:rsidRPr="000B3705">
        <w:rPr>
          <w:b/>
        </w:rPr>
        <w:tab/>
        <w:t>Restrictions on nuclear matter on the site</w:t>
      </w:r>
    </w:p>
    <w:p w14:paraId="25D7FC65" w14:textId="06069B61" w:rsidR="00F52B8C" w:rsidRPr="00363957" w:rsidRDefault="009C4CCD" w:rsidP="00FE0F74">
      <w:pPr>
        <w:pStyle w:val="Bulletlist1"/>
        <w:numPr>
          <w:ilvl w:val="0"/>
          <w:numId w:val="0"/>
        </w:numPr>
        <w:ind w:left="1418"/>
      </w:pPr>
      <w:r w:rsidRPr="000B3705">
        <w:t>T</w:t>
      </w:r>
      <w:r w:rsidR="00625A60" w:rsidRPr="000B3705">
        <w:t>he definition of nuclear matter in NIA1965</w:t>
      </w:r>
      <w:r w:rsidRPr="000B3705">
        <w:t xml:space="preserve"> </w:t>
      </w:r>
      <w:r w:rsidR="000245AE" w:rsidRPr="000B3705">
        <w:t>encompasses radioactive waste</w:t>
      </w:r>
      <w:r w:rsidR="00625A60" w:rsidRPr="000B3705">
        <w:t xml:space="preserve">, </w:t>
      </w:r>
      <w:r w:rsidR="00CE212D" w:rsidRPr="000B3705">
        <w:t xml:space="preserve">so the requirements of </w:t>
      </w:r>
      <w:r w:rsidR="00103241" w:rsidRPr="000B3705">
        <w:t xml:space="preserve">LC4 </w:t>
      </w:r>
      <w:r w:rsidR="00CE212D" w:rsidRPr="000B3705">
        <w:t>for</w:t>
      </w:r>
      <w:r w:rsidR="00103241" w:rsidRPr="000B3705">
        <w:t xml:space="preserve"> the licensee to </w:t>
      </w:r>
      <w:r w:rsidR="00DB628B" w:rsidRPr="000B3705">
        <w:t>ensure that nuclear matter is not brought onto</w:t>
      </w:r>
      <w:r w:rsidR="000A12DA" w:rsidRPr="000B3705">
        <w:t>, or stored, on the site except in accordance with adequate arrangements</w:t>
      </w:r>
      <w:r w:rsidR="00CE212D" w:rsidRPr="000B3705">
        <w:t xml:space="preserve"> apply to </w:t>
      </w:r>
      <w:r w:rsidR="00791BF1" w:rsidRPr="000B3705">
        <w:t>the management of radioactive waste.</w:t>
      </w:r>
      <w:r w:rsidR="00C16A57" w:rsidRPr="000B3705">
        <w:t xml:space="preserve"> </w:t>
      </w:r>
      <w:r w:rsidR="00A13074" w:rsidRPr="000B3705">
        <w:t>Th</w:t>
      </w:r>
      <w:r w:rsidR="00806CE7" w:rsidRPr="000B3705">
        <w:t xml:space="preserve">is TAG provides guidance on expectations for </w:t>
      </w:r>
      <w:r w:rsidR="006C113D" w:rsidRPr="000B3705">
        <w:t>the safe management of radioactive waste</w:t>
      </w:r>
      <w:r w:rsidR="00645EB8" w:rsidRPr="000B3705">
        <w:t xml:space="preserve">, which inspectors may find useful in judging the adequacy </w:t>
      </w:r>
      <w:r w:rsidR="005376E5" w:rsidRPr="000B3705">
        <w:t>of arrangements for compliance with LC4</w:t>
      </w:r>
      <w:r w:rsidR="007127FF" w:rsidRPr="00363957">
        <w:t>.</w:t>
      </w:r>
    </w:p>
    <w:p w14:paraId="65CED295" w14:textId="77777777" w:rsidR="003D5D7F" w:rsidRPr="000B3705" w:rsidRDefault="003D5D7F" w:rsidP="00DA73D6">
      <w:pPr>
        <w:pStyle w:val="Bulletlist1"/>
        <w:rPr>
          <w:b/>
        </w:rPr>
      </w:pPr>
      <w:r w:rsidRPr="000B3705">
        <w:rPr>
          <w:b/>
        </w:rPr>
        <w:t>LC6</w:t>
      </w:r>
      <w:r w:rsidRPr="000B3705">
        <w:rPr>
          <w:b/>
        </w:rPr>
        <w:tab/>
        <w:t>Documents, records, authorities and certificates</w:t>
      </w:r>
    </w:p>
    <w:p w14:paraId="733BB858" w14:textId="20FFC31D" w:rsidR="003C30A1" w:rsidRPr="00363957" w:rsidRDefault="003C30A1" w:rsidP="000B3705">
      <w:pPr>
        <w:pStyle w:val="Bulletlist1"/>
        <w:numPr>
          <w:ilvl w:val="0"/>
          <w:numId w:val="0"/>
        </w:numPr>
        <w:ind w:left="1418"/>
      </w:pPr>
      <w:r w:rsidRPr="000B3705">
        <w:rPr>
          <w:b/>
        </w:rPr>
        <w:t>LC25</w:t>
      </w:r>
      <w:r w:rsidR="00C720F5" w:rsidRPr="000B3705">
        <w:rPr>
          <w:b/>
        </w:rPr>
        <w:tab/>
        <w:t>Operational records</w:t>
      </w:r>
    </w:p>
    <w:p w14:paraId="6E43981C" w14:textId="05FEE7D3" w:rsidR="00C76889" w:rsidRPr="00363957" w:rsidRDefault="006461BC" w:rsidP="00CA0D68">
      <w:pPr>
        <w:pStyle w:val="Bulletlist1"/>
        <w:numPr>
          <w:ilvl w:val="0"/>
          <w:numId w:val="0"/>
        </w:numPr>
        <w:ind w:left="1418"/>
      </w:pPr>
      <w:r w:rsidRPr="000B3705">
        <w:t>LC6 require</w:t>
      </w:r>
      <w:r w:rsidR="0066142F" w:rsidRPr="000B3705">
        <w:t xml:space="preserve">s the licensee to make adequate records to demonstrate compliance with </w:t>
      </w:r>
      <w:r w:rsidR="0063628D" w:rsidRPr="000B3705">
        <w:t xml:space="preserve">the licence conditions, while LC25 </w:t>
      </w:r>
      <w:r w:rsidR="00AA50E6" w:rsidRPr="000B3705">
        <w:t xml:space="preserve">requires </w:t>
      </w:r>
      <w:r w:rsidR="00870246" w:rsidRPr="000B3705">
        <w:t xml:space="preserve">the licensee to make adequate records of </w:t>
      </w:r>
      <w:r w:rsidR="00291C46" w:rsidRPr="00363957">
        <w:t>the operation, inspection and maintenance of any plant which may affect safety</w:t>
      </w:r>
      <w:r w:rsidR="00536BB8" w:rsidRPr="00363957">
        <w:t xml:space="preserve">, </w:t>
      </w:r>
      <w:r w:rsidR="000814DA" w:rsidRPr="00363957">
        <w:t xml:space="preserve">where </w:t>
      </w:r>
      <w:r w:rsidR="00CA0D68" w:rsidRPr="00363957">
        <w:t xml:space="preserve">“operation” includes the treatment, processing, keeping, storing, accumulating or carriage of radioactive waste. </w:t>
      </w:r>
      <w:r w:rsidR="00C50A64" w:rsidRPr="00363957">
        <w:t>LC25 also requires records o</w:t>
      </w:r>
      <w:r w:rsidR="000814DA" w:rsidRPr="00363957">
        <w:t>f the amount and</w:t>
      </w:r>
      <w:r w:rsidR="00536BB8" w:rsidRPr="00363957">
        <w:t xml:space="preserve"> location of all radioactive waste processed, stored or accumulated upon the site at any time. </w:t>
      </w:r>
      <w:r w:rsidR="00320D4C" w:rsidRPr="00363957">
        <w:t>T</w:t>
      </w:r>
      <w:r w:rsidR="0015401B" w:rsidRPr="00363957">
        <w:t>h</w:t>
      </w:r>
      <w:r w:rsidR="00A53A35" w:rsidRPr="00363957">
        <w:t xml:space="preserve">is TAG </w:t>
      </w:r>
      <w:r w:rsidR="00BD6CE7" w:rsidRPr="00363957">
        <w:t>provide</w:t>
      </w:r>
      <w:r w:rsidR="00FA135F">
        <w:t>s</w:t>
      </w:r>
      <w:r w:rsidR="00BD6CE7" w:rsidRPr="00363957">
        <w:t xml:space="preserve"> an overview of RGP</w:t>
      </w:r>
      <w:r w:rsidR="00FB5375" w:rsidRPr="00363957">
        <w:t xml:space="preserve"> for records</w:t>
      </w:r>
      <w:r w:rsidR="00BD6CE7" w:rsidRPr="00363957">
        <w:t xml:space="preserve"> for radioactive waste,</w:t>
      </w:r>
      <w:r w:rsidR="00FB5375" w:rsidRPr="00363957">
        <w:t xml:space="preserve"> reflecting that </w:t>
      </w:r>
      <w:r w:rsidR="00D57166" w:rsidRPr="00363957">
        <w:t xml:space="preserve">the </w:t>
      </w:r>
      <w:r w:rsidR="00BB21FD" w:rsidRPr="00363957">
        <w:t>management of radioactive waste</w:t>
      </w:r>
      <w:r w:rsidR="00DF7DCB" w:rsidRPr="00363957">
        <w:t xml:space="preserve"> </w:t>
      </w:r>
      <w:r w:rsidR="004E3FF9" w:rsidRPr="00363957">
        <w:t xml:space="preserve">may involve </w:t>
      </w:r>
      <w:r w:rsidR="00BF1839" w:rsidRPr="00363957">
        <w:t xml:space="preserve">multiple facilities </w:t>
      </w:r>
      <w:r w:rsidR="00FE67F4" w:rsidRPr="00363957">
        <w:t xml:space="preserve">and organisations at different points in the </w:t>
      </w:r>
      <w:r w:rsidR="00BB21FD" w:rsidRPr="00363957">
        <w:t xml:space="preserve">waste </w:t>
      </w:r>
      <w:r w:rsidR="00FE67F4" w:rsidRPr="00363957">
        <w:t xml:space="preserve">lifecycle from generation to disposal, </w:t>
      </w:r>
      <w:r w:rsidR="00326359" w:rsidRPr="00363957">
        <w:t>potentially over significant timescales</w:t>
      </w:r>
      <w:r w:rsidR="00320D4C" w:rsidRPr="00363957">
        <w:t>.</w:t>
      </w:r>
      <w:r w:rsidR="00326359" w:rsidRPr="00363957">
        <w:t xml:space="preserve"> </w:t>
      </w:r>
      <w:r w:rsidR="00462690" w:rsidRPr="000B3705">
        <w:t>Inspectors may find this useful in judging the adequacy of compliance with LCs 6 and 25</w:t>
      </w:r>
      <w:r w:rsidR="00D47569" w:rsidRPr="00363957">
        <w:t>.</w:t>
      </w:r>
    </w:p>
    <w:p w14:paraId="4A719569" w14:textId="77777777" w:rsidR="003D5D7F" w:rsidRPr="000B3705" w:rsidRDefault="003D5D7F" w:rsidP="003D5D7F">
      <w:pPr>
        <w:pStyle w:val="Bulletlist1"/>
        <w:rPr>
          <w:b/>
        </w:rPr>
      </w:pPr>
      <w:r w:rsidRPr="000B3705">
        <w:rPr>
          <w:b/>
        </w:rPr>
        <w:t>LC15</w:t>
      </w:r>
      <w:r w:rsidRPr="000B3705">
        <w:rPr>
          <w:b/>
        </w:rPr>
        <w:tab/>
        <w:t>Periodic review</w:t>
      </w:r>
    </w:p>
    <w:p w14:paraId="7E3A735F" w14:textId="2629E30A" w:rsidR="00D16460" w:rsidRPr="00363957" w:rsidRDefault="005502EB" w:rsidP="00FE0F74">
      <w:pPr>
        <w:pStyle w:val="Bulletlist1"/>
        <w:numPr>
          <w:ilvl w:val="0"/>
          <w:numId w:val="0"/>
        </w:numPr>
        <w:ind w:left="1418"/>
      </w:pPr>
      <w:r w:rsidRPr="000B3705">
        <w:t xml:space="preserve">LC15 requires </w:t>
      </w:r>
      <w:r w:rsidR="003F4F37" w:rsidRPr="000B3705">
        <w:t xml:space="preserve">the licensee to </w:t>
      </w:r>
      <w:r w:rsidR="00445EC7" w:rsidRPr="000B3705">
        <w:t xml:space="preserve">make and implement adequate arrangements for the periodic review and reassessment of </w:t>
      </w:r>
      <w:r w:rsidR="000B2D83" w:rsidRPr="000B3705">
        <w:t xml:space="preserve">safety cases. </w:t>
      </w:r>
      <w:r w:rsidR="00276D38" w:rsidRPr="000B3705">
        <w:t xml:space="preserve">This TAG provides guidance on </w:t>
      </w:r>
      <w:r w:rsidR="00C07547" w:rsidRPr="000B3705">
        <w:t>safety cases for radioactive waste management</w:t>
      </w:r>
      <w:r w:rsidR="004C3657" w:rsidRPr="000B3705">
        <w:t xml:space="preserve"> activities</w:t>
      </w:r>
      <w:r w:rsidR="00C07547" w:rsidRPr="000B3705">
        <w:t>, which inspectors may find useful in judging whether a licensee h</w:t>
      </w:r>
      <w:r w:rsidR="002A5D32" w:rsidRPr="000B3705">
        <w:t xml:space="preserve">as </w:t>
      </w:r>
      <w:r w:rsidR="00FD661D" w:rsidRPr="000B3705">
        <w:t xml:space="preserve">conducted an </w:t>
      </w:r>
      <w:r w:rsidR="008628D8" w:rsidRPr="000B3705">
        <w:t xml:space="preserve">adequate review </w:t>
      </w:r>
      <w:r w:rsidR="003571AB" w:rsidRPr="000B3705">
        <w:t xml:space="preserve">against </w:t>
      </w:r>
      <w:r w:rsidR="00275F07" w:rsidRPr="000B3705">
        <w:t xml:space="preserve">RGP. </w:t>
      </w:r>
      <w:r w:rsidR="00F405AC" w:rsidRPr="000B3705">
        <w:t>As f</w:t>
      </w:r>
      <w:r w:rsidR="00401949" w:rsidRPr="000B3705">
        <w:t xml:space="preserve">acilities for the management of radioactive waste, particularly stores for HAW, </w:t>
      </w:r>
      <w:r w:rsidR="00731241" w:rsidRPr="000B3705">
        <w:t>may be</w:t>
      </w:r>
      <w:r w:rsidR="00D6518E" w:rsidRPr="00363957">
        <w:t xml:space="preserve"> required to operate </w:t>
      </w:r>
      <w:r w:rsidR="001523E3" w:rsidRPr="00363957">
        <w:t>safely over long periods</w:t>
      </w:r>
      <w:r w:rsidR="00F405AC" w:rsidRPr="000B3705">
        <w:t xml:space="preserve">, </w:t>
      </w:r>
      <w:r w:rsidR="008345D6" w:rsidRPr="000B3705">
        <w:lastRenderedPageBreak/>
        <w:t xml:space="preserve">this TAG also highlights specific aspects that should be </w:t>
      </w:r>
      <w:r w:rsidR="00121535" w:rsidRPr="000B3705">
        <w:t xml:space="preserve">addressed by licensees in the periodic safety review </w:t>
      </w:r>
      <w:r w:rsidR="00744D2B" w:rsidRPr="000B3705">
        <w:t>of</w:t>
      </w:r>
      <w:r w:rsidR="00121535" w:rsidRPr="000B3705">
        <w:t xml:space="preserve"> </w:t>
      </w:r>
      <w:r w:rsidR="00744D2B" w:rsidRPr="000B3705">
        <w:t>radioactive waste facilities</w:t>
      </w:r>
      <w:r w:rsidR="00C678D4" w:rsidRPr="00363957">
        <w:t>.</w:t>
      </w:r>
    </w:p>
    <w:p w14:paraId="027DAA7A" w14:textId="77777777" w:rsidR="003D5D7F" w:rsidRPr="000B3705" w:rsidRDefault="003D5D7F" w:rsidP="003D5D7F">
      <w:pPr>
        <w:pStyle w:val="Bulletlist1"/>
        <w:rPr>
          <w:b/>
        </w:rPr>
      </w:pPr>
      <w:r w:rsidRPr="000B3705">
        <w:rPr>
          <w:b/>
        </w:rPr>
        <w:t>LC17</w:t>
      </w:r>
      <w:r w:rsidRPr="000B3705">
        <w:rPr>
          <w:b/>
        </w:rPr>
        <w:tab/>
        <w:t>Management systems</w:t>
      </w:r>
    </w:p>
    <w:p w14:paraId="497620D5" w14:textId="2D3D5B3D" w:rsidR="001523E3" w:rsidRPr="00363957" w:rsidRDefault="00D611E5" w:rsidP="00FE0F74">
      <w:pPr>
        <w:pStyle w:val="Bulletlist1"/>
        <w:numPr>
          <w:ilvl w:val="0"/>
          <w:numId w:val="0"/>
        </w:numPr>
        <w:ind w:left="1418"/>
      </w:pPr>
      <w:r w:rsidRPr="000B3705">
        <w:t xml:space="preserve">LC17 </w:t>
      </w:r>
      <w:r w:rsidR="00F54E35" w:rsidRPr="000B3705">
        <w:t xml:space="preserve">requires the licensee to make and implement adequate quality management arrangements in </w:t>
      </w:r>
      <w:r w:rsidR="00144991" w:rsidRPr="000B3705">
        <w:t xml:space="preserve">respect of all matters that may affect safety. </w:t>
      </w:r>
      <w:r w:rsidR="00C92DBB" w:rsidRPr="000B3705">
        <w:t>In respect of</w:t>
      </w:r>
      <w:r w:rsidR="00FC33D8" w:rsidRPr="000B3705">
        <w:t xml:space="preserve"> radioactive waste</w:t>
      </w:r>
      <w:r w:rsidR="00ED2D00" w:rsidRPr="000B3705">
        <w:t xml:space="preserve">, adequate </w:t>
      </w:r>
      <w:r w:rsidR="00FD6DEA">
        <w:t xml:space="preserve">control over the </w:t>
      </w:r>
      <w:r w:rsidR="00FC18CA">
        <w:t xml:space="preserve">quality of </w:t>
      </w:r>
      <w:r w:rsidR="00852942">
        <w:t>radioactive waste products and containers</w:t>
      </w:r>
      <w:r w:rsidR="00C77209">
        <w:t xml:space="preserve"> </w:t>
      </w:r>
      <w:r w:rsidR="00ED2D00">
        <w:t xml:space="preserve">is required to ensure that </w:t>
      </w:r>
      <w:r w:rsidR="00750BCB">
        <w:t xml:space="preserve">the </w:t>
      </w:r>
      <w:r w:rsidR="00ED2D00" w:rsidRPr="000B3705">
        <w:t>waste</w:t>
      </w:r>
      <w:r w:rsidR="00FC33D8" w:rsidRPr="000B3705">
        <w:t xml:space="preserve"> can be </w:t>
      </w:r>
      <w:r w:rsidR="00FC33D8">
        <w:t xml:space="preserve">managed </w:t>
      </w:r>
      <w:r w:rsidR="00FC33D8" w:rsidRPr="000B3705">
        <w:t xml:space="preserve">safely </w:t>
      </w:r>
      <w:r w:rsidR="00750BCB">
        <w:t xml:space="preserve">and in a way that </w:t>
      </w:r>
      <w:r w:rsidR="00B84C4F">
        <w:t xml:space="preserve">is consistent with </w:t>
      </w:r>
      <w:r w:rsidR="00AA470C">
        <w:t xml:space="preserve">the safety cases for its </w:t>
      </w:r>
      <w:r w:rsidR="00FC33D8" w:rsidRPr="000B3705">
        <w:t>manage</w:t>
      </w:r>
      <w:r w:rsidR="009512BF">
        <w:t>ment</w:t>
      </w:r>
      <w:r w:rsidR="00FC33D8" w:rsidRPr="000B3705">
        <w:t xml:space="preserve"> over </w:t>
      </w:r>
      <w:r w:rsidR="009512BF">
        <w:t>the</w:t>
      </w:r>
      <w:r w:rsidR="00FC33D8" w:rsidRPr="000B3705">
        <w:t xml:space="preserve"> full lifecycle</w:t>
      </w:r>
      <w:r w:rsidR="00220029">
        <w:t>.</w:t>
      </w:r>
      <w:r w:rsidR="00164A68" w:rsidRPr="000B3705">
        <w:t xml:space="preserve"> </w:t>
      </w:r>
      <w:r w:rsidR="007F3C50" w:rsidRPr="00363957">
        <w:t xml:space="preserve">This </w:t>
      </w:r>
      <w:r w:rsidR="00FD5E5F" w:rsidRPr="00363957">
        <w:t xml:space="preserve">TAG </w:t>
      </w:r>
      <w:r w:rsidR="00A7418C" w:rsidRPr="00363957">
        <w:t>includes guidance on</w:t>
      </w:r>
      <w:r w:rsidR="006E1BBA" w:rsidRPr="00363957">
        <w:t xml:space="preserve"> quality control and quality assurance of radioactive waste management activities</w:t>
      </w:r>
      <w:r w:rsidR="007D44D1" w:rsidRPr="000B3705">
        <w:t xml:space="preserve">, </w:t>
      </w:r>
      <w:r w:rsidR="00CF38D0" w:rsidRPr="000B3705">
        <w:t>which inspectors may find useful in judging the adequacy of quality arr</w:t>
      </w:r>
      <w:r w:rsidR="007A5C19" w:rsidRPr="000B3705">
        <w:t>angements</w:t>
      </w:r>
      <w:r w:rsidR="007A5C19">
        <w:t xml:space="preserve"> </w:t>
      </w:r>
      <w:r w:rsidR="00FA6ED8">
        <w:t>related to radioactive waste management</w:t>
      </w:r>
      <w:r w:rsidR="007A5C19" w:rsidRPr="000B3705">
        <w:t xml:space="preserve"> for compliance with LC17</w:t>
      </w:r>
      <w:r w:rsidR="00C92331" w:rsidRPr="00363957">
        <w:t>.</w:t>
      </w:r>
    </w:p>
    <w:p w14:paraId="2A01A8D1" w14:textId="77777777" w:rsidR="003D5D7F" w:rsidRPr="00730936" w:rsidRDefault="003D5D7F" w:rsidP="00FE0F74">
      <w:pPr>
        <w:pStyle w:val="Bulletlist1"/>
        <w:keepNext/>
        <w:rPr>
          <w:b/>
        </w:rPr>
      </w:pPr>
      <w:r w:rsidRPr="00730936">
        <w:rPr>
          <w:b/>
        </w:rPr>
        <w:t>LC23</w:t>
      </w:r>
      <w:r w:rsidRPr="00730936">
        <w:rPr>
          <w:b/>
        </w:rPr>
        <w:tab/>
        <w:t>Operating rules</w:t>
      </w:r>
    </w:p>
    <w:p w14:paraId="08B1EE60" w14:textId="4ADE9F47" w:rsidR="00254D05" w:rsidRPr="00363957" w:rsidRDefault="00363803" w:rsidP="00C2708A">
      <w:pPr>
        <w:pStyle w:val="Bulletlist1"/>
        <w:keepNext/>
        <w:numPr>
          <w:ilvl w:val="0"/>
          <w:numId w:val="0"/>
        </w:numPr>
        <w:ind w:left="1418"/>
      </w:pPr>
      <w:r w:rsidRPr="00730936">
        <w:t xml:space="preserve">For operations that may affect safety, </w:t>
      </w:r>
      <w:r w:rsidR="00C2708A" w:rsidRPr="00730936">
        <w:t xml:space="preserve">LC23 requires the </w:t>
      </w:r>
      <w:r w:rsidR="00C2708A" w:rsidRPr="00363957">
        <w:t xml:space="preserve">licensee to produce an adequate safety case and to identify the conditions and limits necessary in the interests of safety. </w:t>
      </w:r>
      <w:r w:rsidR="006F583C" w:rsidRPr="00363957">
        <w:t xml:space="preserve">This TAG provides guidance </w:t>
      </w:r>
      <w:r w:rsidR="005957A6" w:rsidRPr="00730936">
        <w:t xml:space="preserve">on </w:t>
      </w:r>
      <w:r w:rsidR="00827038" w:rsidRPr="00730936">
        <w:t>specific aspects</w:t>
      </w:r>
      <w:r w:rsidR="00E73E00">
        <w:t xml:space="preserve"> important to safety</w:t>
      </w:r>
      <w:r w:rsidR="00827038" w:rsidRPr="00730936">
        <w:t xml:space="preserve"> that should be addressed in </w:t>
      </w:r>
      <w:r w:rsidR="005957A6" w:rsidRPr="00730936">
        <w:t xml:space="preserve">safety cases </w:t>
      </w:r>
      <w:r w:rsidR="00827038" w:rsidRPr="00730936">
        <w:t xml:space="preserve">for </w:t>
      </w:r>
      <w:r w:rsidR="005957A6" w:rsidRPr="00730936">
        <w:t>radioactive waste management activities</w:t>
      </w:r>
      <w:r w:rsidR="00C82A1A">
        <w:t>, including</w:t>
      </w:r>
      <w:r w:rsidR="006F583C" w:rsidRPr="00363957">
        <w:t xml:space="preserve"> </w:t>
      </w:r>
      <w:r w:rsidR="00C82A1A">
        <w:t>associated</w:t>
      </w:r>
      <w:r w:rsidR="00EC5EFC" w:rsidRPr="00363957">
        <w:t xml:space="preserve"> </w:t>
      </w:r>
      <w:r w:rsidR="00CB10D5" w:rsidRPr="00363957">
        <w:t>limits</w:t>
      </w:r>
      <w:r w:rsidR="00A953EE" w:rsidRPr="00730936">
        <w:t xml:space="preserve"> and conditions</w:t>
      </w:r>
      <w:r w:rsidR="0061238B" w:rsidRPr="00363957">
        <w:t>.</w:t>
      </w:r>
    </w:p>
    <w:p w14:paraId="148273AA" w14:textId="77777777" w:rsidR="003D5D7F" w:rsidRPr="00730936" w:rsidRDefault="003D5D7F" w:rsidP="003D5D7F">
      <w:pPr>
        <w:pStyle w:val="Bulletlist1"/>
        <w:rPr>
          <w:b/>
        </w:rPr>
      </w:pPr>
      <w:r w:rsidRPr="00730936">
        <w:rPr>
          <w:b/>
        </w:rPr>
        <w:t>LC28</w:t>
      </w:r>
      <w:r w:rsidRPr="00730936">
        <w:rPr>
          <w:b/>
        </w:rPr>
        <w:tab/>
        <w:t>Examination, inspection, maintenance and testing</w:t>
      </w:r>
    </w:p>
    <w:p w14:paraId="5E2B7112" w14:textId="331BE787" w:rsidR="0076622C" w:rsidRPr="00363957" w:rsidRDefault="00AC2120" w:rsidP="00AC2120">
      <w:pPr>
        <w:pStyle w:val="Bulletlist1"/>
        <w:numPr>
          <w:ilvl w:val="0"/>
          <w:numId w:val="0"/>
        </w:numPr>
        <w:ind w:left="1418"/>
      </w:pPr>
      <w:r w:rsidRPr="00730936">
        <w:t xml:space="preserve">For all plant that may affect safety, LC28 requires the licensee to </w:t>
      </w:r>
      <w:r w:rsidRPr="00363957">
        <w:t xml:space="preserve">make and implement adequate arrangements for examination, inspection, maintenance and testing. </w:t>
      </w:r>
      <w:r w:rsidR="00E33F11" w:rsidRPr="00363957">
        <w:t xml:space="preserve">This TAG provides guidance on </w:t>
      </w:r>
      <w:r w:rsidR="00F0547F" w:rsidRPr="00730936">
        <w:t xml:space="preserve">specific considerations for the </w:t>
      </w:r>
      <w:r w:rsidR="00E33F11" w:rsidRPr="00363957">
        <w:t>condition</w:t>
      </w:r>
      <w:r w:rsidR="00DF1E2F">
        <w:t>,</w:t>
      </w:r>
      <w:r w:rsidR="00E33F11" w:rsidRPr="00363957">
        <w:t xml:space="preserve"> monitoring and inspection programmes </w:t>
      </w:r>
      <w:r w:rsidR="003E192D" w:rsidRPr="00363957">
        <w:t>for stor</w:t>
      </w:r>
      <w:r w:rsidR="00DF1E2F">
        <w:t>ed</w:t>
      </w:r>
      <w:r w:rsidR="003E192D" w:rsidRPr="00363957">
        <w:t xml:space="preserve"> radioactive waste</w:t>
      </w:r>
      <w:r w:rsidR="00DA2CD1" w:rsidRPr="00730936">
        <w:t xml:space="preserve">, </w:t>
      </w:r>
      <w:r w:rsidR="00AE07C3" w:rsidRPr="00730936">
        <w:t>reflecting tha</w:t>
      </w:r>
      <w:r w:rsidR="00EE5E2D" w:rsidRPr="00730936">
        <w:t>t the</w:t>
      </w:r>
      <w:r w:rsidR="006873D4" w:rsidRPr="00730936">
        <w:t xml:space="preserve"> storage system may need to provide safety functions over significant periods and that </w:t>
      </w:r>
      <w:r w:rsidR="008910C5" w:rsidRPr="00730936">
        <w:t>waste</w:t>
      </w:r>
      <w:r w:rsidR="00EB487D">
        <w:t xml:space="preserve"> form and / or</w:t>
      </w:r>
      <w:r w:rsidR="008910C5" w:rsidRPr="00730936">
        <w:t xml:space="preserve"> packages may also contribute to achieving </w:t>
      </w:r>
      <w:r w:rsidR="00EB487D">
        <w:t xml:space="preserve">those </w:t>
      </w:r>
      <w:r w:rsidR="002B3FF1" w:rsidRPr="00730936">
        <w:t>safety functions</w:t>
      </w:r>
      <w:r w:rsidR="003E192D" w:rsidRPr="00363957">
        <w:t>.</w:t>
      </w:r>
    </w:p>
    <w:p w14:paraId="6B9C101B" w14:textId="77777777" w:rsidR="003D5D7F" w:rsidRPr="00730936" w:rsidRDefault="003D5D7F" w:rsidP="003D5D7F">
      <w:pPr>
        <w:pStyle w:val="Bulletlist1"/>
        <w:rPr>
          <w:b/>
        </w:rPr>
      </w:pPr>
      <w:r w:rsidRPr="00730936">
        <w:rPr>
          <w:b/>
        </w:rPr>
        <w:t>LC32</w:t>
      </w:r>
      <w:r w:rsidRPr="00730936">
        <w:rPr>
          <w:b/>
        </w:rPr>
        <w:tab/>
        <w:t>Accumulation of radioactive waste</w:t>
      </w:r>
    </w:p>
    <w:p w14:paraId="18077545" w14:textId="4EF97919" w:rsidR="00F540E4" w:rsidRPr="00363957" w:rsidRDefault="009B661D" w:rsidP="009B661D">
      <w:pPr>
        <w:pStyle w:val="Bulletlist1"/>
        <w:numPr>
          <w:ilvl w:val="0"/>
          <w:numId w:val="0"/>
        </w:numPr>
        <w:ind w:left="1418"/>
      </w:pPr>
      <w:r w:rsidRPr="00363957">
        <w:t>LC32 requires adequate arrangements for minimising</w:t>
      </w:r>
      <w:r w:rsidR="00EB487D">
        <w:t>,</w:t>
      </w:r>
      <w:r w:rsidRPr="00363957">
        <w:t xml:space="preserve"> so far as is reasonably practicable</w:t>
      </w:r>
      <w:r w:rsidR="00EB487D">
        <w:t>,</w:t>
      </w:r>
      <w:r w:rsidRPr="00363957">
        <w:t xml:space="preserve"> the rate of production and total quantity of radioactive waste accumulated on the site</w:t>
      </w:r>
      <w:r w:rsidR="003F4DEC" w:rsidRPr="00363957">
        <w:t>.</w:t>
      </w:r>
      <w:r w:rsidRPr="00730936">
        <w:t xml:space="preserve"> </w:t>
      </w:r>
      <w:r w:rsidR="00BE4F77" w:rsidRPr="00363957">
        <w:t xml:space="preserve">This TAG provides </w:t>
      </w:r>
      <w:r w:rsidR="005C476F" w:rsidRPr="00730936">
        <w:t>an overview of RGP</w:t>
      </w:r>
      <w:r w:rsidR="00EF2C26" w:rsidRPr="00730936">
        <w:t xml:space="preserve"> for preventing and minimising the generation of radioactive waste</w:t>
      </w:r>
      <w:r w:rsidR="00D20DF5" w:rsidRPr="00730936">
        <w:t xml:space="preserve">, which inspectors may find useful in </w:t>
      </w:r>
      <w:r w:rsidR="008E0264" w:rsidRPr="00730936">
        <w:t xml:space="preserve">judging the adequacy of the arrangements for </w:t>
      </w:r>
      <w:r w:rsidR="00EF2C26" w:rsidRPr="00730936">
        <w:t>compliance with LC32</w:t>
      </w:r>
      <w:r w:rsidR="006979CB" w:rsidRPr="00363957">
        <w:t>.</w:t>
      </w:r>
    </w:p>
    <w:p w14:paraId="19AD7B76" w14:textId="77777777" w:rsidR="003D5D7F" w:rsidRPr="00363957" w:rsidRDefault="003D5D7F" w:rsidP="003D5D7F">
      <w:pPr>
        <w:pStyle w:val="Bulletlist1"/>
      </w:pPr>
      <w:r w:rsidRPr="00730936">
        <w:rPr>
          <w:b/>
        </w:rPr>
        <w:t>LC34</w:t>
      </w:r>
      <w:r w:rsidRPr="00730936">
        <w:rPr>
          <w:b/>
        </w:rPr>
        <w:tab/>
        <w:t>Leakage and escape of radioactive material and radioactive waste</w:t>
      </w:r>
    </w:p>
    <w:p w14:paraId="32C7FDE5" w14:textId="01A83189" w:rsidR="00C95E6C" w:rsidRPr="00363957" w:rsidRDefault="00A065A3" w:rsidP="00212248">
      <w:pPr>
        <w:pStyle w:val="Bulletlist1"/>
        <w:numPr>
          <w:ilvl w:val="0"/>
          <w:numId w:val="0"/>
        </w:numPr>
        <w:ind w:left="1418"/>
      </w:pPr>
      <w:r w:rsidRPr="00363957">
        <w:t xml:space="preserve">LC34 requires the licensee to ensure, so far as is reasonably practicable, that radioactive waste on the site is at all times adequately </w:t>
      </w:r>
      <w:r w:rsidRPr="00363957">
        <w:lastRenderedPageBreak/>
        <w:t>controlled or contained so that it cannot leak or otherwise escape from such control or containment</w:t>
      </w:r>
      <w:r w:rsidR="00212248" w:rsidRPr="00363957">
        <w:t>, without being detected.</w:t>
      </w:r>
      <w:r w:rsidRPr="00730936">
        <w:t xml:space="preserve"> </w:t>
      </w:r>
      <w:r w:rsidR="00446345" w:rsidRPr="00363957">
        <w:t xml:space="preserve">This </w:t>
      </w:r>
      <w:r w:rsidR="009C60E6" w:rsidRPr="00363957">
        <w:t>TAG</w:t>
      </w:r>
      <w:r w:rsidR="00446345" w:rsidRPr="00363957">
        <w:t xml:space="preserve"> provide</w:t>
      </w:r>
      <w:r w:rsidR="009C60E6" w:rsidRPr="00363957">
        <w:t>s</w:t>
      </w:r>
      <w:r w:rsidR="00446345" w:rsidRPr="00363957">
        <w:t xml:space="preserve"> an overview of </w:t>
      </w:r>
      <w:r w:rsidR="009905C6" w:rsidRPr="00363957">
        <w:t>RGP</w:t>
      </w:r>
      <w:r w:rsidR="00446345" w:rsidRPr="00363957">
        <w:t xml:space="preserve"> for </w:t>
      </w:r>
      <w:r w:rsidR="002A3E14" w:rsidRPr="00363957">
        <w:t xml:space="preserve">control and </w:t>
      </w:r>
      <w:r w:rsidR="00446345" w:rsidRPr="00363957">
        <w:t>containment</w:t>
      </w:r>
      <w:r w:rsidR="00D65732" w:rsidRPr="00363957">
        <w:t xml:space="preserve"> of stored radioactive waste</w:t>
      </w:r>
      <w:r w:rsidR="00446345" w:rsidRPr="00363957">
        <w:t xml:space="preserve"> and </w:t>
      </w:r>
      <w:r w:rsidR="00B83838" w:rsidRPr="00363957">
        <w:t xml:space="preserve">for </w:t>
      </w:r>
      <w:r w:rsidR="00446345" w:rsidRPr="00363957">
        <w:t>detection</w:t>
      </w:r>
      <w:r w:rsidR="009051AD" w:rsidRPr="00363957">
        <w:t xml:space="preserve"> of leakage</w:t>
      </w:r>
      <w:r w:rsidR="00446345" w:rsidRPr="00363957">
        <w:t xml:space="preserve"> via an adequate condition</w:t>
      </w:r>
      <w:r w:rsidR="001B72A9">
        <w:t>,</w:t>
      </w:r>
      <w:r w:rsidR="00446345" w:rsidRPr="00363957">
        <w:t xml:space="preserve"> monitoring and inspection programme</w:t>
      </w:r>
      <w:r w:rsidR="00506015" w:rsidRPr="00730936">
        <w:t>.</w:t>
      </w:r>
    </w:p>
    <w:p w14:paraId="270CD234" w14:textId="361171E9" w:rsidR="00AC044B" w:rsidRPr="00730936" w:rsidRDefault="003D5D7F" w:rsidP="003D5D7F">
      <w:pPr>
        <w:pStyle w:val="Bulletlist1"/>
        <w:rPr>
          <w:b/>
        </w:rPr>
      </w:pPr>
      <w:r w:rsidRPr="00730936">
        <w:rPr>
          <w:b/>
        </w:rPr>
        <w:t>LC35</w:t>
      </w:r>
      <w:r w:rsidRPr="00730936">
        <w:rPr>
          <w:b/>
        </w:rPr>
        <w:tab/>
        <w:t>Decommissioning</w:t>
      </w:r>
    </w:p>
    <w:p w14:paraId="3B104233" w14:textId="77777777" w:rsidR="006002C1" w:rsidRDefault="00755843" w:rsidP="00755843">
      <w:pPr>
        <w:pStyle w:val="Bulletlist1"/>
        <w:numPr>
          <w:ilvl w:val="0"/>
          <w:numId w:val="0"/>
        </w:numPr>
        <w:ind w:left="1418"/>
      </w:pPr>
      <w:r w:rsidRPr="00730936">
        <w:t xml:space="preserve">LC35 requires </w:t>
      </w:r>
      <w:r w:rsidRPr="00363957">
        <w:t>the licensee to make and implement adequate arrangements for the decommissioning</w:t>
      </w:r>
      <w:r w:rsidR="00457EB1" w:rsidRPr="00363957">
        <w:t xml:space="preserve"> of any plant or process that may affect safety. Decommissioning </w:t>
      </w:r>
      <w:r w:rsidR="00F75925">
        <w:t>is likely</w:t>
      </w:r>
      <w:r w:rsidR="00457EB1" w:rsidRPr="00363957">
        <w:t xml:space="preserve"> </w:t>
      </w:r>
      <w:r w:rsidR="00031934">
        <w:t>to result in the production of</w:t>
      </w:r>
      <w:r w:rsidR="00457EB1" w:rsidRPr="00363957">
        <w:t xml:space="preserve"> significant quantities of radioactive waste</w:t>
      </w:r>
      <w:r w:rsidR="00031934">
        <w:t xml:space="preserve">, which then </w:t>
      </w:r>
      <w:r w:rsidR="004F2479">
        <w:t>need to be managed to the point of disposal</w:t>
      </w:r>
      <w:r w:rsidR="003E049A" w:rsidRPr="00363957">
        <w:t>.</w:t>
      </w:r>
      <w:r w:rsidRPr="00730936">
        <w:t xml:space="preserve"> </w:t>
      </w:r>
      <w:r w:rsidR="00363957" w:rsidRPr="00730936">
        <w:t>Inspectors should note that t</w:t>
      </w:r>
      <w:r w:rsidR="00500B7C" w:rsidRPr="00363957">
        <w:t xml:space="preserve">he guidance in this TAG is applicable </w:t>
      </w:r>
      <w:r w:rsidR="00460D57" w:rsidRPr="00363957">
        <w:t xml:space="preserve">to </w:t>
      </w:r>
      <w:r w:rsidR="00047E62" w:rsidRPr="00363957">
        <w:t xml:space="preserve">management of </w:t>
      </w:r>
      <w:r w:rsidR="004524F3" w:rsidRPr="00363957">
        <w:t xml:space="preserve">any radioactive waste </w:t>
      </w:r>
      <w:r w:rsidR="00F75E74" w:rsidRPr="00363957">
        <w:t>expected to be</w:t>
      </w:r>
      <w:r w:rsidR="00047E62" w:rsidRPr="00363957">
        <w:t xml:space="preserve"> generated </w:t>
      </w:r>
      <w:r w:rsidR="00F75E74" w:rsidRPr="00363957">
        <w:t>during decommissioning</w:t>
      </w:r>
      <w:r w:rsidR="00460D57" w:rsidRPr="00363957">
        <w:t>.</w:t>
      </w:r>
    </w:p>
    <w:p w14:paraId="42EB2D44" w14:textId="5B01C43D" w:rsidR="00240844" w:rsidRDefault="00430280" w:rsidP="006002C1">
      <w:pPr>
        <w:pStyle w:val="F9-Paragraph"/>
      </w:pPr>
      <w:r>
        <w:t xml:space="preserve">LC5 and LC33 also include </w:t>
      </w:r>
      <w:r w:rsidR="00D26C59">
        <w:t>specific requirements relating to radioactive waste</w:t>
      </w:r>
      <w:r w:rsidR="00391188">
        <w:t xml:space="preserve"> </w:t>
      </w:r>
      <w:r w:rsidR="00D26C59">
        <w:t>(</w:t>
      </w:r>
      <w:r w:rsidR="00391188" w:rsidRPr="00391188">
        <w:t xml:space="preserve">LC5 </w:t>
      </w:r>
      <w:r w:rsidR="00391188">
        <w:t>requires record</w:t>
      </w:r>
      <w:r w:rsidR="00285509">
        <w:t>s</w:t>
      </w:r>
      <w:r w:rsidR="00391188">
        <w:t xml:space="preserve"> </w:t>
      </w:r>
      <w:r w:rsidR="00D753A2">
        <w:t xml:space="preserve">to be kept </w:t>
      </w:r>
      <w:r w:rsidR="00391188">
        <w:t>of all nuclear matte</w:t>
      </w:r>
      <w:r w:rsidR="00285509">
        <w:t>r</w:t>
      </w:r>
      <w:r w:rsidR="00E101E9">
        <w:t xml:space="preserve"> consigned from the nuclear licensed site</w:t>
      </w:r>
      <w:r w:rsidR="00285509">
        <w:t>, including radioactive waste,</w:t>
      </w:r>
      <w:r w:rsidR="00D753A2">
        <w:t xml:space="preserve"> while LC33 </w:t>
      </w:r>
      <w:r w:rsidR="00F62BAB">
        <w:t>gives ONR a primary power to direct</w:t>
      </w:r>
      <w:r w:rsidR="00076BD4">
        <w:t xml:space="preserve"> a licensee to dispose of accumulated radioactive waste </w:t>
      </w:r>
      <w:r w:rsidR="006D7324">
        <w:t xml:space="preserve">in accordance with an environmental permit), </w:t>
      </w:r>
      <w:r w:rsidR="00DF6E76">
        <w:t>but</w:t>
      </w:r>
      <w:r w:rsidR="006D7324">
        <w:t xml:space="preserve"> the guidance in this TAG</w:t>
      </w:r>
      <w:r w:rsidR="00DF6E76">
        <w:t xml:space="preserve"> </w:t>
      </w:r>
      <w:r w:rsidR="00A27E04">
        <w:t xml:space="preserve">has not been </w:t>
      </w:r>
      <w:r w:rsidR="00290CB7">
        <w:t xml:space="preserve">written with these two LCs </w:t>
      </w:r>
      <w:r w:rsidR="008B09BB">
        <w:t xml:space="preserve">explicitly </w:t>
      </w:r>
      <w:r w:rsidR="00290CB7">
        <w:t>in mind</w:t>
      </w:r>
      <w:r w:rsidR="000E1275">
        <w:t>.</w:t>
      </w:r>
      <w:r w:rsidR="009B0B2A">
        <w:t xml:space="preserve"> </w:t>
      </w:r>
      <w:r w:rsidR="000E1275">
        <w:t>I</w:t>
      </w:r>
      <w:r w:rsidR="009B0B2A">
        <w:t xml:space="preserve">nspectors should refer to </w:t>
      </w:r>
      <w:r w:rsidR="005D1CA9">
        <w:t>the Technical Inspection Guides</w:t>
      </w:r>
      <w:r w:rsidR="00E70F64">
        <w:t xml:space="preserve"> NS-INSP-GD-005</w:t>
      </w:r>
      <w:sdt>
        <w:sdtPr>
          <w:id w:val="-1588226980"/>
          <w:citation/>
        </w:sdtPr>
        <w:sdtContent>
          <w:r w:rsidR="00192DB9">
            <w:fldChar w:fldCharType="begin"/>
          </w:r>
          <w:r w:rsidR="00192DB9">
            <w:instrText xml:space="preserve"> CITATION TIG5_2023 \l 2057 </w:instrText>
          </w:r>
          <w:r w:rsidR="00192DB9">
            <w:fldChar w:fldCharType="separate"/>
          </w:r>
          <w:r w:rsidR="00717D5C">
            <w:rPr>
              <w:noProof/>
            </w:rPr>
            <w:t xml:space="preserve"> [7]</w:t>
          </w:r>
          <w:r w:rsidR="00192DB9">
            <w:fldChar w:fldCharType="end"/>
          </w:r>
        </w:sdtContent>
      </w:sdt>
      <w:r w:rsidR="00E70F64">
        <w:t xml:space="preserve"> and NS-INSP-GD-033</w:t>
      </w:r>
      <w:sdt>
        <w:sdtPr>
          <w:id w:val="-549691331"/>
          <w:citation/>
        </w:sdtPr>
        <w:sdtContent>
          <w:r w:rsidR="001444EC">
            <w:fldChar w:fldCharType="begin"/>
          </w:r>
          <w:r w:rsidR="001444EC">
            <w:instrText xml:space="preserve"> CITATION TIG33_2024 \l 2057 </w:instrText>
          </w:r>
          <w:r w:rsidR="001444EC">
            <w:fldChar w:fldCharType="separate"/>
          </w:r>
          <w:r w:rsidR="00717D5C">
            <w:rPr>
              <w:noProof/>
            </w:rPr>
            <w:t xml:space="preserve"> [8]</w:t>
          </w:r>
          <w:r w:rsidR="001444EC">
            <w:fldChar w:fldCharType="end"/>
          </w:r>
        </w:sdtContent>
      </w:sdt>
      <w:r w:rsidR="000E1275">
        <w:t xml:space="preserve"> for guidance on the arrangements for compliance with LC5 and LC33 respectively</w:t>
      </w:r>
      <w:r w:rsidR="005D1CA9">
        <w:t xml:space="preserve">. </w:t>
      </w:r>
      <w:r w:rsidR="000D118D">
        <w:t xml:space="preserve"> </w:t>
      </w:r>
      <w:r w:rsidR="007553F4">
        <w:t xml:space="preserve"> </w:t>
      </w:r>
    </w:p>
    <w:p w14:paraId="50816100" w14:textId="296F257D" w:rsidR="003D5D7F" w:rsidRDefault="00187AFE" w:rsidP="003D5D7F">
      <w:pPr>
        <w:pStyle w:val="Heading2"/>
      </w:pPr>
      <w:r w:rsidRPr="00187AFE">
        <w:t>Ionising Radiation Regulations 2017</w:t>
      </w:r>
    </w:p>
    <w:p w14:paraId="56DEF79C" w14:textId="4FC33229" w:rsidR="00703993" w:rsidRDefault="00EA7027" w:rsidP="00E37DCB">
      <w:pPr>
        <w:pStyle w:val="F9-Paragraph"/>
      </w:pPr>
      <w:r>
        <w:t>The Ionising Radiations Regulations 2017 (IRR</w:t>
      </w:r>
      <w:r w:rsidR="00485097">
        <w:t>20</w:t>
      </w:r>
      <w:r>
        <w:t xml:space="preserve">17) control the use of ionising radiation in the workplace with the intent of restricting exposure and limiting dose to the workforce and the public </w:t>
      </w:r>
      <w:sdt>
        <w:sdtPr>
          <w:id w:val="1018826236"/>
          <w:citation/>
        </w:sdtPr>
        <w:sdtContent>
          <w:r w:rsidR="00064D0C">
            <w:fldChar w:fldCharType="begin"/>
          </w:r>
          <w:r w:rsidR="00064D0C">
            <w:instrText xml:space="preserve"> CITATION IRR17 \l 2057 </w:instrText>
          </w:r>
          <w:r w:rsidR="00064D0C">
            <w:fldChar w:fldCharType="separate"/>
          </w:r>
          <w:r w:rsidR="00717D5C">
            <w:rPr>
              <w:noProof/>
            </w:rPr>
            <w:t>[9]</w:t>
          </w:r>
          <w:r w:rsidR="00064D0C">
            <w:fldChar w:fldCharType="end"/>
          </w:r>
        </w:sdtContent>
      </w:sdt>
      <w:r>
        <w:t xml:space="preserve">. </w:t>
      </w:r>
      <w:r w:rsidR="000C66A8">
        <w:t xml:space="preserve">Where radioactive waste is a </w:t>
      </w:r>
      <w:r w:rsidR="008E66C0">
        <w:t>source of ionising radiation, the requirements of IRR2017 should be considered during radioactive waste management activities</w:t>
      </w:r>
      <w:r w:rsidR="004F368A">
        <w:t xml:space="preserve">. </w:t>
      </w:r>
      <w:r w:rsidR="003014C0">
        <w:t>Further guidance on</w:t>
      </w:r>
      <w:r w:rsidR="0039258A">
        <w:t xml:space="preserve"> radiological protection</w:t>
      </w:r>
      <w:r w:rsidR="00D10362">
        <w:t xml:space="preserve">, </w:t>
      </w:r>
      <w:r w:rsidR="009C736D">
        <w:t>including aspects relevant to the management of radioactive waste, is given in NS-TAST-GD-038</w:t>
      </w:r>
      <w:sdt>
        <w:sdtPr>
          <w:id w:val="-1810630063"/>
          <w:citation/>
        </w:sdtPr>
        <w:sdtContent>
          <w:r w:rsidR="0006013B">
            <w:fldChar w:fldCharType="begin"/>
          </w:r>
          <w:r w:rsidR="0006013B">
            <w:instrText xml:space="preserve"> CITATION TAG38_Dec22 \l 2057 </w:instrText>
          </w:r>
          <w:r w:rsidR="0006013B">
            <w:fldChar w:fldCharType="separate"/>
          </w:r>
          <w:r w:rsidR="00717D5C">
            <w:rPr>
              <w:noProof/>
            </w:rPr>
            <w:t xml:space="preserve"> [10]</w:t>
          </w:r>
          <w:r w:rsidR="0006013B">
            <w:fldChar w:fldCharType="end"/>
          </w:r>
        </w:sdtContent>
      </w:sdt>
      <w:r w:rsidR="009C736D">
        <w:t>.</w:t>
      </w:r>
    </w:p>
    <w:p w14:paraId="71D8C19B" w14:textId="4F9484BD" w:rsidR="00EA7027" w:rsidRDefault="00AE7708" w:rsidP="00EA7027">
      <w:pPr>
        <w:pStyle w:val="Heading2"/>
      </w:pPr>
      <w:r w:rsidRPr="00AE7708">
        <w:t>The Carriage of Dangerous Goods and Use of Transportable Pressure Equipment Regulations 2009</w:t>
      </w:r>
    </w:p>
    <w:p w14:paraId="7D2488A8" w14:textId="10DBBF61" w:rsidR="00ED489A" w:rsidRDefault="00215650" w:rsidP="00AE7708">
      <w:pPr>
        <w:pStyle w:val="F9-Paragraph"/>
      </w:pPr>
      <w:r w:rsidRPr="00215650">
        <w:t xml:space="preserve">Legislation governing intra-national and international transport of radioactive materials is based on </w:t>
      </w:r>
      <w:r w:rsidR="008122BD">
        <w:t>the International Atomic Energy Agency (</w:t>
      </w:r>
      <w:r w:rsidRPr="00215650">
        <w:t>IAEA</w:t>
      </w:r>
      <w:r w:rsidR="008122BD">
        <w:t>)</w:t>
      </w:r>
      <w:r w:rsidRPr="00215650">
        <w:t xml:space="preserve"> Regulations for the Safe Transport of Radioactive Materials, Specific Safety Requirements SSR-6</w:t>
      </w:r>
      <w:sdt>
        <w:sdtPr>
          <w:id w:val="-1809238431"/>
          <w:citation/>
        </w:sdtPr>
        <w:sdtContent>
          <w:r w:rsidR="000B7603">
            <w:fldChar w:fldCharType="begin"/>
          </w:r>
          <w:r w:rsidR="000B7603">
            <w:instrText xml:space="preserve"> CITATION SSR6_2018 \l 2057 </w:instrText>
          </w:r>
          <w:r w:rsidR="000B7603">
            <w:fldChar w:fldCharType="separate"/>
          </w:r>
          <w:r w:rsidR="00717D5C">
            <w:rPr>
              <w:noProof/>
            </w:rPr>
            <w:t xml:space="preserve"> [11]</w:t>
          </w:r>
          <w:r w:rsidR="000B7603">
            <w:fldChar w:fldCharType="end"/>
          </w:r>
        </w:sdtContent>
      </w:sdt>
      <w:r w:rsidRPr="00215650">
        <w:t xml:space="preserve">. </w:t>
      </w:r>
      <w:r w:rsidR="00816E7C">
        <w:t xml:space="preserve">It should be noted that the definition of radioactive material in SSR-6 does not align with the definitions in the licence conditions </w:t>
      </w:r>
      <w:sdt>
        <w:sdtPr>
          <w:id w:val="1879036558"/>
          <w:citation/>
        </w:sdtPr>
        <w:sdtContent>
          <w:r w:rsidR="00816E7C">
            <w:fldChar w:fldCharType="begin"/>
          </w:r>
          <w:r w:rsidR="00816E7C">
            <w:instrText xml:space="preserve"> CITATION LC_Handbook_2017 \l 2057 </w:instrText>
          </w:r>
          <w:r w:rsidR="00816E7C">
            <w:fldChar w:fldCharType="separate"/>
          </w:r>
          <w:r w:rsidR="00717D5C">
            <w:rPr>
              <w:noProof/>
            </w:rPr>
            <w:t>[2]</w:t>
          </w:r>
          <w:r w:rsidR="00816E7C">
            <w:fldChar w:fldCharType="end"/>
          </w:r>
        </w:sdtContent>
      </w:sdt>
      <w:r w:rsidR="00816E7C">
        <w:t>.</w:t>
      </w:r>
      <w:r w:rsidR="004F495E">
        <w:t xml:space="preserve"> Nevertheless</w:t>
      </w:r>
      <w:r w:rsidR="00175B02">
        <w:t>, as</w:t>
      </w:r>
      <w:r w:rsidR="000941B6">
        <w:t xml:space="preserve"> SSR-6</w:t>
      </w:r>
      <w:r w:rsidR="00175B02">
        <w:t xml:space="preserve"> defines</w:t>
      </w:r>
      <w:r w:rsidR="000941B6">
        <w:t xml:space="preserve"> radioactive material</w:t>
      </w:r>
      <w:r w:rsidR="00175B02">
        <w:t xml:space="preserve"> </w:t>
      </w:r>
      <w:r w:rsidR="00166BF6">
        <w:t xml:space="preserve">as any material containing radionuclides </w:t>
      </w:r>
      <w:r w:rsidR="001F6CCE">
        <w:t>where a certain activity concentration and total act</w:t>
      </w:r>
      <w:r w:rsidR="004B598B">
        <w:t>ivity are exceeded</w:t>
      </w:r>
      <w:r w:rsidR="00175B02">
        <w:t>, r</w:t>
      </w:r>
      <w:r w:rsidR="009B3213">
        <w:t xml:space="preserve">adioactive waste </w:t>
      </w:r>
      <w:r w:rsidR="0033633E">
        <w:t>would fall within the scope of this definition</w:t>
      </w:r>
      <w:r w:rsidR="00175B02">
        <w:t>.</w:t>
      </w:r>
    </w:p>
    <w:p w14:paraId="27AA8C89" w14:textId="4F5F52D7" w:rsidR="00AD1F9C" w:rsidRDefault="00ED489A" w:rsidP="00F121C1">
      <w:pPr>
        <w:pStyle w:val="F9-Paragraph"/>
      </w:pPr>
      <w:r>
        <w:lastRenderedPageBreak/>
        <w:t>SSR-6 is</w:t>
      </w:r>
      <w:r w:rsidR="00215650" w:rsidRPr="00215650">
        <w:t xml:space="preserve"> translated into European modal regulations</w:t>
      </w:r>
      <w:r w:rsidR="00470CEC">
        <w:t>, including</w:t>
      </w:r>
      <w:r w:rsidR="00215650" w:rsidRPr="00215650">
        <w:t xml:space="preserve"> the Agreement concerning the International Carriage of Dangerous Goods by Road (ADR) and </w:t>
      </w:r>
      <w:r w:rsidR="00DE70EB">
        <w:t>the Regulations conce</w:t>
      </w:r>
      <w:r w:rsidR="00127297">
        <w:t xml:space="preserve">rning the International Carriage of Dangerous Goods by </w:t>
      </w:r>
      <w:r w:rsidR="00215650" w:rsidRPr="00215650">
        <w:t>Rail (RID), within which radioactive materials are referred to as Class 7 Dangerous Goods</w:t>
      </w:r>
      <w:r w:rsidR="00FD2D5D" w:rsidRPr="00215650">
        <w:t>.</w:t>
      </w:r>
      <w:r w:rsidR="00F121C1">
        <w:t xml:space="preserve"> </w:t>
      </w:r>
      <w:r w:rsidR="00215650" w:rsidRPr="00215650">
        <w:t>The modal regulations are given legal effect in Great Britain via the Carriage of Dangerous Goods and Use of Transportable Pressure Equipment Regulations</w:t>
      </w:r>
      <w:r w:rsidR="00A17884">
        <w:t xml:space="preserve"> 2009</w:t>
      </w:r>
      <w:r w:rsidR="00215650" w:rsidRPr="00215650">
        <w:t xml:space="preserve"> (CDG) </w:t>
      </w:r>
      <w:sdt>
        <w:sdtPr>
          <w:id w:val="-489938067"/>
          <w:citation/>
        </w:sdtPr>
        <w:sdtContent>
          <w:r w:rsidR="00F27CDC">
            <w:fldChar w:fldCharType="begin"/>
          </w:r>
          <w:r w:rsidR="00F27CDC">
            <w:instrText xml:space="preserve"> CITATION CDG_2009 \l 2057 </w:instrText>
          </w:r>
          <w:r w:rsidR="00F27CDC">
            <w:fldChar w:fldCharType="separate"/>
          </w:r>
          <w:r w:rsidR="00717D5C">
            <w:rPr>
              <w:noProof/>
            </w:rPr>
            <w:t>[12]</w:t>
          </w:r>
          <w:r w:rsidR="00F27CDC">
            <w:fldChar w:fldCharType="end"/>
          </w:r>
        </w:sdtContent>
      </w:sdt>
      <w:r w:rsidR="00215650" w:rsidRPr="00215650">
        <w:t xml:space="preserve">. </w:t>
      </w:r>
    </w:p>
    <w:p w14:paraId="36333790" w14:textId="7139811E" w:rsidR="00AE7708" w:rsidRDefault="00215650" w:rsidP="00F121C1">
      <w:pPr>
        <w:pStyle w:val="F9-Paragraph"/>
      </w:pPr>
      <w:r w:rsidRPr="00215650">
        <w:t xml:space="preserve">Specific paragraphs within the regulations prescribe the different safety requirements for </w:t>
      </w:r>
      <w:r w:rsidR="00AD1F9C">
        <w:t xml:space="preserve">transport of </w:t>
      </w:r>
      <w:r w:rsidRPr="00215650">
        <w:t>radioactive material, packaging and packages</w:t>
      </w:r>
      <w:r w:rsidR="00270607">
        <w:t xml:space="preserve">. </w:t>
      </w:r>
      <w:r w:rsidR="00204FFD">
        <w:t>Th</w:t>
      </w:r>
      <w:r w:rsidR="00BF1C41">
        <w:t xml:space="preserve">ese requirements may affect the processing </w:t>
      </w:r>
      <w:r w:rsidR="00960DE1">
        <w:t xml:space="preserve">of radioactive waste </w:t>
      </w:r>
      <w:r w:rsidR="00452804">
        <w:t>where transport to off-site facilities is required</w:t>
      </w:r>
      <w:r w:rsidR="008329DD">
        <w:t xml:space="preserve">, and are of particular relevance where the </w:t>
      </w:r>
      <w:r w:rsidR="000A565D">
        <w:t xml:space="preserve">waste packages are </w:t>
      </w:r>
      <w:r w:rsidR="001A7AD8">
        <w:t xml:space="preserve">also intended to </w:t>
      </w:r>
      <w:r w:rsidR="00764F42">
        <w:t>be the transport packages</w:t>
      </w:r>
      <w:r w:rsidR="002035C1">
        <w:t xml:space="preserve">. </w:t>
      </w:r>
      <w:r w:rsidRPr="00215650">
        <w:t xml:space="preserve"> NS-TAST-GD-99</w:t>
      </w:r>
      <w:r w:rsidR="001839AB">
        <w:t xml:space="preserve"> </w:t>
      </w:r>
      <w:sdt>
        <w:sdtPr>
          <w:id w:val="336207399"/>
          <w:citation/>
        </w:sdtPr>
        <w:sdtContent>
          <w:r w:rsidR="001839AB">
            <w:fldChar w:fldCharType="begin"/>
          </w:r>
          <w:r w:rsidR="001839AB">
            <w:instrText xml:space="preserve"> CITATION TAG99_May23 \l 2057 </w:instrText>
          </w:r>
          <w:r w:rsidR="001839AB">
            <w:fldChar w:fldCharType="separate"/>
          </w:r>
          <w:r w:rsidR="00717D5C">
            <w:rPr>
              <w:noProof/>
            </w:rPr>
            <w:t>[13]</w:t>
          </w:r>
          <w:r w:rsidR="001839AB">
            <w:fldChar w:fldCharType="end"/>
          </w:r>
        </w:sdtContent>
      </w:sdt>
      <w:r w:rsidRPr="00215650">
        <w:t xml:space="preserve"> </w:t>
      </w:r>
      <w:r w:rsidR="002035C1">
        <w:t xml:space="preserve">provides </w:t>
      </w:r>
      <w:r w:rsidRPr="00215650">
        <w:t>further details</w:t>
      </w:r>
      <w:r w:rsidR="00175B02">
        <w:t xml:space="preserve"> </w:t>
      </w:r>
      <w:r w:rsidR="00270607">
        <w:t xml:space="preserve">and </w:t>
      </w:r>
      <w:r w:rsidR="002035C1">
        <w:t xml:space="preserve">inspectors should </w:t>
      </w:r>
      <w:r w:rsidR="00CD4A53">
        <w:t xml:space="preserve">also </w:t>
      </w:r>
      <w:r w:rsidR="00270607">
        <w:t xml:space="preserve">seek advice from </w:t>
      </w:r>
      <w:r w:rsidR="0038527A">
        <w:t>the ONR Transport Competent Authority</w:t>
      </w:r>
      <w:r w:rsidRPr="00215650">
        <w:t>.</w:t>
      </w:r>
    </w:p>
    <w:p w14:paraId="456BE4F9" w14:textId="0F000694" w:rsidR="00215650" w:rsidRDefault="00215650" w:rsidP="00215650">
      <w:pPr>
        <w:pStyle w:val="Heading2"/>
      </w:pPr>
      <w:r>
        <w:t>Environmental Regulations</w:t>
      </w:r>
    </w:p>
    <w:p w14:paraId="7B66C538" w14:textId="1F29FFDC" w:rsidR="00852E6D" w:rsidRDefault="00330F33" w:rsidP="00C20472">
      <w:pPr>
        <w:pStyle w:val="F9-Paragraph"/>
      </w:pPr>
      <w:r>
        <w:t>En</w:t>
      </w:r>
      <w:r w:rsidR="00323723">
        <w:t xml:space="preserve">vironmental protection is a devolved matter and </w:t>
      </w:r>
      <w:r w:rsidR="00B35154">
        <w:t>different environmental legislation is applicable to the management of radioactive substances</w:t>
      </w:r>
      <w:r w:rsidR="00D30708">
        <w:t xml:space="preserve">, including </w:t>
      </w:r>
      <w:r w:rsidR="00DC4D43">
        <w:t>radioactive waste,</w:t>
      </w:r>
      <w:r w:rsidR="00B35154">
        <w:t xml:space="preserve"> in </w:t>
      </w:r>
      <w:r w:rsidR="004F020E">
        <w:t xml:space="preserve">England and Wales, and Scotland. </w:t>
      </w:r>
      <w:r w:rsidR="00DD226F" w:rsidRPr="00DD226F">
        <w:t>The environmental leg</w:t>
      </w:r>
      <w:r w:rsidR="00A17884">
        <w:t>islation</w:t>
      </w:r>
      <w:r w:rsidR="00DD226F" w:rsidRPr="00DD226F">
        <w:t xml:space="preserve"> recognises the implementation of the nuclear site licensing regime by ONR under NIA1965 provides for equivalent, or greater, regulatory control for onsite activities. More specifically, and as relevant to onsite radioactive waste management activities:</w:t>
      </w:r>
    </w:p>
    <w:p w14:paraId="4FFDDB33" w14:textId="28CE255A" w:rsidR="008706CC" w:rsidRDefault="004B3724" w:rsidP="00730936">
      <w:pPr>
        <w:pStyle w:val="Bulletlist1"/>
      </w:pPr>
      <w:r w:rsidRPr="00730936">
        <w:rPr>
          <w:b/>
        </w:rPr>
        <w:t>England and Wales</w:t>
      </w:r>
      <w:r>
        <w:t xml:space="preserve">: </w:t>
      </w:r>
      <w:r w:rsidR="008706CC">
        <w:t>The Environment Agency and Natural Resources Wales (NRW</w:t>
      </w:r>
      <w:r w:rsidR="001D0BEE">
        <w:t>)</w:t>
      </w:r>
      <w:r w:rsidR="001D0BEE" w:rsidRPr="001D0BEE">
        <w:t xml:space="preserve"> are responsible for regulating the receipt and disposal of radioactive waste on and from nuclear licensed sites in England and Wales</w:t>
      </w:r>
      <w:r w:rsidR="00EE760F">
        <w:t xml:space="preserve">, </w:t>
      </w:r>
      <w:r w:rsidR="001D0BEE" w:rsidRPr="001D0BEE">
        <w:t>respectively</w:t>
      </w:r>
      <w:r w:rsidR="003338E7">
        <w:t>,</w:t>
      </w:r>
      <w:r w:rsidR="008706CC">
        <w:t xml:space="preserve"> under the Environmental Permitting </w:t>
      </w:r>
      <w:r w:rsidR="00032EA6">
        <w:t xml:space="preserve">(England and Wales) </w:t>
      </w:r>
      <w:r w:rsidR="008706CC">
        <w:t>Regulations 2016 (EPR</w:t>
      </w:r>
      <w:r w:rsidR="00047F72">
        <w:t>20</w:t>
      </w:r>
      <w:r w:rsidR="008706CC">
        <w:t>16)</w:t>
      </w:r>
      <w:sdt>
        <w:sdtPr>
          <w:rPr>
            <w:bCs w:val="0"/>
          </w:rPr>
          <w:id w:val="145402352"/>
          <w:citation/>
        </w:sdtPr>
        <w:sdtContent>
          <w:r w:rsidR="00D26361">
            <w:rPr>
              <w:bCs w:val="0"/>
            </w:rPr>
            <w:fldChar w:fldCharType="begin"/>
          </w:r>
          <w:r w:rsidR="00D26361">
            <w:instrText xml:space="preserve"> CITATION EPR16 \l 2057 </w:instrText>
          </w:r>
          <w:r w:rsidR="00D26361">
            <w:rPr>
              <w:bCs w:val="0"/>
            </w:rPr>
            <w:fldChar w:fldCharType="separate"/>
          </w:r>
          <w:r w:rsidR="00717D5C">
            <w:rPr>
              <w:noProof/>
            </w:rPr>
            <w:t xml:space="preserve"> [14]</w:t>
          </w:r>
          <w:r w:rsidR="00D26361">
            <w:rPr>
              <w:bCs w:val="0"/>
            </w:rPr>
            <w:fldChar w:fldCharType="end"/>
          </w:r>
        </w:sdtContent>
      </w:sdt>
      <w:r w:rsidR="008706CC">
        <w:t>.</w:t>
      </w:r>
      <w:r w:rsidR="00400A07">
        <w:t xml:space="preserve"> </w:t>
      </w:r>
      <w:r w:rsidR="00400A07" w:rsidRPr="00400A07">
        <w:t>“Disposals” of radioactive waste include discharges into the atmosphere, discharges into the sea, rivers, drains or groundwater, disposals to land, and disposals by transfer to another site.</w:t>
      </w:r>
      <w:r w:rsidR="00400A07">
        <w:t xml:space="preserve"> </w:t>
      </w:r>
      <w:r w:rsidR="00400A07" w:rsidRPr="00400A07">
        <w:t>Schedule 23 “Radioactive substances activities” of EPR2016</w:t>
      </w:r>
      <w:r w:rsidR="003279CC">
        <w:t>,</w:t>
      </w:r>
      <w:r w:rsidR="00400A07" w:rsidRPr="00400A07">
        <w:t xml:space="preserve"> paragraph 13</w:t>
      </w:r>
      <w:r w:rsidR="003279CC">
        <w:t>,</w:t>
      </w:r>
      <w:r w:rsidR="00400A07" w:rsidRPr="00400A07">
        <w:t xml:space="preserve"> disapplies the environmental permitting requirements for keeping and use of radioactive material and accumulations of radioactive waste on a</w:t>
      </w:r>
      <w:r w:rsidR="00400A07">
        <w:t xml:space="preserve"> </w:t>
      </w:r>
      <w:r w:rsidR="00FD1B7E">
        <w:t>nuclear licensed site</w:t>
      </w:r>
      <w:r w:rsidR="00400A07">
        <w:t>.</w:t>
      </w:r>
      <w:r w:rsidR="00C20472" w:rsidDel="00C20472">
        <w:t xml:space="preserve"> </w:t>
      </w:r>
    </w:p>
    <w:p w14:paraId="72134D32" w14:textId="69E3821A" w:rsidR="001C64FB" w:rsidRDefault="004B3724" w:rsidP="00730936">
      <w:pPr>
        <w:pStyle w:val="Bulletlist1"/>
      </w:pPr>
      <w:r w:rsidRPr="00730936">
        <w:rPr>
          <w:b/>
        </w:rPr>
        <w:t>Scotland</w:t>
      </w:r>
      <w:r>
        <w:t xml:space="preserve">: </w:t>
      </w:r>
      <w:r w:rsidR="001C64FB">
        <w:t>The Scottish Environment</w:t>
      </w:r>
      <w:r w:rsidR="001971CC">
        <w:t>al</w:t>
      </w:r>
      <w:r w:rsidR="001C64FB">
        <w:t xml:space="preserve"> Protection Agency (SEPA) regulates the management and disposal of radioactive waste on nuclear licensed sites under the Environmental Authorisations (Scotland) Regulations 2018 (EASR</w:t>
      </w:r>
      <w:r w:rsidR="00047F72">
        <w:t>20</w:t>
      </w:r>
      <w:r w:rsidR="001C64FB">
        <w:t xml:space="preserve">18) in Scotland </w:t>
      </w:r>
      <w:sdt>
        <w:sdtPr>
          <w:id w:val="-1798671660"/>
          <w:citation/>
        </w:sdtPr>
        <w:sdtContent>
          <w:r w:rsidR="00D26361">
            <w:fldChar w:fldCharType="begin"/>
          </w:r>
          <w:r w:rsidR="00D26361">
            <w:instrText xml:space="preserve"> CITATION EASR18 \l 2057 </w:instrText>
          </w:r>
          <w:r w:rsidR="00D26361">
            <w:fldChar w:fldCharType="separate"/>
          </w:r>
          <w:r w:rsidR="00717D5C">
            <w:rPr>
              <w:noProof/>
            </w:rPr>
            <w:t>[15]</w:t>
          </w:r>
          <w:r w:rsidR="00D26361">
            <w:fldChar w:fldCharType="end"/>
          </w:r>
        </w:sdtContent>
      </w:sdt>
      <w:r w:rsidR="001C64FB">
        <w:t xml:space="preserve">. </w:t>
      </w:r>
      <w:r w:rsidR="004D1F4E" w:rsidRPr="004D1F4E">
        <w:t xml:space="preserve">SEPA has legal responsibilities for the management of radioactive waste on site, including the long term storage of radioactive waste prior to disposal, and disposal on and from the </w:t>
      </w:r>
      <w:r w:rsidR="00FD1B7E">
        <w:t>nuclear licensed site</w:t>
      </w:r>
      <w:r w:rsidR="001971CC">
        <w:t xml:space="preserve"> </w:t>
      </w:r>
      <w:r w:rsidR="001971CC" w:rsidRPr="004D1F4E">
        <w:t>(EASR</w:t>
      </w:r>
      <w:r w:rsidR="001971CC">
        <w:t>20</w:t>
      </w:r>
      <w:r w:rsidR="001971CC" w:rsidRPr="004D1F4E">
        <w:t>18 Schedule 8)</w:t>
      </w:r>
      <w:r w:rsidR="004D1F4E" w:rsidRPr="004D1F4E">
        <w:t>. This is in addition to the requirements of the nuclear site licence and the licence conditions</w:t>
      </w:r>
      <w:r w:rsidR="00DE0479">
        <w:t>,</w:t>
      </w:r>
      <w:r w:rsidR="004D1F4E" w:rsidRPr="004D1F4E">
        <w:t xml:space="preserve"> </w:t>
      </w:r>
      <w:r w:rsidR="00DE0479">
        <w:t>so</w:t>
      </w:r>
      <w:r w:rsidR="004D1F4E" w:rsidRPr="004D1F4E">
        <w:t xml:space="preserve"> joint working in this area is encourage</w:t>
      </w:r>
      <w:r w:rsidR="00086450">
        <w:t>d</w:t>
      </w:r>
      <w:r w:rsidR="004D1F4E" w:rsidRPr="004D1F4E">
        <w:t xml:space="preserve"> to minimise the regulatory burden on licensees. “Disposals” of radioactive waste include discharges to the environment, sewer or drain, abandonment, burial or deposit. SEPA has published </w:t>
      </w:r>
      <w:r w:rsidR="004D1F4E" w:rsidRPr="004D1F4E">
        <w:lastRenderedPageBreak/>
        <w:t>guidance on its standard conditions for authorisations for radioactive substances activities including specific guidance for nuclear sites</w:t>
      </w:r>
      <w:r w:rsidR="001C64FB">
        <w:t xml:space="preserve"> </w:t>
      </w:r>
      <w:sdt>
        <w:sdtPr>
          <w:id w:val="139618673"/>
          <w:citation/>
        </w:sdtPr>
        <w:sdtContent>
          <w:r w:rsidR="0094011E">
            <w:fldChar w:fldCharType="begin"/>
          </w:r>
          <w:r w:rsidR="0094011E">
            <w:instrText xml:space="preserve"> CITATION SEPA_EASRGuide_2021 \l 2057 </w:instrText>
          </w:r>
          <w:r w:rsidR="0094011E">
            <w:fldChar w:fldCharType="separate"/>
          </w:r>
          <w:r w:rsidR="00717D5C">
            <w:rPr>
              <w:noProof/>
            </w:rPr>
            <w:t>[16]</w:t>
          </w:r>
          <w:r w:rsidR="0094011E">
            <w:fldChar w:fldCharType="end"/>
          </w:r>
        </w:sdtContent>
      </w:sdt>
      <w:r w:rsidR="001C64FB">
        <w:t>.</w:t>
      </w:r>
    </w:p>
    <w:p w14:paraId="78E280C2" w14:textId="3130C8C1" w:rsidR="006D126C" w:rsidRPr="00215650" w:rsidRDefault="00E60BF0" w:rsidP="00F53866">
      <w:pPr>
        <w:pStyle w:val="F9-Paragraph"/>
      </w:pPr>
      <w:r w:rsidRPr="006D126C">
        <w:t>Consistent with the Memoranda of Understanding (MoU)</w:t>
      </w:r>
      <w:r>
        <w:t xml:space="preserve"> </w:t>
      </w:r>
      <w:sdt>
        <w:sdtPr>
          <w:id w:val="-1199925142"/>
          <w:citation/>
        </w:sdtPr>
        <w:sdtContent>
          <w:r>
            <w:fldChar w:fldCharType="begin"/>
          </w:r>
          <w:r>
            <w:instrText xml:space="preserve"> CITATION ONR_MoU_Webpage \l 2057 </w:instrText>
          </w:r>
          <w:r>
            <w:fldChar w:fldCharType="separate"/>
          </w:r>
          <w:r w:rsidR="00717D5C">
            <w:rPr>
              <w:noProof/>
            </w:rPr>
            <w:t>[17]</w:t>
          </w:r>
          <w:r>
            <w:fldChar w:fldCharType="end"/>
          </w:r>
        </w:sdtContent>
      </w:sdt>
      <w:r>
        <w:t xml:space="preserve"> </w:t>
      </w:r>
      <w:r w:rsidRPr="006D126C">
        <w:t>and their associated guidance</w:t>
      </w:r>
      <w:r w:rsidRPr="00E60BF0">
        <w:t xml:space="preserve"> </w:t>
      </w:r>
      <w:sdt>
        <w:sdtPr>
          <w:id w:val="1874274188"/>
          <w:citation/>
        </w:sdtPr>
        <w:sdtContent>
          <w:r>
            <w:fldChar w:fldCharType="begin"/>
          </w:r>
          <w:r>
            <w:instrText xml:space="preserve"> CITATION MOU_EA_Guidance \l 2057 </w:instrText>
          </w:r>
          <w:r>
            <w:fldChar w:fldCharType="separate"/>
          </w:r>
          <w:r w:rsidR="00717D5C">
            <w:rPr>
              <w:noProof/>
            </w:rPr>
            <w:t>[18]</w:t>
          </w:r>
          <w:r>
            <w:fldChar w:fldCharType="end"/>
          </w:r>
        </w:sdtContent>
      </w:sdt>
      <w:r>
        <w:t xml:space="preserve">, </w:t>
      </w:r>
      <w:sdt>
        <w:sdtPr>
          <w:id w:val="-576064330"/>
          <w:citation/>
        </w:sdtPr>
        <w:sdtContent>
          <w:r>
            <w:fldChar w:fldCharType="begin"/>
          </w:r>
          <w:r>
            <w:instrText xml:space="preserve"> CITATION MOU_NRW_Guidance \l 2057 </w:instrText>
          </w:r>
          <w:r>
            <w:fldChar w:fldCharType="separate"/>
          </w:r>
          <w:r w:rsidR="00717D5C">
            <w:rPr>
              <w:noProof/>
            </w:rPr>
            <w:t>[19]</w:t>
          </w:r>
          <w:r>
            <w:fldChar w:fldCharType="end"/>
          </w:r>
        </w:sdtContent>
      </w:sdt>
      <w:r>
        <w:t xml:space="preserve"> and </w:t>
      </w:r>
      <w:sdt>
        <w:sdtPr>
          <w:id w:val="1420597833"/>
          <w:citation/>
        </w:sdtPr>
        <w:sdtContent>
          <w:r>
            <w:fldChar w:fldCharType="begin"/>
          </w:r>
          <w:r>
            <w:instrText xml:space="preserve"> CITATION MOU_SEPA_Guidance \l 2057 </w:instrText>
          </w:r>
          <w:r>
            <w:fldChar w:fldCharType="separate"/>
          </w:r>
          <w:r w:rsidR="00717D5C">
            <w:rPr>
              <w:noProof/>
            </w:rPr>
            <w:t>[20]</w:t>
          </w:r>
          <w:r>
            <w:fldChar w:fldCharType="end"/>
          </w:r>
        </w:sdtContent>
      </w:sdt>
      <w:r>
        <w:t xml:space="preserve">, </w:t>
      </w:r>
      <w:r w:rsidRPr="00B52539">
        <w:t xml:space="preserve">it </w:t>
      </w:r>
      <w:r w:rsidR="00C72942">
        <w:t>is</w:t>
      </w:r>
      <w:r w:rsidRPr="00B52539">
        <w:t xml:space="preserve"> an expectation for ONR to work with the environmental regulators on topics which have a bearing on the creation, accumulation</w:t>
      </w:r>
      <w:r w:rsidR="00F1041F">
        <w:t>, pre-disposal management</w:t>
      </w:r>
      <w:r w:rsidRPr="00B52539">
        <w:t xml:space="preserve"> or disposal of radioactive waste.</w:t>
      </w:r>
    </w:p>
    <w:p w14:paraId="3CE10A52" w14:textId="588688A4" w:rsidR="004C6DB4" w:rsidRPr="004C6DB4" w:rsidRDefault="00417AC5" w:rsidP="00730936">
      <w:pPr>
        <w:pStyle w:val="F9-Paragraph"/>
      </w:pPr>
      <w:r>
        <w:t xml:space="preserve">A key principle of the environmental legislation </w:t>
      </w:r>
      <w:r w:rsidR="00C46D7E">
        <w:t xml:space="preserve">is the expectation </w:t>
      </w:r>
      <w:r w:rsidR="009C09C2">
        <w:t xml:space="preserve">for </w:t>
      </w:r>
      <w:r w:rsidR="00C861EC">
        <w:t>Best Available Techniques (BAT</w:t>
      </w:r>
      <w:r w:rsidR="00C861EC" w:rsidRPr="004C6DB4">
        <w:t>)</w:t>
      </w:r>
      <w:r w:rsidR="00A0586B">
        <w:t xml:space="preserve"> in England and Wales</w:t>
      </w:r>
      <w:r w:rsidR="00E373EC" w:rsidRPr="004C6DB4">
        <w:t xml:space="preserve">, </w:t>
      </w:r>
      <w:r w:rsidR="00E373EC">
        <w:t>or Best Practicable Means (BPM</w:t>
      </w:r>
      <w:r w:rsidR="00E373EC" w:rsidRPr="004C6DB4">
        <w:t>)</w:t>
      </w:r>
      <w:r w:rsidR="00A0586B">
        <w:t xml:space="preserve"> </w:t>
      </w:r>
      <w:r w:rsidR="00A0586B" w:rsidRPr="004C6DB4">
        <w:t>in Scotland</w:t>
      </w:r>
      <w:r w:rsidR="00E373EC" w:rsidRPr="004C6DB4">
        <w:t>,</w:t>
      </w:r>
      <w:r w:rsidR="00E373EC">
        <w:t xml:space="preserve"> to be </w:t>
      </w:r>
      <w:r w:rsidR="00096105">
        <w:t xml:space="preserve">used </w:t>
      </w:r>
      <w:r w:rsidR="001F3896">
        <w:t xml:space="preserve">to prevent </w:t>
      </w:r>
      <w:r w:rsidR="007B12C8">
        <w:t>or minimise the impact of</w:t>
      </w:r>
      <w:r w:rsidR="00096105">
        <w:t xml:space="preserve"> </w:t>
      </w:r>
      <w:r w:rsidR="00B33407">
        <w:t>radioactive waste</w:t>
      </w:r>
      <w:r w:rsidR="007B12C8">
        <w:t xml:space="preserve"> on the environment</w:t>
      </w:r>
      <w:sdt>
        <w:sdtPr>
          <w:id w:val="-1254351445"/>
          <w:citation/>
        </w:sdtPr>
        <w:sdtContent>
          <w:r w:rsidR="00DC2533">
            <w:fldChar w:fldCharType="begin"/>
          </w:r>
          <w:r w:rsidR="00DC2533">
            <w:instrText xml:space="preserve"> CITATION Policy_RadandDecom_2024 \l 2057 </w:instrText>
          </w:r>
          <w:r w:rsidR="00DC2533">
            <w:fldChar w:fldCharType="separate"/>
          </w:r>
          <w:r w:rsidR="00717D5C">
            <w:rPr>
              <w:noProof/>
            </w:rPr>
            <w:t xml:space="preserve"> [21]</w:t>
          </w:r>
          <w:r w:rsidR="00DC2533">
            <w:fldChar w:fldCharType="end"/>
          </w:r>
        </w:sdtContent>
      </w:sdt>
      <w:r w:rsidR="002B2A65">
        <w:t xml:space="preserve">. </w:t>
      </w:r>
      <w:r w:rsidR="003F41B4">
        <w:t xml:space="preserve">Inspectors should note that </w:t>
      </w:r>
      <w:r w:rsidR="00D024A8">
        <w:t xml:space="preserve">what </w:t>
      </w:r>
      <w:r w:rsidR="00F82FFE">
        <w:t>constitutes BAT</w:t>
      </w:r>
      <w:r w:rsidR="00433B50">
        <w:t>/BPM</w:t>
      </w:r>
      <w:r w:rsidR="00F82FFE">
        <w:t xml:space="preserve"> </w:t>
      </w:r>
      <w:r w:rsidR="004047FD">
        <w:t xml:space="preserve">for a </w:t>
      </w:r>
      <w:r w:rsidR="007801C8">
        <w:t>part</w:t>
      </w:r>
      <w:r w:rsidR="00D320B1">
        <w:t>icular</w:t>
      </w:r>
      <w:r w:rsidR="004047FD">
        <w:t xml:space="preserve"> activity depends on a range of facto</w:t>
      </w:r>
      <w:r w:rsidR="00FA4347">
        <w:t>rs</w:t>
      </w:r>
      <w:r w:rsidR="00F4588B">
        <w:t>,</w:t>
      </w:r>
      <w:r w:rsidR="00FA4347">
        <w:t xml:space="preserve"> </w:t>
      </w:r>
      <w:r w:rsidR="00D024A8" w:rsidRPr="00D024A8">
        <w:t xml:space="preserve">taking into account the specifics of </w:t>
      </w:r>
      <w:r w:rsidR="00D320B1">
        <w:t>the</w:t>
      </w:r>
      <w:r w:rsidR="00D024A8" w:rsidRPr="00D024A8">
        <w:t xml:space="preserve"> situation, including </w:t>
      </w:r>
      <w:r w:rsidR="0071237B">
        <w:t xml:space="preserve">ONR’s judgement on </w:t>
      </w:r>
      <w:r w:rsidR="009D46FB">
        <w:t xml:space="preserve">what </w:t>
      </w:r>
      <w:r w:rsidR="00B81DAE">
        <w:t xml:space="preserve">it </w:t>
      </w:r>
      <w:r w:rsidR="009D46FB">
        <w:t>is</w:t>
      </w:r>
      <w:r w:rsidR="00D024A8" w:rsidRPr="00D024A8">
        <w:t xml:space="preserve"> reasonably practicable to safely implement</w:t>
      </w:r>
      <w:r w:rsidR="009D46FB">
        <w:t>.</w:t>
      </w:r>
      <w:r w:rsidR="00A054BD">
        <w:t xml:space="preserve"> However, regulators may have conflicting opinions</w:t>
      </w:r>
      <w:r w:rsidR="0078403F">
        <w:t xml:space="preserve"> on the operations licensees should/should not be undertaking to maintain compliance with our respective pieces of legislation. </w:t>
      </w:r>
      <w:r w:rsidR="00824A33">
        <w:t xml:space="preserve">Consistent with the MoU and associated guidance these should be discussed jointly </w:t>
      </w:r>
      <w:r w:rsidR="00C6679C">
        <w:t xml:space="preserve">prior to engagement with the licensee </w:t>
      </w:r>
      <w:r w:rsidR="00824A33">
        <w:t>to avoid conflicting advice being given.</w:t>
      </w:r>
    </w:p>
    <w:p w14:paraId="40BDC9E8" w14:textId="77777777" w:rsidR="004C6DB4" w:rsidRDefault="004C6DB4">
      <w:pPr>
        <w:pStyle w:val="F9-Paragraph"/>
        <w:numPr>
          <w:ilvl w:val="0"/>
          <w:numId w:val="0"/>
        </w:numPr>
        <w:ind w:left="1418" w:hanging="357"/>
      </w:pPr>
    </w:p>
    <w:p w14:paraId="5E9D8B38" w14:textId="77777777" w:rsidR="008E1750" w:rsidRPr="00187AFE" w:rsidRDefault="008E1750" w:rsidP="00730936">
      <w:pPr>
        <w:pStyle w:val="F9-Paragraph"/>
        <w:numPr>
          <w:ilvl w:val="0"/>
          <w:numId w:val="0"/>
        </w:numPr>
        <w:ind w:left="1418" w:hanging="357"/>
      </w:pPr>
    </w:p>
    <w:p w14:paraId="61743AA0" w14:textId="77777777" w:rsidR="000950B3" w:rsidRDefault="000950B3" w:rsidP="00EA7027">
      <w:pPr>
        <w:pStyle w:val="Heading3"/>
        <w:numPr>
          <w:ilvl w:val="0"/>
          <w:numId w:val="0"/>
        </w:numPr>
        <w:sectPr w:rsidR="000950B3" w:rsidSect="000B2BCD">
          <w:pgSz w:w="11906" w:h="16838" w:code="9"/>
          <w:pgMar w:top="1440" w:right="1440" w:bottom="1440" w:left="1440" w:header="397" w:footer="397" w:gutter="0"/>
          <w:cols w:space="312"/>
          <w:docGrid w:linePitch="360"/>
        </w:sectPr>
      </w:pPr>
    </w:p>
    <w:p w14:paraId="7E31BB19" w14:textId="1336CA05" w:rsidR="003B46A8" w:rsidRDefault="003B46A8" w:rsidP="00E90780">
      <w:pPr>
        <w:pStyle w:val="Heading1"/>
      </w:pPr>
      <w:bookmarkStart w:id="5" w:name="_Toc186205528"/>
      <w:r>
        <w:lastRenderedPageBreak/>
        <w:t>Government policy</w:t>
      </w:r>
      <w:bookmarkEnd w:id="5"/>
    </w:p>
    <w:p w14:paraId="762F8B6A" w14:textId="4C71E7B1" w:rsidR="00BB5898" w:rsidRDefault="00BB5898" w:rsidP="00BB5898">
      <w:pPr>
        <w:pStyle w:val="F9-Paragraph"/>
      </w:pPr>
      <w:r>
        <w:t xml:space="preserve">Policy on managing radioactive waste is a devolved matter. The UK Policy Framework for </w:t>
      </w:r>
      <w:r w:rsidRPr="0016745F">
        <w:t>Managing Radioactive Substances and Nuclear Decommissioning</w:t>
      </w:r>
      <w:r>
        <w:t xml:space="preserve"> </w:t>
      </w:r>
      <w:sdt>
        <w:sdtPr>
          <w:id w:val="-774329809"/>
          <w:citation/>
        </w:sdtPr>
        <w:sdtContent>
          <w:r>
            <w:fldChar w:fldCharType="begin"/>
          </w:r>
          <w:r>
            <w:instrText xml:space="preserve"> CITATION Policy_RadandDecom_2024 \l 2057 </w:instrText>
          </w:r>
          <w:r>
            <w:fldChar w:fldCharType="separate"/>
          </w:r>
          <w:r w:rsidR="00717D5C">
            <w:rPr>
              <w:noProof/>
            </w:rPr>
            <w:t>[21]</w:t>
          </w:r>
          <w:r>
            <w:fldChar w:fldCharType="end"/>
          </w:r>
        </w:sdtContent>
      </w:sdt>
      <w:r>
        <w:t xml:space="preserve"> (‘the Policy Framework’) includes the UK Government’s policy on managing radioactive waste both on and off nuclear licensed sites. </w:t>
      </w:r>
      <w:r w:rsidRPr="00E94C02">
        <w:t xml:space="preserve">The policy is guidance </w:t>
      </w:r>
      <w:r>
        <w:t>that</w:t>
      </w:r>
      <w:r w:rsidRPr="00E94C02">
        <w:t xml:space="preserve"> should be applied where possible without undermining legal requirements.</w:t>
      </w:r>
    </w:p>
    <w:p w14:paraId="190460BD" w14:textId="19678E9B" w:rsidR="00BB5898" w:rsidRDefault="00BB5898" w:rsidP="00BB5898">
      <w:pPr>
        <w:pStyle w:val="F9-Paragraph"/>
      </w:pPr>
      <w:r>
        <w:t>The Policy Framework was published in 2024 and replaces previous UK-wide policies on the management of radioactive waste, as well as highlighting where the devolved administrations have different policies. W</w:t>
      </w:r>
      <w:r w:rsidRPr="003D5C4D">
        <w:t xml:space="preserve">e were consulted on the </w:t>
      </w:r>
      <w:r>
        <w:t>Policy Framework,</w:t>
      </w:r>
      <w:r w:rsidRPr="003D5C4D">
        <w:t xml:space="preserve"> </w:t>
      </w:r>
      <w:r w:rsidR="003868E3">
        <w:t xml:space="preserve">including </w:t>
      </w:r>
      <w:r>
        <w:t xml:space="preserve">the key policy </w:t>
      </w:r>
      <w:r w:rsidRPr="00305539">
        <w:t xml:space="preserve">principles and expectations in relation </w:t>
      </w:r>
      <w:r w:rsidR="001971CC">
        <w:t xml:space="preserve">to </w:t>
      </w:r>
      <w:r w:rsidRPr="00305539">
        <w:t>the management of radioactive waste</w:t>
      </w:r>
      <w:r w:rsidR="009245A2">
        <w:t>. These</w:t>
      </w:r>
      <w:r>
        <w:t xml:space="preserve"> are</w:t>
      </w:r>
      <w:r w:rsidRPr="003D5C4D">
        <w:t xml:space="preserve"> largely </w:t>
      </w:r>
      <w:r>
        <w:t xml:space="preserve">reflected </w:t>
      </w:r>
      <w:r w:rsidRPr="003D5C4D">
        <w:t xml:space="preserve">in existing </w:t>
      </w:r>
      <w:r w:rsidR="009245A2">
        <w:t xml:space="preserve">regulatory </w:t>
      </w:r>
      <w:r w:rsidRPr="003D5C4D">
        <w:t xml:space="preserve">requirements and expectations, including </w:t>
      </w:r>
      <w:r>
        <w:t>the</w:t>
      </w:r>
      <w:r w:rsidR="00A56E98">
        <w:t xml:space="preserve"> ONR SAPs and</w:t>
      </w:r>
      <w:r>
        <w:t xml:space="preserve"> guidance to inspectors in section </w:t>
      </w:r>
      <w:r>
        <w:fldChar w:fldCharType="begin"/>
      </w:r>
      <w:r>
        <w:instrText xml:space="preserve"> REF _Ref184902122 \r \h </w:instrText>
      </w:r>
      <w:r>
        <w:fldChar w:fldCharType="separate"/>
      </w:r>
      <w:r>
        <w:rPr>
          <w:cs/>
        </w:rPr>
        <w:t>‎</w:t>
      </w:r>
      <w:r>
        <w:t>6</w:t>
      </w:r>
      <w:r>
        <w:fldChar w:fldCharType="end"/>
      </w:r>
      <w:r>
        <w:t xml:space="preserve"> of this TAG.</w:t>
      </w:r>
    </w:p>
    <w:p w14:paraId="57FFF69E" w14:textId="77777777" w:rsidR="00BB5898" w:rsidRDefault="00BB5898" w:rsidP="00BB5898">
      <w:pPr>
        <w:pStyle w:val="F9-Paragraph"/>
      </w:pPr>
      <w:r>
        <w:t xml:space="preserve">The UK Government and devolved administrations have specific policies for management of different classifications of radioactive waste, which are summarised in the following sub-sections. </w:t>
      </w:r>
    </w:p>
    <w:p w14:paraId="11A501F0" w14:textId="794E655F" w:rsidR="00BB5898" w:rsidRDefault="00BB5898" w:rsidP="00BB5898">
      <w:pPr>
        <w:pStyle w:val="Heading2"/>
      </w:pPr>
      <w:r w:rsidRPr="00E70570">
        <w:t>Policy for HAW (England and Wales)</w:t>
      </w:r>
    </w:p>
    <w:p w14:paraId="0248154E" w14:textId="394878E1" w:rsidR="00BB5898" w:rsidRDefault="00BB5898" w:rsidP="00BB5898">
      <w:pPr>
        <w:pStyle w:val="F9-Paragraph"/>
      </w:pPr>
      <w:r>
        <w:t xml:space="preserve">There are currently no disposal facilities for HAW. The policy in England and Wales is </w:t>
      </w:r>
      <w:r w:rsidR="00E101E9">
        <w:t xml:space="preserve">for safe and secure storage of this </w:t>
      </w:r>
      <w:r w:rsidR="00DF5DDF">
        <w:t xml:space="preserve">radioactive </w:t>
      </w:r>
      <w:r w:rsidR="00E101E9">
        <w:t xml:space="preserve">waste </w:t>
      </w:r>
      <w:r w:rsidR="005331CC">
        <w:t xml:space="preserve">on the nuclear licensed site </w:t>
      </w:r>
      <w:r w:rsidR="00E101E9">
        <w:t xml:space="preserve">until </w:t>
      </w:r>
      <w:r>
        <w:t xml:space="preserve">a geological disposal facility (GDF) becomes available. </w:t>
      </w:r>
      <w:r w:rsidR="00C47225">
        <w:t xml:space="preserve">Further guidance </w:t>
      </w:r>
      <w:r w:rsidR="000D50E1">
        <w:t xml:space="preserve">to inspectors </w:t>
      </w:r>
      <w:r w:rsidR="003B27F4">
        <w:t xml:space="preserve">on aspects </w:t>
      </w:r>
      <w:r w:rsidR="00F55507">
        <w:t xml:space="preserve">relating to </w:t>
      </w:r>
      <w:r w:rsidR="00A41DA7">
        <w:t>design and operation of</w:t>
      </w:r>
      <w:r w:rsidR="003D7715">
        <w:t xml:space="preserve"> a</w:t>
      </w:r>
      <w:r w:rsidR="00F55507">
        <w:t xml:space="preserve"> </w:t>
      </w:r>
      <w:r w:rsidR="006E1B66">
        <w:t xml:space="preserve">GDF is </w:t>
      </w:r>
      <w:r w:rsidR="00396D20">
        <w:t>given in NS-TAST-GD-101</w:t>
      </w:r>
      <w:sdt>
        <w:sdtPr>
          <w:id w:val="1773509398"/>
          <w:citation/>
        </w:sdtPr>
        <w:sdtContent>
          <w:r w:rsidR="003145A0">
            <w:fldChar w:fldCharType="begin"/>
          </w:r>
          <w:r w:rsidR="003145A0">
            <w:instrText xml:space="preserve"> CITATION TAG101_2023 \l 2057 </w:instrText>
          </w:r>
          <w:r w:rsidR="003145A0">
            <w:fldChar w:fldCharType="separate"/>
          </w:r>
          <w:r w:rsidR="00717D5C">
            <w:rPr>
              <w:noProof/>
            </w:rPr>
            <w:t xml:space="preserve"> [22]</w:t>
          </w:r>
          <w:r w:rsidR="003145A0">
            <w:fldChar w:fldCharType="end"/>
          </w:r>
        </w:sdtContent>
      </w:sdt>
      <w:r w:rsidR="007C4EAA">
        <w:t>.</w:t>
      </w:r>
      <w:r>
        <w:t xml:space="preserve"> Less-hazardous </w:t>
      </w:r>
      <w:r w:rsidR="001C6AC2">
        <w:t>ILW</w:t>
      </w:r>
      <w:r w:rsidR="00C050DC">
        <w:t>, and LLW that cannot be disposed of in current facilities,</w:t>
      </w:r>
      <w:r>
        <w:t xml:space="preserve"> may be disposed of in a near-surface facility where it is safe to do so.</w:t>
      </w:r>
    </w:p>
    <w:p w14:paraId="2265FEE5" w14:textId="77777777" w:rsidR="00BB5898" w:rsidRDefault="00BB5898" w:rsidP="00BB5898">
      <w:pPr>
        <w:pStyle w:val="F9-Paragraph"/>
      </w:pPr>
      <w:r>
        <w:t>The UK Government and Welsh Government policies for working with communities to implement geological disposal are contained within the Policy Framework, as is the policy around design, siting and planning for near-surface disposal facilities.</w:t>
      </w:r>
    </w:p>
    <w:p w14:paraId="3DF05B74" w14:textId="77777777" w:rsidR="00BB5898" w:rsidRDefault="00BB5898" w:rsidP="00BB5898">
      <w:pPr>
        <w:pStyle w:val="Heading2"/>
      </w:pPr>
      <w:r w:rsidRPr="00726E9B">
        <w:t>Policy for HAW (Scotland)</w:t>
      </w:r>
    </w:p>
    <w:p w14:paraId="48F14DD4" w14:textId="3B91EBFC" w:rsidR="00BB5898" w:rsidRPr="00AE4901" w:rsidRDefault="00BB5898" w:rsidP="00BB5898">
      <w:pPr>
        <w:pStyle w:val="F9-Paragraph"/>
      </w:pPr>
      <w:r w:rsidRPr="00AE4901">
        <w:t xml:space="preserve">Scotland's policy for HAW </w:t>
      </w:r>
      <w:sdt>
        <w:sdtPr>
          <w:id w:val="-1578742096"/>
          <w:citation/>
        </w:sdtPr>
        <w:sdtContent>
          <w:r w:rsidRPr="00AE4901">
            <w:fldChar w:fldCharType="begin"/>
          </w:r>
          <w:r w:rsidRPr="00AE4901">
            <w:instrText xml:space="preserve"> CITATION HAWPolicyScotland2011 \l 2057 </w:instrText>
          </w:r>
          <w:r w:rsidRPr="00AE4901">
            <w:fldChar w:fldCharType="separate"/>
          </w:r>
          <w:r w:rsidR="00717D5C" w:rsidRPr="00AE4901">
            <w:rPr>
              <w:noProof/>
            </w:rPr>
            <w:t>[23]</w:t>
          </w:r>
          <w:r w:rsidRPr="00AE4901">
            <w:fldChar w:fldCharType="end"/>
          </w:r>
        </w:sdtContent>
      </w:sdt>
      <w:r w:rsidRPr="00AE4901">
        <w:t xml:space="preserve"> is that long-term management of HAW should be in near-surface facilities which should be located as near to the site where the waste is produced as possible so that the need to transport the waste over long distances is minimal. The policy also states the need to demonstrate how facilities will be monitored and how waste packages, or waste, could be retrieved. The policy is supported by the Implementation Strategy for Scotland’s Policy on Higher Activity Radioactive Waste </w:t>
      </w:r>
      <w:sdt>
        <w:sdtPr>
          <w:id w:val="1926460180"/>
          <w:citation/>
        </w:sdtPr>
        <w:sdtContent>
          <w:r w:rsidRPr="00AE4901">
            <w:fldChar w:fldCharType="begin"/>
          </w:r>
          <w:r w:rsidRPr="00AE4901">
            <w:instrText xml:space="preserve"> CITATION ScotHAW_Implementation_2016 \l 2057 </w:instrText>
          </w:r>
          <w:r w:rsidRPr="00AE4901">
            <w:fldChar w:fldCharType="separate"/>
          </w:r>
          <w:r w:rsidR="00717D5C" w:rsidRPr="00AE4901">
            <w:rPr>
              <w:noProof/>
            </w:rPr>
            <w:t>[24]</w:t>
          </w:r>
          <w:r w:rsidRPr="00AE4901">
            <w:fldChar w:fldCharType="end"/>
          </w:r>
        </w:sdtContent>
      </w:sdt>
      <w:r w:rsidRPr="00AE4901">
        <w:t>.</w:t>
      </w:r>
    </w:p>
    <w:p w14:paraId="6C438BF0" w14:textId="77777777" w:rsidR="00BB5898" w:rsidRDefault="00BB5898" w:rsidP="00BB5898">
      <w:pPr>
        <w:pStyle w:val="Heading2"/>
      </w:pPr>
      <w:r w:rsidRPr="00FE4CDB">
        <w:lastRenderedPageBreak/>
        <w:t>Policy for LLW (UK)</w:t>
      </w:r>
    </w:p>
    <w:p w14:paraId="765C72CA" w14:textId="1BD3240A" w:rsidR="00BB5898" w:rsidRDefault="00BB5898" w:rsidP="00BB5898">
      <w:pPr>
        <w:pStyle w:val="F9-Paragraph"/>
      </w:pPr>
      <w:r>
        <w:t xml:space="preserve">The Policy Framework sets out the policy for the management of solid LLW, and a complementary UK Strategy on solid LLW was published in 2016 </w:t>
      </w:r>
      <w:sdt>
        <w:sdtPr>
          <w:id w:val="1575782825"/>
          <w:citation/>
        </w:sdtPr>
        <w:sdtContent>
          <w:r>
            <w:fldChar w:fldCharType="begin"/>
          </w:r>
          <w:r>
            <w:instrText xml:space="preserve"> CITATION LLWStrat_2016 \l 2057 </w:instrText>
          </w:r>
          <w:r>
            <w:fldChar w:fldCharType="separate"/>
          </w:r>
          <w:r w:rsidR="00717D5C">
            <w:rPr>
              <w:noProof/>
            </w:rPr>
            <w:t>[25]</w:t>
          </w:r>
          <w:r>
            <w:fldChar w:fldCharType="end"/>
          </w:r>
        </w:sdtContent>
      </w:sdt>
      <w:r>
        <w:t>.</w:t>
      </w:r>
    </w:p>
    <w:p w14:paraId="20D88350" w14:textId="603E2392" w:rsidR="00BB5898" w:rsidRPr="00BB5898" w:rsidRDefault="00BB5898" w:rsidP="00730936">
      <w:pPr>
        <w:pStyle w:val="F9-Paragraph"/>
      </w:pPr>
      <w:r>
        <w:t>Concerning disposal of solid LLW, the Policy Framework identifies that there is a large variation in types of LLW. LLW that requires the protection offered by an engineered near surface facility should be disposed of at facilities such as the Low Level Waste Repository (LLWR). For VLLW and low-activity LLW, the UK Government’s and devolved administrations’ preference is that commercial operators, alongside the NDA’s own permitted landfill sites, are used for disposal.</w:t>
      </w:r>
    </w:p>
    <w:p w14:paraId="319BECEC" w14:textId="77777777" w:rsidR="003B46A8" w:rsidRDefault="003B46A8" w:rsidP="003B46A8"/>
    <w:p w14:paraId="590446B6" w14:textId="77777777" w:rsidR="003B46A8" w:rsidRPr="003B46A8" w:rsidRDefault="003B46A8" w:rsidP="0019468E">
      <w:pPr>
        <w:sectPr w:rsidR="003B46A8" w:rsidRPr="003B46A8" w:rsidSect="000B2BCD">
          <w:pgSz w:w="11906" w:h="16838" w:code="9"/>
          <w:pgMar w:top="1440" w:right="1440" w:bottom="1440" w:left="1440" w:header="397" w:footer="397" w:gutter="0"/>
          <w:cols w:space="312"/>
          <w:docGrid w:linePitch="360"/>
        </w:sectPr>
      </w:pPr>
    </w:p>
    <w:p w14:paraId="219A98D5" w14:textId="41280D76" w:rsidR="00140E1C" w:rsidRDefault="000950B3" w:rsidP="00CA07BD">
      <w:pPr>
        <w:pStyle w:val="Heading1"/>
        <w:ind w:left="709" w:hanging="709"/>
      </w:pPr>
      <w:bookmarkStart w:id="6" w:name="_Toc186205529"/>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w:t>
      </w:r>
      <w:r w:rsidR="001C19DE">
        <w:t>G</w:t>
      </w:r>
      <w:r w:rsidR="00F7687C">
        <w:t>uides</w:t>
      </w:r>
      <w:bookmarkEnd w:id="6"/>
    </w:p>
    <w:p w14:paraId="3EEA0009" w14:textId="4DF6FCD7" w:rsidR="00FC2D74" w:rsidRDefault="00742C0D" w:rsidP="00FC2D74">
      <w:pPr>
        <w:pStyle w:val="Heading2"/>
      </w:pPr>
      <w:r w:rsidRPr="00742C0D">
        <w:t>Safety Assessment Principles</w:t>
      </w:r>
    </w:p>
    <w:p w14:paraId="3C8BC2F4" w14:textId="7275073A" w:rsidR="000E4871" w:rsidRDefault="000E4871" w:rsidP="000E4871">
      <w:pPr>
        <w:pStyle w:val="F9-Paragraph"/>
      </w:pPr>
      <w:r>
        <w:t xml:space="preserve">The SAPs </w:t>
      </w:r>
      <w:sdt>
        <w:sdtPr>
          <w:id w:val="-664479144"/>
          <w:citation/>
        </w:sdtPr>
        <w:sdtContent>
          <w:r w:rsidR="007263FC">
            <w:fldChar w:fldCharType="begin"/>
          </w:r>
          <w:r w:rsidR="007263FC">
            <w:instrText xml:space="preserve"> CITATION ONR2013 \l 2057 </w:instrText>
          </w:r>
          <w:r w:rsidR="007263FC">
            <w:fldChar w:fldCharType="separate"/>
          </w:r>
          <w:r w:rsidR="00717D5C">
            <w:rPr>
              <w:noProof/>
            </w:rPr>
            <w:t>[1]</w:t>
          </w:r>
          <w:r w:rsidR="007263FC">
            <w:fldChar w:fldCharType="end"/>
          </w:r>
        </w:sdtContent>
      </w:sdt>
      <w:r w:rsidR="007263FC">
        <w:t xml:space="preserve"> </w:t>
      </w:r>
      <w:r>
        <w:t>provide nuclear inspectors with a framework for making consistent regulatory judgements on the safety of activities on nuclear installations, and also recognise the legal duty on licensees to reduce risk so far as is reasonably practicable. The SAPs are split into sections relating to different aspects of nuclear safety. One section of the SAPs is dedicated to radioactive waste and those principles are</w:t>
      </w:r>
      <w:r w:rsidR="00E15817">
        <w:t xml:space="preserve"> embedded in the guidance in </w:t>
      </w:r>
      <w:r w:rsidR="000D73DE">
        <w:t xml:space="preserve">Section </w:t>
      </w:r>
      <w:r w:rsidR="000D73DE">
        <w:fldChar w:fldCharType="begin"/>
      </w:r>
      <w:r w:rsidR="000D73DE">
        <w:instrText xml:space="preserve"> REF _Ref184902122 \r \h </w:instrText>
      </w:r>
      <w:r w:rsidR="000D73DE">
        <w:fldChar w:fldCharType="separate"/>
      </w:r>
      <w:r w:rsidR="0012252C">
        <w:rPr>
          <w:cs/>
        </w:rPr>
        <w:fldChar w:fldCharType="begin"/>
      </w:r>
      <w:r w:rsidR="0012252C">
        <w:instrText xml:space="preserve"> REF _Ref184902122 \r \h </w:instrText>
      </w:r>
      <w:r w:rsidR="0012252C">
        <w:rPr>
          <w:cs/>
        </w:rPr>
      </w:r>
      <w:r w:rsidR="0012252C">
        <w:rPr>
          <w:cs/>
        </w:rPr>
        <w:fldChar w:fldCharType="separate"/>
      </w:r>
      <w:r w:rsidR="0012252C">
        <w:rPr>
          <w:cs/>
        </w:rPr>
        <w:t>‎</w:t>
      </w:r>
      <w:r w:rsidR="0012252C">
        <w:t>6</w:t>
      </w:r>
      <w:r w:rsidR="0012252C">
        <w:rPr>
          <w:cs/>
        </w:rPr>
        <w:fldChar w:fldCharType="end"/>
      </w:r>
      <w:r w:rsidR="000D73DE">
        <w:fldChar w:fldCharType="end"/>
      </w:r>
      <w:r w:rsidR="000D73DE">
        <w:t xml:space="preserve"> of this TAG.</w:t>
      </w:r>
      <w:r>
        <w:t xml:space="preserve"> </w:t>
      </w:r>
      <w:r w:rsidR="000D73DE" w:rsidRPr="000D73DE">
        <w:t xml:space="preserve">However, all of the SAPs </w:t>
      </w:r>
      <w:r w:rsidR="0098581B">
        <w:t>provide guidance to</w:t>
      </w:r>
      <w:r w:rsidR="000D73DE" w:rsidRPr="000D73DE">
        <w:t xml:space="preserve"> ONR</w:t>
      </w:r>
      <w:r w:rsidR="000D73DE">
        <w:t xml:space="preserve"> </w:t>
      </w:r>
      <w:r w:rsidR="004F50BD">
        <w:t>inspector</w:t>
      </w:r>
      <w:r w:rsidR="000D73DE" w:rsidRPr="000D73DE">
        <w:t>s</w:t>
      </w:r>
      <w:r w:rsidR="004F50BD">
        <w:t xml:space="preserve"> in</w:t>
      </w:r>
      <w:r w:rsidR="000D73DE" w:rsidRPr="000D73DE">
        <w:t xml:space="preserve"> assess</w:t>
      </w:r>
      <w:r w:rsidR="004F50BD">
        <w:t>ing</w:t>
      </w:r>
      <w:r w:rsidR="000D73DE" w:rsidRPr="000D73DE">
        <w:t xml:space="preserve"> the adequacy of safety cases in support of regulatory judgements, where deemed to be relevant. The SAPs should therefore be viewed as </w:t>
      </w:r>
      <w:r w:rsidR="00BA19C9">
        <w:t>RGP</w:t>
      </w:r>
      <w:r w:rsidR="000D73DE" w:rsidRPr="000D73DE">
        <w:t xml:space="preserve"> in the broadest sense.</w:t>
      </w:r>
    </w:p>
    <w:p w14:paraId="7056ADC0" w14:textId="28EE905D" w:rsidR="000E4871" w:rsidRDefault="006D218C" w:rsidP="00F30DA3">
      <w:pPr>
        <w:pStyle w:val="F9-Paragraph"/>
      </w:pPr>
      <w:r>
        <w:t>The SAPs on radioactive waste management</w:t>
      </w:r>
      <w:r w:rsidR="00670FBF">
        <w:t xml:space="preserve"> (RW.1 to RW.7)</w:t>
      </w:r>
      <w:r w:rsidR="00BA42EF">
        <w:t xml:space="preserve"> </w:t>
      </w:r>
      <w:r w:rsidR="00181031">
        <w:t xml:space="preserve">recognise that </w:t>
      </w:r>
      <w:r w:rsidR="00181031" w:rsidRPr="00181031">
        <w:t xml:space="preserve">minimisation and control of </w:t>
      </w:r>
      <w:r w:rsidR="00662DC6">
        <w:t xml:space="preserve">radioactive </w:t>
      </w:r>
      <w:r w:rsidR="00181031" w:rsidRPr="00181031">
        <w:t xml:space="preserve">waste should be taken into account at all stages of </w:t>
      </w:r>
      <w:r w:rsidR="007E042A">
        <w:t>a</w:t>
      </w:r>
      <w:r w:rsidR="00181031" w:rsidRPr="00181031">
        <w:t xml:space="preserve"> facility’s lifecycle</w:t>
      </w:r>
      <w:r w:rsidR="00670FBF">
        <w:t xml:space="preserve">. </w:t>
      </w:r>
      <w:r w:rsidR="00AC2044">
        <w:t>RW.1 reflects th</w:t>
      </w:r>
      <w:r w:rsidR="002E4767">
        <w:t xml:space="preserve">at a strategy is an </w:t>
      </w:r>
      <w:r w:rsidR="007A2095" w:rsidRPr="007A2095">
        <w:t>essential prerequisite for the safe and timely management of radioactive waste on a sit</w:t>
      </w:r>
      <w:r w:rsidR="00FC5135">
        <w:t>e</w:t>
      </w:r>
      <w:r w:rsidR="007A2095">
        <w:t xml:space="preserve">. RW.2 and RW.3 then </w:t>
      </w:r>
      <w:r w:rsidR="00DA0873">
        <w:t xml:space="preserve">cover </w:t>
      </w:r>
      <w:r w:rsidR="00BC2184">
        <w:t xml:space="preserve">minimisation of the </w:t>
      </w:r>
      <w:r w:rsidR="00DA0873">
        <w:t>generation and accumulation of radioactive wast</w:t>
      </w:r>
      <w:r w:rsidR="00C76DCA">
        <w:t>e</w:t>
      </w:r>
      <w:r w:rsidR="002775BB">
        <w:t xml:space="preserve">. RW.4 </w:t>
      </w:r>
      <w:r w:rsidR="00ED303C">
        <w:t>covers the application of</w:t>
      </w:r>
      <w:r w:rsidR="00ED303C" w:rsidRPr="00ED303C">
        <w:t xml:space="preserve"> characterisation and segregation </w:t>
      </w:r>
      <w:r w:rsidR="007D09DB">
        <w:t>to facilitate the safe management</w:t>
      </w:r>
      <w:r w:rsidR="003E0FC0">
        <w:t>, including</w:t>
      </w:r>
      <w:r w:rsidR="00DE4AB3">
        <w:t xml:space="preserve"> disposal</w:t>
      </w:r>
      <w:r w:rsidR="003E0FC0">
        <w:t>,</w:t>
      </w:r>
      <w:r w:rsidR="00DE4AB3">
        <w:t xml:space="preserve"> </w:t>
      </w:r>
      <w:r w:rsidR="007D09DB">
        <w:t>of radioactive waste, while RW.5</w:t>
      </w:r>
      <w:r w:rsidR="00C950A2">
        <w:t xml:space="preserve"> a</w:t>
      </w:r>
      <w:r w:rsidR="00182654">
        <w:t xml:space="preserve">nd RW.6 address </w:t>
      </w:r>
      <w:r w:rsidR="00486F10">
        <w:t xml:space="preserve">passive safety </w:t>
      </w:r>
      <w:r w:rsidR="00302342">
        <w:t xml:space="preserve">and how the waste form and storage facility </w:t>
      </w:r>
      <w:r w:rsidR="00E37312">
        <w:t xml:space="preserve">contribute </w:t>
      </w:r>
      <w:r w:rsidR="001971CC">
        <w:t xml:space="preserve">to </w:t>
      </w:r>
      <w:r w:rsidR="00E37312">
        <w:t xml:space="preserve">this. Finally, </w:t>
      </w:r>
      <w:r w:rsidR="00542089">
        <w:t>RW.7</w:t>
      </w:r>
      <w:r w:rsidR="003C5AD4">
        <w:t xml:space="preserve"> concerns the </w:t>
      </w:r>
      <w:r w:rsidR="00E27A4E">
        <w:t xml:space="preserve">records </w:t>
      </w:r>
      <w:r w:rsidR="000712A2">
        <w:t xml:space="preserve">needed to manage radioactive waste in the present and </w:t>
      </w:r>
      <w:r w:rsidR="00C6405A">
        <w:t xml:space="preserve">the </w:t>
      </w:r>
      <w:r w:rsidR="009D5DA2" w:rsidRPr="009D5DA2">
        <w:t>information to manage, and eventually dispose of, waste safely</w:t>
      </w:r>
      <w:r w:rsidR="009D5DA2">
        <w:t xml:space="preserve"> in the future.</w:t>
      </w:r>
      <w:r w:rsidR="003B7539">
        <w:t xml:space="preserve"> </w:t>
      </w:r>
      <w:r w:rsidR="001971CC">
        <w:t>T</w:t>
      </w:r>
      <w:r w:rsidR="003B7539" w:rsidRPr="003B7539">
        <w:t>he principles</w:t>
      </w:r>
      <w:r w:rsidR="00971F57">
        <w:t xml:space="preserve"> on control of nuclear matter (ENM.1 to ENM.8) are also applicable</w:t>
      </w:r>
      <w:r w:rsidR="001971CC">
        <w:t xml:space="preserve"> to radioactive waste</w:t>
      </w:r>
      <w:r w:rsidR="00971F57">
        <w:t>.</w:t>
      </w:r>
    </w:p>
    <w:p w14:paraId="48549895" w14:textId="5D85687B" w:rsidR="000E4871" w:rsidRDefault="00971F57" w:rsidP="000E4871">
      <w:pPr>
        <w:pStyle w:val="F9-Paragraph"/>
      </w:pPr>
      <w:r w:rsidRPr="00971F57">
        <w:t xml:space="preserve">There are several other SAPs of relevance to the management of </w:t>
      </w:r>
      <w:r>
        <w:t>radioactive waste</w:t>
      </w:r>
      <w:r w:rsidRPr="00971F57">
        <w:t>. The following list is not exhausti</w:t>
      </w:r>
      <w:r>
        <w:t>ve</w:t>
      </w:r>
      <w:r w:rsidRPr="00971F57">
        <w:t xml:space="preserve"> but highlights key principles </w:t>
      </w:r>
      <w:r w:rsidR="00482BD7">
        <w:t xml:space="preserve">for </w:t>
      </w:r>
      <w:r w:rsidRPr="00971F57">
        <w:t xml:space="preserve">which guidance </w:t>
      </w:r>
      <w:r w:rsidR="00BA1C61">
        <w:t>relevant</w:t>
      </w:r>
      <w:r w:rsidR="00482BD7">
        <w:t xml:space="preserve"> to radioactive waste </w:t>
      </w:r>
      <w:r w:rsidRPr="00971F57">
        <w:t>is provided in this TAG</w:t>
      </w:r>
      <w:r w:rsidR="00482BD7">
        <w:t>:</w:t>
      </w:r>
    </w:p>
    <w:p w14:paraId="5620985E" w14:textId="47E8E11F" w:rsidR="000E4871" w:rsidRDefault="007F1807" w:rsidP="000E4871">
      <w:pPr>
        <w:pStyle w:val="Bulletlist1"/>
      </w:pPr>
      <w:r>
        <w:t xml:space="preserve">Decommissioning principles </w:t>
      </w:r>
      <w:r w:rsidR="00675757">
        <w:t xml:space="preserve">concerned with planning </w:t>
      </w:r>
      <w:r w:rsidR="00DA7D86">
        <w:t xml:space="preserve">and strategies for decommissioning </w:t>
      </w:r>
      <w:r>
        <w:t>(DC.1</w:t>
      </w:r>
      <w:r w:rsidR="00DA7D86">
        <w:t xml:space="preserve"> to DC.4);</w:t>
      </w:r>
    </w:p>
    <w:p w14:paraId="0B254802" w14:textId="4EA8476C" w:rsidR="000E4871" w:rsidRDefault="005D6004" w:rsidP="000E4871">
      <w:pPr>
        <w:pStyle w:val="Bulletlist1"/>
      </w:pPr>
      <w:r>
        <w:t>Key engineering principles (EKP.1 to EKP.5);</w:t>
      </w:r>
    </w:p>
    <w:p w14:paraId="30482EB9" w14:textId="39BF229F" w:rsidR="000E4871" w:rsidRDefault="007B76D7" w:rsidP="000E4871">
      <w:pPr>
        <w:pStyle w:val="Bulletlist1"/>
      </w:pPr>
      <w:r>
        <w:t xml:space="preserve">Engineering principles </w:t>
      </w:r>
      <w:r w:rsidR="00024B11">
        <w:t>on maintenance, inspection and testing (EMT.1, EMT.2 and EMT.6);</w:t>
      </w:r>
    </w:p>
    <w:p w14:paraId="55B1852E" w14:textId="0E54400E" w:rsidR="00F7687C" w:rsidRDefault="004C7A7C" w:rsidP="000E4871">
      <w:pPr>
        <w:pStyle w:val="Bulletlist1"/>
      </w:pPr>
      <w:r>
        <w:t xml:space="preserve">Engineering </w:t>
      </w:r>
      <w:r w:rsidR="000E4871">
        <w:t>principles relat</w:t>
      </w:r>
      <w:r>
        <w:t>ing</w:t>
      </w:r>
      <w:r w:rsidR="000E4871">
        <w:t xml:space="preserve"> to the management of ageing and degradation </w:t>
      </w:r>
      <w:r w:rsidR="00E74451">
        <w:t>(EAD.1 to EAD.</w:t>
      </w:r>
      <w:r w:rsidR="006B5C41">
        <w:t>5)</w:t>
      </w:r>
      <w:r w:rsidR="006F71CC">
        <w:t>;</w:t>
      </w:r>
    </w:p>
    <w:p w14:paraId="0BB7E934" w14:textId="1B88A8AA" w:rsidR="006F71CC" w:rsidRDefault="006F71CC" w:rsidP="000E4871">
      <w:pPr>
        <w:pStyle w:val="Bulletlist1"/>
      </w:pPr>
      <w:r>
        <w:lastRenderedPageBreak/>
        <w:t xml:space="preserve">Engineering </w:t>
      </w:r>
      <w:r w:rsidR="00E463CC">
        <w:t>principles on containment an</w:t>
      </w:r>
      <w:r w:rsidR="000323B5">
        <w:t xml:space="preserve">d ventilation </w:t>
      </w:r>
      <w:r w:rsidR="000977B0">
        <w:t>(ECV.1 to ECV.3 and ECV.7)</w:t>
      </w:r>
      <w:r w:rsidR="002B2556">
        <w:t>;</w:t>
      </w:r>
      <w:r w:rsidR="00D42811">
        <w:t xml:space="preserve"> and,</w:t>
      </w:r>
    </w:p>
    <w:p w14:paraId="672B659B" w14:textId="359DF9A8" w:rsidR="0023482A" w:rsidRDefault="0023482A" w:rsidP="000E4871">
      <w:pPr>
        <w:pStyle w:val="Bulletlist1"/>
      </w:pPr>
      <w:r>
        <w:t>Engineering principles on</w:t>
      </w:r>
      <w:r w:rsidR="00D42811">
        <w:t xml:space="preserve"> criticality safety (ECR.1 and ECR.2).</w:t>
      </w:r>
    </w:p>
    <w:p w14:paraId="66FD6C7E" w14:textId="695333FF" w:rsidR="000E4871" w:rsidRDefault="00806E1C" w:rsidP="009C3649">
      <w:pPr>
        <w:pStyle w:val="Heading2"/>
      </w:pPr>
      <w:r w:rsidRPr="00806E1C">
        <w:t>Technical Assessment Guides</w:t>
      </w:r>
    </w:p>
    <w:p w14:paraId="734EE6CE" w14:textId="77962BD4" w:rsidR="00C771D7" w:rsidRDefault="00C771D7" w:rsidP="00C771D7">
      <w:pPr>
        <w:pStyle w:val="F9-Paragraph"/>
      </w:pPr>
      <w:r>
        <w:t>There are a number of other TAGs that may be of relevance to the management of radioactive waste:</w:t>
      </w:r>
    </w:p>
    <w:p w14:paraId="34F9613D" w14:textId="77777777" w:rsidR="00C771D7" w:rsidRDefault="00C771D7" w:rsidP="00C771D7">
      <w:pPr>
        <w:pStyle w:val="Bulletlist1"/>
      </w:pPr>
      <w:r>
        <w:t>NS-TAST-GD-005</w:t>
      </w:r>
      <w:r>
        <w:tab/>
        <w:t>ONR guidance on the demonstration of ALARP;</w:t>
      </w:r>
    </w:p>
    <w:p w14:paraId="5E142EB6" w14:textId="77777777" w:rsidR="00C771D7" w:rsidRDefault="00C771D7" w:rsidP="00C771D7">
      <w:pPr>
        <w:pStyle w:val="Bulletlist1"/>
      </w:pPr>
      <w:r w:rsidRPr="000046BB">
        <w:t>NS-TAST-GD-023</w:t>
      </w:r>
      <w:r w:rsidRPr="000046BB">
        <w:tab/>
        <w:t>Control of processes involving nuclear matter;</w:t>
      </w:r>
    </w:p>
    <w:p w14:paraId="4750D5E2" w14:textId="77777777" w:rsidR="00C771D7" w:rsidRDefault="00C771D7" w:rsidP="00C771D7">
      <w:pPr>
        <w:pStyle w:val="Bulletlist1"/>
      </w:pPr>
      <w:r>
        <w:t>NS-TAST-GD-026</w:t>
      </w:r>
      <w:r>
        <w:tab/>
        <w:t>Decommissioning on nuclear licensed sites;</w:t>
      </w:r>
    </w:p>
    <w:p w14:paraId="032A09CF" w14:textId="6DE5DA36" w:rsidR="00C771D7" w:rsidRDefault="00C771D7" w:rsidP="00C771D7">
      <w:pPr>
        <w:pStyle w:val="Bulletlist1"/>
      </w:pPr>
      <w:r>
        <w:t>NS-TAST-GD-033</w:t>
      </w:r>
      <w:r>
        <w:tab/>
        <w:t>Dutyholder management of records;</w:t>
      </w:r>
      <w:r w:rsidR="00BB449A">
        <w:t xml:space="preserve"> and,</w:t>
      </w:r>
    </w:p>
    <w:p w14:paraId="429D7497" w14:textId="09E7CE5B" w:rsidR="00806E1C" w:rsidRDefault="00C771D7" w:rsidP="00C771D7">
      <w:pPr>
        <w:pStyle w:val="Bulletlist1"/>
      </w:pPr>
      <w:r>
        <w:t>NS-TAST-GD-101</w:t>
      </w:r>
      <w:r>
        <w:tab/>
        <w:t>Geological disposal.</w:t>
      </w:r>
    </w:p>
    <w:p w14:paraId="34B464E9" w14:textId="7282EFF7" w:rsidR="00C771D7" w:rsidRDefault="005E00AB" w:rsidP="00C771D7">
      <w:pPr>
        <w:pStyle w:val="Heading2"/>
      </w:pPr>
      <w:r w:rsidRPr="005E00AB">
        <w:t>IAEA Requirements and WENRA Safety Reference Levels</w:t>
      </w:r>
    </w:p>
    <w:p w14:paraId="3656497E" w14:textId="79C921BF" w:rsidR="00CD0495" w:rsidRDefault="00CD0495" w:rsidP="00CD0495">
      <w:pPr>
        <w:pStyle w:val="F9-Paragraph"/>
      </w:pPr>
      <w:r>
        <w:t>In addition to the SAPs, the IAEA Safety Standards and the Safety Reference Levels (SRLs) developed by the Western European Nuclear Regulators Association (WENRA) are considered to be UK RGP.</w:t>
      </w:r>
    </w:p>
    <w:p w14:paraId="274E306E" w14:textId="34209AF1" w:rsidR="00CD0495" w:rsidRDefault="00CD0495" w:rsidP="00CD0495">
      <w:pPr>
        <w:pStyle w:val="F9-Paragraph"/>
      </w:pPr>
      <w:r>
        <w:t xml:space="preserve">The </w:t>
      </w:r>
      <w:r w:rsidR="008E2DCA">
        <w:t xml:space="preserve">following are the </w:t>
      </w:r>
      <w:r>
        <w:t>most relevant IAEA documents</w:t>
      </w:r>
      <w:r w:rsidR="008E2DCA">
        <w:t xml:space="preserve"> an</w:t>
      </w:r>
      <w:r w:rsidR="00E30B48">
        <w:t>d the guidance within th</w:t>
      </w:r>
      <w:r w:rsidR="00512EA3">
        <w:t>ese documents has been explicitly considered and reflected in this TAG</w:t>
      </w:r>
      <w:r>
        <w:t>:</w:t>
      </w:r>
    </w:p>
    <w:p w14:paraId="7DA4B4A3" w14:textId="1006107A" w:rsidR="00CD0495" w:rsidRDefault="00CD0495" w:rsidP="00CD0495">
      <w:pPr>
        <w:pStyle w:val="Bulletlist1"/>
      </w:pPr>
      <w:r>
        <w:t xml:space="preserve">General Safety Requirements: Predisposal Management of Radioactive Waste (GSR Part 5) </w:t>
      </w:r>
      <w:sdt>
        <w:sdtPr>
          <w:id w:val="570857985"/>
          <w:citation/>
        </w:sdtPr>
        <w:sdtContent>
          <w:r w:rsidR="00B41446">
            <w:fldChar w:fldCharType="begin"/>
          </w:r>
          <w:r w:rsidR="0094011E">
            <w:instrText xml:space="preserve">CITATION GSR5v2009 \l 2057 </w:instrText>
          </w:r>
          <w:r w:rsidR="00B41446">
            <w:fldChar w:fldCharType="separate"/>
          </w:r>
          <w:r w:rsidR="00717D5C">
            <w:rPr>
              <w:noProof/>
            </w:rPr>
            <w:t>[26]</w:t>
          </w:r>
          <w:r w:rsidR="00B41446">
            <w:fldChar w:fldCharType="end"/>
          </w:r>
        </w:sdtContent>
      </w:sdt>
      <w:r>
        <w:t>;</w:t>
      </w:r>
    </w:p>
    <w:p w14:paraId="32B2D8C3" w14:textId="4EA16817" w:rsidR="00CD0495" w:rsidRDefault="00CD0495" w:rsidP="00CD0495">
      <w:pPr>
        <w:pStyle w:val="Bulletlist1"/>
      </w:pPr>
      <w:r>
        <w:t xml:space="preserve">Safety Specific Guide: Predisposal Management of Radioactive Waste from Nuclear Power Plants and Research Reactors (SSG-40) </w:t>
      </w:r>
      <w:sdt>
        <w:sdtPr>
          <w:id w:val="1257253179"/>
          <w:citation/>
        </w:sdtPr>
        <w:sdtContent>
          <w:r w:rsidR="001E76CB">
            <w:fldChar w:fldCharType="begin"/>
          </w:r>
          <w:r w:rsidR="001E76CB">
            <w:instrText xml:space="preserve"> CITATION SSG_40_2016 \l 2057 </w:instrText>
          </w:r>
          <w:r w:rsidR="001E76CB">
            <w:fldChar w:fldCharType="separate"/>
          </w:r>
          <w:r w:rsidR="00717D5C">
            <w:rPr>
              <w:noProof/>
            </w:rPr>
            <w:t>[27]</w:t>
          </w:r>
          <w:r w:rsidR="001E76CB">
            <w:fldChar w:fldCharType="end"/>
          </w:r>
        </w:sdtContent>
      </w:sdt>
      <w:r>
        <w:t>;</w:t>
      </w:r>
    </w:p>
    <w:p w14:paraId="12327AF2" w14:textId="08F69827" w:rsidR="00CD0495" w:rsidRDefault="00CD0495" w:rsidP="00CD0495">
      <w:pPr>
        <w:pStyle w:val="Bulletlist1"/>
      </w:pPr>
      <w:r>
        <w:t xml:space="preserve">Safety Specific Guide: Predisposal Management of Radioactive Waste from Nuclear Fuel Cycle Facilities (SSG-41) </w:t>
      </w:r>
      <w:sdt>
        <w:sdtPr>
          <w:id w:val="-2090154798"/>
          <w:citation/>
        </w:sdtPr>
        <w:sdtContent>
          <w:r w:rsidR="00803DE3">
            <w:fldChar w:fldCharType="begin"/>
          </w:r>
          <w:r w:rsidR="00803DE3">
            <w:instrText xml:space="preserve"> CITATION SSG41_2016 \l 2057 </w:instrText>
          </w:r>
          <w:r w:rsidR="00803DE3">
            <w:fldChar w:fldCharType="separate"/>
          </w:r>
          <w:r w:rsidR="00717D5C">
            <w:rPr>
              <w:noProof/>
            </w:rPr>
            <w:t>[28]</w:t>
          </w:r>
          <w:r w:rsidR="00803DE3">
            <w:fldChar w:fldCharType="end"/>
          </w:r>
        </w:sdtContent>
      </w:sdt>
      <w:r w:rsidR="00D44F26">
        <w:t>;</w:t>
      </w:r>
    </w:p>
    <w:p w14:paraId="4DF62697" w14:textId="2DA8A1FC" w:rsidR="00D44F26" w:rsidRDefault="00D44F26" w:rsidP="00D44F26">
      <w:pPr>
        <w:pStyle w:val="Bulletlist1"/>
      </w:pPr>
      <w:r w:rsidRPr="00D44F26">
        <w:t>The Safety Case and Safety Assessment for the Predisposal Management of Radioactive Waste</w:t>
      </w:r>
      <w:r>
        <w:t xml:space="preserve"> (</w:t>
      </w:r>
      <w:r w:rsidRPr="00D44F26">
        <w:t>GSG-3</w:t>
      </w:r>
      <w:r>
        <w:t>)</w:t>
      </w:r>
      <w:sdt>
        <w:sdtPr>
          <w:id w:val="-131640774"/>
          <w:citation/>
        </w:sdtPr>
        <w:sdtContent>
          <w:r w:rsidR="00230DDD">
            <w:fldChar w:fldCharType="begin"/>
          </w:r>
          <w:r w:rsidR="00230DDD">
            <w:instrText xml:space="preserve"> CITATION GSG3_2013 \l 2057 </w:instrText>
          </w:r>
          <w:r w:rsidR="00230DDD">
            <w:fldChar w:fldCharType="separate"/>
          </w:r>
          <w:r w:rsidR="00717D5C">
            <w:rPr>
              <w:noProof/>
            </w:rPr>
            <w:t xml:space="preserve"> [29]</w:t>
          </w:r>
          <w:r w:rsidR="00230DDD">
            <w:fldChar w:fldCharType="end"/>
          </w:r>
        </w:sdtContent>
      </w:sdt>
      <w:r w:rsidR="00230DDD">
        <w:t>; and</w:t>
      </w:r>
    </w:p>
    <w:p w14:paraId="3914BC9B" w14:textId="53195A71" w:rsidR="00230DDD" w:rsidRDefault="00230DDD" w:rsidP="00D44F26">
      <w:pPr>
        <w:pStyle w:val="Bulletlist1"/>
      </w:pPr>
      <w:r w:rsidRPr="00230DDD">
        <w:t>Leadership, Management and Culture for Safety in Radioactive Waste Management</w:t>
      </w:r>
      <w:r>
        <w:t xml:space="preserve"> (GSG-16) </w:t>
      </w:r>
      <w:sdt>
        <w:sdtPr>
          <w:id w:val="-1281336586"/>
          <w:citation/>
        </w:sdtPr>
        <w:sdtContent>
          <w:r>
            <w:fldChar w:fldCharType="begin"/>
          </w:r>
          <w:r>
            <w:instrText xml:space="preserve"> CITATION GSG16v2022 \l 2057 </w:instrText>
          </w:r>
          <w:r>
            <w:fldChar w:fldCharType="separate"/>
          </w:r>
          <w:r w:rsidR="00717D5C">
            <w:rPr>
              <w:noProof/>
            </w:rPr>
            <w:t>[30]</w:t>
          </w:r>
          <w:r>
            <w:fldChar w:fldCharType="end"/>
          </w:r>
        </w:sdtContent>
      </w:sdt>
      <w:r w:rsidR="00616D1B">
        <w:t>.</w:t>
      </w:r>
    </w:p>
    <w:p w14:paraId="35A3620B" w14:textId="77777777" w:rsidR="00CD0495" w:rsidRDefault="00CD0495" w:rsidP="00CD0495">
      <w:pPr>
        <w:pStyle w:val="F9-Paragraph"/>
      </w:pPr>
      <w:r>
        <w:t>The most relevant WENRA SRLs for the management of radioactive waste are:</w:t>
      </w:r>
    </w:p>
    <w:p w14:paraId="57F50873" w14:textId="26DD8BB5" w:rsidR="00CD0495" w:rsidRDefault="00CD0495" w:rsidP="00CD0495">
      <w:pPr>
        <w:pStyle w:val="Bulletlist1"/>
      </w:pPr>
      <w:r>
        <w:t xml:space="preserve">Waste and spent fuel storage </w:t>
      </w:r>
      <w:sdt>
        <w:sdtPr>
          <w:id w:val="-674342015"/>
          <w:citation/>
        </w:sdtPr>
        <w:sdtContent>
          <w:r w:rsidR="00B41446">
            <w:fldChar w:fldCharType="begin"/>
          </w:r>
          <w:r w:rsidR="00B41446">
            <w:instrText xml:space="preserve"> CITATION WENRA_SRL_Storage_2024 \l 2057 </w:instrText>
          </w:r>
          <w:r w:rsidR="00B41446">
            <w:fldChar w:fldCharType="separate"/>
          </w:r>
          <w:r w:rsidR="00717D5C">
            <w:rPr>
              <w:noProof/>
            </w:rPr>
            <w:t>[31]</w:t>
          </w:r>
          <w:r w:rsidR="00B41446">
            <w:fldChar w:fldCharType="end"/>
          </w:r>
        </w:sdtContent>
      </w:sdt>
      <w:r>
        <w:t>;</w:t>
      </w:r>
    </w:p>
    <w:p w14:paraId="6E52166A" w14:textId="311729E6" w:rsidR="00CD0495" w:rsidRDefault="00CD0495" w:rsidP="00CD0495">
      <w:pPr>
        <w:pStyle w:val="Bulletlist1"/>
      </w:pPr>
      <w:r>
        <w:lastRenderedPageBreak/>
        <w:t xml:space="preserve">Treatment and conditioning of radioactive waste </w:t>
      </w:r>
      <w:sdt>
        <w:sdtPr>
          <w:id w:val="-830979234"/>
          <w:citation/>
        </w:sdtPr>
        <w:sdtContent>
          <w:r w:rsidR="00B41446">
            <w:fldChar w:fldCharType="begin"/>
          </w:r>
          <w:r w:rsidR="00B41446">
            <w:instrText xml:space="preserve"> CITATION WENRA_SRL_Treatment_2018 \l 2057 </w:instrText>
          </w:r>
          <w:r w:rsidR="00B41446">
            <w:fldChar w:fldCharType="separate"/>
          </w:r>
          <w:r w:rsidR="00717D5C">
            <w:rPr>
              <w:noProof/>
            </w:rPr>
            <w:t>[32]</w:t>
          </w:r>
          <w:r w:rsidR="00B41446">
            <w:fldChar w:fldCharType="end"/>
          </w:r>
        </w:sdtContent>
      </w:sdt>
      <w:r>
        <w:t>;</w:t>
      </w:r>
    </w:p>
    <w:p w14:paraId="2509B05F" w14:textId="139A72A8" w:rsidR="002525B6" w:rsidRDefault="00AE0E37" w:rsidP="001F7EFA">
      <w:pPr>
        <w:pStyle w:val="F9-Paragraph"/>
      </w:pPr>
      <w:r>
        <w:t>Th</w:t>
      </w:r>
      <w:r w:rsidR="00A461C7">
        <w:t xml:space="preserve">is TAG </w:t>
      </w:r>
      <w:r w:rsidR="00A461C7" w:rsidRPr="001F4D95">
        <w:t>has been produced with the guidance in the SRLs highlighted above in mind</w:t>
      </w:r>
      <w:r w:rsidR="001D390F">
        <w:t>,</w:t>
      </w:r>
      <w:r w:rsidR="00A461C7" w:rsidRPr="001F4D95">
        <w:t xml:space="preserve"> to ensure our expectations are consistent with international standards.</w:t>
      </w:r>
      <w:r w:rsidR="00A461C7">
        <w:t xml:space="preserve"> </w:t>
      </w:r>
      <w:r w:rsidR="0043291E">
        <w:t xml:space="preserve">Where the guidance in </w:t>
      </w:r>
      <w:r w:rsidR="003F1560">
        <w:t xml:space="preserve">section </w:t>
      </w:r>
      <w:r w:rsidR="003F1560">
        <w:fldChar w:fldCharType="begin"/>
      </w:r>
      <w:r w:rsidR="003F1560">
        <w:instrText xml:space="preserve"> REF _Ref184902122 \r \h </w:instrText>
      </w:r>
      <w:r w:rsidR="003F1560">
        <w:fldChar w:fldCharType="separate"/>
      </w:r>
      <w:r w:rsidR="003F1560">
        <w:rPr>
          <w:cs/>
        </w:rPr>
        <w:t>‎</w:t>
      </w:r>
      <w:r w:rsidR="003F1560">
        <w:t>6</w:t>
      </w:r>
      <w:r w:rsidR="003F1560">
        <w:fldChar w:fldCharType="end"/>
      </w:r>
      <w:r w:rsidR="0043291E">
        <w:t xml:space="preserve"> aligns with specific SRLs, a cross-reference to the SRL number is recorded in the text, with storage SRLs being identified by a ‘S’ prefix</w:t>
      </w:r>
      <w:r w:rsidR="00A62A0D">
        <w:t>,</w:t>
      </w:r>
      <w:r w:rsidR="0043291E">
        <w:t xml:space="preserve"> and treatment and conditioning SRLs by a ‘P’ prefix. </w:t>
      </w:r>
      <w:r w:rsidR="003A58BC">
        <w:t>However, it should be noted that t</w:t>
      </w:r>
      <w:r w:rsidR="001F4D95" w:rsidRPr="001F4D95">
        <w:t xml:space="preserve">he guidance in </w:t>
      </w:r>
      <w:r w:rsidR="001F4D95">
        <w:t>this TAG</w:t>
      </w:r>
      <w:r w:rsidR="001F4D95" w:rsidRPr="001F4D95">
        <w:t xml:space="preserve"> does not provide explicit reference to all SRL numbers</w:t>
      </w:r>
      <w:r w:rsidR="009310C7">
        <w:t xml:space="preserve">: </w:t>
      </w:r>
      <w:r w:rsidR="003F1560" w:rsidRPr="003F1560">
        <w:t>some aspects can be found in wider ONR guidance, for example SRL</w:t>
      </w:r>
      <w:r w:rsidR="000B5EFC">
        <w:t>s</w:t>
      </w:r>
      <w:r w:rsidR="009310C7">
        <w:t xml:space="preserve"> S</w:t>
      </w:r>
      <w:r w:rsidR="003F1560" w:rsidRPr="003F1560">
        <w:t>37</w:t>
      </w:r>
      <w:r w:rsidR="009310C7">
        <w:t>-S</w:t>
      </w:r>
      <w:r w:rsidR="003F1560" w:rsidRPr="003F1560">
        <w:t>39 on emergency preparedness are integrated into ONR</w:t>
      </w:r>
      <w:r w:rsidR="009310C7">
        <w:t>’s</w:t>
      </w:r>
      <w:r w:rsidR="003F1560" w:rsidRPr="003F1560">
        <w:t xml:space="preserve"> expectations for compliance with LC11 (Emergency Arrangements)</w:t>
      </w:r>
      <w:r w:rsidR="004D067D">
        <w:t xml:space="preserve"> </w:t>
      </w:r>
      <w:sdt>
        <w:sdtPr>
          <w:id w:val="-1810244026"/>
          <w:citation/>
        </w:sdtPr>
        <w:sdtContent>
          <w:r w:rsidR="00132FAE">
            <w:fldChar w:fldCharType="begin"/>
          </w:r>
          <w:r w:rsidR="00132FAE">
            <w:instrText xml:space="preserve"> CITATION TIG11_2021 \l 2057 </w:instrText>
          </w:r>
          <w:r w:rsidR="00132FAE">
            <w:fldChar w:fldCharType="separate"/>
          </w:r>
          <w:r w:rsidR="00717D5C">
            <w:rPr>
              <w:noProof/>
            </w:rPr>
            <w:t>[33]</w:t>
          </w:r>
          <w:r w:rsidR="00132FAE">
            <w:fldChar w:fldCharType="end"/>
          </w:r>
        </w:sdtContent>
      </w:sdt>
      <w:r w:rsidR="00132FAE">
        <w:t>, and</w:t>
      </w:r>
      <w:r w:rsidR="003F1560" w:rsidRPr="003F1560">
        <w:t xml:space="preserve"> are not repeated in this </w:t>
      </w:r>
      <w:r w:rsidR="00132FAE">
        <w:t>TAG</w:t>
      </w:r>
      <w:r w:rsidR="001F4D95" w:rsidRPr="001F4D95">
        <w:t>.</w:t>
      </w:r>
      <w:r w:rsidR="001F4D95">
        <w:t xml:space="preserve"> </w:t>
      </w:r>
    </w:p>
    <w:p w14:paraId="4AE95932" w14:textId="13E67A79" w:rsidR="005E00AB" w:rsidRDefault="002525B6" w:rsidP="00F610FF">
      <w:pPr>
        <w:pStyle w:val="F9-Paragraph"/>
        <w:numPr>
          <w:ilvl w:val="0"/>
          <w:numId w:val="0"/>
        </w:numPr>
        <w:ind w:left="851"/>
      </w:pPr>
      <w:r>
        <w:br w:type="page"/>
      </w:r>
    </w:p>
    <w:p w14:paraId="5255232C" w14:textId="7A23F3B6" w:rsidR="00F7687C" w:rsidRDefault="00F7687C" w:rsidP="00E90780">
      <w:pPr>
        <w:pStyle w:val="Heading1"/>
      </w:pPr>
      <w:bookmarkStart w:id="7" w:name="_Toc186205530"/>
      <w:bookmarkStart w:id="8" w:name="_Toc186205531"/>
      <w:bookmarkStart w:id="9" w:name="_Toc186205532"/>
      <w:bookmarkStart w:id="10" w:name="_Toc186205533"/>
      <w:bookmarkStart w:id="11" w:name="_Toc186205534"/>
      <w:bookmarkStart w:id="12" w:name="_Toc186205535"/>
      <w:bookmarkStart w:id="13" w:name="_Toc186205536"/>
      <w:bookmarkStart w:id="14" w:name="_Toc186205537"/>
      <w:bookmarkStart w:id="15" w:name="_Toc186205538"/>
      <w:bookmarkStart w:id="16" w:name="_Toc186205539"/>
      <w:bookmarkStart w:id="17" w:name="_Toc186205540"/>
      <w:bookmarkStart w:id="18" w:name="_Toc186205541"/>
      <w:bookmarkStart w:id="19" w:name="_Toc186205542"/>
      <w:bookmarkStart w:id="20" w:name="_Toc186205543"/>
      <w:bookmarkStart w:id="21" w:name="_Toc186205544"/>
      <w:bookmarkStart w:id="22" w:name="_Toc186205545"/>
      <w:bookmarkStart w:id="23" w:name="_Toc186205546"/>
      <w:bookmarkStart w:id="24" w:name="_Toc186205547"/>
      <w:bookmarkStart w:id="25" w:name="_Toc186205548"/>
      <w:bookmarkStart w:id="26" w:name="_Toc186205549"/>
      <w:bookmarkStart w:id="27" w:name="_Toc186205550"/>
      <w:bookmarkStart w:id="28" w:name="_Toc186205551"/>
      <w:bookmarkStart w:id="29" w:name="_Toc186205552"/>
      <w:bookmarkStart w:id="30" w:name="_Toc186205553"/>
      <w:bookmarkStart w:id="31" w:name="_Toc186205554"/>
      <w:bookmarkStart w:id="32" w:name="_Toc186205555"/>
      <w:bookmarkStart w:id="33" w:name="_Toc186205556"/>
      <w:bookmarkStart w:id="34" w:name="_Toc186205557"/>
      <w:bookmarkStart w:id="35" w:name="_Toc186205558"/>
      <w:bookmarkStart w:id="36" w:name="_Toc186205559"/>
      <w:bookmarkStart w:id="37" w:name="_Toc186205560"/>
      <w:bookmarkStart w:id="38" w:name="_Toc186205561"/>
      <w:bookmarkStart w:id="39" w:name="_Toc186205562"/>
      <w:bookmarkStart w:id="40" w:name="_Toc186205563"/>
      <w:bookmarkStart w:id="41" w:name="_Ref184902122"/>
      <w:bookmarkStart w:id="42" w:name="_Toc186205564"/>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lastRenderedPageBreak/>
        <w:t xml:space="preserve">Advice to </w:t>
      </w:r>
      <w:r w:rsidR="001C19DE">
        <w:t>i</w:t>
      </w:r>
      <w:r>
        <w:t>nspectors</w:t>
      </w:r>
      <w:bookmarkEnd w:id="41"/>
      <w:bookmarkEnd w:id="42"/>
    </w:p>
    <w:p w14:paraId="252A1C7A" w14:textId="126AC429" w:rsidR="00BD60B8" w:rsidRDefault="001F0969" w:rsidP="00BD60B8">
      <w:pPr>
        <w:pStyle w:val="Heading2"/>
      </w:pPr>
      <w:bookmarkStart w:id="43" w:name="_Ref179540190"/>
      <w:r w:rsidRPr="001F0969">
        <w:t>Fundamental expectations</w:t>
      </w:r>
      <w:bookmarkEnd w:id="43"/>
    </w:p>
    <w:p w14:paraId="2035870A" w14:textId="675FE7E8" w:rsidR="00B44422" w:rsidRDefault="00570F87" w:rsidP="00B44422">
      <w:pPr>
        <w:pStyle w:val="F9-Paragraph"/>
      </w:pPr>
      <w:r>
        <w:t>There are</w:t>
      </w:r>
      <w:r w:rsidR="00B44422">
        <w:t xml:space="preserve"> four fundamental expectations</w:t>
      </w:r>
      <w:r>
        <w:t xml:space="preserve"> that</w:t>
      </w:r>
      <w:r w:rsidR="00B44422">
        <w:t xml:space="preserve"> licensees </w:t>
      </w:r>
      <w:r>
        <w:t xml:space="preserve">should </w:t>
      </w:r>
      <w:r w:rsidR="00B44422">
        <w:t>meet so far as is reasonably practicable</w:t>
      </w:r>
      <w:r>
        <w:t>, and which should form a common thread through any assessment relating to the management of radioactive waste</w:t>
      </w:r>
      <w:r w:rsidR="00B44422">
        <w:t>. These expectations are as follows:</w:t>
      </w:r>
    </w:p>
    <w:p w14:paraId="408A3DBC" w14:textId="3B0F107A" w:rsidR="00B44422" w:rsidRDefault="00B44422" w:rsidP="00B44422">
      <w:pPr>
        <w:pStyle w:val="Bulletlist1"/>
      </w:pPr>
      <w:r>
        <w:t xml:space="preserve">Generation of radioactive waste should be avoided, </w:t>
      </w:r>
      <w:r w:rsidR="00BF64C7">
        <w:t xml:space="preserve">or </w:t>
      </w:r>
      <w:r>
        <w:t>where radioactive waste is unavoidable, generation should be minimised according to the waste hierarchy</w:t>
      </w:r>
      <w:r w:rsidR="00570F87">
        <w:t>;</w:t>
      </w:r>
    </w:p>
    <w:p w14:paraId="126F2A7E" w14:textId="65509C00" w:rsidR="00B44422" w:rsidRDefault="00B44422" w:rsidP="00B44422">
      <w:pPr>
        <w:pStyle w:val="Bulletlist1"/>
      </w:pPr>
      <w:r>
        <w:t>Radioactive waste should be managed safely throughout its lifecycle in a manner that is consistent with</w:t>
      </w:r>
      <w:r w:rsidR="00DF7C61">
        <w:t xml:space="preserve"> the</w:t>
      </w:r>
      <w:r>
        <w:t xml:space="preserve"> </w:t>
      </w:r>
      <w:r w:rsidR="00776D27">
        <w:t xml:space="preserve">RGP and </w:t>
      </w:r>
      <w:r>
        <w:t>modern standards</w:t>
      </w:r>
      <w:r w:rsidR="00FA200F">
        <w:t xml:space="preserve"> highlighted in the guidance below</w:t>
      </w:r>
      <w:r w:rsidR="00570F87">
        <w:t>;</w:t>
      </w:r>
    </w:p>
    <w:p w14:paraId="4DBDEB68" w14:textId="607D9B57" w:rsidR="00B44422" w:rsidRDefault="00B44422" w:rsidP="00B44422">
      <w:pPr>
        <w:pStyle w:val="Bulletlist1"/>
      </w:pPr>
      <w:r>
        <w:t>Predisposal management of radioactive waste should take account of the anticipated disposal route and full use should be made of existing routes</w:t>
      </w:r>
      <w:r w:rsidR="00570F87">
        <w:t>; and,</w:t>
      </w:r>
    </w:p>
    <w:p w14:paraId="1CCF3999" w14:textId="0B2A0726" w:rsidR="00B44422" w:rsidRDefault="00B44422" w:rsidP="00570F87">
      <w:pPr>
        <w:pStyle w:val="Bulletlist1"/>
      </w:pPr>
      <w:r>
        <w:t xml:space="preserve">Where </w:t>
      </w:r>
      <w:r w:rsidR="00570F87">
        <w:t xml:space="preserve">a </w:t>
      </w:r>
      <w:r>
        <w:t>disposal route is not yet available, radioactive waste should be put into a passively safe state as soon as reasonably practicable for storage pending future disposal.</w:t>
      </w:r>
    </w:p>
    <w:p w14:paraId="62F75765" w14:textId="120F7B02" w:rsidR="00B44422" w:rsidRDefault="00BC7532" w:rsidP="00D14D8A">
      <w:pPr>
        <w:pStyle w:val="Heading2"/>
      </w:pPr>
      <w:r w:rsidRPr="00BC7532">
        <w:t>Joint Guidance on the Management of Higher Activity Radioactive Waste on Nuclear Licensed Sites</w:t>
      </w:r>
    </w:p>
    <w:p w14:paraId="2CFDF602" w14:textId="3C9BBF65" w:rsidR="00B76D48" w:rsidRDefault="00570F87" w:rsidP="00B76D48">
      <w:pPr>
        <w:pStyle w:val="F9-Paragraph"/>
      </w:pPr>
      <w:r>
        <w:t xml:space="preserve">While </w:t>
      </w:r>
      <w:r w:rsidR="00B76D48">
        <w:t xml:space="preserve">ONR regulates the management of radioactive waste on nuclear licensed sites and the environment agencies regulate disposals, the regulators work together on decisions concerning permissioning of activities relating to HAW </w:t>
      </w:r>
      <w:sdt>
        <w:sdtPr>
          <w:id w:val="2059199395"/>
          <w:citation/>
        </w:sdtPr>
        <w:sdtContent>
          <w:r w:rsidR="009B341A">
            <w:fldChar w:fldCharType="begin"/>
          </w:r>
          <w:r w:rsidR="009B341A">
            <w:instrText xml:space="preserve"> CITATION HAWRegulatoryPosition2021 \l 2057 </w:instrText>
          </w:r>
          <w:r w:rsidR="009B341A">
            <w:fldChar w:fldCharType="separate"/>
          </w:r>
          <w:r w:rsidR="00717D5C">
            <w:rPr>
              <w:noProof/>
            </w:rPr>
            <w:t>[34]</w:t>
          </w:r>
          <w:r w:rsidR="009B341A">
            <w:fldChar w:fldCharType="end"/>
          </w:r>
        </w:sdtContent>
      </w:sdt>
      <w:r w:rsidR="00B76D48">
        <w:t>.</w:t>
      </w:r>
      <w:r w:rsidR="0000016B">
        <w:t xml:space="preserve"> </w:t>
      </w:r>
      <w:r w:rsidR="0000016B" w:rsidRPr="0000016B">
        <w:t>This ensures the appropriate environment agency’s regulatory requirements are considered alongside the nuclear safety considerations.</w:t>
      </w:r>
      <w:r w:rsidR="00B76D48">
        <w:t xml:space="preserve"> This is necessary to ensure </w:t>
      </w:r>
      <w:r w:rsidR="003D6629" w:rsidRPr="003D6629">
        <w:t xml:space="preserve">the HAW is managed and stored in a way </w:t>
      </w:r>
      <w:r w:rsidR="003D6629">
        <w:t>that</w:t>
      </w:r>
      <w:r w:rsidR="00501688">
        <w:t>,</w:t>
      </w:r>
      <w:r w:rsidR="003D6629" w:rsidRPr="003D6629">
        <w:t xml:space="preserve"> </w:t>
      </w:r>
      <w:r w:rsidR="00501688" w:rsidRPr="003D6629">
        <w:t>so far as is reasonably practicable</w:t>
      </w:r>
      <w:r w:rsidR="00501688">
        <w:t>,</w:t>
      </w:r>
      <w:r w:rsidR="00501688" w:rsidRPr="003D6629">
        <w:t xml:space="preserve"> </w:t>
      </w:r>
      <w:r w:rsidR="003D6629" w:rsidRPr="003D6629">
        <w:t>avoids deterioration and enables</w:t>
      </w:r>
      <w:r w:rsidR="00052BC3">
        <w:t xml:space="preserve"> safe implementation of</w:t>
      </w:r>
      <w:r w:rsidR="003D6629" w:rsidRPr="003D6629">
        <w:t xml:space="preserve"> future phases of the management strategy</w:t>
      </w:r>
      <w:r w:rsidR="003D6629">
        <w:t>,</w:t>
      </w:r>
      <w:r w:rsidR="003D6629" w:rsidRPr="003D6629">
        <w:t xml:space="preserve"> includ</w:t>
      </w:r>
      <w:r w:rsidR="003D6629">
        <w:t>ing</w:t>
      </w:r>
      <w:r w:rsidR="003D6629" w:rsidRPr="003D6629">
        <w:t xml:space="preserve"> retrieval, processing, transport and compatibility with disposa</w:t>
      </w:r>
      <w:r w:rsidR="00687B1F">
        <w:t>l</w:t>
      </w:r>
      <w:r w:rsidR="00B76D48">
        <w:t>.</w:t>
      </w:r>
    </w:p>
    <w:p w14:paraId="3F2CB95D" w14:textId="0162C33B" w:rsidR="00B76D48" w:rsidRDefault="00B76D48" w:rsidP="00D41BF4">
      <w:pPr>
        <w:pStyle w:val="F9-Paragraph"/>
      </w:pPr>
      <w:r>
        <w:t xml:space="preserve">To this end, the environment agencies and ONR have published joint guidance on the management of HAW on nuclear licensed sites </w:t>
      </w:r>
      <w:sdt>
        <w:sdtPr>
          <w:id w:val="1960525789"/>
          <w:citation/>
        </w:sdtPr>
        <w:sdtContent>
          <w:r w:rsidR="006D79D7">
            <w:fldChar w:fldCharType="begin"/>
          </w:r>
          <w:r w:rsidR="006D79D7">
            <w:instrText xml:space="preserve"> CITATION JointGuidancev2021 \l 2057 </w:instrText>
          </w:r>
          <w:r w:rsidR="006D79D7">
            <w:fldChar w:fldCharType="separate"/>
          </w:r>
          <w:r w:rsidR="00717D5C">
            <w:rPr>
              <w:noProof/>
            </w:rPr>
            <w:t>[35]</w:t>
          </w:r>
          <w:r w:rsidR="006D79D7">
            <w:fldChar w:fldCharType="end"/>
          </w:r>
        </w:sdtContent>
      </w:sdt>
      <w:r>
        <w:t xml:space="preserve"> (</w:t>
      </w:r>
      <w:r w:rsidR="00F31800">
        <w:t>‘</w:t>
      </w:r>
      <w:r>
        <w:t>the Joint Guidance</w:t>
      </w:r>
      <w:r w:rsidR="00F31800">
        <w:t>’</w:t>
      </w:r>
      <w:r>
        <w:t xml:space="preserve">). </w:t>
      </w:r>
      <w:r w:rsidR="00F8590D">
        <w:t>I</w:t>
      </w:r>
      <w:r w:rsidR="00A82170">
        <w:t>nspectors should consider t</w:t>
      </w:r>
      <w:r>
        <w:t xml:space="preserve">he Joint Guidance </w:t>
      </w:r>
      <w:r w:rsidR="00A82170">
        <w:t>to be</w:t>
      </w:r>
      <w:r w:rsidR="00D41BF4">
        <w:t xml:space="preserve"> RG</w:t>
      </w:r>
      <w:r w:rsidR="00FC47BE">
        <w:t>P</w:t>
      </w:r>
      <w:r w:rsidR="006F0721">
        <w:t xml:space="preserve"> when assessing licensees’ propo</w:t>
      </w:r>
      <w:r w:rsidR="00F8590D">
        <w:t>sals relating to the management of HAW</w:t>
      </w:r>
      <w:r w:rsidR="00DC3D1A">
        <w:t xml:space="preserve">. </w:t>
      </w:r>
      <w:r w:rsidR="00994D3B">
        <w:t xml:space="preserve">Where licensees have applied the RGP in the Joint Guidance in an appropriate manner, this should be considered </w:t>
      </w:r>
      <w:r w:rsidR="00A75783">
        <w:t xml:space="preserve">sufficient to demonstrate </w:t>
      </w:r>
      <w:r w:rsidR="007D2662">
        <w:t xml:space="preserve">that HAW will </w:t>
      </w:r>
      <w:r w:rsidR="00442E41">
        <w:t xml:space="preserve">be </w:t>
      </w:r>
      <w:r w:rsidR="00442E41" w:rsidRPr="003D6629">
        <w:t xml:space="preserve">managed and stored in a way </w:t>
      </w:r>
      <w:r w:rsidR="00442E41">
        <w:t>that is safe</w:t>
      </w:r>
      <w:r w:rsidR="004C2AD0">
        <w:t xml:space="preserve"> and provides protection of people and the environment.</w:t>
      </w:r>
      <w:r>
        <w:t xml:space="preserve"> </w:t>
      </w:r>
      <w:r w:rsidR="006D79D7">
        <w:t>T</w:t>
      </w:r>
      <w:r>
        <w:t xml:space="preserve">he principles </w:t>
      </w:r>
      <w:r w:rsidR="006D79D7">
        <w:t xml:space="preserve">in the Joint </w:t>
      </w:r>
      <w:r w:rsidR="006D79D7">
        <w:lastRenderedPageBreak/>
        <w:t>Guidance</w:t>
      </w:r>
      <w:r>
        <w:t xml:space="preserve"> may also be relevant to the management of other radioactive waste</w:t>
      </w:r>
      <w:r w:rsidR="006D79D7">
        <w:t>s</w:t>
      </w:r>
      <w:r>
        <w:t>.</w:t>
      </w:r>
    </w:p>
    <w:p w14:paraId="478F7662" w14:textId="2CA3FE81" w:rsidR="00B76D48" w:rsidRDefault="004A59B5" w:rsidP="00B76D48">
      <w:pPr>
        <w:pStyle w:val="Heading2"/>
      </w:pPr>
      <w:r w:rsidRPr="004A59B5">
        <w:t>Strategies for the management of radioactive waste</w:t>
      </w:r>
    </w:p>
    <w:p w14:paraId="0C3F33D4" w14:textId="027684A6" w:rsidR="009E64D9" w:rsidRDefault="00EC7D5A" w:rsidP="009E64D9">
      <w:pPr>
        <w:pStyle w:val="F9-Paragraph"/>
      </w:pPr>
      <w:r w:rsidRPr="00EC7D5A">
        <w:t>In line with the expectations of government policy</w:t>
      </w:r>
      <w:r>
        <w:t>, a</w:t>
      </w:r>
      <w:r w:rsidR="0028029F" w:rsidRPr="0028029F">
        <w:t xml:space="preserve"> strategy should be produced and implemented for the management of radioactive waste on a site</w:t>
      </w:r>
      <w:r w:rsidR="0028029F">
        <w:t>.</w:t>
      </w:r>
      <w:r w:rsidR="00BE5E91">
        <w:t xml:space="preserve"> </w:t>
      </w:r>
      <w:r w:rsidR="009E64D9">
        <w:t>The strategy should include a description of:</w:t>
      </w:r>
    </w:p>
    <w:p w14:paraId="6FB40CE7" w14:textId="3701CD4A" w:rsidR="009E64D9" w:rsidRDefault="009E64D9" w:rsidP="009E64D9">
      <w:pPr>
        <w:pStyle w:val="Bulletlist1"/>
      </w:pPr>
      <w:r>
        <w:t xml:space="preserve">The licensee’s </w:t>
      </w:r>
      <w:r w:rsidR="00632FE6">
        <w:t xml:space="preserve">overarching </w:t>
      </w:r>
      <w:r>
        <w:t>radioactive waste management objectives</w:t>
      </w:r>
      <w:r w:rsidR="00632FE6">
        <w:t xml:space="preserve">, which could include, for example, </w:t>
      </w:r>
      <w:r w:rsidR="0074433C">
        <w:t xml:space="preserve">implementation </w:t>
      </w:r>
      <w:r w:rsidR="005D46CD">
        <w:t>of passive safety to minimise</w:t>
      </w:r>
      <w:r w:rsidR="00B87B60">
        <w:t>,</w:t>
      </w:r>
      <w:r w:rsidR="005D46CD">
        <w:t xml:space="preserve"> </w:t>
      </w:r>
      <w:r w:rsidR="00B87B60">
        <w:t>s</w:t>
      </w:r>
      <w:r w:rsidR="006C2901">
        <w:t>o far as is reasonably practicable</w:t>
      </w:r>
      <w:r w:rsidR="00B87B60">
        <w:t>,</w:t>
      </w:r>
      <w:r w:rsidR="005D46CD">
        <w:t xml:space="preserve"> dependence on active systems</w:t>
      </w:r>
      <w:r w:rsidR="002A628E">
        <w:t>,</w:t>
      </w:r>
      <w:r w:rsidR="0028272C">
        <w:t xml:space="preserve"> and avoiding the generation of problematic wastes.</w:t>
      </w:r>
    </w:p>
    <w:p w14:paraId="26742204" w14:textId="52CCD1EC" w:rsidR="009E64D9" w:rsidRDefault="009E64D9" w:rsidP="001F7EFA">
      <w:pPr>
        <w:pStyle w:val="Bulletlist1"/>
      </w:pPr>
      <w:r>
        <w:t xml:space="preserve">The </w:t>
      </w:r>
      <w:r w:rsidR="006854FA">
        <w:t xml:space="preserve">licensee’s </w:t>
      </w:r>
      <w:r>
        <w:t>policy principles that underpin</w:t>
      </w:r>
      <w:r w:rsidR="006854FA">
        <w:t xml:space="preserve"> </w:t>
      </w:r>
      <w:r w:rsidR="00F2199C">
        <w:t xml:space="preserve">delivery of the radioactive waste management objectives, such as </w:t>
      </w:r>
      <w:r w:rsidR="00B71DD4">
        <w:t xml:space="preserve">application of the waste management hierarchy, continuous improvement, knowledge management and </w:t>
      </w:r>
      <w:r w:rsidR="00632FE6">
        <w:t>record keeping.</w:t>
      </w:r>
    </w:p>
    <w:p w14:paraId="523E2656" w14:textId="3FF80CB6" w:rsidR="00BE63A0" w:rsidRDefault="00AE2C3F" w:rsidP="009E64D9">
      <w:pPr>
        <w:pStyle w:val="F9-Paragraph"/>
      </w:pPr>
      <w:r>
        <w:t xml:space="preserve">The licensee should demonstrate that the strategy is consistent with government policy (SRL P-03, S-05) and ONR’s fundamental expectations for radioactive waste management (see Section </w:t>
      </w:r>
      <w:r w:rsidRPr="009E64D9">
        <w:fldChar w:fldCharType="begin"/>
      </w:r>
      <w:r>
        <w:instrText xml:space="preserve"> REF _Ref179540190 \r \h </w:instrText>
      </w:r>
      <w:r w:rsidRPr="009E64D9">
        <w:fldChar w:fldCharType="separate"/>
      </w:r>
      <w:r w:rsidR="00006FCE">
        <w:rPr>
          <w:cs/>
        </w:rPr>
        <w:t>‎</w:t>
      </w:r>
      <w:r w:rsidR="00006FCE">
        <w:t>6.1</w:t>
      </w:r>
      <w:r w:rsidRPr="009E64D9">
        <w:fldChar w:fldCharType="end"/>
      </w:r>
      <w:r>
        <w:t>).</w:t>
      </w:r>
      <w:r w:rsidR="00785063">
        <w:t xml:space="preserve"> SAP RW.1 (paragraph </w:t>
      </w:r>
      <w:r w:rsidR="003473A0">
        <w:t xml:space="preserve">793) </w:t>
      </w:r>
      <w:sdt>
        <w:sdtPr>
          <w:id w:val="358947678"/>
          <w:citation/>
        </w:sdtPr>
        <w:sdtContent>
          <w:r w:rsidR="005C31AD">
            <w:fldChar w:fldCharType="begin"/>
          </w:r>
          <w:r w:rsidR="005C31AD">
            <w:instrText xml:space="preserve"> CITATION ONR2013 \l 2057 </w:instrText>
          </w:r>
          <w:r w:rsidR="005C31AD">
            <w:fldChar w:fldCharType="separate"/>
          </w:r>
          <w:r w:rsidR="00717D5C">
            <w:rPr>
              <w:noProof/>
            </w:rPr>
            <w:t>[1]</w:t>
          </w:r>
          <w:r w:rsidR="005C31AD">
            <w:fldChar w:fldCharType="end"/>
          </w:r>
        </w:sdtContent>
      </w:sdt>
      <w:r w:rsidR="005C31AD">
        <w:t xml:space="preserve"> </w:t>
      </w:r>
      <w:r w:rsidR="003473A0">
        <w:t xml:space="preserve">provides further guidance </w:t>
      </w:r>
      <w:r w:rsidR="007A6E00">
        <w:t xml:space="preserve">on aspects that should be </w:t>
      </w:r>
      <w:r w:rsidR="00CC6B48">
        <w:t>included in the strategy.</w:t>
      </w:r>
      <w:r w:rsidR="00BE5E91">
        <w:t xml:space="preserve"> </w:t>
      </w:r>
    </w:p>
    <w:p w14:paraId="253F98F1" w14:textId="6585F4CA" w:rsidR="000C350E" w:rsidRDefault="0045377D" w:rsidP="00DC6CD6">
      <w:pPr>
        <w:pStyle w:val="F9-Paragraph"/>
      </w:pPr>
      <w:r>
        <w:t>If a licensee</w:t>
      </w:r>
      <w:r w:rsidR="003B5D89">
        <w:t xml:space="preserve"> or dutyholder</w:t>
      </w:r>
      <w:r>
        <w:t xml:space="preserve"> is responsible for a number of sites, it may be appropriate to have a corporate strategy supported by a series of site-specific strategies.</w:t>
      </w:r>
      <w:r w:rsidR="009752B8">
        <w:t xml:space="preserve"> </w:t>
      </w:r>
      <w:r w:rsidR="000D1AC1">
        <w:t>The corporate strategy should set out a consistent set of overarching objectives and policy principles to be applied in the site-specific strategies.</w:t>
      </w:r>
    </w:p>
    <w:p w14:paraId="2EC7973D" w14:textId="4B035DA0" w:rsidR="00BE5E91" w:rsidRDefault="00BE5E91" w:rsidP="00BE5E91">
      <w:pPr>
        <w:pStyle w:val="F9-Paragraph"/>
      </w:pPr>
      <w:r>
        <w:t xml:space="preserve">In selecting a preferred strategy, licensees should </w:t>
      </w:r>
      <w:r w:rsidR="00D54793">
        <w:t xml:space="preserve">demonstrate </w:t>
      </w:r>
      <w:r>
        <w:t>a full range of management options</w:t>
      </w:r>
      <w:r w:rsidR="00D54793">
        <w:t xml:space="preserve"> has been </w:t>
      </w:r>
      <w:r w:rsidR="00A50EFB">
        <w:t>examined</w:t>
      </w:r>
      <w:r>
        <w:t xml:space="preserve">, taking account of technical factors, social factors, </w:t>
      </w:r>
      <w:r w:rsidR="00782E95">
        <w:t>government policies</w:t>
      </w:r>
      <w:r w:rsidR="0054294A">
        <w:t>,</w:t>
      </w:r>
      <w:r>
        <w:t xml:space="preserve"> international agreements</w:t>
      </w:r>
      <w:r w:rsidR="00F372CD">
        <w:t xml:space="preserve"> and its radioactive waste management objectives</w:t>
      </w:r>
      <w:r w:rsidR="00C6082D">
        <w:t>.</w:t>
      </w:r>
      <w:r w:rsidR="009A1A1C">
        <w:t xml:space="preserve"> </w:t>
      </w:r>
      <w:r w:rsidR="00C6082D">
        <w:t>T</w:t>
      </w:r>
      <w:r w:rsidR="009A1A1C">
        <w:t xml:space="preserve">he </w:t>
      </w:r>
      <w:r>
        <w:t>reasons for reaching the preferred strategy should be recorded</w:t>
      </w:r>
      <w:r w:rsidR="00053820">
        <w:t xml:space="preserve">, including an </w:t>
      </w:r>
      <w:r w:rsidR="000F1452">
        <w:t xml:space="preserve">adequate demonstration </w:t>
      </w:r>
      <w:r w:rsidR="00122B6F">
        <w:t xml:space="preserve">that this risks </w:t>
      </w:r>
      <w:r w:rsidR="006F311D">
        <w:t xml:space="preserve">from operations </w:t>
      </w:r>
      <w:r w:rsidR="00122B6F">
        <w:t xml:space="preserve">are reduced </w:t>
      </w:r>
      <w:r w:rsidR="009924D4">
        <w:t>ALARP,</w:t>
      </w:r>
      <w:r w:rsidR="000F1452">
        <w:t xml:space="preserve"> and BAT</w:t>
      </w:r>
      <w:r w:rsidR="00122B6F">
        <w:t xml:space="preserve"> </w:t>
      </w:r>
      <w:r w:rsidR="00F63EE7">
        <w:t xml:space="preserve">/ BPM </w:t>
      </w:r>
      <w:r w:rsidR="00122B6F">
        <w:t>ha</w:t>
      </w:r>
      <w:r w:rsidR="003125A4">
        <w:t>ve</w:t>
      </w:r>
      <w:r w:rsidR="00122B6F">
        <w:t xml:space="preserve"> been considered </w:t>
      </w:r>
      <w:r w:rsidR="006F311D">
        <w:t>for disposability aspects</w:t>
      </w:r>
      <w:r w:rsidR="009A1A1C">
        <w:t>.</w:t>
      </w:r>
      <w:r w:rsidR="00891844">
        <w:t xml:space="preserve"> </w:t>
      </w:r>
      <w:r w:rsidR="00272823">
        <w:t>M</w:t>
      </w:r>
      <w:r>
        <w:t xml:space="preserve">ajor assumptions and uncertainties should be identified, </w:t>
      </w:r>
      <w:r w:rsidR="00716D9B">
        <w:t xml:space="preserve">along with an assessment of their </w:t>
      </w:r>
      <w:r w:rsidR="0001097F">
        <w:t xml:space="preserve">potential </w:t>
      </w:r>
      <w:r w:rsidR="00716D9B">
        <w:t>impact</w:t>
      </w:r>
      <w:r w:rsidR="002F7BB1">
        <w:t xml:space="preserve"> </w:t>
      </w:r>
      <w:r w:rsidR="00713221">
        <w:t xml:space="preserve">(for example, sensitivity analysis) </w:t>
      </w:r>
      <w:r w:rsidR="00716D9B">
        <w:t xml:space="preserve">and </w:t>
      </w:r>
      <w:r>
        <w:t>the approach for their resolution.</w:t>
      </w:r>
    </w:p>
    <w:p w14:paraId="0CD1576E" w14:textId="77517142" w:rsidR="00195FE5" w:rsidRDefault="00BE5E91" w:rsidP="00CA3370">
      <w:pPr>
        <w:pStyle w:val="F9-Paragraph"/>
      </w:pPr>
      <w:r>
        <w:t xml:space="preserve">The strategy should identify the </w:t>
      </w:r>
      <w:r w:rsidR="00336B34">
        <w:t xml:space="preserve">current and future </w:t>
      </w:r>
      <w:r>
        <w:t xml:space="preserve">inventory of </w:t>
      </w:r>
      <w:r w:rsidR="00582532">
        <w:t>radioactive waste</w:t>
      </w:r>
      <w:r>
        <w:t xml:space="preserve"> and describe </w:t>
      </w:r>
      <w:r w:rsidR="008C43E2">
        <w:t>how</w:t>
      </w:r>
      <w:r>
        <w:t xml:space="preserve"> each waste stream </w:t>
      </w:r>
      <w:r w:rsidR="008C43E2">
        <w:t xml:space="preserve">will be managed </w:t>
      </w:r>
      <w:r>
        <w:t>from generation to disposal by practical and cost-effective methods</w:t>
      </w:r>
      <w:r w:rsidR="0099107C">
        <w:t>.</w:t>
      </w:r>
      <w:r w:rsidR="00F16595">
        <w:t xml:space="preserve"> </w:t>
      </w:r>
      <w:r w:rsidR="0099107C">
        <w:t xml:space="preserve">This should </w:t>
      </w:r>
      <w:r w:rsidR="00F16595">
        <w:t>includ</w:t>
      </w:r>
      <w:r w:rsidR="0099107C">
        <w:t>e</w:t>
      </w:r>
      <w:r w:rsidR="00F16595">
        <w:t xml:space="preserve"> </w:t>
      </w:r>
      <w:r w:rsidR="00243B52">
        <w:t xml:space="preserve">overarching programme timescales </w:t>
      </w:r>
      <w:r w:rsidR="00222653">
        <w:t xml:space="preserve">for different management steps and </w:t>
      </w:r>
      <w:r w:rsidR="0058090C">
        <w:t xml:space="preserve">identification of the </w:t>
      </w:r>
      <w:r w:rsidR="00C52CAA">
        <w:t>proposed disposal route</w:t>
      </w:r>
      <w:r w:rsidR="006A63FB">
        <w:t>.</w:t>
      </w:r>
      <w:r w:rsidR="00772CB8" w:rsidRPr="00772CB8">
        <w:t xml:space="preserve"> </w:t>
      </w:r>
      <w:r w:rsidR="00772CB8">
        <w:t>The strategy should take account of interdependencies between waste streams and processes</w:t>
      </w:r>
      <w:r w:rsidR="00CF5C62">
        <w:t xml:space="preserve">, </w:t>
      </w:r>
      <w:r w:rsidR="00CF5C62">
        <w:lastRenderedPageBreak/>
        <w:t xml:space="preserve">including </w:t>
      </w:r>
      <w:r w:rsidR="007A1817">
        <w:t xml:space="preserve">both </w:t>
      </w:r>
      <w:r w:rsidR="006C7B50">
        <w:t xml:space="preserve">on- and </w:t>
      </w:r>
      <w:r w:rsidR="000A6A1E">
        <w:t>off-site facilities,</w:t>
      </w:r>
      <w:r w:rsidR="00772CB8">
        <w:t xml:space="preserve"> to demonstrate that an optimum management process is delivered</w:t>
      </w:r>
      <w:r w:rsidR="00002C71">
        <w:t xml:space="preserve"> </w:t>
      </w:r>
      <w:r w:rsidR="006C7B50">
        <w:t>(</w:t>
      </w:r>
      <w:r w:rsidR="00002C71">
        <w:t>SRL P-03</w:t>
      </w:r>
      <w:r w:rsidR="006C7B50">
        <w:t>)</w:t>
      </w:r>
      <w:r w:rsidR="00772CB8">
        <w:t>.</w:t>
      </w:r>
      <w:r w:rsidR="006D1E10">
        <w:t xml:space="preserve"> </w:t>
      </w:r>
      <w:r w:rsidR="00F401E3">
        <w:t xml:space="preserve"> </w:t>
      </w:r>
    </w:p>
    <w:p w14:paraId="32B13B98" w14:textId="799506F3" w:rsidR="00336B34" w:rsidRDefault="00336B34" w:rsidP="00BE5E91">
      <w:pPr>
        <w:pStyle w:val="F9-Paragraph"/>
      </w:pPr>
      <w:r>
        <w:t xml:space="preserve">The strategy should be linked to, or integrated with, strategies for management of </w:t>
      </w:r>
      <w:r w:rsidR="004C6A38">
        <w:t xml:space="preserve">secondary wastes generated from the management of </w:t>
      </w:r>
      <w:r>
        <w:t>spent fuel and nuclear material</w:t>
      </w:r>
      <w:r w:rsidR="0098529C">
        <w:t>.</w:t>
      </w:r>
      <w:r>
        <w:t xml:space="preserve"> </w:t>
      </w:r>
      <w:r w:rsidR="009D5448">
        <w:t xml:space="preserve">The strategy should </w:t>
      </w:r>
      <w:r w:rsidR="00012565">
        <w:t xml:space="preserve">also be integrated with the strategies for </w:t>
      </w:r>
      <w:r>
        <w:t xml:space="preserve">decommissioning and </w:t>
      </w:r>
      <w:r w:rsidR="00012565">
        <w:t>for</w:t>
      </w:r>
      <w:r>
        <w:t xml:space="preserve"> management of radioactively contaminated land, to identify how radioactive waste arising from those activities will be safely managed through to disposal.</w:t>
      </w:r>
    </w:p>
    <w:p w14:paraId="1052E6F6" w14:textId="68AD1ECD" w:rsidR="00BE5E91" w:rsidRDefault="00BE5E91" w:rsidP="00BE5E91">
      <w:pPr>
        <w:pStyle w:val="F9-Paragraph"/>
      </w:pPr>
      <w:r>
        <w:t xml:space="preserve">The strategy should describe </w:t>
      </w:r>
      <w:r w:rsidR="00CE228D">
        <w:t xml:space="preserve">the approach to </w:t>
      </w:r>
      <w:r w:rsidR="00DE6FE3">
        <w:t xml:space="preserve">ensuring that radioactive waste is managed safely. </w:t>
      </w:r>
      <w:r w:rsidR="002D38A8">
        <w:t xml:space="preserve">This should include </w:t>
      </w:r>
      <w:r>
        <w:t xml:space="preserve">how </w:t>
      </w:r>
      <w:r w:rsidR="00BD458F">
        <w:t>the balance between passive safety and foreclosure of disposal options has been addressed</w:t>
      </w:r>
      <w:r w:rsidR="008A11EB">
        <w:t xml:space="preserve">. Where relevant, </w:t>
      </w:r>
      <w:r w:rsidR="00984296">
        <w:t>the strategy should demonstrate</w:t>
      </w:r>
      <w:r w:rsidR="006E750A">
        <w:t xml:space="preserve"> that hazards posed by legacy wastes are being adequately controlled and progressively reduced</w:t>
      </w:r>
      <w:r w:rsidR="00BD458F">
        <w:t xml:space="preserve">. </w:t>
      </w:r>
      <w:r w:rsidR="00A026EE">
        <w:t xml:space="preserve">The strategy should also </w:t>
      </w:r>
      <w:r w:rsidR="00570F20">
        <w:t xml:space="preserve">describe </w:t>
      </w:r>
      <w:r w:rsidR="005551DD">
        <w:t>the</w:t>
      </w:r>
      <w:r w:rsidR="006675A9">
        <w:t xml:space="preserve"> </w:t>
      </w:r>
      <w:r>
        <w:t xml:space="preserve">arrangements to ensure that radioactive waste </w:t>
      </w:r>
      <w:r w:rsidR="005551DD">
        <w:t xml:space="preserve">will be </w:t>
      </w:r>
      <w:r>
        <w:t xml:space="preserve">managed safely until its ultimate disposal, including the provision of </w:t>
      </w:r>
      <w:r w:rsidR="00BF6643">
        <w:t xml:space="preserve">an </w:t>
      </w:r>
      <w:r>
        <w:t>appropriate organisation</w:t>
      </w:r>
      <w:r w:rsidR="00B1088D">
        <w:t>al</w:t>
      </w:r>
      <w:r w:rsidR="002F3871">
        <w:t xml:space="preserve"> </w:t>
      </w:r>
      <w:r w:rsidR="00246840">
        <w:t xml:space="preserve">structure, </w:t>
      </w:r>
      <w:r w:rsidR="00BF6643">
        <w:t xml:space="preserve">resources </w:t>
      </w:r>
      <w:r>
        <w:t>and infrastructure</w:t>
      </w:r>
      <w:r w:rsidR="00F97D44">
        <w:t xml:space="preserve"> </w:t>
      </w:r>
      <w:r w:rsidR="004154E3">
        <w:t>(</w:t>
      </w:r>
      <w:r w:rsidR="00F97D44">
        <w:t xml:space="preserve">SRL </w:t>
      </w:r>
      <w:r w:rsidR="0059164F">
        <w:t xml:space="preserve">P-11, </w:t>
      </w:r>
      <w:r w:rsidR="00C43853">
        <w:t xml:space="preserve">P-15, </w:t>
      </w:r>
      <w:r w:rsidR="00F97D44">
        <w:t>S-09</w:t>
      </w:r>
      <w:r w:rsidR="00452B87">
        <w:t>)</w:t>
      </w:r>
      <w:r>
        <w:t>.</w:t>
      </w:r>
    </w:p>
    <w:p w14:paraId="77088F6A" w14:textId="10191B74" w:rsidR="00BE5E91" w:rsidRDefault="00BE5E91" w:rsidP="002E4507">
      <w:pPr>
        <w:pStyle w:val="F9-Paragraph"/>
      </w:pPr>
      <w:r>
        <w:t xml:space="preserve">The strategy should demonstrate how the objectives of </w:t>
      </w:r>
      <w:r w:rsidR="00173F95" w:rsidRPr="00173F95">
        <w:t xml:space="preserve">The Convention for the </w:t>
      </w:r>
      <w:r w:rsidR="00173F95" w:rsidRPr="002E4507">
        <w:t>Protection</w:t>
      </w:r>
      <w:r w:rsidR="00173F95" w:rsidRPr="00173F95">
        <w:t xml:space="preserve"> of the Marine Environment of the North-East Atlantic </w:t>
      </w:r>
      <w:r w:rsidR="00173F95">
        <w:t>(</w:t>
      </w:r>
      <w:r>
        <w:t>the OSPAR Convention</w:t>
      </w:r>
      <w:r w:rsidR="00173F95">
        <w:t>)</w:t>
      </w:r>
      <w:r>
        <w:t xml:space="preserve"> have been taken into account</w:t>
      </w:r>
      <w:r w:rsidR="008B714C">
        <w:t>.</w:t>
      </w:r>
      <w:r w:rsidR="00173F95">
        <w:t xml:space="preserve"> </w:t>
      </w:r>
      <w:r w:rsidR="009A617B">
        <w:t>As a signatory to t</w:t>
      </w:r>
      <w:r w:rsidR="00173F95">
        <w:t>he OSPAR Convention</w:t>
      </w:r>
      <w:r w:rsidR="009A617B">
        <w:t>, the UK</w:t>
      </w:r>
      <w:r w:rsidR="004B70EB">
        <w:t xml:space="preserve"> </w:t>
      </w:r>
      <w:r w:rsidR="008278B0">
        <w:t xml:space="preserve">is required </w:t>
      </w:r>
      <w:r w:rsidR="004B70EB">
        <w:t>take all possible steps to prevent and eliminate pollution</w:t>
      </w:r>
      <w:r w:rsidR="00173F95">
        <w:t xml:space="preserve"> </w:t>
      </w:r>
      <w:r w:rsidR="008278B0">
        <w:t xml:space="preserve">and to </w:t>
      </w:r>
      <w:r w:rsidR="00376B96">
        <w:t>protect the</w:t>
      </w:r>
      <w:r w:rsidR="004B70EB">
        <w:t xml:space="preserve"> </w:t>
      </w:r>
      <w:r w:rsidR="004B70EB" w:rsidRPr="004B70EB">
        <w:t xml:space="preserve">OSPAR maritime area </w:t>
      </w:r>
      <w:r w:rsidR="00376B96" w:rsidRPr="00376B96">
        <w:t>against the adverse effects of human activities</w:t>
      </w:r>
      <w:r w:rsidR="000C6D51">
        <w:t xml:space="preserve">. The UK Strategy for Radioactive Discharges </w:t>
      </w:r>
      <w:sdt>
        <w:sdtPr>
          <w:id w:val="-1355033290"/>
          <w:citation/>
        </w:sdtPr>
        <w:sdtContent>
          <w:r w:rsidR="000C6D51">
            <w:fldChar w:fldCharType="begin"/>
          </w:r>
          <w:r w:rsidR="000C6D51">
            <w:instrText xml:space="preserve"> CITATION UK_DischargesStrat \l 2057 </w:instrText>
          </w:r>
          <w:r w:rsidR="000C6D51">
            <w:fldChar w:fldCharType="separate"/>
          </w:r>
          <w:r w:rsidR="00717D5C">
            <w:rPr>
              <w:noProof/>
            </w:rPr>
            <w:t>[36]</w:t>
          </w:r>
          <w:r w:rsidR="000C6D51">
            <w:fldChar w:fldCharType="end"/>
          </w:r>
        </w:sdtContent>
      </w:sdt>
      <w:r w:rsidR="000C6D51">
        <w:t xml:space="preserve"> </w:t>
      </w:r>
      <w:r w:rsidR="007C109F">
        <w:t>supports the UK’s OSPAR obligations</w:t>
      </w:r>
      <w:r w:rsidR="000C6D51">
        <w:t xml:space="preserve"> through progressive and substantial reductions of </w:t>
      </w:r>
      <w:r w:rsidR="007C109F">
        <w:t xml:space="preserve">radioactive </w:t>
      </w:r>
      <w:r w:rsidR="000C6D51">
        <w:t>discharges, emissions and losses of radioactive substances.</w:t>
      </w:r>
      <w:r>
        <w:t xml:space="preserve"> </w:t>
      </w:r>
      <w:r w:rsidR="00880014">
        <w:t>Licensees</w:t>
      </w:r>
      <w:r w:rsidR="00BE0CAE">
        <w:t xml:space="preserve"> should describe how their radioactive waste management strategies </w:t>
      </w:r>
      <w:r w:rsidR="005D1F5A">
        <w:t>address</w:t>
      </w:r>
      <w:r w:rsidR="00BE0CAE">
        <w:t xml:space="preserve"> the objectives of the OSPAR </w:t>
      </w:r>
      <w:r w:rsidR="00D31E37">
        <w:t xml:space="preserve">Convention, </w:t>
      </w:r>
      <w:r w:rsidR="005D1F5A">
        <w:t>as well as</w:t>
      </w:r>
      <w:r>
        <w:t xml:space="preserve"> </w:t>
      </w:r>
      <w:r w:rsidR="00067AF5">
        <w:t>any corresponding</w:t>
      </w:r>
      <w:r>
        <w:t xml:space="preserve"> imp</w:t>
      </w:r>
      <w:r w:rsidR="00C43484">
        <w:t xml:space="preserve">lications </w:t>
      </w:r>
      <w:r w:rsidR="00A17E3F">
        <w:t>for</w:t>
      </w:r>
      <w:r>
        <w:t xml:space="preserve"> the volume and total activity of on-site arisings of solid waste, options for storage and ultimate disposal, and for compliance with the ALARP principle. </w:t>
      </w:r>
    </w:p>
    <w:p w14:paraId="0E5A101A" w14:textId="669DEB18" w:rsidR="00BE5E91" w:rsidRDefault="00BE5E91" w:rsidP="005411F8">
      <w:pPr>
        <w:pStyle w:val="F9-Paragraph"/>
      </w:pPr>
      <w:r>
        <w:t>The strategy should contain sufficient detail to be standalone, but may be supported by a number of other documents, including individual documents describing waste stream lifecycle management, site lifetime plan, site decommissioning strategy and site strategy for end states. In some cases, the strategy may be encompassed by existing documents.</w:t>
      </w:r>
    </w:p>
    <w:p w14:paraId="30286B9F" w14:textId="529CE1AB" w:rsidR="00BE5E91" w:rsidRDefault="00BE5E91" w:rsidP="00BE5E91">
      <w:pPr>
        <w:pStyle w:val="F9-Paragraph"/>
      </w:pPr>
      <w:r>
        <w:t>Further guidance on the production of radioactive waste strategies</w:t>
      </w:r>
      <w:r w:rsidR="00582B1D">
        <w:t xml:space="preserve"> for HAW</w:t>
      </w:r>
      <w:r>
        <w:t xml:space="preserve"> can be found in the Joint Guidance </w:t>
      </w:r>
      <w:sdt>
        <w:sdtPr>
          <w:id w:val="58073267"/>
          <w:citation/>
        </w:sdtPr>
        <w:sdtContent>
          <w:r w:rsidR="00B4787E">
            <w:fldChar w:fldCharType="begin"/>
          </w:r>
          <w:r w:rsidR="00B4787E">
            <w:instrText xml:space="preserve"> CITATION JointGuidancev2021 \l 2057 </w:instrText>
          </w:r>
          <w:r w:rsidR="00B4787E">
            <w:fldChar w:fldCharType="separate"/>
          </w:r>
          <w:r w:rsidR="00717D5C">
            <w:rPr>
              <w:noProof/>
            </w:rPr>
            <w:t>[35]</w:t>
          </w:r>
          <w:r w:rsidR="00B4787E">
            <w:fldChar w:fldCharType="end"/>
          </w:r>
        </w:sdtContent>
      </w:sdt>
      <w:r>
        <w:t>. Licensees may choose to present their strategy in the form of an Integrated Waste Strategy (IWS)</w:t>
      </w:r>
      <w:r w:rsidR="00A610D8">
        <w:t xml:space="preserve"> or within an Integrated Waste Implementation Plan</w:t>
      </w:r>
      <w:r w:rsidR="00233CFF">
        <w:t xml:space="preserve"> (IWIP)</w:t>
      </w:r>
      <w:r w:rsidR="00750F2E">
        <w:t>. The</w:t>
      </w:r>
      <w:r>
        <w:t xml:space="preserve"> NDA has produced guidance on the form and content </w:t>
      </w:r>
      <w:r w:rsidR="00825BDE">
        <w:t>IWIPs</w:t>
      </w:r>
      <w:r>
        <w:t xml:space="preserve"> </w:t>
      </w:r>
      <w:sdt>
        <w:sdtPr>
          <w:id w:val="1354461686"/>
          <w:citation/>
        </w:sdtPr>
        <w:sdtContent>
          <w:r w:rsidR="00AC5A58">
            <w:fldChar w:fldCharType="begin"/>
          </w:r>
          <w:r w:rsidR="00AC5A58">
            <w:instrText xml:space="preserve"> CITATION IWIP_Guidance_2022 \l 2057 </w:instrText>
          </w:r>
          <w:r w:rsidR="00AC5A58">
            <w:fldChar w:fldCharType="separate"/>
          </w:r>
          <w:r w:rsidR="00717D5C">
            <w:rPr>
              <w:noProof/>
            </w:rPr>
            <w:t>[37]</w:t>
          </w:r>
          <w:r w:rsidR="00AC5A58">
            <w:fldChar w:fldCharType="end"/>
          </w:r>
        </w:sdtContent>
      </w:sdt>
      <w:r>
        <w:t>.</w:t>
      </w:r>
    </w:p>
    <w:p w14:paraId="043D4FE0" w14:textId="16362478" w:rsidR="00DA5A93" w:rsidRDefault="00FE3A7A" w:rsidP="00BE5E91">
      <w:pPr>
        <w:pStyle w:val="F9-Paragraph"/>
      </w:pPr>
      <w:r>
        <w:t>The strategy should be reviewed at appropriate intervals</w:t>
      </w:r>
      <w:r w:rsidR="00E5772B">
        <w:t xml:space="preserve">, taking into account </w:t>
      </w:r>
      <w:r w:rsidR="002058F2">
        <w:t>ope</w:t>
      </w:r>
      <w:r w:rsidR="00294286">
        <w:t>rational</w:t>
      </w:r>
      <w:r w:rsidR="00E5772B">
        <w:t xml:space="preserve"> experience</w:t>
      </w:r>
      <w:r w:rsidR="008E6AE1">
        <w:t>, the outcomes from condition monitoring and ins</w:t>
      </w:r>
      <w:r w:rsidR="000B46BD">
        <w:t>pection</w:t>
      </w:r>
      <w:r w:rsidR="00C06150">
        <w:t xml:space="preserve"> (CM&amp;I)</w:t>
      </w:r>
      <w:r w:rsidR="000B46BD">
        <w:t xml:space="preserve">, </w:t>
      </w:r>
      <w:r w:rsidR="00294286">
        <w:t>and</w:t>
      </w:r>
      <w:r w:rsidR="00F37D1F">
        <w:t xml:space="preserve"> any relevant</w:t>
      </w:r>
      <w:r w:rsidR="00E5772B">
        <w:t xml:space="preserve"> </w:t>
      </w:r>
      <w:r w:rsidR="00DA3AEC">
        <w:t xml:space="preserve">advances in </w:t>
      </w:r>
      <w:r w:rsidR="00166042">
        <w:t xml:space="preserve">standards, </w:t>
      </w:r>
      <w:r w:rsidR="00DA3AEC">
        <w:t>science and technology</w:t>
      </w:r>
      <w:r w:rsidR="001C26E4">
        <w:t xml:space="preserve"> </w:t>
      </w:r>
      <w:r w:rsidR="00400CE0">
        <w:t>(</w:t>
      </w:r>
      <w:r w:rsidR="001C26E4">
        <w:t>SRL P-</w:t>
      </w:r>
      <w:r w:rsidR="00FC3FE1">
        <w:t>04</w:t>
      </w:r>
      <w:r w:rsidR="00400CE0">
        <w:t>)</w:t>
      </w:r>
      <w:r w:rsidR="00DA3AEC">
        <w:t>.</w:t>
      </w:r>
    </w:p>
    <w:p w14:paraId="2A85EE37" w14:textId="5B2CDF24" w:rsidR="003D05CC" w:rsidRDefault="00CD53FA" w:rsidP="00BE5E91">
      <w:pPr>
        <w:pStyle w:val="F9-Paragraph"/>
      </w:pPr>
      <w:r>
        <w:lastRenderedPageBreak/>
        <w:t xml:space="preserve">LC15 requires licensees to make and implement adequate arrangements for the periodic and systematic review and reassessment of safety cases. Further guidance on </w:t>
      </w:r>
      <w:r w:rsidR="00D822A7">
        <w:t>P</w:t>
      </w:r>
      <w:r>
        <w:t xml:space="preserve">eriodic </w:t>
      </w:r>
      <w:r w:rsidR="00D822A7">
        <w:t>S</w:t>
      </w:r>
      <w:r>
        <w:t xml:space="preserve">afety </w:t>
      </w:r>
      <w:r w:rsidR="00D822A7">
        <w:t>R</w:t>
      </w:r>
      <w:r>
        <w:t xml:space="preserve">eviews </w:t>
      </w:r>
      <w:r w:rsidR="00D822A7">
        <w:t xml:space="preserve">(PSRs) </w:t>
      </w:r>
      <w:r>
        <w:t xml:space="preserve">can be found in NS-TAST-GD-050 </w:t>
      </w:r>
      <w:sdt>
        <w:sdtPr>
          <w:id w:val="-1820715432"/>
          <w:citation/>
        </w:sdtPr>
        <w:sdtContent>
          <w:r>
            <w:fldChar w:fldCharType="begin"/>
          </w:r>
          <w:r>
            <w:instrText xml:space="preserve"> CITATION TAG50_v81 \l 2057 </w:instrText>
          </w:r>
          <w:r>
            <w:fldChar w:fldCharType="separate"/>
          </w:r>
          <w:r w:rsidR="00717D5C">
            <w:rPr>
              <w:noProof/>
            </w:rPr>
            <w:t>[38]</w:t>
          </w:r>
          <w:r>
            <w:fldChar w:fldCharType="end"/>
          </w:r>
        </w:sdtContent>
      </w:sdt>
      <w:r>
        <w:t>.</w:t>
      </w:r>
      <w:r w:rsidR="00DD16FF">
        <w:t xml:space="preserve"> </w:t>
      </w:r>
      <w:r w:rsidR="00DA5A93">
        <w:t xml:space="preserve">The </w:t>
      </w:r>
      <w:r w:rsidR="00D822A7">
        <w:t>PSR</w:t>
      </w:r>
      <w:r w:rsidR="00DA5A93">
        <w:t xml:space="preserve"> should </w:t>
      </w:r>
      <w:r w:rsidR="00D822A7">
        <w:t>review and justify the</w:t>
      </w:r>
      <w:r w:rsidR="00310350">
        <w:t xml:space="preserve"> continuing adequacy of the licensee’s strategy for management of radioactive waste</w:t>
      </w:r>
      <w:r w:rsidR="0098223D">
        <w:t>.</w:t>
      </w:r>
      <w:r w:rsidR="00F361BB">
        <w:t xml:space="preserve"> </w:t>
      </w:r>
    </w:p>
    <w:p w14:paraId="4CC33C38" w14:textId="67867D37" w:rsidR="004A59B5" w:rsidRDefault="001C3E48" w:rsidP="005807ED">
      <w:pPr>
        <w:pStyle w:val="Heading2"/>
      </w:pPr>
      <w:r w:rsidRPr="001C3E48">
        <w:t xml:space="preserve">Application of ALARP across the </w:t>
      </w:r>
      <w:r w:rsidR="004F13A6">
        <w:t xml:space="preserve">waste </w:t>
      </w:r>
      <w:r w:rsidRPr="001C3E48">
        <w:t>lifecycle</w:t>
      </w:r>
    </w:p>
    <w:p w14:paraId="0432A800" w14:textId="24F456BF" w:rsidR="00673A87" w:rsidRDefault="0013331B" w:rsidP="00F2319D">
      <w:pPr>
        <w:pStyle w:val="F9-Paragraph"/>
      </w:pPr>
      <w:r>
        <w:t xml:space="preserve">In </w:t>
      </w:r>
      <w:r w:rsidR="00E35746">
        <w:t xml:space="preserve">line with </w:t>
      </w:r>
      <w:r w:rsidR="006E21A9">
        <w:t xml:space="preserve">the expectations of </w:t>
      </w:r>
      <w:r w:rsidR="00E35746">
        <w:t>government policy, t</w:t>
      </w:r>
      <w:r w:rsidR="00E35746" w:rsidRPr="00E35746">
        <w:t>hose responsible for creating and managing radioactive waste (including owners), should take a risk-informed approach to decision-making throughout the full waste-management lifecycle based on understanding the properties of the waste and the hazards they pose to people and the environment</w:t>
      </w:r>
      <w:r w:rsidR="006E21A9">
        <w:t>.</w:t>
      </w:r>
    </w:p>
    <w:p w14:paraId="23A1681B" w14:textId="74926E82" w:rsidR="00F2319D" w:rsidRDefault="00E06E0E" w:rsidP="00F2319D">
      <w:pPr>
        <w:pStyle w:val="F9-Paragraph"/>
      </w:pPr>
      <w:r>
        <w:t>R</w:t>
      </w:r>
      <w:r w:rsidR="00F2319D">
        <w:t xml:space="preserve">adioactive waste </w:t>
      </w:r>
      <w:r>
        <w:t>should be managed in a way</w:t>
      </w:r>
      <w:r w:rsidR="00F2319D">
        <w:t xml:space="preserve"> that is compatible with ultimate disposal, or other long-term solution</w:t>
      </w:r>
      <w:r w:rsidR="00D5107F">
        <w:t>.</w:t>
      </w:r>
      <w:r w:rsidR="00F2319D">
        <w:t xml:space="preserve"> </w:t>
      </w:r>
      <w:r w:rsidR="00E55398">
        <w:t xml:space="preserve">Unless </w:t>
      </w:r>
      <w:r w:rsidR="0020486E">
        <w:t>appro</w:t>
      </w:r>
      <w:r w:rsidR="004C3E1B">
        <w:t xml:space="preserve">priately </w:t>
      </w:r>
      <w:r w:rsidR="00F2319D">
        <w:t xml:space="preserve">justified, </w:t>
      </w:r>
      <w:r w:rsidR="001A34B6">
        <w:t xml:space="preserve">licensees should </w:t>
      </w:r>
      <w:r w:rsidR="00F2319D">
        <w:t xml:space="preserve">not unnecessarily foreclose any </w:t>
      </w:r>
      <w:r w:rsidR="00BD0DBF">
        <w:t xml:space="preserve">reasonably </w:t>
      </w:r>
      <w:r w:rsidR="00F2319D">
        <w:t xml:space="preserve">foreseeable management options. The risks </w:t>
      </w:r>
      <w:r w:rsidR="00242C02">
        <w:t xml:space="preserve">associated with radioactive waste management </w:t>
      </w:r>
      <w:r w:rsidR="00F2319D">
        <w:t xml:space="preserve">should be assessed in a holistic manner and not restricted to part of the overall </w:t>
      </w:r>
      <w:r w:rsidR="00E300FF">
        <w:t>waste lifecy</w:t>
      </w:r>
      <w:r w:rsidR="00365676">
        <w:t>c</w:t>
      </w:r>
      <w:r w:rsidR="00E300FF">
        <w:t>le</w:t>
      </w:r>
      <w:r w:rsidR="00F2319D">
        <w:t>.</w:t>
      </w:r>
      <w:r w:rsidR="00E16D40">
        <w:t xml:space="preserve"> Inspectors should consider this when reaching judgments on whether risks have been reduced ALARP.</w:t>
      </w:r>
    </w:p>
    <w:p w14:paraId="0223A722" w14:textId="410F5E90" w:rsidR="00F2319D" w:rsidRDefault="00AE0E19" w:rsidP="00F2319D">
      <w:pPr>
        <w:pStyle w:val="F9-Paragraph"/>
      </w:pPr>
      <w:r>
        <w:t>T</w:t>
      </w:r>
      <w:r w:rsidR="00F2319D">
        <w:t xml:space="preserve">he nature of radioactive waste management means that multiple facilities are likely to be involved in the different aspects </w:t>
      </w:r>
      <w:r w:rsidR="00A32B2E">
        <w:t>of the waste lifec</w:t>
      </w:r>
      <w:r>
        <w:t xml:space="preserve">ycle </w:t>
      </w:r>
      <w:r w:rsidR="00FE5C40">
        <w:t>from</w:t>
      </w:r>
      <w:r w:rsidR="00F2319D">
        <w:t xml:space="preserve"> generation</w:t>
      </w:r>
      <w:r w:rsidR="00FE5C40">
        <w:t xml:space="preserve"> through </w:t>
      </w:r>
      <w:r w:rsidR="00A9361A">
        <w:t xml:space="preserve">to </w:t>
      </w:r>
      <w:r w:rsidR="00F2319D">
        <w:t>processing, storage, transport and disposal</w:t>
      </w:r>
      <w:r>
        <w:t>. F</w:t>
      </w:r>
      <w:r w:rsidR="00F2319D">
        <w:t>or HAW, these activities are expected to take place over a significant period of time</w:t>
      </w:r>
      <w:r w:rsidR="000F19FA">
        <w:t xml:space="preserve"> due to the absence of an operational disposal facility</w:t>
      </w:r>
      <w:r w:rsidR="00F2319D">
        <w:t>.</w:t>
      </w:r>
    </w:p>
    <w:p w14:paraId="31C22033" w14:textId="3166D565" w:rsidR="00D41908" w:rsidRDefault="002B42BE" w:rsidP="00E425C4">
      <w:pPr>
        <w:pStyle w:val="F9-Paragraph"/>
      </w:pPr>
      <w:r>
        <w:t>T</w:t>
      </w:r>
      <w:r w:rsidR="00F2319D">
        <w:t xml:space="preserve">he </w:t>
      </w:r>
      <w:r w:rsidR="009F08E2">
        <w:t xml:space="preserve">safety </w:t>
      </w:r>
      <w:r w:rsidR="00F2319D">
        <w:t xml:space="preserve">case </w:t>
      </w:r>
      <w:r w:rsidR="009F08E2">
        <w:t xml:space="preserve">for </w:t>
      </w:r>
      <w:r w:rsidR="00F2319D">
        <w:t xml:space="preserve">management of waste streams across their whole lifecycle needs to be considered, taking account of </w:t>
      </w:r>
      <w:r w:rsidR="008146C4">
        <w:t xml:space="preserve">relevant </w:t>
      </w:r>
      <w:r w:rsidR="00F2319D">
        <w:t xml:space="preserve">factors, to ensure that an appropriate balance is achieved. These factors include requirements imposed by the environmental permit (including optimisation, BAT and disposability) and any waste acceptance criteria for the final disposal facility. The licensee </w:t>
      </w:r>
      <w:r w:rsidR="00FA5F09">
        <w:t xml:space="preserve">should </w:t>
      </w:r>
      <w:r w:rsidR="0065586D">
        <w:t xml:space="preserve">also </w:t>
      </w:r>
      <w:r w:rsidR="00FA5F09">
        <w:t>consider</w:t>
      </w:r>
      <w:r w:rsidR="00F2319D">
        <w:t xml:space="preserve"> </w:t>
      </w:r>
      <w:r w:rsidR="002B7B8D">
        <w:t xml:space="preserve">the </w:t>
      </w:r>
      <w:r w:rsidR="00ED0694">
        <w:t xml:space="preserve">uncertainty </w:t>
      </w:r>
      <w:r w:rsidR="002B7B8D">
        <w:t xml:space="preserve">associated with </w:t>
      </w:r>
      <w:r w:rsidR="00F2319D">
        <w:t xml:space="preserve">future disposal options </w:t>
      </w:r>
      <w:r w:rsidR="00CB5641">
        <w:t>and the risks th</w:t>
      </w:r>
      <w:r w:rsidR="009E4B44">
        <w:t>at could arise</w:t>
      </w:r>
      <w:r w:rsidR="00924E9D">
        <w:t>. Licensees should consider the risk that</w:t>
      </w:r>
      <w:r w:rsidR="00F2319D">
        <w:t xml:space="preserve"> rework</w:t>
      </w:r>
      <w:r w:rsidR="006921EE">
        <w:t xml:space="preserve"> of waste packages</w:t>
      </w:r>
      <w:r w:rsidR="00F2319D">
        <w:t xml:space="preserve"> may be</w:t>
      </w:r>
      <w:r w:rsidR="006D43BD">
        <w:t>come</w:t>
      </w:r>
      <w:r w:rsidR="00F2319D">
        <w:t xml:space="preserve"> necessary as a result of deterioration or accidental damage. </w:t>
      </w:r>
    </w:p>
    <w:p w14:paraId="2DF775BA" w14:textId="0FC22173" w:rsidR="00F2319D" w:rsidRDefault="00F2319D" w:rsidP="00156241">
      <w:pPr>
        <w:pStyle w:val="F9-Paragraph"/>
      </w:pPr>
      <w:r>
        <w:t>For HAW, licensee</w:t>
      </w:r>
      <w:r w:rsidR="005A2FCF">
        <w:t>s</w:t>
      </w:r>
      <w:r>
        <w:t xml:space="preserve"> </w:t>
      </w:r>
      <w:r w:rsidR="005A2FCF">
        <w:t xml:space="preserve">should </w:t>
      </w:r>
      <w:r>
        <w:t xml:space="preserve">seek appropriate </w:t>
      </w:r>
      <w:r w:rsidR="00577CA4">
        <w:t xml:space="preserve">disposability </w:t>
      </w:r>
      <w:r>
        <w:t xml:space="preserve">advice from </w:t>
      </w:r>
      <w:r w:rsidR="00727F80">
        <w:t>NWS</w:t>
      </w:r>
      <w:r w:rsidR="00DC0558">
        <w:t xml:space="preserve"> </w:t>
      </w:r>
      <w:r w:rsidR="00A60EC4">
        <w:t>to</w:t>
      </w:r>
      <w:r w:rsidR="00156241">
        <w:t xml:space="preserve"> provide confidence that proposed or ongoing waste </w:t>
      </w:r>
      <w:r w:rsidR="006921EE">
        <w:t>processing</w:t>
      </w:r>
      <w:r w:rsidR="00156241">
        <w:t xml:space="preserve"> and storage operations will result in disposable waste products</w:t>
      </w:r>
      <w:r>
        <w:t xml:space="preserve">. The advice may be used by the licensee as part of the </w:t>
      </w:r>
      <w:r w:rsidR="00852CBB">
        <w:t xml:space="preserve">safety </w:t>
      </w:r>
      <w:r>
        <w:t>case for management of the waste across the lifecycle</w:t>
      </w:r>
      <w:r w:rsidR="002413E9">
        <w:t xml:space="preserve">, </w:t>
      </w:r>
      <w:r w:rsidR="00424404">
        <w:t>but</w:t>
      </w:r>
      <w:r w:rsidR="002413E9">
        <w:t xml:space="preserve"> onsite safety remains the responsibility of the licensee</w:t>
      </w:r>
      <w:r>
        <w:t>.</w:t>
      </w:r>
    </w:p>
    <w:p w14:paraId="2D235CC1" w14:textId="011FA29D" w:rsidR="001C3E48" w:rsidRDefault="00675D04" w:rsidP="00F41AE9">
      <w:pPr>
        <w:pStyle w:val="F9-Paragraph"/>
      </w:pPr>
      <w:r w:rsidRPr="00675D04">
        <w:t xml:space="preserve">Long-term safety and environmental performance aspects relevant to the lifecycle ALARP demonstration may not be addressed in the individual facility safety cases or environmental documentation. Where waste is transferred between multiple facilities or sites, it is good practice to produce a radioactive waste management case (RWMC) case to capture the overall </w:t>
      </w:r>
      <w:r w:rsidRPr="00675D04">
        <w:lastRenderedPageBreak/>
        <w:t>management early in the waste stream lifecycle, enabling its maintenance and update upon subsequent transfer(s). Further guidance</w:t>
      </w:r>
      <w:r>
        <w:t xml:space="preserve"> </w:t>
      </w:r>
      <w:r w:rsidR="00F2319D">
        <w:t xml:space="preserve">on the form and content of RWMCs can be found in the Joint Guidance </w:t>
      </w:r>
      <w:sdt>
        <w:sdtPr>
          <w:id w:val="142627449"/>
          <w:citation/>
        </w:sdtPr>
        <w:sdtContent>
          <w:r w:rsidR="00052DF8">
            <w:fldChar w:fldCharType="begin"/>
          </w:r>
          <w:r w:rsidR="00052DF8">
            <w:instrText xml:space="preserve"> CITATION JointGuidancev2021 \l 2057 </w:instrText>
          </w:r>
          <w:r w:rsidR="00052DF8">
            <w:fldChar w:fldCharType="separate"/>
          </w:r>
          <w:r w:rsidR="00717D5C">
            <w:rPr>
              <w:noProof/>
            </w:rPr>
            <w:t>[35]</w:t>
          </w:r>
          <w:r w:rsidR="00052DF8">
            <w:fldChar w:fldCharType="end"/>
          </w:r>
        </w:sdtContent>
      </w:sdt>
      <w:r w:rsidR="00F2319D">
        <w:t>.</w:t>
      </w:r>
    </w:p>
    <w:p w14:paraId="1DBE2DD4" w14:textId="6D9FA4B5" w:rsidR="00B43B16" w:rsidRDefault="00494EAA" w:rsidP="00B43B16">
      <w:pPr>
        <w:pStyle w:val="Heading2"/>
      </w:pPr>
      <w:r w:rsidRPr="00494EAA">
        <w:t>Predisposal management of radioactive waste</w:t>
      </w:r>
    </w:p>
    <w:p w14:paraId="5DAF63C1" w14:textId="5B2132FE" w:rsidR="00347437" w:rsidRDefault="00347437" w:rsidP="00270FDB">
      <w:pPr>
        <w:pStyle w:val="F9-Paragraph"/>
      </w:pPr>
      <w:r>
        <w:t xml:space="preserve">Radioactive waste should be managed in a manner that minimises the need for </w:t>
      </w:r>
      <w:r w:rsidR="007D09DD">
        <w:t xml:space="preserve">future </w:t>
      </w:r>
      <w:r>
        <w:t>processing and that it is compatible with anticipated facilities for ultimate disposal or long-term solution.</w:t>
      </w:r>
      <w:r w:rsidR="00270FDB">
        <w:t xml:space="preserve"> </w:t>
      </w:r>
      <w:r w:rsidR="00C66CD1">
        <w:t>The term p</w:t>
      </w:r>
      <w:r w:rsidR="005349B9">
        <w:t>redisposal management</w:t>
      </w:r>
      <w:r>
        <w:t xml:space="preserve"> </w:t>
      </w:r>
      <w:r w:rsidR="004A7E25">
        <w:t>describe</w:t>
      </w:r>
      <w:r w:rsidR="00C66CD1">
        <w:t>s</w:t>
      </w:r>
      <w:r w:rsidR="004A7E25">
        <w:t xml:space="preserve"> </w:t>
      </w:r>
      <w:r w:rsidR="00C66CD1">
        <w:t xml:space="preserve">all </w:t>
      </w:r>
      <w:r w:rsidR="004A7E25">
        <w:t xml:space="preserve">the </w:t>
      </w:r>
      <w:r>
        <w:t>steps</w:t>
      </w:r>
      <w:r w:rsidR="00C66CD1">
        <w:t xml:space="preserve"> required </w:t>
      </w:r>
      <w:r w:rsidR="00254B73">
        <w:t>for the safe management of radioactive waste</w:t>
      </w:r>
      <w:r w:rsidR="002D07E8">
        <w:t xml:space="preserve"> from generation to disposal</w:t>
      </w:r>
      <w:r>
        <w:t xml:space="preserve">, as identified in GSR Part 5 </w:t>
      </w:r>
      <w:sdt>
        <w:sdtPr>
          <w:id w:val="418140286"/>
          <w:citation/>
        </w:sdtPr>
        <w:sdtContent>
          <w:r w:rsidR="00537A5C">
            <w:fldChar w:fldCharType="begin"/>
          </w:r>
          <w:r w:rsidR="00537A5C">
            <w:instrText xml:space="preserve"> CITATION GSR5v2009 \l 2057 </w:instrText>
          </w:r>
          <w:r w:rsidR="00537A5C">
            <w:fldChar w:fldCharType="separate"/>
          </w:r>
          <w:r w:rsidR="00717D5C">
            <w:rPr>
              <w:noProof/>
            </w:rPr>
            <w:t>[26]</w:t>
          </w:r>
          <w:r w:rsidR="00537A5C">
            <w:fldChar w:fldCharType="end"/>
          </w:r>
        </w:sdtContent>
      </w:sdt>
      <w:r w:rsidR="00254B73">
        <w:t>.</w:t>
      </w:r>
      <w:r>
        <w:t xml:space="preserve"> </w:t>
      </w:r>
      <w:r w:rsidR="001E16F1">
        <w:t xml:space="preserve">The </w:t>
      </w:r>
      <w:r>
        <w:t>key</w:t>
      </w:r>
      <w:r w:rsidR="001E16F1">
        <w:t xml:space="preserve"> steps, </w:t>
      </w:r>
      <w:r w:rsidR="00F77BB1">
        <w:t xml:space="preserve">for </w:t>
      </w:r>
      <w:r w:rsidR="001E16F1">
        <w:t>which further guidance</w:t>
      </w:r>
      <w:r w:rsidR="00D558AD">
        <w:t xml:space="preserve"> on</w:t>
      </w:r>
      <w:r w:rsidR="00F77BB1">
        <w:t xml:space="preserve"> RGP</w:t>
      </w:r>
      <w:r w:rsidR="00D558AD">
        <w:t xml:space="preserve"> </w:t>
      </w:r>
      <w:r w:rsidR="001E16F1">
        <w:t>is provided</w:t>
      </w:r>
      <w:r w:rsidR="00F77BB1">
        <w:t xml:space="preserve"> in this TAG</w:t>
      </w:r>
      <w:r w:rsidR="001E16F1">
        <w:t xml:space="preserve">, relate to </w:t>
      </w:r>
      <w:r>
        <w:t>:</w:t>
      </w:r>
    </w:p>
    <w:p w14:paraId="2C92D4B5" w14:textId="7EAFFAEC" w:rsidR="00347437" w:rsidRDefault="00347437" w:rsidP="00347437">
      <w:pPr>
        <w:pStyle w:val="Bulletlist1"/>
      </w:pPr>
      <w:r>
        <w:t>Generation</w:t>
      </w:r>
      <w:r w:rsidR="009E7C82">
        <w:t xml:space="preserve"> (</w:t>
      </w:r>
      <w:r w:rsidR="008C56A1">
        <w:t>prevent</w:t>
      </w:r>
      <w:r w:rsidR="004172E9">
        <w:t>ion</w:t>
      </w:r>
      <w:r w:rsidR="00D46733">
        <w:t>,</w:t>
      </w:r>
      <w:r w:rsidR="008C56A1">
        <w:t xml:space="preserve"> </w:t>
      </w:r>
      <w:r w:rsidR="009E7C82">
        <w:t>minimisation</w:t>
      </w:r>
      <w:r w:rsidR="00D46733">
        <w:t>, characterisation and segregation</w:t>
      </w:r>
      <w:r w:rsidR="009E7C82">
        <w:t>)</w:t>
      </w:r>
      <w:r w:rsidR="00D81C88">
        <w:t>;</w:t>
      </w:r>
    </w:p>
    <w:p w14:paraId="17F6E552" w14:textId="224AA287" w:rsidR="00347437" w:rsidRDefault="00347437" w:rsidP="00347437">
      <w:pPr>
        <w:pStyle w:val="Bulletlist1"/>
      </w:pPr>
      <w:r>
        <w:t>Processing</w:t>
      </w:r>
      <w:r w:rsidR="001E16F1">
        <w:t xml:space="preserve"> (</w:t>
      </w:r>
      <w:r w:rsidR="00D46733">
        <w:t xml:space="preserve">timing, </w:t>
      </w:r>
      <w:r w:rsidR="008C2A9A">
        <w:t xml:space="preserve">passive safety, processing operations such as </w:t>
      </w:r>
      <w:r w:rsidR="00530801">
        <w:t>pretreatment, treatment and conditioning)</w:t>
      </w:r>
      <w:r w:rsidR="00D81C88">
        <w:t>;</w:t>
      </w:r>
    </w:p>
    <w:p w14:paraId="75C82BCA" w14:textId="6C56FF63" w:rsidR="00347437" w:rsidRDefault="00347437" w:rsidP="00347437">
      <w:pPr>
        <w:pStyle w:val="Bulletlist1"/>
      </w:pPr>
      <w:r>
        <w:t>Storage</w:t>
      </w:r>
      <w:r w:rsidR="00530801">
        <w:t xml:space="preserve"> (</w:t>
      </w:r>
      <w:r w:rsidR="008C2A9A">
        <w:t>design</w:t>
      </w:r>
      <w:r w:rsidR="0044346E">
        <w:t>, safety case requirements,</w:t>
      </w:r>
      <w:r w:rsidR="008C2A9A">
        <w:t xml:space="preserve"> and </w:t>
      </w:r>
      <w:r w:rsidR="000A23ED">
        <w:t>CM&amp;I</w:t>
      </w:r>
      <w:r w:rsidR="00530801">
        <w:t>)</w:t>
      </w:r>
      <w:r w:rsidR="00D81C88">
        <w:t>; and,</w:t>
      </w:r>
    </w:p>
    <w:p w14:paraId="1B44DCA5" w14:textId="221AB1A5" w:rsidR="00347437" w:rsidRDefault="0044346E" w:rsidP="00347437">
      <w:pPr>
        <w:pStyle w:val="Bulletlist1"/>
      </w:pPr>
      <w:r>
        <w:t>Conditions for acceptance (for storage and d</w:t>
      </w:r>
      <w:r w:rsidR="001E16F1">
        <w:t>isposal)</w:t>
      </w:r>
      <w:r w:rsidR="00347437">
        <w:t>.</w:t>
      </w:r>
    </w:p>
    <w:p w14:paraId="34E7D110" w14:textId="39692900" w:rsidR="00494EAA" w:rsidRDefault="00347437" w:rsidP="00347437">
      <w:pPr>
        <w:pStyle w:val="F9-Paragraph"/>
      </w:pPr>
      <w:r>
        <w:t xml:space="preserve">Further guidance on the predisposal management of HAW can be found in the Joint Guidance </w:t>
      </w:r>
      <w:sdt>
        <w:sdtPr>
          <w:id w:val="-607504408"/>
          <w:citation/>
        </w:sdtPr>
        <w:sdtContent>
          <w:r w:rsidR="00E85E86">
            <w:fldChar w:fldCharType="begin"/>
          </w:r>
          <w:r w:rsidR="00E85E86">
            <w:instrText xml:space="preserve"> CITATION JointGuidancev2021 \l 2057 </w:instrText>
          </w:r>
          <w:r w:rsidR="00E85E86">
            <w:fldChar w:fldCharType="separate"/>
          </w:r>
          <w:r w:rsidR="00717D5C">
            <w:rPr>
              <w:noProof/>
            </w:rPr>
            <w:t>[35]</w:t>
          </w:r>
          <w:r w:rsidR="00E85E86">
            <w:fldChar w:fldCharType="end"/>
          </w:r>
        </w:sdtContent>
      </w:sdt>
      <w:r>
        <w:t>.</w:t>
      </w:r>
    </w:p>
    <w:p w14:paraId="18D28491" w14:textId="7DB248FF" w:rsidR="00347437" w:rsidRDefault="00347437" w:rsidP="00C83E22">
      <w:pPr>
        <w:pStyle w:val="Heading3"/>
      </w:pPr>
      <w:r>
        <w:t>Generation</w:t>
      </w:r>
    </w:p>
    <w:p w14:paraId="17DC7D83" w14:textId="32D4D047" w:rsidR="003C4A54" w:rsidRDefault="004F6E37" w:rsidP="00D61F54">
      <w:pPr>
        <w:pStyle w:val="F9-Paragraph"/>
      </w:pPr>
      <w:r w:rsidRPr="004F6E37">
        <w:t>The generation of radioactive waste should be prevented or, where this is not reasonably practicable, minimised in terms of quantity and activity</w:t>
      </w:r>
      <w:r w:rsidR="005A7D39">
        <w:t>,</w:t>
      </w:r>
      <w:r>
        <w:t xml:space="preserve"> and t</w:t>
      </w:r>
      <w:r w:rsidR="00391483" w:rsidRPr="00391483">
        <w:t>he total quantity of radioactive waste accumulated on site at any time should be minimised so far as is reasonably practicable</w:t>
      </w:r>
      <w:r w:rsidR="00391483">
        <w:t xml:space="preserve">. </w:t>
      </w:r>
      <w:r w:rsidR="002B4481">
        <w:t>LC</w:t>
      </w:r>
      <w:r w:rsidR="003C4A54">
        <w:t>32 requires licensees to make and implement adequate arrangements for minimising, so far as is reasonably practicable, the rate of production and total quantity of radioactive waste accumulated on site.</w:t>
      </w:r>
      <w:r w:rsidR="002D3448">
        <w:t xml:space="preserve"> </w:t>
      </w:r>
      <w:r w:rsidR="00BB576A">
        <w:t>LC4</w:t>
      </w:r>
      <w:r w:rsidR="002D3448" w:rsidRPr="002D3448">
        <w:t xml:space="preserve"> requires licensees to ensure that no nuclear matter</w:t>
      </w:r>
      <w:r w:rsidR="009A4906">
        <w:t>, which includes radioactive waste,</w:t>
      </w:r>
      <w:r w:rsidR="002D3448" w:rsidRPr="002D3448">
        <w:t xml:space="preserve"> is stored or brought onto site, except in accordance with adequate arrangements for this purpose.</w:t>
      </w:r>
    </w:p>
    <w:p w14:paraId="22F247EE" w14:textId="3E0E36D1" w:rsidR="00BD1231" w:rsidRDefault="00BD1231" w:rsidP="001F7EFA">
      <w:pPr>
        <w:pStyle w:val="Heading4"/>
      </w:pPr>
      <w:r>
        <w:t>Prevention and minimisation</w:t>
      </w:r>
    </w:p>
    <w:p w14:paraId="32FCA8F0" w14:textId="7585FFBD" w:rsidR="00BD1231" w:rsidRDefault="00D237F8">
      <w:pPr>
        <w:pStyle w:val="F9-Paragraph"/>
      </w:pPr>
      <w:r>
        <w:t xml:space="preserve">The licensee should demonstrate that adequate steps have been taken to avoid the creation of radioactive waste, and then to minimise the amount generated in terms of both volume and activity. </w:t>
      </w:r>
      <w:r w:rsidR="00C61BC1">
        <w:t>This</w:t>
      </w:r>
      <w:r w:rsidR="00AF1A82">
        <w:t xml:space="preserve"> </w:t>
      </w:r>
      <w:r w:rsidR="00D134A4">
        <w:t>should be based on a</w:t>
      </w:r>
      <w:r w:rsidR="007C6200">
        <w:t>pplication of the waste hierarchy</w:t>
      </w:r>
      <w:r w:rsidR="00D134A4">
        <w:t xml:space="preserve"> </w:t>
      </w:r>
      <w:r w:rsidR="00BD1231" w:rsidRPr="00BD1231">
        <w:t>(also referred to as the waste management hierarchy)</w:t>
      </w:r>
      <w:r w:rsidR="00D134A4">
        <w:t>, which</w:t>
      </w:r>
      <w:r w:rsidR="00BD1231" w:rsidRPr="00BD1231">
        <w:t xml:space="preserve"> is a step wise approach</w:t>
      </w:r>
      <w:r w:rsidR="00D134A4">
        <w:t xml:space="preserve"> that</w:t>
      </w:r>
      <w:r w:rsidR="00BD1231" w:rsidRPr="00BD1231">
        <w:t xml:space="preserve"> should lead to the avoidance or minimisation of the production of radioactive waste</w:t>
      </w:r>
      <w:r w:rsidR="000F403A">
        <w:t>, including secondary waste</w:t>
      </w:r>
      <w:r w:rsidR="005E6A66">
        <w:t xml:space="preserve">. Inspectors should note that </w:t>
      </w:r>
      <w:r w:rsidR="00981C5E">
        <w:t xml:space="preserve">government policy expects the waste hierarchy to be used </w:t>
      </w:r>
      <w:r w:rsidR="00981C5E" w:rsidRPr="00DE288D">
        <w:t>as a framework for decision-making for all radioactive waste across the UK</w:t>
      </w:r>
      <w:r w:rsidR="00D134A4">
        <w:t>.</w:t>
      </w:r>
    </w:p>
    <w:p w14:paraId="68EB0791" w14:textId="60EDC2AC" w:rsidR="00D134A4" w:rsidRDefault="00DC7FCA" w:rsidP="001F7EFA">
      <w:pPr>
        <w:pStyle w:val="F9-Paragraph"/>
      </w:pPr>
      <w:r>
        <w:lastRenderedPageBreak/>
        <w:t>The licensee’s approach to minimising the generation of radioactive waste should also include the following aspects:</w:t>
      </w:r>
    </w:p>
    <w:p w14:paraId="6669ECA1" w14:textId="08CA1945" w:rsidR="00CD63A7" w:rsidRDefault="00981C5E" w:rsidP="00BD1231">
      <w:pPr>
        <w:pStyle w:val="Bulletlist1"/>
      </w:pPr>
      <w:r>
        <w:t>S</w:t>
      </w:r>
      <w:r w:rsidR="00E77B1A">
        <w:t xml:space="preserve">election of </w:t>
      </w:r>
      <w:r w:rsidR="00332B7E">
        <w:t xml:space="preserve">appropriate </w:t>
      </w:r>
      <w:r w:rsidR="00EE1EB2">
        <w:t>process</w:t>
      </w:r>
      <w:r>
        <w:t xml:space="preserve"> and </w:t>
      </w:r>
      <w:r w:rsidR="00EE1EB2">
        <w:t xml:space="preserve">facility </w:t>
      </w:r>
      <w:r w:rsidR="00332B7E">
        <w:t>design features</w:t>
      </w:r>
      <w:r w:rsidR="000F4311">
        <w:t xml:space="preserve">, </w:t>
      </w:r>
      <w:r w:rsidR="00ED423C">
        <w:t xml:space="preserve">for example </w:t>
      </w:r>
      <w:r w:rsidR="0069027B">
        <w:t xml:space="preserve">appropriate material selection to </w:t>
      </w:r>
      <w:r w:rsidR="007D5A93">
        <w:t xml:space="preserve">minimise the generation and release of activation products, </w:t>
      </w:r>
      <w:r w:rsidR="00621119">
        <w:t>or</w:t>
      </w:r>
      <w:r w:rsidR="00780C4D">
        <w:t xml:space="preserve"> the use of reliable and </w:t>
      </w:r>
      <w:r w:rsidR="00E51D15">
        <w:t xml:space="preserve">effective techniques and equipment to minimise the </w:t>
      </w:r>
      <w:r w:rsidR="00FB56BC">
        <w:t xml:space="preserve">generation of </w:t>
      </w:r>
      <w:r w:rsidR="007D541A">
        <w:t>waste from</w:t>
      </w:r>
      <w:r w:rsidR="00CD63A7">
        <w:t xml:space="preserve"> repair/replacement;</w:t>
      </w:r>
    </w:p>
    <w:p w14:paraId="4F7D97ED" w14:textId="35F39063" w:rsidR="00431C6B" w:rsidRDefault="00E72563" w:rsidP="00BD1231">
      <w:pPr>
        <w:pStyle w:val="Bulletlist1"/>
      </w:pPr>
      <w:r>
        <w:t>S</w:t>
      </w:r>
      <w:r w:rsidR="00B93A56">
        <w:t xml:space="preserve">election of </w:t>
      </w:r>
      <w:r w:rsidR="00332B7E">
        <w:t xml:space="preserve">operational procedures that </w:t>
      </w:r>
      <w:r w:rsidR="003C71DF">
        <w:t>facilitate waste minimisation</w:t>
      </w:r>
      <w:r w:rsidR="00275788">
        <w:t>, including minimisation of secondary waste</w:t>
      </w:r>
      <w:r w:rsidR="00EC33D8">
        <w:t xml:space="preserve">, for example by keeping non-radioactive material out of controlled areas to </w:t>
      </w:r>
      <w:r w:rsidR="00E45E87">
        <w:t>avoid contamination</w:t>
      </w:r>
      <w:r w:rsidR="007B0FAF">
        <w:t>,</w:t>
      </w:r>
      <w:r w:rsidR="004F2DCB">
        <w:t xml:space="preserve"> </w:t>
      </w:r>
      <w:r w:rsidR="007B0FAF">
        <w:t>segregating waste streams</w:t>
      </w:r>
      <w:r w:rsidR="002903A2" w:rsidRPr="002903A2">
        <w:t xml:space="preserve"> </w:t>
      </w:r>
      <w:r w:rsidR="002903A2">
        <w:t xml:space="preserve">to </w:t>
      </w:r>
      <w:r w:rsidR="004F2DCB">
        <w:t xml:space="preserve">minimise </w:t>
      </w:r>
      <w:r w:rsidR="00B008FF">
        <w:t xml:space="preserve">the volume of waste to be managed, and clearance of waste that is exempt from </w:t>
      </w:r>
      <w:r w:rsidR="003764F6">
        <w:t>environmental permitting</w:t>
      </w:r>
      <w:r w:rsidR="00C9380D">
        <w:t>;</w:t>
      </w:r>
    </w:p>
    <w:p w14:paraId="7712FD87" w14:textId="4FED5BF4" w:rsidR="002511E7" w:rsidRDefault="00144524" w:rsidP="00DC4C44">
      <w:pPr>
        <w:pStyle w:val="Bulletlist1"/>
      </w:pPr>
      <w:r>
        <w:t xml:space="preserve">Preventing the spread of contamination and </w:t>
      </w:r>
      <w:r w:rsidR="00A77467">
        <w:t>decontamination of zones and equipment</w:t>
      </w:r>
      <w:r w:rsidR="00DC4C44">
        <w:t>;</w:t>
      </w:r>
    </w:p>
    <w:p w14:paraId="75F5DDDE" w14:textId="7D2B12F6" w:rsidR="00A77467" w:rsidRDefault="00F9461C" w:rsidP="00BD1231">
      <w:pPr>
        <w:pStyle w:val="Bulletlist1"/>
      </w:pPr>
      <w:r>
        <w:t>Recycling and reusing material and equipment;</w:t>
      </w:r>
      <w:r w:rsidR="001331E6">
        <w:t xml:space="preserve"> and</w:t>
      </w:r>
    </w:p>
    <w:p w14:paraId="1631700F" w14:textId="0FA7D429" w:rsidR="00DC4C44" w:rsidRDefault="001331E6" w:rsidP="00BD1231">
      <w:pPr>
        <w:pStyle w:val="Bulletlist1"/>
      </w:pPr>
      <w:r>
        <w:t>Appropriate use of pre-treatment</w:t>
      </w:r>
      <w:r w:rsidR="00B350B2">
        <w:t xml:space="preserve">, such as decontamination (see section </w:t>
      </w:r>
      <w:r w:rsidR="00B350B2">
        <w:fldChar w:fldCharType="begin"/>
      </w:r>
      <w:r w:rsidR="00B350B2">
        <w:instrText xml:space="preserve"> REF _Ref185950222 \r \h </w:instrText>
      </w:r>
      <w:r w:rsidR="00B350B2">
        <w:fldChar w:fldCharType="separate"/>
      </w:r>
      <w:r w:rsidR="00B350B2">
        <w:rPr>
          <w:cs/>
        </w:rPr>
        <w:t>‎</w:t>
      </w:r>
      <w:r w:rsidR="00B350B2">
        <w:t>6.5.2.3</w:t>
      </w:r>
      <w:r w:rsidR="00B350B2">
        <w:fldChar w:fldCharType="end"/>
      </w:r>
      <w:r w:rsidR="00B350B2">
        <w:t xml:space="preserve"> for further guidance on pre-treatment operations).</w:t>
      </w:r>
    </w:p>
    <w:p w14:paraId="6248F389" w14:textId="7B3AD05F" w:rsidR="00E67C18" w:rsidRDefault="00E67C18" w:rsidP="003C4A54">
      <w:pPr>
        <w:pStyle w:val="F9-Paragraph"/>
      </w:pPr>
      <w:r w:rsidRPr="00CD4158">
        <w:t>Inspectors should note that licensees are</w:t>
      </w:r>
      <w:r w:rsidR="00FA2356">
        <w:t xml:space="preserve"> also</w:t>
      </w:r>
      <w:r w:rsidRPr="00CD4158">
        <w:t xml:space="preserve"> required by the environment agencies to demonstrate that waste </w:t>
      </w:r>
      <w:r w:rsidR="00A12FE8">
        <w:t>disposal</w:t>
      </w:r>
      <w:r w:rsidRPr="00CD4158">
        <w:t xml:space="preserve"> ha</w:t>
      </w:r>
      <w:r w:rsidR="00357245">
        <w:t>s</w:t>
      </w:r>
      <w:r w:rsidRPr="00CD4158">
        <w:t xml:space="preserve"> been optimised </w:t>
      </w:r>
      <w:r w:rsidR="00FA2356">
        <w:t>through the use of</w:t>
      </w:r>
      <w:r w:rsidRPr="00CD4158">
        <w:t xml:space="preserve"> BAT</w:t>
      </w:r>
      <w:r w:rsidR="001004A2">
        <w:t>/BPM</w:t>
      </w:r>
      <w:r w:rsidRPr="00CD4158">
        <w:t xml:space="preserve">. This should be balanced with our requirement for risks to be </w:t>
      </w:r>
      <w:r w:rsidR="00BA1E99" w:rsidRPr="00CD4158">
        <w:t xml:space="preserve">reduced </w:t>
      </w:r>
      <w:r w:rsidRPr="00CD4158">
        <w:t xml:space="preserve">ALARP (see NS-TAST-GD-005 on the demonstration of ALARP </w:t>
      </w:r>
      <w:sdt>
        <w:sdtPr>
          <w:id w:val="976886757"/>
          <w:citation/>
        </w:sdtPr>
        <w:sdtContent>
          <w:r w:rsidR="00BA1E99" w:rsidRPr="00CD4158">
            <w:fldChar w:fldCharType="begin"/>
          </w:r>
          <w:r w:rsidR="00BA1E99" w:rsidRPr="00CD4158">
            <w:instrText xml:space="preserve"> CITATION TAG05_Sep24 \l 2057 </w:instrText>
          </w:r>
          <w:r w:rsidR="00BA1E99" w:rsidRPr="00CD4158">
            <w:fldChar w:fldCharType="separate"/>
          </w:r>
          <w:r w:rsidR="00717D5C">
            <w:rPr>
              <w:noProof/>
            </w:rPr>
            <w:t>[39]</w:t>
          </w:r>
          <w:r w:rsidR="00BA1E99" w:rsidRPr="00CD4158">
            <w:fldChar w:fldCharType="end"/>
          </w:r>
        </w:sdtContent>
      </w:sdt>
      <w:r w:rsidRPr="00CD4158">
        <w:t>).</w:t>
      </w:r>
    </w:p>
    <w:p w14:paraId="7461E106" w14:textId="7165EFA8" w:rsidR="003C4A54" w:rsidRDefault="003C4A54" w:rsidP="003C4A54">
      <w:pPr>
        <w:pStyle w:val="F9-Paragraph"/>
      </w:pPr>
      <w:r>
        <w:t>The generation of wastes that may be difficult to convert into a passive form for storage</w:t>
      </w:r>
      <w:r w:rsidR="00C90854">
        <w:t>,</w:t>
      </w:r>
      <w:r>
        <w:t xml:space="preserve"> or for which there is no obvious disposal route</w:t>
      </w:r>
      <w:r w:rsidR="00C90854">
        <w:t>,</w:t>
      </w:r>
      <w:r>
        <w:t xml:space="preserve"> should be avoided</w:t>
      </w:r>
      <w:r w:rsidR="00253DBA">
        <w:t>.</w:t>
      </w:r>
      <w:r>
        <w:t xml:space="preserve"> </w:t>
      </w:r>
      <w:r w:rsidR="00E334EF">
        <w:t>T</w:t>
      </w:r>
      <w:r>
        <w:t xml:space="preserve">hese wastes may be classed by licensees as ‘problematic’ or ‘orphan’ wastes. Where these wastes exist, licensees should demonstrate adequate arrangements for their management, </w:t>
      </w:r>
      <w:r w:rsidR="00C120E0">
        <w:t>which should include</w:t>
      </w:r>
      <w:r w:rsidR="00CB4C17">
        <w:t xml:space="preserve"> </w:t>
      </w:r>
      <w:r w:rsidR="00AF37C1">
        <w:t xml:space="preserve">a </w:t>
      </w:r>
      <w:r w:rsidR="00252B0B">
        <w:t>research and</w:t>
      </w:r>
      <w:r w:rsidR="00E97F00">
        <w:t xml:space="preserve"> develop</w:t>
      </w:r>
      <w:r w:rsidR="00252B0B">
        <w:t>ment</w:t>
      </w:r>
      <w:r w:rsidR="00AF37C1">
        <w:t xml:space="preserve"> plan</w:t>
      </w:r>
      <w:r w:rsidR="00252B0B">
        <w:t xml:space="preserve"> to </w:t>
      </w:r>
      <w:r w:rsidR="000F7609">
        <w:t>develop</w:t>
      </w:r>
      <w:r w:rsidR="00E97F00">
        <w:t xml:space="preserve"> a lifecycle </w:t>
      </w:r>
      <w:r w:rsidR="00EF6DA2">
        <w:t xml:space="preserve">management solution </w:t>
      </w:r>
      <w:r w:rsidR="008B2043">
        <w:t xml:space="preserve">for the waste. </w:t>
      </w:r>
      <w:r w:rsidR="00BB11E4">
        <w:t>F</w:t>
      </w:r>
      <w:r>
        <w:t xml:space="preserve">urther arisings of problematic wastes </w:t>
      </w:r>
      <w:r w:rsidR="00E334EF">
        <w:t xml:space="preserve">should be </w:t>
      </w:r>
      <w:r>
        <w:t>minimised.</w:t>
      </w:r>
    </w:p>
    <w:p w14:paraId="60FF43D4" w14:textId="451CD81F" w:rsidR="0098127E" w:rsidRPr="00210392" w:rsidRDefault="002B5AC2" w:rsidP="0098127E">
      <w:pPr>
        <w:pStyle w:val="F9-Paragraph"/>
      </w:pPr>
      <w:r>
        <w:t>Noting that</w:t>
      </w:r>
      <w:r w:rsidR="00E37F3D">
        <w:t xml:space="preserve"> LC4(1) concerns </w:t>
      </w:r>
      <w:r>
        <w:t>the</w:t>
      </w:r>
      <w:r w:rsidR="00E37F3D">
        <w:t xml:space="preserve"> arrangements for nuclear matter brought onto the site</w:t>
      </w:r>
      <w:r w:rsidR="00DD5064">
        <w:t>,</w:t>
      </w:r>
      <w:r w:rsidR="00E37F3D" w:rsidRPr="00CD4158">
        <w:t xml:space="preserve"> </w:t>
      </w:r>
      <w:r w:rsidR="00DD5064">
        <w:t>i</w:t>
      </w:r>
      <w:r w:rsidR="00C34069" w:rsidRPr="00CD4158">
        <w:t>nspectors should note that g</w:t>
      </w:r>
      <w:r w:rsidR="0098127E" w:rsidRPr="00CD4158">
        <w:t xml:space="preserve">eneration </w:t>
      </w:r>
      <w:r w:rsidR="00C34069" w:rsidRPr="00CD4158">
        <w:t xml:space="preserve">is </w:t>
      </w:r>
      <w:r w:rsidR="0098127E" w:rsidRPr="00CD4158">
        <w:t xml:space="preserve">also </w:t>
      </w:r>
      <w:r w:rsidR="00C34069" w:rsidRPr="00CD4158">
        <w:t xml:space="preserve">considered to </w:t>
      </w:r>
      <w:r w:rsidR="00E43F28">
        <w:t>encompass</w:t>
      </w:r>
      <w:r w:rsidR="0098127E" w:rsidRPr="00CD4158">
        <w:t xml:space="preserve"> the transfer of radioactive waste from other national and international sites</w:t>
      </w:r>
      <w:r w:rsidR="007308E3">
        <w:t>. W</w:t>
      </w:r>
      <w:r w:rsidR="0098127E" w:rsidRPr="00CD4158">
        <w:t>here this occurs, ownership of the waste should be clear</w:t>
      </w:r>
      <w:r w:rsidR="00E21076" w:rsidRPr="00CD4158">
        <w:t xml:space="preserve"> and unequivocal</w:t>
      </w:r>
      <w:r w:rsidR="005D2D87" w:rsidRPr="00CD4158">
        <w:t xml:space="preserve"> and the respective </w:t>
      </w:r>
      <w:r w:rsidR="00143F9A" w:rsidRPr="00CD4158">
        <w:t xml:space="preserve">responsibilities of the </w:t>
      </w:r>
      <w:r w:rsidR="00835A8F" w:rsidRPr="00CD4158">
        <w:t>different organisations should be agreed</w:t>
      </w:r>
      <w:r w:rsidR="002366A6" w:rsidRPr="00CD4158">
        <w:t xml:space="preserve"> </w:t>
      </w:r>
      <w:r w:rsidR="009A7142">
        <w:t>(</w:t>
      </w:r>
      <w:r w:rsidR="002366A6" w:rsidRPr="00CD4158">
        <w:t>SRL P-</w:t>
      </w:r>
      <w:r w:rsidR="00852EDB" w:rsidRPr="00CD4158">
        <w:t xml:space="preserve">01, </w:t>
      </w:r>
      <w:r w:rsidR="00835A8F" w:rsidRPr="00CD4158">
        <w:t xml:space="preserve">P-06, </w:t>
      </w:r>
      <w:r w:rsidR="00852EDB" w:rsidRPr="00CD4158">
        <w:t>S-</w:t>
      </w:r>
      <w:r w:rsidR="00210392" w:rsidRPr="00CD4158">
        <w:t>04, S-06</w:t>
      </w:r>
      <w:r w:rsidR="009A7142">
        <w:t>)</w:t>
      </w:r>
      <w:r w:rsidR="0098127E" w:rsidRPr="00CD4158">
        <w:t>.</w:t>
      </w:r>
    </w:p>
    <w:p w14:paraId="3DE05722" w14:textId="49AFFFAF" w:rsidR="00CD1AE6" w:rsidRDefault="00841927" w:rsidP="001F7EFA">
      <w:pPr>
        <w:pStyle w:val="Heading4"/>
      </w:pPr>
      <w:r>
        <w:t>Characterisation and segregation</w:t>
      </w:r>
    </w:p>
    <w:p w14:paraId="5441B49B" w14:textId="7AD9169D" w:rsidR="000936EE" w:rsidRDefault="00900998" w:rsidP="00185464">
      <w:pPr>
        <w:pStyle w:val="F9-Paragraph"/>
      </w:pPr>
      <w:r w:rsidRPr="00900998">
        <w:t>Radioactive waste should be characterised and segregated to facilitate its subsequent safe and effective management</w:t>
      </w:r>
      <w:r w:rsidR="00B140EA">
        <w:t xml:space="preserve">, including </w:t>
      </w:r>
      <w:r w:rsidR="00FF5375">
        <w:t xml:space="preserve">subsequent </w:t>
      </w:r>
      <w:r w:rsidR="00E87791">
        <w:t>application of the waste hierarchy</w:t>
      </w:r>
      <w:r w:rsidR="002F180C">
        <w:t>, so far as is reasonably practicable</w:t>
      </w:r>
      <w:r w:rsidR="00185464">
        <w:t xml:space="preserve">. </w:t>
      </w:r>
      <w:r w:rsidR="003C4A54">
        <w:t xml:space="preserve">The </w:t>
      </w:r>
      <w:r w:rsidR="003C4A54">
        <w:lastRenderedPageBreak/>
        <w:t xml:space="preserve">waste should be characterised in terms of its </w:t>
      </w:r>
      <w:r w:rsidR="00F84BB4">
        <w:t xml:space="preserve">source or origin and its </w:t>
      </w:r>
      <w:r w:rsidR="003C4A54">
        <w:t>physical, mechanical, chemical, radiological</w:t>
      </w:r>
      <w:r w:rsidR="002615F2">
        <w:t>, fissile</w:t>
      </w:r>
      <w:r w:rsidR="003C4A54">
        <w:t xml:space="preserve"> and biological properties.</w:t>
      </w:r>
    </w:p>
    <w:p w14:paraId="30A188FC" w14:textId="7BA822FE" w:rsidR="00FC7FDD" w:rsidRDefault="003C4A54" w:rsidP="008353CE">
      <w:pPr>
        <w:pStyle w:val="F9-Paragraph"/>
      </w:pPr>
      <w:r>
        <w:t xml:space="preserve">Licensees should develop a systematic approach to characterisation that </w:t>
      </w:r>
      <w:r w:rsidR="00B2388F">
        <w:t xml:space="preserve">enables </w:t>
      </w:r>
      <w:r w:rsidR="008B72FA">
        <w:t>safe and effective management of the waste</w:t>
      </w:r>
      <w:r w:rsidR="00EA45A7">
        <w:t xml:space="preserve">, taking into account the intended approach to processing, storage and </w:t>
      </w:r>
      <w:r w:rsidR="001562FE">
        <w:t>disposal</w:t>
      </w:r>
      <w:r w:rsidR="00295BD7">
        <w:t xml:space="preserve"> and the extent of characterisation required to enable </w:t>
      </w:r>
      <w:r w:rsidR="00A5447F">
        <w:t xml:space="preserve">informed decisions about the subsequent management of the waste. </w:t>
      </w:r>
      <w:r w:rsidR="00FC7FDD">
        <w:t xml:space="preserve">The characterisation methods should be justified, and may include </w:t>
      </w:r>
      <w:r w:rsidR="00840BCE">
        <w:t xml:space="preserve">destructive and non-destructive </w:t>
      </w:r>
      <w:r w:rsidR="00FC7FDD">
        <w:t xml:space="preserve">measurements, sampling and analysis, as well as indirect methods based on process control and process knowledge. </w:t>
      </w:r>
      <w:r w:rsidR="00F90EDD">
        <w:t xml:space="preserve">Characterisation should be done as soon as practicable in the waste lifecycle to inform onward management, but further characterisation may be required at any of the subsequent steps. </w:t>
      </w:r>
    </w:p>
    <w:p w14:paraId="00CFE91C" w14:textId="3C794047" w:rsidR="003C4A54" w:rsidRDefault="00CF4E34" w:rsidP="008353CE">
      <w:pPr>
        <w:pStyle w:val="F9-Paragraph"/>
      </w:pPr>
      <w:r>
        <w:t xml:space="preserve">Some radioactive waste may also be identified as </w:t>
      </w:r>
      <w:r w:rsidR="00664728">
        <w:t xml:space="preserve">Qualifying Nuclear Material (QNM) </w:t>
      </w:r>
      <w:r w:rsidR="001275DF">
        <w:t>under the Nuclear Safeguards (EU Exit) Regulations 2019 (NSR19)</w:t>
      </w:r>
      <w:sdt>
        <w:sdtPr>
          <w:id w:val="-1857110333"/>
          <w:citation/>
        </w:sdtPr>
        <w:sdtContent>
          <w:r w:rsidR="00957338">
            <w:fldChar w:fldCharType="begin"/>
          </w:r>
          <w:r w:rsidR="00957338">
            <w:instrText xml:space="preserve"> CITATION NSR19 \l 2057 </w:instrText>
          </w:r>
          <w:r w:rsidR="00957338">
            <w:fldChar w:fldCharType="separate"/>
          </w:r>
          <w:r w:rsidR="00717D5C">
            <w:rPr>
              <w:noProof/>
            </w:rPr>
            <w:t xml:space="preserve"> [40]</w:t>
          </w:r>
          <w:r w:rsidR="00957338">
            <w:fldChar w:fldCharType="end"/>
          </w:r>
        </w:sdtContent>
      </w:sdt>
      <w:r w:rsidR="001275DF">
        <w:t xml:space="preserve">. </w:t>
      </w:r>
      <w:r w:rsidR="008A6473">
        <w:t xml:space="preserve">Licensees should also </w:t>
      </w:r>
      <w:r w:rsidR="00CF0963">
        <w:t>consider</w:t>
      </w:r>
      <w:r w:rsidR="008A6473">
        <w:t xml:space="preserve"> any characterisation requirements for Nuclear Material Accountancy and Control (NMAC) purposes</w:t>
      </w:r>
      <w:r w:rsidR="00A979F7">
        <w:t xml:space="preserve"> when developing the objectives for characterisation</w:t>
      </w:r>
      <w:r w:rsidR="008A6473">
        <w:t>.</w:t>
      </w:r>
    </w:p>
    <w:p w14:paraId="388F584E" w14:textId="4B1B8115" w:rsidR="007879D4" w:rsidRDefault="003C4A54" w:rsidP="00DA03A9">
      <w:pPr>
        <w:pStyle w:val="F9-Paragraph"/>
      </w:pPr>
      <w:r>
        <w:t>Segregation involves accumulating those materials with similar characteristics, and separating or avoiding mixing those with different characteristics</w:t>
      </w:r>
      <w:r w:rsidR="00252A8A">
        <w:t>,</w:t>
      </w:r>
      <w:r w:rsidR="007F6BCA">
        <w:t xml:space="preserve"> includ</w:t>
      </w:r>
      <w:r w:rsidR="00252A8A">
        <w:t>ing</w:t>
      </w:r>
      <w:r w:rsidR="007F6BCA">
        <w:t xml:space="preserve"> consideration of </w:t>
      </w:r>
      <w:r w:rsidR="007C3771">
        <w:t xml:space="preserve">the radioactive classification of the waste and other </w:t>
      </w:r>
      <w:r w:rsidR="00FD228F">
        <w:t>hazardous properties</w:t>
      </w:r>
      <w:r w:rsidR="00807AFF">
        <w:t>.</w:t>
      </w:r>
    </w:p>
    <w:p w14:paraId="6CBD6623" w14:textId="4A1716A3" w:rsidR="003C4A54" w:rsidRDefault="003C4A54" w:rsidP="00DA03A9">
      <w:pPr>
        <w:pStyle w:val="F9-Paragraph"/>
      </w:pPr>
      <w:r>
        <w:t>Where practicable, radioactive waste should be segregated as close to the point of generation as possible</w:t>
      </w:r>
      <w:r w:rsidR="00A21E08">
        <w:t xml:space="preserve">, </w:t>
      </w:r>
      <w:r w:rsidR="00A70A3E">
        <w:t>taking account of</w:t>
      </w:r>
      <w:r w:rsidR="008A53AC">
        <w:t xml:space="preserve"> the </w:t>
      </w:r>
      <w:r w:rsidR="00A70A3E">
        <w:t>intended approach to processing, storage and disposal</w:t>
      </w:r>
      <w:r>
        <w:t xml:space="preserve">. Segregation is most effective if it is </w:t>
      </w:r>
      <w:r w:rsidR="00A70A3E">
        <w:t>considered</w:t>
      </w:r>
      <w:r>
        <w:t xml:space="preserve"> at the process design stage and can contribute significantly to the safe </w:t>
      </w:r>
      <w:r w:rsidR="007E2AFE">
        <w:t xml:space="preserve">and effective </w:t>
      </w:r>
      <w:r>
        <w:t>management of radioactive waste</w:t>
      </w:r>
      <w:r w:rsidR="00ED3EB1">
        <w:t xml:space="preserve"> at subsequent stages of the lifecycle</w:t>
      </w:r>
      <w:r>
        <w:t xml:space="preserve">. Some legacy wastes have arisen because incompatible wastes have been mixed inappropriately, without due consideration of </w:t>
      </w:r>
      <w:r w:rsidR="00EE4F37">
        <w:t>subsequent management steps</w:t>
      </w:r>
      <w:r>
        <w:t>.</w:t>
      </w:r>
    </w:p>
    <w:p w14:paraId="1923E31A" w14:textId="235BACC2" w:rsidR="00A943A8" w:rsidRDefault="00E82079" w:rsidP="007C3771">
      <w:pPr>
        <w:pStyle w:val="Heading3"/>
      </w:pPr>
      <w:r>
        <w:t>Processing</w:t>
      </w:r>
    </w:p>
    <w:p w14:paraId="322BCE1B" w14:textId="0B5520DE" w:rsidR="00831470" w:rsidRDefault="00923334" w:rsidP="00DB55C1">
      <w:pPr>
        <w:pStyle w:val="F9-Paragraph"/>
      </w:pPr>
      <w:r>
        <w:t>Radioactive waste should be processed as close to the point of generation as practicable</w:t>
      </w:r>
      <w:r w:rsidR="000D114D">
        <w:t>,</w:t>
      </w:r>
      <w:r>
        <w:t xml:space="preserve"> </w:t>
      </w:r>
      <w:r w:rsidR="000302DA">
        <w:t>with the ultimate goal of producing a waste product that is suitable for subsequent waste management steps including storage and disposal</w:t>
      </w:r>
      <w:r>
        <w:t xml:space="preserve"> </w:t>
      </w:r>
      <w:r w:rsidR="004B025D">
        <w:t>(</w:t>
      </w:r>
      <w:r w:rsidR="00AA08F5">
        <w:t>SRL P-</w:t>
      </w:r>
      <w:r w:rsidR="007E6B9E">
        <w:t>27</w:t>
      </w:r>
      <w:r w:rsidR="004B025D">
        <w:t>)</w:t>
      </w:r>
      <w:r>
        <w:t>.</w:t>
      </w:r>
    </w:p>
    <w:p w14:paraId="77EA73A6" w14:textId="77777777" w:rsidR="006A5319" w:rsidRDefault="006A5319" w:rsidP="006A5319">
      <w:pPr>
        <w:pStyle w:val="Heading4"/>
      </w:pPr>
      <w:r>
        <w:t>Timing of processing</w:t>
      </w:r>
    </w:p>
    <w:p w14:paraId="78639B37" w14:textId="45C59A16" w:rsidR="006A5319" w:rsidRDefault="006A5319" w:rsidP="006A5319">
      <w:pPr>
        <w:pStyle w:val="F9-Paragraph"/>
      </w:pPr>
      <w:r>
        <w:t>Radioactive waste should be processed into a passively safe state as soon as is reasonably practicable</w:t>
      </w:r>
      <w:r w:rsidR="00DE211C">
        <w:t>, and</w:t>
      </w:r>
      <w:r w:rsidRPr="00120D3A">
        <w:t xml:space="preserve"> </w:t>
      </w:r>
      <w:r w:rsidR="00DE211C">
        <w:t>t</w:t>
      </w:r>
      <w:r>
        <w:t xml:space="preserve">he timing should be justified based on an appropriate balance of relevant factors. SAP RW.6 (paragraph 820) </w:t>
      </w:r>
      <w:sdt>
        <w:sdtPr>
          <w:id w:val="-1630467481"/>
          <w:citation/>
        </w:sdtPr>
        <w:sdtContent>
          <w:r>
            <w:fldChar w:fldCharType="begin"/>
          </w:r>
          <w:r>
            <w:instrText xml:space="preserve"> CITATION ONR2013 \l 2057 </w:instrText>
          </w:r>
          <w:r>
            <w:fldChar w:fldCharType="separate"/>
          </w:r>
          <w:r w:rsidR="00717D5C">
            <w:rPr>
              <w:noProof/>
            </w:rPr>
            <w:t>[1]</w:t>
          </w:r>
          <w:r>
            <w:fldChar w:fldCharType="end"/>
          </w:r>
        </w:sdtContent>
      </w:sdt>
      <w:r w:rsidRPr="00CB7E2D">
        <w:t xml:space="preserve"> </w:t>
      </w:r>
      <w:r>
        <w:t>provides guidance on factors that could influence the timing of processing radioactive waste into a passively safe state.</w:t>
      </w:r>
    </w:p>
    <w:p w14:paraId="5424631C" w14:textId="6A308AA2" w:rsidR="006A5319" w:rsidRDefault="006A5319" w:rsidP="006A5319">
      <w:pPr>
        <w:pStyle w:val="F9-Paragraph"/>
      </w:pPr>
      <w:r>
        <w:t>Where there are significant uncertainties around disposability, there is a risk that processing the waste may</w:t>
      </w:r>
      <w:r w:rsidR="00BD106F">
        <w:t xml:space="preserve"> unduly</w:t>
      </w:r>
      <w:r>
        <w:t xml:space="preserve"> foreclose options for future disposal. </w:t>
      </w:r>
      <w:r>
        <w:lastRenderedPageBreak/>
        <w:t>In such cases, it may still be appropriate for ONR to permission the processing of the waste but inspectors should engage with the relevant environment</w:t>
      </w:r>
      <w:r w:rsidR="00057BE0">
        <w:t>al</w:t>
      </w:r>
      <w:r>
        <w:t xml:space="preserve"> agency to understand the risk of generati</w:t>
      </w:r>
      <w:r w:rsidR="00057BE0">
        <w:t>ng a</w:t>
      </w:r>
      <w:r>
        <w:t xml:space="preserve"> waste for which no disposal routes w</w:t>
      </w:r>
      <w:r w:rsidR="00FF7A6C">
        <w:t>ould</w:t>
      </w:r>
      <w:r>
        <w:t xml:space="preserve"> be available.</w:t>
      </w:r>
      <w:r w:rsidR="0065471D">
        <w:t xml:space="preserve"> The absence of a disposal route is inconsistent with LC32 requirements on minimising accumulations of radioactive waste onsite.</w:t>
      </w:r>
    </w:p>
    <w:p w14:paraId="4A9D48E3" w14:textId="3FEA1DCC" w:rsidR="006A5319" w:rsidRDefault="0056015D" w:rsidP="006A5319">
      <w:pPr>
        <w:pStyle w:val="Heading4"/>
      </w:pPr>
      <w:r>
        <w:t>Achieving p</w:t>
      </w:r>
      <w:r w:rsidR="006A5319">
        <w:t>assive safety</w:t>
      </w:r>
    </w:p>
    <w:p w14:paraId="7D213C50" w14:textId="0AE2EB00" w:rsidR="00E42FB3" w:rsidRDefault="00475992">
      <w:pPr>
        <w:pStyle w:val="F9-Paragraph"/>
      </w:pPr>
      <w:r>
        <w:t>Passive safety</w:t>
      </w:r>
      <w:r w:rsidR="00134E29">
        <w:t xml:space="preserve"> is most appropriately achieved by</w:t>
      </w:r>
      <w:r w:rsidR="00E42FB3">
        <w:t>:</w:t>
      </w:r>
    </w:p>
    <w:p w14:paraId="60BA5D4D" w14:textId="217906C0" w:rsidR="00300BF0" w:rsidRDefault="00E7382B" w:rsidP="00E42FB3">
      <w:pPr>
        <w:pStyle w:val="Bulletlist1"/>
      </w:pPr>
      <w:r>
        <w:t>Processing the waste such that t</w:t>
      </w:r>
      <w:r w:rsidR="00C1731A">
        <w:t>he</w:t>
      </w:r>
      <w:r w:rsidR="00920BF0">
        <w:t xml:space="preserve"> </w:t>
      </w:r>
      <w:r w:rsidR="00C1731A">
        <w:t>waste form and its container are physically and chemically stable</w:t>
      </w:r>
      <w:r w:rsidR="000910F0">
        <w:t>,</w:t>
      </w:r>
      <w:r w:rsidR="00C1731A">
        <w:t xml:space="preserve"> energy is removed from the waste form </w:t>
      </w:r>
      <w:r w:rsidR="00733C52">
        <w:t>so far as is reasonably practicable</w:t>
      </w:r>
      <w:r w:rsidR="00FA6B6C">
        <w:t>,</w:t>
      </w:r>
      <w:r w:rsidR="000910F0">
        <w:t xml:space="preserve"> and the </w:t>
      </w:r>
      <w:r w:rsidR="0077466F">
        <w:t>radioactivity</w:t>
      </w:r>
      <w:r w:rsidR="000910F0">
        <w:t xml:space="preserve"> is </w:t>
      </w:r>
      <w:r w:rsidR="006A5319">
        <w:t>immobilised</w:t>
      </w:r>
      <w:r w:rsidR="00CB751B">
        <w:t xml:space="preserve"> (</w:t>
      </w:r>
      <w:r w:rsidR="006A5319">
        <w:t>noting that for some wastes the radioactivity may be inherently immobile, such as activated uncontaminated metals</w:t>
      </w:r>
      <w:r w:rsidR="00CB751B">
        <w:t>)</w:t>
      </w:r>
      <w:r w:rsidR="00FA6B6C">
        <w:t xml:space="preserve">; </w:t>
      </w:r>
      <w:r w:rsidR="0077058F">
        <w:t>and,</w:t>
      </w:r>
    </w:p>
    <w:p w14:paraId="46135D5D" w14:textId="67834E79" w:rsidR="006E1252" w:rsidRDefault="00EA5471">
      <w:pPr>
        <w:pStyle w:val="Bulletlist1"/>
      </w:pPr>
      <w:r>
        <w:t>Placing the</w:t>
      </w:r>
      <w:r w:rsidR="00505D7E">
        <w:t xml:space="preserve"> </w:t>
      </w:r>
      <w:r w:rsidR="006A5319">
        <w:t xml:space="preserve">waste in a storage facility where the </w:t>
      </w:r>
      <w:r w:rsidR="00784EDC">
        <w:t xml:space="preserve">safety functions are provided by passive systems and the </w:t>
      </w:r>
      <w:r w:rsidR="006A5319">
        <w:t>conditions have been optimised to support the long-term physical and chemical stability of the waste form and its container.</w:t>
      </w:r>
    </w:p>
    <w:p w14:paraId="0359B6CA" w14:textId="222AEC3E" w:rsidR="006A5319" w:rsidRDefault="006A5319" w:rsidP="006E1252">
      <w:pPr>
        <w:pStyle w:val="F9-Paragraph"/>
        <w:numPr>
          <w:ilvl w:val="0"/>
          <w:numId w:val="0"/>
        </w:numPr>
        <w:ind w:left="851"/>
      </w:pPr>
      <w:r>
        <w:t xml:space="preserve">SAP RW.5 (paragraphs 812 – 813) </w:t>
      </w:r>
      <w:sdt>
        <w:sdtPr>
          <w:id w:val="-1098169650"/>
          <w:citation/>
        </w:sdtPr>
        <w:sdtContent>
          <w:r>
            <w:fldChar w:fldCharType="begin"/>
          </w:r>
          <w:r>
            <w:instrText xml:space="preserve"> CITATION ONR2013 \l 2057 </w:instrText>
          </w:r>
          <w:r>
            <w:fldChar w:fldCharType="separate"/>
          </w:r>
          <w:r w:rsidR="00717D5C">
            <w:rPr>
              <w:noProof/>
            </w:rPr>
            <w:t>[1]</w:t>
          </w:r>
          <w:r>
            <w:fldChar w:fldCharType="end"/>
          </w:r>
        </w:sdtContent>
      </w:sdt>
      <w:r>
        <w:t xml:space="preserve"> provides further guidance on the characteristics of the waste package and storage facility that contribute to achieving passive safety.</w:t>
      </w:r>
    </w:p>
    <w:p w14:paraId="09DB640E" w14:textId="5F5490F0" w:rsidR="00F80F78" w:rsidRDefault="00F80F78" w:rsidP="00F80F78">
      <w:pPr>
        <w:pStyle w:val="F9-Paragraph"/>
      </w:pPr>
      <w:r>
        <w:t>There should be multiple physical barriers to the release of radioactivity to both the store and the wider environment, to minimise the risk of spreading contamination. These barriers may include the waste form, the waste container and</w:t>
      </w:r>
      <w:r w:rsidR="00E134C4">
        <w:t>/or</w:t>
      </w:r>
      <w:r>
        <w:t xml:space="preserve"> the storage facility itself.</w:t>
      </w:r>
    </w:p>
    <w:p w14:paraId="6219D4C4" w14:textId="5C6411C6" w:rsidR="00E7382B" w:rsidRDefault="00A25530" w:rsidP="006F4FF5">
      <w:pPr>
        <w:pStyle w:val="F9-Paragraph"/>
      </w:pPr>
      <w:r w:rsidRPr="00724E59">
        <w:t xml:space="preserve">Where it is proposed to defer the processing of </w:t>
      </w:r>
      <w:r w:rsidR="00BF4CAF" w:rsidRPr="00724E59">
        <w:t>radioactive waste into a passively safe</w:t>
      </w:r>
      <w:r w:rsidR="00FF7E35" w:rsidRPr="00724E59">
        <w:t xml:space="preserve"> state</w:t>
      </w:r>
      <w:r w:rsidR="00113216" w:rsidRPr="00724E59">
        <w:t xml:space="preserve">, </w:t>
      </w:r>
      <w:r w:rsidR="00960F36" w:rsidRPr="00724E59">
        <w:t xml:space="preserve">it should be contained in a manner that avoids deterioration and allows retrieval for </w:t>
      </w:r>
      <w:r w:rsidR="002A7B0E">
        <w:t xml:space="preserve">future </w:t>
      </w:r>
      <w:r w:rsidR="00960F36" w:rsidRPr="00724E59">
        <w:t>processing and eventual disposal, whil</w:t>
      </w:r>
      <w:r w:rsidR="002A7B0E">
        <w:t>e</w:t>
      </w:r>
      <w:r w:rsidR="00960F36" w:rsidRPr="00724E59">
        <w:t xml:space="preserve"> maintaining standards of safety and environmental protection that are as close as is reasonably practicable to those for</w:t>
      </w:r>
      <w:r w:rsidR="00D57339" w:rsidRPr="00724E59">
        <w:t xml:space="preserve"> waste that has been processed into a passivel</w:t>
      </w:r>
      <w:r w:rsidR="00F9360A" w:rsidRPr="00724E59">
        <w:t>y safe form</w:t>
      </w:r>
      <w:r w:rsidR="002A5B1C" w:rsidRPr="00724E59">
        <w:t>.</w:t>
      </w:r>
      <w:r w:rsidR="00B87722">
        <w:t xml:space="preserve"> In particular, the </w:t>
      </w:r>
      <w:r w:rsidR="00593587">
        <w:t>need for active safety s</w:t>
      </w:r>
      <w:r w:rsidR="00902B8C">
        <w:t>ystems, monitoring, maintenance and human intervention to ensure safety should be minimised</w:t>
      </w:r>
      <w:r w:rsidR="005A7ED8">
        <w:t xml:space="preserve"> </w:t>
      </w:r>
      <w:r w:rsidR="00B87B60">
        <w:t>so far as is reasonably practicable</w:t>
      </w:r>
      <w:r w:rsidR="005A7ED8">
        <w:t>.</w:t>
      </w:r>
    </w:p>
    <w:p w14:paraId="37002A4A" w14:textId="251C6E4F" w:rsidR="006A5319" w:rsidRDefault="006A5319" w:rsidP="006A5319">
      <w:pPr>
        <w:pStyle w:val="F9-Paragraph"/>
      </w:pPr>
      <w:r>
        <w:t>The term ‘passive safety’ is commonly associated with processing of wastes for long-term storage, pending disposal. However, passive safe</w:t>
      </w:r>
      <w:r w:rsidR="005A7BFC">
        <w:t>ty</w:t>
      </w:r>
      <w:r>
        <w:t xml:space="preserve"> should be provided at all stages in predisposal management and licensees should consider proportionate application of the principles of passive safety in all radioactive waste</w:t>
      </w:r>
      <w:r w:rsidR="00462C59">
        <w:t xml:space="preserve"> management operations</w:t>
      </w:r>
      <w:r>
        <w:t xml:space="preserve">, </w:t>
      </w:r>
      <w:r w:rsidR="00AE0525">
        <w:t xml:space="preserve">for example passive means </w:t>
      </w:r>
      <w:r w:rsidR="00EC5C67">
        <w:t>of containment to minimise the spread of contamination and therefore minimise the rate of production of secondary waste</w:t>
      </w:r>
      <w:r>
        <w:t>.</w:t>
      </w:r>
    </w:p>
    <w:p w14:paraId="7DA203B6" w14:textId="76689F6D" w:rsidR="005F76A6" w:rsidRDefault="00C742F6" w:rsidP="001F7EFA">
      <w:pPr>
        <w:pStyle w:val="Heading4"/>
      </w:pPr>
      <w:bookmarkStart w:id="44" w:name="_Ref185950222"/>
      <w:r>
        <w:lastRenderedPageBreak/>
        <w:t xml:space="preserve">Processing </w:t>
      </w:r>
      <w:r w:rsidR="0009704D">
        <w:t>operations</w:t>
      </w:r>
      <w:bookmarkEnd w:id="44"/>
    </w:p>
    <w:p w14:paraId="5589585D" w14:textId="2C240A0B" w:rsidR="00315EBC" w:rsidRDefault="00681124" w:rsidP="00DB55C1">
      <w:pPr>
        <w:pStyle w:val="F9-Paragraph"/>
      </w:pPr>
      <w:r>
        <w:t>Processing of radioactive waste can include pre-treatment, treatment and conditioning</w:t>
      </w:r>
      <w:r w:rsidR="00831470">
        <w:t>:</w:t>
      </w:r>
      <w:r w:rsidR="000E5F19">
        <w:t xml:space="preserve"> </w:t>
      </w:r>
    </w:p>
    <w:p w14:paraId="10CEA579" w14:textId="321F53FC" w:rsidR="00CB6257" w:rsidRDefault="00202A4E" w:rsidP="001F7EFA">
      <w:pPr>
        <w:pStyle w:val="Bulletlist1"/>
      </w:pPr>
      <w:r w:rsidRPr="001F7EFA">
        <w:rPr>
          <w:b/>
        </w:rPr>
        <w:t>Pre-treatment</w:t>
      </w:r>
      <w:r>
        <w:t xml:space="preserve"> </w:t>
      </w:r>
      <w:r w:rsidR="00F35AF5">
        <w:t xml:space="preserve">includes </w:t>
      </w:r>
      <w:r>
        <w:t xml:space="preserve">operations to minimise the amount of radioactive waste </w:t>
      </w:r>
      <w:r w:rsidR="006225A1">
        <w:t>needing</w:t>
      </w:r>
      <w:r>
        <w:t xml:space="preserve"> </w:t>
      </w:r>
      <w:r w:rsidR="00E95C50">
        <w:t>subsequent</w:t>
      </w:r>
      <w:r>
        <w:t xml:space="preserve"> process</w:t>
      </w:r>
      <w:r w:rsidR="006225A1">
        <w:t>ing</w:t>
      </w:r>
      <w:r>
        <w:t>, stor</w:t>
      </w:r>
      <w:r w:rsidR="006225A1">
        <w:t>age</w:t>
      </w:r>
      <w:r>
        <w:t xml:space="preserve"> and</w:t>
      </w:r>
      <w:r w:rsidR="007537BA">
        <w:t>/or</w:t>
      </w:r>
      <w:r>
        <w:t xml:space="preserve"> dispos</w:t>
      </w:r>
      <w:r w:rsidR="00B87C5F">
        <w:t>al</w:t>
      </w:r>
      <w:r>
        <w:t xml:space="preserve">. </w:t>
      </w:r>
      <w:r w:rsidR="00717AE5">
        <w:t xml:space="preserve">The approach to pre-treatment should be justified and the associated risks reduced </w:t>
      </w:r>
      <w:r w:rsidR="00C87E33">
        <w:t>so far as is reasonably practicable</w:t>
      </w:r>
      <w:r w:rsidR="008438B8">
        <w:t>,</w:t>
      </w:r>
      <w:r w:rsidR="00717AE5">
        <w:t xml:space="preserve"> to underpin the overall strategy for management of the waste stream.</w:t>
      </w:r>
      <w:r w:rsidR="00CB6257">
        <w:t xml:space="preserve"> Examples of pre-treatment operations include:</w:t>
      </w:r>
    </w:p>
    <w:p w14:paraId="52B839DC" w14:textId="13E4D009" w:rsidR="00D0284E" w:rsidRDefault="00E01EE6" w:rsidP="001F7EFA">
      <w:pPr>
        <w:pStyle w:val="Bulletlist2"/>
      </w:pPr>
      <w:r>
        <w:t>D</w:t>
      </w:r>
      <w:r w:rsidR="00202A4E">
        <w:t>econtamination</w:t>
      </w:r>
      <w:r w:rsidR="00D0284E">
        <w:t>, which</w:t>
      </w:r>
      <w:r w:rsidR="00202A4E">
        <w:t xml:space="preserve"> </w:t>
      </w:r>
      <w:r>
        <w:t xml:space="preserve">may remove </w:t>
      </w:r>
      <w:r w:rsidR="00161ADF">
        <w:t xml:space="preserve">surface contamination </w:t>
      </w:r>
      <w:r w:rsidR="00202A4E">
        <w:t xml:space="preserve">to allow reclassification of the waste </w:t>
      </w:r>
      <w:r w:rsidR="00161ADF">
        <w:t>to</w:t>
      </w:r>
      <w:r w:rsidR="00202A4E">
        <w:t xml:space="preserve"> a lower level</w:t>
      </w:r>
      <w:r w:rsidR="00A67F55">
        <w:t>,</w:t>
      </w:r>
      <w:r w:rsidR="00202A4E">
        <w:t xml:space="preserve"> or be cleared from regulatory control</w:t>
      </w:r>
      <w:r w:rsidR="00A67F55">
        <w:t xml:space="preserve">, </w:t>
      </w:r>
      <w:r w:rsidR="00C96D33">
        <w:t xml:space="preserve">although the amount and characteristics </w:t>
      </w:r>
      <w:r w:rsidR="00174E56">
        <w:t xml:space="preserve">of secondary waste </w:t>
      </w:r>
      <w:r w:rsidR="00AA6EC5">
        <w:t>generated</w:t>
      </w:r>
      <w:r w:rsidR="00B71FC3">
        <w:t xml:space="preserve"> during the decontamination process</w:t>
      </w:r>
      <w:r w:rsidR="00AA6EC5">
        <w:t xml:space="preserve"> </w:t>
      </w:r>
      <w:r w:rsidR="00174E56">
        <w:t>should be considered</w:t>
      </w:r>
      <w:r w:rsidR="00D0284E">
        <w:t>; and</w:t>
      </w:r>
      <w:r w:rsidR="00FC6836">
        <w:t>,</w:t>
      </w:r>
    </w:p>
    <w:p w14:paraId="3B1F0C5C" w14:textId="53EECCD6" w:rsidR="00202A4E" w:rsidRDefault="00D0284E" w:rsidP="001F7EFA">
      <w:pPr>
        <w:pStyle w:val="Bulletlist2"/>
      </w:pPr>
      <w:r>
        <w:t>Decay storage</w:t>
      </w:r>
      <w:r w:rsidR="00FC6836">
        <w:t xml:space="preserve"> of </w:t>
      </w:r>
      <w:r w:rsidR="00202A4E">
        <w:t xml:space="preserve">wastes </w:t>
      </w:r>
      <w:r w:rsidR="00FC6836">
        <w:t xml:space="preserve">that </w:t>
      </w:r>
      <w:r w:rsidR="00202A4E">
        <w:t>are borderline in terms of classification</w:t>
      </w:r>
      <w:r w:rsidR="006225D8">
        <w:t xml:space="preserve">, </w:t>
      </w:r>
      <w:r w:rsidR="00FC6836">
        <w:t xml:space="preserve">where </w:t>
      </w:r>
      <w:r w:rsidR="006225D8">
        <w:t>a period of decay storage may allow reclassification of the waste</w:t>
      </w:r>
      <w:r w:rsidR="00AA6EC5">
        <w:t xml:space="preserve"> to a lower level</w:t>
      </w:r>
      <w:r w:rsidR="00202A4E">
        <w:t xml:space="preserve">. </w:t>
      </w:r>
    </w:p>
    <w:p w14:paraId="09E74FD5" w14:textId="64E01BD6" w:rsidR="0072778B" w:rsidRDefault="00743C0A" w:rsidP="001F7EFA">
      <w:pPr>
        <w:pStyle w:val="Bulletlist1"/>
      </w:pPr>
      <w:r w:rsidRPr="001F7EFA">
        <w:rPr>
          <w:b/>
        </w:rPr>
        <w:t>Treatment</w:t>
      </w:r>
      <w:r>
        <w:t xml:space="preserve"> includes operations </w:t>
      </w:r>
      <w:r w:rsidR="00646E96">
        <w:t>intended to</w:t>
      </w:r>
      <w:r w:rsidR="004725ED">
        <w:t xml:space="preserve"> provide a</w:t>
      </w:r>
      <w:r w:rsidR="00646E96">
        <w:t xml:space="preserve"> benefit </w:t>
      </w:r>
      <w:r w:rsidR="001D75DD">
        <w:t>by changing the characteristics of the waste</w:t>
      </w:r>
      <w:r w:rsidR="00B0290F">
        <w:t>, including volume reduction, removal of radionuclides and changing the composition</w:t>
      </w:r>
      <w:r w:rsidR="00E55245">
        <w:t xml:space="preserve"> of radioactive wastes. Examples of treatment operations include </w:t>
      </w:r>
      <w:r w:rsidR="00CB48B5">
        <w:t>filtration</w:t>
      </w:r>
      <w:r w:rsidR="00E55245">
        <w:t>,</w:t>
      </w:r>
      <w:r w:rsidR="00CB48B5">
        <w:t xml:space="preserve"> ion exchange</w:t>
      </w:r>
      <w:r w:rsidR="00785D56">
        <w:t xml:space="preserve">, </w:t>
      </w:r>
      <w:r w:rsidR="001156CC">
        <w:t>incineration</w:t>
      </w:r>
      <w:r w:rsidR="00785D56">
        <w:t>, cutting</w:t>
      </w:r>
      <w:r w:rsidR="001156CC">
        <w:t xml:space="preserve"> </w:t>
      </w:r>
      <w:r w:rsidR="00785D56">
        <w:t>and</w:t>
      </w:r>
      <w:r w:rsidR="001156CC">
        <w:t xml:space="preserve"> compaction</w:t>
      </w:r>
      <w:r w:rsidR="00C20C58">
        <w:t xml:space="preserve"> (including supercompaction)</w:t>
      </w:r>
      <w:r w:rsidR="00640FFA">
        <w:t>.</w:t>
      </w:r>
    </w:p>
    <w:p w14:paraId="21A94288" w14:textId="2E52860D" w:rsidR="001D7991" w:rsidRDefault="00816923" w:rsidP="001F7EFA">
      <w:pPr>
        <w:pStyle w:val="Bulletlist1"/>
      </w:pPr>
      <w:r w:rsidRPr="001F7EFA">
        <w:rPr>
          <w:b/>
        </w:rPr>
        <w:t>Conditioning</w:t>
      </w:r>
      <w:r>
        <w:t xml:space="preserve"> consists of operations that produce a waste </w:t>
      </w:r>
      <w:r w:rsidR="00A90639">
        <w:t>package</w:t>
      </w:r>
      <w:r>
        <w:t xml:space="preserve"> suitable for safe handling, storage</w:t>
      </w:r>
      <w:r w:rsidR="005F5076">
        <w:t>, transport</w:t>
      </w:r>
      <w:r>
        <w:t xml:space="preserve"> and disposal, taking account of the timescales expected for these activities. Examples of conditioning operations include </w:t>
      </w:r>
      <w:r w:rsidR="00564D5D">
        <w:t>packaging of the waste in a container</w:t>
      </w:r>
      <w:r w:rsidR="00E07DBC">
        <w:t>,</w:t>
      </w:r>
      <w:r w:rsidR="00564D5D">
        <w:t xml:space="preserve"> </w:t>
      </w:r>
      <w:r>
        <w:t>encapsulation of the wastes in a suitable matrix, for example cementitious grout, vitrification</w:t>
      </w:r>
      <w:r w:rsidR="00E07DBC">
        <w:t xml:space="preserve"> and</w:t>
      </w:r>
      <w:r>
        <w:t xml:space="preserve"> drying.</w:t>
      </w:r>
      <w:r w:rsidR="00746196">
        <w:t xml:space="preserve"> </w:t>
      </w:r>
    </w:p>
    <w:p w14:paraId="462E4721" w14:textId="5D5E8B54" w:rsidR="002A43E1" w:rsidRDefault="0095024A" w:rsidP="00D14DB9">
      <w:pPr>
        <w:pStyle w:val="F9-Paragraph"/>
      </w:pPr>
      <w:r>
        <w:t>A</w:t>
      </w:r>
      <w:r w:rsidR="00746196">
        <w:t xml:space="preserve"> </w:t>
      </w:r>
      <w:r w:rsidR="00746196" w:rsidRPr="00CD68E0">
        <w:t>waste pack</w:t>
      </w:r>
      <w:r w:rsidR="001471BA" w:rsidRPr="00CD68E0">
        <w:t>age</w:t>
      </w:r>
      <w:r w:rsidR="001471BA">
        <w:t xml:space="preserve"> co</w:t>
      </w:r>
      <w:r w:rsidR="0012603C">
        <w:t>mprises</w:t>
      </w:r>
      <w:r w:rsidR="001471BA">
        <w:t xml:space="preserve"> a </w:t>
      </w:r>
      <w:r w:rsidR="001471BA" w:rsidRPr="0095635D">
        <w:t>waste form</w:t>
      </w:r>
      <w:r w:rsidR="001471BA">
        <w:t xml:space="preserve"> and </w:t>
      </w:r>
      <w:r w:rsidR="0077448F" w:rsidRPr="0095635D">
        <w:t xml:space="preserve">waste </w:t>
      </w:r>
      <w:r w:rsidR="001471BA" w:rsidRPr="0095635D">
        <w:t>container</w:t>
      </w:r>
      <w:r w:rsidR="0077448F">
        <w:t>:</w:t>
      </w:r>
    </w:p>
    <w:p w14:paraId="7C1180EC" w14:textId="71CE1213" w:rsidR="00387E3F" w:rsidRDefault="00BF0700" w:rsidP="00D14DB9">
      <w:pPr>
        <w:pStyle w:val="Bulletlist1"/>
      </w:pPr>
      <w:r>
        <w:t xml:space="preserve">The </w:t>
      </w:r>
      <w:r w:rsidRPr="001241AA">
        <w:t>waste form</w:t>
      </w:r>
      <w:r>
        <w:t xml:space="preserve"> </w:t>
      </w:r>
      <w:r w:rsidR="00214F43">
        <w:t>is the waste in its physical and chemical form after treatment and conditioning</w:t>
      </w:r>
      <w:r w:rsidR="00387E3F">
        <w:t>; and,</w:t>
      </w:r>
    </w:p>
    <w:p w14:paraId="4451B4E9" w14:textId="0F140397" w:rsidR="00E506DB" w:rsidRDefault="00387E3F" w:rsidP="00D14DB9">
      <w:pPr>
        <w:pStyle w:val="Bulletlist1"/>
      </w:pPr>
      <w:r>
        <w:t xml:space="preserve">The </w:t>
      </w:r>
      <w:r w:rsidRPr="001241AA">
        <w:t>waste container</w:t>
      </w:r>
      <w:r w:rsidR="001471BA">
        <w:t xml:space="preserve"> </w:t>
      </w:r>
      <w:r w:rsidR="0084110E">
        <w:t xml:space="preserve">is the vessel </w:t>
      </w:r>
      <w:r w:rsidR="000E6135">
        <w:t>into which the waste form</w:t>
      </w:r>
      <w:r w:rsidR="0095635D">
        <w:t xml:space="preserve"> is placed </w:t>
      </w:r>
      <w:r w:rsidR="00A71DF1">
        <w:t>for handling, storage, transport and disposal</w:t>
      </w:r>
      <w:r w:rsidR="00ED453F">
        <w:t xml:space="preserve">. </w:t>
      </w:r>
      <w:r w:rsidR="005A527D">
        <w:t xml:space="preserve">Inspectors should be aware that the term “packaging” is </w:t>
      </w:r>
      <w:r w:rsidR="007325FB">
        <w:t>sometimes used to refer to a waste container</w:t>
      </w:r>
      <w:r w:rsidR="00F57EB1">
        <w:t>, while the term “waste canister” is</w:t>
      </w:r>
      <w:r w:rsidR="005B32E7">
        <w:t xml:space="preserve"> considered to be </w:t>
      </w:r>
      <w:r w:rsidR="00B0560A">
        <w:t xml:space="preserve">a specific term for the waste container used for vitrified </w:t>
      </w:r>
      <w:r w:rsidR="00672F3A">
        <w:t>waste</w:t>
      </w:r>
      <w:r w:rsidR="00B0560A">
        <w:t>.</w:t>
      </w:r>
    </w:p>
    <w:p w14:paraId="12C8C731" w14:textId="0DDA64D1" w:rsidR="00A504FD" w:rsidRDefault="00E506DB" w:rsidP="00D14DB9">
      <w:pPr>
        <w:pStyle w:val="Bulletlist1"/>
      </w:pPr>
      <w:r>
        <w:t xml:space="preserve">Both the waste form and the waste container contribute to the overall performance </w:t>
      </w:r>
      <w:r w:rsidR="003B5845">
        <w:t>of the waste package</w:t>
      </w:r>
      <w:r w:rsidR="0029573A">
        <w:t>.</w:t>
      </w:r>
      <w:r w:rsidR="005B32E7">
        <w:t xml:space="preserve"> </w:t>
      </w:r>
    </w:p>
    <w:p w14:paraId="789175B4" w14:textId="0FEEED88" w:rsidR="005873E5" w:rsidRDefault="00DB55C1" w:rsidP="00D07652">
      <w:pPr>
        <w:pStyle w:val="F9-Paragraph"/>
      </w:pPr>
      <w:r>
        <w:lastRenderedPageBreak/>
        <w:t>The processing techniques should be selected on the basis of the characteristics (including non-radiological) of the waste concerned, as these may affect safety during processing and the suitability of the product for onward management to disposal</w:t>
      </w:r>
      <w:r w:rsidR="007E6B9E">
        <w:t xml:space="preserve"> </w:t>
      </w:r>
      <w:r w:rsidR="00BE5DC0">
        <w:t>(</w:t>
      </w:r>
      <w:r w:rsidR="007E6B9E">
        <w:t>SRL P-</w:t>
      </w:r>
      <w:r w:rsidR="00501215">
        <w:t>28</w:t>
      </w:r>
      <w:r w:rsidR="00BE5DC0">
        <w:t>)</w:t>
      </w:r>
      <w:r>
        <w:t>.</w:t>
      </w:r>
      <w:r w:rsidR="00CA1B76">
        <w:t xml:space="preserve"> </w:t>
      </w:r>
      <w:r w:rsidR="00E7314A">
        <w:t>Other factors that should be considered in selecting a processing technique include d</w:t>
      </w:r>
      <w:r w:rsidR="007B162D">
        <w:t xml:space="preserve">ischarges, secondary waste and the ability to apply quality assurance </w:t>
      </w:r>
      <w:r w:rsidR="00BE5DC0">
        <w:t>(</w:t>
      </w:r>
      <w:r w:rsidR="007B162D">
        <w:t>SRL P-29</w:t>
      </w:r>
      <w:r w:rsidR="00BE5DC0">
        <w:t>)</w:t>
      </w:r>
      <w:r w:rsidR="00E7314A">
        <w:t>.</w:t>
      </w:r>
      <w:r>
        <w:t xml:space="preserve"> </w:t>
      </w:r>
      <w:r w:rsidR="00676A63">
        <w:t xml:space="preserve">The risks associated with processing technologies, including their installation, operation, maintenance and </w:t>
      </w:r>
      <w:r w:rsidR="00A07FDF">
        <w:t>decommissioning should be reduced ALARP.</w:t>
      </w:r>
      <w:r w:rsidR="00A07FDF" w:rsidRPr="00A07FDF">
        <w:t xml:space="preserve"> </w:t>
      </w:r>
      <w:r w:rsidR="00A07FDF">
        <w:t xml:space="preserve">Licensees may choose to employ mobile waste processing equipment. In this case, there should be clearly defined, safe interfaces to the hosting facility </w:t>
      </w:r>
      <w:r w:rsidR="00BE5DC0">
        <w:t>(</w:t>
      </w:r>
      <w:r w:rsidR="00A07FDF">
        <w:t>SRL P-63</w:t>
      </w:r>
      <w:r w:rsidR="00A22A88">
        <w:t>, P-64</w:t>
      </w:r>
      <w:r w:rsidR="00BE5DC0">
        <w:t>)</w:t>
      </w:r>
      <w:r w:rsidR="00A22A88">
        <w:t>.</w:t>
      </w:r>
    </w:p>
    <w:p w14:paraId="2AFE2FF5" w14:textId="21DDA26E" w:rsidR="00DB55C1" w:rsidRDefault="00DB55C1" w:rsidP="00D07652">
      <w:pPr>
        <w:pStyle w:val="F9-Paragraph"/>
      </w:pPr>
      <w:r>
        <w:t xml:space="preserve">The </w:t>
      </w:r>
      <w:r w:rsidR="00A41D8C">
        <w:t>licensee</w:t>
      </w:r>
      <w:r w:rsidR="000C0101">
        <w:t xml:space="preserve"> </w:t>
      </w:r>
      <w:r>
        <w:t>should describe the expected properties of the intended waste product and ensure that adequate controls are applied to processes and activities to achieve consistent, safe outcomes</w:t>
      </w:r>
      <w:r w:rsidR="00A41D8C">
        <w:t xml:space="preserve"> </w:t>
      </w:r>
      <w:r w:rsidR="008F4D8F">
        <w:t>(</w:t>
      </w:r>
      <w:r w:rsidR="00A41D8C">
        <w:t>SRL P-30</w:t>
      </w:r>
      <w:r w:rsidR="002362EF">
        <w:t>, P-33</w:t>
      </w:r>
      <w:r w:rsidR="008F4D8F">
        <w:t>)</w:t>
      </w:r>
      <w:r>
        <w:t>.</w:t>
      </w:r>
      <w:r w:rsidR="00720B98">
        <w:t xml:space="preserve"> There should be </w:t>
      </w:r>
      <w:r w:rsidR="00CB4170">
        <w:t xml:space="preserve">suitable arrangements for managing secondary waste created during processing </w:t>
      </w:r>
      <w:r w:rsidR="008F4D8F">
        <w:t>(</w:t>
      </w:r>
      <w:r w:rsidR="00CB4170">
        <w:t>SRL P</w:t>
      </w:r>
      <w:r w:rsidR="007826B7">
        <w:t>-45</w:t>
      </w:r>
      <w:r w:rsidR="00564780">
        <w:t>)</w:t>
      </w:r>
      <w:r w:rsidR="007826B7">
        <w:t>.</w:t>
      </w:r>
    </w:p>
    <w:p w14:paraId="5F5316D4" w14:textId="6FF5E7BF" w:rsidR="00900644" w:rsidRDefault="00DB55C1" w:rsidP="00A011CD">
      <w:pPr>
        <w:pStyle w:val="F9-Paragraph"/>
      </w:pPr>
      <w:r>
        <w:t xml:space="preserve">For conditioned wastes, the waste </w:t>
      </w:r>
      <w:r w:rsidR="00564780">
        <w:t xml:space="preserve">container </w:t>
      </w:r>
      <w:r>
        <w:t xml:space="preserve">should be selected such that it contributes to passive safety over the expected timescales. </w:t>
      </w:r>
      <w:r w:rsidR="001B7EB6">
        <w:t xml:space="preserve">Depending </w:t>
      </w:r>
      <w:r>
        <w:t xml:space="preserve">on the nature of the waste and the hazard it presents, </w:t>
      </w:r>
      <w:r w:rsidR="00326A15">
        <w:t xml:space="preserve">in addition to containment </w:t>
      </w:r>
      <w:r>
        <w:t xml:space="preserve">the </w:t>
      </w:r>
      <w:r w:rsidR="004B41EF">
        <w:t xml:space="preserve">waste container </w:t>
      </w:r>
      <w:r>
        <w:t>may need to provide shielding and may also need to take account of criticality safety</w:t>
      </w:r>
      <w:r w:rsidR="0044120E">
        <w:t>, gas generation</w:t>
      </w:r>
      <w:r w:rsidR="009C1ABA">
        <w:t>, wasteform expansion</w:t>
      </w:r>
      <w:r>
        <w:t xml:space="preserve"> and heat</w:t>
      </w:r>
      <w:r w:rsidR="00C10A31">
        <w:t xml:space="preserve"> generation</w:t>
      </w:r>
      <w:r>
        <w:t>.</w:t>
      </w:r>
      <w:r w:rsidR="00A011CD">
        <w:t xml:space="preserve"> The </w:t>
      </w:r>
      <w:r w:rsidR="007E6515">
        <w:t xml:space="preserve">choice of </w:t>
      </w:r>
      <w:r w:rsidR="00A011CD">
        <w:t xml:space="preserve">materials and surface finish </w:t>
      </w:r>
      <w:r w:rsidR="007E6515">
        <w:t xml:space="preserve">of the waste container </w:t>
      </w:r>
      <w:r w:rsidR="00A011CD">
        <w:t>should consider ease of decontamination.</w:t>
      </w:r>
    </w:p>
    <w:p w14:paraId="7482A2DE" w14:textId="7DC2F0D6" w:rsidR="00DB55C1" w:rsidRDefault="00046083" w:rsidP="00970571">
      <w:pPr>
        <w:pStyle w:val="F9-Paragraph"/>
      </w:pPr>
      <w:r>
        <w:t xml:space="preserve">The </w:t>
      </w:r>
      <w:r w:rsidR="004A4726">
        <w:t xml:space="preserve">overall </w:t>
      </w:r>
      <w:r>
        <w:t xml:space="preserve">design of the waste </w:t>
      </w:r>
      <w:r w:rsidR="001E4E29">
        <w:t xml:space="preserve">package should </w:t>
      </w:r>
      <w:r w:rsidR="00A9234C">
        <w:t>take into acc</w:t>
      </w:r>
      <w:r w:rsidR="005679CA">
        <w:t xml:space="preserve">ount the predicted evolution </w:t>
      </w:r>
      <w:r w:rsidR="009A64E1">
        <w:t xml:space="preserve">over the lifecycle of the waste and should </w:t>
      </w:r>
      <w:r w:rsidR="001E4E29">
        <w:t xml:space="preserve">be </w:t>
      </w:r>
      <w:r w:rsidR="00A11876">
        <w:t xml:space="preserve">compatible with the long-term </w:t>
      </w:r>
      <w:r w:rsidR="00B749C5">
        <w:t xml:space="preserve">management </w:t>
      </w:r>
      <w:r w:rsidR="00A11876">
        <w:t>strategy for the waste</w:t>
      </w:r>
      <w:r w:rsidR="0006435B">
        <w:t>,</w:t>
      </w:r>
      <w:r w:rsidR="00A11876">
        <w:t xml:space="preserve"> </w:t>
      </w:r>
      <w:r w:rsidR="008B7EFA">
        <w:t>which may include</w:t>
      </w:r>
      <w:r w:rsidR="0040293B">
        <w:t xml:space="preserve"> </w:t>
      </w:r>
      <w:r w:rsidR="008B7EFA">
        <w:t xml:space="preserve">handling, retrieval, storage, further </w:t>
      </w:r>
      <w:r w:rsidR="006042C5">
        <w:t>processing and disposal</w:t>
      </w:r>
      <w:r w:rsidR="008C0CC4">
        <w:t xml:space="preserve"> </w:t>
      </w:r>
      <w:r w:rsidR="00F637B7">
        <w:t>(</w:t>
      </w:r>
      <w:r w:rsidR="008C0CC4">
        <w:t>SRL P-31</w:t>
      </w:r>
      <w:r w:rsidR="00F637B7">
        <w:t>)</w:t>
      </w:r>
      <w:r w:rsidR="006042C5">
        <w:t>.</w:t>
      </w:r>
      <w:r w:rsidR="00187B8D">
        <w:t xml:space="preserve"> </w:t>
      </w:r>
      <w:r w:rsidR="006A05EC">
        <w:t xml:space="preserve">The design of the waste package should also consider the need for on- and off-site transport, including </w:t>
      </w:r>
      <w:r w:rsidR="00143BFF">
        <w:t>compatibility with suitable transport containers</w:t>
      </w:r>
      <w:r w:rsidR="001D34EB">
        <w:t xml:space="preserve">, constraints of the transport system and </w:t>
      </w:r>
      <w:r w:rsidR="009910CD">
        <w:t>compliance with relevant transport leg</w:t>
      </w:r>
      <w:r w:rsidR="00B8456C">
        <w:t>islation</w:t>
      </w:r>
      <w:r w:rsidR="00A074E9">
        <w:t>.</w:t>
      </w:r>
      <w:r w:rsidR="00970571">
        <w:t xml:space="preserve"> </w:t>
      </w:r>
      <w:r w:rsidR="00AA6403">
        <w:t xml:space="preserve">For waste packages that </w:t>
      </w:r>
      <w:r w:rsidR="001F1A2C">
        <w:t>will ultimately be disposed, the</w:t>
      </w:r>
      <w:r w:rsidR="00600698">
        <w:t xml:space="preserve">re </w:t>
      </w:r>
      <w:r w:rsidR="00970571">
        <w:t xml:space="preserve">design of the waste package may also need to take into account </w:t>
      </w:r>
      <w:r w:rsidR="0002553C">
        <w:t>the interface with</w:t>
      </w:r>
      <w:r w:rsidR="00970571">
        <w:t xml:space="preserve"> the dispo</w:t>
      </w:r>
      <w:r w:rsidR="00B42CC2">
        <w:t>sal facility’s safety case</w:t>
      </w:r>
      <w:r w:rsidR="00225F42">
        <w:t>.</w:t>
      </w:r>
    </w:p>
    <w:p w14:paraId="52AF08D2" w14:textId="41EBE769" w:rsidR="00DB55C1" w:rsidRDefault="00DB55C1" w:rsidP="00DB55C1">
      <w:pPr>
        <w:pStyle w:val="F9-Paragraph"/>
      </w:pPr>
      <w:r>
        <w:t xml:space="preserve">Waste products should be uniquely identifiable via appropriate labelling, which should be designed to ensure identification over the expected </w:t>
      </w:r>
      <w:r w:rsidR="00AF71AE">
        <w:t xml:space="preserve">storage </w:t>
      </w:r>
      <w:r>
        <w:t>period</w:t>
      </w:r>
      <w:r w:rsidR="00ED1176">
        <w:t xml:space="preserve"> </w:t>
      </w:r>
      <w:r w:rsidR="00564780">
        <w:t>(</w:t>
      </w:r>
      <w:r w:rsidR="00ED1176">
        <w:t xml:space="preserve">SRL </w:t>
      </w:r>
      <w:r w:rsidR="00362856">
        <w:t xml:space="preserve">P-25, </w:t>
      </w:r>
      <w:r w:rsidR="00ED1176">
        <w:t>S</w:t>
      </w:r>
      <w:r w:rsidR="003C6DAF">
        <w:t>-16</w:t>
      </w:r>
      <w:r w:rsidR="00564780">
        <w:t>)</w:t>
      </w:r>
      <w:r>
        <w:t xml:space="preserve">. </w:t>
      </w:r>
      <w:r w:rsidR="002675FD">
        <w:t>L</w:t>
      </w:r>
      <w:r>
        <w:t xml:space="preserve">abelling of waste packages for disposal </w:t>
      </w:r>
      <w:r w:rsidR="002675FD">
        <w:t xml:space="preserve">should comply </w:t>
      </w:r>
      <w:r>
        <w:t>with the requirements set out by the disposal facility.</w:t>
      </w:r>
      <w:r w:rsidR="00B92245">
        <w:t xml:space="preserve"> </w:t>
      </w:r>
      <w:r w:rsidR="00E83615">
        <w:t xml:space="preserve">Where radioactive waste is QNM, </w:t>
      </w:r>
      <w:r w:rsidR="006470AA">
        <w:t xml:space="preserve">licensees should also consider </w:t>
      </w:r>
      <w:r w:rsidR="00023BC1">
        <w:t>any identification requirements for NMAC purposes</w:t>
      </w:r>
      <w:r w:rsidR="009D5A09">
        <w:t xml:space="preserve"> (see </w:t>
      </w:r>
      <w:r w:rsidR="007766C0" w:rsidRPr="007766C0">
        <w:t>ONR Nuclear Material Accountancy, Control, and Safeguards Assessment Principles</w:t>
      </w:r>
      <w:r w:rsidR="007766C0">
        <w:t>,</w:t>
      </w:r>
      <w:sdt>
        <w:sdtPr>
          <w:id w:val="918525334"/>
          <w:citation/>
        </w:sdtPr>
        <w:sdtContent>
          <w:r w:rsidR="00354D62">
            <w:fldChar w:fldCharType="begin"/>
          </w:r>
          <w:r w:rsidR="00354D62">
            <w:instrText xml:space="preserve"> CITATION ONMACS_2022 \l 2057 </w:instrText>
          </w:r>
          <w:r w:rsidR="00354D62">
            <w:fldChar w:fldCharType="separate"/>
          </w:r>
          <w:r w:rsidR="00717D5C">
            <w:rPr>
              <w:noProof/>
            </w:rPr>
            <w:t xml:space="preserve"> [41]</w:t>
          </w:r>
          <w:r w:rsidR="00354D62">
            <w:fldChar w:fldCharType="end"/>
          </w:r>
        </w:sdtContent>
      </w:sdt>
      <w:r w:rsidR="007766C0">
        <w:t>)</w:t>
      </w:r>
      <w:r w:rsidR="00023BC1">
        <w:t>.</w:t>
      </w:r>
      <w:r w:rsidR="006470AA">
        <w:t xml:space="preserve"> </w:t>
      </w:r>
    </w:p>
    <w:p w14:paraId="1FF248F7" w14:textId="789C85C2" w:rsidR="00DB55C1" w:rsidRDefault="002B4481" w:rsidP="00DB55C1">
      <w:pPr>
        <w:pStyle w:val="F9-Paragraph"/>
      </w:pPr>
      <w:r>
        <w:t>LC</w:t>
      </w:r>
      <w:r w:rsidR="00DB55C1">
        <w:t xml:space="preserve">17 requires licensees to make and implement adequate quality management arrangements in respect of all matters which may affect safety. With respect to the predisposal management of radioactive waste, licensees are expected to make and implement adequate </w:t>
      </w:r>
      <w:r w:rsidR="00B37F14">
        <w:t xml:space="preserve">quality control </w:t>
      </w:r>
      <w:r w:rsidR="00DB55C1">
        <w:t xml:space="preserve">arrangements and quality assurance procedures for the processing and packaging of radioactive waste. </w:t>
      </w:r>
      <w:r w:rsidR="00305978">
        <w:t>T</w:t>
      </w:r>
      <w:r w:rsidR="00DB55C1">
        <w:t xml:space="preserve">hese arrangements should ensure that the waste </w:t>
      </w:r>
      <w:r w:rsidR="00DB55C1">
        <w:lastRenderedPageBreak/>
        <w:t xml:space="preserve">products comply with relevant specifications, including those of the </w:t>
      </w:r>
      <w:r w:rsidR="004776AD">
        <w:t xml:space="preserve">storage facility, the </w:t>
      </w:r>
      <w:r w:rsidR="00DB55C1">
        <w:t>final disposal facility, or discharge routes for liquid and gaseous wastes</w:t>
      </w:r>
      <w:r w:rsidR="00EF0F99">
        <w:t>. These</w:t>
      </w:r>
      <w:r w:rsidR="00DA1223">
        <w:t xml:space="preserve"> </w:t>
      </w:r>
      <w:r w:rsidR="00634B18">
        <w:t>should</w:t>
      </w:r>
      <w:r w:rsidR="00EF0F99">
        <w:t xml:space="preserve"> also</w:t>
      </w:r>
      <w:r w:rsidR="00634B18">
        <w:t xml:space="preserve"> include appropriate provisions for managing waste pro</w:t>
      </w:r>
      <w:r w:rsidR="006850B7">
        <w:t xml:space="preserve">ducts that do not meet the relevant specifications </w:t>
      </w:r>
      <w:r w:rsidR="00DD77BD">
        <w:t>(</w:t>
      </w:r>
      <w:r w:rsidR="006850B7">
        <w:t>SRL P-44</w:t>
      </w:r>
      <w:r w:rsidR="00AD6293">
        <w:t>, P-61</w:t>
      </w:r>
      <w:r w:rsidR="00DD77BD">
        <w:t>)</w:t>
      </w:r>
      <w:r w:rsidR="00CA6AEA">
        <w:t>.</w:t>
      </w:r>
      <w:r w:rsidR="00DB55C1">
        <w:t xml:space="preserve"> </w:t>
      </w:r>
      <w:r w:rsidR="00CA6AEA">
        <w:t xml:space="preserve">The quality management </w:t>
      </w:r>
      <w:r w:rsidR="00DB55C1">
        <w:t xml:space="preserve">arrangements should </w:t>
      </w:r>
      <w:r w:rsidR="00314F43">
        <w:t xml:space="preserve">also </w:t>
      </w:r>
      <w:r w:rsidR="00DB55C1">
        <w:t>cover the procurement of the packaging and any raw materials used in processing, the quality of the final product and all necessary records.</w:t>
      </w:r>
    </w:p>
    <w:p w14:paraId="4267F57F" w14:textId="47EDD5B1" w:rsidR="0099588A" w:rsidRDefault="00ED610A" w:rsidP="00DB55C1">
      <w:pPr>
        <w:pStyle w:val="F9-Paragraph"/>
      </w:pPr>
      <w:r w:rsidRPr="00ED610A">
        <w:t xml:space="preserve">For liquid and gaseous wastes which are not solidified, </w:t>
      </w:r>
      <w:r w:rsidR="001C5E77">
        <w:t xml:space="preserve">the environmental permit will require the </w:t>
      </w:r>
      <w:r w:rsidR="006A6D3E">
        <w:t>treatment to apply</w:t>
      </w:r>
      <w:r w:rsidR="001C5E77">
        <w:t xml:space="preserve"> </w:t>
      </w:r>
      <w:r w:rsidR="00545A16">
        <w:t>BAT</w:t>
      </w:r>
      <w:r w:rsidR="00046017">
        <w:t>/</w:t>
      </w:r>
      <w:r w:rsidR="00545A16">
        <w:t>BPM</w:t>
      </w:r>
      <w:r w:rsidR="006A6D3E">
        <w:t xml:space="preserve"> in order to </w:t>
      </w:r>
      <w:r w:rsidR="00537330">
        <w:t>minimise and control discharges.</w:t>
      </w:r>
    </w:p>
    <w:p w14:paraId="746C1E76" w14:textId="7E4C49BE" w:rsidR="00E82079" w:rsidRDefault="00DB55C1" w:rsidP="00E33C52">
      <w:pPr>
        <w:pStyle w:val="Heading3"/>
      </w:pPr>
      <w:r>
        <w:t>Storage</w:t>
      </w:r>
    </w:p>
    <w:p w14:paraId="2A30A734" w14:textId="372D8A06" w:rsidR="00C12303" w:rsidRDefault="00AB449E" w:rsidP="00C12303">
      <w:pPr>
        <w:pStyle w:val="F9-Paragraph"/>
      </w:pPr>
      <w:r>
        <w:t xml:space="preserve">Storage of radioactive waste is an interim measure and can occur at, or between, any steps in predisposal management from generation to disposal, including decay storage as a step on the way to disposal. </w:t>
      </w:r>
      <w:r w:rsidR="00C12303">
        <w:t>Licensees should, so far as is reasonably practicable, store radioactive waste in a passively safe state</w:t>
      </w:r>
      <w:r w:rsidR="00707ED5">
        <w:t xml:space="preserve"> and in accordance with good engineering practice</w:t>
      </w:r>
      <w:r w:rsidR="00C12303">
        <w:t>, such that it can be inspected, monitored, retrieved and preserved in a condition suitable for its subsequent management.</w:t>
      </w:r>
    </w:p>
    <w:p w14:paraId="278B4624" w14:textId="5D58F32C" w:rsidR="00C12303" w:rsidRDefault="00714764" w:rsidP="00C12303">
      <w:pPr>
        <w:pStyle w:val="F9-Paragraph"/>
      </w:pPr>
      <w:r>
        <w:t>LC4</w:t>
      </w:r>
      <w:r w:rsidR="00C12303">
        <w:t xml:space="preserve"> requires licensees to ensure that nuclear matter</w:t>
      </w:r>
      <w:r w:rsidR="000B6F9C">
        <w:t>, including radioactive waste,</w:t>
      </w:r>
      <w:r w:rsidR="00C12303">
        <w:t xml:space="preserve"> is stored in accordance with adequate arrangements made for this purpose. </w:t>
      </w:r>
      <w:r>
        <w:t>LC34</w:t>
      </w:r>
      <w:r w:rsidR="00C12303">
        <w:t xml:space="preserve"> requires the licensee to ensure, so far as is reasonably practicable, that and radioactive waste</w:t>
      </w:r>
      <w:r w:rsidR="0053741A">
        <w:t xml:space="preserve"> (and radioactive material)</w:t>
      </w:r>
      <w:r w:rsidR="00C12303">
        <w:t xml:space="preserve"> is adequately controlled or contained so that it cannot leak or otherwise escape</w:t>
      </w:r>
      <w:r w:rsidR="00881A2F">
        <w:t xml:space="preserve"> without detection</w:t>
      </w:r>
      <w:r w:rsidR="00C12303">
        <w:t>.</w:t>
      </w:r>
    </w:p>
    <w:p w14:paraId="43209709" w14:textId="184EDCEA" w:rsidR="00160E05" w:rsidRDefault="00422E67" w:rsidP="00C12303">
      <w:pPr>
        <w:pStyle w:val="F9-Paragraph"/>
      </w:pPr>
      <w:r>
        <w:t xml:space="preserve">The following sub-sections provide guidance to inspectors on aspects of the design and </w:t>
      </w:r>
      <w:r w:rsidR="002830C4">
        <w:t>safety case for radioactive waste storage facilities</w:t>
      </w:r>
      <w:r w:rsidR="007740ED">
        <w:t>, including</w:t>
      </w:r>
      <w:r w:rsidR="002830C4">
        <w:t xml:space="preserve"> </w:t>
      </w:r>
      <w:r w:rsidR="00E35645">
        <w:t xml:space="preserve">expectations for </w:t>
      </w:r>
      <w:r w:rsidR="000A23ED">
        <w:t>CM&amp;I</w:t>
      </w:r>
      <w:r w:rsidR="00E35645">
        <w:t>. SAP RW.5 (</w:t>
      </w:r>
      <w:r w:rsidR="00785D62">
        <w:t xml:space="preserve">paragraphs </w:t>
      </w:r>
      <w:r w:rsidR="00CA2901">
        <w:t xml:space="preserve">809 – 812 and 817 – 818) </w:t>
      </w:r>
      <w:sdt>
        <w:sdtPr>
          <w:id w:val="1759557157"/>
          <w:citation/>
        </w:sdtPr>
        <w:sdtContent>
          <w:r w:rsidR="009D7F19">
            <w:fldChar w:fldCharType="begin"/>
          </w:r>
          <w:r w:rsidR="009D7F19">
            <w:instrText xml:space="preserve"> CITATION ONR2013 \l 2057 </w:instrText>
          </w:r>
          <w:r w:rsidR="009D7F19">
            <w:fldChar w:fldCharType="separate"/>
          </w:r>
          <w:r w:rsidR="00717D5C">
            <w:rPr>
              <w:noProof/>
            </w:rPr>
            <w:t>[1]</w:t>
          </w:r>
          <w:r w:rsidR="009D7F19">
            <w:fldChar w:fldCharType="end"/>
          </w:r>
        </w:sdtContent>
      </w:sdt>
      <w:r w:rsidR="009D7F19">
        <w:t xml:space="preserve"> provide further guidance on good engineering practice for the storage of radioactive waste</w:t>
      </w:r>
      <w:r w:rsidR="00C011F4">
        <w:t>. T</w:t>
      </w:r>
      <w:r w:rsidR="009D7F19">
        <w:t xml:space="preserve">he NDA has </w:t>
      </w:r>
      <w:r w:rsidR="00C011F4">
        <w:t xml:space="preserve">also </w:t>
      </w:r>
      <w:r w:rsidR="009D7F19">
        <w:t>published specific industry guidance on the storage of HAW</w:t>
      </w:r>
      <w:r w:rsidR="00A850C8">
        <w:t>,</w:t>
      </w:r>
      <w:r w:rsidR="004A2C9D">
        <w:t xml:space="preserve"> which should be considered by its operating companies</w:t>
      </w:r>
      <w:r w:rsidR="001B77E7">
        <w:t xml:space="preserve"> and may also be followed by the wider nuclear industry as industrial practice</w:t>
      </w:r>
      <w:r w:rsidR="00722405">
        <w:t xml:space="preserve">, </w:t>
      </w:r>
      <w:r w:rsidR="007765B3" w:rsidRPr="005D59BE">
        <w:t xml:space="preserve">and should be considered by inspectors </w:t>
      </w:r>
      <w:r w:rsidR="00722405" w:rsidRPr="005D59BE">
        <w:t>to be an</w:t>
      </w:r>
      <w:r w:rsidR="00BD00AF" w:rsidRPr="005D59BE">
        <w:t xml:space="preserve"> interpretative standard</w:t>
      </w:r>
      <w:r w:rsidR="009B25A8">
        <w:t xml:space="preserve"> </w:t>
      </w:r>
      <w:sdt>
        <w:sdtPr>
          <w:id w:val="-1667232726"/>
          <w:citation/>
        </w:sdtPr>
        <w:sdtContent>
          <w:r w:rsidR="00B464E0">
            <w:fldChar w:fldCharType="begin"/>
          </w:r>
          <w:r w:rsidR="00B464E0">
            <w:instrText xml:space="preserve"> CITATION NDA_Storage_HAW_2021 \l 2057 </w:instrText>
          </w:r>
          <w:r w:rsidR="00B464E0">
            <w:fldChar w:fldCharType="separate"/>
          </w:r>
          <w:r w:rsidR="00717D5C">
            <w:rPr>
              <w:noProof/>
            </w:rPr>
            <w:t>[42]</w:t>
          </w:r>
          <w:r w:rsidR="00B464E0">
            <w:fldChar w:fldCharType="end"/>
          </w:r>
        </w:sdtContent>
      </w:sdt>
      <w:r w:rsidR="00B464E0">
        <w:t>.</w:t>
      </w:r>
    </w:p>
    <w:p w14:paraId="594C04A3" w14:textId="43B66502" w:rsidR="00377F8F" w:rsidRDefault="00377F8F" w:rsidP="001F7EFA">
      <w:pPr>
        <w:pStyle w:val="Heading4"/>
      </w:pPr>
      <w:r>
        <w:t xml:space="preserve">Design of </w:t>
      </w:r>
      <w:r w:rsidR="008F66B3">
        <w:t xml:space="preserve">radioactive waste </w:t>
      </w:r>
      <w:r>
        <w:t>storage facilities</w:t>
      </w:r>
    </w:p>
    <w:p w14:paraId="2D844E8E" w14:textId="5A48DCFC" w:rsidR="00B80EF1" w:rsidRDefault="00B80EF1" w:rsidP="009C112E">
      <w:pPr>
        <w:pStyle w:val="F9-Paragraph"/>
      </w:pPr>
      <w:r>
        <w:t>The storage vessel, for example tanks containing raw wastes or waste containers for conditioned waste, and the storage facility form part of the multi-barrier system and should be designed to provide effective containment, prevent leakage and minimise the spread of contamination. In some cases, the role of the storage facility or structure may be limited to providing weather protection, radiation shielding and presenting a secure boundary against unauthorised intrusion or interference from personnel or wildlife.</w:t>
      </w:r>
    </w:p>
    <w:p w14:paraId="2BF012FF" w14:textId="1027418C" w:rsidR="000D230B" w:rsidRDefault="00C12303" w:rsidP="009C112E">
      <w:pPr>
        <w:pStyle w:val="F9-Paragraph"/>
      </w:pPr>
      <w:r>
        <w:lastRenderedPageBreak/>
        <w:t xml:space="preserve">The licensee should demonstrate that the design of the </w:t>
      </w:r>
      <w:r w:rsidR="008654CC">
        <w:t>facility</w:t>
      </w:r>
      <w:r>
        <w:t xml:space="preserve"> is fit for purpose, taking account of the hazards posed by the stored radioactive waste</w:t>
      </w:r>
      <w:r w:rsidR="000563CA">
        <w:t>,</w:t>
      </w:r>
      <w:r>
        <w:t xml:space="preserve"> </w:t>
      </w:r>
      <w:r w:rsidR="00640BD1">
        <w:t>under normal and fault conditions</w:t>
      </w:r>
      <w:r w:rsidR="000563CA">
        <w:t>,</w:t>
      </w:r>
      <w:r w:rsidR="00BA48D2">
        <w:t xml:space="preserve"> </w:t>
      </w:r>
      <w:r>
        <w:t>and the expected timescales for storage, which could extend beyond 100 years in some cases</w:t>
      </w:r>
      <w:r w:rsidR="000B705B">
        <w:t xml:space="preserve"> </w:t>
      </w:r>
      <w:r w:rsidR="00682AD2">
        <w:t>(</w:t>
      </w:r>
      <w:r w:rsidR="000B705B">
        <w:t>SRL S-19, S-20</w:t>
      </w:r>
      <w:r w:rsidR="007C4AC5">
        <w:t>, S-23</w:t>
      </w:r>
      <w:r w:rsidR="00682AD2">
        <w:t>)</w:t>
      </w:r>
      <w:r>
        <w:t xml:space="preserve">. </w:t>
      </w:r>
      <w:r w:rsidR="00D657D8">
        <w:t xml:space="preserve">This should include </w:t>
      </w:r>
      <w:r w:rsidR="00483BA8">
        <w:t>selection of appropriate design and construction standards</w:t>
      </w:r>
      <w:r w:rsidR="00280A23">
        <w:t>, and should include allowance for potential aging and degradation</w:t>
      </w:r>
      <w:r w:rsidR="009D2EFD">
        <w:t xml:space="preserve"> </w:t>
      </w:r>
      <w:r w:rsidR="00682AD2">
        <w:t>(</w:t>
      </w:r>
      <w:r w:rsidR="009D2EFD">
        <w:t>SRL S-22</w:t>
      </w:r>
      <w:r w:rsidR="00682AD2">
        <w:t>)</w:t>
      </w:r>
      <w:r w:rsidR="00280A23">
        <w:t>.</w:t>
      </w:r>
      <w:r w:rsidR="004F5D52">
        <w:t xml:space="preserve"> </w:t>
      </w:r>
      <w:r w:rsidR="003D2540">
        <w:t>The need for active safety systems should be minimised</w:t>
      </w:r>
      <w:r w:rsidR="0015018D">
        <w:t>. T</w:t>
      </w:r>
      <w:r w:rsidR="003D2540">
        <w:t xml:space="preserve">here </w:t>
      </w:r>
      <w:r w:rsidR="003D2540" w:rsidRPr="00ED6010">
        <w:t>should be no need for prompt intervention to maintain the facility in a safe condition</w:t>
      </w:r>
      <w:r w:rsidR="009A6D9B">
        <w:t xml:space="preserve">, </w:t>
      </w:r>
      <w:r w:rsidR="00C33239">
        <w:t>and</w:t>
      </w:r>
      <w:r w:rsidR="009A6D9B">
        <w:t xml:space="preserve"> there should be access </w:t>
      </w:r>
      <w:r w:rsidR="00743A79">
        <w:t>to allow for response to reasonably foreseeable events.</w:t>
      </w:r>
    </w:p>
    <w:p w14:paraId="49C7ABF8" w14:textId="4D0A46FD" w:rsidR="003D2540" w:rsidRDefault="00B94F15" w:rsidP="009C112E">
      <w:pPr>
        <w:pStyle w:val="F9-Paragraph"/>
      </w:pPr>
      <w:r>
        <w:t xml:space="preserve">If raw waste is to be stored, there should be particular consideration </w:t>
      </w:r>
      <w:r w:rsidR="00E90299">
        <w:t xml:space="preserve">of </w:t>
      </w:r>
      <w:r w:rsidR="00F6549A">
        <w:t xml:space="preserve">whether the design of the storage </w:t>
      </w:r>
      <w:r w:rsidR="00232EB8">
        <w:t>system (container and facility)</w:t>
      </w:r>
      <w:r w:rsidR="00F6549A">
        <w:t xml:space="preserve"> provides adequate containment of the waste </w:t>
      </w:r>
      <w:r w:rsidR="0061757C">
        <w:t xml:space="preserve">to </w:t>
      </w:r>
      <w:r w:rsidR="0061757C" w:rsidRPr="0061757C">
        <w:t>prevent</w:t>
      </w:r>
      <w:r w:rsidR="006025C8">
        <w:t xml:space="preserve"> and detect</w:t>
      </w:r>
      <w:r w:rsidR="0061757C" w:rsidRPr="0061757C">
        <w:t xml:space="preserve"> leakage and</w:t>
      </w:r>
      <w:r w:rsidR="006025C8">
        <w:t xml:space="preserve"> to</w:t>
      </w:r>
      <w:r w:rsidR="0061757C" w:rsidRPr="0061757C">
        <w:t xml:space="preserve"> minimise the spread of contamination</w:t>
      </w:r>
      <w:r w:rsidR="0061757C">
        <w:t xml:space="preserve">. </w:t>
      </w:r>
      <w:r w:rsidR="00556684">
        <w:t xml:space="preserve">SAPs ECV.3 and ECV.4 </w:t>
      </w:r>
      <w:r w:rsidR="008613B4">
        <w:t xml:space="preserve">(paragraphs 525 and 526) </w:t>
      </w:r>
      <w:sdt>
        <w:sdtPr>
          <w:id w:val="-557479949"/>
          <w:citation/>
        </w:sdtPr>
        <w:sdtContent>
          <w:r w:rsidR="008613B4">
            <w:fldChar w:fldCharType="begin"/>
          </w:r>
          <w:r w:rsidR="008613B4">
            <w:instrText xml:space="preserve"> CITATION ONR2013 \l 2057 </w:instrText>
          </w:r>
          <w:r w:rsidR="008613B4">
            <w:fldChar w:fldCharType="separate"/>
          </w:r>
          <w:r w:rsidR="00717D5C">
            <w:rPr>
              <w:noProof/>
            </w:rPr>
            <w:t>[1]</w:t>
          </w:r>
          <w:r w:rsidR="008613B4">
            <w:fldChar w:fldCharType="end"/>
          </w:r>
        </w:sdtContent>
      </w:sdt>
      <w:r w:rsidR="008613B4">
        <w:t xml:space="preserve"> provide further guidance on </w:t>
      </w:r>
      <w:r w:rsidR="00964256">
        <w:t xml:space="preserve">relevant aspects of containment </w:t>
      </w:r>
      <w:r w:rsidR="00531C57">
        <w:t>design.</w:t>
      </w:r>
    </w:p>
    <w:p w14:paraId="6D3272DE" w14:textId="0B3B99BD" w:rsidR="007C560B" w:rsidRDefault="004F5D52" w:rsidP="00C12303">
      <w:pPr>
        <w:pStyle w:val="F9-Paragraph"/>
      </w:pPr>
      <w:r>
        <w:t xml:space="preserve">The design </w:t>
      </w:r>
      <w:r w:rsidR="003D2540">
        <w:t xml:space="preserve">of the storage facility </w:t>
      </w:r>
      <w:r>
        <w:t xml:space="preserve">should </w:t>
      </w:r>
      <w:r w:rsidR="00BA3049">
        <w:t xml:space="preserve">facilitate retrieval </w:t>
      </w:r>
      <w:r w:rsidR="005F4B18">
        <w:t xml:space="preserve">within an appropriate timeframe </w:t>
      </w:r>
      <w:r w:rsidR="00BA3049">
        <w:t xml:space="preserve">for </w:t>
      </w:r>
      <w:r w:rsidR="002100C4">
        <w:t xml:space="preserve">inspection, for </w:t>
      </w:r>
      <w:r w:rsidR="00BA3049">
        <w:t>subsequent management</w:t>
      </w:r>
      <w:r w:rsidR="003D2540">
        <w:t xml:space="preserve"> or to intervene</w:t>
      </w:r>
      <w:r w:rsidR="00BA3049">
        <w:t xml:space="preserve"> </w:t>
      </w:r>
      <w:r w:rsidR="00E40C71">
        <w:t>in the event of unexpected faults</w:t>
      </w:r>
      <w:r w:rsidR="0017605A">
        <w:t xml:space="preserve"> </w:t>
      </w:r>
      <w:r w:rsidR="009638F2">
        <w:t>(</w:t>
      </w:r>
      <w:r w:rsidR="0017605A">
        <w:t>SRL S</w:t>
      </w:r>
      <w:r w:rsidR="007A6FA9">
        <w:t>-32</w:t>
      </w:r>
      <w:r w:rsidR="00387BAB">
        <w:t>, S-33</w:t>
      </w:r>
      <w:r w:rsidR="009638F2">
        <w:t>)</w:t>
      </w:r>
      <w:r w:rsidR="00E40C71">
        <w:t>.</w:t>
      </w:r>
      <w:r w:rsidR="003E4FB8">
        <w:t xml:space="preserve"> </w:t>
      </w:r>
      <w:r w:rsidR="0017605A">
        <w:t>P</w:t>
      </w:r>
      <w:r w:rsidR="001A613E">
        <w:t>ro</w:t>
      </w:r>
      <w:r w:rsidR="00BF2013">
        <w:t xml:space="preserve">visions for transfer of waste out of the storage facility should </w:t>
      </w:r>
      <w:r w:rsidR="00916E39">
        <w:t>be considered</w:t>
      </w:r>
      <w:r w:rsidR="0017605A">
        <w:t xml:space="preserve"> in the design</w:t>
      </w:r>
      <w:r w:rsidR="0051048B">
        <w:t xml:space="preserve">, and there should be </w:t>
      </w:r>
      <w:r w:rsidR="00AC2C83" w:rsidRPr="00AC2C83">
        <w:t>appropriate contingency arrangements for waste</w:t>
      </w:r>
      <w:r w:rsidR="00AC2C83">
        <w:t xml:space="preserve"> packages that show signs </w:t>
      </w:r>
      <w:r w:rsidR="00CB3097">
        <w:t xml:space="preserve">of degradation or are not retrievable by normal means </w:t>
      </w:r>
      <w:r w:rsidR="009638F2">
        <w:t>(</w:t>
      </w:r>
      <w:r w:rsidR="00CB3097">
        <w:t>SRL S-50</w:t>
      </w:r>
      <w:r w:rsidR="009638F2">
        <w:t>)</w:t>
      </w:r>
      <w:r w:rsidR="00CB3097">
        <w:t>.</w:t>
      </w:r>
    </w:p>
    <w:p w14:paraId="3C6343B2" w14:textId="373BE03F" w:rsidR="00C12303" w:rsidRDefault="00C12303" w:rsidP="00C12303">
      <w:pPr>
        <w:pStyle w:val="F9-Paragraph"/>
      </w:pPr>
      <w:r>
        <w:t xml:space="preserve">There should be sufficient storage capacity for waste generated during normal operations, and consideration given to </w:t>
      </w:r>
      <w:r w:rsidR="00B141A5">
        <w:t xml:space="preserve">spare/buffer </w:t>
      </w:r>
      <w:r>
        <w:t>capacity</w:t>
      </w:r>
      <w:r w:rsidR="00372021">
        <w:t xml:space="preserve"> to maintain operations</w:t>
      </w:r>
      <w:r w:rsidR="003E4ADE">
        <w:t xml:space="preserve"> in case of issues </w:t>
      </w:r>
      <w:r w:rsidR="00121474">
        <w:t xml:space="preserve">with </w:t>
      </w:r>
      <w:r w:rsidR="00793EA6">
        <w:t xml:space="preserve">upstream operations or </w:t>
      </w:r>
      <w:r w:rsidR="00121474">
        <w:t xml:space="preserve">downstream management steps (for example, </w:t>
      </w:r>
      <w:r w:rsidR="00346891">
        <w:t>transport links being disrupted)</w:t>
      </w:r>
      <w:r w:rsidR="004F0F76">
        <w:t>,</w:t>
      </w:r>
      <w:r>
        <w:t xml:space="preserve"> </w:t>
      </w:r>
      <w:r w:rsidR="00F52B90">
        <w:t xml:space="preserve">or to enable lifetime extensions of </w:t>
      </w:r>
      <w:r w:rsidR="00B141A5">
        <w:t xml:space="preserve">operational facilities that generate waste. </w:t>
      </w:r>
      <w:r w:rsidR="00921496">
        <w:t xml:space="preserve">There should also be consideration of reserve capacity </w:t>
      </w:r>
      <w:r>
        <w:t>in case of incidents or abnormal events</w:t>
      </w:r>
      <w:r w:rsidR="00E71B2C">
        <w:t xml:space="preserve"> </w:t>
      </w:r>
      <w:r w:rsidR="00D67A5D">
        <w:t>(</w:t>
      </w:r>
      <w:r w:rsidR="00E71B2C">
        <w:t>SRL S-34</w:t>
      </w:r>
      <w:r w:rsidR="004F0F76">
        <w:t xml:space="preserve"> and ONR SAP ENM.2</w:t>
      </w:r>
      <w:r w:rsidR="00833851">
        <w:t>)</w:t>
      </w:r>
      <w:r>
        <w:t>. For storage of liquid wastes, this should include an adequate provision of secondary containment.</w:t>
      </w:r>
    </w:p>
    <w:p w14:paraId="4728C84C" w14:textId="319D5420" w:rsidR="00C12303" w:rsidRDefault="00C12303" w:rsidP="00C12303">
      <w:pPr>
        <w:pStyle w:val="F9-Paragraph"/>
      </w:pPr>
      <w:r>
        <w:t xml:space="preserve">Licensees may wish </w:t>
      </w:r>
      <w:r w:rsidR="00842EC0">
        <w:t>to carry out short term temp</w:t>
      </w:r>
      <w:r w:rsidR="006660C0">
        <w:t>orary storage of</w:t>
      </w:r>
      <w:r>
        <w:t xml:space="preserve"> radioactive waste to support other processes, for example decommissioning, retrieval of radioactive waste for disposal or storage, or pending construction of other facilities. In these cases, licensees should demonstrate that the temporary </w:t>
      </w:r>
      <w:r w:rsidR="00F40A60">
        <w:t xml:space="preserve">storage areas </w:t>
      </w:r>
      <w:r>
        <w:t>are fit for purpose</w:t>
      </w:r>
      <w:r w:rsidR="00DA1CCE">
        <w:t xml:space="preserve"> </w:t>
      </w:r>
      <w:r w:rsidR="00967A01">
        <w:t>and</w:t>
      </w:r>
      <w:r>
        <w:t xml:space="preserve"> that any risks </w:t>
      </w:r>
      <w:r w:rsidR="003B7D3A">
        <w:t>associated with</w:t>
      </w:r>
      <w:r w:rsidR="00967A01">
        <w:t xml:space="preserve"> the presence or</w:t>
      </w:r>
      <w:r>
        <w:t xml:space="preserve"> us</w:t>
      </w:r>
      <w:r w:rsidR="00A563AD">
        <w:t>age of temporary storage areas</w:t>
      </w:r>
      <w:r>
        <w:t xml:space="preserve"> are reduced </w:t>
      </w:r>
      <w:r w:rsidR="00066681">
        <w:t xml:space="preserve">to </w:t>
      </w:r>
      <w:r>
        <w:t>ALARP.</w:t>
      </w:r>
      <w:r w:rsidR="00CF2E1D">
        <w:t xml:space="preserve"> This should include</w:t>
      </w:r>
      <w:r w:rsidR="00F866A0">
        <w:t xml:space="preserve">, where </w:t>
      </w:r>
      <w:r w:rsidR="00C66121">
        <w:t>relevant,</w:t>
      </w:r>
      <w:r w:rsidR="00CF2E1D">
        <w:t xml:space="preserve"> consideration of access and egress to the temporary storage area, trip hazards</w:t>
      </w:r>
      <w:r w:rsidR="00FE0C6C">
        <w:t xml:space="preserve">, </w:t>
      </w:r>
      <w:r w:rsidR="003F6761">
        <w:t xml:space="preserve">handling of </w:t>
      </w:r>
      <w:r w:rsidR="00C66121">
        <w:t xml:space="preserve">the </w:t>
      </w:r>
      <w:r w:rsidR="003F6761">
        <w:t>waste (</w:t>
      </w:r>
      <w:r w:rsidR="00C657C2">
        <w:t xml:space="preserve">for example, </w:t>
      </w:r>
      <w:r w:rsidR="00147516">
        <w:t xml:space="preserve">risks associated with </w:t>
      </w:r>
      <w:r w:rsidR="00C657C2">
        <w:t>movement of forklift trucks</w:t>
      </w:r>
      <w:r w:rsidR="006C7246">
        <w:t xml:space="preserve">), </w:t>
      </w:r>
      <w:r w:rsidR="00412DAB">
        <w:t>provision of adequate weather p</w:t>
      </w:r>
      <w:r w:rsidR="00066681">
        <w:t>rotection</w:t>
      </w:r>
      <w:r w:rsidR="004D6579">
        <w:t>,</w:t>
      </w:r>
      <w:r w:rsidR="00820CF4">
        <w:t xml:space="preserve"> provision of secondary containment</w:t>
      </w:r>
      <w:r w:rsidR="00F866A0">
        <w:t xml:space="preserve"> and arrangements for custodianship of the temporary storage area.</w:t>
      </w:r>
      <w:r w:rsidR="002B37DC">
        <w:t xml:space="preserve"> </w:t>
      </w:r>
    </w:p>
    <w:p w14:paraId="5B778219" w14:textId="49482B67" w:rsidR="008F66B3" w:rsidRDefault="008F66B3" w:rsidP="001F7EFA">
      <w:pPr>
        <w:pStyle w:val="Heading4"/>
      </w:pPr>
      <w:r>
        <w:lastRenderedPageBreak/>
        <w:t>Safety case for radioactive waste storage facilities</w:t>
      </w:r>
      <w:r w:rsidR="004C4E70">
        <w:t xml:space="preserve"> (including the PSR interface)</w:t>
      </w:r>
    </w:p>
    <w:p w14:paraId="1C841E59" w14:textId="5451A5C4" w:rsidR="00915E73" w:rsidRDefault="00714764" w:rsidP="00915E73">
      <w:pPr>
        <w:pStyle w:val="F9-Paragraph"/>
      </w:pPr>
      <w:r>
        <w:t>LC</w:t>
      </w:r>
      <w:r w:rsidR="00C12303">
        <w:t xml:space="preserve">23 requires the licensee to identify the conditions and limits necessary in the interests of safety (referred to as operating rules). </w:t>
      </w:r>
      <w:r w:rsidR="007B28E4">
        <w:t>This</w:t>
      </w:r>
      <w:r w:rsidR="00810CCD">
        <w:t xml:space="preserve"> </w:t>
      </w:r>
      <w:r w:rsidR="009C657C">
        <w:t>should</w:t>
      </w:r>
      <w:r w:rsidR="007B28E4">
        <w:t xml:space="preserve"> include limits and conditions in the interest of maintaining </w:t>
      </w:r>
      <w:r w:rsidR="00B505F5">
        <w:t>passive</w:t>
      </w:r>
      <w:r w:rsidR="00786337">
        <w:t>ly</w:t>
      </w:r>
      <w:r w:rsidR="00B505F5">
        <w:t xml:space="preserve"> safe</w:t>
      </w:r>
      <w:r w:rsidR="00DA6C36">
        <w:t xml:space="preserve"> (physically and chemically stable)</w:t>
      </w:r>
      <w:r w:rsidR="00B505F5">
        <w:t xml:space="preserve"> storage over extended periods.</w:t>
      </w:r>
      <w:r w:rsidR="00786337" w:rsidRPr="00786337">
        <w:t xml:space="preserve"> </w:t>
      </w:r>
      <w:r w:rsidR="00786337">
        <w:t xml:space="preserve">The operating rules needed for safe storage may include limits and conditions relating to the environmental conditions within the storage facility, the hazards associated with the waste (such as heat generation, gas generation, radiological and criticality hazards) and the </w:t>
      </w:r>
      <w:r w:rsidR="00786337" w:rsidRPr="00DC4AFA">
        <w:t>monitoring, examination, inspection, maintenance and testing arrangements for the facility and its stored wastes</w:t>
      </w:r>
      <w:r w:rsidR="00786337">
        <w:t xml:space="preserve"> (SRL S-26, S-27).</w:t>
      </w:r>
      <w:r w:rsidR="00915E73" w:rsidRPr="00915E73">
        <w:t xml:space="preserve"> </w:t>
      </w:r>
    </w:p>
    <w:p w14:paraId="25F1D67C" w14:textId="5B513C53" w:rsidR="00915E73" w:rsidRDefault="00915E73" w:rsidP="00915E73">
      <w:pPr>
        <w:pStyle w:val="F9-Paragraph"/>
      </w:pPr>
      <w:r>
        <w:t>There are a number of important issues that are particularly relevant to radioactive waste storage facilities that need to be addressed in the safety cases. More specifically, it should be acknowledged that there is currently no disposal facility for HAW, resulting in extended (multigeneration</w:t>
      </w:r>
      <w:r w:rsidR="00171A37">
        <w:t>al</w:t>
      </w:r>
      <w:r>
        <w:t xml:space="preserve">) storage of radioactive waste. In some instances, these facilities may be new, but in many other cases the facilities are repurposed, and built to non-modern standards. Some remain in a good condition, but others may be deteriorating. </w:t>
      </w:r>
    </w:p>
    <w:p w14:paraId="49BE2278" w14:textId="313F897B" w:rsidR="00915E73" w:rsidRDefault="00915E73" w:rsidP="00915E73">
      <w:pPr>
        <w:pStyle w:val="Bulletlist1"/>
      </w:pPr>
      <w:r>
        <w:t>For older facilities, built to earlier standards, the licensee should maintain a justification that risks are reduced</w:t>
      </w:r>
      <w:r w:rsidR="00F30D64">
        <w:t xml:space="preserve"> to</w:t>
      </w:r>
      <w:r>
        <w:t xml:space="preserve"> ALARP</w:t>
      </w:r>
      <w:r w:rsidR="00AD2E58">
        <w:t>,</w:t>
      </w:r>
      <w:r>
        <w:t xml:space="preserve"> taking account of new knowledge and experience, comparison with modern standards and considering the age of the facility and the anticipated remaining lifetime.</w:t>
      </w:r>
    </w:p>
    <w:p w14:paraId="1E3D441E" w14:textId="0E237C59" w:rsidR="00915E73" w:rsidRDefault="00915E73" w:rsidP="00915E73">
      <w:pPr>
        <w:pStyle w:val="Bulletlist1"/>
      </w:pPr>
      <w:r>
        <w:t>For new facilities, the safety case should demonstrate that the design and operation of the facility meet</w:t>
      </w:r>
      <w:r w:rsidR="00AD2E58">
        <w:t>s</w:t>
      </w:r>
      <w:r>
        <w:t xml:space="preserve"> modern standards. Safe operations should be justified throughout the projected life of the facility. </w:t>
      </w:r>
    </w:p>
    <w:p w14:paraId="2F6AE34E" w14:textId="75655003" w:rsidR="00915E73" w:rsidRDefault="00915E73" w:rsidP="00915E73">
      <w:pPr>
        <w:pStyle w:val="F9-Paragraph"/>
      </w:pPr>
      <w:r>
        <w:t xml:space="preserve">A safety case comprises a suite of safety documentation which, when taken together, provide this justification. In addition to the guidance provided in NS-TAST-GD-051 </w:t>
      </w:r>
      <w:sdt>
        <w:sdtPr>
          <w:id w:val="-883793789"/>
          <w:citation/>
        </w:sdtPr>
        <w:sdtContent>
          <w:r>
            <w:fldChar w:fldCharType="begin"/>
          </w:r>
          <w:r>
            <w:instrText xml:space="preserve"> CITATION TAG51_Jan24 \l 2057 </w:instrText>
          </w:r>
          <w:r>
            <w:fldChar w:fldCharType="separate"/>
          </w:r>
          <w:r w:rsidR="00717D5C">
            <w:rPr>
              <w:noProof/>
            </w:rPr>
            <w:t>[43]</w:t>
          </w:r>
          <w:r>
            <w:fldChar w:fldCharType="end"/>
          </w:r>
        </w:sdtContent>
      </w:sdt>
      <w:r>
        <w:t>, the following elements are considered particularly relevant for the safety case for radioactive waste storage facilities:</w:t>
      </w:r>
    </w:p>
    <w:p w14:paraId="05C96DDD" w14:textId="5D097F28" w:rsidR="00134D08" w:rsidRDefault="00915E73" w:rsidP="00915E73">
      <w:pPr>
        <w:pStyle w:val="Bulletlist1"/>
      </w:pPr>
      <w:r>
        <w:t xml:space="preserve">Descriptions of </w:t>
      </w:r>
      <w:r w:rsidR="00E87628">
        <w:t xml:space="preserve">the storage </w:t>
      </w:r>
      <w:r>
        <w:t>facilit</w:t>
      </w:r>
      <w:r w:rsidR="00E87628">
        <w:t>y</w:t>
      </w:r>
      <w:r>
        <w:t xml:space="preserve"> and the</w:t>
      </w:r>
      <w:r w:rsidR="00B05305">
        <w:t xml:space="preserve"> expected</w:t>
      </w:r>
      <w:r>
        <w:t xml:space="preserve"> environment</w:t>
      </w:r>
      <w:r w:rsidR="00E87628">
        <w:t>al conditions within the store</w:t>
      </w:r>
      <w:r w:rsidR="00134D08">
        <w:t>;</w:t>
      </w:r>
    </w:p>
    <w:p w14:paraId="329EE7DA" w14:textId="17198B07" w:rsidR="00915E73" w:rsidRDefault="00134D08" w:rsidP="00915E73">
      <w:pPr>
        <w:pStyle w:val="Bulletlist1"/>
      </w:pPr>
      <w:r>
        <w:t>T</w:t>
      </w:r>
      <w:r w:rsidR="00915E73">
        <w:t xml:space="preserve">he scope of radioactive waste inventories </w:t>
      </w:r>
      <w:r>
        <w:t>to be stored</w:t>
      </w:r>
      <w:r w:rsidR="008E3C20">
        <w:t>,</w:t>
      </w:r>
      <w:r>
        <w:t xml:space="preserve"> </w:t>
      </w:r>
      <w:r w:rsidR="008E3C20">
        <w:t>how the</w:t>
      </w:r>
      <w:r w:rsidR="00915E73">
        <w:t xml:space="preserve"> waste </w:t>
      </w:r>
      <w:r w:rsidR="008E3C20">
        <w:t>is expected to be processed prior to entry into the store</w:t>
      </w:r>
      <w:r w:rsidR="00E13F1B">
        <w:t xml:space="preserve">, and conditions for acceptance (see section </w:t>
      </w:r>
      <w:r w:rsidR="00E13F1B">
        <w:fldChar w:fldCharType="begin"/>
      </w:r>
      <w:r w:rsidR="00E13F1B">
        <w:instrText xml:space="preserve"> REF _Ref185603641 \r \h </w:instrText>
      </w:r>
      <w:r w:rsidR="00E13F1B">
        <w:fldChar w:fldCharType="separate"/>
      </w:r>
      <w:r w:rsidR="00E13F1B">
        <w:rPr>
          <w:cs/>
        </w:rPr>
        <w:t>‎</w:t>
      </w:r>
      <w:r w:rsidR="00E13F1B">
        <w:t>6.5.4</w:t>
      </w:r>
      <w:r w:rsidR="00E13F1B">
        <w:fldChar w:fldCharType="end"/>
      </w:r>
      <w:r w:rsidR="00E13F1B">
        <w:t>)</w:t>
      </w:r>
      <w:r w:rsidR="00915E73">
        <w:t>;</w:t>
      </w:r>
    </w:p>
    <w:p w14:paraId="153158BC" w14:textId="57058AEA" w:rsidR="00915E73" w:rsidRDefault="00D757B6" w:rsidP="00915E73">
      <w:pPr>
        <w:pStyle w:val="Bulletlist1"/>
      </w:pPr>
      <w:r>
        <w:t xml:space="preserve">Demonstration that </w:t>
      </w:r>
      <w:r w:rsidR="009326AA">
        <w:t>the storage facility supports management of the waste in line with</w:t>
      </w:r>
      <w:r w:rsidR="00915E73">
        <w:t xml:space="preserve"> </w:t>
      </w:r>
      <w:r w:rsidR="009326AA">
        <w:t xml:space="preserve">the radioactive </w:t>
      </w:r>
      <w:r w:rsidR="00915E73">
        <w:t>waste management and decommissioning strategies;</w:t>
      </w:r>
    </w:p>
    <w:p w14:paraId="2125E32A" w14:textId="77777777" w:rsidR="00915E73" w:rsidRDefault="00915E73" w:rsidP="00915E73">
      <w:pPr>
        <w:pStyle w:val="Bulletlist1"/>
      </w:pPr>
      <w:r>
        <w:t>Identification and substantiation of any safety functions to be provided by the waste packages; and,</w:t>
      </w:r>
    </w:p>
    <w:p w14:paraId="458884F2" w14:textId="6A642AA5" w:rsidR="00915E73" w:rsidRDefault="00915E73" w:rsidP="00915E73">
      <w:pPr>
        <w:pStyle w:val="Bulletlist1"/>
      </w:pPr>
      <w:r>
        <w:lastRenderedPageBreak/>
        <w:t xml:space="preserve">Demonstration that the ageing </w:t>
      </w:r>
      <w:r w:rsidR="00872E3D">
        <w:t xml:space="preserve">and obsolescence </w:t>
      </w:r>
      <w:r>
        <w:t>of structures, systems and components, plant and waste packages is adequately considered and managed over the potentially extended durations.</w:t>
      </w:r>
    </w:p>
    <w:p w14:paraId="216104B8" w14:textId="3BF8CD77" w:rsidR="00915E73" w:rsidRDefault="004A2A54" w:rsidP="00915E73">
      <w:pPr>
        <w:pStyle w:val="F9-Paragraph"/>
      </w:pPr>
      <w:r>
        <w:t xml:space="preserve">As noted above, </w:t>
      </w:r>
      <w:r w:rsidRPr="004A2A54">
        <w:t>LC15 requires licensees to make and implement adequate arrangements for the periodic and systematic review and reassessment of safety cases.</w:t>
      </w:r>
      <w:r w:rsidR="00576A3B">
        <w:t xml:space="preserve"> </w:t>
      </w:r>
      <w:r w:rsidR="00915E73">
        <w:t xml:space="preserve">For radioactive waste </w:t>
      </w:r>
      <w:r w:rsidR="00872E3D">
        <w:t>storage</w:t>
      </w:r>
      <w:r w:rsidR="00915E73">
        <w:t xml:space="preserve"> facilities, the </w:t>
      </w:r>
      <w:r w:rsidR="00B733D6">
        <w:t>PSR</w:t>
      </w:r>
      <w:r w:rsidR="00915E73">
        <w:t xml:space="preserve"> should include adequate consideration of any</w:t>
      </w:r>
      <w:r w:rsidR="00905461">
        <w:t xml:space="preserve"> whether the waste </w:t>
      </w:r>
      <w:r w:rsidR="000D4E7D">
        <w:t xml:space="preserve">in storage has evolved in a way that </w:t>
      </w:r>
      <w:r w:rsidR="007918CD">
        <w:t xml:space="preserve">is inconsistent with the controls </w:t>
      </w:r>
      <w:r w:rsidR="00960F4D">
        <w:t>put in place by</w:t>
      </w:r>
      <w:r w:rsidR="000D4E7D">
        <w:t xml:space="preserve"> </w:t>
      </w:r>
      <w:r w:rsidR="00915E73">
        <w:t xml:space="preserve">the </w:t>
      </w:r>
      <w:r w:rsidR="00872E3D">
        <w:t>conditions for acceptance</w:t>
      </w:r>
      <w:r w:rsidR="00915E73">
        <w:t xml:space="preserve"> </w:t>
      </w:r>
      <w:r w:rsidR="00872E3D">
        <w:t>(</w:t>
      </w:r>
      <w:r w:rsidR="00915E73">
        <w:t>SRL S-60</w:t>
      </w:r>
      <w:r w:rsidR="00872E3D">
        <w:t>)</w:t>
      </w:r>
      <w:r w:rsidR="00915E73">
        <w:t>.</w:t>
      </w:r>
    </w:p>
    <w:p w14:paraId="13824DDC" w14:textId="24D4C16C" w:rsidR="00786337" w:rsidRDefault="00915E73" w:rsidP="00915E73">
      <w:pPr>
        <w:pStyle w:val="F9-Paragraph"/>
      </w:pPr>
      <w:r>
        <w:t xml:space="preserve">Where the </w:t>
      </w:r>
      <w:r w:rsidR="003B0807">
        <w:t xml:space="preserve">storage </w:t>
      </w:r>
      <w:r>
        <w:t xml:space="preserve">facility provides a safety function that cannot be provided by an alternative means, the </w:t>
      </w:r>
      <w:r w:rsidR="003B0807">
        <w:t>PSR</w:t>
      </w:r>
      <w:r>
        <w:t xml:space="preserve"> should include consideration of the time needed to design, construct and commission, or to procure, a replacement facility or equipment, should the original be found to be unserviceable at some point in the future. This is a particular consideration for radioactive waste stores, and for other facilities in which the hazard cannot be simply removed by shutting them down. For stores containing significant quantities of radioactive waste, the review needs to consider the entire period until retrieval. This is particularly important if the waste is not passively safe, degrading or could leak </w:t>
      </w:r>
      <w:r w:rsidR="00A369A9">
        <w:t>from its primary or secondary containment</w:t>
      </w:r>
      <w:r>
        <w:t>.</w:t>
      </w:r>
    </w:p>
    <w:p w14:paraId="75751A86" w14:textId="4988C1DF" w:rsidR="008F66B3" w:rsidRDefault="00762A5D" w:rsidP="001F7EFA">
      <w:pPr>
        <w:pStyle w:val="Heading4"/>
      </w:pPr>
      <w:r>
        <w:t>Condition monitoring and inspection</w:t>
      </w:r>
    </w:p>
    <w:p w14:paraId="084D38E5" w14:textId="78B1DF6D" w:rsidR="00FE5B98" w:rsidRDefault="00714764" w:rsidP="00786337">
      <w:pPr>
        <w:pStyle w:val="F9-Paragraph"/>
      </w:pPr>
      <w:r>
        <w:t>LC</w:t>
      </w:r>
      <w:r w:rsidR="00C12303">
        <w:t>28 requires the licensee to make and implement adequate arrangements for the regular and systematic examination, inspection, maintenance and testing of all plant which may affect safety.</w:t>
      </w:r>
      <w:r w:rsidR="00652C11">
        <w:t xml:space="preserve"> Inspectors should refer to the </w:t>
      </w:r>
      <w:r w:rsidR="00E71F34">
        <w:t xml:space="preserve">guidance on </w:t>
      </w:r>
      <w:r w:rsidR="00451876" w:rsidRPr="00451876">
        <w:t xml:space="preserve">Examination, Inspection, Maintenance and Testing of </w:t>
      </w:r>
      <w:r w:rsidR="000B69DC">
        <w:t>I</w:t>
      </w:r>
      <w:r w:rsidR="00451876" w:rsidRPr="00451876">
        <w:t xml:space="preserve">tems </w:t>
      </w:r>
      <w:r w:rsidR="000B69DC">
        <w:t>I</w:t>
      </w:r>
      <w:r w:rsidR="00451876" w:rsidRPr="00451876">
        <w:t>mportant to Safety</w:t>
      </w:r>
      <w:r w:rsidR="000B69DC">
        <w:t>,</w:t>
      </w:r>
      <w:r w:rsidR="00451876">
        <w:t xml:space="preserve"> NS-TAST-GD</w:t>
      </w:r>
      <w:r w:rsidR="00E640FA">
        <w:t xml:space="preserve">-009 </w:t>
      </w:r>
      <w:sdt>
        <w:sdtPr>
          <w:id w:val="-390349967"/>
          <w:citation/>
        </w:sdtPr>
        <w:sdtContent>
          <w:r w:rsidR="00E640FA">
            <w:fldChar w:fldCharType="begin"/>
          </w:r>
          <w:r w:rsidR="00E640FA">
            <w:instrText xml:space="preserve"> CITATION TAG09_2023 \l 2057 </w:instrText>
          </w:r>
          <w:r w:rsidR="00E640FA">
            <w:fldChar w:fldCharType="separate"/>
          </w:r>
          <w:r w:rsidR="00717D5C">
            <w:rPr>
              <w:noProof/>
            </w:rPr>
            <w:t>[44]</w:t>
          </w:r>
          <w:r w:rsidR="00E640FA">
            <w:fldChar w:fldCharType="end"/>
          </w:r>
        </w:sdtContent>
      </w:sdt>
      <w:r w:rsidR="00E640FA">
        <w:t>.</w:t>
      </w:r>
      <w:r w:rsidR="00E41A42">
        <w:t xml:space="preserve"> </w:t>
      </w:r>
      <w:r w:rsidR="008D41CA">
        <w:t>Key aspects for the storage of radioactive waste</w:t>
      </w:r>
      <w:r w:rsidR="000F512E">
        <w:t>, where safety functions may be provided by both the storage facility</w:t>
      </w:r>
      <w:r w:rsidR="006E1B88">
        <w:t xml:space="preserve"> and its systems, structures and / or components (SSCs)</w:t>
      </w:r>
      <w:r w:rsidR="000F512E">
        <w:t xml:space="preserve"> and the </w:t>
      </w:r>
      <w:r w:rsidR="007A531F">
        <w:t>waste packages,</w:t>
      </w:r>
      <w:r w:rsidR="008D41CA">
        <w:t xml:space="preserve"> are </w:t>
      </w:r>
      <w:r w:rsidR="00F02C20">
        <w:t>the containment barriers, criticality controls</w:t>
      </w:r>
      <w:r w:rsidR="006E3D90">
        <w:t>, shielding</w:t>
      </w:r>
      <w:r w:rsidR="009411F6">
        <w:t>,</w:t>
      </w:r>
      <w:r w:rsidR="0089019E">
        <w:t xml:space="preserve"> and</w:t>
      </w:r>
      <w:r w:rsidR="00F02C20">
        <w:t xml:space="preserve"> </w:t>
      </w:r>
      <w:r w:rsidR="00B27790">
        <w:t>systems</w:t>
      </w:r>
      <w:r w:rsidR="006A249F">
        <w:t xml:space="preserve"> controlling the </w:t>
      </w:r>
      <w:r w:rsidR="006449FC">
        <w:t>environmental conditions within the storage facility</w:t>
      </w:r>
      <w:r w:rsidR="00E95198">
        <w:t>.</w:t>
      </w:r>
      <w:r w:rsidR="00853608">
        <w:t xml:space="preserve"> </w:t>
      </w:r>
      <w:r w:rsidR="00331C3F">
        <w:t>Where waste is to be placed in long-term storage</w:t>
      </w:r>
      <w:r w:rsidR="00FB0DF8">
        <w:t xml:space="preserve">, </w:t>
      </w:r>
      <w:r w:rsidR="008244B1">
        <w:t xml:space="preserve">monitoring and inspection </w:t>
      </w:r>
      <w:r w:rsidR="00D02B46">
        <w:t>may be infrequent, with long gaps, potentially years, between inspections</w:t>
      </w:r>
      <w:r w:rsidR="008F015F">
        <w:t xml:space="preserve">, so the operating rules should </w:t>
      </w:r>
      <w:r w:rsidR="005B3D20">
        <w:t>provide</w:t>
      </w:r>
      <w:r w:rsidR="008F015F">
        <w:t xml:space="preserve"> </w:t>
      </w:r>
      <w:r w:rsidR="00804509">
        <w:t>robust margins of safety</w:t>
      </w:r>
      <w:r w:rsidR="005B3D20">
        <w:t>.</w:t>
      </w:r>
    </w:p>
    <w:p w14:paraId="3294330B" w14:textId="0AED38E3" w:rsidR="005631DB" w:rsidRDefault="006B64DB" w:rsidP="00EC687C">
      <w:pPr>
        <w:pStyle w:val="F9-Paragraph"/>
      </w:pPr>
      <w:r>
        <w:t xml:space="preserve">Licensees should develop a strategy for </w:t>
      </w:r>
      <w:r w:rsidR="003D3A31">
        <w:t>CM&amp;I</w:t>
      </w:r>
      <w:r>
        <w:t xml:space="preserve"> of stored radioactive waste</w:t>
      </w:r>
      <w:r w:rsidR="001C7647">
        <w:t xml:space="preserve">, which should be </w:t>
      </w:r>
      <w:r w:rsidR="001F7350">
        <w:t xml:space="preserve">reviewed at appropriate intervals to incorporate </w:t>
      </w:r>
      <w:r w:rsidR="002A5E2C">
        <w:t>lessons learned and take account of monitoring and inspection results</w:t>
      </w:r>
      <w:r w:rsidR="007B1406">
        <w:t xml:space="preserve"> </w:t>
      </w:r>
      <w:r w:rsidR="002B3350">
        <w:t>(</w:t>
      </w:r>
      <w:r w:rsidR="007B1406">
        <w:t>SRL S-25</w:t>
      </w:r>
      <w:r w:rsidR="002B3350">
        <w:t>)</w:t>
      </w:r>
      <w:r>
        <w:t xml:space="preserve">. </w:t>
      </w:r>
      <w:r w:rsidR="00C12303">
        <w:t xml:space="preserve">The fundamental objective of </w:t>
      </w:r>
      <w:r w:rsidR="003D3A31">
        <w:t>CM&amp;I</w:t>
      </w:r>
      <w:r w:rsidR="00C12303">
        <w:t xml:space="preserve"> is to confirm that </w:t>
      </w:r>
      <w:r w:rsidR="00AA064F">
        <w:t xml:space="preserve"> the waste</w:t>
      </w:r>
      <w:r w:rsidR="00E83DD3">
        <w:t>, container,</w:t>
      </w:r>
      <w:r w:rsidR="00AA064F">
        <w:t xml:space="preserve"> and storage facilit</w:t>
      </w:r>
      <w:r w:rsidR="00E83DD3">
        <w:t>y</w:t>
      </w:r>
      <w:r w:rsidR="00C12303">
        <w:t xml:space="preserve"> are in an acceptable condition for continuing safe storage, retrieval, processing and final disposal, and will remain so for the relevant timescales</w:t>
      </w:r>
      <w:r w:rsidR="006254F3">
        <w:t xml:space="preserve"> </w:t>
      </w:r>
      <w:r w:rsidR="005B5C1D">
        <w:t>(</w:t>
      </w:r>
      <w:r w:rsidR="004E1B4A">
        <w:t>SRL S-48</w:t>
      </w:r>
      <w:r w:rsidR="005B5C1D">
        <w:t>)</w:t>
      </w:r>
      <w:r w:rsidR="00C12303">
        <w:t>.</w:t>
      </w:r>
    </w:p>
    <w:p w14:paraId="614F0A90" w14:textId="31A59233" w:rsidR="00C12303" w:rsidRPr="005A1BA2" w:rsidRDefault="00862F52" w:rsidP="005A1BA2">
      <w:pPr>
        <w:pStyle w:val="F9-Paragraph"/>
      </w:pPr>
      <w:r>
        <w:t xml:space="preserve">The </w:t>
      </w:r>
      <w:r w:rsidR="006E3B8D">
        <w:t>CM&amp;I</w:t>
      </w:r>
      <w:r w:rsidR="005631DB">
        <w:t xml:space="preserve"> </w:t>
      </w:r>
      <w:r>
        <w:t xml:space="preserve">strategy should </w:t>
      </w:r>
      <w:r w:rsidR="00EC687C">
        <w:t>include</w:t>
      </w:r>
      <w:r w:rsidR="00C12303">
        <w:t xml:space="preserve"> criteria against which the condition of the radioactive waste and waste packages are to be assessed</w:t>
      </w:r>
      <w:r w:rsidR="006464B6">
        <w:t xml:space="preserve"> and an </w:t>
      </w:r>
      <w:r w:rsidR="00327D13">
        <w:t>appropriate</w:t>
      </w:r>
      <w:r w:rsidR="00C12303">
        <w:t xml:space="preserve"> justification </w:t>
      </w:r>
      <w:r w:rsidR="00327D13">
        <w:t>for</w:t>
      </w:r>
      <w:r w:rsidR="00C12303">
        <w:t xml:space="preserve"> the method and frequency of inspections. Where strategies are based on predicted rates of degradation, inspections should be undertaken at appropriate time intervals to confirm that the waste is not evolving to an unexpected degree. The </w:t>
      </w:r>
      <w:r w:rsidR="0013657E">
        <w:t>CM&amp;I</w:t>
      </w:r>
      <w:r w:rsidR="00C84662">
        <w:t xml:space="preserve"> </w:t>
      </w:r>
      <w:r w:rsidR="00C12303">
        <w:t xml:space="preserve">should also include </w:t>
      </w:r>
      <w:r w:rsidR="00C12303">
        <w:lastRenderedPageBreak/>
        <w:t>consideration of the environmental conditions within the storage facility</w:t>
      </w:r>
      <w:r w:rsidR="00EB4714">
        <w:t xml:space="preserve"> to ensure it remains consistent with the safety case requirements</w:t>
      </w:r>
      <w:r w:rsidR="00C12303" w:rsidRPr="005A1BA2">
        <w:t>.</w:t>
      </w:r>
    </w:p>
    <w:p w14:paraId="115A461A" w14:textId="6E5016FA" w:rsidR="00DB55C1" w:rsidRDefault="00E10872" w:rsidP="00C83E22">
      <w:pPr>
        <w:pStyle w:val="Heading3"/>
      </w:pPr>
      <w:bookmarkStart w:id="45" w:name="_Ref185603641"/>
      <w:r>
        <w:t>Conditions for acceptance</w:t>
      </w:r>
      <w:bookmarkEnd w:id="45"/>
    </w:p>
    <w:p w14:paraId="0B8A5B80" w14:textId="428FCCE9" w:rsidR="00572289" w:rsidRDefault="004F04B6" w:rsidP="004F04B6">
      <w:pPr>
        <w:pStyle w:val="F9-Paragraph"/>
      </w:pPr>
      <w:r>
        <w:t xml:space="preserve">Licensees should establish </w:t>
      </w:r>
      <w:r w:rsidR="00572289">
        <w:t>acceptance criteria</w:t>
      </w:r>
      <w:r>
        <w:t xml:space="preserve"> for radioactive waste and waste packages that are </w:t>
      </w:r>
      <w:r w:rsidR="00430A47">
        <w:t xml:space="preserve">to be </w:t>
      </w:r>
      <w:r>
        <w:t>accepted for processing, storage, transport and disposal</w:t>
      </w:r>
      <w:r w:rsidR="00C745C0">
        <w:t xml:space="preserve"> </w:t>
      </w:r>
      <w:r w:rsidR="00DA452D">
        <w:t>(</w:t>
      </w:r>
      <w:r w:rsidR="00C745C0">
        <w:t xml:space="preserve">SRL </w:t>
      </w:r>
      <w:r w:rsidR="00E65221">
        <w:t>P-26,</w:t>
      </w:r>
      <w:r w:rsidR="00AE644A">
        <w:t xml:space="preserve"> </w:t>
      </w:r>
      <w:r w:rsidR="00CE4132">
        <w:t>P-57,</w:t>
      </w:r>
      <w:r w:rsidR="00E65221">
        <w:t xml:space="preserve"> </w:t>
      </w:r>
      <w:r w:rsidR="00C745C0">
        <w:t>S-52</w:t>
      </w:r>
      <w:r w:rsidR="00520228">
        <w:t>)</w:t>
      </w:r>
      <w:r w:rsidR="003E48DF">
        <w:t>.</w:t>
      </w:r>
      <w:r w:rsidR="00572289">
        <w:t xml:space="preserve"> </w:t>
      </w:r>
      <w:r w:rsidR="005D55EC">
        <w:t>The acceptance criteria are typically referred to as</w:t>
      </w:r>
      <w:r w:rsidR="007448B3">
        <w:t xml:space="preserve"> Conditions for Acceptance (CfA) for </w:t>
      </w:r>
      <w:r w:rsidR="006F2C14">
        <w:t>waste processing and storage facilities and as Waste Acceptance Criteria (WAC) for disposal facilities</w:t>
      </w:r>
      <w:r w:rsidR="00E97682">
        <w:t xml:space="preserve">, although inspectors should </w:t>
      </w:r>
      <w:r w:rsidR="00A31C2D">
        <w:t>be aware</w:t>
      </w:r>
      <w:r w:rsidR="00E97682">
        <w:t xml:space="preserve"> that t</w:t>
      </w:r>
      <w:r w:rsidR="0021188C">
        <w:t xml:space="preserve">wo terms </w:t>
      </w:r>
      <w:r w:rsidR="000818D6">
        <w:t>may be used interchangeably.</w:t>
      </w:r>
    </w:p>
    <w:p w14:paraId="2B722E36" w14:textId="6D006DF4" w:rsidR="00311785" w:rsidRDefault="003E48DF" w:rsidP="00311785">
      <w:pPr>
        <w:pStyle w:val="F9-Paragraph"/>
      </w:pPr>
      <w:r>
        <w:t xml:space="preserve">The </w:t>
      </w:r>
      <w:r w:rsidR="00F7570F">
        <w:t>CfA</w:t>
      </w:r>
      <w:r>
        <w:t xml:space="preserve"> should specify the radiological, physical, chemical and biological characteristics of the waste or waste packages</w:t>
      </w:r>
      <w:r w:rsidR="00841EAE">
        <w:t xml:space="preserve"> that may be accepted. </w:t>
      </w:r>
      <w:r w:rsidR="00ED601C">
        <w:t>The CfA should be consistent with the safety case, including limits and conditions defined in the interests of safety</w:t>
      </w:r>
      <w:r>
        <w:t xml:space="preserve">, </w:t>
      </w:r>
      <w:r w:rsidR="0012623C">
        <w:t xml:space="preserve">and </w:t>
      </w:r>
      <w:r w:rsidR="0003431A">
        <w:t>should also take into account</w:t>
      </w:r>
      <w:r w:rsidR="008E4A44">
        <w:t xml:space="preserve"> </w:t>
      </w:r>
      <w:r w:rsidR="00617413">
        <w:t>compatibility with future management steps</w:t>
      </w:r>
      <w:r w:rsidR="00955C1A">
        <w:t xml:space="preserve"> </w:t>
      </w:r>
      <w:r w:rsidR="0003431A">
        <w:t>(</w:t>
      </w:r>
      <w:r w:rsidR="00955C1A">
        <w:t>SRL S-53</w:t>
      </w:r>
      <w:r w:rsidR="0003431A">
        <w:t>)</w:t>
      </w:r>
      <w:r>
        <w:t>.</w:t>
      </w:r>
      <w:r w:rsidR="00311785">
        <w:t xml:space="preserve"> </w:t>
      </w:r>
      <w:r w:rsidR="00D95C3E">
        <w:t>A</w:t>
      </w:r>
      <w:r w:rsidR="00750097">
        <w:t xml:space="preserve">ppropriate </w:t>
      </w:r>
      <w:r w:rsidR="004F04B6">
        <w:t>arrangements</w:t>
      </w:r>
      <w:r w:rsidR="007D4EAA">
        <w:t>, which may include the need for characterisation,</w:t>
      </w:r>
      <w:r w:rsidR="004F04B6">
        <w:t xml:space="preserve"> </w:t>
      </w:r>
      <w:r w:rsidR="00D95C3E">
        <w:t xml:space="preserve">should be made </w:t>
      </w:r>
      <w:r w:rsidR="00E97793">
        <w:t xml:space="preserve">to assess waste or waste packages </w:t>
      </w:r>
      <w:r w:rsidR="004225CD">
        <w:t>for complia</w:t>
      </w:r>
      <w:r w:rsidR="00192382">
        <w:t xml:space="preserve">nce with the </w:t>
      </w:r>
      <w:r w:rsidR="000C4E26">
        <w:t>CfA</w:t>
      </w:r>
      <w:r w:rsidR="00617413">
        <w:t xml:space="preserve"> </w:t>
      </w:r>
      <w:r w:rsidR="00DF4B88">
        <w:t>(</w:t>
      </w:r>
      <w:r w:rsidR="00617413">
        <w:t xml:space="preserve">SRL </w:t>
      </w:r>
      <w:r w:rsidR="00D46D69">
        <w:t xml:space="preserve">P-28, </w:t>
      </w:r>
      <w:r w:rsidR="00617413">
        <w:t>S-54</w:t>
      </w:r>
      <w:r w:rsidR="000C4E26">
        <w:t>)</w:t>
      </w:r>
      <w:r w:rsidR="002A7600">
        <w:t>.</w:t>
      </w:r>
      <w:r w:rsidR="004F04B6">
        <w:t xml:space="preserve"> </w:t>
      </w:r>
    </w:p>
    <w:p w14:paraId="31FFBB82" w14:textId="0C18C65D" w:rsidR="004F04B6" w:rsidRDefault="004F04B6" w:rsidP="00967FE5">
      <w:pPr>
        <w:pStyle w:val="F9-Paragraph"/>
      </w:pPr>
      <w:r>
        <w:t xml:space="preserve">Licensees should also make adequate provisions for the safe management of radioactive waste or waste packages that do not meet the </w:t>
      </w:r>
      <w:r w:rsidR="000C4E26">
        <w:t>CfA (</w:t>
      </w:r>
      <w:r w:rsidR="00CB3097">
        <w:t xml:space="preserve">SRL </w:t>
      </w:r>
      <w:r w:rsidR="00CE4132">
        <w:t xml:space="preserve">P-58, </w:t>
      </w:r>
      <w:r w:rsidR="00CB3097">
        <w:t>S-49</w:t>
      </w:r>
      <w:r w:rsidR="000C4E26">
        <w:t>)</w:t>
      </w:r>
      <w:r>
        <w:t>.</w:t>
      </w:r>
      <w:r w:rsidR="00FD1F56">
        <w:t xml:space="preserve"> This may include the </w:t>
      </w:r>
      <w:r w:rsidR="000B57FC">
        <w:t>provision of a quarantine area t</w:t>
      </w:r>
      <w:r w:rsidR="00F0034A">
        <w:t xml:space="preserve">o store the waste while investigations are carried out, </w:t>
      </w:r>
      <w:r w:rsidR="008F3506">
        <w:t xml:space="preserve">suitable </w:t>
      </w:r>
      <w:r w:rsidR="00B966AB">
        <w:t xml:space="preserve">governance </w:t>
      </w:r>
      <w:r w:rsidR="008F3506">
        <w:t xml:space="preserve">arrangements </w:t>
      </w:r>
      <w:r w:rsidR="00B966AB">
        <w:t>for</w:t>
      </w:r>
      <w:r w:rsidR="008F3506">
        <w:t xml:space="preserve"> </w:t>
      </w:r>
      <w:r w:rsidR="00F46832">
        <w:t>granting concessions against the CfA</w:t>
      </w:r>
      <w:r w:rsidR="004170B2">
        <w:t xml:space="preserve"> where </w:t>
      </w:r>
      <w:r w:rsidR="00C75F7D">
        <w:t>justified</w:t>
      </w:r>
      <w:r w:rsidR="00263CA3">
        <w:t xml:space="preserve">, </w:t>
      </w:r>
      <w:r w:rsidR="004170B2">
        <w:t xml:space="preserve">consideration of remedial work required to meet the CfA, </w:t>
      </w:r>
      <w:r w:rsidR="00263CA3">
        <w:t xml:space="preserve">and </w:t>
      </w:r>
      <w:r w:rsidR="00BA3009">
        <w:t xml:space="preserve">any </w:t>
      </w:r>
      <w:r w:rsidR="00263CA3">
        <w:t xml:space="preserve">specification of additional CM&amp;I for any non-conforming </w:t>
      </w:r>
      <w:r w:rsidR="00546490">
        <w:t>waste packages accepted into storage</w:t>
      </w:r>
      <w:r w:rsidR="00B966AB">
        <w:t>.</w:t>
      </w:r>
    </w:p>
    <w:p w14:paraId="57539B88" w14:textId="7A23FBB9" w:rsidR="007A11E3" w:rsidRDefault="00E06DF5" w:rsidP="004F04B6">
      <w:pPr>
        <w:pStyle w:val="Heading2"/>
      </w:pPr>
      <w:r w:rsidRPr="00E06DF5">
        <w:t>Data and information recording</w:t>
      </w:r>
    </w:p>
    <w:p w14:paraId="55D9C03B" w14:textId="21D6A68E" w:rsidR="00236FBA" w:rsidRDefault="00236FBA" w:rsidP="00236FBA">
      <w:pPr>
        <w:pStyle w:val="F9-Paragraph"/>
      </w:pPr>
      <w:r>
        <w:t xml:space="preserve">Licensees should make adequate provision for recording and preserving all the data and information that may be required </w:t>
      </w:r>
      <w:r w:rsidR="0020524D">
        <w:t xml:space="preserve">for </w:t>
      </w:r>
      <w:r>
        <w:t>the</w:t>
      </w:r>
      <w:r w:rsidR="0020524D">
        <w:t xml:space="preserve"> current and </w:t>
      </w:r>
      <w:r>
        <w:t>future safe management of radioactive waste</w:t>
      </w:r>
      <w:r w:rsidR="00905C30">
        <w:t xml:space="preserve">. </w:t>
      </w:r>
      <w:r w:rsidR="00690790">
        <w:t>T</w:t>
      </w:r>
      <w:r w:rsidR="00690790" w:rsidRPr="00690790">
        <w:t xml:space="preserve">hese records should be maintained in a secure and accessible form </w:t>
      </w:r>
      <w:r>
        <w:t>for as long as such information may be required.</w:t>
      </w:r>
    </w:p>
    <w:p w14:paraId="1DB07EBA" w14:textId="3FB2662B" w:rsidR="00236FBA" w:rsidRDefault="00714764" w:rsidP="00D508E2">
      <w:pPr>
        <w:pStyle w:val="F9-Paragraph"/>
      </w:pPr>
      <w:r>
        <w:t>LC</w:t>
      </w:r>
      <w:r w:rsidR="0045699E">
        <w:t xml:space="preserve"> </w:t>
      </w:r>
      <w:r w:rsidR="00236FBA">
        <w:t xml:space="preserve">6 requires licensees to make adequate records to demonstrate compliance with each condition of the site licence, and to ensure that such records are preserved for 30 years. </w:t>
      </w:r>
      <w:r>
        <w:t>LC</w:t>
      </w:r>
      <w:r w:rsidR="00236FBA">
        <w:t>25 requires licensees to ensure that adequate records are made of the operation</w:t>
      </w:r>
      <w:r w:rsidR="0019236C">
        <w:rPr>
          <w:rStyle w:val="FootnoteReference"/>
        </w:rPr>
        <w:footnoteReference w:id="2"/>
      </w:r>
      <w:r w:rsidR="00236FBA">
        <w:t xml:space="preserve">, inspection and maintenance of </w:t>
      </w:r>
      <w:r w:rsidR="008B7F3D">
        <w:t>any plant which may affect safety</w:t>
      </w:r>
      <w:r w:rsidR="00DF4CD9">
        <w:t xml:space="preserve"> including </w:t>
      </w:r>
      <w:r w:rsidR="00236FBA">
        <w:t xml:space="preserve">records relating to the amount and location of all </w:t>
      </w:r>
      <w:r w:rsidR="00857FF5">
        <w:t>radioactive waste</w:t>
      </w:r>
      <w:r w:rsidR="00236FBA">
        <w:t xml:space="preserve">. </w:t>
      </w:r>
      <w:r>
        <w:t>LC</w:t>
      </w:r>
      <w:r w:rsidR="00236FBA">
        <w:t xml:space="preserve">32 requires licensees to make </w:t>
      </w:r>
      <w:r w:rsidR="00236FBA">
        <w:lastRenderedPageBreak/>
        <w:t>adequate arrangements for the recording the amount of radioactive waste accumulated on site.</w:t>
      </w:r>
    </w:p>
    <w:p w14:paraId="16FA54EE" w14:textId="0FBBF6B7" w:rsidR="00236FBA" w:rsidRDefault="00236FBA" w:rsidP="00236FBA">
      <w:pPr>
        <w:pStyle w:val="F9-Paragraph"/>
      </w:pPr>
      <w:r>
        <w:t xml:space="preserve">The record preservation period of 30 years </w:t>
      </w:r>
      <w:r w:rsidR="00CC0244">
        <w:t xml:space="preserve">referred to in LC6 </w:t>
      </w:r>
      <w:r>
        <w:t>reflects the requirements of NIA</w:t>
      </w:r>
      <w:r w:rsidR="00175B68">
        <w:t>19</w:t>
      </w:r>
      <w:r>
        <w:t>65 with respect to third party liability. However, records required to support the safe management of radioactive waste during long-term storage and final disposal will need to be managed by the licensee over a significant period of time prior to disposal, and subsequently by the operator of the disposal facility. As a result, the records may be required for periods in excess of 100 years and consideration needs to be given to the content of such records, and the form in which they are kept. Records should be held by the licensee until the responsibility for the waste has been passed to another body such as the operator of a disposal facility</w:t>
      </w:r>
      <w:r w:rsidR="00633F7A">
        <w:t>, although</w:t>
      </w:r>
      <w:r>
        <w:t xml:space="preserve"> some information will need to be retained to comply with NIA</w:t>
      </w:r>
      <w:r w:rsidR="00175B68">
        <w:t>19</w:t>
      </w:r>
      <w:r>
        <w:t>65 requirements.</w:t>
      </w:r>
      <w:r w:rsidR="00DE1F14" w:rsidRPr="00DE1F14">
        <w:t xml:space="preserve"> </w:t>
      </w:r>
      <w:r w:rsidR="00DE1F14">
        <w:t xml:space="preserve">Further guidance on regulatory expectations for the management of records is provided in NS-TAST-GD-033 </w:t>
      </w:r>
      <w:sdt>
        <w:sdtPr>
          <w:id w:val="-376622814"/>
          <w:citation/>
        </w:sdtPr>
        <w:sdtContent>
          <w:r w:rsidR="00DE1F14">
            <w:fldChar w:fldCharType="begin"/>
          </w:r>
          <w:r w:rsidR="00DE1F14">
            <w:instrText xml:space="preserve"> CITATION TAG33_Dec23 \l 2057 </w:instrText>
          </w:r>
          <w:r w:rsidR="00DE1F14">
            <w:fldChar w:fldCharType="separate"/>
          </w:r>
          <w:r w:rsidR="00717D5C">
            <w:rPr>
              <w:noProof/>
            </w:rPr>
            <w:t>[45]</w:t>
          </w:r>
          <w:r w:rsidR="00DE1F14">
            <w:fldChar w:fldCharType="end"/>
          </w:r>
        </w:sdtContent>
      </w:sdt>
      <w:r w:rsidR="00DE1F14">
        <w:t>.</w:t>
      </w:r>
    </w:p>
    <w:p w14:paraId="080E64D1" w14:textId="6350C81F" w:rsidR="00540F1D" w:rsidRDefault="00535957" w:rsidP="00371987">
      <w:pPr>
        <w:pStyle w:val="F9-Paragraph"/>
      </w:pPr>
      <w:r>
        <w:t xml:space="preserve">The Joint </w:t>
      </w:r>
      <w:r w:rsidR="009220A8">
        <w:t xml:space="preserve">Guidance </w:t>
      </w:r>
      <w:r w:rsidR="00BD61AF">
        <w:t xml:space="preserve">(Section 7 paragraphs 325 </w:t>
      </w:r>
      <w:r w:rsidR="001F0A08">
        <w:t>–</w:t>
      </w:r>
      <w:r w:rsidR="00BD61AF">
        <w:t xml:space="preserve"> </w:t>
      </w:r>
      <w:r w:rsidR="001F0A08">
        <w:t>413)</w:t>
      </w:r>
      <w:sdt>
        <w:sdtPr>
          <w:id w:val="1495301957"/>
          <w:citation/>
        </w:sdtPr>
        <w:sdtContent>
          <w:r w:rsidR="001F0A08">
            <w:fldChar w:fldCharType="begin"/>
          </w:r>
          <w:r w:rsidR="001F0A08">
            <w:instrText xml:space="preserve"> CITATION JointGuidancev2021 \l 2057 </w:instrText>
          </w:r>
          <w:r w:rsidR="001F0A08">
            <w:fldChar w:fldCharType="separate"/>
          </w:r>
          <w:r w:rsidR="00717D5C">
            <w:rPr>
              <w:noProof/>
            </w:rPr>
            <w:t xml:space="preserve"> [35]</w:t>
          </w:r>
          <w:r w:rsidR="001F0A08">
            <w:fldChar w:fldCharType="end"/>
          </w:r>
        </w:sdtContent>
      </w:sdt>
      <w:r w:rsidR="001F0A08">
        <w:t xml:space="preserve"> provides RGP for </w:t>
      </w:r>
      <w:r w:rsidR="002C3A4A">
        <w:t xml:space="preserve">managing information and records </w:t>
      </w:r>
      <w:r w:rsidR="000A5430">
        <w:t>relating to radioactive waste, including systems and procedures for generatin</w:t>
      </w:r>
      <w:r w:rsidR="00562B55">
        <w:t xml:space="preserve">g, maintaining and managing records, </w:t>
      </w:r>
      <w:r w:rsidR="00B310E0">
        <w:t xml:space="preserve">and guidance on managing records </w:t>
      </w:r>
      <w:r w:rsidR="005C2E7A">
        <w:t xml:space="preserve">for the long-term. While the Joint Guidance is written for HAW, </w:t>
      </w:r>
      <w:r w:rsidR="00C9272F">
        <w:t xml:space="preserve">the guidance provided on managing information and records </w:t>
      </w:r>
      <w:r w:rsidR="00897053">
        <w:t xml:space="preserve">should be applied proportionately to other radioactive waste. </w:t>
      </w:r>
      <w:r w:rsidR="00462D4A">
        <w:t xml:space="preserve">Further guidance on the types of information that should be recorded is provided in SAP RW.7 (paragraph 823) </w:t>
      </w:r>
      <w:sdt>
        <w:sdtPr>
          <w:id w:val="-881867137"/>
          <w:citation/>
        </w:sdtPr>
        <w:sdtContent>
          <w:r w:rsidR="00462D4A">
            <w:fldChar w:fldCharType="begin"/>
          </w:r>
          <w:r w:rsidR="00462D4A">
            <w:instrText xml:space="preserve"> CITATION ONR2013 \l 2057 </w:instrText>
          </w:r>
          <w:r w:rsidR="00462D4A">
            <w:fldChar w:fldCharType="separate"/>
          </w:r>
          <w:r w:rsidR="00717D5C">
            <w:rPr>
              <w:noProof/>
            </w:rPr>
            <w:t>[1]</w:t>
          </w:r>
          <w:r w:rsidR="00462D4A">
            <w:fldChar w:fldCharType="end"/>
          </w:r>
        </w:sdtContent>
      </w:sdt>
      <w:r w:rsidR="00462D4A">
        <w:t>.</w:t>
      </w:r>
    </w:p>
    <w:p w14:paraId="3166D943" w14:textId="6EB4D350" w:rsidR="0040197F" w:rsidRPr="00A740E5" w:rsidRDefault="00236FBA" w:rsidP="000E2991">
      <w:pPr>
        <w:pStyle w:val="F9-Paragraph"/>
      </w:pPr>
      <w:r>
        <w:t>In addition to the licensee</w:t>
      </w:r>
      <w:r w:rsidR="00C72D6F" w:rsidRPr="00C72D6F">
        <w:t xml:space="preserve"> </w:t>
      </w:r>
      <w:r w:rsidR="00C72D6F">
        <w:t>and the regulators</w:t>
      </w:r>
      <w:r>
        <w:t>, records will be of value to other organisations or persons in the future, for example</w:t>
      </w:r>
      <w:r w:rsidR="00D73145">
        <w:t xml:space="preserve"> a</w:t>
      </w:r>
      <w:r>
        <w:t>ny successor licensee</w:t>
      </w:r>
      <w:r w:rsidR="00D73145">
        <w:t>, t</w:t>
      </w:r>
      <w:r>
        <w:t>he operator of a disposal facility</w:t>
      </w:r>
      <w:r w:rsidR="00D73145">
        <w:t xml:space="preserve">, </w:t>
      </w:r>
      <w:r>
        <w:t>planning authorit</w:t>
      </w:r>
      <w:r w:rsidR="001D6CD1">
        <w:t>ies, m</w:t>
      </w:r>
      <w:r>
        <w:t>embers of the public</w:t>
      </w:r>
      <w:r w:rsidR="001D6CD1">
        <w:t xml:space="preserve"> and i</w:t>
      </w:r>
      <w:r>
        <w:t xml:space="preserve">nternational organisations </w:t>
      </w:r>
      <w:r w:rsidR="001D6CD1">
        <w:t>such as the</w:t>
      </w:r>
      <w:r>
        <w:t xml:space="preserve"> IAEA</w:t>
      </w:r>
      <w:r w:rsidR="007B7B4C">
        <w:t xml:space="preserve"> </w:t>
      </w:r>
      <w:r w:rsidR="003D2238">
        <w:t>(</w:t>
      </w:r>
      <w:r w:rsidR="00B51473">
        <w:t xml:space="preserve">including </w:t>
      </w:r>
      <w:r w:rsidR="005E62E6">
        <w:t>for IAEA safeguards</w:t>
      </w:r>
      <w:r w:rsidR="005C3781">
        <w:t xml:space="preserve"> </w:t>
      </w:r>
      <w:r w:rsidR="00C47A7A">
        <w:t>purposes</w:t>
      </w:r>
      <w:r w:rsidR="00FC57D6">
        <w:t>)</w:t>
      </w:r>
      <w:r>
        <w:t>.</w:t>
      </w:r>
    </w:p>
    <w:p w14:paraId="3F029AFE" w14:textId="77777777" w:rsidR="00F7687C" w:rsidRPr="00A740E5" w:rsidRDefault="00F7687C" w:rsidP="00B44422">
      <w:pPr>
        <w:pStyle w:val="F9-Paragraph"/>
        <w:numPr>
          <w:ilvl w:val="0"/>
          <w:numId w:val="0"/>
        </w:numPr>
        <w:ind w:left="851" w:hanging="851"/>
      </w:pPr>
    </w:p>
    <w:p w14:paraId="08F0172B" w14:textId="1F15C255" w:rsidR="00B44422" w:rsidRPr="00A740E5" w:rsidRDefault="00B44422" w:rsidP="00B44422">
      <w:pPr>
        <w:pStyle w:val="F9-Paragraph"/>
        <w:numPr>
          <w:ilvl w:val="0"/>
          <w:numId w:val="0"/>
        </w:numPr>
        <w:ind w:left="851" w:hanging="851"/>
        <w:sectPr w:rsidR="00B44422" w:rsidRPr="00A740E5" w:rsidSect="000B2BCD">
          <w:pgSz w:w="11906" w:h="16838" w:code="9"/>
          <w:pgMar w:top="1440" w:right="1440" w:bottom="1440" w:left="1440" w:header="397" w:footer="397" w:gutter="0"/>
          <w:cols w:space="312"/>
          <w:docGrid w:linePitch="360"/>
        </w:sectPr>
      </w:pPr>
    </w:p>
    <w:bookmarkStart w:id="46" w:name="_Toc186205565" w:displacedByCustomXml="next"/>
    <w:sdt>
      <w:sdtPr>
        <w:rPr>
          <w:color w:val="auto"/>
          <w:sz w:val="24"/>
        </w:rPr>
        <w:id w:val="-284124854"/>
        <w:docPartObj>
          <w:docPartGallery w:val="Bibliographies"/>
          <w:docPartUnique/>
        </w:docPartObj>
      </w:sdtPr>
      <w:sdtContent>
        <w:p w14:paraId="04BBBDD0" w14:textId="55494929" w:rsidR="00F7687C" w:rsidRDefault="00F7687C" w:rsidP="00904152">
          <w:pPr>
            <w:pStyle w:val="Heading1"/>
            <w:numPr>
              <w:ilvl w:val="0"/>
              <w:numId w:val="0"/>
            </w:numPr>
          </w:pPr>
          <w:r>
            <w:t>References</w:t>
          </w:r>
          <w:bookmarkEnd w:id="46"/>
        </w:p>
        <w:sdt>
          <w:sdtPr>
            <w:id w:val="700524479"/>
            <w:bibliography/>
          </w:sdtPr>
          <w:sdtContent>
            <w:p w14:paraId="6DD5144F" w14:textId="77777777" w:rsidR="00717D5C" w:rsidRDefault="00F7687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8459"/>
              </w:tblGrid>
              <w:tr w:rsidR="00717D5C" w:rsidRPr="00B11BF7" w14:paraId="64DBAF5B" w14:textId="77777777" w:rsidTr="008B5111">
                <w:trPr>
                  <w:divId w:val="436219477"/>
                  <w:tblCellSpacing w:w="15" w:type="dxa"/>
                </w:trPr>
                <w:tc>
                  <w:tcPr>
                    <w:tcW w:w="289" w:type="pct"/>
                    <w:hideMark/>
                  </w:tcPr>
                  <w:p w14:paraId="106D26D3" w14:textId="132E2F31" w:rsidR="00717D5C" w:rsidRDefault="00717D5C">
                    <w:pPr>
                      <w:pStyle w:val="Bibliography"/>
                      <w:rPr>
                        <w:noProof/>
                        <w:szCs w:val="24"/>
                      </w:rPr>
                    </w:pPr>
                    <w:r>
                      <w:rPr>
                        <w:noProof/>
                      </w:rPr>
                      <w:t xml:space="preserve">[1] </w:t>
                    </w:r>
                  </w:p>
                </w:tc>
                <w:tc>
                  <w:tcPr>
                    <w:tcW w:w="4661" w:type="pct"/>
                    <w:hideMark/>
                  </w:tcPr>
                  <w:p w14:paraId="46772BE4" w14:textId="77777777" w:rsidR="00717D5C" w:rsidRDefault="00717D5C">
                    <w:pPr>
                      <w:pStyle w:val="Bibliography"/>
                      <w:rPr>
                        <w:noProof/>
                      </w:rPr>
                    </w:pPr>
                    <w:r>
                      <w:rPr>
                        <w:noProof/>
                      </w:rPr>
                      <w:t>ONR, “Safety Assessment Principles (SAPs) for Nuclear Facilities - 2014 Edition (Revision 1),” 2020.</w:t>
                    </w:r>
                  </w:p>
                </w:tc>
              </w:tr>
              <w:tr w:rsidR="00717D5C" w:rsidRPr="00B11BF7" w14:paraId="52C6E592" w14:textId="77777777" w:rsidTr="008B5111">
                <w:trPr>
                  <w:divId w:val="436219477"/>
                  <w:tblCellSpacing w:w="15" w:type="dxa"/>
                </w:trPr>
                <w:tc>
                  <w:tcPr>
                    <w:tcW w:w="289" w:type="pct"/>
                    <w:hideMark/>
                  </w:tcPr>
                  <w:p w14:paraId="5AE3149E" w14:textId="77777777" w:rsidR="00717D5C" w:rsidRDefault="00717D5C">
                    <w:pPr>
                      <w:pStyle w:val="Bibliography"/>
                      <w:rPr>
                        <w:noProof/>
                      </w:rPr>
                    </w:pPr>
                    <w:r>
                      <w:rPr>
                        <w:noProof/>
                      </w:rPr>
                      <w:t xml:space="preserve">[2] </w:t>
                    </w:r>
                  </w:p>
                </w:tc>
                <w:tc>
                  <w:tcPr>
                    <w:tcW w:w="4661" w:type="pct"/>
                    <w:hideMark/>
                  </w:tcPr>
                  <w:p w14:paraId="549AD414" w14:textId="77777777" w:rsidR="00717D5C" w:rsidRDefault="00717D5C">
                    <w:pPr>
                      <w:pStyle w:val="Bibliography"/>
                      <w:rPr>
                        <w:noProof/>
                      </w:rPr>
                    </w:pPr>
                    <w:r w:rsidRPr="008B5111">
                      <w:t>ONR, Licence condition handbook - The standard licence conditions attached to nuclear site licences, February 2017.</w:t>
                    </w:r>
                    <w:r>
                      <w:rPr>
                        <w:noProof/>
                      </w:rPr>
                      <w:t xml:space="preserve"> </w:t>
                    </w:r>
                  </w:p>
                </w:tc>
              </w:tr>
              <w:tr w:rsidR="00717D5C" w:rsidRPr="00B11BF7" w14:paraId="46BD0C0A" w14:textId="77777777" w:rsidTr="008B5111">
                <w:trPr>
                  <w:divId w:val="436219477"/>
                  <w:tblCellSpacing w:w="15" w:type="dxa"/>
                </w:trPr>
                <w:tc>
                  <w:tcPr>
                    <w:tcW w:w="289" w:type="pct"/>
                    <w:hideMark/>
                  </w:tcPr>
                  <w:p w14:paraId="3361F7DE" w14:textId="77777777" w:rsidR="00717D5C" w:rsidRDefault="00717D5C">
                    <w:pPr>
                      <w:pStyle w:val="Bibliography"/>
                      <w:rPr>
                        <w:noProof/>
                      </w:rPr>
                    </w:pPr>
                    <w:r>
                      <w:rPr>
                        <w:noProof/>
                      </w:rPr>
                      <w:t xml:space="preserve">[3] </w:t>
                    </w:r>
                  </w:p>
                </w:tc>
                <w:tc>
                  <w:tcPr>
                    <w:tcW w:w="4661" w:type="pct"/>
                    <w:hideMark/>
                  </w:tcPr>
                  <w:p w14:paraId="506ED3B8" w14:textId="77777777" w:rsidR="00717D5C" w:rsidRDefault="00717D5C">
                    <w:pPr>
                      <w:pStyle w:val="Bibliography"/>
                      <w:rPr>
                        <w:noProof/>
                      </w:rPr>
                    </w:pPr>
                    <w:r w:rsidRPr="008B5111">
                      <w:t>Nuclear Installations Act 1965, UK Public General Acts 1965 chapter 57.</w:t>
                    </w:r>
                    <w:r>
                      <w:rPr>
                        <w:noProof/>
                      </w:rPr>
                      <w:t xml:space="preserve"> </w:t>
                    </w:r>
                  </w:p>
                </w:tc>
              </w:tr>
              <w:tr w:rsidR="00717D5C" w:rsidRPr="00B11BF7" w14:paraId="0C146157" w14:textId="77777777" w:rsidTr="008B5111">
                <w:trPr>
                  <w:divId w:val="436219477"/>
                  <w:tblCellSpacing w:w="15" w:type="dxa"/>
                </w:trPr>
                <w:tc>
                  <w:tcPr>
                    <w:tcW w:w="289" w:type="pct"/>
                    <w:hideMark/>
                  </w:tcPr>
                  <w:p w14:paraId="5D83BF70" w14:textId="77777777" w:rsidR="00717D5C" w:rsidRDefault="00717D5C">
                    <w:pPr>
                      <w:pStyle w:val="Bibliography"/>
                      <w:rPr>
                        <w:noProof/>
                      </w:rPr>
                    </w:pPr>
                    <w:r>
                      <w:rPr>
                        <w:noProof/>
                      </w:rPr>
                      <w:t xml:space="preserve">[4] </w:t>
                    </w:r>
                  </w:p>
                </w:tc>
                <w:tc>
                  <w:tcPr>
                    <w:tcW w:w="4661" w:type="pct"/>
                    <w:hideMark/>
                  </w:tcPr>
                  <w:p w14:paraId="2254036E" w14:textId="77777777" w:rsidR="00717D5C" w:rsidRDefault="00717D5C">
                    <w:pPr>
                      <w:pStyle w:val="Bibliography"/>
                      <w:rPr>
                        <w:noProof/>
                      </w:rPr>
                    </w:pPr>
                    <w:r w:rsidRPr="008B5111">
                      <w:t>Scope of and exemptions from the radioactive substances legislation in England, Wales &amp; Northern Ireland, 2024, https://www.gov.uk/government/publications/guidance-on-the-scope-of-and-exemptions-from-the-radioactive-substances-legislation-in-the-uk.</w:t>
                    </w:r>
                    <w:r>
                      <w:rPr>
                        <w:noProof/>
                      </w:rPr>
                      <w:t xml:space="preserve"> </w:t>
                    </w:r>
                  </w:p>
                </w:tc>
              </w:tr>
              <w:tr w:rsidR="00717D5C" w:rsidRPr="00B11BF7" w14:paraId="57EE9494" w14:textId="77777777" w:rsidTr="008B5111">
                <w:trPr>
                  <w:divId w:val="436219477"/>
                  <w:tblCellSpacing w:w="15" w:type="dxa"/>
                </w:trPr>
                <w:tc>
                  <w:tcPr>
                    <w:tcW w:w="289" w:type="pct"/>
                    <w:hideMark/>
                  </w:tcPr>
                  <w:p w14:paraId="04E6F9EF" w14:textId="77777777" w:rsidR="00717D5C" w:rsidRDefault="00717D5C">
                    <w:pPr>
                      <w:pStyle w:val="Bibliography"/>
                      <w:rPr>
                        <w:noProof/>
                      </w:rPr>
                    </w:pPr>
                    <w:r>
                      <w:rPr>
                        <w:noProof/>
                      </w:rPr>
                      <w:t xml:space="preserve">[5] </w:t>
                    </w:r>
                  </w:p>
                </w:tc>
                <w:tc>
                  <w:tcPr>
                    <w:tcW w:w="4661" w:type="pct"/>
                    <w:hideMark/>
                  </w:tcPr>
                  <w:p w14:paraId="2C0F0990" w14:textId="77777777" w:rsidR="00717D5C" w:rsidRDefault="00717D5C">
                    <w:pPr>
                      <w:pStyle w:val="Bibliography"/>
                      <w:rPr>
                        <w:noProof/>
                      </w:rPr>
                    </w:pPr>
                    <w:r w:rsidRPr="008B5111">
                      <w:t>SEPA, Authorisation guide for radioactive substances activities, v1.2 March 2020, https://www.sepa.org.uk/media/371985/rs-authorisation-guide.pdf.</w:t>
                    </w:r>
                    <w:r>
                      <w:rPr>
                        <w:noProof/>
                      </w:rPr>
                      <w:t xml:space="preserve"> </w:t>
                    </w:r>
                  </w:p>
                </w:tc>
              </w:tr>
              <w:tr w:rsidR="00717D5C" w:rsidRPr="00B11BF7" w14:paraId="455260B5" w14:textId="77777777" w:rsidTr="008B5111">
                <w:trPr>
                  <w:divId w:val="436219477"/>
                  <w:tblCellSpacing w:w="15" w:type="dxa"/>
                </w:trPr>
                <w:tc>
                  <w:tcPr>
                    <w:tcW w:w="289" w:type="pct"/>
                    <w:hideMark/>
                  </w:tcPr>
                  <w:p w14:paraId="76C6E59A" w14:textId="77777777" w:rsidR="00717D5C" w:rsidRDefault="00717D5C">
                    <w:pPr>
                      <w:pStyle w:val="Bibliography"/>
                      <w:rPr>
                        <w:noProof/>
                      </w:rPr>
                    </w:pPr>
                    <w:r>
                      <w:rPr>
                        <w:noProof/>
                      </w:rPr>
                      <w:t xml:space="preserve">[6] </w:t>
                    </w:r>
                  </w:p>
                </w:tc>
                <w:tc>
                  <w:tcPr>
                    <w:tcW w:w="4661" w:type="pct"/>
                    <w:hideMark/>
                  </w:tcPr>
                  <w:p w14:paraId="47633E1B" w14:textId="77777777" w:rsidR="00717D5C" w:rsidRDefault="00717D5C">
                    <w:pPr>
                      <w:pStyle w:val="Bibliography"/>
                      <w:rPr>
                        <w:noProof/>
                      </w:rPr>
                    </w:pPr>
                    <w:r w:rsidRPr="008B5111">
                      <w:t>Basic principles of radioactive waste management, Joint guidance from the Office for Nuclear Regulation, the Environment Agency, the Scottish Environment Protection Agency and Natural Resources Wales to nuclear licensees, Revision 2 February 2015.</w:t>
                    </w:r>
                    <w:r>
                      <w:rPr>
                        <w:noProof/>
                      </w:rPr>
                      <w:t xml:space="preserve"> </w:t>
                    </w:r>
                  </w:p>
                </w:tc>
              </w:tr>
              <w:tr w:rsidR="00717D5C" w:rsidRPr="00B11BF7" w14:paraId="352F483D" w14:textId="77777777" w:rsidTr="008B5111">
                <w:trPr>
                  <w:divId w:val="436219477"/>
                  <w:tblCellSpacing w:w="15" w:type="dxa"/>
                </w:trPr>
                <w:tc>
                  <w:tcPr>
                    <w:tcW w:w="289" w:type="pct"/>
                    <w:hideMark/>
                  </w:tcPr>
                  <w:p w14:paraId="0454E3DD" w14:textId="77777777" w:rsidR="00717D5C" w:rsidRDefault="00717D5C">
                    <w:pPr>
                      <w:pStyle w:val="Bibliography"/>
                      <w:rPr>
                        <w:noProof/>
                      </w:rPr>
                    </w:pPr>
                    <w:r>
                      <w:rPr>
                        <w:noProof/>
                      </w:rPr>
                      <w:t xml:space="preserve">[7] </w:t>
                    </w:r>
                  </w:p>
                </w:tc>
                <w:tc>
                  <w:tcPr>
                    <w:tcW w:w="4661" w:type="pct"/>
                    <w:hideMark/>
                  </w:tcPr>
                  <w:p w14:paraId="47B63C2C" w14:textId="77777777" w:rsidR="00717D5C" w:rsidRDefault="00717D5C">
                    <w:pPr>
                      <w:pStyle w:val="Bibliography"/>
                      <w:rPr>
                        <w:noProof/>
                      </w:rPr>
                    </w:pPr>
                    <w:r w:rsidRPr="008B5111">
                      <w:t>ONR; NS-INSP-GD-005 - LC 5 Consignment of Nuclear Matter; Issue 5.3 December 2023.</w:t>
                    </w:r>
                    <w:r>
                      <w:rPr>
                        <w:noProof/>
                      </w:rPr>
                      <w:t xml:space="preserve"> </w:t>
                    </w:r>
                  </w:p>
                </w:tc>
              </w:tr>
              <w:tr w:rsidR="00717D5C" w:rsidRPr="00B11BF7" w14:paraId="6BBED4E7" w14:textId="77777777" w:rsidTr="008B5111">
                <w:trPr>
                  <w:divId w:val="436219477"/>
                  <w:tblCellSpacing w:w="15" w:type="dxa"/>
                </w:trPr>
                <w:tc>
                  <w:tcPr>
                    <w:tcW w:w="289" w:type="pct"/>
                    <w:hideMark/>
                  </w:tcPr>
                  <w:p w14:paraId="71F32758" w14:textId="77777777" w:rsidR="00717D5C" w:rsidRDefault="00717D5C">
                    <w:pPr>
                      <w:pStyle w:val="Bibliography"/>
                      <w:rPr>
                        <w:noProof/>
                      </w:rPr>
                    </w:pPr>
                    <w:r>
                      <w:rPr>
                        <w:noProof/>
                      </w:rPr>
                      <w:t xml:space="preserve">[8] </w:t>
                    </w:r>
                  </w:p>
                </w:tc>
                <w:tc>
                  <w:tcPr>
                    <w:tcW w:w="4661" w:type="pct"/>
                    <w:hideMark/>
                  </w:tcPr>
                  <w:p w14:paraId="18395D59" w14:textId="77777777" w:rsidR="00717D5C" w:rsidRDefault="00717D5C">
                    <w:pPr>
                      <w:pStyle w:val="Bibliography"/>
                      <w:rPr>
                        <w:noProof/>
                      </w:rPr>
                    </w:pPr>
                    <w:r w:rsidRPr="008B5111">
                      <w:t>ONR; NS-INSP-GD-033 - LC33: Disposal of radioactive waste; Issue 7 May 2024.</w:t>
                    </w:r>
                    <w:r>
                      <w:rPr>
                        <w:noProof/>
                      </w:rPr>
                      <w:t xml:space="preserve"> </w:t>
                    </w:r>
                  </w:p>
                </w:tc>
              </w:tr>
              <w:tr w:rsidR="00717D5C" w:rsidRPr="00B11BF7" w14:paraId="56949710" w14:textId="77777777" w:rsidTr="008B5111">
                <w:trPr>
                  <w:divId w:val="436219477"/>
                  <w:tblCellSpacing w:w="15" w:type="dxa"/>
                </w:trPr>
                <w:tc>
                  <w:tcPr>
                    <w:tcW w:w="289" w:type="pct"/>
                    <w:hideMark/>
                  </w:tcPr>
                  <w:p w14:paraId="12FA9D41" w14:textId="77777777" w:rsidR="00717D5C" w:rsidRDefault="00717D5C">
                    <w:pPr>
                      <w:pStyle w:val="Bibliography"/>
                      <w:rPr>
                        <w:noProof/>
                      </w:rPr>
                    </w:pPr>
                    <w:r>
                      <w:rPr>
                        <w:noProof/>
                      </w:rPr>
                      <w:t xml:space="preserve">[9] </w:t>
                    </w:r>
                  </w:p>
                </w:tc>
                <w:tc>
                  <w:tcPr>
                    <w:tcW w:w="4661" w:type="pct"/>
                    <w:hideMark/>
                  </w:tcPr>
                  <w:p w14:paraId="336F797E" w14:textId="77777777" w:rsidR="00717D5C" w:rsidRDefault="00717D5C">
                    <w:pPr>
                      <w:pStyle w:val="Bibliography"/>
                      <w:rPr>
                        <w:noProof/>
                      </w:rPr>
                    </w:pPr>
                    <w:r w:rsidRPr="008B5111">
                      <w:t>The Ionising Radiations Regulations 2017, UK Statutory Instruments 2017 No. 1075.</w:t>
                    </w:r>
                    <w:r>
                      <w:rPr>
                        <w:noProof/>
                      </w:rPr>
                      <w:t xml:space="preserve"> </w:t>
                    </w:r>
                  </w:p>
                </w:tc>
              </w:tr>
              <w:tr w:rsidR="00717D5C" w:rsidRPr="00B11BF7" w14:paraId="39CF8186" w14:textId="77777777" w:rsidTr="008B5111">
                <w:trPr>
                  <w:divId w:val="436219477"/>
                  <w:tblCellSpacing w:w="15" w:type="dxa"/>
                </w:trPr>
                <w:tc>
                  <w:tcPr>
                    <w:tcW w:w="289" w:type="pct"/>
                    <w:hideMark/>
                  </w:tcPr>
                  <w:p w14:paraId="1D7414CF" w14:textId="77777777" w:rsidR="00717D5C" w:rsidRDefault="00717D5C">
                    <w:pPr>
                      <w:pStyle w:val="Bibliography"/>
                      <w:rPr>
                        <w:noProof/>
                      </w:rPr>
                    </w:pPr>
                    <w:r>
                      <w:rPr>
                        <w:noProof/>
                      </w:rPr>
                      <w:t xml:space="preserve">[10] </w:t>
                    </w:r>
                  </w:p>
                </w:tc>
                <w:tc>
                  <w:tcPr>
                    <w:tcW w:w="4661" w:type="pct"/>
                    <w:hideMark/>
                  </w:tcPr>
                  <w:p w14:paraId="094F146E" w14:textId="77777777" w:rsidR="00717D5C" w:rsidRDefault="00717D5C">
                    <w:pPr>
                      <w:pStyle w:val="Bibliography"/>
                      <w:rPr>
                        <w:noProof/>
                      </w:rPr>
                    </w:pPr>
                    <w:r w:rsidRPr="008B5111">
                      <w:t>ONR; NS-TAST-GD-038 - Radiological Protection; Issue 10, December 2022.</w:t>
                    </w:r>
                    <w:r>
                      <w:rPr>
                        <w:noProof/>
                      </w:rPr>
                      <w:t xml:space="preserve"> </w:t>
                    </w:r>
                  </w:p>
                </w:tc>
              </w:tr>
              <w:tr w:rsidR="00717D5C" w:rsidRPr="00B11BF7" w14:paraId="5AC4E2E8" w14:textId="77777777" w:rsidTr="008B5111">
                <w:trPr>
                  <w:divId w:val="436219477"/>
                  <w:tblCellSpacing w:w="15" w:type="dxa"/>
                </w:trPr>
                <w:tc>
                  <w:tcPr>
                    <w:tcW w:w="289" w:type="pct"/>
                    <w:hideMark/>
                  </w:tcPr>
                  <w:p w14:paraId="68A8C90B" w14:textId="77777777" w:rsidR="00717D5C" w:rsidRDefault="00717D5C">
                    <w:pPr>
                      <w:pStyle w:val="Bibliography"/>
                      <w:rPr>
                        <w:noProof/>
                      </w:rPr>
                    </w:pPr>
                    <w:r>
                      <w:rPr>
                        <w:noProof/>
                      </w:rPr>
                      <w:t xml:space="preserve">[11] </w:t>
                    </w:r>
                  </w:p>
                </w:tc>
                <w:tc>
                  <w:tcPr>
                    <w:tcW w:w="4661" w:type="pct"/>
                    <w:hideMark/>
                  </w:tcPr>
                  <w:p w14:paraId="2E35A342" w14:textId="77777777" w:rsidR="00717D5C" w:rsidRDefault="00717D5C">
                    <w:pPr>
                      <w:pStyle w:val="Bibliography"/>
                      <w:rPr>
                        <w:noProof/>
                      </w:rPr>
                    </w:pPr>
                    <w:r w:rsidRPr="008B5111">
                      <w:t>INTERNATIONAL ATOMIC ENERGY AGENCY, Regulations for the Safe Transport of Radioactive Material, IAEA Safety Standards Series No. SSR-6 (Rev.1), IAEA, Vienna (2018).</w:t>
                    </w:r>
                    <w:r>
                      <w:rPr>
                        <w:noProof/>
                      </w:rPr>
                      <w:t xml:space="preserve"> </w:t>
                    </w:r>
                  </w:p>
                </w:tc>
              </w:tr>
              <w:tr w:rsidR="00717D5C" w:rsidRPr="00B11BF7" w14:paraId="7B4D6B38" w14:textId="77777777" w:rsidTr="008B5111">
                <w:trPr>
                  <w:divId w:val="436219477"/>
                  <w:tblCellSpacing w:w="15" w:type="dxa"/>
                </w:trPr>
                <w:tc>
                  <w:tcPr>
                    <w:tcW w:w="289" w:type="pct"/>
                    <w:hideMark/>
                  </w:tcPr>
                  <w:p w14:paraId="4E41C682" w14:textId="77777777" w:rsidR="00717D5C" w:rsidRDefault="00717D5C">
                    <w:pPr>
                      <w:pStyle w:val="Bibliography"/>
                      <w:rPr>
                        <w:noProof/>
                      </w:rPr>
                    </w:pPr>
                    <w:r>
                      <w:rPr>
                        <w:noProof/>
                      </w:rPr>
                      <w:t xml:space="preserve">[12] </w:t>
                    </w:r>
                  </w:p>
                </w:tc>
                <w:tc>
                  <w:tcPr>
                    <w:tcW w:w="4661" w:type="pct"/>
                    <w:hideMark/>
                  </w:tcPr>
                  <w:p w14:paraId="4C69361A" w14:textId="77777777" w:rsidR="00717D5C" w:rsidRDefault="00717D5C">
                    <w:pPr>
                      <w:pStyle w:val="Bibliography"/>
                      <w:rPr>
                        <w:noProof/>
                      </w:rPr>
                    </w:pPr>
                    <w:r w:rsidRPr="008B5111">
                      <w:t>The Carriage of Dangerous Goods and Use of Transportable Pressure Equipment Regulations 2009, UK Statutory Instruments 2009 No. 1348.</w:t>
                    </w:r>
                    <w:r>
                      <w:rPr>
                        <w:noProof/>
                      </w:rPr>
                      <w:t xml:space="preserve"> </w:t>
                    </w:r>
                  </w:p>
                </w:tc>
              </w:tr>
              <w:tr w:rsidR="00717D5C" w:rsidRPr="00B11BF7" w14:paraId="642E5BBD" w14:textId="77777777" w:rsidTr="008B5111">
                <w:trPr>
                  <w:divId w:val="436219477"/>
                  <w:tblCellSpacing w:w="15" w:type="dxa"/>
                </w:trPr>
                <w:tc>
                  <w:tcPr>
                    <w:tcW w:w="289" w:type="pct"/>
                    <w:hideMark/>
                  </w:tcPr>
                  <w:p w14:paraId="64173323" w14:textId="77777777" w:rsidR="00717D5C" w:rsidRDefault="00717D5C">
                    <w:pPr>
                      <w:pStyle w:val="Bibliography"/>
                      <w:rPr>
                        <w:noProof/>
                      </w:rPr>
                    </w:pPr>
                    <w:r>
                      <w:rPr>
                        <w:noProof/>
                      </w:rPr>
                      <w:t xml:space="preserve">[13] </w:t>
                    </w:r>
                  </w:p>
                </w:tc>
                <w:tc>
                  <w:tcPr>
                    <w:tcW w:w="4661" w:type="pct"/>
                    <w:hideMark/>
                  </w:tcPr>
                  <w:p w14:paraId="69119FDA" w14:textId="77777777" w:rsidR="00717D5C" w:rsidRDefault="00717D5C">
                    <w:pPr>
                      <w:pStyle w:val="Bibliography"/>
                      <w:rPr>
                        <w:noProof/>
                      </w:rPr>
                    </w:pPr>
                    <w:r w:rsidRPr="008B5111">
                      <w:t>ONR; NS-TAST-GD-099 - Transport Engineering Assessment: Issue 2.2 May 2023.</w:t>
                    </w:r>
                    <w:r>
                      <w:rPr>
                        <w:noProof/>
                      </w:rPr>
                      <w:t xml:space="preserve"> </w:t>
                    </w:r>
                  </w:p>
                </w:tc>
              </w:tr>
              <w:tr w:rsidR="00717D5C" w:rsidRPr="00B11BF7" w14:paraId="222D111B" w14:textId="77777777" w:rsidTr="008B5111">
                <w:trPr>
                  <w:divId w:val="436219477"/>
                  <w:tblCellSpacing w:w="15" w:type="dxa"/>
                </w:trPr>
                <w:tc>
                  <w:tcPr>
                    <w:tcW w:w="289" w:type="pct"/>
                    <w:hideMark/>
                  </w:tcPr>
                  <w:p w14:paraId="618250ED" w14:textId="77777777" w:rsidR="00717D5C" w:rsidRDefault="00717D5C">
                    <w:pPr>
                      <w:pStyle w:val="Bibliography"/>
                      <w:rPr>
                        <w:noProof/>
                      </w:rPr>
                    </w:pPr>
                    <w:r>
                      <w:rPr>
                        <w:noProof/>
                      </w:rPr>
                      <w:lastRenderedPageBreak/>
                      <w:t xml:space="preserve">[14] </w:t>
                    </w:r>
                  </w:p>
                </w:tc>
                <w:tc>
                  <w:tcPr>
                    <w:tcW w:w="4661" w:type="pct"/>
                    <w:hideMark/>
                  </w:tcPr>
                  <w:p w14:paraId="5F678A2F" w14:textId="77777777" w:rsidR="00717D5C" w:rsidRDefault="00717D5C">
                    <w:pPr>
                      <w:pStyle w:val="Bibliography"/>
                      <w:rPr>
                        <w:noProof/>
                      </w:rPr>
                    </w:pPr>
                    <w:r w:rsidRPr="008B5111">
                      <w:t>The Environmental Permitting (England and Wales) Regulations 2016, UK Statutory Instruments 2016 No. 1154.</w:t>
                    </w:r>
                    <w:r>
                      <w:rPr>
                        <w:noProof/>
                      </w:rPr>
                      <w:t xml:space="preserve"> </w:t>
                    </w:r>
                  </w:p>
                </w:tc>
              </w:tr>
              <w:tr w:rsidR="00717D5C" w:rsidRPr="00B11BF7" w14:paraId="19DDC9C0" w14:textId="77777777" w:rsidTr="008B5111">
                <w:trPr>
                  <w:divId w:val="436219477"/>
                  <w:tblCellSpacing w:w="15" w:type="dxa"/>
                </w:trPr>
                <w:tc>
                  <w:tcPr>
                    <w:tcW w:w="289" w:type="pct"/>
                    <w:hideMark/>
                  </w:tcPr>
                  <w:p w14:paraId="35F5FF18" w14:textId="77777777" w:rsidR="00717D5C" w:rsidRDefault="00717D5C">
                    <w:pPr>
                      <w:pStyle w:val="Bibliography"/>
                      <w:rPr>
                        <w:noProof/>
                      </w:rPr>
                    </w:pPr>
                    <w:r>
                      <w:rPr>
                        <w:noProof/>
                      </w:rPr>
                      <w:t xml:space="preserve">[15] </w:t>
                    </w:r>
                  </w:p>
                </w:tc>
                <w:tc>
                  <w:tcPr>
                    <w:tcW w:w="4661" w:type="pct"/>
                    <w:hideMark/>
                  </w:tcPr>
                  <w:p w14:paraId="3947FDBB" w14:textId="77777777" w:rsidR="00717D5C" w:rsidRDefault="00717D5C">
                    <w:pPr>
                      <w:pStyle w:val="Bibliography"/>
                      <w:rPr>
                        <w:noProof/>
                      </w:rPr>
                    </w:pPr>
                    <w:r w:rsidRPr="008B5111">
                      <w:t>The Environmental Authorisations (Scotland) Regulations 2018, Scottish Statutory Instruments 2018 No. 219.</w:t>
                    </w:r>
                    <w:r>
                      <w:rPr>
                        <w:noProof/>
                      </w:rPr>
                      <w:t xml:space="preserve"> </w:t>
                    </w:r>
                  </w:p>
                </w:tc>
              </w:tr>
              <w:tr w:rsidR="00717D5C" w:rsidRPr="00B11BF7" w14:paraId="0A6EEA42" w14:textId="77777777" w:rsidTr="008B5111">
                <w:trPr>
                  <w:divId w:val="436219477"/>
                  <w:tblCellSpacing w:w="15" w:type="dxa"/>
                </w:trPr>
                <w:tc>
                  <w:tcPr>
                    <w:tcW w:w="289" w:type="pct"/>
                    <w:hideMark/>
                  </w:tcPr>
                  <w:p w14:paraId="6C9183EB" w14:textId="77777777" w:rsidR="00717D5C" w:rsidRDefault="00717D5C">
                    <w:pPr>
                      <w:pStyle w:val="Bibliography"/>
                      <w:rPr>
                        <w:noProof/>
                      </w:rPr>
                    </w:pPr>
                    <w:r>
                      <w:rPr>
                        <w:noProof/>
                      </w:rPr>
                      <w:t xml:space="preserve">[16] </w:t>
                    </w:r>
                  </w:p>
                </w:tc>
                <w:tc>
                  <w:tcPr>
                    <w:tcW w:w="4661" w:type="pct"/>
                    <w:hideMark/>
                  </w:tcPr>
                  <w:p w14:paraId="257EBEEA" w14:textId="77777777" w:rsidR="00717D5C" w:rsidRDefault="00717D5C">
                    <w:pPr>
                      <w:pStyle w:val="Bibliography"/>
                      <w:rPr>
                        <w:noProof/>
                      </w:rPr>
                    </w:pPr>
                    <w:r w:rsidRPr="008B5111">
                      <w:t>SEPA, Environmental Authorisations (Scotland) Regulations 2018: Guide to standard conditions for radioactive substances activities, Version 2, September 2021.</w:t>
                    </w:r>
                    <w:r>
                      <w:rPr>
                        <w:noProof/>
                      </w:rPr>
                      <w:t xml:space="preserve"> </w:t>
                    </w:r>
                  </w:p>
                </w:tc>
              </w:tr>
              <w:tr w:rsidR="00717D5C" w:rsidRPr="00B11BF7" w14:paraId="4320E5FF" w14:textId="77777777" w:rsidTr="008B5111">
                <w:trPr>
                  <w:divId w:val="436219477"/>
                  <w:tblCellSpacing w:w="15" w:type="dxa"/>
                </w:trPr>
                <w:tc>
                  <w:tcPr>
                    <w:tcW w:w="289" w:type="pct"/>
                    <w:hideMark/>
                  </w:tcPr>
                  <w:p w14:paraId="5C1D91E2" w14:textId="77777777" w:rsidR="00717D5C" w:rsidRDefault="00717D5C">
                    <w:pPr>
                      <w:pStyle w:val="Bibliography"/>
                      <w:rPr>
                        <w:noProof/>
                      </w:rPr>
                    </w:pPr>
                    <w:r>
                      <w:rPr>
                        <w:noProof/>
                      </w:rPr>
                      <w:t xml:space="preserve">[17] </w:t>
                    </w:r>
                  </w:p>
                </w:tc>
                <w:tc>
                  <w:tcPr>
                    <w:tcW w:w="4661" w:type="pct"/>
                    <w:hideMark/>
                  </w:tcPr>
                  <w:p w14:paraId="757275DF" w14:textId="77777777" w:rsidR="00717D5C" w:rsidRDefault="00717D5C">
                    <w:pPr>
                      <w:pStyle w:val="Bibliography"/>
                      <w:rPr>
                        <w:noProof/>
                      </w:rPr>
                    </w:pPr>
                    <w:r w:rsidRPr="008B5111">
                      <w:t>ONR Memoranda of Understanding / General Agreements, https://www.onr.org.uk/working-with-others/agreements-with-others/memoranda-of-understanding-general-agreements/.</w:t>
                    </w:r>
                    <w:r>
                      <w:rPr>
                        <w:noProof/>
                      </w:rPr>
                      <w:t xml:space="preserve"> </w:t>
                    </w:r>
                  </w:p>
                </w:tc>
              </w:tr>
              <w:tr w:rsidR="00717D5C" w:rsidRPr="00B11BF7" w14:paraId="11F3CFD9" w14:textId="77777777" w:rsidTr="008B5111">
                <w:trPr>
                  <w:divId w:val="436219477"/>
                  <w:tblCellSpacing w:w="15" w:type="dxa"/>
                </w:trPr>
                <w:tc>
                  <w:tcPr>
                    <w:tcW w:w="289" w:type="pct"/>
                    <w:hideMark/>
                  </w:tcPr>
                  <w:p w14:paraId="60243662" w14:textId="77777777" w:rsidR="00717D5C" w:rsidRDefault="00717D5C">
                    <w:pPr>
                      <w:pStyle w:val="Bibliography"/>
                      <w:rPr>
                        <w:noProof/>
                      </w:rPr>
                    </w:pPr>
                    <w:r>
                      <w:rPr>
                        <w:noProof/>
                      </w:rPr>
                      <w:t xml:space="preserve">[18] </w:t>
                    </w:r>
                  </w:p>
                </w:tc>
                <w:tc>
                  <w:tcPr>
                    <w:tcW w:w="4661" w:type="pct"/>
                    <w:hideMark/>
                  </w:tcPr>
                  <w:p w14:paraId="68474A21" w14:textId="77777777" w:rsidR="00717D5C" w:rsidRDefault="00717D5C">
                    <w:pPr>
                      <w:pStyle w:val="Bibliography"/>
                      <w:rPr>
                        <w:noProof/>
                      </w:rPr>
                    </w:pPr>
                    <w:r w:rsidRPr="008B5111">
                      <w:t>ONR; ONR-INSP-GD-061 - Joint Regulatory Guidance to Support the Overarching MoU - EA and ONR; Issue 2.</w:t>
                    </w:r>
                    <w:r>
                      <w:rPr>
                        <w:noProof/>
                      </w:rPr>
                      <w:t xml:space="preserve"> </w:t>
                    </w:r>
                  </w:p>
                </w:tc>
              </w:tr>
              <w:tr w:rsidR="00717D5C" w:rsidRPr="00B11BF7" w14:paraId="1ECF7CCD" w14:textId="77777777" w:rsidTr="008B5111">
                <w:trPr>
                  <w:divId w:val="436219477"/>
                  <w:tblCellSpacing w:w="15" w:type="dxa"/>
                </w:trPr>
                <w:tc>
                  <w:tcPr>
                    <w:tcW w:w="289" w:type="pct"/>
                    <w:hideMark/>
                  </w:tcPr>
                  <w:p w14:paraId="517974F9" w14:textId="77777777" w:rsidR="00717D5C" w:rsidRDefault="00717D5C">
                    <w:pPr>
                      <w:pStyle w:val="Bibliography"/>
                      <w:rPr>
                        <w:noProof/>
                      </w:rPr>
                    </w:pPr>
                    <w:r>
                      <w:rPr>
                        <w:noProof/>
                      </w:rPr>
                      <w:t xml:space="preserve">[19] </w:t>
                    </w:r>
                  </w:p>
                </w:tc>
                <w:tc>
                  <w:tcPr>
                    <w:tcW w:w="4661" w:type="pct"/>
                    <w:hideMark/>
                  </w:tcPr>
                  <w:p w14:paraId="3B8956B0" w14:textId="77777777" w:rsidR="00717D5C" w:rsidRDefault="00717D5C">
                    <w:pPr>
                      <w:pStyle w:val="Bibliography"/>
                      <w:rPr>
                        <w:noProof/>
                      </w:rPr>
                    </w:pPr>
                    <w:r w:rsidRPr="008B5111">
                      <w:t>ONR; ONR-INSP-GD-063 - Joint Regulatory Guidance to Support the Overarching MoU - NRW and ONR; Issue 2.</w:t>
                    </w:r>
                    <w:r>
                      <w:rPr>
                        <w:noProof/>
                      </w:rPr>
                      <w:t xml:space="preserve"> </w:t>
                    </w:r>
                  </w:p>
                </w:tc>
              </w:tr>
              <w:tr w:rsidR="00717D5C" w:rsidRPr="00B11BF7" w14:paraId="6FCC0812" w14:textId="77777777" w:rsidTr="008B5111">
                <w:trPr>
                  <w:divId w:val="436219477"/>
                  <w:tblCellSpacing w:w="15" w:type="dxa"/>
                </w:trPr>
                <w:tc>
                  <w:tcPr>
                    <w:tcW w:w="289" w:type="pct"/>
                    <w:hideMark/>
                  </w:tcPr>
                  <w:p w14:paraId="18F3764D" w14:textId="77777777" w:rsidR="00717D5C" w:rsidRDefault="00717D5C">
                    <w:pPr>
                      <w:pStyle w:val="Bibliography"/>
                      <w:rPr>
                        <w:noProof/>
                      </w:rPr>
                    </w:pPr>
                    <w:r>
                      <w:rPr>
                        <w:noProof/>
                      </w:rPr>
                      <w:t xml:space="preserve">[20] </w:t>
                    </w:r>
                  </w:p>
                </w:tc>
                <w:tc>
                  <w:tcPr>
                    <w:tcW w:w="4661" w:type="pct"/>
                    <w:hideMark/>
                  </w:tcPr>
                  <w:p w14:paraId="4F0E39CB" w14:textId="77777777" w:rsidR="00717D5C" w:rsidRDefault="00717D5C">
                    <w:pPr>
                      <w:pStyle w:val="Bibliography"/>
                      <w:rPr>
                        <w:noProof/>
                      </w:rPr>
                    </w:pPr>
                    <w:r w:rsidRPr="008B5111">
                      <w:t>ONR; ONR-INSP-GD-062 - Guidance to support the Joint Regulatory MoU between ONR and SEPA; Issue 2.</w:t>
                    </w:r>
                    <w:r>
                      <w:rPr>
                        <w:noProof/>
                      </w:rPr>
                      <w:t xml:space="preserve"> </w:t>
                    </w:r>
                  </w:p>
                </w:tc>
              </w:tr>
              <w:tr w:rsidR="00717D5C" w:rsidRPr="00B11BF7" w14:paraId="443E74C5" w14:textId="77777777" w:rsidTr="008B5111">
                <w:trPr>
                  <w:divId w:val="436219477"/>
                  <w:tblCellSpacing w:w="15" w:type="dxa"/>
                </w:trPr>
                <w:tc>
                  <w:tcPr>
                    <w:tcW w:w="289" w:type="pct"/>
                    <w:hideMark/>
                  </w:tcPr>
                  <w:p w14:paraId="015E86E4" w14:textId="77777777" w:rsidR="00717D5C" w:rsidRDefault="00717D5C">
                    <w:pPr>
                      <w:pStyle w:val="Bibliography"/>
                      <w:rPr>
                        <w:noProof/>
                      </w:rPr>
                    </w:pPr>
                    <w:r>
                      <w:rPr>
                        <w:noProof/>
                      </w:rPr>
                      <w:t xml:space="preserve">[21] </w:t>
                    </w:r>
                  </w:p>
                </w:tc>
                <w:tc>
                  <w:tcPr>
                    <w:tcW w:w="4661" w:type="pct"/>
                    <w:hideMark/>
                  </w:tcPr>
                  <w:p w14:paraId="22697F1E" w14:textId="77777777" w:rsidR="00717D5C" w:rsidRDefault="00717D5C">
                    <w:pPr>
                      <w:pStyle w:val="Bibliography"/>
                      <w:rPr>
                        <w:noProof/>
                      </w:rPr>
                    </w:pPr>
                    <w:r w:rsidRPr="008B5111">
                      <w:t>UK Policy Framework: Managing Radioactive Substances and Nuclear Decommissioning, May 2024, https://assets.publishing.service.gov.uk/media/6632371769098ded31fca7c1/managing-radioactive-substances-and-nuclear-decommissioning-uk-policy-framework.pdf.</w:t>
                    </w:r>
                    <w:r>
                      <w:rPr>
                        <w:noProof/>
                      </w:rPr>
                      <w:t xml:space="preserve"> </w:t>
                    </w:r>
                  </w:p>
                </w:tc>
              </w:tr>
              <w:tr w:rsidR="00717D5C" w:rsidRPr="00B11BF7" w14:paraId="41591996" w14:textId="77777777" w:rsidTr="008B5111">
                <w:trPr>
                  <w:divId w:val="436219477"/>
                  <w:tblCellSpacing w:w="15" w:type="dxa"/>
                </w:trPr>
                <w:tc>
                  <w:tcPr>
                    <w:tcW w:w="289" w:type="pct"/>
                    <w:hideMark/>
                  </w:tcPr>
                  <w:p w14:paraId="2B128ADD" w14:textId="77777777" w:rsidR="00717D5C" w:rsidRDefault="00717D5C">
                    <w:pPr>
                      <w:pStyle w:val="Bibliography"/>
                      <w:rPr>
                        <w:noProof/>
                      </w:rPr>
                    </w:pPr>
                    <w:r>
                      <w:rPr>
                        <w:noProof/>
                      </w:rPr>
                      <w:t xml:space="preserve">[22] </w:t>
                    </w:r>
                  </w:p>
                </w:tc>
                <w:tc>
                  <w:tcPr>
                    <w:tcW w:w="4661" w:type="pct"/>
                    <w:hideMark/>
                  </w:tcPr>
                  <w:p w14:paraId="016601A0" w14:textId="77777777" w:rsidR="00717D5C" w:rsidRDefault="00717D5C">
                    <w:pPr>
                      <w:pStyle w:val="Bibliography"/>
                      <w:rPr>
                        <w:noProof/>
                      </w:rPr>
                    </w:pPr>
                    <w:r w:rsidRPr="008B5111">
                      <w:t>ONR; NS-TAST-GD-101 - Geological Disposal; Issue 1.3 March 2023.</w:t>
                    </w:r>
                    <w:r>
                      <w:rPr>
                        <w:noProof/>
                      </w:rPr>
                      <w:t xml:space="preserve"> </w:t>
                    </w:r>
                  </w:p>
                </w:tc>
              </w:tr>
              <w:tr w:rsidR="00717D5C" w:rsidRPr="00B11BF7" w14:paraId="37773560" w14:textId="77777777" w:rsidTr="008B5111">
                <w:trPr>
                  <w:divId w:val="436219477"/>
                  <w:tblCellSpacing w:w="15" w:type="dxa"/>
                </w:trPr>
                <w:tc>
                  <w:tcPr>
                    <w:tcW w:w="289" w:type="pct"/>
                    <w:hideMark/>
                  </w:tcPr>
                  <w:p w14:paraId="12376DC2" w14:textId="77777777" w:rsidR="00717D5C" w:rsidRDefault="00717D5C">
                    <w:pPr>
                      <w:pStyle w:val="Bibliography"/>
                      <w:rPr>
                        <w:noProof/>
                      </w:rPr>
                    </w:pPr>
                    <w:r>
                      <w:rPr>
                        <w:noProof/>
                      </w:rPr>
                      <w:t xml:space="preserve">[23] </w:t>
                    </w:r>
                  </w:p>
                </w:tc>
                <w:tc>
                  <w:tcPr>
                    <w:tcW w:w="4661" w:type="pct"/>
                    <w:hideMark/>
                  </w:tcPr>
                  <w:p w14:paraId="737A5762" w14:textId="77777777" w:rsidR="00717D5C" w:rsidRDefault="00717D5C">
                    <w:pPr>
                      <w:pStyle w:val="Bibliography"/>
                      <w:rPr>
                        <w:noProof/>
                      </w:rPr>
                    </w:pPr>
                    <w:r w:rsidRPr="008B5111">
                      <w:t>Scotland's higher-activity radioactive waste policy, January 2011, ISBN 9780755998920.</w:t>
                    </w:r>
                    <w:r>
                      <w:rPr>
                        <w:noProof/>
                      </w:rPr>
                      <w:t xml:space="preserve"> </w:t>
                    </w:r>
                  </w:p>
                </w:tc>
              </w:tr>
              <w:tr w:rsidR="00717D5C" w:rsidRPr="00B11BF7" w14:paraId="2CC17186" w14:textId="77777777" w:rsidTr="008B5111">
                <w:trPr>
                  <w:divId w:val="436219477"/>
                  <w:tblCellSpacing w:w="15" w:type="dxa"/>
                </w:trPr>
                <w:tc>
                  <w:tcPr>
                    <w:tcW w:w="289" w:type="pct"/>
                    <w:hideMark/>
                  </w:tcPr>
                  <w:p w14:paraId="73477791" w14:textId="77777777" w:rsidR="00717D5C" w:rsidRDefault="00717D5C">
                    <w:pPr>
                      <w:pStyle w:val="Bibliography"/>
                      <w:rPr>
                        <w:noProof/>
                      </w:rPr>
                    </w:pPr>
                    <w:r>
                      <w:rPr>
                        <w:noProof/>
                      </w:rPr>
                      <w:t xml:space="preserve">[24] </w:t>
                    </w:r>
                  </w:p>
                </w:tc>
                <w:tc>
                  <w:tcPr>
                    <w:tcW w:w="4661" w:type="pct"/>
                    <w:hideMark/>
                  </w:tcPr>
                  <w:p w14:paraId="17C2F1C3" w14:textId="77777777" w:rsidR="00717D5C" w:rsidRDefault="00717D5C">
                    <w:pPr>
                      <w:pStyle w:val="Bibliography"/>
                      <w:rPr>
                        <w:noProof/>
                      </w:rPr>
                    </w:pPr>
                    <w:r w:rsidRPr="008B5111">
                      <w:t>Implementation strategy for Scotland's policy on higher-activity radioactive waste; December 2016; ISBN 9781786527042.</w:t>
                    </w:r>
                    <w:r>
                      <w:rPr>
                        <w:noProof/>
                      </w:rPr>
                      <w:t xml:space="preserve"> </w:t>
                    </w:r>
                  </w:p>
                </w:tc>
              </w:tr>
              <w:tr w:rsidR="00717D5C" w:rsidRPr="00B11BF7" w14:paraId="4F7E4D18" w14:textId="77777777" w:rsidTr="008B5111">
                <w:trPr>
                  <w:divId w:val="436219477"/>
                  <w:tblCellSpacing w:w="15" w:type="dxa"/>
                </w:trPr>
                <w:tc>
                  <w:tcPr>
                    <w:tcW w:w="289" w:type="pct"/>
                    <w:hideMark/>
                  </w:tcPr>
                  <w:p w14:paraId="142CF78D" w14:textId="77777777" w:rsidR="00717D5C" w:rsidRDefault="00717D5C">
                    <w:pPr>
                      <w:pStyle w:val="Bibliography"/>
                      <w:rPr>
                        <w:noProof/>
                      </w:rPr>
                    </w:pPr>
                    <w:r>
                      <w:rPr>
                        <w:noProof/>
                      </w:rPr>
                      <w:t xml:space="preserve">[25] </w:t>
                    </w:r>
                  </w:p>
                </w:tc>
                <w:tc>
                  <w:tcPr>
                    <w:tcW w:w="4661" w:type="pct"/>
                    <w:hideMark/>
                  </w:tcPr>
                  <w:p w14:paraId="1C2195D8" w14:textId="77777777" w:rsidR="00717D5C" w:rsidRDefault="00717D5C">
                    <w:pPr>
                      <w:pStyle w:val="Bibliography"/>
                      <w:rPr>
                        <w:noProof/>
                      </w:rPr>
                    </w:pPr>
                    <w:r w:rsidRPr="008B5111">
                      <w:t>UK Strategy for the Management of Solid Low Level Waste from the Nuclear Industry; February 2016; URN 15D/472.</w:t>
                    </w:r>
                    <w:r>
                      <w:rPr>
                        <w:noProof/>
                      </w:rPr>
                      <w:t xml:space="preserve"> </w:t>
                    </w:r>
                  </w:p>
                </w:tc>
              </w:tr>
              <w:tr w:rsidR="00717D5C" w:rsidRPr="00B11BF7" w14:paraId="4FF0A117" w14:textId="77777777" w:rsidTr="008B5111">
                <w:trPr>
                  <w:divId w:val="436219477"/>
                  <w:tblCellSpacing w:w="15" w:type="dxa"/>
                </w:trPr>
                <w:tc>
                  <w:tcPr>
                    <w:tcW w:w="289" w:type="pct"/>
                    <w:hideMark/>
                  </w:tcPr>
                  <w:p w14:paraId="3B607274" w14:textId="77777777" w:rsidR="00717D5C" w:rsidRDefault="00717D5C">
                    <w:pPr>
                      <w:pStyle w:val="Bibliography"/>
                      <w:rPr>
                        <w:noProof/>
                      </w:rPr>
                    </w:pPr>
                    <w:r>
                      <w:rPr>
                        <w:noProof/>
                      </w:rPr>
                      <w:t xml:space="preserve">[26] </w:t>
                    </w:r>
                  </w:p>
                </w:tc>
                <w:tc>
                  <w:tcPr>
                    <w:tcW w:w="4661" w:type="pct"/>
                    <w:hideMark/>
                  </w:tcPr>
                  <w:p w14:paraId="7E1392B8" w14:textId="77777777" w:rsidR="00717D5C" w:rsidRDefault="00717D5C">
                    <w:pPr>
                      <w:pStyle w:val="Bibliography"/>
                      <w:rPr>
                        <w:noProof/>
                      </w:rPr>
                    </w:pPr>
                    <w:r w:rsidRPr="008B5111">
                      <w:t>INTERNATIONAL ATOMIC ENERGY AGENCY, Predisposal Management of Radioactive Waste, IAEA Safety Standards Series No. GSR Part 5, IAEA, Vienna (2009).</w:t>
                    </w:r>
                    <w:r>
                      <w:rPr>
                        <w:noProof/>
                      </w:rPr>
                      <w:t xml:space="preserve"> </w:t>
                    </w:r>
                  </w:p>
                </w:tc>
              </w:tr>
              <w:tr w:rsidR="00717D5C" w:rsidRPr="00B11BF7" w14:paraId="01D501AE" w14:textId="77777777" w:rsidTr="008B5111">
                <w:trPr>
                  <w:divId w:val="436219477"/>
                  <w:tblCellSpacing w:w="15" w:type="dxa"/>
                </w:trPr>
                <w:tc>
                  <w:tcPr>
                    <w:tcW w:w="289" w:type="pct"/>
                    <w:hideMark/>
                  </w:tcPr>
                  <w:p w14:paraId="5D60E01F" w14:textId="77777777" w:rsidR="00717D5C" w:rsidRDefault="00717D5C">
                    <w:pPr>
                      <w:pStyle w:val="Bibliography"/>
                      <w:rPr>
                        <w:noProof/>
                      </w:rPr>
                    </w:pPr>
                    <w:r>
                      <w:rPr>
                        <w:noProof/>
                      </w:rPr>
                      <w:lastRenderedPageBreak/>
                      <w:t xml:space="preserve">[27] </w:t>
                    </w:r>
                  </w:p>
                </w:tc>
                <w:tc>
                  <w:tcPr>
                    <w:tcW w:w="4661" w:type="pct"/>
                    <w:hideMark/>
                  </w:tcPr>
                  <w:p w14:paraId="6882ED43" w14:textId="77777777" w:rsidR="00717D5C" w:rsidRDefault="00717D5C">
                    <w:pPr>
                      <w:pStyle w:val="Bibliography"/>
                      <w:rPr>
                        <w:noProof/>
                      </w:rPr>
                    </w:pPr>
                    <w:r w:rsidRPr="008B5111">
                      <w:t>INTERNATIONAL ATOMIC ENERGY AGENCY, Predisposal Management of Radioactive Waste from Nuclear Power Plants and Research Reactors, IAEA Safety Standards Series No. SSG-40, IAEA, Vienna (2016).</w:t>
                    </w:r>
                    <w:r>
                      <w:rPr>
                        <w:noProof/>
                      </w:rPr>
                      <w:t xml:space="preserve"> </w:t>
                    </w:r>
                  </w:p>
                </w:tc>
              </w:tr>
              <w:tr w:rsidR="00717D5C" w:rsidRPr="00B11BF7" w14:paraId="5FEF00AA" w14:textId="77777777" w:rsidTr="008B5111">
                <w:trPr>
                  <w:divId w:val="436219477"/>
                  <w:tblCellSpacing w:w="15" w:type="dxa"/>
                </w:trPr>
                <w:tc>
                  <w:tcPr>
                    <w:tcW w:w="289" w:type="pct"/>
                    <w:hideMark/>
                  </w:tcPr>
                  <w:p w14:paraId="63AE179F" w14:textId="77777777" w:rsidR="00717D5C" w:rsidRDefault="00717D5C">
                    <w:pPr>
                      <w:pStyle w:val="Bibliography"/>
                      <w:rPr>
                        <w:noProof/>
                      </w:rPr>
                    </w:pPr>
                    <w:r>
                      <w:rPr>
                        <w:noProof/>
                      </w:rPr>
                      <w:t xml:space="preserve">[28] </w:t>
                    </w:r>
                  </w:p>
                </w:tc>
                <w:tc>
                  <w:tcPr>
                    <w:tcW w:w="4661" w:type="pct"/>
                    <w:hideMark/>
                  </w:tcPr>
                  <w:p w14:paraId="28CD1D6F" w14:textId="77777777" w:rsidR="00717D5C" w:rsidRDefault="00717D5C">
                    <w:pPr>
                      <w:pStyle w:val="Bibliography"/>
                      <w:rPr>
                        <w:noProof/>
                      </w:rPr>
                    </w:pPr>
                    <w:r w:rsidRPr="008B5111">
                      <w:t>INTERNATIONAL ATOMIC ENERGY AGENCY, Predisposal Management of Radioactive Waste from Nuclear Fuel Cycle Facilities, IAEA Safety Standards Series No. SSG-41, IAEA, Vienna (2016).</w:t>
                    </w:r>
                    <w:r>
                      <w:rPr>
                        <w:noProof/>
                      </w:rPr>
                      <w:t xml:space="preserve"> </w:t>
                    </w:r>
                  </w:p>
                </w:tc>
              </w:tr>
              <w:tr w:rsidR="00717D5C" w:rsidRPr="00B11BF7" w14:paraId="659C5954" w14:textId="77777777" w:rsidTr="008B5111">
                <w:trPr>
                  <w:divId w:val="436219477"/>
                  <w:tblCellSpacing w:w="15" w:type="dxa"/>
                </w:trPr>
                <w:tc>
                  <w:tcPr>
                    <w:tcW w:w="289" w:type="pct"/>
                    <w:hideMark/>
                  </w:tcPr>
                  <w:p w14:paraId="6EF975B0" w14:textId="77777777" w:rsidR="00717D5C" w:rsidRDefault="00717D5C">
                    <w:pPr>
                      <w:pStyle w:val="Bibliography"/>
                      <w:rPr>
                        <w:noProof/>
                      </w:rPr>
                    </w:pPr>
                    <w:r>
                      <w:rPr>
                        <w:noProof/>
                      </w:rPr>
                      <w:t xml:space="preserve">[29] </w:t>
                    </w:r>
                  </w:p>
                </w:tc>
                <w:tc>
                  <w:tcPr>
                    <w:tcW w:w="4661" w:type="pct"/>
                    <w:hideMark/>
                  </w:tcPr>
                  <w:p w14:paraId="7324CB68" w14:textId="77777777" w:rsidR="00717D5C" w:rsidRDefault="00717D5C">
                    <w:pPr>
                      <w:pStyle w:val="Bibliography"/>
                      <w:rPr>
                        <w:noProof/>
                      </w:rPr>
                    </w:pPr>
                    <w:r w:rsidRPr="008B5111">
                      <w:t>INTERNATIONAL ATOMIC ENERGY AGENCY, The Safety Case and Safety Assessment for the Predisposal Management of Radioactive Waste, IAEA Safety Standards Series No. GSG-3, IAEA, Vienna (2013)..</w:t>
                    </w:r>
                    <w:r>
                      <w:rPr>
                        <w:noProof/>
                      </w:rPr>
                      <w:t xml:space="preserve"> </w:t>
                    </w:r>
                  </w:p>
                </w:tc>
              </w:tr>
              <w:tr w:rsidR="00717D5C" w:rsidRPr="00B11BF7" w14:paraId="7DE45A2B" w14:textId="77777777" w:rsidTr="008B5111">
                <w:trPr>
                  <w:divId w:val="436219477"/>
                  <w:tblCellSpacing w:w="15" w:type="dxa"/>
                </w:trPr>
                <w:tc>
                  <w:tcPr>
                    <w:tcW w:w="289" w:type="pct"/>
                    <w:hideMark/>
                  </w:tcPr>
                  <w:p w14:paraId="3A1BD1CB" w14:textId="77777777" w:rsidR="00717D5C" w:rsidRDefault="00717D5C">
                    <w:pPr>
                      <w:pStyle w:val="Bibliography"/>
                      <w:rPr>
                        <w:noProof/>
                      </w:rPr>
                    </w:pPr>
                    <w:r>
                      <w:rPr>
                        <w:noProof/>
                      </w:rPr>
                      <w:t xml:space="preserve">[30] </w:t>
                    </w:r>
                  </w:p>
                </w:tc>
                <w:tc>
                  <w:tcPr>
                    <w:tcW w:w="4661" w:type="pct"/>
                    <w:hideMark/>
                  </w:tcPr>
                  <w:p w14:paraId="584C3043" w14:textId="77777777" w:rsidR="00717D5C" w:rsidRDefault="00717D5C">
                    <w:pPr>
                      <w:pStyle w:val="Bibliography"/>
                      <w:rPr>
                        <w:noProof/>
                      </w:rPr>
                    </w:pPr>
                    <w:r w:rsidRPr="008B5111">
                      <w:t>INTERNATIONAL ATOMIC ENERGY AGENCY, Leadership, Management and Culture for Safety in Radioactive Waste Management, IAEA Safety Standards Series No. GSG-16, IAEA, Vienna (2022). https://www.iaea.org/publications/14787/.</w:t>
                    </w:r>
                    <w:r>
                      <w:rPr>
                        <w:noProof/>
                      </w:rPr>
                      <w:t xml:space="preserve"> </w:t>
                    </w:r>
                  </w:p>
                </w:tc>
              </w:tr>
              <w:tr w:rsidR="00717D5C" w:rsidRPr="00B11BF7" w14:paraId="3F2FA076" w14:textId="77777777" w:rsidTr="008B5111">
                <w:trPr>
                  <w:divId w:val="436219477"/>
                  <w:tblCellSpacing w:w="15" w:type="dxa"/>
                </w:trPr>
                <w:tc>
                  <w:tcPr>
                    <w:tcW w:w="289" w:type="pct"/>
                    <w:hideMark/>
                  </w:tcPr>
                  <w:p w14:paraId="3C64300A" w14:textId="77777777" w:rsidR="00717D5C" w:rsidRDefault="00717D5C">
                    <w:pPr>
                      <w:pStyle w:val="Bibliography"/>
                      <w:rPr>
                        <w:noProof/>
                      </w:rPr>
                    </w:pPr>
                    <w:r>
                      <w:rPr>
                        <w:noProof/>
                      </w:rPr>
                      <w:t xml:space="preserve">[31] </w:t>
                    </w:r>
                  </w:p>
                </w:tc>
                <w:tc>
                  <w:tcPr>
                    <w:tcW w:w="4661" w:type="pct"/>
                    <w:hideMark/>
                  </w:tcPr>
                  <w:p w14:paraId="6A93B264" w14:textId="77777777" w:rsidR="00717D5C" w:rsidRDefault="00717D5C">
                    <w:pPr>
                      <w:pStyle w:val="Bibliography"/>
                      <w:rPr>
                        <w:noProof/>
                      </w:rPr>
                    </w:pPr>
                    <w:r w:rsidRPr="008B5111">
                      <w:t>WENRA, Waste and Spent Fuel Storage Safety Reference Levels, Report of Working Group on Waste and Decommissioning, Version 2.3, January 2024.</w:t>
                    </w:r>
                    <w:r>
                      <w:rPr>
                        <w:noProof/>
                      </w:rPr>
                      <w:t xml:space="preserve"> </w:t>
                    </w:r>
                  </w:p>
                </w:tc>
              </w:tr>
              <w:tr w:rsidR="00717D5C" w:rsidRPr="00B11BF7" w14:paraId="63285BD5" w14:textId="77777777" w:rsidTr="008B5111">
                <w:trPr>
                  <w:divId w:val="436219477"/>
                  <w:tblCellSpacing w:w="15" w:type="dxa"/>
                </w:trPr>
                <w:tc>
                  <w:tcPr>
                    <w:tcW w:w="289" w:type="pct"/>
                    <w:hideMark/>
                  </w:tcPr>
                  <w:p w14:paraId="212BAB8E" w14:textId="77777777" w:rsidR="00717D5C" w:rsidRDefault="00717D5C">
                    <w:pPr>
                      <w:pStyle w:val="Bibliography"/>
                      <w:rPr>
                        <w:noProof/>
                      </w:rPr>
                    </w:pPr>
                    <w:r>
                      <w:rPr>
                        <w:noProof/>
                      </w:rPr>
                      <w:t xml:space="preserve">[32] </w:t>
                    </w:r>
                  </w:p>
                </w:tc>
                <w:tc>
                  <w:tcPr>
                    <w:tcW w:w="4661" w:type="pct"/>
                    <w:hideMark/>
                  </w:tcPr>
                  <w:p w14:paraId="23613483" w14:textId="77777777" w:rsidR="00717D5C" w:rsidRDefault="00717D5C">
                    <w:pPr>
                      <w:pStyle w:val="Bibliography"/>
                      <w:rPr>
                        <w:noProof/>
                      </w:rPr>
                    </w:pPr>
                    <w:r w:rsidRPr="008B5111">
                      <w:t>WENRA, Radioactive Waste Treatment and Conditioning Safety Reference Levels, Report of the Working Group on Waste and Decommissioning, Version 1.1, December 2018.</w:t>
                    </w:r>
                    <w:r>
                      <w:rPr>
                        <w:noProof/>
                      </w:rPr>
                      <w:t xml:space="preserve"> </w:t>
                    </w:r>
                  </w:p>
                </w:tc>
              </w:tr>
              <w:tr w:rsidR="00717D5C" w:rsidRPr="00B11BF7" w14:paraId="01DFFF05" w14:textId="77777777" w:rsidTr="008B5111">
                <w:trPr>
                  <w:divId w:val="436219477"/>
                  <w:tblCellSpacing w:w="15" w:type="dxa"/>
                </w:trPr>
                <w:tc>
                  <w:tcPr>
                    <w:tcW w:w="289" w:type="pct"/>
                    <w:hideMark/>
                  </w:tcPr>
                  <w:p w14:paraId="1E57D6D8" w14:textId="77777777" w:rsidR="00717D5C" w:rsidRDefault="00717D5C">
                    <w:pPr>
                      <w:pStyle w:val="Bibliography"/>
                      <w:rPr>
                        <w:noProof/>
                      </w:rPr>
                    </w:pPr>
                    <w:r>
                      <w:rPr>
                        <w:noProof/>
                      </w:rPr>
                      <w:t xml:space="preserve">[33] </w:t>
                    </w:r>
                  </w:p>
                </w:tc>
                <w:tc>
                  <w:tcPr>
                    <w:tcW w:w="4661" w:type="pct"/>
                    <w:hideMark/>
                  </w:tcPr>
                  <w:p w14:paraId="2AD9D57E" w14:textId="77777777" w:rsidR="00717D5C" w:rsidRDefault="00717D5C">
                    <w:pPr>
                      <w:pStyle w:val="Bibliography"/>
                      <w:rPr>
                        <w:noProof/>
                      </w:rPr>
                    </w:pPr>
                    <w:r w:rsidRPr="008B5111">
                      <w:t>ONR; NS-INSP-GD-011 - LC 11 - On-site Emergency Arrangments; Issue 7.1 March 2027.</w:t>
                    </w:r>
                    <w:r>
                      <w:rPr>
                        <w:noProof/>
                      </w:rPr>
                      <w:t xml:space="preserve"> </w:t>
                    </w:r>
                  </w:p>
                </w:tc>
              </w:tr>
              <w:tr w:rsidR="00717D5C" w:rsidRPr="00B11BF7" w14:paraId="508FC991" w14:textId="77777777" w:rsidTr="008B5111">
                <w:trPr>
                  <w:divId w:val="436219477"/>
                  <w:tblCellSpacing w:w="15" w:type="dxa"/>
                </w:trPr>
                <w:tc>
                  <w:tcPr>
                    <w:tcW w:w="289" w:type="pct"/>
                    <w:hideMark/>
                  </w:tcPr>
                  <w:p w14:paraId="094717CB" w14:textId="77777777" w:rsidR="00717D5C" w:rsidRDefault="00717D5C">
                    <w:pPr>
                      <w:pStyle w:val="Bibliography"/>
                      <w:rPr>
                        <w:noProof/>
                      </w:rPr>
                    </w:pPr>
                    <w:r>
                      <w:rPr>
                        <w:noProof/>
                      </w:rPr>
                      <w:t xml:space="preserve">[34] </w:t>
                    </w:r>
                  </w:p>
                </w:tc>
                <w:tc>
                  <w:tcPr>
                    <w:tcW w:w="4661" w:type="pct"/>
                    <w:hideMark/>
                  </w:tcPr>
                  <w:p w14:paraId="07688A56" w14:textId="77777777" w:rsidR="00717D5C" w:rsidRDefault="00717D5C">
                    <w:pPr>
                      <w:pStyle w:val="Bibliography"/>
                      <w:rPr>
                        <w:noProof/>
                      </w:rPr>
                    </w:pPr>
                    <w:r w:rsidRPr="008B5111">
                      <w:t>Regulatory Arrangements for the Management of Higher Activity Radioactive Waste on Nuclear Licensed Sites, Regulatory Position Statement – 2021 Update.</w:t>
                    </w:r>
                    <w:r>
                      <w:rPr>
                        <w:noProof/>
                      </w:rPr>
                      <w:t xml:space="preserve"> </w:t>
                    </w:r>
                  </w:p>
                </w:tc>
              </w:tr>
              <w:tr w:rsidR="00717D5C" w:rsidRPr="00B11BF7" w14:paraId="269CE6C7" w14:textId="77777777" w:rsidTr="008B5111">
                <w:trPr>
                  <w:divId w:val="436219477"/>
                  <w:tblCellSpacing w:w="15" w:type="dxa"/>
                </w:trPr>
                <w:tc>
                  <w:tcPr>
                    <w:tcW w:w="289" w:type="pct"/>
                    <w:hideMark/>
                  </w:tcPr>
                  <w:p w14:paraId="3734A36F" w14:textId="77777777" w:rsidR="00717D5C" w:rsidRDefault="00717D5C">
                    <w:pPr>
                      <w:pStyle w:val="Bibliography"/>
                      <w:rPr>
                        <w:noProof/>
                      </w:rPr>
                    </w:pPr>
                    <w:r>
                      <w:rPr>
                        <w:noProof/>
                      </w:rPr>
                      <w:t xml:space="preserve">[35] </w:t>
                    </w:r>
                  </w:p>
                </w:tc>
                <w:tc>
                  <w:tcPr>
                    <w:tcW w:w="4661" w:type="pct"/>
                    <w:hideMark/>
                  </w:tcPr>
                  <w:p w14:paraId="796EB183" w14:textId="77777777" w:rsidR="00717D5C" w:rsidRDefault="00717D5C">
                    <w:pPr>
                      <w:pStyle w:val="Bibliography"/>
                      <w:rPr>
                        <w:noProof/>
                      </w:rPr>
                    </w:pPr>
                    <w:r w:rsidRPr="008B5111">
                      <w:t>The management of higher activity radioactive waste on nuclear licensed sites, Joint guidance from the Office for Nuclear Regulation, the Environment Agency, the Scottish Environment Protection Agency and Natural Resources Wales, Rev 2.1 July 2021.</w:t>
                    </w:r>
                    <w:r>
                      <w:rPr>
                        <w:noProof/>
                      </w:rPr>
                      <w:t xml:space="preserve"> </w:t>
                    </w:r>
                  </w:p>
                </w:tc>
              </w:tr>
              <w:tr w:rsidR="00717D5C" w:rsidRPr="00B11BF7" w14:paraId="2637F805" w14:textId="77777777" w:rsidTr="008B5111">
                <w:trPr>
                  <w:divId w:val="436219477"/>
                  <w:tblCellSpacing w:w="15" w:type="dxa"/>
                </w:trPr>
                <w:tc>
                  <w:tcPr>
                    <w:tcW w:w="289" w:type="pct"/>
                    <w:hideMark/>
                  </w:tcPr>
                  <w:p w14:paraId="6C4E2141" w14:textId="77777777" w:rsidR="00717D5C" w:rsidRDefault="00717D5C">
                    <w:pPr>
                      <w:pStyle w:val="Bibliography"/>
                      <w:rPr>
                        <w:noProof/>
                      </w:rPr>
                    </w:pPr>
                    <w:r>
                      <w:rPr>
                        <w:noProof/>
                      </w:rPr>
                      <w:t xml:space="preserve">[36] </w:t>
                    </w:r>
                  </w:p>
                </w:tc>
                <w:tc>
                  <w:tcPr>
                    <w:tcW w:w="4661" w:type="pct"/>
                    <w:hideMark/>
                  </w:tcPr>
                  <w:p w14:paraId="0C5EA6F7" w14:textId="77777777" w:rsidR="00717D5C" w:rsidRDefault="00717D5C">
                    <w:pPr>
                      <w:pStyle w:val="Bibliography"/>
                      <w:rPr>
                        <w:noProof/>
                      </w:rPr>
                    </w:pPr>
                    <w:r w:rsidRPr="008B5111">
                      <w:t>BEIS, UK Strategy for Radioactive Discharges – 2018 Review of the 2009 Strategy, June 2018, https://assets.publishing.service.gov.uk/government/uploads/system/uploads/attachment_data/file/718723/2018Rev2009UKStratRadDischargeFin.pdf.</w:t>
                    </w:r>
                    <w:r>
                      <w:rPr>
                        <w:noProof/>
                      </w:rPr>
                      <w:t xml:space="preserve"> </w:t>
                    </w:r>
                  </w:p>
                </w:tc>
              </w:tr>
              <w:tr w:rsidR="00717D5C" w:rsidRPr="00B11BF7" w14:paraId="5B8E99F2" w14:textId="77777777" w:rsidTr="008B5111">
                <w:trPr>
                  <w:divId w:val="436219477"/>
                  <w:tblCellSpacing w:w="15" w:type="dxa"/>
                </w:trPr>
                <w:tc>
                  <w:tcPr>
                    <w:tcW w:w="289" w:type="pct"/>
                    <w:hideMark/>
                  </w:tcPr>
                  <w:p w14:paraId="4C32AAB0" w14:textId="77777777" w:rsidR="00717D5C" w:rsidRDefault="00717D5C">
                    <w:pPr>
                      <w:pStyle w:val="Bibliography"/>
                      <w:rPr>
                        <w:noProof/>
                      </w:rPr>
                    </w:pPr>
                    <w:r>
                      <w:rPr>
                        <w:noProof/>
                      </w:rPr>
                      <w:t xml:space="preserve">[37] </w:t>
                    </w:r>
                  </w:p>
                </w:tc>
                <w:tc>
                  <w:tcPr>
                    <w:tcW w:w="4661" w:type="pct"/>
                    <w:hideMark/>
                  </w:tcPr>
                  <w:p w14:paraId="4ECAF7BB" w14:textId="77777777" w:rsidR="00717D5C" w:rsidRDefault="00717D5C">
                    <w:pPr>
                      <w:pStyle w:val="Bibliography"/>
                      <w:rPr>
                        <w:noProof/>
                      </w:rPr>
                    </w:pPr>
                    <w:r w:rsidRPr="008B5111">
                      <w:t>Nuclear Decommissioning Authority, ENG04 Specification and guidance on the content and format of an Integrated Waste Implementation Plan, 2022, https://www.gov.uk/government/publications/eng01-specification-and-guidance-for-an-integrated-waste-strategy.</w:t>
                    </w:r>
                    <w:r>
                      <w:rPr>
                        <w:noProof/>
                      </w:rPr>
                      <w:t xml:space="preserve"> </w:t>
                    </w:r>
                  </w:p>
                </w:tc>
              </w:tr>
              <w:tr w:rsidR="00717D5C" w:rsidRPr="00B11BF7" w14:paraId="3DCB7F3D" w14:textId="77777777" w:rsidTr="008B5111">
                <w:trPr>
                  <w:divId w:val="436219477"/>
                  <w:tblCellSpacing w:w="15" w:type="dxa"/>
                </w:trPr>
                <w:tc>
                  <w:tcPr>
                    <w:tcW w:w="289" w:type="pct"/>
                    <w:hideMark/>
                  </w:tcPr>
                  <w:p w14:paraId="08B4D107" w14:textId="77777777" w:rsidR="00717D5C" w:rsidRDefault="00717D5C">
                    <w:pPr>
                      <w:pStyle w:val="Bibliography"/>
                      <w:rPr>
                        <w:noProof/>
                      </w:rPr>
                    </w:pPr>
                    <w:r>
                      <w:rPr>
                        <w:noProof/>
                      </w:rPr>
                      <w:lastRenderedPageBreak/>
                      <w:t xml:space="preserve">[38] </w:t>
                    </w:r>
                  </w:p>
                </w:tc>
                <w:tc>
                  <w:tcPr>
                    <w:tcW w:w="4661" w:type="pct"/>
                    <w:hideMark/>
                  </w:tcPr>
                  <w:p w14:paraId="1BC3B38A" w14:textId="77777777" w:rsidR="00717D5C" w:rsidRDefault="00717D5C">
                    <w:pPr>
                      <w:pStyle w:val="Bibliography"/>
                      <w:rPr>
                        <w:noProof/>
                      </w:rPr>
                    </w:pPr>
                    <w:r w:rsidRPr="008B5111">
                      <w:t>ONR; NS-TAST-GD-050 - Periodic Safety Reviews (PSRs); Issue 8.1 December 2022.</w:t>
                    </w:r>
                    <w:r>
                      <w:rPr>
                        <w:noProof/>
                      </w:rPr>
                      <w:t xml:space="preserve"> </w:t>
                    </w:r>
                  </w:p>
                </w:tc>
              </w:tr>
              <w:tr w:rsidR="00717D5C" w:rsidRPr="00B11BF7" w14:paraId="617AC3E1" w14:textId="77777777" w:rsidTr="008B5111">
                <w:trPr>
                  <w:divId w:val="436219477"/>
                  <w:tblCellSpacing w:w="15" w:type="dxa"/>
                </w:trPr>
                <w:tc>
                  <w:tcPr>
                    <w:tcW w:w="289" w:type="pct"/>
                    <w:hideMark/>
                  </w:tcPr>
                  <w:p w14:paraId="42DD134A" w14:textId="77777777" w:rsidR="00717D5C" w:rsidRDefault="00717D5C">
                    <w:pPr>
                      <w:pStyle w:val="Bibliography"/>
                      <w:rPr>
                        <w:noProof/>
                      </w:rPr>
                    </w:pPr>
                    <w:r>
                      <w:rPr>
                        <w:noProof/>
                      </w:rPr>
                      <w:t xml:space="preserve">[39] </w:t>
                    </w:r>
                  </w:p>
                </w:tc>
                <w:tc>
                  <w:tcPr>
                    <w:tcW w:w="4661" w:type="pct"/>
                    <w:hideMark/>
                  </w:tcPr>
                  <w:p w14:paraId="3639C657" w14:textId="77777777" w:rsidR="00717D5C" w:rsidRDefault="00717D5C">
                    <w:pPr>
                      <w:pStyle w:val="Bibliography"/>
                      <w:rPr>
                        <w:noProof/>
                      </w:rPr>
                    </w:pPr>
                    <w:r w:rsidRPr="008B5111">
                      <w:t>ONR; NS-TAST-GD-005 - Regulating duties to reduce risks to ALARP; Issue 12.1 September 2024.</w:t>
                    </w:r>
                    <w:r>
                      <w:rPr>
                        <w:noProof/>
                      </w:rPr>
                      <w:t xml:space="preserve"> </w:t>
                    </w:r>
                  </w:p>
                </w:tc>
              </w:tr>
              <w:tr w:rsidR="00717D5C" w:rsidRPr="00B11BF7" w14:paraId="5535AE20" w14:textId="77777777" w:rsidTr="008B5111">
                <w:trPr>
                  <w:divId w:val="436219477"/>
                  <w:tblCellSpacing w:w="15" w:type="dxa"/>
                </w:trPr>
                <w:tc>
                  <w:tcPr>
                    <w:tcW w:w="289" w:type="pct"/>
                    <w:hideMark/>
                  </w:tcPr>
                  <w:p w14:paraId="3DB98B7F" w14:textId="77777777" w:rsidR="00717D5C" w:rsidRDefault="00717D5C">
                    <w:pPr>
                      <w:pStyle w:val="Bibliography"/>
                      <w:rPr>
                        <w:noProof/>
                      </w:rPr>
                    </w:pPr>
                    <w:r>
                      <w:rPr>
                        <w:noProof/>
                      </w:rPr>
                      <w:t xml:space="preserve">[40] </w:t>
                    </w:r>
                  </w:p>
                </w:tc>
                <w:tc>
                  <w:tcPr>
                    <w:tcW w:w="4661" w:type="pct"/>
                    <w:hideMark/>
                  </w:tcPr>
                  <w:p w14:paraId="12294B2D" w14:textId="77777777" w:rsidR="00717D5C" w:rsidRDefault="00717D5C">
                    <w:pPr>
                      <w:pStyle w:val="Bibliography"/>
                      <w:rPr>
                        <w:noProof/>
                      </w:rPr>
                    </w:pPr>
                    <w:r w:rsidRPr="008B5111">
                      <w:t>The Nuclear Safeguards (EU Exit) Regulations 2019, UK Statutory Instruments 2019 No. 196.</w:t>
                    </w:r>
                    <w:r>
                      <w:rPr>
                        <w:noProof/>
                      </w:rPr>
                      <w:t xml:space="preserve"> </w:t>
                    </w:r>
                  </w:p>
                </w:tc>
              </w:tr>
              <w:tr w:rsidR="00717D5C" w:rsidRPr="00B11BF7" w14:paraId="1D8C406D" w14:textId="77777777" w:rsidTr="008B5111">
                <w:trPr>
                  <w:divId w:val="436219477"/>
                  <w:tblCellSpacing w:w="15" w:type="dxa"/>
                </w:trPr>
                <w:tc>
                  <w:tcPr>
                    <w:tcW w:w="289" w:type="pct"/>
                    <w:hideMark/>
                  </w:tcPr>
                  <w:p w14:paraId="0765E4FC" w14:textId="77777777" w:rsidR="00717D5C" w:rsidRDefault="00717D5C">
                    <w:pPr>
                      <w:pStyle w:val="Bibliography"/>
                      <w:rPr>
                        <w:noProof/>
                      </w:rPr>
                    </w:pPr>
                    <w:r>
                      <w:rPr>
                        <w:noProof/>
                      </w:rPr>
                      <w:t xml:space="preserve">[41] </w:t>
                    </w:r>
                  </w:p>
                </w:tc>
                <w:tc>
                  <w:tcPr>
                    <w:tcW w:w="4661" w:type="pct"/>
                    <w:hideMark/>
                  </w:tcPr>
                  <w:p w14:paraId="6B0E457A" w14:textId="77777777" w:rsidR="00717D5C" w:rsidRDefault="00717D5C">
                    <w:pPr>
                      <w:pStyle w:val="Bibliography"/>
                      <w:rPr>
                        <w:noProof/>
                      </w:rPr>
                    </w:pPr>
                    <w:r w:rsidRPr="008B5111">
                      <w:t>ONR; ONR-CNSS-MAN-001 ONR Nuclear Material Accountancy, Control, and Safeguards Assessment Principles (ONMACS); Issue 5 February 2022.</w:t>
                    </w:r>
                    <w:r>
                      <w:rPr>
                        <w:noProof/>
                      </w:rPr>
                      <w:t xml:space="preserve"> </w:t>
                    </w:r>
                  </w:p>
                </w:tc>
              </w:tr>
              <w:tr w:rsidR="00717D5C" w:rsidRPr="00B11BF7" w14:paraId="5070B74A" w14:textId="77777777" w:rsidTr="008B5111">
                <w:trPr>
                  <w:divId w:val="436219477"/>
                  <w:tblCellSpacing w:w="15" w:type="dxa"/>
                </w:trPr>
                <w:tc>
                  <w:tcPr>
                    <w:tcW w:w="289" w:type="pct"/>
                    <w:hideMark/>
                  </w:tcPr>
                  <w:p w14:paraId="289046AD" w14:textId="77777777" w:rsidR="00717D5C" w:rsidRDefault="00717D5C">
                    <w:pPr>
                      <w:pStyle w:val="Bibliography"/>
                      <w:rPr>
                        <w:noProof/>
                      </w:rPr>
                    </w:pPr>
                    <w:r>
                      <w:rPr>
                        <w:noProof/>
                      </w:rPr>
                      <w:t xml:space="preserve">[42] </w:t>
                    </w:r>
                  </w:p>
                </w:tc>
                <w:tc>
                  <w:tcPr>
                    <w:tcW w:w="4661" w:type="pct"/>
                    <w:hideMark/>
                  </w:tcPr>
                  <w:p w14:paraId="41F433B6" w14:textId="77777777" w:rsidR="00717D5C" w:rsidRDefault="00717D5C">
                    <w:pPr>
                      <w:pStyle w:val="Bibliography"/>
                      <w:rPr>
                        <w:noProof/>
                      </w:rPr>
                    </w:pPr>
                    <w:r w:rsidRPr="008B5111">
                      <w:t>Nuclear Decommissioning Authority, Interim Storage of Higher Activity Waste Packages – Integrated Approach, Issue 4 December 2021, https://www.gov.uk/government/publications/interim-storage-of-higher-activity-waste-packages-integrated-approach.</w:t>
                    </w:r>
                    <w:r>
                      <w:rPr>
                        <w:noProof/>
                      </w:rPr>
                      <w:t xml:space="preserve"> </w:t>
                    </w:r>
                  </w:p>
                </w:tc>
              </w:tr>
              <w:tr w:rsidR="00717D5C" w:rsidRPr="00B11BF7" w14:paraId="51BB3296" w14:textId="77777777" w:rsidTr="008B5111">
                <w:trPr>
                  <w:divId w:val="436219477"/>
                  <w:tblCellSpacing w:w="15" w:type="dxa"/>
                </w:trPr>
                <w:tc>
                  <w:tcPr>
                    <w:tcW w:w="289" w:type="pct"/>
                    <w:hideMark/>
                  </w:tcPr>
                  <w:p w14:paraId="0F347A7C" w14:textId="77777777" w:rsidR="00717D5C" w:rsidRDefault="00717D5C">
                    <w:pPr>
                      <w:pStyle w:val="Bibliography"/>
                      <w:rPr>
                        <w:noProof/>
                      </w:rPr>
                    </w:pPr>
                    <w:r>
                      <w:rPr>
                        <w:noProof/>
                      </w:rPr>
                      <w:t xml:space="preserve">[43] </w:t>
                    </w:r>
                  </w:p>
                </w:tc>
                <w:tc>
                  <w:tcPr>
                    <w:tcW w:w="4661" w:type="pct"/>
                    <w:hideMark/>
                  </w:tcPr>
                  <w:p w14:paraId="6B4BB066" w14:textId="77777777" w:rsidR="00717D5C" w:rsidRDefault="00717D5C">
                    <w:pPr>
                      <w:pStyle w:val="Bibliography"/>
                      <w:rPr>
                        <w:noProof/>
                      </w:rPr>
                    </w:pPr>
                    <w:r w:rsidRPr="008B5111">
                      <w:t>ONR; NS-TAST-GD-051 - The Purpose, Scope and Content of Nuclear Safety Cases; Issue 7.1, December 2022.</w:t>
                    </w:r>
                    <w:r>
                      <w:rPr>
                        <w:noProof/>
                      </w:rPr>
                      <w:t xml:space="preserve"> </w:t>
                    </w:r>
                  </w:p>
                </w:tc>
              </w:tr>
              <w:tr w:rsidR="00717D5C" w:rsidRPr="00B11BF7" w14:paraId="33FBDBA0" w14:textId="77777777" w:rsidTr="008B5111">
                <w:trPr>
                  <w:divId w:val="436219477"/>
                  <w:tblCellSpacing w:w="15" w:type="dxa"/>
                </w:trPr>
                <w:tc>
                  <w:tcPr>
                    <w:tcW w:w="289" w:type="pct"/>
                    <w:hideMark/>
                  </w:tcPr>
                  <w:p w14:paraId="15909650" w14:textId="77777777" w:rsidR="00717D5C" w:rsidRDefault="00717D5C">
                    <w:pPr>
                      <w:pStyle w:val="Bibliography"/>
                      <w:rPr>
                        <w:noProof/>
                      </w:rPr>
                    </w:pPr>
                    <w:r>
                      <w:rPr>
                        <w:noProof/>
                      </w:rPr>
                      <w:t xml:space="preserve">[44] </w:t>
                    </w:r>
                  </w:p>
                </w:tc>
                <w:tc>
                  <w:tcPr>
                    <w:tcW w:w="4661" w:type="pct"/>
                    <w:hideMark/>
                  </w:tcPr>
                  <w:p w14:paraId="66E32B2A" w14:textId="77777777" w:rsidR="00717D5C" w:rsidRDefault="00717D5C">
                    <w:pPr>
                      <w:pStyle w:val="Bibliography"/>
                      <w:rPr>
                        <w:noProof/>
                      </w:rPr>
                    </w:pPr>
                    <w:r w:rsidRPr="008B5111">
                      <w:t>ONR; NS-TAST-GD-009 Examination, Inspection, Maintenance and Testing of items important to Safety; Issue 7 November 2023.</w:t>
                    </w:r>
                    <w:r>
                      <w:rPr>
                        <w:noProof/>
                      </w:rPr>
                      <w:t xml:space="preserve"> </w:t>
                    </w:r>
                  </w:p>
                </w:tc>
              </w:tr>
              <w:tr w:rsidR="00717D5C" w:rsidRPr="00B11BF7" w14:paraId="6380F7C1" w14:textId="77777777" w:rsidTr="008B5111">
                <w:trPr>
                  <w:divId w:val="436219477"/>
                  <w:tblCellSpacing w:w="15" w:type="dxa"/>
                </w:trPr>
                <w:tc>
                  <w:tcPr>
                    <w:tcW w:w="289" w:type="pct"/>
                    <w:hideMark/>
                  </w:tcPr>
                  <w:p w14:paraId="60255C25" w14:textId="77777777" w:rsidR="00717D5C" w:rsidRDefault="00717D5C">
                    <w:pPr>
                      <w:pStyle w:val="Bibliography"/>
                      <w:rPr>
                        <w:noProof/>
                      </w:rPr>
                    </w:pPr>
                    <w:r>
                      <w:rPr>
                        <w:noProof/>
                      </w:rPr>
                      <w:t xml:space="preserve">[45] </w:t>
                    </w:r>
                  </w:p>
                </w:tc>
                <w:tc>
                  <w:tcPr>
                    <w:tcW w:w="4661" w:type="pct"/>
                    <w:hideMark/>
                  </w:tcPr>
                  <w:p w14:paraId="144CDB2D" w14:textId="77777777" w:rsidR="00717D5C" w:rsidRDefault="00717D5C">
                    <w:pPr>
                      <w:pStyle w:val="Bibliography"/>
                      <w:rPr>
                        <w:noProof/>
                      </w:rPr>
                    </w:pPr>
                    <w:r w:rsidRPr="008B5111">
                      <w:t>ONR; NS-TAST-GD-033 - Management of records; Issue 7.3 December 2023.</w:t>
                    </w:r>
                    <w:r>
                      <w:rPr>
                        <w:noProof/>
                      </w:rPr>
                      <w:t xml:space="preserve"> </w:t>
                    </w:r>
                  </w:p>
                </w:tc>
              </w:tr>
            </w:tbl>
            <w:p w14:paraId="65AD9FF8" w14:textId="77777777" w:rsidR="00717D5C" w:rsidRDefault="00717D5C">
              <w:pPr>
                <w:divId w:val="436219477"/>
                <w:rPr>
                  <w:rFonts w:eastAsia="Times New Roman"/>
                  <w:noProof/>
                </w:rPr>
              </w:pPr>
            </w:p>
            <w:p w14:paraId="316D8711" w14:textId="175304A5" w:rsidR="00F7687C" w:rsidRDefault="00F7687C">
              <w:r>
                <w:rPr>
                  <w:b/>
                  <w:bCs/>
                  <w:noProof/>
                </w:rPr>
                <w:fldChar w:fldCharType="end"/>
              </w:r>
            </w:p>
          </w:sdtContent>
        </w:sdt>
      </w:sdtContent>
    </w:sdt>
    <w:p w14:paraId="1DC90079" w14:textId="77777777" w:rsidR="00F7687C" w:rsidRDefault="00F7687C" w:rsidP="00F7687C">
      <w:pPr>
        <w:sectPr w:rsidR="00F7687C" w:rsidSect="000B2BCD">
          <w:pgSz w:w="11906" w:h="16838" w:code="9"/>
          <w:pgMar w:top="1440" w:right="1440" w:bottom="1440" w:left="1440" w:header="397" w:footer="397" w:gutter="0"/>
          <w:cols w:space="312"/>
          <w:docGrid w:linePitch="360"/>
        </w:sectPr>
      </w:pPr>
    </w:p>
    <w:p w14:paraId="4323F5E0" w14:textId="3268C166" w:rsidR="00F7687C" w:rsidRPr="003B4701" w:rsidRDefault="00F7687C" w:rsidP="00904152">
      <w:pPr>
        <w:pStyle w:val="Heading1"/>
        <w:numPr>
          <w:ilvl w:val="0"/>
          <w:numId w:val="0"/>
        </w:numPr>
        <w:ind w:left="851" w:hanging="851"/>
      </w:pPr>
      <w:bookmarkStart w:id="47" w:name="_Toc89268373"/>
      <w:bookmarkStart w:id="48" w:name="_Toc186205566"/>
      <w:r w:rsidRPr="003B4701">
        <w:lastRenderedPageBreak/>
        <w:t xml:space="preserve">Glossary and </w:t>
      </w:r>
      <w:r w:rsidR="001C19DE">
        <w:t>a</w:t>
      </w:r>
      <w:r w:rsidRPr="003B4701">
        <w:t>bbreviations</w:t>
      </w:r>
      <w:bookmarkEnd w:id="47"/>
      <w:bookmarkEnd w:id="48"/>
    </w:p>
    <w:p w14:paraId="685F025F" w14:textId="53D09E47" w:rsidR="009F705F" w:rsidRDefault="009F705F" w:rsidP="006F5911">
      <w:pPr>
        <w:tabs>
          <w:tab w:val="left" w:pos="1440"/>
        </w:tabs>
        <w:spacing w:line="240" w:lineRule="auto"/>
        <w:ind w:left="1418" w:hanging="1418"/>
        <w:contextualSpacing/>
      </w:pPr>
      <w:r>
        <w:t>ALARP</w:t>
      </w:r>
      <w:r>
        <w:tab/>
        <w:t>As Low As Reasonably Practicable</w:t>
      </w:r>
    </w:p>
    <w:p w14:paraId="5274CAA2" w14:textId="4BE8B75F" w:rsidR="009F705F" w:rsidRDefault="009F705F" w:rsidP="006F5911">
      <w:pPr>
        <w:tabs>
          <w:tab w:val="left" w:pos="1440"/>
        </w:tabs>
        <w:spacing w:line="240" w:lineRule="auto"/>
        <w:ind w:left="1418" w:hanging="1418"/>
        <w:contextualSpacing/>
      </w:pPr>
      <w:r>
        <w:t>BAT</w:t>
      </w:r>
      <w:r>
        <w:tab/>
        <w:t>Best Available Techniques</w:t>
      </w:r>
    </w:p>
    <w:p w14:paraId="0770BAE3" w14:textId="46973F24" w:rsidR="009F705F" w:rsidRDefault="009F705F" w:rsidP="006F5911">
      <w:pPr>
        <w:tabs>
          <w:tab w:val="left" w:pos="1440"/>
        </w:tabs>
        <w:spacing w:line="240" w:lineRule="auto"/>
        <w:ind w:left="1418" w:hanging="1418"/>
        <w:contextualSpacing/>
      </w:pPr>
      <w:r>
        <w:t>BPM</w:t>
      </w:r>
      <w:r>
        <w:tab/>
        <w:t>Best Practicable Means</w:t>
      </w:r>
    </w:p>
    <w:p w14:paraId="181173DD" w14:textId="4B326BD1" w:rsidR="00BF38BF" w:rsidRDefault="00BF38BF" w:rsidP="008157A1">
      <w:pPr>
        <w:tabs>
          <w:tab w:val="left" w:pos="1440"/>
        </w:tabs>
        <w:spacing w:line="240" w:lineRule="auto"/>
        <w:ind w:left="1418" w:hanging="1418"/>
        <w:contextualSpacing/>
      </w:pPr>
      <w:r>
        <w:t>CDG</w:t>
      </w:r>
      <w:r>
        <w:tab/>
      </w:r>
      <w:r w:rsidRPr="00BF38BF">
        <w:t>Carriage of Dangerous Goods and Use of Transportable Pressure Equipment Regulations</w:t>
      </w:r>
    </w:p>
    <w:p w14:paraId="7A98B057" w14:textId="4597E837" w:rsidR="00762A5D" w:rsidRDefault="00762A5D" w:rsidP="00F7687C">
      <w:pPr>
        <w:tabs>
          <w:tab w:val="left" w:pos="1440"/>
        </w:tabs>
        <w:spacing w:line="240" w:lineRule="auto"/>
        <w:contextualSpacing/>
      </w:pPr>
      <w:r>
        <w:t>CfA</w:t>
      </w:r>
      <w:r>
        <w:tab/>
        <w:t>Conditions for Acceptance</w:t>
      </w:r>
    </w:p>
    <w:p w14:paraId="1DB945C2" w14:textId="50C39785" w:rsidR="003D3A31" w:rsidRDefault="003D3A31" w:rsidP="00F7687C">
      <w:pPr>
        <w:tabs>
          <w:tab w:val="left" w:pos="1440"/>
        </w:tabs>
        <w:spacing w:line="240" w:lineRule="auto"/>
        <w:contextualSpacing/>
      </w:pPr>
      <w:r>
        <w:t>CM&amp;I</w:t>
      </w:r>
      <w:r>
        <w:tab/>
        <w:t>Condition Monitoring and Inspection</w:t>
      </w:r>
    </w:p>
    <w:p w14:paraId="4E0A2D63" w14:textId="321654A0" w:rsidR="00FB4F9B" w:rsidRDefault="00FB4F9B" w:rsidP="00F7687C">
      <w:pPr>
        <w:tabs>
          <w:tab w:val="left" w:pos="1440"/>
        </w:tabs>
        <w:spacing w:line="240" w:lineRule="auto"/>
        <w:contextualSpacing/>
      </w:pPr>
      <w:r>
        <w:t>EASR</w:t>
      </w:r>
      <w:r w:rsidR="00485097">
        <w:t>20</w:t>
      </w:r>
      <w:r>
        <w:t>18</w:t>
      </w:r>
      <w:r>
        <w:tab/>
      </w:r>
      <w:r w:rsidRPr="00FB4F9B">
        <w:t>Environmental Authorisations (Scotland) Regulations 2018</w:t>
      </w:r>
    </w:p>
    <w:p w14:paraId="2C4D30B0" w14:textId="0169FCC8" w:rsidR="006F5911" w:rsidRDefault="006F5911" w:rsidP="00F7687C">
      <w:pPr>
        <w:tabs>
          <w:tab w:val="left" w:pos="1440"/>
        </w:tabs>
        <w:spacing w:line="240" w:lineRule="auto"/>
        <w:contextualSpacing/>
      </w:pPr>
      <w:r>
        <w:t>EPR</w:t>
      </w:r>
      <w:r w:rsidR="00485097">
        <w:t>20</w:t>
      </w:r>
      <w:r>
        <w:t>16</w:t>
      </w:r>
      <w:r>
        <w:tab/>
      </w:r>
      <w:r w:rsidR="00FB4F9B">
        <w:t>Environmental</w:t>
      </w:r>
      <w:r>
        <w:t xml:space="preserve"> Permitting (England and Wales) Regul</w:t>
      </w:r>
      <w:r w:rsidR="009019B5">
        <w:t>ations 2016</w:t>
      </w:r>
    </w:p>
    <w:p w14:paraId="1AC4B153" w14:textId="59D5AC90" w:rsidR="00901C8A" w:rsidRDefault="00901C8A" w:rsidP="00F7687C">
      <w:pPr>
        <w:tabs>
          <w:tab w:val="left" w:pos="1440"/>
        </w:tabs>
        <w:spacing w:line="240" w:lineRule="auto"/>
        <w:contextualSpacing/>
      </w:pPr>
      <w:r>
        <w:t>GDF</w:t>
      </w:r>
      <w:r>
        <w:tab/>
        <w:t>Geological Disposal Faci</w:t>
      </w:r>
      <w:r w:rsidR="009F705F">
        <w:t>lity</w:t>
      </w:r>
    </w:p>
    <w:p w14:paraId="7F98398C" w14:textId="5DEAFBA4" w:rsidR="00BE3188" w:rsidRDefault="00BE3188" w:rsidP="00F7687C">
      <w:pPr>
        <w:tabs>
          <w:tab w:val="left" w:pos="1440"/>
        </w:tabs>
        <w:spacing w:line="240" w:lineRule="auto"/>
        <w:contextualSpacing/>
      </w:pPr>
      <w:r>
        <w:t>HAW</w:t>
      </w:r>
      <w:r>
        <w:tab/>
        <w:t>Higher Activity Waste</w:t>
      </w:r>
    </w:p>
    <w:p w14:paraId="4DE6EBB1" w14:textId="41D03174" w:rsidR="00BE3188" w:rsidRDefault="00BE3188" w:rsidP="00F7687C">
      <w:pPr>
        <w:tabs>
          <w:tab w:val="left" w:pos="1440"/>
        </w:tabs>
        <w:spacing w:line="240" w:lineRule="auto"/>
        <w:contextualSpacing/>
      </w:pPr>
      <w:r>
        <w:t>HLW</w:t>
      </w:r>
      <w:r>
        <w:tab/>
        <w:t>High Level Waste</w:t>
      </w:r>
    </w:p>
    <w:p w14:paraId="4EC2F49F" w14:textId="7D534C04" w:rsidR="00F7687C" w:rsidRPr="0003328B" w:rsidRDefault="00F7687C" w:rsidP="00F7687C">
      <w:pPr>
        <w:tabs>
          <w:tab w:val="left" w:pos="1440"/>
        </w:tabs>
        <w:spacing w:line="240" w:lineRule="auto"/>
        <w:contextualSpacing/>
      </w:pPr>
      <w:r w:rsidRPr="0003328B">
        <w:t>IAEA</w:t>
      </w:r>
      <w:r w:rsidRPr="0003328B">
        <w:tab/>
        <w:t>International Atomic Energy Agency</w:t>
      </w:r>
    </w:p>
    <w:p w14:paraId="35D527AE" w14:textId="0B432268" w:rsidR="00BE3188" w:rsidRDefault="00BE3188" w:rsidP="00F7687C">
      <w:pPr>
        <w:tabs>
          <w:tab w:val="left" w:pos="1440"/>
        </w:tabs>
        <w:spacing w:line="240" w:lineRule="auto"/>
        <w:contextualSpacing/>
      </w:pPr>
      <w:r>
        <w:t>ILW</w:t>
      </w:r>
      <w:r>
        <w:tab/>
        <w:t>Intermediate Level Waste</w:t>
      </w:r>
    </w:p>
    <w:p w14:paraId="2B9D7F7B" w14:textId="0E0F96F0" w:rsidR="00345F51" w:rsidRPr="00BF38BF" w:rsidRDefault="00345F51" w:rsidP="00F7687C">
      <w:pPr>
        <w:tabs>
          <w:tab w:val="left" w:pos="1440"/>
        </w:tabs>
        <w:spacing w:line="240" w:lineRule="auto"/>
        <w:contextualSpacing/>
      </w:pPr>
      <w:r w:rsidRPr="00BF38BF">
        <w:t>IRR</w:t>
      </w:r>
      <w:r w:rsidR="00485097">
        <w:t>20</w:t>
      </w:r>
      <w:r w:rsidRPr="00BF38BF">
        <w:t>17</w:t>
      </w:r>
      <w:r w:rsidRPr="00BF38BF">
        <w:tab/>
        <w:t>Ioni</w:t>
      </w:r>
      <w:r w:rsidRPr="008157A1">
        <w:t>sing Radiation Regulations 20</w:t>
      </w:r>
      <w:r w:rsidR="002B323B" w:rsidRPr="008157A1">
        <w:t>17</w:t>
      </w:r>
    </w:p>
    <w:p w14:paraId="5516E03A" w14:textId="3A8CB380" w:rsidR="00492097" w:rsidRDefault="00492097" w:rsidP="00F7687C">
      <w:pPr>
        <w:tabs>
          <w:tab w:val="left" w:pos="1440"/>
        </w:tabs>
        <w:spacing w:line="240" w:lineRule="auto"/>
        <w:contextualSpacing/>
      </w:pPr>
      <w:r w:rsidRPr="008157A1">
        <w:t>IWIP</w:t>
      </w:r>
      <w:r w:rsidRPr="008157A1">
        <w:tab/>
        <w:t>In</w:t>
      </w:r>
      <w:r>
        <w:t>tegrated Waste Implementation Plan</w:t>
      </w:r>
    </w:p>
    <w:p w14:paraId="5E71960B" w14:textId="089C255C" w:rsidR="00492097" w:rsidRPr="008157A1" w:rsidRDefault="00492097" w:rsidP="00F7687C">
      <w:pPr>
        <w:tabs>
          <w:tab w:val="left" w:pos="1440"/>
        </w:tabs>
        <w:spacing w:line="240" w:lineRule="auto"/>
        <w:contextualSpacing/>
      </w:pPr>
      <w:r>
        <w:t>IWS</w:t>
      </w:r>
      <w:r>
        <w:tab/>
        <w:t>Integrated Waste Strategy</w:t>
      </w:r>
    </w:p>
    <w:p w14:paraId="1D65751C" w14:textId="2DBA09CE" w:rsidR="00345F51" w:rsidRPr="00492097" w:rsidRDefault="00345F51" w:rsidP="00F7687C">
      <w:pPr>
        <w:tabs>
          <w:tab w:val="left" w:pos="1440"/>
        </w:tabs>
        <w:spacing w:line="240" w:lineRule="auto"/>
        <w:contextualSpacing/>
      </w:pPr>
      <w:r w:rsidRPr="00492097">
        <w:t>LC</w:t>
      </w:r>
      <w:r w:rsidRPr="00492097">
        <w:tab/>
        <w:t>Licence Condition</w:t>
      </w:r>
    </w:p>
    <w:p w14:paraId="1B93D979" w14:textId="08971253" w:rsidR="00BE3188" w:rsidRDefault="00BE3188" w:rsidP="00F7687C">
      <w:pPr>
        <w:tabs>
          <w:tab w:val="left" w:pos="1440"/>
        </w:tabs>
        <w:spacing w:line="240" w:lineRule="auto"/>
        <w:contextualSpacing/>
      </w:pPr>
      <w:r>
        <w:t>LLW</w:t>
      </w:r>
      <w:r>
        <w:tab/>
        <w:t>Low Level Waste</w:t>
      </w:r>
    </w:p>
    <w:p w14:paraId="237AA42A" w14:textId="133355B9" w:rsidR="009F705F" w:rsidRDefault="009F705F" w:rsidP="00F7687C">
      <w:pPr>
        <w:tabs>
          <w:tab w:val="left" w:pos="1440"/>
        </w:tabs>
        <w:spacing w:line="240" w:lineRule="auto"/>
        <w:contextualSpacing/>
      </w:pPr>
      <w:r>
        <w:t>LLWR</w:t>
      </w:r>
      <w:r>
        <w:tab/>
        <w:t>Low Level Waste Repository</w:t>
      </w:r>
    </w:p>
    <w:p w14:paraId="077FB864" w14:textId="2D69F1CF" w:rsidR="009A0C0B" w:rsidRDefault="009A0C0B" w:rsidP="00F7687C">
      <w:pPr>
        <w:tabs>
          <w:tab w:val="left" w:pos="1440"/>
        </w:tabs>
        <w:spacing w:line="240" w:lineRule="auto"/>
        <w:contextualSpacing/>
      </w:pPr>
      <w:r>
        <w:t>MoU</w:t>
      </w:r>
      <w:r>
        <w:tab/>
        <w:t>Memorandum of Understanding</w:t>
      </w:r>
    </w:p>
    <w:p w14:paraId="7FB79ED5" w14:textId="2ADD512B" w:rsidR="00492097" w:rsidRDefault="00492097" w:rsidP="00F7687C">
      <w:pPr>
        <w:tabs>
          <w:tab w:val="left" w:pos="1440"/>
        </w:tabs>
        <w:spacing w:line="240" w:lineRule="auto"/>
        <w:contextualSpacing/>
      </w:pPr>
      <w:r>
        <w:t>NDA</w:t>
      </w:r>
      <w:r>
        <w:tab/>
        <w:t>Nuclear Decommissioning Authority</w:t>
      </w:r>
    </w:p>
    <w:p w14:paraId="6EA2D79D" w14:textId="540FB240" w:rsidR="00345F51" w:rsidRDefault="00345F51" w:rsidP="00F7687C">
      <w:pPr>
        <w:tabs>
          <w:tab w:val="left" w:pos="1440"/>
        </w:tabs>
        <w:spacing w:line="240" w:lineRule="auto"/>
        <w:contextualSpacing/>
      </w:pPr>
      <w:r>
        <w:t>NIA</w:t>
      </w:r>
      <w:r w:rsidR="00175B68">
        <w:t>19</w:t>
      </w:r>
      <w:r>
        <w:t>65</w:t>
      </w:r>
      <w:r>
        <w:tab/>
        <w:t>Nuclear Installations Act 1965</w:t>
      </w:r>
    </w:p>
    <w:p w14:paraId="4402F11F" w14:textId="24833E50" w:rsidR="00537A5C" w:rsidRDefault="00537A5C" w:rsidP="00F7687C">
      <w:pPr>
        <w:tabs>
          <w:tab w:val="left" w:pos="1440"/>
        </w:tabs>
        <w:spacing w:line="240" w:lineRule="auto"/>
        <w:contextualSpacing/>
      </w:pPr>
      <w:r>
        <w:t>NMAC</w:t>
      </w:r>
      <w:r>
        <w:tab/>
        <w:t>Nuclear Material Accountancy and Control</w:t>
      </w:r>
    </w:p>
    <w:p w14:paraId="0C9BCC8F" w14:textId="6E1C0544" w:rsidR="00FB4F9B" w:rsidRDefault="00FB4F9B" w:rsidP="00F7687C">
      <w:pPr>
        <w:tabs>
          <w:tab w:val="left" w:pos="1440"/>
        </w:tabs>
        <w:spacing w:line="240" w:lineRule="auto"/>
        <w:contextualSpacing/>
      </w:pPr>
      <w:r>
        <w:t>NRW</w:t>
      </w:r>
      <w:r>
        <w:tab/>
        <w:t>Natural Resources Wales</w:t>
      </w:r>
    </w:p>
    <w:p w14:paraId="76F99858" w14:textId="220C85DA" w:rsidR="00901C8A" w:rsidRDefault="00901C8A" w:rsidP="00F7687C">
      <w:pPr>
        <w:tabs>
          <w:tab w:val="left" w:pos="1440"/>
        </w:tabs>
        <w:spacing w:line="240" w:lineRule="auto"/>
        <w:contextualSpacing/>
      </w:pPr>
      <w:r>
        <w:t>NWS</w:t>
      </w:r>
      <w:r>
        <w:tab/>
        <w:t>Nuclear Waste Services</w:t>
      </w:r>
    </w:p>
    <w:p w14:paraId="5F7663BD" w14:textId="76FE6F48" w:rsidR="00210483" w:rsidRDefault="00210483" w:rsidP="00F7687C">
      <w:pPr>
        <w:tabs>
          <w:tab w:val="left" w:pos="1440"/>
        </w:tabs>
        <w:spacing w:line="240" w:lineRule="auto"/>
        <w:contextualSpacing/>
      </w:pPr>
      <w:r>
        <w:t>PSR</w:t>
      </w:r>
      <w:r>
        <w:tab/>
        <w:t>Periodic Safety Review</w:t>
      </w:r>
    </w:p>
    <w:p w14:paraId="7D33C43D" w14:textId="381D84A4" w:rsidR="00537A5C" w:rsidRDefault="00537A5C" w:rsidP="00F7687C">
      <w:pPr>
        <w:tabs>
          <w:tab w:val="left" w:pos="1440"/>
        </w:tabs>
        <w:spacing w:line="240" w:lineRule="auto"/>
        <w:contextualSpacing/>
      </w:pPr>
      <w:r>
        <w:t>QNM</w:t>
      </w:r>
      <w:r>
        <w:tab/>
        <w:t>Qualifying Nuclear Material</w:t>
      </w:r>
    </w:p>
    <w:p w14:paraId="5F181F58" w14:textId="2EC6017C" w:rsidR="00BE3188" w:rsidRDefault="00BE3188" w:rsidP="00F7687C">
      <w:pPr>
        <w:tabs>
          <w:tab w:val="left" w:pos="1440"/>
        </w:tabs>
        <w:spacing w:line="240" w:lineRule="auto"/>
        <w:contextualSpacing/>
      </w:pPr>
      <w:r>
        <w:t>RGP</w:t>
      </w:r>
      <w:r>
        <w:tab/>
        <w:t>Relevant Good Practice</w:t>
      </w:r>
    </w:p>
    <w:p w14:paraId="7FD49E0A" w14:textId="2A5E09A9" w:rsidR="003A6D01" w:rsidRDefault="003A6D01" w:rsidP="00F7687C">
      <w:pPr>
        <w:tabs>
          <w:tab w:val="left" w:pos="1440"/>
        </w:tabs>
        <w:spacing w:line="240" w:lineRule="auto"/>
        <w:contextualSpacing/>
      </w:pPr>
      <w:r>
        <w:t>RWMC</w:t>
      </w:r>
      <w:r>
        <w:tab/>
        <w:t>Radioactive Waste Management Case</w:t>
      </w:r>
    </w:p>
    <w:p w14:paraId="71601B89" w14:textId="123113E3" w:rsidR="00F7687C" w:rsidRPr="0003328B" w:rsidRDefault="00F7687C" w:rsidP="00F7687C">
      <w:pPr>
        <w:tabs>
          <w:tab w:val="left" w:pos="1440"/>
        </w:tabs>
        <w:spacing w:line="240" w:lineRule="auto"/>
        <w:contextualSpacing/>
      </w:pPr>
      <w:r w:rsidRPr="0003328B">
        <w:t>SAP</w:t>
      </w:r>
      <w:r w:rsidRPr="0003328B">
        <w:tab/>
        <w:t xml:space="preserve">Safety Assessment Principle(s) </w:t>
      </w:r>
    </w:p>
    <w:p w14:paraId="7298F547" w14:textId="779DE63A" w:rsidR="00FB4F9B" w:rsidRDefault="00FB4F9B" w:rsidP="00F7687C">
      <w:pPr>
        <w:tabs>
          <w:tab w:val="left" w:pos="1440"/>
        </w:tabs>
        <w:spacing w:line="240" w:lineRule="auto"/>
        <w:contextualSpacing/>
      </w:pPr>
      <w:r>
        <w:t>SEPA</w:t>
      </w:r>
      <w:r>
        <w:tab/>
        <w:t>Scottish Environmental Protection Agency</w:t>
      </w:r>
    </w:p>
    <w:p w14:paraId="52BCB359" w14:textId="5ACEED56" w:rsidR="00BE3188" w:rsidRDefault="00BE3188" w:rsidP="00F7687C">
      <w:pPr>
        <w:tabs>
          <w:tab w:val="left" w:pos="1440"/>
        </w:tabs>
        <w:spacing w:line="240" w:lineRule="auto"/>
        <w:contextualSpacing/>
      </w:pPr>
      <w:r>
        <w:t>SRL</w:t>
      </w:r>
      <w:r>
        <w:tab/>
        <w:t>Safety Reference Level</w:t>
      </w:r>
    </w:p>
    <w:p w14:paraId="73C2D6E2" w14:textId="72196175" w:rsidR="00F7687C" w:rsidRPr="0003328B" w:rsidRDefault="00F7687C" w:rsidP="00F7687C">
      <w:pPr>
        <w:tabs>
          <w:tab w:val="left" w:pos="1440"/>
        </w:tabs>
        <w:spacing w:line="240" w:lineRule="auto"/>
        <w:contextualSpacing/>
      </w:pPr>
      <w:r w:rsidRPr="0003328B">
        <w:t>TAG</w:t>
      </w:r>
      <w:r w:rsidRPr="0003328B">
        <w:tab/>
        <w:t>Technical Assessment Guide(s)</w:t>
      </w:r>
    </w:p>
    <w:p w14:paraId="1B0242A2" w14:textId="690350BF" w:rsidR="00BE3188" w:rsidRDefault="00BE3188" w:rsidP="00F7687C">
      <w:pPr>
        <w:tabs>
          <w:tab w:val="left" w:pos="1440"/>
        </w:tabs>
        <w:spacing w:line="240" w:lineRule="auto"/>
        <w:contextualSpacing/>
      </w:pPr>
      <w:r>
        <w:t>VLLW</w:t>
      </w:r>
      <w:r>
        <w:tab/>
        <w:t>Very Low Level Waste</w:t>
      </w:r>
    </w:p>
    <w:p w14:paraId="381C6297" w14:textId="5A71B1EE" w:rsidR="00762A5D" w:rsidRDefault="00762A5D" w:rsidP="00F7687C">
      <w:pPr>
        <w:tabs>
          <w:tab w:val="left" w:pos="1440"/>
        </w:tabs>
        <w:spacing w:line="240" w:lineRule="auto"/>
        <w:contextualSpacing/>
      </w:pPr>
      <w:r>
        <w:t>WAC</w:t>
      </w:r>
      <w:r>
        <w:tab/>
        <w:t>Waste Acceptance Criteria</w:t>
      </w:r>
    </w:p>
    <w:p w14:paraId="14BAA3E0" w14:textId="30B8AEF3" w:rsidR="00F7687C" w:rsidRDefault="00F7687C" w:rsidP="00F7687C">
      <w:pPr>
        <w:tabs>
          <w:tab w:val="left" w:pos="1440"/>
        </w:tabs>
        <w:spacing w:line="240" w:lineRule="auto"/>
        <w:contextualSpacing/>
      </w:pPr>
      <w:r w:rsidRPr="0003328B">
        <w:t>WENRA</w:t>
      </w:r>
      <w:r w:rsidRPr="0003328B">
        <w:tab/>
        <w:t>Western European Nuclear Regulators’ Association</w:t>
      </w:r>
    </w:p>
    <w:p w14:paraId="6E0CF9F1" w14:textId="0A3DC60B" w:rsidR="000845D4" w:rsidRPr="00B84349" w:rsidRDefault="000845D4" w:rsidP="00112A9A">
      <w:pPr>
        <w:pStyle w:val="Bulletlist1"/>
        <w:numPr>
          <w:ilvl w:val="0"/>
          <w:numId w:val="0"/>
        </w:numPr>
        <w:ind w:left="851" w:hanging="851"/>
      </w:pPr>
    </w:p>
    <w:sectPr w:rsidR="000845D4" w:rsidRPr="00B84349"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152C4" w14:textId="77777777" w:rsidR="00C450BA" w:rsidRDefault="00C450BA" w:rsidP="007D199A">
      <w:pPr>
        <w:spacing w:after="0"/>
      </w:pPr>
      <w:r>
        <w:separator/>
      </w:r>
    </w:p>
    <w:p w14:paraId="45E0E8AB" w14:textId="77777777" w:rsidR="00C450BA" w:rsidRDefault="00C450BA"/>
    <w:p w14:paraId="604ABC30" w14:textId="77777777" w:rsidR="00C450BA" w:rsidRDefault="00C450BA"/>
  </w:endnote>
  <w:endnote w:type="continuationSeparator" w:id="0">
    <w:p w14:paraId="7B159B70" w14:textId="77777777" w:rsidR="00C450BA" w:rsidRDefault="00C450BA" w:rsidP="007D199A">
      <w:pPr>
        <w:spacing w:after="0"/>
      </w:pPr>
      <w:r>
        <w:continuationSeparator/>
      </w:r>
    </w:p>
    <w:p w14:paraId="06F915CC" w14:textId="77777777" w:rsidR="00C450BA" w:rsidRDefault="00C450BA"/>
    <w:p w14:paraId="1CC5DB33" w14:textId="77777777" w:rsidR="00C450BA" w:rsidRDefault="00C450BA"/>
  </w:endnote>
  <w:endnote w:type="continuationNotice" w:id="1">
    <w:p w14:paraId="068E7745" w14:textId="77777777" w:rsidR="00C450BA" w:rsidRDefault="00C450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6551A131" w:rsidR="007C3C1D" w:rsidRPr="002D5F2E" w:rsidRDefault="006A525B" w:rsidP="007C3C1D">
    <w:pPr>
      <w:pStyle w:val="Footer"/>
      <w:jc w:val="left"/>
      <w:rPr>
        <w:sz w:val="22"/>
      </w:rPr>
    </w:pPr>
    <w:r w:rsidRPr="002D5F2E">
      <w:rPr>
        <w:sz w:val="22"/>
      </w:rPr>
      <w:t>ONR-DOC-TEMP-</w:t>
    </w:r>
    <w:r w:rsidR="001321E2" w:rsidRPr="002D5F2E">
      <w:rPr>
        <w:sz w:val="22"/>
      </w:rPr>
      <w:t>002</w:t>
    </w:r>
    <w:r w:rsidRPr="002D5F2E">
      <w:rPr>
        <w:sz w:val="22"/>
      </w:rPr>
      <w:t xml:space="preserve"> (Issue </w:t>
    </w:r>
    <w:r w:rsidR="001321E2" w:rsidRPr="002D5F2E">
      <w:rPr>
        <w:sz w:val="22"/>
      </w:rPr>
      <w:t>5</w:t>
    </w:r>
    <w:r w:rsidR="00CE1DB2" w:rsidRPr="002D5F2E">
      <w:rPr>
        <w:sz w:val="22"/>
      </w:rPr>
      <w:t>.</w:t>
    </w:r>
    <w:r w:rsidR="009557A5">
      <w:rPr>
        <w:sz w:val="22"/>
      </w:rPr>
      <w:t>5</w:t>
    </w:r>
    <w:r w:rsidRPr="002D5F2E">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08BD" w14:textId="56CE48E5" w:rsidR="00CE6198" w:rsidRPr="000B2BCD" w:rsidRDefault="002D5F2E" w:rsidP="000B2BCD">
    <w:pPr>
      <w:pStyle w:val="Footer"/>
      <w:spacing w:before="240" w:after="0" w:line="240" w:lineRule="auto"/>
      <w:rPr>
        <w:rStyle w:val="PageNumber"/>
        <w:color w:val="22413A"/>
        <w:sz w:val="24"/>
      </w:rPr>
    </w:pPr>
    <w:r w:rsidRPr="002D5F2E">
      <w:rPr>
        <w:rStyle w:val="PageNumber"/>
        <w:color w:val="22413A"/>
        <w:sz w:val="24"/>
      </w:rPr>
      <w:t xml:space="preserve">Page | </w:t>
    </w:r>
    <w:r w:rsidRPr="002D5F2E">
      <w:rPr>
        <w:rStyle w:val="PageNumber"/>
        <w:color w:val="22413A"/>
        <w:sz w:val="24"/>
      </w:rPr>
      <w:fldChar w:fldCharType="begin"/>
    </w:r>
    <w:r w:rsidRPr="002D5F2E">
      <w:rPr>
        <w:rStyle w:val="PageNumber"/>
        <w:color w:val="22413A"/>
        <w:sz w:val="24"/>
      </w:rPr>
      <w:instrText xml:space="preserve"> PAGE   \* MERGEFORMAT </w:instrText>
    </w:r>
    <w:r w:rsidRPr="002D5F2E">
      <w:rPr>
        <w:rStyle w:val="PageNumber"/>
        <w:color w:val="22413A"/>
        <w:sz w:val="24"/>
      </w:rPr>
      <w:fldChar w:fldCharType="separate"/>
    </w:r>
    <w:r w:rsidRPr="002D5F2E">
      <w:rPr>
        <w:rStyle w:val="PageNumber"/>
        <w:noProof/>
        <w:color w:val="22413A"/>
        <w:sz w:val="24"/>
      </w:rPr>
      <w:t>1</w:t>
    </w:r>
    <w:r w:rsidRPr="002D5F2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FA3A12" w14:textId="77777777" w:rsidR="00C450BA" w:rsidRPr="005E0344" w:rsidRDefault="00C450BA" w:rsidP="005E0344">
      <w:pPr>
        <w:spacing w:after="120"/>
        <w:rPr>
          <w:color w:val="000000" w:themeColor="text2"/>
        </w:rPr>
      </w:pPr>
      <w:r w:rsidRPr="005E0344">
        <w:rPr>
          <w:color w:val="000000" w:themeColor="text2"/>
        </w:rPr>
        <w:separator/>
      </w:r>
    </w:p>
    <w:p w14:paraId="2C92A01A" w14:textId="77777777" w:rsidR="00C450BA" w:rsidRDefault="00C450BA"/>
  </w:footnote>
  <w:footnote w:type="continuationSeparator" w:id="0">
    <w:p w14:paraId="0B930786" w14:textId="77777777" w:rsidR="00C450BA" w:rsidRPr="005E0344" w:rsidRDefault="00C450BA" w:rsidP="0090581D">
      <w:pPr>
        <w:spacing w:after="120"/>
        <w:rPr>
          <w:color w:val="000000" w:themeColor="text2"/>
        </w:rPr>
      </w:pPr>
      <w:r w:rsidRPr="005E0344">
        <w:rPr>
          <w:color w:val="000000" w:themeColor="text2"/>
        </w:rPr>
        <w:continuationSeparator/>
      </w:r>
    </w:p>
    <w:p w14:paraId="22945029" w14:textId="77777777" w:rsidR="00C450BA" w:rsidRDefault="00C450BA"/>
    <w:p w14:paraId="2ED3FC61" w14:textId="77777777" w:rsidR="00C450BA" w:rsidRDefault="00C450BA"/>
  </w:footnote>
  <w:footnote w:type="continuationNotice" w:id="1">
    <w:p w14:paraId="4A159345" w14:textId="77777777" w:rsidR="00C450BA" w:rsidRDefault="00C450BA">
      <w:pPr>
        <w:spacing w:after="0"/>
      </w:pPr>
    </w:p>
    <w:p w14:paraId="38BFA398" w14:textId="77777777" w:rsidR="00C450BA" w:rsidRDefault="00C450BA"/>
    <w:p w14:paraId="2AF3DCC8" w14:textId="77777777" w:rsidR="00C450BA" w:rsidRDefault="00C450BA"/>
  </w:footnote>
  <w:footnote w:id="2">
    <w:p w14:paraId="45F8D42A" w14:textId="453122AC" w:rsidR="0019236C" w:rsidRDefault="0019236C">
      <w:pPr>
        <w:pStyle w:val="FootnoteText"/>
      </w:pPr>
      <w:r>
        <w:rPr>
          <w:rStyle w:val="FootnoteReference"/>
        </w:rPr>
        <w:footnoteRef/>
      </w:r>
      <w:r>
        <w:t xml:space="preserve"> The definition of operations includes the treatment, processing, keeping, storing, accumulating or carriage of radioactive waste.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65B1" w14:textId="299A8B52" w:rsidR="000B2BCD" w:rsidRPr="00046936" w:rsidRDefault="00000000"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Content>
        <w:r w:rsidR="00965FF4">
          <w:rPr>
            <w:sz w:val="20"/>
            <w:szCs w:val="24"/>
          </w:rPr>
          <w:t>Management of Radioactive Waste on Nuclear Licensed Sites</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Content>
        <w:r w:rsidR="00965FF4">
          <w:rPr>
            <w:sz w:val="20"/>
            <w:szCs w:val="24"/>
          </w:rPr>
          <w:t>8</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E5EAC"/>
    <w:multiLevelType w:val="hybridMultilevel"/>
    <w:tmpl w:val="52004CD2"/>
    <w:lvl w:ilvl="0" w:tplc="83EC8490">
      <w:start w:val="1"/>
      <w:numFmt w:val="bullet"/>
      <w:lvlText w:val=""/>
      <w:lvlJc w:val="left"/>
      <w:pPr>
        <w:ind w:left="720" w:hanging="360"/>
      </w:pPr>
      <w:rPr>
        <w:rFonts w:ascii="Symbol" w:hAnsi="Symbol"/>
      </w:rPr>
    </w:lvl>
    <w:lvl w:ilvl="1" w:tplc="ED94E602">
      <w:start w:val="1"/>
      <w:numFmt w:val="bullet"/>
      <w:lvlText w:val=""/>
      <w:lvlJc w:val="left"/>
      <w:pPr>
        <w:ind w:left="720" w:hanging="360"/>
      </w:pPr>
      <w:rPr>
        <w:rFonts w:ascii="Symbol" w:hAnsi="Symbol"/>
      </w:rPr>
    </w:lvl>
    <w:lvl w:ilvl="2" w:tplc="7D4A1DD2">
      <w:start w:val="1"/>
      <w:numFmt w:val="bullet"/>
      <w:lvlText w:val=""/>
      <w:lvlJc w:val="left"/>
      <w:pPr>
        <w:ind w:left="720" w:hanging="360"/>
      </w:pPr>
      <w:rPr>
        <w:rFonts w:ascii="Symbol" w:hAnsi="Symbol"/>
      </w:rPr>
    </w:lvl>
    <w:lvl w:ilvl="3" w:tplc="738E95AA">
      <w:start w:val="1"/>
      <w:numFmt w:val="bullet"/>
      <w:lvlText w:val=""/>
      <w:lvlJc w:val="left"/>
      <w:pPr>
        <w:ind w:left="720" w:hanging="360"/>
      </w:pPr>
      <w:rPr>
        <w:rFonts w:ascii="Symbol" w:hAnsi="Symbol"/>
      </w:rPr>
    </w:lvl>
    <w:lvl w:ilvl="4" w:tplc="45F2C76C">
      <w:start w:val="1"/>
      <w:numFmt w:val="bullet"/>
      <w:lvlText w:val=""/>
      <w:lvlJc w:val="left"/>
      <w:pPr>
        <w:ind w:left="720" w:hanging="360"/>
      </w:pPr>
      <w:rPr>
        <w:rFonts w:ascii="Symbol" w:hAnsi="Symbol"/>
      </w:rPr>
    </w:lvl>
    <w:lvl w:ilvl="5" w:tplc="0792DC08">
      <w:start w:val="1"/>
      <w:numFmt w:val="bullet"/>
      <w:lvlText w:val=""/>
      <w:lvlJc w:val="left"/>
      <w:pPr>
        <w:ind w:left="720" w:hanging="360"/>
      </w:pPr>
      <w:rPr>
        <w:rFonts w:ascii="Symbol" w:hAnsi="Symbol"/>
      </w:rPr>
    </w:lvl>
    <w:lvl w:ilvl="6" w:tplc="9F8EB866">
      <w:start w:val="1"/>
      <w:numFmt w:val="bullet"/>
      <w:lvlText w:val=""/>
      <w:lvlJc w:val="left"/>
      <w:pPr>
        <w:ind w:left="720" w:hanging="360"/>
      </w:pPr>
      <w:rPr>
        <w:rFonts w:ascii="Symbol" w:hAnsi="Symbol"/>
      </w:rPr>
    </w:lvl>
    <w:lvl w:ilvl="7" w:tplc="BE88DF90">
      <w:start w:val="1"/>
      <w:numFmt w:val="bullet"/>
      <w:lvlText w:val=""/>
      <w:lvlJc w:val="left"/>
      <w:pPr>
        <w:ind w:left="720" w:hanging="360"/>
      </w:pPr>
      <w:rPr>
        <w:rFonts w:ascii="Symbol" w:hAnsi="Symbol"/>
      </w:rPr>
    </w:lvl>
    <w:lvl w:ilvl="8" w:tplc="376C9518">
      <w:start w:val="1"/>
      <w:numFmt w:val="bullet"/>
      <w:lvlText w:val=""/>
      <w:lvlJc w:val="left"/>
      <w:pPr>
        <w:ind w:left="720" w:hanging="360"/>
      </w:pPr>
      <w:rPr>
        <w:rFonts w:ascii="Symbol" w:hAnsi="Symbol"/>
      </w:rPr>
    </w:lvl>
  </w:abstractNum>
  <w:abstractNum w:abstractNumId="11"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2" w15:restartNumberingAfterBreak="0">
    <w:nsid w:val="0C0D1399"/>
    <w:multiLevelType w:val="hybridMultilevel"/>
    <w:tmpl w:val="29BEDD6E"/>
    <w:lvl w:ilvl="0" w:tplc="420E9608">
      <w:start w:val="1"/>
      <w:numFmt w:val="bullet"/>
      <w:lvlText w:val=""/>
      <w:lvlJc w:val="left"/>
      <w:pPr>
        <w:ind w:left="720" w:hanging="360"/>
      </w:pPr>
      <w:rPr>
        <w:rFonts w:ascii="Symbol" w:hAnsi="Symbol"/>
      </w:rPr>
    </w:lvl>
    <w:lvl w:ilvl="1" w:tplc="51AA5C0A">
      <w:start w:val="1"/>
      <w:numFmt w:val="bullet"/>
      <w:lvlText w:val=""/>
      <w:lvlJc w:val="left"/>
      <w:pPr>
        <w:ind w:left="720" w:hanging="360"/>
      </w:pPr>
      <w:rPr>
        <w:rFonts w:ascii="Symbol" w:hAnsi="Symbol"/>
      </w:rPr>
    </w:lvl>
    <w:lvl w:ilvl="2" w:tplc="70A276E4">
      <w:start w:val="1"/>
      <w:numFmt w:val="bullet"/>
      <w:lvlText w:val=""/>
      <w:lvlJc w:val="left"/>
      <w:pPr>
        <w:ind w:left="720" w:hanging="360"/>
      </w:pPr>
      <w:rPr>
        <w:rFonts w:ascii="Symbol" w:hAnsi="Symbol"/>
      </w:rPr>
    </w:lvl>
    <w:lvl w:ilvl="3" w:tplc="8B7A4F98">
      <w:start w:val="1"/>
      <w:numFmt w:val="bullet"/>
      <w:lvlText w:val=""/>
      <w:lvlJc w:val="left"/>
      <w:pPr>
        <w:ind w:left="720" w:hanging="360"/>
      </w:pPr>
      <w:rPr>
        <w:rFonts w:ascii="Symbol" w:hAnsi="Symbol"/>
      </w:rPr>
    </w:lvl>
    <w:lvl w:ilvl="4" w:tplc="03BA5090">
      <w:start w:val="1"/>
      <w:numFmt w:val="bullet"/>
      <w:lvlText w:val=""/>
      <w:lvlJc w:val="left"/>
      <w:pPr>
        <w:ind w:left="720" w:hanging="360"/>
      </w:pPr>
      <w:rPr>
        <w:rFonts w:ascii="Symbol" w:hAnsi="Symbol"/>
      </w:rPr>
    </w:lvl>
    <w:lvl w:ilvl="5" w:tplc="FD46F162">
      <w:start w:val="1"/>
      <w:numFmt w:val="bullet"/>
      <w:lvlText w:val=""/>
      <w:lvlJc w:val="left"/>
      <w:pPr>
        <w:ind w:left="720" w:hanging="360"/>
      </w:pPr>
      <w:rPr>
        <w:rFonts w:ascii="Symbol" w:hAnsi="Symbol"/>
      </w:rPr>
    </w:lvl>
    <w:lvl w:ilvl="6" w:tplc="E7E623FE">
      <w:start w:val="1"/>
      <w:numFmt w:val="bullet"/>
      <w:lvlText w:val=""/>
      <w:lvlJc w:val="left"/>
      <w:pPr>
        <w:ind w:left="720" w:hanging="360"/>
      </w:pPr>
      <w:rPr>
        <w:rFonts w:ascii="Symbol" w:hAnsi="Symbol"/>
      </w:rPr>
    </w:lvl>
    <w:lvl w:ilvl="7" w:tplc="3C82A8C8">
      <w:start w:val="1"/>
      <w:numFmt w:val="bullet"/>
      <w:lvlText w:val=""/>
      <w:lvlJc w:val="left"/>
      <w:pPr>
        <w:ind w:left="720" w:hanging="360"/>
      </w:pPr>
      <w:rPr>
        <w:rFonts w:ascii="Symbol" w:hAnsi="Symbol"/>
      </w:rPr>
    </w:lvl>
    <w:lvl w:ilvl="8" w:tplc="79482F36">
      <w:start w:val="1"/>
      <w:numFmt w:val="bullet"/>
      <w:lvlText w:val=""/>
      <w:lvlJc w:val="left"/>
      <w:pPr>
        <w:ind w:left="720" w:hanging="360"/>
      </w:pPr>
      <w:rPr>
        <w:rFonts w:ascii="Symbol" w:hAnsi="Symbol"/>
      </w:rPr>
    </w:lvl>
  </w:abstractNum>
  <w:abstractNum w:abstractNumId="13"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4"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3653A6"/>
    <w:multiLevelType w:val="hybridMultilevel"/>
    <w:tmpl w:val="82103ED4"/>
    <w:lvl w:ilvl="0" w:tplc="CEB6A6B2">
      <w:start w:val="1"/>
      <w:numFmt w:val="bullet"/>
      <w:lvlText w:val=""/>
      <w:lvlJc w:val="left"/>
      <w:pPr>
        <w:ind w:left="720" w:hanging="360"/>
      </w:pPr>
      <w:rPr>
        <w:rFonts w:ascii="Symbol" w:hAnsi="Symbol"/>
      </w:rPr>
    </w:lvl>
    <w:lvl w:ilvl="1" w:tplc="740A3C7A">
      <w:start w:val="1"/>
      <w:numFmt w:val="bullet"/>
      <w:lvlText w:val=""/>
      <w:lvlJc w:val="left"/>
      <w:pPr>
        <w:ind w:left="720" w:hanging="360"/>
      </w:pPr>
      <w:rPr>
        <w:rFonts w:ascii="Symbol" w:hAnsi="Symbol"/>
      </w:rPr>
    </w:lvl>
    <w:lvl w:ilvl="2" w:tplc="64F47D68">
      <w:start w:val="1"/>
      <w:numFmt w:val="bullet"/>
      <w:lvlText w:val=""/>
      <w:lvlJc w:val="left"/>
      <w:pPr>
        <w:ind w:left="720" w:hanging="360"/>
      </w:pPr>
      <w:rPr>
        <w:rFonts w:ascii="Symbol" w:hAnsi="Symbol"/>
      </w:rPr>
    </w:lvl>
    <w:lvl w:ilvl="3" w:tplc="8E1E8EF0">
      <w:start w:val="1"/>
      <w:numFmt w:val="bullet"/>
      <w:lvlText w:val=""/>
      <w:lvlJc w:val="left"/>
      <w:pPr>
        <w:ind w:left="720" w:hanging="360"/>
      </w:pPr>
      <w:rPr>
        <w:rFonts w:ascii="Symbol" w:hAnsi="Symbol"/>
      </w:rPr>
    </w:lvl>
    <w:lvl w:ilvl="4" w:tplc="FE0CC7DC">
      <w:start w:val="1"/>
      <w:numFmt w:val="bullet"/>
      <w:lvlText w:val=""/>
      <w:lvlJc w:val="left"/>
      <w:pPr>
        <w:ind w:left="720" w:hanging="360"/>
      </w:pPr>
      <w:rPr>
        <w:rFonts w:ascii="Symbol" w:hAnsi="Symbol"/>
      </w:rPr>
    </w:lvl>
    <w:lvl w:ilvl="5" w:tplc="DBB06EE4">
      <w:start w:val="1"/>
      <w:numFmt w:val="bullet"/>
      <w:lvlText w:val=""/>
      <w:lvlJc w:val="left"/>
      <w:pPr>
        <w:ind w:left="720" w:hanging="360"/>
      </w:pPr>
      <w:rPr>
        <w:rFonts w:ascii="Symbol" w:hAnsi="Symbol"/>
      </w:rPr>
    </w:lvl>
    <w:lvl w:ilvl="6" w:tplc="98A46F1C">
      <w:start w:val="1"/>
      <w:numFmt w:val="bullet"/>
      <w:lvlText w:val=""/>
      <w:lvlJc w:val="left"/>
      <w:pPr>
        <w:ind w:left="720" w:hanging="360"/>
      </w:pPr>
      <w:rPr>
        <w:rFonts w:ascii="Symbol" w:hAnsi="Symbol"/>
      </w:rPr>
    </w:lvl>
    <w:lvl w:ilvl="7" w:tplc="F8FC9E46">
      <w:start w:val="1"/>
      <w:numFmt w:val="bullet"/>
      <w:lvlText w:val=""/>
      <w:lvlJc w:val="left"/>
      <w:pPr>
        <w:ind w:left="720" w:hanging="360"/>
      </w:pPr>
      <w:rPr>
        <w:rFonts w:ascii="Symbol" w:hAnsi="Symbol"/>
      </w:rPr>
    </w:lvl>
    <w:lvl w:ilvl="8" w:tplc="9162FC42">
      <w:start w:val="1"/>
      <w:numFmt w:val="bullet"/>
      <w:lvlText w:val=""/>
      <w:lvlJc w:val="left"/>
      <w:pPr>
        <w:ind w:left="720" w:hanging="360"/>
      </w:pPr>
      <w:rPr>
        <w:rFonts w:ascii="Symbol" w:hAnsi="Symbol"/>
      </w:rPr>
    </w:lvl>
  </w:abstractNum>
  <w:abstractNum w:abstractNumId="18"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2E25F6"/>
    <w:multiLevelType w:val="hybridMultilevel"/>
    <w:tmpl w:val="02A4BFBE"/>
    <w:lvl w:ilvl="0" w:tplc="906CEAA0">
      <w:start w:val="1"/>
      <w:numFmt w:val="decimal"/>
      <w:lvlText w:val="%1."/>
      <w:lvlJc w:val="left"/>
      <w:pPr>
        <w:ind w:left="1560" w:hanging="360"/>
      </w:pPr>
    </w:lvl>
    <w:lvl w:ilvl="1" w:tplc="A6B861FC">
      <w:start w:val="1"/>
      <w:numFmt w:val="decimal"/>
      <w:lvlText w:val="%2."/>
      <w:lvlJc w:val="left"/>
      <w:pPr>
        <w:ind w:left="1560" w:hanging="360"/>
      </w:pPr>
    </w:lvl>
    <w:lvl w:ilvl="2" w:tplc="95542AD4">
      <w:start w:val="1"/>
      <w:numFmt w:val="decimal"/>
      <w:lvlText w:val="%3."/>
      <w:lvlJc w:val="left"/>
      <w:pPr>
        <w:ind w:left="1560" w:hanging="360"/>
      </w:pPr>
    </w:lvl>
    <w:lvl w:ilvl="3" w:tplc="8BA48F7E">
      <w:start w:val="1"/>
      <w:numFmt w:val="decimal"/>
      <w:lvlText w:val="%4."/>
      <w:lvlJc w:val="left"/>
      <w:pPr>
        <w:ind w:left="1560" w:hanging="360"/>
      </w:pPr>
    </w:lvl>
    <w:lvl w:ilvl="4" w:tplc="51243706">
      <w:start w:val="1"/>
      <w:numFmt w:val="decimal"/>
      <w:lvlText w:val="%5."/>
      <w:lvlJc w:val="left"/>
      <w:pPr>
        <w:ind w:left="1560" w:hanging="360"/>
      </w:pPr>
    </w:lvl>
    <w:lvl w:ilvl="5" w:tplc="43F2E746">
      <w:start w:val="1"/>
      <w:numFmt w:val="decimal"/>
      <w:lvlText w:val="%6."/>
      <w:lvlJc w:val="left"/>
      <w:pPr>
        <w:ind w:left="1560" w:hanging="360"/>
      </w:pPr>
    </w:lvl>
    <w:lvl w:ilvl="6" w:tplc="E9167990">
      <w:start w:val="1"/>
      <w:numFmt w:val="decimal"/>
      <w:lvlText w:val="%7."/>
      <w:lvlJc w:val="left"/>
      <w:pPr>
        <w:ind w:left="1560" w:hanging="360"/>
      </w:pPr>
    </w:lvl>
    <w:lvl w:ilvl="7" w:tplc="F5DE046C">
      <w:start w:val="1"/>
      <w:numFmt w:val="decimal"/>
      <w:lvlText w:val="%8."/>
      <w:lvlJc w:val="left"/>
      <w:pPr>
        <w:ind w:left="1560" w:hanging="360"/>
      </w:pPr>
    </w:lvl>
    <w:lvl w:ilvl="8" w:tplc="1A9E8BCC">
      <w:start w:val="1"/>
      <w:numFmt w:val="decimal"/>
      <w:lvlText w:val="%9."/>
      <w:lvlJc w:val="left"/>
      <w:pPr>
        <w:ind w:left="1560" w:hanging="360"/>
      </w:pPr>
    </w:lvl>
  </w:abstractNum>
  <w:abstractNum w:abstractNumId="21"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3B6936"/>
    <w:multiLevelType w:val="hybridMultilevel"/>
    <w:tmpl w:val="249E0AC4"/>
    <w:lvl w:ilvl="0" w:tplc="86EA2666">
      <w:start w:val="1"/>
      <w:numFmt w:val="bullet"/>
      <w:lvlText w:val=""/>
      <w:lvlJc w:val="left"/>
      <w:pPr>
        <w:ind w:left="720" w:hanging="360"/>
      </w:pPr>
      <w:rPr>
        <w:rFonts w:ascii="Symbol" w:hAnsi="Symbol"/>
      </w:rPr>
    </w:lvl>
    <w:lvl w:ilvl="1" w:tplc="8F448F36">
      <w:start w:val="1"/>
      <w:numFmt w:val="bullet"/>
      <w:lvlText w:val=""/>
      <w:lvlJc w:val="left"/>
      <w:pPr>
        <w:ind w:left="720" w:hanging="360"/>
      </w:pPr>
      <w:rPr>
        <w:rFonts w:ascii="Symbol" w:hAnsi="Symbol"/>
      </w:rPr>
    </w:lvl>
    <w:lvl w:ilvl="2" w:tplc="906C2B8A">
      <w:start w:val="1"/>
      <w:numFmt w:val="bullet"/>
      <w:lvlText w:val=""/>
      <w:lvlJc w:val="left"/>
      <w:pPr>
        <w:ind w:left="720" w:hanging="360"/>
      </w:pPr>
      <w:rPr>
        <w:rFonts w:ascii="Symbol" w:hAnsi="Symbol"/>
      </w:rPr>
    </w:lvl>
    <w:lvl w:ilvl="3" w:tplc="D7940786">
      <w:start w:val="1"/>
      <w:numFmt w:val="bullet"/>
      <w:lvlText w:val=""/>
      <w:lvlJc w:val="left"/>
      <w:pPr>
        <w:ind w:left="720" w:hanging="360"/>
      </w:pPr>
      <w:rPr>
        <w:rFonts w:ascii="Symbol" w:hAnsi="Symbol"/>
      </w:rPr>
    </w:lvl>
    <w:lvl w:ilvl="4" w:tplc="E49A8162">
      <w:start w:val="1"/>
      <w:numFmt w:val="bullet"/>
      <w:lvlText w:val=""/>
      <w:lvlJc w:val="left"/>
      <w:pPr>
        <w:ind w:left="720" w:hanging="360"/>
      </w:pPr>
      <w:rPr>
        <w:rFonts w:ascii="Symbol" w:hAnsi="Symbol"/>
      </w:rPr>
    </w:lvl>
    <w:lvl w:ilvl="5" w:tplc="1C16BD38">
      <w:start w:val="1"/>
      <w:numFmt w:val="bullet"/>
      <w:lvlText w:val=""/>
      <w:lvlJc w:val="left"/>
      <w:pPr>
        <w:ind w:left="720" w:hanging="360"/>
      </w:pPr>
      <w:rPr>
        <w:rFonts w:ascii="Symbol" w:hAnsi="Symbol"/>
      </w:rPr>
    </w:lvl>
    <w:lvl w:ilvl="6" w:tplc="C2CCA978">
      <w:start w:val="1"/>
      <w:numFmt w:val="bullet"/>
      <w:lvlText w:val=""/>
      <w:lvlJc w:val="left"/>
      <w:pPr>
        <w:ind w:left="720" w:hanging="360"/>
      </w:pPr>
      <w:rPr>
        <w:rFonts w:ascii="Symbol" w:hAnsi="Symbol"/>
      </w:rPr>
    </w:lvl>
    <w:lvl w:ilvl="7" w:tplc="EA5671BC">
      <w:start w:val="1"/>
      <w:numFmt w:val="bullet"/>
      <w:lvlText w:val=""/>
      <w:lvlJc w:val="left"/>
      <w:pPr>
        <w:ind w:left="720" w:hanging="360"/>
      </w:pPr>
      <w:rPr>
        <w:rFonts w:ascii="Symbol" w:hAnsi="Symbol"/>
      </w:rPr>
    </w:lvl>
    <w:lvl w:ilvl="8" w:tplc="C8A86538">
      <w:start w:val="1"/>
      <w:numFmt w:val="bullet"/>
      <w:lvlText w:val=""/>
      <w:lvlJc w:val="left"/>
      <w:pPr>
        <w:ind w:left="720" w:hanging="360"/>
      </w:pPr>
      <w:rPr>
        <w:rFonts w:ascii="Symbol" w:hAnsi="Symbol"/>
      </w:rPr>
    </w:lvl>
  </w:abstractNum>
  <w:abstractNum w:abstractNumId="26"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4DA2CAB"/>
    <w:multiLevelType w:val="hybridMultilevel"/>
    <w:tmpl w:val="D36C63CE"/>
    <w:lvl w:ilvl="0" w:tplc="695A42A6">
      <w:start w:val="1"/>
      <w:numFmt w:val="bullet"/>
      <w:lvlText w:val=""/>
      <w:lvlJc w:val="left"/>
      <w:pPr>
        <w:ind w:left="720" w:hanging="360"/>
      </w:pPr>
      <w:rPr>
        <w:rFonts w:ascii="Symbol" w:hAnsi="Symbol"/>
      </w:rPr>
    </w:lvl>
    <w:lvl w:ilvl="1" w:tplc="48A67A9A">
      <w:start w:val="1"/>
      <w:numFmt w:val="bullet"/>
      <w:lvlText w:val=""/>
      <w:lvlJc w:val="left"/>
      <w:pPr>
        <w:ind w:left="720" w:hanging="360"/>
      </w:pPr>
      <w:rPr>
        <w:rFonts w:ascii="Symbol" w:hAnsi="Symbol"/>
      </w:rPr>
    </w:lvl>
    <w:lvl w:ilvl="2" w:tplc="DAD47C40">
      <w:start w:val="1"/>
      <w:numFmt w:val="bullet"/>
      <w:lvlText w:val=""/>
      <w:lvlJc w:val="left"/>
      <w:pPr>
        <w:ind w:left="720" w:hanging="360"/>
      </w:pPr>
      <w:rPr>
        <w:rFonts w:ascii="Symbol" w:hAnsi="Symbol"/>
      </w:rPr>
    </w:lvl>
    <w:lvl w:ilvl="3" w:tplc="4B381856">
      <w:start w:val="1"/>
      <w:numFmt w:val="bullet"/>
      <w:lvlText w:val=""/>
      <w:lvlJc w:val="left"/>
      <w:pPr>
        <w:ind w:left="720" w:hanging="360"/>
      </w:pPr>
      <w:rPr>
        <w:rFonts w:ascii="Symbol" w:hAnsi="Symbol"/>
      </w:rPr>
    </w:lvl>
    <w:lvl w:ilvl="4" w:tplc="E99C8316">
      <w:start w:val="1"/>
      <w:numFmt w:val="bullet"/>
      <w:lvlText w:val=""/>
      <w:lvlJc w:val="left"/>
      <w:pPr>
        <w:ind w:left="720" w:hanging="360"/>
      </w:pPr>
      <w:rPr>
        <w:rFonts w:ascii="Symbol" w:hAnsi="Symbol"/>
      </w:rPr>
    </w:lvl>
    <w:lvl w:ilvl="5" w:tplc="7E227A74">
      <w:start w:val="1"/>
      <w:numFmt w:val="bullet"/>
      <w:lvlText w:val=""/>
      <w:lvlJc w:val="left"/>
      <w:pPr>
        <w:ind w:left="720" w:hanging="360"/>
      </w:pPr>
      <w:rPr>
        <w:rFonts w:ascii="Symbol" w:hAnsi="Symbol"/>
      </w:rPr>
    </w:lvl>
    <w:lvl w:ilvl="6" w:tplc="388E194C">
      <w:start w:val="1"/>
      <w:numFmt w:val="bullet"/>
      <w:lvlText w:val=""/>
      <w:lvlJc w:val="left"/>
      <w:pPr>
        <w:ind w:left="720" w:hanging="360"/>
      </w:pPr>
      <w:rPr>
        <w:rFonts w:ascii="Symbol" w:hAnsi="Symbol"/>
      </w:rPr>
    </w:lvl>
    <w:lvl w:ilvl="7" w:tplc="D25E035C">
      <w:start w:val="1"/>
      <w:numFmt w:val="bullet"/>
      <w:lvlText w:val=""/>
      <w:lvlJc w:val="left"/>
      <w:pPr>
        <w:ind w:left="720" w:hanging="360"/>
      </w:pPr>
      <w:rPr>
        <w:rFonts w:ascii="Symbol" w:hAnsi="Symbol"/>
      </w:rPr>
    </w:lvl>
    <w:lvl w:ilvl="8" w:tplc="2712692C">
      <w:start w:val="1"/>
      <w:numFmt w:val="bullet"/>
      <w:lvlText w:val=""/>
      <w:lvlJc w:val="left"/>
      <w:pPr>
        <w:ind w:left="720" w:hanging="360"/>
      </w:pPr>
      <w:rPr>
        <w:rFonts w:ascii="Symbol" w:hAnsi="Symbol"/>
      </w:rPr>
    </w:lvl>
  </w:abstractNum>
  <w:abstractNum w:abstractNumId="29"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4"/>
  </w:num>
  <w:num w:numId="12" w16cid:durableId="783227120">
    <w:abstractNumId w:val="29"/>
  </w:num>
  <w:num w:numId="13" w16cid:durableId="1367565994">
    <w:abstractNumId w:val="19"/>
  </w:num>
  <w:num w:numId="14" w16cid:durableId="1174225926">
    <w:abstractNumId w:val="16"/>
  </w:num>
  <w:num w:numId="15" w16cid:durableId="150562503">
    <w:abstractNumId w:val="29"/>
    <w:lvlOverride w:ilvl="0">
      <w:startOverride w:val="1"/>
    </w:lvlOverride>
  </w:num>
  <w:num w:numId="16" w16cid:durableId="708191280">
    <w:abstractNumId w:val="19"/>
    <w:lvlOverride w:ilvl="0">
      <w:startOverride w:val="1"/>
    </w:lvlOverride>
  </w:num>
  <w:num w:numId="17" w16cid:durableId="735981639">
    <w:abstractNumId w:val="16"/>
    <w:lvlOverride w:ilvl="0">
      <w:startOverride w:val="1"/>
    </w:lvlOverride>
  </w:num>
  <w:num w:numId="18" w16cid:durableId="966933876">
    <w:abstractNumId w:val="27"/>
  </w:num>
  <w:num w:numId="19" w16cid:durableId="985626502">
    <w:abstractNumId w:val="24"/>
  </w:num>
  <w:num w:numId="20" w16cid:durableId="2086879214">
    <w:abstractNumId w:val="15"/>
  </w:num>
  <w:num w:numId="21" w16cid:durableId="399718409">
    <w:abstractNumId w:val="31"/>
  </w:num>
  <w:num w:numId="22" w16cid:durableId="999388671">
    <w:abstractNumId w:val="23"/>
  </w:num>
  <w:num w:numId="23" w16cid:durableId="14912149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23"/>
  </w:num>
  <w:num w:numId="25" w16cid:durableId="20966315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32"/>
  </w:num>
  <w:num w:numId="27" w16cid:durableId="561334936">
    <w:abstractNumId w:val="13"/>
  </w:num>
  <w:num w:numId="28" w16cid:durableId="391512796">
    <w:abstractNumId w:val="11"/>
  </w:num>
  <w:num w:numId="29" w16cid:durableId="19601881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21"/>
  </w:num>
  <w:num w:numId="31" w16cid:durableId="20013520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22"/>
  </w:num>
  <w:num w:numId="33" w16cid:durableId="7413421">
    <w:abstractNumId w:val="30"/>
  </w:num>
  <w:num w:numId="34" w16cid:durableId="377974685">
    <w:abstractNumId w:val="26"/>
  </w:num>
  <w:num w:numId="35" w16cid:durableId="922030000">
    <w:abstractNumId w:val="18"/>
  </w:num>
  <w:num w:numId="36" w16cid:durableId="20830673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83850733">
    <w:abstractNumId w:val="23"/>
  </w:num>
  <w:num w:numId="38" w16cid:durableId="2083067350">
    <w:abstractNumId w:val="23"/>
  </w:num>
  <w:num w:numId="39" w16cid:durableId="1459228197">
    <w:abstractNumId w:val="23"/>
  </w:num>
  <w:num w:numId="40" w16cid:durableId="46344067">
    <w:abstractNumId w:val="17"/>
  </w:num>
  <w:num w:numId="41" w16cid:durableId="715785145">
    <w:abstractNumId w:val="28"/>
  </w:num>
  <w:num w:numId="42" w16cid:durableId="945816505">
    <w:abstractNumId w:val="12"/>
  </w:num>
  <w:num w:numId="43" w16cid:durableId="1012418472">
    <w:abstractNumId w:val="25"/>
  </w:num>
  <w:num w:numId="44" w16cid:durableId="360135906">
    <w:abstractNumId w:val="10"/>
  </w:num>
  <w:num w:numId="45" w16cid:durableId="12244859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16B"/>
    <w:rsid w:val="00001939"/>
    <w:rsid w:val="0000209D"/>
    <w:rsid w:val="00002C71"/>
    <w:rsid w:val="00002F03"/>
    <w:rsid w:val="000032C9"/>
    <w:rsid w:val="000035B4"/>
    <w:rsid w:val="0000464F"/>
    <w:rsid w:val="000046BB"/>
    <w:rsid w:val="00004903"/>
    <w:rsid w:val="00004C16"/>
    <w:rsid w:val="00004D48"/>
    <w:rsid w:val="000052F3"/>
    <w:rsid w:val="00005D73"/>
    <w:rsid w:val="00006742"/>
    <w:rsid w:val="00006CE8"/>
    <w:rsid w:val="00006FCE"/>
    <w:rsid w:val="00006FE0"/>
    <w:rsid w:val="0001097F"/>
    <w:rsid w:val="00011177"/>
    <w:rsid w:val="00011E2F"/>
    <w:rsid w:val="00012033"/>
    <w:rsid w:val="00012565"/>
    <w:rsid w:val="00013B4E"/>
    <w:rsid w:val="00014814"/>
    <w:rsid w:val="00014945"/>
    <w:rsid w:val="00015F1F"/>
    <w:rsid w:val="0001607B"/>
    <w:rsid w:val="00016FF9"/>
    <w:rsid w:val="0002020E"/>
    <w:rsid w:val="000203D7"/>
    <w:rsid w:val="0002113B"/>
    <w:rsid w:val="00023021"/>
    <w:rsid w:val="00023307"/>
    <w:rsid w:val="00023BC1"/>
    <w:rsid w:val="00024522"/>
    <w:rsid w:val="000245AE"/>
    <w:rsid w:val="00024808"/>
    <w:rsid w:val="00024B11"/>
    <w:rsid w:val="00024B2E"/>
    <w:rsid w:val="0002553C"/>
    <w:rsid w:val="00026375"/>
    <w:rsid w:val="00026A32"/>
    <w:rsid w:val="00026EFC"/>
    <w:rsid w:val="0002710D"/>
    <w:rsid w:val="00027F4F"/>
    <w:rsid w:val="000302DA"/>
    <w:rsid w:val="00030430"/>
    <w:rsid w:val="0003078E"/>
    <w:rsid w:val="00030D94"/>
    <w:rsid w:val="00030FBC"/>
    <w:rsid w:val="00031726"/>
    <w:rsid w:val="00031934"/>
    <w:rsid w:val="00031B89"/>
    <w:rsid w:val="000323B5"/>
    <w:rsid w:val="00032A25"/>
    <w:rsid w:val="00032EA6"/>
    <w:rsid w:val="00033F8E"/>
    <w:rsid w:val="0003431A"/>
    <w:rsid w:val="000352B7"/>
    <w:rsid w:val="00035539"/>
    <w:rsid w:val="00035B90"/>
    <w:rsid w:val="00035C2E"/>
    <w:rsid w:val="00035F3F"/>
    <w:rsid w:val="0003693D"/>
    <w:rsid w:val="00037EE2"/>
    <w:rsid w:val="0004063A"/>
    <w:rsid w:val="000422F1"/>
    <w:rsid w:val="0004440F"/>
    <w:rsid w:val="00045031"/>
    <w:rsid w:val="00045B5C"/>
    <w:rsid w:val="00045CF7"/>
    <w:rsid w:val="00046017"/>
    <w:rsid w:val="00046083"/>
    <w:rsid w:val="00046936"/>
    <w:rsid w:val="00047A7C"/>
    <w:rsid w:val="00047E62"/>
    <w:rsid w:val="00047F72"/>
    <w:rsid w:val="00052BC3"/>
    <w:rsid w:val="00052C8A"/>
    <w:rsid w:val="00052DF8"/>
    <w:rsid w:val="00053741"/>
    <w:rsid w:val="00053820"/>
    <w:rsid w:val="000548C8"/>
    <w:rsid w:val="00054C68"/>
    <w:rsid w:val="00054EB9"/>
    <w:rsid w:val="00055269"/>
    <w:rsid w:val="00055898"/>
    <w:rsid w:val="00055C44"/>
    <w:rsid w:val="00056033"/>
    <w:rsid w:val="000563CA"/>
    <w:rsid w:val="00057BE0"/>
    <w:rsid w:val="0006013B"/>
    <w:rsid w:val="00060A8B"/>
    <w:rsid w:val="00060AE9"/>
    <w:rsid w:val="000610C0"/>
    <w:rsid w:val="00063A4E"/>
    <w:rsid w:val="00063E70"/>
    <w:rsid w:val="00063F13"/>
    <w:rsid w:val="00063F46"/>
    <w:rsid w:val="000642B5"/>
    <w:rsid w:val="0006435B"/>
    <w:rsid w:val="00064D0C"/>
    <w:rsid w:val="00064D45"/>
    <w:rsid w:val="00064DCB"/>
    <w:rsid w:val="00065B4E"/>
    <w:rsid w:val="00066631"/>
    <w:rsid w:val="00066681"/>
    <w:rsid w:val="000674D9"/>
    <w:rsid w:val="00067AF5"/>
    <w:rsid w:val="00067DD1"/>
    <w:rsid w:val="000709BD"/>
    <w:rsid w:val="000712A2"/>
    <w:rsid w:val="00071C95"/>
    <w:rsid w:val="00072DFF"/>
    <w:rsid w:val="0007323E"/>
    <w:rsid w:val="000747A8"/>
    <w:rsid w:val="000747FF"/>
    <w:rsid w:val="000754A5"/>
    <w:rsid w:val="00075605"/>
    <w:rsid w:val="00075C66"/>
    <w:rsid w:val="00075E1D"/>
    <w:rsid w:val="00076691"/>
    <w:rsid w:val="00076BD4"/>
    <w:rsid w:val="00080242"/>
    <w:rsid w:val="00080CA1"/>
    <w:rsid w:val="00080D44"/>
    <w:rsid w:val="000810C9"/>
    <w:rsid w:val="00081114"/>
    <w:rsid w:val="000814DA"/>
    <w:rsid w:val="000818D6"/>
    <w:rsid w:val="00081E34"/>
    <w:rsid w:val="00081E37"/>
    <w:rsid w:val="00082291"/>
    <w:rsid w:val="00082879"/>
    <w:rsid w:val="000845D4"/>
    <w:rsid w:val="00084A58"/>
    <w:rsid w:val="00084DA7"/>
    <w:rsid w:val="0008547F"/>
    <w:rsid w:val="00086450"/>
    <w:rsid w:val="00086772"/>
    <w:rsid w:val="000874AC"/>
    <w:rsid w:val="00087EC3"/>
    <w:rsid w:val="000910F0"/>
    <w:rsid w:val="00091EEA"/>
    <w:rsid w:val="000922D5"/>
    <w:rsid w:val="000936EE"/>
    <w:rsid w:val="000941B6"/>
    <w:rsid w:val="000950B3"/>
    <w:rsid w:val="000957DE"/>
    <w:rsid w:val="00095EE8"/>
    <w:rsid w:val="00096105"/>
    <w:rsid w:val="00096608"/>
    <w:rsid w:val="0009704D"/>
    <w:rsid w:val="000977B0"/>
    <w:rsid w:val="000A12DA"/>
    <w:rsid w:val="000A1FCE"/>
    <w:rsid w:val="000A23ED"/>
    <w:rsid w:val="000A51C3"/>
    <w:rsid w:val="000A520E"/>
    <w:rsid w:val="000A5430"/>
    <w:rsid w:val="000A565D"/>
    <w:rsid w:val="000A5CF5"/>
    <w:rsid w:val="000A62D8"/>
    <w:rsid w:val="000A6A1E"/>
    <w:rsid w:val="000A7228"/>
    <w:rsid w:val="000A7BBB"/>
    <w:rsid w:val="000A7C30"/>
    <w:rsid w:val="000B1D79"/>
    <w:rsid w:val="000B2BCD"/>
    <w:rsid w:val="000B2C31"/>
    <w:rsid w:val="000B2D83"/>
    <w:rsid w:val="000B2EBA"/>
    <w:rsid w:val="000B329F"/>
    <w:rsid w:val="000B3705"/>
    <w:rsid w:val="000B378D"/>
    <w:rsid w:val="000B42DE"/>
    <w:rsid w:val="000B46BD"/>
    <w:rsid w:val="000B4CB5"/>
    <w:rsid w:val="000B57FC"/>
    <w:rsid w:val="000B5EFC"/>
    <w:rsid w:val="000B69DC"/>
    <w:rsid w:val="000B6F9C"/>
    <w:rsid w:val="000B705B"/>
    <w:rsid w:val="000B71F0"/>
    <w:rsid w:val="000B7603"/>
    <w:rsid w:val="000C0101"/>
    <w:rsid w:val="000C1789"/>
    <w:rsid w:val="000C1B08"/>
    <w:rsid w:val="000C205F"/>
    <w:rsid w:val="000C2DDC"/>
    <w:rsid w:val="000C2E81"/>
    <w:rsid w:val="000C350E"/>
    <w:rsid w:val="000C45FA"/>
    <w:rsid w:val="000C48DB"/>
    <w:rsid w:val="000C4A4B"/>
    <w:rsid w:val="000C4E26"/>
    <w:rsid w:val="000C646D"/>
    <w:rsid w:val="000C66A8"/>
    <w:rsid w:val="000C6D51"/>
    <w:rsid w:val="000C75DC"/>
    <w:rsid w:val="000C766A"/>
    <w:rsid w:val="000D114D"/>
    <w:rsid w:val="000D118D"/>
    <w:rsid w:val="000D1995"/>
    <w:rsid w:val="000D1AC1"/>
    <w:rsid w:val="000D20A3"/>
    <w:rsid w:val="000D230B"/>
    <w:rsid w:val="000D2FD4"/>
    <w:rsid w:val="000D4AE1"/>
    <w:rsid w:val="000D4E7D"/>
    <w:rsid w:val="000D50E1"/>
    <w:rsid w:val="000D5DEE"/>
    <w:rsid w:val="000D73DE"/>
    <w:rsid w:val="000D7A5C"/>
    <w:rsid w:val="000E1275"/>
    <w:rsid w:val="000E2991"/>
    <w:rsid w:val="000E3499"/>
    <w:rsid w:val="000E4871"/>
    <w:rsid w:val="000E4E36"/>
    <w:rsid w:val="000E54BF"/>
    <w:rsid w:val="000E5F19"/>
    <w:rsid w:val="000E6135"/>
    <w:rsid w:val="000E71E3"/>
    <w:rsid w:val="000F1452"/>
    <w:rsid w:val="000F1612"/>
    <w:rsid w:val="000F19FA"/>
    <w:rsid w:val="000F1B7B"/>
    <w:rsid w:val="000F2ED4"/>
    <w:rsid w:val="000F3932"/>
    <w:rsid w:val="000F4005"/>
    <w:rsid w:val="000F403A"/>
    <w:rsid w:val="000F40E6"/>
    <w:rsid w:val="000F4311"/>
    <w:rsid w:val="000F4A71"/>
    <w:rsid w:val="000F510C"/>
    <w:rsid w:val="000F512E"/>
    <w:rsid w:val="000F51C2"/>
    <w:rsid w:val="000F7609"/>
    <w:rsid w:val="001004A2"/>
    <w:rsid w:val="0010087C"/>
    <w:rsid w:val="00101305"/>
    <w:rsid w:val="001028E8"/>
    <w:rsid w:val="001029D5"/>
    <w:rsid w:val="00102CA2"/>
    <w:rsid w:val="00103241"/>
    <w:rsid w:val="001077E0"/>
    <w:rsid w:val="001112D7"/>
    <w:rsid w:val="00112A9A"/>
    <w:rsid w:val="00113216"/>
    <w:rsid w:val="00113E7B"/>
    <w:rsid w:val="00114CBC"/>
    <w:rsid w:val="001156CC"/>
    <w:rsid w:val="0011628D"/>
    <w:rsid w:val="00120D3A"/>
    <w:rsid w:val="00121474"/>
    <w:rsid w:val="00121535"/>
    <w:rsid w:val="0012252C"/>
    <w:rsid w:val="00122B6F"/>
    <w:rsid w:val="00122FCC"/>
    <w:rsid w:val="001233D3"/>
    <w:rsid w:val="00123540"/>
    <w:rsid w:val="001237FA"/>
    <w:rsid w:val="001241AA"/>
    <w:rsid w:val="00124DF1"/>
    <w:rsid w:val="00125A79"/>
    <w:rsid w:val="0012603C"/>
    <w:rsid w:val="0012623C"/>
    <w:rsid w:val="00126406"/>
    <w:rsid w:val="001265E5"/>
    <w:rsid w:val="00126752"/>
    <w:rsid w:val="00127297"/>
    <w:rsid w:val="001275DF"/>
    <w:rsid w:val="00130B30"/>
    <w:rsid w:val="0013131F"/>
    <w:rsid w:val="00131E06"/>
    <w:rsid w:val="001321E2"/>
    <w:rsid w:val="00132FAE"/>
    <w:rsid w:val="001331E6"/>
    <w:rsid w:val="0013331B"/>
    <w:rsid w:val="00134131"/>
    <w:rsid w:val="00134D08"/>
    <w:rsid w:val="00134E29"/>
    <w:rsid w:val="001359EF"/>
    <w:rsid w:val="00136064"/>
    <w:rsid w:val="00136376"/>
    <w:rsid w:val="0013649C"/>
    <w:rsid w:val="0013657E"/>
    <w:rsid w:val="001371E4"/>
    <w:rsid w:val="001401C5"/>
    <w:rsid w:val="00140E1C"/>
    <w:rsid w:val="00140FE9"/>
    <w:rsid w:val="0014136C"/>
    <w:rsid w:val="00141B89"/>
    <w:rsid w:val="00141C86"/>
    <w:rsid w:val="00141F1F"/>
    <w:rsid w:val="00142757"/>
    <w:rsid w:val="0014275E"/>
    <w:rsid w:val="0014294D"/>
    <w:rsid w:val="0014318E"/>
    <w:rsid w:val="00143BFF"/>
    <w:rsid w:val="00143F17"/>
    <w:rsid w:val="00143F9A"/>
    <w:rsid w:val="001444EC"/>
    <w:rsid w:val="00144524"/>
    <w:rsid w:val="001447A9"/>
    <w:rsid w:val="00144991"/>
    <w:rsid w:val="00145B5E"/>
    <w:rsid w:val="00146447"/>
    <w:rsid w:val="00146BB2"/>
    <w:rsid w:val="001471BA"/>
    <w:rsid w:val="00147516"/>
    <w:rsid w:val="00147AE4"/>
    <w:rsid w:val="0015018D"/>
    <w:rsid w:val="001523E3"/>
    <w:rsid w:val="0015281C"/>
    <w:rsid w:val="00152939"/>
    <w:rsid w:val="00152C87"/>
    <w:rsid w:val="001538AD"/>
    <w:rsid w:val="0015401B"/>
    <w:rsid w:val="0015407B"/>
    <w:rsid w:val="0015530E"/>
    <w:rsid w:val="001558AA"/>
    <w:rsid w:val="00155B39"/>
    <w:rsid w:val="00156241"/>
    <w:rsid w:val="001562FE"/>
    <w:rsid w:val="001571E5"/>
    <w:rsid w:val="001572D3"/>
    <w:rsid w:val="00157FA6"/>
    <w:rsid w:val="001605AA"/>
    <w:rsid w:val="00160E05"/>
    <w:rsid w:val="00161ADF"/>
    <w:rsid w:val="001627FA"/>
    <w:rsid w:val="00162DA1"/>
    <w:rsid w:val="00164A68"/>
    <w:rsid w:val="00165BDF"/>
    <w:rsid w:val="00166042"/>
    <w:rsid w:val="001663DF"/>
    <w:rsid w:val="00166BF6"/>
    <w:rsid w:val="0016745F"/>
    <w:rsid w:val="0016790D"/>
    <w:rsid w:val="00167ACA"/>
    <w:rsid w:val="00167E0C"/>
    <w:rsid w:val="00170A8C"/>
    <w:rsid w:val="00171A37"/>
    <w:rsid w:val="00171A9A"/>
    <w:rsid w:val="00171D9C"/>
    <w:rsid w:val="001720C5"/>
    <w:rsid w:val="0017228C"/>
    <w:rsid w:val="001722B1"/>
    <w:rsid w:val="00173341"/>
    <w:rsid w:val="00173F95"/>
    <w:rsid w:val="00174E56"/>
    <w:rsid w:val="00175076"/>
    <w:rsid w:val="00175B02"/>
    <w:rsid w:val="00175B68"/>
    <w:rsid w:val="0017605A"/>
    <w:rsid w:val="001769F0"/>
    <w:rsid w:val="00176FAA"/>
    <w:rsid w:val="00177666"/>
    <w:rsid w:val="00177FFE"/>
    <w:rsid w:val="001800B6"/>
    <w:rsid w:val="001803A0"/>
    <w:rsid w:val="00181031"/>
    <w:rsid w:val="001813F4"/>
    <w:rsid w:val="00182654"/>
    <w:rsid w:val="00182949"/>
    <w:rsid w:val="00182986"/>
    <w:rsid w:val="00183767"/>
    <w:rsid w:val="001839AB"/>
    <w:rsid w:val="00184594"/>
    <w:rsid w:val="001849CA"/>
    <w:rsid w:val="00185410"/>
    <w:rsid w:val="00185464"/>
    <w:rsid w:val="00185A50"/>
    <w:rsid w:val="00186924"/>
    <w:rsid w:val="0018737D"/>
    <w:rsid w:val="00187AFE"/>
    <w:rsid w:val="00187B8D"/>
    <w:rsid w:val="00187F4F"/>
    <w:rsid w:val="001901EC"/>
    <w:rsid w:val="00191759"/>
    <w:rsid w:val="001920E4"/>
    <w:rsid w:val="00192145"/>
    <w:rsid w:val="00192352"/>
    <w:rsid w:val="0019236C"/>
    <w:rsid w:val="00192382"/>
    <w:rsid w:val="00192DB9"/>
    <w:rsid w:val="00193FAE"/>
    <w:rsid w:val="0019468E"/>
    <w:rsid w:val="00194AB6"/>
    <w:rsid w:val="001955AF"/>
    <w:rsid w:val="00195FE5"/>
    <w:rsid w:val="001971CC"/>
    <w:rsid w:val="00197DEF"/>
    <w:rsid w:val="00197F9F"/>
    <w:rsid w:val="001A00DA"/>
    <w:rsid w:val="001A02AA"/>
    <w:rsid w:val="001A0905"/>
    <w:rsid w:val="001A151F"/>
    <w:rsid w:val="001A2A33"/>
    <w:rsid w:val="001A2A35"/>
    <w:rsid w:val="001A2AC9"/>
    <w:rsid w:val="001A2E49"/>
    <w:rsid w:val="001A34B6"/>
    <w:rsid w:val="001A4E1B"/>
    <w:rsid w:val="001A613E"/>
    <w:rsid w:val="001A75C7"/>
    <w:rsid w:val="001A7747"/>
    <w:rsid w:val="001A7AD8"/>
    <w:rsid w:val="001B0781"/>
    <w:rsid w:val="001B173B"/>
    <w:rsid w:val="001B2A55"/>
    <w:rsid w:val="001B4164"/>
    <w:rsid w:val="001B4531"/>
    <w:rsid w:val="001B5288"/>
    <w:rsid w:val="001B5B10"/>
    <w:rsid w:val="001B63B7"/>
    <w:rsid w:val="001B72A9"/>
    <w:rsid w:val="001B749D"/>
    <w:rsid w:val="001B77E7"/>
    <w:rsid w:val="001B78B4"/>
    <w:rsid w:val="001B7EB6"/>
    <w:rsid w:val="001C018E"/>
    <w:rsid w:val="001C0E9B"/>
    <w:rsid w:val="001C1491"/>
    <w:rsid w:val="001C19DE"/>
    <w:rsid w:val="001C1B28"/>
    <w:rsid w:val="001C1CF9"/>
    <w:rsid w:val="001C1D98"/>
    <w:rsid w:val="001C2221"/>
    <w:rsid w:val="001C26E4"/>
    <w:rsid w:val="001C2B90"/>
    <w:rsid w:val="001C3006"/>
    <w:rsid w:val="001C3E48"/>
    <w:rsid w:val="001C441D"/>
    <w:rsid w:val="001C4BB5"/>
    <w:rsid w:val="001C4BF7"/>
    <w:rsid w:val="001C4D63"/>
    <w:rsid w:val="001C4EF7"/>
    <w:rsid w:val="001C5E77"/>
    <w:rsid w:val="001C61D4"/>
    <w:rsid w:val="001C64FB"/>
    <w:rsid w:val="001C6A16"/>
    <w:rsid w:val="001C6AC2"/>
    <w:rsid w:val="001C6B43"/>
    <w:rsid w:val="001C748E"/>
    <w:rsid w:val="001C7647"/>
    <w:rsid w:val="001C78DD"/>
    <w:rsid w:val="001C7D1B"/>
    <w:rsid w:val="001D0BEE"/>
    <w:rsid w:val="001D0DE0"/>
    <w:rsid w:val="001D133C"/>
    <w:rsid w:val="001D34EB"/>
    <w:rsid w:val="001D36C2"/>
    <w:rsid w:val="001D37A9"/>
    <w:rsid w:val="001D390F"/>
    <w:rsid w:val="001D39FA"/>
    <w:rsid w:val="001D5AFF"/>
    <w:rsid w:val="001D63D0"/>
    <w:rsid w:val="001D6469"/>
    <w:rsid w:val="001D648F"/>
    <w:rsid w:val="001D6CD1"/>
    <w:rsid w:val="001D74B4"/>
    <w:rsid w:val="001D75DD"/>
    <w:rsid w:val="001D7991"/>
    <w:rsid w:val="001E03E1"/>
    <w:rsid w:val="001E0E14"/>
    <w:rsid w:val="001E16F1"/>
    <w:rsid w:val="001E1DCD"/>
    <w:rsid w:val="001E37FC"/>
    <w:rsid w:val="001E4148"/>
    <w:rsid w:val="001E4BA3"/>
    <w:rsid w:val="001E4E29"/>
    <w:rsid w:val="001E60BA"/>
    <w:rsid w:val="001E6800"/>
    <w:rsid w:val="001E76CB"/>
    <w:rsid w:val="001F059F"/>
    <w:rsid w:val="001F0969"/>
    <w:rsid w:val="001F0A08"/>
    <w:rsid w:val="001F0AC2"/>
    <w:rsid w:val="001F0C49"/>
    <w:rsid w:val="001F0C4F"/>
    <w:rsid w:val="001F1A2C"/>
    <w:rsid w:val="001F365C"/>
    <w:rsid w:val="001F3896"/>
    <w:rsid w:val="001F3D54"/>
    <w:rsid w:val="001F43C9"/>
    <w:rsid w:val="001F48BE"/>
    <w:rsid w:val="001F4D95"/>
    <w:rsid w:val="001F5BD5"/>
    <w:rsid w:val="001F5BF2"/>
    <w:rsid w:val="001F651B"/>
    <w:rsid w:val="001F69E5"/>
    <w:rsid w:val="001F6CCE"/>
    <w:rsid w:val="001F71D7"/>
    <w:rsid w:val="001F7350"/>
    <w:rsid w:val="001F7EFA"/>
    <w:rsid w:val="00200811"/>
    <w:rsid w:val="00200CA1"/>
    <w:rsid w:val="00201B45"/>
    <w:rsid w:val="00201E39"/>
    <w:rsid w:val="0020241D"/>
    <w:rsid w:val="00202A4E"/>
    <w:rsid w:val="002032AD"/>
    <w:rsid w:val="002035C1"/>
    <w:rsid w:val="002047AA"/>
    <w:rsid w:val="0020486E"/>
    <w:rsid w:val="00204B83"/>
    <w:rsid w:val="00204FFD"/>
    <w:rsid w:val="0020524D"/>
    <w:rsid w:val="002058F2"/>
    <w:rsid w:val="00206760"/>
    <w:rsid w:val="0020691B"/>
    <w:rsid w:val="00206CC9"/>
    <w:rsid w:val="00206DF2"/>
    <w:rsid w:val="0020745E"/>
    <w:rsid w:val="00207B89"/>
    <w:rsid w:val="002100C4"/>
    <w:rsid w:val="00210392"/>
    <w:rsid w:val="00210483"/>
    <w:rsid w:val="0021188C"/>
    <w:rsid w:val="00212248"/>
    <w:rsid w:val="0021338D"/>
    <w:rsid w:val="0021362D"/>
    <w:rsid w:val="002138D5"/>
    <w:rsid w:val="00214D43"/>
    <w:rsid w:val="00214F43"/>
    <w:rsid w:val="00215650"/>
    <w:rsid w:val="00216928"/>
    <w:rsid w:val="00217910"/>
    <w:rsid w:val="00220029"/>
    <w:rsid w:val="00221ED0"/>
    <w:rsid w:val="00222653"/>
    <w:rsid w:val="002226C0"/>
    <w:rsid w:val="00222957"/>
    <w:rsid w:val="00222E07"/>
    <w:rsid w:val="0022331E"/>
    <w:rsid w:val="002238B4"/>
    <w:rsid w:val="002244AD"/>
    <w:rsid w:val="00225097"/>
    <w:rsid w:val="00225E42"/>
    <w:rsid w:val="00225F42"/>
    <w:rsid w:val="00226A07"/>
    <w:rsid w:val="00226C87"/>
    <w:rsid w:val="00227159"/>
    <w:rsid w:val="00227B65"/>
    <w:rsid w:val="00230DDD"/>
    <w:rsid w:val="002316A0"/>
    <w:rsid w:val="002319AB"/>
    <w:rsid w:val="002319AC"/>
    <w:rsid w:val="002329BD"/>
    <w:rsid w:val="00232D52"/>
    <w:rsid w:val="00232D6D"/>
    <w:rsid w:val="00232EB8"/>
    <w:rsid w:val="00233CFF"/>
    <w:rsid w:val="00234342"/>
    <w:rsid w:val="0023482A"/>
    <w:rsid w:val="002362EF"/>
    <w:rsid w:val="002366A6"/>
    <w:rsid w:val="00236FBA"/>
    <w:rsid w:val="0024040D"/>
    <w:rsid w:val="00240844"/>
    <w:rsid w:val="0024106B"/>
    <w:rsid w:val="002413E9"/>
    <w:rsid w:val="00242C02"/>
    <w:rsid w:val="00243B52"/>
    <w:rsid w:val="002451BB"/>
    <w:rsid w:val="00245961"/>
    <w:rsid w:val="00245A0D"/>
    <w:rsid w:val="00246840"/>
    <w:rsid w:val="00246A0E"/>
    <w:rsid w:val="002511E7"/>
    <w:rsid w:val="002525B6"/>
    <w:rsid w:val="002528F7"/>
    <w:rsid w:val="00252A8A"/>
    <w:rsid w:val="00252B0B"/>
    <w:rsid w:val="00253DBA"/>
    <w:rsid w:val="00254B73"/>
    <w:rsid w:val="00254D05"/>
    <w:rsid w:val="00254F1A"/>
    <w:rsid w:val="0025553F"/>
    <w:rsid w:val="00255A76"/>
    <w:rsid w:val="00255FA3"/>
    <w:rsid w:val="00257288"/>
    <w:rsid w:val="002615F2"/>
    <w:rsid w:val="00261DAA"/>
    <w:rsid w:val="00261FB6"/>
    <w:rsid w:val="00262782"/>
    <w:rsid w:val="002628ED"/>
    <w:rsid w:val="002629F8"/>
    <w:rsid w:val="00262FB9"/>
    <w:rsid w:val="00263396"/>
    <w:rsid w:val="002637A4"/>
    <w:rsid w:val="00263CA3"/>
    <w:rsid w:val="002656A4"/>
    <w:rsid w:val="002659FA"/>
    <w:rsid w:val="00265C74"/>
    <w:rsid w:val="00265D18"/>
    <w:rsid w:val="00266DFD"/>
    <w:rsid w:val="002675E7"/>
    <w:rsid w:val="002675FD"/>
    <w:rsid w:val="00267815"/>
    <w:rsid w:val="00267FEE"/>
    <w:rsid w:val="002704E8"/>
    <w:rsid w:val="00270607"/>
    <w:rsid w:val="00270FDB"/>
    <w:rsid w:val="00271DE8"/>
    <w:rsid w:val="00272823"/>
    <w:rsid w:val="00272CAC"/>
    <w:rsid w:val="00275788"/>
    <w:rsid w:val="00275F07"/>
    <w:rsid w:val="002769D4"/>
    <w:rsid w:val="00276D38"/>
    <w:rsid w:val="0027710F"/>
    <w:rsid w:val="002775BB"/>
    <w:rsid w:val="0027791E"/>
    <w:rsid w:val="0028029F"/>
    <w:rsid w:val="00280A23"/>
    <w:rsid w:val="00280D36"/>
    <w:rsid w:val="00280DDF"/>
    <w:rsid w:val="00281CD5"/>
    <w:rsid w:val="0028272C"/>
    <w:rsid w:val="002830C4"/>
    <w:rsid w:val="00283ACE"/>
    <w:rsid w:val="00283FEB"/>
    <w:rsid w:val="002850B0"/>
    <w:rsid w:val="00285119"/>
    <w:rsid w:val="00285223"/>
    <w:rsid w:val="002852C6"/>
    <w:rsid w:val="00285509"/>
    <w:rsid w:val="00287A51"/>
    <w:rsid w:val="002903A2"/>
    <w:rsid w:val="002908CE"/>
    <w:rsid w:val="00290CB7"/>
    <w:rsid w:val="00290F73"/>
    <w:rsid w:val="002914F3"/>
    <w:rsid w:val="002917FF"/>
    <w:rsid w:val="00291C46"/>
    <w:rsid w:val="00292ADF"/>
    <w:rsid w:val="00292D87"/>
    <w:rsid w:val="00294286"/>
    <w:rsid w:val="002944A0"/>
    <w:rsid w:val="00294AC6"/>
    <w:rsid w:val="002952D7"/>
    <w:rsid w:val="0029573A"/>
    <w:rsid w:val="00295A45"/>
    <w:rsid w:val="00295BD7"/>
    <w:rsid w:val="002A01ED"/>
    <w:rsid w:val="002A0DEC"/>
    <w:rsid w:val="002A1CE5"/>
    <w:rsid w:val="002A1EC2"/>
    <w:rsid w:val="002A28F9"/>
    <w:rsid w:val="002A2A96"/>
    <w:rsid w:val="002A3E14"/>
    <w:rsid w:val="002A43E1"/>
    <w:rsid w:val="002A57BD"/>
    <w:rsid w:val="002A5B1C"/>
    <w:rsid w:val="002A5D32"/>
    <w:rsid w:val="002A5E2C"/>
    <w:rsid w:val="002A628E"/>
    <w:rsid w:val="002A7600"/>
    <w:rsid w:val="002A7B0E"/>
    <w:rsid w:val="002A7DDA"/>
    <w:rsid w:val="002B0D82"/>
    <w:rsid w:val="002B1939"/>
    <w:rsid w:val="002B1C53"/>
    <w:rsid w:val="002B2556"/>
    <w:rsid w:val="002B2A65"/>
    <w:rsid w:val="002B2FBA"/>
    <w:rsid w:val="002B323B"/>
    <w:rsid w:val="002B3350"/>
    <w:rsid w:val="002B37DC"/>
    <w:rsid w:val="002B3FF1"/>
    <w:rsid w:val="002B42BE"/>
    <w:rsid w:val="002B4481"/>
    <w:rsid w:val="002B4CA1"/>
    <w:rsid w:val="002B5AC2"/>
    <w:rsid w:val="002B770F"/>
    <w:rsid w:val="002B7A29"/>
    <w:rsid w:val="002B7B8D"/>
    <w:rsid w:val="002C073E"/>
    <w:rsid w:val="002C2E05"/>
    <w:rsid w:val="002C3534"/>
    <w:rsid w:val="002C3A4A"/>
    <w:rsid w:val="002C3C64"/>
    <w:rsid w:val="002C4736"/>
    <w:rsid w:val="002C56FB"/>
    <w:rsid w:val="002C5E55"/>
    <w:rsid w:val="002C710B"/>
    <w:rsid w:val="002C712E"/>
    <w:rsid w:val="002D07E8"/>
    <w:rsid w:val="002D0CBC"/>
    <w:rsid w:val="002D1B04"/>
    <w:rsid w:val="002D1B1E"/>
    <w:rsid w:val="002D1EA1"/>
    <w:rsid w:val="002D32A1"/>
    <w:rsid w:val="002D3446"/>
    <w:rsid w:val="002D3448"/>
    <w:rsid w:val="002D38A8"/>
    <w:rsid w:val="002D5F2E"/>
    <w:rsid w:val="002D5F54"/>
    <w:rsid w:val="002D7A23"/>
    <w:rsid w:val="002D7B2D"/>
    <w:rsid w:val="002E0BE4"/>
    <w:rsid w:val="002E3080"/>
    <w:rsid w:val="002E3217"/>
    <w:rsid w:val="002E3B58"/>
    <w:rsid w:val="002E3E8A"/>
    <w:rsid w:val="002E4507"/>
    <w:rsid w:val="002E4767"/>
    <w:rsid w:val="002E4820"/>
    <w:rsid w:val="002E6A6A"/>
    <w:rsid w:val="002E6B6E"/>
    <w:rsid w:val="002E7254"/>
    <w:rsid w:val="002E78CE"/>
    <w:rsid w:val="002F180C"/>
    <w:rsid w:val="002F303F"/>
    <w:rsid w:val="002F3282"/>
    <w:rsid w:val="002F3397"/>
    <w:rsid w:val="002F3401"/>
    <w:rsid w:val="002F3871"/>
    <w:rsid w:val="002F52C1"/>
    <w:rsid w:val="002F6B3E"/>
    <w:rsid w:val="002F7BB1"/>
    <w:rsid w:val="00300BF0"/>
    <w:rsid w:val="003014C0"/>
    <w:rsid w:val="00301B06"/>
    <w:rsid w:val="00301CBE"/>
    <w:rsid w:val="00302342"/>
    <w:rsid w:val="00302813"/>
    <w:rsid w:val="003035ED"/>
    <w:rsid w:val="0030380D"/>
    <w:rsid w:val="00303BEE"/>
    <w:rsid w:val="003040C8"/>
    <w:rsid w:val="003044F1"/>
    <w:rsid w:val="00305539"/>
    <w:rsid w:val="00305978"/>
    <w:rsid w:val="00305A43"/>
    <w:rsid w:val="00305FC9"/>
    <w:rsid w:val="0030691A"/>
    <w:rsid w:val="00307404"/>
    <w:rsid w:val="00307A4D"/>
    <w:rsid w:val="00310350"/>
    <w:rsid w:val="00310355"/>
    <w:rsid w:val="0031038A"/>
    <w:rsid w:val="00311785"/>
    <w:rsid w:val="00312411"/>
    <w:rsid w:val="003125A4"/>
    <w:rsid w:val="00312E1E"/>
    <w:rsid w:val="00313188"/>
    <w:rsid w:val="003141F5"/>
    <w:rsid w:val="003144D6"/>
    <w:rsid w:val="003145A0"/>
    <w:rsid w:val="00314D06"/>
    <w:rsid w:val="00314F43"/>
    <w:rsid w:val="00315BD4"/>
    <w:rsid w:val="00315E10"/>
    <w:rsid w:val="00315EBC"/>
    <w:rsid w:val="00317BB8"/>
    <w:rsid w:val="00320D4C"/>
    <w:rsid w:val="00321BDB"/>
    <w:rsid w:val="0032296A"/>
    <w:rsid w:val="003234EE"/>
    <w:rsid w:val="0032367A"/>
    <w:rsid w:val="00323723"/>
    <w:rsid w:val="00323830"/>
    <w:rsid w:val="00323E71"/>
    <w:rsid w:val="00325869"/>
    <w:rsid w:val="00326359"/>
    <w:rsid w:val="00326A15"/>
    <w:rsid w:val="00326B91"/>
    <w:rsid w:val="00326BAC"/>
    <w:rsid w:val="003279CC"/>
    <w:rsid w:val="00327D13"/>
    <w:rsid w:val="00327E3F"/>
    <w:rsid w:val="003303DA"/>
    <w:rsid w:val="00330F33"/>
    <w:rsid w:val="00331C3F"/>
    <w:rsid w:val="00332B7E"/>
    <w:rsid w:val="003338E7"/>
    <w:rsid w:val="0033633E"/>
    <w:rsid w:val="00336ADF"/>
    <w:rsid w:val="00336B34"/>
    <w:rsid w:val="00336C40"/>
    <w:rsid w:val="00340917"/>
    <w:rsid w:val="00344B4D"/>
    <w:rsid w:val="00344E6A"/>
    <w:rsid w:val="003451C6"/>
    <w:rsid w:val="0034565C"/>
    <w:rsid w:val="003459FE"/>
    <w:rsid w:val="00345F51"/>
    <w:rsid w:val="003461A6"/>
    <w:rsid w:val="00346891"/>
    <w:rsid w:val="00346C8E"/>
    <w:rsid w:val="003473A0"/>
    <w:rsid w:val="00347437"/>
    <w:rsid w:val="00347CA8"/>
    <w:rsid w:val="00347E27"/>
    <w:rsid w:val="003504FD"/>
    <w:rsid w:val="0035058F"/>
    <w:rsid w:val="003519A0"/>
    <w:rsid w:val="003540E2"/>
    <w:rsid w:val="00354D62"/>
    <w:rsid w:val="00354FAF"/>
    <w:rsid w:val="00355642"/>
    <w:rsid w:val="00355AF5"/>
    <w:rsid w:val="0035629E"/>
    <w:rsid w:val="003562A8"/>
    <w:rsid w:val="003571AB"/>
    <w:rsid w:val="00357245"/>
    <w:rsid w:val="00357A80"/>
    <w:rsid w:val="00357F01"/>
    <w:rsid w:val="00360978"/>
    <w:rsid w:val="00360AEB"/>
    <w:rsid w:val="0036122B"/>
    <w:rsid w:val="00362856"/>
    <w:rsid w:val="003630F5"/>
    <w:rsid w:val="00363803"/>
    <w:rsid w:val="00363957"/>
    <w:rsid w:val="0036398A"/>
    <w:rsid w:val="00364C05"/>
    <w:rsid w:val="00365676"/>
    <w:rsid w:val="003661ED"/>
    <w:rsid w:val="00367BD5"/>
    <w:rsid w:val="00370BBB"/>
    <w:rsid w:val="00370E97"/>
    <w:rsid w:val="0037176F"/>
    <w:rsid w:val="00371987"/>
    <w:rsid w:val="00372021"/>
    <w:rsid w:val="003731CD"/>
    <w:rsid w:val="0037353F"/>
    <w:rsid w:val="00373D55"/>
    <w:rsid w:val="00375929"/>
    <w:rsid w:val="00375EDD"/>
    <w:rsid w:val="003764F6"/>
    <w:rsid w:val="00376B96"/>
    <w:rsid w:val="00377E7E"/>
    <w:rsid w:val="00377F8F"/>
    <w:rsid w:val="003809E8"/>
    <w:rsid w:val="00380B6B"/>
    <w:rsid w:val="003814C8"/>
    <w:rsid w:val="003819CA"/>
    <w:rsid w:val="003821C8"/>
    <w:rsid w:val="0038510C"/>
    <w:rsid w:val="0038527A"/>
    <w:rsid w:val="003868E3"/>
    <w:rsid w:val="0038761F"/>
    <w:rsid w:val="003876D9"/>
    <w:rsid w:val="00387BAB"/>
    <w:rsid w:val="00387E3F"/>
    <w:rsid w:val="00390327"/>
    <w:rsid w:val="0039114B"/>
    <w:rsid w:val="00391188"/>
    <w:rsid w:val="00391483"/>
    <w:rsid w:val="0039258A"/>
    <w:rsid w:val="003939C5"/>
    <w:rsid w:val="00393B78"/>
    <w:rsid w:val="0039440E"/>
    <w:rsid w:val="0039614B"/>
    <w:rsid w:val="00396D20"/>
    <w:rsid w:val="003970B0"/>
    <w:rsid w:val="00397DCF"/>
    <w:rsid w:val="003A01E9"/>
    <w:rsid w:val="003A0EE3"/>
    <w:rsid w:val="003A2F57"/>
    <w:rsid w:val="003A36B0"/>
    <w:rsid w:val="003A4923"/>
    <w:rsid w:val="003A4D2C"/>
    <w:rsid w:val="003A569F"/>
    <w:rsid w:val="003A58BC"/>
    <w:rsid w:val="003A5C0A"/>
    <w:rsid w:val="003A6D01"/>
    <w:rsid w:val="003A7A8F"/>
    <w:rsid w:val="003B035D"/>
    <w:rsid w:val="003B0389"/>
    <w:rsid w:val="003B0807"/>
    <w:rsid w:val="003B0B92"/>
    <w:rsid w:val="003B17BA"/>
    <w:rsid w:val="003B27F4"/>
    <w:rsid w:val="003B4374"/>
    <w:rsid w:val="003B46A8"/>
    <w:rsid w:val="003B5845"/>
    <w:rsid w:val="003B5D89"/>
    <w:rsid w:val="003B5ECE"/>
    <w:rsid w:val="003B6C20"/>
    <w:rsid w:val="003B6D5B"/>
    <w:rsid w:val="003B6FC7"/>
    <w:rsid w:val="003B7539"/>
    <w:rsid w:val="003B7D3A"/>
    <w:rsid w:val="003C02BA"/>
    <w:rsid w:val="003C0306"/>
    <w:rsid w:val="003C07D6"/>
    <w:rsid w:val="003C0DD8"/>
    <w:rsid w:val="003C0EE9"/>
    <w:rsid w:val="003C114C"/>
    <w:rsid w:val="003C1723"/>
    <w:rsid w:val="003C18C4"/>
    <w:rsid w:val="003C197F"/>
    <w:rsid w:val="003C1C2E"/>
    <w:rsid w:val="003C2316"/>
    <w:rsid w:val="003C2A21"/>
    <w:rsid w:val="003C30A1"/>
    <w:rsid w:val="003C35CE"/>
    <w:rsid w:val="003C3EFE"/>
    <w:rsid w:val="003C465D"/>
    <w:rsid w:val="003C4A54"/>
    <w:rsid w:val="003C59BF"/>
    <w:rsid w:val="003C5AD4"/>
    <w:rsid w:val="003C6DAF"/>
    <w:rsid w:val="003C71DF"/>
    <w:rsid w:val="003C72A8"/>
    <w:rsid w:val="003C793F"/>
    <w:rsid w:val="003D05CC"/>
    <w:rsid w:val="003D1B39"/>
    <w:rsid w:val="003D1F1E"/>
    <w:rsid w:val="003D2238"/>
    <w:rsid w:val="003D2540"/>
    <w:rsid w:val="003D275E"/>
    <w:rsid w:val="003D2B87"/>
    <w:rsid w:val="003D3A31"/>
    <w:rsid w:val="003D495D"/>
    <w:rsid w:val="003D54A7"/>
    <w:rsid w:val="003D5C4D"/>
    <w:rsid w:val="003D5D7F"/>
    <w:rsid w:val="003D618C"/>
    <w:rsid w:val="003D6341"/>
    <w:rsid w:val="003D6629"/>
    <w:rsid w:val="003D68D9"/>
    <w:rsid w:val="003D741A"/>
    <w:rsid w:val="003D7715"/>
    <w:rsid w:val="003D7C00"/>
    <w:rsid w:val="003E049A"/>
    <w:rsid w:val="003E098E"/>
    <w:rsid w:val="003E0A06"/>
    <w:rsid w:val="003E0FC0"/>
    <w:rsid w:val="003E192D"/>
    <w:rsid w:val="003E28BC"/>
    <w:rsid w:val="003E29F2"/>
    <w:rsid w:val="003E2F1A"/>
    <w:rsid w:val="003E2FAE"/>
    <w:rsid w:val="003E314C"/>
    <w:rsid w:val="003E39C5"/>
    <w:rsid w:val="003E3FEE"/>
    <w:rsid w:val="003E409F"/>
    <w:rsid w:val="003E4724"/>
    <w:rsid w:val="003E48DF"/>
    <w:rsid w:val="003E4ADE"/>
    <w:rsid w:val="003E4AFA"/>
    <w:rsid w:val="003E4EC0"/>
    <w:rsid w:val="003E4FB8"/>
    <w:rsid w:val="003E547E"/>
    <w:rsid w:val="003F1560"/>
    <w:rsid w:val="003F1C3B"/>
    <w:rsid w:val="003F281D"/>
    <w:rsid w:val="003F2B5A"/>
    <w:rsid w:val="003F2FE9"/>
    <w:rsid w:val="003F345C"/>
    <w:rsid w:val="003F3963"/>
    <w:rsid w:val="003F3C11"/>
    <w:rsid w:val="003F41B4"/>
    <w:rsid w:val="003F4DEC"/>
    <w:rsid w:val="003F4F37"/>
    <w:rsid w:val="003F636C"/>
    <w:rsid w:val="003F6761"/>
    <w:rsid w:val="003F709A"/>
    <w:rsid w:val="003F710B"/>
    <w:rsid w:val="00400A07"/>
    <w:rsid w:val="00400CE0"/>
    <w:rsid w:val="0040160D"/>
    <w:rsid w:val="0040165C"/>
    <w:rsid w:val="00401949"/>
    <w:rsid w:val="0040197F"/>
    <w:rsid w:val="0040293B"/>
    <w:rsid w:val="00402B70"/>
    <w:rsid w:val="00403246"/>
    <w:rsid w:val="0040401D"/>
    <w:rsid w:val="004047FD"/>
    <w:rsid w:val="00404B0C"/>
    <w:rsid w:val="004054D0"/>
    <w:rsid w:val="004059B8"/>
    <w:rsid w:val="00405E9C"/>
    <w:rsid w:val="00406068"/>
    <w:rsid w:val="00406FA4"/>
    <w:rsid w:val="004072B4"/>
    <w:rsid w:val="00407CF7"/>
    <w:rsid w:val="00411223"/>
    <w:rsid w:val="004121FA"/>
    <w:rsid w:val="00412DAB"/>
    <w:rsid w:val="00413F21"/>
    <w:rsid w:val="0041484E"/>
    <w:rsid w:val="00414FAD"/>
    <w:rsid w:val="004154E3"/>
    <w:rsid w:val="00415ED6"/>
    <w:rsid w:val="004170B2"/>
    <w:rsid w:val="004172E9"/>
    <w:rsid w:val="004178BF"/>
    <w:rsid w:val="00417AC5"/>
    <w:rsid w:val="00417CAF"/>
    <w:rsid w:val="00420573"/>
    <w:rsid w:val="00420A11"/>
    <w:rsid w:val="00420DF4"/>
    <w:rsid w:val="00421D4C"/>
    <w:rsid w:val="00422265"/>
    <w:rsid w:val="004225CD"/>
    <w:rsid w:val="00422790"/>
    <w:rsid w:val="00422E67"/>
    <w:rsid w:val="00422F52"/>
    <w:rsid w:val="00423358"/>
    <w:rsid w:val="00424404"/>
    <w:rsid w:val="004257AA"/>
    <w:rsid w:val="004262B5"/>
    <w:rsid w:val="0042657E"/>
    <w:rsid w:val="0042726B"/>
    <w:rsid w:val="00427318"/>
    <w:rsid w:val="0042750E"/>
    <w:rsid w:val="00430280"/>
    <w:rsid w:val="00430A47"/>
    <w:rsid w:val="004316F9"/>
    <w:rsid w:val="00431AA6"/>
    <w:rsid w:val="00431C0A"/>
    <w:rsid w:val="00431C6B"/>
    <w:rsid w:val="00431EF3"/>
    <w:rsid w:val="0043263E"/>
    <w:rsid w:val="0043291E"/>
    <w:rsid w:val="00433B50"/>
    <w:rsid w:val="00434B48"/>
    <w:rsid w:val="00434D2C"/>
    <w:rsid w:val="004351BB"/>
    <w:rsid w:val="004373A7"/>
    <w:rsid w:val="00437BB2"/>
    <w:rsid w:val="00437CC8"/>
    <w:rsid w:val="00437D94"/>
    <w:rsid w:val="0044030C"/>
    <w:rsid w:val="00440BEB"/>
    <w:rsid w:val="00441098"/>
    <w:rsid w:val="00441134"/>
    <w:rsid w:val="0044120E"/>
    <w:rsid w:val="00442E41"/>
    <w:rsid w:val="00442F46"/>
    <w:rsid w:val="0044346E"/>
    <w:rsid w:val="00443935"/>
    <w:rsid w:val="0044527F"/>
    <w:rsid w:val="00445EC7"/>
    <w:rsid w:val="00446345"/>
    <w:rsid w:val="004464E4"/>
    <w:rsid w:val="00447735"/>
    <w:rsid w:val="00450908"/>
    <w:rsid w:val="00451876"/>
    <w:rsid w:val="00451D4A"/>
    <w:rsid w:val="004524F3"/>
    <w:rsid w:val="00452804"/>
    <w:rsid w:val="00452B87"/>
    <w:rsid w:val="00452B98"/>
    <w:rsid w:val="0045377D"/>
    <w:rsid w:val="00453D51"/>
    <w:rsid w:val="0045414C"/>
    <w:rsid w:val="0045699E"/>
    <w:rsid w:val="00457E96"/>
    <w:rsid w:val="00457EB1"/>
    <w:rsid w:val="00460D57"/>
    <w:rsid w:val="004611B6"/>
    <w:rsid w:val="00462690"/>
    <w:rsid w:val="00462902"/>
    <w:rsid w:val="00462C59"/>
    <w:rsid w:val="00462D4A"/>
    <w:rsid w:val="004638C7"/>
    <w:rsid w:val="004648A4"/>
    <w:rsid w:val="00465580"/>
    <w:rsid w:val="00465FF4"/>
    <w:rsid w:val="00466A3D"/>
    <w:rsid w:val="00466E39"/>
    <w:rsid w:val="004671D3"/>
    <w:rsid w:val="00467CC9"/>
    <w:rsid w:val="00470BFE"/>
    <w:rsid w:val="00470CEC"/>
    <w:rsid w:val="00470E4C"/>
    <w:rsid w:val="00471380"/>
    <w:rsid w:val="0047179F"/>
    <w:rsid w:val="004725ED"/>
    <w:rsid w:val="00473AE6"/>
    <w:rsid w:val="00474AC6"/>
    <w:rsid w:val="00474DF7"/>
    <w:rsid w:val="0047504D"/>
    <w:rsid w:val="00475992"/>
    <w:rsid w:val="004759C4"/>
    <w:rsid w:val="004776AD"/>
    <w:rsid w:val="00481062"/>
    <w:rsid w:val="00482BD7"/>
    <w:rsid w:val="00483BA8"/>
    <w:rsid w:val="004845E7"/>
    <w:rsid w:val="004849CF"/>
    <w:rsid w:val="00485097"/>
    <w:rsid w:val="0048662A"/>
    <w:rsid w:val="00486F10"/>
    <w:rsid w:val="004872DA"/>
    <w:rsid w:val="004902A9"/>
    <w:rsid w:val="00492060"/>
    <w:rsid w:val="00492097"/>
    <w:rsid w:val="0049222D"/>
    <w:rsid w:val="004928CF"/>
    <w:rsid w:val="00493161"/>
    <w:rsid w:val="00494B75"/>
    <w:rsid w:val="00494EAA"/>
    <w:rsid w:val="00494F0D"/>
    <w:rsid w:val="0049629F"/>
    <w:rsid w:val="00496BFD"/>
    <w:rsid w:val="004972E4"/>
    <w:rsid w:val="00497530"/>
    <w:rsid w:val="004A0400"/>
    <w:rsid w:val="004A09D2"/>
    <w:rsid w:val="004A2A54"/>
    <w:rsid w:val="004A2C9D"/>
    <w:rsid w:val="004A3274"/>
    <w:rsid w:val="004A35CF"/>
    <w:rsid w:val="004A3DF2"/>
    <w:rsid w:val="004A41DA"/>
    <w:rsid w:val="004A44B4"/>
    <w:rsid w:val="004A4726"/>
    <w:rsid w:val="004A59B5"/>
    <w:rsid w:val="004A6CEA"/>
    <w:rsid w:val="004A7028"/>
    <w:rsid w:val="004A772F"/>
    <w:rsid w:val="004A7E25"/>
    <w:rsid w:val="004B025D"/>
    <w:rsid w:val="004B1A9F"/>
    <w:rsid w:val="004B1ADF"/>
    <w:rsid w:val="004B2756"/>
    <w:rsid w:val="004B3292"/>
    <w:rsid w:val="004B35A9"/>
    <w:rsid w:val="004B36DF"/>
    <w:rsid w:val="004B3724"/>
    <w:rsid w:val="004B3B49"/>
    <w:rsid w:val="004B41EF"/>
    <w:rsid w:val="004B4B4B"/>
    <w:rsid w:val="004B4B82"/>
    <w:rsid w:val="004B57CC"/>
    <w:rsid w:val="004B598B"/>
    <w:rsid w:val="004B70EB"/>
    <w:rsid w:val="004C047A"/>
    <w:rsid w:val="004C08D2"/>
    <w:rsid w:val="004C267D"/>
    <w:rsid w:val="004C2AD0"/>
    <w:rsid w:val="004C361D"/>
    <w:rsid w:val="004C3657"/>
    <w:rsid w:val="004C3E1B"/>
    <w:rsid w:val="004C4665"/>
    <w:rsid w:val="004C4891"/>
    <w:rsid w:val="004C4BFF"/>
    <w:rsid w:val="004C4E70"/>
    <w:rsid w:val="004C6104"/>
    <w:rsid w:val="004C6A38"/>
    <w:rsid w:val="004C6CAD"/>
    <w:rsid w:val="004C6DB4"/>
    <w:rsid w:val="004C72E5"/>
    <w:rsid w:val="004C7A7C"/>
    <w:rsid w:val="004C7D1F"/>
    <w:rsid w:val="004D01AC"/>
    <w:rsid w:val="004D067D"/>
    <w:rsid w:val="004D0941"/>
    <w:rsid w:val="004D1F4E"/>
    <w:rsid w:val="004D2C89"/>
    <w:rsid w:val="004D3143"/>
    <w:rsid w:val="004D4C0A"/>
    <w:rsid w:val="004D5428"/>
    <w:rsid w:val="004D563D"/>
    <w:rsid w:val="004D5E1A"/>
    <w:rsid w:val="004D6140"/>
    <w:rsid w:val="004D6191"/>
    <w:rsid w:val="004D6579"/>
    <w:rsid w:val="004E0189"/>
    <w:rsid w:val="004E01D7"/>
    <w:rsid w:val="004E1B4A"/>
    <w:rsid w:val="004E20C0"/>
    <w:rsid w:val="004E238D"/>
    <w:rsid w:val="004E2B35"/>
    <w:rsid w:val="004E3932"/>
    <w:rsid w:val="004E3FF9"/>
    <w:rsid w:val="004E5709"/>
    <w:rsid w:val="004E6642"/>
    <w:rsid w:val="004E6AA4"/>
    <w:rsid w:val="004E7D29"/>
    <w:rsid w:val="004F020E"/>
    <w:rsid w:val="004F04B6"/>
    <w:rsid w:val="004F0F76"/>
    <w:rsid w:val="004F0FA1"/>
    <w:rsid w:val="004F13A6"/>
    <w:rsid w:val="004F16D9"/>
    <w:rsid w:val="004F16DD"/>
    <w:rsid w:val="004F1AB7"/>
    <w:rsid w:val="004F1E79"/>
    <w:rsid w:val="004F22DC"/>
    <w:rsid w:val="004F2479"/>
    <w:rsid w:val="004F26DD"/>
    <w:rsid w:val="004F2DCB"/>
    <w:rsid w:val="004F368A"/>
    <w:rsid w:val="004F415B"/>
    <w:rsid w:val="004F495E"/>
    <w:rsid w:val="004F4DF3"/>
    <w:rsid w:val="004F50BD"/>
    <w:rsid w:val="004F5D52"/>
    <w:rsid w:val="004F5F33"/>
    <w:rsid w:val="004F64E2"/>
    <w:rsid w:val="004F65B0"/>
    <w:rsid w:val="004F6E37"/>
    <w:rsid w:val="00500034"/>
    <w:rsid w:val="005008BC"/>
    <w:rsid w:val="00500B7C"/>
    <w:rsid w:val="0050103A"/>
    <w:rsid w:val="00501215"/>
    <w:rsid w:val="00501688"/>
    <w:rsid w:val="00501929"/>
    <w:rsid w:val="00501AAB"/>
    <w:rsid w:val="005026DA"/>
    <w:rsid w:val="00502FEF"/>
    <w:rsid w:val="0050592F"/>
    <w:rsid w:val="00505D7E"/>
    <w:rsid w:val="00506015"/>
    <w:rsid w:val="00506997"/>
    <w:rsid w:val="00507634"/>
    <w:rsid w:val="0051048B"/>
    <w:rsid w:val="00510A74"/>
    <w:rsid w:val="00510BCC"/>
    <w:rsid w:val="00511B0F"/>
    <w:rsid w:val="00512EA3"/>
    <w:rsid w:val="0051449B"/>
    <w:rsid w:val="005144E0"/>
    <w:rsid w:val="00514B69"/>
    <w:rsid w:val="005162ED"/>
    <w:rsid w:val="00520228"/>
    <w:rsid w:val="0052143C"/>
    <w:rsid w:val="00523521"/>
    <w:rsid w:val="00523720"/>
    <w:rsid w:val="00523930"/>
    <w:rsid w:val="00523A37"/>
    <w:rsid w:val="005243FC"/>
    <w:rsid w:val="0052514E"/>
    <w:rsid w:val="005260C1"/>
    <w:rsid w:val="005277FD"/>
    <w:rsid w:val="00530801"/>
    <w:rsid w:val="005313D9"/>
    <w:rsid w:val="00531C57"/>
    <w:rsid w:val="00531D95"/>
    <w:rsid w:val="0053300B"/>
    <w:rsid w:val="005331CC"/>
    <w:rsid w:val="00533607"/>
    <w:rsid w:val="00533621"/>
    <w:rsid w:val="00533CB3"/>
    <w:rsid w:val="00534152"/>
    <w:rsid w:val="00534688"/>
    <w:rsid w:val="005349B9"/>
    <w:rsid w:val="00535548"/>
    <w:rsid w:val="00535957"/>
    <w:rsid w:val="00536721"/>
    <w:rsid w:val="00536BB8"/>
    <w:rsid w:val="00537330"/>
    <w:rsid w:val="0053741A"/>
    <w:rsid w:val="005376E5"/>
    <w:rsid w:val="00537A5C"/>
    <w:rsid w:val="005400E7"/>
    <w:rsid w:val="00540F1D"/>
    <w:rsid w:val="005411F8"/>
    <w:rsid w:val="00542089"/>
    <w:rsid w:val="0054294A"/>
    <w:rsid w:val="00542A88"/>
    <w:rsid w:val="00542B2B"/>
    <w:rsid w:val="00543256"/>
    <w:rsid w:val="00543270"/>
    <w:rsid w:val="00543519"/>
    <w:rsid w:val="00543B47"/>
    <w:rsid w:val="00545A16"/>
    <w:rsid w:val="00546242"/>
    <w:rsid w:val="00546490"/>
    <w:rsid w:val="005502EB"/>
    <w:rsid w:val="0055035E"/>
    <w:rsid w:val="005504C2"/>
    <w:rsid w:val="005515F6"/>
    <w:rsid w:val="00551E78"/>
    <w:rsid w:val="005530AA"/>
    <w:rsid w:val="0055326D"/>
    <w:rsid w:val="0055388E"/>
    <w:rsid w:val="00554E85"/>
    <w:rsid w:val="005551DD"/>
    <w:rsid w:val="00555718"/>
    <w:rsid w:val="0055651A"/>
    <w:rsid w:val="00556684"/>
    <w:rsid w:val="005567A4"/>
    <w:rsid w:val="00556A2A"/>
    <w:rsid w:val="00556F0F"/>
    <w:rsid w:val="0056015D"/>
    <w:rsid w:val="00560311"/>
    <w:rsid w:val="00562B55"/>
    <w:rsid w:val="005630EB"/>
    <w:rsid w:val="005631DB"/>
    <w:rsid w:val="00564780"/>
    <w:rsid w:val="00564D5D"/>
    <w:rsid w:val="005655D0"/>
    <w:rsid w:val="00565B2D"/>
    <w:rsid w:val="005679CA"/>
    <w:rsid w:val="00570F20"/>
    <w:rsid w:val="00570F87"/>
    <w:rsid w:val="00571918"/>
    <w:rsid w:val="00571B47"/>
    <w:rsid w:val="00572289"/>
    <w:rsid w:val="0057241D"/>
    <w:rsid w:val="005740C4"/>
    <w:rsid w:val="00574BC9"/>
    <w:rsid w:val="005754AE"/>
    <w:rsid w:val="00575A1E"/>
    <w:rsid w:val="00575A51"/>
    <w:rsid w:val="005763D7"/>
    <w:rsid w:val="005768B4"/>
    <w:rsid w:val="00576A3B"/>
    <w:rsid w:val="00577BA5"/>
    <w:rsid w:val="00577CA4"/>
    <w:rsid w:val="00577FB5"/>
    <w:rsid w:val="005807ED"/>
    <w:rsid w:val="0058090C"/>
    <w:rsid w:val="00580930"/>
    <w:rsid w:val="00580C0A"/>
    <w:rsid w:val="0058129F"/>
    <w:rsid w:val="00581C6E"/>
    <w:rsid w:val="00582532"/>
    <w:rsid w:val="00582787"/>
    <w:rsid w:val="00582B1D"/>
    <w:rsid w:val="00582CDD"/>
    <w:rsid w:val="005852D1"/>
    <w:rsid w:val="00586E02"/>
    <w:rsid w:val="005872A1"/>
    <w:rsid w:val="005873E5"/>
    <w:rsid w:val="00587A22"/>
    <w:rsid w:val="00587E35"/>
    <w:rsid w:val="0059039D"/>
    <w:rsid w:val="00590AC6"/>
    <w:rsid w:val="00590D36"/>
    <w:rsid w:val="0059164F"/>
    <w:rsid w:val="005923C0"/>
    <w:rsid w:val="0059299D"/>
    <w:rsid w:val="00592E1D"/>
    <w:rsid w:val="00593587"/>
    <w:rsid w:val="00593903"/>
    <w:rsid w:val="005948C3"/>
    <w:rsid w:val="00595166"/>
    <w:rsid w:val="0059558E"/>
    <w:rsid w:val="005957A6"/>
    <w:rsid w:val="00595C8C"/>
    <w:rsid w:val="00595CE3"/>
    <w:rsid w:val="005961BA"/>
    <w:rsid w:val="00597747"/>
    <w:rsid w:val="00597991"/>
    <w:rsid w:val="00597E94"/>
    <w:rsid w:val="005A0DE1"/>
    <w:rsid w:val="005A1BA2"/>
    <w:rsid w:val="005A2FCF"/>
    <w:rsid w:val="005A4742"/>
    <w:rsid w:val="005A4CDD"/>
    <w:rsid w:val="005A4F00"/>
    <w:rsid w:val="005A527D"/>
    <w:rsid w:val="005A5A64"/>
    <w:rsid w:val="005A644C"/>
    <w:rsid w:val="005A6F67"/>
    <w:rsid w:val="005A7BFC"/>
    <w:rsid w:val="005A7D39"/>
    <w:rsid w:val="005A7ED8"/>
    <w:rsid w:val="005B0AB6"/>
    <w:rsid w:val="005B113D"/>
    <w:rsid w:val="005B1E96"/>
    <w:rsid w:val="005B2AF5"/>
    <w:rsid w:val="005B2DB3"/>
    <w:rsid w:val="005B32E7"/>
    <w:rsid w:val="005B3D20"/>
    <w:rsid w:val="005B4637"/>
    <w:rsid w:val="005B5136"/>
    <w:rsid w:val="005B57E4"/>
    <w:rsid w:val="005B5ABD"/>
    <w:rsid w:val="005B5B20"/>
    <w:rsid w:val="005B5C1D"/>
    <w:rsid w:val="005B5DD1"/>
    <w:rsid w:val="005B5FC0"/>
    <w:rsid w:val="005B71DA"/>
    <w:rsid w:val="005B726E"/>
    <w:rsid w:val="005B73F5"/>
    <w:rsid w:val="005B7798"/>
    <w:rsid w:val="005B78DB"/>
    <w:rsid w:val="005B7FC8"/>
    <w:rsid w:val="005C0B46"/>
    <w:rsid w:val="005C140A"/>
    <w:rsid w:val="005C2E7A"/>
    <w:rsid w:val="005C31AD"/>
    <w:rsid w:val="005C3781"/>
    <w:rsid w:val="005C3FDE"/>
    <w:rsid w:val="005C45F4"/>
    <w:rsid w:val="005C4754"/>
    <w:rsid w:val="005C476F"/>
    <w:rsid w:val="005C593C"/>
    <w:rsid w:val="005C637A"/>
    <w:rsid w:val="005C6763"/>
    <w:rsid w:val="005C6DEC"/>
    <w:rsid w:val="005D067A"/>
    <w:rsid w:val="005D18A5"/>
    <w:rsid w:val="005D1CA9"/>
    <w:rsid w:val="005D1F5A"/>
    <w:rsid w:val="005D27D0"/>
    <w:rsid w:val="005D2D87"/>
    <w:rsid w:val="005D3164"/>
    <w:rsid w:val="005D38AA"/>
    <w:rsid w:val="005D46CD"/>
    <w:rsid w:val="005D4E7E"/>
    <w:rsid w:val="005D55EC"/>
    <w:rsid w:val="005D5741"/>
    <w:rsid w:val="005D59BE"/>
    <w:rsid w:val="005D6004"/>
    <w:rsid w:val="005D767F"/>
    <w:rsid w:val="005E00AB"/>
    <w:rsid w:val="005E0344"/>
    <w:rsid w:val="005E17B4"/>
    <w:rsid w:val="005E1A06"/>
    <w:rsid w:val="005E211F"/>
    <w:rsid w:val="005E2F3F"/>
    <w:rsid w:val="005E36C2"/>
    <w:rsid w:val="005E3CA2"/>
    <w:rsid w:val="005E415F"/>
    <w:rsid w:val="005E41D5"/>
    <w:rsid w:val="005E440B"/>
    <w:rsid w:val="005E58B3"/>
    <w:rsid w:val="005E59E6"/>
    <w:rsid w:val="005E62E6"/>
    <w:rsid w:val="005E6424"/>
    <w:rsid w:val="005E6A66"/>
    <w:rsid w:val="005E7219"/>
    <w:rsid w:val="005F2A7B"/>
    <w:rsid w:val="005F2C85"/>
    <w:rsid w:val="005F4B18"/>
    <w:rsid w:val="005F5076"/>
    <w:rsid w:val="005F6CF2"/>
    <w:rsid w:val="005F71B4"/>
    <w:rsid w:val="005F76A6"/>
    <w:rsid w:val="005F7B4D"/>
    <w:rsid w:val="00600185"/>
    <w:rsid w:val="006002C1"/>
    <w:rsid w:val="00600552"/>
    <w:rsid w:val="00600592"/>
    <w:rsid w:val="00600698"/>
    <w:rsid w:val="00600B6C"/>
    <w:rsid w:val="006025C8"/>
    <w:rsid w:val="0060399C"/>
    <w:rsid w:val="00603C17"/>
    <w:rsid w:val="006042C5"/>
    <w:rsid w:val="00604D58"/>
    <w:rsid w:val="00605102"/>
    <w:rsid w:val="0060586E"/>
    <w:rsid w:val="00605ADB"/>
    <w:rsid w:val="00607EFF"/>
    <w:rsid w:val="0061157F"/>
    <w:rsid w:val="00611C9F"/>
    <w:rsid w:val="0061238B"/>
    <w:rsid w:val="0061385D"/>
    <w:rsid w:val="00616141"/>
    <w:rsid w:val="006164A7"/>
    <w:rsid w:val="00616743"/>
    <w:rsid w:val="00616D1B"/>
    <w:rsid w:val="00617413"/>
    <w:rsid w:val="0061757C"/>
    <w:rsid w:val="00617894"/>
    <w:rsid w:val="00617C0D"/>
    <w:rsid w:val="00617E38"/>
    <w:rsid w:val="006209AC"/>
    <w:rsid w:val="00620BE5"/>
    <w:rsid w:val="00621119"/>
    <w:rsid w:val="00621BF6"/>
    <w:rsid w:val="006225A1"/>
    <w:rsid w:val="006225D8"/>
    <w:rsid w:val="006236AD"/>
    <w:rsid w:val="00623DD8"/>
    <w:rsid w:val="00624891"/>
    <w:rsid w:val="00624901"/>
    <w:rsid w:val="006254F3"/>
    <w:rsid w:val="00625762"/>
    <w:rsid w:val="00625880"/>
    <w:rsid w:val="00625A60"/>
    <w:rsid w:val="00626CE1"/>
    <w:rsid w:val="0062747E"/>
    <w:rsid w:val="00627555"/>
    <w:rsid w:val="00627B76"/>
    <w:rsid w:val="0063031E"/>
    <w:rsid w:val="00630B6B"/>
    <w:rsid w:val="006316C4"/>
    <w:rsid w:val="00631DF9"/>
    <w:rsid w:val="006322A0"/>
    <w:rsid w:val="00632C62"/>
    <w:rsid w:val="00632FE6"/>
    <w:rsid w:val="00633538"/>
    <w:rsid w:val="00633585"/>
    <w:rsid w:val="00633F7A"/>
    <w:rsid w:val="0063401F"/>
    <w:rsid w:val="00634B18"/>
    <w:rsid w:val="00634BCA"/>
    <w:rsid w:val="006351C1"/>
    <w:rsid w:val="00635510"/>
    <w:rsid w:val="00635E33"/>
    <w:rsid w:val="00635FDB"/>
    <w:rsid w:val="006361FD"/>
    <w:rsid w:val="0063628D"/>
    <w:rsid w:val="006370B7"/>
    <w:rsid w:val="00637154"/>
    <w:rsid w:val="00637B24"/>
    <w:rsid w:val="006403B3"/>
    <w:rsid w:val="006407CD"/>
    <w:rsid w:val="00640BD1"/>
    <w:rsid w:val="00640CBC"/>
    <w:rsid w:val="00640FFA"/>
    <w:rsid w:val="0064226F"/>
    <w:rsid w:val="00642CA8"/>
    <w:rsid w:val="0064398E"/>
    <w:rsid w:val="006449FC"/>
    <w:rsid w:val="0064544F"/>
    <w:rsid w:val="00645EB8"/>
    <w:rsid w:val="006461BC"/>
    <w:rsid w:val="006464B6"/>
    <w:rsid w:val="00646AFE"/>
    <w:rsid w:val="00646C07"/>
    <w:rsid w:val="00646E96"/>
    <w:rsid w:val="006470AA"/>
    <w:rsid w:val="006476E1"/>
    <w:rsid w:val="00647DAA"/>
    <w:rsid w:val="006505C9"/>
    <w:rsid w:val="00652A34"/>
    <w:rsid w:val="00652C11"/>
    <w:rsid w:val="00653298"/>
    <w:rsid w:val="0065396E"/>
    <w:rsid w:val="00653F76"/>
    <w:rsid w:val="0065407A"/>
    <w:rsid w:val="0065471D"/>
    <w:rsid w:val="0065586D"/>
    <w:rsid w:val="00655A1E"/>
    <w:rsid w:val="00656F28"/>
    <w:rsid w:val="006600DF"/>
    <w:rsid w:val="00661188"/>
    <w:rsid w:val="0066142F"/>
    <w:rsid w:val="00661760"/>
    <w:rsid w:val="00662327"/>
    <w:rsid w:val="006625C5"/>
    <w:rsid w:val="006626C9"/>
    <w:rsid w:val="00662A51"/>
    <w:rsid w:val="00662CBA"/>
    <w:rsid w:val="00662DC6"/>
    <w:rsid w:val="00662FA5"/>
    <w:rsid w:val="00663A7C"/>
    <w:rsid w:val="00663C34"/>
    <w:rsid w:val="00663F7B"/>
    <w:rsid w:val="00664728"/>
    <w:rsid w:val="0066512F"/>
    <w:rsid w:val="0066564C"/>
    <w:rsid w:val="00665BE9"/>
    <w:rsid w:val="00665D05"/>
    <w:rsid w:val="006660C0"/>
    <w:rsid w:val="00666869"/>
    <w:rsid w:val="006675A9"/>
    <w:rsid w:val="00667DF2"/>
    <w:rsid w:val="00670DF1"/>
    <w:rsid w:val="00670FBF"/>
    <w:rsid w:val="00671345"/>
    <w:rsid w:val="00671430"/>
    <w:rsid w:val="006718CB"/>
    <w:rsid w:val="006726B1"/>
    <w:rsid w:val="00672A9B"/>
    <w:rsid w:val="00672F3A"/>
    <w:rsid w:val="00672FDA"/>
    <w:rsid w:val="00673A87"/>
    <w:rsid w:val="00673EB6"/>
    <w:rsid w:val="006742C1"/>
    <w:rsid w:val="00674454"/>
    <w:rsid w:val="00674646"/>
    <w:rsid w:val="00675757"/>
    <w:rsid w:val="00675884"/>
    <w:rsid w:val="00675B97"/>
    <w:rsid w:val="00675D04"/>
    <w:rsid w:val="006761D6"/>
    <w:rsid w:val="00676A63"/>
    <w:rsid w:val="006770E8"/>
    <w:rsid w:val="006772F2"/>
    <w:rsid w:val="00680E2F"/>
    <w:rsid w:val="00681124"/>
    <w:rsid w:val="00682AD2"/>
    <w:rsid w:val="00684651"/>
    <w:rsid w:val="006850B7"/>
    <w:rsid w:val="006854FA"/>
    <w:rsid w:val="00685FF9"/>
    <w:rsid w:val="0068688F"/>
    <w:rsid w:val="0068728B"/>
    <w:rsid w:val="006873D4"/>
    <w:rsid w:val="00687B1F"/>
    <w:rsid w:val="0069027B"/>
    <w:rsid w:val="00690790"/>
    <w:rsid w:val="00691395"/>
    <w:rsid w:val="00691E53"/>
    <w:rsid w:val="006921EE"/>
    <w:rsid w:val="006923F1"/>
    <w:rsid w:val="00693EE0"/>
    <w:rsid w:val="00694556"/>
    <w:rsid w:val="006947B0"/>
    <w:rsid w:val="00694882"/>
    <w:rsid w:val="00694F28"/>
    <w:rsid w:val="00695F6A"/>
    <w:rsid w:val="006966CA"/>
    <w:rsid w:val="00696D09"/>
    <w:rsid w:val="00696EE0"/>
    <w:rsid w:val="00697980"/>
    <w:rsid w:val="006979CB"/>
    <w:rsid w:val="006A02BE"/>
    <w:rsid w:val="006A05EC"/>
    <w:rsid w:val="006A165D"/>
    <w:rsid w:val="006A19EF"/>
    <w:rsid w:val="006A249F"/>
    <w:rsid w:val="006A3F50"/>
    <w:rsid w:val="006A43D5"/>
    <w:rsid w:val="006A43F4"/>
    <w:rsid w:val="006A525B"/>
    <w:rsid w:val="006A5319"/>
    <w:rsid w:val="006A5EF5"/>
    <w:rsid w:val="006A63FB"/>
    <w:rsid w:val="006A66B8"/>
    <w:rsid w:val="006A6D3E"/>
    <w:rsid w:val="006A759E"/>
    <w:rsid w:val="006B088F"/>
    <w:rsid w:val="006B2844"/>
    <w:rsid w:val="006B45C4"/>
    <w:rsid w:val="006B48F9"/>
    <w:rsid w:val="006B4FB2"/>
    <w:rsid w:val="006B5259"/>
    <w:rsid w:val="006B5C41"/>
    <w:rsid w:val="006B64DB"/>
    <w:rsid w:val="006B6EB9"/>
    <w:rsid w:val="006C045F"/>
    <w:rsid w:val="006C0A22"/>
    <w:rsid w:val="006C113D"/>
    <w:rsid w:val="006C183A"/>
    <w:rsid w:val="006C2901"/>
    <w:rsid w:val="006C36CE"/>
    <w:rsid w:val="006C4196"/>
    <w:rsid w:val="006C437C"/>
    <w:rsid w:val="006C58A7"/>
    <w:rsid w:val="006C63B0"/>
    <w:rsid w:val="006C6BBF"/>
    <w:rsid w:val="006C6D67"/>
    <w:rsid w:val="006C6FCE"/>
    <w:rsid w:val="006C7246"/>
    <w:rsid w:val="006C76A2"/>
    <w:rsid w:val="006C792E"/>
    <w:rsid w:val="006C7B50"/>
    <w:rsid w:val="006C7E92"/>
    <w:rsid w:val="006D08F3"/>
    <w:rsid w:val="006D0DB1"/>
    <w:rsid w:val="006D116C"/>
    <w:rsid w:val="006D126C"/>
    <w:rsid w:val="006D153F"/>
    <w:rsid w:val="006D1CD2"/>
    <w:rsid w:val="006D1E10"/>
    <w:rsid w:val="006D218C"/>
    <w:rsid w:val="006D3AB6"/>
    <w:rsid w:val="006D43BD"/>
    <w:rsid w:val="006D4556"/>
    <w:rsid w:val="006D4DE2"/>
    <w:rsid w:val="006D60DC"/>
    <w:rsid w:val="006D6148"/>
    <w:rsid w:val="006D7324"/>
    <w:rsid w:val="006D79D7"/>
    <w:rsid w:val="006E0DA9"/>
    <w:rsid w:val="006E0E5C"/>
    <w:rsid w:val="006E1252"/>
    <w:rsid w:val="006E1316"/>
    <w:rsid w:val="006E1B66"/>
    <w:rsid w:val="006E1B88"/>
    <w:rsid w:val="006E1BBA"/>
    <w:rsid w:val="006E1BFB"/>
    <w:rsid w:val="006E200C"/>
    <w:rsid w:val="006E21A9"/>
    <w:rsid w:val="006E22C1"/>
    <w:rsid w:val="006E2637"/>
    <w:rsid w:val="006E269B"/>
    <w:rsid w:val="006E301C"/>
    <w:rsid w:val="006E308E"/>
    <w:rsid w:val="006E34C9"/>
    <w:rsid w:val="006E3B8D"/>
    <w:rsid w:val="006E3D90"/>
    <w:rsid w:val="006E49F3"/>
    <w:rsid w:val="006E589E"/>
    <w:rsid w:val="006E6418"/>
    <w:rsid w:val="006E6B73"/>
    <w:rsid w:val="006E73AA"/>
    <w:rsid w:val="006E750A"/>
    <w:rsid w:val="006E7709"/>
    <w:rsid w:val="006E782E"/>
    <w:rsid w:val="006E7C42"/>
    <w:rsid w:val="006F0721"/>
    <w:rsid w:val="006F076E"/>
    <w:rsid w:val="006F0EEF"/>
    <w:rsid w:val="006F1100"/>
    <w:rsid w:val="006F168A"/>
    <w:rsid w:val="006F1FCC"/>
    <w:rsid w:val="006F2C14"/>
    <w:rsid w:val="006F311D"/>
    <w:rsid w:val="006F4FF5"/>
    <w:rsid w:val="006F5076"/>
    <w:rsid w:val="006F583C"/>
    <w:rsid w:val="006F5911"/>
    <w:rsid w:val="006F6009"/>
    <w:rsid w:val="006F6416"/>
    <w:rsid w:val="006F65F0"/>
    <w:rsid w:val="006F71CC"/>
    <w:rsid w:val="007009A3"/>
    <w:rsid w:val="007009FE"/>
    <w:rsid w:val="007011DE"/>
    <w:rsid w:val="007029CF"/>
    <w:rsid w:val="00702BE8"/>
    <w:rsid w:val="00702D65"/>
    <w:rsid w:val="0070321D"/>
    <w:rsid w:val="007035AC"/>
    <w:rsid w:val="00703993"/>
    <w:rsid w:val="00703D99"/>
    <w:rsid w:val="007068BA"/>
    <w:rsid w:val="00706EA8"/>
    <w:rsid w:val="00707ED5"/>
    <w:rsid w:val="0071177F"/>
    <w:rsid w:val="00711CA1"/>
    <w:rsid w:val="0071230A"/>
    <w:rsid w:val="0071237B"/>
    <w:rsid w:val="007127FF"/>
    <w:rsid w:val="00712C07"/>
    <w:rsid w:val="00713221"/>
    <w:rsid w:val="00713CC8"/>
    <w:rsid w:val="00714764"/>
    <w:rsid w:val="00714AA6"/>
    <w:rsid w:val="0071696A"/>
    <w:rsid w:val="00716AB1"/>
    <w:rsid w:val="00716D9B"/>
    <w:rsid w:val="00717AE5"/>
    <w:rsid w:val="00717D5C"/>
    <w:rsid w:val="00720B98"/>
    <w:rsid w:val="00721D63"/>
    <w:rsid w:val="007220D1"/>
    <w:rsid w:val="00722405"/>
    <w:rsid w:val="00724E59"/>
    <w:rsid w:val="007263FC"/>
    <w:rsid w:val="00726E9B"/>
    <w:rsid w:val="0072778B"/>
    <w:rsid w:val="00727D27"/>
    <w:rsid w:val="00727F80"/>
    <w:rsid w:val="007308E3"/>
    <w:rsid w:val="00730936"/>
    <w:rsid w:val="00730E6C"/>
    <w:rsid w:val="00731241"/>
    <w:rsid w:val="007325FB"/>
    <w:rsid w:val="00732C7B"/>
    <w:rsid w:val="00733C52"/>
    <w:rsid w:val="00734D2B"/>
    <w:rsid w:val="007354E1"/>
    <w:rsid w:val="00735FAB"/>
    <w:rsid w:val="00736C9F"/>
    <w:rsid w:val="00737705"/>
    <w:rsid w:val="007405B2"/>
    <w:rsid w:val="007408D4"/>
    <w:rsid w:val="00740CE2"/>
    <w:rsid w:val="00741549"/>
    <w:rsid w:val="007420AC"/>
    <w:rsid w:val="00742127"/>
    <w:rsid w:val="00742617"/>
    <w:rsid w:val="00742C0D"/>
    <w:rsid w:val="00742D28"/>
    <w:rsid w:val="00742D44"/>
    <w:rsid w:val="007439FF"/>
    <w:rsid w:val="00743A79"/>
    <w:rsid w:val="00743C0A"/>
    <w:rsid w:val="0074433C"/>
    <w:rsid w:val="007448B3"/>
    <w:rsid w:val="00744D2B"/>
    <w:rsid w:val="00746196"/>
    <w:rsid w:val="007473A6"/>
    <w:rsid w:val="00750097"/>
    <w:rsid w:val="00750145"/>
    <w:rsid w:val="00750BCB"/>
    <w:rsid w:val="00750F2E"/>
    <w:rsid w:val="007514C7"/>
    <w:rsid w:val="00752F5E"/>
    <w:rsid w:val="007531A4"/>
    <w:rsid w:val="007537BA"/>
    <w:rsid w:val="00754268"/>
    <w:rsid w:val="007551CD"/>
    <w:rsid w:val="007553F4"/>
    <w:rsid w:val="007557C5"/>
    <w:rsid w:val="00755843"/>
    <w:rsid w:val="0075604A"/>
    <w:rsid w:val="007563D5"/>
    <w:rsid w:val="0076164D"/>
    <w:rsid w:val="007625D0"/>
    <w:rsid w:val="00762A5D"/>
    <w:rsid w:val="00762D2E"/>
    <w:rsid w:val="00764F42"/>
    <w:rsid w:val="00764F6C"/>
    <w:rsid w:val="007659B3"/>
    <w:rsid w:val="00765F6B"/>
    <w:rsid w:val="0076622C"/>
    <w:rsid w:val="0077058F"/>
    <w:rsid w:val="00770950"/>
    <w:rsid w:val="0077183A"/>
    <w:rsid w:val="00771985"/>
    <w:rsid w:val="00771AB5"/>
    <w:rsid w:val="0077272D"/>
    <w:rsid w:val="00772CB8"/>
    <w:rsid w:val="00773229"/>
    <w:rsid w:val="007736D4"/>
    <w:rsid w:val="00774052"/>
    <w:rsid w:val="007740ED"/>
    <w:rsid w:val="007740F7"/>
    <w:rsid w:val="00774332"/>
    <w:rsid w:val="0077448F"/>
    <w:rsid w:val="0077449A"/>
    <w:rsid w:val="0077466F"/>
    <w:rsid w:val="0077504C"/>
    <w:rsid w:val="007765B3"/>
    <w:rsid w:val="007766C0"/>
    <w:rsid w:val="00776D27"/>
    <w:rsid w:val="0077780A"/>
    <w:rsid w:val="007801C8"/>
    <w:rsid w:val="00780453"/>
    <w:rsid w:val="00780C4D"/>
    <w:rsid w:val="00781866"/>
    <w:rsid w:val="00781DA4"/>
    <w:rsid w:val="007826B7"/>
    <w:rsid w:val="00782E95"/>
    <w:rsid w:val="007834E0"/>
    <w:rsid w:val="00783AFA"/>
    <w:rsid w:val="0078403F"/>
    <w:rsid w:val="00784EDC"/>
    <w:rsid w:val="00785063"/>
    <w:rsid w:val="00785427"/>
    <w:rsid w:val="00785564"/>
    <w:rsid w:val="00785D56"/>
    <w:rsid w:val="00785D62"/>
    <w:rsid w:val="00786337"/>
    <w:rsid w:val="007879D4"/>
    <w:rsid w:val="00790540"/>
    <w:rsid w:val="007918CD"/>
    <w:rsid w:val="00791BF1"/>
    <w:rsid w:val="00791D09"/>
    <w:rsid w:val="00792BF8"/>
    <w:rsid w:val="007933AD"/>
    <w:rsid w:val="007937C3"/>
    <w:rsid w:val="0079387E"/>
    <w:rsid w:val="00793EA6"/>
    <w:rsid w:val="0079423D"/>
    <w:rsid w:val="0079643C"/>
    <w:rsid w:val="00796504"/>
    <w:rsid w:val="007968CA"/>
    <w:rsid w:val="00797070"/>
    <w:rsid w:val="00797AF5"/>
    <w:rsid w:val="007A104B"/>
    <w:rsid w:val="007A11E3"/>
    <w:rsid w:val="007A1817"/>
    <w:rsid w:val="007A1BFA"/>
    <w:rsid w:val="007A2095"/>
    <w:rsid w:val="007A433A"/>
    <w:rsid w:val="007A43FF"/>
    <w:rsid w:val="007A4975"/>
    <w:rsid w:val="007A531F"/>
    <w:rsid w:val="007A5C19"/>
    <w:rsid w:val="007A6AE4"/>
    <w:rsid w:val="007A6E00"/>
    <w:rsid w:val="007A6FA9"/>
    <w:rsid w:val="007A736D"/>
    <w:rsid w:val="007A7D0E"/>
    <w:rsid w:val="007B0AA0"/>
    <w:rsid w:val="007B0FAF"/>
    <w:rsid w:val="007B12C8"/>
    <w:rsid w:val="007B1406"/>
    <w:rsid w:val="007B162D"/>
    <w:rsid w:val="007B28E4"/>
    <w:rsid w:val="007B335F"/>
    <w:rsid w:val="007B3918"/>
    <w:rsid w:val="007B39D7"/>
    <w:rsid w:val="007B525F"/>
    <w:rsid w:val="007B76D7"/>
    <w:rsid w:val="007B786B"/>
    <w:rsid w:val="007B7A1E"/>
    <w:rsid w:val="007B7B4C"/>
    <w:rsid w:val="007C0025"/>
    <w:rsid w:val="007C0348"/>
    <w:rsid w:val="007C09A9"/>
    <w:rsid w:val="007C0AD9"/>
    <w:rsid w:val="007C109F"/>
    <w:rsid w:val="007C1358"/>
    <w:rsid w:val="007C3771"/>
    <w:rsid w:val="007C3C1D"/>
    <w:rsid w:val="007C44A7"/>
    <w:rsid w:val="007C4AC5"/>
    <w:rsid w:val="007C4EAA"/>
    <w:rsid w:val="007C560B"/>
    <w:rsid w:val="007C577E"/>
    <w:rsid w:val="007C5A68"/>
    <w:rsid w:val="007C6178"/>
    <w:rsid w:val="007C6200"/>
    <w:rsid w:val="007C712D"/>
    <w:rsid w:val="007D0256"/>
    <w:rsid w:val="007D0416"/>
    <w:rsid w:val="007D09DB"/>
    <w:rsid w:val="007D09DD"/>
    <w:rsid w:val="007D199A"/>
    <w:rsid w:val="007D2662"/>
    <w:rsid w:val="007D2EBE"/>
    <w:rsid w:val="007D3B8C"/>
    <w:rsid w:val="007D44D1"/>
    <w:rsid w:val="007D4EAA"/>
    <w:rsid w:val="007D541A"/>
    <w:rsid w:val="007D5A93"/>
    <w:rsid w:val="007D5EEF"/>
    <w:rsid w:val="007D660E"/>
    <w:rsid w:val="007D6A34"/>
    <w:rsid w:val="007D6F6B"/>
    <w:rsid w:val="007E0014"/>
    <w:rsid w:val="007E0385"/>
    <w:rsid w:val="007E042A"/>
    <w:rsid w:val="007E0CC9"/>
    <w:rsid w:val="007E1A31"/>
    <w:rsid w:val="007E1C07"/>
    <w:rsid w:val="007E1D42"/>
    <w:rsid w:val="007E220C"/>
    <w:rsid w:val="007E2AFE"/>
    <w:rsid w:val="007E40F3"/>
    <w:rsid w:val="007E42D4"/>
    <w:rsid w:val="007E462D"/>
    <w:rsid w:val="007E4737"/>
    <w:rsid w:val="007E48C0"/>
    <w:rsid w:val="007E5334"/>
    <w:rsid w:val="007E5440"/>
    <w:rsid w:val="007E650A"/>
    <w:rsid w:val="007E6515"/>
    <w:rsid w:val="007E65C9"/>
    <w:rsid w:val="007E6B9E"/>
    <w:rsid w:val="007E771C"/>
    <w:rsid w:val="007F038C"/>
    <w:rsid w:val="007F1770"/>
    <w:rsid w:val="007F1807"/>
    <w:rsid w:val="007F24B6"/>
    <w:rsid w:val="007F2A70"/>
    <w:rsid w:val="007F3C50"/>
    <w:rsid w:val="007F4315"/>
    <w:rsid w:val="007F478C"/>
    <w:rsid w:val="007F510E"/>
    <w:rsid w:val="007F5770"/>
    <w:rsid w:val="007F5ABD"/>
    <w:rsid w:val="007F5EFE"/>
    <w:rsid w:val="007F61C4"/>
    <w:rsid w:val="007F6460"/>
    <w:rsid w:val="007F6BCA"/>
    <w:rsid w:val="007F6DDA"/>
    <w:rsid w:val="007F6E68"/>
    <w:rsid w:val="00800852"/>
    <w:rsid w:val="00800C6E"/>
    <w:rsid w:val="0080125D"/>
    <w:rsid w:val="00801B19"/>
    <w:rsid w:val="008024DD"/>
    <w:rsid w:val="008037B1"/>
    <w:rsid w:val="00803D94"/>
    <w:rsid w:val="00803DE3"/>
    <w:rsid w:val="008040FA"/>
    <w:rsid w:val="00804509"/>
    <w:rsid w:val="008063C6"/>
    <w:rsid w:val="00806909"/>
    <w:rsid w:val="00806B43"/>
    <w:rsid w:val="00806CE7"/>
    <w:rsid w:val="00806D68"/>
    <w:rsid w:val="00806E1C"/>
    <w:rsid w:val="00807012"/>
    <w:rsid w:val="0080743C"/>
    <w:rsid w:val="00807AFF"/>
    <w:rsid w:val="008100B7"/>
    <w:rsid w:val="00810CCD"/>
    <w:rsid w:val="00810E71"/>
    <w:rsid w:val="00810FC4"/>
    <w:rsid w:val="0081109B"/>
    <w:rsid w:val="00811AFC"/>
    <w:rsid w:val="008122BD"/>
    <w:rsid w:val="008146C4"/>
    <w:rsid w:val="008157A1"/>
    <w:rsid w:val="00816142"/>
    <w:rsid w:val="00816279"/>
    <w:rsid w:val="00816923"/>
    <w:rsid w:val="00816E7C"/>
    <w:rsid w:val="00820CF4"/>
    <w:rsid w:val="00821C08"/>
    <w:rsid w:val="00821E61"/>
    <w:rsid w:val="00821E7A"/>
    <w:rsid w:val="008229BA"/>
    <w:rsid w:val="0082389D"/>
    <w:rsid w:val="008244B1"/>
    <w:rsid w:val="00824A33"/>
    <w:rsid w:val="0082519D"/>
    <w:rsid w:val="008253BC"/>
    <w:rsid w:val="00825BDE"/>
    <w:rsid w:val="00826705"/>
    <w:rsid w:val="00826CF6"/>
    <w:rsid w:val="00827038"/>
    <w:rsid w:val="0082744F"/>
    <w:rsid w:val="008278B0"/>
    <w:rsid w:val="00830C06"/>
    <w:rsid w:val="00831470"/>
    <w:rsid w:val="008316E6"/>
    <w:rsid w:val="0083227A"/>
    <w:rsid w:val="008329DD"/>
    <w:rsid w:val="00832D44"/>
    <w:rsid w:val="00833851"/>
    <w:rsid w:val="008341D2"/>
    <w:rsid w:val="0083456F"/>
    <w:rsid w:val="008345D6"/>
    <w:rsid w:val="008353CE"/>
    <w:rsid w:val="00835A8F"/>
    <w:rsid w:val="00835BCB"/>
    <w:rsid w:val="00835C00"/>
    <w:rsid w:val="00836079"/>
    <w:rsid w:val="00840346"/>
    <w:rsid w:val="008403C5"/>
    <w:rsid w:val="008406AE"/>
    <w:rsid w:val="00840BCE"/>
    <w:rsid w:val="00840F6B"/>
    <w:rsid w:val="0084110E"/>
    <w:rsid w:val="0084121C"/>
    <w:rsid w:val="00841927"/>
    <w:rsid w:val="00841EAE"/>
    <w:rsid w:val="00842EC0"/>
    <w:rsid w:val="008432FA"/>
    <w:rsid w:val="008438B8"/>
    <w:rsid w:val="00843D03"/>
    <w:rsid w:val="008449BE"/>
    <w:rsid w:val="00844D28"/>
    <w:rsid w:val="008452CF"/>
    <w:rsid w:val="00845390"/>
    <w:rsid w:val="00845EB1"/>
    <w:rsid w:val="0084601B"/>
    <w:rsid w:val="0085078A"/>
    <w:rsid w:val="00851053"/>
    <w:rsid w:val="008519BE"/>
    <w:rsid w:val="00852942"/>
    <w:rsid w:val="00852C08"/>
    <w:rsid w:val="00852CBB"/>
    <w:rsid w:val="00852E6D"/>
    <w:rsid w:val="00852EDB"/>
    <w:rsid w:val="008530B8"/>
    <w:rsid w:val="00853608"/>
    <w:rsid w:val="00854F9B"/>
    <w:rsid w:val="0085569E"/>
    <w:rsid w:val="00857677"/>
    <w:rsid w:val="00857798"/>
    <w:rsid w:val="00857FF5"/>
    <w:rsid w:val="008606F0"/>
    <w:rsid w:val="00860C43"/>
    <w:rsid w:val="00860EF2"/>
    <w:rsid w:val="00861300"/>
    <w:rsid w:val="008613B4"/>
    <w:rsid w:val="00861581"/>
    <w:rsid w:val="008628D8"/>
    <w:rsid w:val="00862C02"/>
    <w:rsid w:val="00862D81"/>
    <w:rsid w:val="00862F52"/>
    <w:rsid w:val="00864368"/>
    <w:rsid w:val="00865489"/>
    <w:rsid w:val="008654CC"/>
    <w:rsid w:val="0086553D"/>
    <w:rsid w:val="00866149"/>
    <w:rsid w:val="00870246"/>
    <w:rsid w:val="008706CC"/>
    <w:rsid w:val="00871198"/>
    <w:rsid w:val="00872A83"/>
    <w:rsid w:val="00872E3D"/>
    <w:rsid w:val="00874E0F"/>
    <w:rsid w:val="00874FEB"/>
    <w:rsid w:val="008762D1"/>
    <w:rsid w:val="008768D5"/>
    <w:rsid w:val="008773D5"/>
    <w:rsid w:val="00880014"/>
    <w:rsid w:val="00881A2F"/>
    <w:rsid w:val="00881B6F"/>
    <w:rsid w:val="00881DC6"/>
    <w:rsid w:val="00882AA4"/>
    <w:rsid w:val="008833EF"/>
    <w:rsid w:val="00883670"/>
    <w:rsid w:val="00883E22"/>
    <w:rsid w:val="00884E43"/>
    <w:rsid w:val="00885967"/>
    <w:rsid w:val="008862F7"/>
    <w:rsid w:val="00886D15"/>
    <w:rsid w:val="008877E0"/>
    <w:rsid w:val="00887EC6"/>
    <w:rsid w:val="0089019E"/>
    <w:rsid w:val="0089050E"/>
    <w:rsid w:val="0089084C"/>
    <w:rsid w:val="008910C5"/>
    <w:rsid w:val="008916E7"/>
    <w:rsid w:val="00891844"/>
    <w:rsid w:val="00891D33"/>
    <w:rsid w:val="00892D0C"/>
    <w:rsid w:val="00893409"/>
    <w:rsid w:val="00893D9F"/>
    <w:rsid w:val="008948F9"/>
    <w:rsid w:val="00896324"/>
    <w:rsid w:val="00896ED6"/>
    <w:rsid w:val="00897053"/>
    <w:rsid w:val="00897279"/>
    <w:rsid w:val="00897338"/>
    <w:rsid w:val="008979B5"/>
    <w:rsid w:val="008A0553"/>
    <w:rsid w:val="008A115C"/>
    <w:rsid w:val="008A11EB"/>
    <w:rsid w:val="008A1213"/>
    <w:rsid w:val="008A1797"/>
    <w:rsid w:val="008A2379"/>
    <w:rsid w:val="008A2695"/>
    <w:rsid w:val="008A2C01"/>
    <w:rsid w:val="008A3B7A"/>
    <w:rsid w:val="008A4329"/>
    <w:rsid w:val="008A53AC"/>
    <w:rsid w:val="008A578E"/>
    <w:rsid w:val="008A6345"/>
    <w:rsid w:val="008A6473"/>
    <w:rsid w:val="008A6576"/>
    <w:rsid w:val="008B09BB"/>
    <w:rsid w:val="008B0F0B"/>
    <w:rsid w:val="008B0F0E"/>
    <w:rsid w:val="008B1519"/>
    <w:rsid w:val="008B1D7D"/>
    <w:rsid w:val="008B2043"/>
    <w:rsid w:val="008B4A34"/>
    <w:rsid w:val="008B4E5D"/>
    <w:rsid w:val="008B5111"/>
    <w:rsid w:val="008B68AF"/>
    <w:rsid w:val="008B69E3"/>
    <w:rsid w:val="008B714C"/>
    <w:rsid w:val="008B72FA"/>
    <w:rsid w:val="008B7BCC"/>
    <w:rsid w:val="008B7BE2"/>
    <w:rsid w:val="008B7EFA"/>
    <w:rsid w:val="008B7F3D"/>
    <w:rsid w:val="008C01F6"/>
    <w:rsid w:val="008C0CC4"/>
    <w:rsid w:val="008C2A9A"/>
    <w:rsid w:val="008C2F6F"/>
    <w:rsid w:val="008C3EE4"/>
    <w:rsid w:val="008C43E2"/>
    <w:rsid w:val="008C50C3"/>
    <w:rsid w:val="008C56A1"/>
    <w:rsid w:val="008C570B"/>
    <w:rsid w:val="008C6511"/>
    <w:rsid w:val="008C7094"/>
    <w:rsid w:val="008C7338"/>
    <w:rsid w:val="008D2AE8"/>
    <w:rsid w:val="008D2B97"/>
    <w:rsid w:val="008D397F"/>
    <w:rsid w:val="008D41CA"/>
    <w:rsid w:val="008D42FA"/>
    <w:rsid w:val="008D44D8"/>
    <w:rsid w:val="008D49A5"/>
    <w:rsid w:val="008D51AF"/>
    <w:rsid w:val="008D54BE"/>
    <w:rsid w:val="008D6C81"/>
    <w:rsid w:val="008E0264"/>
    <w:rsid w:val="008E1750"/>
    <w:rsid w:val="008E2581"/>
    <w:rsid w:val="008E262C"/>
    <w:rsid w:val="008E27F7"/>
    <w:rsid w:val="008E28A5"/>
    <w:rsid w:val="008E2DCA"/>
    <w:rsid w:val="008E34F5"/>
    <w:rsid w:val="008E3C20"/>
    <w:rsid w:val="008E3E4B"/>
    <w:rsid w:val="008E4A44"/>
    <w:rsid w:val="008E4DA5"/>
    <w:rsid w:val="008E66C0"/>
    <w:rsid w:val="008E6AE1"/>
    <w:rsid w:val="008E6CF0"/>
    <w:rsid w:val="008E78C5"/>
    <w:rsid w:val="008F015F"/>
    <w:rsid w:val="008F059E"/>
    <w:rsid w:val="008F05D4"/>
    <w:rsid w:val="008F1439"/>
    <w:rsid w:val="008F16EF"/>
    <w:rsid w:val="008F17BC"/>
    <w:rsid w:val="008F3506"/>
    <w:rsid w:val="008F3F3D"/>
    <w:rsid w:val="008F41B1"/>
    <w:rsid w:val="008F43DF"/>
    <w:rsid w:val="008F4D8F"/>
    <w:rsid w:val="008F56A9"/>
    <w:rsid w:val="008F6470"/>
    <w:rsid w:val="008F660E"/>
    <w:rsid w:val="008F66B3"/>
    <w:rsid w:val="008F6B9D"/>
    <w:rsid w:val="008F6DBE"/>
    <w:rsid w:val="008F7051"/>
    <w:rsid w:val="008F75EF"/>
    <w:rsid w:val="00900644"/>
    <w:rsid w:val="00900998"/>
    <w:rsid w:val="009019B5"/>
    <w:rsid w:val="00901ADB"/>
    <w:rsid w:val="00901C8A"/>
    <w:rsid w:val="00902529"/>
    <w:rsid w:val="00902A9F"/>
    <w:rsid w:val="00902B8C"/>
    <w:rsid w:val="009033A9"/>
    <w:rsid w:val="009040F0"/>
    <w:rsid w:val="00904152"/>
    <w:rsid w:val="0090430F"/>
    <w:rsid w:val="009047DA"/>
    <w:rsid w:val="009051AD"/>
    <w:rsid w:val="00905461"/>
    <w:rsid w:val="0090581D"/>
    <w:rsid w:val="00905C30"/>
    <w:rsid w:val="009072C3"/>
    <w:rsid w:val="009102B3"/>
    <w:rsid w:val="009105E5"/>
    <w:rsid w:val="00910E04"/>
    <w:rsid w:val="00911381"/>
    <w:rsid w:val="009123C0"/>
    <w:rsid w:val="0091252A"/>
    <w:rsid w:val="009128E0"/>
    <w:rsid w:val="009136EF"/>
    <w:rsid w:val="0091439C"/>
    <w:rsid w:val="009143DB"/>
    <w:rsid w:val="00915338"/>
    <w:rsid w:val="00915481"/>
    <w:rsid w:val="00915E73"/>
    <w:rsid w:val="009169BC"/>
    <w:rsid w:val="00916E39"/>
    <w:rsid w:val="0092012F"/>
    <w:rsid w:val="00920572"/>
    <w:rsid w:val="00920BF0"/>
    <w:rsid w:val="00920BF2"/>
    <w:rsid w:val="00921496"/>
    <w:rsid w:val="009220A8"/>
    <w:rsid w:val="00923334"/>
    <w:rsid w:val="009245A2"/>
    <w:rsid w:val="00924B52"/>
    <w:rsid w:val="00924E9D"/>
    <w:rsid w:val="00926DE4"/>
    <w:rsid w:val="00926EC0"/>
    <w:rsid w:val="0092760F"/>
    <w:rsid w:val="00927B1D"/>
    <w:rsid w:val="0093054B"/>
    <w:rsid w:val="009310C7"/>
    <w:rsid w:val="00931D80"/>
    <w:rsid w:val="009326AA"/>
    <w:rsid w:val="00933CDD"/>
    <w:rsid w:val="009344F7"/>
    <w:rsid w:val="009349A9"/>
    <w:rsid w:val="00934AD9"/>
    <w:rsid w:val="009357B5"/>
    <w:rsid w:val="009357F1"/>
    <w:rsid w:val="00935BB3"/>
    <w:rsid w:val="00936C52"/>
    <w:rsid w:val="00937BDD"/>
    <w:rsid w:val="00937D8E"/>
    <w:rsid w:val="0094011E"/>
    <w:rsid w:val="009411F6"/>
    <w:rsid w:val="009420F3"/>
    <w:rsid w:val="009426C2"/>
    <w:rsid w:val="009428DF"/>
    <w:rsid w:val="009434C9"/>
    <w:rsid w:val="00943C78"/>
    <w:rsid w:val="009440F3"/>
    <w:rsid w:val="009468CE"/>
    <w:rsid w:val="0095024A"/>
    <w:rsid w:val="009512BF"/>
    <w:rsid w:val="0095138B"/>
    <w:rsid w:val="00951EBA"/>
    <w:rsid w:val="0095396D"/>
    <w:rsid w:val="00953B9D"/>
    <w:rsid w:val="00953CE8"/>
    <w:rsid w:val="0095489B"/>
    <w:rsid w:val="009550FD"/>
    <w:rsid w:val="009557A5"/>
    <w:rsid w:val="00955C1A"/>
    <w:rsid w:val="0095635D"/>
    <w:rsid w:val="00956BEE"/>
    <w:rsid w:val="00957338"/>
    <w:rsid w:val="009574F4"/>
    <w:rsid w:val="00957F37"/>
    <w:rsid w:val="00957F99"/>
    <w:rsid w:val="00960DE1"/>
    <w:rsid w:val="00960EE8"/>
    <w:rsid w:val="00960F36"/>
    <w:rsid w:val="00960F4D"/>
    <w:rsid w:val="009616F8"/>
    <w:rsid w:val="00961C4E"/>
    <w:rsid w:val="00962B3F"/>
    <w:rsid w:val="009638F2"/>
    <w:rsid w:val="00964256"/>
    <w:rsid w:val="00965FF4"/>
    <w:rsid w:val="00966FB9"/>
    <w:rsid w:val="009671CD"/>
    <w:rsid w:val="00967A01"/>
    <w:rsid w:val="00967FE5"/>
    <w:rsid w:val="009701F5"/>
    <w:rsid w:val="009703AB"/>
    <w:rsid w:val="00970571"/>
    <w:rsid w:val="00971058"/>
    <w:rsid w:val="00971180"/>
    <w:rsid w:val="00971F57"/>
    <w:rsid w:val="00972B19"/>
    <w:rsid w:val="009751A9"/>
    <w:rsid w:val="009752B8"/>
    <w:rsid w:val="00975828"/>
    <w:rsid w:val="009762F4"/>
    <w:rsid w:val="009764CF"/>
    <w:rsid w:val="009803DD"/>
    <w:rsid w:val="00980EAE"/>
    <w:rsid w:val="00980F9C"/>
    <w:rsid w:val="0098127E"/>
    <w:rsid w:val="00981C5E"/>
    <w:rsid w:val="0098223D"/>
    <w:rsid w:val="0098302A"/>
    <w:rsid w:val="00983120"/>
    <w:rsid w:val="00983DDC"/>
    <w:rsid w:val="00984296"/>
    <w:rsid w:val="00984EA1"/>
    <w:rsid w:val="0098529C"/>
    <w:rsid w:val="0098581B"/>
    <w:rsid w:val="00985F7D"/>
    <w:rsid w:val="0098632B"/>
    <w:rsid w:val="009905C6"/>
    <w:rsid w:val="00990B94"/>
    <w:rsid w:val="00990F6A"/>
    <w:rsid w:val="0099107C"/>
    <w:rsid w:val="009910CD"/>
    <w:rsid w:val="00992277"/>
    <w:rsid w:val="009924D4"/>
    <w:rsid w:val="00992D7E"/>
    <w:rsid w:val="00994D3B"/>
    <w:rsid w:val="0099588A"/>
    <w:rsid w:val="00996396"/>
    <w:rsid w:val="0099768E"/>
    <w:rsid w:val="0099768F"/>
    <w:rsid w:val="00997BFB"/>
    <w:rsid w:val="00997D43"/>
    <w:rsid w:val="009A0C0B"/>
    <w:rsid w:val="009A14A2"/>
    <w:rsid w:val="009A1A1C"/>
    <w:rsid w:val="009A243D"/>
    <w:rsid w:val="009A42F6"/>
    <w:rsid w:val="009A4906"/>
    <w:rsid w:val="009A4D63"/>
    <w:rsid w:val="009A50E1"/>
    <w:rsid w:val="009A567E"/>
    <w:rsid w:val="009A5D64"/>
    <w:rsid w:val="009A617B"/>
    <w:rsid w:val="009A64E1"/>
    <w:rsid w:val="009A65A8"/>
    <w:rsid w:val="009A65D1"/>
    <w:rsid w:val="009A6D9B"/>
    <w:rsid w:val="009A7142"/>
    <w:rsid w:val="009A7348"/>
    <w:rsid w:val="009B0864"/>
    <w:rsid w:val="009B0B2A"/>
    <w:rsid w:val="009B1EE1"/>
    <w:rsid w:val="009B2234"/>
    <w:rsid w:val="009B2256"/>
    <w:rsid w:val="009B22F7"/>
    <w:rsid w:val="009B25A8"/>
    <w:rsid w:val="009B3213"/>
    <w:rsid w:val="009B341A"/>
    <w:rsid w:val="009B37AB"/>
    <w:rsid w:val="009B404C"/>
    <w:rsid w:val="009B462C"/>
    <w:rsid w:val="009B661D"/>
    <w:rsid w:val="009C09C2"/>
    <w:rsid w:val="009C0E0F"/>
    <w:rsid w:val="009C0E93"/>
    <w:rsid w:val="009C112E"/>
    <w:rsid w:val="009C15F3"/>
    <w:rsid w:val="009C1ABA"/>
    <w:rsid w:val="009C2ADF"/>
    <w:rsid w:val="009C31EE"/>
    <w:rsid w:val="009C3435"/>
    <w:rsid w:val="009C3649"/>
    <w:rsid w:val="009C425F"/>
    <w:rsid w:val="009C4CCD"/>
    <w:rsid w:val="009C5181"/>
    <w:rsid w:val="009C60E6"/>
    <w:rsid w:val="009C657C"/>
    <w:rsid w:val="009C7344"/>
    <w:rsid w:val="009C736D"/>
    <w:rsid w:val="009C7469"/>
    <w:rsid w:val="009D0040"/>
    <w:rsid w:val="009D2821"/>
    <w:rsid w:val="009D2EFD"/>
    <w:rsid w:val="009D2F22"/>
    <w:rsid w:val="009D3184"/>
    <w:rsid w:val="009D34B5"/>
    <w:rsid w:val="009D3C6B"/>
    <w:rsid w:val="009D3C9E"/>
    <w:rsid w:val="009D46FB"/>
    <w:rsid w:val="009D4A56"/>
    <w:rsid w:val="009D5448"/>
    <w:rsid w:val="009D5A09"/>
    <w:rsid w:val="009D5A5E"/>
    <w:rsid w:val="009D5C15"/>
    <w:rsid w:val="009D5DA2"/>
    <w:rsid w:val="009D627D"/>
    <w:rsid w:val="009D7F19"/>
    <w:rsid w:val="009E01FB"/>
    <w:rsid w:val="009E07C2"/>
    <w:rsid w:val="009E07F7"/>
    <w:rsid w:val="009E0E52"/>
    <w:rsid w:val="009E2F8A"/>
    <w:rsid w:val="009E3CAB"/>
    <w:rsid w:val="009E4B44"/>
    <w:rsid w:val="009E4F01"/>
    <w:rsid w:val="009E5B8F"/>
    <w:rsid w:val="009E6279"/>
    <w:rsid w:val="009E64D9"/>
    <w:rsid w:val="009E66DD"/>
    <w:rsid w:val="009E66F2"/>
    <w:rsid w:val="009E7C82"/>
    <w:rsid w:val="009E7FB5"/>
    <w:rsid w:val="009F04B8"/>
    <w:rsid w:val="009F0619"/>
    <w:rsid w:val="009F08E2"/>
    <w:rsid w:val="009F08FD"/>
    <w:rsid w:val="009F5814"/>
    <w:rsid w:val="009F5F99"/>
    <w:rsid w:val="009F705F"/>
    <w:rsid w:val="009F7198"/>
    <w:rsid w:val="009F72F9"/>
    <w:rsid w:val="00A00205"/>
    <w:rsid w:val="00A003A7"/>
    <w:rsid w:val="00A00750"/>
    <w:rsid w:val="00A00AF0"/>
    <w:rsid w:val="00A00BDE"/>
    <w:rsid w:val="00A00C74"/>
    <w:rsid w:val="00A011CD"/>
    <w:rsid w:val="00A0214D"/>
    <w:rsid w:val="00A026EE"/>
    <w:rsid w:val="00A02ED2"/>
    <w:rsid w:val="00A03041"/>
    <w:rsid w:val="00A03FEC"/>
    <w:rsid w:val="00A0500C"/>
    <w:rsid w:val="00A054BD"/>
    <w:rsid w:val="00A054F7"/>
    <w:rsid w:val="00A0574F"/>
    <w:rsid w:val="00A0586B"/>
    <w:rsid w:val="00A05B60"/>
    <w:rsid w:val="00A065A3"/>
    <w:rsid w:val="00A07381"/>
    <w:rsid w:val="00A074E9"/>
    <w:rsid w:val="00A07FDF"/>
    <w:rsid w:val="00A1042E"/>
    <w:rsid w:val="00A11876"/>
    <w:rsid w:val="00A12FE8"/>
    <w:rsid w:val="00A13074"/>
    <w:rsid w:val="00A135A8"/>
    <w:rsid w:val="00A13F3A"/>
    <w:rsid w:val="00A14B5A"/>
    <w:rsid w:val="00A16B35"/>
    <w:rsid w:val="00A17526"/>
    <w:rsid w:val="00A17884"/>
    <w:rsid w:val="00A1791C"/>
    <w:rsid w:val="00A17E3F"/>
    <w:rsid w:val="00A20587"/>
    <w:rsid w:val="00A21E08"/>
    <w:rsid w:val="00A22A88"/>
    <w:rsid w:val="00A23296"/>
    <w:rsid w:val="00A24293"/>
    <w:rsid w:val="00A25530"/>
    <w:rsid w:val="00A258A5"/>
    <w:rsid w:val="00A26E54"/>
    <w:rsid w:val="00A277C7"/>
    <w:rsid w:val="00A27E04"/>
    <w:rsid w:val="00A30A82"/>
    <w:rsid w:val="00A30AB5"/>
    <w:rsid w:val="00A31C2D"/>
    <w:rsid w:val="00A31D50"/>
    <w:rsid w:val="00A32224"/>
    <w:rsid w:val="00A32A0C"/>
    <w:rsid w:val="00A32B2E"/>
    <w:rsid w:val="00A32B61"/>
    <w:rsid w:val="00A33BA5"/>
    <w:rsid w:val="00A35184"/>
    <w:rsid w:val="00A3567F"/>
    <w:rsid w:val="00A36714"/>
    <w:rsid w:val="00A369A9"/>
    <w:rsid w:val="00A37698"/>
    <w:rsid w:val="00A376A2"/>
    <w:rsid w:val="00A37A40"/>
    <w:rsid w:val="00A37E78"/>
    <w:rsid w:val="00A403CA"/>
    <w:rsid w:val="00A403E7"/>
    <w:rsid w:val="00A41244"/>
    <w:rsid w:val="00A41682"/>
    <w:rsid w:val="00A41D8C"/>
    <w:rsid w:val="00A41DA7"/>
    <w:rsid w:val="00A41ED3"/>
    <w:rsid w:val="00A44083"/>
    <w:rsid w:val="00A44DD8"/>
    <w:rsid w:val="00A45FE8"/>
    <w:rsid w:val="00A461C7"/>
    <w:rsid w:val="00A464DA"/>
    <w:rsid w:val="00A46D91"/>
    <w:rsid w:val="00A503C1"/>
    <w:rsid w:val="00A504FD"/>
    <w:rsid w:val="00A50EFB"/>
    <w:rsid w:val="00A51A2E"/>
    <w:rsid w:val="00A53767"/>
    <w:rsid w:val="00A53965"/>
    <w:rsid w:val="00A53A35"/>
    <w:rsid w:val="00A53C01"/>
    <w:rsid w:val="00A53F65"/>
    <w:rsid w:val="00A53FAB"/>
    <w:rsid w:val="00A5447F"/>
    <w:rsid w:val="00A55417"/>
    <w:rsid w:val="00A563AD"/>
    <w:rsid w:val="00A5652D"/>
    <w:rsid w:val="00A566CE"/>
    <w:rsid w:val="00A56C01"/>
    <w:rsid w:val="00A56D0A"/>
    <w:rsid w:val="00A56E7F"/>
    <w:rsid w:val="00A56E98"/>
    <w:rsid w:val="00A60EC4"/>
    <w:rsid w:val="00A610D8"/>
    <w:rsid w:val="00A620CF"/>
    <w:rsid w:val="00A62A0D"/>
    <w:rsid w:val="00A633B2"/>
    <w:rsid w:val="00A657B9"/>
    <w:rsid w:val="00A67C9E"/>
    <w:rsid w:val="00A67F55"/>
    <w:rsid w:val="00A70670"/>
    <w:rsid w:val="00A7068F"/>
    <w:rsid w:val="00A70A3E"/>
    <w:rsid w:val="00A71DF1"/>
    <w:rsid w:val="00A724B1"/>
    <w:rsid w:val="00A731C5"/>
    <w:rsid w:val="00A73589"/>
    <w:rsid w:val="00A739F5"/>
    <w:rsid w:val="00A740E5"/>
    <w:rsid w:val="00A7418C"/>
    <w:rsid w:val="00A75783"/>
    <w:rsid w:val="00A75805"/>
    <w:rsid w:val="00A77467"/>
    <w:rsid w:val="00A81D82"/>
    <w:rsid w:val="00A82170"/>
    <w:rsid w:val="00A83041"/>
    <w:rsid w:val="00A83124"/>
    <w:rsid w:val="00A837BD"/>
    <w:rsid w:val="00A83EC2"/>
    <w:rsid w:val="00A840AA"/>
    <w:rsid w:val="00A8461E"/>
    <w:rsid w:val="00A84940"/>
    <w:rsid w:val="00A850C8"/>
    <w:rsid w:val="00A8606E"/>
    <w:rsid w:val="00A90639"/>
    <w:rsid w:val="00A9234C"/>
    <w:rsid w:val="00A92C03"/>
    <w:rsid w:val="00A930E4"/>
    <w:rsid w:val="00A9361A"/>
    <w:rsid w:val="00A9372B"/>
    <w:rsid w:val="00A93E33"/>
    <w:rsid w:val="00A943A8"/>
    <w:rsid w:val="00A953EE"/>
    <w:rsid w:val="00A95AF9"/>
    <w:rsid w:val="00A969D2"/>
    <w:rsid w:val="00A96F29"/>
    <w:rsid w:val="00A973BF"/>
    <w:rsid w:val="00A979F7"/>
    <w:rsid w:val="00AA0357"/>
    <w:rsid w:val="00AA064F"/>
    <w:rsid w:val="00AA08F5"/>
    <w:rsid w:val="00AA08FD"/>
    <w:rsid w:val="00AA1CA2"/>
    <w:rsid w:val="00AA1D45"/>
    <w:rsid w:val="00AA1DB5"/>
    <w:rsid w:val="00AA470C"/>
    <w:rsid w:val="00AA4DC8"/>
    <w:rsid w:val="00AA50E6"/>
    <w:rsid w:val="00AA54CC"/>
    <w:rsid w:val="00AA5E31"/>
    <w:rsid w:val="00AA6403"/>
    <w:rsid w:val="00AA6D10"/>
    <w:rsid w:val="00AA6EC5"/>
    <w:rsid w:val="00AB0754"/>
    <w:rsid w:val="00AB0F9B"/>
    <w:rsid w:val="00AB117D"/>
    <w:rsid w:val="00AB195E"/>
    <w:rsid w:val="00AB19B2"/>
    <w:rsid w:val="00AB2A60"/>
    <w:rsid w:val="00AB3B1B"/>
    <w:rsid w:val="00AB40AD"/>
    <w:rsid w:val="00AB428C"/>
    <w:rsid w:val="00AB449E"/>
    <w:rsid w:val="00AB452A"/>
    <w:rsid w:val="00AB4683"/>
    <w:rsid w:val="00AB509B"/>
    <w:rsid w:val="00AB537E"/>
    <w:rsid w:val="00AB54D6"/>
    <w:rsid w:val="00AB570F"/>
    <w:rsid w:val="00AB6970"/>
    <w:rsid w:val="00AB70F9"/>
    <w:rsid w:val="00AB721B"/>
    <w:rsid w:val="00AC01B6"/>
    <w:rsid w:val="00AC044B"/>
    <w:rsid w:val="00AC0E2C"/>
    <w:rsid w:val="00AC190A"/>
    <w:rsid w:val="00AC1939"/>
    <w:rsid w:val="00AC2044"/>
    <w:rsid w:val="00AC2120"/>
    <w:rsid w:val="00AC2C83"/>
    <w:rsid w:val="00AC2D0A"/>
    <w:rsid w:val="00AC4514"/>
    <w:rsid w:val="00AC457B"/>
    <w:rsid w:val="00AC4C75"/>
    <w:rsid w:val="00AC54D0"/>
    <w:rsid w:val="00AC5A58"/>
    <w:rsid w:val="00AC5FB7"/>
    <w:rsid w:val="00AC7657"/>
    <w:rsid w:val="00AC7ADB"/>
    <w:rsid w:val="00AC7C05"/>
    <w:rsid w:val="00AD015C"/>
    <w:rsid w:val="00AD167C"/>
    <w:rsid w:val="00AD17C7"/>
    <w:rsid w:val="00AD1F9C"/>
    <w:rsid w:val="00AD1FD1"/>
    <w:rsid w:val="00AD2204"/>
    <w:rsid w:val="00AD298F"/>
    <w:rsid w:val="00AD2E58"/>
    <w:rsid w:val="00AD36CC"/>
    <w:rsid w:val="00AD4041"/>
    <w:rsid w:val="00AD45C1"/>
    <w:rsid w:val="00AD5ABC"/>
    <w:rsid w:val="00AD6293"/>
    <w:rsid w:val="00AD6893"/>
    <w:rsid w:val="00AD73B4"/>
    <w:rsid w:val="00AD77AE"/>
    <w:rsid w:val="00AD78FC"/>
    <w:rsid w:val="00AD7A35"/>
    <w:rsid w:val="00AE010A"/>
    <w:rsid w:val="00AE0191"/>
    <w:rsid w:val="00AE0525"/>
    <w:rsid w:val="00AE07C3"/>
    <w:rsid w:val="00AE0E19"/>
    <w:rsid w:val="00AE0E37"/>
    <w:rsid w:val="00AE23E0"/>
    <w:rsid w:val="00AE2C3F"/>
    <w:rsid w:val="00AE2C77"/>
    <w:rsid w:val="00AE302B"/>
    <w:rsid w:val="00AE3529"/>
    <w:rsid w:val="00AE40F9"/>
    <w:rsid w:val="00AE4901"/>
    <w:rsid w:val="00AE4E2A"/>
    <w:rsid w:val="00AE4F54"/>
    <w:rsid w:val="00AE644A"/>
    <w:rsid w:val="00AE6DD3"/>
    <w:rsid w:val="00AE7321"/>
    <w:rsid w:val="00AE7708"/>
    <w:rsid w:val="00AF05BC"/>
    <w:rsid w:val="00AF1258"/>
    <w:rsid w:val="00AF1A82"/>
    <w:rsid w:val="00AF1E35"/>
    <w:rsid w:val="00AF31F0"/>
    <w:rsid w:val="00AF37C1"/>
    <w:rsid w:val="00AF54C3"/>
    <w:rsid w:val="00AF71AE"/>
    <w:rsid w:val="00AF7268"/>
    <w:rsid w:val="00AF760D"/>
    <w:rsid w:val="00AF77DC"/>
    <w:rsid w:val="00AF7A70"/>
    <w:rsid w:val="00AF7C6A"/>
    <w:rsid w:val="00B0004D"/>
    <w:rsid w:val="00B0009A"/>
    <w:rsid w:val="00B001E6"/>
    <w:rsid w:val="00B00505"/>
    <w:rsid w:val="00B00700"/>
    <w:rsid w:val="00B008FF"/>
    <w:rsid w:val="00B00C52"/>
    <w:rsid w:val="00B00E04"/>
    <w:rsid w:val="00B01552"/>
    <w:rsid w:val="00B0290F"/>
    <w:rsid w:val="00B04383"/>
    <w:rsid w:val="00B04967"/>
    <w:rsid w:val="00B05305"/>
    <w:rsid w:val="00B053C8"/>
    <w:rsid w:val="00B0560A"/>
    <w:rsid w:val="00B058CE"/>
    <w:rsid w:val="00B1088D"/>
    <w:rsid w:val="00B111BB"/>
    <w:rsid w:val="00B11BF7"/>
    <w:rsid w:val="00B12647"/>
    <w:rsid w:val="00B140EA"/>
    <w:rsid w:val="00B141A5"/>
    <w:rsid w:val="00B15EA7"/>
    <w:rsid w:val="00B1604D"/>
    <w:rsid w:val="00B169AE"/>
    <w:rsid w:val="00B210C8"/>
    <w:rsid w:val="00B2129D"/>
    <w:rsid w:val="00B2294E"/>
    <w:rsid w:val="00B23422"/>
    <w:rsid w:val="00B23882"/>
    <w:rsid w:val="00B2388F"/>
    <w:rsid w:val="00B24167"/>
    <w:rsid w:val="00B244AC"/>
    <w:rsid w:val="00B259DF"/>
    <w:rsid w:val="00B2642F"/>
    <w:rsid w:val="00B27790"/>
    <w:rsid w:val="00B30FDC"/>
    <w:rsid w:val="00B310E0"/>
    <w:rsid w:val="00B31ADD"/>
    <w:rsid w:val="00B320AD"/>
    <w:rsid w:val="00B33407"/>
    <w:rsid w:val="00B3355C"/>
    <w:rsid w:val="00B3410D"/>
    <w:rsid w:val="00B341B6"/>
    <w:rsid w:val="00B34325"/>
    <w:rsid w:val="00B3456E"/>
    <w:rsid w:val="00B350B2"/>
    <w:rsid w:val="00B35154"/>
    <w:rsid w:val="00B35276"/>
    <w:rsid w:val="00B37F14"/>
    <w:rsid w:val="00B4023A"/>
    <w:rsid w:val="00B40F4F"/>
    <w:rsid w:val="00B41446"/>
    <w:rsid w:val="00B41A83"/>
    <w:rsid w:val="00B42CC2"/>
    <w:rsid w:val="00B42DEC"/>
    <w:rsid w:val="00B437CD"/>
    <w:rsid w:val="00B43B16"/>
    <w:rsid w:val="00B44422"/>
    <w:rsid w:val="00B44B1F"/>
    <w:rsid w:val="00B464E0"/>
    <w:rsid w:val="00B4787E"/>
    <w:rsid w:val="00B50450"/>
    <w:rsid w:val="00B505F5"/>
    <w:rsid w:val="00B51473"/>
    <w:rsid w:val="00B51C2D"/>
    <w:rsid w:val="00B5228F"/>
    <w:rsid w:val="00B52539"/>
    <w:rsid w:val="00B54171"/>
    <w:rsid w:val="00B61940"/>
    <w:rsid w:val="00B63046"/>
    <w:rsid w:val="00B630D0"/>
    <w:rsid w:val="00B64141"/>
    <w:rsid w:val="00B64E72"/>
    <w:rsid w:val="00B65587"/>
    <w:rsid w:val="00B65FB4"/>
    <w:rsid w:val="00B66042"/>
    <w:rsid w:val="00B67B28"/>
    <w:rsid w:val="00B67D1E"/>
    <w:rsid w:val="00B701FB"/>
    <w:rsid w:val="00B7057B"/>
    <w:rsid w:val="00B70D1F"/>
    <w:rsid w:val="00B7116A"/>
    <w:rsid w:val="00B716C6"/>
    <w:rsid w:val="00B71DD4"/>
    <w:rsid w:val="00B71FC3"/>
    <w:rsid w:val="00B73194"/>
    <w:rsid w:val="00B733D6"/>
    <w:rsid w:val="00B73636"/>
    <w:rsid w:val="00B74154"/>
    <w:rsid w:val="00B749C5"/>
    <w:rsid w:val="00B753A1"/>
    <w:rsid w:val="00B75794"/>
    <w:rsid w:val="00B76256"/>
    <w:rsid w:val="00B76D48"/>
    <w:rsid w:val="00B77913"/>
    <w:rsid w:val="00B77CB8"/>
    <w:rsid w:val="00B80EF1"/>
    <w:rsid w:val="00B81DAE"/>
    <w:rsid w:val="00B824FB"/>
    <w:rsid w:val="00B8253A"/>
    <w:rsid w:val="00B82646"/>
    <w:rsid w:val="00B828BA"/>
    <w:rsid w:val="00B83838"/>
    <w:rsid w:val="00B84349"/>
    <w:rsid w:val="00B8456C"/>
    <w:rsid w:val="00B84C4F"/>
    <w:rsid w:val="00B865FB"/>
    <w:rsid w:val="00B87722"/>
    <w:rsid w:val="00B87B60"/>
    <w:rsid w:val="00B87C5F"/>
    <w:rsid w:val="00B91613"/>
    <w:rsid w:val="00B92245"/>
    <w:rsid w:val="00B92E1A"/>
    <w:rsid w:val="00B935E5"/>
    <w:rsid w:val="00B93A56"/>
    <w:rsid w:val="00B93CA4"/>
    <w:rsid w:val="00B94F15"/>
    <w:rsid w:val="00B95347"/>
    <w:rsid w:val="00B964AE"/>
    <w:rsid w:val="00B966AB"/>
    <w:rsid w:val="00B96C09"/>
    <w:rsid w:val="00B96D30"/>
    <w:rsid w:val="00B97359"/>
    <w:rsid w:val="00B97A8F"/>
    <w:rsid w:val="00BA04C2"/>
    <w:rsid w:val="00BA132C"/>
    <w:rsid w:val="00BA19C9"/>
    <w:rsid w:val="00BA1C61"/>
    <w:rsid w:val="00BA1E76"/>
    <w:rsid w:val="00BA1E99"/>
    <w:rsid w:val="00BA23F8"/>
    <w:rsid w:val="00BA3009"/>
    <w:rsid w:val="00BA3049"/>
    <w:rsid w:val="00BA42EF"/>
    <w:rsid w:val="00BA48D2"/>
    <w:rsid w:val="00BA4E58"/>
    <w:rsid w:val="00BA56A7"/>
    <w:rsid w:val="00BA7074"/>
    <w:rsid w:val="00BB0BF5"/>
    <w:rsid w:val="00BB11E4"/>
    <w:rsid w:val="00BB2193"/>
    <w:rsid w:val="00BB21FD"/>
    <w:rsid w:val="00BB221A"/>
    <w:rsid w:val="00BB2B92"/>
    <w:rsid w:val="00BB349B"/>
    <w:rsid w:val="00BB449A"/>
    <w:rsid w:val="00BB576A"/>
    <w:rsid w:val="00BB5898"/>
    <w:rsid w:val="00BB5EBA"/>
    <w:rsid w:val="00BB7829"/>
    <w:rsid w:val="00BC1594"/>
    <w:rsid w:val="00BC188A"/>
    <w:rsid w:val="00BC1E3D"/>
    <w:rsid w:val="00BC2184"/>
    <w:rsid w:val="00BC24E8"/>
    <w:rsid w:val="00BC2DB3"/>
    <w:rsid w:val="00BC2F17"/>
    <w:rsid w:val="00BC408F"/>
    <w:rsid w:val="00BC4B51"/>
    <w:rsid w:val="00BC5D65"/>
    <w:rsid w:val="00BC7532"/>
    <w:rsid w:val="00BD0055"/>
    <w:rsid w:val="00BD00AF"/>
    <w:rsid w:val="00BD0DBF"/>
    <w:rsid w:val="00BD106F"/>
    <w:rsid w:val="00BD1231"/>
    <w:rsid w:val="00BD1457"/>
    <w:rsid w:val="00BD1B5B"/>
    <w:rsid w:val="00BD1BF4"/>
    <w:rsid w:val="00BD3825"/>
    <w:rsid w:val="00BD458F"/>
    <w:rsid w:val="00BD49FF"/>
    <w:rsid w:val="00BD4C6B"/>
    <w:rsid w:val="00BD5200"/>
    <w:rsid w:val="00BD5D91"/>
    <w:rsid w:val="00BD60B8"/>
    <w:rsid w:val="00BD6168"/>
    <w:rsid w:val="00BD61AF"/>
    <w:rsid w:val="00BD6CE7"/>
    <w:rsid w:val="00BE0CAE"/>
    <w:rsid w:val="00BE0E67"/>
    <w:rsid w:val="00BE11AB"/>
    <w:rsid w:val="00BE1341"/>
    <w:rsid w:val="00BE1478"/>
    <w:rsid w:val="00BE15CB"/>
    <w:rsid w:val="00BE16F6"/>
    <w:rsid w:val="00BE2140"/>
    <w:rsid w:val="00BE2AD9"/>
    <w:rsid w:val="00BE2B1D"/>
    <w:rsid w:val="00BE30A1"/>
    <w:rsid w:val="00BE3188"/>
    <w:rsid w:val="00BE34E9"/>
    <w:rsid w:val="00BE4ADF"/>
    <w:rsid w:val="00BE4F77"/>
    <w:rsid w:val="00BE5396"/>
    <w:rsid w:val="00BE597C"/>
    <w:rsid w:val="00BE5C49"/>
    <w:rsid w:val="00BE5DC0"/>
    <w:rsid w:val="00BE5E91"/>
    <w:rsid w:val="00BE63A0"/>
    <w:rsid w:val="00BF0700"/>
    <w:rsid w:val="00BF0CB5"/>
    <w:rsid w:val="00BF14FD"/>
    <w:rsid w:val="00BF1839"/>
    <w:rsid w:val="00BF1C41"/>
    <w:rsid w:val="00BF2013"/>
    <w:rsid w:val="00BF2079"/>
    <w:rsid w:val="00BF26CE"/>
    <w:rsid w:val="00BF27FE"/>
    <w:rsid w:val="00BF38BF"/>
    <w:rsid w:val="00BF40CC"/>
    <w:rsid w:val="00BF4526"/>
    <w:rsid w:val="00BF4CAF"/>
    <w:rsid w:val="00BF4FC8"/>
    <w:rsid w:val="00BF5732"/>
    <w:rsid w:val="00BF64C7"/>
    <w:rsid w:val="00BF6643"/>
    <w:rsid w:val="00BF7799"/>
    <w:rsid w:val="00BF7AB0"/>
    <w:rsid w:val="00C00723"/>
    <w:rsid w:val="00C011F4"/>
    <w:rsid w:val="00C043B3"/>
    <w:rsid w:val="00C04477"/>
    <w:rsid w:val="00C0460F"/>
    <w:rsid w:val="00C050DC"/>
    <w:rsid w:val="00C0582B"/>
    <w:rsid w:val="00C06150"/>
    <w:rsid w:val="00C07547"/>
    <w:rsid w:val="00C079AB"/>
    <w:rsid w:val="00C07AC9"/>
    <w:rsid w:val="00C10A31"/>
    <w:rsid w:val="00C10B35"/>
    <w:rsid w:val="00C10DF4"/>
    <w:rsid w:val="00C10E61"/>
    <w:rsid w:val="00C120E0"/>
    <w:rsid w:val="00C12303"/>
    <w:rsid w:val="00C14787"/>
    <w:rsid w:val="00C14DBD"/>
    <w:rsid w:val="00C1596D"/>
    <w:rsid w:val="00C15B8D"/>
    <w:rsid w:val="00C16A57"/>
    <w:rsid w:val="00C17010"/>
    <w:rsid w:val="00C1731A"/>
    <w:rsid w:val="00C20419"/>
    <w:rsid w:val="00C20472"/>
    <w:rsid w:val="00C20562"/>
    <w:rsid w:val="00C20590"/>
    <w:rsid w:val="00C20C58"/>
    <w:rsid w:val="00C20C8D"/>
    <w:rsid w:val="00C215C3"/>
    <w:rsid w:val="00C23A68"/>
    <w:rsid w:val="00C23A96"/>
    <w:rsid w:val="00C23CA0"/>
    <w:rsid w:val="00C244AE"/>
    <w:rsid w:val="00C249C6"/>
    <w:rsid w:val="00C24A11"/>
    <w:rsid w:val="00C2708A"/>
    <w:rsid w:val="00C30AF0"/>
    <w:rsid w:val="00C32CC1"/>
    <w:rsid w:val="00C33239"/>
    <w:rsid w:val="00C336E2"/>
    <w:rsid w:val="00C34069"/>
    <w:rsid w:val="00C34B6C"/>
    <w:rsid w:val="00C34BA2"/>
    <w:rsid w:val="00C35D86"/>
    <w:rsid w:val="00C3657B"/>
    <w:rsid w:val="00C400FF"/>
    <w:rsid w:val="00C4070C"/>
    <w:rsid w:val="00C41EE6"/>
    <w:rsid w:val="00C426EC"/>
    <w:rsid w:val="00C43484"/>
    <w:rsid w:val="00C43853"/>
    <w:rsid w:val="00C444A3"/>
    <w:rsid w:val="00C450BA"/>
    <w:rsid w:val="00C45FDB"/>
    <w:rsid w:val="00C46787"/>
    <w:rsid w:val="00C46D7E"/>
    <w:rsid w:val="00C47225"/>
    <w:rsid w:val="00C47A7A"/>
    <w:rsid w:val="00C50A64"/>
    <w:rsid w:val="00C50DF5"/>
    <w:rsid w:val="00C52CAA"/>
    <w:rsid w:val="00C5362E"/>
    <w:rsid w:val="00C53B86"/>
    <w:rsid w:val="00C551EC"/>
    <w:rsid w:val="00C556B9"/>
    <w:rsid w:val="00C55F17"/>
    <w:rsid w:val="00C57489"/>
    <w:rsid w:val="00C57C0E"/>
    <w:rsid w:val="00C57C36"/>
    <w:rsid w:val="00C6082D"/>
    <w:rsid w:val="00C61A0A"/>
    <w:rsid w:val="00C61BC1"/>
    <w:rsid w:val="00C62B1D"/>
    <w:rsid w:val="00C62DA7"/>
    <w:rsid w:val="00C63378"/>
    <w:rsid w:val="00C6405A"/>
    <w:rsid w:val="00C646A2"/>
    <w:rsid w:val="00C6483C"/>
    <w:rsid w:val="00C64AE9"/>
    <w:rsid w:val="00C64DBA"/>
    <w:rsid w:val="00C65289"/>
    <w:rsid w:val="00C657C2"/>
    <w:rsid w:val="00C66121"/>
    <w:rsid w:val="00C66494"/>
    <w:rsid w:val="00C6679C"/>
    <w:rsid w:val="00C66CD1"/>
    <w:rsid w:val="00C67765"/>
    <w:rsid w:val="00C678D4"/>
    <w:rsid w:val="00C7030B"/>
    <w:rsid w:val="00C704FD"/>
    <w:rsid w:val="00C70CFF"/>
    <w:rsid w:val="00C713CD"/>
    <w:rsid w:val="00C71502"/>
    <w:rsid w:val="00C718FE"/>
    <w:rsid w:val="00C71CCB"/>
    <w:rsid w:val="00C720F5"/>
    <w:rsid w:val="00C7238E"/>
    <w:rsid w:val="00C72942"/>
    <w:rsid w:val="00C72C58"/>
    <w:rsid w:val="00C72D6F"/>
    <w:rsid w:val="00C73EDB"/>
    <w:rsid w:val="00C742F6"/>
    <w:rsid w:val="00C745C0"/>
    <w:rsid w:val="00C74937"/>
    <w:rsid w:val="00C74B54"/>
    <w:rsid w:val="00C74D8D"/>
    <w:rsid w:val="00C750C5"/>
    <w:rsid w:val="00C75154"/>
    <w:rsid w:val="00C757C9"/>
    <w:rsid w:val="00C75F7D"/>
    <w:rsid w:val="00C760B5"/>
    <w:rsid w:val="00C76889"/>
    <w:rsid w:val="00C76DCA"/>
    <w:rsid w:val="00C771D7"/>
    <w:rsid w:val="00C77209"/>
    <w:rsid w:val="00C772D1"/>
    <w:rsid w:val="00C8195D"/>
    <w:rsid w:val="00C82862"/>
    <w:rsid w:val="00C82A1A"/>
    <w:rsid w:val="00C83B29"/>
    <w:rsid w:val="00C83E22"/>
    <w:rsid w:val="00C840E2"/>
    <w:rsid w:val="00C84662"/>
    <w:rsid w:val="00C861EC"/>
    <w:rsid w:val="00C874DC"/>
    <w:rsid w:val="00C8773D"/>
    <w:rsid w:val="00C877E0"/>
    <w:rsid w:val="00C87ABB"/>
    <w:rsid w:val="00C87E33"/>
    <w:rsid w:val="00C87E8E"/>
    <w:rsid w:val="00C90170"/>
    <w:rsid w:val="00C902F6"/>
    <w:rsid w:val="00C90854"/>
    <w:rsid w:val="00C9140C"/>
    <w:rsid w:val="00C91831"/>
    <w:rsid w:val="00C920A7"/>
    <w:rsid w:val="00C92331"/>
    <w:rsid w:val="00C9270F"/>
    <w:rsid w:val="00C9272F"/>
    <w:rsid w:val="00C92DBB"/>
    <w:rsid w:val="00C9380D"/>
    <w:rsid w:val="00C950A2"/>
    <w:rsid w:val="00C953DF"/>
    <w:rsid w:val="00C95E6C"/>
    <w:rsid w:val="00C96D33"/>
    <w:rsid w:val="00C970C4"/>
    <w:rsid w:val="00C972B7"/>
    <w:rsid w:val="00C97B3C"/>
    <w:rsid w:val="00CA07BD"/>
    <w:rsid w:val="00CA0D68"/>
    <w:rsid w:val="00CA1B76"/>
    <w:rsid w:val="00CA2901"/>
    <w:rsid w:val="00CA2905"/>
    <w:rsid w:val="00CA3370"/>
    <w:rsid w:val="00CA3873"/>
    <w:rsid w:val="00CA3C1B"/>
    <w:rsid w:val="00CA4387"/>
    <w:rsid w:val="00CA4992"/>
    <w:rsid w:val="00CA5AD1"/>
    <w:rsid w:val="00CA64BF"/>
    <w:rsid w:val="00CA66E6"/>
    <w:rsid w:val="00CA671A"/>
    <w:rsid w:val="00CA6AEA"/>
    <w:rsid w:val="00CA78ED"/>
    <w:rsid w:val="00CA7AB9"/>
    <w:rsid w:val="00CA7B44"/>
    <w:rsid w:val="00CB0377"/>
    <w:rsid w:val="00CB10D5"/>
    <w:rsid w:val="00CB15EA"/>
    <w:rsid w:val="00CB1CF6"/>
    <w:rsid w:val="00CB3024"/>
    <w:rsid w:val="00CB3097"/>
    <w:rsid w:val="00CB4170"/>
    <w:rsid w:val="00CB48B5"/>
    <w:rsid w:val="00CB4C17"/>
    <w:rsid w:val="00CB4ECC"/>
    <w:rsid w:val="00CB5398"/>
    <w:rsid w:val="00CB5458"/>
    <w:rsid w:val="00CB5641"/>
    <w:rsid w:val="00CB5734"/>
    <w:rsid w:val="00CB5B0C"/>
    <w:rsid w:val="00CB5BE7"/>
    <w:rsid w:val="00CB6257"/>
    <w:rsid w:val="00CB62C8"/>
    <w:rsid w:val="00CB7190"/>
    <w:rsid w:val="00CB733F"/>
    <w:rsid w:val="00CB751B"/>
    <w:rsid w:val="00CB7E2D"/>
    <w:rsid w:val="00CC0244"/>
    <w:rsid w:val="00CC1A76"/>
    <w:rsid w:val="00CC37A7"/>
    <w:rsid w:val="00CC3ADF"/>
    <w:rsid w:val="00CC3B6C"/>
    <w:rsid w:val="00CC5C6E"/>
    <w:rsid w:val="00CC6B48"/>
    <w:rsid w:val="00CC7F89"/>
    <w:rsid w:val="00CD0495"/>
    <w:rsid w:val="00CD1947"/>
    <w:rsid w:val="00CD1AE6"/>
    <w:rsid w:val="00CD1F6A"/>
    <w:rsid w:val="00CD349E"/>
    <w:rsid w:val="00CD4158"/>
    <w:rsid w:val="00CD4664"/>
    <w:rsid w:val="00CD48E3"/>
    <w:rsid w:val="00CD4A53"/>
    <w:rsid w:val="00CD53F8"/>
    <w:rsid w:val="00CD53FA"/>
    <w:rsid w:val="00CD63A7"/>
    <w:rsid w:val="00CD6606"/>
    <w:rsid w:val="00CD68E0"/>
    <w:rsid w:val="00CD6C58"/>
    <w:rsid w:val="00CD7059"/>
    <w:rsid w:val="00CE1538"/>
    <w:rsid w:val="00CE1DB2"/>
    <w:rsid w:val="00CE212D"/>
    <w:rsid w:val="00CE228D"/>
    <w:rsid w:val="00CE26F6"/>
    <w:rsid w:val="00CE2709"/>
    <w:rsid w:val="00CE2D64"/>
    <w:rsid w:val="00CE2FE7"/>
    <w:rsid w:val="00CE39AB"/>
    <w:rsid w:val="00CE4132"/>
    <w:rsid w:val="00CE5B36"/>
    <w:rsid w:val="00CE5D29"/>
    <w:rsid w:val="00CE6198"/>
    <w:rsid w:val="00CE637E"/>
    <w:rsid w:val="00CE66B2"/>
    <w:rsid w:val="00CF0963"/>
    <w:rsid w:val="00CF0CBB"/>
    <w:rsid w:val="00CF122F"/>
    <w:rsid w:val="00CF2650"/>
    <w:rsid w:val="00CF26E4"/>
    <w:rsid w:val="00CF2E1D"/>
    <w:rsid w:val="00CF385B"/>
    <w:rsid w:val="00CF38D0"/>
    <w:rsid w:val="00CF400F"/>
    <w:rsid w:val="00CF4E34"/>
    <w:rsid w:val="00CF4E72"/>
    <w:rsid w:val="00CF5C62"/>
    <w:rsid w:val="00CF6230"/>
    <w:rsid w:val="00D01716"/>
    <w:rsid w:val="00D017FC"/>
    <w:rsid w:val="00D01DC1"/>
    <w:rsid w:val="00D021C1"/>
    <w:rsid w:val="00D0226A"/>
    <w:rsid w:val="00D024A8"/>
    <w:rsid w:val="00D0284E"/>
    <w:rsid w:val="00D02934"/>
    <w:rsid w:val="00D02AEA"/>
    <w:rsid w:val="00D02B46"/>
    <w:rsid w:val="00D02D97"/>
    <w:rsid w:val="00D03048"/>
    <w:rsid w:val="00D033C6"/>
    <w:rsid w:val="00D03719"/>
    <w:rsid w:val="00D0530F"/>
    <w:rsid w:val="00D06060"/>
    <w:rsid w:val="00D06869"/>
    <w:rsid w:val="00D07139"/>
    <w:rsid w:val="00D07652"/>
    <w:rsid w:val="00D10308"/>
    <w:rsid w:val="00D10362"/>
    <w:rsid w:val="00D108BE"/>
    <w:rsid w:val="00D12408"/>
    <w:rsid w:val="00D1256B"/>
    <w:rsid w:val="00D128D7"/>
    <w:rsid w:val="00D12AB9"/>
    <w:rsid w:val="00D12F8F"/>
    <w:rsid w:val="00D13147"/>
    <w:rsid w:val="00D134A4"/>
    <w:rsid w:val="00D137FA"/>
    <w:rsid w:val="00D13936"/>
    <w:rsid w:val="00D14D8A"/>
    <w:rsid w:val="00D14DB9"/>
    <w:rsid w:val="00D1521B"/>
    <w:rsid w:val="00D16460"/>
    <w:rsid w:val="00D1722C"/>
    <w:rsid w:val="00D17617"/>
    <w:rsid w:val="00D20DF5"/>
    <w:rsid w:val="00D21A77"/>
    <w:rsid w:val="00D237F8"/>
    <w:rsid w:val="00D243CF"/>
    <w:rsid w:val="00D26361"/>
    <w:rsid w:val="00D2693D"/>
    <w:rsid w:val="00D26C59"/>
    <w:rsid w:val="00D30708"/>
    <w:rsid w:val="00D3085A"/>
    <w:rsid w:val="00D31E37"/>
    <w:rsid w:val="00D320B1"/>
    <w:rsid w:val="00D32B8D"/>
    <w:rsid w:val="00D34A6B"/>
    <w:rsid w:val="00D34DC0"/>
    <w:rsid w:val="00D3614E"/>
    <w:rsid w:val="00D36C96"/>
    <w:rsid w:val="00D36D9B"/>
    <w:rsid w:val="00D37306"/>
    <w:rsid w:val="00D40297"/>
    <w:rsid w:val="00D41908"/>
    <w:rsid w:val="00D41983"/>
    <w:rsid w:val="00D41BF4"/>
    <w:rsid w:val="00D41FAC"/>
    <w:rsid w:val="00D42479"/>
    <w:rsid w:val="00D42811"/>
    <w:rsid w:val="00D42FEF"/>
    <w:rsid w:val="00D440B2"/>
    <w:rsid w:val="00D440D8"/>
    <w:rsid w:val="00D44F26"/>
    <w:rsid w:val="00D4672E"/>
    <w:rsid w:val="00D46733"/>
    <w:rsid w:val="00D46D69"/>
    <w:rsid w:val="00D47569"/>
    <w:rsid w:val="00D478C4"/>
    <w:rsid w:val="00D5042D"/>
    <w:rsid w:val="00D508E2"/>
    <w:rsid w:val="00D50B98"/>
    <w:rsid w:val="00D5107F"/>
    <w:rsid w:val="00D52435"/>
    <w:rsid w:val="00D5272F"/>
    <w:rsid w:val="00D54793"/>
    <w:rsid w:val="00D547AC"/>
    <w:rsid w:val="00D547DB"/>
    <w:rsid w:val="00D548EA"/>
    <w:rsid w:val="00D54C4C"/>
    <w:rsid w:val="00D558AD"/>
    <w:rsid w:val="00D55A34"/>
    <w:rsid w:val="00D5611A"/>
    <w:rsid w:val="00D568A6"/>
    <w:rsid w:val="00D5715A"/>
    <w:rsid w:val="00D57166"/>
    <w:rsid w:val="00D57339"/>
    <w:rsid w:val="00D579A2"/>
    <w:rsid w:val="00D611E5"/>
    <w:rsid w:val="00D61300"/>
    <w:rsid w:val="00D614B3"/>
    <w:rsid w:val="00D61F54"/>
    <w:rsid w:val="00D63AF7"/>
    <w:rsid w:val="00D64CED"/>
    <w:rsid w:val="00D6518E"/>
    <w:rsid w:val="00D653C0"/>
    <w:rsid w:val="00D65419"/>
    <w:rsid w:val="00D65732"/>
    <w:rsid w:val="00D657D8"/>
    <w:rsid w:val="00D67A5D"/>
    <w:rsid w:val="00D71687"/>
    <w:rsid w:val="00D72ABC"/>
    <w:rsid w:val="00D72CEA"/>
    <w:rsid w:val="00D73145"/>
    <w:rsid w:val="00D7378B"/>
    <w:rsid w:val="00D7439A"/>
    <w:rsid w:val="00D74813"/>
    <w:rsid w:val="00D753A2"/>
    <w:rsid w:val="00D757B6"/>
    <w:rsid w:val="00D7755B"/>
    <w:rsid w:val="00D80C99"/>
    <w:rsid w:val="00D81C88"/>
    <w:rsid w:val="00D81F6B"/>
    <w:rsid w:val="00D822A7"/>
    <w:rsid w:val="00D82912"/>
    <w:rsid w:val="00D82DBB"/>
    <w:rsid w:val="00D82DD9"/>
    <w:rsid w:val="00D8374B"/>
    <w:rsid w:val="00D9049D"/>
    <w:rsid w:val="00D90F0C"/>
    <w:rsid w:val="00D916ED"/>
    <w:rsid w:val="00D92427"/>
    <w:rsid w:val="00D937F5"/>
    <w:rsid w:val="00D93E38"/>
    <w:rsid w:val="00D950DA"/>
    <w:rsid w:val="00D95C3E"/>
    <w:rsid w:val="00D96620"/>
    <w:rsid w:val="00D97C23"/>
    <w:rsid w:val="00DA03A9"/>
    <w:rsid w:val="00DA0468"/>
    <w:rsid w:val="00DA0873"/>
    <w:rsid w:val="00DA0F97"/>
    <w:rsid w:val="00DA1223"/>
    <w:rsid w:val="00DA1CCE"/>
    <w:rsid w:val="00DA227A"/>
    <w:rsid w:val="00DA2715"/>
    <w:rsid w:val="00DA2CD1"/>
    <w:rsid w:val="00DA30BC"/>
    <w:rsid w:val="00DA3320"/>
    <w:rsid w:val="00DA36F5"/>
    <w:rsid w:val="00DA3AEC"/>
    <w:rsid w:val="00DA42DA"/>
    <w:rsid w:val="00DA452D"/>
    <w:rsid w:val="00DA5A93"/>
    <w:rsid w:val="00DA61F5"/>
    <w:rsid w:val="00DA658E"/>
    <w:rsid w:val="00DA69C2"/>
    <w:rsid w:val="00DA6C36"/>
    <w:rsid w:val="00DA6D70"/>
    <w:rsid w:val="00DA73D6"/>
    <w:rsid w:val="00DA773B"/>
    <w:rsid w:val="00DA7D86"/>
    <w:rsid w:val="00DB38CB"/>
    <w:rsid w:val="00DB3F32"/>
    <w:rsid w:val="00DB5187"/>
    <w:rsid w:val="00DB55C1"/>
    <w:rsid w:val="00DB5697"/>
    <w:rsid w:val="00DB58FF"/>
    <w:rsid w:val="00DB6050"/>
    <w:rsid w:val="00DB628B"/>
    <w:rsid w:val="00DB6DE8"/>
    <w:rsid w:val="00DB7A4A"/>
    <w:rsid w:val="00DB7AAE"/>
    <w:rsid w:val="00DB7B65"/>
    <w:rsid w:val="00DC0558"/>
    <w:rsid w:val="00DC1F13"/>
    <w:rsid w:val="00DC24B7"/>
    <w:rsid w:val="00DC2533"/>
    <w:rsid w:val="00DC299A"/>
    <w:rsid w:val="00DC2C34"/>
    <w:rsid w:val="00DC3D1A"/>
    <w:rsid w:val="00DC4359"/>
    <w:rsid w:val="00DC4909"/>
    <w:rsid w:val="00DC4AFA"/>
    <w:rsid w:val="00DC4C44"/>
    <w:rsid w:val="00DC4D43"/>
    <w:rsid w:val="00DC54B6"/>
    <w:rsid w:val="00DC6CD6"/>
    <w:rsid w:val="00DC6DDF"/>
    <w:rsid w:val="00DC740E"/>
    <w:rsid w:val="00DC74E3"/>
    <w:rsid w:val="00DC7D45"/>
    <w:rsid w:val="00DC7F7E"/>
    <w:rsid w:val="00DC7FCA"/>
    <w:rsid w:val="00DD0080"/>
    <w:rsid w:val="00DD04E5"/>
    <w:rsid w:val="00DD16FF"/>
    <w:rsid w:val="00DD1C5F"/>
    <w:rsid w:val="00DD226F"/>
    <w:rsid w:val="00DD2488"/>
    <w:rsid w:val="00DD2E0C"/>
    <w:rsid w:val="00DD4916"/>
    <w:rsid w:val="00DD4A16"/>
    <w:rsid w:val="00DD5064"/>
    <w:rsid w:val="00DD54FA"/>
    <w:rsid w:val="00DD77BD"/>
    <w:rsid w:val="00DE0479"/>
    <w:rsid w:val="00DE1382"/>
    <w:rsid w:val="00DE1F14"/>
    <w:rsid w:val="00DE211C"/>
    <w:rsid w:val="00DE288D"/>
    <w:rsid w:val="00DE2C87"/>
    <w:rsid w:val="00DE459A"/>
    <w:rsid w:val="00DE4AB3"/>
    <w:rsid w:val="00DE4F42"/>
    <w:rsid w:val="00DE586C"/>
    <w:rsid w:val="00DE6054"/>
    <w:rsid w:val="00DE6236"/>
    <w:rsid w:val="00DE64BE"/>
    <w:rsid w:val="00DE6702"/>
    <w:rsid w:val="00DE6C30"/>
    <w:rsid w:val="00DE6FE3"/>
    <w:rsid w:val="00DE70EB"/>
    <w:rsid w:val="00DE7E07"/>
    <w:rsid w:val="00DF0718"/>
    <w:rsid w:val="00DF1E2F"/>
    <w:rsid w:val="00DF27DA"/>
    <w:rsid w:val="00DF2B8B"/>
    <w:rsid w:val="00DF429B"/>
    <w:rsid w:val="00DF495C"/>
    <w:rsid w:val="00DF4B88"/>
    <w:rsid w:val="00DF4CD9"/>
    <w:rsid w:val="00DF4DBE"/>
    <w:rsid w:val="00DF5BF0"/>
    <w:rsid w:val="00DF5DDF"/>
    <w:rsid w:val="00DF62B2"/>
    <w:rsid w:val="00DF6E76"/>
    <w:rsid w:val="00DF7C61"/>
    <w:rsid w:val="00DF7DCB"/>
    <w:rsid w:val="00E00F3C"/>
    <w:rsid w:val="00E01077"/>
    <w:rsid w:val="00E0120A"/>
    <w:rsid w:val="00E01EE6"/>
    <w:rsid w:val="00E021C5"/>
    <w:rsid w:val="00E02EE8"/>
    <w:rsid w:val="00E0312A"/>
    <w:rsid w:val="00E03AC5"/>
    <w:rsid w:val="00E04145"/>
    <w:rsid w:val="00E043F5"/>
    <w:rsid w:val="00E05998"/>
    <w:rsid w:val="00E06A2B"/>
    <w:rsid w:val="00E06DF5"/>
    <w:rsid w:val="00E06E0E"/>
    <w:rsid w:val="00E07324"/>
    <w:rsid w:val="00E07DBC"/>
    <w:rsid w:val="00E101E9"/>
    <w:rsid w:val="00E10223"/>
    <w:rsid w:val="00E10872"/>
    <w:rsid w:val="00E11520"/>
    <w:rsid w:val="00E1174C"/>
    <w:rsid w:val="00E12A64"/>
    <w:rsid w:val="00E134C4"/>
    <w:rsid w:val="00E13835"/>
    <w:rsid w:val="00E13F1B"/>
    <w:rsid w:val="00E14209"/>
    <w:rsid w:val="00E14AD7"/>
    <w:rsid w:val="00E154ED"/>
    <w:rsid w:val="00E15817"/>
    <w:rsid w:val="00E16D40"/>
    <w:rsid w:val="00E17D99"/>
    <w:rsid w:val="00E202D3"/>
    <w:rsid w:val="00E20B32"/>
    <w:rsid w:val="00E21076"/>
    <w:rsid w:val="00E21805"/>
    <w:rsid w:val="00E221DC"/>
    <w:rsid w:val="00E22F54"/>
    <w:rsid w:val="00E23AA0"/>
    <w:rsid w:val="00E25D02"/>
    <w:rsid w:val="00E26DA4"/>
    <w:rsid w:val="00E26FAE"/>
    <w:rsid w:val="00E270BE"/>
    <w:rsid w:val="00E27A4E"/>
    <w:rsid w:val="00E300FF"/>
    <w:rsid w:val="00E30B48"/>
    <w:rsid w:val="00E32EBC"/>
    <w:rsid w:val="00E334EF"/>
    <w:rsid w:val="00E33C52"/>
    <w:rsid w:val="00E33F11"/>
    <w:rsid w:val="00E34594"/>
    <w:rsid w:val="00E34607"/>
    <w:rsid w:val="00E34616"/>
    <w:rsid w:val="00E349F6"/>
    <w:rsid w:val="00E35645"/>
    <w:rsid w:val="00E35746"/>
    <w:rsid w:val="00E369B2"/>
    <w:rsid w:val="00E37312"/>
    <w:rsid w:val="00E373EC"/>
    <w:rsid w:val="00E37DCB"/>
    <w:rsid w:val="00E37F3D"/>
    <w:rsid w:val="00E40820"/>
    <w:rsid w:val="00E40C71"/>
    <w:rsid w:val="00E41A42"/>
    <w:rsid w:val="00E41A81"/>
    <w:rsid w:val="00E425C4"/>
    <w:rsid w:val="00E42645"/>
    <w:rsid w:val="00E42FB3"/>
    <w:rsid w:val="00E431E8"/>
    <w:rsid w:val="00E43389"/>
    <w:rsid w:val="00E4351C"/>
    <w:rsid w:val="00E43ADB"/>
    <w:rsid w:val="00E43DD2"/>
    <w:rsid w:val="00E43F28"/>
    <w:rsid w:val="00E4529A"/>
    <w:rsid w:val="00E45E87"/>
    <w:rsid w:val="00E463CC"/>
    <w:rsid w:val="00E4658F"/>
    <w:rsid w:val="00E46CB7"/>
    <w:rsid w:val="00E506DB"/>
    <w:rsid w:val="00E51D15"/>
    <w:rsid w:val="00E5478B"/>
    <w:rsid w:val="00E5481D"/>
    <w:rsid w:val="00E54A67"/>
    <w:rsid w:val="00E551D6"/>
    <w:rsid w:val="00E55245"/>
    <w:rsid w:val="00E55398"/>
    <w:rsid w:val="00E56437"/>
    <w:rsid w:val="00E56EAB"/>
    <w:rsid w:val="00E5772B"/>
    <w:rsid w:val="00E57CEE"/>
    <w:rsid w:val="00E57DB9"/>
    <w:rsid w:val="00E60696"/>
    <w:rsid w:val="00E6082F"/>
    <w:rsid w:val="00E60BF0"/>
    <w:rsid w:val="00E61C0D"/>
    <w:rsid w:val="00E62C5C"/>
    <w:rsid w:val="00E63776"/>
    <w:rsid w:val="00E63EB4"/>
    <w:rsid w:val="00E640FA"/>
    <w:rsid w:val="00E64912"/>
    <w:rsid w:val="00E65221"/>
    <w:rsid w:val="00E66160"/>
    <w:rsid w:val="00E66AE8"/>
    <w:rsid w:val="00E67022"/>
    <w:rsid w:val="00E67933"/>
    <w:rsid w:val="00E67C18"/>
    <w:rsid w:val="00E70570"/>
    <w:rsid w:val="00E70F64"/>
    <w:rsid w:val="00E71329"/>
    <w:rsid w:val="00E71B2C"/>
    <w:rsid w:val="00E71F34"/>
    <w:rsid w:val="00E72563"/>
    <w:rsid w:val="00E7314A"/>
    <w:rsid w:val="00E7382B"/>
    <w:rsid w:val="00E73CBE"/>
    <w:rsid w:val="00E73E00"/>
    <w:rsid w:val="00E74083"/>
    <w:rsid w:val="00E74451"/>
    <w:rsid w:val="00E748B7"/>
    <w:rsid w:val="00E753A5"/>
    <w:rsid w:val="00E7554C"/>
    <w:rsid w:val="00E7638E"/>
    <w:rsid w:val="00E768F7"/>
    <w:rsid w:val="00E7759C"/>
    <w:rsid w:val="00E77B1A"/>
    <w:rsid w:val="00E77B8B"/>
    <w:rsid w:val="00E8068B"/>
    <w:rsid w:val="00E82079"/>
    <w:rsid w:val="00E823C6"/>
    <w:rsid w:val="00E825FE"/>
    <w:rsid w:val="00E83615"/>
    <w:rsid w:val="00E8363B"/>
    <w:rsid w:val="00E83DD3"/>
    <w:rsid w:val="00E84966"/>
    <w:rsid w:val="00E84B95"/>
    <w:rsid w:val="00E8518E"/>
    <w:rsid w:val="00E85602"/>
    <w:rsid w:val="00E8598D"/>
    <w:rsid w:val="00E85E86"/>
    <w:rsid w:val="00E86C9F"/>
    <w:rsid w:val="00E86CE6"/>
    <w:rsid w:val="00E87628"/>
    <w:rsid w:val="00E87791"/>
    <w:rsid w:val="00E90299"/>
    <w:rsid w:val="00E90780"/>
    <w:rsid w:val="00E92383"/>
    <w:rsid w:val="00E92385"/>
    <w:rsid w:val="00E92EED"/>
    <w:rsid w:val="00E92F7B"/>
    <w:rsid w:val="00E934EB"/>
    <w:rsid w:val="00E9489D"/>
    <w:rsid w:val="00E94C02"/>
    <w:rsid w:val="00E95198"/>
    <w:rsid w:val="00E95C16"/>
    <w:rsid w:val="00E95C50"/>
    <w:rsid w:val="00E97682"/>
    <w:rsid w:val="00E97793"/>
    <w:rsid w:val="00E97E64"/>
    <w:rsid w:val="00E97F00"/>
    <w:rsid w:val="00EA12C7"/>
    <w:rsid w:val="00EA1605"/>
    <w:rsid w:val="00EA1B3A"/>
    <w:rsid w:val="00EA1D85"/>
    <w:rsid w:val="00EA2109"/>
    <w:rsid w:val="00EA234C"/>
    <w:rsid w:val="00EA3280"/>
    <w:rsid w:val="00EA45A7"/>
    <w:rsid w:val="00EA5471"/>
    <w:rsid w:val="00EA618C"/>
    <w:rsid w:val="00EA7027"/>
    <w:rsid w:val="00EA7381"/>
    <w:rsid w:val="00EA77AB"/>
    <w:rsid w:val="00EA7881"/>
    <w:rsid w:val="00EB01F2"/>
    <w:rsid w:val="00EB103B"/>
    <w:rsid w:val="00EB176F"/>
    <w:rsid w:val="00EB2584"/>
    <w:rsid w:val="00EB4714"/>
    <w:rsid w:val="00EB487D"/>
    <w:rsid w:val="00EB5D92"/>
    <w:rsid w:val="00EB620A"/>
    <w:rsid w:val="00EB7104"/>
    <w:rsid w:val="00EC0BCB"/>
    <w:rsid w:val="00EC258E"/>
    <w:rsid w:val="00EC2931"/>
    <w:rsid w:val="00EC33D8"/>
    <w:rsid w:val="00EC43A7"/>
    <w:rsid w:val="00EC43C0"/>
    <w:rsid w:val="00EC5C67"/>
    <w:rsid w:val="00EC5EFC"/>
    <w:rsid w:val="00EC5FDD"/>
    <w:rsid w:val="00EC687C"/>
    <w:rsid w:val="00EC79C0"/>
    <w:rsid w:val="00EC7A06"/>
    <w:rsid w:val="00EC7D5A"/>
    <w:rsid w:val="00ED04A8"/>
    <w:rsid w:val="00ED0694"/>
    <w:rsid w:val="00ED1176"/>
    <w:rsid w:val="00ED13AC"/>
    <w:rsid w:val="00ED2121"/>
    <w:rsid w:val="00ED2D00"/>
    <w:rsid w:val="00ED303C"/>
    <w:rsid w:val="00ED3332"/>
    <w:rsid w:val="00ED339B"/>
    <w:rsid w:val="00ED3EB1"/>
    <w:rsid w:val="00ED423C"/>
    <w:rsid w:val="00ED453F"/>
    <w:rsid w:val="00ED4812"/>
    <w:rsid w:val="00ED489A"/>
    <w:rsid w:val="00ED4B6F"/>
    <w:rsid w:val="00ED4D4E"/>
    <w:rsid w:val="00ED6010"/>
    <w:rsid w:val="00ED601C"/>
    <w:rsid w:val="00ED610A"/>
    <w:rsid w:val="00ED73E3"/>
    <w:rsid w:val="00EE0035"/>
    <w:rsid w:val="00EE02E5"/>
    <w:rsid w:val="00EE04C3"/>
    <w:rsid w:val="00EE092B"/>
    <w:rsid w:val="00EE0C77"/>
    <w:rsid w:val="00EE16B6"/>
    <w:rsid w:val="00EE1CC4"/>
    <w:rsid w:val="00EE1EB2"/>
    <w:rsid w:val="00EE3DDB"/>
    <w:rsid w:val="00EE4E54"/>
    <w:rsid w:val="00EE4F37"/>
    <w:rsid w:val="00EE55AE"/>
    <w:rsid w:val="00EE5708"/>
    <w:rsid w:val="00EE5E2D"/>
    <w:rsid w:val="00EE760F"/>
    <w:rsid w:val="00EF0822"/>
    <w:rsid w:val="00EF0CA4"/>
    <w:rsid w:val="00EF0F99"/>
    <w:rsid w:val="00EF2C26"/>
    <w:rsid w:val="00EF313A"/>
    <w:rsid w:val="00EF3AA8"/>
    <w:rsid w:val="00EF6DA2"/>
    <w:rsid w:val="00EF792B"/>
    <w:rsid w:val="00F0034A"/>
    <w:rsid w:val="00F0086C"/>
    <w:rsid w:val="00F01047"/>
    <w:rsid w:val="00F02543"/>
    <w:rsid w:val="00F02C20"/>
    <w:rsid w:val="00F034CE"/>
    <w:rsid w:val="00F04E8E"/>
    <w:rsid w:val="00F0547F"/>
    <w:rsid w:val="00F0659C"/>
    <w:rsid w:val="00F07E75"/>
    <w:rsid w:val="00F10255"/>
    <w:rsid w:val="00F1041F"/>
    <w:rsid w:val="00F10450"/>
    <w:rsid w:val="00F1065A"/>
    <w:rsid w:val="00F121C1"/>
    <w:rsid w:val="00F15345"/>
    <w:rsid w:val="00F15935"/>
    <w:rsid w:val="00F160D7"/>
    <w:rsid w:val="00F16595"/>
    <w:rsid w:val="00F1695F"/>
    <w:rsid w:val="00F17506"/>
    <w:rsid w:val="00F20C48"/>
    <w:rsid w:val="00F211D5"/>
    <w:rsid w:val="00F2199C"/>
    <w:rsid w:val="00F2218F"/>
    <w:rsid w:val="00F2224F"/>
    <w:rsid w:val="00F22840"/>
    <w:rsid w:val="00F2319D"/>
    <w:rsid w:val="00F23230"/>
    <w:rsid w:val="00F24662"/>
    <w:rsid w:val="00F24BF6"/>
    <w:rsid w:val="00F259FF"/>
    <w:rsid w:val="00F266AE"/>
    <w:rsid w:val="00F275DB"/>
    <w:rsid w:val="00F2770C"/>
    <w:rsid w:val="00F27CDC"/>
    <w:rsid w:val="00F301F9"/>
    <w:rsid w:val="00F30D64"/>
    <w:rsid w:val="00F30DA3"/>
    <w:rsid w:val="00F31800"/>
    <w:rsid w:val="00F31940"/>
    <w:rsid w:val="00F31DD7"/>
    <w:rsid w:val="00F3284E"/>
    <w:rsid w:val="00F33961"/>
    <w:rsid w:val="00F35323"/>
    <w:rsid w:val="00F35AF5"/>
    <w:rsid w:val="00F361BB"/>
    <w:rsid w:val="00F372CD"/>
    <w:rsid w:val="00F37740"/>
    <w:rsid w:val="00F37D1F"/>
    <w:rsid w:val="00F401E3"/>
    <w:rsid w:val="00F405AC"/>
    <w:rsid w:val="00F40A60"/>
    <w:rsid w:val="00F40CD1"/>
    <w:rsid w:val="00F41633"/>
    <w:rsid w:val="00F4167B"/>
    <w:rsid w:val="00F41AE9"/>
    <w:rsid w:val="00F41D14"/>
    <w:rsid w:val="00F42DE4"/>
    <w:rsid w:val="00F436BB"/>
    <w:rsid w:val="00F439F9"/>
    <w:rsid w:val="00F44BEF"/>
    <w:rsid w:val="00F4588B"/>
    <w:rsid w:val="00F4682D"/>
    <w:rsid w:val="00F46832"/>
    <w:rsid w:val="00F46C51"/>
    <w:rsid w:val="00F47145"/>
    <w:rsid w:val="00F47348"/>
    <w:rsid w:val="00F474A7"/>
    <w:rsid w:val="00F47FC8"/>
    <w:rsid w:val="00F5110B"/>
    <w:rsid w:val="00F52B8C"/>
    <w:rsid w:val="00F52B90"/>
    <w:rsid w:val="00F52E06"/>
    <w:rsid w:val="00F53068"/>
    <w:rsid w:val="00F53866"/>
    <w:rsid w:val="00F53E82"/>
    <w:rsid w:val="00F540E4"/>
    <w:rsid w:val="00F545BF"/>
    <w:rsid w:val="00F549BC"/>
    <w:rsid w:val="00F54E35"/>
    <w:rsid w:val="00F5540C"/>
    <w:rsid w:val="00F55507"/>
    <w:rsid w:val="00F56152"/>
    <w:rsid w:val="00F5638B"/>
    <w:rsid w:val="00F57DA5"/>
    <w:rsid w:val="00F57EB1"/>
    <w:rsid w:val="00F610FF"/>
    <w:rsid w:val="00F61B86"/>
    <w:rsid w:val="00F6248E"/>
    <w:rsid w:val="00F62B0F"/>
    <w:rsid w:val="00F62BAB"/>
    <w:rsid w:val="00F62DD1"/>
    <w:rsid w:val="00F62F30"/>
    <w:rsid w:val="00F637B7"/>
    <w:rsid w:val="00F63AA5"/>
    <w:rsid w:val="00F63EE7"/>
    <w:rsid w:val="00F648AA"/>
    <w:rsid w:val="00F6549A"/>
    <w:rsid w:val="00F66453"/>
    <w:rsid w:val="00F6795F"/>
    <w:rsid w:val="00F704F1"/>
    <w:rsid w:val="00F71B56"/>
    <w:rsid w:val="00F726A4"/>
    <w:rsid w:val="00F72D14"/>
    <w:rsid w:val="00F73241"/>
    <w:rsid w:val="00F73ACE"/>
    <w:rsid w:val="00F7570F"/>
    <w:rsid w:val="00F75925"/>
    <w:rsid w:val="00F75A57"/>
    <w:rsid w:val="00F75E74"/>
    <w:rsid w:val="00F7687C"/>
    <w:rsid w:val="00F77833"/>
    <w:rsid w:val="00F77BB1"/>
    <w:rsid w:val="00F80F78"/>
    <w:rsid w:val="00F813DD"/>
    <w:rsid w:val="00F81FA6"/>
    <w:rsid w:val="00F81FBA"/>
    <w:rsid w:val="00F82FFE"/>
    <w:rsid w:val="00F832C8"/>
    <w:rsid w:val="00F83D1C"/>
    <w:rsid w:val="00F84459"/>
    <w:rsid w:val="00F84BB4"/>
    <w:rsid w:val="00F8569E"/>
    <w:rsid w:val="00F8590D"/>
    <w:rsid w:val="00F866A0"/>
    <w:rsid w:val="00F872F4"/>
    <w:rsid w:val="00F873B3"/>
    <w:rsid w:val="00F873C5"/>
    <w:rsid w:val="00F874A0"/>
    <w:rsid w:val="00F874F6"/>
    <w:rsid w:val="00F876E2"/>
    <w:rsid w:val="00F90CE2"/>
    <w:rsid w:val="00F90EDD"/>
    <w:rsid w:val="00F9144F"/>
    <w:rsid w:val="00F91C67"/>
    <w:rsid w:val="00F92181"/>
    <w:rsid w:val="00F9360A"/>
    <w:rsid w:val="00F9461C"/>
    <w:rsid w:val="00F95604"/>
    <w:rsid w:val="00F97D44"/>
    <w:rsid w:val="00FA135F"/>
    <w:rsid w:val="00FA200F"/>
    <w:rsid w:val="00FA2356"/>
    <w:rsid w:val="00FA2EFA"/>
    <w:rsid w:val="00FA3878"/>
    <w:rsid w:val="00FA42B9"/>
    <w:rsid w:val="00FA4347"/>
    <w:rsid w:val="00FA571D"/>
    <w:rsid w:val="00FA5F09"/>
    <w:rsid w:val="00FA69C5"/>
    <w:rsid w:val="00FA6B6C"/>
    <w:rsid w:val="00FA6ED8"/>
    <w:rsid w:val="00FA755A"/>
    <w:rsid w:val="00FB0631"/>
    <w:rsid w:val="00FB0636"/>
    <w:rsid w:val="00FB06F1"/>
    <w:rsid w:val="00FB0DF8"/>
    <w:rsid w:val="00FB1E95"/>
    <w:rsid w:val="00FB2B0F"/>
    <w:rsid w:val="00FB2E1F"/>
    <w:rsid w:val="00FB3691"/>
    <w:rsid w:val="00FB3F53"/>
    <w:rsid w:val="00FB4309"/>
    <w:rsid w:val="00FB4329"/>
    <w:rsid w:val="00FB4F6B"/>
    <w:rsid w:val="00FB4F9B"/>
    <w:rsid w:val="00FB505D"/>
    <w:rsid w:val="00FB5375"/>
    <w:rsid w:val="00FB56BC"/>
    <w:rsid w:val="00FB5FE1"/>
    <w:rsid w:val="00FB7DBE"/>
    <w:rsid w:val="00FC01FB"/>
    <w:rsid w:val="00FC0572"/>
    <w:rsid w:val="00FC0E8D"/>
    <w:rsid w:val="00FC148B"/>
    <w:rsid w:val="00FC1832"/>
    <w:rsid w:val="00FC18CA"/>
    <w:rsid w:val="00FC2D74"/>
    <w:rsid w:val="00FC33D8"/>
    <w:rsid w:val="00FC384A"/>
    <w:rsid w:val="00FC3FE1"/>
    <w:rsid w:val="00FC42AA"/>
    <w:rsid w:val="00FC46EF"/>
    <w:rsid w:val="00FC47BE"/>
    <w:rsid w:val="00FC5135"/>
    <w:rsid w:val="00FC57D6"/>
    <w:rsid w:val="00FC64B8"/>
    <w:rsid w:val="00FC6836"/>
    <w:rsid w:val="00FC7785"/>
    <w:rsid w:val="00FC7FDD"/>
    <w:rsid w:val="00FD0037"/>
    <w:rsid w:val="00FD05C6"/>
    <w:rsid w:val="00FD1107"/>
    <w:rsid w:val="00FD1B7E"/>
    <w:rsid w:val="00FD1C07"/>
    <w:rsid w:val="00FD1F56"/>
    <w:rsid w:val="00FD228F"/>
    <w:rsid w:val="00FD2CA9"/>
    <w:rsid w:val="00FD2D5D"/>
    <w:rsid w:val="00FD31B3"/>
    <w:rsid w:val="00FD418B"/>
    <w:rsid w:val="00FD4204"/>
    <w:rsid w:val="00FD57AA"/>
    <w:rsid w:val="00FD5E5F"/>
    <w:rsid w:val="00FD661D"/>
    <w:rsid w:val="00FD6DEA"/>
    <w:rsid w:val="00FE022B"/>
    <w:rsid w:val="00FE0C6C"/>
    <w:rsid w:val="00FE0F4F"/>
    <w:rsid w:val="00FE0F74"/>
    <w:rsid w:val="00FE1550"/>
    <w:rsid w:val="00FE2D54"/>
    <w:rsid w:val="00FE3A7A"/>
    <w:rsid w:val="00FE429F"/>
    <w:rsid w:val="00FE4CDB"/>
    <w:rsid w:val="00FE5B98"/>
    <w:rsid w:val="00FE5C40"/>
    <w:rsid w:val="00FE631E"/>
    <w:rsid w:val="00FE67F4"/>
    <w:rsid w:val="00FF1149"/>
    <w:rsid w:val="00FF16C1"/>
    <w:rsid w:val="00FF2C97"/>
    <w:rsid w:val="00FF34CA"/>
    <w:rsid w:val="00FF3CCB"/>
    <w:rsid w:val="00FF5375"/>
    <w:rsid w:val="00FF57B5"/>
    <w:rsid w:val="00FF680B"/>
    <w:rsid w:val="00FF6DC5"/>
    <w:rsid w:val="00FF7039"/>
    <w:rsid w:val="00FF78F5"/>
    <w:rsid w:val="00FF7A6C"/>
    <w:rsid w:val="00FF7E3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A02BA0AC-75AF-4F19-A394-209DCAEE7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557A5"/>
    <w:pPr>
      <w:numPr>
        <w:numId w:val="12"/>
      </w:numPr>
      <w:spacing w:before="240" w:after="120" w:line="240" w:lineRule="auto"/>
      <w:ind w:left="1418" w:hanging="357"/>
    </w:pPr>
    <w:rPr>
      <w:bCs/>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C19DE"/>
    <w:pPr>
      <w:pBdr>
        <w:top w:val="single" w:sz="4" w:space="6" w:color="22413A"/>
        <w:bottom w:val="single" w:sz="4" w:space="6" w:color="22413A"/>
      </w:pBdr>
      <w:spacing w:before="240"/>
      <w:ind w:left="851"/>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styleId="Revision">
    <w:name w:val="Revision"/>
    <w:hidden/>
    <w:uiPriority w:val="99"/>
    <w:semiHidden/>
    <w:rsid w:val="00AE010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3B035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3B035D"/>
    <w:rPr>
      <w:rFonts w:ascii="Arial" w:eastAsiaTheme="minorHAnsi" w:hAnsi="Arial" w:cstheme="minorBidi"/>
      <w:b/>
      <w:bCs/>
      <w:lang w:eastAsia="en-US" w:bidi="he-IL"/>
    </w:rPr>
  </w:style>
  <w:style w:type="character" w:styleId="Mention">
    <w:name w:val="Mention"/>
    <w:basedOn w:val="DefaultParagraphFont"/>
    <w:uiPriority w:val="99"/>
    <w:unhideWhenUsed/>
    <w:rsid w:val="003F709A"/>
    <w:rPr>
      <w:color w:val="2B579A"/>
      <w:shd w:val="clear" w:color="auto" w:fill="E1DFDD"/>
    </w:rPr>
  </w:style>
  <w:style w:type="character" w:customStyle="1" w:styleId="cf01">
    <w:name w:val="cf01"/>
    <w:basedOn w:val="DefaultParagraphFont"/>
    <w:rsid w:val="0003172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1093">
      <w:bodyDiv w:val="1"/>
      <w:marLeft w:val="0"/>
      <w:marRight w:val="0"/>
      <w:marTop w:val="0"/>
      <w:marBottom w:val="0"/>
      <w:divBdr>
        <w:top w:val="none" w:sz="0" w:space="0" w:color="auto"/>
        <w:left w:val="none" w:sz="0" w:space="0" w:color="auto"/>
        <w:bottom w:val="none" w:sz="0" w:space="0" w:color="auto"/>
        <w:right w:val="none" w:sz="0" w:space="0" w:color="auto"/>
      </w:divBdr>
    </w:div>
    <w:div w:id="1901394">
      <w:bodyDiv w:val="1"/>
      <w:marLeft w:val="0"/>
      <w:marRight w:val="0"/>
      <w:marTop w:val="0"/>
      <w:marBottom w:val="0"/>
      <w:divBdr>
        <w:top w:val="none" w:sz="0" w:space="0" w:color="auto"/>
        <w:left w:val="none" w:sz="0" w:space="0" w:color="auto"/>
        <w:bottom w:val="none" w:sz="0" w:space="0" w:color="auto"/>
        <w:right w:val="none" w:sz="0" w:space="0" w:color="auto"/>
      </w:divBdr>
    </w:div>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5332999">
      <w:bodyDiv w:val="1"/>
      <w:marLeft w:val="0"/>
      <w:marRight w:val="0"/>
      <w:marTop w:val="0"/>
      <w:marBottom w:val="0"/>
      <w:divBdr>
        <w:top w:val="none" w:sz="0" w:space="0" w:color="auto"/>
        <w:left w:val="none" w:sz="0" w:space="0" w:color="auto"/>
        <w:bottom w:val="none" w:sz="0" w:space="0" w:color="auto"/>
        <w:right w:val="none" w:sz="0" w:space="0" w:color="auto"/>
      </w:divBdr>
    </w:div>
    <w:div w:id="5523481">
      <w:bodyDiv w:val="1"/>
      <w:marLeft w:val="0"/>
      <w:marRight w:val="0"/>
      <w:marTop w:val="0"/>
      <w:marBottom w:val="0"/>
      <w:divBdr>
        <w:top w:val="none" w:sz="0" w:space="0" w:color="auto"/>
        <w:left w:val="none" w:sz="0" w:space="0" w:color="auto"/>
        <w:bottom w:val="none" w:sz="0" w:space="0" w:color="auto"/>
        <w:right w:val="none" w:sz="0" w:space="0" w:color="auto"/>
      </w:divBdr>
    </w:div>
    <w:div w:id="6443999">
      <w:bodyDiv w:val="1"/>
      <w:marLeft w:val="0"/>
      <w:marRight w:val="0"/>
      <w:marTop w:val="0"/>
      <w:marBottom w:val="0"/>
      <w:divBdr>
        <w:top w:val="none" w:sz="0" w:space="0" w:color="auto"/>
        <w:left w:val="none" w:sz="0" w:space="0" w:color="auto"/>
        <w:bottom w:val="none" w:sz="0" w:space="0" w:color="auto"/>
        <w:right w:val="none" w:sz="0" w:space="0" w:color="auto"/>
      </w:divBdr>
    </w:div>
    <w:div w:id="6714080">
      <w:bodyDiv w:val="1"/>
      <w:marLeft w:val="0"/>
      <w:marRight w:val="0"/>
      <w:marTop w:val="0"/>
      <w:marBottom w:val="0"/>
      <w:divBdr>
        <w:top w:val="none" w:sz="0" w:space="0" w:color="auto"/>
        <w:left w:val="none" w:sz="0" w:space="0" w:color="auto"/>
        <w:bottom w:val="none" w:sz="0" w:space="0" w:color="auto"/>
        <w:right w:val="none" w:sz="0" w:space="0" w:color="auto"/>
      </w:divBdr>
    </w:div>
    <w:div w:id="9184349">
      <w:bodyDiv w:val="1"/>
      <w:marLeft w:val="0"/>
      <w:marRight w:val="0"/>
      <w:marTop w:val="0"/>
      <w:marBottom w:val="0"/>
      <w:divBdr>
        <w:top w:val="none" w:sz="0" w:space="0" w:color="auto"/>
        <w:left w:val="none" w:sz="0" w:space="0" w:color="auto"/>
        <w:bottom w:val="none" w:sz="0" w:space="0" w:color="auto"/>
        <w:right w:val="none" w:sz="0" w:space="0" w:color="auto"/>
      </w:divBdr>
    </w:div>
    <w:div w:id="14041065">
      <w:bodyDiv w:val="1"/>
      <w:marLeft w:val="0"/>
      <w:marRight w:val="0"/>
      <w:marTop w:val="0"/>
      <w:marBottom w:val="0"/>
      <w:divBdr>
        <w:top w:val="none" w:sz="0" w:space="0" w:color="auto"/>
        <w:left w:val="none" w:sz="0" w:space="0" w:color="auto"/>
        <w:bottom w:val="none" w:sz="0" w:space="0" w:color="auto"/>
        <w:right w:val="none" w:sz="0" w:space="0" w:color="auto"/>
      </w:divBdr>
    </w:div>
    <w:div w:id="18899087">
      <w:bodyDiv w:val="1"/>
      <w:marLeft w:val="0"/>
      <w:marRight w:val="0"/>
      <w:marTop w:val="0"/>
      <w:marBottom w:val="0"/>
      <w:divBdr>
        <w:top w:val="none" w:sz="0" w:space="0" w:color="auto"/>
        <w:left w:val="none" w:sz="0" w:space="0" w:color="auto"/>
        <w:bottom w:val="none" w:sz="0" w:space="0" w:color="auto"/>
        <w:right w:val="none" w:sz="0" w:space="0" w:color="auto"/>
      </w:divBdr>
    </w:div>
    <w:div w:id="21781715">
      <w:bodyDiv w:val="1"/>
      <w:marLeft w:val="0"/>
      <w:marRight w:val="0"/>
      <w:marTop w:val="0"/>
      <w:marBottom w:val="0"/>
      <w:divBdr>
        <w:top w:val="none" w:sz="0" w:space="0" w:color="auto"/>
        <w:left w:val="none" w:sz="0" w:space="0" w:color="auto"/>
        <w:bottom w:val="none" w:sz="0" w:space="0" w:color="auto"/>
        <w:right w:val="none" w:sz="0" w:space="0" w:color="auto"/>
      </w:divBdr>
    </w:div>
    <w:div w:id="31342970">
      <w:bodyDiv w:val="1"/>
      <w:marLeft w:val="0"/>
      <w:marRight w:val="0"/>
      <w:marTop w:val="0"/>
      <w:marBottom w:val="0"/>
      <w:divBdr>
        <w:top w:val="none" w:sz="0" w:space="0" w:color="auto"/>
        <w:left w:val="none" w:sz="0" w:space="0" w:color="auto"/>
        <w:bottom w:val="none" w:sz="0" w:space="0" w:color="auto"/>
        <w:right w:val="none" w:sz="0" w:space="0" w:color="auto"/>
      </w:divBdr>
    </w:div>
    <w:div w:id="44531189">
      <w:bodyDiv w:val="1"/>
      <w:marLeft w:val="0"/>
      <w:marRight w:val="0"/>
      <w:marTop w:val="0"/>
      <w:marBottom w:val="0"/>
      <w:divBdr>
        <w:top w:val="none" w:sz="0" w:space="0" w:color="auto"/>
        <w:left w:val="none" w:sz="0" w:space="0" w:color="auto"/>
        <w:bottom w:val="none" w:sz="0" w:space="0" w:color="auto"/>
        <w:right w:val="none" w:sz="0" w:space="0" w:color="auto"/>
      </w:divBdr>
    </w:div>
    <w:div w:id="47532589">
      <w:bodyDiv w:val="1"/>
      <w:marLeft w:val="0"/>
      <w:marRight w:val="0"/>
      <w:marTop w:val="0"/>
      <w:marBottom w:val="0"/>
      <w:divBdr>
        <w:top w:val="none" w:sz="0" w:space="0" w:color="auto"/>
        <w:left w:val="none" w:sz="0" w:space="0" w:color="auto"/>
        <w:bottom w:val="none" w:sz="0" w:space="0" w:color="auto"/>
        <w:right w:val="none" w:sz="0" w:space="0" w:color="auto"/>
      </w:divBdr>
    </w:div>
    <w:div w:id="48765988">
      <w:bodyDiv w:val="1"/>
      <w:marLeft w:val="0"/>
      <w:marRight w:val="0"/>
      <w:marTop w:val="0"/>
      <w:marBottom w:val="0"/>
      <w:divBdr>
        <w:top w:val="none" w:sz="0" w:space="0" w:color="auto"/>
        <w:left w:val="none" w:sz="0" w:space="0" w:color="auto"/>
        <w:bottom w:val="none" w:sz="0" w:space="0" w:color="auto"/>
        <w:right w:val="none" w:sz="0" w:space="0" w:color="auto"/>
      </w:divBdr>
    </w:div>
    <w:div w:id="57482812">
      <w:bodyDiv w:val="1"/>
      <w:marLeft w:val="0"/>
      <w:marRight w:val="0"/>
      <w:marTop w:val="0"/>
      <w:marBottom w:val="0"/>
      <w:divBdr>
        <w:top w:val="none" w:sz="0" w:space="0" w:color="auto"/>
        <w:left w:val="none" w:sz="0" w:space="0" w:color="auto"/>
        <w:bottom w:val="none" w:sz="0" w:space="0" w:color="auto"/>
        <w:right w:val="none" w:sz="0" w:space="0" w:color="auto"/>
      </w:divBdr>
    </w:div>
    <w:div w:id="68306152">
      <w:bodyDiv w:val="1"/>
      <w:marLeft w:val="0"/>
      <w:marRight w:val="0"/>
      <w:marTop w:val="0"/>
      <w:marBottom w:val="0"/>
      <w:divBdr>
        <w:top w:val="none" w:sz="0" w:space="0" w:color="auto"/>
        <w:left w:val="none" w:sz="0" w:space="0" w:color="auto"/>
        <w:bottom w:val="none" w:sz="0" w:space="0" w:color="auto"/>
        <w:right w:val="none" w:sz="0" w:space="0" w:color="auto"/>
      </w:divBdr>
    </w:div>
    <w:div w:id="72361261">
      <w:bodyDiv w:val="1"/>
      <w:marLeft w:val="0"/>
      <w:marRight w:val="0"/>
      <w:marTop w:val="0"/>
      <w:marBottom w:val="0"/>
      <w:divBdr>
        <w:top w:val="none" w:sz="0" w:space="0" w:color="auto"/>
        <w:left w:val="none" w:sz="0" w:space="0" w:color="auto"/>
        <w:bottom w:val="none" w:sz="0" w:space="0" w:color="auto"/>
        <w:right w:val="none" w:sz="0" w:space="0" w:color="auto"/>
      </w:divBdr>
    </w:div>
    <w:div w:id="84813279">
      <w:bodyDiv w:val="1"/>
      <w:marLeft w:val="0"/>
      <w:marRight w:val="0"/>
      <w:marTop w:val="0"/>
      <w:marBottom w:val="0"/>
      <w:divBdr>
        <w:top w:val="none" w:sz="0" w:space="0" w:color="auto"/>
        <w:left w:val="none" w:sz="0" w:space="0" w:color="auto"/>
        <w:bottom w:val="none" w:sz="0" w:space="0" w:color="auto"/>
        <w:right w:val="none" w:sz="0" w:space="0" w:color="auto"/>
      </w:divBdr>
    </w:div>
    <w:div w:id="85853905">
      <w:bodyDiv w:val="1"/>
      <w:marLeft w:val="0"/>
      <w:marRight w:val="0"/>
      <w:marTop w:val="0"/>
      <w:marBottom w:val="0"/>
      <w:divBdr>
        <w:top w:val="none" w:sz="0" w:space="0" w:color="auto"/>
        <w:left w:val="none" w:sz="0" w:space="0" w:color="auto"/>
        <w:bottom w:val="none" w:sz="0" w:space="0" w:color="auto"/>
        <w:right w:val="none" w:sz="0" w:space="0" w:color="auto"/>
      </w:divBdr>
    </w:div>
    <w:div w:id="8731786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3717176">
      <w:bodyDiv w:val="1"/>
      <w:marLeft w:val="0"/>
      <w:marRight w:val="0"/>
      <w:marTop w:val="0"/>
      <w:marBottom w:val="0"/>
      <w:divBdr>
        <w:top w:val="none" w:sz="0" w:space="0" w:color="auto"/>
        <w:left w:val="none" w:sz="0" w:space="0" w:color="auto"/>
        <w:bottom w:val="none" w:sz="0" w:space="0" w:color="auto"/>
        <w:right w:val="none" w:sz="0" w:space="0" w:color="auto"/>
      </w:divBdr>
    </w:div>
    <w:div w:id="94441703">
      <w:bodyDiv w:val="1"/>
      <w:marLeft w:val="0"/>
      <w:marRight w:val="0"/>
      <w:marTop w:val="0"/>
      <w:marBottom w:val="0"/>
      <w:divBdr>
        <w:top w:val="none" w:sz="0" w:space="0" w:color="auto"/>
        <w:left w:val="none" w:sz="0" w:space="0" w:color="auto"/>
        <w:bottom w:val="none" w:sz="0" w:space="0" w:color="auto"/>
        <w:right w:val="none" w:sz="0" w:space="0" w:color="auto"/>
      </w:divBdr>
    </w:div>
    <w:div w:id="95566996">
      <w:bodyDiv w:val="1"/>
      <w:marLeft w:val="0"/>
      <w:marRight w:val="0"/>
      <w:marTop w:val="0"/>
      <w:marBottom w:val="0"/>
      <w:divBdr>
        <w:top w:val="none" w:sz="0" w:space="0" w:color="auto"/>
        <w:left w:val="none" w:sz="0" w:space="0" w:color="auto"/>
        <w:bottom w:val="none" w:sz="0" w:space="0" w:color="auto"/>
        <w:right w:val="none" w:sz="0" w:space="0" w:color="auto"/>
      </w:divBdr>
    </w:div>
    <w:div w:id="112402085">
      <w:bodyDiv w:val="1"/>
      <w:marLeft w:val="0"/>
      <w:marRight w:val="0"/>
      <w:marTop w:val="0"/>
      <w:marBottom w:val="0"/>
      <w:divBdr>
        <w:top w:val="none" w:sz="0" w:space="0" w:color="auto"/>
        <w:left w:val="none" w:sz="0" w:space="0" w:color="auto"/>
        <w:bottom w:val="none" w:sz="0" w:space="0" w:color="auto"/>
        <w:right w:val="none" w:sz="0" w:space="0" w:color="auto"/>
      </w:divBdr>
    </w:div>
    <w:div w:id="113408932">
      <w:bodyDiv w:val="1"/>
      <w:marLeft w:val="0"/>
      <w:marRight w:val="0"/>
      <w:marTop w:val="0"/>
      <w:marBottom w:val="0"/>
      <w:divBdr>
        <w:top w:val="none" w:sz="0" w:space="0" w:color="auto"/>
        <w:left w:val="none" w:sz="0" w:space="0" w:color="auto"/>
        <w:bottom w:val="none" w:sz="0" w:space="0" w:color="auto"/>
        <w:right w:val="none" w:sz="0" w:space="0" w:color="auto"/>
      </w:divBdr>
    </w:div>
    <w:div w:id="116459750">
      <w:bodyDiv w:val="1"/>
      <w:marLeft w:val="0"/>
      <w:marRight w:val="0"/>
      <w:marTop w:val="0"/>
      <w:marBottom w:val="0"/>
      <w:divBdr>
        <w:top w:val="none" w:sz="0" w:space="0" w:color="auto"/>
        <w:left w:val="none" w:sz="0" w:space="0" w:color="auto"/>
        <w:bottom w:val="none" w:sz="0" w:space="0" w:color="auto"/>
        <w:right w:val="none" w:sz="0" w:space="0" w:color="auto"/>
      </w:divBdr>
    </w:div>
    <w:div w:id="117724651">
      <w:bodyDiv w:val="1"/>
      <w:marLeft w:val="0"/>
      <w:marRight w:val="0"/>
      <w:marTop w:val="0"/>
      <w:marBottom w:val="0"/>
      <w:divBdr>
        <w:top w:val="none" w:sz="0" w:space="0" w:color="auto"/>
        <w:left w:val="none" w:sz="0" w:space="0" w:color="auto"/>
        <w:bottom w:val="none" w:sz="0" w:space="0" w:color="auto"/>
        <w:right w:val="none" w:sz="0" w:space="0" w:color="auto"/>
      </w:divBdr>
    </w:div>
    <w:div w:id="120652367">
      <w:bodyDiv w:val="1"/>
      <w:marLeft w:val="0"/>
      <w:marRight w:val="0"/>
      <w:marTop w:val="0"/>
      <w:marBottom w:val="0"/>
      <w:divBdr>
        <w:top w:val="none" w:sz="0" w:space="0" w:color="auto"/>
        <w:left w:val="none" w:sz="0" w:space="0" w:color="auto"/>
        <w:bottom w:val="none" w:sz="0" w:space="0" w:color="auto"/>
        <w:right w:val="none" w:sz="0" w:space="0" w:color="auto"/>
      </w:divBdr>
    </w:div>
    <w:div w:id="131873195">
      <w:bodyDiv w:val="1"/>
      <w:marLeft w:val="0"/>
      <w:marRight w:val="0"/>
      <w:marTop w:val="0"/>
      <w:marBottom w:val="0"/>
      <w:divBdr>
        <w:top w:val="none" w:sz="0" w:space="0" w:color="auto"/>
        <w:left w:val="none" w:sz="0" w:space="0" w:color="auto"/>
        <w:bottom w:val="none" w:sz="0" w:space="0" w:color="auto"/>
        <w:right w:val="none" w:sz="0" w:space="0" w:color="auto"/>
      </w:divBdr>
    </w:div>
    <w:div w:id="140121600">
      <w:bodyDiv w:val="1"/>
      <w:marLeft w:val="0"/>
      <w:marRight w:val="0"/>
      <w:marTop w:val="0"/>
      <w:marBottom w:val="0"/>
      <w:divBdr>
        <w:top w:val="none" w:sz="0" w:space="0" w:color="auto"/>
        <w:left w:val="none" w:sz="0" w:space="0" w:color="auto"/>
        <w:bottom w:val="none" w:sz="0" w:space="0" w:color="auto"/>
        <w:right w:val="none" w:sz="0" w:space="0" w:color="auto"/>
      </w:divBdr>
    </w:div>
    <w:div w:id="148715455">
      <w:bodyDiv w:val="1"/>
      <w:marLeft w:val="0"/>
      <w:marRight w:val="0"/>
      <w:marTop w:val="0"/>
      <w:marBottom w:val="0"/>
      <w:divBdr>
        <w:top w:val="none" w:sz="0" w:space="0" w:color="auto"/>
        <w:left w:val="none" w:sz="0" w:space="0" w:color="auto"/>
        <w:bottom w:val="none" w:sz="0" w:space="0" w:color="auto"/>
        <w:right w:val="none" w:sz="0" w:space="0" w:color="auto"/>
      </w:divBdr>
    </w:div>
    <w:div w:id="154077871">
      <w:bodyDiv w:val="1"/>
      <w:marLeft w:val="0"/>
      <w:marRight w:val="0"/>
      <w:marTop w:val="0"/>
      <w:marBottom w:val="0"/>
      <w:divBdr>
        <w:top w:val="none" w:sz="0" w:space="0" w:color="auto"/>
        <w:left w:val="none" w:sz="0" w:space="0" w:color="auto"/>
        <w:bottom w:val="none" w:sz="0" w:space="0" w:color="auto"/>
        <w:right w:val="none" w:sz="0" w:space="0" w:color="auto"/>
      </w:divBdr>
    </w:div>
    <w:div w:id="157114070">
      <w:bodyDiv w:val="1"/>
      <w:marLeft w:val="0"/>
      <w:marRight w:val="0"/>
      <w:marTop w:val="0"/>
      <w:marBottom w:val="0"/>
      <w:divBdr>
        <w:top w:val="none" w:sz="0" w:space="0" w:color="auto"/>
        <w:left w:val="none" w:sz="0" w:space="0" w:color="auto"/>
        <w:bottom w:val="none" w:sz="0" w:space="0" w:color="auto"/>
        <w:right w:val="none" w:sz="0" w:space="0" w:color="auto"/>
      </w:divBdr>
    </w:div>
    <w:div w:id="161244771">
      <w:bodyDiv w:val="1"/>
      <w:marLeft w:val="0"/>
      <w:marRight w:val="0"/>
      <w:marTop w:val="0"/>
      <w:marBottom w:val="0"/>
      <w:divBdr>
        <w:top w:val="none" w:sz="0" w:space="0" w:color="auto"/>
        <w:left w:val="none" w:sz="0" w:space="0" w:color="auto"/>
        <w:bottom w:val="none" w:sz="0" w:space="0" w:color="auto"/>
        <w:right w:val="none" w:sz="0" w:space="0" w:color="auto"/>
      </w:divBdr>
    </w:div>
    <w:div w:id="179005172">
      <w:bodyDiv w:val="1"/>
      <w:marLeft w:val="0"/>
      <w:marRight w:val="0"/>
      <w:marTop w:val="0"/>
      <w:marBottom w:val="0"/>
      <w:divBdr>
        <w:top w:val="none" w:sz="0" w:space="0" w:color="auto"/>
        <w:left w:val="none" w:sz="0" w:space="0" w:color="auto"/>
        <w:bottom w:val="none" w:sz="0" w:space="0" w:color="auto"/>
        <w:right w:val="none" w:sz="0" w:space="0" w:color="auto"/>
      </w:divBdr>
    </w:div>
    <w:div w:id="180749332">
      <w:bodyDiv w:val="1"/>
      <w:marLeft w:val="0"/>
      <w:marRight w:val="0"/>
      <w:marTop w:val="0"/>
      <w:marBottom w:val="0"/>
      <w:divBdr>
        <w:top w:val="none" w:sz="0" w:space="0" w:color="auto"/>
        <w:left w:val="none" w:sz="0" w:space="0" w:color="auto"/>
        <w:bottom w:val="none" w:sz="0" w:space="0" w:color="auto"/>
        <w:right w:val="none" w:sz="0" w:space="0" w:color="auto"/>
      </w:divBdr>
    </w:div>
    <w:div w:id="188108135">
      <w:bodyDiv w:val="1"/>
      <w:marLeft w:val="0"/>
      <w:marRight w:val="0"/>
      <w:marTop w:val="0"/>
      <w:marBottom w:val="0"/>
      <w:divBdr>
        <w:top w:val="none" w:sz="0" w:space="0" w:color="auto"/>
        <w:left w:val="none" w:sz="0" w:space="0" w:color="auto"/>
        <w:bottom w:val="none" w:sz="0" w:space="0" w:color="auto"/>
        <w:right w:val="none" w:sz="0" w:space="0" w:color="auto"/>
      </w:divBdr>
    </w:div>
    <w:div w:id="188573213">
      <w:bodyDiv w:val="1"/>
      <w:marLeft w:val="0"/>
      <w:marRight w:val="0"/>
      <w:marTop w:val="0"/>
      <w:marBottom w:val="0"/>
      <w:divBdr>
        <w:top w:val="none" w:sz="0" w:space="0" w:color="auto"/>
        <w:left w:val="none" w:sz="0" w:space="0" w:color="auto"/>
        <w:bottom w:val="none" w:sz="0" w:space="0" w:color="auto"/>
        <w:right w:val="none" w:sz="0" w:space="0" w:color="auto"/>
      </w:divBdr>
    </w:div>
    <w:div w:id="193465837">
      <w:bodyDiv w:val="1"/>
      <w:marLeft w:val="0"/>
      <w:marRight w:val="0"/>
      <w:marTop w:val="0"/>
      <w:marBottom w:val="0"/>
      <w:divBdr>
        <w:top w:val="none" w:sz="0" w:space="0" w:color="auto"/>
        <w:left w:val="none" w:sz="0" w:space="0" w:color="auto"/>
        <w:bottom w:val="none" w:sz="0" w:space="0" w:color="auto"/>
        <w:right w:val="none" w:sz="0" w:space="0" w:color="auto"/>
      </w:divBdr>
    </w:div>
    <w:div w:id="193690626">
      <w:bodyDiv w:val="1"/>
      <w:marLeft w:val="0"/>
      <w:marRight w:val="0"/>
      <w:marTop w:val="0"/>
      <w:marBottom w:val="0"/>
      <w:divBdr>
        <w:top w:val="none" w:sz="0" w:space="0" w:color="auto"/>
        <w:left w:val="none" w:sz="0" w:space="0" w:color="auto"/>
        <w:bottom w:val="none" w:sz="0" w:space="0" w:color="auto"/>
        <w:right w:val="none" w:sz="0" w:space="0" w:color="auto"/>
      </w:divBdr>
    </w:div>
    <w:div w:id="19523718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5483620">
      <w:bodyDiv w:val="1"/>
      <w:marLeft w:val="0"/>
      <w:marRight w:val="0"/>
      <w:marTop w:val="0"/>
      <w:marBottom w:val="0"/>
      <w:divBdr>
        <w:top w:val="none" w:sz="0" w:space="0" w:color="auto"/>
        <w:left w:val="none" w:sz="0" w:space="0" w:color="auto"/>
        <w:bottom w:val="none" w:sz="0" w:space="0" w:color="auto"/>
        <w:right w:val="none" w:sz="0" w:space="0" w:color="auto"/>
      </w:divBdr>
    </w:div>
    <w:div w:id="205990231">
      <w:bodyDiv w:val="1"/>
      <w:marLeft w:val="0"/>
      <w:marRight w:val="0"/>
      <w:marTop w:val="0"/>
      <w:marBottom w:val="0"/>
      <w:divBdr>
        <w:top w:val="none" w:sz="0" w:space="0" w:color="auto"/>
        <w:left w:val="none" w:sz="0" w:space="0" w:color="auto"/>
        <w:bottom w:val="none" w:sz="0" w:space="0" w:color="auto"/>
        <w:right w:val="none" w:sz="0" w:space="0" w:color="auto"/>
      </w:divBdr>
    </w:div>
    <w:div w:id="210313618">
      <w:bodyDiv w:val="1"/>
      <w:marLeft w:val="0"/>
      <w:marRight w:val="0"/>
      <w:marTop w:val="0"/>
      <w:marBottom w:val="0"/>
      <w:divBdr>
        <w:top w:val="none" w:sz="0" w:space="0" w:color="auto"/>
        <w:left w:val="none" w:sz="0" w:space="0" w:color="auto"/>
        <w:bottom w:val="none" w:sz="0" w:space="0" w:color="auto"/>
        <w:right w:val="none" w:sz="0" w:space="0" w:color="auto"/>
      </w:divBdr>
    </w:div>
    <w:div w:id="212425529">
      <w:bodyDiv w:val="1"/>
      <w:marLeft w:val="0"/>
      <w:marRight w:val="0"/>
      <w:marTop w:val="0"/>
      <w:marBottom w:val="0"/>
      <w:divBdr>
        <w:top w:val="none" w:sz="0" w:space="0" w:color="auto"/>
        <w:left w:val="none" w:sz="0" w:space="0" w:color="auto"/>
        <w:bottom w:val="none" w:sz="0" w:space="0" w:color="auto"/>
        <w:right w:val="none" w:sz="0" w:space="0" w:color="auto"/>
      </w:divBdr>
    </w:div>
    <w:div w:id="213659439">
      <w:bodyDiv w:val="1"/>
      <w:marLeft w:val="0"/>
      <w:marRight w:val="0"/>
      <w:marTop w:val="0"/>
      <w:marBottom w:val="0"/>
      <w:divBdr>
        <w:top w:val="none" w:sz="0" w:space="0" w:color="auto"/>
        <w:left w:val="none" w:sz="0" w:space="0" w:color="auto"/>
        <w:bottom w:val="none" w:sz="0" w:space="0" w:color="auto"/>
        <w:right w:val="none" w:sz="0" w:space="0" w:color="auto"/>
      </w:divBdr>
    </w:div>
    <w:div w:id="215509605">
      <w:bodyDiv w:val="1"/>
      <w:marLeft w:val="0"/>
      <w:marRight w:val="0"/>
      <w:marTop w:val="0"/>
      <w:marBottom w:val="0"/>
      <w:divBdr>
        <w:top w:val="none" w:sz="0" w:space="0" w:color="auto"/>
        <w:left w:val="none" w:sz="0" w:space="0" w:color="auto"/>
        <w:bottom w:val="none" w:sz="0" w:space="0" w:color="auto"/>
        <w:right w:val="none" w:sz="0" w:space="0" w:color="auto"/>
      </w:divBdr>
    </w:div>
    <w:div w:id="222834738">
      <w:bodyDiv w:val="1"/>
      <w:marLeft w:val="0"/>
      <w:marRight w:val="0"/>
      <w:marTop w:val="0"/>
      <w:marBottom w:val="0"/>
      <w:divBdr>
        <w:top w:val="none" w:sz="0" w:space="0" w:color="auto"/>
        <w:left w:val="none" w:sz="0" w:space="0" w:color="auto"/>
        <w:bottom w:val="none" w:sz="0" w:space="0" w:color="auto"/>
        <w:right w:val="none" w:sz="0" w:space="0" w:color="auto"/>
      </w:divBdr>
    </w:div>
    <w:div w:id="223374734">
      <w:bodyDiv w:val="1"/>
      <w:marLeft w:val="0"/>
      <w:marRight w:val="0"/>
      <w:marTop w:val="0"/>
      <w:marBottom w:val="0"/>
      <w:divBdr>
        <w:top w:val="none" w:sz="0" w:space="0" w:color="auto"/>
        <w:left w:val="none" w:sz="0" w:space="0" w:color="auto"/>
        <w:bottom w:val="none" w:sz="0" w:space="0" w:color="auto"/>
        <w:right w:val="none" w:sz="0" w:space="0" w:color="auto"/>
      </w:divBdr>
    </w:div>
    <w:div w:id="223836201">
      <w:bodyDiv w:val="1"/>
      <w:marLeft w:val="0"/>
      <w:marRight w:val="0"/>
      <w:marTop w:val="0"/>
      <w:marBottom w:val="0"/>
      <w:divBdr>
        <w:top w:val="none" w:sz="0" w:space="0" w:color="auto"/>
        <w:left w:val="none" w:sz="0" w:space="0" w:color="auto"/>
        <w:bottom w:val="none" w:sz="0" w:space="0" w:color="auto"/>
        <w:right w:val="none" w:sz="0" w:space="0" w:color="auto"/>
      </w:divBdr>
    </w:div>
    <w:div w:id="231235133">
      <w:bodyDiv w:val="1"/>
      <w:marLeft w:val="0"/>
      <w:marRight w:val="0"/>
      <w:marTop w:val="0"/>
      <w:marBottom w:val="0"/>
      <w:divBdr>
        <w:top w:val="none" w:sz="0" w:space="0" w:color="auto"/>
        <w:left w:val="none" w:sz="0" w:space="0" w:color="auto"/>
        <w:bottom w:val="none" w:sz="0" w:space="0" w:color="auto"/>
        <w:right w:val="none" w:sz="0" w:space="0" w:color="auto"/>
      </w:divBdr>
    </w:div>
    <w:div w:id="233974599">
      <w:bodyDiv w:val="1"/>
      <w:marLeft w:val="0"/>
      <w:marRight w:val="0"/>
      <w:marTop w:val="0"/>
      <w:marBottom w:val="0"/>
      <w:divBdr>
        <w:top w:val="none" w:sz="0" w:space="0" w:color="auto"/>
        <w:left w:val="none" w:sz="0" w:space="0" w:color="auto"/>
        <w:bottom w:val="none" w:sz="0" w:space="0" w:color="auto"/>
        <w:right w:val="none" w:sz="0" w:space="0" w:color="auto"/>
      </w:divBdr>
    </w:div>
    <w:div w:id="237517735">
      <w:bodyDiv w:val="1"/>
      <w:marLeft w:val="0"/>
      <w:marRight w:val="0"/>
      <w:marTop w:val="0"/>
      <w:marBottom w:val="0"/>
      <w:divBdr>
        <w:top w:val="none" w:sz="0" w:space="0" w:color="auto"/>
        <w:left w:val="none" w:sz="0" w:space="0" w:color="auto"/>
        <w:bottom w:val="none" w:sz="0" w:space="0" w:color="auto"/>
        <w:right w:val="none" w:sz="0" w:space="0" w:color="auto"/>
      </w:divBdr>
    </w:div>
    <w:div w:id="241725826">
      <w:bodyDiv w:val="1"/>
      <w:marLeft w:val="0"/>
      <w:marRight w:val="0"/>
      <w:marTop w:val="0"/>
      <w:marBottom w:val="0"/>
      <w:divBdr>
        <w:top w:val="none" w:sz="0" w:space="0" w:color="auto"/>
        <w:left w:val="none" w:sz="0" w:space="0" w:color="auto"/>
        <w:bottom w:val="none" w:sz="0" w:space="0" w:color="auto"/>
        <w:right w:val="none" w:sz="0" w:space="0" w:color="auto"/>
      </w:divBdr>
    </w:div>
    <w:div w:id="252665003">
      <w:bodyDiv w:val="1"/>
      <w:marLeft w:val="0"/>
      <w:marRight w:val="0"/>
      <w:marTop w:val="0"/>
      <w:marBottom w:val="0"/>
      <w:divBdr>
        <w:top w:val="none" w:sz="0" w:space="0" w:color="auto"/>
        <w:left w:val="none" w:sz="0" w:space="0" w:color="auto"/>
        <w:bottom w:val="none" w:sz="0" w:space="0" w:color="auto"/>
        <w:right w:val="none" w:sz="0" w:space="0" w:color="auto"/>
      </w:divBdr>
    </w:div>
    <w:div w:id="252780764">
      <w:bodyDiv w:val="1"/>
      <w:marLeft w:val="0"/>
      <w:marRight w:val="0"/>
      <w:marTop w:val="0"/>
      <w:marBottom w:val="0"/>
      <w:divBdr>
        <w:top w:val="none" w:sz="0" w:space="0" w:color="auto"/>
        <w:left w:val="none" w:sz="0" w:space="0" w:color="auto"/>
        <w:bottom w:val="none" w:sz="0" w:space="0" w:color="auto"/>
        <w:right w:val="none" w:sz="0" w:space="0" w:color="auto"/>
      </w:divBdr>
    </w:div>
    <w:div w:id="257061368">
      <w:bodyDiv w:val="1"/>
      <w:marLeft w:val="0"/>
      <w:marRight w:val="0"/>
      <w:marTop w:val="0"/>
      <w:marBottom w:val="0"/>
      <w:divBdr>
        <w:top w:val="none" w:sz="0" w:space="0" w:color="auto"/>
        <w:left w:val="none" w:sz="0" w:space="0" w:color="auto"/>
        <w:bottom w:val="none" w:sz="0" w:space="0" w:color="auto"/>
        <w:right w:val="none" w:sz="0" w:space="0" w:color="auto"/>
      </w:divBdr>
    </w:div>
    <w:div w:id="258562507">
      <w:bodyDiv w:val="1"/>
      <w:marLeft w:val="0"/>
      <w:marRight w:val="0"/>
      <w:marTop w:val="0"/>
      <w:marBottom w:val="0"/>
      <w:divBdr>
        <w:top w:val="none" w:sz="0" w:space="0" w:color="auto"/>
        <w:left w:val="none" w:sz="0" w:space="0" w:color="auto"/>
        <w:bottom w:val="none" w:sz="0" w:space="0" w:color="auto"/>
        <w:right w:val="none" w:sz="0" w:space="0" w:color="auto"/>
      </w:divBdr>
    </w:div>
    <w:div w:id="259947256">
      <w:bodyDiv w:val="1"/>
      <w:marLeft w:val="0"/>
      <w:marRight w:val="0"/>
      <w:marTop w:val="0"/>
      <w:marBottom w:val="0"/>
      <w:divBdr>
        <w:top w:val="none" w:sz="0" w:space="0" w:color="auto"/>
        <w:left w:val="none" w:sz="0" w:space="0" w:color="auto"/>
        <w:bottom w:val="none" w:sz="0" w:space="0" w:color="auto"/>
        <w:right w:val="none" w:sz="0" w:space="0" w:color="auto"/>
      </w:divBdr>
    </w:div>
    <w:div w:id="262887013">
      <w:bodyDiv w:val="1"/>
      <w:marLeft w:val="0"/>
      <w:marRight w:val="0"/>
      <w:marTop w:val="0"/>
      <w:marBottom w:val="0"/>
      <w:divBdr>
        <w:top w:val="none" w:sz="0" w:space="0" w:color="auto"/>
        <w:left w:val="none" w:sz="0" w:space="0" w:color="auto"/>
        <w:bottom w:val="none" w:sz="0" w:space="0" w:color="auto"/>
        <w:right w:val="none" w:sz="0" w:space="0" w:color="auto"/>
      </w:divBdr>
    </w:div>
    <w:div w:id="263077268">
      <w:bodyDiv w:val="1"/>
      <w:marLeft w:val="0"/>
      <w:marRight w:val="0"/>
      <w:marTop w:val="0"/>
      <w:marBottom w:val="0"/>
      <w:divBdr>
        <w:top w:val="none" w:sz="0" w:space="0" w:color="auto"/>
        <w:left w:val="none" w:sz="0" w:space="0" w:color="auto"/>
        <w:bottom w:val="none" w:sz="0" w:space="0" w:color="auto"/>
        <w:right w:val="none" w:sz="0" w:space="0" w:color="auto"/>
      </w:divBdr>
    </w:div>
    <w:div w:id="266932287">
      <w:bodyDiv w:val="1"/>
      <w:marLeft w:val="0"/>
      <w:marRight w:val="0"/>
      <w:marTop w:val="0"/>
      <w:marBottom w:val="0"/>
      <w:divBdr>
        <w:top w:val="none" w:sz="0" w:space="0" w:color="auto"/>
        <w:left w:val="none" w:sz="0" w:space="0" w:color="auto"/>
        <w:bottom w:val="none" w:sz="0" w:space="0" w:color="auto"/>
        <w:right w:val="none" w:sz="0" w:space="0" w:color="auto"/>
      </w:divBdr>
    </w:div>
    <w:div w:id="273175341">
      <w:bodyDiv w:val="1"/>
      <w:marLeft w:val="0"/>
      <w:marRight w:val="0"/>
      <w:marTop w:val="0"/>
      <w:marBottom w:val="0"/>
      <w:divBdr>
        <w:top w:val="none" w:sz="0" w:space="0" w:color="auto"/>
        <w:left w:val="none" w:sz="0" w:space="0" w:color="auto"/>
        <w:bottom w:val="none" w:sz="0" w:space="0" w:color="auto"/>
        <w:right w:val="none" w:sz="0" w:space="0" w:color="auto"/>
      </w:divBdr>
    </w:div>
    <w:div w:id="274408111">
      <w:bodyDiv w:val="1"/>
      <w:marLeft w:val="0"/>
      <w:marRight w:val="0"/>
      <w:marTop w:val="0"/>
      <w:marBottom w:val="0"/>
      <w:divBdr>
        <w:top w:val="none" w:sz="0" w:space="0" w:color="auto"/>
        <w:left w:val="none" w:sz="0" w:space="0" w:color="auto"/>
        <w:bottom w:val="none" w:sz="0" w:space="0" w:color="auto"/>
        <w:right w:val="none" w:sz="0" w:space="0" w:color="auto"/>
      </w:divBdr>
    </w:div>
    <w:div w:id="278143708">
      <w:bodyDiv w:val="1"/>
      <w:marLeft w:val="0"/>
      <w:marRight w:val="0"/>
      <w:marTop w:val="0"/>
      <w:marBottom w:val="0"/>
      <w:divBdr>
        <w:top w:val="none" w:sz="0" w:space="0" w:color="auto"/>
        <w:left w:val="none" w:sz="0" w:space="0" w:color="auto"/>
        <w:bottom w:val="none" w:sz="0" w:space="0" w:color="auto"/>
        <w:right w:val="none" w:sz="0" w:space="0" w:color="auto"/>
      </w:divBdr>
    </w:div>
    <w:div w:id="283658473">
      <w:bodyDiv w:val="1"/>
      <w:marLeft w:val="0"/>
      <w:marRight w:val="0"/>
      <w:marTop w:val="0"/>
      <w:marBottom w:val="0"/>
      <w:divBdr>
        <w:top w:val="none" w:sz="0" w:space="0" w:color="auto"/>
        <w:left w:val="none" w:sz="0" w:space="0" w:color="auto"/>
        <w:bottom w:val="none" w:sz="0" w:space="0" w:color="auto"/>
        <w:right w:val="none" w:sz="0" w:space="0" w:color="auto"/>
      </w:divBdr>
    </w:div>
    <w:div w:id="283998544">
      <w:bodyDiv w:val="1"/>
      <w:marLeft w:val="0"/>
      <w:marRight w:val="0"/>
      <w:marTop w:val="0"/>
      <w:marBottom w:val="0"/>
      <w:divBdr>
        <w:top w:val="none" w:sz="0" w:space="0" w:color="auto"/>
        <w:left w:val="none" w:sz="0" w:space="0" w:color="auto"/>
        <w:bottom w:val="none" w:sz="0" w:space="0" w:color="auto"/>
        <w:right w:val="none" w:sz="0" w:space="0" w:color="auto"/>
      </w:divBdr>
    </w:div>
    <w:div w:id="288703096">
      <w:bodyDiv w:val="1"/>
      <w:marLeft w:val="0"/>
      <w:marRight w:val="0"/>
      <w:marTop w:val="0"/>
      <w:marBottom w:val="0"/>
      <w:divBdr>
        <w:top w:val="none" w:sz="0" w:space="0" w:color="auto"/>
        <w:left w:val="none" w:sz="0" w:space="0" w:color="auto"/>
        <w:bottom w:val="none" w:sz="0" w:space="0" w:color="auto"/>
        <w:right w:val="none" w:sz="0" w:space="0" w:color="auto"/>
      </w:divBdr>
    </w:div>
    <w:div w:id="289282251">
      <w:bodyDiv w:val="1"/>
      <w:marLeft w:val="0"/>
      <w:marRight w:val="0"/>
      <w:marTop w:val="0"/>
      <w:marBottom w:val="0"/>
      <w:divBdr>
        <w:top w:val="none" w:sz="0" w:space="0" w:color="auto"/>
        <w:left w:val="none" w:sz="0" w:space="0" w:color="auto"/>
        <w:bottom w:val="none" w:sz="0" w:space="0" w:color="auto"/>
        <w:right w:val="none" w:sz="0" w:space="0" w:color="auto"/>
      </w:divBdr>
    </w:div>
    <w:div w:id="298461201">
      <w:bodyDiv w:val="1"/>
      <w:marLeft w:val="0"/>
      <w:marRight w:val="0"/>
      <w:marTop w:val="0"/>
      <w:marBottom w:val="0"/>
      <w:divBdr>
        <w:top w:val="none" w:sz="0" w:space="0" w:color="auto"/>
        <w:left w:val="none" w:sz="0" w:space="0" w:color="auto"/>
        <w:bottom w:val="none" w:sz="0" w:space="0" w:color="auto"/>
        <w:right w:val="none" w:sz="0" w:space="0" w:color="auto"/>
      </w:divBdr>
    </w:div>
    <w:div w:id="300506404">
      <w:bodyDiv w:val="1"/>
      <w:marLeft w:val="0"/>
      <w:marRight w:val="0"/>
      <w:marTop w:val="0"/>
      <w:marBottom w:val="0"/>
      <w:divBdr>
        <w:top w:val="none" w:sz="0" w:space="0" w:color="auto"/>
        <w:left w:val="none" w:sz="0" w:space="0" w:color="auto"/>
        <w:bottom w:val="none" w:sz="0" w:space="0" w:color="auto"/>
        <w:right w:val="none" w:sz="0" w:space="0" w:color="auto"/>
      </w:divBdr>
    </w:div>
    <w:div w:id="309096127">
      <w:bodyDiv w:val="1"/>
      <w:marLeft w:val="0"/>
      <w:marRight w:val="0"/>
      <w:marTop w:val="0"/>
      <w:marBottom w:val="0"/>
      <w:divBdr>
        <w:top w:val="none" w:sz="0" w:space="0" w:color="auto"/>
        <w:left w:val="none" w:sz="0" w:space="0" w:color="auto"/>
        <w:bottom w:val="none" w:sz="0" w:space="0" w:color="auto"/>
        <w:right w:val="none" w:sz="0" w:space="0" w:color="auto"/>
      </w:divBdr>
    </w:div>
    <w:div w:id="309216541">
      <w:bodyDiv w:val="1"/>
      <w:marLeft w:val="0"/>
      <w:marRight w:val="0"/>
      <w:marTop w:val="0"/>
      <w:marBottom w:val="0"/>
      <w:divBdr>
        <w:top w:val="none" w:sz="0" w:space="0" w:color="auto"/>
        <w:left w:val="none" w:sz="0" w:space="0" w:color="auto"/>
        <w:bottom w:val="none" w:sz="0" w:space="0" w:color="auto"/>
        <w:right w:val="none" w:sz="0" w:space="0" w:color="auto"/>
      </w:divBdr>
    </w:div>
    <w:div w:id="315032654">
      <w:bodyDiv w:val="1"/>
      <w:marLeft w:val="0"/>
      <w:marRight w:val="0"/>
      <w:marTop w:val="0"/>
      <w:marBottom w:val="0"/>
      <w:divBdr>
        <w:top w:val="none" w:sz="0" w:space="0" w:color="auto"/>
        <w:left w:val="none" w:sz="0" w:space="0" w:color="auto"/>
        <w:bottom w:val="none" w:sz="0" w:space="0" w:color="auto"/>
        <w:right w:val="none" w:sz="0" w:space="0" w:color="auto"/>
      </w:divBdr>
    </w:div>
    <w:div w:id="316613596">
      <w:bodyDiv w:val="1"/>
      <w:marLeft w:val="0"/>
      <w:marRight w:val="0"/>
      <w:marTop w:val="0"/>
      <w:marBottom w:val="0"/>
      <w:divBdr>
        <w:top w:val="none" w:sz="0" w:space="0" w:color="auto"/>
        <w:left w:val="none" w:sz="0" w:space="0" w:color="auto"/>
        <w:bottom w:val="none" w:sz="0" w:space="0" w:color="auto"/>
        <w:right w:val="none" w:sz="0" w:space="0" w:color="auto"/>
      </w:divBdr>
    </w:div>
    <w:div w:id="318771327">
      <w:bodyDiv w:val="1"/>
      <w:marLeft w:val="0"/>
      <w:marRight w:val="0"/>
      <w:marTop w:val="0"/>
      <w:marBottom w:val="0"/>
      <w:divBdr>
        <w:top w:val="none" w:sz="0" w:space="0" w:color="auto"/>
        <w:left w:val="none" w:sz="0" w:space="0" w:color="auto"/>
        <w:bottom w:val="none" w:sz="0" w:space="0" w:color="auto"/>
        <w:right w:val="none" w:sz="0" w:space="0" w:color="auto"/>
      </w:divBdr>
    </w:div>
    <w:div w:id="327054835">
      <w:bodyDiv w:val="1"/>
      <w:marLeft w:val="0"/>
      <w:marRight w:val="0"/>
      <w:marTop w:val="0"/>
      <w:marBottom w:val="0"/>
      <w:divBdr>
        <w:top w:val="none" w:sz="0" w:space="0" w:color="auto"/>
        <w:left w:val="none" w:sz="0" w:space="0" w:color="auto"/>
        <w:bottom w:val="none" w:sz="0" w:space="0" w:color="auto"/>
        <w:right w:val="none" w:sz="0" w:space="0" w:color="auto"/>
      </w:divBdr>
    </w:div>
    <w:div w:id="330834976">
      <w:bodyDiv w:val="1"/>
      <w:marLeft w:val="0"/>
      <w:marRight w:val="0"/>
      <w:marTop w:val="0"/>
      <w:marBottom w:val="0"/>
      <w:divBdr>
        <w:top w:val="none" w:sz="0" w:space="0" w:color="auto"/>
        <w:left w:val="none" w:sz="0" w:space="0" w:color="auto"/>
        <w:bottom w:val="none" w:sz="0" w:space="0" w:color="auto"/>
        <w:right w:val="none" w:sz="0" w:space="0" w:color="auto"/>
      </w:divBdr>
    </w:div>
    <w:div w:id="331420645">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7317960">
      <w:bodyDiv w:val="1"/>
      <w:marLeft w:val="0"/>
      <w:marRight w:val="0"/>
      <w:marTop w:val="0"/>
      <w:marBottom w:val="0"/>
      <w:divBdr>
        <w:top w:val="none" w:sz="0" w:space="0" w:color="auto"/>
        <w:left w:val="none" w:sz="0" w:space="0" w:color="auto"/>
        <w:bottom w:val="none" w:sz="0" w:space="0" w:color="auto"/>
        <w:right w:val="none" w:sz="0" w:space="0" w:color="auto"/>
      </w:divBdr>
    </w:div>
    <w:div w:id="342365604">
      <w:bodyDiv w:val="1"/>
      <w:marLeft w:val="0"/>
      <w:marRight w:val="0"/>
      <w:marTop w:val="0"/>
      <w:marBottom w:val="0"/>
      <w:divBdr>
        <w:top w:val="none" w:sz="0" w:space="0" w:color="auto"/>
        <w:left w:val="none" w:sz="0" w:space="0" w:color="auto"/>
        <w:bottom w:val="none" w:sz="0" w:space="0" w:color="auto"/>
        <w:right w:val="none" w:sz="0" w:space="0" w:color="auto"/>
      </w:divBdr>
    </w:div>
    <w:div w:id="342630510">
      <w:bodyDiv w:val="1"/>
      <w:marLeft w:val="0"/>
      <w:marRight w:val="0"/>
      <w:marTop w:val="0"/>
      <w:marBottom w:val="0"/>
      <w:divBdr>
        <w:top w:val="none" w:sz="0" w:space="0" w:color="auto"/>
        <w:left w:val="none" w:sz="0" w:space="0" w:color="auto"/>
        <w:bottom w:val="none" w:sz="0" w:space="0" w:color="auto"/>
        <w:right w:val="none" w:sz="0" w:space="0" w:color="auto"/>
      </w:divBdr>
    </w:div>
    <w:div w:id="343747221">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5138757">
      <w:bodyDiv w:val="1"/>
      <w:marLeft w:val="0"/>
      <w:marRight w:val="0"/>
      <w:marTop w:val="0"/>
      <w:marBottom w:val="0"/>
      <w:divBdr>
        <w:top w:val="none" w:sz="0" w:space="0" w:color="auto"/>
        <w:left w:val="none" w:sz="0" w:space="0" w:color="auto"/>
        <w:bottom w:val="none" w:sz="0" w:space="0" w:color="auto"/>
        <w:right w:val="none" w:sz="0" w:space="0" w:color="auto"/>
      </w:divBdr>
    </w:div>
    <w:div w:id="361902233">
      <w:bodyDiv w:val="1"/>
      <w:marLeft w:val="0"/>
      <w:marRight w:val="0"/>
      <w:marTop w:val="0"/>
      <w:marBottom w:val="0"/>
      <w:divBdr>
        <w:top w:val="none" w:sz="0" w:space="0" w:color="auto"/>
        <w:left w:val="none" w:sz="0" w:space="0" w:color="auto"/>
        <w:bottom w:val="none" w:sz="0" w:space="0" w:color="auto"/>
        <w:right w:val="none" w:sz="0" w:space="0" w:color="auto"/>
      </w:divBdr>
    </w:div>
    <w:div w:id="364403807">
      <w:bodyDiv w:val="1"/>
      <w:marLeft w:val="0"/>
      <w:marRight w:val="0"/>
      <w:marTop w:val="0"/>
      <w:marBottom w:val="0"/>
      <w:divBdr>
        <w:top w:val="none" w:sz="0" w:space="0" w:color="auto"/>
        <w:left w:val="none" w:sz="0" w:space="0" w:color="auto"/>
        <w:bottom w:val="none" w:sz="0" w:space="0" w:color="auto"/>
        <w:right w:val="none" w:sz="0" w:space="0" w:color="auto"/>
      </w:divBdr>
    </w:div>
    <w:div w:id="368997023">
      <w:bodyDiv w:val="1"/>
      <w:marLeft w:val="0"/>
      <w:marRight w:val="0"/>
      <w:marTop w:val="0"/>
      <w:marBottom w:val="0"/>
      <w:divBdr>
        <w:top w:val="none" w:sz="0" w:space="0" w:color="auto"/>
        <w:left w:val="none" w:sz="0" w:space="0" w:color="auto"/>
        <w:bottom w:val="none" w:sz="0" w:space="0" w:color="auto"/>
        <w:right w:val="none" w:sz="0" w:space="0" w:color="auto"/>
      </w:divBdr>
    </w:div>
    <w:div w:id="370960983">
      <w:bodyDiv w:val="1"/>
      <w:marLeft w:val="0"/>
      <w:marRight w:val="0"/>
      <w:marTop w:val="0"/>
      <w:marBottom w:val="0"/>
      <w:divBdr>
        <w:top w:val="none" w:sz="0" w:space="0" w:color="auto"/>
        <w:left w:val="none" w:sz="0" w:space="0" w:color="auto"/>
        <w:bottom w:val="none" w:sz="0" w:space="0" w:color="auto"/>
        <w:right w:val="none" w:sz="0" w:space="0" w:color="auto"/>
      </w:divBdr>
    </w:div>
    <w:div w:id="373582807">
      <w:bodyDiv w:val="1"/>
      <w:marLeft w:val="0"/>
      <w:marRight w:val="0"/>
      <w:marTop w:val="0"/>
      <w:marBottom w:val="0"/>
      <w:divBdr>
        <w:top w:val="none" w:sz="0" w:space="0" w:color="auto"/>
        <w:left w:val="none" w:sz="0" w:space="0" w:color="auto"/>
        <w:bottom w:val="none" w:sz="0" w:space="0" w:color="auto"/>
        <w:right w:val="none" w:sz="0" w:space="0" w:color="auto"/>
      </w:divBdr>
    </w:div>
    <w:div w:id="374356403">
      <w:bodyDiv w:val="1"/>
      <w:marLeft w:val="0"/>
      <w:marRight w:val="0"/>
      <w:marTop w:val="0"/>
      <w:marBottom w:val="0"/>
      <w:divBdr>
        <w:top w:val="none" w:sz="0" w:space="0" w:color="auto"/>
        <w:left w:val="none" w:sz="0" w:space="0" w:color="auto"/>
        <w:bottom w:val="none" w:sz="0" w:space="0" w:color="auto"/>
        <w:right w:val="none" w:sz="0" w:space="0" w:color="auto"/>
      </w:divBdr>
    </w:div>
    <w:div w:id="385762738">
      <w:bodyDiv w:val="1"/>
      <w:marLeft w:val="0"/>
      <w:marRight w:val="0"/>
      <w:marTop w:val="0"/>
      <w:marBottom w:val="0"/>
      <w:divBdr>
        <w:top w:val="none" w:sz="0" w:space="0" w:color="auto"/>
        <w:left w:val="none" w:sz="0" w:space="0" w:color="auto"/>
        <w:bottom w:val="none" w:sz="0" w:space="0" w:color="auto"/>
        <w:right w:val="none" w:sz="0" w:space="0" w:color="auto"/>
      </w:divBdr>
    </w:div>
    <w:div w:id="386606664">
      <w:bodyDiv w:val="1"/>
      <w:marLeft w:val="0"/>
      <w:marRight w:val="0"/>
      <w:marTop w:val="0"/>
      <w:marBottom w:val="0"/>
      <w:divBdr>
        <w:top w:val="none" w:sz="0" w:space="0" w:color="auto"/>
        <w:left w:val="none" w:sz="0" w:space="0" w:color="auto"/>
        <w:bottom w:val="none" w:sz="0" w:space="0" w:color="auto"/>
        <w:right w:val="none" w:sz="0" w:space="0" w:color="auto"/>
      </w:divBdr>
    </w:div>
    <w:div w:id="389305768">
      <w:bodyDiv w:val="1"/>
      <w:marLeft w:val="0"/>
      <w:marRight w:val="0"/>
      <w:marTop w:val="0"/>
      <w:marBottom w:val="0"/>
      <w:divBdr>
        <w:top w:val="none" w:sz="0" w:space="0" w:color="auto"/>
        <w:left w:val="none" w:sz="0" w:space="0" w:color="auto"/>
        <w:bottom w:val="none" w:sz="0" w:space="0" w:color="auto"/>
        <w:right w:val="none" w:sz="0" w:space="0" w:color="auto"/>
      </w:divBdr>
    </w:div>
    <w:div w:id="392512187">
      <w:bodyDiv w:val="1"/>
      <w:marLeft w:val="0"/>
      <w:marRight w:val="0"/>
      <w:marTop w:val="0"/>
      <w:marBottom w:val="0"/>
      <w:divBdr>
        <w:top w:val="none" w:sz="0" w:space="0" w:color="auto"/>
        <w:left w:val="none" w:sz="0" w:space="0" w:color="auto"/>
        <w:bottom w:val="none" w:sz="0" w:space="0" w:color="auto"/>
        <w:right w:val="none" w:sz="0" w:space="0" w:color="auto"/>
      </w:divBdr>
    </w:div>
    <w:div w:id="392890789">
      <w:bodyDiv w:val="1"/>
      <w:marLeft w:val="0"/>
      <w:marRight w:val="0"/>
      <w:marTop w:val="0"/>
      <w:marBottom w:val="0"/>
      <w:divBdr>
        <w:top w:val="none" w:sz="0" w:space="0" w:color="auto"/>
        <w:left w:val="none" w:sz="0" w:space="0" w:color="auto"/>
        <w:bottom w:val="none" w:sz="0" w:space="0" w:color="auto"/>
        <w:right w:val="none" w:sz="0" w:space="0" w:color="auto"/>
      </w:divBdr>
    </w:div>
    <w:div w:id="393429915">
      <w:bodyDiv w:val="1"/>
      <w:marLeft w:val="0"/>
      <w:marRight w:val="0"/>
      <w:marTop w:val="0"/>
      <w:marBottom w:val="0"/>
      <w:divBdr>
        <w:top w:val="none" w:sz="0" w:space="0" w:color="auto"/>
        <w:left w:val="none" w:sz="0" w:space="0" w:color="auto"/>
        <w:bottom w:val="none" w:sz="0" w:space="0" w:color="auto"/>
        <w:right w:val="none" w:sz="0" w:space="0" w:color="auto"/>
      </w:divBdr>
    </w:div>
    <w:div w:id="396438652">
      <w:bodyDiv w:val="1"/>
      <w:marLeft w:val="0"/>
      <w:marRight w:val="0"/>
      <w:marTop w:val="0"/>
      <w:marBottom w:val="0"/>
      <w:divBdr>
        <w:top w:val="none" w:sz="0" w:space="0" w:color="auto"/>
        <w:left w:val="none" w:sz="0" w:space="0" w:color="auto"/>
        <w:bottom w:val="none" w:sz="0" w:space="0" w:color="auto"/>
        <w:right w:val="none" w:sz="0" w:space="0" w:color="auto"/>
      </w:divBdr>
    </w:div>
    <w:div w:id="396711814">
      <w:bodyDiv w:val="1"/>
      <w:marLeft w:val="0"/>
      <w:marRight w:val="0"/>
      <w:marTop w:val="0"/>
      <w:marBottom w:val="0"/>
      <w:divBdr>
        <w:top w:val="none" w:sz="0" w:space="0" w:color="auto"/>
        <w:left w:val="none" w:sz="0" w:space="0" w:color="auto"/>
        <w:bottom w:val="none" w:sz="0" w:space="0" w:color="auto"/>
        <w:right w:val="none" w:sz="0" w:space="0" w:color="auto"/>
      </w:divBdr>
    </w:div>
    <w:div w:id="397678004">
      <w:bodyDiv w:val="1"/>
      <w:marLeft w:val="0"/>
      <w:marRight w:val="0"/>
      <w:marTop w:val="0"/>
      <w:marBottom w:val="0"/>
      <w:divBdr>
        <w:top w:val="none" w:sz="0" w:space="0" w:color="auto"/>
        <w:left w:val="none" w:sz="0" w:space="0" w:color="auto"/>
        <w:bottom w:val="none" w:sz="0" w:space="0" w:color="auto"/>
        <w:right w:val="none" w:sz="0" w:space="0" w:color="auto"/>
      </w:divBdr>
    </w:div>
    <w:div w:id="398333704">
      <w:bodyDiv w:val="1"/>
      <w:marLeft w:val="0"/>
      <w:marRight w:val="0"/>
      <w:marTop w:val="0"/>
      <w:marBottom w:val="0"/>
      <w:divBdr>
        <w:top w:val="none" w:sz="0" w:space="0" w:color="auto"/>
        <w:left w:val="none" w:sz="0" w:space="0" w:color="auto"/>
        <w:bottom w:val="none" w:sz="0" w:space="0" w:color="auto"/>
        <w:right w:val="none" w:sz="0" w:space="0" w:color="auto"/>
      </w:divBdr>
    </w:div>
    <w:div w:id="398795754">
      <w:bodyDiv w:val="1"/>
      <w:marLeft w:val="0"/>
      <w:marRight w:val="0"/>
      <w:marTop w:val="0"/>
      <w:marBottom w:val="0"/>
      <w:divBdr>
        <w:top w:val="none" w:sz="0" w:space="0" w:color="auto"/>
        <w:left w:val="none" w:sz="0" w:space="0" w:color="auto"/>
        <w:bottom w:val="none" w:sz="0" w:space="0" w:color="auto"/>
        <w:right w:val="none" w:sz="0" w:space="0" w:color="auto"/>
      </w:divBdr>
    </w:div>
    <w:div w:id="399182714">
      <w:bodyDiv w:val="1"/>
      <w:marLeft w:val="0"/>
      <w:marRight w:val="0"/>
      <w:marTop w:val="0"/>
      <w:marBottom w:val="0"/>
      <w:divBdr>
        <w:top w:val="none" w:sz="0" w:space="0" w:color="auto"/>
        <w:left w:val="none" w:sz="0" w:space="0" w:color="auto"/>
        <w:bottom w:val="none" w:sz="0" w:space="0" w:color="auto"/>
        <w:right w:val="none" w:sz="0" w:space="0" w:color="auto"/>
      </w:divBdr>
    </w:div>
    <w:div w:id="400710895">
      <w:bodyDiv w:val="1"/>
      <w:marLeft w:val="0"/>
      <w:marRight w:val="0"/>
      <w:marTop w:val="0"/>
      <w:marBottom w:val="0"/>
      <w:divBdr>
        <w:top w:val="none" w:sz="0" w:space="0" w:color="auto"/>
        <w:left w:val="none" w:sz="0" w:space="0" w:color="auto"/>
        <w:bottom w:val="none" w:sz="0" w:space="0" w:color="auto"/>
        <w:right w:val="none" w:sz="0" w:space="0" w:color="auto"/>
      </w:divBdr>
    </w:div>
    <w:div w:id="414859889">
      <w:bodyDiv w:val="1"/>
      <w:marLeft w:val="0"/>
      <w:marRight w:val="0"/>
      <w:marTop w:val="0"/>
      <w:marBottom w:val="0"/>
      <w:divBdr>
        <w:top w:val="none" w:sz="0" w:space="0" w:color="auto"/>
        <w:left w:val="none" w:sz="0" w:space="0" w:color="auto"/>
        <w:bottom w:val="none" w:sz="0" w:space="0" w:color="auto"/>
        <w:right w:val="none" w:sz="0" w:space="0" w:color="auto"/>
      </w:divBdr>
    </w:div>
    <w:div w:id="418254741">
      <w:bodyDiv w:val="1"/>
      <w:marLeft w:val="0"/>
      <w:marRight w:val="0"/>
      <w:marTop w:val="0"/>
      <w:marBottom w:val="0"/>
      <w:divBdr>
        <w:top w:val="none" w:sz="0" w:space="0" w:color="auto"/>
        <w:left w:val="none" w:sz="0" w:space="0" w:color="auto"/>
        <w:bottom w:val="none" w:sz="0" w:space="0" w:color="auto"/>
        <w:right w:val="none" w:sz="0" w:space="0" w:color="auto"/>
      </w:divBdr>
    </w:div>
    <w:div w:id="423065846">
      <w:bodyDiv w:val="1"/>
      <w:marLeft w:val="0"/>
      <w:marRight w:val="0"/>
      <w:marTop w:val="0"/>
      <w:marBottom w:val="0"/>
      <w:divBdr>
        <w:top w:val="none" w:sz="0" w:space="0" w:color="auto"/>
        <w:left w:val="none" w:sz="0" w:space="0" w:color="auto"/>
        <w:bottom w:val="none" w:sz="0" w:space="0" w:color="auto"/>
        <w:right w:val="none" w:sz="0" w:space="0" w:color="auto"/>
      </w:divBdr>
    </w:div>
    <w:div w:id="425351452">
      <w:bodyDiv w:val="1"/>
      <w:marLeft w:val="0"/>
      <w:marRight w:val="0"/>
      <w:marTop w:val="0"/>
      <w:marBottom w:val="0"/>
      <w:divBdr>
        <w:top w:val="none" w:sz="0" w:space="0" w:color="auto"/>
        <w:left w:val="none" w:sz="0" w:space="0" w:color="auto"/>
        <w:bottom w:val="none" w:sz="0" w:space="0" w:color="auto"/>
        <w:right w:val="none" w:sz="0" w:space="0" w:color="auto"/>
      </w:divBdr>
    </w:div>
    <w:div w:id="429130722">
      <w:bodyDiv w:val="1"/>
      <w:marLeft w:val="0"/>
      <w:marRight w:val="0"/>
      <w:marTop w:val="0"/>
      <w:marBottom w:val="0"/>
      <w:divBdr>
        <w:top w:val="none" w:sz="0" w:space="0" w:color="auto"/>
        <w:left w:val="none" w:sz="0" w:space="0" w:color="auto"/>
        <w:bottom w:val="none" w:sz="0" w:space="0" w:color="auto"/>
        <w:right w:val="none" w:sz="0" w:space="0" w:color="auto"/>
      </w:divBdr>
    </w:div>
    <w:div w:id="430050707">
      <w:bodyDiv w:val="1"/>
      <w:marLeft w:val="0"/>
      <w:marRight w:val="0"/>
      <w:marTop w:val="0"/>
      <w:marBottom w:val="0"/>
      <w:divBdr>
        <w:top w:val="none" w:sz="0" w:space="0" w:color="auto"/>
        <w:left w:val="none" w:sz="0" w:space="0" w:color="auto"/>
        <w:bottom w:val="none" w:sz="0" w:space="0" w:color="auto"/>
        <w:right w:val="none" w:sz="0" w:space="0" w:color="auto"/>
      </w:divBdr>
    </w:div>
    <w:div w:id="431048028">
      <w:bodyDiv w:val="1"/>
      <w:marLeft w:val="0"/>
      <w:marRight w:val="0"/>
      <w:marTop w:val="0"/>
      <w:marBottom w:val="0"/>
      <w:divBdr>
        <w:top w:val="none" w:sz="0" w:space="0" w:color="auto"/>
        <w:left w:val="none" w:sz="0" w:space="0" w:color="auto"/>
        <w:bottom w:val="none" w:sz="0" w:space="0" w:color="auto"/>
        <w:right w:val="none" w:sz="0" w:space="0" w:color="auto"/>
      </w:divBdr>
    </w:div>
    <w:div w:id="432481047">
      <w:bodyDiv w:val="1"/>
      <w:marLeft w:val="0"/>
      <w:marRight w:val="0"/>
      <w:marTop w:val="0"/>
      <w:marBottom w:val="0"/>
      <w:divBdr>
        <w:top w:val="none" w:sz="0" w:space="0" w:color="auto"/>
        <w:left w:val="none" w:sz="0" w:space="0" w:color="auto"/>
        <w:bottom w:val="none" w:sz="0" w:space="0" w:color="auto"/>
        <w:right w:val="none" w:sz="0" w:space="0" w:color="auto"/>
      </w:divBdr>
    </w:div>
    <w:div w:id="433669442">
      <w:bodyDiv w:val="1"/>
      <w:marLeft w:val="0"/>
      <w:marRight w:val="0"/>
      <w:marTop w:val="0"/>
      <w:marBottom w:val="0"/>
      <w:divBdr>
        <w:top w:val="none" w:sz="0" w:space="0" w:color="auto"/>
        <w:left w:val="none" w:sz="0" w:space="0" w:color="auto"/>
        <w:bottom w:val="none" w:sz="0" w:space="0" w:color="auto"/>
        <w:right w:val="none" w:sz="0" w:space="0" w:color="auto"/>
      </w:divBdr>
    </w:div>
    <w:div w:id="435566052">
      <w:bodyDiv w:val="1"/>
      <w:marLeft w:val="0"/>
      <w:marRight w:val="0"/>
      <w:marTop w:val="0"/>
      <w:marBottom w:val="0"/>
      <w:divBdr>
        <w:top w:val="none" w:sz="0" w:space="0" w:color="auto"/>
        <w:left w:val="none" w:sz="0" w:space="0" w:color="auto"/>
        <w:bottom w:val="none" w:sz="0" w:space="0" w:color="auto"/>
        <w:right w:val="none" w:sz="0" w:space="0" w:color="auto"/>
      </w:divBdr>
    </w:div>
    <w:div w:id="436219477">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39490317">
      <w:bodyDiv w:val="1"/>
      <w:marLeft w:val="0"/>
      <w:marRight w:val="0"/>
      <w:marTop w:val="0"/>
      <w:marBottom w:val="0"/>
      <w:divBdr>
        <w:top w:val="none" w:sz="0" w:space="0" w:color="auto"/>
        <w:left w:val="none" w:sz="0" w:space="0" w:color="auto"/>
        <w:bottom w:val="none" w:sz="0" w:space="0" w:color="auto"/>
        <w:right w:val="none" w:sz="0" w:space="0" w:color="auto"/>
      </w:divBdr>
    </w:div>
    <w:div w:id="453519791">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186917">
      <w:bodyDiv w:val="1"/>
      <w:marLeft w:val="0"/>
      <w:marRight w:val="0"/>
      <w:marTop w:val="0"/>
      <w:marBottom w:val="0"/>
      <w:divBdr>
        <w:top w:val="none" w:sz="0" w:space="0" w:color="auto"/>
        <w:left w:val="none" w:sz="0" w:space="0" w:color="auto"/>
        <w:bottom w:val="none" w:sz="0" w:space="0" w:color="auto"/>
        <w:right w:val="none" w:sz="0" w:space="0" w:color="auto"/>
      </w:divBdr>
    </w:div>
    <w:div w:id="458962446">
      <w:bodyDiv w:val="1"/>
      <w:marLeft w:val="0"/>
      <w:marRight w:val="0"/>
      <w:marTop w:val="0"/>
      <w:marBottom w:val="0"/>
      <w:divBdr>
        <w:top w:val="none" w:sz="0" w:space="0" w:color="auto"/>
        <w:left w:val="none" w:sz="0" w:space="0" w:color="auto"/>
        <w:bottom w:val="none" w:sz="0" w:space="0" w:color="auto"/>
        <w:right w:val="none" w:sz="0" w:space="0" w:color="auto"/>
      </w:divBdr>
    </w:div>
    <w:div w:id="459767509">
      <w:bodyDiv w:val="1"/>
      <w:marLeft w:val="0"/>
      <w:marRight w:val="0"/>
      <w:marTop w:val="0"/>
      <w:marBottom w:val="0"/>
      <w:divBdr>
        <w:top w:val="none" w:sz="0" w:space="0" w:color="auto"/>
        <w:left w:val="none" w:sz="0" w:space="0" w:color="auto"/>
        <w:bottom w:val="none" w:sz="0" w:space="0" w:color="auto"/>
        <w:right w:val="none" w:sz="0" w:space="0" w:color="auto"/>
      </w:divBdr>
    </w:div>
    <w:div w:id="460347131">
      <w:bodyDiv w:val="1"/>
      <w:marLeft w:val="0"/>
      <w:marRight w:val="0"/>
      <w:marTop w:val="0"/>
      <w:marBottom w:val="0"/>
      <w:divBdr>
        <w:top w:val="none" w:sz="0" w:space="0" w:color="auto"/>
        <w:left w:val="none" w:sz="0" w:space="0" w:color="auto"/>
        <w:bottom w:val="none" w:sz="0" w:space="0" w:color="auto"/>
        <w:right w:val="none" w:sz="0" w:space="0" w:color="auto"/>
      </w:divBdr>
    </w:div>
    <w:div w:id="463043301">
      <w:bodyDiv w:val="1"/>
      <w:marLeft w:val="0"/>
      <w:marRight w:val="0"/>
      <w:marTop w:val="0"/>
      <w:marBottom w:val="0"/>
      <w:divBdr>
        <w:top w:val="none" w:sz="0" w:space="0" w:color="auto"/>
        <w:left w:val="none" w:sz="0" w:space="0" w:color="auto"/>
        <w:bottom w:val="none" w:sz="0" w:space="0" w:color="auto"/>
        <w:right w:val="none" w:sz="0" w:space="0" w:color="auto"/>
      </w:divBdr>
    </w:div>
    <w:div w:id="467820743">
      <w:bodyDiv w:val="1"/>
      <w:marLeft w:val="0"/>
      <w:marRight w:val="0"/>
      <w:marTop w:val="0"/>
      <w:marBottom w:val="0"/>
      <w:divBdr>
        <w:top w:val="none" w:sz="0" w:space="0" w:color="auto"/>
        <w:left w:val="none" w:sz="0" w:space="0" w:color="auto"/>
        <w:bottom w:val="none" w:sz="0" w:space="0" w:color="auto"/>
        <w:right w:val="none" w:sz="0" w:space="0" w:color="auto"/>
      </w:divBdr>
    </w:div>
    <w:div w:id="476190641">
      <w:bodyDiv w:val="1"/>
      <w:marLeft w:val="0"/>
      <w:marRight w:val="0"/>
      <w:marTop w:val="0"/>
      <w:marBottom w:val="0"/>
      <w:divBdr>
        <w:top w:val="none" w:sz="0" w:space="0" w:color="auto"/>
        <w:left w:val="none" w:sz="0" w:space="0" w:color="auto"/>
        <w:bottom w:val="none" w:sz="0" w:space="0" w:color="auto"/>
        <w:right w:val="none" w:sz="0" w:space="0" w:color="auto"/>
      </w:divBdr>
    </w:div>
    <w:div w:id="480002101">
      <w:bodyDiv w:val="1"/>
      <w:marLeft w:val="0"/>
      <w:marRight w:val="0"/>
      <w:marTop w:val="0"/>
      <w:marBottom w:val="0"/>
      <w:divBdr>
        <w:top w:val="none" w:sz="0" w:space="0" w:color="auto"/>
        <w:left w:val="none" w:sz="0" w:space="0" w:color="auto"/>
        <w:bottom w:val="none" w:sz="0" w:space="0" w:color="auto"/>
        <w:right w:val="none" w:sz="0" w:space="0" w:color="auto"/>
      </w:divBdr>
    </w:div>
    <w:div w:id="483208373">
      <w:bodyDiv w:val="1"/>
      <w:marLeft w:val="0"/>
      <w:marRight w:val="0"/>
      <w:marTop w:val="0"/>
      <w:marBottom w:val="0"/>
      <w:divBdr>
        <w:top w:val="none" w:sz="0" w:space="0" w:color="auto"/>
        <w:left w:val="none" w:sz="0" w:space="0" w:color="auto"/>
        <w:bottom w:val="none" w:sz="0" w:space="0" w:color="auto"/>
        <w:right w:val="none" w:sz="0" w:space="0" w:color="auto"/>
      </w:divBdr>
    </w:div>
    <w:div w:id="495074530">
      <w:bodyDiv w:val="1"/>
      <w:marLeft w:val="0"/>
      <w:marRight w:val="0"/>
      <w:marTop w:val="0"/>
      <w:marBottom w:val="0"/>
      <w:divBdr>
        <w:top w:val="none" w:sz="0" w:space="0" w:color="auto"/>
        <w:left w:val="none" w:sz="0" w:space="0" w:color="auto"/>
        <w:bottom w:val="none" w:sz="0" w:space="0" w:color="auto"/>
        <w:right w:val="none" w:sz="0" w:space="0" w:color="auto"/>
      </w:divBdr>
    </w:div>
    <w:div w:id="496044200">
      <w:bodyDiv w:val="1"/>
      <w:marLeft w:val="0"/>
      <w:marRight w:val="0"/>
      <w:marTop w:val="0"/>
      <w:marBottom w:val="0"/>
      <w:divBdr>
        <w:top w:val="none" w:sz="0" w:space="0" w:color="auto"/>
        <w:left w:val="none" w:sz="0" w:space="0" w:color="auto"/>
        <w:bottom w:val="none" w:sz="0" w:space="0" w:color="auto"/>
        <w:right w:val="none" w:sz="0" w:space="0" w:color="auto"/>
      </w:divBdr>
    </w:div>
    <w:div w:id="496462537">
      <w:bodyDiv w:val="1"/>
      <w:marLeft w:val="0"/>
      <w:marRight w:val="0"/>
      <w:marTop w:val="0"/>
      <w:marBottom w:val="0"/>
      <w:divBdr>
        <w:top w:val="none" w:sz="0" w:space="0" w:color="auto"/>
        <w:left w:val="none" w:sz="0" w:space="0" w:color="auto"/>
        <w:bottom w:val="none" w:sz="0" w:space="0" w:color="auto"/>
        <w:right w:val="none" w:sz="0" w:space="0" w:color="auto"/>
      </w:divBdr>
    </w:div>
    <w:div w:id="496533043">
      <w:bodyDiv w:val="1"/>
      <w:marLeft w:val="0"/>
      <w:marRight w:val="0"/>
      <w:marTop w:val="0"/>
      <w:marBottom w:val="0"/>
      <w:divBdr>
        <w:top w:val="none" w:sz="0" w:space="0" w:color="auto"/>
        <w:left w:val="none" w:sz="0" w:space="0" w:color="auto"/>
        <w:bottom w:val="none" w:sz="0" w:space="0" w:color="auto"/>
        <w:right w:val="none" w:sz="0" w:space="0" w:color="auto"/>
      </w:divBdr>
    </w:div>
    <w:div w:id="496724696">
      <w:bodyDiv w:val="1"/>
      <w:marLeft w:val="0"/>
      <w:marRight w:val="0"/>
      <w:marTop w:val="0"/>
      <w:marBottom w:val="0"/>
      <w:divBdr>
        <w:top w:val="none" w:sz="0" w:space="0" w:color="auto"/>
        <w:left w:val="none" w:sz="0" w:space="0" w:color="auto"/>
        <w:bottom w:val="none" w:sz="0" w:space="0" w:color="auto"/>
        <w:right w:val="none" w:sz="0" w:space="0" w:color="auto"/>
      </w:divBdr>
    </w:div>
    <w:div w:id="499394168">
      <w:bodyDiv w:val="1"/>
      <w:marLeft w:val="0"/>
      <w:marRight w:val="0"/>
      <w:marTop w:val="0"/>
      <w:marBottom w:val="0"/>
      <w:divBdr>
        <w:top w:val="none" w:sz="0" w:space="0" w:color="auto"/>
        <w:left w:val="none" w:sz="0" w:space="0" w:color="auto"/>
        <w:bottom w:val="none" w:sz="0" w:space="0" w:color="auto"/>
        <w:right w:val="none" w:sz="0" w:space="0" w:color="auto"/>
      </w:divBdr>
    </w:div>
    <w:div w:id="500002502">
      <w:bodyDiv w:val="1"/>
      <w:marLeft w:val="0"/>
      <w:marRight w:val="0"/>
      <w:marTop w:val="0"/>
      <w:marBottom w:val="0"/>
      <w:divBdr>
        <w:top w:val="none" w:sz="0" w:space="0" w:color="auto"/>
        <w:left w:val="none" w:sz="0" w:space="0" w:color="auto"/>
        <w:bottom w:val="none" w:sz="0" w:space="0" w:color="auto"/>
        <w:right w:val="none" w:sz="0" w:space="0" w:color="auto"/>
      </w:divBdr>
    </w:div>
    <w:div w:id="502400750">
      <w:bodyDiv w:val="1"/>
      <w:marLeft w:val="0"/>
      <w:marRight w:val="0"/>
      <w:marTop w:val="0"/>
      <w:marBottom w:val="0"/>
      <w:divBdr>
        <w:top w:val="none" w:sz="0" w:space="0" w:color="auto"/>
        <w:left w:val="none" w:sz="0" w:space="0" w:color="auto"/>
        <w:bottom w:val="none" w:sz="0" w:space="0" w:color="auto"/>
        <w:right w:val="none" w:sz="0" w:space="0" w:color="auto"/>
      </w:divBdr>
    </w:div>
    <w:div w:id="510336526">
      <w:bodyDiv w:val="1"/>
      <w:marLeft w:val="0"/>
      <w:marRight w:val="0"/>
      <w:marTop w:val="0"/>
      <w:marBottom w:val="0"/>
      <w:divBdr>
        <w:top w:val="none" w:sz="0" w:space="0" w:color="auto"/>
        <w:left w:val="none" w:sz="0" w:space="0" w:color="auto"/>
        <w:bottom w:val="none" w:sz="0" w:space="0" w:color="auto"/>
        <w:right w:val="none" w:sz="0" w:space="0" w:color="auto"/>
      </w:divBdr>
    </w:div>
    <w:div w:id="517085541">
      <w:bodyDiv w:val="1"/>
      <w:marLeft w:val="0"/>
      <w:marRight w:val="0"/>
      <w:marTop w:val="0"/>
      <w:marBottom w:val="0"/>
      <w:divBdr>
        <w:top w:val="none" w:sz="0" w:space="0" w:color="auto"/>
        <w:left w:val="none" w:sz="0" w:space="0" w:color="auto"/>
        <w:bottom w:val="none" w:sz="0" w:space="0" w:color="auto"/>
        <w:right w:val="none" w:sz="0" w:space="0" w:color="auto"/>
      </w:divBdr>
    </w:div>
    <w:div w:id="518666547">
      <w:bodyDiv w:val="1"/>
      <w:marLeft w:val="0"/>
      <w:marRight w:val="0"/>
      <w:marTop w:val="0"/>
      <w:marBottom w:val="0"/>
      <w:divBdr>
        <w:top w:val="none" w:sz="0" w:space="0" w:color="auto"/>
        <w:left w:val="none" w:sz="0" w:space="0" w:color="auto"/>
        <w:bottom w:val="none" w:sz="0" w:space="0" w:color="auto"/>
        <w:right w:val="none" w:sz="0" w:space="0" w:color="auto"/>
      </w:divBdr>
    </w:div>
    <w:div w:id="519205583">
      <w:bodyDiv w:val="1"/>
      <w:marLeft w:val="0"/>
      <w:marRight w:val="0"/>
      <w:marTop w:val="0"/>
      <w:marBottom w:val="0"/>
      <w:divBdr>
        <w:top w:val="none" w:sz="0" w:space="0" w:color="auto"/>
        <w:left w:val="none" w:sz="0" w:space="0" w:color="auto"/>
        <w:bottom w:val="none" w:sz="0" w:space="0" w:color="auto"/>
        <w:right w:val="none" w:sz="0" w:space="0" w:color="auto"/>
      </w:divBdr>
    </w:div>
    <w:div w:id="53157653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5510042">
      <w:bodyDiv w:val="1"/>
      <w:marLeft w:val="0"/>
      <w:marRight w:val="0"/>
      <w:marTop w:val="0"/>
      <w:marBottom w:val="0"/>
      <w:divBdr>
        <w:top w:val="none" w:sz="0" w:space="0" w:color="auto"/>
        <w:left w:val="none" w:sz="0" w:space="0" w:color="auto"/>
        <w:bottom w:val="none" w:sz="0" w:space="0" w:color="auto"/>
        <w:right w:val="none" w:sz="0" w:space="0" w:color="auto"/>
      </w:divBdr>
    </w:div>
    <w:div w:id="554777742">
      <w:bodyDiv w:val="1"/>
      <w:marLeft w:val="0"/>
      <w:marRight w:val="0"/>
      <w:marTop w:val="0"/>
      <w:marBottom w:val="0"/>
      <w:divBdr>
        <w:top w:val="none" w:sz="0" w:space="0" w:color="auto"/>
        <w:left w:val="none" w:sz="0" w:space="0" w:color="auto"/>
        <w:bottom w:val="none" w:sz="0" w:space="0" w:color="auto"/>
        <w:right w:val="none" w:sz="0" w:space="0" w:color="auto"/>
      </w:divBdr>
    </w:div>
    <w:div w:id="561646866">
      <w:bodyDiv w:val="1"/>
      <w:marLeft w:val="0"/>
      <w:marRight w:val="0"/>
      <w:marTop w:val="0"/>
      <w:marBottom w:val="0"/>
      <w:divBdr>
        <w:top w:val="none" w:sz="0" w:space="0" w:color="auto"/>
        <w:left w:val="none" w:sz="0" w:space="0" w:color="auto"/>
        <w:bottom w:val="none" w:sz="0" w:space="0" w:color="auto"/>
        <w:right w:val="none" w:sz="0" w:space="0" w:color="auto"/>
      </w:divBdr>
    </w:div>
    <w:div w:id="562133354">
      <w:bodyDiv w:val="1"/>
      <w:marLeft w:val="0"/>
      <w:marRight w:val="0"/>
      <w:marTop w:val="0"/>
      <w:marBottom w:val="0"/>
      <w:divBdr>
        <w:top w:val="none" w:sz="0" w:space="0" w:color="auto"/>
        <w:left w:val="none" w:sz="0" w:space="0" w:color="auto"/>
        <w:bottom w:val="none" w:sz="0" w:space="0" w:color="auto"/>
        <w:right w:val="none" w:sz="0" w:space="0" w:color="auto"/>
      </w:divBdr>
    </w:div>
    <w:div w:id="572785118">
      <w:bodyDiv w:val="1"/>
      <w:marLeft w:val="0"/>
      <w:marRight w:val="0"/>
      <w:marTop w:val="0"/>
      <w:marBottom w:val="0"/>
      <w:divBdr>
        <w:top w:val="none" w:sz="0" w:space="0" w:color="auto"/>
        <w:left w:val="none" w:sz="0" w:space="0" w:color="auto"/>
        <w:bottom w:val="none" w:sz="0" w:space="0" w:color="auto"/>
        <w:right w:val="none" w:sz="0" w:space="0" w:color="auto"/>
      </w:divBdr>
    </w:div>
    <w:div w:id="579560557">
      <w:bodyDiv w:val="1"/>
      <w:marLeft w:val="0"/>
      <w:marRight w:val="0"/>
      <w:marTop w:val="0"/>
      <w:marBottom w:val="0"/>
      <w:divBdr>
        <w:top w:val="none" w:sz="0" w:space="0" w:color="auto"/>
        <w:left w:val="none" w:sz="0" w:space="0" w:color="auto"/>
        <w:bottom w:val="none" w:sz="0" w:space="0" w:color="auto"/>
        <w:right w:val="none" w:sz="0" w:space="0" w:color="auto"/>
      </w:divBdr>
    </w:div>
    <w:div w:id="582185227">
      <w:bodyDiv w:val="1"/>
      <w:marLeft w:val="0"/>
      <w:marRight w:val="0"/>
      <w:marTop w:val="0"/>
      <w:marBottom w:val="0"/>
      <w:divBdr>
        <w:top w:val="none" w:sz="0" w:space="0" w:color="auto"/>
        <w:left w:val="none" w:sz="0" w:space="0" w:color="auto"/>
        <w:bottom w:val="none" w:sz="0" w:space="0" w:color="auto"/>
        <w:right w:val="none" w:sz="0" w:space="0" w:color="auto"/>
      </w:divBdr>
    </w:div>
    <w:div w:id="586228230">
      <w:bodyDiv w:val="1"/>
      <w:marLeft w:val="0"/>
      <w:marRight w:val="0"/>
      <w:marTop w:val="0"/>
      <w:marBottom w:val="0"/>
      <w:divBdr>
        <w:top w:val="none" w:sz="0" w:space="0" w:color="auto"/>
        <w:left w:val="none" w:sz="0" w:space="0" w:color="auto"/>
        <w:bottom w:val="none" w:sz="0" w:space="0" w:color="auto"/>
        <w:right w:val="none" w:sz="0" w:space="0" w:color="auto"/>
      </w:divBdr>
    </w:div>
    <w:div w:id="594241596">
      <w:bodyDiv w:val="1"/>
      <w:marLeft w:val="0"/>
      <w:marRight w:val="0"/>
      <w:marTop w:val="0"/>
      <w:marBottom w:val="0"/>
      <w:divBdr>
        <w:top w:val="none" w:sz="0" w:space="0" w:color="auto"/>
        <w:left w:val="none" w:sz="0" w:space="0" w:color="auto"/>
        <w:bottom w:val="none" w:sz="0" w:space="0" w:color="auto"/>
        <w:right w:val="none" w:sz="0" w:space="0" w:color="auto"/>
      </w:divBdr>
    </w:div>
    <w:div w:id="596409535">
      <w:bodyDiv w:val="1"/>
      <w:marLeft w:val="0"/>
      <w:marRight w:val="0"/>
      <w:marTop w:val="0"/>
      <w:marBottom w:val="0"/>
      <w:divBdr>
        <w:top w:val="none" w:sz="0" w:space="0" w:color="auto"/>
        <w:left w:val="none" w:sz="0" w:space="0" w:color="auto"/>
        <w:bottom w:val="none" w:sz="0" w:space="0" w:color="auto"/>
        <w:right w:val="none" w:sz="0" w:space="0" w:color="auto"/>
      </w:divBdr>
    </w:div>
    <w:div w:id="596642749">
      <w:bodyDiv w:val="1"/>
      <w:marLeft w:val="0"/>
      <w:marRight w:val="0"/>
      <w:marTop w:val="0"/>
      <w:marBottom w:val="0"/>
      <w:divBdr>
        <w:top w:val="none" w:sz="0" w:space="0" w:color="auto"/>
        <w:left w:val="none" w:sz="0" w:space="0" w:color="auto"/>
        <w:bottom w:val="none" w:sz="0" w:space="0" w:color="auto"/>
        <w:right w:val="none" w:sz="0" w:space="0" w:color="auto"/>
      </w:divBdr>
    </w:div>
    <w:div w:id="603416304">
      <w:bodyDiv w:val="1"/>
      <w:marLeft w:val="0"/>
      <w:marRight w:val="0"/>
      <w:marTop w:val="0"/>
      <w:marBottom w:val="0"/>
      <w:divBdr>
        <w:top w:val="none" w:sz="0" w:space="0" w:color="auto"/>
        <w:left w:val="none" w:sz="0" w:space="0" w:color="auto"/>
        <w:bottom w:val="none" w:sz="0" w:space="0" w:color="auto"/>
        <w:right w:val="none" w:sz="0" w:space="0" w:color="auto"/>
      </w:divBdr>
    </w:div>
    <w:div w:id="607198012">
      <w:bodyDiv w:val="1"/>
      <w:marLeft w:val="0"/>
      <w:marRight w:val="0"/>
      <w:marTop w:val="0"/>
      <w:marBottom w:val="0"/>
      <w:divBdr>
        <w:top w:val="none" w:sz="0" w:space="0" w:color="auto"/>
        <w:left w:val="none" w:sz="0" w:space="0" w:color="auto"/>
        <w:bottom w:val="none" w:sz="0" w:space="0" w:color="auto"/>
        <w:right w:val="none" w:sz="0" w:space="0" w:color="auto"/>
      </w:divBdr>
    </w:div>
    <w:div w:id="611933176">
      <w:bodyDiv w:val="1"/>
      <w:marLeft w:val="0"/>
      <w:marRight w:val="0"/>
      <w:marTop w:val="0"/>
      <w:marBottom w:val="0"/>
      <w:divBdr>
        <w:top w:val="none" w:sz="0" w:space="0" w:color="auto"/>
        <w:left w:val="none" w:sz="0" w:space="0" w:color="auto"/>
        <w:bottom w:val="none" w:sz="0" w:space="0" w:color="auto"/>
        <w:right w:val="none" w:sz="0" w:space="0" w:color="auto"/>
      </w:divBdr>
    </w:div>
    <w:div w:id="613294283">
      <w:bodyDiv w:val="1"/>
      <w:marLeft w:val="0"/>
      <w:marRight w:val="0"/>
      <w:marTop w:val="0"/>
      <w:marBottom w:val="0"/>
      <w:divBdr>
        <w:top w:val="none" w:sz="0" w:space="0" w:color="auto"/>
        <w:left w:val="none" w:sz="0" w:space="0" w:color="auto"/>
        <w:bottom w:val="none" w:sz="0" w:space="0" w:color="auto"/>
        <w:right w:val="none" w:sz="0" w:space="0" w:color="auto"/>
      </w:divBdr>
    </w:div>
    <w:div w:id="620847137">
      <w:bodyDiv w:val="1"/>
      <w:marLeft w:val="0"/>
      <w:marRight w:val="0"/>
      <w:marTop w:val="0"/>
      <w:marBottom w:val="0"/>
      <w:divBdr>
        <w:top w:val="none" w:sz="0" w:space="0" w:color="auto"/>
        <w:left w:val="none" w:sz="0" w:space="0" w:color="auto"/>
        <w:bottom w:val="none" w:sz="0" w:space="0" w:color="auto"/>
        <w:right w:val="none" w:sz="0" w:space="0" w:color="auto"/>
      </w:divBdr>
    </w:div>
    <w:div w:id="622536933">
      <w:bodyDiv w:val="1"/>
      <w:marLeft w:val="0"/>
      <w:marRight w:val="0"/>
      <w:marTop w:val="0"/>
      <w:marBottom w:val="0"/>
      <w:divBdr>
        <w:top w:val="none" w:sz="0" w:space="0" w:color="auto"/>
        <w:left w:val="none" w:sz="0" w:space="0" w:color="auto"/>
        <w:bottom w:val="none" w:sz="0" w:space="0" w:color="auto"/>
        <w:right w:val="none" w:sz="0" w:space="0" w:color="auto"/>
      </w:divBdr>
    </w:div>
    <w:div w:id="629632557">
      <w:bodyDiv w:val="1"/>
      <w:marLeft w:val="0"/>
      <w:marRight w:val="0"/>
      <w:marTop w:val="0"/>
      <w:marBottom w:val="0"/>
      <w:divBdr>
        <w:top w:val="none" w:sz="0" w:space="0" w:color="auto"/>
        <w:left w:val="none" w:sz="0" w:space="0" w:color="auto"/>
        <w:bottom w:val="none" w:sz="0" w:space="0" w:color="auto"/>
        <w:right w:val="none" w:sz="0" w:space="0" w:color="auto"/>
      </w:divBdr>
    </w:div>
    <w:div w:id="639113806">
      <w:bodyDiv w:val="1"/>
      <w:marLeft w:val="0"/>
      <w:marRight w:val="0"/>
      <w:marTop w:val="0"/>
      <w:marBottom w:val="0"/>
      <w:divBdr>
        <w:top w:val="none" w:sz="0" w:space="0" w:color="auto"/>
        <w:left w:val="none" w:sz="0" w:space="0" w:color="auto"/>
        <w:bottom w:val="none" w:sz="0" w:space="0" w:color="auto"/>
        <w:right w:val="none" w:sz="0" w:space="0" w:color="auto"/>
      </w:divBdr>
    </w:div>
    <w:div w:id="640353909">
      <w:bodyDiv w:val="1"/>
      <w:marLeft w:val="0"/>
      <w:marRight w:val="0"/>
      <w:marTop w:val="0"/>
      <w:marBottom w:val="0"/>
      <w:divBdr>
        <w:top w:val="none" w:sz="0" w:space="0" w:color="auto"/>
        <w:left w:val="none" w:sz="0" w:space="0" w:color="auto"/>
        <w:bottom w:val="none" w:sz="0" w:space="0" w:color="auto"/>
        <w:right w:val="none" w:sz="0" w:space="0" w:color="auto"/>
      </w:divBdr>
    </w:div>
    <w:div w:id="640816489">
      <w:bodyDiv w:val="1"/>
      <w:marLeft w:val="0"/>
      <w:marRight w:val="0"/>
      <w:marTop w:val="0"/>
      <w:marBottom w:val="0"/>
      <w:divBdr>
        <w:top w:val="none" w:sz="0" w:space="0" w:color="auto"/>
        <w:left w:val="none" w:sz="0" w:space="0" w:color="auto"/>
        <w:bottom w:val="none" w:sz="0" w:space="0" w:color="auto"/>
        <w:right w:val="none" w:sz="0" w:space="0" w:color="auto"/>
      </w:divBdr>
    </w:div>
    <w:div w:id="648872912">
      <w:bodyDiv w:val="1"/>
      <w:marLeft w:val="0"/>
      <w:marRight w:val="0"/>
      <w:marTop w:val="0"/>
      <w:marBottom w:val="0"/>
      <w:divBdr>
        <w:top w:val="none" w:sz="0" w:space="0" w:color="auto"/>
        <w:left w:val="none" w:sz="0" w:space="0" w:color="auto"/>
        <w:bottom w:val="none" w:sz="0" w:space="0" w:color="auto"/>
        <w:right w:val="none" w:sz="0" w:space="0" w:color="auto"/>
      </w:divBdr>
    </w:div>
    <w:div w:id="649478765">
      <w:bodyDiv w:val="1"/>
      <w:marLeft w:val="0"/>
      <w:marRight w:val="0"/>
      <w:marTop w:val="0"/>
      <w:marBottom w:val="0"/>
      <w:divBdr>
        <w:top w:val="none" w:sz="0" w:space="0" w:color="auto"/>
        <w:left w:val="none" w:sz="0" w:space="0" w:color="auto"/>
        <w:bottom w:val="none" w:sz="0" w:space="0" w:color="auto"/>
        <w:right w:val="none" w:sz="0" w:space="0" w:color="auto"/>
      </w:divBdr>
    </w:div>
    <w:div w:id="650059947">
      <w:bodyDiv w:val="1"/>
      <w:marLeft w:val="0"/>
      <w:marRight w:val="0"/>
      <w:marTop w:val="0"/>
      <w:marBottom w:val="0"/>
      <w:divBdr>
        <w:top w:val="none" w:sz="0" w:space="0" w:color="auto"/>
        <w:left w:val="none" w:sz="0" w:space="0" w:color="auto"/>
        <w:bottom w:val="none" w:sz="0" w:space="0" w:color="auto"/>
        <w:right w:val="none" w:sz="0" w:space="0" w:color="auto"/>
      </w:divBdr>
    </w:div>
    <w:div w:id="653529859">
      <w:bodyDiv w:val="1"/>
      <w:marLeft w:val="0"/>
      <w:marRight w:val="0"/>
      <w:marTop w:val="0"/>
      <w:marBottom w:val="0"/>
      <w:divBdr>
        <w:top w:val="none" w:sz="0" w:space="0" w:color="auto"/>
        <w:left w:val="none" w:sz="0" w:space="0" w:color="auto"/>
        <w:bottom w:val="none" w:sz="0" w:space="0" w:color="auto"/>
        <w:right w:val="none" w:sz="0" w:space="0" w:color="auto"/>
      </w:divBdr>
    </w:div>
    <w:div w:id="656346334">
      <w:bodyDiv w:val="1"/>
      <w:marLeft w:val="0"/>
      <w:marRight w:val="0"/>
      <w:marTop w:val="0"/>
      <w:marBottom w:val="0"/>
      <w:divBdr>
        <w:top w:val="none" w:sz="0" w:space="0" w:color="auto"/>
        <w:left w:val="none" w:sz="0" w:space="0" w:color="auto"/>
        <w:bottom w:val="none" w:sz="0" w:space="0" w:color="auto"/>
        <w:right w:val="none" w:sz="0" w:space="0" w:color="auto"/>
      </w:divBdr>
    </w:div>
    <w:div w:id="657809477">
      <w:bodyDiv w:val="1"/>
      <w:marLeft w:val="0"/>
      <w:marRight w:val="0"/>
      <w:marTop w:val="0"/>
      <w:marBottom w:val="0"/>
      <w:divBdr>
        <w:top w:val="none" w:sz="0" w:space="0" w:color="auto"/>
        <w:left w:val="none" w:sz="0" w:space="0" w:color="auto"/>
        <w:bottom w:val="none" w:sz="0" w:space="0" w:color="auto"/>
        <w:right w:val="none" w:sz="0" w:space="0" w:color="auto"/>
      </w:divBdr>
    </w:div>
    <w:div w:id="667290391">
      <w:bodyDiv w:val="1"/>
      <w:marLeft w:val="0"/>
      <w:marRight w:val="0"/>
      <w:marTop w:val="0"/>
      <w:marBottom w:val="0"/>
      <w:divBdr>
        <w:top w:val="none" w:sz="0" w:space="0" w:color="auto"/>
        <w:left w:val="none" w:sz="0" w:space="0" w:color="auto"/>
        <w:bottom w:val="none" w:sz="0" w:space="0" w:color="auto"/>
        <w:right w:val="none" w:sz="0" w:space="0" w:color="auto"/>
      </w:divBdr>
    </w:div>
    <w:div w:id="673536475">
      <w:bodyDiv w:val="1"/>
      <w:marLeft w:val="0"/>
      <w:marRight w:val="0"/>
      <w:marTop w:val="0"/>
      <w:marBottom w:val="0"/>
      <w:divBdr>
        <w:top w:val="none" w:sz="0" w:space="0" w:color="auto"/>
        <w:left w:val="none" w:sz="0" w:space="0" w:color="auto"/>
        <w:bottom w:val="none" w:sz="0" w:space="0" w:color="auto"/>
        <w:right w:val="none" w:sz="0" w:space="0" w:color="auto"/>
      </w:divBdr>
    </w:div>
    <w:div w:id="675112540">
      <w:bodyDiv w:val="1"/>
      <w:marLeft w:val="0"/>
      <w:marRight w:val="0"/>
      <w:marTop w:val="0"/>
      <w:marBottom w:val="0"/>
      <w:divBdr>
        <w:top w:val="none" w:sz="0" w:space="0" w:color="auto"/>
        <w:left w:val="none" w:sz="0" w:space="0" w:color="auto"/>
        <w:bottom w:val="none" w:sz="0" w:space="0" w:color="auto"/>
        <w:right w:val="none" w:sz="0" w:space="0" w:color="auto"/>
      </w:divBdr>
    </w:div>
    <w:div w:id="676544626">
      <w:bodyDiv w:val="1"/>
      <w:marLeft w:val="0"/>
      <w:marRight w:val="0"/>
      <w:marTop w:val="0"/>
      <w:marBottom w:val="0"/>
      <w:divBdr>
        <w:top w:val="none" w:sz="0" w:space="0" w:color="auto"/>
        <w:left w:val="none" w:sz="0" w:space="0" w:color="auto"/>
        <w:bottom w:val="none" w:sz="0" w:space="0" w:color="auto"/>
        <w:right w:val="none" w:sz="0" w:space="0" w:color="auto"/>
      </w:divBdr>
    </w:div>
    <w:div w:id="677196418">
      <w:bodyDiv w:val="1"/>
      <w:marLeft w:val="0"/>
      <w:marRight w:val="0"/>
      <w:marTop w:val="0"/>
      <w:marBottom w:val="0"/>
      <w:divBdr>
        <w:top w:val="none" w:sz="0" w:space="0" w:color="auto"/>
        <w:left w:val="none" w:sz="0" w:space="0" w:color="auto"/>
        <w:bottom w:val="none" w:sz="0" w:space="0" w:color="auto"/>
        <w:right w:val="none" w:sz="0" w:space="0" w:color="auto"/>
      </w:divBdr>
    </w:div>
    <w:div w:id="680007397">
      <w:bodyDiv w:val="1"/>
      <w:marLeft w:val="0"/>
      <w:marRight w:val="0"/>
      <w:marTop w:val="0"/>
      <w:marBottom w:val="0"/>
      <w:divBdr>
        <w:top w:val="none" w:sz="0" w:space="0" w:color="auto"/>
        <w:left w:val="none" w:sz="0" w:space="0" w:color="auto"/>
        <w:bottom w:val="none" w:sz="0" w:space="0" w:color="auto"/>
        <w:right w:val="none" w:sz="0" w:space="0" w:color="auto"/>
      </w:divBdr>
    </w:div>
    <w:div w:id="681392415">
      <w:bodyDiv w:val="1"/>
      <w:marLeft w:val="0"/>
      <w:marRight w:val="0"/>
      <w:marTop w:val="0"/>
      <w:marBottom w:val="0"/>
      <w:divBdr>
        <w:top w:val="none" w:sz="0" w:space="0" w:color="auto"/>
        <w:left w:val="none" w:sz="0" w:space="0" w:color="auto"/>
        <w:bottom w:val="none" w:sz="0" w:space="0" w:color="auto"/>
        <w:right w:val="none" w:sz="0" w:space="0" w:color="auto"/>
      </w:divBdr>
    </w:div>
    <w:div w:id="685254986">
      <w:bodyDiv w:val="1"/>
      <w:marLeft w:val="0"/>
      <w:marRight w:val="0"/>
      <w:marTop w:val="0"/>
      <w:marBottom w:val="0"/>
      <w:divBdr>
        <w:top w:val="none" w:sz="0" w:space="0" w:color="auto"/>
        <w:left w:val="none" w:sz="0" w:space="0" w:color="auto"/>
        <w:bottom w:val="none" w:sz="0" w:space="0" w:color="auto"/>
        <w:right w:val="none" w:sz="0" w:space="0" w:color="auto"/>
      </w:divBdr>
    </w:div>
    <w:div w:id="699550645">
      <w:bodyDiv w:val="1"/>
      <w:marLeft w:val="0"/>
      <w:marRight w:val="0"/>
      <w:marTop w:val="0"/>
      <w:marBottom w:val="0"/>
      <w:divBdr>
        <w:top w:val="none" w:sz="0" w:space="0" w:color="auto"/>
        <w:left w:val="none" w:sz="0" w:space="0" w:color="auto"/>
        <w:bottom w:val="none" w:sz="0" w:space="0" w:color="auto"/>
        <w:right w:val="none" w:sz="0" w:space="0" w:color="auto"/>
      </w:divBdr>
    </w:div>
    <w:div w:id="701127819">
      <w:bodyDiv w:val="1"/>
      <w:marLeft w:val="0"/>
      <w:marRight w:val="0"/>
      <w:marTop w:val="0"/>
      <w:marBottom w:val="0"/>
      <w:divBdr>
        <w:top w:val="none" w:sz="0" w:space="0" w:color="auto"/>
        <w:left w:val="none" w:sz="0" w:space="0" w:color="auto"/>
        <w:bottom w:val="none" w:sz="0" w:space="0" w:color="auto"/>
        <w:right w:val="none" w:sz="0" w:space="0" w:color="auto"/>
      </w:divBdr>
    </w:div>
    <w:div w:id="706566382">
      <w:bodyDiv w:val="1"/>
      <w:marLeft w:val="0"/>
      <w:marRight w:val="0"/>
      <w:marTop w:val="0"/>
      <w:marBottom w:val="0"/>
      <w:divBdr>
        <w:top w:val="none" w:sz="0" w:space="0" w:color="auto"/>
        <w:left w:val="none" w:sz="0" w:space="0" w:color="auto"/>
        <w:bottom w:val="none" w:sz="0" w:space="0" w:color="auto"/>
        <w:right w:val="none" w:sz="0" w:space="0" w:color="auto"/>
      </w:divBdr>
    </w:div>
    <w:div w:id="711808605">
      <w:bodyDiv w:val="1"/>
      <w:marLeft w:val="0"/>
      <w:marRight w:val="0"/>
      <w:marTop w:val="0"/>
      <w:marBottom w:val="0"/>
      <w:divBdr>
        <w:top w:val="none" w:sz="0" w:space="0" w:color="auto"/>
        <w:left w:val="none" w:sz="0" w:space="0" w:color="auto"/>
        <w:bottom w:val="none" w:sz="0" w:space="0" w:color="auto"/>
        <w:right w:val="none" w:sz="0" w:space="0" w:color="auto"/>
      </w:divBdr>
    </w:div>
    <w:div w:id="713577032">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30270640">
      <w:bodyDiv w:val="1"/>
      <w:marLeft w:val="0"/>
      <w:marRight w:val="0"/>
      <w:marTop w:val="0"/>
      <w:marBottom w:val="0"/>
      <w:divBdr>
        <w:top w:val="none" w:sz="0" w:space="0" w:color="auto"/>
        <w:left w:val="none" w:sz="0" w:space="0" w:color="auto"/>
        <w:bottom w:val="none" w:sz="0" w:space="0" w:color="auto"/>
        <w:right w:val="none" w:sz="0" w:space="0" w:color="auto"/>
      </w:divBdr>
    </w:div>
    <w:div w:id="736051732">
      <w:bodyDiv w:val="1"/>
      <w:marLeft w:val="0"/>
      <w:marRight w:val="0"/>
      <w:marTop w:val="0"/>
      <w:marBottom w:val="0"/>
      <w:divBdr>
        <w:top w:val="none" w:sz="0" w:space="0" w:color="auto"/>
        <w:left w:val="none" w:sz="0" w:space="0" w:color="auto"/>
        <w:bottom w:val="none" w:sz="0" w:space="0" w:color="auto"/>
        <w:right w:val="none" w:sz="0" w:space="0" w:color="auto"/>
      </w:divBdr>
    </w:div>
    <w:div w:id="740719005">
      <w:bodyDiv w:val="1"/>
      <w:marLeft w:val="0"/>
      <w:marRight w:val="0"/>
      <w:marTop w:val="0"/>
      <w:marBottom w:val="0"/>
      <w:divBdr>
        <w:top w:val="none" w:sz="0" w:space="0" w:color="auto"/>
        <w:left w:val="none" w:sz="0" w:space="0" w:color="auto"/>
        <w:bottom w:val="none" w:sz="0" w:space="0" w:color="auto"/>
        <w:right w:val="none" w:sz="0" w:space="0" w:color="auto"/>
      </w:divBdr>
    </w:div>
    <w:div w:id="748962923">
      <w:bodyDiv w:val="1"/>
      <w:marLeft w:val="0"/>
      <w:marRight w:val="0"/>
      <w:marTop w:val="0"/>
      <w:marBottom w:val="0"/>
      <w:divBdr>
        <w:top w:val="none" w:sz="0" w:space="0" w:color="auto"/>
        <w:left w:val="none" w:sz="0" w:space="0" w:color="auto"/>
        <w:bottom w:val="none" w:sz="0" w:space="0" w:color="auto"/>
        <w:right w:val="none" w:sz="0" w:space="0" w:color="auto"/>
      </w:divBdr>
    </w:div>
    <w:div w:id="754129370">
      <w:bodyDiv w:val="1"/>
      <w:marLeft w:val="0"/>
      <w:marRight w:val="0"/>
      <w:marTop w:val="0"/>
      <w:marBottom w:val="0"/>
      <w:divBdr>
        <w:top w:val="none" w:sz="0" w:space="0" w:color="auto"/>
        <w:left w:val="none" w:sz="0" w:space="0" w:color="auto"/>
        <w:bottom w:val="none" w:sz="0" w:space="0" w:color="auto"/>
        <w:right w:val="none" w:sz="0" w:space="0" w:color="auto"/>
      </w:divBdr>
    </w:div>
    <w:div w:id="755443508">
      <w:bodyDiv w:val="1"/>
      <w:marLeft w:val="0"/>
      <w:marRight w:val="0"/>
      <w:marTop w:val="0"/>
      <w:marBottom w:val="0"/>
      <w:divBdr>
        <w:top w:val="none" w:sz="0" w:space="0" w:color="auto"/>
        <w:left w:val="none" w:sz="0" w:space="0" w:color="auto"/>
        <w:bottom w:val="none" w:sz="0" w:space="0" w:color="auto"/>
        <w:right w:val="none" w:sz="0" w:space="0" w:color="auto"/>
      </w:divBdr>
    </w:div>
    <w:div w:id="760373635">
      <w:bodyDiv w:val="1"/>
      <w:marLeft w:val="0"/>
      <w:marRight w:val="0"/>
      <w:marTop w:val="0"/>
      <w:marBottom w:val="0"/>
      <w:divBdr>
        <w:top w:val="none" w:sz="0" w:space="0" w:color="auto"/>
        <w:left w:val="none" w:sz="0" w:space="0" w:color="auto"/>
        <w:bottom w:val="none" w:sz="0" w:space="0" w:color="auto"/>
        <w:right w:val="none" w:sz="0" w:space="0" w:color="auto"/>
      </w:divBdr>
    </w:div>
    <w:div w:id="764106845">
      <w:bodyDiv w:val="1"/>
      <w:marLeft w:val="0"/>
      <w:marRight w:val="0"/>
      <w:marTop w:val="0"/>
      <w:marBottom w:val="0"/>
      <w:divBdr>
        <w:top w:val="none" w:sz="0" w:space="0" w:color="auto"/>
        <w:left w:val="none" w:sz="0" w:space="0" w:color="auto"/>
        <w:bottom w:val="none" w:sz="0" w:space="0" w:color="auto"/>
        <w:right w:val="none" w:sz="0" w:space="0" w:color="auto"/>
      </w:divBdr>
    </w:div>
    <w:div w:id="765999048">
      <w:bodyDiv w:val="1"/>
      <w:marLeft w:val="0"/>
      <w:marRight w:val="0"/>
      <w:marTop w:val="0"/>
      <w:marBottom w:val="0"/>
      <w:divBdr>
        <w:top w:val="none" w:sz="0" w:space="0" w:color="auto"/>
        <w:left w:val="none" w:sz="0" w:space="0" w:color="auto"/>
        <w:bottom w:val="none" w:sz="0" w:space="0" w:color="auto"/>
        <w:right w:val="none" w:sz="0" w:space="0" w:color="auto"/>
      </w:divBdr>
    </w:div>
    <w:div w:id="767697615">
      <w:bodyDiv w:val="1"/>
      <w:marLeft w:val="0"/>
      <w:marRight w:val="0"/>
      <w:marTop w:val="0"/>
      <w:marBottom w:val="0"/>
      <w:divBdr>
        <w:top w:val="none" w:sz="0" w:space="0" w:color="auto"/>
        <w:left w:val="none" w:sz="0" w:space="0" w:color="auto"/>
        <w:bottom w:val="none" w:sz="0" w:space="0" w:color="auto"/>
        <w:right w:val="none" w:sz="0" w:space="0" w:color="auto"/>
      </w:divBdr>
    </w:div>
    <w:div w:id="774398017">
      <w:bodyDiv w:val="1"/>
      <w:marLeft w:val="0"/>
      <w:marRight w:val="0"/>
      <w:marTop w:val="0"/>
      <w:marBottom w:val="0"/>
      <w:divBdr>
        <w:top w:val="none" w:sz="0" w:space="0" w:color="auto"/>
        <w:left w:val="none" w:sz="0" w:space="0" w:color="auto"/>
        <w:bottom w:val="none" w:sz="0" w:space="0" w:color="auto"/>
        <w:right w:val="none" w:sz="0" w:space="0" w:color="auto"/>
      </w:divBdr>
    </w:div>
    <w:div w:id="778187854">
      <w:bodyDiv w:val="1"/>
      <w:marLeft w:val="0"/>
      <w:marRight w:val="0"/>
      <w:marTop w:val="0"/>
      <w:marBottom w:val="0"/>
      <w:divBdr>
        <w:top w:val="none" w:sz="0" w:space="0" w:color="auto"/>
        <w:left w:val="none" w:sz="0" w:space="0" w:color="auto"/>
        <w:bottom w:val="none" w:sz="0" w:space="0" w:color="auto"/>
        <w:right w:val="none" w:sz="0" w:space="0" w:color="auto"/>
      </w:divBdr>
    </w:div>
    <w:div w:id="778717018">
      <w:bodyDiv w:val="1"/>
      <w:marLeft w:val="0"/>
      <w:marRight w:val="0"/>
      <w:marTop w:val="0"/>
      <w:marBottom w:val="0"/>
      <w:divBdr>
        <w:top w:val="none" w:sz="0" w:space="0" w:color="auto"/>
        <w:left w:val="none" w:sz="0" w:space="0" w:color="auto"/>
        <w:bottom w:val="none" w:sz="0" w:space="0" w:color="auto"/>
        <w:right w:val="none" w:sz="0" w:space="0" w:color="auto"/>
      </w:divBdr>
    </w:div>
    <w:div w:id="784933303">
      <w:bodyDiv w:val="1"/>
      <w:marLeft w:val="0"/>
      <w:marRight w:val="0"/>
      <w:marTop w:val="0"/>
      <w:marBottom w:val="0"/>
      <w:divBdr>
        <w:top w:val="none" w:sz="0" w:space="0" w:color="auto"/>
        <w:left w:val="none" w:sz="0" w:space="0" w:color="auto"/>
        <w:bottom w:val="none" w:sz="0" w:space="0" w:color="auto"/>
        <w:right w:val="none" w:sz="0" w:space="0" w:color="auto"/>
      </w:divBdr>
    </w:div>
    <w:div w:id="787118059">
      <w:bodyDiv w:val="1"/>
      <w:marLeft w:val="0"/>
      <w:marRight w:val="0"/>
      <w:marTop w:val="0"/>
      <w:marBottom w:val="0"/>
      <w:divBdr>
        <w:top w:val="none" w:sz="0" w:space="0" w:color="auto"/>
        <w:left w:val="none" w:sz="0" w:space="0" w:color="auto"/>
        <w:bottom w:val="none" w:sz="0" w:space="0" w:color="auto"/>
        <w:right w:val="none" w:sz="0" w:space="0" w:color="auto"/>
      </w:divBdr>
    </w:div>
    <w:div w:id="792753852">
      <w:bodyDiv w:val="1"/>
      <w:marLeft w:val="0"/>
      <w:marRight w:val="0"/>
      <w:marTop w:val="0"/>
      <w:marBottom w:val="0"/>
      <w:divBdr>
        <w:top w:val="none" w:sz="0" w:space="0" w:color="auto"/>
        <w:left w:val="none" w:sz="0" w:space="0" w:color="auto"/>
        <w:bottom w:val="none" w:sz="0" w:space="0" w:color="auto"/>
        <w:right w:val="none" w:sz="0" w:space="0" w:color="auto"/>
      </w:divBdr>
    </w:div>
    <w:div w:id="806356356">
      <w:bodyDiv w:val="1"/>
      <w:marLeft w:val="0"/>
      <w:marRight w:val="0"/>
      <w:marTop w:val="0"/>
      <w:marBottom w:val="0"/>
      <w:divBdr>
        <w:top w:val="none" w:sz="0" w:space="0" w:color="auto"/>
        <w:left w:val="none" w:sz="0" w:space="0" w:color="auto"/>
        <w:bottom w:val="none" w:sz="0" w:space="0" w:color="auto"/>
        <w:right w:val="none" w:sz="0" w:space="0" w:color="auto"/>
      </w:divBdr>
    </w:div>
    <w:div w:id="808088561">
      <w:bodyDiv w:val="1"/>
      <w:marLeft w:val="0"/>
      <w:marRight w:val="0"/>
      <w:marTop w:val="0"/>
      <w:marBottom w:val="0"/>
      <w:divBdr>
        <w:top w:val="none" w:sz="0" w:space="0" w:color="auto"/>
        <w:left w:val="none" w:sz="0" w:space="0" w:color="auto"/>
        <w:bottom w:val="none" w:sz="0" w:space="0" w:color="auto"/>
        <w:right w:val="none" w:sz="0" w:space="0" w:color="auto"/>
      </w:divBdr>
    </w:div>
    <w:div w:id="809517680">
      <w:bodyDiv w:val="1"/>
      <w:marLeft w:val="0"/>
      <w:marRight w:val="0"/>
      <w:marTop w:val="0"/>
      <w:marBottom w:val="0"/>
      <w:divBdr>
        <w:top w:val="none" w:sz="0" w:space="0" w:color="auto"/>
        <w:left w:val="none" w:sz="0" w:space="0" w:color="auto"/>
        <w:bottom w:val="none" w:sz="0" w:space="0" w:color="auto"/>
        <w:right w:val="none" w:sz="0" w:space="0" w:color="auto"/>
      </w:divBdr>
    </w:div>
    <w:div w:id="815412255">
      <w:bodyDiv w:val="1"/>
      <w:marLeft w:val="0"/>
      <w:marRight w:val="0"/>
      <w:marTop w:val="0"/>
      <w:marBottom w:val="0"/>
      <w:divBdr>
        <w:top w:val="none" w:sz="0" w:space="0" w:color="auto"/>
        <w:left w:val="none" w:sz="0" w:space="0" w:color="auto"/>
        <w:bottom w:val="none" w:sz="0" w:space="0" w:color="auto"/>
        <w:right w:val="none" w:sz="0" w:space="0" w:color="auto"/>
      </w:divBdr>
    </w:div>
    <w:div w:id="820730515">
      <w:bodyDiv w:val="1"/>
      <w:marLeft w:val="0"/>
      <w:marRight w:val="0"/>
      <w:marTop w:val="0"/>
      <w:marBottom w:val="0"/>
      <w:divBdr>
        <w:top w:val="none" w:sz="0" w:space="0" w:color="auto"/>
        <w:left w:val="none" w:sz="0" w:space="0" w:color="auto"/>
        <w:bottom w:val="none" w:sz="0" w:space="0" w:color="auto"/>
        <w:right w:val="none" w:sz="0" w:space="0" w:color="auto"/>
      </w:divBdr>
    </w:div>
    <w:div w:id="820928988">
      <w:bodyDiv w:val="1"/>
      <w:marLeft w:val="0"/>
      <w:marRight w:val="0"/>
      <w:marTop w:val="0"/>
      <w:marBottom w:val="0"/>
      <w:divBdr>
        <w:top w:val="none" w:sz="0" w:space="0" w:color="auto"/>
        <w:left w:val="none" w:sz="0" w:space="0" w:color="auto"/>
        <w:bottom w:val="none" w:sz="0" w:space="0" w:color="auto"/>
        <w:right w:val="none" w:sz="0" w:space="0" w:color="auto"/>
      </w:divBdr>
    </w:div>
    <w:div w:id="825978309">
      <w:bodyDiv w:val="1"/>
      <w:marLeft w:val="0"/>
      <w:marRight w:val="0"/>
      <w:marTop w:val="0"/>
      <w:marBottom w:val="0"/>
      <w:divBdr>
        <w:top w:val="none" w:sz="0" w:space="0" w:color="auto"/>
        <w:left w:val="none" w:sz="0" w:space="0" w:color="auto"/>
        <w:bottom w:val="none" w:sz="0" w:space="0" w:color="auto"/>
        <w:right w:val="none" w:sz="0" w:space="0" w:color="auto"/>
      </w:divBdr>
    </w:div>
    <w:div w:id="826438804">
      <w:bodyDiv w:val="1"/>
      <w:marLeft w:val="0"/>
      <w:marRight w:val="0"/>
      <w:marTop w:val="0"/>
      <w:marBottom w:val="0"/>
      <w:divBdr>
        <w:top w:val="none" w:sz="0" w:space="0" w:color="auto"/>
        <w:left w:val="none" w:sz="0" w:space="0" w:color="auto"/>
        <w:bottom w:val="none" w:sz="0" w:space="0" w:color="auto"/>
        <w:right w:val="none" w:sz="0" w:space="0" w:color="auto"/>
      </w:divBdr>
    </w:div>
    <w:div w:id="826827078">
      <w:bodyDiv w:val="1"/>
      <w:marLeft w:val="0"/>
      <w:marRight w:val="0"/>
      <w:marTop w:val="0"/>
      <w:marBottom w:val="0"/>
      <w:divBdr>
        <w:top w:val="none" w:sz="0" w:space="0" w:color="auto"/>
        <w:left w:val="none" w:sz="0" w:space="0" w:color="auto"/>
        <w:bottom w:val="none" w:sz="0" w:space="0" w:color="auto"/>
        <w:right w:val="none" w:sz="0" w:space="0" w:color="auto"/>
      </w:divBdr>
    </w:div>
    <w:div w:id="830028454">
      <w:bodyDiv w:val="1"/>
      <w:marLeft w:val="0"/>
      <w:marRight w:val="0"/>
      <w:marTop w:val="0"/>
      <w:marBottom w:val="0"/>
      <w:divBdr>
        <w:top w:val="none" w:sz="0" w:space="0" w:color="auto"/>
        <w:left w:val="none" w:sz="0" w:space="0" w:color="auto"/>
        <w:bottom w:val="none" w:sz="0" w:space="0" w:color="auto"/>
        <w:right w:val="none" w:sz="0" w:space="0" w:color="auto"/>
      </w:divBdr>
    </w:div>
    <w:div w:id="832910079">
      <w:bodyDiv w:val="1"/>
      <w:marLeft w:val="0"/>
      <w:marRight w:val="0"/>
      <w:marTop w:val="0"/>
      <w:marBottom w:val="0"/>
      <w:divBdr>
        <w:top w:val="none" w:sz="0" w:space="0" w:color="auto"/>
        <w:left w:val="none" w:sz="0" w:space="0" w:color="auto"/>
        <w:bottom w:val="none" w:sz="0" w:space="0" w:color="auto"/>
        <w:right w:val="none" w:sz="0" w:space="0" w:color="auto"/>
      </w:divBdr>
    </w:div>
    <w:div w:id="843740456">
      <w:bodyDiv w:val="1"/>
      <w:marLeft w:val="0"/>
      <w:marRight w:val="0"/>
      <w:marTop w:val="0"/>
      <w:marBottom w:val="0"/>
      <w:divBdr>
        <w:top w:val="none" w:sz="0" w:space="0" w:color="auto"/>
        <w:left w:val="none" w:sz="0" w:space="0" w:color="auto"/>
        <w:bottom w:val="none" w:sz="0" w:space="0" w:color="auto"/>
        <w:right w:val="none" w:sz="0" w:space="0" w:color="auto"/>
      </w:divBdr>
    </w:div>
    <w:div w:id="844054848">
      <w:bodyDiv w:val="1"/>
      <w:marLeft w:val="0"/>
      <w:marRight w:val="0"/>
      <w:marTop w:val="0"/>
      <w:marBottom w:val="0"/>
      <w:divBdr>
        <w:top w:val="none" w:sz="0" w:space="0" w:color="auto"/>
        <w:left w:val="none" w:sz="0" w:space="0" w:color="auto"/>
        <w:bottom w:val="none" w:sz="0" w:space="0" w:color="auto"/>
        <w:right w:val="none" w:sz="0" w:space="0" w:color="auto"/>
      </w:divBdr>
    </w:div>
    <w:div w:id="845706808">
      <w:bodyDiv w:val="1"/>
      <w:marLeft w:val="0"/>
      <w:marRight w:val="0"/>
      <w:marTop w:val="0"/>
      <w:marBottom w:val="0"/>
      <w:divBdr>
        <w:top w:val="none" w:sz="0" w:space="0" w:color="auto"/>
        <w:left w:val="none" w:sz="0" w:space="0" w:color="auto"/>
        <w:bottom w:val="none" w:sz="0" w:space="0" w:color="auto"/>
        <w:right w:val="none" w:sz="0" w:space="0" w:color="auto"/>
      </w:divBdr>
    </w:div>
    <w:div w:id="847987892">
      <w:bodyDiv w:val="1"/>
      <w:marLeft w:val="0"/>
      <w:marRight w:val="0"/>
      <w:marTop w:val="0"/>
      <w:marBottom w:val="0"/>
      <w:divBdr>
        <w:top w:val="none" w:sz="0" w:space="0" w:color="auto"/>
        <w:left w:val="none" w:sz="0" w:space="0" w:color="auto"/>
        <w:bottom w:val="none" w:sz="0" w:space="0" w:color="auto"/>
        <w:right w:val="none" w:sz="0" w:space="0" w:color="auto"/>
      </w:divBdr>
    </w:div>
    <w:div w:id="851183112">
      <w:bodyDiv w:val="1"/>
      <w:marLeft w:val="0"/>
      <w:marRight w:val="0"/>
      <w:marTop w:val="0"/>
      <w:marBottom w:val="0"/>
      <w:divBdr>
        <w:top w:val="none" w:sz="0" w:space="0" w:color="auto"/>
        <w:left w:val="none" w:sz="0" w:space="0" w:color="auto"/>
        <w:bottom w:val="none" w:sz="0" w:space="0" w:color="auto"/>
        <w:right w:val="none" w:sz="0" w:space="0" w:color="auto"/>
      </w:divBdr>
    </w:div>
    <w:div w:id="857231975">
      <w:bodyDiv w:val="1"/>
      <w:marLeft w:val="0"/>
      <w:marRight w:val="0"/>
      <w:marTop w:val="0"/>
      <w:marBottom w:val="0"/>
      <w:divBdr>
        <w:top w:val="none" w:sz="0" w:space="0" w:color="auto"/>
        <w:left w:val="none" w:sz="0" w:space="0" w:color="auto"/>
        <w:bottom w:val="none" w:sz="0" w:space="0" w:color="auto"/>
        <w:right w:val="none" w:sz="0" w:space="0" w:color="auto"/>
      </w:divBdr>
    </w:div>
    <w:div w:id="862016960">
      <w:bodyDiv w:val="1"/>
      <w:marLeft w:val="0"/>
      <w:marRight w:val="0"/>
      <w:marTop w:val="0"/>
      <w:marBottom w:val="0"/>
      <w:divBdr>
        <w:top w:val="none" w:sz="0" w:space="0" w:color="auto"/>
        <w:left w:val="none" w:sz="0" w:space="0" w:color="auto"/>
        <w:bottom w:val="none" w:sz="0" w:space="0" w:color="auto"/>
        <w:right w:val="none" w:sz="0" w:space="0" w:color="auto"/>
      </w:divBdr>
    </w:div>
    <w:div w:id="864563137">
      <w:bodyDiv w:val="1"/>
      <w:marLeft w:val="0"/>
      <w:marRight w:val="0"/>
      <w:marTop w:val="0"/>
      <w:marBottom w:val="0"/>
      <w:divBdr>
        <w:top w:val="none" w:sz="0" w:space="0" w:color="auto"/>
        <w:left w:val="none" w:sz="0" w:space="0" w:color="auto"/>
        <w:bottom w:val="none" w:sz="0" w:space="0" w:color="auto"/>
        <w:right w:val="none" w:sz="0" w:space="0" w:color="auto"/>
      </w:divBdr>
    </w:div>
    <w:div w:id="867986122">
      <w:bodyDiv w:val="1"/>
      <w:marLeft w:val="0"/>
      <w:marRight w:val="0"/>
      <w:marTop w:val="0"/>
      <w:marBottom w:val="0"/>
      <w:divBdr>
        <w:top w:val="none" w:sz="0" w:space="0" w:color="auto"/>
        <w:left w:val="none" w:sz="0" w:space="0" w:color="auto"/>
        <w:bottom w:val="none" w:sz="0" w:space="0" w:color="auto"/>
        <w:right w:val="none" w:sz="0" w:space="0" w:color="auto"/>
      </w:divBdr>
    </w:div>
    <w:div w:id="869689642">
      <w:bodyDiv w:val="1"/>
      <w:marLeft w:val="0"/>
      <w:marRight w:val="0"/>
      <w:marTop w:val="0"/>
      <w:marBottom w:val="0"/>
      <w:divBdr>
        <w:top w:val="none" w:sz="0" w:space="0" w:color="auto"/>
        <w:left w:val="none" w:sz="0" w:space="0" w:color="auto"/>
        <w:bottom w:val="none" w:sz="0" w:space="0" w:color="auto"/>
        <w:right w:val="none" w:sz="0" w:space="0" w:color="auto"/>
      </w:divBdr>
    </w:div>
    <w:div w:id="870072163">
      <w:bodyDiv w:val="1"/>
      <w:marLeft w:val="0"/>
      <w:marRight w:val="0"/>
      <w:marTop w:val="0"/>
      <w:marBottom w:val="0"/>
      <w:divBdr>
        <w:top w:val="none" w:sz="0" w:space="0" w:color="auto"/>
        <w:left w:val="none" w:sz="0" w:space="0" w:color="auto"/>
        <w:bottom w:val="none" w:sz="0" w:space="0" w:color="auto"/>
        <w:right w:val="none" w:sz="0" w:space="0" w:color="auto"/>
      </w:divBdr>
    </w:div>
    <w:div w:id="892619754">
      <w:bodyDiv w:val="1"/>
      <w:marLeft w:val="0"/>
      <w:marRight w:val="0"/>
      <w:marTop w:val="0"/>
      <w:marBottom w:val="0"/>
      <w:divBdr>
        <w:top w:val="none" w:sz="0" w:space="0" w:color="auto"/>
        <w:left w:val="none" w:sz="0" w:space="0" w:color="auto"/>
        <w:bottom w:val="none" w:sz="0" w:space="0" w:color="auto"/>
        <w:right w:val="none" w:sz="0" w:space="0" w:color="auto"/>
      </w:divBdr>
    </w:div>
    <w:div w:id="893852884">
      <w:bodyDiv w:val="1"/>
      <w:marLeft w:val="0"/>
      <w:marRight w:val="0"/>
      <w:marTop w:val="0"/>
      <w:marBottom w:val="0"/>
      <w:divBdr>
        <w:top w:val="none" w:sz="0" w:space="0" w:color="auto"/>
        <w:left w:val="none" w:sz="0" w:space="0" w:color="auto"/>
        <w:bottom w:val="none" w:sz="0" w:space="0" w:color="auto"/>
        <w:right w:val="none" w:sz="0" w:space="0" w:color="auto"/>
      </w:divBdr>
    </w:div>
    <w:div w:id="896665661">
      <w:bodyDiv w:val="1"/>
      <w:marLeft w:val="0"/>
      <w:marRight w:val="0"/>
      <w:marTop w:val="0"/>
      <w:marBottom w:val="0"/>
      <w:divBdr>
        <w:top w:val="none" w:sz="0" w:space="0" w:color="auto"/>
        <w:left w:val="none" w:sz="0" w:space="0" w:color="auto"/>
        <w:bottom w:val="none" w:sz="0" w:space="0" w:color="auto"/>
        <w:right w:val="none" w:sz="0" w:space="0" w:color="auto"/>
      </w:divBdr>
    </w:div>
    <w:div w:id="900139870">
      <w:bodyDiv w:val="1"/>
      <w:marLeft w:val="0"/>
      <w:marRight w:val="0"/>
      <w:marTop w:val="0"/>
      <w:marBottom w:val="0"/>
      <w:divBdr>
        <w:top w:val="none" w:sz="0" w:space="0" w:color="auto"/>
        <w:left w:val="none" w:sz="0" w:space="0" w:color="auto"/>
        <w:bottom w:val="none" w:sz="0" w:space="0" w:color="auto"/>
        <w:right w:val="none" w:sz="0" w:space="0" w:color="auto"/>
      </w:divBdr>
    </w:div>
    <w:div w:id="900679489">
      <w:bodyDiv w:val="1"/>
      <w:marLeft w:val="0"/>
      <w:marRight w:val="0"/>
      <w:marTop w:val="0"/>
      <w:marBottom w:val="0"/>
      <w:divBdr>
        <w:top w:val="none" w:sz="0" w:space="0" w:color="auto"/>
        <w:left w:val="none" w:sz="0" w:space="0" w:color="auto"/>
        <w:bottom w:val="none" w:sz="0" w:space="0" w:color="auto"/>
        <w:right w:val="none" w:sz="0" w:space="0" w:color="auto"/>
      </w:divBdr>
    </w:div>
    <w:div w:id="904492681">
      <w:bodyDiv w:val="1"/>
      <w:marLeft w:val="0"/>
      <w:marRight w:val="0"/>
      <w:marTop w:val="0"/>
      <w:marBottom w:val="0"/>
      <w:divBdr>
        <w:top w:val="none" w:sz="0" w:space="0" w:color="auto"/>
        <w:left w:val="none" w:sz="0" w:space="0" w:color="auto"/>
        <w:bottom w:val="none" w:sz="0" w:space="0" w:color="auto"/>
        <w:right w:val="none" w:sz="0" w:space="0" w:color="auto"/>
      </w:divBdr>
    </w:div>
    <w:div w:id="906887471">
      <w:bodyDiv w:val="1"/>
      <w:marLeft w:val="0"/>
      <w:marRight w:val="0"/>
      <w:marTop w:val="0"/>
      <w:marBottom w:val="0"/>
      <w:divBdr>
        <w:top w:val="none" w:sz="0" w:space="0" w:color="auto"/>
        <w:left w:val="none" w:sz="0" w:space="0" w:color="auto"/>
        <w:bottom w:val="none" w:sz="0" w:space="0" w:color="auto"/>
        <w:right w:val="none" w:sz="0" w:space="0" w:color="auto"/>
      </w:divBdr>
    </w:div>
    <w:div w:id="907766448">
      <w:bodyDiv w:val="1"/>
      <w:marLeft w:val="0"/>
      <w:marRight w:val="0"/>
      <w:marTop w:val="0"/>
      <w:marBottom w:val="0"/>
      <w:divBdr>
        <w:top w:val="none" w:sz="0" w:space="0" w:color="auto"/>
        <w:left w:val="none" w:sz="0" w:space="0" w:color="auto"/>
        <w:bottom w:val="none" w:sz="0" w:space="0" w:color="auto"/>
        <w:right w:val="none" w:sz="0" w:space="0" w:color="auto"/>
      </w:divBdr>
    </w:div>
    <w:div w:id="907955175">
      <w:bodyDiv w:val="1"/>
      <w:marLeft w:val="0"/>
      <w:marRight w:val="0"/>
      <w:marTop w:val="0"/>
      <w:marBottom w:val="0"/>
      <w:divBdr>
        <w:top w:val="none" w:sz="0" w:space="0" w:color="auto"/>
        <w:left w:val="none" w:sz="0" w:space="0" w:color="auto"/>
        <w:bottom w:val="none" w:sz="0" w:space="0" w:color="auto"/>
        <w:right w:val="none" w:sz="0" w:space="0" w:color="auto"/>
      </w:divBdr>
    </w:div>
    <w:div w:id="909342630">
      <w:bodyDiv w:val="1"/>
      <w:marLeft w:val="0"/>
      <w:marRight w:val="0"/>
      <w:marTop w:val="0"/>
      <w:marBottom w:val="0"/>
      <w:divBdr>
        <w:top w:val="none" w:sz="0" w:space="0" w:color="auto"/>
        <w:left w:val="none" w:sz="0" w:space="0" w:color="auto"/>
        <w:bottom w:val="none" w:sz="0" w:space="0" w:color="auto"/>
        <w:right w:val="none" w:sz="0" w:space="0" w:color="auto"/>
      </w:divBdr>
    </w:div>
    <w:div w:id="910504876">
      <w:bodyDiv w:val="1"/>
      <w:marLeft w:val="0"/>
      <w:marRight w:val="0"/>
      <w:marTop w:val="0"/>
      <w:marBottom w:val="0"/>
      <w:divBdr>
        <w:top w:val="none" w:sz="0" w:space="0" w:color="auto"/>
        <w:left w:val="none" w:sz="0" w:space="0" w:color="auto"/>
        <w:bottom w:val="none" w:sz="0" w:space="0" w:color="auto"/>
        <w:right w:val="none" w:sz="0" w:space="0" w:color="auto"/>
      </w:divBdr>
    </w:div>
    <w:div w:id="914240714">
      <w:bodyDiv w:val="1"/>
      <w:marLeft w:val="0"/>
      <w:marRight w:val="0"/>
      <w:marTop w:val="0"/>
      <w:marBottom w:val="0"/>
      <w:divBdr>
        <w:top w:val="none" w:sz="0" w:space="0" w:color="auto"/>
        <w:left w:val="none" w:sz="0" w:space="0" w:color="auto"/>
        <w:bottom w:val="none" w:sz="0" w:space="0" w:color="auto"/>
        <w:right w:val="none" w:sz="0" w:space="0" w:color="auto"/>
      </w:divBdr>
    </w:div>
    <w:div w:id="914510803">
      <w:bodyDiv w:val="1"/>
      <w:marLeft w:val="0"/>
      <w:marRight w:val="0"/>
      <w:marTop w:val="0"/>
      <w:marBottom w:val="0"/>
      <w:divBdr>
        <w:top w:val="none" w:sz="0" w:space="0" w:color="auto"/>
        <w:left w:val="none" w:sz="0" w:space="0" w:color="auto"/>
        <w:bottom w:val="none" w:sz="0" w:space="0" w:color="auto"/>
        <w:right w:val="none" w:sz="0" w:space="0" w:color="auto"/>
      </w:divBdr>
    </w:div>
    <w:div w:id="923883125">
      <w:bodyDiv w:val="1"/>
      <w:marLeft w:val="0"/>
      <w:marRight w:val="0"/>
      <w:marTop w:val="0"/>
      <w:marBottom w:val="0"/>
      <w:divBdr>
        <w:top w:val="none" w:sz="0" w:space="0" w:color="auto"/>
        <w:left w:val="none" w:sz="0" w:space="0" w:color="auto"/>
        <w:bottom w:val="none" w:sz="0" w:space="0" w:color="auto"/>
        <w:right w:val="none" w:sz="0" w:space="0" w:color="auto"/>
      </w:divBdr>
    </w:div>
    <w:div w:id="924849002">
      <w:bodyDiv w:val="1"/>
      <w:marLeft w:val="0"/>
      <w:marRight w:val="0"/>
      <w:marTop w:val="0"/>
      <w:marBottom w:val="0"/>
      <w:divBdr>
        <w:top w:val="none" w:sz="0" w:space="0" w:color="auto"/>
        <w:left w:val="none" w:sz="0" w:space="0" w:color="auto"/>
        <w:bottom w:val="none" w:sz="0" w:space="0" w:color="auto"/>
        <w:right w:val="none" w:sz="0" w:space="0" w:color="auto"/>
      </w:divBdr>
    </w:div>
    <w:div w:id="928004493">
      <w:bodyDiv w:val="1"/>
      <w:marLeft w:val="0"/>
      <w:marRight w:val="0"/>
      <w:marTop w:val="0"/>
      <w:marBottom w:val="0"/>
      <w:divBdr>
        <w:top w:val="none" w:sz="0" w:space="0" w:color="auto"/>
        <w:left w:val="none" w:sz="0" w:space="0" w:color="auto"/>
        <w:bottom w:val="none" w:sz="0" w:space="0" w:color="auto"/>
        <w:right w:val="none" w:sz="0" w:space="0" w:color="auto"/>
      </w:divBdr>
    </w:div>
    <w:div w:id="934745030">
      <w:bodyDiv w:val="1"/>
      <w:marLeft w:val="0"/>
      <w:marRight w:val="0"/>
      <w:marTop w:val="0"/>
      <w:marBottom w:val="0"/>
      <w:divBdr>
        <w:top w:val="none" w:sz="0" w:space="0" w:color="auto"/>
        <w:left w:val="none" w:sz="0" w:space="0" w:color="auto"/>
        <w:bottom w:val="none" w:sz="0" w:space="0" w:color="auto"/>
        <w:right w:val="none" w:sz="0" w:space="0" w:color="auto"/>
      </w:divBdr>
    </w:div>
    <w:div w:id="935095386">
      <w:bodyDiv w:val="1"/>
      <w:marLeft w:val="0"/>
      <w:marRight w:val="0"/>
      <w:marTop w:val="0"/>
      <w:marBottom w:val="0"/>
      <w:divBdr>
        <w:top w:val="none" w:sz="0" w:space="0" w:color="auto"/>
        <w:left w:val="none" w:sz="0" w:space="0" w:color="auto"/>
        <w:bottom w:val="none" w:sz="0" w:space="0" w:color="auto"/>
        <w:right w:val="none" w:sz="0" w:space="0" w:color="auto"/>
      </w:divBdr>
    </w:div>
    <w:div w:id="935866351">
      <w:bodyDiv w:val="1"/>
      <w:marLeft w:val="0"/>
      <w:marRight w:val="0"/>
      <w:marTop w:val="0"/>
      <w:marBottom w:val="0"/>
      <w:divBdr>
        <w:top w:val="none" w:sz="0" w:space="0" w:color="auto"/>
        <w:left w:val="none" w:sz="0" w:space="0" w:color="auto"/>
        <w:bottom w:val="none" w:sz="0" w:space="0" w:color="auto"/>
        <w:right w:val="none" w:sz="0" w:space="0" w:color="auto"/>
      </w:divBdr>
    </w:div>
    <w:div w:id="937524794">
      <w:bodyDiv w:val="1"/>
      <w:marLeft w:val="0"/>
      <w:marRight w:val="0"/>
      <w:marTop w:val="0"/>
      <w:marBottom w:val="0"/>
      <w:divBdr>
        <w:top w:val="none" w:sz="0" w:space="0" w:color="auto"/>
        <w:left w:val="none" w:sz="0" w:space="0" w:color="auto"/>
        <w:bottom w:val="none" w:sz="0" w:space="0" w:color="auto"/>
        <w:right w:val="none" w:sz="0" w:space="0" w:color="auto"/>
      </w:divBdr>
    </w:div>
    <w:div w:id="938178931">
      <w:bodyDiv w:val="1"/>
      <w:marLeft w:val="0"/>
      <w:marRight w:val="0"/>
      <w:marTop w:val="0"/>
      <w:marBottom w:val="0"/>
      <w:divBdr>
        <w:top w:val="none" w:sz="0" w:space="0" w:color="auto"/>
        <w:left w:val="none" w:sz="0" w:space="0" w:color="auto"/>
        <w:bottom w:val="none" w:sz="0" w:space="0" w:color="auto"/>
        <w:right w:val="none" w:sz="0" w:space="0" w:color="auto"/>
      </w:divBdr>
    </w:div>
    <w:div w:id="939491217">
      <w:bodyDiv w:val="1"/>
      <w:marLeft w:val="0"/>
      <w:marRight w:val="0"/>
      <w:marTop w:val="0"/>
      <w:marBottom w:val="0"/>
      <w:divBdr>
        <w:top w:val="none" w:sz="0" w:space="0" w:color="auto"/>
        <w:left w:val="none" w:sz="0" w:space="0" w:color="auto"/>
        <w:bottom w:val="none" w:sz="0" w:space="0" w:color="auto"/>
        <w:right w:val="none" w:sz="0" w:space="0" w:color="auto"/>
      </w:divBdr>
    </w:div>
    <w:div w:id="941111283">
      <w:bodyDiv w:val="1"/>
      <w:marLeft w:val="0"/>
      <w:marRight w:val="0"/>
      <w:marTop w:val="0"/>
      <w:marBottom w:val="0"/>
      <w:divBdr>
        <w:top w:val="none" w:sz="0" w:space="0" w:color="auto"/>
        <w:left w:val="none" w:sz="0" w:space="0" w:color="auto"/>
        <w:bottom w:val="none" w:sz="0" w:space="0" w:color="auto"/>
        <w:right w:val="none" w:sz="0" w:space="0" w:color="auto"/>
      </w:divBdr>
    </w:div>
    <w:div w:id="942959673">
      <w:bodyDiv w:val="1"/>
      <w:marLeft w:val="0"/>
      <w:marRight w:val="0"/>
      <w:marTop w:val="0"/>
      <w:marBottom w:val="0"/>
      <w:divBdr>
        <w:top w:val="none" w:sz="0" w:space="0" w:color="auto"/>
        <w:left w:val="none" w:sz="0" w:space="0" w:color="auto"/>
        <w:bottom w:val="none" w:sz="0" w:space="0" w:color="auto"/>
        <w:right w:val="none" w:sz="0" w:space="0" w:color="auto"/>
      </w:divBdr>
    </w:div>
    <w:div w:id="946158380">
      <w:bodyDiv w:val="1"/>
      <w:marLeft w:val="0"/>
      <w:marRight w:val="0"/>
      <w:marTop w:val="0"/>
      <w:marBottom w:val="0"/>
      <w:divBdr>
        <w:top w:val="none" w:sz="0" w:space="0" w:color="auto"/>
        <w:left w:val="none" w:sz="0" w:space="0" w:color="auto"/>
        <w:bottom w:val="none" w:sz="0" w:space="0" w:color="auto"/>
        <w:right w:val="none" w:sz="0" w:space="0" w:color="auto"/>
      </w:divBdr>
    </w:div>
    <w:div w:id="947587995">
      <w:bodyDiv w:val="1"/>
      <w:marLeft w:val="0"/>
      <w:marRight w:val="0"/>
      <w:marTop w:val="0"/>
      <w:marBottom w:val="0"/>
      <w:divBdr>
        <w:top w:val="none" w:sz="0" w:space="0" w:color="auto"/>
        <w:left w:val="none" w:sz="0" w:space="0" w:color="auto"/>
        <w:bottom w:val="none" w:sz="0" w:space="0" w:color="auto"/>
        <w:right w:val="none" w:sz="0" w:space="0" w:color="auto"/>
      </w:divBdr>
    </w:div>
    <w:div w:id="960646730">
      <w:bodyDiv w:val="1"/>
      <w:marLeft w:val="0"/>
      <w:marRight w:val="0"/>
      <w:marTop w:val="0"/>
      <w:marBottom w:val="0"/>
      <w:divBdr>
        <w:top w:val="none" w:sz="0" w:space="0" w:color="auto"/>
        <w:left w:val="none" w:sz="0" w:space="0" w:color="auto"/>
        <w:bottom w:val="none" w:sz="0" w:space="0" w:color="auto"/>
        <w:right w:val="none" w:sz="0" w:space="0" w:color="auto"/>
      </w:divBdr>
    </w:div>
    <w:div w:id="962543667">
      <w:bodyDiv w:val="1"/>
      <w:marLeft w:val="0"/>
      <w:marRight w:val="0"/>
      <w:marTop w:val="0"/>
      <w:marBottom w:val="0"/>
      <w:divBdr>
        <w:top w:val="none" w:sz="0" w:space="0" w:color="auto"/>
        <w:left w:val="none" w:sz="0" w:space="0" w:color="auto"/>
        <w:bottom w:val="none" w:sz="0" w:space="0" w:color="auto"/>
        <w:right w:val="none" w:sz="0" w:space="0" w:color="auto"/>
      </w:divBdr>
    </w:div>
    <w:div w:id="967659950">
      <w:bodyDiv w:val="1"/>
      <w:marLeft w:val="0"/>
      <w:marRight w:val="0"/>
      <w:marTop w:val="0"/>
      <w:marBottom w:val="0"/>
      <w:divBdr>
        <w:top w:val="none" w:sz="0" w:space="0" w:color="auto"/>
        <w:left w:val="none" w:sz="0" w:space="0" w:color="auto"/>
        <w:bottom w:val="none" w:sz="0" w:space="0" w:color="auto"/>
        <w:right w:val="none" w:sz="0" w:space="0" w:color="auto"/>
      </w:divBdr>
    </w:div>
    <w:div w:id="97028383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6029311">
      <w:bodyDiv w:val="1"/>
      <w:marLeft w:val="0"/>
      <w:marRight w:val="0"/>
      <w:marTop w:val="0"/>
      <w:marBottom w:val="0"/>
      <w:divBdr>
        <w:top w:val="none" w:sz="0" w:space="0" w:color="auto"/>
        <w:left w:val="none" w:sz="0" w:space="0" w:color="auto"/>
        <w:bottom w:val="none" w:sz="0" w:space="0" w:color="auto"/>
        <w:right w:val="none" w:sz="0" w:space="0" w:color="auto"/>
      </w:divBdr>
    </w:div>
    <w:div w:id="993030663">
      <w:bodyDiv w:val="1"/>
      <w:marLeft w:val="0"/>
      <w:marRight w:val="0"/>
      <w:marTop w:val="0"/>
      <w:marBottom w:val="0"/>
      <w:divBdr>
        <w:top w:val="none" w:sz="0" w:space="0" w:color="auto"/>
        <w:left w:val="none" w:sz="0" w:space="0" w:color="auto"/>
        <w:bottom w:val="none" w:sz="0" w:space="0" w:color="auto"/>
        <w:right w:val="none" w:sz="0" w:space="0" w:color="auto"/>
      </w:divBdr>
    </w:div>
    <w:div w:id="1000890661">
      <w:bodyDiv w:val="1"/>
      <w:marLeft w:val="0"/>
      <w:marRight w:val="0"/>
      <w:marTop w:val="0"/>
      <w:marBottom w:val="0"/>
      <w:divBdr>
        <w:top w:val="none" w:sz="0" w:space="0" w:color="auto"/>
        <w:left w:val="none" w:sz="0" w:space="0" w:color="auto"/>
        <w:bottom w:val="none" w:sz="0" w:space="0" w:color="auto"/>
        <w:right w:val="none" w:sz="0" w:space="0" w:color="auto"/>
      </w:divBdr>
    </w:div>
    <w:div w:id="1001353785">
      <w:bodyDiv w:val="1"/>
      <w:marLeft w:val="0"/>
      <w:marRight w:val="0"/>
      <w:marTop w:val="0"/>
      <w:marBottom w:val="0"/>
      <w:divBdr>
        <w:top w:val="none" w:sz="0" w:space="0" w:color="auto"/>
        <w:left w:val="none" w:sz="0" w:space="0" w:color="auto"/>
        <w:bottom w:val="none" w:sz="0" w:space="0" w:color="auto"/>
        <w:right w:val="none" w:sz="0" w:space="0" w:color="auto"/>
      </w:divBdr>
    </w:div>
    <w:div w:id="1001394094">
      <w:bodyDiv w:val="1"/>
      <w:marLeft w:val="0"/>
      <w:marRight w:val="0"/>
      <w:marTop w:val="0"/>
      <w:marBottom w:val="0"/>
      <w:divBdr>
        <w:top w:val="none" w:sz="0" w:space="0" w:color="auto"/>
        <w:left w:val="none" w:sz="0" w:space="0" w:color="auto"/>
        <w:bottom w:val="none" w:sz="0" w:space="0" w:color="auto"/>
        <w:right w:val="none" w:sz="0" w:space="0" w:color="auto"/>
      </w:divBdr>
    </w:div>
    <w:div w:id="1002582496">
      <w:bodyDiv w:val="1"/>
      <w:marLeft w:val="0"/>
      <w:marRight w:val="0"/>
      <w:marTop w:val="0"/>
      <w:marBottom w:val="0"/>
      <w:divBdr>
        <w:top w:val="none" w:sz="0" w:space="0" w:color="auto"/>
        <w:left w:val="none" w:sz="0" w:space="0" w:color="auto"/>
        <w:bottom w:val="none" w:sz="0" w:space="0" w:color="auto"/>
        <w:right w:val="none" w:sz="0" w:space="0" w:color="auto"/>
      </w:divBdr>
    </w:div>
    <w:div w:id="1004361192">
      <w:bodyDiv w:val="1"/>
      <w:marLeft w:val="0"/>
      <w:marRight w:val="0"/>
      <w:marTop w:val="0"/>
      <w:marBottom w:val="0"/>
      <w:divBdr>
        <w:top w:val="none" w:sz="0" w:space="0" w:color="auto"/>
        <w:left w:val="none" w:sz="0" w:space="0" w:color="auto"/>
        <w:bottom w:val="none" w:sz="0" w:space="0" w:color="auto"/>
        <w:right w:val="none" w:sz="0" w:space="0" w:color="auto"/>
      </w:divBdr>
    </w:div>
    <w:div w:id="1005475675">
      <w:bodyDiv w:val="1"/>
      <w:marLeft w:val="0"/>
      <w:marRight w:val="0"/>
      <w:marTop w:val="0"/>
      <w:marBottom w:val="0"/>
      <w:divBdr>
        <w:top w:val="none" w:sz="0" w:space="0" w:color="auto"/>
        <w:left w:val="none" w:sz="0" w:space="0" w:color="auto"/>
        <w:bottom w:val="none" w:sz="0" w:space="0" w:color="auto"/>
        <w:right w:val="none" w:sz="0" w:space="0" w:color="auto"/>
      </w:divBdr>
    </w:div>
    <w:div w:id="1006400789">
      <w:bodyDiv w:val="1"/>
      <w:marLeft w:val="0"/>
      <w:marRight w:val="0"/>
      <w:marTop w:val="0"/>
      <w:marBottom w:val="0"/>
      <w:divBdr>
        <w:top w:val="none" w:sz="0" w:space="0" w:color="auto"/>
        <w:left w:val="none" w:sz="0" w:space="0" w:color="auto"/>
        <w:bottom w:val="none" w:sz="0" w:space="0" w:color="auto"/>
        <w:right w:val="none" w:sz="0" w:space="0" w:color="auto"/>
      </w:divBdr>
    </w:div>
    <w:div w:id="1010370160">
      <w:bodyDiv w:val="1"/>
      <w:marLeft w:val="0"/>
      <w:marRight w:val="0"/>
      <w:marTop w:val="0"/>
      <w:marBottom w:val="0"/>
      <w:divBdr>
        <w:top w:val="none" w:sz="0" w:space="0" w:color="auto"/>
        <w:left w:val="none" w:sz="0" w:space="0" w:color="auto"/>
        <w:bottom w:val="none" w:sz="0" w:space="0" w:color="auto"/>
        <w:right w:val="none" w:sz="0" w:space="0" w:color="auto"/>
      </w:divBdr>
    </w:div>
    <w:div w:id="1011293715">
      <w:bodyDiv w:val="1"/>
      <w:marLeft w:val="0"/>
      <w:marRight w:val="0"/>
      <w:marTop w:val="0"/>
      <w:marBottom w:val="0"/>
      <w:divBdr>
        <w:top w:val="none" w:sz="0" w:space="0" w:color="auto"/>
        <w:left w:val="none" w:sz="0" w:space="0" w:color="auto"/>
        <w:bottom w:val="none" w:sz="0" w:space="0" w:color="auto"/>
        <w:right w:val="none" w:sz="0" w:space="0" w:color="auto"/>
      </w:divBdr>
    </w:div>
    <w:div w:id="1021247675">
      <w:bodyDiv w:val="1"/>
      <w:marLeft w:val="0"/>
      <w:marRight w:val="0"/>
      <w:marTop w:val="0"/>
      <w:marBottom w:val="0"/>
      <w:divBdr>
        <w:top w:val="none" w:sz="0" w:space="0" w:color="auto"/>
        <w:left w:val="none" w:sz="0" w:space="0" w:color="auto"/>
        <w:bottom w:val="none" w:sz="0" w:space="0" w:color="auto"/>
        <w:right w:val="none" w:sz="0" w:space="0" w:color="auto"/>
      </w:divBdr>
    </w:div>
    <w:div w:id="1030255162">
      <w:bodyDiv w:val="1"/>
      <w:marLeft w:val="0"/>
      <w:marRight w:val="0"/>
      <w:marTop w:val="0"/>
      <w:marBottom w:val="0"/>
      <w:divBdr>
        <w:top w:val="none" w:sz="0" w:space="0" w:color="auto"/>
        <w:left w:val="none" w:sz="0" w:space="0" w:color="auto"/>
        <w:bottom w:val="none" w:sz="0" w:space="0" w:color="auto"/>
        <w:right w:val="none" w:sz="0" w:space="0" w:color="auto"/>
      </w:divBdr>
    </w:div>
    <w:div w:id="1030452935">
      <w:bodyDiv w:val="1"/>
      <w:marLeft w:val="0"/>
      <w:marRight w:val="0"/>
      <w:marTop w:val="0"/>
      <w:marBottom w:val="0"/>
      <w:divBdr>
        <w:top w:val="none" w:sz="0" w:space="0" w:color="auto"/>
        <w:left w:val="none" w:sz="0" w:space="0" w:color="auto"/>
        <w:bottom w:val="none" w:sz="0" w:space="0" w:color="auto"/>
        <w:right w:val="none" w:sz="0" w:space="0" w:color="auto"/>
      </w:divBdr>
    </w:div>
    <w:div w:id="1032610603">
      <w:bodyDiv w:val="1"/>
      <w:marLeft w:val="0"/>
      <w:marRight w:val="0"/>
      <w:marTop w:val="0"/>
      <w:marBottom w:val="0"/>
      <w:divBdr>
        <w:top w:val="none" w:sz="0" w:space="0" w:color="auto"/>
        <w:left w:val="none" w:sz="0" w:space="0" w:color="auto"/>
        <w:bottom w:val="none" w:sz="0" w:space="0" w:color="auto"/>
        <w:right w:val="none" w:sz="0" w:space="0" w:color="auto"/>
      </w:divBdr>
    </w:div>
    <w:div w:id="1035959236">
      <w:bodyDiv w:val="1"/>
      <w:marLeft w:val="0"/>
      <w:marRight w:val="0"/>
      <w:marTop w:val="0"/>
      <w:marBottom w:val="0"/>
      <w:divBdr>
        <w:top w:val="none" w:sz="0" w:space="0" w:color="auto"/>
        <w:left w:val="none" w:sz="0" w:space="0" w:color="auto"/>
        <w:bottom w:val="none" w:sz="0" w:space="0" w:color="auto"/>
        <w:right w:val="none" w:sz="0" w:space="0" w:color="auto"/>
      </w:divBdr>
    </w:div>
    <w:div w:id="1038045911">
      <w:bodyDiv w:val="1"/>
      <w:marLeft w:val="0"/>
      <w:marRight w:val="0"/>
      <w:marTop w:val="0"/>
      <w:marBottom w:val="0"/>
      <w:divBdr>
        <w:top w:val="none" w:sz="0" w:space="0" w:color="auto"/>
        <w:left w:val="none" w:sz="0" w:space="0" w:color="auto"/>
        <w:bottom w:val="none" w:sz="0" w:space="0" w:color="auto"/>
        <w:right w:val="none" w:sz="0" w:space="0" w:color="auto"/>
      </w:divBdr>
    </w:div>
    <w:div w:id="1044018298">
      <w:bodyDiv w:val="1"/>
      <w:marLeft w:val="0"/>
      <w:marRight w:val="0"/>
      <w:marTop w:val="0"/>
      <w:marBottom w:val="0"/>
      <w:divBdr>
        <w:top w:val="none" w:sz="0" w:space="0" w:color="auto"/>
        <w:left w:val="none" w:sz="0" w:space="0" w:color="auto"/>
        <w:bottom w:val="none" w:sz="0" w:space="0" w:color="auto"/>
        <w:right w:val="none" w:sz="0" w:space="0" w:color="auto"/>
      </w:divBdr>
    </w:div>
    <w:div w:id="1045176621">
      <w:bodyDiv w:val="1"/>
      <w:marLeft w:val="0"/>
      <w:marRight w:val="0"/>
      <w:marTop w:val="0"/>
      <w:marBottom w:val="0"/>
      <w:divBdr>
        <w:top w:val="none" w:sz="0" w:space="0" w:color="auto"/>
        <w:left w:val="none" w:sz="0" w:space="0" w:color="auto"/>
        <w:bottom w:val="none" w:sz="0" w:space="0" w:color="auto"/>
        <w:right w:val="none" w:sz="0" w:space="0" w:color="auto"/>
      </w:divBdr>
    </w:div>
    <w:div w:id="1045910984">
      <w:bodyDiv w:val="1"/>
      <w:marLeft w:val="0"/>
      <w:marRight w:val="0"/>
      <w:marTop w:val="0"/>
      <w:marBottom w:val="0"/>
      <w:divBdr>
        <w:top w:val="none" w:sz="0" w:space="0" w:color="auto"/>
        <w:left w:val="none" w:sz="0" w:space="0" w:color="auto"/>
        <w:bottom w:val="none" w:sz="0" w:space="0" w:color="auto"/>
        <w:right w:val="none" w:sz="0" w:space="0" w:color="auto"/>
      </w:divBdr>
    </w:div>
    <w:div w:id="1050610968">
      <w:bodyDiv w:val="1"/>
      <w:marLeft w:val="0"/>
      <w:marRight w:val="0"/>
      <w:marTop w:val="0"/>
      <w:marBottom w:val="0"/>
      <w:divBdr>
        <w:top w:val="none" w:sz="0" w:space="0" w:color="auto"/>
        <w:left w:val="none" w:sz="0" w:space="0" w:color="auto"/>
        <w:bottom w:val="none" w:sz="0" w:space="0" w:color="auto"/>
        <w:right w:val="none" w:sz="0" w:space="0" w:color="auto"/>
      </w:divBdr>
    </w:div>
    <w:div w:id="1051657954">
      <w:bodyDiv w:val="1"/>
      <w:marLeft w:val="0"/>
      <w:marRight w:val="0"/>
      <w:marTop w:val="0"/>
      <w:marBottom w:val="0"/>
      <w:divBdr>
        <w:top w:val="none" w:sz="0" w:space="0" w:color="auto"/>
        <w:left w:val="none" w:sz="0" w:space="0" w:color="auto"/>
        <w:bottom w:val="none" w:sz="0" w:space="0" w:color="auto"/>
        <w:right w:val="none" w:sz="0" w:space="0" w:color="auto"/>
      </w:divBdr>
    </w:div>
    <w:div w:id="1052270138">
      <w:bodyDiv w:val="1"/>
      <w:marLeft w:val="0"/>
      <w:marRight w:val="0"/>
      <w:marTop w:val="0"/>
      <w:marBottom w:val="0"/>
      <w:divBdr>
        <w:top w:val="none" w:sz="0" w:space="0" w:color="auto"/>
        <w:left w:val="none" w:sz="0" w:space="0" w:color="auto"/>
        <w:bottom w:val="none" w:sz="0" w:space="0" w:color="auto"/>
        <w:right w:val="none" w:sz="0" w:space="0" w:color="auto"/>
      </w:divBdr>
    </w:div>
    <w:div w:id="1056509834">
      <w:bodyDiv w:val="1"/>
      <w:marLeft w:val="0"/>
      <w:marRight w:val="0"/>
      <w:marTop w:val="0"/>
      <w:marBottom w:val="0"/>
      <w:divBdr>
        <w:top w:val="none" w:sz="0" w:space="0" w:color="auto"/>
        <w:left w:val="none" w:sz="0" w:space="0" w:color="auto"/>
        <w:bottom w:val="none" w:sz="0" w:space="0" w:color="auto"/>
        <w:right w:val="none" w:sz="0" w:space="0" w:color="auto"/>
      </w:divBdr>
    </w:div>
    <w:div w:id="1058935319">
      <w:bodyDiv w:val="1"/>
      <w:marLeft w:val="0"/>
      <w:marRight w:val="0"/>
      <w:marTop w:val="0"/>
      <w:marBottom w:val="0"/>
      <w:divBdr>
        <w:top w:val="none" w:sz="0" w:space="0" w:color="auto"/>
        <w:left w:val="none" w:sz="0" w:space="0" w:color="auto"/>
        <w:bottom w:val="none" w:sz="0" w:space="0" w:color="auto"/>
        <w:right w:val="none" w:sz="0" w:space="0" w:color="auto"/>
      </w:divBdr>
    </w:div>
    <w:div w:id="1063723152">
      <w:bodyDiv w:val="1"/>
      <w:marLeft w:val="0"/>
      <w:marRight w:val="0"/>
      <w:marTop w:val="0"/>
      <w:marBottom w:val="0"/>
      <w:divBdr>
        <w:top w:val="none" w:sz="0" w:space="0" w:color="auto"/>
        <w:left w:val="none" w:sz="0" w:space="0" w:color="auto"/>
        <w:bottom w:val="none" w:sz="0" w:space="0" w:color="auto"/>
        <w:right w:val="none" w:sz="0" w:space="0" w:color="auto"/>
      </w:divBdr>
    </w:div>
    <w:div w:id="1064257211">
      <w:bodyDiv w:val="1"/>
      <w:marLeft w:val="0"/>
      <w:marRight w:val="0"/>
      <w:marTop w:val="0"/>
      <w:marBottom w:val="0"/>
      <w:divBdr>
        <w:top w:val="none" w:sz="0" w:space="0" w:color="auto"/>
        <w:left w:val="none" w:sz="0" w:space="0" w:color="auto"/>
        <w:bottom w:val="none" w:sz="0" w:space="0" w:color="auto"/>
        <w:right w:val="none" w:sz="0" w:space="0" w:color="auto"/>
      </w:divBdr>
    </w:div>
    <w:div w:id="1067218836">
      <w:bodyDiv w:val="1"/>
      <w:marLeft w:val="0"/>
      <w:marRight w:val="0"/>
      <w:marTop w:val="0"/>
      <w:marBottom w:val="0"/>
      <w:divBdr>
        <w:top w:val="none" w:sz="0" w:space="0" w:color="auto"/>
        <w:left w:val="none" w:sz="0" w:space="0" w:color="auto"/>
        <w:bottom w:val="none" w:sz="0" w:space="0" w:color="auto"/>
        <w:right w:val="none" w:sz="0" w:space="0" w:color="auto"/>
      </w:divBdr>
    </w:div>
    <w:div w:id="1067269144">
      <w:bodyDiv w:val="1"/>
      <w:marLeft w:val="0"/>
      <w:marRight w:val="0"/>
      <w:marTop w:val="0"/>
      <w:marBottom w:val="0"/>
      <w:divBdr>
        <w:top w:val="none" w:sz="0" w:space="0" w:color="auto"/>
        <w:left w:val="none" w:sz="0" w:space="0" w:color="auto"/>
        <w:bottom w:val="none" w:sz="0" w:space="0" w:color="auto"/>
        <w:right w:val="none" w:sz="0" w:space="0" w:color="auto"/>
      </w:divBdr>
    </w:div>
    <w:div w:id="1068574620">
      <w:bodyDiv w:val="1"/>
      <w:marLeft w:val="0"/>
      <w:marRight w:val="0"/>
      <w:marTop w:val="0"/>
      <w:marBottom w:val="0"/>
      <w:divBdr>
        <w:top w:val="none" w:sz="0" w:space="0" w:color="auto"/>
        <w:left w:val="none" w:sz="0" w:space="0" w:color="auto"/>
        <w:bottom w:val="none" w:sz="0" w:space="0" w:color="auto"/>
        <w:right w:val="none" w:sz="0" w:space="0" w:color="auto"/>
      </w:divBdr>
    </w:div>
    <w:div w:id="1068959087">
      <w:bodyDiv w:val="1"/>
      <w:marLeft w:val="0"/>
      <w:marRight w:val="0"/>
      <w:marTop w:val="0"/>
      <w:marBottom w:val="0"/>
      <w:divBdr>
        <w:top w:val="none" w:sz="0" w:space="0" w:color="auto"/>
        <w:left w:val="none" w:sz="0" w:space="0" w:color="auto"/>
        <w:bottom w:val="none" w:sz="0" w:space="0" w:color="auto"/>
        <w:right w:val="none" w:sz="0" w:space="0" w:color="auto"/>
      </w:divBdr>
    </w:div>
    <w:div w:id="1070344384">
      <w:bodyDiv w:val="1"/>
      <w:marLeft w:val="0"/>
      <w:marRight w:val="0"/>
      <w:marTop w:val="0"/>
      <w:marBottom w:val="0"/>
      <w:divBdr>
        <w:top w:val="none" w:sz="0" w:space="0" w:color="auto"/>
        <w:left w:val="none" w:sz="0" w:space="0" w:color="auto"/>
        <w:bottom w:val="none" w:sz="0" w:space="0" w:color="auto"/>
        <w:right w:val="none" w:sz="0" w:space="0" w:color="auto"/>
      </w:divBdr>
    </w:div>
    <w:div w:id="1070545896">
      <w:bodyDiv w:val="1"/>
      <w:marLeft w:val="0"/>
      <w:marRight w:val="0"/>
      <w:marTop w:val="0"/>
      <w:marBottom w:val="0"/>
      <w:divBdr>
        <w:top w:val="none" w:sz="0" w:space="0" w:color="auto"/>
        <w:left w:val="none" w:sz="0" w:space="0" w:color="auto"/>
        <w:bottom w:val="none" w:sz="0" w:space="0" w:color="auto"/>
        <w:right w:val="none" w:sz="0" w:space="0" w:color="auto"/>
      </w:divBdr>
    </w:div>
    <w:div w:id="1075129637">
      <w:bodyDiv w:val="1"/>
      <w:marLeft w:val="0"/>
      <w:marRight w:val="0"/>
      <w:marTop w:val="0"/>
      <w:marBottom w:val="0"/>
      <w:divBdr>
        <w:top w:val="none" w:sz="0" w:space="0" w:color="auto"/>
        <w:left w:val="none" w:sz="0" w:space="0" w:color="auto"/>
        <w:bottom w:val="none" w:sz="0" w:space="0" w:color="auto"/>
        <w:right w:val="none" w:sz="0" w:space="0" w:color="auto"/>
      </w:divBdr>
    </w:div>
    <w:div w:id="1075971852">
      <w:bodyDiv w:val="1"/>
      <w:marLeft w:val="0"/>
      <w:marRight w:val="0"/>
      <w:marTop w:val="0"/>
      <w:marBottom w:val="0"/>
      <w:divBdr>
        <w:top w:val="none" w:sz="0" w:space="0" w:color="auto"/>
        <w:left w:val="none" w:sz="0" w:space="0" w:color="auto"/>
        <w:bottom w:val="none" w:sz="0" w:space="0" w:color="auto"/>
        <w:right w:val="none" w:sz="0" w:space="0" w:color="auto"/>
      </w:divBdr>
    </w:div>
    <w:div w:id="1083255208">
      <w:bodyDiv w:val="1"/>
      <w:marLeft w:val="0"/>
      <w:marRight w:val="0"/>
      <w:marTop w:val="0"/>
      <w:marBottom w:val="0"/>
      <w:divBdr>
        <w:top w:val="none" w:sz="0" w:space="0" w:color="auto"/>
        <w:left w:val="none" w:sz="0" w:space="0" w:color="auto"/>
        <w:bottom w:val="none" w:sz="0" w:space="0" w:color="auto"/>
        <w:right w:val="none" w:sz="0" w:space="0" w:color="auto"/>
      </w:divBdr>
    </w:div>
    <w:div w:id="1090464668">
      <w:bodyDiv w:val="1"/>
      <w:marLeft w:val="0"/>
      <w:marRight w:val="0"/>
      <w:marTop w:val="0"/>
      <w:marBottom w:val="0"/>
      <w:divBdr>
        <w:top w:val="none" w:sz="0" w:space="0" w:color="auto"/>
        <w:left w:val="none" w:sz="0" w:space="0" w:color="auto"/>
        <w:bottom w:val="none" w:sz="0" w:space="0" w:color="auto"/>
        <w:right w:val="none" w:sz="0" w:space="0" w:color="auto"/>
      </w:divBdr>
    </w:div>
    <w:div w:id="1096251641">
      <w:bodyDiv w:val="1"/>
      <w:marLeft w:val="0"/>
      <w:marRight w:val="0"/>
      <w:marTop w:val="0"/>
      <w:marBottom w:val="0"/>
      <w:divBdr>
        <w:top w:val="none" w:sz="0" w:space="0" w:color="auto"/>
        <w:left w:val="none" w:sz="0" w:space="0" w:color="auto"/>
        <w:bottom w:val="none" w:sz="0" w:space="0" w:color="auto"/>
        <w:right w:val="none" w:sz="0" w:space="0" w:color="auto"/>
      </w:divBdr>
    </w:div>
    <w:div w:id="1099642163">
      <w:bodyDiv w:val="1"/>
      <w:marLeft w:val="0"/>
      <w:marRight w:val="0"/>
      <w:marTop w:val="0"/>
      <w:marBottom w:val="0"/>
      <w:divBdr>
        <w:top w:val="none" w:sz="0" w:space="0" w:color="auto"/>
        <w:left w:val="none" w:sz="0" w:space="0" w:color="auto"/>
        <w:bottom w:val="none" w:sz="0" w:space="0" w:color="auto"/>
        <w:right w:val="none" w:sz="0" w:space="0" w:color="auto"/>
      </w:divBdr>
    </w:div>
    <w:div w:id="1120297213">
      <w:bodyDiv w:val="1"/>
      <w:marLeft w:val="0"/>
      <w:marRight w:val="0"/>
      <w:marTop w:val="0"/>
      <w:marBottom w:val="0"/>
      <w:divBdr>
        <w:top w:val="none" w:sz="0" w:space="0" w:color="auto"/>
        <w:left w:val="none" w:sz="0" w:space="0" w:color="auto"/>
        <w:bottom w:val="none" w:sz="0" w:space="0" w:color="auto"/>
        <w:right w:val="none" w:sz="0" w:space="0" w:color="auto"/>
      </w:divBdr>
    </w:div>
    <w:div w:id="1129008649">
      <w:bodyDiv w:val="1"/>
      <w:marLeft w:val="0"/>
      <w:marRight w:val="0"/>
      <w:marTop w:val="0"/>
      <w:marBottom w:val="0"/>
      <w:divBdr>
        <w:top w:val="none" w:sz="0" w:space="0" w:color="auto"/>
        <w:left w:val="none" w:sz="0" w:space="0" w:color="auto"/>
        <w:bottom w:val="none" w:sz="0" w:space="0" w:color="auto"/>
        <w:right w:val="none" w:sz="0" w:space="0" w:color="auto"/>
      </w:divBdr>
    </w:div>
    <w:div w:id="1129202782">
      <w:bodyDiv w:val="1"/>
      <w:marLeft w:val="0"/>
      <w:marRight w:val="0"/>
      <w:marTop w:val="0"/>
      <w:marBottom w:val="0"/>
      <w:divBdr>
        <w:top w:val="none" w:sz="0" w:space="0" w:color="auto"/>
        <w:left w:val="none" w:sz="0" w:space="0" w:color="auto"/>
        <w:bottom w:val="none" w:sz="0" w:space="0" w:color="auto"/>
        <w:right w:val="none" w:sz="0" w:space="0" w:color="auto"/>
      </w:divBdr>
    </w:div>
    <w:div w:id="1132597552">
      <w:bodyDiv w:val="1"/>
      <w:marLeft w:val="0"/>
      <w:marRight w:val="0"/>
      <w:marTop w:val="0"/>
      <w:marBottom w:val="0"/>
      <w:divBdr>
        <w:top w:val="none" w:sz="0" w:space="0" w:color="auto"/>
        <w:left w:val="none" w:sz="0" w:space="0" w:color="auto"/>
        <w:bottom w:val="none" w:sz="0" w:space="0" w:color="auto"/>
        <w:right w:val="none" w:sz="0" w:space="0" w:color="auto"/>
      </w:divBdr>
    </w:div>
    <w:div w:id="1133905315">
      <w:bodyDiv w:val="1"/>
      <w:marLeft w:val="0"/>
      <w:marRight w:val="0"/>
      <w:marTop w:val="0"/>
      <w:marBottom w:val="0"/>
      <w:divBdr>
        <w:top w:val="none" w:sz="0" w:space="0" w:color="auto"/>
        <w:left w:val="none" w:sz="0" w:space="0" w:color="auto"/>
        <w:bottom w:val="none" w:sz="0" w:space="0" w:color="auto"/>
        <w:right w:val="none" w:sz="0" w:space="0" w:color="auto"/>
      </w:divBdr>
    </w:div>
    <w:div w:id="1135099193">
      <w:bodyDiv w:val="1"/>
      <w:marLeft w:val="0"/>
      <w:marRight w:val="0"/>
      <w:marTop w:val="0"/>
      <w:marBottom w:val="0"/>
      <w:divBdr>
        <w:top w:val="none" w:sz="0" w:space="0" w:color="auto"/>
        <w:left w:val="none" w:sz="0" w:space="0" w:color="auto"/>
        <w:bottom w:val="none" w:sz="0" w:space="0" w:color="auto"/>
        <w:right w:val="none" w:sz="0" w:space="0" w:color="auto"/>
      </w:divBdr>
    </w:div>
    <w:div w:id="113529869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8886096">
      <w:bodyDiv w:val="1"/>
      <w:marLeft w:val="0"/>
      <w:marRight w:val="0"/>
      <w:marTop w:val="0"/>
      <w:marBottom w:val="0"/>
      <w:divBdr>
        <w:top w:val="none" w:sz="0" w:space="0" w:color="auto"/>
        <w:left w:val="none" w:sz="0" w:space="0" w:color="auto"/>
        <w:bottom w:val="none" w:sz="0" w:space="0" w:color="auto"/>
        <w:right w:val="none" w:sz="0" w:space="0" w:color="auto"/>
      </w:divBdr>
    </w:div>
    <w:div w:id="1140461163">
      <w:bodyDiv w:val="1"/>
      <w:marLeft w:val="0"/>
      <w:marRight w:val="0"/>
      <w:marTop w:val="0"/>
      <w:marBottom w:val="0"/>
      <w:divBdr>
        <w:top w:val="none" w:sz="0" w:space="0" w:color="auto"/>
        <w:left w:val="none" w:sz="0" w:space="0" w:color="auto"/>
        <w:bottom w:val="none" w:sz="0" w:space="0" w:color="auto"/>
        <w:right w:val="none" w:sz="0" w:space="0" w:color="auto"/>
      </w:divBdr>
    </w:div>
    <w:div w:id="1144085089">
      <w:bodyDiv w:val="1"/>
      <w:marLeft w:val="0"/>
      <w:marRight w:val="0"/>
      <w:marTop w:val="0"/>
      <w:marBottom w:val="0"/>
      <w:divBdr>
        <w:top w:val="none" w:sz="0" w:space="0" w:color="auto"/>
        <w:left w:val="none" w:sz="0" w:space="0" w:color="auto"/>
        <w:bottom w:val="none" w:sz="0" w:space="0" w:color="auto"/>
        <w:right w:val="none" w:sz="0" w:space="0" w:color="auto"/>
      </w:divBdr>
    </w:div>
    <w:div w:id="1144394770">
      <w:bodyDiv w:val="1"/>
      <w:marLeft w:val="0"/>
      <w:marRight w:val="0"/>
      <w:marTop w:val="0"/>
      <w:marBottom w:val="0"/>
      <w:divBdr>
        <w:top w:val="none" w:sz="0" w:space="0" w:color="auto"/>
        <w:left w:val="none" w:sz="0" w:space="0" w:color="auto"/>
        <w:bottom w:val="none" w:sz="0" w:space="0" w:color="auto"/>
        <w:right w:val="none" w:sz="0" w:space="0" w:color="auto"/>
      </w:divBdr>
    </w:div>
    <w:div w:id="1148667903">
      <w:bodyDiv w:val="1"/>
      <w:marLeft w:val="0"/>
      <w:marRight w:val="0"/>
      <w:marTop w:val="0"/>
      <w:marBottom w:val="0"/>
      <w:divBdr>
        <w:top w:val="none" w:sz="0" w:space="0" w:color="auto"/>
        <w:left w:val="none" w:sz="0" w:space="0" w:color="auto"/>
        <w:bottom w:val="none" w:sz="0" w:space="0" w:color="auto"/>
        <w:right w:val="none" w:sz="0" w:space="0" w:color="auto"/>
      </w:divBdr>
    </w:div>
    <w:div w:id="1154299100">
      <w:bodyDiv w:val="1"/>
      <w:marLeft w:val="0"/>
      <w:marRight w:val="0"/>
      <w:marTop w:val="0"/>
      <w:marBottom w:val="0"/>
      <w:divBdr>
        <w:top w:val="none" w:sz="0" w:space="0" w:color="auto"/>
        <w:left w:val="none" w:sz="0" w:space="0" w:color="auto"/>
        <w:bottom w:val="none" w:sz="0" w:space="0" w:color="auto"/>
        <w:right w:val="none" w:sz="0" w:space="0" w:color="auto"/>
      </w:divBdr>
    </w:div>
    <w:div w:id="1155873433">
      <w:bodyDiv w:val="1"/>
      <w:marLeft w:val="0"/>
      <w:marRight w:val="0"/>
      <w:marTop w:val="0"/>
      <w:marBottom w:val="0"/>
      <w:divBdr>
        <w:top w:val="none" w:sz="0" w:space="0" w:color="auto"/>
        <w:left w:val="none" w:sz="0" w:space="0" w:color="auto"/>
        <w:bottom w:val="none" w:sz="0" w:space="0" w:color="auto"/>
        <w:right w:val="none" w:sz="0" w:space="0" w:color="auto"/>
      </w:divBdr>
    </w:div>
    <w:div w:id="1156795973">
      <w:bodyDiv w:val="1"/>
      <w:marLeft w:val="0"/>
      <w:marRight w:val="0"/>
      <w:marTop w:val="0"/>
      <w:marBottom w:val="0"/>
      <w:divBdr>
        <w:top w:val="none" w:sz="0" w:space="0" w:color="auto"/>
        <w:left w:val="none" w:sz="0" w:space="0" w:color="auto"/>
        <w:bottom w:val="none" w:sz="0" w:space="0" w:color="auto"/>
        <w:right w:val="none" w:sz="0" w:space="0" w:color="auto"/>
      </w:divBdr>
    </w:div>
    <w:div w:id="1167592755">
      <w:bodyDiv w:val="1"/>
      <w:marLeft w:val="0"/>
      <w:marRight w:val="0"/>
      <w:marTop w:val="0"/>
      <w:marBottom w:val="0"/>
      <w:divBdr>
        <w:top w:val="none" w:sz="0" w:space="0" w:color="auto"/>
        <w:left w:val="none" w:sz="0" w:space="0" w:color="auto"/>
        <w:bottom w:val="none" w:sz="0" w:space="0" w:color="auto"/>
        <w:right w:val="none" w:sz="0" w:space="0" w:color="auto"/>
      </w:divBdr>
    </w:div>
    <w:div w:id="1179153185">
      <w:bodyDiv w:val="1"/>
      <w:marLeft w:val="0"/>
      <w:marRight w:val="0"/>
      <w:marTop w:val="0"/>
      <w:marBottom w:val="0"/>
      <w:divBdr>
        <w:top w:val="none" w:sz="0" w:space="0" w:color="auto"/>
        <w:left w:val="none" w:sz="0" w:space="0" w:color="auto"/>
        <w:bottom w:val="none" w:sz="0" w:space="0" w:color="auto"/>
        <w:right w:val="none" w:sz="0" w:space="0" w:color="auto"/>
      </w:divBdr>
    </w:div>
    <w:div w:id="1181967323">
      <w:bodyDiv w:val="1"/>
      <w:marLeft w:val="0"/>
      <w:marRight w:val="0"/>
      <w:marTop w:val="0"/>
      <w:marBottom w:val="0"/>
      <w:divBdr>
        <w:top w:val="none" w:sz="0" w:space="0" w:color="auto"/>
        <w:left w:val="none" w:sz="0" w:space="0" w:color="auto"/>
        <w:bottom w:val="none" w:sz="0" w:space="0" w:color="auto"/>
        <w:right w:val="none" w:sz="0" w:space="0" w:color="auto"/>
      </w:divBdr>
    </w:div>
    <w:div w:id="1189248368">
      <w:bodyDiv w:val="1"/>
      <w:marLeft w:val="0"/>
      <w:marRight w:val="0"/>
      <w:marTop w:val="0"/>
      <w:marBottom w:val="0"/>
      <w:divBdr>
        <w:top w:val="none" w:sz="0" w:space="0" w:color="auto"/>
        <w:left w:val="none" w:sz="0" w:space="0" w:color="auto"/>
        <w:bottom w:val="none" w:sz="0" w:space="0" w:color="auto"/>
        <w:right w:val="none" w:sz="0" w:space="0" w:color="auto"/>
      </w:divBdr>
    </w:div>
    <w:div w:id="1190609549">
      <w:bodyDiv w:val="1"/>
      <w:marLeft w:val="0"/>
      <w:marRight w:val="0"/>
      <w:marTop w:val="0"/>
      <w:marBottom w:val="0"/>
      <w:divBdr>
        <w:top w:val="none" w:sz="0" w:space="0" w:color="auto"/>
        <w:left w:val="none" w:sz="0" w:space="0" w:color="auto"/>
        <w:bottom w:val="none" w:sz="0" w:space="0" w:color="auto"/>
        <w:right w:val="none" w:sz="0" w:space="0" w:color="auto"/>
      </w:divBdr>
    </w:div>
    <w:div w:id="1191802175">
      <w:bodyDiv w:val="1"/>
      <w:marLeft w:val="0"/>
      <w:marRight w:val="0"/>
      <w:marTop w:val="0"/>
      <w:marBottom w:val="0"/>
      <w:divBdr>
        <w:top w:val="none" w:sz="0" w:space="0" w:color="auto"/>
        <w:left w:val="none" w:sz="0" w:space="0" w:color="auto"/>
        <w:bottom w:val="none" w:sz="0" w:space="0" w:color="auto"/>
        <w:right w:val="none" w:sz="0" w:space="0" w:color="auto"/>
      </w:divBdr>
    </w:div>
    <w:div w:id="1193375584">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13617557">
      <w:bodyDiv w:val="1"/>
      <w:marLeft w:val="0"/>
      <w:marRight w:val="0"/>
      <w:marTop w:val="0"/>
      <w:marBottom w:val="0"/>
      <w:divBdr>
        <w:top w:val="none" w:sz="0" w:space="0" w:color="auto"/>
        <w:left w:val="none" w:sz="0" w:space="0" w:color="auto"/>
        <w:bottom w:val="none" w:sz="0" w:space="0" w:color="auto"/>
        <w:right w:val="none" w:sz="0" w:space="0" w:color="auto"/>
      </w:divBdr>
    </w:div>
    <w:div w:id="1213925904">
      <w:bodyDiv w:val="1"/>
      <w:marLeft w:val="0"/>
      <w:marRight w:val="0"/>
      <w:marTop w:val="0"/>
      <w:marBottom w:val="0"/>
      <w:divBdr>
        <w:top w:val="none" w:sz="0" w:space="0" w:color="auto"/>
        <w:left w:val="none" w:sz="0" w:space="0" w:color="auto"/>
        <w:bottom w:val="none" w:sz="0" w:space="0" w:color="auto"/>
        <w:right w:val="none" w:sz="0" w:space="0" w:color="auto"/>
      </w:divBdr>
    </w:div>
    <w:div w:id="1216235581">
      <w:bodyDiv w:val="1"/>
      <w:marLeft w:val="0"/>
      <w:marRight w:val="0"/>
      <w:marTop w:val="0"/>
      <w:marBottom w:val="0"/>
      <w:divBdr>
        <w:top w:val="none" w:sz="0" w:space="0" w:color="auto"/>
        <w:left w:val="none" w:sz="0" w:space="0" w:color="auto"/>
        <w:bottom w:val="none" w:sz="0" w:space="0" w:color="auto"/>
        <w:right w:val="none" w:sz="0" w:space="0" w:color="auto"/>
      </w:divBdr>
    </w:div>
    <w:div w:id="1218318794">
      <w:bodyDiv w:val="1"/>
      <w:marLeft w:val="0"/>
      <w:marRight w:val="0"/>
      <w:marTop w:val="0"/>
      <w:marBottom w:val="0"/>
      <w:divBdr>
        <w:top w:val="none" w:sz="0" w:space="0" w:color="auto"/>
        <w:left w:val="none" w:sz="0" w:space="0" w:color="auto"/>
        <w:bottom w:val="none" w:sz="0" w:space="0" w:color="auto"/>
        <w:right w:val="none" w:sz="0" w:space="0" w:color="auto"/>
      </w:divBdr>
    </w:div>
    <w:div w:id="1224177018">
      <w:bodyDiv w:val="1"/>
      <w:marLeft w:val="0"/>
      <w:marRight w:val="0"/>
      <w:marTop w:val="0"/>
      <w:marBottom w:val="0"/>
      <w:divBdr>
        <w:top w:val="none" w:sz="0" w:space="0" w:color="auto"/>
        <w:left w:val="none" w:sz="0" w:space="0" w:color="auto"/>
        <w:bottom w:val="none" w:sz="0" w:space="0" w:color="auto"/>
        <w:right w:val="none" w:sz="0" w:space="0" w:color="auto"/>
      </w:divBdr>
    </w:div>
    <w:div w:id="1232931046">
      <w:bodyDiv w:val="1"/>
      <w:marLeft w:val="0"/>
      <w:marRight w:val="0"/>
      <w:marTop w:val="0"/>
      <w:marBottom w:val="0"/>
      <w:divBdr>
        <w:top w:val="none" w:sz="0" w:space="0" w:color="auto"/>
        <w:left w:val="none" w:sz="0" w:space="0" w:color="auto"/>
        <w:bottom w:val="none" w:sz="0" w:space="0" w:color="auto"/>
        <w:right w:val="none" w:sz="0" w:space="0" w:color="auto"/>
      </w:divBdr>
    </w:div>
    <w:div w:id="1233007247">
      <w:bodyDiv w:val="1"/>
      <w:marLeft w:val="0"/>
      <w:marRight w:val="0"/>
      <w:marTop w:val="0"/>
      <w:marBottom w:val="0"/>
      <w:divBdr>
        <w:top w:val="none" w:sz="0" w:space="0" w:color="auto"/>
        <w:left w:val="none" w:sz="0" w:space="0" w:color="auto"/>
        <w:bottom w:val="none" w:sz="0" w:space="0" w:color="auto"/>
        <w:right w:val="none" w:sz="0" w:space="0" w:color="auto"/>
      </w:divBdr>
    </w:div>
    <w:div w:id="1234268683">
      <w:bodyDiv w:val="1"/>
      <w:marLeft w:val="0"/>
      <w:marRight w:val="0"/>
      <w:marTop w:val="0"/>
      <w:marBottom w:val="0"/>
      <w:divBdr>
        <w:top w:val="none" w:sz="0" w:space="0" w:color="auto"/>
        <w:left w:val="none" w:sz="0" w:space="0" w:color="auto"/>
        <w:bottom w:val="none" w:sz="0" w:space="0" w:color="auto"/>
        <w:right w:val="none" w:sz="0" w:space="0" w:color="auto"/>
      </w:divBdr>
    </w:div>
    <w:div w:id="1240169555">
      <w:bodyDiv w:val="1"/>
      <w:marLeft w:val="0"/>
      <w:marRight w:val="0"/>
      <w:marTop w:val="0"/>
      <w:marBottom w:val="0"/>
      <w:divBdr>
        <w:top w:val="none" w:sz="0" w:space="0" w:color="auto"/>
        <w:left w:val="none" w:sz="0" w:space="0" w:color="auto"/>
        <w:bottom w:val="none" w:sz="0" w:space="0" w:color="auto"/>
        <w:right w:val="none" w:sz="0" w:space="0" w:color="auto"/>
      </w:divBdr>
    </w:div>
    <w:div w:id="1241140670">
      <w:bodyDiv w:val="1"/>
      <w:marLeft w:val="0"/>
      <w:marRight w:val="0"/>
      <w:marTop w:val="0"/>
      <w:marBottom w:val="0"/>
      <w:divBdr>
        <w:top w:val="none" w:sz="0" w:space="0" w:color="auto"/>
        <w:left w:val="none" w:sz="0" w:space="0" w:color="auto"/>
        <w:bottom w:val="none" w:sz="0" w:space="0" w:color="auto"/>
        <w:right w:val="none" w:sz="0" w:space="0" w:color="auto"/>
      </w:divBdr>
    </w:div>
    <w:div w:id="1241721586">
      <w:bodyDiv w:val="1"/>
      <w:marLeft w:val="0"/>
      <w:marRight w:val="0"/>
      <w:marTop w:val="0"/>
      <w:marBottom w:val="0"/>
      <w:divBdr>
        <w:top w:val="none" w:sz="0" w:space="0" w:color="auto"/>
        <w:left w:val="none" w:sz="0" w:space="0" w:color="auto"/>
        <w:bottom w:val="none" w:sz="0" w:space="0" w:color="auto"/>
        <w:right w:val="none" w:sz="0" w:space="0" w:color="auto"/>
      </w:divBdr>
    </w:div>
    <w:div w:id="1242258721">
      <w:bodyDiv w:val="1"/>
      <w:marLeft w:val="0"/>
      <w:marRight w:val="0"/>
      <w:marTop w:val="0"/>
      <w:marBottom w:val="0"/>
      <w:divBdr>
        <w:top w:val="none" w:sz="0" w:space="0" w:color="auto"/>
        <w:left w:val="none" w:sz="0" w:space="0" w:color="auto"/>
        <w:bottom w:val="none" w:sz="0" w:space="0" w:color="auto"/>
        <w:right w:val="none" w:sz="0" w:space="0" w:color="auto"/>
      </w:divBdr>
    </w:div>
    <w:div w:id="1243027593">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62103293">
      <w:bodyDiv w:val="1"/>
      <w:marLeft w:val="0"/>
      <w:marRight w:val="0"/>
      <w:marTop w:val="0"/>
      <w:marBottom w:val="0"/>
      <w:divBdr>
        <w:top w:val="none" w:sz="0" w:space="0" w:color="auto"/>
        <w:left w:val="none" w:sz="0" w:space="0" w:color="auto"/>
        <w:bottom w:val="none" w:sz="0" w:space="0" w:color="auto"/>
        <w:right w:val="none" w:sz="0" w:space="0" w:color="auto"/>
      </w:divBdr>
    </w:div>
    <w:div w:id="1266033491">
      <w:bodyDiv w:val="1"/>
      <w:marLeft w:val="0"/>
      <w:marRight w:val="0"/>
      <w:marTop w:val="0"/>
      <w:marBottom w:val="0"/>
      <w:divBdr>
        <w:top w:val="none" w:sz="0" w:space="0" w:color="auto"/>
        <w:left w:val="none" w:sz="0" w:space="0" w:color="auto"/>
        <w:bottom w:val="none" w:sz="0" w:space="0" w:color="auto"/>
        <w:right w:val="none" w:sz="0" w:space="0" w:color="auto"/>
      </w:divBdr>
    </w:div>
    <w:div w:id="1266764965">
      <w:bodyDiv w:val="1"/>
      <w:marLeft w:val="0"/>
      <w:marRight w:val="0"/>
      <w:marTop w:val="0"/>
      <w:marBottom w:val="0"/>
      <w:divBdr>
        <w:top w:val="none" w:sz="0" w:space="0" w:color="auto"/>
        <w:left w:val="none" w:sz="0" w:space="0" w:color="auto"/>
        <w:bottom w:val="none" w:sz="0" w:space="0" w:color="auto"/>
        <w:right w:val="none" w:sz="0" w:space="0" w:color="auto"/>
      </w:divBdr>
    </w:div>
    <w:div w:id="1267077726">
      <w:bodyDiv w:val="1"/>
      <w:marLeft w:val="0"/>
      <w:marRight w:val="0"/>
      <w:marTop w:val="0"/>
      <w:marBottom w:val="0"/>
      <w:divBdr>
        <w:top w:val="none" w:sz="0" w:space="0" w:color="auto"/>
        <w:left w:val="none" w:sz="0" w:space="0" w:color="auto"/>
        <w:bottom w:val="none" w:sz="0" w:space="0" w:color="auto"/>
        <w:right w:val="none" w:sz="0" w:space="0" w:color="auto"/>
      </w:divBdr>
    </w:div>
    <w:div w:id="1269464469">
      <w:bodyDiv w:val="1"/>
      <w:marLeft w:val="0"/>
      <w:marRight w:val="0"/>
      <w:marTop w:val="0"/>
      <w:marBottom w:val="0"/>
      <w:divBdr>
        <w:top w:val="none" w:sz="0" w:space="0" w:color="auto"/>
        <w:left w:val="none" w:sz="0" w:space="0" w:color="auto"/>
        <w:bottom w:val="none" w:sz="0" w:space="0" w:color="auto"/>
        <w:right w:val="none" w:sz="0" w:space="0" w:color="auto"/>
      </w:divBdr>
    </w:div>
    <w:div w:id="1271667531">
      <w:bodyDiv w:val="1"/>
      <w:marLeft w:val="0"/>
      <w:marRight w:val="0"/>
      <w:marTop w:val="0"/>
      <w:marBottom w:val="0"/>
      <w:divBdr>
        <w:top w:val="none" w:sz="0" w:space="0" w:color="auto"/>
        <w:left w:val="none" w:sz="0" w:space="0" w:color="auto"/>
        <w:bottom w:val="none" w:sz="0" w:space="0" w:color="auto"/>
        <w:right w:val="none" w:sz="0" w:space="0" w:color="auto"/>
      </w:divBdr>
    </w:div>
    <w:div w:id="1276206477">
      <w:bodyDiv w:val="1"/>
      <w:marLeft w:val="0"/>
      <w:marRight w:val="0"/>
      <w:marTop w:val="0"/>
      <w:marBottom w:val="0"/>
      <w:divBdr>
        <w:top w:val="none" w:sz="0" w:space="0" w:color="auto"/>
        <w:left w:val="none" w:sz="0" w:space="0" w:color="auto"/>
        <w:bottom w:val="none" w:sz="0" w:space="0" w:color="auto"/>
        <w:right w:val="none" w:sz="0" w:space="0" w:color="auto"/>
      </w:divBdr>
    </w:div>
    <w:div w:id="1279723927">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04238292">
      <w:bodyDiv w:val="1"/>
      <w:marLeft w:val="0"/>
      <w:marRight w:val="0"/>
      <w:marTop w:val="0"/>
      <w:marBottom w:val="0"/>
      <w:divBdr>
        <w:top w:val="none" w:sz="0" w:space="0" w:color="auto"/>
        <w:left w:val="none" w:sz="0" w:space="0" w:color="auto"/>
        <w:bottom w:val="none" w:sz="0" w:space="0" w:color="auto"/>
        <w:right w:val="none" w:sz="0" w:space="0" w:color="auto"/>
      </w:divBdr>
    </w:div>
    <w:div w:id="1313560422">
      <w:bodyDiv w:val="1"/>
      <w:marLeft w:val="0"/>
      <w:marRight w:val="0"/>
      <w:marTop w:val="0"/>
      <w:marBottom w:val="0"/>
      <w:divBdr>
        <w:top w:val="none" w:sz="0" w:space="0" w:color="auto"/>
        <w:left w:val="none" w:sz="0" w:space="0" w:color="auto"/>
        <w:bottom w:val="none" w:sz="0" w:space="0" w:color="auto"/>
        <w:right w:val="none" w:sz="0" w:space="0" w:color="auto"/>
      </w:divBdr>
    </w:div>
    <w:div w:id="1317301798">
      <w:bodyDiv w:val="1"/>
      <w:marLeft w:val="0"/>
      <w:marRight w:val="0"/>
      <w:marTop w:val="0"/>
      <w:marBottom w:val="0"/>
      <w:divBdr>
        <w:top w:val="none" w:sz="0" w:space="0" w:color="auto"/>
        <w:left w:val="none" w:sz="0" w:space="0" w:color="auto"/>
        <w:bottom w:val="none" w:sz="0" w:space="0" w:color="auto"/>
        <w:right w:val="none" w:sz="0" w:space="0" w:color="auto"/>
      </w:divBdr>
    </w:div>
    <w:div w:id="1320498017">
      <w:bodyDiv w:val="1"/>
      <w:marLeft w:val="0"/>
      <w:marRight w:val="0"/>
      <w:marTop w:val="0"/>
      <w:marBottom w:val="0"/>
      <w:divBdr>
        <w:top w:val="none" w:sz="0" w:space="0" w:color="auto"/>
        <w:left w:val="none" w:sz="0" w:space="0" w:color="auto"/>
        <w:bottom w:val="none" w:sz="0" w:space="0" w:color="auto"/>
        <w:right w:val="none" w:sz="0" w:space="0" w:color="auto"/>
      </w:divBdr>
    </w:div>
    <w:div w:id="1321618063">
      <w:bodyDiv w:val="1"/>
      <w:marLeft w:val="0"/>
      <w:marRight w:val="0"/>
      <w:marTop w:val="0"/>
      <w:marBottom w:val="0"/>
      <w:divBdr>
        <w:top w:val="none" w:sz="0" w:space="0" w:color="auto"/>
        <w:left w:val="none" w:sz="0" w:space="0" w:color="auto"/>
        <w:bottom w:val="none" w:sz="0" w:space="0" w:color="auto"/>
        <w:right w:val="none" w:sz="0" w:space="0" w:color="auto"/>
      </w:divBdr>
    </w:div>
    <w:div w:id="1327053842">
      <w:bodyDiv w:val="1"/>
      <w:marLeft w:val="0"/>
      <w:marRight w:val="0"/>
      <w:marTop w:val="0"/>
      <w:marBottom w:val="0"/>
      <w:divBdr>
        <w:top w:val="none" w:sz="0" w:space="0" w:color="auto"/>
        <w:left w:val="none" w:sz="0" w:space="0" w:color="auto"/>
        <w:bottom w:val="none" w:sz="0" w:space="0" w:color="auto"/>
        <w:right w:val="none" w:sz="0" w:space="0" w:color="auto"/>
      </w:divBdr>
    </w:div>
    <w:div w:id="1330910844">
      <w:bodyDiv w:val="1"/>
      <w:marLeft w:val="0"/>
      <w:marRight w:val="0"/>
      <w:marTop w:val="0"/>
      <w:marBottom w:val="0"/>
      <w:divBdr>
        <w:top w:val="none" w:sz="0" w:space="0" w:color="auto"/>
        <w:left w:val="none" w:sz="0" w:space="0" w:color="auto"/>
        <w:bottom w:val="none" w:sz="0" w:space="0" w:color="auto"/>
        <w:right w:val="none" w:sz="0" w:space="0" w:color="auto"/>
      </w:divBdr>
    </w:div>
    <w:div w:id="1339890499">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9215289">
      <w:bodyDiv w:val="1"/>
      <w:marLeft w:val="0"/>
      <w:marRight w:val="0"/>
      <w:marTop w:val="0"/>
      <w:marBottom w:val="0"/>
      <w:divBdr>
        <w:top w:val="none" w:sz="0" w:space="0" w:color="auto"/>
        <w:left w:val="none" w:sz="0" w:space="0" w:color="auto"/>
        <w:bottom w:val="none" w:sz="0" w:space="0" w:color="auto"/>
        <w:right w:val="none" w:sz="0" w:space="0" w:color="auto"/>
      </w:divBdr>
    </w:div>
    <w:div w:id="1369723322">
      <w:bodyDiv w:val="1"/>
      <w:marLeft w:val="0"/>
      <w:marRight w:val="0"/>
      <w:marTop w:val="0"/>
      <w:marBottom w:val="0"/>
      <w:divBdr>
        <w:top w:val="none" w:sz="0" w:space="0" w:color="auto"/>
        <w:left w:val="none" w:sz="0" w:space="0" w:color="auto"/>
        <w:bottom w:val="none" w:sz="0" w:space="0" w:color="auto"/>
        <w:right w:val="none" w:sz="0" w:space="0" w:color="auto"/>
      </w:divBdr>
    </w:div>
    <w:div w:id="1379166470">
      <w:bodyDiv w:val="1"/>
      <w:marLeft w:val="0"/>
      <w:marRight w:val="0"/>
      <w:marTop w:val="0"/>
      <w:marBottom w:val="0"/>
      <w:divBdr>
        <w:top w:val="none" w:sz="0" w:space="0" w:color="auto"/>
        <w:left w:val="none" w:sz="0" w:space="0" w:color="auto"/>
        <w:bottom w:val="none" w:sz="0" w:space="0" w:color="auto"/>
        <w:right w:val="none" w:sz="0" w:space="0" w:color="auto"/>
      </w:divBdr>
    </w:div>
    <w:div w:id="1380089223">
      <w:bodyDiv w:val="1"/>
      <w:marLeft w:val="0"/>
      <w:marRight w:val="0"/>
      <w:marTop w:val="0"/>
      <w:marBottom w:val="0"/>
      <w:divBdr>
        <w:top w:val="none" w:sz="0" w:space="0" w:color="auto"/>
        <w:left w:val="none" w:sz="0" w:space="0" w:color="auto"/>
        <w:bottom w:val="none" w:sz="0" w:space="0" w:color="auto"/>
        <w:right w:val="none" w:sz="0" w:space="0" w:color="auto"/>
      </w:divBdr>
    </w:div>
    <w:div w:id="1384676529">
      <w:bodyDiv w:val="1"/>
      <w:marLeft w:val="0"/>
      <w:marRight w:val="0"/>
      <w:marTop w:val="0"/>
      <w:marBottom w:val="0"/>
      <w:divBdr>
        <w:top w:val="none" w:sz="0" w:space="0" w:color="auto"/>
        <w:left w:val="none" w:sz="0" w:space="0" w:color="auto"/>
        <w:bottom w:val="none" w:sz="0" w:space="0" w:color="auto"/>
        <w:right w:val="none" w:sz="0" w:space="0" w:color="auto"/>
      </w:divBdr>
    </w:div>
    <w:div w:id="1385373491">
      <w:bodyDiv w:val="1"/>
      <w:marLeft w:val="0"/>
      <w:marRight w:val="0"/>
      <w:marTop w:val="0"/>
      <w:marBottom w:val="0"/>
      <w:divBdr>
        <w:top w:val="none" w:sz="0" w:space="0" w:color="auto"/>
        <w:left w:val="none" w:sz="0" w:space="0" w:color="auto"/>
        <w:bottom w:val="none" w:sz="0" w:space="0" w:color="auto"/>
        <w:right w:val="none" w:sz="0" w:space="0" w:color="auto"/>
      </w:divBdr>
    </w:div>
    <w:div w:id="1385760728">
      <w:bodyDiv w:val="1"/>
      <w:marLeft w:val="0"/>
      <w:marRight w:val="0"/>
      <w:marTop w:val="0"/>
      <w:marBottom w:val="0"/>
      <w:divBdr>
        <w:top w:val="none" w:sz="0" w:space="0" w:color="auto"/>
        <w:left w:val="none" w:sz="0" w:space="0" w:color="auto"/>
        <w:bottom w:val="none" w:sz="0" w:space="0" w:color="auto"/>
        <w:right w:val="none" w:sz="0" w:space="0" w:color="auto"/>
      </w:divBdr>
    </w:div>
    <w:div w:id="1392339259">
      <w:bodyDiv w:val="1"/>
      <w:marLeft w:val="0"/>
      <w:marRight w:val="0"/>
      <w:marTop w:val="0"/>
      <w:marBottom w:val="0"/>
      <w:divBdr>
        <w:top w:val="none" w:sz="0" w:space="0" w:color="auto"/>
        <w:left w:val="none" w:sz="0" w:space="0" w:color="auto"/>
        <w:bottom w:val="none" w:sz="0" w:space="0" w:color="auto"/>
        <w:right w:val="none" w:sz="0" w:space="0" w:color="auto"/>
      </w:divBdr>
    </w:div>
    <w:div w:id="1402875392">
      <w:bodyDiv w:val="1"/>
      <w:marLeft w:val="0"/>
      <w:marRight w:val="0"/>
      <w:marTop w:val="0"/>
      <w:marBottom w:val="0"/>
      <w:divBdr>
        <w:top w:val="none" w:sz="0" w:space="0" w:color="auto"/>
        <w:left w:val="none" w:sz="0" w:space="0" w:color="auto"/>
        <w:bottom w:val="none" w:sz="0" w:space="0" w:color="auto"/>
        <w:right w:val="none" w:sz="0" w:space="0" w:color="auto"/>
      </w:divBdr>
    </w:div>
    <w:div w:id="1404715685">
      <w:bodyDiv w:val="1"/>
      <w:marLeft w:val="0"/>
      <w:marRight w:val="0"/>
      <w:marTop w:val="0"/>
      <w:marBottom w:val="0"/>
      <w:divBdr>
        <w:top w:val="none" w:sz="0" w:space="0" w:color="auto"/>
        <w:left w:val="none" w:sz="0" w:space="0" w:color="auto"/>
        <w:bottom w:val="none" w:sz="0" w:space="0" w:color="auto"/>
        <w:right w:val="none" w:sz="0" w:space="0" w:color="auto"/>
      </w:divBdr>
    </w:div>
    <w:div w:id="140792372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0889280">
      <w:bodyDiv w:val="1"/>
      <w:marLeft w:val="0"/>
      <w:marRight w:val="0"/>
      <w:marTop w:val="0"/>
      <w:marBottom w:val="0"/>
      <w:divBdr>
        <w:top w:val="none" w:sz="0" w:space="0" w:color="auto"/>
        <w:left w:val="none" w:sz="0" w:space="0" w:color="auto"/>
        <w:bottom w:val="none" w:sz="0" w:space="0" w:color="auto"/>
        <w:right w:val="none" w:sz="0" w:space="0" w:color="auto"/>
      </w:divBdr>
    </w:div>
    <w:div w:id="1412236744">
      <w:bodyDiv w:val="1"/>
      <w:marLeft w:val="0"/>
      <w:marRight w:val="0"/>
      <w:marTop w:val="0"/>
      <w:marBottom w:val="0"/>
      <w:divBdr>
        <w:top w:val="none" w:sz="0" w:space="0" w:color="auto"/>
        <w:left w:val="none" w:sz="0" w:space="0" w:color="auto"/>
        <w:bottom w:val="none" w:sz="0" w:space="0" w:color="auto"/>
        <w:right w:val="none" w:sz="0" w:space="0" w:color="auto"/>
      </w:divBdr>
    </w:div>
    <w:div w:id="1416975168">
      <w:bodyDiv w:val="1"/>
      <w:marLeft w:val="0"/>
      <w:marRight w:val="0"/>
      <w:marTop w:val="0"/>
      <w:marBottom w:val="0"/>
      <w:divBdr>
        <w:top w:val="none" w:sz="0" w:space="0" w:color="auto"/>
        <w:left w:val="none" w:sz="0" w:space="0" w:color="auto"/>
        <w:bottom w:val="none" w:sz="0" w:space="0" w:color="auto"/>
        <w:right w:val="none" w:sz="0" w:space="0" w:color="auto"/>
      </w:divBdr>
    </w:div>
    <w:div w:id="1419213257">
      <w:bodyDiv w:val="1"/>
      <w:marLeft w:val="0"/>
      <w:marRight w:val="0"/>
      <w:marTop w:val="0"/>
      <w:marBottom w:val="0"/>
      <w:divBdr>
        <w:top w:val="none" w:sz="0" w:space="0" w:color="auto"/>
        <w:left w:val="none" w:sz="0" w:space="0" w:color="auto"/>
        <w:bottom w:val="none" w:sz="0" w:space="0" w:color="auto"/>
        <w:right w:val="none" w:sz="0" w:space="0" w:color="auto"/>
      </w:divBdr>
    </w:div>
    <w:div w:id="1421953362">
      <w:bodyDiv w:val="1"/>
      <w:marLeft w:val="0"/>
      <w:marRight w:val="0"/>
      <w:marTop w:val="0"/>
      <w:marBottom w:val="0"/>
      <w:divBdr>
        <w:top w:val="none" w:sz="0" w:space="0" w:color="auto"/>
        <w:left w:val="none" w:sz="0" w:space="0" w:color="auto"/>
        <w:bottom w:val="none" w:sz="0" w:space="0" w:color="auto"/>
        <w:right w:val="none" w:sz="0" w:space="0" w:color="auto"/>
      </w:divBdr>
    </w:div>
    <w:div w:id="1424229274">
      <w:bodyDiv w:val="1"/>
      <w:marLeft w:val="0"/>
      <w:marRight w:val="0"/>
      <w:marTop w:val="0"/>
      <w:marBottom w:val="0"/>
      <w:divBdr>
        <w:top w:val="none" w:sz="0" w:space="0" w:color="auto"/>
        <w:left w:val="none" w:sz="0" w:space="0" w:color="auto"/>
        <w:bottom w:val="none" w:sz="0" w:space="0" w:color="auto"/>
        <w:right w:val="none" w:sz="0" w:space="0" w:color="auto"/>
      </w:divBdr>
    </w:div>
    <w:div w:id="1425688817">
      <w:bodyDiv w:val="1"/>
      <w:marLeft w:val="0"/>
      <w:marRight w:val="0"/>
      <w:marTop w:val="0"/>
      <w:marBottom w:val="0"/>
      <w:divBdr>
        <w:top w:val="none" w:sz="0" w:space="0" w:color="auto"/>
        <w:left w:val="none" w:sz="0" w:space="0" w:color="auto"/>
        <w:bottom w:val="none" w:sz="0" w:space="0" w:color="auto"/>
        <w:right w:val="none" w:sz="0" w:space="0" w:color="auto"/>
      </w:divBdr>
    </w:div>
    <w:div w:id="1432504632">
      <w:bodyDiv w:val="1"/>
      <w:marLeft w:val="0"/>
      <w:marRight w:val="0"/>
      <w:marTop w:val="0"/>
      <w:marBottom w:val="0"/>
      <w:divBdr>
        <w:top w:val="none" w:sz="0" w:space="0" w:color="auto"/>
        <w:left w:val="none" w:sz="0" w:space="0" w:color="auto"/>
        <w:bottom w:val="none" w:sz="0" w:space="0" w:color="auto"/>
        <w:right w:val="none" w:sz="0" w:space="0" w:color="auto"/>
      </w:divBdr>
    </w:div>
    <w:div w:id="1436051895">
      <w:bodyDiv w:val="1"/>
      <w:marLeft w:val="0"/>
      <w:marRight w:val="0"/>
      <w:marTop w:val="0"/>
      <w:marBottom w:val="0"/>
      <w:divBdr>
        <w:top w:val="none" w:sz="0" w:space="0" w:color="auto"/>
        <w:left w:val="none" w:sz="0" w:space="0" w:color="auto"/>
        <w:bottom w:val="none" w:sz="0" w:space="0" w:color="auto"/>
        <w:right w:val="none" w:sz="0" w:space="0" w:color="auto"/>
      </w:divBdr>
    </w:div>
    <w:div w:id="1439132626">
      <w:bodyDiv w:val="1"/>
      <w:marLeft w:val="0"/>
      <w:marRight w:val="0"/>
      <w:marTop w:val="0"/>
      <w:marBottom w:val="0"/>
      <w:divBdr>
        <w:top w:val="none" w:sz="0" w:space="0" w:color="auto"/>
        <w:left w:val="none" w:sz="0" w:space="0" w:color="auto"/>
        <w:bottom w:val="none" w:sz="0" w:space="0" w:color="auto"/>
        <w:right w:val="none" w:sz="0" w:space="0" w:color="auto"/>
      </w:divBdr>
    </w:div>
    <w:div w:id="144068673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6273823">
      <w:bodyDiv w:val="1"/>
      <w:marLeft w:val="0"/>
      <w:marRight w:val="0"/>
      <w:marTop w:val="0"/>
      <w:marBottom w:val="0"/>
      <w:divBdr>
        <w:top w:val="none" w:sz="0" w:space="0" w:color="auto"/>
        <w:left w:val="none" w:sz="0" w:space="0" w:color="auto"/>
        <w:bottom w:val="none" w:sz="0" w:space="0" w:color="auto"/>
        <w:right w:val="none" w:sz="0" w:space="0" w:color="auto"/>
      </w:divBdr>
    </w:div>
    <w:div w:id="1446846125">
      <w:bodyDiv w:val="1"/>
      <w:marLeft w:val="0"/>
      <w:marRight w:val="0"/>
      <w:marTop w:val="0"/>
      <w:marBottom w:val="0"/>
      <w:divBdr>
        <w:top w:val="none" w:sz="0" w:space="0" w:color="auto"/>
        <w:left w:val="none" w:sz="0" w:space="0" w:color="auto"/>
        <w:bottom w:val="none" w:sz="0" w:space="0" w:color="auto"/>
        <w:right w:val="none" w:sz="0" w:space="0" w:color="auto"/>
      </w:divBdr>
    </w:div>
    <w:div w:id="1447770504">
      <w:bodyDiv w:val="1"/>
      <w:marLeft w:val="0"/>
      <w:marRight w:val="0"/>
      <w:marTop w:val="0"/>
      <w:marBottom w:val="0"/>
      <w:divBdr>
        <w:top w:val="none" w:sz="0" w:space="0" w:color="auto"/>
        <w:left w:val="none" w:sz="0" w:space="0" w:color="auto"/>
        <w:bottom w:val="none" w:sz="0" w:space="0" w:color="auto"/>
        <w:right w:val="none" w:sz="0" w:space="0" w:color="auto"/>
      </w:divBdr>
    </w:div>
    <w:div w:id="1449543626">
      <w:bodyDiv w:val="1"/>
      <w:marLeft w:val="0"/>
      <w:marRight w:val="0"/>
      <w:marTop w:val="0"/>
      <w:marBottom w:val="0"/>
      <w:divBdr>
        <w:top w:val="none" w:sz="0" w:space="0" w:color="auto"/>
        <w:left w:val="none" w:sz="0" w:space="0" w:color="auto"/>
        <w:bottom w:val="none" w:sz="0" w:space="0" w:color="auto"/>
        <w:right w:val="none" w:sz="0" w:space="0" w:color="auto"/>
      </w:divBdr>
    </w:div>
    <w:div w:id="1450396160">
      <w:bodyDiv w:val="1"/>
      <w:marLeft w:val="0"/>
      <w:marRight w:val="0"/>
      <w:marTop w:val="0"/>
      <w:marBottom w:val="0"/>
      <w:divBdr>
        <w:top w:val="none" w:sz="0" w:space="0" w:color="auto"/>
        <w:left w:val="none" w:sz="0" w:space="0" w:color="auto"/>
        <w:bottom w:val="none" w:sz="0" w:space="0" w:color="auto"/>
        <w:right w:val="none" w:sz="0" w:space="0" w:color="auto"/>
      </w:divBdr>
    </w:div>
    <w:div w:id="1456677643">
      <w:bodyDiv w:val="1"/>
      <w:marLeft w:val="0"/>
      <w:marRight w:val="0"/>
      <w:marTop w:val="0"/>
      <w:marBottom w:val="0"/>
      <w:divBdr>
        <w:top w:val="none" w:sz="0" w:space="0" w:color="auto"/>
        <w:left w:val="none" w:sz="0" w:space="0" w:color="auto"/>
        <w:bottom w:val="none" w:sz="0" w:space="0" w:color="auto"/>
        <w:right w:val="none" w:sz="0" w:space="0" w:color="auto"/>
      </w:divBdr>
    </w:div>
    <w:div w:id="1464083388">
      <w:bodyDiv w:val="1"/>
      <w:marLeft w:val="0"/>
      <w:marRight w:val="0"/>
      <w:marTop w:val="0"/>
      <w:marBottom w:val="0"/>
      <w:divBdr>
        <w:top w:val="none" w:sz="0" w:space="0" w:color="auto"/>
        <w:left w:val="none" w:sz="0" w:space="0" w:color="auto"/>
        <w:bottom w:val="none" w:sz="0" w:space="0" w:color="auto"/>
        <w:right w:val="none" w:sz="0" w:space="0" w:color="auto"/>
      </w:divBdr>
    </w:div>
    <w:div w:id="1469401176">
      <w:bodyDiv w:val="1"/>
      <w:marLeft w:val="0"/>
      <w:marRight w:val="0"/>
      <w:marTop w:val="0"/>
      <w:marBottom w:val="0"/>
      <w:divBdr>
        <w:top w:val="none" w:sz="0" w:space="0" w:color="auto"/>
        <w:left w:val="none" w:sz="0" w:space="0" w:color="auto"/>
        <w:bottom w:val="none" w:sz="0" w:space="0" w:color="auto"/>
        <w:right w:val="none" w:sz="0" w:space="0" w:color="auto"/>
      </w:divBdr>
    </w:div>
    <w:div w:id="1486819503">
      <w:bodyDiv w:val="1"/>
      <w:marLeft w:val="0"/>
      <w:marRight w:val="0"/>
      <w:marTop w:val="0"/>
      <w:marBottom w:val="0"/>
      <w:divBdr>
        <w:top w:val="none" w:sz="0" w:space="0" w:color="auto"/>
        <w:left w:val="none" w:sz="0" w:space="0" w:color="auto"/>
        <w:bottom w:val="none" w:sz="0" w:space="0" w:color="auto"/>
        <w:right w:val="none" w:sz="0" w:space="0" w:color="auto"/>
      </w:divBdr>
    </w:div>
    <w:div w:id="1491407558">
      <w:bodyDiv w:val="1"/>
      <w:marLeft w:val="0"/>
      <w:marRight w:val="0"/>
      <w:marTop w:val="0"/>
      <w:marBottom w:val="0"/>
      <w:divBdr>
        <w:top w:val="none" w:sz="0" w:space="0" w:color="auto"/>
        <w:left w:val="none" w:sz="0" w:space="0" w:color="auto"/>
        <w:bottom w:val="none" w:sz="0" w:space="0" w:color="auto"/>
        <w:right w:val="none" w:sz="0" w:space="0" w:color="auto"/>
      </w:divBdr>
    </w:div>
    <w:div w:id="1491605228">
      <w:bodyDiv w:val="1"/>
      <w:marLeft w:val="0"/>
      <w:marRight w:val="0"/>
      <w:marTop w:val="0"/>
      <w:marBottom w:val="0"/>
      <w:divBdr>
        <w:top w:val="none" w:sz="0" w:space="0" w:color="auto"/>
        <w:left w:val="none" w:sz="0" w:space="0" w:color="auto"/>
        <w:bottom w:val="none" w:sz="0" w:space="0" w:color="auto"/>
        <w:right w:val="none" w:sz="0" w:space="0" w:color="auto"/>
      </w:divBdr>
    </w:div>
    <w:div w:id="1496800863">
      <w:bodyDiv w:val="1"/>
      <w:marLeft w:val="0"/>
      <w:marRight w:val="0"/>
      <w:marTop w:val="0"/>
      <w:marBottom w:val="0"/>
      <w:divBdr>
        <w:top w:val="none" w:sz="0" w:space="0" w:color="auto"/>
        <w:left w:val="none" w:sz="0" w:space="0" w:color="auto"/>
        <w:bottom w:val="none" w:sz="0" w:space="0" w:color="auto"/>
        <w:right w:val="none" w:sz="0" w:space="0" w:color="auto"/>
      </w:divBdr>
    </w:div>
    <w:div w:id="1503203323">
      <w:bodyDiv w:val="1"/>
      <w:marLeft w:val="0"/>
      <w:marRight w:val="0"/>
      <w:marTop w:val="0"/>
      <w:marBottom w:val="0"/>
      <w:divBdr>
        <w:top w:val="none" w:sz="0" w:space="0" w:color="auto"/>
        <w:left w:val="none" w:sz="0" w:space="0" w:color="auto"/>
        <w:bottom w:val="none" w:sz="0" w:space="0" w:color="auto"/>
        <w:right w:val="none" w:sz="0" w:space="0" w:color="auto"/>
      </w:divBdr>
    </w:div>
    <w:div w:id="1509100238">
      <w:bodyDiv w:val="1"/>
      <w:marLeft w:val="0"/>
      <w:marRight w:val="0"/>
      <w:marTop w:val="0"/>
      <w:marBottom w:val="0"/>
      <w:divBdr>
        <w:top w:val="none" w:sz="0" w:space="0" w:color="auto"/>
        <w:left w:val="none" w:sz="0" w:space="0" w:color="auto"/>
        <w:bottom w:val="none" w:sz="0" w:space="0" w:color="auto"/>
        <w:right w:val="none" w:sz="0" w:space="0" w:color="auto"/>
      </w:divBdr>
    </w:div>
    <w:div w:id="1517038777">
      <w:bodyDiv w:val="1"/>
      <w:marLeft w:val="0"/>
      <w:marRight w:val="0"/>
      <w:marTop w:val="0"/>
      <w:marBottom w:val="0"/>
      <w:divBdr>
        <w:top w:val="none" w:sz="0" w:space="0" w:color="auto"/>
        <w:left w:val="none" w:sz="0" w:space="0" w:color="auto"/>
        <w:bottom w:val="none" w:sz="0" w:space="0" w:color="auto"/>
        <w:right w:val="none" w:sz="0" w:space="0" w:color="auto"/>
      </w:divBdr>
    </w:div>
    <w:div w:id="1525748047">
      <w:bodyDiv w:val="1"/>
      <w:marLeft w:val="0"/>
      <w:marRight w:val="0"/>
      <w:marTop w:val="0"/>
      <w:marBottom w:val="0"/>
      <w:divBdr>
        <w:top w:val="none" w:sz="0" w:space="0" w:color="auto"/>
        <w:left w:val="none" w:sz="0" w:space="0" w:color="auto"/>
        <w:bottom w:val="none" w:sz="0" w:space="0" w:color="auto"/>
        <w:right w:val="none" w:sz="0" w:space="0" w:color="auto"/>
      </w:divBdr>
    </w:div>
    <w:div w:id="1539976269">
      <w:bodyDiv w:val="1"/>
      <w:marLeft w:val="0"/>
      <w:marRight w:val="0"/>
      <w:marTop w:val="0"/>
      <w:marBottom w:val="0"/>
      <w:divBdr>
        <w:top w:val="none" w:sz="0" w:space="0" w:color="auto"/>
        <w:left w:val="none" w:sz="0" w:space="0" w:color="auto"/>
        <w:bottom w:val="none" w:sz="0" w:space="0" w:color="auto"/>
        <w:right w:val="none" w:sz="0" w:space="0" w:color="auto"/>
      </w:divBdr>
    </w:div>
    <w:div w:id="1541473418">
      <w:bodyDiv w:val="1"/>
      <w:marLeft w:val="0"/>
      <w:marRight w:val="0"/>
      <w:marTop w:val="0"/>
      <w:marBottom w:val="0"/>
      <w:divBdr>
        <w:top w:val="none" w:sz="0" w:space="0" w:color="auto"/>
        <w:left w:val="none" w:sz="0" w:space="0" w:color="auto"/>
        <w:bottom w:val="none" w:sz="0" w:space="0" w:color="auto"/>
        <w:right w:val="none" w:sz="0" w:space="0" w:color="auto"/>
      </w:divBdr>
    </w:div>
    <w:div w:id="1546911765">
      <w:bodyDiv w:val="1"/>
      <w:marLeft w:val="0"/>
      <w:marRight w:val="0"/>
      <w:marTop w:val="0"/>
      <w:marBottom w:val="0"/>
      <w:divBdr>
        <w:top w:val="none" w:sz="0" w:space="0" w:color="auto"/>
        <w:left w:val="none" w:sz="0" w:space="0" w:color="auto"/>
        <w:bottom w:val="none" w:sz="0" w:space="0" w:color="auto"/>
        <w:right w:val="none" w:sz="0" w:space="0" w:color="auto"/>
      </w:divBdr>
    </w:div>
    <w:div w:id="1551720504">
      <w:bodyDiv w:val="1"/>
      <w:marLeft w:val="0"/>
      <w:marRight w:val="0"/>
      <w:marTop w:val="0"/>
      <w:marBottom w:val="0"/>
      <w:divBdr>
        <w:top w:val="none" w:sz="0" w:space="0" w:color="auto"/>
        <w:left w:val="none" w:sz="0" w:space="0" w:color="auto"/>
        <w:bottom w:val="none" w:sz="0" w:space="0" w:color="auto"/>
        <w:right w:val="none" w:sz="0" w:space="0" w:color="auto"/>
      </w:divBdr>
    </w:div>
    <w:div w:id="1576430365">
      <w:bodyDiv w:val="1"/>
      <w:marLeft w:val="0"/>
      <w:marRight w:val="0"/>
      <w:marTop w:val="0"/>
      <w:marBottom w:val="0"/>
      <w:divBdr>
        <w:top w:val="none" w:sz="0" w:space="0" w:color="auto"/>
        <w:left w:val="none" w:sz="0" w:space="0" w:color="auto"/>
        <w:bottom w:val="none" w:sz="0" w:space="0" w:color="auto"/>
        <w:right w:val="none" w:sz="0" w:space="0" w:color="auto"/>
      </w:divBdr>
    </w:div>
    <w:div w:id="1578006802">
      <w:bodyDiv w:val="1"/>
      <w:marLeft w:val="0"/>
      <w:marRight w:val="0"/>
      <w:marTop w:val="0"/>
      <w:marBottom w:val="0"/>
      <w:divBdr>
        <w:top w:val="none" w:sz="0" w:space="0" w:color="auto"/>
        <w:left w:val="none" w:sz="0" w:space="0" w:color="auto"/>
        <w:bottom w:val="none" w:sz="0" w:space="0" w:color="auto"/>
        <w:right w:val="none" w:sz="0" w:space="0" w:color="auto"/>
      </w:divBdr>
    </w:div>
    <w:div w:id="1583756890">
      <w:bodyDiv w:val="1"/>
      <w:marLeft w:val="0"/>
      <w:marRight w:val="0"/>
      <w:marTop w:val="0"/>
      <w:marBottom w:val="0"/>
      <w:divBdr>
        <w:top w:val="none" w:sz="0" w:space="0" w:color="auto"/>
        <w:left w:val="none" w:sz="0" w:space="0" w:color="auto"/>
        <w:bottom w:val="none" w:sz="0" w:space="0" w:color="auto"/>
        <w:right w:val="none" w:sz="0" w:space="0" w:color="auto"/>
      </w:divBdr>
    </w:div>
    <w:div w:id="1585727594">
      <w:bodyDiv w:val="1"/>
      <w:marLeft w:val="0"/>
      <w:marRight w:val="0"/>
      <w:marTop w:val="0"/>
      <w:marBottom w:val="0"/>
      <w:divBdr>
        <w:top w:val="none" w:sz="0" w:space="0" w:color="auto"/>
        <w:left w:val="none" w:sz="0" w:space="0" w:color="auto"/>
        <w:bottom w:val="none" w:sz="0" w:space="0" w:color="auto"/>
        <w:right w:val="none" w:sz="0" w:space="0" w:color="auto"/>
      </w:divBdr>
    </w:div>
    <w:div w:id="1605070224">
      <w:bodyDiv w:val="1"/>
      <w:marLeft w:val="0"/>
      <w:marRight w:val="0"/>
      <w:marTop w:val="0"/>
      <w:marBottom w:val="0"/>
      <w:divBdr>
        <w:top w:val="none" w:sz="0" w:space="0" w:color="auto"/>
        <w:left w:val="none" w:sz="0" w:space="0" w:color="auto"/>
        <w:bottom w:val="none" w:sz="0" w:space="0" w:color="auto"/>
        <w:right w:val="none" w:sz="0" w:space="0" w:color="auto"/>
      </w:divBdr>
    </w:div>
    <w:div w:id="1606228770">
      <w:bodyDiv w:val="1"/>
      <w:marLeft w:val="0"/>
      <w:marRight w:val="0"/>
      <w:marTop w:val="0"/>
      <w:marBottom w:val="0"/>
      <w:divBdr>
        <w:top w:val="none" w:sz="0" w:space="0" w:color="auto"/>
        <w:left w:val="none" w:sz="0" w:space="0" w:color="auto"/>
        <w:bottom w:val="none" w:sz="0" w:space="0" w:color="auto"/>
        <w:right w:val="none" w:sz="0" w:space="0" w:color="auto"/>
      </w:divBdr>
    </w:div>
    <w:div w:id="1607807106">
      <w:bodyDiv w:val="1"/>
      <w:marLeft w:val="0"/>
      <w:marRight w:val="0"/>
      <w:marTop w:val="0"/>
      <w:marBottom w:val="0"/>
      <w:divBdr>
        <w:top w:val="none" w:sz="0" w:space="0" w:color="auto"/>
        <w:left w:val="none" w:sz="0" w:space="0" w:color="auto"/>
        <w:bottom w:val="none" w:sz="0" w:space="0" w:color="auto"/>
        <w:right w:val="none" w:sz="0" w:space="0" w:color="auto"/>
      </w:divBdr>
    </w:div>
    <w:div w:id="1616474573">
      <w:bodyDiv w:val="1"/>
      <w:marLeft w:val="0"/>
      <w:marRight w:val="0"/>
      <w:marTop w:val="0"/>
      <w:marBottom w:val="0"/>
      <w:divBdr>
        <w:top w:val="none" w:sz="0" w:space="0" w:color="auto"/>
        <w:left w:val="none" w:sz="0" w:space="0" w:color="auto"/>
        <w:bottom w:val="none" w:sz="0" w:space="0" w:color="auto"/>
        <w:right w:val="none" w:sz="0" w:space="0" w:color="auto"/>
      </w:divBdr>
    </w:div>
    <w:div w:id="1619603706">
      <w:bodyDiv w:val="1"/>
      <w:marLeft w:val="0"/>
      <w:marRight w:val="0"/>
      <w:marTop w:val="0"/>
      <w:marBottom w:val="0"/>
      <w:divBdr>
        <w:top w:val="none" w:sz="0" w:space="0" w:color="auto"/>
        <w:left w:val="none" w:sz="0" w:space="0" w:color="auto"/>
        <w:bottom w:val="none" w:sz="0" w:space="0" w:color="auto"/>
        <w:right w:val="none" w:sz="0" w:space="0" w:color="auto"/>
      </w:divBdr>
    </w:div>
    <w:div w:id="1620066641">
      <w:bodyDiv w:val="1"/>
      <w:marLeft w:val="0"/>
      <w:marRight w:val="0"/>
      <w:marTop w:val="0"/>
      <w:marBottom w:val="0"/>
      <w:divBdr>
        <w:top w:val="none" w:sz="0" w:space="0" w:color="auto"/>
        <w:left w:val="none" w:sz="0" w:space="0" w:color="auto"/>
        <w:bottom w:val="none" w:sz="0" w:space="0" w:color="auto"/>
        <w:right w:val="none" w:sz="0" w:space="0" w:color="auto"/>
      </w:divBdr>
    </w:div>
    <w:div w:id="1621909398">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0432813">
      <w:bodyDiv w:val="1"/>
      <w:marLeft w:val="0"/>
      <w:marRight w:val="0"/>
      <w:marTop w:val="0"/>
      <w:marBottom w:val="0"/>
      <w:divBdr>
        <w:top w:val="none" w:sz="0" w:space="0" w:color="auto"/>
        <w:left w:val="none" w:sz="0" w:space="0" w:color="auto"/>
        <w:bottom w:val="none" w:sz="0" w:space="0" w:color="auto"/>
        <w:right w:val="none" w:sz="0" w:space="0" w:color="auto"/>
      </w:divBdr>
    </w:div>
    <w:div w:id="1631014047">
      <w:bodyDiv w:val="1"/>
      <w:marLeft w:val="0"/>
      <w:marRight w:val="0"/>
      <w:marTop w:val="0"/>
      <w:marBottom w:val="0"/>
      <w:divBdr>
        <w:top w:val="none" w:sz="0" w:space="0" w:color="auto"/>
        <w:left w:val="none" w:sz="0" w:space="0" w:color="auto"/>
        <w:bottom w:val="none" w:sz="0" w:space="0" w:color="auto"/>
        <w:right w:val="none" w:sz="0" w:space="0" w:color="auto"/>
      </w:divBdr>
    </w:div>
    <w:div w:id="1631351786">
      <w:bodyDiv w:val="1"/>
      <w:marLeft w:val="0"/>
      <w:marRight w:val="0"/>
      <w:marTop w:val="0"/>
      <w:marBottom w:val="0"/>
      <w:divBdr>
        <w:top w:val="none" w:sz="0" w:space="0" w:color="auto"/>
        <w:left w:val="none" w:sz="0" w:space="0" w:color="auto"/>
        <w:bottom w:val="none" w:sz="0" w:space="0" w:color="auto"/>
        <w:right w:val="none" w:sz="0" w:space="0" w:color="auto"/>
      </w:divBdr>
    </w:div>
    <w:div w:id="1636256740">
      <w:bodyDiv w:val="1"/>
      <w:marLeft w:val="0"/>
      <w:marRight w:val="0"/>
      <w:marTop w:val="0"/>
      <w:marBottom w:val="0"/>
      <w:divBdr>
        <w:top w:val="none" w:sz="0" w:space="0" w:color="auto"/>
        <w:left w:val="none" w:sz="0" w:space="0" w:color="auto"/>
        <w:bottom w:val="none" w:sz="0" w:space="0" w:color="auto"/>
        <w:right w:val="none" w:sz="0" w:space="0" w:color="auto"/>
      </w:divBdr>
    </w:div>
    <w:div w:id="1636520352">
      <w:bodyDiv w:val="1"/>
      <w:marLeft w:val="0"/>
      <w:marRight w:val="0"/>
      <w:marTop w:val="0"/>
      <w:marBottom w:val="0"/>
      <w:divBdr>
        <w:top w:val="none" w:sz="0" w:space="0" w:color="auto"/>
        <w:left w:val="none" w:sz="0" w:space="0" w:color="auto"/>
        <w:bottom w:val="none" w:sz="0" w:space="0" w:color="auto"/>
        <w:right w:val="none" w:sz="0" w:space="0" w:color="auto"/>
      </w:divBdr>
    </w:div>
    <w:div w:id="1639454168">
      <w:bodyDiv w:val="1"/>
      <w:marLeft w:val="0"/>
      <w:marRight w:val="0"/>
      <w:marTop w:val="0"/>
      <w:marBottom w:val="0"/>
      <w:divBdr>
        <w:top w:val="none" w:sz="0" w:space="0" w:color="auto"/>
        <w:left w:val="none" w:sz="0" w:space="0" w:color="auto"/>
        <w:bottom w:val="none" w:sz="0" w:space="0" w:color="auto"/>
        <w:right w:val="none" w:sz="0" w:space="0" w:color="auto"/>
      </w:divBdr>
    </w:div>
    <w:div w:id="1639720258">
      <w:bodyDiv w:val="1"/>
      <w:marLeft w:val="0"/>
      <w:marRight w:val="0"/>
      <w:marTop w:val="0"/>
      <w:marBottom w:val="0"/>
      <w:divBdr>
        <w:top w:val="none" w:sz="0" w:space="0" w:color="auto"/>
        <w:left w:val="none" w:sz="0" w:space="0" w:color="auto"/>
        <w:bottom w:val="none" w:sz="0" w:space="0" w:color="auto"/>
        <w:right w:val="none" w:sz="0" w:space="0" w:color="auto"/>
      </w:divBdr>
    </w:div>
    <w:div w:id="1644188538">
      <w:bodyDiv w:val="1"/>
      <w:marLeft w:val="0"/>
      <w:marRight w:val="0"/>
      <w:marTop w:val="0"/>
      <w:marBottom w:val="0"/>
      <w:divBdr>
        <w:top w:val="none" w:sz="0" w:space="0" w:color="auto"/>
        <w:left w:val="none" w:sz="0" w:space="0" w:color="auto"/>
        <w:bottom w:val="none" w:sz="0" w:space="0" w:color="auto"/>
        <w:right w:val="none" w:sz="0" w:space="0" w:color="auto"/>
      </w:divBdr>
    </w:div>
    <w:div w:id="1644386874">
      <w:bodyDiv w:val="1"/>
      <w:marLeft w:val="0"/>
      <w:marRight w:val="0"/>
      <w:marTop w:val="0"/>
      <w:marBottom w:val="0"/>
      <w:divBdr>
        <w:top w:val="none" w:sz="0" w:space="0" w:color="auto"/>
        <w:left w:val="none" w:sz="0" w:space="0" w:color="auto"/>
        <w:bottom w:val="none" w:sz="0" w:space="0" w:color="auto"/>
        <w:right w:val="none" w:sz="0" w:space="0" w:color="auto"/>
      </w:divBdr>
    </w:div>
    <w:div w:id="1646809638">
      <w:bodyDiv w:val="1"/>
      <w:marLeft w:val="0"/>
      <w:marRight w:val="0"/>
      <w:marTop w:val="0"/>
      <w:marBottom w:val="0"/>
      <w:divBdr>
        <w:top w:val="none" w:sz="0" w:space="0" w:color="auto"/>
        <w:left w:val="none" w:sz="0" w:space="0" w:color="auto"/>
        <w:bottom w:val="none" w:sz="0" w:space="0" w:color="auto"/>
        <w:right w:val="none" w:sz="0" w:space="0" w:color="auto"/>
      </w:divBdr>
    </w:div>
    <w:div w:id="1649941768">
      <w:bodyDiv w:val="1"/>
      <w:marLeft w:val="0"/>
      <w:marRight w:val="0"/>
      <w:marTop w:val="0"/>
      <w:marBottom w:val="0"/>
      <w:divBdr>
        <w:top w:val="none" w:sz="0" w:space="0" w:color="auto"/>
        <w:left w:val="none" w:sz="0" w:space="0" w:color="auto"/>
        <w:bottom w:val="none" w:sz="0" w:space="0" w:color="auto"/>
        <w:right w:val="none" w:sz="0" w:space="0" w:color="auto"/>
      </w:divBdr>
    </w:div>
    <w:div w:id="1650986431">
      <w:bodyDiv w:val="1"/>
      <w:marLeft w:val="0"/>
      <w:marRight w:val="0"/>
      <w:marTop w:val="0"/>
      <w:marBottom w:val="0"/>
      <w:divBdr>
        <w:top w:val="none" w:sz="0" w:space="0" w:color="auto"/>
        <w:left w:val="none" w:sz="0" w:space="0" w:color="auto"/>
        <w:bottom w:val="none" w:sz="0" w:space="0" w:color="auto"/>
        <w:right w:val="none" w:sz="0" w:space="0" w:color="auto"/>
      </w:divBdr>
    </w:div>
    <w:div w:id="1651208184">
      <w:bodyDiv w:val="1"/>
      <w:marLeft w:val="0"/>
      <w:marRight w:val="0"/>
      <w:marTop w:val="0"/>
      <w:marBottom w:val="0"/>
      <w:divBdr>
        <w:top w:val="none" w:sz="0" w:space="0" w:color="auto"/>
        <w:left w:val="none" w:sz="0" w:space="0" w:color="auto"/>
        <w:bottom w:val="none" w:sz="0" w:space="0" w:color="auto"/>
        <w:right w:val="none" w:sz="0" w:space="0" w:color="auto"/>
      </w:divBdr>
    </w:div>
    <w:div w:id="1652245207">
      <w:bodyDiv w:val="1"/>
      <w:marLeft w:val="0"/>
      <w:marRight w:val="0"/>
      <w:marTop w:val="0"/>
      <w:marBottom w:val="0"/>
      <w:divBdr>
        <w:top w:val="none" w:sz="0" w:space="0" w:color="auto"/>
        <w:left w:val="none" w:sz="0" w:space="0" w:color="auto"/>
        <w:bottom w:val="none" w:sz="0" w:space="0" w:color="auto"/>
        <w:right w:val="none" w:sz="0" w:space="0" w:color="auto"/>
      </w:divBdr>
    </w:div>
    <w:div w:id="1658415272">
      <w:bodyDiv w:val="1"/>
      <w:marLeft w:val="0"/>
      <w:marRight w:val="0"/>
      <w:marTop w:val="0"/>
      <w:marBottom w:val="0"/>
      <w:divBdr>
        <w:top w:val="none" w:sz="0" w:space="0" w:color="auto"/>
        <w:left w:val="none" w:sz="0" w:space="0" w:color="auto"/>
        <w:bottom w:val="none" w:sz="0" w:space="0" w:color="auto"/>
        <w:right w:val="none" w:sz="0" w:space="0" w:color="auto"/>
      </w:divBdr>
    </w:div>
    <w:div w:id="1669937324">
      <w:bodyDiv w:val="1"/>
      <w:marLeft w:val="0"/>
      <w:marRight w:val="0"/>
      <w:marTop w:val="0"/>
      <w:marBottom w:val="0"/>
      <w:divBdr>
        <w:top w:val="none" w:sz="0" w:space="0" w:color="auto"/>
        <w:left w:val="none" w:sz="0" w:space="0" w:color="auto"/>
        <w:bottom w:val="none" w:sz="0" w:space="0" w:color="auto"/>
        <w:right w:val="none" w:sz="0" w:space="0" w:color="auto"/>
      </w:divBdr>
    </w:div>
    <w:div w:id="1670062834">
      <w:bodyDiv w:val="1"/>
      <w:marLeft w:val="0"/>
      <w:marRight w:val="0"/>
      <w:marTop w:val="0"/>
      <w:marBottom w:val="0"/>
      <w:divBdr>
        <w:top w:val="none" w:sz="0" w:space="0" w:color="auto"/>
        <w:left w:val="none" w:sz="0" w:space="0" w:color="auto"/>
        <w:bottom w:val="none" w:sz="0" w:space="0" w:color="auto"/>
        <w:right w:val="none" w:sz="0" w:space="0" w:color="auto"/>
      </w:divBdr>
    </w:div>
    <w:div w:id="1684165921">
      <w:bodyDiv w:val="1"/>
      <w:marLeft w:val="0"/>
      <w:marRight w:val="0"/>
      <w:marTop w:val="0"/>
      <w:marBottom w:val="0"/>
      <w:divBdr>
        <w:top w:val="none" w:sz="0" w:space="0" w:color="auto"/>
        <w:left w:val="none" w:sz="0" w:space="0" w:color="auto"/>
        <w:bottom w:val="none" w:sz="0" w:space="0" w:color="auto"/>
        <w:right w:val="none" w:sz="0" w:space="0" w:color="auto"/>
      </w:divBdr>
    </w:div>
    <w:div w:id="1687250651">
      <w:bodyDiv w:val="1"/>
      <w:marLeft w:val="0"/>
      <w:marRight w:val="0"/>
      <w:marTop w:val="0"/>
      <w:marBottom w:val="0"/>
      <w:divBdr>
        <w:top w:val="none" w:sz="0" w:space="0" w:color="auto"/>
        <w:left w:val="none" w:sz="0" w:space="0" w:color="auto"/>
        <w:bottom w:val="none" w:sz="0" w:space="0" w:color="auto"/>
        <w:right w:val="none" w:sz="0" w:space="0" w:color="auto"/>
      </w:divBdr>
    </w:div>
    <w:div w:id="1687946018">
      <w:bodyDiv w:val="1"/>
      <w:marLeft w:val="0"/>
      <w:marRight w:val="0"/>
      <w:marTop w:val="0"/>
      <w:marBottom w:val="0"/>
      <w:divBdr>
        <w:top w:val="none" w:sz="0" w:space="0" w:color="auto"/>
        <w:left w:val="none" w:sz="0" w:space="0" w:color="auto"/>
        <w:bottom w:val="none" w:sz="0" w:space="0" w:color="auto"/>
        <w:right w:val="none" w:sz="0" w:space="0" w:color="auto"/>
      </w:divBdr>
    </w:div>
    <w:div w:id="1697001648">
      <w:bodyDiv w:val="1"/>
      <w:marLeft w:val="0"/>
      <w:marRight w:val="0"/>
      <w:marTop w:val="0"/>
      <w:marBottom w:val="0"/>
      <w:divBdr>
        <w:top w:val="none" w:sz="0" w:space="0" w:color="auto"/>
        <w:left w:val="none" w:sz="0" w:space="0" w:color="auto"/>
        <w:bottom w:val="none" w:sz="0" w:space="0" w:color="auto"/>
        <w:right w:val="none" w:sz="0" w:space="0" w:color="auto"/>
      </w:divBdr>
    </w:div>
    <w:div w:id="1706053205">
      <w:bodyDiv w:val="1"/>
      <w:marLeft w:val="0"/>
      <w:marRight w:val="0"/>
      <w:marTop w:val="0"/>
      <w:marBottom w:val="0"/>
      <w:divBdr>
        <w:top w:val="none" w:sz="0" w:space="0" w:color="auto"/>
        <w:left w:val="none" w:sz="0" w:space="0" w:color="auto"/>
        <w:bottom w:val="none" w:sz="0" w:space="0" w:color="auto"/>
        <w:right w:val="none" w:sz="0" w:space="0" w:color="auto"/>
      </w:divBdr>
    </w:div>
    <w:div w:id="1717653876">
      <w:bodyDiv w:val="1"/>
      <w:marLeft w:val="0"/>
      <w:marRight w:val="0"/>
      <w:marTop w:val="0"/>
      <w:marBottom w:val="0"/>
      <w:divBdr>
        <w:top w:val="none" w:sz="0" w:space="0" w:color="auto"/>
        <w:left w:val="none" w:sz="0" w:space="0" w:color="auto"/>
        <w:bottom w:val="none" w:sz="0" w:space="0" w:color="auto"/>
        <w:right w:val="none" w:sz="0" w:space="0" w:color="auto"/>
      </w:divBdr>
    </w:div>
    <w:div w:id="1730156183">
      <w:bodyDiv w:val="1"/>
      <w:marLeft w:val="0"/>
      <w:marRight w:val="0"/>
      <w:marTop w:val="0"/>
      <w:marBottom w:val="0"/>
      <w:divBdr>
        <w:top w:val="none" w:sz="0" w:space="0" w:color="auto"/>
        <w:left w:val="none" w:sz="0" w:space="0" w:color="auto"/>
        <w:bottom w:val="none" w:sz="0" w:space="0" w:color="auto"/>
        <w:right w:val="none" w:sz="0" w:space="0" w:color="auto"/>
      </w:divBdr>
    </w:div>
    <w:div w:id="1730763346">
      <w:bodyDiv w:val="1"/>
      <w:marLeft w:val="0"/>
      <w:marRight w:val="0"/>
      <w:marTop w:val="0"/>
      <w:marBottom w:val="0"/>
      <w:divBdr>
        <w:top w:val="none" w:sz="0" w:space="0" w:color="auto"/>
        <w:left w:val="none" w:sz="0" w:space="0" w:color="auto"/>
        <w:bottom w:val="none" w:sz="0" w:space="0" w:color="auto"/>
        <w:right w:val="none" w:sz="0" w:space="0" w:color="auto"/>
      </w:divBdr>
    </w:div>
    <w:div w:id="1733387180">
      <w:bodyDiv w:val="1"/>
      <w:marLeft w:val="0"/>
      <w:marRight w:val="0"/>
      <w:marTop w:val="0"/>
      <w:marBottom w:val="0"/>
      <w:divBdr>
        <w:top w:val="none" w:sz="0" w:space="0" w:color="auto"/>
        <w:left w:val="none" w:sz="0" w:space="0" w:color="auto"/>
        <w:bottom w:val="none" w:sz="0" w:space="0" w:color="auto"/>
        <w:right w:val="none" w:sz="0" w:space="0" w:color="auto"/>
      </w:divBdr>
    </w:div>
    <w:div w:id="1734622942">
      <w:bodyDiv w:val="1"/>
      <w:marLeft w:val="0"/>
      <w:marRight w:val="0"/>
      <w:marTop w:val="0"/>
      <w:marBottom w:val="0"/>
      <w:divBdr>
        <w:top w:val="none" w:sz="0" w:space="0" w:color="auto"/>
        <w:left w:val="none" w:sz="0" w:space="0" w:color="auto"/>
        <w:bottom w:val="none" w:sz="0" w:space="0" w:color="auto"/>
        <w:right w:val="none" w:sz="0" w:space="0" w:color="auto"/>
      </w:divBdr>
    </w:div>
    <w:div w:id="1734934785">
      <w:bodyDiv w:val="1"/>
      <w:marLeft w:val="0"/>
      <w:marRight w:val="0"/>
      <w:marTop w:val="0"/>
      <w:marBottom w:val="0"/>
      <w:divBdr>
        <w:top w:val="none" w:sz="0" w:space="0" w:color="auto"/>
        <w:left w:val="none" w:sz="0" w:space="0" w:color="auto"/>
        <w:bottom w:val="none" w:sz="0" w:space="0" w:color="auto"/>
        <w:right w:val="none" w:sz="0" w:space="0" w:color="auto"/>
      </w:divBdr>
    </w:div>
    <w:div w:id="1738170072">
      <w:bodyDiv w:val="1"/>
      <w:marLeft w:val="0"/>
      <w:marRight w:val="0"/>
      <w:marTop w:val="0"/>
      <w:marBottom w:val="0"/>
      <w:divBdr>
        <w:top w:val="none" w:sz="0" w:space="0" w:color="auto"/>
        <w:left w:val="none" w:sz="0" w:space="0" w:color="auto"/>
        <w:bottom w:val="none" w:sz="0" w:space="0" w:color="auto"/>
        <w:right w:val="none" w:sz="0" w:space="0" w:color="auto"/>
      </w:divBdr>
    </w:div>
    <w:div w:id="1743789584">
      <w:bodyDiv w:val="1"/>
      <w:marLeft w:val="0"/>
      <w:marRight w:val="0"/>
      <w:marTop w:val="0"/>
      <w:marBottom w:val="0"/>
      <w:divBdr>
        <w:top w:val="none" w:sz="0" w:space="0" w:color="auto"/>
        <w:left w:val="none" w:sz="0" w:space="0" w:color="auto"/>
        <w:bottom w:val="none" w:sz="0" w:space="0" w:color="auto"/>
        <w:right w:val="none" w:sz="0" w:space="0" w:color="auto"/>
      </w:divBdr>
    </w:div>
    <w:div w:id="1750543728">
      <w:bodyDiv w:val="1"/>
      <w:marLeft w:val="0"/>
      <w:marRight w:val="0"/>
      <w:marTop w:val="0"/>
      <w:marBottom w:val="0"/>
      <w:divBdr>
        <w:top w:val="none" w:sz="0" w:space="0" w:color="auto"/>
        <w:left w:val="none" w:sz="0" w:space="0" w:color="auto"/>
        <w:bottom w:val="none" w:sz="0" w:space="0" w:color="auto"/>
        <w:right w:val="none" w:sz="0" w:space="0" w:color="auto"/>
      </w:divBdr>
    </w:div>
    <w:div w:id="1753038756">
      <w:bodyDiv w:val="1"/>
      <w:marLeft w:val="0"/>
      <w:marRight w:val="0"/>
      <w:marTop w:val="0"/>
      <w:marBottom w:val="0"/>
      <w:divBdr>
        <w:top w:val="none" w:sz="0" w:space="0" w:color="auto"/>
        <w:left w:val="none" w:sz="0" w:space="0" w:color="auto"/>
        <w:bottom w:val="none" w:sz="0" w:space="0" w:color="auto"/>
        <w:right w:val="none" w:sz="0" w:space="0" w:color="auto"/>
      </w:divBdr>
    </w:div>
    <w:div w:id="1758868649">
      <w:bodyDiv w:val="1"/>
      <w:marLeft w:val="0"/>
      <w:marRight w:val="0"/>
      <w:marTop w:val="0"/>
      <w:marBottom w:val="0"/>
      <w:divBdr>
        <w:top w:val="none" w:sz="0" w:space="0" w:color="auto"/>
        <w:left w:val="none" w:sz="0" w:space="0" w:color="auto"/>
        <w:bottom w:val="none" w:sz="0" w:space="0" w:color="auto"/>
        <w:right w:val="none" w:sz="0" w:space="0" w:color="auto"/>
      </w:divBdr>
    </w:div>
    <w:div w:id="1761368993">
      <w:bodyDiv w:val="1"/>
      <w:marLeft w:val="0"/>
      <w:marRight w:val="0"/>
      <w:marTop w:val="0"/>
      <w:marBottom w:val="0"/>
      <w:divBdr>
        <w:top w:val="none" w:sz="0" w:space="0" w:color="auto"/>
        <w:left w:val="none" w:sz="0" w:space="0" w:color="auto"/>
        <w:bottom w:val="none" w:sz="0" w:space="0" w:color="auto"/>
        <w:right w:val="none" w:sz="0" w:space="0" w:color="auto"/>
      </w:divBdr>
    </w:div>
    <w:div w:id="1771972988">
      <w:bodyDiv w:val="1"/>
      <w:marLeft w:val="0"/>
      <w:marRight w:val="0"/>
      <w:marTop w:val="0"/>
      <w:marBottom w:val="0"/>
      <w:divBdr>
        <w:top w:val="none" w:sz="0" w:space="0" w:color="auto"/>
        <w:left w:val="none" w:sz="0" w:space="0" w:color="auto"/>
        <w:bottom w:val="none" w:sz="0" w:space="0" w:color="auto"/>
        <w:right w:val="none" w:sz="0" w:space="0" w:color="auto"/>
      </w:divBdr>
    </w:div>
    <w:div w:id="1774084830">
      <w:bodyDiv w:val="1"/>
      <w:marLeft w:val="0"/>
      <w:marRight w:val="0"/>
      <w:marTop w:val="0"/>
      <w:marBottom w:val="0"/>
      <w:divBdr>
        <w:top w:val="none" w:sz="0" w:space="0" w:color="auto"/>
        <w:left w:val="none" w:sz="0" w:space="0" w:color="auto"/>
        <w:bottom w:val="none" w:sz="0" w:space="0" w:color="auto"/>
        <w:right w:val="none" w:sz="0" w:space="0" w:color="auto"/>
      </w:divBdr>
    </w:div>
    <w:div w:id="1775855050">
      <w:bodyDiv w:val="1"/>
      <w:marLeft w:val="0"/>
      <w:marRight w:val="0"/>
      <w:marTop w:val="0"/>
      <w:marBottom w:val="0"/>
      <w:divBdr>
        <w:top w:val="none" w:sz="0" w:space="0" w:color="auto"/>
        <w:left w:val="none" w:sz="0" w:space="0" w:color="auto"/>
        <w:bottom w:val="none" w:sz="0" w:space="0" w:color="auto"/>
        <w:right w:val="none" w:sz="0" w:space="0" w:color="auto"/>
      </w:divBdr>
    </w:div>
    <w:div w:id="1782266346">
      <w:bodyDiv w:val="1"/>
      <w:marLeft w:val="0"/>
      <w:marRight w:val="0"/>
      <w:marTop w:val="0"/>
      <w:marBottom w:val="0"/>
      <w:divBdr>
        <w:top w:val="none" w:sz="0" w:space="0" w:color="auto"/>
        <w:left w:val="none" w:sz="0" w:space="0" w:color="auto"/>
        <w:bottom w:val="none" w:sz="0" w:space="0" w:color="auto"/>
        <w:right w:val="none" w:sz="0" w:space="0" w:color="auto"/>
      </w:divBdr>
    </w:div>
    <w:div w:id="1784763917">
      <w:bodyDiv w:val="1"/>
      <w:marLeft w:val="0"/>
      <w:marRight w:val="0"/>
      <w:marTop w:val="0"/>
      <w:marBottom w:val="0"/>
      <w:divBdr>
        <w:top w:val="none" w:sz="0" w:space="0" w:color="auto"/>
        <w:left w:val="none" w:sz="0" w:space="0" w:color="auto"/>
        <w:bottom w:val="none" w:sz="0" w:space="0" w:color="auto"/>
        <w:right w:val="none" w:sz="0" w:space="0" w:color="auto"/>
      </w:divBdr>
    </w:div>
    <w:div w:id="1788237756">
      <w:bodyDiv w:val="1"/>
      <w:marLeft w:val="0"/>
      <w:marRight w:val="0"/>
      <w:marTop w:val="0"/>
      <w:marBottom w:val="0"/>
      <w:divBdr>
        <w:top w:val="none" w:sz="0" w:space="0" w:color="auto"/>
        <w:left w:val="none" w:sz="0" w:space="0" w:color="auto"/>
        <w:bottom w:val="none" w:sz="0" w:space="0" w:color="auto"/>
        <w:right w:val="none" w:sz="0" w:space="0" w:color="auto"/>
      </w:divBdr>
    </w:div>
    <w:div w:id="1790195782">
      <w:bodyDiv w:val="1"/>
      <w:marLeft w:val="0"/>
      <w:marRight w:val="0"/>
      <w:marTop w:val="0"/>
      <w:marBottom w:val="0"/>
      <w:divBdr>
        <w:top w:val="none" w:sz="0" w:space="0" w:color="auto"/>
        <w:left w:val="none" w:sz="0" w:space="0" w:color="auto"/>
        <w:bottom w:val="none" w:sz="0" w:space="0" w:color="auto"/>
        <w:right w:val="none" w:sz="0" w:space="0" w:color="auto"/>
      </w:divBdr>
    </w:div>
    <w:div w:id="180126597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1441904">
      <w:bodyDiv w:val="1"/>
      <w:marLeft w:val="0"/>
      <w:marRight w:val="0"/>
      <w:marTop w:val="0"/>
      <w:marBottom w:val="0"/>
      <w:divBdr>
        <w:top w:val="none" w:sz="0" w:space="0" w:color="auto"/>
        <w:left w:val="none" w:sz="0" w:space="0" w:color="auto"/>
        <w:bottom w:val="none" w:sz="0" w:space="0" w:color="auto"/>
        <w:right w:val="none" w:sz="0" w:space="0" w:color="auto"/>
      </w:divBdr>
    </w:div>
    <w:div w:id="1818179240">
      <w:bodyDiv w:val="1"/>
      <w:marLeft w:val="0"/>
      <w:marRight w:val="0"/>
      <w:marTop w:val="0"/>
      <w:marBottom w:val="0"/>
      <w:divBdr>
        <w:top w:val="none" w:sz="0" w:space="0" w:color="auto"/>
        <w:left w:val="none" w:sz="0" w:space="0" w:color="auto"/>
        <w:bottom w:val="none" w:sz="0" w:space="0" w:color="auto"/>
        <w:right w:val="none" w:sz="0" w:space="0" w:color="auto"/>
      </w:divBdr>
    </w:div>
    <w:div w:id="1821463671">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3740392">
      <w:bodyDiv w:val="1"/>
      <w:marLeft w:val="0"/>
      <w:marRight w:val="0"/>
      <w:marTop w:val="0"/>
      <w:marBottom w:val="0"/>
      <w:divBdr>
        <w:top w:val="none" w:sz="0" w:space="0" w:color="auto"/>
        <w:left w:val="none" w:sz="0" w:space="0" w:color="auto"/>
        <w:bottom w:val="none" w:sz="0" w:space="0" w:color="auto"/>
        <w:right w:val="none" w:sz="0" w:space="0" w:color="auto"/>
      </w:divBdr>
    </w:div>
    <w:div w:id="1826121660">
      <w:bodyDiv w:val="1"/>
      <w:marLeft w:val="0"/>
      <w:marRight w:val="0"/>
      <w:marTop w:val="0"/>
      <w:marBottom w:val="0"/>
      <w:divBdr>
        <w:top w:val="none" w:sz="0" w:space="0" w:color="auto"/>
        <w:left w:val="none" w:sz="0" w:space="0" w:color="auto"/>
        <w:bottom w:val="none" w:sz="0" w:space="0" w:color="auto"/>
        <w:right w:val="none" w:sz="0" w:space="0" w:color="auto"/>
      </w:divBdr>
    </w:div>
    <w:div w:id="1829637853">
      <w:bodyDiv w:val="1"/>
      <w:marLeft w:val="0"/>
      <w:marRight w:val="0"/>
      <w:marTop w:val="0"/>
      <w:marBottom w:val="0"/>
      <w:divBdr>
        <w:top w:val="none" w:sz="0" w:space="0" w:color="auto"/>
        <w:left w:val="none" w:sz="0" w:space="0" w:color="auto"/>
        <w:bottom w:val="none" w:sz="0" w:space="0" w:color="auto"/>
        <w:right w:val="none" w:sz="0" w:space="0" w:color="auto"/>
      </w:divBdr>
    </w:div>
    <w:div w:id="1834249190">
      <w:bodyDiv w:val="1"/>
      <w:marLeft w:val="0"/>
      <w:marRight w:val="0"/>
      <w:marTop w:val="0"/>
      <w:marBottom w:val="0"/>
      <w:divBdr>
        <w:top w:val="none" w:sz="0" w:space="0" w:color="auto"/>
        <w:left w:val="none" w:sz="0" w:space="0" w:color="auto"/>
        <w:bottom w:val="none" w:sz="0" w:space="0" w:color="auto"/>
        <w:right w:val="none" w:sz="0" w:space="0" w:color="auto"/>
      </w:divBdr>
    </w:div>
    <w:div w:id="1855267153">
      <w:bodyDiv w:val="1"/>
      <w:marLeft w:val="0"/>
      <w:marRight w:val="0"/>
      <w:marTop w:val="0"/>
      <w:marBottom w:val="0"/>
      <w:divBdr>
        <w:top w:val="none" w:sz="0" w:space="0" w:color="auto"/>
        <w:left w:val="none" w:sz="0" w:space="0" w:color="auto"/>
        <w:bottom w:val="none" w:sz="0" w:space="0" w:color="auto"/>
        <w:right w:val="none" w:sz="0" w:space="0" w:color="auto"/>
      </w:divBdr>
    </w:div>
    <w:div w:id="1855684084">
      <w:bodyDiv w:val="1"/>
      <w:marLeft w:val="0"/>
      <w:marRight w:val="0"/>
      <w:marTop w:val="0"/>
      <w:marBottom w:val="0"/>
      <w:divBdr>
        <w:top w:val="none" w:sz="0" w:space="0" w:color="auto"/>
        <w:left w:val="none" w:sz="0" w:space="0" w:color="auto"/>
        <w:bottom w:val="none" w:sz="0" w:space="0" w:color="auto"/>
        <w:right w:val="none" w:sz="0" w:space="0" w:color="auto"/>
      </w:divBdr>
    </w:div>
    <w:div w:id="1857117373">
      <w:bodyDiv w:val="1"/>
      <w:marLeft w:val="0"/>
      <w:marRight w:val="0"/>
      <w:marTop w:val="0"/>
      <w:marBottom w:val="0"/>
      <w:divBdr>
        <w:top w:val="none" w:sz="0" w:space="0" w:color="auto"/>
        <w:left w:val="none" w:sz="0" w:space="0" w:color="auto"/>
        <w:bottom w:val="none" w:sz="0" w:space="0" w:color="auto"/>
        <w:right w:val="none" w:sz="0" w:space="0" w:color="auto"/>
      </w:divBdr>
    </w:div>
    <w:div w:id="1864321120">
      <w:bodyDiv w:val="1"/>
      <w:marLeft w:val="0"/>
      <w:marRight w:val="0"/>
      <w:marTop w:val="0"/>
      <w:marBottom w:val="0"/>
      <w:divBdr>
        <w:top w:val="none" w:sz="0" w:space="0" w:color="auto"/>
        <w:left w:val="none" w:sz="0" w:space="0" w:color="auto"/>
        <w:bottom w:val="none" w:sz="0" w:space="0" w:color="auto"/>
        <w:right w:val="none" w:sz="0" w:space="0" w:color="auto"/>
      </w:divBdr>
    </w:div>
    <w:div w:id="1865703747">
      <w:bodyDiv w:val="1"/>
      <w:marLeft w:val="0"/>
      <w:marRight w:val="0"/>
      <w:marTop w:val="0"/>
      <w:marBottom w:val="0"/>
      <w:divBdr>
        <w:top w:val="none" w:sz="0" w:space="0" w:color="auto"/>
        <w:left w:val="none" w:sz="0" w:space="0" w:color="auto"/>
        <w:bottom w:val="none" w:sz="0" w:space="0" w:color="auto"/>
        <w:right w:val="none" w:sz="0" w:space="0" w:color="auto"/>
      </w:divBdr>
    </w:div>
    <w:div w:id="1866628608">
      <w:bodyDiv w:val="1"/>
      <w:marLeft w:val="0"/>
      <w:marRight w:val="0"/>
      <w:marTop w:val="0"/>
      <w:marBottom w:val="0"/>
      <w:divBdr>
        <w:top w:val="none" w:sz="0" w:space="0" w:color="auto"/>
        <w:left w:val="none" w:sz="0" w:space="0" w:color="auto"/>
        <w:bottom w:val="none" w:sz="0" w:space="0" w:color="auto"/>
        <w:right w:val="none" w:sz="0" w:space="0" w:color="auto"/>
      </w:divBdr>
    </w:div>
    <w:div w:id="1866938672">
      <w:bodyDiv w:val="1"/>
      <w:marLeft w:val="0"/>
      <w:marRight w:val="0"/>
      <w:marTop w:val="0"/>
      <w:marBottom w:val="0"/>
      <w:divBdr>
        <w:top w:val="none" w:sz="0" w:space="0" w:color="auto"/>
        <w:left w:val="none" w:sz="0" w:space="0" w:color="auto"/>
        <w:bottom w:val="none" w:sz="0" w:space="0" w:color="auto"/>
        <w:right w:val="none" w:sz="0" w:space="0" w:color="auto"/>
      </w:divBdr>
    </w:div>
    <w:div w:id="1876650499">
      <w:bodyDiv w:val="1"/>
      <w:marLeft w:val="0"/>
      <w:marRight w:val="0"/>
      <w:marTop w:val="0"/>
      <w:marBottom w:val="0"/>
      <w:divBdr>
        <w:top w:val="none" w:sz="0" w:space="0" w:color="auto"/>
        <w:left w:val="none" w:sz="0" w:space="0" w:color="auto"/>
        <w:bottom w:val="none" w:sz="0" w:space="0" w:color="auto"/>
        <w:right w:val="none" w:sz="0" w:space="0" w:color="auto"/>
      </w:divBdr>
    </w:div>
    <w:div w:id="1877160278">
      <w:bodyDiv w:val="1"/>
      <w:marLeft w:val="0"/>
      <w:marRight w:val="0"/>
      <w:marTop w:val="0"/>
      <w:marBottom w:val="0"/>
      <w:divBdr>
        <w:top w:val="none" w:sz="0" w:space="0" w:color="auto"/>
        <w:left w:val="none" w:sz="0" w:space="0" w:color="auto"/>
        <w:bottom w:val="none" w:sz="0" w:space="0" w:color="auto"/>
        <w:right w:val="none" w:sz="0" w:space="0" w:color="auto"/>
      </w:divBdr>
    </w:div>
    <w:div w:id="1880118232">
      <w:bodyDiv w:val="1"/>
      <w:marLeft w:val="0"/>
      <w:marRight w:val="0"/>
      <w:marTop w:val="0"/>
      <w:marBottom w:val="0"/>
      <w:divBdr>
        <w:top w:val="none" w:sz="0" w:space="0" w:color="auto"/>
        <w:left w:val="none" w:sz="0" w:space="0" w:color="auto"/>
        <w:bottom w:val="none" w:sz="0" w:space="0" w:color="auto"/>
        <w:right w:val="none" w:sz="0" w:space="0" w:color="auto"/>
      </w:divBdr>
    </w:div>
    <w:div w:id="1881279001">
      <w:bodyDiv w:val="1"/>
      <w:marLeft w:val="0"/>
      <w:marRight w:val="0"/>
      <w:marTop w:val="0"/>
      <w:marBottom w:val="0"/>
      <w:divBdr>
        <w:top w:val="none" w:sz="0" w:space="0" w:color="auto"/>
        <w:left w:val="none" w:sz="0" w:space="0" w:color="auto"/>
        <w:bottom w:val="none" w:sz="0" w:space="0" w:color="auto"/>
        <w:right w:val="none" w:sz="0" w:space="0" w:color="auto"/>
      </w:divBdr>
    </w:div>
    <w:div w:id="1885753218">
      <w:bodyDiv w:val="1"/>
      <w:marLeft w:val="0"/>
      <w:marRight w:val="0"/>
      <w:marTop w:val="0"/>
      <w:marBottom w:val="0"/>
      <w:divBdr>
        <w:top w:val="none" w:sz="0" w:space="0" w:color="auto"/>
        <w:left w:val="none" w:sz="0" w:space="0" w:color="auto"/>
        <w:bottom w:val="none" w:sz="0" w:space="0" w:color="auto"/>
        <w:right w:val="none" w:sz="0" w:space="0" w:color="auto"/>
      </w:divBdr>
    </w:div>
    <w:div w:id="1891724135">
      <w:bodyDiv w:val="1"/>
      <w:marLeft w:val="0"/>
      <w:marRight w:val="0"/>
      <w:marTop w:val="0"/>
      <w:marBottom w:val="0"/>
      <w:divBdr>
        <w:top w:val="none" w:sz="0" w:space="0" w:color="auto"/>
        <w:left w:val="none" w:sz="0" w:space="0" w:color="auto"/>
        <w:bottom w:val="none" w:sz="0" w:space="0" w:color="auto"/>
        <w:right w:val="none" w:sz="0" w:space="0" w:color="auto"/>
      </w:divBdr>
    </w:div>
    <w:div w:id="1904097695">
      <w:bodyDiv w:val="1"/>
      <w:marLeft w:val="0"/>
      <w:marRight w:val="0"/>
      <w:marTop w:val="0"/>
      <w:marBottom w:val="0"/>
      <w:divBdr>
        <w:top w:val="none" w:sz="0" w:space="0" w:color="auto"/>
        <w:left w:val="none" w:sz="0" w:space="0" w:color="auto"/>
        <w:bottom w:val="none" w:sz="0" w:space="0" w:color="auto"/>
        <w:right w:val="none" w:sz="0" w:space="0" w:color="auto"/>
      </w:divBdr>
    </w:div>
    <w:div w:id="1913273196">
      <w:bodyDiv w:val="1"/>
      <w:marLeft w:val="0"/>
      <w:marRight w:val="0"/>
      <w:marTop w:val="0"/>
      <w:marBottom w:val="0"/>
      <w:divBdr>
        <w:top w:val="none" w:sz="0" w:space="0" w:color="auto"/>
        <w:left w:val="none" w:sz="0" w:space="0" w:color="auto"/>
        <w:bottom w:val="none" w:sz="0" w:space="0" w:color="auto"/>
        <w:right w:val="none" w:sz="0" w:space="0" w:color="auto"/>
      </w:divBdr>
    </w:div>
    <w:div w:id="1922374168">
      <w:bodyDiv w:val="1"/>
      <w:marLeft w:val="0"/>
      <w:marRight w:val="0"/>
      <w:marTop w:val="0"/>
      <w:marBottom w:val="0"/>
      <w:divBdr>
        <w:top w:val="none" w:sz="0" w:space="0" w:color="auto"/>
        <w:left w:val="none" w:sz="0" w:space="0" w:color="auto"/>
        <w:bottom w:val="none" w:sz="0" w:space="0" w:color="auto"/>
        <w:right w:val="none" w:sz="0" w:space="0" w:color="auto"/>
      </w:divBdr>
    </w:div>
    <w:div w:id="1931961620">
      <w:bodyDiv w:val="1"/>
      <w:marLeft w:val="0"/>
      <w:marRight w:val="0"/>
      <w:marTop w:val="0"/>
      <w:marBottom w:val="0"/>
      <w:divBdr>
        <w:top w:val="none" w:sz="0" w:space="0" w:color="auto"/>
        <w:left w:val="none" w:sz="0" w:space="0" w:color="auto"/>
        <w:bottom w:val="none" w:sz="0" w:space="0" w:color="auto"/>
        <w:right w:val="none" w:sz="0" w:space="0" w:color="auto"/>
      </w:divBdr>
    </w:div>
    <w:div w:id="1936861958">
      <w:bodyDiv w:val="1"/>
      <w:marLeft w:val="0"/>
      <w:marRight w:val="0"/>
      <w:marTop w:val="0"/>
      <w:marBottom w:val="0"/>
      <w:divBdr>
        <w:top w:val="none" w:sz="0" w:space="0" w:color="auto"/>
        <w:left w:val="none" w:sz="0" w:space="0" w:color="auto"/>
        <w:bottom w:val="none" w:sz="0" w:space="0" w:color="auto"/>
        <w:right w:val="none" w:sz="0" w:space="0" w:color="auto"/>
      </w:divBdr>
    </w:div>
    <w:div w:id="1940143387">
      <w:bodyDiv w:val="1"/>
      <w:marLeft w:val="0"/>
      <w:marRight w:val="0"/>
      <w:marTop w:val="0"/>
      <w:marBottom w:val="0"/>
      <w:divBdr>
        <w:top w:val="none" w:sz="0" w:space="0" w:color="auto"/>
        <w:left w:val="none" w:sz="0" w:space="0" w:color="auto"/>
        <w:bottom w:val="none" w:sz="0" w:space="0" w:color="auto"/>
        <w:right w:val="none" w:sz="0" w:space="0" w:color="auto"/>
      </w:divBdr>
    </w:div>
    <w:div w:id="1945380023">
      <w:bodyDiv w:val="1"/>
      <w:marLeft w:val="0"/>
      <w:marRight w:val="0"/>
      <w:marTop w:val="0"/>
      <w:marBottom w:val="0"/>
      <w:divBdr>
        <w:top w:val="none" w:sz="0" w:space="0" w:color="auto"/>
        <w:left w:val="none" w:sz="0" w:space="0" w:color="auto"/>
        <w:bottom w:val="none" w:sz="0" w:space="0" w:color="auto"/>
        <w:right w:val="none" w:sz="0" w:space="0" w:color="auto"/>
      </w:divBdr>
    </w:div>
    <w:div w:id="1946578291">
      <w:bodyDiv w:val="1"/>
      <w:marLeft w:val="0"/>
      <w:marRight w:val="0"/>
      <w:marTop w:val="0"/>
      <w:marBottom w:val="0"/>
      <w:divBdr>
        <w:top w:val="none" w:sz="0" w:space="0" w:color="auto"/>
        <w:left w:val="none" w:sz="0" w:space="0" w:color="auto"/>
        <w:bottom w:val="none" w:sz="0" w:space="0" w:color="auto"/>
        <w:right w:val="none" w:sz="0" w:space="0" w:color="auto"/>
      </w:divBdr>
    </w:div>
    <w:div w:id="1952279344">
      <w:bodyDiv w:val="1"/>
      <w:marLeft w:val="0"/>
      <w:marRight w:val="0"/>
      <w:marTop w:val="0"/>
      <w:marBottom w:val="0"/>
      <w:divBdr>
        <w:top w:val="none" w:sz="0" w:space="0" w:color="auto"/>
        <w:left w:val="none" w:sz="0" w:space="0" w:color="auto"/>
        <w:bottom w:val="none" w:sz="0" w:space="0" w:color="auto"/>
        <w:right w:val="none" w:sz="0" w:space="0" w:color="auto"/>
      </w:divBdr>
    </w:div>
    <w:div w:id="1954634086">
      <w:bodyDiv w:val="1"/>
      <w:marLeft w:val="0"/>
      <w:marRight w:val="0"/>
      <w:marTop w:val="0"/>
      <w:marBottom w:val="0"/>
      <w:divBdr>
        <w:top w:val="none" w:sz="0" w:space="0" w:color="auto"/>
        <w:left w:val="none" w:sz="0" w:space="0" w:color="auto"/>
        <w:bottom w:val="none" w:sz="0" w:space="0" w:color="auto"/>
        <w:right w:val="none" w:sz="0" w:space="0" w:color="auto"/>
      </w:divBdr>
    </w:div>
    <w:div w:id="1969822881">
      <w:bodyDiv w:val="1"/>
      <w:marLeft w:val="0"/>
      <w:marRight w:val="0"/>
      <w:marTop w:val="0"/>
      <w:marBottom w:val="0"/>
      <w:divBdr>
        <w:top w:val="none" w:sz="0" w:space="0" w:color="auto"/>
        <w:left w:val="none" w:sz="0" w:space="0" w:color="auto"/>
        <w:bottom w:val="none" w:sz="0" w:space="0" w:color="auto"/>
        <w:right w:val="none" w:sz="0" w:space="0" w:color="auto"/>
      </w:divBdr>
    </w:div>
    <w:div w:id="1970088097">
      <w:bodyDiv w:val="1"/>
      <w:marLeft w:val="0"/>
      <w:marRight w:val="0"/>
      <w:marTop w:val="0"/>
      <w:marBottom w:val="0"/>
      <w:divBdr>
        <w:top w:val="none" w:sz="0" w:space="0" w:color="auto"/>
        <w:left w:val="none" w:sz="0" w:space="0" w:color="auto"/>
        <w:bottom w:val="none" w:sz="0" w:space="0" w:color="auto"/>
        <w:right w:val="none" w:sz="0" w:space="0" w:color="auto"/>
      </w:divBdr>
    </w:div>
    <w:div w:id="1970284172">
      <w:bodyDiv w:val="1"/>
      <w:marLeft w:val="0"/>
      <w:marRight w:val="0"/>
      <w:marTop w:val="0"/>
      <w:marBottom w:val="0"/>
      <w:divBdr>
        <w:top w:val="none" w:sz="0" w:space="0" w:color="auto"/>
        <w:left w:val="none" w:sz="0" w:space="0" w:color="auto"/>
        <w:bottom w:val="none" w:sz="0" w:space="0" w:color="auto"/>
        <w:right w:val="none" w:sz="0" w:space="0" w:color="auto"/>
      </w:divBdr>
    </w:div>
    <w:div w:id="1972057777">
      <w:bodyDiv w:val="1"/>
      <w:marLeft w:val="0"/>
      <w:marRight w:val="0"/>
      <w:marTop w:val="0"/>
      <w:marBottom w:val="0"/>
      <w:divBdr>
        <w:top w:val="none" w:sz="0" w:space="0" w:color="auto"/>
        <w:left w:val="none" w:sz="0" w:space="0" w:color="auto"/>
        <w:bottom w:val="none" w:sz="0" w:space="0" w:color="auto"/>
        <w:right w:val="none" w:sz="0" w:space="0" w:color="auto"/>
      </w:divBdr>
    </w:div>
    <w:div w:id="1973553167">
      <w:bodyDiv w:val="1"/>
      <w:marLeft w:val="0"/>
      <w:marRight w:val="0"/>
      <w:marTop w:val="0"/>
      <w:marBottom w:val="0"/>
      <w:divBdr>
        <w:top w:val="none" w:sz="0" w:space="0" w:color="auto"/>
        <w:left w:val="none" w:sz="0" w:space="0" w:color="auto"/>
        <w:bottom w:val="none" w:sz="0" w:space="0" w:color="auto"/>
        <w:right w:val="none" w:sz="0" w:space="0" w:color="auto"/>
      </w:divBdr>
    </w:div>
    <w:div w:id="1980529230">
      <w:bodyDiv w:val="1"/>
      <w:marLeft w:val="0"/>
      <w:marRight w:val="0"/>
      <w:marTop w:val="0"/>
      <w:marBottom w:val="0"/>
      <w:divBdr>
        <w:top w:val="none" w:sz="0" w:space="0" w:color="auto"/>
        <w:left w:val="none" w:sz="0" w:space="0" w:color="auto"/>
        <w:bottom w:val="none" w:sz="0" w:space="0" w:color="auto"/>
        <w:right w:val="none" w:sz="0" w:space="0" w:color="auto"/>
      </w:divBdr>
    </w:div>
    <w:div w:id="1980646344">
      <w:bodyDiv w:val="1"/>
      <w:marLeft w:val="0"/>
      <w:marRight w:val="0"/>
      <w:marTop w:val="0"/>
      <w:marBottom w:val="0"/>
      <w:divBdr>
        <w:top w:val="none" w:sz="0" w:space="0" w:color="auto"/>
        <w:left w:val="none" w:sz="0" w:space="0" w:color="auto"/>
        <w:bottom w:val="none" w:sz="0" w:space="0" w:color="auto"/>
        <w:right w:val="none" w:sz="0" w:space="0" w:color="auto"/>
      </w:divBdr>
    </w:div>
    <w:div w:id="1983264747">
      <w:bodyDiv w:val="1"/>
      <w:marLeft w:val="0"/>
      <w:marRight w:val="0"/>
      <w:marTop w:val="0"/>
      <w:marBottom w:val="0"/>
      <w:divBdr>
        <w:top w:val="none" w:sz="0" w:space="0" w:color="auto"/>
        <w:left w:val="none" w:sz="0" w:space="0" w:color="auto"/>
        <w:bottom w:val="none" w:sz="0" w:space="0" w:color="auto"/>
        <w:right w:val="none" w:sz="0" w:space="0" w:color="auto"/>
      </w:divBdr>
    </w:div>
    <w:div w:id="1983803447">
      <w:bodyDiv w:val="1"/>
      <w:marLeft w:val="0"/>
      <w:marRight w:val="0"/>
      <w:marTop w:val="0"/>
      <w:marBottom w:val="0"/>
      <w:divBdr>
        <w:top w:val="none" w:sz="0" w:space="0" w:color="auto"/>
        <w:left w:val="none" w:sz="0" w:space="0" w:color="auto"/>
        <w:bottom w:val="none" w:sz="0" w:space="0" w:color="auto"/>
        <w:right w:val="none" w:sz="0" w:space="0" w:color="auto"/>
      </w:divBdr>
    </w:div>
    <w:div w:id="1996451735">
      <w:bodyDiv w:val="1"/>
      <w:marLeft w:val="0"/>
      <w:marRight w:val="0"/>
      <w:marTop w:val="0"/>
      <w:marBottom w:val="0"/>
      <w:divBdr>
        <w:top w:val="none" w:sz="0" w:space="0" w:color="auto"/>
        <w:left w:val="none" w:sz="0" w:space="0" w:color="auto"/>
        <w:bottom w:val="none" w:sz="0" w:space="0" w:color="auto"/>
        <w:right w:val="none" w:sz="0" w:space="0" w:color="auto"/>
      </w:divBdr>
    </w:div>
    <w:div w:id="2007317050">
      <w:bodyDiv w:val="1"/>
      <w:marLeft w:val="0"/>
      <w:marRight w:val="0"/>
      <w:marTop w:val="0"/>
      <w:marBottom w:val="0"/>
      <w:divBdr>
        <w:top w:val="none" w:sz="0" w:space="0" w:color="auto"/>
        <w:left w:val="none" w:sz="0" w:space="0" w:color="auto"/>
        <w:bottom w:val="none" w:sz="0" w:space="0" w:color="auto"/>
        <w:right w:val="none" w:sz="0" w:space="0" w:color="auto"/>
      </w:divBdr>
    </w:div>
    <w:div w:id="2020964189">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6319551">
      <w:bodyDiv w:val="1"/>
      <w:marLeft w:val="0"/>
      <w:marRight w:val="0"/>
      <w:marTop w:val="0"/>
      <w:marBottom w:val="0"/>
      <w:divBdr>
        <w:top w:val="none" w:sz="0" w:space="0" w:color="auto"/>
        <w:left w:val="none" w:sz="0" w:space="0" w:color="auto"/>
        <w:bottom w:val="none" w:sz="0" w:space="0" w:color="auto"/>
        <w:right w:val="none" w:sz="0" w:space="0" w:color="auto"/>
      </w:divBdr>
    </w:div>
    <w:div w:id="2035690577">
      <w:bodyDiv w:val="1"/>
      <w:marLeft w:val="0"/>
      <w:marRight w:val="0"/>
      <w:marTop w:val="0"/>
      <w:marBottom w:val="0"/>
      <w:divBdr>
        <w:top w:val="none" w:sz="0" w:space="0" w:color="auto"/>
        <w:left w:val="none" w:sz="0" w:space="0" w:color="auto"/>
        <w:bottom w:val="none" w:sz="0" w:space="0" w:color="auto"/>
        <w:right w:val="none" w:sz="0" w:space="0" w:color="auto"/>
      </w:divBdr>
    </w:div>
    <w:div w:id="2036811824">
      <w:bodyDiv w:val="1"/>
      <w:marLeft w:val="0"/>
      <w:marRight w:val="0"/>
      <w:marTop w:val="0"/>
      <w:marBottom w:val="0"/>
      <w:divBdr>
        <w:top w:val="none" w:sz="0" w:space="0" w:color="auto"/>
        <w:left w:val="none" w:sz="0" w:space="0" w:color="auto"/>
        <w:bottom w:val="none" w:sz="0" w:space="0" w:color="auto"/>
        <w:right w:val="none" w:sz="0" w:space="0" w:color="auto"/>
      </w:divBdr>
    </w:div>
    <w:div w:id="2040161239">
      <w:bodyDiv w:val="1"/>
      <w:marLeft w:val="0"/>
      <w:marRight w:val="0"/>
      <w:marTop w:val="0"/>
      <w:marBottom w:val="0"/>
      <w:divBdr>
        <w:top w:val="none" w:sz="0" w:space="0" w:color="auto"/>
        <w:left w:val="none" w:sz="0" w:space="0" w:color="auto"/>
        <w:bottom w:val="none" w:sz="0" w:space="0" w:color="auto"/>
        <w:right w:val="none" w:sz="0" w:space="0" w:color="auto"/>
      </w:divBdr>
    </w:div>
    <w:div w:id="2047174526">
      <w:bodyDiv w:val="1"/>
      <w:marLeft w:val="0"/>
      <w:marRight w:val="0"/>
      <w:marTop w:val="0"/>
      <w:marBottom w:val="0"/>
      <w:divBdr>
        <w:top w:val="none" w:sz="0" w:space="0" w:color="auto"/>
        <w:left w:val="none" w:sz="0" w:space="0" w:color="auto"/>
        <w:bottom w:val="none" w:sz="0" w:space="0" w:color="auto"/>
        <w:right w:val="none" w:sz="0" w:space="0" w:color="auto"/>
      </w:divBdr>
    </w:div>
    <w:div w:id="2048871450">
      <w:bodyDiv w:val="1"/>
      <w:marLeft w:val="0"/>
      <w:marRight w:val="0"/>
      <w:marTop w:val="0"/>
      <w:marBottom w:val="0"/>
      <w:divBdr>
        <w:top w:val="none" w:sz="0" w:space="0" w:color="auto"/>
        <w:left w:val="none" w:sz="0" w:space="0" w:color="auto"/>
        <w:bottom w:val="none" w:sz="0" w:space="0" w:color="auto"/>
        <w:right w:val="none" w:sz="0" w:space="0" w:color="auto"/>
      </w:divBdr>
    </w:div>
    <w:div w:id="2050756876">
      <w:bodyDiv w:val="1"/>
      <w:marLeft w:val="0"/>
      <w:marRight w:val="0"/>
      <w:marTop w:val="0"/>
      <w:marBottom w:val="0"/>
      <w:divBdr>
        <w:top w:val="none" w:sz="0" w:space="0" w:color="auto"/>
        <w:left w:val="none" w:sz="0" w:space="0" w:color="auto"/>
        <w:bottom w:val="none" w:sz="0" w:space="0" w:color="auto"/>
        <w:right w:val="none" w:sz="0" w:space="0" w:color="auto"/>
      </w:divBdr>
    </w:div>
    <w:div w:id="2054112271">
      <w:bodyDiv w:val="1"/>
      <w:marLeft w:val="0"/>
      <w:marRight w:val="0"/>
      <w:marTop w:val="0"/>
      <w:marBottom w:val="0"/>
      <w:divBdr>
        <w:top w:val="none" w:sz="0" w:space="0" w:color="auto"/>
        <w:left w:val="none" w:sz="0" w:space="0" w:color="auto"/>
        <w:bottom w:val="none" w:sz="0" w:space="0" w:color="auto"/>
        <w:right w:val="none" w:sz="0" w:space="0" w:color="auto"/>
      </w:divBdr>
    </w:div>
    <w:div w:id="2059433570">
      <w:bodyDiv w:val="1"/>
      <w:marLeft w:val="0"/>
      <w:marRight w:val="0"/>
      <w:marTop w:val="0"/>
      <w:marBottom w:val="0"/>
      <w:divBdr>
        <w:top w:val="none" w:sz="0" w:space="0" w:color="auto"/>
        <w:left w:val="none" w:sz="0" w:space="0" w:color="auto"/>
        <w:bottom w:val="none" w:sz="0" w:space="0" w:color="auto"/>
        <w:right w:val="none" w:sz="0" w:space="0" w:color="auto"/>
      </w:divBdr>
    </w:div>
    <w:div w:id="2059694494">
      <w:bodyDiv w:val="1"/>
      <w:marLeft w:val="0"/>
      <w:marRight w:val="0"/>
      <w:marTop w:val="0"/>
      <w:marBottom w:val="0"/>
      <w:divBdr>
        <w:top w:val="none" w:sz="0" w:space="0" w:color="auto"/>
        <w:left w:val="none" w:sz="0" w:space="0" w:color="auto"/>
        <w:bottom w:val="none" w:sz="0" w:space="0" w:color="auto"/>
        <w:right w:val="none" w:sz="0" w:space="0" w:color="auto"/>
      </w:divBdr>
    </w:div>
    <w:div w:id="2061830419">
      <w:bodyDiv w:val="1"/>
      <w:marLeft w:val="0"/>
      <w:marRight w:val="0"/>
      <w:marTop w:val="0"/>
      <w:marBottom w:val="0"/>
      <w:divBdr>
        <w:top w:val="none" w:sz="0" w:space="0" w:color="auto"/>
        <w:left w:val="none" w:sz="0" w:space="0" w:color="auto"/>
        <w:bottom w:val="none" w:sz="0" w:space="0" w:color="auto"/>
        <w:right w:val="none" w:sz="0" w:space="0" w:color="auto"/>
      </w:divBdr>
    </w:div>
    <w:div w:id="2064526292">
      <w:bodyDiv w:val="1"/>
      <w:marLeft w:val="0"/>
      <w:marRight w:val="0"/>
      <w:marTop w:val="0"/>
      <w:marBottom w:val="0"/>
      <w:divBdr>
        <w:top w:val="none" w:sz="0" w:space="0" w:color="auto"/>
        <w:left w:val="none" w:sz="0" w:space="0" w:color="auto"/>
        <w:bottom w:val="none" w:sz="0" w:space="0" w:color="auto"/>
        <w:right w:val="none" w:sz="0" w:space="0" w:color="auto"/>
      </w:divBdr>
    </w:div>
    <w:div w:id="2066636413">
      <w:bodyDiv w:val="1"/>
      <w:marLeft w:val="0"/>
      <w:marRight w:val="0"/>
      <w:marTop w:val="0"/>
      <w:marBottom w:val="0"/>
      <w:divBdr>
        <w:top w:val="none" w:sz="0" w:space="0" w:color="auto"/>
        <w:left w:val="none" w:sz="0" w:space="0" w:color="auto"/>
        <w:bottom w:val="none" w:sz="0" w:space="0" w:color="auto"/>
        <w:right w:val="none" w:sz="0" w:space="0" w:color="auto"/>
      </w:divBdr>
    </w:div>
    <w:div w:id="2068798324">
      <w:bodyDiv w:val="1"/>
      <w:marLeft w:val="0"/>
      <w:marRight w:val="0"/>
      <w:marTop w:val="0"/>
      <w:marBottom w:val="0"/>
      <w:divBdr>
        <w:top w:val="none" w:sz="0" w:space="0" w:color="auto"/>
        <w:left w:val="none" w:sz="0" w:space="0" w:color="auto"/>
        <w:bottom w:val="none" w:sz="0" w:space="0" w:color="auto"/>
        <w:right w:val="none" w:sz="0" w:space="0" w:color="auto"/>
      </w:divBdr>
    </w:div>
    <w:div w:id="2071729000">
      <w:bodyDiv w:val="1"/>
      <w:marLeft w:val="0"/>
      <w:marRight w:val="0"/>
      <w:marTop w:val="0"/>
      <w:marBottom w:val="0"/>
      <w:divBdr>
        <w:top w:val="none" w:sz="0" w:space="0" w:color="auto"/>
        <w:left w:val="none" w:sz="0" w:space="0" w:color="auto"/>
        <w:bottom w:val="none" w:sz="0" w:space="0" w:color="auto"/>
        <w:right w:val="none" w:sz="0" w:space="0" w:color="auto"/>
      </w:divBdr>
    </w:div>
    <w:div w:id="2071729071">
      <w:bodyDiv w:val="1"/>
      <w:marLeft w:val="0"/>
      <w:marRight w:val="0"/>
      <w:marTop w:val="0"/>
      <w:marBottom w:val="0"/>
      <w:divBdr>
        <w:top w:val="none" w:sz="0" w:space="0" w:color="auto"/>
        <w:left w:val="none" w:sz="0" w:space="0" w:color="auto"/>
        <w:bottom w:val="none" w:sz="0" w:space="0" w:color="auto"/>
        <w:right w:val="none" w:sz="0" w:space="0" w:color="auto"/>
      </w:divBdr>
    </w:div>
    <w:div w:id="2074230381">
      <w:bodyDiv w:val="1"/>
      <w:marLeft w:val="0"/>
      <w:marRight w:val="0"/>
      <w:marTop w:val="0"/>
      <w:marBottom w:val="0"/>
      <w:divBdr>
        <w:top w:val="none" w:sz="0" w:space="0" w:color="auto"/>
        <w:left w:val="none" w:sz="0" w:space="0" w:color="auto"/>
        <w:bottom w:val="none" w:sz="0" w:space="0" w:color="auto"/>
        <w:right w:val="none" w:sz="0" w:space="0" w:color="auto"/>
      </w:divBdr>
    </w:div>
    <w:div w:id="2077508935">
      <w:bodyDiv w:val="1"/>
      <w:marLeft w:val="0"/>
      <w:marRight w:val="0"/>
      <w:marTop w:val="0"/>
      <w:marBottom w:val="0"/>
      <w:divBdr>
        <w:top w:val="none" w:sz="0" w:space="0" w:color="auto"/>
        <w:left w:val="none" w:sz="0" w:space="0" w:color="auto"/>
        <w:bottom w:val="none" w:sz="0" w:space="0" w:color="auto"/>
        <w:right w:val="none" w:sz="0" w:space="0" w:color="auto"/>
      </w:divBdr>
    </w:div>
    <w:div w:id="2077971854">
      <w:bodyDiv w:val="1"/>
      <w:marLeft w:val="0"/>
      <w:marRight w:val="0"/>
      <w:marTop w:val="0"/>
      <w:marBottom w:val="0"/>
      <w:divBdr>
        <w:top w:val="none" w:sz="0" w:space="0" w:color="auto"/>
        <w:left w:val="none" w:sz="0" w:space="0" w:color="auto"/>
        <w:bottom w:val="none" w:sz="0" w:space="0" w:color="auto"/>
        <w:right w:val="none" w:sz="0" w:space="0" w:color="auto"/>
      </w:divBdr>
    </w:div>
    <w:div w:id="2080520298">
      <w:bodyDiv w:val="1"/>
      <w:marLeft w:val="0"/>
      <w:marRight w:val="0"/>
      <w:marTop w:val="0"/>
      <w:marBottom w:val="0"/>
      <w:divBdr>
        <w:top w:val="none" w:sz="0" w:space="0" w:color="auto"/>
        <w:left w:val="none" w:sz="0" w:space="0" w:color="auto"/>
        <w:bottom w:val="none" w:sz="0" w:space="0" w:color="auto"/>
        <w:right w:val="none" w:sz="0" w:space="0" w:color="auto"/>
      </w:divBdr>
    </w:div>
    <w:div w:id="2082020388">
      <w:bodyDiv w:val="1"/>
      <w:marLeft w:val="0"/>
      <w:marRight w:val="0"/>
      <w:marTop w:val="0"/>
      <w:marBottom w:val="0"/>
      <w:divBdr>
        <w:top w:val="none" w:sz="0" w:space="0" w:color="auto"/>
        <w:left w:val="none" w:sz="0" w:space="0" w:color="auto"/>
        <w:bottom w:val="none" w:sz="0" w:space="0" w:color="auto"/>
        <w:right w:val="none" w:sz="0" w:space="0" w:color="auto"/>
      </w:divBdr>
    </w:div>
    <w:div w:id="2082023594">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2503217">
      <w:bodyDiv w:val="1"/>
      <w:marLeft w:val="0"/>
      <w:marRight w:val="0"/>
      <w:marTop w:val="0"/>
      <w:marBottom w:val="0"/>
      <w:divBdr>
        <w:top w:val="none" w:sz="0" w:space="0" w:color="auto"/>
        <w:left w:val="none" w:sz="0" w:space="0" w:color="auto"/>
        <w:bottom w:val="none" w:sz="0" w:space="0" w:color="auto"/>
        <w:right w:val="none" w:sz="0" w:space="0" w:color="auto"/>
      </w:divBdr>
    </w:div>
    <w:div w:id="2093157728">
      <w:bodyDiv w:val="1"/>
      <w:marLeft w:val="0"/>
      <w:marRight w:val="0"/>
      <w:marTop w:val="0"/>
      <w:marBottom w:val="0"/>
      <w:divBdr>
        <w:top w:val="none" w:sz="0" w:space="0" w:color="auto"/>
        <w:left w:val="none" w:sz="0" w:space="0" w:color="auto"/>
        <w:bottom w:val="none" w:sz="0" w:space="0" w:color="auto"/>
        <w:right w:val="none" w:sz="0" w:space="0" w:color="auto"/>
      </w:divBdr>
    </w:div>
    <w:div w:id="2096582917">
      <w:bodyDiv w:val="1"/>
      <w:marLeft w:val="0"/>
      <w:marRight w:val="0"/>
      <w:marTop w:val="0"/>
      <w:marBottom w:val="0"/>
      <w:divBdr>
        <w:top w:val="none" w:sz="0" w:space="0" w:color="auto"/>
        <w:left w:val="none" w:sz="0" w:space="0" w:color="auto"/>
        <w:bottom w:val="none" w:sz="0" w:space="0" w:color="auto"/>
        <w:right w:val="none" w:sz="0" w:space="0" w:color="auto"/>
      </w:divBdr>
    </w:div>
    <w:div w:id="2098404751">
      <w:bodyDiv w:val="1"/>
      <w:marLeft w:val="0"/>
      <w:marRight w:val="0"/>
      <w:marTop w:val="0"/>
      <w:marBottom w:val="0"/>
      <w:divBdr>
        <w:top w:val="none" w:sz="0" w:space="0" w:color="auto"/>
        <w:left w:val="none" w:sz="0" w:space="0" w:color="auto"/>
        <w:bottom w:val="none" w:sz="0" w:space="0" w:color="auto"/>
        <w:right w:val="none" w:sz="0" w:space="0" w:color="auto"/>
      </w:divBdr>
    </w:div>
    <w:div w:id="210059227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6850543">
      <w:bodyDiv w:val="1"/>
      <w:marLeft w:val="0"/>
      <w:marRight w:val="0"/>
      <w:marTop w:val="0"/>
      <w:marBottom w:val="0"/>
      <w:divBdr>
        <w:top w:val="none" w:sz="0" w:space="0" w:color="auto"/>
        <w:left w:val="none" w:sz="0" w:space="0" w:color="auto"/>
        <w:bottom w:val="none" w:sz="0" w:space="0" w:color="auto"/>
        <w:right w:val="none" w:sz="0" w:space="0" w:color="auto"/>
      </w:divBdr>
    </w:div>
    <w:div w:id="2130121436">
      <w:bodyDiv w:val="1"/>
      <w:marLeft w:val="0"/>
      <w:marRight w:val="0"/>
      <w:marTop w:val="0"/>
      <w:marBottom w:val="0"/>
      <w:divBdr>
        <w:top w:val="none" w:sz="0" w:space="0" w:color="auto"/>
        <w:left w:val="none" w:sz="0" w:space="0" w:color="auto"/>
        <w:bottom w:val="none" w:sz="0" w:space="0" w:color="auto"/>
        <w:right w:val="none" w:sz="0" w:space="0" w:color="auto"/>
      </w:divBdr>
    </w:div>
    <w:div w:id="2131624829">
      <w:bodyDiv w:val="1"/>
      <w:marLeft w:val="0"/>
      <w:marRight w:val="0"/>
      <w:marTop w:val="0"/>
      <w:marBottom w:val="0"/>
      <w:divBdr>
        <w:top w:val="none" w:sz="0" w:space="0" w:color="auto"/>
        <w:left w:val="none" w:sz="0" w:space="0" w:color="auto"/>
        <w:bottom w:val="none" w:sz="0" w:space="0" w:color="auto"/>
        <w:right w:val="none" w:sz="0" w:space="0" w:color="auto"/>
      </w:divBdr>
    </w:div>
    <w:div w:id="2134397457">
      <w:bodyDiv w:val="1"/>
      <w:marLeft w:val="0"/>
      <w:marRight w:val="0"/>
      <w:marTop w:val="0"/>
      <w:marBottom w:val="0"/>
      <w:divBdr>
        <w:top w:val="none" w:sz="0" w:space="0" w:color="auto"/>
        <w:left w:val="none" w:sz="0" w:space="0" w:color="auto"/>
        <w:bottom w:val="none" w:sz="0" w:space="0" w:color="auto"/>
        <w:right w:val="none" w:sz="0" w:space="0" w:color="auto"/>
      </w:divBdr>
    </w:div>
    <w:div w:id="2145194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onr.org.uk/saps/saps2014.pdf" TargetMode="External"/><Relationship Id="rId3" Type="http://schemas.openxmlformats.org/officeDocument/2006/relationships/customXml" Target="../customXml/item2.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prodonrgov.sharepoint.com/sites/HOW2Hub/_layouts/15/DocIdRedir.aspx?ID=ONRHH-822789359-20186"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https://dev-office-for-nuclear-regulation.uksouth01.umbraco.io/media/4yznxreg/basic-principles.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0B23E0"/>
    <w:rsid w:val="001029D5"/>
    <w:rsid w:val="00114DBF"/>
    <w:rsid w:val="00164B5A"/>
    <w:rsid w:val="001721BD"/>
    <w:rsid w:val="001B4AB8"/>
    <w:rsid w:val="00225097"/>
    <w:rsid w:val="0024545B"/>
    <w:rsid w:val="00252452"/>
    <w:rsid w:val="002550FD"/>
    <w:rsid w:val="0029027B"/>
    <w:rsid w:val="002914F3"/>
    <w:rsid w:val="002B3251"/>
    <w:rsid w:val="00345EE9"/>
    <w:rsid w:val="00350199"/>
    <w:rsid w:val="00481218"/>
    <w:rsid w:val="004C2BEE"/>
    <w:rsid w:val="004D2EF6"/>
    <w:rsid w:val="004E5FFC"/>
    <w:rsid w:val="005150F8"/>
    <w:rsid w:val="0055326D"/>
    <w:rsid w:val="005802B5"/>
    <w:rsid w:val="00594373"/>
    <w:rsid w:val="005B6F5F"/>
    <w:rsid w:val="00605B85"/>
    <w:rsid w:val="006827D1"/>
    <w:rsid w:val="006B0968"/>
    <w:rsid w:val="007154C5"/>
    <w:rsid w:val="00780C80"/>
    <w:rsid w:val="0079566D"/>
    <w:rsid w:val="007A420D"/>
    <w:rsid w:val="007B07B8"/>
    <w:rsid w:val="008063C6"/>
    <w:rsid w:val="00813CCD"/>
    <w:rsid w:val="0082164B"/>
    <w:rsid w:val="00835E07"/>
    <w:rsid w:val="008B7374"/>
    <w:rsid w:val="008E048F"/>
    <w:rsid w:val="008F059E"/>
    <w:rsid w:val="00931465"/>
    <w:rsid w:val="00972B41"/>
    <w:rsid w:val="00A02A44"/>
    <w:rsid w:val="00A0459B"/>
    <w:rsid w:val="00A24FB3"/>
    <w:rsid w:val="00AD5C41"/>
    <w:rsid w:val="00C1154C"/>
    <w:rsid w:val="00CA10A9"/>
    <w:rsid w:val="00CD10A9"/>
    <w:rsid w:val="00D736C8"/>
    <w:rsid w:val="00D75606"/>
    <w:rsid w:val="00D7672B"/>
    <w:rsid w:val="00DB2A88"/>
    <w:rsid w:val="00DB4022"/>
    <w:rsid w:val="00DD7BA4"/>
    <w:rsid w:val="00DF55A4"/>
    <w:rsid w:val="00E24D23"/>
    <w:rsid w:val="00E26872"/>
    <w:rsid w:val="00E318CE"/>
    <w:rsid w:val="00E646E1"/>
    <w:rsid w:val="00EA50A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WENRA_SRL_Storage_2024</b:Tag>
    <b:SourceType>Misc</b:SourceType>
    <b:Guid>{DAB9B7DE-FF64-46C0-95B6-7E5A153B1B4A}</b:Guid>
    <b:Title>WENRA, Waste and Spent Fuel Storage Safety Reference Levels, Report of Working Group on Waste and Decommissioning, Version 2.3, January 2024</b:Title>
    <b:RefOrder>31</b:RefOrder>
  </b:Source>
  <b:Source>
    <b:Tag>WENRA_SRL_Treatment_2018</b:Tag>
    <b:SourceType>Misc</b:SourceType>
    <b:Guid>{B9922286-8773-47A6-8699-1918C79F8116}</b:Guid>
    <b:Title>WENRA, Radioactive Waste Treatment and Conditioning Safety Reference Levels, Report of the Working Group on Waste and Decommissioning, Version 1.1, December 2018</b:Title>
    <b:RefOrder>32</b:RefOrder>
  </b:Source>
  <b:Source>
    <b:Tag>LC_Handbook_2017</b:Tag>
    <b:SourceType>Misc</b:SourceType>
    <b:Guid>{22796D5B-D184-460D-9443-80FF30B32332}</b:Guid>
    <b:Title>ONR, Licence condition handbook - The standard licence conditions attached to nuclear site licences, February 2017</b:Title>
    <b:RefOrder>2</b:RefOrder>
  </b:Source>
  <b:Source>
    <b:Tag>NIA65</b:Tag>
    <b:SourceType>Misc</b:SourceType>
    <b:Guid>{68FB799B-85B1-4F2B-A095-B935282436F1}</b:Guid>
    <b:Title>Nuclear Installations Act 1965, UK Public General Acts 1965 chapter 57</b:Title>
    <b:RefOrder>3</b:RefOrder>
  </b:Source>
  <b:Source>
    <b:Tag>IRR17</b:Tag>
    <b:SourceType>Misc</b:SourceType>
    <b:Guid>{049AB8A9-15EF-4CD1-85DF-D38CF3CDA21D}</b:Guid>
    <b:Title>The Ionising Radiations Regulations 2017, UK Statutory Instruments 2017 No. 1075</b:Title>
    <b:RefOrder>9</b:RefOrder>
  </b:Source>
  <b:Source>
    <b:Tag>EPR16</b:Tag>
    <b:SourceType>Misc</b:SourceType>
    <b:Guid>{58EBD012-46C1-48C8-B50C-3E32660C1BEE}</b:Guid>
    <b:Title>The Environmental Permitting (England and Wales) Regulations 2016, UK Statutory Instruments 2016 No. 1154</b:Title>
    <b:RefOrder>14</b:RefOrder>
  </b:Source>
  <b:Source>
    <b:Tag>EASR18</b:Tag>
    <b:SourceType>Misc</b:SourceType>
    <b:Guid>{8CEA8BA6-5D48-4D8D-9A1E-418ABC438EB2}</b:Guid>
    <b:Title>The Environmental Authorisations (Scotland) Regulations 2018, Scottish Statutory Instruments 2018 No. 219</b:Title>
    <b:RefOrder>15</b:RefOrder>
  </b:Source>
  <b:Source>
    <b:Tag>JointGuidancev2021</b:Tag>
    <b:SourceType>Misc</b:SourceType>
    <b:Guid>{108DBB11-D7FB-4462-8509-6217AA446F5C}</b:Guid>
    <b:Title>The management of higher activity radioactive waste on nuclear licensed sites, Joint guidance from the Office for Nuclear Regulation, the Environment Agency, the Scottish Environment Protection Agency and Natural Resources Wales, Rev 2.1 July 2021</b:Title>
    <b:RefOrder>35</b:RefOrder>
  </b:Source>
  <b:Source>
    <b:Tag>HAWRegulatoryPosition2021</b:Tag>
    <b:SourceType>Misc</b:SourceType>
    <b:Guid>{82AB5150-8BC4-401A-954A-2B603BA4499A}</b:Guid>
    <b:Title>Regulatory Arrangements for the Management of Higher Activity Radioactive Waste on Nuclear Licensed Sites, Regulatory Position Statement – 2021 Update</b:Title>
    <b:RefOrder>34</b:RefOrder>
  </b:Source>
  <b:Source>
    <b:Tag>SEPA_EASRGuide_2021</b:Tag>
    <b:SourceType>Misc</b:SourceType>
    <b:Guid>{ADF05941-2D9E-4AE7-A99B-4F32F5744135}</b:Guid>
    <b:Title>SEPA, Environmental Authorisations (Scotland) Regulations 2018: Guide to standard conditions for radioactive substances activities, Version 2, September 2021</b:Title>
    <b:RefOrder>16</b:RefOrder>
  </b:Source>
  <b:Source>
    <b:Tag>GSR5v2009</b:Tag>
    <b:SourceType>Misc</b:SourceType>
    <b:Guid>{5815A526-0C88-44C3-8A4F-A1555CE32EC1}</b:Guid>
    <b:Title>INTERNATIONAL ATOMIC ENERGY AGENCY, Predisposal Management of Radioactive Waste, IAEA Safety Standards Series No. GSR Part 5, IAEA, Vienna (2009)</b:Title>
    <b:RefOrder>26</b:RefOrder>
  </b:Source>
  <b:Source>
    <b:Tag>UK_DischargesStrat</b:Tag>
    <b:SourceType>Misc</b:SourceType>
    <b:Guid>{032A02EA-5D61-4EB1-A587-6BB09B86392F}</b:Guid>
    <b:Title>BEIS, UK Strategy for Radioactive Discharges – 2018 Review of the 2009 Strategy, June 2018, https://assets.publishing.service.gov.uk/government/uploads/system/uploads/attachment_data/file/718723/2018Rev2009UKStratRadDischargeFin.pdf</b:Title>
    <b:RefOrder>36</b:RefOrder>
  </b:Source>
  <b:Source>
    <b:Tag>IWIP_Guidance_2022</b:Tag>
    <b:SourceType>Misc</b:SourceType>
    <b:Guid>{94BB87B1-668C-4BAC-9357-EB2472FCCCA4}</b:Guid>
    <b:Title>Nuclear Decommissioning Authority, ENG04 Specification and guidance on the content and format of an Integrated Waste Implementation Plan, 2022, https://www.gov.uk/government/publications/eng01-specification-and-guidance-for-an-integrated-waste-strategy</b:Title>
    <b:RefOrder>37</b:RefOrder>
  </b:Source>
  <b:Source>
    <b:Tag>Policy_RadandDecom_2024</b:Tag>
    <b:SourceType>Misc</b:SourceType>
    <b:Guid>{F7D7B47F-94A1-4FA5-A1D4-F84E2F088D76}</b:Guid>
    <b:Title>UK Policy Framework: Managing Radioactive Substances and Nuclear Decommissioning, May 2024, https://assets.publishing.service.gov.uk/media/6632371769098ded31fca7c1/managing-radioactive-substances-and-nuclear-decommissioning-uk-policy-framework.pdf</b:Title>
    <b:RefOrder>21</b:RefOrder>
  </b:Source>
  <b:Source>
    <b:Tag>SSG_40_2016</b:Tag>
    <b:SourceType>Misc</b:SourceType>
    <b:Guid>{D2825192-0F31-49BE-9503-2A3E599E3875}</b:Guid>
    <b:Title>INTERNATIONAL ATOMIC ENERGY AGENCY, Predisposal Management of Radioactive Waste from Nuclear Power Plants and Research Reactors, IAEA Safety Standards Series No. SSG-40, IAEA, Vienna (2016)</b:Title>
    <b:RefOrder>27</b:RefOrder>
  </b:Source>
  <b:Source>
    <b:Tag>NDA_Storage_HAW_2021</b:Tag>
    <b:SourceType>Misc</b:SourceType>
    <b:Guid>{721278D5-B030-4FD0-9A1E-35F8FD843F40}</b:Guid>
    <b:Title>Nuclear Decommissioning Authority, Interim Storage of Higher Activity Waste Packages – Integrated Approach, Issue 4 December 2021, https://www.gov.uk/government/publications/interim-storage-of-higher-activity-waste-packages-integrated-approach</b:Title>
    <b:RefOrder>42</b:RefOrder>
  </b:Source>
  <b:Source>
    <b:Tag>TAG50_v81</b:Tag>
    <b:SourceType>Misc</b:SourceType>
    <b:Guid>{05A2BA91-6350-4723-8232-B7BA10C97D93}</b:Guid>
    <b:Title>ONR; NS-TAST-GD-050 - Periodic Safety Reviews (PSRs); Issue 8.1 December 2022</b:Title>
    <b:RefOrder>38</b:RefOrder>
  </b:Source>
  <b:Source>
    <b:Tag>TAG05_Sep24</b:Tag>
    <b:SourceType>Misc</b:SourceType>
    <b:Guid>{56047E76-F276-4456-851F-00EE89714817}</b:Guid>
    <b:Title>ONR; NS-TAST-GD-005 - Regulating duties to reduce risks to ALARP; Issue 12.1 September 2024</b:Title>
    <b:RefOrder>39</b:RefOrder>
  </b:Source>
  <b:Source>
    <b:Tag>TAG51_Jan24</b:Tag>
    <b:SourceType>Misc</b:SourceType>
    <b:Guid>{5797BD41-871F-4EAF-9839-9C84CD12404C}</b:Guid>
    <b:Title>ONR; NS-TAST-GD-051 - The Purpose, Scope and Content of Nuclear Safety Cases; Issue 7.1, December 2022</b:Title>
    <b:RefOrder>43</b:RefOrder>
  </b:Source>
  <b:Source>
    <b:Tag>TAG33_Dec23</b:Tag>
    <b:SourceType>Misc</b:SourceType>
    <b:Guid>{1B564BF2-18EE-4121-A925-69FFD1AF3CAF}</b:Guid>
    <b:Title>ONR; NS-TAST-GD-033 - Management of records; Issue 7.3 December 2023</b:Title>
    <b:RefOrder>45</b:RefOrder>
  </b:Source>
  <b:Source>
    <b:Tag>TAG38_Dec22</b:Tag>
    <b:SourceType>Misc</b:SourceType>
    <b:Guid>{56EE53DC-8476-4603-8C85-A1A9F4A68DE7}</b:Guid>
    <b:Title>ONR; NS-TAST-GD-038 - Radiological Protection; Issue 10, December 2022</b:Title>
    <b:RefOrder>10</b:RefOrder>
  </b:Source>
  <b:Source>
    <b:Tag>SSR6_2018</b:Tag>
    <b:SourceType>Misc</b:SourceType>
    <b:Guid>{EC8C5059-10C1-4138-A512-4B297745A289}</b:Guid>
    <b:Title>INTERNATIONAL ATOMIC ENERGY AGENCY, Regulations for the Safe Transport of Radioactive Material, IAEA Safety Standards Series No. SSR-6 (Rev.1), IAEA, Vienna (2018)</b:Title>
    <b:RefOrder>11</b:RefOrder>
  </b:Source>
  <b:Source>
    <b:Tag>CDG_2009</b:Tag>
    <b:SourceType>Misc</b:SourceType>
    <b:Guid>{66D0C8EC-6997-42CA-A065-92AE66C87534}</b:Guid>
    <b:Title>The Carriage of Dangerous Goods and Use of Transportable Pressure Equipment Regulations 2009, UK Statutory Instruments 2009 No. 1348</b:Title>
    <b:RefOrder>12</b:RefOrder>
  </b:Source>
  <b:Source>
    <b:Tag>TAG99_May23</b:Tag>
    <b:SourceType>Misc</b:SourceType>
    <b:Guid>{65A0B520-EF9F-486A-B14C-E2493EFB0B0B}</b:Guid>
    <b:Title>ONR; NS-TAST-GD-099 - Transport Engineering Assessment: Issue 2.2 May 2023</b:Title>
    <b:RefOrder>13</b:RefOrder>
  </b:Source>
  <b:Source>
    <b:Tag>MOU_EA_Guidance</b:Tag>
    <b:SourceType>Misc</b:SourceType>
    <b:Guid>{B177E5ED-D19D-4874-AA99-9792A3D2F42F}</b:Guid>
    <b:Title>ONR; ONR-INSP-GD-061 - Joint Regulatory Guidance to Support the Overarching MoU - EA and ONR; Issue 2</b:Title>
    <b:RefOrder>18</b:RefOrder>
  </b:Source>
  <b:Source>
    <b:Tag>MOU_SEPA_Guidance</b:Tag>
    <b:SourceType>Misc</b:SourceType>
    <b:Guid>{8AC8D021-F0F4-452A-B4AC-AA18625C15AE}</b:Guid>
    <b:Title>ONR; ONR-INSP-GD-062 - Guidance to support the Joint Regulatory MoU between ONR and SEPA; Issue 2</b:Title>
    <b:RefOrder>20</b:RefOrder>
  </b:Source>
  <b:Source>
    <b:Tag>MOU_NRW_Guidance</b:Tag>
    <b:SourceType>Misc</b:SourceType>
    <b:Guid>{6BF8775B-3B92-4868-9C1C-9306B5581377}</b:Guid>
    <b:Title>ONR; ONR-INSP-GD-063 - Joint Regulatory Guidance to Support the Overarching MoU - NRW and ONR; Issue 2</b:Title>
    <b:RefOrder>19</b:RefOrder>
  </b:Source>
  <b:Source>
    <b:Tag>SSG41_2016</b:Tag>
    <b:SourceType>Misc</b:SourceType>
    <b:Guid>{504DED02-DFCE-4CE6-B3B2-3483FD891C9F}</b:Guid>
    <b:Title>INTERNATIONAL ATOMIC ENERGY AGENCY, Predisposal Management of Radioactive Waste from Nuclear Fuel Cycle Facilities, IAEA Safety Standards Series No. SSG-41, IAEA, Vienna (2016)</b:Title>
    <b:RefOrder>28</b:RefOrder>
  </b:Source>
  <b:Source>
    <b:Tag>NSR19</b:Tag>
    <b:SourceType>Misc</b:SourceType>
    <b:Guid>{3F8DCBE7-BADF-4BE2-8401-62490C7E8E13}</b:Guid>
    <b:Title>The Nuclear Safeguards (EU Exit) Regulations 2019, UK Statutory Instruments 2019 No. 196</b:Title>
    <b:RefOrder>40</b:RefOrder>
  </b:Source>
  <b:Source>
    <b:Tag>HAWPolicyScotland2011</b:Tag>
    <b:SourceType>Misc</b:SourceType>
    <b:Guid>{930079F0-ABBA-4F89-A4C3-EDA8D7F1526D}</b:Guid>
    <b:Title>Scotland's higher-activity radioactive waste policy, January 2011, ISBN 9780755998920</b:Title>
    <b:RefOrder>23</b:RefOrder>
  </b:Source>
  <b:Source>
    <b:Tag>ScotHAW_Implementation_2016</b:Tag>
    <b:SourceType>Misc</b:SourceType>
    <b:Guid>{D6DA93C0-EFB1-4143-B922-539D5A7295EB}</b:Guid>
    <b:Title>Implementation strategy for Scotland's policy on higher-activity radioactive waste; December 2016; ISBN 9781786527042</b:Title>
    <b:RefOrder>24</b:RefOrder>
  </b:Source>
  <b:Source>
    <b:Tag>LLWStrat_2016</b:Tag>
    <b:SourceType>Misc</b:SourceType>
    <b:Guid>{C19D00D8-DB22-4611-AE5C-A916E3A6399A}</b:Guid>
    <b:Title>UK Strategy for the Management of Solid Low Level Waste from the Nuclear Industry; February 2016; URN 15D/472</b:Title>
    <b:RefOrder>25</b:RefOrder>
  </b:Source>
  <b:Source>
    <b:Tag>ONR_MoU_Webpage</b:Tag>
    <b:SourceType>Misc</b:SourceType>
    <b:Guid>{C9B42935-8DD5-4ACE-839B-6EEBBBC7C9F9}</b:Guid>
    <b:Title>ONR Memoranda of Understanding / General Agreements, https://www.onr.org.uk/working-with-others/agreements-with-others/memoranda-of-understanding-general-agreements/</b:Title>
    <b:RefOrder>17</b:RefOrder>
  </b:Source>
  <b:Source>
    <b:Tag>TIG11_2021</b:Tag>
    <b:SourceType>Misc</b:SourceType>
    <b:Guid>{AF65183F-698E-40EB-A9EA-52A4405305D1}</b:Guid>
    <b:Title>ONR; NS-INSP-GD-011 - LC 11 - On-site Emergency Arrangments; Issue 7.1 March 2027</b:Title>
    <b:RefOrder>33</b:RefOrder>
  </b:Source>
  <b:Source>
    <b:Tag>ONMACS_2022</b:Tag>
    <b:SourceType>Misc</b:SourceType>
    <b:Guid>{600768A7-B23C-4959-9530-3E29EDC8C3BD}</b:Guid>
    <b:Title>ONR; ONR-CNSS-MAN-001 ONR Nuclear Material Accountancy, Control, and Safeguards Assessment Principles (ONMACS); Issue 5 February 2022</b:Title>
    <b:RefOrder>41</b:RefOrder>
  </b:Source>
  <b:Source>
    <b:Tag>TAG09_2023</b:Tag>
    <b:SourceType>Misc</b:SourceType>
    <b:Guid>{E70C6C75-E790-42D2-A4D9-F4A4CB8E8C75}</b:Guid>
    <b:Title>ONR; NS-TAST-GD-009 Examination, Inspection, Maintenance and Testing of items important to Safety; Issue 7 November 2023</b:Title>
    <b:RefOrder>44</b:RefOrder>
  </b:Source>
  <b:Source>
    <b:Tag>GSG3_2013</b:Tag>
    <b:SourceType>Misc</b:SourceType>
    <b:Guid>{A28FA809-8A24-4DD4-ABE9-9A3BD18599F5}</b:Guid>
    <b:Title>INTERNATIONAL ATOMIC ENERGY AGENCY, The Safety Case and Safety Assessment for the Predisposal Management of Radioactive Waste, IAEA Safety Standards Series No. GSG-3, IAEA, Vienna (2013).</b:Title>
    <b:RefOrder>29</b:RefOrder>
  </b:Source>
  <b:Source>
    <b:Tag>GSG16v2022</b:Tag>
    <b:SourceType>Misc</b:SourceType>
    <b:Guid>{E078269C-94F9-45EE-A5EF-AEC75E2678EB}</b:Guid>
    <b:Title>INTERNATIONAL ATOMIC ENERGY AGENCY, Leadership, Management and Culture for Safety in Radioactive Waste Management, IAEA Safety Standards Series No. GSG-16, IAEA, Vienna (2022). https://www.iaea.org/publications/14787/</b:Title>
    <b:RefOrder>30</b:RefOrder>
  </b:Source>
  <b:Source>
    <b:Tag>RSR_Exemptions_2018</b:Tag>
    <b:SourceType>Misc</b:SourceType>
    <b:Guid>{C3402EB1-3223-4A80-94F9-9EFFC51161C6}</b:Guid>
    <b:Title>Scope of and exemptions from the radioactive substances legislation in England, Wales &amp; Northern Ireland, 2024, https://www.gov.uk/government/publications/guidance-on-the-scope-of-and-exemptions-from-the-radioactive-substances-legislation-in-the-uk</b:Title>
    <b:RefOrder>4</b:RefOrder>
  </b:Source>
  <b:Source>
    <b:Tag>SEPA_Authorisation_Guidance_2020</b:Tag>
    <b:SourceType>Misc</b:SourceType>
    <b:Guid>{7138BA5A-00D8-4EB0-9A45-5E9D7E0E9DB5}</b:Guid>
    <b:Title>SEPA, Authorisation guide for radioactive substances activities, v1.2 March 2020, https://www.sepa.org.uk/media/371985/rs-authorisation-guide.pdf</b:Title>
    <b:RefOrder>5</b:RefOrder>
  </b:Source>
  <b:Source>
    <b:Tag>BasicPrinciples</b:Tag>
    <b:SourceType>Misc</b:SourceType>
    <b:Guid>{E91F849A-41CE-42AC-A0F7-0416A770C156}</b:Guid>
    <b:Title>Basic principles of radioactive waste management, Joint guidance from the Office for Nuclear Regulation, the Environment Agency, the Scottish Environment Protection Agency and Natural Resources Wales to nuclear licensees, Revision 2 February 2015</b:Title>
    <b:RefOrder>6</b:RefOrder>
  </b:Source>
  <b:Source>
    <b:Tag>TAG101_2023</b:Tag>
    <b:SourceType>Misc</b:SourceType>
    <b:Guid>{D1CF5D53-FD6C-41A1-BE1C-5C9693A86AFA}</b:Guid>
    <b:Title>ONR; NS-TAST-GD-101 - Geological Disposal; Issue 1.3 March 2023</b:Title>
    <b:RefOrder>22</b:RefOrder>
  </b:Source>
  <b:Source>
    <b:Tag>TIG5_2023</b:Tag>
    <b:SourceType>Misc</b:SourceType>
    <b:Guid>{13BF1733-137C-4730-A1D7-0543A0991496}</b:Guid>
    <b:Title>ONR; NS-INSP-GD-005 - LC 5 Consignment of Nuclear Matter; Issue 5.3 December 2023</b:Title>
    <b:RefOrder>7</b:RefOrder>
  </b:Source>
  <b:Source>
    <b:Tag>TIG33_2024</b:Tag>
    <b:SourceType>Misc</b:SourceType>
    <b:Guid>{6015D79E-8DB9-416E-B338-43949B5FB3FE}</b:Guid>
    <b:Title>ONR; NS-INSP-GD-033 - LC33: Disposal of radioactive waste; Issue 7 May 2024</b:Title>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2240E0-A161-4624-BF1D-DBD7A0127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37</Pages>
  <Words>11839</Words>
  <Characters>67488</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Management of Radioactive Waste on Nuclear Licensed Sites</vt:lpstr>
    </vt:vector>
  </TitlesOfParts>
  <Manager>Office for Nuclear Regulation</Manager>
  <Company>Office for Nuclear Regulation</Company>
  <LinksUpToDate>false</LinksUpToDate>
  <CharactersWithSpaces>79169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of Radioactive Waste on Nuclear Licensed Sites</dc:title>
  <dc:subject>[Subtitle or description]</dc:subject>
  <cp:keywords>[Key words separated by commas]</cp:keywords>
  <dc:description/>
  <cp:revision>4</cp:revision>
  <cp:lastPrinted>2016-11-28T19:35:00Z</cp:lastPrinted>
  <dcterms:created xsi:type="dcterms:W3CDTF">2025-05-28T15:38:00Z</dcterms:created>
  <dcterms:modified xsi:type="dcterms:W3CDTF">2025-05-28T15:44:00Z</dcterms:modified>
  <cp:contentStatus>8</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