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6CBF6D2A">
        <w:trPr>
          <w:trHeight w:val="211"/>
        </w:trPr>
        <w:tc>
          <w:tcPr>
            <w:tcW w:w="9897" w:type="dxa"/>
            <w:gridSpan w:val="2"/>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6CBF6D2A">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220466" w:rsidRPr="0048438C" w14:paraId="4573E023" w14:textId="77777777" w:rsidTr="6CBF6D2A">
        <w:trPr>
          <w:trHeight w:val="202"/>
        </w:trPr>
        <w:tc>
          <w:tcPr>
            <w:tcW w:w="4948" w:type="dxa"/>
          </w:tcPr>
          <w:p w14:paraId="4573E021" w14:textId="77777777" w:rsidR="00220466" w:rsidRPr="0048438C" w:rsidRDefault="00C34CBC" w:rsidP="0048438C">
            <w:pPr>
              <w:spacing w:before="60" w:after="60"/>
              <w:rPr>
                <w:b/>
                <w:szCs w:val="24"/>
              </w:rPr>
            </w:pPr>
            <w:r w:rsidRPr="0048438C">
              <w:rPr>
                <w:b/>
                <w:szCs w:val="24"/>
              </w:rPr>
              <w:t>RO</w:t>
            </w:r>
            <w:r w:rsidR="00220466" w:rsidRPr="0048438C">
              <w:rPr>
                <w:b/>
                <w:szCs w:val="24"/>
              </w:rPr>
              <w:t xml:space="preserve"> unique no.:</w:t>
            </w:r>
          </w:p>
        </w:tc>
        <w:tc>
          <w:tcPr>
            <w:tcW w:w="4949" w:type="dxa"/>
          </w:tcPr>
          <w:p w14:paraId="4573E022" w14:textId="7C90199E" w:rsidR="00220466" w:rsidRPr="0048438C" w:rsidRDefault="00684E8C" w:rsidP="0048438C">
            <w:pPr>
              <w:spacing w:before="60" w:after="60"/>
              <w:rPr>
                <w:szCs w:val="24"/>
              </w:rPr>
            </w:pPr>
            <w:r w:rsidRPr="0048438C">
              <w:rPr>
                <w:szCs w:val="24"/>
              </w:rPr>
              <w:t>RO-</w:t>
            </w:r>
            <w:r w:rsidR="0048438C" w:rsidRPr="00A74C80">
              <w:rPr>
                <w:szCs w:val="24"/>
              </w:rPr>
              <w:t>RRSMR</w:t>
            </w:r>
            <w:r w:rsidR="002860FC" w:rsidRPr="00A74C80">
              <w:rPr>
                <w:szCs w:val="24"/>
              </w:rPr>
              <w:t>-</w:t>
            </w:r>
            <w:r w:rsidR="00E5490C" w:rsidRPr="00A74C80">
              <w:rPr>
                <w:szCs w:val="24"/>
              </w:rPr>
              <w:t>020</w:t>
            </w:r>
          </w:p>
        </w:tc>
      </w:tr>
      <w:tr w:rsidR="00220466" w:rsidRPr="0048438C" w14:paraId="4573E026" w14:textId="77777777" w:rsidTr="6CBF6D2A">
        <w:trPr>
          <w:trHeight w:val="202"/>
        </w:trPr>
        <w:tc>
          <w:tcPr>
            <w:tcW w:w="4948" w:type="dxa"/>
          </w:tcPr>
          <w:p w14:paraId="4573E024" w14:textId="61F5DE6D" w:rsidR="00220466" w:rsidRPr="0048438C" w:rsidRDefault="00850471" w:rsidP="0048438C">
            <w:pPr>
              <w:spacing w:before="60" w:after="60"/>
              <w:rPr>
                <w:b/>
                <w:szCs w:val="24"/>
              </w:rPr>
            </w:pPr>
            <w:r w:rsidRPr="0048438C">
              <w:rPr>
                <w:b/>
                <w:szCs w:val="24"/>
              </w:rPr>
              <w:t>Revision:</w:t>
            </w:r>
          </w:p>
        </w:tc>
        <w:tc>
          <w:tcPr>
            <w:tcW w:w="4949" w:type="dxa"/>
          </w:tcPr>
          <w:p w14:paraId="4573E025" w14:textId="229C24A2" w:rsidR="00220466" w:rsidRPr="0048438C" w:rsidRDefault="00902B4D" w:rsidP="0048438C">
            <w:pPr>
              <w:spacing w:before="60" w:after="60"/>
              <w:rPr>
                <w:szCs w:val="24"/>
              </w:rPr>
            </w:pPr>
            <w:r>
              <w:rPr>
                <w:szCs w:val="24"/>
              </w:rPr>
              <w:t>0</w:t>
            </w:r>
          </w:p>
        </w:tc>
      </w:tr>
      <w:tr w:rsidR="00850471" w:rsidRPr="0048438C" w14:paraId="3FF001D1" w14:textId="77777777" w:rsidTr="6CBF6D2A">
        <w:trPr>
          <w:trHeight w:val="202"/>
        </w:trPr>
        <w:tc>
          <w:tcPr>
            <w:tcW w:w="4948" w:type="dxa"/>
          </w:tcPr>
          <w:p w14:paraId="20FBBDA3" w14:textId="34CA6CCC" w:rsidR="00850471" w:rsidRPr="0048438C" w:rsidRDefault="00850471" w:rsidP="0048438C">
            <w:pPr>
              <w:spacing w:before="60" w:after="60"/>
              <w:rPr>
                <w:b/>
                <w:szCs w:val="24"/>
              </w:rPr>
            </w:pPr>
            <w:r w:rsidRPr="0048438C">
              <w:rPr>
                <w:b/>
                <w:szCs w:val="24"/>
              </w:rPr>
              <w:t>Date sent:</w:t>
            </w:r>
          </w:p>
        </w:tc>
        <w:tc>
          <w:tcPr>
            <w:tcW w:w="4949" w:type="dxa"/>
          </w:tcPr>
          <w:p w14:paraId="74A6D96C" w14:textId="078DBDA5" w:rsidR="00850471" w:rsidRPr="0048438C" w:rsidRDefault="77187DF6" w:rsidP="6CBF6D2A">
            <w:pPr>
              <w:spacing w:before="60" w:after="60"/>
            </w:pPr>
            <w:r>
              <w:t>18/6/26</w:t>
            </w:r>
          </w:p>
        </w:tc>
      </w:tr>
      <w:tr w:rsidR="00220466" w:rsidRPr="0048438C" w14:paraId="4573E029" w14:textId="77777777" w:rsidTr="6CBF6D2A">
        <w:trPr>
          <w:trHeight w:val="211"/>
        </w:trPr>
        <w:tc>
          <w:tcPr>
            <w:tcW w:w="4948" w:type="dxa"/>
          </w:tcPr>
          <w:p w14:paraId="4573E027" w14:textId="77777777" w:rsidR="00220466" w:rsidRPr="0048438C" w:rsidRDefault="00220466" w:rsidP="0048438C">
            <w:pPr>
              <w:spacing w:before="60" w:after="60"/>
              <w:rPr>
                <w:b/>
                <w:szCs w:val="24"/>
              </w:rPr>
            </w:pPr>
            <w:r w:rsidRPr="0048438C">
              <w:rPr>
                <w:b/>
                <w:szCs w:val="24"/>
              </w:rPr>
              <w:t>Acknowledgement required by:</w:t>
            </w:r>
          </w:p>
        </w:tc>
        <w:tc>
          <w:tcPr>
            <w:tcW w:w="4949" w:type="dxa"/>
          </w:tcPr>
          <w:p w14:paraId="4573E028" w14:textId="1C2AB08F" w:rsidR="00220466" w:rsidRPr="0048438C" w:rsidRDefault="0C5BC747" w:rsidP="6CBF6D2A">
            <w:pPr>
              <w:spacing w:before="60" w:after="60" w:line="259" w:lineRule="auto"/>
            </w:pPr>
            <w:r>
              <w:t>0</w:t>
            </w:r>
            <w:r w:rsidR="3ED4E781">
              <w:t>9/</w:t>
            </w:r>
            <w:r w:rsidR="74161E6C">
              <w:t>0</w:t>
            </w:r>
            <w:r w:rsidR="3ED4E781">
              <w:t>7/26</w:t>
            </w:r>
          </w:p>
        </w:tc>
      </w:tr>
      <w:tr w:rsidR="00220466" w:rsidRPr="0048438C" w14:paraId="4573E02C" w14:textId="77777777" w:rsidTr="6CBF6D2A">
        <w:trPr>
          <w:trHeight w:val="202"/>
        </w:trPr>
        <w:tc>
          <w:tcPr>
            <w:tcW w:w="4948" w:type="dxa"/>
          </w:tcPr>
          <w:p w14:paraId="4573E02A" w14:textId="2C90C52D" w:rsidR="00220466" w:rsidRPr="0048438C" w:rsidRDefault="00C34CBC" w:rsidP="0048438C">
            <w:pPr>
              <w:spacing w:before="60" w:after="60"/>
              <w:rPr>
                <w:b/>
                <w:szCs w:val="24"/>
              </w:rPr>
            </w:pPr>
            <w:r w:rsidRPr="0048438C">
              <w:rPr>
                <w:b/>
                <w:szCs w:val="24"/>
              </w:rPr>
              <w:t xml:space="preserve">Resolution Plan </w:t>
            </w:r>
            <w:r w:rsidR="0000781D" w:rsidRPr="0048438C">
              <w:rPr>
                <w:b/>
                <w:szCs w:val="24"/>
              </w:rPr>
              <w:t xml:space="preserve">Agreement </w:t>
            </w:r>
            <w:r w:rsidRPr="0048438C">
              <w:rPr>
                <w:b/>
                <w:szCs w:val="24"/>
              </w:rPr>
              <w:t>Required by</w:t>
            </w:r>
            <w:r w:rsidR="00220466" w:rsidRPr="0048438C">
              <w:rPr>
                <w:b/>
                <w:szCs w:val="24"/>
              </w:rPr>
              <w:t>:</w:t>
            </w:r>
          </w:p>
        </w:tc>
        <w:tc>
          <w:tcPr>
            <w:tcW w:w="4949" w:type="dxa"/>
          </w:tcPr>
          <w:p w14:paraId="4573E02B" w14:textId="7CECB1BB" w:rsidR="0000781D" w:rsidRPr="0048438C" w:rsidRDefault="6CF7A73C" w:rsidP="6CBF6D2A">
            <w:pPr>
              <w:spacing w:before="60" w:after="60" w:line="259" w:lineRule="auto"/>
            </w:pPr>
            <w:r>
              <w:t>06/08/26</w:t>
            </w:r>
          </w:p>
        </w:tc>
      </w:tr>
      <w:tr w:rsidR="00220466" w:rsidRPr="0048438C" w14:paraId="4573E032" w14:textId="77777777" w:rsidTr="6CBF6D2A">
        <w:trPr>
          <w:trHeight w:val="168"/>
        </w:trPr>
        <w:tc>
          <w:tcPr>
            <w:tcW w:w="4948" w:type="dxa"/>
          </w:tcPr>
          <w:p w14:paraId="4573E030" w14:textId="641F0447" w:rsidR="00220466" w:rsidRPr="0048438C" w:rsidRDefault="00867341" w:rsidP="0048438C">
            <w:pPr>
              <w:spacing w:before="60" w:after="60"/>
              <w:rPr>
                <w:b/>
                <w:szCs w:val="24"/>
              </w:rPr>
            </w:pPr>
            <w:r>
              <w:rPr>
                <w:b/>
                <w:szCs w:val="24"/>
              </w:rPr>
              <w:t>Record Reference</w:t>
            </w:r>
            <w:r w:rsidR="00494EE4" w:rsidRPr="0048438C">
              <w:rPr>
                <w:b/>
                <w:szCs w:val="24"/>
              </w:rPr>
              <w:t>:</w:t>
            </w:r>
          </w:p>
        </w:tc>
        <w:tc>
          <w:tcPr>
            <w:tcW w:w="4949" w:type="dxa"/>
          </w:tcPr>
          <w:p w14:paraId="4573E031" w14:textId="7BF4F24F" w:rsidR="00220466" w:rsidRPr="0048438C" w:rsidRDefault="00957EA6" w:rsidP="33D07D82">
            <w:pPr>
              <w:spacing w:before="60" w:after="60"/>
            </w:pPr>
            <w:r>
              <w:t>ONRW-</w:t>
            </w:r>
            <w:r w:rsidR="27838DAC">
              <w:t>2126615823-12804</w:t>
            </w:r>
          </w:p>
        </w:tc>
      </w:tr>
      <w:tr w:rsidR="0040443F" w:rsidRPr="0048438C" w14:paraId="4573E035" w14:textId="77777777" w:rsidTr="6CBF6D2A">
        <w:trPr>
          <w:trHeight w:val="202"/>
        </w:trPr>
        <w:tc>
          <w:tcPr>
            <w:tcW w:w="4948" w:type="dxa"/>
          </w:tcPr>
          <w:p w14:paraId="4573E033" w14:textId="26F0FB88" w:rsidR="0040443F" w:rsidRPr="0048438C" w:rsidRDefault="0040443F" w:rsidP="0040443F">
            <w:pPr>
              <w:spacing w:before="60" w:after="60"/>
              <w:rPr>
                <w:b/>
                <w:szCs w:val="24"/>
              </w:rPr>
            </w:pPr>
            <w:r w:rsidRPr="0048438C">
              <w:rPr>
                <w:b/>
                <w:szCs w:val="24"/>
              </w:rPr>
              <w:t>Related RQ / RO No. and CM9 Ref:</w:t>
            </w:r>
            <w:r w:rsidRPr="0048438C">
              <w:rPr>
                <w:szCs w:val="24"/>
              </w:rPr>
              <w:t xml:space="preserve"> (if any)</w:t>
            </w:r>
            <w:r w:rsidRPr="0048438C">
              <w:rPr>
                <w:b/>
                <w:szCs w:val="24"/>
              </w:rPr>
              <w:t>:</w:t>
            </w:r>
          </w:p>
        </w:tc>
        <w:tc>
          <w:tcPr>
            <w:tcW w:w="4949" w:type="dxa"/>
          </w:tcPr>
          <w:p w14:paraId="4573E034" w14:textId="61EA8B70" w:rsidR="0040443F" w:rsidRPr="0040443F" w:rsidRDefault="003939D6" w:rsidP="0040443F">
            <w:pPr>
              <w:spacing w:before="60" w:after="60"/>
              <w:rPr>
                <w:szCs w:val="24"/>
                <w:highlight w:val="yellow"/>
              </w:rPr>
            </w:pPr>
            <w:r w:rsidRPr="003939D6">
              <w:rPr>
                <w:szCs w:val="24"/>
              </w:rPr>
              <w:t>RQ-02675</w:t>
            </w:r>
          </w:p>
        </w:tc>
      </w:tr>
      <w:tr w:rsidR="00850471" w:rsidRPr="0048438C" w14:paraId="4573E03E" w14:textId="77777777" w:rsidTr="6CBF6D2A">
        <w:trPr>
          <w:trHeight w:val="202"/>
        </w:trPr>
        <w:tc>
          <w:tcPr>
            <w:tcW w:w="4948" w:type="dxa"/>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tcPr>
          <w:p w14:paraId="4573E03D" w14:textId="3AF8E7CB" w:rsidR="0040443F" w:rsidRPr="0048438C" w:rsidRDefault="007F331A" w:rsidP="0048438C">
            <w:pPr>
              <w:spacing w:before="60" w:after="60"/>
              <w:rPr>
                <w:szCs w:val="24"/>
              </w:rPr>
            </w:pPr>
            <w:r>
              <w:rPr>
                <w:szCs w:val="24"/>
              </w:rPr>
              <w:t>Internal Blast Safety Case within Containment</w:t>
            </w:r>
          </w:p>
        </w:tc>
      </w:tr>
      <w:tr w:rsidR="00CC67B6" w:rsidRPr="0048438C" w14:paraId="4573E043" w14:textId="77777777" w:rsidTr="6CBF6D2A">
        <w:trPr>
          <w:trHeight w:val="202"/>
        </w:trPr>
        <w:tc>
          <w:tcPr>
            <w:tcW w:w="4948" w:type="dxa"/>
          </w:tcPr>
          <w:p w14:paraId="71E06B30" w14:textId="77777777" w:rsidR="00CC67B6" w:rsidRPr="0048438C" w:rsidRDefault="00CC67B6" w:rsidP="0048438C">
            <w:pPr>
              <w:spacing w:before="60" w:after="60"/>
              <w:rPr>
                <w:szCs w:val="24"/>
              </w:rPr>
            </w:pPr>
            <w:r w:rsidRPr="0048438C">
              <w:rPr>
                <w:b/>
                <w:szCs w:val="24"/>
              </w:rPr>
              <w:t>Lead technical topic:</w:t>
            </w:r>
          </w:p>
          <w:p w14:paraId="4573E040" w14:textId="5EECEA23" w:rsidR="00CC67B6" w:rsidRPr="0048438C" w:rsidRDefault="0087645C" w:rsidP="00053509">
            <w:pPr>
              <w:spacing w:before="60" w:after="60"/>
              <w:rPr>
                <w:szCs w:val="24"/>
              </w:rPr>
            </w:pPr>
            <w:r w:rsidRPr="0087645C">
              <w:rPr>
                <w:szCs w:val="24"/>
              </w:rPr>
              <w:t>Internal Hazards</w:t>
            </w:r>
          </w:p>
        </w:tc>
        <w:tc>
          <w:tcPr>
            <w:tcW w:w="4949" w:type="dxa"/>
          </w:tcPr>
          <w:p w14:paraId="0BA3764E" w14:textId="77777777" w:rsidR="00CC67B6" w:rsidRPr="0048438C" w:rsidRDefault="00CC67B6" w:rsidP="0048438C">
            <w:pPr>
              <w:spacing w:before="60" w:after="60"/>
              <w:rPr>
                <w:b/>
                <w:szCs w:val="24"/>
              </w:rPr>
            </w:pPr>
            <w:r w:rsidRPr="0048438C">
              <w:rPr>
                <w:b/>
                <w:szCs w:val="24"/>
              </w:rPr>
              <w:t>Related technical topic(s):</w:t>
            </w:r>
          </w:p>
          <w:p w14:paraId="54314ECF" w14:textId="77777777" w:rsidR="003A6935" w:rsidRPr="003A6935" w:rsidRDefault="003A6935" w:rsidP="003A6935">
            <w:pPr>
              <w:spacing w:before="60" w:after="60"/>
              <w:rPr>
                <w:szCs w:val="24"/>
              </w:rPr>
            </w:pPr>
            <w:r w:rsidRPr="003A6935">
              <w:rPr>
                <w:szCs w:val="24"/>
              </w:rPr>
              <w:t>Civil Engineering</w:t>
            </w:r>
          </w:p>
          <w:p w14:paraId="02A933B2" w14:textId="77777777" w:rsidR="003A6935" w:rsidRPr="003A6935" w:rsidRDefault="003A6935" w:rsidP="003A6935">
            <w:pPr>
              <w:spacing w:before="60" w:after="60"/>
              <w:rPr>
                <w:szCs w:val="24"/>
              </w:rPr>
            </w:pPr>
            <w:r w:rsidRPr="003A6935">
              <w:rPr>
                <w:szCs w:val="24"/>
              </w:rPr>
              <w:t>Control &amp; Instrumentation</w:t>
            </w:r>
          </w:p>
          <w:p w14:paraId="08CB8827" w14:textId="77777777" w:rsidR="003A6935" w:rsidRPr="003A6935" w:rsidRDefault="003A6935" w:rsidP="003A6935">
            <w:pPr>
              <w:spacing w:before="60" w:after="60"/>
              <w:rPr>
                <w:szCs w:val="24"/>
              </w:rPr>
            </w:pPr>
            <w:r w:rsidRPr="003A6935">
              <w:rPr>
                <w:szCs w:val="24"/>
              </w:rPr>
              <w:t>Electrical Engineering</w:t>
            </w:r>
          </w:p>
          <w:p w14:paraId="3CB201B2" w14:textId="77777777" w:rsidR="003A6935" w:rsidRPr="003A6935" w:rsidRDefault="003A6935" w:rsidP="003A6935">
            <w:pPr>
              <w:spacing w:before="60" w:after="60"/>
              <w:rPr>
                <w:szCs w:val="24"/>
              </w:rPr>
            </w:pPr>
            <w:r w:rsidRPr="003A6935">
              <w:rPr>
                <w:szCs w:val="24"/>
              </w:rPr>
              <w:t>Fault Studies</w:t>
            </w:r>
          </w:p>
          <w:p w14:paraId="5D383E4C" w14:textId="77777777" w:rsidR="003A6935" w:rsidRPr="003A6935" w:rsidRDefault="003A6935" w:rsidP="003A6935">
            <w:pPr>
              <w:spacing w:before="60" w:after="60"/>
              <w:rPr>
                <w:szCs w:val="24"/>
              </w:rPr>
            </w:pPr>
            <w:r w:rsidRPr="003A6935">
              <w:rPr>
                <w:szCs w:val="24"/>
              </w:rPr>
              <w:t>Mechanical Engineering</w:t>
            </w:r>
          </w:p>
          <w:p w14:paraId="4573E042" w14:textId="39F55461" w:rsidR="00CC67B6" w:rsidRPr="0048438C" w:rsidRDefault="003A6935" w:rsidP="003A6935">
            <w:pPr>
              <w:pStyle w:val="ListParagraph"/>
              <w:spacing w:before="60" w:after="60"/>
              <w:ind w:left="0"/>
              <w:rPr>
                <w:szCs w:val="24"/>
              </w:rPr>
            </w:pPr>
            <w:r w:rsidRPr="003A6935">
              <w:rPr>
                <w:szCs w:val="24"/>
              </w:rPr>
              <w:t>Structural Integrity</w:t>
            </w:r>
            <w:r w:rsidRPr="003A6935">
              <w:rPr>
                <w:szCs w:val="24"/>
                <w:lang w:eastAsia="en-GB"/>
              </w:rPr>
              <w:t xml:space="preserve"> </w:t>
            </w:r>
            <w:r w:rsidR="00CC67B6" w:rsidRPr="0048438C">
              <w:rPr>
                <w:szCs w:val="24"/>
                <w:lang w:eastAsia="en-GB"/>
              </w:rPr>
              <w:fldChar w:fldCharType="begin"/>
            </w:r>
            <w:r w:rsidR="00CC67B6" w:rsidRPr="0048438C">
              <w:rPr>
                <w:szCs w:val="24"/>
                <w:lang w:eastAsia="en-GB"/>
              </w:rPr>
              <w:instrText xml:space="preserve"> MERGEFIELD F10 </w:instrText>
            </w:r>
            <w:r w:rsidR="00CC67B6" w:rsidRPr="0048438C">
              <w:rPr>
                <w:szCs w:val="24"/>
                <w:lang w:eastAsia="en-GB"/>
              </w:rPr>
              <w:fldChar w:fldCharType="end"/>
            </w:r>
          </w:p>
        </w:tc>
      </w:tr>
      <w:tr w:rsidR="00850471" w:rsidRPr="0048438C" w14:paraId="4573E045" w14:textId="77777777" w:rsidTr="6CBF6D2A">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t>REGULATORY OBSERVATION:</w:t>
            </w:r>
          </w:p>
        </w:tc>
      </w:tr>
      <w:tr w:rsidR="00850471" w:rsidRPr="0048438C" w14:paraId="4573E049" w14:textId="77777777" w:rsidTr="6CBF6D2A">
        <w:tc>
          <w:tcPr>
            <w:tcW w:w="9897" w:type="dxa"/>
            <w:gridSpan w:val="2"/>
          </w:tcPr>
          <w:p w14:paraId="4F3F6A8D" w14:textId="162229E0" w:rsidR="00850471" w:rsidRPr="0048438C" w:rsidRDefault="00CC67B6" w:rsidP="0048438C">
            <w:pPr>
              <w:spacing w:before="60" w:after="60"/>
              <w:rPr>
                <w:b/>
                <w:szCs w:val="24"/>
                <w:u w:val="single"/>
              </w:rPr>
            </w:pPr>
            <w:r w:rsidRPr="0048438C">
              <w:rPr>
                <w:b/>
                <w:szCs w:val="24"/>
                <w:u w:val="single"/>
              </w:rPr>
              <w:t>Background</w:t>
            </w:r>
          </w:p>
          <w:p w14:paraId="532BD0AD" w14:textId="77777777" w:rsidR="00B737FF" w:rsidRDefault="00B737FF" w:rsidP="003C3382">
            <w:pPr>
              <w:rPr>
                <w:bCs/>
                <w:szCs w:val="24"/>
              </w:rPr>
            </w:pPr>
            <w:r>
              <w:rPr>
                <w:bCs/>
                <w:szCs w:val="24"/>
              </w:rPr>
              <w:t xml:space="preserve">Segregation or separation of trains of equipment to protect against the effects of internal hazards is an established principle in the design of new nuclear power plants (NPP). This is reflected within ONR’s </w:t>
            </w:r>
            <w:r w:rsidRPr="00C30035">
              <w:rPr>
                <w:bCs/>
                <w:szCs w:val="24"/>
              </w:rPr>
              <w:t>SAPs [1] and</w:t>
            </w:r>
            <w:r>
              <w:rPr>
                <w:bCs/>
                <w:szCs w:val="24"/>
              </w:rPr>
              <w:t xml:space="preserve"> relevant international guidance such as IAEA SSG-64 </w:t>
            </w:r>
            <w:r w:rsidRPr="00C30035">
              <w:rPr>
                <w:bCs/>
                <w:szCs w:val="24"/>
              </w:rPr>
              <w:t>[2] with</w:t>
            </w:r>
            <w:r>
              <w:rPr>
                <w:bCs/>
                <w:szCs w:val="24"/>
              </w:rPr>
              <w:t xml:space="preserve"> a preference for robust segregation where practicable.</w:t>
            </w:r>
          </w:p>
          <w:p w14:paraId="09DD6D36" w14:textId="77777777" w:rsidR="001A25CB" w:rsidRDefault="001A25CB" w:rsidP="003C3382">
            <w:pPr>
              <w:rPr>
                <w:bCs/>
                <w:szCs w:val="24"/>
              </w:rPr>
            </w:pPr>
          </w:p>
          <w:p w14:paraId="6578A7E6" w14:textId="46F8DBEA" w:rsidR="00573C95" w:rsidRDefault="00B737FF" w:rsidP="003C3382">
            <w:pPr>
              <w:rPr>
                <w:bCs/>
                <w:szCs w:val="24"/>
              </w:rPr>
            </w:pPr>
            <w:r>
              <w:rPr>
                <w:bCs/>
                <w:szCs w:val="24"/>
              </w:rPr>
              <w:t>Some areas of a NPP</w:t>
            </w:r>
            <w:r w:rsidR="001A25CB">
              <w:rPr>
                <w:bCs/>
                <w:szCs w:val="24"/>
              </w:rPr>
              <w:t xml:space="preserve"> </w:t>
            </w:r>
            <w:r>
              <w:rPr>
                <w:bCs/>
                <w:szCs w:val="24"/>
              </w:rPr>
              <w:t>cannot be segregated for operational and spatial reasons e.g. when connecting multiple redundant pipelines to the primary circuit. This is the case for the Requesting Party (RP’s) design.</w:t>
            </w:r>
            <w:r w:rsidR="00511F3C">
              <w:rPr>
                <w:bCs/>
                <w:szCs w:val="24"/>
              </w:rPr>
              <w:t xml:space="preserve"> </w:t>
            </w:r>
            <w:r w:rsidR="006B3A51">
              <w:rPr>
                <w:bCs/>
                <w:szCs w:val="24"/>
              </w:rPr>
              <w:t xml:space="preserve">In instances such as this a safety case will often make other withstand related claims, to demonstrate </w:t>
            </w:r>
            <w:r w:rsidR="004F5BC3">
              <w:rPr>
                <w:bCs/>
                <w:szCs w:val="24"/>
              </w:rPr>
              <w:t>both that equipment cannot act as a hazard source or that the equipment will resist the effects of hazards.</w:t>
            </w:r>
          </w:p>
          <w:p w14:paraId="1B93B6F1" w14:textId="77777777" w:rsidR="00033217" w:rsidRDefault="00033217" w:rsidP="003C3382">
            <w:pPr>
              <w:rPr>
                <w:bCs/>
                <w:szCs w:val="24"/>
              </w:rPr>
            </w:pPr>
          </w:p>
          <w:p w14:paraId="7F9A30E5" w14:textId="09959CA6" w:rsidR="00900A3C" w:rsidRDefault="00033217" w:rsidP="003C3382">
            <w:pPr>
              <w:rPr>
                <w:bCs/>
                <w:szCs w:val="24"/>
              </w:rPr>
            </w:pPr>
            <w:r>
              <w:rPr>
                <w:bCs/>
                <w:szCs w:val="24"/>
              </w:rPr>
              <w:t xml:space="preserve">The containment </w:t>
            </w:r>
            <w:r w:rsidR="006438F8">
              <w:rPr>
                <w:bCs/>
                <w:szCs w:val="24"/>
              </w:rPr>
              <w:t>of the generic Rolls-Royce SMR design is one area where segregation cannot be</w:t>
            </w:r>
            <w:r w:rsidR="0084744F">
              <w:rPr>
                <w:bCs/>
                <w:szCs w:val="24"/>
              </w:rPr>
              <w:t xml:space="preserve"> fully</w:t>
            </w:r>
            <w:r w:rsidR="006438F8">
              <w:rPr>
                <w:bCs/>
                <w:szCs w:val="24"/>
              </w:rPr>
              <w:t xml:space="preserve"> achieved for several </w:t>
            </w:r>
            <w:r w:rsidR="0084744F">
              <w:rPr>
                <w:bCs/>
                <w:szCs w:val="24"/>
              </w:rPr>
              <w:t xml:space="preserve">important Structures, Systems and Components (SSCs). The containment </w:t>
            </w:r>
            <w:r w:rsidR="00943951">
              <w:rPr>
                <w:bCs/>
                <w:szCs w:val="24"/>
              </w:rPr>
              <w:t>is</w:t>
            </w:r>
            <w:r w:rsidR="0084744F">
              <w:rPr>
                <w:bCs/>
                <w:szCs w:val="24"/>
              </w:rPr>
              <w:t xml:space="preserve"> a large, steel vessel which houses the primary circuit and </w:t>
            </w:r>
            <w:r w:rsidR="00077DF9">
              <w:rPr>
                <w:bCs/>
                <w:szCs w:val="24"/>
              </w:rPr>
              <w:t>various key safety systems whose main function is to confine radioactive material during fault and accident conditions</w:t>
            </w:r>
            <w:r w:rsidR="003B5F69">
              <w:rPr>
                <w:bCs/>
                <w:szCs w:val="24"/>
              </w:rPr>
              <w:t>.</w:t>
            </w:r>
            <w:r w:rsidR="0084744F">
              <w:rPr>
                <w:bCs/>
                <w:szCs w:val="24"/>
              </w:rPr>
              <w:t xml:space="preserve"> </w:t>
            </w:r>
            <w:r w:rsidR="006B6CF0">
              <w:rPr>
                <w:bCs/>
                <w:szCs w:val="24"/>
              </w:rPr>
              <w:t xml:space="preserve">Some components within containment are also designated </w:t>
            </w:r>
            <w:r w:rsidR="006B6CF0">
              <w:rPr>
                <w:bCs/>
                <w:szCs w:val="24"/>
              </w:rPr>
              <w:lastRenderedPageBreak/>
              <w:t>Very High Reliability (VHR) meaning that their failure could lead directly or indirectly to intolerable consequences.</w:t>
            </w:r>
          </w:p>
          <w:p w14:paraId="44E6E8C6" w14:textId="77777777" w:rsidR="00C905B3" w:rsidRDefault="00C905B3" w:rsidP="003C3382">
            <w:pPr>
              <w:rPr>
                <w:bCs/>
                <w:szCs w:val="24"/>
              </w:rPr>
            </w:pPr>
          </w:p>
          <w:p w14:paraId="723FA3A2" w14:textId="6ABFCA4D" w:rsidR="00C905B3" w:rsidRDefault="00C905B3" w:rsidP="003C3382">
            <w:pPr>
              <w:rPr>
                <w:bCs/>
                <w:szCs w:val="24"/>
              </w:rPr>
            </w:pPr>
            <w:r>
              <w:rPr>
                <w:bCs/>
                <w:szCs w:val="24"/>
              </w:rPr>
              <w:t>The failure of a pressurised component resulting in a blast hazard is considered an infrequent hazard</w:t>
            </w:r>
            <w:r w:rsidR="003B5F69">
              <w:rPr>
                <w:bCs/>
                <w:szCs w:val="24"/>
              </w:rPr>
              <w:t>. Such an event</w:t>
            </w:r>
            <w:r w:rsidR="0048301D">
              <w:rPr>
                <w:bCs/>
                <w:szCs w:val="24"/>
              </w:rPr>
              <w:t xml:space="preserve"> has the ability to damage SSCs </w:t>
            </w:r>
            <w:r w:rsidR="00F7274D">
              <w:rPr>
                <w:bCs/>
                <w:szCs w:val="24"/>
              </w:rPr>
              <w:t>via a pressure wave</w:t>
            </w:r>
            <w:r w:rsidR="001967E7">
              <w:rPr>
                <w:bCs/>
                <w:szCs w:val="24"/>
              </w:rPr>
              <w:t xml:space="preserve"> which </w:t>
            </w:r>
            <w:r w:rsidR="00C828C6">
              <w:rPr>
                <w:bCs/>
                <w:szCs w:val="24"/>
              </w:rPr>
              <w:t xml:space="preserve">generally </w:t>
            </w:r>
            <w:r w:rsidR="001967E7">
              <w:rPr>
                <w:bCs/>
                <w:szCs w:val="24"/>
              </w:rPr>
              <w:t>dissipates with distance from the source</w:t>
            </w:r>
            <w:r w:rsidR="00F7274D">
              <w:rPr>
                <w:bCs/>
                <w:szCs w:val="24"/>
              </w:rPr>
              <w:t>.</w:t>
            </w:r>
            <w:r w:rsidR="001967E7">
              <w:rPr>
                <w:bCs/>
                <w:szCs w:val="24"/>
              </w:rPr>
              <w:t xml:space="preserve"> The Rolls-Royce SMR design </w:t>
            </w:r>
            <w:r w:rsidR="009D62AE">
              <w:rPr>
                <w:bCs/>
                <w:szCs w:val="24"/>
              </w:rPr>
              <w:t>has</w:t>
            </w:r>
            <w:r w:rsidR="00C828C6">
              <w:rPr>
                <w:bCs/>
                <w:szCs w:val="24"/>
              </w:rPr>
              <w:t xml:space="preserve"> a compact containment design</w:t>
            </w:r>
            <w:r w:rsidR="009D62AE">
              <w:rPr>
                <w:bCs/>
                <w:szCs w:val="24"/>
              </w:rPr>
              <w:t>, which means</w:t>
            </w:r>
            <w:r w:rsidR="00C828C6">
              <w:rPr>
                <w:bCs/>
                <w:szCs w:val="24"/>
              </w:rPr>
              <w:t xml:space="preserve"> that the physical distan</w:t>
            </w:r>
            <w:r w:rsidR="004D77F2">
              <w:rPr>
                <w:bCs/>
                <w:szCs w:val="24"/>
              </w:rPr>
              <w:t>ce</w:t>
            </w:r>
            <w:r w:rsidR="00C828C6">
              <w:rPr>
                <w:bCs/>
                <w:szCs w:val="24"/>
              </w:rPr>
              <w:t xml:space="preserve"> between potential blast sources and the targets of concern may </w:t>
            </w:r>
            <w:r w:rsidR="000A4E5B">
              <w:rPr>
                <w:bCs/>
                <w:szCs w:val="24"/>
              </w:rPr>
              <w:t>not be sufficient to reduce the intensity of the pressure wave to tolerable levels.</w:t>
            </w:r>
          </w:p>
          <w:p w14:paraId="2F1659CB" w14:textId="77777777" w:rsidR="004D77F2" w:rsidRDefault="004D77F2" w:rsidP="003C3382">
            <w:pPr>
              <w:rPr>
                <w:bCs/>
                <w:szCs w:val="24"/>
              </w:rPr>
            </w:pPr>
          </w:p>
          <w:p w14:paraId="44772861" w14:textId="2494328E" w:rsidR="004D77F2" w:rsidRDefault="004D77F2" w:rsidP="003C3382">
            <w:pPr>
              <w:rPr>
                <w:bCs/>
                <w:szCs w:val="24"/>
              </w:rPr>
            </w:pPr>
            <w:r>
              <w:rPr>
                <w:bCs/>
                <w:szCs w:val="24"/>
              </w:rPr>
              <w:t xml:space="preserve">The RP recognises this risk and has carried out </w:t>
            </w:r>
            <w:r w:rsidR="006405C1">
              <w:rPr>
                <w:bCs/>
                <w:szCs w:val="24"/>
              </w:rPr>
              <w:t xml:space="preserve">characterisation of identified blast sources utilising both </w:t>
            </w:r>
            <w:r w:rsidR="00FE35C1">
              <w:rPr>
                <w:bCs/>
                <w:szCs w:val="24"/>
              </w:rPr>
              <w:t>semi-</w:t>
            </w:r>
            <w:r w:rsidR="00FE35C1" w:rsidRPr="00DA6DA4">
              <w:rPr>
                <w:bCs/>
                <w:szCs w:val="24"/>
              </w:rPr>
              <w:t>empirical</w:t>
            </w:r>
            <w:r w:rsidR="00A0625C" w:rsidRPr="00DA6DA4">
              <w:rPr>
                <w:bCs/>
                <w:szCs w:val="24"/>
              </w:rPr>
              <w:t xml:space="preserve"> [</w:t>
            </w:r>
            <w:r w:rsidR="00DA6DA4">
              <w:rPr>
                <w:bCs/>
                <w:szCs w:val="24"/>
              </w:rPr>
              <w:t>3</w:t>
            </w:r>
            <w:r w:rsidR="00A0625C" w:rsidRPr="00DA6DA4">
              <w:rPr>
                <w:bCs/>
                <w:szCs w:val="24"/>
              </w:rPr>
              <w:t>]</w:t>
            </w:r>
            <w:r w:rsidR="00FE35C1" w:rsidRPr="00DA6DA4">
              <w:rPr>
                <w:bCs/>
                <w:szCs w:val="24"/>
              </w:rPr>
              <w:t xml:space="preserve"> and computational fluid dynamics (CFD) methods</w:t>
            </w:r>
            <w:r w:rsidR="00A0625C" w:rsidRPr="00DA6DA4">
              <w:rPr>
                <w:bCs/>
                <w:szCs w:val="24"/>
              </w:rPr>
              <w:t xml:space="preserve"> [</w:t>
            </w:r>
            <w:r w:rsidR="00DA6DA4">
              <w:rPr>
                <w:bCs/>
                <w:szCs w:val="24"/>
              </w:rPr>
              <w:t>4</w:t>
            </w:r>
            <w:r w:rsidR="00A0625C" w:rsidRPr="00DA6DA4">
              <w:rPr>
                <w:bCs/>
                <w:szCs w:val="24"/>
              </w:rPr>
              <w:t>]</w:t>
            </w:r>
            <w:r w:rsidR="00FE35C1" w:rsidRPr="00DA6DA4">
              <w:rPr>
                <w:bCs/>
                <w:szCs w:val="24"/>
              </w:rPr>
              <w:t>.</w:t>
            </w:r>
            <w:r w:rsidR="00FE35C1">
              <w:rPr>
                <w:bCs/>
                <w:szCs w:val="24"/>
              </w:rPr>
              <w:t xml:space="preserve"> </w:t>
            </w:r>
            <w:r w:rsidR="00F944E1">
              <w:rPr>
                <w:bCs/>
                <w:szCs w:val="24"/>
              </w:rPr>
              <w:t xml:space="preserve">Both sets of analysis demonstrate that identified targets may be exposed to significant </w:t>
            </w:r>
            <w:r w:rsidR="002E0737">
              <w:rPr>
                <w:bCs/>
                <w:szCs w:val="24"/>
              </w:rPr>
              <w:t xml:space="preserve">overpressures. </w:t>
            </w:r>
            <w:r w:rsidR="00A0625C">
              <w:rPr>
                <w:bCs/>
                <w:szCs w:val="24"/>
              </w:rPr>
              <w:t>The RP has also performed optioneering to assess</w:t>
            </w:r>
            <w:r w:rsidR="00365256">
              <w:rPr>
                <w:bCs/>
                <w:szCs w:val="24"/>
              </w:rPr>
              <w:t xml:space="preserve"> potential blast mitigation measures </w:t>
            </w:r>
            <w:r w:rsidR="00924CDA">
              <w:rPr>
                <w:bCs/>
                <w:szCs w:val="24"/>
              </w:rPr>
              <w:t>within containment [</w:t>
            </w:r>
            <w:r w:rsidR="00DA6DA4">
              <w:rPr>
                <w:bCs/>
                <w:szCs w:val="24"/>
              </w:rPr>
              <w:t>5</w:t>
            </w:r>
            <w:r w:rsidR="00924CDA">
              <w:rPr>
                <w:bCs/>
                <w:szCs w:val="24"/>
              </w:rPr>
              <w:t xml:space="preserve">]. This has identified that some VHR components may be required to withstand </w:t>
            </w:r>
            <w:r w:rsidR="00A06049">
              <w:rPr>
                <w:bCs/>
                <w:szCs w:val="24"/>
              </w:rPr>
              <w:t>blast loading</w:t>
            </w:r>
            <w:r w:rsidR="008B159A">
              <w:rPr>
                <w:bCs/>
                <w:szCs w:val="24"/>
              </w:rPr>
              <w:t>s</w:t>
            </w:r>
            <w:r w:rsidR="00600A1A">
              <w:rPr>
                <w:bCs/>
                <w:szCs w:val="24"/>
              </w:rPr>
              <w:t>,</w:t>
            </w:r>
            <w:r w:rsidR="00AC29B5">
              <w:rPr>
                <w:bCs/>
                <w:szCs w:val="24"/>
              </w:rPr>
              <w:t xml:space="preserve"> however explicit</w:t>
            </w:r>
            <w:r w:rsidR="008528D1">
              <w:rPr>
                <w:bCs/>
                <w:szCs w:val="24"/>
              </w:rPr>
              <w:t xml:space="preserve"> withstand</w:t>
            </w:r>
            <w:r w:rsidR="00AC29B5">
              <w:rPr>
                <w:bCs/>
                <w:szCs w:val="24"/>
              </w:rPr>
              <w:t xml:space="preserve"> requirements on </w:t>
            </w:r>
            <w:r w:rsidR="00902856">
              <w:rPr>
                <w:bCs/>
                <w:szCs w:val="24"/>
              </w:rPr>
              <w:t xml:space="preserve">civil components </w:t>
            </w:r>
            <w:r w:rsidR="000B73B8">
              <w:rPr>
                <w:bCs/>
                <w:szCs w:val="24"/>
              </w:rPr>
              <w:t>or other SSCs</w:t>
            </w:r>
            <w:r w:rsidR="00206F81">
              <w:rPr>
                <w:bCs/>
                <w:szCs w:val="24"/>
              </w:rPr>
              <w:t>, within containment</w:t>
            </w:r>
            <w:r w:rsidR="008528D1">
              <w:rPr>
                <w:bCs/>
                <w:szCs w:val="24"/>
              </w:rPr>
              <w:t>,</w:t>
            </w:r>
            <w:r w:rsidR="000B73B8">
              <w:rPr>
                <w:bCs/>
                <w:szCs w:val="24"/>
              </w:rPr>
              <w:t xml:space="preserve"> have not yet been identified.</w:t>
            </w:r>
          </w:p>
          <w:p w14:paraId="5F64B4B2" w14:textId="77777777" w:rsidR="00490A48" w:rsidRDefault="00490A48" w:rsidP="003C3382">
            <w:pPr>
              <w:rPr>
                <w:bCs/>
                <w:szCs w:val="24"/>
              </w:rPr>
            </w:pPr>
          </w:p>
          <w:p w14:paraId="621B7F9C" w14:textId="4585DD9B" w:rsidR="00490A48" w:rsidRDefault="00490A48" w:rsidP="003C3382">
            <w:pPr>
              <w:rPr>
                <w:bCs/>
                <w:szCs w:val="24"/>
              </w:rPr>
            </w:pPr>
            <w:r>
              <w:rPr>
                <w:bCs/>
                <w:szCs w:val="24"/>
              </w:rPr>
              <w:t xml:space="preserve">ONR raised RQ-02675 </w:t>
            </w:r>
            <w:r w:rsidR="0084777B">
              <w:rPr>
                <w:bCs/>
                <w:szCs w:val="24"/>
              </w:rPr>
              <w:t>to gain clarity on</w:t>
            </w:r>
            <w:r w:rsidR="00090117">
              <w:rPr>
                <w:bCs/>
                <w:szCs w:val="24"/>
              </w:rPr>
              <w:t xml:space="preserve"> how the RP intends to demonstrate that </w:t>
            </w:r>
            <w:r w:rsidR="008B159A">
              <w:rPr>
                <w:bCs/>
                <w:szCs w:val="24"/>
              </w:rPr>
              <w:t xml:space="preserve">the </w:t>
            </w:r>
            <w:r w:rsidR="00090117">
              <w:rPr>
                <w:bCs/>
                <w:szCs w:val="24"/>
              </w:rPr>
              <w:t xml:space="preserve">consequences of potential blast hazards within containment can be tolerated. ONR remains concerned that </w:t>
            </w:r>
            <w:r w:rsidR="00F65458">
              <w:rPr>
                <w:bCs/>
                <w:szCs w:val="24"/>
              </w:rPr>
              <w:t xml:space="preserve">a </w:t>
            </w:r>
            <w:r w:rsidR="008B159A">
              <w:rPr>
                <w:bCs/>
                <w:szCs w:val="24"/>
              </w:rPr>
              <w:t>sufficient</w:t>
            </w:r>
            <w:r w:rsidR="00F65458">
              <w:rPr>
                <w:bCs/>
                <w:szCs w:val="24"/>
              </w:rPr>
              <w:t xml:space="preserve"> </w:t>
            </w:r>
            <w:r w:rsidR="00FE761C">
              <w:rPr>
                <w:bCs/>
                <w:szCs w:val="24"/>
              </w:rPr>
              <w:t xml:space="preserve">demonstration of safe shutdown </w:t>
            </w:r>
            <w:r w:rsidR="00C53B1A">
              <w:rPr>
                <w:bCs/>
                <w:szCs w:val="24"/>
              </w:rPr>
              <w:t xml:space="preserve">capability </w:t>
            </w:r>
            <w:r w:rsidR="004B6201">
              <w:rPr>
                <w:bCs/>
                <w:szCs w:val="24"/>
              </w:rPr>
              <w:t xml:space="preserve">and the survivability of VHR components </w:t>
            </w:r>
            <w:r w:rsidR="00E9284B">
              <w:rPr>
                <w:bCs/>
                <w:szCs w:val="24"/>
              </w:rPr>
              <w:t>may not be provided within GDA timescales.</w:t>
            </w:r>
            <w:r w:rsidR="00C85710">
              <w:rPr>
                <w:bCs/>
                <w:szCs w:val="24"/>
              </w:rPr>
              <w:t xml:space="preserve"> In particular the following aspects are of concern:</w:t>
            </w:r>
          </w:p>
          <w:p w14:paraId="29B8D6C6" w14:textId="0ECFED46" w:rsidR="00C85710" w:rsidRDefault="005D0854" w:rsidP="003C3382">
            <w:pPr>
              <w:pStyle w:val="ListParagraph"/>
              <w:numPr>
                <w:ilvl w:val="0"/>
                <w:numId w:val="25"/>
              </w:numPr>
              <w:rPr>
                <w:bCs/>
                <w:szCs w:val="24"/>
              </w:rPr>
            </w:pPr>
            <w:r>
              <w:rPr>
                <w:bCs/>
                <w:szCs w:val="24"/>
              </w:rPr>
              <w:t xml:space="preserve">Blast hazards within containment </w:t>
            </w:r>
            <w:r w:rsidR="00502308">
              <w:rPr>
                <w:bCs/>
                <w:szCs w:val="24"/>
              </w:rPr>
              <w:t xml:space="preserve">may introduce overpressure withstand requirements onto civil elements within containment. </w:t>
            </w:r>
            <w:r w:rsidR="00E809BE">
              <w:rPr>
                <w:bCs/>
                <w:szCs w:val="24"/>
              </w:rPr>
              <w:t xml:space="preserve">The set of requirements </w:t>
            </w:r>
            <w:r w:rsidR="00E65D34">
              <w:rPr>
                <w:bCs/>
                <w:szCs w:val="24"/>
              </w:rPr>
              <w:t>on civil structures is not yet clear. Specifically</w:t>
            </w:r>
            <w:r w:rsidR="001E2E4A">
              <w:rPr>
                <w:bCs/>
                <w:szCs w:val="24"/>
              </w:rPr>
              <w:t>:</w:t>
            </w:r>
          </w:p>
          <w:p w14:paraId="1ED3B378" w14:textId="4D7A1F04" w:rsidR="001E2E4A" w:rsidRDefault="006D2053" w:rsidP="003C3382">
            <w:pPr>
              <w:pStyle w:val="ListParagraph"/>
              <w:numPr>
                <w:ilvl w:val="1"/>
                <w:numId w:val="25"/>
              </w:numPr>
              <w:rPr>
                <w:bCs/>
                <w:szCs w:val="24"/>
              </w:rPr>
            </w:pPr>
            <w:r>
              <w:rPr>
                <w:bCs/>
                <w:szCs w:val="24"/>
              </w:rPr>
              <w:t xml:space="preserve">Civil structures forming bunkers </w:t>
            </w:r>
            <w:r w:rsidR="0027042F">
              <w:rPr>
                <w:bCs/>
                <w:szCs w:val="24"/>
              </w:rPr>
              <w:t>e.g. those around the steam generators</w:t>
            </w:r>
          </w:p>
          <w:p w14:paraId="624B92BC" w14:textId="1AD50FAC" w:rsidR="002266AD" w:rsidRDefault="002266AD" w:rsidP="003C3382">
            <w:pPr>
              <w:pStyle w:val="ListParagraph"/>
              <w:numPr>
                <w:ilvl w:val="1"/>
                <w:numId w:val="25"/>
              </w:numPr>
              <w:rPr>
                <w:bCs/>
                <w:szCs w:val="24"/>
              </w:rPr>
            </w:pPr>
            <w:r>
              <w:rPr>
                <w:bCs/>
                <w:szCs w:val="24"/>
              </w:rPr>
              <w:t>Civil structures forming the retaining wall of the</w:t>
            </w:r>
            <w:r w:rsidR="00E21A57">
              <w:rPr>
                <w:bCs/>
                <w:szCs w:val="24"/>
              </w:rPr>
              <w:t xml:space="preserve"> In-Containment Water Storage System</w:t>
            </w:r>
            <w:r>
              <w:rPr>
                <w:bCs/>
                <w:szCs w:val="24"/>
              </w:rPr>
              <w:t xml:space="preserve"> </w:t>
            </w:r>
            <w:r w:rsidR="00E21A57">
              <w:rPr>
                <w:bCs/>
                <w:szCs w:val="24"/>
              </w:rPr>
              <w:t>(</w:t>
            </w:r>
            <w:r>
              <w:rPr>
                <w:bCs/>
                <w:szCs w:val="24"/>
              </w:rPr>
              <w:t>IWSS</w:t>
            </w:r>
            <w:r w:rsidR="00E21A57">
              <w:rPr>
                <w:bCs/>
                <w:szCs w:val="24"/>
              </w:rPr>
              <w:t>)</w:t>
            </w:r>
          </w:p>
          <w:p w14:paraId="017C7064" w14:textId="702D4B99" w:rsidR="00B95FF2" w:rsidRPr="00E804CE" w:rsidRDefault="002266AD" w:rsidP="003C3382">
            <w:pPr>
              <w:pStyle w:val="ListParagraph"/>
              <w:numPr>
                <w:ilvl w:val="1"/>
                <w:numId w:val="25"/>
              </w:numPr>
              <w:rPr>
                <w:bCs/>
                <w:szCs w:val="24"/>
              </w:rPr>
            </w:pPr>
            <w:r>
              <w:rPr>
                <w:bCs/>
                <w:szCs w:val="24"/>
              </w:rPr>
              <w:t xml:space="preserve">Civil structures surrounding </w:t>
            </w:r>
            <w:r w:rsidR="00DA392D">
              <w:rPr>
                <w:bCs/>
                <w:szCs w:val="24"/>
              </w:rPr>
              <w:t xml:space="preserve">the </w:t>
            </w:r>
            <w:r w:rsidR="00A469AE">
              <w:rPr>
                <w:bCs/>
                <w:szCs w:val="24"/>
              </w:rPr>
              <w:t>Level and Volume Control System (</w:t>
            </w:r>
            <w:r w:rsidR="00DA392D">
              <w:rPr>
                <w:bCs/>
                <w:szCs w:val="24"/>
              </w:rPr>
              <w:t>KBA</w:t>
            </w:r>
            <w:r w:rsidR="00A469AE">
              <w:rPr>
                <w:bCs/>
                <w:szCs w:val="24"/>
              </w:rPr>
              <w:t>)</w:t>
            </w:r>
            <w:r w:rsidR="00B5167F">
              <w:rPr>
                <w:bCs/>
                <w:szCs w:val="24"/>
              </w:rPr>
              <w:t xml:space="preserve"> heat exchanger</w:t>
            </w:r>
          </w:p>
          <w:p w14:paraId="6525ABC3" w14:textId="28ACB26D" w:rsidR="00411AA4" w:rsidRDefault="00411AA4" w:rsidP="003C3382">
            <w:pPr>
              <w:pStyle w:val="ListParagraph"/>
              <w:numPr>
                <w:ilvl w:val="0"/>
                <w:numId w:val="25"/>
              </w:numPr>
              <w:rPr>
                <w:bCs/>
                <w:szCs w:val="24"/>
              </w:rPr>
            </w:pPr>
            <w:r>
              <w:rPr>
                <w:bCs/>
                <w:szCs w:val="24"/>
              </w:rPr>
              <w:t xml:space="preserve">Blast hazards within containment </w:t>
            </w:r>
            <w:r w:rsidR="00880B8B">
              <w:rPr>
                <w:bCs/>
                <w:szCs w:val="24"/>
              </w:rPr>
              <w:t xml:space="preserve">are acknowledged by the RP to introduce withstand requirements onto </w:t>
            </w:r>
            <w:r w:rsidR="00E63316">
              <w:rPr>
                <w:bCs/>
                <w:szCs w:val="24"/>
              </w:rPr>
              <w:t xml:space="preserve">some </w:t>
            </w:r>
            <w:r w:rsidR="00880B8B">
              <w:rPr>
                <w:bCs/>
                <w:szCs w:val="24"/>
              </w:rPr>
              <w:t xml:space="preserve">VHR components. </w:t>
            </w:r>
            <w:r w:rsidR="00E63316">
              <w:rPr>
                <w:bCs/>
                <w:szCs w:val="24"/>
              </w:rPr>
              <w:t xml:space="preserve">How such claims will be substantiated </w:t>
            </w:r>
            <w:r w:rsidR="00DB29AE">
              <w:rPr>
                <w:bCs/>
                <w:szCs w:val="24"/>
              </w:rPr>
              <w:t xml:space="preserve">is not yet clear. </w:t>
            </w:r>
            <w:r w:rsidR="00E72B16">
              <w:rPr>
                <w:bCs/>
                <w:szCs w:val="24"/>
              </w:rPr>
              <w:t xml:space="preserve">Alternative </w:t>
            </w:r>
            <w:r w:rsidR="003A0126">
              <w:rPr>
                <w:bCs/>
                <w:szCs w:val="24"/>
              </w:rPr>
              <w:t xml:space="preserve">options </w:t>
            </w:r>
            <w:r w:rsidR="00BC6B71">
              <w:rPr>
                <w:bCs/>
                <w:szCs w:val="24"/>
              </w:rPr>
              <w:t xml:space="preserve">to </w:t>
            </w:r>
            <w:r w:rsidR="00556AF7">
              <w:rPr>
                <w:bCs/>
                <w:szCs w:val="24"/>
              </w:rPr>
              <w:t xml:space="preserve">mitigate this risk in the event that withstand claims cannot be substantiated </w:t>
            </w:r>
            <w:r w:rsidR="00177FAF">
              <w:rPr>
                <w:bCs/>
                <w:szCs w:val="24"/>
              </w:rPr>
              <w:t>within GDA have not yet been presented by the RP.</w:t>
            </w:r>
          </w:p>
          <w:p w14:paraId="457DB5CE" w14:textId="09C0648E" w:rsidR="00E804CE" w:rsidRPr="00636A44" w:rsidRDefault="008C4EA8" w:rsidP="003C3382">
            <w:pPr>
              <w:pStyle w:val="ListParagraph"/>
              <w:numPr>
                <w:ilvl w:val="0"/>
                <w:numId w:val="25"/>
              </w:numPr>
              <w:rPr>
                <w:bCs/>
                <w:szCs w:val="24"/>
              </w:rPr>
            </w:pPr>
            <w:r>
              <w:rPr>
                <w:bCs/>
                <w:szCs w:val="24"/>
              </w:rPr>
              <w:t xml:space="preserve">Thermal hydraulic analysis </w:t>
            </w:r>
            <w:r w:rsidR="00DD3FED">
              <w:rPr>
                <w:bCs/>
                <w:szCs w:val="24"/>
              </w:rPr>
              <w:t>[</w:t>
            </w:r>
            <w:r w:rsidR="004D6B2E">
              <w:rPr>
                <w:bCs/>
                <w:szCs w:val="24"/>
              </w:rPr>
              <w:t>6</w:t>
            </w:r>
            <w:r w:rsidR="00DD3FED">
              <w:rPr>
                <w:bCs/>
                <w:szCs w:val="24"/>
              </w:rPr>
              <w:t xml:space="preserve">] notes that </w:t>
            </w:r>
            <w:r w:rsidR="00BC681C">
              <w:rPr>
                <w:bCs/>
                <w:szCs w:val="24"/>
              </w:rPr>
              <w:t xml:space="preserve">a </w:t>
            </w:r>
            <w:r w:rsidR="00321241">
              <w:rPr>
                <w:bCs/>
                <w:szCs w:val="24"/>
              </w:rPr>
              <w:t>simultaneous</w:t>
            </w:r>
            <w:r w:rsidR="00DE2378">
              <w:rPr>
                <w:bCs/>
                <w:szCs w:val="24"/>
              </w:rPr>
              <w:t xml:space="preserve"> (or consequential)</w:t>
            </w:r>
            <w:r w:rsidR="00BC681C">
              <w:rPr>
                <w:bCs/>
                <w:szCs w:val="24"/>
              </w:rPr>
              <w:t xml:space="preserve"> failure of</w:t>
            </w:r>
            <w:r w:rsidR="00947BF2">
              <w:rPr>
                <w:bCs/>
                <w:szCs w:val="24"/>
              </w:rPr>
              <w:t xml:space="preserve"> some line</w:t>
            </w:r>
            <w:r w:rsidR="00435E3C">
              <w:rPr>
                <w:bCs/>
                <w:szCs w:val="24"/>
              </w:rPr>
              <w:t>s</w:t>
            </w:r>
            <w:r w:rsidR="00947BF2">
              <w:rPr>
                <w:bCs/>
                <w:szCs w:val="24"/>
              </w:rPr>
              <w:t xml:space="preserve"> forming part of the</w:t>
            </w:r>
            <w:r w:rsidR="00BC681C">
              <w:rPr>
                <w:bCs/>
                <w:szCs w:val="24"/>
              </w:rPr>
              <w:t xml:space="preserve"> primary and secondary circuit </w:t>
            </w:r>
            <w:r w:rsidR="00840C44">
              <w:rPr>
                <w:bCs/>
                <w:szCs w:val="24"/>
              </w:rPr>
              <w:t>could over pressurise the containment vessel. The RPs safety case does not currently demonstrate that such a scenario is not possible or sufficiently mitigated in the event of a blast hazard.</w:t>
            </w:r>
            <w:r w:rsidR="009478F5">
              <w:rPr>
                <w:bCs/>
                <w:szCs w:val="24"/>
              </w:rPr>
              <w:t xml:space="preserve"> Blast hazards could also </w:t>
            </w:r>
            <w:r w:rsidR="00753C93">
              <w:rPr>
                <w:bCs/>
                <w:szCs w:val="24"/>
              </w:rPr>
              <w:t>impact the containment vessel directly.</w:t>
            </w:r>
          </w:p>
          <w:p w14:paraId="172A68F7" w14:textId="18084316" w:rsidR="00177FAF" w:rsidRPr="00C85710" w:rsidRDefault="00D91A97" w:rsidP="003C3382">
            <w:pPr>
              <w:pStyle w:val="ListParagraph"/>
              <w:numPr>
                <w:ilvl w:val="0"/>
                <w:numId w:val="25"/>
              </w:numPr>
              <w:rPr>
                <w:bCs/>
                <w:szCs w:val="24"/>
              </w:rPr>
            </w:pPr>
            <w:r>
              <w:rPr>
                <w:bCs/>
                <w:szCs w:val="24"/>
              </w:rPr>
              <w:t xml:space="preserve">It is not clear that the layout of the containment </w:t>
            </w:r>
            <w:r w:rsidR="00C15527">
              <w:rPr>
                <w:bCs/>
                <w:szCs w:val="24"/>
              </w:rPr>
              <w:t>has been optimised with respect to hazard loadings and the position of VHR components and</w:t>
            </w:r>
            <w:r w:rsidR="004341A6">
              <w:rPr>
                <w:bCs/>
                <w:szCs w:val="24"/>
              </w:rPr>
              <w:t xml:space="preserve"> other</w:t>
            </w:r>
            <w:r w:rsidR="00C15527">
              <w:rPr>
                <w:bCs/>
                <w:szCs w:val="24"/>
              </w:rPr>
              <w:t xml:space="preserve"> safety critical SSCs.</w:t>
            </w:r>
          </w:p>
          <w:p w14:paraId="6BE76143" w14:textId="77777777" w:rsidR="00850471" w:rsidRPr="0048438C" w:rsidRDefault="00850471" w:rsidP="003C3382">
            <w:pPr>
              <w:rPr>
                <w:szCs w:val="24"/>
              </w:rPr>
            </w:pPr>
          </w:p>
          <w:p w14:paraId="5B1546E5" w14:textId="15447CB7" w:rsidR="000758E9" w:rsidRDefault="000758E9" w:rsidP="005D363D">
            <w:pPr>
              <w:spacing w:before="60" w:after="60"/>
              <w:rPr>
                <w:b/>
                <w:szCs w:val="24"/>
                <w:u w:val="single"/>
              </w:rPr>
            </w:pPr>
            <w:r w:rsidRPr="0048438C">
              <w:rPr>
                <w:b/>
                <w:szCs w:val="24"/>
                <w:u w:val="single"/>
              </w:rPr>
              <w:t>Relevant Legislation, Standards and Guidance</w:t>
            </w:r>
          </w:p>
          <w:p w14:paraId="739FE485" w14:textId="6F82B8FC" w:rsidR="00295428" w:rsidRDefault="00295428" w:rsidP="003C3382">
            <w:pPr>
              <w:rPr>
                <w:bCs/>
                <w:szCs w:val="24"/>
              </w:rPr>
            </w:pPr>
            <w:r w:rsidRPr="00174E7A">
              <w:rPr>
                <w:bCs/>
                <w:szCs w:val="24"/>
              </w:rPr>
              <w:t xml:space="preserve">Expectations around the </w:t>
            </w:r>
            <w:r w:rsidR="001764F5" w:rsidRPr="00174E7A">
              <w:rPr>
                <w:bCs/>
                <w:szCs w:val="24"/>
              </w:rPr>
              <w:t xml:space="preserve">assessment of </w:t>
            </w:r>
            <w:r w:rsidR="00ED6A98" w:rsidRPr="00174E7A">
              <w:rPr>
                <w:bCs/>
                <w:szCs w:val="24"/>
              </w:rPr>
              <w:t xml:space="preserve">blast and explosion hazards </w:t>
            </w:r>
            <w:r w:rsidR="00174E7A" w:rsidRPr="00174E7A">
              <w:rPr>
                <w:bCs/>
                <w:szCs w:val="24"/>
              </w:rPr>
              <w:t xml:space="preserve">are well established in both national and international standards and guidance. The following extracts from ONR’s </w:t>
            </w:r>
            <w:r w:rsidR="00174E7A" w:rsidRPr="002A652B">
              <w:rPr>
                <w:bCs/>
                <w:szCs w:val="24"/>
              </w:rPr>
              <w:t>SAPs [1], TAG-014 [</w:t>
            </w:r>
            <w:r w:rsidR="002A652B">
              <w:rPr>
                <w:bCs/>
                <w:szCs w:val="24"/>
              </w:rPr>
              <w:t>7</w:t>
            </w:r>
            <w:r w:rsidR="00174E7A" w:rsidRPr="002A652B">
              <w:rPr>
                <w:bCs/>
                <w:szCs w:val="24"/>
              </w:rPr>
              <w:t>] and IAEA SSG-64 [2] are</w:t>
            </w:r>
            <w:r w:rsidR="00174E7A" w:rsidRPr="00174E7A">
              <w:rPr>
                <w:bCs/>
                <w:szCs w:val="24"/>
              </w:rPr>
              <w:t xml:space="preserve"> particularly relevant</w:t>
            </w:r>
            <w:r w:rsidR="002A652B">
              <w:rPr>
                <w:bCs/>
                <w:szCs w:val="24"/>
              </w:rPr>
              <w:t>:</w:t>
            </w:r>
          </w:p>
          <w:p w14:paraId="681D563B" w14:textId="77777777" w:rsidR="00C0736E" w:rsidRDefault="00C0736E" w:rsidP="003C3382">
            <w:pPr>
              <w:rPr>
                <w:bCs/>
                <w:szCs w:val="24"/>
              </w:rPr>
            </w:pPr>
          </w:p>
          <w:p w14:paraId="3F5A18D9" w14:textId="72ADFDD4" w:rsidR="00C0736E" w:rsidRDefault="00C0736E" w:rsidP="003C3382">
            <w:pPr>
              <w:rPr>
                <w:szCs w:val="24"/>
              </w:rPr>
            </w:pPr>
            <w:r>
              <w:rPr>
                <w:bCs/>
                <w:szCs w:val="24"/>
              </w:rPr>
              <w:lastRenderedPageBreak/>
              <w:t xml:space="preserve">SAP ELO.4 - </w:t>
            </w:r>
            <w:r w:rsidR="00606D7E" w:rsidRPr="003C54D9">
              <w:rPr>
                <w:szCs w:val="24"/>
              </w:rPr>
              <w:t>The design and layout of the site, its facilities (including enclosed plant), support facilities and services should be such that the effects of faults and accidents are minimised</w:t>
            </w:r>
            <w:r w:rsidR="00606D7E">
              <w:rPr>
                <w:szCs w:val="24"/>
              </w:rPr>
              <w:t>.</w:t>
            </w:r>
          </w:p>
          <w:p w14:paraId="3453E303" w14:textId="77777777" w:rsidR="000E2BBC" w:rsidRDefault="000E2BBC" w:rsidP="003C3382">
            <w:pPr>
              <w:rPr>
                <w:szCs w:val="24"/>
              </w:rPr>
            </w:pPr>
          </w:p>
          <w:p w14:paraId="4709B26E" w14:textId="3A626C05" w:rsidR="000E2BBC" w:rsidRDefault="000E2BBC" w:rsidP="003C3382">
            <w:pPr>
              <w:rPr>
                <w:szCs w:val="24"/>
              </w:rPr>
            </w:pPr>
            <w:r>
              <w:rPr>
                <w:szCs w:val="24"/>
              </w:rPr>
              <w:t xml:space="preserve">SAP EHA.6 - </w:t>
            </w:r>
            <w:r w:rsidRPr="009B0682">
              <w:rPr>
                <w:szCs w:val="24"/>
              </w:rPr>
              <w:t xml:space="preserve">The effects of internal and external hazards that could affect the safety of the facility should be analysed. The analysis should take into account hazard combinations, simultaneous effects, common cause failures, defence in depth and </w:t>
            </w:r>
            <w:r>
              <w:rPr>
                <w:szCs w:val="24"/>
              </w:rPr>
              <w:t>consequential effects.</w:t>
            </w:r>
          </w:p>
          <w:p w14:paraId="1223E86C" w14:textId="77777777" w:rsidR="005E1B67" w:rsidRDefault="005E1B67" w:rsidP="003C3382">
            <w:pPr>
              <w:rPr>
                <w:szCs w:val="24"/>
              </w:rPr>
            </w:pPr>
          </w:p>
          <w:p w14:paraId="14F66D73" w14:textId="09592DF1" w:rsidR="005E1B67" w:rsidRPr="00174E7A" w:rsidRDefault="005E1B67" w:rsidP="003C3382">
            <w:pPr>
              <w:rPr>
                <w:bCs/>
                <w:szCs w:val="24"/>
              </w:rPr>
            </w:pPr>
            <w:r>
              <w:rPr>
                <w:szCs w:val="24"/>
              </w:rPr>
              <w:t xml:space="preserve">SAP Para 244 - </w:t>
            </w:r>
            <w:r w:rsidRPr="005E1B67">
              <w:rPr>
                <w:szCs w:val="24"/>
              </w:rPr>
              <w:t>The analysis should include hazard analysis to: (a) identify the potential impact of the hazard on the facility’s structures, systems and components, and in particular its safety systems; (b) determine the need for segregation, diversity and redundancy of plant and equipment and the location of barriers to limit this impact; and (c) determine the safety functions (e</w:t>
            </w:r>
            <w:r w:rsidR="00B4142E">
              <w:rPr>
                <w:szCs w:val="24"/>
              </w:rPr>
              <w:t>.</w:t>
            </w:r>
            <w:r w:rsidRPr="005E1B67">
              <w:rPr>
                <w:szCs w:val="24"/>
              </w:rPr>
              <w:t>g</w:t>
            </w:r>
            <w:r w:rsidR="00B4142E">
              <w:rPr>
                <w:szCs w:val="24"/>
              </w:rPr>
              <w:t>.</w:t>
            </w:r>
            <w:r w:rsidRPr="005E1B67">
              <w:rPr>
                <w:szCs w:val="24"/>
              </w:rPr>
              <w:t xml:space="preserve"> the withstand capability) to be provided by such barriers.</w:t>
            </w:r>
          </w:p>
          <w:p w14:paraId="3456E02D" w14:textId="77777777" w:rsidR="005D363D" w:rsidRDefault="005D363D" w:rsidP="003C3382">
            <w:pPr>
              <w:rPr>
                <w:b/>
                <w:szCs w:val="24"/>
                <w:u w:val="single"/>
              </w:rPr>
            </w:pPr>
          </w:p>
          <w:p w14:paraId="698D419D" w14:textId="4D351DB1" w:rsidR="00096FB8" w:rsidRDefault="00096FB8" w:rsidP="003C3382">
            <w:pPr>
              <w:rPr>
                <w:bCs/>
                <w:szCs w:val="24"/>
              </w:rPr>
            </w:pPr>
            <w:r>
              <w:rPr>
                <w:bCs/>
                <w:szCs w:val="24"/>
              </w:rPr>
              <w:t>TAG 14 Para 5.64 - b</w:t>
            </w:r>
            <w:r w:rsidRPr="00096FB8">
              <w:rPr>
                <w:bCs/>
                <w:szCs w:val="24"/>
              </w:rPr>
              <w:t>ased upon the explosion analysis and plant availability / responses predicted, licensees should demonstrate that nuclear safety is ensured in all operating state</w:t>
            </w:r>
          </w:p>
          <w:p w14:paraId="4CD718D3" w14:textId="77777777" w:rsidR="006E199D" w:rsidRDefault="006E199D" w:rsidP="003C3382">
            <w:pPr>
              <w:rPr>
                <w:bCs/>
                <w:szCs w:val="24"/>
              </w:rPr>
            </w:pPr>
          </w:p>
          <w:p w14:paraId="08458D25" w14:textId="77777777" w:rsidR="006E199D" w:rsidRDefault="006E199D" w:rsidP="003C3382">
            <w:pPr>
              <w:rPr>
                <w:bCs/>
              </w:rPr>
            </w:pPr>
            <w:r>
              <w:rPr>
                <w:bCs/>
                <w:szCs w:val="24"/>
              </w:rPr>
              <w:t xml:space="preserve">TAG 14 Para 5.65 - </w:t>
            </w:r>
            <w:r w:rsidRPr="006E199D">
              <w:rPr>
                <w:bCs/>
              </w:rPr>
              <w:t>Generally, licensees should follow a series of steps in defining safety measures based on the result of the explosion analysis. Specifically, this may involve the following:</w:t>
            </w:r>
          </w:p>
          <w:p w14:paraId="3FCF235E" w14:textId="77777777" w:rsidR="006E199D" w:rsidRPr="006E199D" w:rsidRDefault="006E199D" w:rsidP="003C3382">
            <w:pPr>
              <w:pStyle w:val="ListParagraph"/>
              <w:numPr>
                <w:ilvl w:val="0"/>
                <w:numId w:val="26"/>
              </w:numPr>
              <w:rPr>
                <w:bCs/>
              </w:rPr>
            </w:pPr>
            <w:r w:rsidRPr="006E199D">
              <w:rPr>
                <w:bCs/>
                <w:szCs w:val="24"/>
              </w:rPr>
              <w:t>determination of the hazard ranges, SSC responses and, consequently, SSC withstand capacity as applicable.</w:t>
            </w:r>
          </w:p>
          <w:p w14:paraId="522C5C9F" w14:textId="77777777" w:rsidR="002701C0" w:rsidRPr="002701C0" w:rsidRDefault="006E199D" w:rsidP="003C3382">
            <w:pPr>
              <w:pStyle w:val="ListParagraph"/>
              <w:numPr>
                <w:ilvl w:val="0"/>
                <w:numId w:val="26"/>
              </w:numPr>
              <w:rPr>
                <w:bCs/>
              </w:rPr>
            </w:pPr>
            <w:r w:rsidRPr="006E199D">
              <w:rPr>
                <w:bCs/>
                <w:szCs w:val="24"/>
              </w:rPr>
              <w:t>based on the design provision and plant’s / system’s nuclear safety significance, confirmation of whether redundancy is required (SAPs EDR.2, ESS.18) and specifying segregation, physical separation or isolation requirements accordingly</w:t>
            </w:r>
          </w:p>
          <w:p w14:paraId="75181C7D" w14:textId="77777777" w:rsidR="002701C0" w:rsidRPr="002701C0" w:rsidRDefault="006E199D" w:rsidP="003C3382">
            <w:pPr>
              <w:pStyle w:val="ListParagraph"/>
              <w:numPr>
                <w:ilvl w:val="0"/>
                <w:numId w:val="26"/>
              </w:numPr>
              <w:rPr>
                <w:bCs/>
              </w:rPr>
            </w:pPr>
            <w:r w:rsidRPr="006E199D">
              <w:rPr>
                <w:bCs/>
                <w:szCs w:val="24"/>
              </w:rPr>
              <w:t>testing the assumptions and limitations of the explosion characterisation for cliff-edge effects.</w:t>
            </w:r>
          </w:p>
          <w:p w14:paraId="0120BA4A" w14:textId="47BD352F" w:rsidR="006E199D" w:rsidRPr="002701C0" w:rsidRDefault="006E199D" w:rsidP="003C3382">
            <w:pPr>
              <w:pStyle w:val="ListParagraph"/>
              <w:numPr>
                <w:ilvl w:val="0"/>
                <w:numId w:val="26"/>
              </w:numPr>
              <w:rPr>
                <w:bCs/>
              </w:rPr>
            </w:pPr>
            <w:r w:rsidRPr="002701C0">
              <w:rPr>
                <w:bCs/>
                <w:szCs w:val="24"/>
              </w:rPr>
              <w:t>determine whether combined / consequential effects such as missile, fire, flood, drop loads and so on could aris</w:t>
            </w:r>
            <w:r w:rsidR="002701C0">
              <w:rPr>
                <w:bCs/>
                <w:szCs w:val="24"/>
              </w:rPr>
              <w:t>e.</w:t>
            </w:r>
          </w:p>
          <w:p w14:paraId="751F2619" w14:textId="77777777" w:rsidR="002701C0" w:rsidRDefault="002701C0" w:rsidP="003C3382">
            <w:pPr>
              <w:rPr>
                <w:bCs/>
              </w:rPr>
            </w:pPr>
          </w:p>
          <w:p w14:paraId="5399A109" w14:textId="77777777" w:rsidR="006B0C3B" w:rsidRDefault="00B666F1" w:rsidP="003C3382">
            <w:pPr>
              <w:rPr>
                <w:bCs/>
              </w:rPr>
            </w:pPr>
            <w:r>
              <w:rPr>
                <w:bCs/>
              </w:rPr>
              <w:t xml:space="preserve">TAG 14 Para 5.68 - </w:t>
            </w:r>
            <w:r w:rsidR="006B0C3B" w:rsidRPr="006B0C3B">
              <w:rPr>
                <w:bCs/>
              </w:rPr>
              <w:t>In developing their judgement on whether explosion risks have been reduced so far as is reasonably practicable, inspectors may seek to check for the following features of good design and operational practice against explosion hazards, where applicable</w:t>
            </w:r>
            <w:r w:rsidR="006B0C3B">
              <w:rPr>
                <w:bCs/>
              </w:rPr>
              <w:t>:</w:t>
            </w:r>
          </w:p>
          <w:p w14:paraId="46E3877E" w14:textId="77777777" w:rsidR="009C1468" w:rsidRDefault="003A0832" w:rsidP="003C3382">
            <w:pPr>
              <w:pStyle w:val="ListParagraph"/>
              <w:numPr>
                <w:ilvl w:val="0"/>
                <w:numId w:val="27"/>
              </w:numPr>
              <w:rPr>
                <w:bCs/>
              </w:rPr>
            </w:pPr>
            <w:r w:rsidRPr="006B0C3B">
              <w:rPr>
                <w:bCs/>
              </w:rPr>
              <w:t>the design and location of SSCs delivering safety functions is optimised against explosions: storage facilities, pipelines carrying flammable / combustible materials and blast sources in general, are segregated from areas containing safety related plant and equipment by qualified physical barriers so far as is reasonably practicable (SAP ELO.4).</w:t>
            </w:r>
          </w:p>
          <w:p w14:paraId="207A0360" w14:textId="4C76020A" w:rsidR="006E199D" w:rsidRPr="009C1468" w:rsidRDefault="003A0832" w:rsidP="003C3382">
            <w:pPr>
              <w:pStyle w:val="ListParagraph"/>
              <w:numPr>
                <w:ilvl w:val="0"/>
                <w:numId w:val="27"/>
              </w:numPr>
              <w:rPr>
                <w:bCs/>
              </w:rPr>
            </w:pPr>
            <w:r w:rsidRPr="006B0C3B">
              <w:rPr>
                <w:bCs/>
              </w:rPr>
              <w:t>consideration is given to the need to provide structures forming part of, or supporting barriers, with explosion resistance protection according to their safety function</w:t>
            </w:r>
            <w:r w:rsidR="009C1468">
              <w:rPr>
                <w:bCs/>
              </w:rPr>
              <w:t>.</w:t>
            </w:r>
          </w:p>
          <w:p w14:paraId="08110EF4" w14:textId="77777777" w:rsidR="00096FB8" w:rsidRDefault="00096FB8" w:rsidP="003C3382">
            <w:pPr>
              <w:rPr>
                <w:bCs/>
                <w:szCs w:val="24"/>
              </w:rPr>
            </w:pPr>
          </w:p>
          <w:p w14:paraId="33F3AB26" w14:textId="5B56546E" w:rsidR="005D363D" w:rsidRPr="005D363D" w:rsidRDefault="0098161F" w:rsidP="003C3382">
            <w:pPr>
              <w:rPr>
                <w:bCs/>
                <w:szCs w:val="24"/>
              </w:rPr>
            </w:pPr>
            <w:r>
              <w:rPr>
                <w:bCs/>
                <w:szCs w:val="24"/>
              </w:rPr>
              <w:t>IA</w:t>
            </w:r>
            <w:r w:rsidRPr="0098161F">
              <w:rPr>
                <w:bCs/>
                <w:szCs w:val="24"/>
              </w:rPr>
              <w:t>E</w:t>
            </w:r>
            <w:r w:rsidR="00B35ED5">
              <w:rPr>
                <w:bCs/>
                <w:szCs w:val="24"/>
              </w:rPr>
              <w:t>A SSG-64 Para 4.73 - e</w:t>
            </w:r>
            <w:r w:rsidRPr="0098161F">
              <w:rPr>
                <w:bCs/>
                <w:szCs w:val="24"/>
              </w:rPr>
              <w:t>quipment that needs to maintain its functionality following a postulated initiating event should be identified and adequately designed to withstand the effects of the event, or to be protected against such events</w:t>
            </w:r>
            <w:r w:rsidR="00B35ED5">
              <w:rPr>
                <w:bCs/>
                <w:szCs w:val="24"/>
              </w:rPr>
              <w:t>.</w:t>
            </w:r>
          </w:p>
          <w:p w14:paraId="7ED2EFEB" w14:textId="77777777" w:rsidR="000525BB" w:rsidRPr="0048438C" w:rsidRDefault="000525BB" w:rsidP="003C3382">
            <w:pPr>
              <w:rPr>
                <w:szCs w:val="24"/>
              </w:rPr>
            </w:pPr>
          </w:p>
          <w:p w14:paraId="268B2B85" w14:textId="2A98076B" w:rsidR="00CC67B6" w:rsidRPr="0048438C" w:rsidRDefault="00F65462" w:rsidP="0048438C">
            <w:pPr>
              <w:spacing w:before="60" w:after="60"/>
              <w:rPr>
                <w:b/>
                <w:szCs w:val="24"/>
                <w:u w:val="single"/>
              </w:rPr>
            </w:pPr>
            <w:r w:rsidRPr="0048438C">
              <w:rPr>
                <w:b/>
                <w:szCs w:val="24"/>
                <w:u w:val="single"/>
              </w:rPr>
              <w:t>Regulatory Expectations</w:t>
            </w:r>
          </w:p>
          <w:p w14:paraId="5F9A19B1" w14:textId="3244E5DF" w:rsidR="00343BCC" w:rsidRDefault="00343BCC" w:rsidP="003C3382">
            <w:pPr>
              <w:rPr>
                <w:szCs w:val="24"/>
                <w:highlight w:val="yellow"/>
              </w:rPr>
            </w:pPr>
            <w:r w:rsidRPr="004A6DBE">
              <w:rPr>
                <w:szCs w:val="24"/>
              </w:rPr>
              <w:lastRenderedPageBreak/>
              <w:t xml:space="preserve">ONR expects sufficient justification </w:t>
            </w:r>
            <w:r>
              <w:rPr>
                <w:szCs w:val="24"/>
              </w:rPr>
              <w:t xml:space="preserve">and evidence that reactor designs are tolerant to design basis </w:t>
            </w:r>
            <w:r w:rsidR="00716E85">
              <w:rPr>
                <w:szCs w:val="24"/>
              </w:rPr>
              <w:t>hazards. Where blast hazards are identified which c</w:t>
            </w:r>
            <w:r w:rsidR="00231238">
              <w:rPr>
                <w:szCs w:val="24"/>
              </w:rPr>
              <w:t>ould potentially impact SSCs which support nu</w:t>
            </w:r>
            <w:r w:rsidR="003D4DD8">
              <w:rPr>
                <w:szCs w:val="24"/>
              </w:rPr>
              <w:t>clear safety functions, ONR expects proportionate characterisation</w:t>
            </w:r>
            <w:r w:rsidR="00FD0A03">
              <w:rPr>
                <w:szCs w:val="24"/>
              </w:rPr>
              <w:t xml:space="preserve"> of the hazard</w:t>
            </w:r>
            <w:r w:rsidR="003D4DD8">
              <w:rPr>
                <w:szCs w:val="24"/>
              </w:rPr>
              <w:t xml:space="preserve"> and substantiation </w:t>
            </w:r>
            <w:r w:rsidR="00FD0A03">
              <w:rPr>
                <w:szCs w:val="24"/>
              </w:rPr>
              <w:t>evidence (where required to support withstand claims).</w:t>
            </w:r>
            <w:r w:rsidR="005C24AC">
              <w:rPr>
                <w:szCs w:val="24"/>
              </w:rPr>
              <w:t xml:space="preserve"> </w:t>
            </w:r>
            <w:r w:rsidR="002042CE">
              <w:rPr>
                <w:szCs w:val="24"/>
              </w:rPr>
              <w:t>ONR expects that the safety case should be focussed on those</w:t>
            </w:r>
            <w:r w:rsidR="005C24AC">
              <w:rPr>
                <w:szCs w:val="24"/>
              </w:rPr>
              <w:t xml:space="preserve"> scenarios which represent the greatest level of hazard and risk and/or </w:t>
            </w:r>
            <w:r w:rsidR="009B4E9D">
              <w:rPr>
                <w:szCs w:val="24"/>
              </w:rPr>
              <w:t>represent areas of novel design.</w:t>
            </w:r>
            <w:r w:rsidR="00D14085">
              <w:rPr>
                <w:szCs w:val="24"/>
              </w:rPr>
              <w:t xml:space="preserve"> The safety case should include a demonstration that sufficient preventative, protective and mitigative safety measures, taken together, ensure that the reactor can achieve safe shutdown</w:t>
            </w:r>
            <w:r w:rsidR="005E6D5A">
              <w:rPr>
                <w:szCs w:val="24"/>
              </w:rPr>
              <w:t xml:space="preserve"> following a design basis blast hazard.</w:t>
            </w:r>
          </w:p>
          <w:p w14:paraId="4D3DAA4D" w14:textId="77777777" w:rsidR="00343BCC" w:rsidRDefault="00343BCC" w:rsidP="003C3382">
            <w:pPr>
              <w:rPr>
                <w:szCs w:val="24"/>
                <w:highlight w:val="yellow"/>
              </w:rPr>
            </w:pPr>
          </w:p>
          <w:p w14:paraId="4741582A" w14:textId="3BDFC5B9" w:rsidR="0022784D" w:rsidRDefault="0022784D" w:rsidP="003C3382">
            <w:pPr>
              <w:rPr>
                <w:szCs w:val="24"/>
              </w:rPr>
            </w:pPr>
            <w:r w:rsidRPr="00302AED">
              <w:rPr>
                <w:szCs w:val="24"/>
              </w:rPr>
              <w:t>Additionally, ONR expects that the layout of nuclear safety critical systems and sources of</w:t>
            </w:r>
            <w:r>
              <w:rPr>
                <w:szCs w:val="24"/>
              </w:rPr>
              <w:t xml:space="preserve"> blast</w:t>
            </w:r>
            <w:r w:rsidRPr="00302AED">
              <w:rPr>
                <w:szCs w:val="24"/>
              </w:rPr>
              <w:t xml:space="preserve"> hazard</w:t>
            </w:r>
            <w:r>
              <w:rPr>
                <w:szCs w:val="24"/>
              </w:rPr>
              <w:t>s</w:t>
            </w:r>
            <w:r w:rsidRPr="00302AED">
              <w:rPr>
                <w:szCs w:val="24"/>
              </w:rPr>
              <w:t xml:space="preserve"> are adequately considered such that the hazardous effects are limited by design as far as reasonably practicable, see SAP ELO.4</w:t>
            </w:r>
            <w:r>
              <w:rPr>
                <w:szCs w:val="24"/>
              </w:rPr>
              <w:t>.</w:t>
            </w:r>
            <w:r w:rsidR="00A70785">
              <w:rPr>
                <w:szCs w:val="24"/>
              </w:rPr>
              <w:t xml:space="preserve"> The</w:t>
            </w:r>
            <w:r w:rsidR="006262A4">
              <w:rPr>
                <w:szCs w:val="24"/>
              </w:rPr>
              <w:t xml:space="preserve"> generic</w:t>
            </w:r>
            <w:r w:rsidR="00A70785">
              <w:rPr>
                <w:szCs w:val="24"/>
              </w:rPr>
              <w:t xml:space="preserve"> Rolls-Royce SMR design </w:t>
            </w:r>
            <w:r w:rsidR="006D5E15">
              <w:rPr>
                <w:szCs w:val="24"/>
              </w:rPr>
              <w:t xml:space="preserve">is known to be compact which poses challenges when considering the impact of blast hazards. </w:t>
            </w:r>
            <w:r w:rsidR="00E72F14">
              <w:rPr>
                <w:szCs w:val="24"/>
              </w:rPr>
              <w:t>A suitable and sufficient justificatio</w:t>
            </w:r>
            <w:r w:rsidR="00E72F14" w:rsidRPr="00E066B0">
              <w:rPr>
                <w:szCs w:val="24"/>
              </w:rPr>
              <w:t xml:space="preserve">n for the layout of </w:t>
            </w:r>
            <w:r w:rsidR="00E72F14">
              <w:rPr>
                <w:szCs w:val="24"/>
              </w:rPr>
              <w:t xml:space="preserve">containment </w:t>
            </w:r>
            <w:r w:rsidR="00E72F14" w:rsidRPr="00E066B0">
              <w:rPr>
                <w:szCs w:val="24"/>
              </w:rPr>
              <w:t xml:space="preserve">and it’s robustness to </w:t>
            </w:r>
            <w:r w:rsidR="00E72F14">
              <w:rPr>
                <w:szCs w:val="24"/>
              </w:rPr>
              <w:t>potential blast sources</w:t>
            </w:r>
            <w:r w:rsidR="00E77290">
              <w:rPr>
                <w:szCs w:val="24"/>
              </w:rPr>
              <w:t xml:space="preserve">, considering all safety significant targets, </w:t>
            </w:r>
            <w:r w:rsidR="00E72F14" w:rsidRPr="00E066B0">
              <w:rPr>
                <w:szCs w:val="24"/>
              </w:rPr>
              <w:t>is therefore expected within GDA</w:t>
            </w:r>
            <w:r w:rsidR="00E77290">
              <w:rPr>
                <w:szCs w:val="24"/>
              </w:rPr>
              <w:t>.</w:t>
            </w:r>
          </w:p>
          <w:p w14:paraId="584B4F6E" w14:textId="77777777" w:rsidR="000977CC" w:rsidRPr="0048438C" w:rsidRDefault="000977CC" w:rsidP="003C3382">
            <w:pPr>
              <w:rPr>
                <w:szCs w:val="24"/>
              </w:rPr>
            </w:pPr>
          </w:p>
          <w:p w14:paraId="2993E5C2" w14:textId="77777777" w:rsidR="00EC409B" w:rsidRPr="0048438C" w:rsidRDefault="00EC409B" w:rsidP="0048438C">
            <w:pPr>
              <w:spacing w:before="60" w:after="60"/>
              <w:rPr>
                <w:b/>
                <w:szCs w:val="24"/>
                <w:u w:val="single"/>
              </w:rPr>
            </w:pPr>
            <w:r w:rsidRPr="0048438C">
              <w:rPr>
                <w:b/>
                <w:szCs w:val="24"/>
                <w:u w:val="single"/>
              </w:rPr>
              <w:t>References</w:t>
            </w:r>
          </w:p>
          <w:p w14:paraId="6A594E3F" w14:textId="0AB7EA93" w:rsidR="00653A3A" w:rsidRPr="00EB5230" w:rsidRDefault="00EC409B" w:rsidP="00653A3A">
            <w:pPr>
              <w:spacing w:before="60" w:after="60"/>
              <w:rPr>
                <w:szCs w:val="24"/>
              </w:rPr>
            </w:pPr>
            <w:r w:rsidRPr="0048438C">
              <w:rPr>
                <w:szCs w:val="24"/>
              </w:rPr>
              <w:t xml:space="preserve">[1] </w:t>
            </w:r>
            <w:r w:rsidR="00653A3A" w:rsidRPr="00EB5230">
              <w:rPr>
                <w:szCs w:val="24"/>
              </w:rPr>
              <w:t xml:space="preserve">ONR, Safety Assessment Principles for Nuclear Facilities, 2014 Edition, Revision 1, January 2020. </w:t>
            </w:r>
            <w:hyperlink r:id="rId12" w:history="1">
              <w:r w:rsidR="00653A3A" w:rsidRPr="00EB5230">
                <w:rPr>
                  <w:rStyle w:val="Hyperlink"/>
                  <w:szCs w:val="24"/>
                </w:rPr>
                <w:t>www.onr.org.uk/media/pobf24xm/saps2014.pdf</w:t>
              </w:r>
            </w:hyperlink>
          </w:p>
          <w:p w14:paraId="7F1BBE8B" w14:textId="13291CA6" w:rsidR="00653A3A" w:rsidRDefault="00653A3A" w:rsidP="00653A3A">
            <w:pPr>
              <w:spacing w:before="60" w:after="60"/>
              <w:rPr>
                <w:szCs w:val="24"/>
              </w:rPr>
            </w:pPr>
            <w:r w:rsidRPr="00EB5230">
              <w:rPr>
                <w:szCs w:val="24"/>
              </w:rPr>
              <w:t>[2]</w:t>
            </w:r>
            <w:r>
              <w:rPr>
                <w:szCs w:val="24"/>
              </w:rPr>
              <w:t xml:space="preserve"> </w:t>
            </w:r>
            <w:r w:rsidRPr="00EB5230">
              <w:rPr>
                <w:szCs w:val="24"/>
              </w:rPr>
              <w:t>Protection Against Internal Hazards in the Design of Nuclear Power Plants, Specific Safety Guide No. SSG-64. IAEA. 2021</w:t>
            </w:r>
            <w:r w:rsidR="003D1DAE">
              <w:rPr>
                <w:szCs w:val="24"/>
              </w:rPr>
              <w:t xml:space="preserve">. </w:t>
            </w:r>
            <w:hyperlink r:id="rId13" w:history="1">
              <w:r w:rsidR="003D1DAE" w:rsidRPr="008C5954">
                <w:rPr>
                  <w:rStyle w:val="Hyperlink"/>
                  <w:szCs w:val="24"/>
                </w:rPr>
                <w:t>www.iaea.org</w:t>
              </w:r>
            </w:hyperlink>
            <w:r w:rsidR="003D1DAE">
              <w:rPr>
                <w:szCs w:val="24"/>
              </w:rPr>
              <w:t xml:space="preserve"> </w:t>
            </w:r>
          </w:p>
          <w:p w14:paraId="677C8ACE" w14:textId="785FDBBB" w:rsidR="00653A3A" w:rsidRDefault="00653A3A" w:rsidP="00653A3A">
            <w:pPr>
              <w:spacing w:before="60" w:after="60"/>
              <w:rPr>
                <w:szCs w:val="24"/>
              </w:rPr>
            </w:pPr>
            <w:r>
              <w:rPr>
                <w:szCs w:val="24"/>
              </w:rPr>
              <w:t>[3]</w:t>
            </w:r>
            <w:r w:rsidR="008974F6">
              <w:rPr>
                <w:szCs w:val="24"/>
              </w:rPr>
              <w:t xml:space="preserve"> </w:t>
            </w:r>
            <w:r w:rsidR="008974F6" w:rsidRPr="008974F6">
              <w:rPr>
                <w:szCs w:val="24"/>
              </w:rPr>
              <w:t>RR SMR  - Internal Hazards Analysis Report Containment - SMR0026144 - Issue 1 - December 2025</w:t>
            </w:r>
            <w:r w:rsidR="003D1DAE">
              <w:rPr>
                <w:szCs w:val="24"/>
              </w:rPr>
              <w:t>.</w:t>
            </w:r>
            <w:r w:rsidR="003A72CB">
              <w:rPr>
                <w:szCs w:val="24"/>
              </w:rPr>
              <w:t xml:space="preserve"> (</w:t>
            </w:r>
            <w:r w:rsidR="00781EF0">
              <w:rPr>
                <w:szCs w:val="24"/>
              </w:rPr>
              <w:t xml:space="preserve">Record </w:t>
            </w:r>
            <w:r w:rsidR="00340813">
              <w:rPr>
                <w:szCs w:val="24"/>
              </w:rPr>
              <w:t xml:space="preserve">ref. </w:t>
            </w:r>
            <w:r w:rsidR="003A72CB" w:rsidRPr="003A72CB">
              <w:rPr>
                <w:szCs w:val="24"/>
              </w:rPr>
              <w:t>ONRW-2019369590-25859</w:t>
            </w:r>
            <w:r w:rsidR="00340813">
              <w:rPr>
                <w:szCs w:val="24"/>
              </w:rPr>
              <w:t>)</w:t>
            </w:r>
          </w:p>
          <w:p w14:paraId="17A363DC" w14:textId="06B5E2FC" w:rsidR="001A0BB7" w:rsidRDefault="00653A3A" w:rsidP="00653A3A">
            <w:pPr>
              <w:spacing w:before="60" w:after="60"/>
              <w:rPr>
                <w:szCs w:val="24"/>
              </w:rPr>
            </w:pPr>
            <w:r w:rsidRPr="00EC1CC0">
              <w:rPr>
                <w:szCs w:val="24"/>
              </w:rPr>
              <w:t>[4]</w:t>
            </w:r>
            <w:r w:rsidR="008974F6" w:rsidRPr="00EC1CC0">
              <w:rPr>
                <w:szCs w:val="24"/>
              </w:rPr>
              <w:t xml:space="preserve"> </w:t>
            </w:r>
            <w:r w:rsidR="001A0BB7" w:rsidRPr="001A0BB7">
              <w:rPr>
                <w:szCs w:val="24"/>
              </w:rPr>
              <w:t>RR SMR - Internal Hazards RD9 3D Blast Modelling Report Containment &amp; Interspace - SMR0028189 - Issue 1 - 11 March 2026</w:t>
            </w:r>
            <w:r w:rsidR="00500BC7">
              <w:rPr>
                <w:szCs w:val="24"/>
              </w:rPr>
              <w:t xml:space="preserve">. (Record ref. </w:t>
            </w:r>
            <w:r w:rsidR="00500BC7" w:rsidRPr="00500BC7">
              <w:rPr>
                <w:szCs w:val="24"/>
              </w:rPr>
              <w:t>ONRW-2019369590-27245</w:t>
            </w:r>
            <w:r w:rsidR="00500BC7">
              <w:rPr>
                <w:szCs w:val="24"/>
              </w:rPr>
              <w:t>)</w:t>
            </w:r>
          </w:p>
          <w:p w14:paraId="60F5EF4A" w14:textId="66C11083" w:rsidR="00653A3A" w:rsidRDefault="00653A3A" w:rsidP="00653A3A">
            <w:pPr>
              <w:spacing w:before="60" w:after="60"/>
              <w:rPr>
                <w:szCs w:val="24"/>
              </w:rPr>
            </w:pPr>
            <w:r w:rsidRPr="00EC1CC0">
              <w:rPr>
                <w:szCs w:val="24"/>
              </w:rPr>
              <w:t>[5]</w:t>
            </w:r>
            <w:r w:rsidR="009D374A" w:rsidRPr="00EC1CC0">
              <w:rPr>
                <w:szCs w:val="24"/>
              </w:rPr>
              <w:t xml:space="preserve"> RR SMR </w:t>
            </w:r>
            <w:r w:rsidR="00B27F93" w:rsidRPr="00EC1CC0">
              <w:rPr>
                <w:szCs w:val="24"/>
              </w:rPr>
              <w:t>–</w:t>
            </w:r>
            <w:r w:rsidR="009D374A" w:rsidRPr="00EC1CC0">
              <w:rPr>
                <w:szCs w:val="24"/>
              </w:rPr>
              <w:t xml:space="preserve"> </w:t>
            </w:r>
            <w:r w:rsidR="00B27F93" w:rsidRPr="00EC1CC0">
              <w:rPr>
                <w:szCs w:val="24"/>
              </w:rPr>
              <w:t xml:space="preserve">[SMR-133] - </w:t>
            </w:r>
            <w:r w:rsidR="009D374A" w:rsidRPr="00EC1CC0">
              <w:rPr>
                <w:szCs w:val="24"/>
              </w:rPr>
              <w:t>Blast and Explosion Hazard Decision Record - SMR0031989 - Issue 1 - April 2026</w:t>
            </w:r>
            <w:r w:rsidR="003D1DAE" w:rsidRPr="00EC1CC0">
              <w:rPr>
                <w:szCs w:val="24"/>
              </w:rPr>
              <w:t>.</w:t>
            </w:r>
            <w:r w:rsidR="000A385B" w:rsidRPr="00EC1CC0">
              <w:rPr>
                <w:szCs w:val="24"/>
              </w:rPr>
              <w:t xml:space="preserve"> (Record ref. ONRW-2019369590-27872)</w:t>
            </w:r>
          </w:p>
          <w:p w14:paraId="1AB4A99F" w14:textId="5E6717CF" w:rsidR="00653A3A" w:rsidRDefault="000563A8" w:rsidP="00653A3A">
            <w:pPr>
              <w:spacing w:before="60" w:after="60"/>
              <w:rPr>
                <w:szCs w:val="24"/>
              </w:rPr>
            </w:pPr>
            <w:r>
              <w:rPr>
                <w:szCs w:val="24"/>
              </w:rPr>
              <w:t>[6]</w:t>
            </w:r>
            <w:r w:rsidR="009D374A">
              <w:rPr>
                <w:szCs w:val="24"/>
              </w:rPr>
              <w:t xml:space="preserve"> </w:t>
            </w:r>
            <w:r w:rsidR="00DB1199" w:rsidRPr="00DB1199">
              <w:rPr>
                <w:szCs w:val="24"/>
              </w:rPr>
              <w:t>RR SMR - Containment Thermal Hydraulic Analyses GOTHAM 1.1 - SMR0020004 - Issue 1 - 11 March 2026</w:t>
            </w:r>
            <w:r w:rsidR="003D1DAE">
              <w:rPr>
                <w:szCs w:val="24"/>
              </w:rPr>
              <w:t>.</w:t>
            </w:r>
            <w:r w:rsidR="0068744B">
              <w:rPr>
                <w:szCs w:val="24"/>
              </w:rPr>
              <w:t xml:space="preserve"> (Record ref. </w:t>
            </w:r>
            <w:r w:rsidR="0068744B" w:rsidRPr="0068744B">
              <w:rPr>
                <w:szCs w:val="24"/>
              </w:rPr>
              <w:t>ONRW-2019369590-27244</w:t>
            </w:r>
            <w:r w:rsidR="0068744B">
              <w:rPr>
                <w:szCs w:val="24"/>
              </w:rPr>
              <w:t>)</w:t>
            </w:r>
          </w:p>
          <w:p w14:paraId="3386B142" w14:textId="69DCEA50" w:rsidR="000563A8" w:rsidRPr="00EB5230" w:rsidRDefault="000563A8" w:rsidP="00653A3A">
            <w:pPr>
              <w:spacing w:before="60" w:after="60"/>
              <w:rPr>
                <w:szCs w:val="24"/>
              </w:rPr>
            </w:pPr>
            <w:r>
              <w:rPr>
                <w:szCs w:val="24"/>
              </w:rPr>
              <w:t>[7]</w:t>
            </w:r>
            <w:r w:rsidR="00DB1199">
              <w:rPr>
                <w:szCs w:val="24"/>
              </w:rPr>
              <w:t xml:space="preserve"> </w:t>
            </w:r>
            <w:r w:rsidR="00A33976" w:rsidRPr="00EB5230">
              <w:rPr>
                <w:szCs w:val="24"/>
              </w:rPr>
              <w:t xml:space="preserve">ONR, Internal Hazards, Issue 7.1, December 2022, NS-TAST-GD-014. </w:t>
            </w:r>
            <w:hyperlink r:id="rId14" w:history="1">
              <w:r w:rsidR="00A33976" w:rsidRPr="00544B96">
                <w:rPr>
                  <w:rStyle w:val="Hyperlink"/>
                  <w:szCs w:val="24"/>
                </w:rPr>
                <w:t>www.onr.org.uk/media/lrnfqbg1/ns-tast-gd-014.docx</w:t>
              </w:r>
            </w:hyperlink>
          </w:p>
          <w:p w14:paraId="4573E048" w14:textId="6669DDC5" w:rsidR="003C3382" w:rsidRPr="0048438C" w:rsidRDefault="003C3382" w:rsidP="0048438C">
            <w:pPr>
              <w:spacing w:before="60" w:after="60"/>
              <w:rPr>
                <w:szCs w:val="24"/>
              </w:rPr>
            </w:pPr>
          </w:p>
        </w:tc>
      </w:tr>
      <w:tr w:rsidR="00850471" w:rsidRPr="00581D5B" w14:paraId="4573E04B" w14:textId="77777777" w:rsidTr="6CBF6D2A">
        <w:tc>
          <w:tcPr>
            <w:tcW w:w="9897" w:type="dxa"/>
            <w:gridSpan w:val="2"/>
            <w:shd w:val="clear" w:color="auto" w:fill="D9D9D9" w:themeFill="background1" w:themeFillShade="D9"/>
          </w:tcPr>
          <w:p w14:paraId="4573E04A" w14:textId="3CCD1A37" w:rsidR="00850471" w:rsidRPr="00581D5B" w:rsidRDefault="003C3382" w:rsidP="0048438C">
            <w:pPr>
              <w:spacing w:before="60" w:after="60"/>
              <w:rPr>
                <w:b/>
                <w:iCs/>
                <w:szCs w:val="24"/>
              </w:rPr>
            </w:pPr>
            <w:r>
              <w:lastRenderedPageBreak/>
              <w:br w:type="page"/>
            </w:r>
            <w:r w:rsidR="00581D5B" w:rsidRPr="00581D5B">
              <w:rPr>
                <w:b/>
                <w:iCs/>
                <w:szCs w:val="24"/>
              </w:rPr>
              <w:t>REGULATORY OBSERVATION ACTIONS</w:t>
            </w:r>
          </w:p>
        </w:tc>
      </w:tr>
      <w:tr w:rsidR="00850471" w:rsidRPr="0048438C" w14:paraId="4573E04E" w14:textId="77777777" w:rsidTr="6CBF6D2A">
        <w:trPr>
          <w:trHeight w:val="242"/>
        </w:trPr>
        <w:tc>
          <w:tcPr>
            <w:tcW w:w="9897" w:type="dxa"/>
            <w:gridSpan w:val="2"/>
          </w:tcPr>
          <w:p w14:paraId="4573E04C" w14:textId="532C01C5" w:rsidR="00850471" w:rsidRPr="003E6D73" w:rsidRDefault="00850471" w:rsidP="003C3382">
            <w:pPr>
              <w:rPr>
                <w:b/>
                <w:noProof/>
                <w:szCs w:val="24"/>
              </w:rPr>
            </w:pPr>
            <w:r w:rsidRPr="003E6D73">
              <w:rPr>
                <w:b/>
                <w:noProof/>
                <w:szCs w:val="24"/>
              </w:rPr>
              <w:t>RO-</w:t>
            </w:r>
            <w:r w:rsidR="00581D5B" w:rsidRPr="00A74C80">
              <w:rPr>
                <w:b/>
                <w:noProof/>
                <w:szCs w:val="24"/>
              </w:rPr>
              <w:t>RRSMR</w:t>
            </w:r>
            <w:r w:rsidRPr="00A74C80">
              <w:rPr>
                <w:b/>
                <w:noProof/>
                <w:szCs w:val="24"/>
              </w:rPr>
              <w:t>-</w:t>
            </w:r>
            <w:r w:rsidR="00494FBD" w:rsidRPr="00A74C80">
              <w:rPr>
                <w:b/>
                <w:noProof/>
                <w:szCs w:val="24"/>
              </w:rPr>
              <w:t>020</w:t>
            </w:r>
            <w:r w:rsidRPr="00A74C80">
              <w:rPr>
                <w:b/>
                <w:noProof/>
                <w:szCs w:val="24"/>
              </w:rPr>
              <w:t>.A1</w:t>
            </w:r>
            <w:r w:rsidR="000977CC" w:rsidRPr="00A74C80">
              <w:rPr>
                <w:b/>
                <w:noProof/>
                <w:szCs w:val="24"/>
              </w:rPr>
              <w:t xml:space="preserve"> –</w:t>
            </w:r>
            <w:r w:rsidR="00615D64" w:rsidRPr="003E6D73">
              <w:rPr>
                <w:b/>
                <w:noProof/>
                <w:szCs w:val="24"/>
              </w:rPr>
              <w:t xml:space="preserve"> Demonstrate </w:t>
            </w:r>
            <w:r w:rsidR="003E6D73">
              <w:rPr>
                <w:b/>
                <w:noProof/>
                <w:szCs w:val="24"/>
              </w:rPr>
              <w:t xml:space="preserve">that </w:t>
            </w:r>
            <w:r w:rsidR="00EC1F1A">
              <w:rPr>
                <w:b/>
                <w:noProof/>
                <w:szCs w:val="24"/>
              </w:rPr>
              <w:t xml:space="preserve">design basis </w:t>
            </w:r>
            <w:r w:rsidR="003E6D73">
              <w:rPr>
                <w:b/>
                <w:noProof/>
                <w:szCs w:val="24"/>
              </w:rPr>
              <w:t xml:space="preserve">blast hazards within containment </w:t>
            </w:r>
            <w:r w:rsidR="00EC1F1A">
              <w:rPr>
                <w:b/>
                <w:noProof/>
                <w:szCs w:val="24"/>
              </w:rPr>
              <w:t>are tolerable</w:t>
            </w:r>
          </w:p>
          <w:p w14:paraId="7BE7FFFB" w14:textId="77777777" w:rsidR="00CC67B6" w:rsidRPr="003E6D73" w:rsidRDefault="00CC67B6" w:rsidP="003C3382">
            <w:pPr>
              <w:rPr>
                <w:noProof/>
                <w:szCs w:val="24"/>
              </w:rPr>
            </w:pPr>
          </w:p>
          <w:p w14:paraId="2DCB501B" w14:textId="1CE8282B" w:rsidR="00875755" w:rsidRPr="0048438C" w:rsidRDefault="00875755" w:rsidP="003C3382">
            <w:pPr>
              <w:rPr>
                <w:noProof/>
                <w:szCs w:val="24"/>
                <w:highlight w:val="yellow"/>
              </w:rPr>
            </w:pPr>
            <w:r w:rsidRPr="0048438C">
              <w:rPr>
                <w:noProof/>
                <w:szCs w:val="24"/>
              </w:rPr>
              <w:t xml:space="preserve">In response to this Regulatory Observation Action, </w:t>
            </w:r>
            <w:r w:rsidR="00581D5B">
              <w:rPr>
                <w:noProof/>
                <w:szCs w:val="24"/>
              </w:rPr>
              <w:t xml:space="preserve">Rolls-Royce SMR </w:t>
            </w:r>
            <w:r w:rsidR="007A5ECD">
              <w:rPr>
                <w:noProof/>
                <w:szCs w:val="24"/>
              </w:rPr>
              <w:t>Ltd</w:t>
            </w:r>
            <w:r w:rsidRPr="0048438C">
              <w:rPr>
                <w:noProof/>
                <w:szCs w:val="24"/>
              </w:rPr>
              <w:t xml:space="preserve"> should:</w:t>
            </w:r>
          </w:p>
          <w:p w14:paraId="20AA25FA" w14:textId="50D3C8FA" w:rsidR="003C7579" w:rsidRPr="0048438C" w:rsidRDefault="003C7579" w:rsidP="003C3382">
            <w:pPr>
              <w:rPr>
                <w:noProof/>
                <w:szCs w:val="24"/>
                <w:highlight w:val="yellow"/>
              </w:rPr>
            </w:pPr>
          </w:p>
          <w:p w14:paraId="399A96F2" w14:textId="618B14C9" w:rsidR="00EC1F1A" w:rsidRDefault="00EC1F1A" w:rsidP="003C3382">
            <w:pPr>
              <w:pStyle w:val="ListParagraph"/>
              <w:numPr>
                <w:ilvl w:val="0"/>
                <w:numId w:val="28"/>
              </w:numPr>
              <w:rPr>
                <w:bCs/>
                <w:noProof/>
                <w:szCs w:val="24"/>
              </w:rPr>
            </w:pPr>
            <w:r>
              <w:rPr>
                <w:bCs/>
                <w:noProof/>
                <w:szCs w:val="24"/>
              </w:rPr>
              <w:t xml:space="preserve">Complete a suitable and sufficient identification of blast hazards within </w:t>
            </w:r>
            <w:r w:rsidR="006D5E15">
              <w:rPr>
                <w:bCs/>
                <w:noProof/>
                <w:szCs w:val="24"/>
              </w:rPr>
              <w:t>containment</w:t>
            </w:r>
          </w:p>
          <w:p w14:paraId="0E087AF0" w14:textId="45A98678" w:rsidR="005D6DAA" w:rsidRDefault="004E1055" w:rsidP="003C3382">
            <w:pPr>
              <w:pStyle w:val="ListParagraph"/>
              <w:numPr>
                <w:ilvl w:val="0"/>
                <w:numId w:val="28"/>
              </w:numPr>
              <w:rPr>
                <w:bCs/>
                <w:noProof/>
                <w:szCs w:val="24"/>
              </w:rPr>
            </w:pPr>
            <w:r>
              <w:rPr>
                <w:bCs/>
                <w:noProof/>
                <w:szCs w:val="24"/>
              </w:rPr>
              <w:t xml:space="preserve">Justify </w:t>
            </w:r>
            <w:r w:rsidR="005D6DAA">
              <w:rPr>
                <w:bCs/>
                <w:noProof/>
                <w:szCs w:val="24"/>
              </w:rPr>
              <w:t>that cases selected for detailed analysis are</w:t>
            </w:r>
            <w:r w:rsidR="005261C7">
              <w:rPr>
                <w:bCs/>
                <w:noProof/>
                <w:szCs w:val="24"/>
              </w:rPr>
              <w:t xml:space="preserve"> bounding or otherwise risk informed</w:t>
            </w:r>
            <w:r>
              <w:rPr>
                <w:bCs/>
                <w:noProof/>
                <w:szCs w:val="24"/>
              </w:rPr>
              <w:t xml:space="preserve">, </w:t>
            </w:r>
            <w:r w:rsidR="005D6DAA">
              <w:rPr>
                <w:bCs/>
                <w:noProof/>
                <w:szCs w:val="24"/>
              </w:rPr>
              <w:t>based on the consideration of hazard and risk</w:t>
            </w:r>
            <w:r>
              <w:rPr>
                <w:bCs/>
                <w:noProof/>
                <w:szCs w:val="24"/>
              </w:rPr>
              <w:t xml:space="preserve"> amongst other relevant factors</w:t>
            </w:r>
          </w:p>
          <w:p w14:paraId="3808F364" w14:textId="1A1476B9" w:rsidR="005D6DAA" w:rsidRDefault="00806588" w:rsidP="003C3382">
            <w:pPr>
              <w:pStyle w:val="ListParagraph"/>
              <w:numPr>
                <w:ilvl w:val="0"/>
                <w:numId w:val="28"/>
              </w:numPr>
              <w:rPr>
                <w:bCs/>
                <w:noProof/>
                <w:szCs w:val="24"/>
              </w:rPr>
            </w:pPr>
            <w:r>
              <w:rPr>
                <w:bCs/>
                <w:noProof/>
                <w:szCs w:val="24"/>
              </w:rPr>
              <w:lastRenderedPageBreak/>
              <w:t xml:space="preserve">Characterise </w:t>
            </w:r>
            <w:r w:rsidR="00F340F0">
              <w:rPr>
                <w:bCs/>
                <w:noProof/>
                <w:szCs w:val="24"/>
              </w:rPr>
              <w:t xml:space="preserve">the </w:t>
            </w:r>
            <w:r w:rsidR="00020F18">
              <w:rPr>
                <w:bCs/>
                <w:noProof/>
                <w:szCs w:val="24"/>
              </w:rPr>
              <w:t xml:space="preserve">selected cases including </w:t>
            </w:r>
            <w:r w:rsidR="00DA4CA4">
              <w:rPr>
                <w:bCs/>
                <w:noProof/>
                <w:szCs w:val="24"/>
              </w:rPr>
              <w:t>suitable sensitivity analysis to provide confidence in the plants overall tolerability to blast hazards in containment</w:t>
            </w:r>
          </w:p>
          <w:p w14:paraId="19ABE76D" w14:textId="5304F725" w:rsidR="00DA4CA4" w:rsidRDefault="00F340F0" w:rsidP="003C3382">
            <w:pPr>
              <w:pStyle w:val="ListParagraph"/>
              <w:numPr>
                <w:ilvl w:val="0"/>
                <w:numId w:val="28"/>
              </w:numPr>
              <w:rPr>
                <w:bCs/>
                <w:noProof/>
                <w:szCs w:val="24"/>
              </w:rPr>
            </w:pPr>
            <w:r>
              <w:rPr>
                <w:bCs/>
                <w:noProof/>
                <w:szCs w:val="24"/>
              </w:rPr>
              <w:t>Substantiate</w:t>
            </w:r>
            <w:r w:rsidR="00B91A82">
              <w:rPr>
                <w:bCs/>
                <w:noProof/>
                <w:szCs w:val="24"/>
              </w:rPr>
              <w:t xml:space="preserve"> withstand claims placed on SSCs, including civil barriers and VHR components</w:t>
            </w:r>
            <w:r w:rsidR="00C65113">
              <w:rPr>
                <w:bCs/>
                <w:noProof/>
                <w:szCs w:val="24"/>
              </w:rPr>
              <w:t>.</w:t>
            </w:r>
            <w:r w:rsidR="00B91A82">
              <w:rPr>
                <w:bCs/>
                <w:noProof/>
                <w:szCs w:val="24"/>
              </w:rPr>
              <w:t xml:space="preserve"> </w:t>
            </w:r>
            <w:r w:rsidR="00047E29">
              <w:rPr>
                <w:bCs/>
                <w:noProof/>
                <w:szCs w:val="24"/>
              </w:rPr>
              <w:t>Alternative means that provide confidence in the adequacy of the design should be provided, where sufficient detailed evidence cannot be produced at this time</w:t>
            </w:r>
          </w:p>
          <w:p w14:paraId="7BD792F1" w14:textId="3D8FFB0E" w:rsidR="00221893" w:rsidRPr="00EC1F1A" w:rsidRDefault="00221893" w:rsidP="003C3382">
            <w:pPr>
              <w:pStyle w:val="ListParagraph"/>
              <w:numPr>
                <w:ilvl w:val="0"/>
                <w:numId w:val="28"/>
              </w:numPr>
              <w:rPr>
                <w:bCs/>
                <w:noProof/>
                <w:szCs w:val="24"/>
              </w:rPr>
            </w:pPr>
            <w:r>
              <w:rPr>
                <w:bCs/>
                <w:noProof/>
                <w:szCs w:val="24"/>
              </w:rPr>
              <w:t xml:space="preserve">Demonstrate </w:t>
            </w:r>
            <w:r w:rsidR="00F963F3">
              <w:rPr>
                <w:bCs/>
                <w:noProof/>
                <w:szCs w:val="24"/>
              </w:rPr>
              <w:t xml:space="preserve">that sufficient SSCs remain available to support safe shutdown within containment following </w:t>
            </w:r>
            <w:r w:rsidR="00486F5C">
              <w:rPr>
                <w:bCs/>
                <w:noProof/>
                <w:szCs w:val="24"/>
              </w:rPr>
              <w:t xml:space="preserve">a </w:t>
            </w:r>
            <w:r w:rsidR="00F963F3">
              <w:rPr>
                <w:bCs/>
                <w:noProof/>
                <w:szCs w:val="24"/>
              </w:rPr>
              <w:t xml:space="preserve">postulated </w:t>
            </w:r>
            <w:r w:rsidR="00486F5C">
              <w:rPr>
                <w:bCs/>
                <w:noProof/>
                <w:szCs w:val="24"/>
              </w:rPr>
              <w:t>blast hazard</w:t>
            </w:r>
          </w:p>
          <w:p w14:paraId="1D2212FE" w14:textId="77777777" w:rsidR="00EC1F1A" w:rsidRDefault="00EC1F1A" w:rsidP="003C3382">
            <w:pPr>
              <w:rPr>
                <w:bCs/>
                <w:noProof/>
                <w:szCs w:val="24"/>
              </w:rPr>
            </w:pPr>
          </w:p>
          <w:p w14:paraId="4573E04D" w14:textId="2A551562" w:rsidR="00850471" w:rsidRPr="00EC1F1A" w:rsidRDefault="00850471" w:rsidP="003C3382">
            <w:pPr>
              <w:rPr>
                <w:bCs/>
                <w:noProof/>
                <w:szCs w:val="24"/>
              </w:rPr>
            </w:pPr>
            <w:r w:rsidRPr="00EC1F1A">
              <w:rPr>
                <w:bCs/>
                <w:noProof/>
                <w:szCs w:val="24"/>
              </w:rPr>
              <w:t>Resolution required by '</w:t>
            </w:r>
            <w:r w:rsidRPr="00EC1F1A">
              <w:rPr>
                <w:bCs/>
                <w:i/>
                <w:noProof/>
                <w:szCs w:val="24"/>
              </w:rPr>
              <w:t xml:space="preserve">to be determined by </w:t>
            </w:r>
            <w:r w:rsidR="00FD0CB5" w:rsidRPr="00EC1F1A">
              <w:rPr>
                <w:bCs/>
                <w:i/>
                <w:noProof/>
                <w:szCs w:val="24"/>
              </w:rPr>
              <w:t>Rolls-Royce SMR Limited</w:t>
            </w:r>
            <w:r w:rsidRPr="00EC1F1A">
              <w:rPr>
                <w:bCs/>
                <w:i/>
                <w:noProof/>
                <w:szCs w:val="24"/>
              </w:rPr>
              <w:t xml:space="preserve"> Resolution Plan</w:t>
            </w:r>
            <w:r w:rsidRPr="00EC1F1A">
              <w:rPr>
                <w:bCs/>
                <w:noProof/>
                <w:szCs w:val="24"/>
              </w:rPr>
              <w:t>'</w:t>
            </w:r>
          </w:p>
        </w:tc>
      </w:tr>
      <w:tr w:rsidR="00972F14" w:rsidRPr="0048438C" w14:paraId="01CC0C0E" w14:textId="77777777" w:rsidTr="6CBF6D2A">
        <w:trPr>
          <w:trHeight w:val="242"/>
        </w:trPr>
        <w:tc>
          <w:tcPr>
            <w:tcW w:w="9897" w:type="dxa"/>
            <w:gridSpan w:val="2"/>
          </w:tcPr>
          <w:p w14:paraId="6A99DC0A" w14:textId="45E51533" w:rsidR="00972F14" w:rsidRDefault="00972F14" w:rsidP="003C3382">
            <w:pPr>
              <w:rPr>
                <w:b/>
                <w:noProof/>
                <w:szCs w:val="24"/>
              </w:rPr>
            </w:pPr>
            <w:r w:rsidRPr="003E6D73">
              <w:rPr>
                <w:b/>
                <w:noProof/>
                <w:szCs w:val="24"/>
              </w:rPr>
              <w:lastRenderedPageBreak/>
              <w:t>RO-</w:t>
            </w:r>
            <w:r w:rsidRPr="00A74C80">
              <w:rPr>
                <w:b/>
                <w:noProof/>
                <w:szCs w:val="24"/>
              </w:rPr>
              <w:t>RRSMR-</w:t>
            </w:r>
            <w:r w:rsidR="00494FBD" w:rsidRPr="00A74C80">
              <w:rPr>
                <w:b/>
                <w:noProof/>
                <w:szCs w:val="24"/>
              </w:rPr>
              <w:t>020</w:t>
            </w:r>
            <w:r w:rsidRPr="00A74C80">
              <w:rPr>
                <w:b/>
                <w:noProof/>
                <w:szCs w:val="24"/>
              </w:rPr>
              <w:t>.A2 – Demonstrate</w:t>
            </w:r>
            <w:r w:rsidRPr="003E6D73">
              <w:rPr>
                <w:b/>
                <w:noProof/>
                <w:szCs w:val="24"/>
              </w:rPr>
              <w:t xml:space="preserve"> </w:t>
            </w:r>
            <w:r>
              <w:rPr>
                <w:b/>
                <w:noProof/>
                <w:szCs w:val="24"/>
              </w:rPr>
              <w:t>that the containment layout has been optimised with respect to blast hazards and SSCs</w:t>
            </w:r>
          </w:p>
          <w:p w14:paraId="75A1063B" w14:textId="77777777" w:rsidR="00972F14" w:rsidRDefault="00972F14" w:rsidP="003C3382">
            <w:pPr>
              <w:rPr>
                <w:b/>
                <w:noProof/>
                <w:szCs w:val="24"/>
              </w:rPr>
            </w:pPr>
          </w:p>
          <w:p w14:paraId="0826CD8F" w14:textId="77777777" w:rsidR="00972F14" w:rsidRPr="0048438C" w:rsidRDefault="00972F14" w:rsidP="003C3382">
            <w:pPr>
              <w:rPr>
                <w:noProof/>
                <w:szCs w:val="24"/>
                <w:highlight w:val="yellow"/>
              </w:rPr>
            </w:pPr>
            <w:r w:rsidRPr="0048438C">
              <w:rPr>
                <w:noProof/>
                <w:szCs w:val="24"/>
              </w:rPr>
              <w:t xml:space="preserve">In response to this Regulatory Observation Action, </w:t>
            </w:r>
            <w:r>
              <w:rPr>
                <w:noProof/>
                <w:szCs w:val="24"/>
              </w:rPr>
              <w:t>Rolls-Royce SMR Ltd</w:t>
            </w:r>
            <w:r w:rsidRPr="0048438C">
              <w:rPr>
                <w:noProof/>
                <w:szCs w:val="24"/>
              </w:rPr>
              <w:t xml:space="preserve"> should:</w:t>
            </w:r>
          </w:p>
          <w:p w14:paraId="6361D7FF" w14:textId="77777777" w:rsidR="00972F14" w:rsidRPr="004A2BC0" w:rsidRDefault="00972F14" w:rsidP="003C3382">
            <w:pPr>
              <w:rPr>
                <w:bCs/>
                <w:noProof/>
                <w:szCs w:val="24"/>
              </w:rPr>
            </w:pPr>
          </w:p>
          <w:p w14:paraId="3A303080" w14:textId="77777777" w:rsidR="003C3382" w:rsidRDefault="002968F2" w:rsidP="003C3382">
            <w:pPr>
              <w:pStyle w:val="ListParagraph"/>
              <w:numPr>
                <w:ilvl w:val="0"/>
                <w:numId w:val="29"/>
              </w:numPr>
              <w:rPr>
                <w:bCs/>
                <w:noProof/>
                <w:szCs w:val="24"/>
              </w:rPr>
            </w:pPr>
            <w:r w:rsidRPr="004A2BC0">
              <w:rPr>
                <w:bCs/>
                <w:noProof/>
                <w:szCs w:val="24"/>
              </w:rPr>
              <w:t>Articulate how the containment layout has been optimised to to reduce risk with respect</w:t>
            </w:r>
            <w:r w:rsidR="006D0BDA">
              <w:rPr>
                <w:bCs/>
                <w:noProof/>
                <w:szCs w:val="24"/>
              </w:rPr>
              <w:t xml:space="preserve"> to</w:t>
            </w:r>
            <w:r w:rsidRPr="004A2BC0">
              <w:rPr>
                <w:bCs/>
                <w:noProof/>
                <w:szCs w:val="24"/>
              </w:rPr>
              <w:t xml:space="preserve"> </w:t>
            </w:r>
            <w:r w:rsidR="0013377D" w:rsidRPr="004A2BC0">
              <w:rPr>
                <w:bCs/>
                <w:noProof/>
                <w:szCs w:val="24"/>
              </w:rPr>
              <w:t xml:space="preserve">blast hazards. This should include evidence to support the </w:t>
            </w:r>
            <w:r w:rsidR="002F2F91" w:rsidRPr="004A2BC0">
              <w:rPr>
                <w:bCs/>
                <w:noProof/>
                <w:szCs w:val="24"/>
              </w:rPr>
              <w:t>arrangement of components forming the primary and secondary circuits</w:t>
            </w:r>
            <w:r w:rsidR="00541A18" w:rsidRPr="004A2BC0">
              <w:rPr>
                <w:bCs/>
                <w:noProof/>
                <w:szCs w:val="24"/>
              </w:rPr>
              <w:t xml:space="preserve"> and SSCs which support </w:t>
            </w:r>
            <w:r w:rsidR="00450EA7" w:rsidRPr="004A2BC0">
              <w:rPr>
                <w:bCs/>
                <w:noProof/>
                <w:szCs w:val="24"/>
              </w:rPr>
              <w:t>nuclear safety functions</w:t>
            </w:r>
            <w:r w:rsidR="0024469C">
              <w:rPr>
                <w:bCs/>
                <w:noProof/>
                <w:szCs w:val="24"/>
              </w:rPr>
              <w:t xml:space="preserve"> including VHR components</w:t>
            </w:r>
            <w:r w:rsidR="00C9325D" w:rsidRPr="004A2BC0">
              <w:rPr>
                <w:bCs/>
                <w:noProof/>
                <w:szCs w:val="24"/>
              </w:rPr>
              <w:t xml:space="preserve">. In particular the demonstration should </w:t>
            </w:r>
            <w:r w:rsidR="004A2BC0" w:rsidRPr="004A2BC0">
              <w:rPr>
                <w:bCs/>
                <w:noProof/>
                <w:szCs w:val="24"/>
              </w:rPr>
              <w:t xml:space="preserve">provide evidence to support </w:t>
            </w:r>
            <w:r w:rsidR="00C9325D" w:rsidRPr="004A2BC0">
              <w:rPr>
                <w:bCs/>
                <w:noProof/>
                <w:szCs w:val="24"/>
              </w:rPr>
              <w:t xml:space="preserve">the layout of </w:t>
            </w:r>
            <w:r w:rsidR="003B3D12">
              <w:rPr>
                <w:bCs/>
                <w:noProof/>
                <w:szCs w:val="24"/>
              </w:rPr>
              <w:t xml:space="preserve">SSCs which </w:t>
            </w:r>
            <w:r w:rsidR="00387060">
              <w:rPr>
                <w:bCs/>
                <w:noProof/>
                <w:szCs w:val="24"/>
              </w:rPr>
              <w:t>support safe shutdown safety functions.</w:t>
            </w:r>
          </w:p>
          <w:p w14:paraId="1491D242" w14:textId="48247884" w:rsidR="00972F14" w:rsidRPr="003C3382" w:rsidRDefault="00541A18" w:rsidP="003C3382">
            <w:pPr>
              <w:rPr>
                <w:bCs/>
                <w:noProof/>
                <w:szCs w:val="24"/>
              </w:rPr>
            </w:pPr>
            <w:r w:rsidRPr="003C3382">
              <w:rPr>
                <w:bCs/>
                <w:noProof/>
                <w:szCs w:val="24"/>
              </w:rPr>
              <w:t xml:space="preserve"> </w:t>
            </w:r>
          </w:p>
          <w:p w14:paraId="26F78C3F" w14:textId="7C3EE626" w:rsidR="00972F14" w:rsidRPr="003E6D73" w:rsidRDefault="006D0BDA" w:rsidP="003C3382">
            <w:pPr>
              <w:rPr>
                <w:b/>
                <w:noProof/>
                <w:szCs w:val="24"/>
              </w:rPr>
            </w:pPr>
            <w:r w:rsidRPr="00EC1F1A">
              <w:rPr>
                <w:bCs/>
                <w:noProof/>
                <w:szCs w:val="24"/>
              </w:rPr>
              <w:t>Resolution required by '</w:t>
            </w:r>
            <w:r w:rsidRPr="00EC1F1A">
              <w:rPr>
                <w:bCs/>
                <w:i/>
                <w:noProof/>
                <w:szCs w:val="24"/>
              </w:rPr>
              <w:t>to be determined by Rolls-Royce SMR Limited Resolution Plan</w:t>
            </w:r>
            <w:r w:rsidRPr="00EC1F1A">
              <w:rPr>
                <w:bCs/>
                <w:noProof/>
                <w:szCs w:val="24"/>
              </w:rPr>
              <w:t>'</w:t>
            </w:r>
          </w:p>
        </w:tc>
      </w:tr>
    </w:tbl>
    <w:p w14:paraId="6E129088" w14:textId="77777777" w:rsidR="00D837C8"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009459D7">
        <w:trPr>
          <w:trHeight w:val="204"/>
        </w:trPr>
        <w:tc>
          <w:tcPr>
            <w:tcW w:w="6436" w:type="dxa"/>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w:t>
            </w:r>
            <w:proofErr w:type="spellStart"/>
            <w:r w:rsidR="00367C32" w:rsidRPr="009459D7">
              <w:rPr>
                <w:bCs/>
                <w:szCs w:val="24"/>
              </w:rPr>
              <w:t>yy</w:t>
            </w:r>
            <w:proofErr w:type="spellEnd"/>
            <w:r w:rsidR="00367C32" w:rsidRPr="009459D7">
              <w:rPr>
                <w:bCs/>
                <w:szCs w:val="24"/>
              </w:rPr>
              <w:t>)</w:t>
            </w:r>
            <w:r w:rsidRPr="0048438C">
              <w:rPr>
                <w:b/>
                <w:szCs w:val="24"/>
              </w:rPr>
              <w:t>:</w:t>
            </w:r>
          </w:p>
        </w:tc>
        <w:tc>
          <w:tcPr>
            <w:tcW w:w="3461" w:type="dxa"/>
          </w:tcPr>
          <w:p w14:paraId="4573E052" w14:textId="77777777" w:rsidR="00850471" w:rsidRPr="0048438C" w:rsidRDefault="00850471" w:rsidP="0048438C">
            <w:pPr>
              <w:spacing w:before="60" w:after="60"/>
              <w:jc w:val="center"/>
              <w:rPr>
                <w:b/>
                <w:szCs w:val="24"/>
              </w:rPr>
            </w:pPr>
          </w:p>
        </w:tc>
      </w:tr>
      <w:tr w:rsidR="00850471" w:rsidRPr="0048438C" w14:paraId="4573E056" w14:textId="77777777" w:rsidTr="009459D7">
        <w:trPr>
          <w:trHeight w:val="204"/>
        </w:trPr>
        <w:tc>
          <w:tcPr>
            <w:tcW w:w="6436" w:type="dxa"/>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w:t>
            </w:r>
            <w:proofErr w:type="spellStart"/>
            <w:r w:rsidR="009459D7" w:rsidRPr="009459D7">
              <w:rPr>
                <w:bCs/>
                <w:szCs w:val="24"/>
              </w:rPr>
              <w:t>yy</w:t>
            </w:r>
            <w:proofErr w:type="spellEnd"/>
            <w:r w:rsidR="009459D7" w:rsidRPr="009459D7">
              <w:rPr>
                <w:bCs/>
                <w:szCs w:val="24"/>
              </w:rPr>
              <w:t>)</w:t>
            </w:r>
            <w:r w:rsidRPr="0048438C">
              <w:rPr>
                <w:b/>
                <w:szCs w:val="24"/>
              </w:rPr>
              <w:t>:</w:t>
            </w:r>
          </w:p>
        </w:tc>
        <w:tc>
          <w:tcPr>
            <w:tcW w:w="3461" w:type="dxa"/>
          </w:tcPr>
          <w:p w14:paraId="4573E055" w14:textId="77777777" w:rsidR="00850471" w:rsidRPr="0048438C" w:rsidRDefault="00850471" w:rsidP="0048438C">
            <w:pPr>
              <w:spacing w:before="60" w:after="60"/>
              <w:jc w:val="center"/>
              <w:rPr>
                <w:b/>
                <w:szCs w:val="24"/>
              </w:rPr>
            </w:pPr>
          </w:p>
        </w:tc>
      </w:tr>
    </w:tbl>
    <w:p w14:paraId="4573E057" w14:textId="0F4061B4" w:rsidR="00ED1ADA" w:rsidRPr="0048438C" w:rsidRDefault="00ED1ADA" w:rsidP="0048438C">
      <w:pPr>
        <w:spacing w:before="60" w:after="60"/>
        <w:rPr>
          <w:szCs w:val="24"/>
        </w:rPr>
      </w:pPr>
    </w:p>
    <w:sectPr w:rsidR="00ED1ADA" w:rsidRPr="0048438C">
      <w:headerReference w:type="default" r:id="rId15"/>
      <w:footerReference w:type="even" r:id="rId16"/>
      <w:footerReference w:type="default" r:id="rId17"/>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679F5" w14:textId="77777777" w:rsidR="009202DA" w:rsidRDefault="009202DA">
      <w:r>
        <w:separator/>
      </w:r>
    </w:p>
  </w:endnote>
  <w:endnote w:type="continuationSeparator" w:id="0">
    <w:p w14:paraId="071BFE80" w14:textId="77777777" w:rsidR="009202DA" w:rsidRDefault="00920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77777777" w:rsidR="00C15B6D" w:rsidRDefault="00C1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22CECF68" w:rsidR="00C15B6D" w:rsidRDefault="00C15B6D">
    <w:pPr>
      <w:pStyle w:val="Footer"/>
      <w:tabs>
        <w:tab w:val="clear" w:pos="8306"/>
        <w:tab w:val="right" w:pos="9840"/>
      </w:tabs>
      <w:spacing w:before="120"/>
      <w:rPr>
        <w:lang w:val="en-US"/>
      </w:rPr>
    </w:pPr>
    <w:r>
      <w:rPr>
        <w:lang w:val="en-US"/>
      </w:rPr>
      <w:tab/>
    </w:r>
    <w:r w:rsidR="006300E5">
      <w:rPr>
        <w:lang w:val="en-US"/>
      </w:rPr>
      <w:t xml:space="preserve">                           </w:t>
    </w:r>
    <w:r w:rsidR="003C3382">
      <w:rPr>
        <w:lang w:val="en-US"/>
      </w:rPr>
      <w:t xml:space="preserve">                                                                                                                              </w:t>
    </w:r>
    <w:r w:rsidR="005A547C" w:rsidRPr="009D128E">
      <w:rPr>
        <w:sz w:val="22"/>
        <w:szCs w:val="22"/>
        <w:lang w:val="en-US"/>
      </w:rPr>
      <w:t xml:space="preserve">Page </w:t>
    </w:r>
    <w:r w:rsidR="005A547C" w:rsidRPr="009D128E">
      <w:rPr>
        <w:sz w:val="22"/>
        <w:szCs w:val="22"/>
        <w:lang w:val="en-US"/>
      </w:rPr>
      <w:fldChar w:fldCharType="begin"/>
    </w:r>
    <w:r w:rsidR="005A547C" w:rsidRPr="009D128E">
      <w:rPr>
        <w:sz w:val="22"/>
        <w:szCs w:val="22"/>
        <w:lang w:val="en-US"/>
      </w:rPr>
      <w:instrText xml:space="preserve"> PAGE </w:instrText>
    </w:r>
    <w:r w:rsidR="005A547C" w:rsidRPr="009D128E">
      <w:rPr>
        <w:sz w:val="22"/>
        <w:szCs w:val="22"/>
        <w:lang w:val="en-US"/>
      </w:rPr>
      <w:fldChar w:fldCharType="separate"/>
    </w:r>
    <w:r w:rsidR="005A547C">
      <w:rPr>
        <w:sz w:val="22"/>
        <w:lang w:val="en-US"/>
      </w:rPr>
      <w:t>1</w:t>
    </w:r>
    <w:r w:rsidR="005A547C" w:rsidRPr="009D128E">
      <w:rPr>
        <w:sz w:val="22"/>
        <w:szCs w:val="22"/>
        <w:lang w:val="en-US"/>
      </w:rPr>
      <w:fldChar w:fldCharType="end"/>
    </w:r>
    <w:r w:rsidR="005A547C" w:rsidRPr="009D128E">
      <w:rPr>
        <w:sz w:val="22"/>
        <w:szCs w:val="22"/>
        <w:lang w:val="en-US"/>
      </w:rPr>
      <w:t xml:space="preserve"> of </w:t>
    </w:r>
    <w:r w:rsidR="005A547C" w:rsidRPr="009D128E">
      <w:rPr>
        <w:sz w:val="22"/>
        <w:szCs w:val="22"/>
        <w:lang w:val="en-US"/>
      </w:rPr>
      <w:fldChar w:fldCharType="begin"/>
    </w:r>
    <w:r w:rsidR="005A547C" w:rsidRPr="009D128E">
      <w:rPr>
        <w:sz w:val="22"/>
        <w:szCs w:val="22"/>
        <w:lang w:val="en-US"/>
      </w:rPr>
      <w:instrText xml:space="preserve"> NUMPAGES </w:instrText>
    </w:r>
    <w:r w:rsidR="005A547C" w:rsidRPr="009D128E">
      <w:rPr>
        <w:sz w:val="22"/>
        <w:szCs w:val="22"/>
        <w:lang w:val="en-US"/>
      </w:rPr>
      <w:fldChar w:fldCharType="separate"/>
    </w:r>
    <w:r w:rsidR="005A547C">
      <w:rPr>
        <w:sz w:val="22"/>
        <w:lang w:val="en-US"/>
      </w:rPr>
      <w:t>3</w:t>
    </w:r>
    <w:r w:rsidR="005A547C" w:rsidRPr="009D128E">
      <w:rPr>
        <w:sz w:val="22"/>
        <w:szCs w:val="22"/>
        <w:lang w:val="en-US"/>
      </w:rPr>
      <w:fldChar w:fldCharType="end"/>
    </w:r>
    <w:r>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EF563" w14:textId="77777777" w:rsidR="009202DA" w:rsidRDefault="009202DA">
      <w:r>
        <w:separator/>
      </w:r>
    </w:p>
  </w:footnote>
  <w:footnote w:type="continuationSeparator" w:id="0">
    <w:p w14:paraId="12FAA1AD" w14:textId="77777777" w:rsidR="009202DA" w:rsidRDefault="009202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rsidTr="00AD0737">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A743F8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A0DB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25203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A48E1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748921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3850EC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296F9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D0641A"/>
    <w:multiLevelType w:val="hybridMultilevel"/>
    <w:tmpl w:val="121E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413AED"/>
    <w:multiLevelType w:val="hybridMultilevel"/>
    <w:tmpl w:val="AC40A2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E0025E"/>
    <w:multiLevelType w:val="hybridMultilevel"/>
    <w:tmpl w:val="0B30A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AE7A4C"/>
    <w:multiLevelType w:val="hybridMultilevel"/>
    <w:tmpl w:val="F88CC07C"/>
    <w:lvl w:ilvl="0" w:tplc="1D16518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2" w15:restartNumberingAfterBreak="0">
    <w:nsid w:val="37156349"/>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BB43409"/>
    <w:multiLevelType w:val="hybridMultilevel"/>
    <w:tmpl w:val="052012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B70378"/>
    <w:multiLevelType w:val="hybridMultilevel"/>
    <w:tmpl w:val="A238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F803D4"/>
    <w:multiLevelType w:val="hybridMultilevel"/>
    <w:tmpl w:val="0428D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087185"/>
    <w:multiLevelType w:val="hybridMultilevel"/>
    <w:tmpl w:val="80245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BB7294"/>
    <w:multiLevelType w:val="hybridMultilevel"/>
    <w:tmpl w:val="0680C2AC"/>
    <w:lvl w:ilvl="0" w:tplc="9D7AF4A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B7A074A"/>
    <w:multiLevelType w:val="hybridMultilevel"/>
    <w:tmpl w:val="8B48C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7B985BF2"/>
    <w:multiLevelType w:val="hybridMultilevel"/>
    <w:tmpl w:val="27043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1429189">
    <w:abstractNumId w:val="19"/>
  </w:num>
  <w:num w:numId="2" w16cid:durableId="611744556">
    <w:abstractNumId w:val="19"/>
  </w:num>
  <w:num w:numId="3" w16cid:durableId="1385985808">
    <w:abstractNumId w:val="19"/>
  </w:num>
  <w:num w:numId="4" w16cid:durableId="868029942">
    <w:abstractNumId w:val="18"/>
  </w:num>
  <w:num w:numId="5" w16cid:durableId="1402827280">
    <w:abstractNumId w:val="14"/>
  </w:num>
  <w:num w:numId="6" w16cid:durableId="751706408">
    <w:abstractNumId w:val="19"/>
  </w:num>
  <w:num w:numId="7" w16cid:durableId="443310093">
    <w:abstractNumId w:val="19"/>
  </w:num>
  <w:num w:numId="8" w16cid:durableId="1607271266">
    <w:abstractNumId w:val="19"/>
  </w:num>
  <w:num w:numId="9" w16cid:durableId="1315646131">
    <w:abstractNumId w:val="19"/>
  </w:num>
  <w:num w:numId="10" w16cid:durableId="792361629">
    <w:abstractNumId w:val="19"/>
  </w:num>
  <w:num w:numId="11" w16cid:durableId="880630535">
    <w:abstractNumId w:val="19"/>
  </w:num>
  <w:num w:numId="12" w16cid:durableId="413817138">
    <w:abstractNumId w:val="4"/>
  </w:num>
  <w:num w:numId="13" w16cid:durableId="2041466965">
    <w:abstractNumId w:val="3"/>
  </w:num>
  <w:num w:numId="14" w16cid:durableId="1542590897">
    <w:abstractNumId w:val="2"/>
  </w:num>
  <w:num w:numId="15" w16cid:durableId="684552954">
    <w:abstractNumId w:val="1"/>
  </w:num>
  <w:num w:numId="16" w16cid:durableId="1277952026">
    <w:abstractNumId w:val="0"/>
  </w:num>
  <w:num w:numId="17" w16cid:durableId="1190606074">
    <w:abstractNumId w:val="9"/>
  </w:num>
  <w:num w:numId="18" w16cid:durableId="806122750">
    <w:abstractNumId w:val="8"/>
  </w:num>
  <w:num w:numId="19" w16cid:durableId="2043092028">
    <w:abstractNumId w:val="17"/>
  </w:num>
  <w:num w:numId="20" w16cid:durableId="503514876">
    <w:abstractNumId w:val="11"/>
  </w:num>
  <w:num w:numId="21" w16cid:durableId="629357940">
    <w:abstractNumId w:val="6"/>
  </w:num>
  <w:num w:numId="22" w16cid:durableId="48309977">
    <w:abstractNumId w:val="7"/>
  </w:num>
  <w:num w:numId="23" w16cid:durableId="1847282771">
    <w:abstractNumId w:val="5"/>
  </w:num>
  <w:num w:numId="24" w16cid:durableId="1034887541">
    <w:abstractNumId w:val="12"/>
  </w:num>
  <w:num w:numId="25" w16cid:durableId="462113341">
    <w:abstractNumId w:val="13"/>
  </w:num>
  <w:num w:numId="26" w16cid:durableId="1095591722">
    <w:abstractNumId w:val="20"/>
  </w:num>
  <w:num w:numId="27" w16cid:durableId="457184949">
    <w:abstractNumId w:val="16"/>
  </w:num>
  <w:num w:numId="28" w16cid:durableId="787360158">
    <w:abstractNumId w:val="15"/>
  </w:num>
  <w:num w:numId="29" w16cid:durableId="1467533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781D"/>
    <w:rsid w:val="00020F18"/>
    <w:rsid w:val="00032F19"/>
    <w:rsid w:val="00033217"/>
    <w:rsid w:val="00045089"/>
    <w:rsid w:val="00047346"/>
    <w:rsid w:val="00047E29"/>
    <w:rsid w:val="00051788"/>
    <w:rsid w:val="000525BB"/>
    <w:rsid w:val="00053509"/>
    <w:rsid w:val="000563A8"/>
    <w:rsid w:val="00065E20"/>
    <w:rsid w:val="000758E9"/>
    <w:rsid w:val="0007700A"/>
    <w:rsid w:val="00077DF9"/>
    <w:rsid w:val="00090117"/>
    <w:rsid w:val="00096FB8"/>
    <w:rsid w:val="000977CC"/>
    <w:rsid w:val="000A385B"/>
    <w:rsid w:val="000A4E5B"/>
    <w:rsid w:val="000B0B4E"/>
    <w:rsid w:val="000B3379"/>
    <w:rsid w:val="000B5C56"/>
    <w:rsid w:val="000B73B8"/>
    <w:rsid w:val="000D7132"/>
    <w:rsid w:val="000E2BBC"/>
    <w:rsid w:val="0010236E"/>
    <w:rsid w:val="001145C3"/>
    <w:rsid w:val="001178D5"/>
    <w:rsid w:val="00122C22"/>
    <w:rsid w:val="0013377D"/>
    <w:rsid w:val="00141E00"/>
    <w:rsid w:val="001438BC"/>
    <w:rsid w:val="00150187"/>
    <w:rsid w:val="0015058B"/>
    <w:rsid w:val="00170A05"/>
    <w:rsid w:val="00174E7A"/>
    <w:rsid w:val="001764F5"/>
    <w:rsid w:val="00177FAF"/>
    <w:rsid w:val="00185D10"/>
    <w:rsid w:val="001924F8"/>
    <w:rsid w:val="001967E7"/>
    <w:rsid w:val="001A0BB7"/>
    <w:rsid w:val="001A25CB"/>
    <w:rsid w:val="001B2440"/>
    <w:rsid w:val="001E2E4A"/>
    <w:rsid w:val="001F685B"/>
    <w:rsid w:val="0020150E"/>
    <w:rsid w:val="002042CE"/>
    <w:rsid w:val="00206F81"/>
    <w:rsid w:val="00212157"/>
    <w:rsid w:val="00220466"/>
    <w:rsid w:val="00221347"/>
    <w:rsid w:val="00221893"/>
    <w:rsid w:val="002266AD"/>
    <w:rsid w:val="0022784D"/>
    <w:rsid w:val="00231238"/>
    <w:rsid w:val="00231F69"/>
    <w:rsid w:val="00233D3B"/>
    <w:rsid w:val="0024469C"/>
    <w:rsid w:val="002537E6"/>
    <w:rsid w:val="002701C0"/>
    <w:rsid w:val="0027042F"/>
    <w:rsid w:val="002860FC"/>
    <w:rsid w:val="00295428"/>
    <w:rsid w:val="002968F2"/>
    <w:rsid w:val="002A652B"/>
    <w:rsid w:val="002B1697"/>
    <w:rsid w:val="002B52C2"/>
    <w:rsid w:val="002C0193"/>
    <w:rsid w:val="002C0396"/>
    <w:rsid w:val="002E0737"/>
    <w:rsid w:val="002F2F91"/>
    <w:rsid w:val="00321241"/>
    <w:rsid w:val="00340813"/>
    <w:rsid w:val="00343BCC"/>
    <w:rsid w:val="00347213"/>
    <w:rsid w:val="00365256"/>
    <w:rsid w:val="00366AEB"/>
    <w:rsid w:val="00367C32"/>
    <w:rsid w:val="00387060"/>
    <w:rsid w:val="003939D6"/>
    <w:rsid w:val="003A0126"/>
    <w:rsid w:val="003A0832"/>
    <w:rsid w:val="003A6935"/>
    <w:rsid w:val="003A72CB"/>
    <w:rsid w:val="003B3D12"/>
    <w:rsid w:val="003B5F69"/>
    <w:rsid w:val="003B6ACD"/>
    <w:rsid w:val="003C3382"/>
    <w:rsid w:val="003C7579"/>
    <w:rsid w:val="003D1DAE"/>
    <w:rsid w:val="003D3EE6"/>
    <w:rsid w:val="003D4DD8"/>
    <w:rsid w:val="003D6D53"/>
    <w:rsid w:val="003E6D73"/>
    <w:rsid w:val="003F369E"/>
    <w:rsid w:val="004019BD"/>
    <w:rsid w:val="0040443F"/>
    <w:rsid w:val="00411AA4"/>
    <w:rsid w:val="004214AE"/>
    <w:rsid w:val="00426E61"/>
    <w:rsid w:val="004341A6"/>
    <w:rsid w:val="0043459F"/>
    <w:rsid w:val="00435E3C"/>
    <w:rsid w:val="00440413"/>
    <w:rsid w:val="00441E02"/>
    <w:rsid w:val="00444C41"/>
    <w:rsid w:val="00450EA7"/>
    <w:rsid w:val="00460896"/>
    <w:rsid w:val="0046648E"/>
    <w:rsid w:val="0048301D"/>
    <w:rsid w:val="0048438C"/>
    <w:rsid w:val="004849C7"/>
    <w:rsid w:val="00486F5C"/>
    <w:rsid w:val="00490A48"/>
    <w:rsid w:val="00494EE4"/>
    <w:rsid w:val="00494FBD"/>
    <w:rsid w:val="004A2BC0"/>
    <w:rsid w:val="004A6A2C"/>
    <w:rsid w:val="004B6201"/>
    <w:rsid w:val="004D14A4"/>
    <w:rsid w:val="004D6B2E"/>
    <w:rsid w:val="004D77F2"/>
    <w:rsid w:val="004E1055"/>
    <w:rsid w:val="004E5017"/>
    <w:rsid w:val="004E747D"/>
    <w:rsid w:val="004F5BC3"/>
    <w:rsid w:val="00500BC7"/>
    <w:rsid w:val="00501EE1"/>
    <w:rsid w:val="00502308"/>
    <w:rsid w:val="00511F3C"/>
    <w:rsid w:val="00512980"/>
    <w:rsid w:val="00520247"/>
    <w:rsid w:val="005208C8"/>
    <w:rsid w:val="0052550D"/>
    <w:rsid w:val="005261C7"/>
    <w:rsid w:val="00535341"/>
    <w:rsid w:val="00541A18"/>
    <w:rsid w:val="00542CA2"/>
    <w:rsid w:val="00556AF7"/>
    <w:rsid w:val="00564708"/>
    <w:rsid w:val="00573C95"/>
    <w:rsid w:val="00577FAC"/>
    <w:rsid w:val="00581D5B"/>
    <w:rsid w:val="005878C8"/>
    <w:rsid w:val="00594CE9"/>
    <w:rsid w:val="005A547C"/>
    <w:rsid w:val="005C24AC"/>
    <w:rsid w:val="005C4812"/>
    <w:rsid w:val="005C6410"/>
    <w:rsid w:val="005C74A1"/>
    <w:rsid w:val="005D0854"/>
    <w:rsid w:val="005D363D"/>
    <w:rsid w:val="005D3737"/>
    <w:rsid w:val="005D4F32"/>
    <w:rsid w:val="005D6DAA"/>
    <w:rsid w:val="005E1B67"/>
    <w:rsid w:val="005E6D5A"/>
    <w:rsid w:val="005E73D9"/>
    <w:rsid w:val="005F4CBD"/>
    <w:rsid w:val="005F56D3"/>
    <w:rsid w:val="006006BE"/>
    <w:rsid w:val="00600A1A"/>
    <w:rsid w:val="006044ED"/>
    <w:rsid w:val="00606D7E"/>
    <w:rsid w:val="00606E0A"/>
    <w:rsid w:val="00606EC7"/>
    <w:rsid w:val="00615D64"/>
    <w:rsid w:val="0061749A"/>
    <w:rsid w:val="006262A4"/>
    <w:rsid w:val="00627D12"/>
    <w:rsid w:val="006300E5"/>
    <w:rsid w:val="00636A44"/>
    <w:rsid w:val="006405C1"/>
    <w:rsid w:val="006438F8"/>
    <w:rsid w:val="00653A3A"/>
    <w:rsid w:val="00684E8C"/>
    <w:rsid w:val="0068744B"/>
    <w:rsid w:val="006A1571"/>
    <w:rsid w:val="006B0C3B"/>
    <w:rsid w:val="006B3338"/>
    <w:rsid w:val="006B3A51"/>
    <w:rsid w:val="006B5F31"/>
    <w:rsid w:val="006B6CF0"/>
    <w:rsid w:val="006D0BDA"/>
    <w:rsid w:val="006D2053"/>
    <w:rsid w:val="006D5E15"/>
    <w:rsid w:val="006E199D"/>
    <w:rsid w:val="00706C65"/>
    <w:rsid w:val="007102C7"/>
    <w:rsid w:val="00715A69"/>
    <w:rsid w:val="00716E85"/>
    <w:rsid w:val="00725B5E"/>
    <w:rsid w:val="00744AA9"/>
    <w:rsid w:val="00753C93"/>
    <w:rsid w:val="007816F1"/>
    <w:rsid w:val="00781D1E"/>
    <w:rsid w:val="00781EF0"/>
    <w:rsid w:val="007A5ECD"/>
    <w:rsid w:val="007B08E3"/>
    <w:rsid w:val="007B4B69"/>
    <w:rsid w:val="007B66BD"/>
    <w:rsid w:val="007C67B8"/>
    <w:rsid w:val="007C7AA0"/>
    <w:rsid w:val="007F331A"/>
    <w:rsid w:val="00804CA0"/>
    <w:rsid w:val="00804E70"/>
    <w:rsid w:val="00805723"/>
    <w:rsid w:val="00806588"/>
    <w:rsid w:val="008362EF"/>
    <w:rsid w:val="00840C44"/>
    <w:rsid w:val="0084744F"/>
    <w:rsid w:val="0084777B"/>
    <w:rsid w:val="00850471"/>
    <w:rsid w:val="008528D1"/>
    <w:rsid w:val="00854437"/>
    <w:rsid w:val="0085784A"/>
    <w:rsid w:val="008626CC"/>
    <w:rsid w:val="008634D8"/>
    <w:rsid w:val="00867341"/>
    <w:rsid w:val="00873BFD"/>
    <w:rsid w:val="00875755"/>
    <w:rsid w:val="0087645C"/>
    <w:rsid w:val="00880B8B"/>
    <w:rsid w:val="0088168D"/>
    <w:rsid w:val="008832A1"/>
    <w:rsid w:val="0089701F"/>
    <w:rsid w:val="008974F6"/>
    <w:rsid w:val="008B159A"/>
    <w:rsid w:val="008B7C2C"/>
    <w:rsid w:val="008C00B9"/>
    <w:rsid w:val="008C03F9"/>
    <w:rsid w:val="008C4EA8"/>
    <w:rsid w:val="008D297C"/>
    <w:rsid w:val="008D3265"/>
    <w:rsid w:val="008E3BB3"/>
    <w:rsid w:val="008E66D7"/>
    <w:rsid w:val="008F1365"/>
    <w:rsid w:val="00900A3C"/>
    <w:rsid w:val="00902856"/>
    <w:rsid w:val="00902B4D"/>
    <w:rsid w:val="009049D8"/>
    <w:rsid w:val="009073A7"/>
    <w:rsid w:val="00911FCA"/>
    <w:rsid w:val="009202DA"/>
    <w:rsid w:val="0092073F"/>
    <w:rsid w:val="00924CDA"/>
    <w:rsid w:val="00936BEB"/>
    <w:rsid w:val="00943951"/>
    <w:rsid w:val="009459D7"/>
    <w:rsid w:val="009478F5"/>
    <w:rsid w:val="00947BF2"/>
    <w:rsid w:val="00952E08"/>
    <w:rsid w:val="00957EA6"/>
    <w:rsid w:val="00966AA8"/>
    <w:rsid w:val="00972F14"/>
    <w:rsid w:val="00980CFA"/>
    <w:rsid w:val="0098161F"/>
    <w:rsid w:val="00982275"/>
    <w:rsid w:val="0098470D"/>
    <w:rsid w:val="0099081A"/>
    <w:rsid w:val="00992010"/>
    <w:rsid w:val="009A270D"/>
    <w:rsid w:val="009B4E9D"/>
    <w:rsid w:val="009B5A9C"/>
    <w:rsid w:val="009B7ED6"/>
    <w:rsid w:val="009C1468"/>
    <w:rsid w:val="009D374A"/>
    <w:rsid w:val="009D62AE"/>
    <w:rsid w:val="009E6D65"/>
    <w:rsid w:val="009F1392"/>
    <w:rsid w:val="009F7DD0"/>
    <w:rsid w:val="00A06049"/>
    <w:rsid w:val="00A0625C"/>
    <w:rsid w:val="00A153F6"/>
    <w:rsid w:val="00A248A8"/>
    <w:rsid w:val="00A33976"/>
    <w:rsid w:val="00A35C0E"/>
    <w:rsid w:val="00A469AE"/>
    <w:rsid w:val="00A70785"/>
    <w:rsid w:val="00A73B09"/>
    <w:rsid w:val="00A74C80"/>
    <w:rsid w:val="00A83A8B"/>
    <w:rsid w:val="00A8788A"/>
    <w:rsid w:val="00AA5365"/>
    <w:rsid w:val="00AB0665"/>
    <w:rsid w:val="00AB17DC"/>
    <w:rsid w:val="00AC29B5"/>
    <w:rsid w:val="00AD0737"/>
    <w:rsid w:val="00B12875"/>
    <w:rsid w:val="00B27F93"/>
    <w:rsid w:val="00B35ED5"/>
    <w:rsid w:val="00B4142E"/>
    <w:rsid w:val="00B5167F"/>
    <w:rsid w:val="00B639C6"/>
    <w:rsid w:val="00B65931"/>
    <w:rsid w:val="00B666F1"/>
    <w:rsid w:val="00B71824"/>
    <w:rsid w:val="00B737FF"/>
    <w:rsid w:val="00B85BAD"/>
    <w:rsid w:val="00B85D99"/>
    <w:rsid w:val="00B91A82"/>
    <w:rsid w:val="00B95FF2"/>
    <w:rsid w:val="00BA102D"/>
    <w:rsid w:val="00BA1B78"/>
    <w:rsid w:val="00BB2D8B"/>
    <w:rsid w:val="00BC681C"/>
    <w:rsid w:val="00BC6B71"/>
    <w:rsid w:val="00BD08B9"/>
    <w:rsid w:val="00C00BCA"/>
    <w:rsid w:val="00C0736E"/>
    <w:rsid w:val="00C14744"/>
    <w:rsid w:val="00C15527"/>
    <w:rsid w:val="00C15B6D"/>
    <w:rsid w:val="00C1695D"/>
    <w:rsid w:val="00C258DC"/>
    <w:rsid w:val="00C30035"/>
    <w:rsid w:val="00C34CBC"/>
    <w:rsid w:val="00C43B41"/>
    <w:rsid w:val="00C44E43"/>
    <w:rsid w:val="00C4709D"/>
    <w:rsid w:val="00C47DD0"/>
    <w:rsid w:val="00C53B1A"/>
    <w:rsid w:val="00C5535C"/>
    <w:rsid w:val="00C65113"/>
    <w:rsid w:val="00C73242"/>
    <w:rsid w:val="00C81645"/>
    <w:rsid w:val="00C828C6"/>
    <w:rsid w:val="00C8427F"/>
    <w:rsid w:val="00C85710"/>
    <w:rsid w:val="00C85729"/>
    <w:rsid w:val="00C905B3"/>
    <w:rsid w:val="00C9325D"/>
    <w:rsid w:val="00C9435C"/>
    <w:rsid w:val="00CB3DF2"/>
    <w:rsid w:val="00CC345A"/>
    <w:rsid w:val="00CC67B6"/>
    <w:rsid w:val="00CC7FAD"/>
    <w:rsid w:val="00CF0122"/>
    <w:rsid w:val="00CF7980"/>
    <w:rsid w:val="00D07DE5"/>
    <w:rsid w:val="00D14085"/>
    <w:rsid w:val="00D2193B"/>
    <w:rsid w:val="00D266E9"/>
    <w:rsid w:val="00D27D7B"/>
    <w:rsid w:val="00D30E81"/>
    <w:rsid w:val="00D51CA7"/>
    <w:rsid w:val="00D67882"/>
    <w:rsid w:val="00D74369"/>
    <w:rsid w:val="00D74603"/>
    <w:rsid w:val="00D837C8"/>
    <w:rsid w:val="00D86598"/>
    <w:rsid w:val="00D91A97"/>
    <w:rsid w:val="00D979D7"/>
    <w:rsid w:val="00DA01D5"/>
    <w:rsid w:val="00DA392D"/>
    <w:rsid w:val="00DA4CA4"/>
    <w:rsid w:val="00DA6DA4"/>
    <w:rsid w:val="00DB1199"/>
    <w:rsid w:val="00DB29AE"/>
    <w:rsid w:val="00DB340F"/>
    <w:rsid w:val="00DC7F75"/>
    <w:rsid w:val="00DD3FED"/>
    <w:rsid w:val="00DD4EA3"/>
    <w:rsid w:val="00DE2378"/>
    <w:rsid w:val="00E015DD"/>
    <w:rsid w:val="00E21A57"/>
    <w:rsid w:val="00E377BB"/>
    <w:rsid w:val="00E4769A"/>
    <w:rsid w:val="00E477F1"/>
    <w:rsid w:val="00E5490C"/>
    <w:rsid w:val="00E562BD"/>
    <w:rsid w:val="00E60DB4"/>
    <w:rsid w:val="00E625D1"/>
    <w:rsid w:val="00E62DDC"/>
    <w:rsid w:val="00E63316"/>
    <w:rsid w:val="00E65D34"/>
    <w:rsid w:val="00E72B16"/>
    <w:rsid w:val="00E72F14"/>
    <w:rsid w:val="00E77290"/>
    <w:rsid w:val="00E804CE"/>
    <w:rsid w:val="00E809BE"/>
    <w:rsid w:val="00E9284B"/>
    <w:rsid w:val="00EB7D33"/>
    <w:rsid w:val="00EC1CC0"/>
    <w:rsid w:val="00EC1F1A"/>
    <w:rsid w:val="00EC409B"/>
    <w:rsid w:val="00ED1ADA"/>
    <w:rsid w:val="00ED6A98"/>
    <w:rsid w:val="00EE2260"/>
    <w:rsid w:val="00EE30F1"/>
    <w:rsid w:val="00EE7506"/>
    <w:rsid w:val="00F16EB2"/>
    <w:rsid w:val="00F340F0"/>
    <w:rsid w:val="00F53766"/>
    <w:rsid w:val="00F57D62"/>
    <w:rsid w:val="00F65458"/>
    <w:rsid w:val="00F65462"/>
    <w:rsid w:val="00F70E08"/>
    <w:rsid w:val="00F7274D"/>
    <w:rsid w:val="00F82D1B"/>
    <w:rsid w:val="00F8618C"/>
    <w:rsid w:val="00F8651F"/>
    <w:rsid w:val="00F87E0A"/>
    <w:rsid w:val="00F944E1"/>
    <w:rsid w:val="00F963F3"/>
    <w:rsid w:val="00FA1E7E"/>
    <w:rsid w:val="00FA62B5"/>
    <w:rsid w:val="00FD0A03"/>
    <w:rsid w:val="00FD0CB5"/>
    <w:rsid w:val="00FE35C1"/>
    <w:rsid w:val="00FE761C"/>
    <w:rsid w:val="00FF255C"/>
    <w:rsid w:val="0C5BC747"/>
    <w:rsid w:val="185C19E4"/>
    <w:rsid w:val="27838DAC"/>
    <w:rsid w:val="302234D7"/>
    <w:rsid w:val="33D07D82"/>
    <w:rsid w:val="369982E2"/>
    <w:rsid w:val="3ED4E781"/>
    <w:rsid w:val="4A95943C"/>
    <w:rsid w:val="4B7A39E8"/>
    <w:rsid w:val="59909BBB"/>
    <w:rsid w:val="6985095C"/>
    <w:rsid w:val="6CBF6D2A"/>
    <w:rsid w:val="6CF7A73C"/>
    <w:rsid w:val="74161E6C"/>
    <w:rsid w:val="77187DF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B00D0679-8AE0-4C4E-A500-C9E5D3E65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qFormat/>
    <w:pPr>
      <w:keepNext/>
      <w:numPr>
        <w:numId w:val="1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semiHidden/>
    <w:unhideWhenUsed/>
    <w:rsid w:val="006E199D"/>
    <w:rPr>
      <w:rFonts w:ascii="Times New Roman" w:hAnsi="Times New Roman" w:cs="Times New Roman"/>
      <w:szCs w:val="24"/>
    </w:rPr>
  </w:style>
  <w:style w:type="character" w:styleId="Hyperlink">
    <w:name w:val="Hyperlink"/>
    <w:basedOn w:val="DefaultParagraphFont"/>
    <w:unhideWhenUsed/>
    <w:rsid w:val="00653A3A"/>
    <w:rPr>
      <w:color w:val="0000FF" w:themeColor="hyperlink"/>
      <w:u w:val="single"/>
    </w:rPr>
  </w:style>
  <w:style w:type="character" w:styleId="UnresolvedMention">
    <w:name w:val="Unresolved Mention"/>
    <w:basedOn w:val="DefaultParagraphFont"/>
    <w:uiPriority w:val="99"/>
    <w:semiHidden/>
    <w:unhideWhenUsed/>
    <w:rsid w:val="003D1D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aea.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onr.org.uk/media/pobf24xm/saps2014.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nr.org.uk/media/lrnfqbg1/ns-tast-gd-014.doc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0b556b1be894125ec2007f987936c7a0">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6b4219613154d2044422bdff0e7dd3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6cfbbfa-3ea0-4d8e-acde-632e83cd9c55" xsi:nil="true"/>
    <_dlc_DocId xmlns="f6cfbbfa-3ea0-4d8e-acde-632e83cd9c55">ONRW-2126615823-12804</_dlc_DocId>
    <_dlc_DocIdUrl xmlns="f6cfbbfa-3ea0-4d8e-acde-632e83cd9c55">
      <Url>https://prodonrgov.sharepoint.com/sites/WIReD/_layouts/15/DocIdRedir.aspx?ID=ONRW-2126615823-12804</Url>
      <Description>ONRW-2126615823-12804</Description>
    </_dlc_DocIdUrl>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Dutyholder xmlns="f6cfbbfa-3ea0-4d8e-acde-632e83cd9c55" xsi:nil="true"/>
    <lcf76f155ced4ddcb4097134ff3c332f xmlns="6ee01a08-9bb3-4510-887c-4508c532eb2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A3ED0D1-F923-4382-A854-D2A6B5E174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FC80CF-4684-40D0-8E8F-1216B2034863}">
  <ds:schemaRefs>
    <ds:schemaRef ds:uri="http://schemas.microsoft.com/sharepoint/v3/contenttype/forms"/>
  </ds:schemaRefs>
</ds:datastoreItem>
</file>

<file path=customXml/itemProps3.xml><?xml version="1.0" encoding="utf-8"?>
<ds:datastoreItem xmlns:ds="http://schemas.openxmlformats.org/officeDocument/2006/customXml" ds:itemID="{B6C5780F-2889-4DD7-8F85-E0FC5CD85289}">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customXml/itemProps4.xml><?xml version="1.0" encoding="utf-8"?>
<ds:datastoreItem xmlns:ds="http://schemas.openxmlformats.org/officeDocument/2006/customXml" ds:itemID="{79E0A575-9853-41D7-8BCA-572C9CA63D97}">
  <ds:schemaRefs>
    <ds:schemaRef ds:uri="http://schemas.openxmlformats.org/officeDocument/2006/bibliography"/>
  </ds:schemaRefs>
</ds:datastoreItem>
</file>

<file path=customXml/itemProps5.xml><?xml version="1.0" encoding="utf-8"?>
<ds:datastoreItem xmlns:ds="http://schemas.openxmlformats.org/officeDocument/2006/customXml" ds:itemID="{C97249D3-5E4B-465F-93AF-46D391F33B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1749</Words>
  <Characters>10345</Characters>
  <Application>Microsoft Office Word</Application>
  <DocSecurity>0</DocSecurity>
  <Lines>214</Lines>
  <Paragraphs>84</Paragraphs>
  <ScaleCrop>false</ScaleCrop>
  <Company>Health and Safety Executive</Company>
  <LinksUpToDate>false</LinksUpToDate>
  <CharactersWithSpaces>12033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GDA Regulatory Observation</dc:title>
  <dc:subject/>
  <cp:keywords/>
  <dc:description/>
  <cp:revision>269</cp:revision>
  <cp:lastPrinted>2017-10-03T18:43:00Z</cp:lastPrinted>
  <dcterms:created xsi:type="dcterms:W3CDTF">2026-04-30T19:09:00Z</dcterms:created>
  <dcterms:modified xsi:type="dcterms:W3CDTF">2026-08-10T08:17:00Z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0x0101002BFD813B9BA5F84C8E4BDD131736DF68</vt:lpwstr>
  </property>
  <property fmtid="{D5CDD505-2E9C-101B-9397-08002B2CF9AE}" pid="4" name="_dlc_DocIdItemGuid">
    <vt:lpwstr>77b63194-054a-4e18-a718-016486fa7f48</vt:lpwstr>
  </property>
  <property fmtid="{D5CDD505-2E9C-101B-9397-08002B2CF9AE}" pid="5" name="BCS1">
    <vt:lpwstr>10;#4.4.1 Safety Reports/Cases: Assessment|7500dff8-3c6d-475f-a6b6-75de36a7fde4</vt:lpwstr>
  </property>
  <property fmtid="{D5CDD505-2E9C-101B-9397-08002B2CF9AE}" pid="6" name="MSIP_Label_9e5e003a-90eb-47c9-a506-ad47e7a0b281_Enabled">
    <vt:lpwstr>true</vt:lpwstr>
  </property>
  <property fmtid="{D5CDD505-2E9C-101B-9397-08002B2CF9AE}" pid="7" name="MSIP_Label_9e5e003a-90eb-47c9-a506-ad47e7a0b281_SetDate">
    <vt:lpwstr>2022-07-01T09:29:12Z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23638b36-612a-40f8-bb73-956cbf377e51</vt:lpwstr>
  </property>
  <property fmtid="{D5CDD505-2E9C-101B-9397-08002B2CF9AE}" pid="12" name="MSIP_Label_9e5e003a-90eb-47c9-a506-ad47e7a0b281_ContentBits">
    <vt:lpwstr>0</vt:lpwstr>
  </property>
  <property fmtid="{D5CDD505-2E9C-101B-9397-08002B2CF9AE}" pid="13" name="MediaServiceImageTags">
    <vt:lpwstr/>
  </property>
  <property fmtid="{D5CDD505-2E9C-101B-9397-08002B2CF9AE}" pid="14" name="docLang">
    <vt:lpwstr>en</vt:lpwstr>
  </property>
</Properties>
</file>