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0C708CBC" w:rsidR="009E41C4" w:rsidRPr="00CD19F4" w:rsidRDefault="009E41C4" w:rsidP="00BD6FA8">
      <w:pPr>
        <w:spacing w:after="0"/>
        <w:jc w:val="both"/>
        <w:rPr>
          <w:rFonts w:cs="Arial"/>
          <w:color w:val="767171"/>
          <w:sz w:val="14"/>
          <w:szCs w:val="14"/>
        </w:rPr>
      </w:pPr>
      <w:r w:rsidRPr="00CD19F4">
        <w:rPr>
          <w:rFonts w:cs="Arial"/>
          <w:color w:val="767171"/>
          <w:sz w:val="14"/>
          <w:szCs w:val="14"/>
        </w:rPr>
        <w:t>©</w:t>
      </w:r>
      <w:r w:rsidRPr="00CD19F4">
        <w:rPr>
          <w:rFonts w:cs="Arial"/>
          <w:color w:val="767171"/>
          <w:sz w:val="14"/>
          <w:szCs w:val="14"/>
        </w:rPr>
        <w:fldChar w:fldCharType="begin"/>
      </w:r>
      <w:r w:rsidRPr="00CD19F4">
        <w:rPr>
          <w:rFonts w:cs="Arial"/>
          <w:color w:val="767171"/>
          <w:sz w:val="14"/>
          <w:szCs w:val="14"/>
        </w:rPr>
        <w:instrText>date \@ "YYYY"</w:instrText>
      </w:r>
      <w:r w:rsidRPr="00CD19F4">
        <w:rPr>
          <w:rFonts w:cs="Arial"/>
          <w:color w:val="767171"/>
          <w:sz w:val="14"/>
          <w:szCs w:val="14"/>
        </w:rPr>
        <w:fldChar w:fldCharType="separate"/>
      </w:r>
      <w:r w:rsidR="000E2F12">
        <w:rPr>
          <w:rFonts w:cs="Arial"/>
          <w:noProof/>
          <w:color w:val="767171"/>
          <w:sz w:val="14"/>
          <w:szCs w:val="14"/>
        </w:rPr>
        <w:t>2026</w:t>
      </w:r>
      <w:r w:rsidRPr="00CD19F4">
        <w:rPr>
          <w:rFonts w:cs="Arial"/>
          <w:color w:val="767171"/>
          <w:sz w:val="14"/>
          <w:szCs w:val="14"/>
        </w:rPr>
        <w:fldChar w:fldCharType="end"/>
      </w:r>
      <w:r w:rsidRPr="00CD19F4">
        <w:rPr>
          <w:rFonts w:cs="Arial"/>
          <w:color w:val="767171"/>
          <w:sz w:val="14"/>
          <w:szCs w:val="14"/>
        </w:rPr>
        <w:t xml:space="preserve"> Rolls-Royce SMR L</w:t>
      </w:r>
      <w:r w:rsidR="006E6294" w:rsidRPr="00CD19F4">
        <w:rPr>
          <w:rFonts w:cs="Arial"/>
          <w:color w:val="767171"/>
          <w:sz w:val="14"/>
          <w:szCs w:val="14"/>
        </w:rPr>
        <w:t>imi</w:t>
      </w:r>
      <w:r w:rsidR="004667A1" w:rsidRPr="00CD19F4">
        <w:rPr>
          <w:rFonts w:cs="Arial"/>
          <w:color w:val="767171"/>
          <w:sz w:val="14"/>
          <w:szCs w:val="14"/>
        </w:rPr>
        <w:t>t</w:t>
      </w:r>
      <w:r w:rsidR="006E6294" w:rsidRPr="00CD19F4">
        <w:rPr>
          <w:rFonts w:cs="Arial"/>
          <w:color w:val="767171"/>
          <w:sz w:val="14"/>
          <w:szCs w:val="14"/>
        </w:rPr>
        <w:t>e</w:t>
      </w:r>
      <w:r w:rsidR="004667A1" w:rsidRPr="00CD19F4">
        <w:rPr>
          <w:rFonts w:cs="Arial"/>
          <w:color w:val="767171"/>
          <w:sz w:val="14"/>
          <w:szCs w:val="14"/>
        </w:rPr>
        <w:t>d</w:t>
      </w:r>
      <w:r w:rsidR="009B7435" w:rsidRPr="00CD19F4">
        <w:rPr>
          <w:rFonts w:cs="Arial"/>
          <w:color w:val="767171"/>
          <w:sz w:val="14"/>
          <w:szCs w:val="14"/>
        </w:rPr>
        <w:t>.</w:t>
      </w:r>
    </w:p>
    <w:p w14:paraId="2D5EA6F3" w14:textId="02C38FD1" w:rsidR="00DD33FA" w:rsidRPr="00CD19F4" w:rsidRDefault="009E41C4" w:rsidP="006E0F84">
      <w:pPr>
        <w:tabs>
          <w:tab w:val="clear" w:pos="992"/>
          <w:tab w:val="clear" w:pos="1395"/>
          <w:tab w:val="clear" w:pos="1712"/>
        </w:tabs>
        <w:spacing w:after="200" w:line="276" w:lineRule="auto"/>
        <w:jc w:val="both"/>
        <w:rPr>
          <w:rFonts w:cs="Arial"/>
          <w:color w:val="767171"/>
          <w:sz w:val="14"/>
          <w:szCs w:val="14"/>
        </w:rPr>
      </w:pPr>
      <w:r w:rsidRPr="00CD19F4">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CD19F4" w14:paraId="06DD5E44" w14:textId="77777777" w:rsidTr="005456FE">
        <w:trPr>
          <w:trHeight w:val="1125"/>
        </w:trPr>
        <w:tc>
          <w:tcPr>
            <w:tcW w:w="9351" w:type="dxa"/>
            <w:tcBorders>
              <w:bottom w:val="single" w:sz="4" w:space="0" w:color="auto"/>
            </w:tcBorders>
            <w:vAlign w:val="center"/>
          </w:tcPr>
          <w:p w14:paraId="22BA0909" w14:textId="77777777" w:rsidR="00DD33FA" w:rsidRPr="00CD19F4" w:rsidRDefault="00DD33FA" w:rsidP="00BD6FA8">
            <w:pPr>
              <w:tabs>
                <w:tab w:val="clear" w:pos="992"/>
                <w:tab w:val="clear" w:pos="1395"/>
                <w:tab w:val="clear" w:pos="1712"/>
                <w:tab w:val="left" w:pos="994"/>
                <w:tab w:val="left" w:pos="1397"/>
                <w:tab w:val="left" w:pos="1714"/>
              </w:tabs>
              <w:spacing w:after="0"/>
              <w:jc w:val="both"/>
              <w:rPr>
                <w:rFonts w:eastAsia="Times New Roman" w:cs="Times New Roman"/>
                <w:b/>
                <w:noProof/>
                <w:sz w:val="32"/>
                <w:szCs w:val="32"/>
                <w:lang w:eastAsia="en-GB"/>
              </w:rPr>
            </w:pPr>
          </w:p>
          <w:p w14:paraId="55F950C5" w14:textId="77777777" w:rsidR="00DD33FA" w:rsidRPr="00CD19F4" w:rsidRDefault="00DD33FA" w:rsidP="00BD6FA8">
            <w:pPr>
              <w:pStyle w:val="ReportField"/>
              <w:spacing w:line="276" w:lineRule="auto"/>
              <w:jc w:val="both"/>
              <w:rPr>
                <w:b/>
                <w:noProof/>
                <w:sz w:val="32"/>
                <w:szCs w:val="32"/>
              </w:rPr>
            </w:pPr>
            <w:r w:rsidRPr="00CD19F4">
              <w:rPr>
                <w:b/>
                <w:noProof/>
                <w:sz w:val="32"/>
                <w:szCs w:val="32"/>
              </w:rPr>
              <w:t>Rolls-Royce SMR RO Resolution Plan</w:t>
            </w:r>
          </w:p>
          <w:p w14:paraId="589C7FBD" w14:textId="77777777" w:rsidR="00DD33FA" w:rsidRPr="00CD19F4" w:rsidRDefault="00DD33FA" w:rsidP="00BD6FA8">
            <w:pPr>
              <w:pStyle w:val="ReportField"/>
              <w:spacing w:line="276" w:lineRule="auto"/>
              <w:jc w:val="both"/>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CD19F4" w14:paraId="61CBE02D" w14:textId="77777777" w:rsidTr="00B80B10">
        <w:trPr>
          <w:trHeight w:val="283"/>
        </w:trPr>
        <w:tc>
          <w:tcPr>
            <w:tcW w:w="3539" w:type="dxa"/>
            <w:tcBorders>
              <w:left w:val="single" w:sz="4" w:space="0" w:color="auto"/>
              <w:bottom w:val="single" w:sz="4" w:space="0" w:color="auto"/>
              <w:right w:val="single" w:sz="4" w:space="0" w:color="auto"/>
            </w:tcBorders>
            <w:vAlign w:val="center"/>
          </w:tcPr>
          <w:p w14:paraId="102C6258" w14:textId="68CECB95" w:rsidR="00DD33FA" w:rsidRPr="00CD19F4" w:rsidRDefault="00DD33FA" w:rsidP="00BD6FA8">
            <w:pPr>
              <w:pStyle w:val="ReportTitles"/>
              <w:jc w:val="both"/>
              <w:rPr>
                <w:sz w:val="24"/>
                <w:szCs w:val="24"/>
              </w:rPr>
            </w:pPr>
            <w:r w:rsidRPr="00CD19F4">
              <w:rPr>
                <w:sz w:val="24"/>
                <w:szCs w:val="24"/>
              </w:rPr>
              <w:t xml:space="preserve">RO </w:t>
            </w:r>
            <w:r w:rsidR="00C77C1C" w:rsidRPr="00CD19F4">
              <w:rPr>
                <w:sz w:val="24"/>
                <w:szCs w:val="24"/>
              </w:rPr>
              <w:t>U</w:t>
            </w:r>
            <w:r w:rsidRPr="00CD19F4">
              <w:rPr>
                <w:sz w:val="24"/>
                <w:szCs w:val="24"/>
              </w:rPr>
              <w:t>nique Number:</w:t>
            </w:r>
          </w:p>
        </w:tc>
        <w:tc>
          <w:tcPr>
            <w:tcW w:w="5812" w:type="dxa"/>
            <w:tcBorders>
              <w:left w:val="single" w:sz="4" w:space="0" w:color="auto"/>
              <w:bottom w:val="single" w:sz="4" w:space="0" w:color="auto"/>
              <w:right w:val="single" w:sz="4" w:space="0" w:color="auto"/>
            </w:tcBorders>
            <w:vAlign w:val="bottom"/>
          </w:tcPr>
          <w:p w14:paraId="11C586AA" w14:textId="3C2BE022" w:rsidR="00DD33FA" w:rsidRPr="00CD19F4" w:rsidRDefault="00493977" w:rsidP="00BD6FA8">
            <w:pPr>
              <w:jc w:val="both"/>
            </w:pPr>
            <w:r w:rsidRPr="00CD19F4">
              <w:rPr>
                <w:szCs w:val="24"/>
              </w:rPr>
              <w:t>RO-RRSMR-022</w:t>
            </w:r>
          </w:p>
        </w:tc>
      </w:tr>
      <w:tr w:rsidR="00DD33FA" w:rsidRPr="00CD19F4" w14:paraId="7F0F7537" w14:textId="77777777" w:rsidTr="00B80B10">
        <w:trPr>
          <w:trHeight w:val="283"/>
        </w:trPr>
        <w:tc>
          <w:tcPr>
            <w:tcW w:w="3539" w:type="dxa"/>
            <w:tcBorders>
              <w:left w:val="single" w:sz="4" w:space="0" w:color="auto"/>
              <w:bottom w:val="single" w:sz="4" w:space="0" w:color="auto"/>
              <w:right w:val="single" w:sz="4" w:space="0" w:color="auto"/>
            </w:tcBorders>
            <w:vAlign w:val="center"/>
          </w:tcPr>
          <w:p w14:paraId="4E780214" w14:textId="203D0BDD" w:rsidR="00DD33FA" w:rsidRPr="00CD19F4" w:rsidRDefault="00DD33FA" w:rsidP="00BD6FA8">
            <w:pPr>
              <w:pStyle w:val="ReportTitles"/>
              <w:jc w:val="both"/>
              <w:rPr>
                <w:b w:val="0"/>
                <w:sz w:val="24"/>
                <w:szCs w:val="24"/>
              </w:rPr>
            </w:pPr>
            <w:r w:rsidRPr="00CD19F4">
              <w:rPr>
                <w:sz w:val="24"/>
                <w:szCs w:val="24"/>
              </w:rPr>
              <w:t>RO Title:</w:t>
            </w:r>
          </w:p>
        </w:tc>
        <w:tc>
          <w:tcPr>
            <w:tcW w:w="5812" w:type="dxa"/>
            <w:tcBorders>
              <w:left w:val="single" w:sz="4" w:space="0" w:color="auto"/>
              <w:bottom w:val="single" w:sz="4" w:space="0" w:color="auto"/>
              <w:right w:val="single" w:sz="4" w:space="0" w:color="auto"/>
            </w:tcBorders>
            <w:vAlign w:val="bottom"/>
          </w:tcPr>
          <w:p w14:paraId="6CF49BF2" w14:textId="1E9DFD9D" w:rsidR="00DD33FA" w:rsidRPr="00CD19F4" w:rsidRDefault="00484FB2" w:rsidP="00BD6FA8">
            <w:pPr>
              <w:jc w:val="both"/>
            </w:pPr>
            <w:r w:rsidRPr="00CD19F4">
              <w:rPr>
                <w:color w:val="262626" w:themeColor="text1" w:themeTint="D9"/>
              </w:rPr>
              <w:t>Analysis of radiological hazards to workers</w:t>
            </w:r>
          </w:p>
        </w:tc>
      </w:tr>
      <w:tr w:rsidR="00056731" w:rsidRPr="00CD19F4" w14:paraId="5E467D53" w14:textId="77777777" w:rsidTr="00B80B10">
        <w:trPr>
          <w:trHeight w:val="283"/>
        </w:trPr>
        <w:tc>
          <w:tcPr>
            <w:tcW w:w="3539" w:type="dxa"/>
            <w:tcBorders>
              <w:left w:val="single" w:sz="4" w:space="0" w:color="auto"/>
              <w:bottom w:val="single" w:sz="4" w:space="0" w:color="auto"/>
              <w:right w:val="single" w:sz="4" w:space="0" w:color="auto"/>
            </w:tcBorders>
            <w:vAlign w:val="center"/>
          </w:tcPr>
          <w:p w14:paraId="44A2A32A" w14:textId="60DB996F" w:rsidR="00056731" w:rsidRPr="00CD19F4" w:rsidRDefault="00056731" w:rsidP="00BD6FA8">
            <w:pPr>
              <w:pStyle w:val="ReportTitles"/>
              <w:jc w:val="both"/>
              <w:rPr>
                <w:sz w:val="24"/>
                <w:szCs w:val="24"/>
              </w:rPr>
            </w:pPr>
            <w:r w:rsidRPr="00CD19F4">
              <w:rPr>
                <w:sz w:val="24"/>
                <w:szCs w:val="24"/>
              </w:rPr>
              <w:t xml:space="preserve">Lead Technical </w:t>
            </w:r>
            <w:r w:rsidR="00C7524D" w:rsidRPr="00CD19F4">
              <w:rPr>
                <w:sz w:val="24"/>
                <w:szCs w:val="24"/>
              </w:rPr>
              <w:t>T</w:t>
            </w:r>
            <w:r w:rsidRPr="00CD19F4">
              <w:rPr>
                <w:sz w:val="24"/>
                <w:szCs w:val="24"/>
              </w:rPr>
              <w:t>opic:</w:t>
            </w:r>
          </w:p>
        </w:tc>
        <w:tc>
          <w:tcPr>
            <w:tcW w:w="5812" w:type="dxa"/>
            <w:tcBorders>
              <w:left w:val="single" w:sz="4" w:space="0" w:color="auto"/>
              <w:bottom w:val="single" w:sz="4" w:space="0" w:color="auto"/>
              <w:right w:val="single" w:sz="4" w:space="0" w:color="auto"/>
            </w:tcBorders>
            <w:vAlign w:val="bottom"/>
          </w:tcPr>
          <w:p w14:paraId="2E5A6E4E" w14:textId="36D6EEAF" w:rsidR="00056731" w:rsidRPr="00CD19F4" w:rsidRDefault="00B80B10" w:rsidP="00BD6FA8">
            <w:pPr>
              <w:jc w:val="both"/>
            </w:pPr>
            <w:r w:rsidRPr="00CD19F4">
              <w:t>Radiation Protection</w:t>
            </w:r>
          </w:p>
        </w:tc>
      </w:tr>
      <w:tr w:rsidR="00DD33FA" w:rsidRPr="00CD19F4" w14:paraId="43C036FE" w14:textId="77777777" w:rsidTr="00B80B10">
        <w:trPr>
          <w:trHeight w:val="283"/>
        </w:trPr>
        <w:tc>
          <w:tcPr>
            <w:tcW w:w="3539" w:type="dxa"/>
            <w:tcBorders>
              <w:left w:val="single" w:sz="4" w:space="0" w:color="auto"/>
              <w:bottom w:val="single" w:sz="4" w:space="0" w:color="auto"/>
              <w:right w:val="single" w:sz="4" w:space="0" w:color="auto"/>
            </w:tcBorders>
            <w:vAlign w:val="center"/>
          </w:tcPr>
          <w:p w14:paraId="7C9339D9" w14:textId="2A2C5770" w:rsidR="00DD33FA" w:rsidRPr="00CD19F4" w:rsidRDefault="00DD33FA" w:rsidP="00BD6FA8">
            <w:pPr>
              <w:pStyle w:val="ReportTitles"/>
              <w:jc w:val="both"/>
              <w:rPr>
                <w:sz w:val="24"/>
                <w:szCs w:val="24"/>
              </w:rPr>
            </w:pPr>
            <w:r w:rsidRPr="00CD19F4">
              <w:rPr>
                <w:sz w:val="24"/>
                <w:szCs w:val="24"/>
              </w:rPr>
              <w:t xml:space="preserve">Related Technical </w:t>
            </w:r>
            <w:r w:rsidR="00C7524D" w:rsidRPr="00CD19F4">
              <w:rPr>
                <w:sz w:val="24"/>
                <w:szCs w:val="24"/>
              </w:rPr>
              <w:t>T</w:t>
            </w:r>
            <w:r w:rsidRPr="00CD19F4">
              <w:rPr>
                <w:sz w:val="24"/>
                <w:szCs w:val="24"/>
              </w:rPr>
              <w:t>opic(s)</w:t>
            </w:r>
            <w:r w:rsidR="00056731" w:rsidRPr="00CD19F4">
              <w:rPr>
                <w:sz w:val="24"/>
                <w:szCs w:val="24"/>
              </w:rPr>
              <w:t>:</w:t>
            </w:r>
          </w:p>
        </w:tc>
        <w:tc>
          <w:tcPr>
            <w:tcW w:w="5812" w:type="dxa"/>
            <w:tcBorders>
              <w:left w:val="single" w:sz="4" w:space="0" w:color="auto"/>
              <w:bottom w:val="single" w:sz="4" w:space="0" w:color="auto"/>
              <w:right w:val="single" w:sz="4" w:space="0" w:color="auto"/>
            </w:tcBorders>
            <w:vAlign w:val="bottom"/>
          </w:tcPr>
          <w:p w14:paraId="371F3850" w14:textId="5760DA8E" w:rsidR="00DD33FA" w:rsidRPr="00CD19F4" w:rsidRDefault="00B80B10" w:rsidP="00BD6FA8">
            <w:pPr>
              <w:jc w:val="both"/>
            </w:pPr>
            <w:r w:rsidRPr="00CD19F4">
              <w:t>N/A</w:t>
            </w:r>
          </w:p>
        </w:tc>
      </w:tr>
    </w:tbl>
    <w:p w14:paraId="40A7BCA7" w14:textId="1916CE12" w:rsidR="00E33EEB" w:rsidRPr="000E2F12" w:rsidRDefault="00A2500E" w:rsidP="000E2F12">
      <w:pPr>
        <w:pStyle w:val="Heading2"/>
      </w:pPr>
      <w:r w:rsidRPr="000E2F12">
        <w:t>Backgrou</w:t>
      </w:r>
      <w:r w:rsidR="00C7524D" w:rsidRPr="000E2F12">
        <w:t>n</w:t>
      </w:r>
      <w:r w:rsidRPr="000E2F12">
        <w:t>d</w:t>
      </w:r>
    </w:p>
    <w:p w14:paraId="6E4A409F" w14:textId="50C692A0" w:rsidR="005E1D24" w:rsidRPr="00CD19F4" w:rsidRDefault="005E1D24" w:rsidP="006E0F84">
      <w:pPr>
        <w:pStyle w:val="Guidance"/>
        <w:jc w:val="both"/>
        <w:rPr>
          <w:i w:val="0"/>
          <w:color w:val="auto"/>
        </w:rPr>
      </w:pPr>
      <w:r w:rsidRPr="00CD19F4">
        <w:rPr>
          <w:i w:val="0"/>
          <w:color w:val="auto"/>
        </w:rPr>
        <w:t xml:space="preserve">The Regulatory Observation </w:t>
      </w:r>
      <w:r w:rsidR="005072F5" w:rsidRPr="00CD19F4">
        <w:rPr>
          <w:i w:val="0"/>
          <w:color w:val="auto"/>
        </w:rPr>
        <w:t xml:space="preserve">(RO) </w:t>
      </w:r>
      <w:r w:rsidRPr="00CD19F4">
        <w:rPr>
          <w:i w:val="0"/>
          <w:color w:val="auto"/>
        </w:rPr>
        <w:t>concerns whether the Rolls-Royce SMR</w:t>
      </w:r>
      <w:r w:rsidR="00825AF8" w:rsidRPr="00CD19F4">
        <w:rPr>
          <w:i w:val="0"/>
          <w:color w:val="auto"/>
        </w:rPr>
        <w:t xml:space="preserve"> (RR SMR)</w:t>
      </w:r>
      <w:r w:rsidRPr="00CD19F4">
        <w:rPr>
          <w:i w:val="0"/>
          <w:color w:val="auto"/>
        </w:rPr>
        <w:t xml:space="preserve"> worker dose analysis is adequately supported by a systematic identification of radiological hazards for the generic design.</w:t>
      </w:r>
    </w:p>
    <w:p w14:paraId="319DF565" w14:textId="09CE342C" w:rsidR="005E1D24" w:rsidRPr="00CD19F4" w:rsidRDefault="005E1D24" w:rsidP="006E0F84">
      <w:pPr>
        <w:pStyle w:val="Guidance"/>
        <w:jc w:val="both"/>
        <w:rPr>
          <w:i w:val="0"/>
          <w:color w:val="auto"/>
        </w:rPr>
      </w:pPr>
      <w:r w:rsidRPr="00CD19F4">
        <w:rPr>
          <w:i w:val="0"/>
          <w:color w:val="auto"/>
        </w:rPr>
        <w:t xml:space="preserve">The current dose analysis is based on nine selected worker dose tasks, identified from previous GDA submissions and </w:t>
      </w:r>
      <w:r w:rsidR="00913777" w:rsidRPr="00CD19F4">
        <w:rPr>
          <w:i w:val="0"/>
          <w:color w:val="auto"/>
        </w:rPr>
        <w:t xml:space="preserve">publicly available </w:t>
      </w:r>
      <w:r w:rsidRPr="00CD19F4">
        <w:rPr>
          <w:i w:val="0"/>
          <w:color w:val="auto"/>
        </w:rPr>
        <w:t>operational experience.</w:t>
      </w:r>
    </w:p>
    <w:p w14:paraId="03182E97" w14:textId="3AE60B74" w:rsidR="005E1D24" w:rsidRPr="00CD19F4" w:rsidRDefault="005E1D24" w:rsidP="006E0F84">
      <w:pPr>
        <w:pStyle w:val="Guidance"/>
        <w:jc w:val="both"/>
        <w:rPr>
          <w:i w:val="0"/>
          <w:color w:val="auto"/>
        </w:rPr>
      </w:pPr>
      <w:r w:rsidRPr="00CD19F4">
        <w:rPr>
          <w:i w:val="0"/>
          <w:color w:val="auto"/>
        </w:rPr>
        <w:t>ONR considers that the R</w:t>
      </w:r>
      <w:r w:rsidR="00825AF8" w:rsidRPr="00CD19F4">
        <w:rPr>
          <w:i w:val="0"/>
          <w:color w:val="auto"/>
        </w:rPr>
        <w:t xml:space="preserve">equesting </w:t>
      </w:r>
      <w:r w:rsidRPr="00CD19F4">
        <w:rPr>
          <w:i w:val="0"/>
          <w:color w:val="auto"/>
        </w:rPr>
        <w:t>P</w:t>
      </w:r>
      <w:r w:rsidR="00825AF8" w:rsidRPr="00CD19F4">
        <w:rPr>
          <w:i w:val="0"/>
          <w:color w:val="auto"/>
        </w:rPr>
        <w:t>arty (RP)</w:t>
      </w:r>
      <w:r w:rsidRPr="00CD19F4">
        <w:rPr>
          <w:i w:val="0"/>
          <w:color w:val="auto"/>
        </w:rPr>
        <w:t xml:space="preserve"> has not sufficiently justified why these nine tasks are representative of all significant radiological risks associated with the </w:t>
      </w:r>
      <w:r w:rsidR="00825AF8" w:rsidRPr="00CD19F4">
        <w:rPr>
          <w:i w:val="0"/>
          <w:color w:val="auto"/>
        </w:rPr>
        <w:t>RR SMR</w:t>
      </w:r>
      <w:r w:rsidRPr="00CD19F4">
        <w:rPr>
          <w:i w:val="0"/>
          <w:color w:val="auto"/>
        </w:rPr>
        <w:t xml:space="preserve"> design.</w:t>
      </w:r>
    </w:p>
    <w:p w14:paraId="35693026" w14:textId="77777777" w:rsidR="005E1D24" w:rsidRPr="00CD19F4" w:rsidRDefault="005E1D24" w:rsidP="006E0F84">
      <w:pPr>
        <w:pStyle w:val="Guidance"/>
        <w:jc w:val="both"/>
        <w:rPr>
          <w:i w:val="0"/>
          <w:color w:val="auto"/>
        </w:rPr>
      </w:pPr>
      <w:r w:rsidRPr="00CD19F4">
        <w:rPr>
          <w:i w:val="0"/>
          <w:color w:val="auto"/>
        </w:rPr>
        <w:t>The current approach relies on implicit assumptions, including that:</w:t>
      </w:r>
    </w:p>
    <w:p w14:paraId="193FFDFA" w14:textId="26241731" w:rsidR="005E1D24" w:rsidRPr="00CD19F4" w:rsidRDefault="00694F99" w:rsidP="006E0F84">
      <w:pPr>
        <w:pStyle w:val="Guidance"/>
        <w:numPr>
          <w:ilvl w:val="0"/>
          <w:numId w:val="17"/>
        </w:numPr>
        <w:jc w:val="both"/>
        <w:rPr>
          <w:i w:val="0"/>
          <w:color w:val="auto"/>
        </w:rPr>
      </w:pPr>
      <w:r w:rsidRPr="00CD19F4">
        <w:rPr>
          <w:i w:val="0"/>
          <w:color w:val="auto"/>
        </w:rPr>
        <w:t>T</w:t>
      </w:r>
      <w:r w:rsidR="005E1D24" w:rsidRPr="00CD19F4">
        <w:rPr>
          <w:i w:val="0"/>
          <w:color w:val="auto"/>
        </w:rPr>
        <w:t>he nine tasks are the only significant dose-causing activities;</w:t>
      </w:r>
    </w:p>
    <w:p w14:paraId="46FF3144" w14:textId="406C6E61" w:rsidR="005E1D24" w:rsidRPr="00CD19F4" w:rsidRDefault="00694F99" w:rsidP="006E0F84">
      <w:pPr>
        <w:pStyle w:val="Guidance"/>
        <w:numPr>
          <w:ilvl w:val="0"/>
          <w:numId w:val="17"/>
        </w:numPr>
        <w:jc w:val="both"/>
        <w:rPr>
          <w:i w:val="0"/>
          <w:color w:val="auto"/>
        </w:rPr>
      </w:pPr>
      <w:r w:rsidRPr="00CD19F4">
        <w:rPr>
          <w:i w:val="0"/>
          <w:color w:val="auto"/>
        </w:rPr>
        <w:t>T</w:t>
      </w:r>
      <w:r w:rsidR="005E1D24" w:rsidRPr="00CD19F4">
        <w:rPr>
          <w:i w:val="0"/>
          <w:color w:val="auto"/>
        </w:rPr>
        <w:t xml:space="preserve">asks from other reactor designs are representative of the </w:t>
      </w:r>
      <w:r w:rsidR="00825AF8" w:rsidRPr="00CD19F4">
        <w:rPr>
          <w:i w:val="0"/>
          <w:color w:val="auto"/>
        </w:rPr>
        <w:t>RR</w:t>
      </w:r>
      <w:r w:rsidR="005E1D24" w:rsidRPr="00CD19F4">
        <w:rPr>
          <w:i w:val="0"/>
          <w:color w:val="auto"/>
        </w:rPr>
        <w:t xml:space="preserve"> SMR;</w:t>
      </w:r>
    </w:p>
    <w:p w14:paraId="42272758" w14:textId="76B1A345" w:rsidR="005E1D24" w:rsidRPr="00CD19F4" w:rsidRDefault="00694F99" w:rsidP="006E0F84">
      <w:pPr>
        <w:pStyle w:val="Guidance"/>
        <w:numPr>
          <w:ilvl w:val="0"/>
          <w:numId w:val="17"/>
        </w:numPr>
        <w:jc w:val="both"/>
        <w:rPr>
          <w:i w:val="0"/>
          <w:color w:val="auto"/>
        </w:rPr>
      </w:pPr>
      <w:r w:rsidRPr="00CD19F4">
        <w:rPr>
          <w:i w:val="0"/>
          <w:color w:val="auto"/>
        </w:rPr>
        <w:t>A</w:t>
      </w:r>
      <w:r w:rsidR="005E1D24" w:rsidRPr="00CD19F4">
        <w:rPr>
          <w:i w:val="0"/>
          <w:color w:val="auto"/>
        </w:rPr>
        <w:t>nalysis of these tasks can be used to infer worker dose risks across all normal operating modes.</w:t>
      </w:r>
    </w:p>
    <w:p w14:paraId="4151E873" w14:textId="05FC8E5C" w:rsidR="005E1D24" w:rsidRPr="00CD19F4" w:rsidRDefault="005E1D24" w:rsidP="006E0F84">
      <w:pPr>
        <w:pStyle w:val="Guidance"/>
        <w:jc w:val="both"/>
        <w:rPr>
          <w:i w:val="0"/>
          <w:color w:val="auto"/>
        </w:rPr>
      </w:pPr>
      <w:r w:rsidRPr="00CD19F4">
        <w:rPr>
          <w:i w:val="0"/>
          <w:color w:val="auto"/>
        </w:rPr>
        <w:t>ONR is concerned that, without first identifying the full range of radiological hazards, the RP cannot validate claims about:</w:t>
      </w:r>
    </w:p>
    <w:p w14:paraId="7E4F67F4" w14:textId="68571AF9" w:rsidR="005E1D24" w:rsidRPr="00CD19F4" w:rsidRDefault="00694F99" w:rsidP="006E0F84">
      <w:pPr>
        <w:pStyle w:val="Guidance"/>
        <w:numPr>
          <w:ilvl w:val="0"/>
          <w:numId w:val="18"/>
        </w:numPr>
        <w:jc w:val="both"/>
        <w:rPr>
          <w:i w:val="0"/>
          <w:color w:val="auto"/>
        </w:rPr>
      </w:pPr>
      <w:r w:rsidRPr="00CD19F4">
        <w:rPr>
          <w:i w:val="0"/>
          <w:color w:val="auto"/>
        </w:rPr>
        <w:t>T</w:t>
      </w:r>
      <w:r w:rsidR="005E1D24" w:rsidRPr="00CD19F4">
        <w:rPr>
          <w:i w:val="0"/>
          <w:color w:val="auto"/>
        </w:rPr>
        <w:t>he highest individual worker dose;</w:t>
      </w:r>
    </w:p>
    <w:p w14:paraId="4753F639" w14:textId="104DD3D6" w:rsidR="005E1D24" w:rsidRPr="00CD19F4" w:rsidRDefault="00694F99" w:rsidP="006E0F84">
      <w:pPr>
        <w:pStyle w:val="Guidance"/>
        <w:numPr>
          <w:ilvl w:val="0"/>
          <w:numId w:val="18"/>
        </w:numPr>
        <w:jc w:val="both"/>
        <w:rPr>
          <w:i w:val="0"/>
          <w:color w:val="auto"/>
        </w:rPr>
      </w:pPr>
      <w:r w:rsidRPr="00CD19F4">
        <w:rPr>
          <w:i w:val="0"/>
          <w:color w:val="auto"/>
        </w:rPr>
        <w:t>T</w:t>
      </w:r>
      <w:r w:rsidR="005E1D24" w:rsidRPr="00CD19F4">
        <w:rPr>
          <w:i w:val="0"/>
          <w:color w:val="auto"/>
        </w:rPr>
        <w:t>he highest average dose to a worker group;</w:t>
      </w:r>
    </w:p>
    <w:p w14:paraId="7B19C8D6" w14:textId="4D6FFDEA" w:rsidR="005E1D24" w:rsidRPr="00CD19F4" w:rsidRDefault="00694F99" w:rsidP="006E0F84">
      <w:pPr>
        <w:pStyle w:val="Guidance"/>
        <w:numPr>
          <w:ilvl w:val="0"/>
          <w:numId w:val="18"/>
        </w:numPr>
        <w:jc w:val="both"/>
        <w:rPr>
          <w:i w:val="0"/>
          <w:color w:val="auto"/>
        </w:rPr>
      </w:pPr>
      <w:r w:rsidRPr="00CD19F4">
        <w:rPr>
          <w:i w:val="0"/>
          <w:color w:val="auto"/>
        </w:rPr>
        <w:t>T</w:t>
      </w:r>
      <w:r w:rsidR="005E1D24" w:rsidRPr="00CD19F4">
        <w:rPr>
          <w:i w:val="0"/>
          <w:color w:val="auto"/>
        </w:rPr>
        <w:t>he total collective dose across normal operations.</w:t>
      </w:r>
    </w:p>
    <w:p w14:paraId="273ABBAB" w14:textId="77777777" w:rsidR="005E1D24" w:rsidRPr="00CD19F4" w:rsidRDefault="005E1D24" w:rsidP="006E0F84">
      <w:pPr>
        <w:pStyle w:val="Guidance"/>
        <w:jc w:val="both"/>
        <w:rPr>
          <w:i w:val="0"/>
          <w:color w:val="auto"/>
        </w:rPr>
      </w:pPr>
    </w:p>
    <w:p w14:paraId="133E67C4" w14:textId="77777777" w:rsidR="005E1D24" w:rsidRPr="00CD19F4" w:rsidRDefault="005E1D24" w:rsidP="006E0F84">
      <w:pPr>
        <w:pStyle w:val="Guidance"/>
        <w:jc w:val="both"/>
        <w:rPr>
          <w:i w:val="0"/>
          <w:color w:val="auto"/>
        </w:rPr>
      </w:pPr>
    </w:p>
    <w:p w14:paraId="323583A2" w14:textId="68920B81" w:rsidR="005E1D24" w:rsidRPr="00CD19F4" w:rsidRDefault="005E1D24" w:rsidP="006E0F84">
      <w:pPr>
        <w:pStyle w:val="Guidance"/>
        <w:jc w:val="both"/>
        <w:rPr>
          <w:i w:val="0"/>
          <w:color w:val="auto"/>
        </w:rPr>
      </w:pPr>
      <w:r w:rsidRPr="00CD19F4">
        <w:rPr>
          <w:i w:val="0"/>
          <w:color w:val="auto"/>
        </w:rPr>
        <w:t>This creates a potential weakness in the radiological protection aspects of the E3S case, particularly in demonstrating that the safety case is accurate, objective, and demonstrably complete.</w:t>
      </w:r>
    </w:p>
    <w:p w14:paraId="6077E4D0" w14:textId="7C72E641" w:rsidR="005E1D24" w:rsidRPr="00CD19F4" w:rsidRDefault="005E1D24" w:rsidP="006E0F84">
      <w:pPr>
        <w:pStyle w:val="Guidance"/>
        <w:jc w:val="both"/>
        <w:rPr>
          <w:i w:val="0"/>
          <w:color w:val="auto"/>
        </w:rPr>
      </w:pPr>
      <w:r w:rsidRPr="00CD19F4">
        <w:rPr>
          <w:i w:val="0"/>
          <w:color w:val="auto"/>
        </w:rPr>
        <w:t>ONR expects the RP to undertake a structured radiological hazard analysis covering the generic Rolls-Royce SMR design.</w:t>
      </w:r>
    </w:p>
    <w:p w14:paraId="37B849CA" w14:textId="029886E8" w:rsidR="005E1D24" w:rsidRPr="00CD19F4" w:rsidRDefault="005E1D24" w:rsidP="006E0F84">
      <w:pPr>
        <w:pStyle w:val="Guidance"/>
        <w:jc w:val="both"/>
        <w:rPr>
          <w:i w:val="0"/>
          <w:color w:val="auto"/>
        </w:rPr>
      </w:pPr>
      <w:r w:rsidRPr="00CD19F4">
        <w:rPr>
          <w:i w:val="0"/>
          <w:color w:val="auto"/>
        </w:rPr>
        <w:t>The RP should define the scope, methodology, assumptions, and outputs of the hazard analysis, ensuring that it reflects the SMR design, radiation levels, task durations, and relevant operational experience.</w:t>
      </w:r>
    </w:p>
    <w:p w14:paraId="1A6057EA" w14:textId="77777777" w:rsidR="00B80B10" w:rsidRPr="00CD19F4" w:rsidRDefault="005E1D24" w:rsidP="006E0F84">
      <w:pPr>
        <w:pStyle w:val="Guidance"/>
        <w:jc w:val="both"/>
        <w:rPr>
          <w:i w:val="0"/>
          <w:color w:val="auto"/>
        </w:rPr>
      </w:pPr>
      <w:r w:rsidRPr="00CD19F4">
        <w:rPr>
          <w:i w:val="0"/>
          <w:color w:val="auto"/>
        </w:rPr>
        <w:t>The outputs should show how the main contributors to occupational exposure have been identified and assessed.</w:t>
      </w:r>
      <w:r w:rsidR="00B80B10" w:rsidRPr="00CD19F4">
        <w:rPr>
          <w:i w:val="0"/>
          <w:color w:val="auto"/>
        </w:rPr>
        <w:t xml:space="preserve"> </w:t>
      </w:r>
    </w:p>
    <w:p w14:paraId="525DB377" w14:textId="369F5A84" w:rsidR="007113E0" w:rsidRPr="00CD19F4" w:rsidRDefault="005E1D24" w:rsidP="006E0F84">
      <w:pPr>
        <w:pStyle w:val="Guidance"/>
        <w:jc w:val="both"/>
        <w:rPr>
          <w:i w:val="0"/>
          <w:color w:val="auto"/>
        </w:rPr>
      </w:pPr>
      <w:r w:rsidRPr="00CD19F4">
        <w:rPr>
          <w:i w:val="0"/>
          <w:color w:val="auto"/>
        </w:rPr>
        <w:t>The response should also consider the interaction with RO-RRSMR-016, as occupational dose estimates should be informed by a suitable hazard analysis.</w:t>
      </w:r>
    </w:p>
    <w:p w14:paraId="109CC872" w14:textId="549D438E" w:rsidR="00A2500E" w:rsidRPr="00CD19F4" w:rsidRDefault="00A2500E" w:rsidP="000E2F12">
      <w:pPr>
        <w:pStyle w:val="Heading2"/>
      </w:pPr>
      <w:r w:rsidRPr="00CD19F4">
        <w:t>Regulatory Observation Actions</w:t>
      </w:r>
      <w:r w:rsidR="006C632D" w:rsidRPr="00CD19F4">
        <w:t xml:space="preserve"> and Resolution Plan</w:t>
      </w:r>
    </w:p>
    <w:p w14:paraId="77A84325" w14:textId="29F55538" w:rsidR="005934D1" w:rsidRPr="00CD19F4" w:rsidRDefault="00807D61" w:rsidP="006E0F84">
      <w:pPr>
        <w:pStyle w:val="Guidance"/>
        <w:jc w:val="both"/>
        <w:rPr>
          <w:i w:val="0"/>
        </w:rPr>
      </w:pPr>
      <w:r w:rsidRPr="00CD19F4">
        <w:rPr>
          <w:rFonts w:eastAsia="Times New Roman" w:cs="Times New Roman"/>
          <w:i w:val="0"/>
          <w:color w:val="auto"/>
          <w:szCs w:val="20"/>
          <w:u w:val="single"/>
        </w:rPr>
        <w:t>RO-RRSMR-022.A1 – Demonstrate that the dose analysis for workers is appropriately underpinned by a thorough and systematic identification of the radiological hazards for the generic Rolls-Royce SMR design</w:t>
      </w:r>
      <w:r w:rsidR="002C6A63">
        <w:rPr>
          <w:rFonts w:eastAsia="Times New Roman" w:cs="Times New Roman"/>
          <w:i w:val="0"/>
          <w:color w:val="auto"/>
          <w:szCs w:val="20"/>
          <w:u w:val="single"/>
        </w:rPr>
        <w:t>.</w:t>
      </w:r>
    </w:p>
    <w:p w14:paraId="3D289D05" w14:textId="77777777" w:rsidR="00581B2A" w:rsidRPr="00CD19F4" w:rsidRDefault="006742E4" w:rsidP="006E0F84">
      <w:pPr>
        <w:jc w:val="both"/>
        <w:rPr>
          <w:rFonts w:eastAsia="Times New Roman" w:cs="Arial"/>
          <w:color w:val="262626" w:themeColor="text1" w:themeTint="D9"/>
          <w:szCs w:val="20"/>
        </w:rPr>
      </w:pPr>
      <w:r w:rsidRPr="00CD19F4">
        <w:rPr>
          <w:sz w:val="20"/>
          <w:szCs w:val="20"/>
        </w:rPr>
        <w:t xml:space="preserve"> </w:t>
      </w:r>
      <w:r w:rsidR="00581B2A" w:rsidRPr="00CD19F4">
        <w:rPr>
          <w:rFonts w:eastAsia="Times New Roman" w:cs="Arial"/>
          <w:color w:val="262626" w:themeColor="text1" w:themeTint="D9"/>
          <w:szCs w:val="20"/>
        </w:rPr>
        <w:t xml:space="preserve">In response to this Regulatory Observation Action, </w:t>
      </w:r>
      <w:r w:rsidR="00581B2A" w:rsidRPr="00CD19F4">
        <w:rPr>
          <w:rFonts w:eastAsia="Arial" w:cs="Arial"/>
        </w:rPr>
        <w:t xml:space="preserve">Rolls-Royce SMR Ltd </w:t>
      </w:r>
      <w:r w:rsidR="00581B2A" w:rsidRPr="00CD19F4">
        <w:rPr>
          <w:rFonts w:eastAsia="Times New Roman" w:cs="Arial"/>
          <w:color w:val="262626" w:themeColor="text1" w:themeTint="D9"/>
          <w:szCs w:val="20"/>
        </w:rPr>
        <w:t>should:</w:t>
      </w:r>
    </w:p>
    <w:p w14:paraId="5A1C8F19" w14:textId="77777777" w:rsidR="00581B2A" w:rsidRPr="00CD19F4" w:rsidRDefault="00581B2A" w:rsidP="006E0F84">
      <w:pPr>
        <w:tabs>
          <w:tab w:val="clear" w:pos="992"/>
          <w:tab w:val="clear" w:pos="1395"/>
          <w:tab w:val="clear" w:pos="1712"/>
        </w:tabs>
        <w:spacing w:after="0"/>
        <w:jc w:val="both"/>
        <w:rPr>
          <w:rFonts w:eastAsia="Times New Roman" w:cs="Arial"/>
          <w:color w:val="262626" w:themeColor="text1" w:themeTint="D9"/>
          <w:szCs w:val="20"/>
        </w:rPr>
      </w:pPr>
    </w:p>
    <w:p w14:paraId="14AA9A76" w14:textId="77777777" w:rsidR="00581B2A" w:rsidRPr="00CD19F4" w:rsidRDefault="00581B2A" w:rsidP="006E0F84">
      <w:pPr>
        <w:numPr>
          <w:ilvl w:val="0"/>
          <w:numId w:val="19"/>
        </w:numPr>
        <w:tabs>
          <w:tab w:val="clear" w:pos="992"/>
          <w:tab w:val="clear" w:pos="1395"/>
          <w:tab w:val="clear" w:pos="1712"/>
        </w:tabs>
        <w:spacing w:after="0"/>
        <w:contextualSpacing/>
        <w:jc w:val="both"/>
        <w:rPr>
          <w:rFonts w:eastAsia="Times New Roman" w:cs="Arial"/>
          <w:color w:val="262626" w:themeColor="text1" w:themeTint="D9"/>
          <w:szCs w:val="20"/>
        </w:rPr>
      </w:pPr>
      <w:r w:rsidRPr="00CD19F4">
        <w:rPr>
          <w:rFonts w:eastAsia="Times New Roman" w:cs="Arial"/>
          <w:color w:val="262626" w:themeColor="text1" w:themeTint="D9"/>
          <w:szCs w:val="20"/>
        </w:rPr>
        <w:t xml:space="preserve">Define the scope of the radiological hazard analysis that will be undertaken and justify how this is sufficient to meet the scope of its radiological protection claims. </w:t>
      </w:r>
    </w:p>
    <w:p w14:paraId="6FF45550" w14:textId="77777777" w:rsidR="00581B2A" w:rsidRPr="00CD19F4" w:rsidRDefault="00581B2A" w:rsidP="006E0F84">
      <w:pPr>
        <w:numPr>
          <w:ilvl w:val="0"/>
          <w:numId w:val="19"/>
        </w:numPr>
        <w:tabs>
          <w:tab w:val="clear" w:pos="992"/>
          <w:tab w:val="clear" w:pos="1395"/>
          <w:tab w:val="clear" w:pos="1712"/>
        </w:tabs>
        <w:spacing w:after="0"/>
        <w:contextualSpacing/>
        <w:jc w:val="both"/>
        <w:rPr>
          <w:rFonts w:eastAsia="Times New Roman" w:cs="Arial"/>
          <w:szCs w:val="20"/>
        </w:rPr>
      </w:pPr>
      <w:r w:rsidRPr="00CD19F4">
        <w:rPr>
          <w:rFonts w:eastAsia="Times New Roman" w:cs="Arial"/>
          <w:color w:val="262626" w:themeColor="text1" w:themeTint="D9"/>
          <w:szCs w:val="20"/>
        </w:rPr>
        <w:t xml:space="preserve">Detail the methodology for how the RP will systematically evaluate each potentially significant dose causing activity for the generic Rolls-Royce SMR design. </w:t>
      </w:r>
    </w:p>
    <w:p w14:paraId="0B79E3F7" w14:textId="77777777" w:rsidR="00581B2A" w:rsidRPr="00CD19F4" w:rsidRDefault="00581B2A" w:rsidP="006E0F84">
      <w:pPr>
        <w:numPr>
          <w:ilvl w:val="0"/>
          <w:numId w:val="19"/>
        </w:numPr>
        <w:tabs>
          <w:tab w:val="clear" w:pos="992"/>
          <w:tab w:val="clear" w:pos="1395"/>
          <w:tab w:val="clear" w:pos="1712"/>
        </w:tabs>
        <w:spacing w:after="0"/>
        <w:contextualSpacing/>
        <w:jc w:val="both"/>
        <w:rPr>
          <w:rFonts w:eastAsia="Times New Roman" w:cs="Arial"/>
          <w:szCs w:val="20"/>
        </w:rPr>
      </w:pPr>
      <w:r w:rsidRPr="00CD19F4">
        <w:rPr>
          <w:rFonts w:eastAsia="Times New Roman" w:cs="Arial"/>
          <w:color w:val="262626" w:themeColor="text1" w:themeTint="D9"/>
          <w:szCs w:val="20"/>
        </w:rPr>
        <w:t>Define and justify any assumptions made when undertaking the hazard analysis.</w:t>
      </w:r>
    </w:p>
    <w:p w14:paraId="5E2B1E9F" w14:textId="77777777" w:rsidR="00581B2A" w:rsidRPr="00CD19F4" w:rsidRDefault="00581B2A" w:rsidP="006E0F84">
      <w:pPr>
        <w:numPr>
          <w:ilvl w:val="0"/>
          <w:numId w:val="19"/>
        </w:numPr>
        <w:tabs>
          <w:tab w:val="clear" w:pos="992"/>
          <w:tab w:val="clear" w:pos="1395"/>
          <w:tab w:val="clear" w:pos="1712"/>
        </w:tabs>
        <w:spacing w:after="0"/>
        <w:contextualSpacing/>
        <w:jc w:val="both"/>
        <w:rPr>
          <w:rFonts w:eastAsia="Times New Roman" w:cs="Arial"/>
          <w:color w:val="262626" w:themeColor="text1" w:themeTint="D9"/>
          <w:szCs w:val="20"/>
        </w:rPr>
      </w:pPr>
      <w:r w:rsidRPr="00CD19F4">
        <w:rPr>
          <w:rFonts w:eastAsia="Times New Roman" w:cs="Arial"/>
          <w:color w:val="262626" w:themeColor="text1" w:themeTint="D9"/>
          <w:szCs w:val="20"/>
        </w:rPr>
        <w:t>Provide the outputs of the radiological hazard analysis. The outputs should be presented in a clear and logical manner and should cover the defined scope. Sufficient detail should be provided to explain how the analysis was undertaken, demonstrating that the principal factors that contribute to occupational exposures have been considered.</w:t>
      </w:r>
    </w:p>
    <w:p w14:paraId="3656A17D" w14:textId="48BF4F75" w:rsidR="005F6651" w:rsidRPr="00CD19F4" w:rsidRDefault="00581B2A" w:rsidP="006E0F84">
      <w:pPr>
        <w:numPr>
          <w:ilvl w:val="0"/>
          <w:numId w:val="19"/>
        </w:numPr>
        <w:tabs>
          <w:tab w:val="clear" w:pos="992"/>
          <w:tab w:val="clear" w:pos="1395"/>
          <w:tab w:val="clear" w:pos="1712"/>
        </w:tabs>
        <w:spacing w:after="0"/>
        <w:contextualSpacing/>
        <w:jc w:val="both"/>
        <w:rPr>
          <w:rFonts w:eastAsia="Times New Roman" w:cs="Arial"/>
          <w:color w:val="262626" w:themeColor="text1" w:themeTint="D9"/>
          <w:szCs w:val="20"/>
        </w:rPr>
      </w:pPr>
      <w:r w:rsidRPr="00CD19F4">
        <w:rPr>
          <w:rFonts w:eastAsia="Times New Roman" w:cs="Arial"/>
          <w:color w:val="262626" w:themeColor="text1" w:themeTint="D9"/>
          <w:szCs w:val="20"/>
        </w:rPr>
        <w:t>Clearly specify where and how OPEX has been used in its analysis. Documenting how the OPEX is relevant to the Rolls-Royce SMR design.</w:t>
      </w:r>
    </w:p>
    <w:p w14:paraId="43F2A5BF" w14:textId="77777777" w:rsidR="003A115E" w:rsidRPr="00CD19F4" w:rsidRDefault="003A115E" w:rsidP="006E0F84">
      <w:pPr>
        <w:tabs>
          <w:tab w:val="clear" w:pos="992"/>
          <w:tab w:val="clear" w:pos="1395"/>
          <w:tab w:val="clear" w:pos="1712"/>
        </w:tabs>
        <w:spacing w:after="0"/>
        <w:ind w:left="720"/>
        <w:contextualSpacing/>
        <w:jc w:val="both"/>
        <w:rPr>
          <w:rFonts w:eastAsia="Times New Roman" w:cs="Arial"/>
          <w:color w:val="262626" w:themeColor="text1" w:themeTint="D9"/>
          <w:szCs w:val="20"/>
        </w:rPr>
      </w:pPr>
    </w:p>
    <w:p w14:paraId="5DC08C41" w14:textId="77777777" w:rsidR="00815CA2" w:rsidRPr="00CD19F4" w:rsidRDefault="00581B2A" w:rsidP="006E0F84">
      <w:pPr>
        <w:pStyle w:val="Guidance"/>
        <w:jc w:val="both"/>
        <w:rPr>
          <w:b/>
          <w:bCs/>
          <w:i w:val="0"/>
          <w:color w:val="auto"/>
        </w:rPr>
      </w:pPr>
      <w:r w:rsidRPr="00CD19F4">
        <w:rPr>
          <w:b/>
          <w:bCs/>
          <w:i w:val="0"/>
          <w:color w:val="auto"/>
        </w:rPr>
        <w:t>Resolution Plan</w:t>
      </w:r>
      <w:r w:rsidR="00815CA2" w:rsidRPr="00CD19F4">
        <w:rPr>
          <w:b/>
          <w:bCs/>
          <w:i w:val="0"/>
          <w:color w:val="auto"/>
        </w:rPr>
        <w:t xml:space="preserve"> </w:t>
      </w:r>
    </w:p>
    <w:p w14:paraId="4E6A4D4A" w14:textId="50D13943" w:rsidR="00FC7F27" w:rsidRPr="00CD19F4" w:rsidRDefault="00815CA2" w:rsidP="00FC7F27">
      <w:pPr>
        <w:pStyle w:val="Guidance"/>
        <w:jc w:val="both"/>
        <w:rPr>
          <w:i w:val="0"/>
          <w:color w:val="auto"/>
        </w:rPr>
      </w:pPr>
      <w:r w:rsidRPr="00CD19F4">
        <w:rPr>
          <w:i w:val="0"/>
          <w:color w:val="auto"/>
        </w:rPr>
        <w:lastRenderedPageBreak/>
        <w:t>In response to RO-RRSMR-022.A1, RR SMR will undertake a systematic review of radiological hazards</w:t>
      </w:r>
      <w:r w:rsidR="007F2D59" w:rsidRPr="00CD19F4">
        <w:rPr>
          <w:i w:val="0"/>
          <w:color w:val="auto"/>
        </w:rPr>
        <w:t xml:space="preserve"> and risks</w:t>
      </w:r>
      <w:r w:rsidRPr="00CD19F4">
        <w:rPr>
          <w:i w:val="0"/>
          <w:color w:val="auto"/>
        </w:rPr>
        <w:t xml:space="preserve"> associated with normal operation</w:t>
      </w:r>
      <w:r w:rsidR="00A007C4" w:rsidRPr="00CD19F4">
        <w:rPr>
          <w:i w:val="0"/>
          <w:color w:val="auto"/>
        </w:rPr>
        <w:t xml:space="preserve">, including Examination, Maintenance, Inspection and Testing (EMIT) operations, </w:t>
      </w:r>
      <w:r w:rsidRPr="00CD19F4">
        <w:rPr>
          <w:i w:val="0"/>
          <w:color w:val="auto"/>
        </w:rPr>
        <w:t xml:space="preserve">of the RR SMR design. </w:t>
      </w:r>
    </w:p>
    <w:p w14:paraId="56353D0A" w14:textId="6211163F" w:rsidR="005772E2" w:rsidRPr="00CD19F4" w:rsidRDefault="005772E2" w:rsidP="006952D7">
      <w:pPr>
        <w:pStyle w:val="Guidance"/>
        <w:jc w:val="both"/>
        <w:rPr>
          <w:i w:val="0"/>
          <w:color w:val="auto"/>
        </w:rPr>
      </w:pPr>
      <w:r w:rsidRPr="00CD19F4">
        <w:rPr>
          <w:i w:val="0"/>
          <w:color w:val="auto"/>
        </w:rPr>
        <w:t>To ensure dose analysis can be appropriately underpinned several tasks have been undertaken or planned</w:t>
      </w:r>
      <w:r w:rsidR="0094296C" w:rsidRPr="00CD19F4">
        <w:rPr>
          <w:i w:val="0"/>
          <w:color w:val="auto"/>
        </w:rPr>
        <w:t>;</w:t>
      </w:r>
      <w:r w:rsidRPr="00CD19F4">
        <w:rPr>
          <w:i w:val="0"/>
          <w:color w:val="auto"/>
        </w:rPr>
        <w:t xml:space="preserve"> these include:</w:t>
      </w:r>
    </w:p>
    <w:p w14:paraId="57836CBB" w14:textId="28668A8F" w:rsidR="005772E2" w:rsidRPr="00CD19F4" w:rsidRDefault="005772E2" w:rsidP="006952D7">
      <w:pPr>
        <w:pStyle w:val="Guidance"/>
        <w:numPr>
          <w:ilvl w:val="0"/>
          <w:numId w:val="27"/>
        </w:numPr>
        <w:jc w:val="both"/>
        <w:rPr>
          <w:i w:val="0"/>
          <w:color w:val="auto"/>
        </w:rPr>
      </w:pPr>
      <w:r w:rsidRPr="00CD19F4">
        <w:rPr>
          <w:i w:val="0"/>
          <w:color w:val="auto"/>
        </w:rPr>
        <w:t>A radiological hazard and risk review workshop was attended by radiation protection subject matter experts</w:t>
      </w:r>
      <w:r w:rsidR="00DF616F">
        <w:rPr>
          <w:i w:val="0"/>
          <w:color w:val="auto"/>
        </w:rPr>
        <w:t>.</w:t>
      </w:r>
      <w:r>
        <w:rPr>
          <w:i w:val="0"/>
          <w:color w:val="auto"/>
        </w:rPr>
        <w:t xml:space="preserve"> </w:t>
      </w:r>
      <w:r w:rsidR="00DF616F">
        <w:rPr>
          <w:i w:val="0"/>
          <w:color w:val="auto"/>
        </w:rPr>
        <w:t>T</w:t>
      </w:r>
      <w:r>
        <w:rPr>
          <w:i w:val="0"/>
          <w:color w:val="auto"/>
        </w:rPr>
        <w:t>his</w:t>
      </w:r>
      <w:r w:rsidRPr="00CD19F4">
        <w:rPr>
          <w:i w:val="0"/>
          <w:color w:val="auto"/>
        </w:rPr>
        <w:t xml:space="preserve"> included the following tasks:</w:t>
      </w:r>
    </w:p>
    <w:p w14:paraId="17A34E77" w14:textId="058EAE50" w:rsidR="005772E2" w:rsidRPr="00CD19F4" w:rsidRDefault="005772E2" w:rsidP="006952D7">
      <w:pPr>
        <w:pStyle w:val="Guidance"/>
        <w:numPr>
          <w:ilvl w:val="1"/>
          <w:numId w:val="27"/>
        </w:numPr>
        <w:jc w:val="both"/>
        <w:rPr>
          <w:i w:val="0"/>
          <w:color w:val="auto"/>
        </w:rPr>
      </w:pPr>
      <w:r w:rsidRPr="00CD19F4">
        <w:rPr>
          <w:i w:val="0"/>
          <w:color w:val="auto"/>
        </w:rPr>
        <w:t xml:space="preserve">Define the scope of the analysis used </w:t>
      </w:r>
      <w:r w:rsidR="00571D2C" w:rsidRPr="00CD19F4">
        <w:rPr>
          <w:i w:val="0"/>
          <w:color w:val="auto"/>
        </w:rPr>
        <w:t>in the</w:t>
      </w:r>
      <w:r w:rsidRPr="00CD19F4">
        <w:rPr>
          <w:i w:val="0"/>
          <w:color w:val="auto"/>
        </w:rPr>
        <w:t xml:space="preserve"> identification of radiation and contamination hazards within the RR SMR design. </w:t>
      </w:r>
    </w:p>
    <w:p w14:paraId="7DA438AF" w14:textId="3226A0E2" w:rsidR="005772E2" w:rsidRPr="00CD19F4" w:rsidRDefault="005772E2" w:rsidP="006952D7">
      <w:pPr>
        <w:pStyle w:val="Guidance"/>
        <w:numPr>
          <w:ilvl w:val="1"/>
          <w:numId w:val="27"/>
        </w:numPr>
        <w:jc w:val="both"/>
        <w:rPr>
          <w:i w:val="0"/>
          <w:color w:val="auto"/>
        </w:rPr>
      </w:pPr>
      <w:r w:rsidRPr="00CD19F4">
        <w:rPr>
          <w:i w:val="0"/>
          <w:color w:val="auto"/>
        </w:rPr>
        <w:t>Discuss the methodology and approach that will be used to undertake the</w:t>
      </w:r>
      <w:r w:rsidR="00CD69F9" w:rsidRPr="00CD19F4">
        <w:rPr>
          <w:i w:val="0"/>
          <w:color w:val="auto"/>
        </w:rPr>
        <w:t xml:space="preserve"> </w:t>
      </w:r>
      <w:r w:rsidRPr="00CD19F4">
        <w:rPr>
          <w:i w:val="0"/>
          <w:color w:val="auto"/>
        </w:rPr>
        <w:t>systematic analysis of radiological hazards</w:t>
      </w:r>
      <w:r w:rsidR="00CD69F9" w:rsidRPr="00CD19F4">
        <w:rPr>
          <w:i w:val="0"/>
          <w:color w:val="auto"/>
        </w:rPr>
        <w:t xml:space="preserve"> and associated risks</w:t>
      </w:r>
      <w:r w:rsidRPr="00CD19F4">
        <w:rPr>
          <w:i w:val="0"/>
          <w:color w:val="auto"/>
        </w:rPr>
        <w:t>.</w:t>
      </w:r>
    </w:p>
    <w:p w14:paraId="40ADD6C0" w14:textId="26F33665" w:rsidR="005772E2" w:rsidRPr="00CD19F4" w:rsidRDefault="005772E2" w:rsidP="006952D7">
      <w:pPr>
        <w:pStyle w:val="Guidance"/>
        <w:numPr>
          <w:ilvl w:val="0"/>
          <w:numId w:val="27"/>
        </w:numPr>
        <w:jc w:val="both"/>
        <w:rPr>
          <w:i w:val="0"/>
          <w:color w:val="auto"/>
        </w:rPr>
      </w:pPr>
      <w:r w:rsidRPr="00CD19F4">
        <w:rPr>
          <w:i w:val="0"/>
          <w:color w:val="auto"/>
        </w:rPr>
        <w:t xml:space="preserve">Present the case for the prioritisation of radiation protection assessments underpinning this with justification of the proposed graded approach. </w:t>
      </w:r>
    </w:p>
    <w:p w14:paraId="4CEB4F6F" w14:textId="2824CDEA" w:rsidR="005772E2" w:rsidRPr="00CD19F4" w:rsidRDefault="005772E2" w:rsidP="006952D7">
      <w:pPr>
        <w:pStyle w:val="Guidance"/>
        <w:numPr>
          <w:ilvl w:val="0"/>
          <w:numId w:val="27"/>
        </w:numPr>
        <w:jc w:val="both"/>
        <w:rPr>
          <w:i w:val="0"/>
          <w:color w:val="auto"/>
        </w:rPr>
      </w:pPr>
      <w:r w:rsidRPr="00CD19F4">
        <w:rPr>
          <w:i w:val="0"/>
          <w:color w:val="auto"/>
        </w:rPr>
        <w:t>Submit the next iteration of the RR SMR Assessment of Individual and Collective Doses, informed by the systematic evaluation of radiological hazards and risk assessment.</w:t>
      </w:r>
    </w:p>
    <w:p w14:paraId="04983510" w14:textId="5EAFB5DC" w:rsidR="00C332DD" w:rsidRPr="00CD19F4" w:rsidRDefault="00436E0B" w:rsidP="00911575">
      <w:pPr>
        <w:jc w:val="both"/>
      </w:pPr>
      <w:r w:rsidRPr="00CD19F4">
        <w:t xml:space="preserve">The </w:t>
      </w:r>
      <w:r w:rsidR="00FB7D90" w:rsidRPr="00CD19F4">
        <w:t xml:space="preserve">radiological hazard and risk workshop produced a scoring matrix that </w:t>
      </w:r>
      <w:r w:rsidR="00200EB0" w:rsidRPr="00CD19F4">
        <w:t>was</w:t>
      </w:r>
      <w:r w:rsidR="00FB7D90" w:rsidRPr="00CD19F4">
        <w:t xml:space="preserve"> used to determine</w:t>
      </w:r>
      <w:r w:rsidR="00DD5E81" w:rsidRPr="00CD19F4">
        <w:t xml:space="preserve"> potential</w:t>
      </w:r>
      <w:r w:rsidR="00FB7D90" w:rsidRPr="00CD19F4">
        <w:t xml:space="preserve"> exposure risks</w:t>
      </w:r>
      <w:r w:rsidR="00DD5E81" w:rsidRPr="00CD19F4">
        <w:t xml:space="preserve"> scenarios</w:t>
      </w:r>
      <w:r w:rsidR="002060CD" w:rsidRPr="00CD19F4">
        <w:t>.</w:t>
      </w:r>
      <w:r w:rsidR="00D22919" w:rsidRPr="00CD19F4">
        <w:t xml:space="preserve"> </w:t>
      </w:r>
      <w:r w:rsidR="002060CD" w:rsidRPr="00CD19F4">
        <w:t>T</w:t>
      </w:r>
      <w:r w:rsidR="00D22919" w:rsidRPr="00CD19F4">
        <w:t>his a</w:t>
      </w:r>
      <w:r w:rsidR="00FB7D90" w:rsidRPr="00CD19F4">
        <w:t>pproach focuses on the hazard and the risk of exposure</w:t>
      </w:r>
      <w:r w:rsidR="00D22919" w:rsidRPr="00CD19F4">
        <w:t xml:space="preserve"> </w:t>
      </w:r>
      <w:r w:rsidR="00FB7D90" w:rsidRPr="00CD19F4">
        <w:t>allow</w:t>
      </w:r>
      <w:r w:rsidR="00D22919" w:rsidRPr="00CD19F4">
        <w:t>ing</w:t>
      </w:r>
      <w:r w:rsidR="00FB7D90" w:rsidRPr="00CD19F4">
        <w:t xml:space="preserve"> proportionality to be robustly applied across RI</w:t>
      </w:r>
      <w:r w:rsidR="00D22919" w:rsidRPr="00CD19F4">
        <w:t xml:space="preserve"> with regard to </w:t>
      </w:r>
      <w:r w:rsidR="000F3336" w:rsidRPr="00CD19F4">
        <w:t>radiation protection assessment</w:t>
      </w:r>
      <w:r w:rsidR="00CF35F3" w:rsidRPr="00CD19F4">
        <w:t>s</w:t>
      </w:r>
      <w:r w:rsidR="000F3336" w:rsidRPr="00CD19F4">
        <w:t>.</w:t>
      </w:r>
    </w:p>
    <w:p w14:paraId="70C6C3C1" w14:textId="634E1D4F" w:rsidR="00911575" w:rsidRPr="00CD19F4" w:rsidRDefault="007F34E5" w:rsidP="00911575">
      <w:pPr>
        <w:jc w:val="both"/>
      </w:pPr>
      <w:r w:rsidRPr="00CD19F4">
        <w:t>The methodology and approach</w:t>
      </w:r>
      <w:r w:rsidR="00C55DC3" w:rsidRPr="00CD19F4">
        <w:t xml:space="preserve"> </w:t>
      </w:r>
      <w:r w:rsidRPr="00CD19F4">
        <w:t>to the systematic analysis of radiological hazards</w:t>
      </w:r>
      <w:r w:rsidR="00561916" w:rsidRPr="00CD19F4">
        <w:t>, proposed in the radiological hazard and risk workshop,</w:t>
      </w:r>
      <w:r w:rsidRPr="00CD19F4">
        <w:t xml:space="preserve"> will be presented in</w:t>
      </w:r>
      <w:r w:rsidR="00B54BE2" w:rsidRPr="00CD19F4">
        <w:t xml:space="preserve"> Radiation Protection ALARP Assessment Approach for the RR SMR Design and Key Area Identification, SMR0023470 Issue 002</w:t>
      </w:r>
      <w:r w:rsidR="00911575" w:rsidRPr="00CD19F4">
        <w:t>.</w:t>
      </w:r>
      <w:r w:rsidRPr="00CD19F4">
        <w:t xml:space="preserve"> This report will describe, and justify, the approach used to systematically evaluate radiation and contamination hazards presented </w:t>
      </w:r>
      <w:r w:rsidR="00911575" w:rsidRPr="00CD19F4">
        <w:t>by</w:t>
      </w:r>
      <w:r w:rsidRPr="00CD19F4">
        <w:t xml:space="preserve"> the RR SMR design</w:t>
      </w:r>
      <w:r w:rsidR="00911575" w:rsidRPr="00CD19F4">
        <w:t>. The defined scope will include</w:t>
      </w:r>
      <w:r w:rsidR="00087D3B" w:rsidRPr="00CD19F4">
        <w:t>:</w:t>
      </w:r>
      <w:r w:rsidR="00911575" w:rsidRPr="00CD19F4">
        <w:t xml:space="preserve"> </w:t>
      </w:r>
    </w:p>
    <w:p w14:paraId="6DA16260" w14:textId="46C74035" w:rsidR="00911575" w:rsidRPr="00CD19F4" w:rsidRDefault="00911575" w:rsidP="00911575">
      <w:pPr>
        <w:pStyle w:val="ListParagraph"/>
        <w:numPr>
          <w:ilvl w:val="0"/>
          <w:numId w:val="29"/>
        </w:numPr>
        <w:jc w:val="both"/>
      </w:pPr>
      <w:r w:rsidRPr="00CD19F4">
        <w:t>All buildings, systems and areas relevant to worker exposure</w:t>
      </w:r>
      <w:r w:rsidR="00087D3B" w:rsidRPr="00CD19F4">
        <w:t>.</w:t>
      </w:r>
      <w:r w:rsidRPr="00CD19F4">
        <w:t xml:space="preserve"> </w:t>
      </w:r>
    </w:p>
    <w:p w14:paraId="77471347" w14:textId="674B0D57" w:rsidR="00911575" w:rsidRPr="00CD19F4" w:rsidRDefault="00087D3B" w:rsidP="00911575">
      <w:pPr>
        <w:pStyle w:val="ListParagraph"/>
        <w:numPr>
          <w:ilvl w:val="0"/>
          <w:numId w:val="29"/>
        </w:numPr>
        <w:jc w:val="both"/>
      </w:pPr>
      <w:r w:rsidRPr="00CD19F4">
        <w:t>D</w:t>
      </w:r>
      <w:r w:rsidR="00911575" w:rsidRPr="00CD19F4">
        <w:t xml:space="preserve">irect radiation, airborne contamination and surface contamination hazards. </w:t>
      </w:r>
    </w:p>
    <w:p w14:paraId="5F73E40D" w14:textId="407BA568" w:rsidR="00911575" w:rsidRPr="00CD19F4" w:rsidRDefault="00087D3B" w:rsidP="00911575">
      <w:pPr>
        <w:pStyle w:val="ListParagraph"/>
        <w:numPr>
          <w:ilvl w:val="0"/>
          <w:numId w:val="29"/>
        </w:numPr>
        <w:jc w:val="both"/>
      </w:pPr>
      <w:r w:rsidRPr="00CD19F4">
        <w:t>R</w:t>
      </w:r>
      <w:r w:rsidR="00911575" w:rsidRPr="00CD19F4">
        <w:t>outine operations, EMIT activities and refuelling activities</w:t>
      </w:r>
      <w:r w:rsidR="00890261">
        <w:t>.</w:t>
      </w:r>
    </w:p>
    <w:p w14:paraId="1B6C3869" w14:textId="21CDB647" w:rsidR="00B25D78" w:rsidRPr="00CD19F4" w:rsidRDefault="00087D3B" w:rsidP="00911575">
      <w:pPr>
        <w:pStyle w:val="ListParagraph"/>
        <w:numPr>
          <w:ilvl w:val="0"/>
          <w:numId w:val="29"/>
        </w:numPr>
        <w:jc w:val="both"/>
      </w:pPr>
      <w:r w:rsidRPr="00CD19F4">
        <w:t>P</w:t>
      </w:r>
      <w:r w:rsidR="00911575" w:rsidRPr="00CD19F4">
        <w:t>ower</w:t>
      </w:r>
      <w:r w:rsidR="007F34E5" w:rsidRPr="00CD19F4">
        <w:t xml:space="preserve"> </w:t>
      </w:r>
      <w:r w:rsidR="00911575" w:rsidRPr="00CD19F4">
        <w:t xml:space="preserve">operation, </w:t>
      </w:r>
      <w:r w:rsidR="007F34E5" w:rsidRPr="00CD19F4">
        <w:t xml:space="preserve">outage and refuelling </w:t>
      </w:r>
      <w:r w:rsidR="00911575" w:rsidRPr="00CD19F4">
        <w:t>state</w:t>
      </w:r>
      <w:r w:rsidR="00476444" w:rsidRPr="00CD19F4">
        <w:t>s, these include the following modes:</w:t>
      </w:r>
    </w:p>
    <w:p w14:paraId="1649257F" w14:textId="728614E6" w:rsidR="00FA4199" w:rsidRPr="00CD19F4" w:rsidRDefault="00FA4199" w:rsidP="00FA4199">
      <w:pPr>
        <w:pStyle w:val="ListParagraph"/>
        <w:numPr>
          <w:ilvl w:val="1"/>
          <w:numId w:val="29"/>
        </w:numPr>
        <w:jc w:val="both"/>
      </w:pPr>
      <w:r w:rsidRPr="00CD19F4">
        <w:t xml:space="preserve">Mode 1: Power Operation </w:t>
      </w:r>
    </w:p>
    <w:p w14:paraId="0F302739" w14:textId="2400F9A5" w:rsidR="00FA4199" w:rsidRPr="00CD19F4" w:rsidRDefault="00FA4199" w:rsidP="00FA4199">
      <w:pPr>
        <w:pStyle w:val="ListParagraph"/>
        <w:numPr>
          <w:ilvl w:val="1"/>
          <w:numId w:val="29"/>
        </w:numPr>
        <w:jc w:val="both"/>
      </w:pPr>
      <w:r w:rsidRPr="00CD19F4">
        <w:t xml:space="preserve">Mode 2: Low Power </w:t>
      </w:r>
    </w:p>
    <w:p w14:paraId="455D5E05" w14:textId="1944420A" w:rsidR="00FA4199" w:rsidRPr="00CD19F4" w:rsidRDefault="00FA4199" w:rsidP="00FA4199">
      <w:pPr>
        <w:pStyle w:val="ListParagraph"/>
        <w:numPr>
          <w:ilvl w:val="1"/>
          <w:numId w:val="29"/>
        </w:numPr>
        <w:jc w:val="both"/>
      </w:pPr>
      <w:r w:rsidRPr="00CD19F4">
        <w:t xml:space="preserve">Mode 3: Hot Standby </w:t>
      </w:r>
    </w:p>
    <w:p w14:paraId="29ECB504" w14:textId="53208711" w:rsidR="00FA4199" w:rsidRPr="00CD19F4" w:rsidRDefault="00FA4199" w:rsidP="00FA4199">
      <w:pPr>
        <w:pStyle w:val="ListParagraph"/>
        <w:numPr>
          <w:ilvl w:val="1"/>
          <w:numId w:val="29"/>
        </w:numPr>
        <w:jc w:val="both"/>
      </w:pPr>
      <w:r w:rsidRPr="00CD19F4">
        <w:t xml:space="preserve">Mode 4A: Hot Shutdown (Steaming) </w:t>
      </w:r>
    </w:p>
    <w:p w14:paraId="78E93410" w14:textId="19E02E1C" w:rsidR="00FA4199" w:rsidRPr="00CD19F4" w:rsidRDefault="00FA4199" w:rsidP="00FA4199">
      <w:pPr>
        <w:pStyle w:val="ListParagraph"/>
        <w:numPr>
          <w:ilvl w:val="1"/>
          <w:numId w:val="29"/>
        </w:numPr>
        <w:jc w:val="both"/>
      </w:pPr>
      <w:r w:rsidRPr="00CD19F4">
        <w:t xml:space="preserve">Mode 4B: Hot Shutdown (Non-Steaming) </w:t>
      </w:r>
    </w:p>
    <w:p w14:paraId="257F534F" w14:textId="1FC71698" w:rsidR="00FA4199" w:rsidRPr="00CD19F4" w:rsidRDefault="00FA4199" w:rsidP="00FA4199">
      <w:pPr>
        <w:pStyle w:val="ListParagraph"/>
        <w:numPr>
          <w:ilvl w:val="1"/>
          <w:numId w:val="29"/>
        </w:numPr>
        <w:jc w:val="both"/>
      </w:pPr>
      <w:r w:rsidRPr="00CD19F4">
        <w:t xml:space="preserve">Mode 5A: Cold Shutdown (Pressurised) </w:t>
      </w:r>
    </w:p>
    <w:p w14:paraId="20ABBD2A" w14:textId="376174FA" w:rsidR="00FA4199" w:rsidRPr="00CD19F4" w:rsidRDefault="00FA4199" w:rsidP="00FA4199">
      <w:pPr>
        <w:pStyle w:val="ListParagraph"/>
        <w:numPr>
          <w:ilvl w:val="1"/>
          <w:numId w:val="29"/>
        </w:numPr>
        <w:jc w:val="both"/>
      </w:pPr>
      <w:r w:rsidRPr="00CD19F4">
        <w:t xml:space="preserve">Mode 5B: Cold Shutdown (Depressurised) </w:t>
      </w:r>
    </w:p>
    <w:p w14:paraId="7784C853" w14:textId="342EB6DD" w:rsidR="00FA4199" w:rsidRPr="00CD19F4" w:rsidRDefault="00FA4199" w:rsidP="00FA4199">
      <w:pPr>
        <w:pStyle w:val="ListParagraph"/>
        <w:numPr>
          <w:ilvl w:val="1"/>
          <w:numId w:val="29"/>
        </w:numPr>
        <w:jc w:val="both"/>
      </w:pPr>
      <w:r w:rsidRPr="00CD19F4">
        <w:lastRenderedPageBreak/>
        <w:t xml:space="preserve">Mode 6A: Refuelling with reduced water level </w:t>
      </w:r>
    </w:p>
    <w:p w14:paraId="27376461" w14:textId="3C0610B6" w:rsidR="00911575" w:rsidRPr="00CD19F4" w:rsidRDefault="00FA4199" w:rsidP="00636886">
      <w:pPr>
        <w:pStyle w:val="ListParagraph"/>
        <w:numPr>
          <w:ilvl w:val="1"/>
          <w:numId w:val="29"/>
        </w:numPr>
        <w:jc w:val="both"/>
      </w:pPr>
      <w:r w:rsidRPr="00CD19F4">
        <w:t xml:space="preserve">Mode 6B: Refuelling with water level above fuel at nominal full </w:t>
      </w:r>
      <w:r w:rsidR="00911575" w:rsidRPr="00CD19F4">
        <w:t xml:space="preserve"> </w:t>
      </w:r>
    </w:p>
    <w:p w14:paraId="5B3347FE" w14:textId="21FDF475" w:rsidR="00911575" w:rsidRPr="00CD19F4" w:rsidRDefault="00087D3B" w:rsidP="00911575">
      <w:pPr>
        <w:pStyle w:val="ListParagraph"/>
        <w:numPr>
          <w:ilvl w:val="0"/>
          <w:numId w:val="29"/>
        </w:numPr>
        <w:jc w:val="both"/>
      </w:pPr>
      <w:r w:rsidRPr="00CD19F4">
        <w:t>T</w:t>
      </w:r>
      <w:r w:rsidR="00911575" w:rsidRPr="00CD19F4">
        <w:t>he principal factors that may influence occupational exposure, including</w:t>
      </w:r>
      <w:r w:rsidRPr="00CD19F4">
        <w:t>:</w:t>
      </w:r>
      <w:r w:rsidR="00911575" w:rsidRPr="00CD19F4">
        <w:t xml:space="preserve"> </w:t>
      </w:r>
    </w:p>
    <w:p w14:paraId="678E4A6A" w14:textId="6FEB420F" w:rsidR="00911575" w:rsidRPr="00CD19F4" w:rsidRDefault="00911575" w:rsidP="00911575">
      <w:pPr>
        <w:pStyle w:val="ListParagraph"/>
        <w:numPr>
          <w:ilvl w:val="1"/>
          <w:numId w:val="29"/>
        </w:numPr>
        <w:jc w:val="both"/>
      </w:pPr>
      <w:r w:rsidRPr="00CD19F4">
        <w:t xml:space="preserve">source terms </w:t>
      </w:r>
    </w:p>
    <w:p w14:paraId="4BDCDB5D" w14:textId="5573C0C8" w:rsidR="00911575" w:rsidRPr="00CD19F4" w:rsidRDefault="00911575" w:rsidP="00911575">
      <w:pPr>
        <w:pStyle w:val="ListParagraph"/>
        <w:numPr>
          <w:ilvl w:val="1"/>
          <w:numId w:val="29"/>
        </w:numPr>
        <w:jc w:val="both"/>
      </w:pPr>
      <w:r w:rsidRPr="00CD19F4">
        <w:t xml:space="preserve">radiation levels </w:t>
      </w:r>
    </w:p>
    <w:p w14:paraId="0926581F" w14:textId="3DABF437" w:rsidR="00911575" w:rsidRPr="00CD19F4" w:rsidRDefault="00911575" w:rsidP="00911575">
      <w:pPr>
        <w:pStyle w:val="ListParagraph"/>
        <w:numPr>
          <w:ilvl w:val="1"/>
          <w:numId w:val="29"/>
        </w:numPr>
        <w:jc w:val="both"/>
      </w:pPr>
      <w:r w:rsidRPr="00CD19F4">
        <w:t xml:space="preserve">occupancy assumptions </w:t>
      </w:r>
    </w:p>
    <w:p w14:paraId="16A80816" w14:textId="6CC3CC39" w:rsidR="00911575" w:rsidRPr="00CD19F4" w:rsidRDefault="00911575" w:rsidP="00911575">
      <w:pPr>
        <w:pStyle w:val="ListParagraph"/>
        <w:numPr>
          <w:ilvl w:val="1"/>
          <w:numId w:val="29"/>
        </w:numPr>
        <w:jc w:val="both"/>
      </w:pPr>
      <w:r w:rsidRPr="00CD19F4">
        <w:t>access requirements</w:t>
      </w:r>
    </w:p>
    <w:p w14:paraId="685DE4A7" w14:textId="49C842A1" w:rsidR="00911575" w:rsidRPr="00CD19F4" w:rsidRDefault="00911575" w:rsidP="00911575">
      <w:pPr>
        <w:pStyle w:val="ListParagraph"/>
        <w:numPr>
          <w:ilvl w:val="1"/>
          <w:numId w:val="29"/>
        </w:numPr>
        <w:jc w:val="both"/>
      </w:pPr>
      <w:r w:rsidRPr="00CD19F4">
        <w:t>task durations</w:t>
      </w:r>
    </w:p>
    <w:p w14:paraId="346B8B78" w14:textId="4D18942A" w:rsidR="009D711B" w:rsidRPr="00CD19F4" w:rsidRDefault="00911575" w:rsidP="00911575">
      <w:pPr>
        <w:jc w:val="both"/>
      </w:pPr>
      <w:r w:rsidRPr="00CD19F4">
        <w:t xml:space="preserve">The </w:t>
      </w:r>
      <w:r w:rsidR="003C2ACD" w:rsidRPr="00CD19F4">
        <w:t xml:space="preserve">Radiation Protection ALARP Assessment Approach for </w:t>
      </w:r>
      <w:r w:rsidR="003C2ACD">
        <w:t xml:space="preserve">the </w:t>
      </w:r>
      <w:r w:rsidR="00F81BA3" w:rsidRPr="00CD19F4">
        <w:t>RR SMR Design and Key Area Identification</w:t>
      </w:r>
      <w:r w:rsidRPr="00CD19F4">
        <w:t xml:space="preserve"> will explain</w:t>
      </w:r>
      <w:r w:rsidR="007F34E5" w:rsidRPr="00CD19F4">
        <w:t xml:space="preserve"> how the </w:t>
      </w:r>
      <w:r w:rsidRPr="00CD19F4">
        <w:t>scope</w:t>
      </w:r>
      <w:r w:rsidR="007F34E5" w:rsidRPr="00CD19F4">
        <w:t xml:space="preserve"> supports the radiation protection claims associated with </w:t>
      </w:r>
      <w:r w:rsidRPr="00CD19F4">
        <w:t>worker exposure</w:t>
      </w:r>
      <w:r w:rsidR="007F34E5" w:rsidRPr="00CD19F4">
        <w:t xml:space="preserve"> during the </w:t>
      </w:r>
      <w:r w:rsidR="00B25D78" w:rsidRPr="00CD19F4">
        <w:t>different reactor operating modes</w:t>
      </w:r>
      <w:r w:rsidR="00442EA1">
        <w:t xml:space="preserve"> </w:t>
      </w:r>
      <w:r w:rsidR="007F34E5" w:rsidRPr="00CD19F4">
        <w:t xml:space="preserve">and </w:t>
      </w:r>
      <w:r w:rsidRPr="00CD19F4">
        <w:t xml:space="preserve">will </w:t>
      </w:r>
      <w:r w:rsidR="007F34E5" w:rsidRPr="00CD19F4">
        <w:t>set out how assumptions made during the radiological hazard evaluation will be justified and recorded.</w:t>
      </w:r>
      <w:r w:rsidRPr="00CD19F4">
        <w:t xml:space="preserve"> </w:t>
      </w:r>
    </w:p>
    <w:p w14:paraId="5CA8C349" w14:textId="55207808" w:rsidR="007F34E5" w:rsidRPr="00CD19F4" w:rsidRDefault="00B54BE2">
      <w:pPr>
        <w:pStyle w:val="Guidance"/>
        <w:jc w:val="both"/>
        <w:rPr>
          <w:i w:val="0"/>
          <w:kern w:val="2"/>
          <w:lang w:eastAsia="en-GB"/>
          <w14:ligatures w14:val="standardContextual"/>
        </w:rPr>
      </w:pPr>
      <w:r w:rsidRPr="00CD19F4">
        <w:rPr>
          <w:i w:val="0"/>
          <w:color w:val="auto"/>
        </w:rPr>
        <w:t xml:space="preserve">The full output of the radiological hazard identification and risk of exposures to those hazards will be presented in Radiation Protection Hazard Identification and Radiation Risk Assessment, SMR0037785. This will provide a high-level risk review, based on the Ionising Radiations Regulations 2017 (IRR17), </w:t>
      </w:r>
      <w:r w:rsidRPr="00295895">
        <w:rPr>
          <w:i w:val="0"/>
          <w:color w:val="auto"/>
        </w:rPr>
        <w:t xml:space="preserve">Reference </w:t>
      </w:r>
      <w:sdt>
        <w:sdtPr>
          <w:rPr>
            <w:i w:val="0"/>
            <w:color w:val="auto"/>
          </w:rPr>
          <w:id w:val="858859186"/>
          <w:citation/>
        </w:sdtPr>
        <w:sdtEndPr/>
        <w:sdtContent>
          <w:r w:rsidR="00636886" w:rsidRPr="00295895">
            <w:rPr>
              <w:i w:val="0"/>
              <w:color w:val="auto"/>
            </w:rPr>
            <w:fldChar w:fldCharType="begin"/>
          </w:r>
          <w:r w:rsidR="00636886" w:rsidRPr="00295895">
            <w:rPr>
              <w:i w:val="0"/>
              <w:color w:val="auto"/>
            </w:rPr>
            <w:instrText xml:space="preserve"> CITATION RS0007 \l 2057 </w:instrText>
          </w:r>
          <w:r w:rsidR="00636886" w:rsidRPr="00295895">
            <w:rPr>
              <w:i w:val="0"/>
              <w:color w:val="auto"/>
            </w:rPr>
            <w:fldChar w:fldCharType="separate"/>
          </w:r>
          <w:r w:rsidR="00B047FE" w:rsidRPr="00295895">
            <w:rPr>
              <w:i w:val="0"/>
              <w:color w:val="auto"/>
            </w:rPr>
            <w:t>[1]</w:t>
          </w:r>
          <w:r w:rsidR="00636886" w:rsidRPr="00295895">
            <w:rPr>
              <w:i w:val="0"/>
              <w:color w:val="auto"/>
            </w:rPr>
            <w:fldChar w:fldCharType="end"/>
          </w:r>
        </w:sdtContent>
      </w:sdt>
      <w:r w:rsidRPr="00295895">
        <w:rPr>
          <w:i w:val="0"/>
          <w:color w:val="auto"/>
        </w:rPr>
        <w:t>, specifically</w:t>
      </w:r>
      <w:r w:rsidRPr="00CD19F4">
        <w:rPr>
          <w:i w:val="0"/>
          <w:color w:val="auto"/>
        </w:rPr>
        <w:t xml:space="preserve"> guidance within Regulation 8 – Radiation Risk Assessment, and will be used </w:t>
      </w:r>
      <w:r w:rsidR="0002756A" w:rsidRPr="00CD19F4">
        <w:rPr>
          <w:i w:val="0"/>
          <w:color w:val="auto"/>
        </w:rPr>
        <w:t>to</w:t>
      </w:r>
      <w:r w:rsidRPr="00CD19F4">
        <w:rPr>
          <w:i w:val="0"/>
          <w:color w:val="auto"/>
        </w:rPr>
        <w:t xml:space="preserve"> prioriti</w:t>
      </w:r>
      <w:r w:rsidR="0002756A" w:rsidRPr="00CD19F4">
        <w:rPr>
          <w:i w:val="0"/>
          <w:color w:val="auto"/>
        </w:rPr>
        <w:t>se</w:t>
      </w:r>
      <w:r w:rsidRPr="00CD19F4">
        <w:rPr>
          <w:i w:val="0"/>
          <w:color w:val="auto"/>
        </w:rPr>
        <w:t xml:space="preserve"> Radiation Protection dose uptake and ALARP assessments</w:t>
      </w:r>
      <w:r w:rsidR="002C0CA8" w:rsidRPr="00CD19F4">
        <w:rPr>
          <w:i w:val="0"/>
          <w:color w:val="auto"/>
        </w:rPr>
        <w:t xml:space="preserve"> that inform th</w:t>
      </w:r>
      <w:r w:rsidR="0002756A" w:rsidRPr="00CD19F4">
        <w:rPr>
          <w:i w:val="0"/>
          <w:color w:val="auto"/>
        </w:rPr>
        <w:t>e RR SMR Assessment of Individual and Collective Doses.</w:t>
      </w:r>
    </w:p>
    <w:p w14:paraId="0723954E" w14:textId="280A2BA6" w:rsidR="00F85C9F" w:rsidRPr="00CD19F4" w:rsidRDefault="00F85C9F">
      <w:pPr>
        <w:pStyle w:val="Guidance"/>
        <w:jc w:val="both"/>
        <w:rPr>
          <w:i w:val="0"/>
          <w:kern w:val="2"/>
          <w:lang w:eastAsia="en-GB"/>
          <w14:ligatures w14:val="standardContextual"/>
        </w:rPr>
      </w:pPr>
      <w:r w:rsidRPr="00CD19F4">
        <w:rPr>
          <w:i w:val="0"/>
          <w:color w:val="auto"/>
        </w:rPr>
        <w:t>Radiation Protection Hazard Identification and Radiation Risk Assessment will identify exposure risk activities associated with power operation, outage and refuelling activities, and will screen, categorise and assess the significance of radiological hazards</w:t>
      </w:r>
      <w:r w:rsidR="00372F79">
        <w:rPr>
          <w:i w:val="0"/>
          <w:color w:val="auto"/>
        </w:rPr>
        <w:t xml:space="preserve"> and risks</w:t>
      </w:r>
      <w:r w:rsidRPr="00CD19F4">
        <w:rPr>
          <w:i w:val="0"/>
          <w:color w:val="auto"/>
        </w:rPr>
        <w:t xml:space="preserve"> using defined criteria</w:t>
      </w:r>
      <w:r w:rsidR="00372F79">
        <w:rPr>
          <w:i w:val="0"/>
          <w:color w:val="auto"/>
        </w:rPr>
        <w:t>.</w:t>
      </w:r>
    </w:p>
    <w:p w14:paraId="35E9F6EA" w14:textId="177440F6" w:rsidR="00C85DC4" w:rsidRDefault="00C85DC4">
      <w:pPr>
        <w:pStyle w:val="Guidance"/>
        <w:jc w:val="both"/>
        <w:rPr>
          <w:kern w:val="2"/>
          <w:lang w:eastAsia="en-GB"/>
          <w14:ligatures w14:val="standardContextual"/>
        </w:rPr>
      </w:pPr>
      <w:r>
        <w:rPr>
          <w:i w:val="0"/>
          <w:iCs/>
          <w:color w:val="auto"/>
        </w:rPr>
        <w:t>The next iteration of the RR SMR Assessment of Individual and Collective Doses, Reference [2], will use the hazard and risk analysis to summarise the high radiation and contamination exposure risk tasks. This will provide a traceable basis for assessing the highest individual worker dose, the highest average dose to a worker group, and the total collective dose across normal operations.</w:t>
      </w:r>
    </w:p>
    <w:p w14:paraId="56006F77" w14:textId="531088F4" w:rsidR="005772E2" w:rsidRPr="00CD19F4" w:rsidRDefault="005772E2" w:rsidP="006E0F84">
      <w:pPr>
        <w:pStyle w:val="Guidance"/>
        <w:jc w:val="both"/>
        <w:rPr>
          <w:i w:val="0"/>
          <w:color w:val="auto"/>
        </w:rPr>
      </w:pPr>
      <w:r w:rsidRPr="00CD19F4">
        <w:rPr>
          <w:i w:val="0"/>
          <w:color w:val="auto"/>
        </w:rPr>
        <w:t xml:space="preserve">The data </w:t>
      </w:r>
      <w:r w:rsidR="001E7B52">
        <w:rPr>
          <w:i w:val="0"/>
          <w:color w:val="auto"/>
        </w:rPr>
        <w:t xml:space="preserve">in the </w:t>
      </w:r>
      <w:r w:rsidR="001E7B52">
        <w:rPr>
          <w:i w:val="0"/>
          <w:iCs/>
          <w:color w:val="auto"/>
        </w:rPr>
        <w:t>RR SMR Assessment of Individual and Collective Doses</w:t>
      </w:r>
      <w:r w:rsidRPr="00CD19F4">
        <w:rPr>
          <w:i w:val="0"/>
          <w:color w:val="auto"/>
        </w:rPr>
        <w:t xml:space="preserve"> report will be presented in a clear, structured, and traceable manner to facilitate effective review and assessment of the results. Similar to that seen in World Association of Nuclear Operators (WANO) performance benchmarking, Information System on Occupational Exposure (ISOE) benchmarking, and Electric Power Research Institute (EPRI) As Low As Reasonably Achievable (ALARA) programmes. </w:t>
      </w:r>
    </w:p>
    <w:p w14:paraId="3CD905C7" w14:textId="1D330947" w:rsidR="009D711B" w:rsidRPr="00CD19F4" w:rsidRDefault="006B57C5" w:rsidP="006E0F84">
      <w:pPr>
        <w:pStyle w:val="Guidance"/>
        <w:jc w:val="both"/>
        <w:rPr>
          <w:i w:val="0"/>
          <w:color w:val="auto"/>
        </w:rPr>
      </w:pPr>
      <w:r w:rsidRPr="00CD19F4">
        <w:rPr>
          <w:i w:val="0"/>
          <w:color w:val="auto"/>
        </w:rPr>
        <w:t>The report will identify explicit</w:t>
      </w:r>
      <w:r w:rsidR="00B65F9C" w:rsidRPr="00CD19F4">
        <w:rPr>
          <w:i w:val="0"/>
          <w:color w:val="auto"/>
        </w:rPr>
        <w:t xml:space="preserve"> assumptions</w:t>
      </w:r>
      <w:r w:rsidRPr="00CD19F4">
        <w:rPr>
          <w:i w:val="0"/>
          <w:color w:val="auto"/>
        </w:rPr>
        <w:t xml:space="preserve">, explain how </w:t>
      </w:r>
      <w:r w:rsidR="00B65F9C" w:rsidRPr="00CD19F4">
        <w:rPr>
          <w:i w:val="0"/>
          <w:color w:val="auto"/>
        </w:rPr>
        <w:t xml:space="preserve">relevant OPEX has </w:t>
      </w:r>
      <w:r w:rsidRPr="00CD19F4">
        <w:rPr>
          <w:i w:val="0"/>
          <w:color w:val="auto"/>
        </w:rPr>
        <w:t>informed</w:t>
      </w:r>
      <w:r w:rsidR="00B65F9C" w:rsidRPr="00CD19F4">
        <w:rPr>
          <w:i w:val="0"/>
          <w:color w:val="auto"/>
        </w:rPr>
        <w:t xml:space="preserve"> the supporting data, </w:t>
      </w:r>
      <w:r w:rsidRPr="00CD19F4">
        <w:rPr>
          <w:i w:val="0"/>
          <w:color w:val="auto"/>
        </w:rPr>
        <w:t xml:space="preserve">and describe how </w:t>
      </w:r>
      <w:r w:rsidR="00B65F9C" w:rsidRPr="00CD19F4">
        <w:rPr>
          <w:i w:val="0"/>
          <w:color w:val="auto"/>
        </w:rPr>
        <w:t xml:space="preserve">novel design features </w:t>
      </w:r>
      <w:r w:rsidRPr="00CD19F4">
        <w:rPr>
          <w:i w:val="0"/>
          <w:color w:val="auto"/>
        </w:rPr>
        <w:t>with the potential to affect</w:t>
      </w:r>
      <w:r w:rsidR="00B65F9C" w:rsidRPr="00CD19F4">
        <w:rPr>
          <w:i w:val="0"/>
          <w:color w:val="auto"/>
        </w:rPr>
        <w:t xml:space="preserve"> occupational exposures have been considered.</w:t>
      </w:r>
    </w:p>
    <w:p w14:paraId="4C52E242" w14:textId="6B9596C1" w:rsidR="00A0258B" w:rsidRDefault="007F34E5" w:rsidP="00636886">
      <w:pPr>
        <w:jc w:val="both"/>
      </w:pPr>
      <w:r w:rsidRPr="00CD19F4">
        <w:t xml:space="preserve">It is recognised that the RR SMR </w:t>
      </w:r>
      <w:r w:rsidR="00B75CEF" w:rsidRPr="00CD19F4">
        <w:t xml:space="preserve">design </w:t>
      </w:r>
      <w:r w:rsidRPr="00CD19F4">
        <w:t xml:space="preserve">is maturing and </w:t>
      </w:r>
      <w:r w:rsidR="00B75CEF" w:rsidRPr="00CD19F4">
        <w:t xml:space="preserve">that </w:t>
      </w:r>
      <w:r w:rsidRPr="00CD19F4">
        <w:t>not all information</w:t>
      </w:r>
      <w:r w:rsidR="00B75CEF" w:rsidRPr="00CD19F4">
        <w:t xml:space="preserve"> required</w:t>
      </w:r>
      <w:r w:rsidRPr="00CD19F4">
        <w:t xml:space="preserve"> to </w:t>
      </w:r>
      <w:r w:rsidR="00B75CEF" w:rsidRPr="00CD19F4">
        <w:t xml:space="preserve">complete </w:t>
      </w:r>
      <w:r w:rsidRPr="00CD19F4">
        <w:t xml:space="preserve">a full collective dose assessment will be available </w:t>
      </w:r>
      <w:r w:rsidR="00B75CEF" w:rsidRPr="00CD19F4">
        <w:t xml:space="preserve">for Issue </w:t>
      </w:r>
      <w:r w:rsidRPr="00CD19F4">
        <w:t>2</w:t>
      </w:r>
      <w:r w:rsidR="00B75CEF" w:rsidRPr="00CD19F4">
        <w:t>. However, Issue</w:t>
      </w:r>
      <w:r w:rsidRPr="00CD19F4">
        <w:t xml:space="preserve"> 2 will </w:t>
      </w:r>
      <w:r w:rsidR="00B75CEF" w:rsidRPr="00CD19F4">
        <w:lastRenderedPageBreak/>
        <w:t xml:space="preserve">provide </w:t>
      </w:r>
      <w:r w:rsidRPr="00CD19F4">
        <w:t xml:space="preserve">an </w:t>
      </w:r>
      <w:r w:rsidR="00B75CEF" w:rsidRPr="00CD19F4">
        <w:t xml:space="preserve">appropriately </w:t>
      </w:r>
      <w:r w:rsidRPr="00CD19F4">
        <w:t xml:space="preserve">underpinned assessment </w:t>
      </w:r>
      <w:r w:rsidR="00B75CEF" w:rsidRPr="00CD19F4">
        <w:t>based on</w:t>
      </w:r>
      <w:r w:rsidRPr="00CD19F4">
        <w:t xml:space="preserve"> the information available at the time of </w:t>
      </w:r>
      <w:r w:rsidR="00B75CEF" w:rsidRPr="00CD19F4">
        <w:t>issue</w:t>
      </w:r>
      <w:r w:rsidR="00A0258B">
        <w:t xml:space="preserve"> to facilitate resolution of the RO.</w:t>
      </w:r>
    </w:p>
    <w:p w14:paraId="70978AAD" w14:textId="1CEBF2D9" w:rsidR="002577C3" w:rsidRPr="00CD19F4" w:rsidRDefault="00A0258B" w:rsidP="00636886">
      <w:pPr>
        <w:jc w:val="both"/>
      </w:pPr>
      <w:r>
        <w:t xml:space="preserve">Future issues of the </w:t>
      </w:r>
      <w:r w:rsidRPr="00CD19F4">
        <w:t>RR SMR Assessment of Individual and Collective Doses</w:t>
      </w:r>
      <w:r>
        <w:t xml:space="preserve"> will </w:t>
      </w:r>
      <w:r w:rsidRPr="00CD19F4">
        <w:t>provide</w:t>
      </w:r>
      <w:r w:rsidR="007F34E5" w:rsidRPr="00CD19F4">
        <w:t xml:space="preserve"> a more comprehensive assessment of individual and collective doses</w:t>
      </w:r>
      <w:r w:rsidR="00FC544A" w:rsidRPr="00CD19F4">
        <w:t xml:space="preserve">, highlighting any areas where forward actions </w:t>
      </w:r>
      <w:r w:rsidR="005F5E26" w:rsidRPr="00CD19F4">
        <w:t>will be required</w:t>
      </w:r>
      <w:r w:rsidR="00BC444E" w:rsidRPr="00CD19F4">
        <w:t>.</w:t>
      </w:r>
      <w:r>
        <w:t xml:space="preserve"> This will support the ongoing development of the E3S Case but is not part of the resolution of the RO.</w:t>
      </w:r>
    </w:p>
    <w:p w14:paraId="1C0C8A12" w14:textId="4A5E58D5" w:rsidR="00B0342B" w:rsidRPr="00CD19F4" w:rsidRDefault="00DE62DB" w:rsidP="006E0F84">
      <w:pPr>
        <w:pStyle w:val="Guidance"/>
        <w:jc w:val="both"/>
        <w:rPr>
          <w:i w:val="0"/>
          <w:color w:val="auto"/>
        </w:rPr>
      </w:pPr>
      <w:r w:rsidRPr="00CD19F4">
        <w:rPr>
          <w:i w:val="0"/>
          <w:color w:val="auto"/>
        </w:rPr>
        <w:t>Given the close relationship between the maintenance dose assessment</w:t>
      </w:r>
      <w:r w:rsidR="002808CA" w:rsidRPr="00CD19F4">
        <w:rPr>
          <w:i w:val="0"/>
          <w:color w:val="auto"/>
        </w:rPr>
        <w:t xml:space="preserve">, </w:t>
      </w:r>
      <w:r w:rsidR="004178F9" w:rsidRPr="00CD19F4">
        <w:rPr>
          <w:i w:val="0"/>
          <w:color w:val="auto"/>
        </w:rPr>
        <w:t>Reference</w:t>
      </w:r>
      <w:r w:rsidR="00B705E3">
        <w:rPr>
          <w:i w:val="0"/>
          <w:color w:val="auto"/>
        </w:rPr>
        <w:t xml:space="preserve"> [3]</w:t>
      </w:r>
      <w:r w:rsidR="004178F9" w:rsidRPr="00CD19F4">
        <w:rPr>
          <w:i w:val="0"/>
          <w:color w:val="auto"/>
        </w:rPr>
        <w:t xml:space="preserve">, </w:t>
      </w:r>
      <w:r w:rsidRPr="00CD19F4">
        <w:rPr>
          <w:i w:val="0"/>
          <w:color w:val="auto"/>
        </w:rPr>
        <w:t xml:space="preserve">and the </w:t>
      </w:r>
      <w:r w:rsidR="002808CA" w:rsidRPr="00CD19F4">
        <w:rPr>
          <w:i w:val="0"/>
          <w:color w:val="auto"/>
        </w:rPr>
        <w:t>RR SMR Assessment of Individual and Collective Doses,</w:t>
      </w:r>
      <w:r w:rsidR="00B705E3">
        <w:rPr>
          <w:i w:val="0"/>
          <w:color w:val="auto"/>
        </w:rPr>
        <w:t xml:space="preserve"> [2]</w:t>
      </w:r>
      <w:r w:rsidR="004178F9" w:rsidRPr="00CD19F4">
        <w:rPr>
          <w:i w:val="0"/>
          <w:color w:val="auto"/>
        </w:rPr>
        <w:t xml:space="preserve">, future planned iterations of </w:t>
      </w:r>
      <w:r w:rsidR="008B5627" w:rsidRPr="00CD19F4">
        <w:rPr>
          <w:i w:val="0"/>
          <w:color w:val="auto"/>
        </w:rPr>
        <w:t xml:space="preserve">the </w:t>
      </w:r>
      <w:r w:rsidRPr="00CD19F4">
        <w:rPr>
          <w:i w:val="0"/>
          <w:color w:val="auto"/>
        </w:rPr>
        <w:t>maintenance</w:t>
      </w:r>
      <w:r w:rsidR="002808CA" w:rsidRPr="00CD19F4">
        <w:rPr>
          <w:i w:val="0"/>
          <w:color w:val="auto"/>
        </w:rPr>
        <w:t xml:space="preserve"> dose</w:t>
      </w:r>
      <w:r w:rsidRPr="00CD19F4">
        <w:rPr>
          <w:i w:val="0"/>
          <w:color w:val="auto"/>
        </w:rPr>
        <w:t xml:space="preserve"> assessment</w:t>
      </w:r>
      <w:r w:rsidR="002808CA" w:rsidRPr="00CD19F4">
        <w:rPr>
          <w:i w:val="0"/>
          <w:color w:val="auto"/>
        </w:rPr>
        <w:t xml:space="preserve">, </w:t>
      </w:r>
      <w:r w:rsidR="00B705E3">
        <w:rPr>
          <w:i w:val="0"/>
          <w:color w:val="auto"/>
        </w:rPr>
        <w:t>[3]</w:t>
      </w:r>
      <w:r w:rsidR="004178F9" w:rsidRPr="00CD19F4">
        <w:rPr>
          <w:i w:val="0"/>
          <w:color w:val="auto"/>
        </w:rPr>
        <w:t xml:space="preserve">, </w:t>
      </w:r>
      <w:r w:rsidRPr="00CD19F4">
        <w:rPr>
          <w:i w:val="0"/>
          <w:color w:val="auto"/>
        </w:rPr>
        <w:t>will be incorporated into the individual and collective dose report. This will provide a single, coherent submission</w:t>
      </w:r>
      <w:r w:rsidR="00E44913" w:rsidRPr="00CD19F4">
        <w:rPr>
          <w:i w:val="0"/>
          <w:color w:val="auto"/>
        </w:rPr>
        <w:t xml:space="preserve"> </w:t>
      </w:r>
      <w:r w:rsidR="005D7796" w:rsidRPr="00CD19F4">
        <w:rPr>
          <w:i w:val="0"/>
          <w:color w:val="auto"/>
        </w:rPr>
        <w:t xml:space="preserve">summarising expected doses for the RR SMR design, </w:t>
      </w:r>
      <w:r w:rsidRPr="00CD19F4">
        <w:rPr>
          <w:i w:val="0"/>
          <w:color w:val="auto"/>
        </w:rPr>
        <w:t>improving the clarity of the E3S Case narrative.</w:t>
      </w:r>
      <w:r w:rsidR="005D7796" w:rsidRPr="00CD19F4">
        <w:rPr>
          <w:i w:val="0"/>
          <w:color w:val="auto"/>
        </w:rPr>
        <w:t xml:space="preserve"> This submission will be issued in July</w:t>
      </w:r>
      <w:r w:rsidR="00FA2D70" w:rsidRPr="00CD19F4">
        <w:rPr>
          <w:i w:val="0"/>
          <w:color w:val="auto"/>
        </w:rPr>
        <w:t xml:space="preserve"> to support version 4 of the E3S Case and </w:t>
      </w:r>
      <w:r w:rsidR="005D7796" w:rsidRPr="00CD19F4">
        <w:rPr>
          <w:i w:val="0"/>
          <w:color w:val="auto"/>
        </w:rPr>
        <w:t>a further iteration</w:t>
      </w:r>
      <w:r w:rsidR="00FA2D70" w:rsidRPr="00CD19F4">
        <w:rPr>
          <w:i w:val="0"/>
          <w:color w:val="auto"/>
        </w:rPr>
        <w:t xml:space="preserve"> in </w:t>
      </w:r>
      <w:r w:rsidR="006A112C" w:rsidRPr="00CD19F4">
        <w:rPr>
          <w:i w:val="0"/>
          <w:color w:val="auto"/>
        </w:rPr>
        <w:t>November to support version 5 of the E3S Case</w:t>
      </w:r>
      <w:r w:rsidR="00F12EC8" w:rsidRPr="00CD19F4">
        <w:rPr>
          <w:i w:val="0"/>
          <w:color w:val="auto"/>
        </w:rPr>
        <w:t>.</w:t>
      </w:r>
    </w:p>
    <w:p w14:paraId="414D09C8" w14:textId="51AC50C7" w:rsidR="005772E2" w:rsidRPr="00CD19F4" w:rsidRDefault="005772E2" w:rsidP="006E0F84">
      <w:pPr>
        <w:pStyle w:val="Guidance"/>
        <w:jc w:val="both"/>
        <w:rPr>
          <w:i w:val="0"/>
          <w:color w:val="auto"/>
        </w:rPr>
      </w:pPr>
      <w:r w:rsidRPr="00CD19F4">
        <w:rPr>
          <w:i w:val="0"/>
          <w:color w:val="auto"/>
        </w:rPr>
        <w:t xml:space="preserve">Demonstration that the dose analysis for workers is appropriately underpinned by a thorough and systematic identification of the radiological hazards for the generic Rolls-Royce SMR design is expected to be delivered </w:t>
      </w:r>
      <w:r w:rsidR="00290A0C" w:rsidRPr="00CD19F4">
        <w:rPr>
          <w:i w:val="0"/>
          <w:color w:val="auto"/>
        </w:rPr>
        <w:t>by end of July</w:t>
      </w:r>
      <w:r w:rsidR="00D9598C" w:rsidRPr="00CD19F4">
        <w:rPr>
          <w:i w:val="0"/>
          <w:color w:val="auto"/>
        </w:rPr>
        <w:t>.</w:t>
      </w:r>
      <w:r w:rsidR="003A115E" w:rsidRPr="00CD19F4">
        <w:rPr>
          <w:i w:val="0"/>
          <w:color w:val="auto"/>
        </w:rPr>
        <w:t xml:space="preserve"> </w:t>
      </w:r>
      <w:r w:rsidRPr="00CD19F4">
        <w:rPr>
          <w:i w:val="0"/>
          <w:color w:val="auto"/>
        </w:rPr>
        <w:t>Following the issuing of the following documentation:</w:t>
      </w:r>
    </w:p>
    <w:p w14:paraId="2713A99C" w14:textId="3ED9166F" w:rsidR="007046DC" w:rsidRPr="00CD19F4" w:rsidRDefault="00113FD6" w:rsidP="007046DC">
      <w:pPr>
        <w:pStyle w:val="Guidance"/>
        <w:numPr>
          <w:ilvl w:val="0"/>
          <w:numId w:val="28"/>
        </w:numPr>
        <w:jc w:val="both"/>
        <w:rPr>
          <w:i w:val="0"/>
        </w:rPr>
      </w:pPr>
      <w:r w:rsidRPr="00CD19F4">
        <w:rPr>
          <w:i w:val="0"/>
          <w:color w:val="auto"/>
        </w:rPr>
        <w:t>Radiation Protection ALARP Assessment Approach for the RR SMR Design and Key Area Identification, SMR0023470, Issue 002</w:t>
      </w:r>
      <w:r w:rsidR="007046DC" w:rsidRPr="00CD19F4">
        <w:rPr>
          <w:i w:val="0"/>
          <w:color w:val="auto"/>
        </w:rPr>
        <w:t xml:space="preserve"> –</w:t>
      </w:r>
      <w:r w:rsidR="007046DC" w:rsidRPr="00CD19F4">
        <w:rPr>
          <w:rFonts w:ascii="Segoe UI" w:eastAsia="Times New Roman" w:hAnsi="Segoe UI" w:cs="Segoe UI"/>
          <w:i w:val="0"/>
          <w:color w:val="auto"/>
          <w:sz w:val="21"/>
          <w:szCs w:val="21"/>
          <w:lang w:eastAsia="en-GB"/>
        </w:rPr>
        <w:t xml:space="preserve"> </w:t>
      </w:r>
      <w:r w:rsidR="007046DC" w:rsidRPr="00CD19F4">
        <w:rPr>
          <w:i w:val="0"/>
          <w:color w:val="auto"/>
        </w:rPr>
        <w:t>describing the methodology, ALARP assessment approach and graded prioritisation framework.</w:t>
      </w:r>
    </w:p>
    <w:p w14:paraId="7A4EFA67" w14:textId="5AA3C9EB" w:rsidR="00B54BE2" w:rsidRPr="00CD19F4" w:rsidRDefault="00B54BE2" w:rsidP="00636886">
      <w:pPr>
        <w:pStyle w:val="ListParagraph"/>
        <w:numPr>
          <w:ilvl w:val="0"/>
          <w:numId w:val="28"/>
        </w:numPr>
        <w:jc w:val="both"/>
        <w:rPr>
          <w:rFonts w:eastAsia="Times New Roman" w:cs="Segoe UI"/>
          <w:lang w:eastAsia="en-GB"/>
        </w:rPr>
      </w:pPr>
      <w:r w:rsidRPr="00CD19F4">
        <w:rPr>
          <w:rFonts w:eastAsia="Times New Roman" w:cs="Segoe UI"/>
          <w:lang w:eastAsia="en-GB"/>
        </w:rPr>
        <w:t>Radiation Protection Hazard Identification and Radiation Risk Assessment, SMR0037785</w:t>
      </w:r>
      <w:r w:rsidR="007046DC" w:rsidRPr="00CD19F4">
        <w:rPr>
          <w:rFonts w:eastAsia="Times New Roman" w:cs="Segoe UI"/>
          <w:lang w:eastAsia="en-GB"/>
        </w:rPr>
        <w:t xml:space="preserve"> </w:t>
      </w:r>
      <w:r w:rsidR="00753C1E" w:rsidRPr="00CD19F4">
        <w:t>–</w:t>
      </w:r>
      <w:r w:rsidR="007046DC" w:rsidRPr="00CD19F4">
        <w:rPr>
          <w:rFonts w:eastAsia="Times New Roman" w:cs="Segoe UI"/>
          <w:lang w:eastAsia="en-GB"/>
        </w:rPr>
        <w:t xml:space="preserve"> Captures the application of that methodology and record</w:t>
      </w:r>
      <w:r w:rsidR="00753C1E" w:rsidRPr="00CD19F4">
        <w:rPr>
          <w:rFonts w:eastAsia="Times New Roman" w:cs="Segoe UI"/>
          <w:lang w:eastAsia="en-GB"/>
        </w:rPr>
        <w:t>s</w:t>
      </w:r>
      <w:r w:rsidR="007046DC" w:rsidRPr="00CD19F4">
        <w:rPr>
          <w:rFonts w:eastAsia="Times New Roman" w:cs="Segoe UI"/>
          <w:lang w:eastAsia="en-GB"/>
        </w:rPr>
        <w:t xml:space="preserve"> the hazard identification, risk assessment, screening/scoring outputs, assumptions, uncertainties</w:t>
      </w:r>
      <w:r w:rsidR="008F6CBA" w:rsidRPr="00CD19F4">
        <w:rPr>
          <w:rFonts w:eastAsia="Times New Roman" w:cs="Segoe UI"/>
          <w:lang w:eastAsia="en-GB"/>
        </w:rPr>
        <w:t>,</w:t>
      </w:r>
      <w:r w:rsidR="007046DC" w:rsidRPr="00CD19F4">
        <w:rPr>
          <w:rFonts w:eastAsia="Times New Roman" w:cs="Segoe UI"/>
          <w:lang w:eastAsia="en-GB"/>
        </w:rPr>
        <w:t xml:space="preserve"> and evidence sources.</w:t>
      </w:r>
    </w:p>
    <w:p w14:paraId="5B7A6ABD" w14:textId="77777777" w:rsidR="00B54BE2" w:rsidRPr="00CD19F4" w:rsidRDefault="00B54BE2" w:rsidP="00636886">
      <w:pPr>
        <w:pStyle w:val="ListParagraph"/>
        <w:tabs>
          <w:tab w:val="clear" w:pos="992"/>
          <w:tab w:val="clear" w:pos="1395"/>
          <w:tab w:val="clear" w:pos="1712"/>
        </w:tabs>
        <w:spacing w:after="0" w:line="300" w:lineRule="atLeast"/>
        <w:rPr>
          <w:rFonts w:ascii="Segoe UI" w:eastAsia="Times New Roman" w:hAnsi="Segoe UI" w:cs="Segoe UI"/>
          <w:sz w:val="21"/>
          <w:szCs w:val="21"/>
          <w:lang w:eastAsia="en-GB"/>
        </w:rPr>
      </w:pPr>
    </w:p>
    <w:p w14:paraId="063E4684" w14:textId="22558E5A" w:rsidR="005772E2" w:rsidRPr="00CD19F4" w:rsidRDefault="005772E2" w:rsidP="00636886">
      <w:pPr>
        <w:pStyle w:val="Guidance"/>
        <w:numPr>
          <w:ilvl w:val="0"/>
          <w:numId w:val="28"/>
        </w:numPr>
        <w:jc w:val="both"/>
        <w:rPr>
          <w:i w:val="0"/>
          <w:color w:val="auto"/>
        </w:rPr>
      </w:pPr>
      <w:r w:rsidRPr="00CD19F4">
        <w:rPr>
          <w:i w:val="0"/>
          <w:color w:val="auto"/>
        </w:rPr>
        <w:t>RR SMR Assessment of Individual and Collective Doses, SMR00031022, Issue 002</w:t>
      </w:r>
      <w:r w:rsidR="007046DC" w:rsidRPr="00CD19F4">
        <w:rPr>
          <w:i w:val="0"/>
          <w:color w:val="auto"/>
        </w:rPr>
        <w:t xml:space="preserve"> – Provides assessment of the individual and collective doses from the underpinned graded approach informed by the hazard and risk analysis.</w:t>
      </w:r>
    </w:p>
    <w:p w14:paraId="07F380CB" w14:textId="1F3DDCA5" w:rsidR="007B57F4" w:rsidRPr="00CD19F4" w:rsidRDefault="00D529A9" w:rsidP="005E1390">
      <w:pPr>
        <w:jc w:val="both"/>
      </w:pPr>
      <w:r w:rsidRPr="00CD19F4">
        <w:t xml:space="preserve">These submissions will demonstrate that the worker dose assessment is not limited to the </w:t>
      </w:r>
      <w:r w:rsidR="009F4C8F" w:rsidRPr="00CD19F4">
        <w:t xml:space="preserve">OPEX informed tasks </w:t>
      </w:r>
      <w:r w:rsidR="0073285A" w:rsidRPr="00CD19F4">
        <w:t xml:space="preserve">assessed in the previous issue </w:t>
      </w:r>
      <w:r w:rsidR="009F4C8F" w:rsidRPr="00CD19F4">
        <w:t>but</w:t>
      </w:r>
      <w:r w:rsidRPr="00CD19F4">
        <w:t xml:space="preserve"> </w:t>
      </w:r>
      <w:r w:rsidR="008C61C0" w:rsidRPr="00CD19F4">
        <w:t>will be</w:t>
      </w:r>
      <w:r w:rsidRPr="00CD19F4">
        <w:t xml:space="preserve"> informed by a systematic review of radiological hazards and potential </w:t>
      </w:r>
      <w:r w:rsidR="008C61C0" w:rsidRPr="00CD19F4">
        <w:t>radiation exposure</w:t>
      </w:r>
      <w:r w:rsidRPr="00CD19F4">
        <w:t xml:space="preserve"> activities across the defined scope of the generic RR SMR design. </w:t>
      </w:r>
    </w:p>
    <w:p w14:paraId="18EE9656" w14:textId="13643FE2" w:rsidR="00D529A9" w:rsidRPr="00CD19F4" w:rsidRDefault="00D529A9" w:rsidP="00636886">
      <w:pPr>
        <w:jc w:val="both"/>
      </w:pPr>
      <w:r w:rsidRPr="00CD19F4">
        <w:t>The outputs of the hazard identification and radiation risk assessment will be used to confirm, refine or supplement the dose</w:t>
      </w:r>
      <w:r w:rsidR="008C61C0" w:rsidRPr="00CD19F4">
        <w:t xml:space="preserve"> </w:t>
      </w:r>
      <w:r w:rsidRPr="00CD19F4">
        <w:t>significant activities considered in the RR SMR Assessment of Individual and Collective Doses. This will provide a traceable basis for the assessment of highest individual worker dose, highest average worker group dose and collective dose, and will identify any assumptions, uncertainties or forward actions required as the design continues to mature.</w:t>
      </w:r>
    </w:p>
    <w:p w14:paraId="4EF2DA67" w14:textId="0DFDEA61" w:rsidR="00D368ED" w:rsidRDefault="00647FFB">
      <w:pPr>
        <w:jc w:val="both"/>
      </w:pPr>
      <w:r w:rsidRPr="00647FFB">
        <w:lastRenderedPageBreak/>
        <w:t>It is acknowledged that the documents supporting closure of RO</w:t>
      </w:r>
      <w:r w:rsidR="00D368ED">
        <w:t>-RRSMR-022</w:t>
      </w:r>
      <w:r w:rsidRPr="00647FFB">
        <w:t xml:space="preserve"> are linked to the commitments made in the submitted resolution plan for RO-RRSMR-016, Reference [4]. </w:t>
      </w:r>
      <w:r w:rsidR="00D368ED" w:rsidRPr="00D368ED">
        <w:t>Further work will therefore be required to address the impacts of these links and to incorporate any necessary amendments into the associated RO-RRSMR-016 submissions.</w:t>
      </w:r>
    </w:p>
    <w:p w14:paraId="2E6008FE" w14:textId="7D7D823C" w:rsidR="007C5073" w:rsidRPr="003D09EA" w:rsidRDefault="007C5073" w:rsidP="000E2F12">
      <w:pPr>
        <w:pStyle w:val="Heading2"/>
      </w:pPr>
      <w:r w:rsidRPr="003D09EA">
        <w:t>Schedule</w:t>
      </w:r>
    </w:p>
    <w:p w14:paraId="397EE665" w14:textId="77FE2945" w:rsidR="00B52D67" w:rsidRDefault="00402460" w:rsidP="009446AE">
      <w:pPr>
        <w:keepNext/>
        <w:jc w:val="both"/>
      </w:pPr>
      <w:r w:rsidRPr="00CD19F4">
        <w:t>Figure 1 presents the schedule of activities to support resolution of RO-RRSMR-</w:t>
      </w:r>
      <w:r w:rsidR="004425CF" w:rsidRPr="00CD19F4">
        <w:t>022</w:t>
      </w:r>
      <w:r w:rsidRPr="00CD19F4">
        <w:t>.</w:t>
      </w:r>
    </w:p>
    <w:p w14:paraId="4DCE0EB8" w14:textId="2D28EFF4" w:rsidR="00D368ED" w:rsidRPr="00CD19F4" w:rsidRDefault="00D368ED" w:rsidP="009446AE">
      <w:pPr>
        <w:keepNext/>
        <w:jc w:val="both"/>
      </w:pPr>
      <w:r w:rsidRPr="00D368ED">
        <w:rPr>
          <w:noProof/>
        </w:rPr>
        <w:drawing>
          <wp:inline distT="0" distB="0" distL="0" distR="0" wp14:anchorId="1CFF5D28" wp14:editId="56486F7E">
            <wp:extent cx="5991860" cy="3376313"/>
            <wp:effectExtent l="0" t="0" r="8890" b="0"/>
            <wp:docPr id="6596039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5510" cy="3395274"/>
                    </a:xfrm>
                    <a:prstGeom prst="rect">
                      <a:avLst/>
                    </a:prstGeom>
                    <a:noFill/>
                    <a:ln>
                      <a:noFill/>
                    </a:ln>
                  </pic:spPr>
                </pic:pic>
              </a:graphicData>
            </a:graphic>
          </wp:inline>
        </w:drawing>
      </w:r>
    </w:p>
    <w:p w14:paraId="7D8D1309" w14:textId="53A764B9" w:rsidR="00520E0F" w:rsidRPr="00CD19F4" w:rsidRDefault="00C52FB2" w:rsidP="00BD6FA8">
      <w:pPr>
        <w:pStyle w:val="Caption"/>
      </w:pPr>
      <w:r w:rsidRPr="00CD19F4">
        <w:t xml:space="preserve">Figure </w:t>
      </w:r>
      <w:fldSimple w:instr=" SEQ Figure \* ARABIC \s 1 ">
        <w:r w:rsidR="002577C3" w:rsidRPr="00CD19F4">
          <w:rPr>
            <w:noProof/>
          </w:rPr>
          <w:t>1</w:t>
        </w:r>
      </w:fldSimple>
      <w:r w:rsidRPr="00CD19F4">
        <w:t>: Schedule of Resolution Activities</w:t>
      </w:r>
    </w:p>
    <w:p w14:paraId="72E10203" w14:textId="58C90201" w:rsidR="005F6651" w:rsidRPr="00CD19F4" w:rsidRDefault="005F6651" w:rsidP="000E2F12">
      <w:pPr>
        <w:pStyle w:val="Heading2"/>
      </w:pPr>
      <w:r w:rsidRPr="00CD19F4">
        <w:lastRenderedPageBreak/>
        <w:t>Impacted Submissions</w:t>
      </w:r>
    </w:p>
    <w:p w14:paraId="50650644" w14:textId="66B4A3BE" w:rsidR="00536B91" w:rsidRPr="00CD19F4" w:rsidRDefault="001B2868" w:rsidP="00D11236">
      <w:pPr>
        <w:keepNext/>
        <w:jc w:val="both"/>
      </w:pPr>
      <w:r w:rsidRPr="00CD19F4">
        <w:t>Table 1 and Table 2</w:t>
      </w:r>
      <w:r w:rsidR="00536B91" w:rsidRPr="00CD19F4">
        <w:t xml:space="preserve"> list the submissions on the Master Document Submission List (MDSL) that will be impacted through resolution of this RO, and how they will be impacted. </w:t>
      </w:r>
    </w:p>
    <w:p w14:paraId="4872DFDE" w14:textId="44521AD6" w:rsidR="00803DCE" w:rsidRPr="00CD19F4" w:rsidRDefault="00803DCE" w:rsidP="006E0F84">
      <w:pPr>
        <w:pStyle w:val="Caption"/>
        <w:keepNext/>
        <w:jc w:val="both"/>
      </w:pPr>
      <w:r w:rsidRPr="00CD19F4">
        <w:t xml:space="preserve">Table </w:t>
      </w:r>
      <w:fldSimple w:instr=" SEQ Table \* ARABIC ">
        <w:r w:rsidR="002577C3" w:rsidRPr="00CD19F4">
          <w:rPr>
            <w:noProof/>
          </w:rPr>
          <w:t>1</w:t>
        </w:r>
      </w:fldSimple>
      <w:r w:rsidRPr="00CD19F4">
        <w:t>: Existing MDSL Submissions</w:t>
      </w:r>
    </w:p>
    <w:tbl>
      <w:tblPr>
        <w:tblStyle w:val="TableGrid"/>
        <w:tblW w:w="9209" w:type="dxa"/>
        <w:tblLook w:val="04A0" w:firstRow="1" w:lastRow="0" w:firstColumn="1" w:lastColumn="0" w:noHBand="0" w:noVBand="1"/>
      </w:tblPr>
      <w:tblGrid>
        <w:gridCol w:w="3539"/>
        <w:gridCol w:w="3686"/>
        <w:gridCol w:w="1984"/>
      </w:tblGrid>
      <w:tr w:rsidR="00197F8C" w:rsidRPr="00CD19F4" w14:paraId="2AA06FE1" w14:textId="741BE07E" w:rsidTr="00520C12">
        <w:trPr>
          <w:cantSplit/>
          <w:trHeight w:val="459"/>
          <w:tblHeader/>
        </w:trPr>
        <w:tc>
          <w:tcPr>
            <w:tcW w:w="3539" w:type="dxa"/>
          </w:tcPr>
          <w:p w14:paraId="796C5201" w14:textId="364B0F8E" w:rsidR="00197F8C" w:rsidRPr="00CD19F4" w:rsidRDefault="00197F8C" w:rsidP="006E0F84">
            <w:pPr>
              <w:jc w:val="both"/>
              <w:rPr>
                <w:b/>
                <w:bCs/>
              </w:rPr>
            </w:pPr>
            <w:r w:rsidRPr="00CD19F4">
              <w:rPr>
                <w:b/>
                <w:bCs/>
              </w:rPr>
              <w:t>Existing Submission</w:t>
            </w:r>
          </w:p>
        </w:tc>
        <w:tc>
          <w:tcPr>
            <w:tcW w:w="3686" w:type="dxa"/>
          </w:tcPr>
          <w:p w14:paraId="5CD67702" w14:textId="54472A6E" w:rsidR="00197F8C" w:rsidRPr="00CD19F4" w:rsidRDefault="00197F8C" w:rsidP="006E0F84">
            <w:pPr>
              <w:jc w:val="both"/>
              <w:rPr>
                <w:b/>
                <w:bCs/>
              </w:rPr>
            </w:pPr>
            <w:r w:rsidRPr="00CD19F4">
              <w:rPr>
                <w:b/>
                <w:bCs/>
              </w:rPr>
              <w:t>Impact</w:t>
            </w:r>
          </w:p>
        </w:tc>
        <w:tc>
          <w:tcPr>
            <w:tcW w:w="1984" w:type="dxa"/>
          </w:tcPr>
          <w:p w14:paraId="6C802BA5" w14:textId="35FDD79D" w:rsidR="00197F8C" w:rsidRPr="00CD19F4" w:rsidRDefault="00197F8C" w:rsidP="006E0F84">
            <w:pPr>
              <w:jc w:val="both"/>
              <w:rPr>
                <w:b/>
                <w:bCs/>
              </w:rPr>
            </w:pPr>
            <w:r w:rsidRPr="00CD19F4">
              <w:rPr>
                <w:b/>
                <w:bCs/>
              </w:rPr>
              <w:t>Submission Date</w:t>
            </w:r>
          </w:p>
        </w:tc>
      </w:tr>
      <w:tr w:rsidR="00197F8C" w:rsidRPr="00CD19F4" w14:paraId="7925FC8D" w14:textId="24C5D037" w:rsidTr="00520C12">
        <w:trPr>
          <w:cantSplit/>
          <w:trHeight w:val="459"/>
          <w:tblHeader/>
        </w:trPr>
        <w:tc>
          <w:tcPr>
            <w:tcW w:w="3539" w:type="dxa"/>
          </w:tcPr>
          <w:p w14:paraId="67F0D0A5" w14:textId="66BE39FF" w:rsidR="00197F8C" w:rsidRPr="00CD19F4" w:rsidRDefault="004A78E6" w:rsidP="00520C12">
            <w:pPr>
              <w:pStyle w:val="Guidance"/>
              <w:rPr>
                <w:i w:val="0"/>
                <w:color w:val="auto"/>
              </w:rPr>
            </w:pPr>
            <w:r w:rsidRPr="00CD19F4">
              <w:rPr>
                <w:i w:val="0"/>
                <w:color w:val="auto"/>
              </w:rPr>
              <w:t>SMR0005919</w:t>
            </w:r>
            <w:r w:rsidR="00B34228" w:rsidRPr="00CD19F4">
              <w:rPr>
                <w:i w:val="0"/>
                <w:color w:val="auto"/>
              </w:rPr>
              <w:t xml:space="preserve">, </w:t>
            </w:r>
            <w:r w:rsidRPr="00CD19F4">
              <w:rPr>
                <w:i w:val="0"/>
                <w:color w:val="auto"/>
              </w:rPr>
              <w:t>Maintenance Dose Assessment</w:t>
            </w:r>
          </w:p>
        </w:tc>
        <w:tc>
          <w:tcPr>
            <w:tcW w:w="3686" w:type="dxa"/>
          </w:tcPr>
          <w:p w14:paraId="2A28657F" w14:textId="1EA2C79B" w:rsidR="00924639" w:rsidRDefault="005963DC" w:rsidP="00520C12">
            <w:pPr>
              <w:pStyle w:val="Guidance"/>
              <w:jc w:val="both"/>
              <w:rPr>
                <w:i w:val="0"/>
                <w:color w:val="auto"/>
              </w:rPr>
            </w:pPr>
            <w:r>
              <w:rPr>
                <w:i w:val="0"/>
                <w:color w:val="auto"/>
              </w:rPr>
              <w:t>Issue 3 of this</w:t>
            </w:r>
            <w:r w:rsidR="00924639" w:rsidRPr="00924639">
              <w:rPr>
                <w:i w:val="0"/>
                <w:color w:val="auto"/>
              </w:rPr>
              <w:t xml:space="preserve"> document will be removed from the MDSL. </w:t>
            </w:r>
          </w:p>
          <w:p w14:paraId="23FB422A" w14:textId="4CDCE5A5" w:rsidR="00197F8C" w:rsidRPr="00AF1820" w:rsidRDefault="00924639" w:rsidP="00520C12">
            <w:pPr>
              <w:pStyle w:val="Guidance"/>
              <w:jc w:val="both"/>
              <w:rPr>
                <w:i w:val="0"/>
                <w:color w:val="auto"/>
              </w:rPr>
            </w:pPr>
            <w:r w:rsidRPr="00924639">
              <w:rPr>
                <w:i w:val="0"/>
                <w:color w:val="auto"/>
              </w:rPr>
              <w:t>Information that would have been presented in future iterations of this document will instead be subsumed into the Rolls-Royce SMR Assessment of Individual and Collective Doses, SMR0031022</w:t>
            </w:r>
            <w:r w:rsidR="005963DC">
              <w:rPr>
                <w:i w:val="0"/>
                <w:color w:val="auto"/>
              </w:rPr>
              <w:t>, Issue 2.</w:t>
            </w:r>
          </w:p>
        </w:tc>
        <w:tc>
          <w:tcPr>
            <w:tcW w:w="1984" w:type="dxa"/>
          </w:tcPr>
          <w:p w14:paraId="362DC7EF" w14:textId="74DDE31F" w:rsidR="00651138" w:rsidRPr="00CD19F4" w:rsidRDefault="00C74FB2" w:rsidP="00520C12">
            <w:pPr>
              <w:pStyle w:val="Guidance"/>
              <w:rPr>
                <w:i w:val="0"/>
                <w:color w:val="auto"/>
              </w:rPr>
            </w:pPr>
            <w:r>
              <w:rPr>
                <w:i w:val="0"/>
                <w:color w:val="auto"/>
              </w:rPr>
              <w:t>2</w:t>
            </w:r>
            <w:r w:rsidR="003A12FD">
              <w:rPr>
                <w:i w:val="0"/>
                <w:color w:val="auto"/>
              </w:rPr>
              <w:t>7</w:t>
            </w:r>
            <w:r w:rsidR="003A12FD" w:rsidRPr="003A12FD">
              <w:rPr>
                <w:i w:val="0"/>
                <w:color w:val="auto"/>
                <w:vertAlign w:val="superscript"/>
              </w:rPr>
              <w:t>th</w:t>
            </w:r>
            <w:r w:rsidR="003A12FD">
              <w:rPr>
                <w:i w:val="0"/>
                <w:color w:val="auto"/>
              </w:rPr>
              <w:t xml:space="preserve"> March 2026</w:t>
            </w:r>
          </w:p>
        </w:tc>
      </w:tr>
      <w:tr w:rsidR="00B34228" w:rsidRPr="00CD19F4" w14:paraId="7B93F350" w14:textId="77777777" w:rsidTr="00520C12">
        <w:trPr>
          <w:cantSplit/>
          <w:trHeight w:val="459"/>
          <w:tblHeader/>
        </w:trPr>
        <w:tc>
          <w:tcPr>
            <w:tcW w:w="3539" w:type="dxa"/>
          </w:tcPr>
          <w:p w14:paraId="2C2F74A2" w14:textId="192706EE" w:rsidR="00B34228" w:rsidRPr="00CD19F4" w:rsidRDefault="00B34228" w:rsidP="00520C12">
            <w:pPr>
              <w:pStyle w:val="Guidance"/>
              <w:rPr>
                <w:i w:val="0"/>
                <w:color w:val="auto"/>
              </w:rPr>
            </w:pPr>
            <w:r w:rsidRPr="00CD19F4">
              <w:rPr>
                <w:i w:val="0"/>
                <w:color w:val="auto"/>
              </w:rPr>
              <w:t>SMR0031022, Rolls-Royce SMR Assessment of Individual and Collective Doses</w:t>
            </w:r>
          </w:p>
        </w:tc>
        <w:tc>
          <w:tcPr>
            <w:tcW w:w="3686" w:type="dxa"/>
          </w:tcPr>
          <w:p w14:paraId="339A45BE" w14:textId="25BCC359" w:rsidR="00B34228" w:rsidRPr="00CD19F4" w:rsidRDefault="003A12FD" w:rsidP="004A37A9">
            <w:pPr>
              <w:pStyle w:val="Guidance"/>
              <w:jc w:val="both"/>
              <w:rPr>
                <w:i w:val="0"/>
                <w:color w:val="auto"/>
              </w:rPr>
            </w:pPr>
            <w:r>
              <w:rPr>
                <w:i w:val="0"/>
                <w:color w:val="auto"/>
              </w:rPr>
              <w:t xml:space="preserve">This document </w:t>
            </w:r>
            <w:r w:rsidR="00B34228" w:rsidRPr="00CD19F4">
              <w:rPr>
                <w:i w:val="0"/>
                <w:color w:val="auto"/>
              </w:rPr>
              <w:t>will include the outputs of the radi</w:t>
            </w:r>
            <w:r w:rsidR="00764407" w:rsidRPr="00CD19F4">
              <w:rPr>
                <w:i w:val="0"/>
                <w:color w:val="auto"/>
              </w:rPr>
              <w:t xml:space="preserve">ological hazard assessment, detailing </w:t>
            </w:r>
            <w:r w:rsidR="002A09E4" w:rsidRPr="00CD19F4">
              <w:rPr>
                <w:i w:val="0"/>
                <w:color w:val="auto"/>
              </w:rPr>
              <w:t xml:space="preserve">any </w:t>
            </w:r>
            <w:r w:rsidR="00764407" w:rsidRPr="00CD19F4">
              <w:rPr>
                <w:i w:val="0"/>
                <w:color w:val="auto"/>
              </w:rPr>
              <w:t>explicit assumptions</w:t>
            </w:r>
            <w:r w:rsidR="002A09E4" w:rsidRPr="00CD19F4">
              <w:rPr>
                <w:i w:val="0"/>
                <w:color w:val="auto"/>
              </w:rPr>
              <w:t xml:space="preserve"> made, </w:t>
            </w:r>
            <w:r w:rsidR="008B45AA" w:rsidRPr="00CD19F4">
              <w:rPr>
                <w:i w:val="0"/>
                <w:color w:val="auto"/>
              </w:rPr>
              <w:t xml:space="preserve">use of relevant OPEX, and its relevance to the design and </w:t>
            </w:r>
            <w:r w:rsidR="00764B5C" w:rsidRPr="00CD19F4">
              <w:rPr>
                <w:i w:val="0"/>
                <w:color w:val="auto"/>
              </w:rPr>
              <w:t xml:space="preserve">novel design features that impact </w:t>
            </w:r>
            <w:r w:rsidR="00233594" w:rsidRPr="00CD19F4">
              <w:rPr>
                <w:i w:val="0"/>
                <w:color w:val="auto"/>
              </w:rPr>
              <w:t>potential exposures. This document will also inc</w:t>
            </w:r>
            <w:r w:rsidR="00764407" w:rsidRPr="00CD19F4">
              <w:rPr>
                <w:i w:val="0"/>
                <w:color w:val="auto"/>
              </w:rPr>
              <w:t>orporat</w:t>
            </w:r>
            <w:r w:rsidR="00233594" w:rsidRPr="00CD19F4">
              <w:rPr>
                <w:i w:val="0"/>
                <w:color w:val="auto"/>
              </w:rPr>
              <w:t>e</w:t>
            </w:r>
            <w:r w:rsidR="00764407" w:rsidRPr="00CD19F4">
              <w:rPr>
                <w:i w:val="0"/>
                <w:color w:val="auto"/>
              </w:rPr>
              <w:t xml:space="preserve"> </w:t>
            </w:r>
            <w:r w:rsidR="00CA5383" w:rsidRPr="00CD19F4">
              <w:rPr>
                <w:i w:val="0"/>
                <w:color w:val="auto"/>
              </w:rPr>
              <w:t xml:space="preserve">the information </w:t>
            </w:r>
            <w:r w:rsidR="00F336BE" w:rsidRPr="00CD19F4">
              <w:rPr>
                <w:i w:val="0"/>
                <w:color w:val="auto"/>
              </w:rPr>
              <w:t>previously contained within</w:t>
            </w:r>
            <w:r w:rsidR="00764407" w:rsidRPr="00CD19F4">
              <w:rPr>
                <w:i w:val="0"/>
                <w:color w:val="auto"/>
              </w:rPr>
              <w:t xml:space="preserve"> </w:t>
            </w:r>
            <w:r w:rsidR="00404F51" w:rsidRPr="00CD19F4">
              <w:rPr>
                <w:i w:val="0"/>
                <w:color w:val="auto"/>
              </w:rPr>
              <w:t>the Maintenance Dose Assessment</w:t>
            </w:r>
            <w:r w:rsidR="00233594" w:rsidRPr="00CD19F4">
              <w:rPr>
                <w:i w:val="0"/>
                <w:color w:val="auto"/>
              </w:rPr>
              <w:t>.</w:t>
            </w:r>
          </w:p>
        </w:tc>
        <w:tc>
          <w:tcPr>
            <w:tcW w:w="1984" w:type="dxa"/>
          </w:tcPr>
          <w:p w14:paraId="6AF6A054" w14:textId="77777777" w:rsidR="00B34228" w:rsidRPr="00CD19F4" w:rsidRDefault="00404F51" w:rsidP="00520C12">
            <w:pPr>
              <w:pStyle w:val="Guidance"/>
              <w:rPr>
                <w:i w:val="0"/>
                <w:color w:val="auto"/>
              </w:rPr>
            </w:pPr>
            <w:r w:rsidRPr="00CD19F4">
              <w:rPr>
                <w:i w:val="0"/>
                <w:color w:val="auto"/>
              </w:rPr>
              <w:t>Issue 2, 30</w:t>
            </w:r>
            <w:r w:rsidRPr="00CD19F4">
              <w:rPr>
                <w:i w:val="0"/>
                <w:color w:val="auto"/>
                <w:vertAlign w:val="superscript"/>
              </w:rPr>
              <w:t>th</w:t>
            </w:r>
            <w:r w:rsidRPr="00CD19F4">
              <w:rPr>
                <w:i w:val="0"/>
                <w:color w:val="auto"/>
              </w:rPr>
              <w:t xml:space="preserve"> July 2026</w:t>
            </w:r>
          </w:p>
          <w:p w14:paraId="40724A2A" w14:textId="7B8F21DE" w:rsidR="00404F51" w:rsidRPr="00CD19F4" w:rsidRDefault="00404F51" w:rsidP="00520C12">
            <w:pPr>
              <w:pStyle w:val="Guidance"/>
              <w:rPr>
                <w:i w:val="0"/>
                <w:color w:val="auto"/>
              </w:rPr>
            </w:pPr>
          </w:p>
        </w:tc>
      </w:tr>
    </w:tbl>
    <w:p w14:paraId="4C35B2F2" w14:textId="77777777" w:rsidR="00803DCE" w:rsidRPr="00CD19F4" w:rsidRDefault="00803DCE" w:rsidP="006E0F84">
      <w:pPr>
        <w:jc w:val="both"/>
      </w:pPr>
    </w:p>
    <w:p w14:paraId="681F1A74" w14:textId="489469B4" w:rsidR="00803DCE" w:rsidRPr="00CD19F4" w:rsidRDefault="00803DCE" w:rsidP="006E0F84">
      <w:pPr>
        <w:pStyle w:val="Caption"/>
        <w:keepNext/>
        <w:jc w:val="both"/>
      </w:pPr>
      <w:r w:rsidRPr="00CD19F4">
        <w:t xml:space="preserve">Table </w:t>
      </w:r>
      <w:fldSimple w:instr=" SEQ Table \* ARABIC ">
        <w:r w:rsidR="002577C3" w:rsidRPr="00CD19F4">
          <w:rPr>
            <w:noProof/>
          </w:rPr>
          <w:t>2</w:t>
        </w:r>
      </w:fldSimple>
      <w:r w:rsidRPr="00CD19F4">
        <w:t>: New MDSL Submissions</w:t>
      </w:r>
    </w:p>
    <w:tbl>
      <w:tblPr>
        <w:tblStyle w:val="TableGrid"/>
        <w:tblW w:w="0" w:type="auto"/>
        <w:tblLook w:val="04A0" w:firstRow="1" w:lastRow="0" w:firstColumn="1" w:lastColumn="0" w:noHBand="0" w:noVBand="1"/>
      </w:tblPr>
      <w:tblGrid>
        <w:gridCol w:w="3539"/>
        <w:gridCol w:w="3686"/>
        <w:gridCol w:w="1791"/>
      </w:tblGrid>
      <w:tr w:rsidR="00197F8C" w:rsidRPr="00CD19F4" w14:paraId="3BBD5A81" w14:textId="6066D3C1" w:rsidTr="00C77C1C">
        <w:trPr>
          <w:trHeight w:val="459"/>
        </w:trPr>
        <w:tc>
          <w:tcPr>
            <w:tcW w:w="3539" w:type="dxa"/>
          </w:tcPr>
          <w:p w14:paraId="23A0EF7C" w14:textId="0096FF77" w:rsidR="00197F8C" w:rsidRPr="00CD19F4" w:rsidRDefault="00197F8C" w:rsidP="006E0F84">
            <w:pPr>
              <w:jc w:val="both"/>
              <w:rPr>
                <w:b/>
                <w:bCs/>
              </w:rPr>
            </w:pPr>
            <w:r w:rsidRPr="00CD19F4">
              <w:rPr>
                <w:b/>
                <w:bCs/>
              </w:rPr>
              <w:t>New Submission</w:t>
            </w:r>
          </w:p>
        </w:tc>
        <w:tc>
          <w:tcPr>
            <w:tcW w:w="3686" w:type="dxa"/>
          </w:tcPr>
          <w:p w14:paraId="38554ED0" w14:textId="705ED592" w:rsidR="00197F8C" w:rsidRPr="00CD19F4" w:rsidRDefault="00197F8C" w:rsidP="006E0F84">
            <w:pPr>
              <w:jc w:val="both"/>
              <w:rPr>
                <w:b/>
                <w:bCs/>
              </w:rPr>
            </w:pPr>
            <w:r w:rsidRPr="00CD19F4">
              <w:rPr>
                <w:b/>
                <w:bCs/>
              </w:rPr>
              <w:t>Impact</w:t>
            </w:r>
          </w:p>
        </w:tc>
        <w:tc>
          <w:tcPr>
            <w:tcW w:w="1791" w:type="dxa"/>
          </w:tcPr>
          <w:p w14:paraId="63D68916" w14:textId="7739BAC8" w:rsidR="00197F8C" w:rsidRPr="00CD19F4" w:rsidRDefault="00197F8C" w:rsidP="006E0F84">
            <w:pPr>
              <w:jc w:val="both"/>
              <w:rPr>
                <w:b/>
                <w:bCs/>
              </w:rPr>
            </w:pPr>
            <w:r w:rsidRPr="00CD19F4">
              <w:rPr>
                <w:b/>
                <w:bCs/>
              </w:rPr>
              <w:t>Submission Date</w:t>
            </w:r>
          </w:p>
        </w:tc>
      </w:tr>
      <w:tr w:rsidR="0074352A" w:rsidRPr="00CD19F4" w14:paraId="0E88465D" w14:textId="592AD573" w:rsidTr="00C77C1C">
        <w:trPr>
          <w:trHeight w:val="459"/>
        </w:trPr>
        <w:tc>
          <w:tcPr>
            <w:tcW w:w="3539" w:type="dxa"/>
          </w:tcPr>
          <w:p w14:paraId="6A45D1A4" w14:textId="2D9D428A" w:rsidR="0074352A" w:rsidRPr="00CD19F4" w:rsidRDefault="0074352A" w:rsidP="00520C12">
            <w:pPr>
              <w:pStyle w:val="Guidance"/>
              <w:rPr>
                <w:i w:val="0"/>
                <w:color w:val="auto"/>
              </w:rPr>
            </w:pPr>
            <w:r w:rsidRPr="00CD19F4">
              <w:rPr>
                <w:i w:val="0"/>
                <w:color w:val="auto"/>
              </w:rPr>
              <w:t>SMR0023470, Radiation Protection ALARP Assessment Approach for the RR SMR Design and Key Area Identification</w:t>
            </w:r>
          </w:p>
        </w:tc>
        <w:tc>
          <w:tcPr>
            <w:tcW w:w="3686" w:type="dxa"/>
          </w:tcPr>
          <w:p w14:paraId="7299BA2D" w14:textId="677850CB" w:rsidR="0074352A" w:rsidRPr="00CD19F4" w:rsidRDefault="00F503EA" w:rsidP="006E0F84">
            <w:pPr>
              <w:pStyle w:val="Guidance"/>
              <w:jc w:val="both"/>
              <w:rPr>
                <w:i w:val="0"/>
                <w:color w:val="auto"/>
              </w:rPr>
            </w:pPr>
            <w:r w:rsidRPr="00CD19F4">
              <w:rPr>
                <w:i w:val="0"/>
                <w:color w:val="auto"/>
              </w:rPr>
              <w:t xml:space="preserve">This report will describe the approach used to systematically evaluate the radiological hazards of the RR SMR design, detailing how the approach supports the associated radiation protection claims, and set out how </w:t>
            </w:r>
            <w:r w:rsidRPr="00CD19F4">
              <w:rPr>
                <w:i w:val="0"/>
                <w:color w:val="auto"/>
              </w:rPr>
              <w:lastRenderedPageBreak/>
              <w:t>assumptions made during the radiological hazard evaluation will be justified and recorded.</w:t>
            </w:r>
          </w:p>
        </w:tc>
        <w:tc>
          <w:tcPr>
            <w:tcW w:w="1791" w:type="dxa"/>
          </w:tcPr>
          <w:p w14:paraId="5B4B7D0F" w14:textId="515942F4" w:rsidR="0074352A" w:rsidRPr="00CD19F4" w:rsidRDefault="00F503EA" w:rsidP="006E0F84">
            <w:pPr>
              <w:pStyle w:val="Guidance"/>
              <w:jc w:val="both"/>
              <w:rPr>
                <w:i w:val="0"/>
                <w:color w:val="auto"/>
              </w:rPr>
            </w:pPr>
            <w:r w:rsidRPr="00CD19F4">
              <w:rPr>
                <w:i w:val="0"/>
                <w:color w:val="auto"/>
              </w:rPr>
              <w:lastRenderedPageBreak/>
              <w:t>30</w:t>
            </w:r>
            <w:r w:rsidRPr="00CD19F4">
              <w:rPr>
                <w:i w:val="0"/>
                <w:color w:val="auto"/>
                <w:vertAlign w:val="superscript"/>
              </w:rPr>
              <w:t>th</w:t>
            </w:r>
            <w:r w:rsidRPr="00CD19F4">
              <w:rPr>
                <w:i w:val="0"/>
                <w:color w:val="auto"/>
              </w:rPr>
              <w:t xml:space="preserve"> July 2026 </w:t>
            </w:r>
          </w:p>
        </w:tc>
      </w:tr>
      <w:tr w:rsidR="00B54BE2" w:rsidRPr="00CD19F4" w14:paraId="23DC3CFF" w14:textId="77777777" w:rsidTr="00C77C1C">
        <w:trPr>
          <w:trHeight w:val="459"/>
        </w:trPr>
        <w:tc>
          <w:tcPr>
            <w:tcW w:w="3539" w:type="dxa"/>
          </w:tcPr>
          <w:p w14:paraId="30EB24C1" w14:textId="77777777" w:rsidR="00B54BE2" w:rsidRPr="00CD19F4" w:rsidRDefault="00B54BE2" w:rsidP="00B54BE2">
            <w:pPr>
              <w:pStyle w:val="Guidance"/>
              <w:rPr>
                <w:i w:val="0"/>
                <w:color w:val="auto"/>
              </w:rPr>
            </w:pPr>
            <w:r w:rsidRPr="00CD19F4">
              <w:rPr>
                <w:i w:val="0"/>
                <w:color w:val="auto"/>
              </w:rPr>
              <w:t>Radiation Protection Hazard Identification and Radiation Risk Assessment, SMR0037785</w:t>
            </w:r>
          </w:p>
          <w:p w14:paraId="4F3E95E4" w14:textId="77777777" w:rsidR="00B54BE2" w:rsidRPr="00CD19F4" w:rsidRDefault="00B54BE2" w:rsidP="00520C12">
            <w:pPr>
              <w:pStyle w:val="Guidance"/>
              <w:rPr>
                <w:i w:val="0"/>
                <w:color w:val="auto"/>
              </w:rPr>
            </w:pPr>
          </w:p>
        </w:tc>
        <w:tc>
          <w:tcPr>
            <w:tcW w:w="3686" w:type="dxa"/>
          </w:tcPr>
          <w:p w14:paraId="2F092692" w14:textId="532356DC" w:rsidR="00B54BE2" w:rsidRPr="00CD19F4" w:rsidRDefault="00B54BE2" w:rsidP="006E0F84">
            <w:pPr>
              <w:pStyle w:val="Guidance"/>
              <w:jc w:val="both"/>
              <w:rPr>
                <w:i w:val="0"/>
                <w:color w:val="auto"/>
              </w:rPr>
            </w:pPr>
            <w:r w:rsidRPr="00CD19F4">
              <w:rPr>
                <w:i w:val="0"/>
                <w:color w:val="auto"/>
              </w:rPr>
              <w:t>This submission will capture the outputs of the radiological hazard identification and radiation risk assessment. It will document the hazards considered, the screening and scoring criteria applied, the basis for the assigned scores, and the assumptions, uncertainties and evidence sources used to support the assessment.</w:t>
            </w:r>
          </w:p>
        </w:tc>
        <w:tc>
          <w:tcPr>
            <w:tcW w:w="1791" w:type="dxa"/>
          </w:tcPr>
          <w:p w14:paraId="0D196FA1" w14:textId="47F31CDF" w:rsidR="00B54BE2" w:rsidRPr="00CD19F4" w:rsidRDefault="00B54BE2" w:rsidP="006E0F84">
            <w:pPr>
              <w:pStyle w:val="Guidance"/>
              <w:jc w:val="both"/>
              <w:rPr>
                <w:i w:val="0"/>
                <w:color w:val="auto"/>
              </w:rPr>
            </w:pPr>
            <w:r w:rsidRPr="00CD19F4">
              <w:rPr>
                <w:i w:val="0"/>
                <w:color w:val="auto"/>
              </w:rPr>
              <w:t>30</w:t>
            </w:r>
            <w:r w:rsidRPr="00CD19F4">
              <w:rPr>
                <w:i w:val="0"/>
                <w:color w:val="auto"/>
                <w:vertAlign w:val="superscript"/>
              </w:rPr>
              <w:t>th</w:t>
            </w:r>
            <w:r w:rsidRPr="00CD19F4">
              <w:rPr>
                <w:i w:val="0"/>
                <w:color w:val="auto"/>
              </w:rPr>
              <w:t xml:space="preserve"> July</w:t>
            </w:r>
            <w:r w:rsidR="00CE4BB0" w:rsidRPr="00CD19F4">
              <w:rPr>
                <w:i w:val="0"/>
                <w:color w:val="auto"/>
              </w:rPr>
              <w:t xml:space="preserve"> 2026</w:t>
            </w:r>
          </w:p>
        </w:tc>
      </w:tr>
    </w:tbl>
    <w:p w14:paraId="6893763C" w14:textId="77777777" w:rsidR="003D1A1F" w:rsidRPr="00CD19F4" w:rsidRDefault="003D1A1F" w:rsidP="006E0F84">
      <w:pPr>
        <w:jc w:val="both"/>
      </w:pPr>
    </w:p>
    <w:p w14:paraId="214ED14D" w14:textId="4E8AB22B" w:rsidR="00E11E78" w:rsidRPr="00CD19F4" w:rsidRDefault="00F2762A" w:rsidP="000E2F12">
      <w:pPr>
        <w:pStyle w:val="Heading2"/>
      </w:pPr>
      <w:r w:rsidRPr="00CD19F4">
        <w:t>References</w:t>
      </w:r>
    </w:p>
    <w:tbl>
      <w:tblPr>
        <w:tblW w:w="5660" w:type="pct"/>
        <w:tblCellSpacing w:w="15" w:type="dxa"/>
        <w:tblInd w:w="-431" w:type="dxa"/>
        <w:tblCellMar>
          <w:top w:w="15" w:type="dxa"/>
          <w:left w:w="15" w:type="dxa"/>
          <w:bottom w:w="15" w:type="dxa"/>
          <w:right w:w="15" w:type="dxa"/>
        </w:tblCellMar>
        <w:tblLook w:val="04A0" w:firstRow="1" w:lastRow="0" w:firstColumn="1" w:lastColumn="0" w:noHBand="0" w:noVBand="1"/>
      </w:tblPr>
      <w:tblGrid>
        <w:gridCol w:w="428"/>
        <w:gridCol w:w="9789"/>
      </w:tblGrid>
      <w:tr w:rsidR="00636886" w:rsidRPr="00CD19F4" w14:paraId="28A13B59" w14:textId="77777777" w:rsidTr="00D1623D">
        <w:trPr>
          <w:trHeight w:val="824"/>
          <w:tblCellSpacing w:w="15" w:type="dxa"/>
        </w:trPr>
        <w:tc>
          <w:tcPr>
            <w:tcW w:w="187" w:type="pct"/>
          </w:tcPr>
          <w:p w14:paraId="2114B879" w14:textId="22306056" w:rsidR="00636886" w:rsidRPr="00CD19F4" w:rsidRDefault="00636886" w:rsidP="00636886">
            <w:pPr>
              <w:pStyle w:val="Bibliography"/>
              <w:spacing w:after="0"/>
              <w:jc w:val="both"/>
              <w:rPr>
                <w:noProof/>
              </w:rPr>
            </w:pPr>
            <w:r w:rsidRPr="00CD19F4">
              <w:rPr>
                <w:noProof/>
              </w:rPr>
              <w:t xml:space="preserve">[1] </w:t>
            </w:r>
          </w:p>
        </w:tc>
        <w:tc>
          <w:tcPr>
            <w:tcW w:w="4769" w:type="pct"/>
            <w:hideMark/>
          </w:tcPr>
          <w:p w14:paraId="0738C9C5" w14:textId="40B11FF3" w:rsidR="00636886" w:rsidRPr="00CD19F4" w:rsidRDefault="00636886" w:rsidP="00636886">
            <w:pPr>
              <w:pStyle w:val="Bibliography"/>
              <w:spacing w:after="0"/>
              <w:rPr>
                <w:noProof/>
              </w:rPr>
            </w:pPr>
            <w:r w:rsidRPr="00CD19F4">
              <w:rPr>
                <w:noProof/>
              </w:rPr>
              <w:t>UK Statutory Instruments 2017 No.1075, “ The Ionising Radiations Regulations, January 2018. [Online].,” [Online]. Available: Available: https://www.legislation.gov.uk/uksi/2017/1075/contents/made.</w:t>
            </w:r>
          </w:p>
        </w:tc>
      </w:tr>
      <w:tr w:rsidR="00636886" w:rsidRPr="00CD19F4" w14:paraId="468A7E72" w14:textId="77777777" w:rsidTr="00D1623D">
        <w:trPr>
          <w:trHeight w:val="276"/>
          <w:tblCellSpacing w:w="15" w:type="dxa"/>
        </w:trPr>
        <w:tc>
          <w:tcPr>
            <w:tcW w:w="187" w:type="pct"/>
          </w:tcPr>
          <w:p w14:paraId="2B7FF259" w14:textId="2BD6E58F" w:rsidR="00636886" w:rsidRPr="000E2F12" w:rsidRDefault="00636886" w:rsidP="00D1623D">
            <w:pPr>
              <w:pStyle w:val="Bibliography"/>
              <w:spacing w:before="240" w:after="0"/>
              <w:jc w:val="both"/>
              <w:rPr>
                <w:noProof/>
              </w:rPr>
            </w:pPr>
            <w:r w:rsidRPr="000E2F12">
              <w:rPr>
                <w:noProof/>
              </w:rPr>
              <w:t xml:space="preserve">[2] </w:t>
            </w:r>
          </w:p>
        </w:tc>
        <w:tc>
          <w:tcPr>
            <w:tcW w:w="4769" w:type="pct"/>
          </w:tcPr>
          <w:p w14:paraId="4C6E8253" w14:textId="57661A12" w:rsidR="00636886" w:rsidRPr="000E2F12" w:rsidRDefault="00907825" w:rsidP="000E2F12">
            <w:pPr>
              <w:pStyle w:val="Heading2"/>
              <w:rPr>
                <w:b w:val="0"/>
                <w:bCs w:val="0"/>
              </w:rPr>
            </w:pPr>
            <w:r w:rsidRPr="000E2F12">
              <w:rPr>
                <w:b w:val="0"/>
                <w:bCs w:val="0"/>
              </w:rPr>
              <w:t xml:space="preserve">RR SMR, “Rolls-Royce SMR Assessment of Individual and Collective Doses, SMR00031022, Issue 1,” February 2026. </w:t>
            </w:r>
          </w:p>
        </w:tc>
      </w:tr>
      <w:tr w:rsidR="00636886" w:rsidRPr="00CD19F4" w14:paraId="0C301966" w14:textId="77777777" w:rsidTr="00D1623D">
        <w:trPr>
          <w:tblCellSpacing w:w="15" w:type="dxa"/>
        </w:trPr>
        <w:tc>
          <w:tcPr>
            <w:tcW w:w="187" w:type="pct"/>
          </w:tcPr>
          <w:p w14:paraId="37708621" w14:textId="77B4F46D" w:rsidR="00636886" w:rsidRPr="00CD19F4" w:rsidRDefault="00636886" w:rsidP="00636886">
            <w:pPr>
              <w:pStyle w:val="Bibliography"/>
              <w:spacing w:after="0"/>
              <w:jc w:val="both"/>
              <w:rPr>
                <w:noProof/>
              </w:rPr>
            </w:pPr>
            <w:r w:rsidRPr="00CD19F4">
              <w:rPr>
                <w:noProof/>
              </w:rPr>
              <w:t xml:space="preserve">[3] </w:t>
            </w:r>
          </w:p>
        </w:tc>
        <w:tc>
          <w:tcPr>
            <w:tcW w:w="4769" w:type="pct"/>
          </w:tcPr>
          <w:p w14:paraId="4A21C284" w14:textId="246F2834" w:rsidR="00D1623D" w:rsidRPr="00D1623D" w:rsidRDefault="00907825" w:rsidP="00D1623D">
            <w:pPr>
              <w:pStyle w:val="Bibliography"/>
              <w:rPr>
                <w:noProof/>
              </w:rPr>
            </w:pPr>
            <w:r w:rsidRPr="00BD0A80">
              <w:rPr>
                <w:noProof/>
              </w:rPr>
              <w:t>RR SMR, “SMR0005919, Issue 3, Maintenance Dose Assessment,” March 2026.</w:t>
            </w:r>
          </w:p>
        </w:tc>
      </w:tr>
      <w:tr w:rsidR="00636886" w:rsidRPr="00CD19F4" w14:paraId="3C207835" w14:textId="77777777" w:rsidTr="00D1623D">
        <w:trPr>
          <w:tblCellSpacing w:w="15" w:type="dxa"/>
        </w:trPr>
        <w:tc>
          <w:tcPr>
            <w:tcW w:w="187" w:type="pct"/>
          </w:tcPr>
          <w:p w14:paraId="644B583C" w14:textId="70DCBCE4" w:rsidR="00636886" w:rsidRPr="00CD19F4" w:rsidRDefault="00636886" w:rsidP="00636886">
            <w:pPr>
              <w:pStyle w:val="Bibliography"/>
              <w:spacing w:after="0"/>
              <w:jc w:val="both"/>
              <w:rPr>
                <w:noProof/>
              </w:rPr>
            </w:pPr>
            <w:r w:rsidRPr="00CD19F4">
              <w:rPr>
                <w:noProof/>
              </w:rPr>
              <w:t xml:space="preserve">[4] </w:t>
            </w:r>
          </w:p>
        </w:tc>
        <w:tc>
          <w:tcPr>
            <w:tcW w:w="4769" w:type="pct"/>
          </w:tcPr>
          <w:p w14:paraId="3984F10E" w14:textId="5F4759CF" w:rsidR="00636886" w:rsidRPr="00CD19F4" w:rsidRDefault="00636886" w:rsidP="00636886">
            <w:pPr>
              <w:pStyle w:val="Bibliography"/>
              <w:spacing w:after="0"/>
              <w:rPr>
                <w:noProof/>
              </w:rPr>
            </w:pPr>
            <w:r w:rsidRPr="00CD19F4">
              <w:rPr>
                <w:noProof/>
              </w:rPr>
              <w:t>RR SMR, “Optimising Occupational Radiation Exposure in the Development of the Generic Design, SMR0029142, Issue 1,” January 2026.</w:t>
            </w:r>
          </w:p>
        </w:tc>
      </w:tr>
    </w:tbl>
    <w:p w14:paraId="5D9CD570" w14:textId="182FAA0C" w:rsidR="00B428BA" w:rsidRPr="00CD19F4" w:rsidRDefault="00B428BA" w:rsidP="000E2F12">
      <w:pPr>
        <w:pStyle w:val="Heading2"/>
      </w:pPr>
      <w:r w:rsidRPr="00CD19F4">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303"/>
        <w:gridCol w:w="6017"/>
      </w:tblGrid>
      <w:tr w:rsidR="0009476E" w:rsidRPr="00CD19F4" w14:paraId="1D4CDC56" w14:textId="77777777" w:rsidTr="00F503EA">
        <w:trPr>
          <w:jc w:val="center"/>
        </w:trPr>
        <w:tc>
          <w:tcPr>
            <w:tcW w:w="1417" w:type="dxa"/>
          </w:tcPr>
          <w:p w14:paraId="4A1CEFAC" w14:textId="77777777" w:rsidR="0009476E" w:rsidRPr="00CD19F4" w:rsidRDefault="0009476E" w:rsidP="006E0F84">
            <w:pPr>
              <w:tabs>
                <w:tab w:val="clear" w:pos="992"/>
                <w:tab w:val="clear" w:pos="1395"/>
                <w:tab w:val="clear" w:pos="1712"/>
              </w:tabs>
              <w:spacing w:before="120" w:after="120"/>
              <w:jc w:val="both"/>
              <w:rPr>
                <w:rFonts w:eastAsia="Times New Roman" w:cs="Times New Roman"/>
                <w:b/>
                <w:szCs w:val="20"/>
                <w:lang w:eastAsia="en-GB"/>
              </w:rPr>
            </w:pPr>
            <w:r w:rsidRPr="00CD19F4">
              <w:rPr>
                <w:rFonts w:eastAsia="Times New Roman" w:cs="Times New Roman"/>
                <w:b/>
                <w:szCs w:val="20"/>
                <w:lang w:eastAsia="en-GB"/>
              </w:rPr>
              <w:t>Date</w:t>
            </w:r>
          </w:p>
        </w:tc>
        <w:tc>
          <w:tcPr>
            <w:tcW w:w="1303" w:type="dxa"/>
          </w:tcPr>
          <w:p w14:paraId="53237652" w14:textId="77777777" w:rsidR="0009476E" w:rsidRPr="00CD19F4" w:rsidRDefault="0009476E" w:rsidP="006E0F84">
            <w:pPr>
              <w:tabs>
                <w:tab w:val="clear" w:pos="992"/>
                <w:tab w:val="clear" w:pos="1395"/>
                <w:tab w:val="clear" w:pos="1712"/>
              </w:tabs>
              <w:spacing w:before="120" w:after="120"/>
              <w:jc w:val="both"/>
              <w:rPr>
                <w:rFonts w:eastAsia="Times New Roman" w:cs="Times New Roman"/>
                <w:b/>
                <w:szCs w:val="20"/>
                <w:lang w:eastAsia="en-GB"/>
              </w:rPr>
            </w:pPr>
            <w:r w:rsidRPr="00CD19F4">
              <w:rPr>
                <w:rFonts w:eastAsia="Times New Roman" w:cs="Times New Roman"/>
                <w:b/>
                <w:szCs w:val="20"/>
                <w:lang w:eastAsia="en-GB"/>
              </w:rPr>
              <w:t>Revision Number</w:t>
            </w:r>
          </w:p>
        </w:tc>
        <w:tc>
          <w:tcPr>
            <w:tcW w:w="6017" w:type="dxa"/>
          </w:tcPr>
          <w:p w14:paraId="2DBBEBAB" w14:textId="77777777" w:rsidR="0009476E" w:rsidRPr="00CD19F4" w:rsidRDefault="0009476E" w:rsidP="006E0F84">
            <w:pPr>
              <w:tabs>
                <w:tab w:val="clear" w:pos="992"/>
                <w:tab w:val="clear" w:pos="1395"/>
                <w:tab w:val="clear" w:pos="1712"/>
              </w:tabs>
              <w:spacing w:before="120" w:after="120"/>
              <w:jc w:val="both"/>
              <w:rPr>
                <w:rFonts w:eastAsia="Times New Roman" w:cs="Times New Roman"/>
                <w:b/>
                <w:szCs w:val="20"/>
                <w:lang w:eastAsia="en-GB"/>
              </w:rPr>
            </w:pPr>
            <w:r w:rsidRPr="00CD19F4">
              <w:rPr>
                <w:rFonts w:eastAsia="Times New Roman" w:cs="Times New Roman"/>
                <w:b/>
                <w:szCs w:val="20"/>
                <w:lang w:eastAsia="en-GB"/>
              </w:rPr>
              <w:t>Reason for Change</w:t>
            </w:r>
          </w:p>
        </w:tc>
      </w:tr>
      <w:tr w:rsidR="0009476E" w:rsidRPr="00CD19F4" w14:paraId="14033B8A" w14:textId="77777777" w:rsidTr="00F503EA">
        <w:trPr>
          <w:jc w:val="center"/>
        </w:trPr>
        <w:tc>
          <w:tcPr>
            <w:tcW w:w="1417" w:type="dxa"/>
            <w:vAlign w:val="center"/>
          </w:tcPr>
          <w:p w14:paraId="28AD8139" w14:textId="4EC98D5E" w:rsidR="0009476E" w:rsidRPr="00CD19F4" w:rsidRDefault="007046DC" w:rsidP="006E0F84">
            <w:pPr>
              <w:spacing w:after="0"/>
              <w:jc w:val="both"/>
            </w:pPr>
            <w:r w:rsidRPr="00CD19F4">
              <w:t>2</w:t>
            </w:r>
            <w:r w:rsidR="00BC3A09">
              <w:t>8</w:t>
            </w:r>
            <w:r w:rsidR="00F503EA" w:rsidRPr="00CD19F4">
              <w:t>/07/2026</w:t>
            </w:r>
          </w:p>
        </w:tc>
        <w:tc>
          <w:tcPr>
            <w:tcW w:w="1303" w:type="dxa"/>
            <w:vAlign w:val="center"/>
          </w:tcPr>
          <w:p w14:paraId="2343211B" w14:textId="3668D4B7" w:rsidR="0009476E" w:rsidRPr="00CD19F4" w:rsidRDefault="00F503EA" w:rsidP="006E0F84">
            <w:pPr>
              <w:spacing w:before="60" w:after="0"/>
              <w:jc w:val="both"/>
              <w:rPr>
                <w:rFonts w:eastAsia="Times New Roman" w:cs="Times New Roman"/>
                <w:szCs w:val="20"/>
                <w:lang w:eastAsia="en-GB"/>
              </w:rPr>
            </w:pPr>
            <w:r w:rsidRPr="00CD19F4">
              <w:rPr>
                <w:rFonts w:eastAsia="Times New Roman" w:cs="Times New Roman"/>
                <w:szCs w:val="20"/>
                <w:lang w:eastAsia="en-GB"/>
              </w:rPr>
              <w:t>001</w:t>
            </w:r>
          </w:p>
        </w:tc>
        <w:tc>
          <w:tcPr>
            <w:tcW w:w="6017" w:type="dxa"/>
            <w:vAlign w:val="center"/>
          </w:tcPr>
          <w:p w14:paraId="4B624523" w14:textId="720DCD7D" w:rsidR="0009476E" w:rsidRPr="00CD19F4" w:rsidRDefault="00BC3A09" w:rsidP="006E0F84">
            <w:pPr>
              <w:spacing w:before="60" w:after="0"/>
              <w:jc w:val="both"/>
              <w:rPr>
                <w:rFonts w:eastAsia="Times New Roman" w:cs="Times New Roman"/>
                <w:szCs w:val="20"/>
                <w:lang w:eastAsia="en-GB"/>
              </w:rPr>
            </w:pPr>
            <w:r>
              <w:rPr>
                <w:rFonts w:eastAsia="Times New Roman" w:cs="Times New Roman"/>
                <w:szCs w:val="20"/>
                <w:lang w:eastAsia="en-GB"/>
              </w:rPr>
              <w:t xml:space="preserve">First Issue </w:t>
            </w:r>
          </w:p>
        </w:tc>
      </w:tr>
    </w:tbl>
    <w:p w14:paraId="59BFB71F" w14:textId="5F61B9FF" w:rsidR="002A3242" w:rsidRPr="00B52505" w:rsidRDefault="002A3242" w:rsidP="00B52505">
      <w:pPr>
        <w:tabs>
          <w:tab w:val="clear" w:pos="992"/>
          <w:tab w:val="clear" w:pos="1395"/>
          <w:tab w:val="clear" w:pos="1712"/>
        </w:tabs>
        <w:spacing w:after="200" w:line="276" w:lineRule="auto"/>
        <w:jc w:val="both"/>
        <w:rPr>
          <w:rFonts w:eastAsiaTheme="majorEastAsia" w:cstheme="majorBidi"/>
          <w:b/>
          <w:bCs/>
          <w:sz w:val="28"/>
          <w:szCs w:val="28"/>
        </w:rPr>
      </w:pPr>
    </w:p>
    <w:p w14:paraId="2CF96374" w14:textId="77777777" w:rsidR="009D711B" w:rsidRPr="00CD19F4" w:rsidRDefault="009D711B" w:rsidP="00BD6FA8">
      <w:pPr>
        <w:jc w:val="both"/>
      </w:pPr>
    </w:p>
    <w:sectPr w:rsidR="009D711B" w:rsidRPr="00CD19F4" w:rsidSect="000B3B41">
      <w:headerReference w:type="default" r:id="rId13"/>
      <w:footerReference w:type="even" r:id="rId14"/>
      <w:footerReference w:type="default" r:id="rId15"/>
      <w:headerReference w:type="first" r:id="rId16"/>
      <w:footerReference w:type="first" r:id="rId17"/>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59F02" w14:textId="77777777" w:rsidR="009F6104" w:rsidRDefault="009F6104" w:rsidP="00D12A48">
      <w:r>
        <w:separator/>
      </w:r>
    </w:p>
  </w:endnote>
  <w:endnote w:type="continuationSeparator" w:id="0">
    <w:p w14:paraId="1CC6CAB3" w14:textId="77777777" w:rsidR="009F6104" w:rsidRDefault="009F6104" w:rsidP="00D12A48">
      <w:r>
        <w:continuationSeparator/>
      </w:r>
    </w:p>
  </w:endnote>
  <w:endnote w:type="continuationNotice" w:id="1">
    <w:p w14:paraId="67D5ABB0" w14:textId="77777777" w:rsidR="009F6104" w:rsidRDefault="009F61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1E0D2757" w:rsidR="001038B7" w:rsidRDefault="009446AE">
    <w:pPr>
      <w:pStyle w:val="Footer"/>
    </w:pPr>
    <w:r>
      <w:rPr>
        <w:noProof/>
      </w:rPr>
      <mc:AlternateContent>
        <mc:Choice Requires="wps">
          <w:drawing>
            <wp:anchor distT="0" distB="0" distL="0" distR="0" simplePos="0" relativeHeight="251658244" behindDoc="0" locked="0" layoutInCell="1" allowOverlap="1" wp14:anchorId="79AB02AD" wp14:editId="392AA263">
              <wp:simplePos x="635" y="635"/>
              <wp:positionH relativeFrom="page">
                <wp:align>center</wp:align>
              </wp:positionH>
              <wp:positionV relativeFrom="page">
                <wp:align>bottom</wp:align>
              </wp:positionV>
              <wp:extent cx="1976120" cy="299085"/>
              <wp:effectExtent l="0" t="0" r="5080" b="0"/>
              <wp:wrapNone/>
              <wp:docPr id="838856483" name="Text Box 15"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06AC1DA0" w14:textId="13F943DE"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B02AD" id="_x0000_t202" coordsize="21600,21600" o:spt="202" path="m,l,21600r21600,l21600,xe">
              <v:stroke joinstyle="miter"/>
              <v:path gradientshapeok="t" o:connecttype="rect"/>
            </v:shapetype>
            <v:shape id="Text Box 15" o:spid="_x0000_s1026" type="#_x0000_t202" alt="Private – Not Listed – Not Subject to Export Controls" style="position:absolute;margin-left:0;margin-top:0;width:155.6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06AC1DA0" w14:textId="13F943DE"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478A1510" w:rsidR="00F915C6" w:rsidRDefault="009446AE" w:rsidP="00CD449A">
    <w:pPr>
      <w:spacing w:after="0"/>
    </w:pPr>
    <w:r>
      <w:rPr>
        <w:noProof/>
      </w:rPr>
      <mc:AlternateContent>
        <mc:Choice Requires="wps">
          <w:drawing>
            <wp:anchor distT="0" distB="0" distL="0" distR="0" simplePos="0" relativeHeight="251658245" behindDoc="0" locked="0" layoutInCell="1" allowOverlap="1" wp14:anchorId="1756E84C" wp14:editId="4E44159A">
              <wp:simplePos x="914400" y="10452295"/>
              <wp:positionH relativeFrom="page">
                <wp:align>center</wp:align>
              </wp:positionH>
              <wp:positionV relativeFrom="page">
                <wp:align>bottom</wp:align>
              </wp:positionV>
              <wp:extent cx="1976120" cy="299085"/>
              <wp:effectExtent l="0" t="0" r="5080" b="0"/>
              <wp:wrapNone/>
              <wp:docPr id="913621270" name="Text Box 16"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1C8D6BD8" w14:textId="786F0B9E"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56E84C" id="_x0000_t202" coordsize="21600,21600" o:spt="202" path="m,l,21600r21600,l21600,xe">
              <v:stroke joinstyle="miter"/>
              <v:path gradientshapeok="t" o:connecttype="rect"/>
            </v:shapetype>
            <v:shape id="Text Box 16" o:spid="_x0000_s1028" type="#_x0000_t202" alt="Private – Not Listed – Not Subject to Export Controls" style="position:absolute;margin-left:0;margin-top:0;width:155.6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1C8D6BD8" w14:textId="786F0B9E"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31936287" w:rsidR="001038B7" w:rsidRDefault="009446AE">
    <w:pPr>
      <w:pStyle w:val="Footer"/>
    </w:pPr>
    <w:r>
      <w:rPr>
        <w:noProof/>
      </w:rPr>
      <mc:AlternateContent>
        <mc:Choice Requires="wps">
          <w:drawing>
            <wp:anchor distT="0" distB="0" distL="0" distR="0" simplePos="0" relativeHeight="251658243" behindDoc="0" locked="0" layoutInCell="1" allowOverlap="1" wp14:anchorId="7E37A716" wp14:editId="51759B52">
              <wp:simplePos x="635" y="635"/>
              <wp:positionH relativeFrom="page">
                <wp:align>center</wp:align>
              </wp:positionH>
              <wp:positionV relativeFrom="page">
                <wp:align>bottom</wp:align>
              </wp:positionV>
              <wp:extent cx="1976120" cy="299085"/>
              <wp:effectExtent l="0" t="0" r="5080" b="0"/>
              <wp:wrapNone/>
              <wp:docPr id="289228030" name="Text Box 14"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23ACB1D8" w14:textId="332F60AB"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37A716" id="_x0000_t202" coordsize="21600,21600" o:spt="202" path="m,l,21600r21600,l21600,xe">
              <v:stroke joinstyle="miter"/>
              <v:path gradientshapeok="t" o:connecttype="rect"/>
            </v:shapetype>
            <v:shape id="Text Box 14" o:spid="_x0000_s1029" type="#_x0000_t202" alt="Private – Not Listed – Not Subject to Export Controls" style="position:absolute;margin-left:0;margin-top:0;width:155.6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23ACB1D8" w14:textId="332F60AB" w:rsidR="009446AE" w:rsidRPr="009446AE" w:rsidRDefault="009446AE" w:rsidP="009446AE">
                    <w:pPr>
                      <w:spacing w:after="0"/>
                      <w:rPr>
                        <w:rFonts w:ascii="Aptos" w:eastAsia="Aptos" w:hAnsi="Aptos" w:cs="Aptos"/>
                        <w:noProof/>
                        <w:color w:val="000000"/>
                        <w:sz w:val="14"/>
                        <w:szCs w:val="14"/>
                      </w:rPr>
                    </w:pPr>
                    <w:r w:rsidRPr="009446AE">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EBD03" w14:textId="77777777" w:rsidR="009F6104" w:rsidRDefault="009F6104" w:rsidP="00D12A48">
      <w:r>
        <w:separator/>
      </w:r>
    </w:p>
  </w:footnote>
  <w:footnote w:type="continuationSeparator" w:id="0">
    <w:p w14:paraId="0B60CBE1" w14:textId="77777777" w:rsidR="009F6104" w:rsidRDefault="009F6104" w:rsidP="00D12A48">
      <w:r>
        <w:continuationSeparator/>
      </w:r>
    </w:p>
  </w:footnote>
  <w:footnote w:type="continuationNotice" w:id="1">
    <w:p w14:paraId="3A0B4222" w14:textId="77777777" w:rsidR="009F6104" w:rsidRDefault="009F61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6E6ACA02" w:rsidR="004051C6" w:rsidRPr="009B7435" w:rsidRDefault="007A4F9A" w:rsidP="004051C6">
    <w:pPr>
      <w:pStyle w:val="Header"/>
      <w:spacing w:after="0"/>
      <w:jc w:val="right"/>
      <w:rPr>
        <w:sz w:val="28"/>
        <w:szCs w:val="28"/>
      </w:rPr>
    </w:pPr>
    <w:r w:rsidRPr="009B7435">
      <w:t>SMR</w:t>
    </w:r>
    <w:r>
      <w:t>0037342</w:t>
    </w:r>
    <w:r w:rsidRPr="009B7435">
      <w:t xml:space="preserve"> </w:t>
    </w:r>
    <w:r w:rsidR="009B7435" w:rsidRPr="009B7435">
      <w:t xml:space="preserve">Revision </w:t>
    </w:r>
    <w:r>
      <w:t>001</w:t>
    </w:r>
  </w:p>
  <w:p w14:paraId="529BAED8" w14:textId="77777777" w:rsidR="004051C6" w:rsidRPr="004051C6" w:rsidRDefault="009F6104"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fldSimple w:instr=" NUMPAGES  ">
          <w:r w:rsidR="004051C6" w:rsidRPr="004051C6">
            <w:rPr>
              <w:sz w:val="24"/>
              <w:szCs w:val="24"/>
            </w:rPr>
            <w:t>3</w:t>
          </w:r>
        </w:fldSimple>
      </w:sdtContent>
    </w:sdt>
  </w:p>
  <w:p w14:paraId="23414A88" w14:textId="7251F72D" w:rsidR="004051C6" w:rsidRDefault="004051C6" w:rsidP="004051C6">
    <w:pPr>
      <w:pStyle w:val="Header"/>
      <w:spacing w:after="0"/>
      <w:jc w:val="right"/>
    </w:pPr>
    <w:r w:rsidRPr="00211346">
      <w:t>Retention Category</w:t>
    </w:r>
    <w:r>
      <w:t xml:space="preserve"> </w:t>
    </w:r>
    <w:r w:rsidR="00113719">
      <w:t>A</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417D81"/>
    <w:multiLevelType w:val="hybridMultilevel"/>
    <w:tmpl w:val="3BA6B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4A1265"/>
    <w:multiLevelType w:val="hybridMultilevel"/>
    <w:tmpl w:val="A774A096"/>
    <w:lvl w:ilvl="0" w:tplc="06A08F86">
      <w:start w:val="1"/>
      <w:numFmt w:val="bullet"/>
      <w:lvlText w:val=""/>
      <w:lvlJc w:val="left"/>
      <w:pPr>
        <w:ind w:left="1440" w:hanging="360"/>
      </w:pPr>
      <w:rPr>
        <w:rFonts w:ascii="Symbol" w:hAnsi="Symbol"/>
      </w:rPr>
    </w:lvl>
    <w:lvl w:ilvl="1" w:tplc="A8D0C3C6">
      <w:start w:val="1"/>
      <w:numFmt w:val="bullet"/>
      <w:lvlText w:val=""/>
      <w:lvlJc w:val="left"/>
      <w:pPr>
        <w:ind w:left="1440" w:hanging="360"/>
      </w:pPr>
      <w:rPr>
        <w:rFonts w:ascii="Symbol" w:hAnsi="Symbol"/>
      </w:rPr>
    </w:lvl>
    <w:lvl w:ilvl="2" w:tplc="1264D718">
      <w:start w:val="1"/>
      <w:numFmt w:val="bullet"/>
      <w:lvlText w:val=""/>
      <w:lvlJc w:val="left"/>
      <w:pPr>
        <w:ind w:left="1440" w:hanging="360"/>
      </w:pPr>
      <w:rPr>
        <w:rFonts w:ascii="Symbol" w:hAnsi="Symbol"/>
      </w:rPr>
    </w:lvl>
    <w:lvl w:ilvl="3" w:tplc="62EA3C88">
      <w:start w:val="1"/>
      <w:numFmt w:val="bullet"/>
      <w:lvlText w:val=""/>
      <w:lvlJc w:val="left"/>
      <w:pPr>
        <w:ind w:left="1440" w:hanging="360"/>
      </w:pPr>
      <w:rPr>
        <w:rFonts w:ascii="Symbol" w:hAnsi="Symbol"/>
      </w:rPr>
    </w:lvl>
    <w:lvl w:ilvl="4" w:tplc="A6F227CC">
      <w:start w:val="1"/>
      <w:numFmt w:val="bullet"/>
      <w:lvlText w:val=""/>
      <w:lvlJc w:val="left"/>
      <w:pPr>
        <w:ind w:left="1440" w:hanging="360"/>
      </w:pPr>
      <w:rPr>
        <w:rFonts w:ascii="Symbol" w:hAnsi="Symbol"/>
      </w:rPr>
    </w:lvl>
    <w:lvl w:ilvl="5" w:tplc="431E3B00">
      <w:start w:val="1"/>
      <w:numFmt w:val="bullet"/>
      <w:lvlText w:val=""/>
      <w:lvlJc w:val="left"/>
      <w:pPr>
        <w:ind w:left="1440" w:hanging="360"/>
      </w:pPr>
      <w:rPr>
        <w:rFonts w:ascii="Symbol" w:hAnsi="Symbol"/>
      </w:rPr>
    </w:lvl>
    <w:lvl w:ilvl="6" w:tplc="013220DC">
      <w:start w:val="1"/>
      <w:numFmt w:val="bullet"/>
      <w:lvlText w:val=""/>
      <w:lvlJc w:val="left"/>
      <w:pPr>
        <w:ind w:left="1440" w:hanging="360"/>
      </w:pPr>
      <w:rPr>
        <w:rFonts w:ascii="Symbol" w:hAnsi="Symbol"/>
      </w:rPr>
    </w:lvl>
    <w:lvl w:ilvl="7" w:tplc="22BCEC00">
      <w:start w:val="1"/>
      <w:numFmt w:val="bullet"/>
      <w:lvlText w:val=""/>
      <w:lvlJc w:val="left"/>
      <w:pPr>
        <w:ind w:left="1440" w:hanging="360"/>
      </w:pPr>
      <w:rPr>
        <w:rFonts w:ascii="Symbol" w:hAnsi="Symbol"/>
      </w:rPr>
    </w:lvl>
    <w:lvl w:ilvl="8" w:tplc="51966D36">
      <w:start w:val="1"/>
      <w:numFmt w:val="bullet"/>
      <w:lvlText w:val=""/>
      <w:lvlJc w:val="left"/>
      <w:pPr>
        <w:ind w:left="1440" w:hanging="360"/>
      </w:pPr>
      <w:rPr>
        <w:rFonts w:ascii="Symbol" w:hAnsi="Symbol"/>
      </w:rPr>
    </w:lvl>
  </w:abstractNum>
  <w:abstractNum w:abstractNumId="5"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CE398B"/>
    <w:multiLevelType w:val="multilevel"/>
    <w:tmpl w:val="9EEE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E759E"/>
    <w:multiLevelType w:val="hybridMultilevel"/>
    <w:tmpl w:val="17E0542C"/>
    <w:lvl w:ilvl="0" w:tplc="8810448A">
      <w:start w:val="1"/>
      <w:numFmt w:val="bullet"/>
      <w:lvlText w:val=""/>
      <w:lvlJc w:val="left"/>
      <w:pPr>
        <w:ind w:left="1440" w:hanging="360"/>
      </w:pPr>
      <w:rPr>
        <w:rFonts w:ascii="Symbol" w:hAnsi="Symbol"/>
      </w:rPr>
    </w:lvl>
    <w:lvl w:ilvl="1" w:tplc="B592132E">
      <w:start w:val="1"/>
      <w:numFmt w:val="bullet"/>
      <w:lvlText w:val=""/>
      <w:lvlJc w:val="left"/>
      <w:pPr>
        <w:ind w:left="1440" w:hanging="360"/>
      </w:pPr>
      <w:rPr>
        <w:rFonts w:ascii="Symbol" w:hAnsi="Symbol"/>
      </w:rPr>
    </w:lvl>
    <w:lvl w:ilvl="2" w:tplc="522821D6">
      <w:start w:val="1"/>
      <w:numFmt w:val="bullet"/>
      <w:lvlText w:val=""/>
      <w:lvlJc w:val="left"/>
      <w:pPr>
        <w:ind w:left="1440" w:hanging="360"/>
      </w:pPr>
      <w:rPr>
        <w:rFonts w:ascii="Symbol" w:hAnsi="Symbol"/>
      </w:rPr>
    </w:lvl>
    <w:lvl w:ilvl="3" w:tplc="5CA20EC2">
      <w:start w:val="1"/>
      <w:numFmt w:val="bullet"/>
      <w:lvlText w:val=""/>
      <w:lvlJc w:val="left"/>
      <w:pPr>
        <w:ind w:left="1440" w:hanging="360"/>
      </w:pPr>
      <w:rPr>
        <w:rFonts w:ascii="Symbol" w:hAnsi="Symbol"/>
      </w:rPr>
    </w:lvl>
    <w:lvl w:ilvl="4" w:tplc="83863D1A">
      <w:start w:val="1"/>
      <w:numFmt w:val="bullet"/>
      <w:lvlText w:val=""/>
      <w:lvlJc w:val="left"/>
      <w:pPr>
        <w:ind w:left="1440" w:hanging="360"/>
      </w:pPr>
      <w:rPr>
        <w:rFonts w:ascii="Symbol" w:hAnsi="Symbol"/>
      </w:rPr>
    </w:lvl>
    <w:lvl w:ilvl="5" w:tplc="67326628">
      <w:start w:val="1"/>
      <w:numFmt w:val="bullet"/>
      <w:lvlText w:val=""/>
      <w:lvlJc w:val="left"/>
      <w:pPr>
        <w:ind w:left="1440" w:hanging="360"/>
      </w:pPr>
      <w:rPr>
        <w:rFonts w:ascii="Symbol" w:hAnsi="Symbol"/>
      </w:rPr>
    </w:lvl>
    <w:lvl w:ilvl="6" w:tplc="97505CE8">
      <w:start w:val="1"/>
      <w:numFmt w:val="bullet"/>
      <w:lvlText w:val=""/>
      <w:lvlJc w:val="left"/>
      <w:pPr>
        <w:ind w:left="1440" w:hanging="360"/>
      </w:pPr>
      <w:rPr>
        <w:rFonts w:ascii="Symbol" w:hAnsi="Symbol"/>
      </w:rPr>
    </w:lvl>
    <w:lvl w:ilvl="7" w:tplc="8550EC82">
      <w:start w:val="1"/>
      <w:numFmt w:val="bullet"/>
      <w:lvlText w:val=""/>
      <w:lvlJc w:val="left"/>
      <w:pPr>
        <w:ind w:left="1440" w:hanging="360"/>
      </w:pPr>
      <w:rPr>
        <w:rFonts w:ascii="Symbol" w:hAnsi="Symbol"/>
      </w:rPr>
    </w:lvl>
    <w:lvl w:ilvl="8" w:tplc="DAA6A914">
      <w:start w:val="1"/>
      <w:numFmt w:val="bullet"/>
      <w:lvlText w:val=""/>
      <w:lvlJc w:val="left"/>
      <w:pPr>
        <w:ind w:left="1440" w:hanging="360"/>
      </w:pPr>
      <w:rPr>
        <w:rFonts w:ascii="Symbol" w:hAnsi="Symbol"/>
      </w:rPr>
    </w:lvl>
  </w:abstractNum>
  <w:abstractNum w:abstractNumId="8"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D7443A"/>
    <w:multiLevelType w:val="hybridMultilevel"/>
    <w:tmpl w:val="2EB2BAD8"/>
    <w:lvl w:ilvl="0" w:tplc="960A7228">
      <w:start w:val="1"/>
      <w:numFmt w:val="bullet"/>
      <w:lvlText w:val="o"/>
      <w:lvlJc w:val="left"/>
      <w:pPr>
        <w:tabs>
          <w:tab w:val="num" w:pos="720"/>
        </w:tabs>
        <w:ind w:left="720" w:hanging="360"/>
      </w:pPr>
      <w:rPr>
        <w:rFonts w:ascii="Courier New" w:hAnsi="Courier New" w:hint="default"/>
      </w:rPr>
    </w:lvl>
    <w:lvl w:ilvl="1" w:tplc="DE7CF562">
      <w:start w:val="1"/>
      <w:numFmt w:val="bullet"/>
      <w:lvlText w:val="o"/>
      <w:lvlJc w:val="left"/>
      <w:pPr>
        <w:tabs>
          <w:tab w:val="num" w:pos="1440"/>
        </w:tabs>
        <w:ind w:left="1440" w:hanging="360"/>
      </w:pPr>
      <w:rPr>
        <w:rFonts w:ascii="Courier New" w:hAnsi="Courier New" w:hint="default"/>
      </w:rPr>
    </w:lvl>
    <w:lvl w:ilvl="2" w:tplc="7C8ED9E2" w:tentative="1">
      <w:start w:val="1"/>
      <w:numFmt w:val="bullet"/>
      <w:lvlText w:val="o"/>
      <w:lvlJc w:val="left"/>
      <w:pPr>
        <w:tabs>
          <w:tab w:val="num" w:pos="2160"/>
        </w:tabs>
        <w:ind w:left="2160" w:hanging="360"/>
      </w:pPr>
      <w:rPr>
        <w:rFonts w:ascii="Courier New" w:hAnsi="Courier New" w:hint="default"/>
      </w:rPr>
    </w:lvl>
    <w:lvl w:ilvl="3" w:tplc="356004BC" w:tentative="1">
      <w:start w:val="1"/>
      <w:numFmt w:val="bullet"/>
      <w:lvlText w:val="o"/>
      <w:lvlJc w:val="left"/>
      <w:pPr>
        <w:tabs>
          <w:tab w:val="num" w:pos="2880"/>
        </w:tabs>
        <w:ind w:left="2880" w:hanging="360"/>
      </w:pPr>
      <w:rPr>
        <w:rFonts w:ascii="Courier New" w:hAnsi="Courier New" w:hint="default"/>
      </w:rPr>
    </w:lvl>
    <w:lvl w:ilvl="4" w:tplc="157A3816" w:tentative="1">
      <w:start w:val="1"/>
      <w:numFmt w:val="bullet"/>
      <w:lvlText w:val="o"/>
      <w:lvlJc w:val="left"/>
      <w:pPr>
        <w:tabs>
          <w:tab w:val="num" w:pos="3600"/>
        </w:tabs>
        <w:ind w:left="3600" w:hanging="360"/>
      </w:pPr>
      <w:rPr>
        <w:rFonts w:ascii="Courier New" w:hAnsi="Courier New" w:hint="default"/>
      </w:rPr>
    </w:lvl>
    <w:lvl w:ilvl="5" w:tplc="0036578A" w:tentative="1">
      <w:start w:val="1"/>
      <w:numFmt w:val="bullet"/>
      <w:lvlText w:val="o"/>
      <w:lvlJc w:val="left"/>
      <w:pPr>
        <w:tabs>
          <w:tab w:val="num" w:pos="4320"/>
        </w:tabs>
        <w:ind w:left="4320" w:hanging="360"/>
      </w:pPr>
      <w:rPr>
        <w:rFonts w:ascii="Courier New" w:hAnsi="Courier New" w:hint="default"/>
      </w:rPr>
    </w:lvl>
    <w:lvl w:ilvl="6" w:tplc="9E06EE2E" w:tentative="1">
      <w:start w:val="1"/>
      <w:numFmt w:val="bullet"/>
      <w:lvlText w:val="o"/>
      <w:lvlJc w:val="left"/>
      <w:pPr>
        <w:tabs>
          <w:tab w:val="num" w:pos="5040"/>
        </w:tabs>
        <w:ind w:left="5040" w:hanging="360"/>
      </w:pPr>
      <w:rPr>
        <w:rFonts w:ascii="Courier New" w:hAnsi="Courier New" w:hint="default"/>
      </w:rPr>
    </w:lvl>
    <w:lvl w:ilvl="7" w:tplc="0652D8E8" w:tentative="1">
      <w:start w:val="1"/>
      <w:numFmt w:val="bullet"/>
      <w:lvlText w:val="o"/>
      <w:lvlJc w:val="left"/>
      <w:pPr>
        <w:tabs>
          <w:tab w:val="num" w:pos="5760"/>
        </w:tabs>
        <w:ind w:left="5760" w:hanging="360"/>
      </w:pPr>
      <w:rPr>
        <w:rFonts w:ascii="Courier New" w:hAnsi="Courier New" w:hint="default"/>
      </w:rPr>
    </w:lvl>
    <w:lvl w:ilvl="8" w:tplc="C4DCCF82"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1C8674EF"/>
    <w:multiLevelType w:val="hybridMultilevel"/>
    <w:tmpl w:val="CE1C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81866"/>
    <w:multiLevelType w:val="hybridMultilevel"/>
    <w:tmpl w:val="8AEE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41F0A"/>
    <w:multiLevelType w:val="hybridMultilevel"/>
    <w:tmpl w:val="F5C29806"/>
    <w:lvl w:ilvl="0" w:tplc="C80C2A2A">
      <w:start w:val="1"/>
      <w:numFmt w:val="bullet"/>
      <w:lvlText w:val=""/>
      <w:lvlJc w:val="left"/>
      <w:pPr>
        <w:ind w:left="1440" w:hanging="360"/>
      </w:pPr>
      <w:rPr>
        <w:rFonts w:ascii="Symbol" w:hAnsi="Symbol"/>
      </w:rPr>
    </w:lvl>
    <w:lvl w:ilvl="1" w:tplc="E53859E0">
      <w:start w:val="1"/>
      <w:numFmt w:val="bullet"/>
      <w:lvlText w:val=""/>
      <w:lvlJc w:val="left"/>
      <w:pPr>
        <w:ind w:left="1440" w:hanging="360"/>
      </w:pPr>
      <w:rPr>
        <w:rFonts w:ascii="Symbol" w:hAnsi="Symbol"/>
      </w:rPr>
    </w:lvl>
    <w:lvl w:ilvl="2" w:tplc="78280A60">
      <w:start w:val="1"/>
      <w:numFmt w:val="bullet"/>
      <w:lvlText w:val=""/>
      <w:lvlJc w:val="left"/>
      <w:pPr>
        <w:ind w:left="1440" w:hanging="360"/>
      </w:pPr>
      <w:rPr>
        <w:rFonts w:ascii="Symbol" w:hAnsi="Symbol"/>
      </w:rPr>
    </w:lvl>
    <w:lvl w:ilvl="3" w:tplc="6E4A6C9A">
      <w:start w:val="1"/>
      <w:numFmt w:val="bullet"/>
      <w:lvlText w:val=""/>
      <w:lvlJc w:val="left"/>
      <w:pPr>
        <w:ind w:left="1440" w:hanging="360"/>
      </w:pPr>
      <w:rPr>
        <w:rFonts w:ascii="Symbol" w:hAnsi="Symbol"/>
      </w:rPr>
    </w:lvl>
    <w:lvl w:ilvl="4" w:tplc="D99CF08E">
      <w:start w:val="1"/>
      <w:numFmt w:val="bullet"/>
      <w:lvlText w:val=""/>
      <w:lvlJc w:val="left"/>
      <w:pPr>
        <w:ind w:left="1440" w:hanging="360"/>
      </w:pPr>
      <w:rPr>
        <w:rFonts w:ascii="Symbol" w:hAnsi="Symbol"/>
      </w:rPr>
    </w:lvl>
    <w:lvl w:ilvl="5" w:tplc="3DE84808">
      <w:start w:val="1"/>
      <w:numFmt w:val="bullet"/>
      <w:lvlText w:val=""/>
      <w:lvlJc w:val="left"/>
      <w:pPr>
        <w:ind w:left="1440" w:hanging="360"/>
      </w:pPr>
      <w:rPr>
        <w:rFonts w:ascii="Symbol" w:hAnsi="Symbol"/>
      </w:rPr>
    </w:lvl>
    <w:lvl w:ilvl="6" w:tplc="D736ACF4">
      <w:start w:val="1"/>
      <w:numFmt w:val="bullet"/>
      <w:lvlText w:val=""/>
      <w:lvlJc w:val="left"/>
      <w:pPr>
        <w:ind w:left="1440" w:hanging="360"/>
      </w:pPr>
      <w:rPr>
        <w:rFonts w:ascii="Symbol" w:hAnsi="Symbol"/>
      </w:rPr>
    </w:lvl>
    <w:lvl w:ilvl="7" w:tplc="AED25E44">
      <w:start w:val="1"/>
      <w:numFmt w:val="bullet"/>
      <w:lvlText w:val=""/>
      <w:lvlJc w:val="left"/>
      <w:pPr>
        <w:ind w:left="1440" w:hanging="360"/>
      </w:pPr>
      <w:rPr>
        <w:rFonts w:ascii="Symbol" w:hAnsi="Symbol"/>
      </w:rPr>
    </w:lvl>
    <w:lvl w:ilvl="8" w:tplc="E9029234">
      <w:start w:val="1"/>
      <w:numFmt w:val="bullet"/>
      <w:lvlText w:val=""/>
      <w:lvlJc w:val="left"/>
      <w:pPr>
        <w:ind w:left="1440" w:hanging="360"/>
      </w:pPr>
      <w:rPr>
        <w:rFonts w:ascii="Symbol" w:hAnsi="Symbol"/>
      </w:rPr>
    </w:lvl>
  </w:abstractNum>
  <w:abstractNum w:abstractNumId="13"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4" w15:restartNumberingAfterBreak="0">
    <w:nsid w:val="2A2A5513"/>
    <w:multiLevelType w:val="multilevel"/>
    <w:tmpl w:val="5F56EE48"/>
    <w:numStyleLink w:val="SMR"/>
  </w:abstractNum>
  <w:abstractNum w:abstractNumId="15" w15:restartNumberingAfterBreak="0">
    <w:nsid w:val="3E340624"/>
    <w:multiLevelType w:val="hybridMultilevel"/>
    <w:tmpl w:val="623A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D7D66"/>
    <w:multiLevelType w:val="hybridMultilevel"/>
    <w:tmpl w:val="FC80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E329C"/>
    <w:multiLevelType w:val="hybridMultilevel"/>
    <w:tmpl w:val="77DE08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61352E"/>
    <w:multiLevelType w:val="multilevel"/>
    <w:tmpl w:val="5F56EE48"/>
    <w:numStyleLink w:val="SMR"/>
  </w:abstractNum>
  <w:abstractNum w:abstractNumId="19"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F06972"/>
    <w:multiLevelType w:val="multilevel"/>
    <w:tmpl w:val="EE48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EC3CB1"/>
    <w:multiLevelType w:val="hybridMultilevel"/>
    <w:tmpl w:val="27F65D84"/>
    <w:lvl w:ilvl="0" w:tplc="0DC46E46">
      <w:start w:val="1"/>
      <w:numFmt w:val="bullet"/>
      <w:lvlText w:val=""/>
      <w:lvlJc w:val="left"/>
      <w:pPr>
        <w:ind w:left="1440" w:hanging="360"/>
      </w:pPr>
      <w:rPr>
        <w:rFonts w:ascii="Symbol" w:hAnsi="Symbol"/>
      </w:rPr>
    </w:lvl>
    <w:lvl w:ilvl="1" w:tplc="F8EE5C96">
      <w:start w:val="1"/>
      <w:numFmt w:val="bullet"/>
      <w:lvlText w:val=""/>
      <w:lvlJc w:val="left"/>
      <w:pPr>
        <w:ind w:left="1440" w:hanging="360"/>
      </w:pPr>
      <w:rPr>
        <w:rFonts w:ascii="Symbol" w:hAnsi="Symbol"/>
      </w:rPr>
    </w:lvl>
    <w:lvl w:ilvl="2" w:tplc="65446924">
      <w:start w:val="1"/>
      <w:numFmt w:val="bullet"/>
      <w:lvlText w:val=""/>
      <w:lvlJc w:val="left"/>
      <w:pPr>
        <w:ind w:left="1440" w:hanging="360"/>
      </w:pPr>
      <w:rPr>
        <w:rFonts w:ascii="Symbol" w:hAnsi="Symbol"/>
      </w:rPr>
    </w:lvl>
    <w:lvl w:ilvl="3" w:tplc="12A0E41A">
      <w:start w:val="1"/>
      <w:numFmt w:val="bullet"/>
      <w:lvlText w:val=""/>
      <w:lvlJc w:val="left"/>
      <w:pPr>
        <w:ind w:left="1440" w:hanging="360"/>
      </w:pPr>
      <w:rPr>
        <w:rFonts w:ascii="Symbol" w:hAnsi="Symbol"/>
      </w:rPr>
    </w:lvl>
    <w:lvl w:ilvl="4" w:tplc="6206E298">
      <w:start w:val="1"/>
      <w:numFmt w:val="bullet"/>
      <w:lvlText w:val=""/>
      <w:lvlJc w:val="left"/>
      <w:pPr>
        <w:ind w:left="1440" w:hanging="360"/>
      </w:pPr>
      <w:rPr>
        <w:rFonts w:ascii="Symbol" w:hAnsi="Symbol"/>
      </w:rPr>
    </w:lvl>
    <w:lvl w:ilvl="5" w:tplc="92962D3E">
      <w:start w:val="1"/>
      <w:numFmt w:val="bullet"/>
      <w:lvlText w:val=""/>
      <w:lvlJc w:val="left"/>
      <w:pPr>
        <w:ind w:left="1440" w:hanging="360"/>
      </w:pPr>
      <w:rPr>
        <w:rFonts w:ascii="Symbol" w:hAnsi="Symbol"/>
      </w:rPr>
    </w:lvl>
    <w:lvl w:ilvl="6" w:tplc="F8B4DBBC">
      <w:start w:val="1"/>
      <w:numFmt w:val="bullet"/>
      <w:lvlText w:val=""/>
      <w:lvlJc w:val="left"/>
      <w:pPr>
        <w:ind w:left="1440" w:hanging="360"/>
      </w:pPr>
      <w:rPr>
        <w:rFonts w:ascii="Symbol" w:hAnsi="Symbol"/>
      </w:rPr>
    </w:lvl>
    <w:lvl w:ilvl="7" w:tplc="35F4590C">
      <w:start w:val="1"/>
      <w:numFmt w:val="bullet"/>
      <w:lvlText w:val=""/>
      <w:lvlJc w:val="left"/>
      <w:pPr>
        <w:ind w:left="1440" w:hanging="360"/>
      </w:pPr>
      <w:rPr>
        <w:rFonts w:ascii="Symbol" w:hAnsi="Symbol"/>
      </w:rPr>
    </w:lvl>
    <w:lvl w:ilvl="8" w:tplc="7814291A">
      <w:start w:val="1"/>
      <w:numFmt w:val="bullet"/>
      <w:lvlText w:val=""/>
      <w:lvlJc w:val="left"/>
      <w:pPr>
        <w:ind w:left="1440" w:hanging="360"/>
      </w:pPr>
      <w:rPr>
        <w:rFonts w:ascii="Symbol" w:hAnsi="Symbol"/>
      </w:rPr>
    </w:lvl>
  </w:abstractNum>
  <w:abstractNum w:abstractNumId="23" w15:restartNumberingAfterBreak="0">
    <w:nsid w:val="69860BDD"/>
    <w:multiLevelType w:val="hybridMultilevel"/>
    <w:tmpl w:val="97145A4E"/>
    <w:lvl w:ilvl="0" w:tplc="E52A0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4AA5EC2"/>
    <w:multiLevelType w:val="multilevel"/>
    <w:tmpl w:val="18AA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635277"/>
    <w:multiLevelType w:val="multilevel"/>
    <w:tmpl w:val="5F56EE48"/>
    <w:numStyleLink w:val="SMR"/>
  </w:abstractNum>
  <w:abstractNum w:abstractNumId="27" w15:restartNumberingAfterBreak="0">
    <w:nsid w:val="7CB57D20"/>
    <w:multiLevelType w:val="multilevel"/>
    <w:tmpl w:val="5F56EE48"/>
    <w:numStyleLink w:val="SMR"/>
  </w:abstractNum>
  <w:abstractNum w:abstractNumId="28" w15:restartNumberingAfterBreak="0">
    <w:nsid w:val="7CC974F1"/>
    <w:multiLevelType w:val="hybridMultilevel"/>
    <w:tmpl w:val="30C8E80A"/>
    <w:lvl w:ilvl="0" w:tplc="7ACC774C">
      <w:start w:val="1"/>
      <w:numFmt w:val="bullet"/>
      <w:lvlText w:val=""/>
      <w:lvlJc w:val="left"/>
      <w:pPr>
        <w:ind w:left="1440" w:hanging="360"/>
      </w:pPr>
      <w:rPr>
        <w:rFonts w:ascii="Symbol" w:hAnsi="Symbol"/>
      </w:rPr>
    </w:lvl>
    <w:lvl w:ilvl="1" w:tplc="07686928">
      <w:start w:val="1"/>
      <w:numFmt w:val="bullet"/>
      <w:lvlText w:val=""/>
      <w:lvlJc w:val="left"/>
      <w:pPr>
        <w:ind w:left="1440" w:hanging="360"/>
      </w:pPr>
      <w:rPr>
        <w:rFonts w:ascii="Symbol" w:hAnsi="Symbol"/>
      </w:rPr>
    </w:lvl>
    <w:lvl w:ilvl="2" w:tplc="9A5062E6">
      <w:start w:val="1"/>
      <w:numFmt w:val="bullet"/>
      <w:lvlText w:val=""/>
      <w:lvlJc w:val="left"/>
      <w:pPr>
        <w:ind w:left="1440" w:hanging="360"/>
      </w:pPr>
      <w:rPr>
        <w:rFonts w:ascii="Symbol" w:hAnsi="Symbol"/>
      </w:rPr>
    </w:lvl>
    <w:lvl w:ilvl="3" w:tplc="9ACC27BA">
      <w:start w:val="1"/>
      <w:numFmt w:val="bullet"/>
      <w:lvlText w:val=""/>
      <w:lvlJc w:val="left"/>
      <w:pPr>
        <w:ind w:left="1440" w:hanging="360"/>
      </w:pPr>
      <w:rPr>
        <w:rFonts w:ascii="Symbol" w:hAnsi="Symbol"/>
      </w:rPr>
    </w:lvl>
    <w:lvl w:ilvl="4" w:tplc="527A6BB4">
      <w:start w:val="1"/>
      <w:numFmt w:val="bullet"/>
      <w:lvlText w:val=""/>
      <w:lvlJc w:val="left"/>
      <w:pPr>
        <w:ind w:left="1440" w:hanging="360"/>
      </w:pPr>
      <w:rPr>
        <w:rFonts w:ascii="Symbol" w:hAnsi="Symbol"/>
      </w:rPr>
    </w:lvl>
    <w:lvl w:ilvl="5" w:tplc="66C63F34">
      <w:start w:val="1"/>
      <w:numFmt w:val="bullet"/>
      <w:lvlText w:val=""/>
      <w:lvlJc w:val="left"/>
      <w:pPr>
        <w:ind w:left="1440" w:hanging="360"/>
      </w:pPr>
      <w:rPr>
        <w:rFonts w:ascii="Symbol" w:hAnsi="Symbol"/>
      </w:rPr>
    </w:lvl>
    <w:lvl w:ilvl="6" w:tplc="1A70B5F2">
      <w:start w:val="1"/>
      <w:numFmt w:val="bullet"/>
      <w:lvlText w:val=""/>
      <w:lvlJc w:val="left"/>
      <w:pPr>
        <w:ind w:left="1440" w:hanging="360"/>
      </w:pPr>
      <w:rPr>
        <w:rFonts w:ascii="Symbol" w:hAnsi="Symbol"/>
      </w:rPr>
    </w:lvl>
    <w:lvl w:ilvl="7" w:tplc="857C6344">
      <w:start w:val="1"/>
      <w:numFmt w:val="bullet"/>
      <w:lvlText w:val=""/>
      <w:lvlJc w:val="left"/>
      <w:pPr>
        <w:ind w:left="1440" w:hanging="360"/>
      </w:pPr>
      <w:rPr>
        <w:rFonts w:ascii="Symbol" w:hAnsi="Symbol"/>
      </w:rPr>
    </w:lvl>
    <w:lvl w:ilvl="8" w:tplc="A6BAD5BE">
      <w:start w:val="1"/>
      <w:numFmt w:val="bullet"/>
      <w:lvlText w:val=""/>
      <w:lvlJc w:val="left"/>
      <w:pPr>
        <w:ind w:left="1440" w:hanging="360"/>
      </w:pPr>
      <w:rPr>
        <w:rFonts w:ascii="Symbol" w:hAnsi="Symbol"/>
      </w:rPr>
    </w:lvl>
  </w:abstractNum>
  <w:num w:numId="1" w16cid:durableId="1216239533">
    <w:abstractNumId w:val="13"/>
  </w:num>
  <w:num w:numId="2" w16cid:durableId="657030127">
    <w:abstractNumId w:val="5"/>
  </w:num>
  <w:num w:numId="3" w16cid:durableId="1293364324">
    <w:abstractNumId w:val="0"/>
  </w:num>
  <w:num w:numId="4" w16cid:durableId="1951816892">
    <w:abstractNumId w:val="18"/>
  </w:num>
  <w:num w:numId="5" w16cid:durableId="1551765354">
    <w:abstractNumId w:val="14"/>
  </w:num>
  <w:num w:numId="6" w16cid:durableId="901401575">
    <w:abstractNumId w:val="24"/>
  </w:num>
  <w:num w:numId="7" w16cid:durableId="1672639161">
    <w:abstractNumId w:val="8"/>
  </w:num>
  <w:num w:numId="8" w16cid:durableId="2017534183">
    <w:abstractNumId w:val="27"/>
  </w:num>
  <w:num w:numId="9" w16cid:durableId="2116361758">
    <w:abstractNumId w:val="1"/>
  </w:num>
  <w:num w:numId="10" w16cid:durableId="342518432">
    <w:abstractNumId w:val="26"/>
  </w:num>
  <w:num w:numId="11" w16cid:durableId="704257778">
    <w:abstractNumId w:val="19"/>
  </w:num>
  <w:num w:numId="12" w16cid:durableId="1307272295">
    <w:abstractNumId w:val="19"/>
    <w:lvlOverride w:ilvl="0">
      <w:startOverride w:val="1"/>
    </w:lvlOverride>
  </w:num>
  <w:num w:numId="13" w16cid:durableId="913969887">
    <w:abstractNumId w:val="21"/>
  </w:num>
  <w:num w:numId="14" w16cid:durableId="722410114">
    <w:abstractNumId w:val="21"/>
  </w:num>
  <w:num w:numId="15" w16cid:durableId="299505274">
    <w:abstractNumId w:val="3"/>
  </w:num>
  <w:num w:numId="16" w16cid:durableId="255484455">
    <w:abstractNumId w:val="15"/>
  </w:num>
  <w:num w:numId="17" w16cid:durableId="47383645">
    <w:abstractNumId w:val="10"/>
  </w:num>
  <w:num w:numId="18" w16cid:durableId="1270966816">
    <w:abstractNumId w:val="11"/>
  </w:num>
  <w:num w:numId="19" w16cid:durableId="36011204">
    <w:abstractNumId w:val="16"/>
  </w:num>
  <w:num w:numId="20" w16cid:durableId="1752652686">
    <w:abstractNumId w:val="7"/>
  </w:num>
  <w:num w:numId="21" w16cid:durableId="579756145">
    <w:abstractNumId w:val="22"/>
  </w:num>
  <w:num w:numId="22" w16cid:durableId="524561474">
    <w:abstractNumId w:val="4"/>
  </w:num>
  <w:num w:numId="23" w16cid:durableId="1072388648">
    <w:abstractNumId w:val="12"/>
  </w:num>
  <w:num w:numId="24" w16cid:durableId="1088650789">
    <w:abstractNumId w:val="28"/>
  </w:num>
  <w:num w:numId="25" w16cid:durableId="81802996">
    <w:abstractNumId w:val="6"/>
  </w:num>
  <w:num w:numId="26" w16cid:durableId="202638059">
    <w:abstractNumId w:val="25"/>
  </w:num>
  <w:num w:numId="27" w16cid:durableId="1929608088">
    <w:abstractNumId w:val="17"/>
  </w:num>
  <w:num w:numId="28" w16cid:durableId="1416778513">
    <w:abstractNumId w:val="23"/>
  </w:num>
  <w:num w:numId="29" w16cid:durableId="892277613">
    <w:abstractNumId w:val="2"/>
  </w:num>
  <w:num w:numId="30" w16cid:durableId="463502080">
    <w:abstractNumId w:val="20"/>
  </w:num>
  <w:num w:numId="31" w16cid:durableId="75405873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13167"/>
    <w:rsid w:val="00020E96"/>
    <w:rsid w:val="00021A50"/>
    <w:rsid w:val="00023A4D"/>
    <w:rsid w:val="0002756A"/>
    <w:rsid w:val="00030CB5"/>
    <w:rsid w:val="000320BF"/>
    <w:rsid w:val="000337E7"/>
    <w:rsid w:val="00034668"/>
    <w:rsid w:val="00034D44"/>
    <w:rsid w:val="00037F85"/>
    <w:rsid w:val="00040CD5"/>
    <w:rsid w:val="00044FB9"/>
    <w:rsid w:val="00046D88"/>
    <w:rsid w:val="0005299A"/>
    <w:rsid w:val="00054301"/>
    <w:rsid w:val="00056731"/>
    <w:rsid w:val="00061149"/>
    <w:rsid w:val="00061C65"/>
    <w:rsid w:val="000647B8"/>
    <w:rsid w:val="00067FC2"/>
    <w:rsid w:val="00070BA1"/>
    <w:rsid w:val="00071189"/>
    <w:rsid w:val="00075A53"/>
    <w:rsid w:val="00076454"/>
    <w:rsid w:val="00081785"/>
    <w:rsid w:val="00085C9F"/>
    <w:rsid w:val="00087D3B"/>
    <w:rsid w:val="00091805"/>
    <w:rsid w:val="00091E6C"/>
    <w:rsid w:val="00092E42"/>
    <w:rsid w:val="0009476E"/>
    <w:rsid w:val="00095EA2"/>
    <w:rsid w:val="000971FE"/>
    <w:rsid w:val="000A054D"/>
    <w:rsid w:val="000A0A64"/>
    <w:rsid w:val="000A3905"/>
    <w:rsid w:val="000B23D0"/>
    <w:rsid w:val="000B2AD2"/>
    <w:rsid w:val="000B3B41"/>
    <w:rsid w:val="000C257E"/>
    <w:rsid w:val="000C39CB"/>
    <w:rsid w:val="000C4723"/>
    <w:rsid w:val="000C59A9"/>
    <w:rsid w:val="000C5EA4"/>
    <w:rsid w:val="000C640D"/>
    <w:rsid w:val="000C66C2"/>
    <w:rsid w:val="000C75ED"/>
    <w:rsid w:val="000D0365"/>
    <w:rsid w:val="000D567B"/>
    <w:rsid w:val="000E2F12"/>
    <w:rsid w:val="000E439E"/>
    <w:rsid w:val="000F1CA5"/>
    <w:rsid w:val="000F1E55"/>
    <w:rsid w:val="000F214D"/>
    <w:rsid w:val="000F2B30"/>
    <w:rsid w:val="000F3336"/>
    <w:rsid w:val="000F3806"/>
    <w:rsid w:val="000F391F"/>
    <w:rsid w:val="000F4505"/>
    <w:rsid w:val="001035A9"/>
    <w:rsid w:val="001038B7"/>
    <w:rsid w:val="00110FC2"/>
    <w:rsid w:val="00113022"/>
    <w:rsid w:val="00113719"/>
    <w:rsid w:val="00113FD6"/>
    <w:rsid w:val="001161FE"/>
    <w:rsid w:val="001162BA"/>
    <w:rsid w:val="001164F7"/>
    <w:rsid w:val="001166AF"/>
    <w:rsid w:val="001213EE"/>
    <w:rsid w:val="00122036"/>
    <w:rsid w:val="00127737"/>
    <w:rsid w:val="00131CD1"/>
    <w:rsid w:val="00132366"/>
    <w:rsid w:val="00132957"/>
    <w:rsid w:val="00133E1C"/>
    <w:rsid w:val="00136E09"/>
    <w:rsid w:val="001407E3"/>
    <w:rsid w:val="00140AC2"/>
    <w:rsid w:val="00147F4F"/>
    <w:rsid w:val="001538A6"/>
    <w:rsid w:val="00153C55"/>
    <w:rsid w:val="001562F4"/>
    <w:rsid w:val="0015672E"/>
    <w:rsid w:val="00161250"/>
    <w:rsid w:val="00163640"/>
    <w:rsid w:val="0016719B"/>
    <w:rsid w:val="00171868"/>
    <w:rsid w:val="00172841"/>
    <w:rsid w:val="0017433E"/>
    <w:rsid w:val="00174A8E"/>
    <w:rsid w:val="00181626"/>
    <w:rsid w:val="00182FD5"/>
    <w:rsid w:val="001837B3"/>
    <w:rsid w:val="0019509A"/>
    <w:rsid w:val="001977EB"/>
    <w:rsid w:val="00197F8C"/>
    <w:rsid w:val="001A10D6"/>
    <w:rsid w:val="001A5693"/>
    <w:rsid w:val="001A6B0C"/>
    <w:rsid w:val="001A788B"/>
    <w:rsid w:val="001B2543"/>
    <w:rsid w:val="001B2868"/>
    <w:rsid w:val="001B6D78"/>
    <w:rsid w:val="001C19D2"/>
    <w:rsid w:val="001C2FC1"/>
    <w:rsid w:val="001C4C23"/>
    <w:rsid w:val="001C77DB"/>
    <w:rsid w:val="001C7990"/>
    <w:rsid w:val="001D1D12"/>
    <w:rsid w:val="001D5753"/>
    <w:rsid w:val="001D7E26"/>
    <w:rsid w:val="001E1395"/>
    <w:rsid w:val="001E22EE"/>
    <w:rsid w:val="001E4AB8"/>
    <w:rsid w:val="001E7B52"/>
    <w:rsid w:val="001F01AA"/>
    <w:rsid w:val="001F02E3"/>
    <w:rsid w:val="001F39AA"/>
    <w:rsid w:val="001F4DC3"/>
    <w:rsid w:val="001F6E67"/>
    <w:rsid w:val="00200EB0"/>
    <w:rsid w:val="00201D49"/>
    <w:rsid w:val="00202F31"/>
    <w:rsid w:val="0020304F"/>
    <w:rsid w:val="002043AA"/>
    <w:rsid w:val="00205C5F"/>
    <w:rsid w:val="002060CD"/>
    <w:rsid w:val="00207258"/>
    <w:rsid w:val="00210822"/>
    <w:rsid w:val="00211346"/>
    <w:rsid w:val="00215007"/>
    <w:rsid w:val="00222369"/>
    <w:rsid w:val="0022682E"/>
    <w:rsid w:val="00226920"/>
    <w:rsid w:val="0022709E"/>
    <w:rsid w:val="00230181"/>
    <w:rsid w:val="0023348E"/>
    <w:rsid w:val="00233594"/>
    <w:rsid w:val="00236010"/>
    <w:rsid w:val="00236B26"/>
    <w:rsid w:val="002373B0"/>
    <w:rsid w:val="0025043F"/>
    <w:rsid w:val="00254798"/>
    <w:rsid w:val="00255ECF"/>
    <w:rsid w:val="002567C0"/>
    <w:rsid w:val="002577C3"/>
    <w:rsid w:val="00262AE9"/>
    <w:rsid w:val="00263F8B"/>
    <w:rsid w:val="0026516D"/>
    <w:rsid w:val="0026521C"/>
    <w:rsid w:val="00265418"/>
    <w:rsid w:val="00272D6F"/>
    <w:rsid w:val="00277EAC"/>
    <w:rsid w:val="002800E3"/>
    <w:rsid w:val="002808CA"/>
    <w:rsid w:val="00290A0C"/>
    <w:rsid w:val="002956DC"/>
    <w:rsid w:val="00295895"/>
    <w:rsid w:val="002A0544"/>
    <w:rsid w:val="002A09E4"/>
    <w:rsid w:val="002A3242"/>
    <w:rsid w:val="002B0329"/>
    <w:rsid w:val="002B4651"/>
    <w:rsid w:val="002B6E2E"/>
    <w:rsid w:val="002B75C6"/>
    <w:rsid w:val="002B791F"/>
    <w:rsid w:val="002C0498"/>
    <w:rsid w:val="002C0CA8"/>
    <w:rsid w:val="002C3914"/>
    <w:rsid w:val="002C50BB"/>
    <w:rsid w:val="002C6A63"/>
    <w:rsid w:val="002D1A22"/>
    <w:rsid w:val="002D471B"/>
    <w:rsid w:val="002D7585"/>
    <w:rsid w:val="00300EDF"/>
    <w:rsid w:val="00310C42"/>
    <w:rsid w:val="00317CB1"/>
    <w:rsid w:val="0032021C"/>
    <w:rsid w:val="0032161F"/>
    <w:rsid w:val="003218FC"/>
    <w:rsid w:val="00325044"/>
    <w:rsid w:val="0033465A"/>
    <w:rsid w:val="003346B3"/>
    <w:rsid w:val="0033627D"/>
    <w:rsid w:val="00337E94"/>
    <w:rsid w:val="00340320"/>
    <w:rsid w:val="003446FE"/>
    <w:rsid w:val="00344A97"/>
    <w:rsid w:val="0034739F"/>
    <w:rsid w:val="00351049"/>
    <w:rsid w:val="0035354A"/>
    <w:rsid w:val="003536BA"/>
    <w:rsid w:val="003557CB"/>
    <w:rsid w:val="00357CCE"/>
    <w:rsid w:val="0036355A"/>
    <w:rsid w:val="0036386B"/>
    <w:rsid w:val="00365F11"/>
    <w:rsid w:val="00366031"/>
    <w:rsid w:val="00367A46"/>
    <w:rsid w:val="00371886"/>
    <w:rsid w:val="00372F79"/>
    <w:rsid w:val="00373B38"/>
    <w:rsid w:val="00376CF9"/>
    <w:rsid w:val="00381930"/>
    <w:rsid w:val="00383CE1"/>
    <w:rsid w:val="00383FEC"/>
    <w:rsid w:val="00391397"/>
    <w:rsid w:val="00396E5D"/>
    <w:rsid w:val="00397023"/>
    <w:rsid w:val="003A00A7"/>
    <w:rsid w:val="003A0481"/>
    <w:rsid w:val="003A115E"/>
    <w:rsid w:val="003A12FD"/>
    <w:rsid w:val="003A1E26"/>
    <w:rsid w:val="003A2931"/>
    <w:rsid w:val="003A46F0"/>
    <w:rsid w:val="003A67B2"/>
    <w:rsid w:val="003B1577"/>
    <w:rsid w:val="003B386A"/>
    <w:rsid w:val="003B3DE6"/>
    <w:rsid w:val="003C2ACD"/>
    <w:rsid w:val="003C3477"/>
    <w:rsid w:val="003D09EA"/>
    <w:rsid w:val="003D1A1F"/>
    <w:rsid w:val="003D1C56"/>
    <w:rsid w:val="003D4363"/>
    <w:rsid w:val="003E05FD"/>
    <w:rsid w:val="003E0FF2"/>
    <w:rsid w:val="003E1250"/>
    <w:rsid w:val="003E16F9"/>
    <w:rsid w:val="003E2E78"/>
    <w:rsid w:val="003E523F"/>
    <w:rsid w:val="003E5E0B"/>
    <w:rsid w:val="003E7D42"/>
    <w:rsid w:val="003F04CD"/>
    <w:rsid w:val="003F0A0C"/>
    <w:rsid w:val="003F5C9F"/>
    <w:rsid w:val="00400794"/>
    <w:rsid w:val="004023EA"/>
    <w:rsid w:val="00402460"/>
    <w:rsid w:val="004042B5"/>
    <w:rsid w:val="00404F51"/>
    <w:rsid w:val="004051C6"/>
    <w:rsid w:val="004073D5"/>
    <w:rsid w:val="004152D4"/>
    <w:rsid w:val="00416249"/>
    <w:rsid w:val="004167B4"/>
    <w:rsid w:val="004178F9"/>
    <w:rsid w:val="004230B0"/>
    <w:rsid w:val="00423408"/>
    <w:rsid w:val="004337E5"/>
    <w:rsid w:val="00436E0B"/>
    <w:rsid w:val="00442038"/>
    <w:rsid w:val="004425CF"/>
    <w:rsid w:val="00442EA1"/>
    <w:rsid w:val="00444111"/>
    <w:rsid w:val="0045062C"/>
    <w:rsid w:val="004522C6"/>
    <w:rsid w:val="00455079"/>
    <w:rsid w:val="00463B2D"/>
    <w:rsid w:val="00463D4C"/>
    <w:rsid w:val="004667A1"/>
    <w:rsid w:val="00471C87"/>
    <w:rsid w:val="00473756"/>
    <w:rsid w:val="0047452F"/>
    <w:rsid w:val="00474C55"/>
    <w:rsid w:val="00475D3C"/>
    <w:rsid w:val="00475F28"/>
    <w:rsid w:val="00476444"/>
    <w:rsid w:val="00481D14"/>
    <w:rsid w:val="00484FB2"/>
    <w:rsid w:val="004918C3"/>
    <w:rsid w:val="00491BC0"/>
    <w:rsid w:val="00493977"/>
    <w:rsid w:val="004957C3"/>
    <w:rsid w:val="004A04B1"/>
    <w:rsid w:val="004A1546"/>
    <w:rsid w:val="004A37A9"/>
    <w:rsid w:val="004A3AB5"/>
    <w:rsid w:val="004A597C"/>
    <w:rsid w:val="004A78E6"/>
    <w:rsid w:val="004B0834"/>
    <w:rsid w:val="004B1DBD"/>
    <w:rsid w:val="004B6D6E"/>
    <w:rsid w:val="004C073C"/>
    <w:rsid w:val="004C501F"/>
    <w:rsid w:val="004D376B"/>
    <w:rsid w:val="004D7AE8"/>
    <w:rsid w:val="004E0099"/>
    <w:rsid w:val="004E44BA"/>
    <w:rsid w:val="004E574C"/>
    <w:rsid w:val="004F0599"/>
    <w:rsid w:val="004F42DF"/>
    <w:rsid w:val="004F5E6B"/>
    <w:rsid w:val="004F5F77"/>
    <w:rsid w:val="00502694"/>
    <w:rsid w:val="00503178"/>
    <w:rsid w:val="00503A0E"/>
    <w:rsid w:val="005072F5"/>
    <w:rsid w:val="005100EA"/>
    <w:rsid w:val="005116CA"/>
    <w:rsid w:val="005138D6"/>
    <w:rsid w:val="00514C1E"/>
    <w:rsid w:val="00516B86"/>
    <w:rsid w:val="00520C12"/>
    <w:rsid w:val="00520E0F"/>
    <w:rsid w:val="00525EBB"/>
    <w:rsid w:val="00534CBD"/>
    <w:rsid w:val="00534DCA"/>
    <w:rsid w:val="00535FDE"/>
    <w:rsid w:val="00536B59"/>
    <w:rsid w:val="00536B91"/>
    <w:rsid w:val="00541AD8"/>
    <w:rsid w:val="00543A13"/>
    <w:rsid w:val="005456F7"/>
    <w:rsid w:val="005456FE"/>
    <w:rsid w:val="005457B6"/>
    <w:rsid w:val="00550A15"/>
    <w:rsid w:val="00561916"/>
    <w:rsid w:val="00561F30"/>
    <w:rsid w:val="00565350"/>
    <w:rsid w:val="0056668A"/>
    <w:rsid w:val="0056699C"/>
    <w:rsid w:val="005678EC"/>
    <w:rsid w:val="00567E08"/>
    <w:rsid w:val="00571D2C"/>
    <w:rsid w:val="00572A46"/>
    <w:rsid w:val="00573FBB"/>
    <w:rsid w:val="005765EE"/>
    <w:rsid w:val="005772E2"/>
    <w:rsid w:val="00581B2A"/>
    <w:rsid w:val="0058285E"/>
    <w:rsid w:val="0058381E"/>
    <w:rsid w:val="00584F60"/>
    <w:rsid w:val="00586143"/>
    <w:rsid w:val="005915C5"/>
    <w:rsid w:val="00591ACC"/>
    <w:rsid w:val="00593445"/>
    <w:rsid w:val="005934D1"/>
    <w:rsid w:val="0059566A"/>
    <w:rsid w:val="005963DC"/>
    <w:rsid w:val="0059701B"/>
    <w:rsid w:val="005A1A70"/>
    <w:rsid w:val="005A20E3"/>
    <w:rsid w:val="005A4B7E"/>
    <w:rsid w:val="005B6719"/>
    <w:rsid w:val="005B7DA6"/>
    <w:rsid w:val="005C0DDB"/>
    <w:rsid w:val="005C192D"/>
    <w:rsid w:val="005D3457"/>
    <w:rsid w:val="005D39E0"/>
    <w:rsid w:val="005D7796"/>
    <w:rsid w:val="005E1390"/>
    <w:rsid w:val="005E1D24"/>
    <w:rsid w:val="005E4526"/>
    <w:rsid w:val="005E5DAA"/>
    <w:rsid w:val="005E736C"/>
    <w:rsid w:val="005E74F3"/>
    <w:rsid w:val="005F2C78"/>
    <w:rsid w:val="005F5384"/>
    <w:rsid w:val="005F5E26"/>
    <w:rsid w:val="005F6651"/>
    <w:rsid w:val="005F775D"/>
    <w:rsid w:val="00600AF4"/>
    <w:rsid w:val="00601457"/>
    <w:rsid w:val="006033AE"/>
    <w:rsid w:val="0060503F"/>
    <w:rsid w:val="00610235"/>
    <w:rsid w:val="0061093A"/>
    <w:rsid w:val="006135FD"/>
    <w:rsid w:val="00616FF8"/>
    <w:rsid w:val="0061709A"/>
    <w:rsid w:val="0063067C"/>
    <w:rsid w:val="00631561"/>
    <w:rsid w:val="006362C9"/>
    <w:rsid w:val="00636886"/>
    <w:rsid w:val="00637A58"/>
    <w:rsid w:val="00641ADF"/>
    <w:rsid w:val="00643371"/>
    <w:rsid w:val="006467AD"/>
    <w:rsid w:val="00647FFB"/>
    <w:rsid w:val="00650E85"/>
    <w:rsid w:val="00651138"/>
    <w:rsid w:val="00651DEC"/>
    <w:rsid w:val="0065407F"/>
    <w:rsid w:val="006551F6"/>
    <w:rsid w:val="00660F42"/>
    <w:rsid w:val="00662953"/>
    <w:rsid w:val="00664149"/>
    <w:rsid w:val="006710E7"/>
    <w:rsid w:val="00671331"/>
    <w:rsid w:val="00671FBA"/>
    <w:rsid w:val="0067287E"/>
    <w:rsid w:val="006742E4"/>
    <w:rsid w:val="0067611F"/>
    <w:rsid w:val="00681B0E"/>
    <w:rsid w:val="00682076"/>
    <w:rsid w:val="00683F4C"/>
    <w:rsid w:val="006840A5"/>
    <w:rsid w:val="00684A14"/>
    <w:rsid w:val="00684B6D"/>
    <w:rsid w:val="006870E7"/>
    <w:rsid w:val="006903E5"/>
    <w:rsid w:val="00691F43"/>
    <w:rsid w:val="00692086"/>
    <w:rsid w:val="00694F99"/>
    <w:rsid w:val="006952D4"/>
    <w:rsid w:val="006952D7"/>
    <w:rsid w:val="006A0DD6"/>
    <w:rsid w:val="006A112C"/>
    <w:rsid w:val="006A504B"/>
    <w:rsid w:val="006B33F4"/>
    <w:rsid w:val="006B57C5"/>
    <w:rsid w:val="006B6246"/>
    <w:rsid w:val="006B670D"/>
    <w:rsid w:val="006B6B45"/>
    <w:rsid w:val="006C10B5"/>
    <w:rsid w:val="006C5533"/>
    <w:rsid w:val="006C561B"/>
    <w:rsid w:val="006C5930"/>
    <w:rsid w:val="006C632D"/>
    <w:rsid w:val="006D0A64"/>
    <w:rsid w:val="006D45EE"/>
    <w:rsid w:val="006E0F84"/>
    <w:rsid w:val="006E514C"/>
    <w:rsid w:val="006E5DB6"/>
    <w:rsid w:val="006E6294"/>
    <w:rsid w:val="006F1072"/>
    <w:rsid w:val="006F231A"/>
    <w:rsid w:val="006F2C02"/>
    <w:rsid w:val="006F418C"/>
    <w:rsid w:val="006F6C92"/>
    <w:rsid w:val="006F7B9A"/>
    <w:rsid w:val="006F7CD5"/>
    <w:rsid w:val="00700056"/>
    <w:rsid w:val="007046DC"/>
    <w:rsid w:val="00706192"/>
    <w:rsid w:val="00707BC1"/>
    <w:rsid w:val="007113E0"/>
    <w:rsid w:val="007208AF"/>
    <w:rsid w:val="00725066"/>
    <w:rsid w:val="007308FC"/>
    <w:rsid w:val="0073285A"/>
    <w:rsid w:val="0073673F"/>
    <w:rsid w:val="00737D82"/>
    <w:rsid w:val="0074352A"/>
    <w:rsid w:val="00745845"/>
    <w:rsid w:val="00747A9C"/>
    <w:rsid w:val="00750A4A"/>
    <w:rsid w:val="00750E00"/>
    <w:rsid w:val="00753C1E"/>
    <w:rsid w:val="007629D5"/>
    <w:rsid w:val="00764407"/>
    <w:rsid w:val="00764B5C"/>
    <w:rsid w:val="00765CCA"/>
    <w:rsid w:val="00766EB7"/>
    <w:rsid w:val="0077091D"/>
    <w:rsid w:val="00773463"/>
    <w:rsid w:val="0077372D"/>
    <w:rsid w:val="00776DAB"/>
    <w:rsid w:val="00776DDD"/>
    <w:rsid w:val="00781492"/>
    <w:rsid w:val="007822A4"/>
    <w:rsid w:val="007904C4"/>
    <w:rsid w:val="007971D5"/>
    <w:rsid w:val="007A00E5"/>
    <w:rsid w:val="007A0323"/>
    <w:rsid w:val="007A0EBC"/>
    <w:rsid w:val="007A41BE"/>
    <w:rsid w:val="007A4F9A"/>
    <w:rsid w:val="007B1E8B"/>
    <w:rsid w:val="007B2A03"/>
    <w:rsid w:val="007B2A07"/>
    <w:rsid w:val="007B57F4"/>
    <w:rsid w:val="007B5ACC"/>
    <w:rsid w:val="007C1088"/>
    <w:rsid w:val="007C4539"/>
    <w:rsid w:val="007C5073"/>
    <w:rsid w:val="007C6242"/>
    <w:rsid w:val="007C7579"/>
    <w:rsid w:val="007D05EA"/>
    <w:rsid w:val="007D16CE"/>
    <w:rsid w:val="007D3458"/>
    <w:rsid w:val="007D51E4"/>
    <w:rsid w:val="007D6F95"/>
    <w:rsid w:val="007D7CC5"/>
    <w:rsid w:val="007E3351"/>
    <w:rsid w:val="007E59F5"/>
    <w:rsid w:val="007E791C"/>
    <w:rsid w:val="007F021B"/>
    <w:rsid w:val="007F0DE4"/>
    <w:rsid w:val="007F2D59"/>
    <w:rsid w:val="007F34E5"/>
    <w:rsid w:val="008005BC"/>
    <w:rsid w:val="00803DCE"/>
    <w:rsid w:val="00804A91"/>
    <w:rsid w:val="00806DD9"/>
    <w:rsid w:val="008078F2"/>
    <w:rsid w:val="008079B4"/>
    <w:rsid w:val="00807D61"/>
    <w:rsid w:val="008104B0"/>
    <w:rsid w:val="00810809"/>
    <w:rsid w:val="00815A97"/>
    <w:rsid w:val="00815CA2"/>
    <w:rsid w:val="00816129"/>
    <w:rsid w:val="00817768"/>
    <w:rsid w:val="00821796"/>
    <w:rsid w:val="00825AF8"/>
    <w:rsid w:val="00826747"/>
    <w:rsid w:val="00832896"/>
    <w:rsid w:val="008419DA"/>
    <w:rsid w:val="00844459"/>
    <w:rsid w:val="00852DB3"/>
    <w:rsid w:val="00863175"/>
    <w:rsid w:val="00871C51"/>
    <w:rsid w:val="00871F7C"/>
    <w:rsid w:val="008727EE"/>
    <w:rsid w:val="008751BB"/>
    <w:rsid w:val="00876653"/>
    <w:rsid w:val="00877A88"/>
    <w:rsid w:val="00880E87"/>
    <w:rsid w:val="00887732"/>
    <w:rsid w:val="00890261"/>
    <w:rsid w:val="00890DA5"/>
    <w:rsid w:val="00891C84"/>
    <w:rsid w:val="00897903"/>
    <w:rsid w:val="008A2910"/>
    <w:rsid w:val="008A3667"/>
    <w:rsid w:val="008A6930"/>
    <w:rsid w:val="008A71B1"/>
    <w:rsid w:val="008A72A9"/>
    <w:rsid w:val="008B0031"/>
    <w:rsid w:val="008B03A2"/>
    <w:rsid w:val="008B0566"/>
    <w:rsid w:val="008B45AA"/>
    <w:rsid w:val="008B5627"/>
    <w:rsid w:val="008B60F1"/>
    <w:rsid w:val="008B73A5"/>
    <w:rsid w:val="008B7D8A"/>
    <w:rsid w:val="008C3640"/>
    <w:rsid w:val="008C61C0"/>
    <w:rsid w:val="008D013A"/>
    <w:rsid w:val="008D034E"/>
    <w:rsid w:val="008D3524"/>
    <w:rsid w:val="008D3669"/>
    <w:rsid w:val="008D702F"/>
    <w:rsid w:val="008E0DB9"/>
    <w:rsid w:val="008E0F67"/>
    <w:rsid w:val="008E42FC"/>
    <w:rsid w:val="008E7194"/>
    <w:rsid w:val="008F36F5"/>
    <w:rsid w:val="008F5DE8"/>
    <w:rsid w:val="008F6CBA"/>
    <w:rsid w:val="008F7CC1"/>
    <w:rsid w:val="0090363A"/>
    <w:rsid w:val="00906DE8"/>
    <w:rsid w:val="00907825"/>
    <w:rsid w:val="00910353"/>
    <w:rsid w:val="00911575"/>
    <w:rsid w:val="00912B45"/>
    <w:rsid w:val="00913777"/>
    <w:rsid w:val="00914335"/>
    <w:rsid w:val="00914506"/>
    <w:rsid w:val="00915A1A"/>
    <w:rsid w:val="00923DE0"/>
    <w:rsid w:val="00924639"/>
    <w:rsid w:val="00926FC7"/>
    <w:rsid w:val="009322C8"/>
    <w:rsid w:val="009334DC"/>
    <w:rsid w:val="00933A8B"/>
    <w:rsid w:val="0094296C"/>
    <w:rsid w:val="009446AE"/>
    <w:rsid w:val="00944A5C"/>
    <w:rsid w:val="0095042F"/>
    <w:rsid w:val="0095081C"/>
    <w:rsid w:val="00950CCF"/>
    <w:rsid w:val="0095108C"/>
    <w:rsid w:val="00954256"/>
    <w:rsid w:val="0095741A"/>
    <w:rsid w:val="00957F3F"/>
    <w:rsid w:val="00962086"/>
    <w:rsid w:val="00963901"/>
    <w:rsid w:val="00964A48"/>
    <w:rsid w:val="009701EE"/>
    <w:rsid w:val="00970AA2"/>
    <w:rsid w:val="00972728"/>
    <w:rsid w:val="00987027"/>
    <w:rsid w:val="009955E7"/>
    <w:rsid w:val="00996220"/>
    <w:rsid w:val="00997BC9"/>
    <w:rsid w:val="009A061C"/>
    <w:rsid w:val="009A19E0"/>
    <w:rsid w:val="009A5E4D"/>
    <w:rsid w:val="009B02E3"/>
    <w:rsid w:val="009B38AD"/>
    <w:rsid w:val="009B683E"/>
    <w:rsid w:val="009B7435"/>
    <w:rsid w:val="009B77A5"/>
    <w:rsid w:val="009C0075"/>
    <w:rsid w:val="009C0188"/>
    <w:rsid w:val="009C7C3F"/>
    <w:rsid w:val="009D3241"/>
    <w:rsid w:val="009D711B"/>
    <w:rsid w:val="009E0560"/>
    <w:rsid w:val="009E41C4"/>
    <w:rsid w:val="009E5FF4"/>
    <w:rsid w:val="009E7153"/>
    <w:rsid w:val="009E797B"/>
    <w:rsid w:val="009F2C4B"/>
    <w:rsid w:val="009F2D8D"/>
    <w:rsid w:val="009F2F40"/>
    <w:rsid w:val="009F4C8F"/>
    <w:rsid w:val="009F6104"/>
    <w:rsid w:val="00A007C4"/>
    <w:rsid w:val="00A012A2"/>
    <w:rsid w:val="00A0258B"/>
    <w:rsid w:val="00A034E7"/>
    <w:rsid w:val="00A04E8B"/>
    <w:rsid w:val="00A05766"/>
    <w:rsid w:val="00A05D49"/>
    <w:rsid w:val="00A1290E"/>
    <w:rsid w:val="00A13601"/>
    <w:rsid w:val="00A1461F"/>
    <w:rsid w:val="00A1534E"/>
    <w:rsid w:val="00A15E0E"/>
    <w:rsid w:val="00A249C8"/>
    <w:rsid w:val="00A2500E"/>
    <w:rsid w:val="00A250D2"/>
    <w:rsid w:val="00A35D0E"/>
    <w:rsid w:val="00A36C76"/>
    <w:rsid w:val="00A4061D"/>
    <w:rsid w:val="00A41CF8"/>
    <w:rsid w:val="00A421D0"/>
    <w:rsid w:val="00A43CE2"/>
    <w:rsid w:val="00A53831"/>
    <w:rsid w:val="00A56483"/>
    <w:rsid w:val="00A56BD5"/>
    <w:rsid w:val="00A64AC5"/>
    <w:rsid w:val="00A67D00"/>
    <w:rsid w:val="00A754E2"/>
    <w:rsid w:val="00A77855"/>
    <w:rsid w:val="00A80197"/>
    <w:rsid w:val="00A81510"/>
    <w:rsid w:val="00A8268B"/>
    <w:rsid w:val="00A8380E"/>
    <w:rsid w:val="00A8422C"/>
    <w:rsid w:val="00A91EA7"/>
    <w:rsid w:val="00A91FC0"/>
    <w:rsid w:val="00A93549"/>
    <w:rsid w:val="00AA1F28"/>
    <w:rsid w:val="00AA24A6"/>
    <w:rsid w:val="00AA3D07"/>
    <w:rsid w:val="00AA5344"/>
    <w:rsid w:val="00AA7AC2"/>
    <w:rsid w:val="00AB1726"/>
    <w:rsid w:val="00AB4D8A"/>
    <w:rsid w:val="00AC389A"/>
    <w:rsid w:val="00AC49CE"/>
    <w:rsid w:val="00AD1BF2"/>
    <w:rsid w:val="00AD3862"/>
    <w:rsid w:val="00AD6BB5"/>
    <w:rsid w:val="00AE1584"/>
    <w:rsid w:val="00AE2C75"/>
    <w:rsid w:val="00AE4370"/>
    <w:rsid w:val="00AE63C2"/>
    <w:rsid w:val="00AE7150"/>
    <w:rsid w:val="00AF00C8"/>
    <w:rsid w:val="00AF1820"/>
    <w:rsid w:val="00AF51EB"/>
    <w:rsid w:val="00AF6FC3"/>
    <w:rsid w:val="00B002A4"/>
    <w:rsid w:val="00B0342B"/>
    <w:rsid w:val="00B03E49"/>
    <w:rsid w:val="00B047FE"/>
    <w:rsid w:val="00B05C74"/>
    <w:rsid w:val="00B137AF"/>
    <w:rsid w:val="00B141F3"/>
    <w:rsid w:val="00B1558A"/>
    <w:rsid w:val="00B2129F"/>
    <w:rsid w:val="00B229F4"/>
    <w:rsid w:val="00B2384B"/>
    <w:rsid w:val="00B24F44"/>
    <w:rsid w:val="00B25D78"/>
    <w:rsid w:val="00B3253F"/>
    <w:rsid w:val="00B32664"/>
    <w:rsid w:val="00B337E9"/>
    <w:rsid w:val="00B33DF5"/>
    <w:rsid w:val="00B33F72"/>
    <w:rsid w:val="00B34228"/>
    <w:rsid w:val="00B41A02"/>
    <w:rsid w:val="00B428BA"/>
    <w:rsid w:val="00B42909"/>
    <w:rsid w:val="00B45777"/>
    <w:rsid w:val="00B45908"/>
    <w:rsid w:val="00B461EB"/>
    <w:rsid w:val="00B52505"/>
    <w:rsid w:val="00B52D67"/>
    <w:rsid w:val="00B54BE2"/>
    <w:rsid w:val="00B54C14"/>
    <w:rsid w:val="00B55A71"/>
    <w:rsid w:val="00B6137E"/>
    <w:rsid w:val="00B62CF6"/>
    <w:rsid w:val="00B65263"/>
    <w:rsid w:val="00B65F9C"/>
    <w:rsid w:val="00B6721E"/>
    <w:rsid w:val="00B705E3"/>
    <w:rsid w:val="00B7587D"/>
    <w:rsid w:val="00B75CEF"/>
    <w:rsid w:val="00B80045"/>
    <w:rsid w:val="00B80B10"/>
    <w:rsid w:val="00B84F2B"/>
    <w:rsid w:val="00B854F6"/>
    <w:rsid w:val="00B855DC"/>
    <w:rsid w:val="00B925F4"/>
    <w:rsid w:val="00B94598"/>
    <w:rsid w:val="00B95920"/>
    <w:rsid w:val="00BA1D05"/>
    <w:rsid w:val="00BA319B"/>
    <w:rsid w:val="00BA7693"/>
    <w:rsid w:val="00BB18C7"/>
    <w:rsid w:val="00BB198C"/>
    <w:rsid w:val="00BC1697"/>
    <w:rsid w:val="00BC2490"/>
    <w:rsid w:val="00BC3A09"/>
    <w:rsid w:val="00BC444E"/>
    <w:rsid w:val="00BC499C"/>
    <w:rsid w:val="00BC5D43"/>
    <w:rsid w:val="00BD02EA"/>
    <w:rsid w:val="00BD0A09"/>
    <w:rsid w:val="00BD0A80"/>
    <w:rsid w:val="00BD0AF3"/>
    <w:rsid w:val="00BD401C"/>
    <w:rsid w:val="00BD4C4D"/>
    <w:rsid w:val="00BD6AAB"/>
    <w:rsid w:val="00BD6FA8"/>
    <w:rsid w:val="00BD7CCB"/>
    <w:rsid w:val="00BE0A2C"/>
    <w:rsid w:val="00BE2E0C"/>
    <w:rsid w:val="00BE480B"/>
    <w:rsid w:val="00BE5C2B"/>
    <w:rsid w:val="00BF2698"/>
    <w:rsid w:val="00C019E9"/>
    <w:rsid w:val="00C04BAE"/>
    <w:rsid w:val="00C06A7B"/>
    <w:rsid w:val="00C15080"/>
    <w:rsid w:val="00C157FC"/>
    <w:rsid w:val="00C2401E"/>
    <w:rsid w:val="00C25190"/>
    <w:rsid w:val="00C30C18"/>
    <w:rsid w:val="00C332DD"/>
    <w:rsid w:val="00C33DDB"/>
    <w:rsid w:val="00C35C23"/>
    <w:rsid w:val="00C3789C"/>
    <w:rsid w:val="00C44F32"/>
    <w:rsid w:val="00C45C9D"/>
    <w:rsid w:val="00C4723B"/>
    <w:rsid w:val="00C473DE"/>
    <w:rsid w:val="00C47A85"/>
    <w:rsid w:val="00C52DFE"/>
    <w:rsid w:val="00C52FB2"/>
    <w:rsid w:val="00C531E8"/>
    <w:rsid w:val="00C5386A"/>
    <w:rsid w:val="00C55DC3"/>
    <w:rsid w:val="00C55EBC"/>
    <w:rsid w:val="00C56C4A"/>
    <w:rsid w:val="00C605FC"/>
    <w:rsid w:val="00C62B30"/>
    <w:rsid w:val="00C62F09"/>
    <w:rsid w:val="00C63E36"/>
    <w:rsid w:val="00C651C1"/>
    <w:rsid w:val="00C6564B"/>
    <w:rsid w:val="00C74FB2"/>
    <w:rsid w:val="00C7524D"/>
    <w:rsid w:val="00C77C1C"/>
    <w:rsid w:val="00C8396C"/>
    <w:rsid w:val="00C83CD5"/>
    <w:rsid w:val="00C85DC4"/>
    <w:rsid w:val="00C85F1C"/>
    <w:rsid w:val="00C8663A"/>
    <w:rsid w:val="00C87154"/>
    <w:rsid w:val="00C92AAC"/>
    <w:rsid w:val="00C9490A"/>
    <w:rsid w:val="00C96664"/>
    <w:rsid w:val="00C97C07"/>
    <w:rsid w:val="00CA15A5"/>
    <w:rsid w:val="00CA44E7"/>
    <w:rsid w:val="00CA5383"/>
    <w:rsid w:val="00CB67EF"/>
    <w:rsid w:val="00CB6D00"/>
    <w:rsid w:val="00CC03B0"/>
    <w:rsid w:val="00CC4836"/>
    <w:rsid w:val="00CC520E"/>
    <w:rsid w:val="00CC761C"/>
    <w:rsid w:val="00CD19F4"/>
    <w:rsid w:val="00CD1D7D"/>
    <w:rsid w:val="00CD449A"/>
    <w:rsid w:val="00CD4CCC"/>
    <w:rsid w:val="00CD5ED8"/>
    <w:rsid w:val="00CD69F9"/>
    <w:rsid w:val="00CD7D5B"/>
    <w:rsid w:val="00CE212A"/>
    <w:rsid w:val="00CE4BB0"/>
    <w:rsid w:val="00CE5AAB"/>
    <w:rsid w:val="00CF2C1E"/>
    <w:rsid w:val="00CF35F3"/>
    <w:rsid w:val="00CF79B9"/>
    <w:rsid w:val="00D02A09"/>
    <w:rsid w:val="00D06618"/>
    <w:rsid w:val="00D06CE5"/>
    <w:rsid w:val="00D07641"/>
    <w:rsid w:val="00D0778E"/>
    <w:rsid w:val="00D102FF"/>
    <w:rsid w:val="00D11236"/>
    <w:rsid w:val="00D12A48"/>
    <w:rsid w:val="00D14D71"/>
    <w:rsid w:val="00D1623D"/>
    <w:rsid w:val="00D167A3"/>
    <w:rsid w:val="00D207E9"/>
    <w:rsid w:val="00D22919"/>
    <w:rsid w:val="00D23943"/>
    <w:rsid w:val="00D24FFB"/>
    <w:rsid w:val="00D25300"/>
    <w:rsid w:val="00D30CEF"/>
    <w:rsid w:val="00D316ED"/>
    <w:rsid w:val="00D319A5"/>
    <w:rsid w:val="00D32E8D"/>
    <w:rsid w:val="00D3630B"/>
    <w:rsid w:val="00D368ED"/>
    <w:rsid w:val="00D37028"/>
    <w:rsid w:val="00D509F0"/>
    <w:rsid w:val="00D525DA"/>
    <w:rsid w:val="00D529A9"/>
    <w:rsid w:val="00D5456A"/>
    <w:rsid w:val="00D54C97"/>
    <w:rsid w:val="00D557FB"/>
    <w:rsid w:val="00D6024D"/>
    <w:rsid w:val="00D741EE"/>
    <w:rsid w:val="00D85CBC"/>
    <w:rsid w:val="00D8687A"/>
    <w:rsid w:val="00D874A5"/>
    <w:rsid w:val="00D87C43"/>
    <w:rsid w:val="00D903E3"/>
    <w:rsid w:val="00D920E2"/>
    <w:rsid w:val="00D9598C"/>
    <w:rsid w:val="00D97059"/>
    <w:rsid w:val="00DA4B17"/>
    <w:rsid w:val="00DA5AB9"/>
    <w:rsid w:val="00DA5ED8"/>
    <w:rsid w:val="00DA65FE"/>
    <w:rsid w:val="00DA72CA"/>
    <w:rsid w:val="00DB13CB"/>
    <w:rsid w:val="00DB1D12"/>
    <w:rsid w:val="00DB2EFD"/>
    <w:rsid w:val="00DC2DBB"/>
    <w:rsid w:val="00DD33FA"/>
    <w:rsid w:val="00DD4429"/>
    <w:rsid w:val="00DD5760"/>
    <w:rsid w:val="00DD58BC"/>
    <w:rsid w:val="00DD5E81"/>
    <w:rsid w:val="00DE0488"/>
    <w:rsid w:val="00DE20DD"/>
    <w:rsid w:val="00DE62DB"/>
    <w:rsid w:val="00DE6310"/>
    <w:rsid w:val="00DE6D16"/>
    <w:rsid w:val="00DF0CD4"/>
    <w:rsid w:val="00DF0D26"/>
    <w:rsid w:val="00DF0FD8"/>
    <w:rsid w:val="00DF1485"/>
    <w:rsid w:val="00DF2212"/>
    <w:rsid w:val="00DF600A"/>
    <w:rsid w:val="00DF616F"/>
    <w:rsid w:val="00DF6B73"/>
    <w:rsid w:val="00E000D2"/>
    <w:rsid w:val="00E04277"/>
    <w:rsid w:val="00E052E0"/>
    <w:rsid w:val="00E0706C"/>
    <w:rsid w:val="00E07158"/>
    <w:rsid w:val="00E11E78"/>
    <w:rsid w:val="00E121C5"/>
    <w:rsid w:val="00E143E2"/>
    <w:rsid w:val="00E14994"/>
    <w:rsid w:val="00E259AD"/>
    <w:rsid w:val="00E25C24"/>
    <w:rsid w:val="00E33EEB"/>
    <w:rsid w:val="00E44913"/>
    <w:rsid w:val="00E475D7"/>
    <w:rsid w:val="00E54E02"/>
    <w:rsid w:val="00E55307"/>
    <w:rsid w:val="00E631F9"/>
    <w:rsid w:val="00E63212"/>
    <w:rsid w:val="00E63F60"/>
    <w:rsid w:val="00E643E2"/>
    <w:rsid w:val="00E64652"/>
    <w:rsid w:val="00E67FC9"/>
    <w:rsid w:val="00E74071"/>
    <w:rsid w:val="00E749A0"/>
    <w:rsid w:val="00EA235D"/>
    <w:rsid w:val="00EA5626"/>
    <w:rsid w:val="00EA562E"/>
    <w:rsid w:val="00EA7414"/>
    <w:rsid w:val="00EB122E"/>
    <w:rsid w:val="00EC552E"/>
    <w:rsid w:val="00EC6956"/>
    <w:rsid w:val="00ED25EA"/>
    <w:rsid w:val="00ED29C4"/>
    <w:rsid w:val="00ED498C"/>
    <w:rsid w:val="00EE3B8B"/>
    <w:rsid w:val="00EE46EE"/>
    <w:rsid w:val="00EE4CE7"/>
    <w:rsid w:val="00EE6064"/>
    <w:rsid w:val="00EE6BFC"/>
    <w:rsid w:val="00EE7EC2"/>
    <w:rsid w:val="00EF2ADE"/>
    <w:rsid w:val="00EF54C8"/>
    <w:rsid w:val="00EF56DF"/>
    <w:rsid w:val="00EF5A20"/>
    <w:rsid w:val="00EF68F9"/>
    <w:rsid w:val="00F01CC0"/>
    <w:rsid w:val="00F068DE"/>
    <w:rsid w:val="00F1134F"/>
    <w:rsid w:val="00F12EC8"/>
    <w:rsid w:val="00F14CFF"/>
    <w:rsid w:val="00F16CD7"/>
    <w:rsid w:val="00F17C60"/>
    <w:rsid w:val="00F2228B"/>
    <w:rsid w:val="00F24C3C"/>
    <w:rsid w:val="00F2533B"/>
    <w:rsid w:val="00F25AD2"/>
    <w:rsid w:val="00F25FC2"/>
    <w:rsid w:val="00F2762A"/>
    <w:rsid w:val="00F304EA"/>
    <w:rsid w:val="00F32033"/>
    <w:rsid w:val="00F32B2D"/>
    <w:rsid w:val="00F331F9"/>
    <w:rsid w:val="00F336BE"/>
    <w:rsid w:val="00F3567A"/>
    <w:rsid w:val="00F35C02"/>
    <w:rsid w:val="00F40BCA"/>
    <w:rsid w:val="00F42CAA"/>
    <w:rsid w:val="00F43C05"/>
    <w:rsid w:val="00F503EA"/>
    <w:rsid w:val="00F53D2D"/>
    <w:rsid w:val="00F557D9"/>
    <w:rsid w:val="00F57CDB"/>
    <w:rsid w:val="00F605FA"/>
    <w:rsid w:val="00F60D05"/>
    <w:rsid w:val="00F6121B"/>
    <w:rsid w:val="00F62C22"/>
    <w:rsid w:val="00F63261"/>
    <w:rsid w:val="00F65344"/>
    <w:rsid w:val="00F70335"/>
    <w:rsid w:val="00F7308D"/>
    <w:rsid w:val="00F73A16"/>
    <w:rsid w:val="00F73CC0"/>
    <w:rsid w:val="00F811BE"/>
    <w:rsid w:val="00F81BA3"/>
    <w:rsid w:val="00F85C34"/>
    <w:rsid w:val="00F85C9F"/>
    <w:rsid w:val="00F915C6"/>
    <w:rsid w:val="00F958D2"/>
    <w:rsid w:val="00F970EB"/>
    <w:rsid w:val="00FA0457"/>
    <w:rsid w:val="00FA1635"/>
    <w:rsid w:val="00FA2929"/>
    <w:rsid w:val="00FA2D70"/>
    <w:rsid w:val="00FA4199"/>
    <w:rsid w:val="00FA5AEC"/>
    <w:rsid w:val="00FA71DF"/>
    <w:rsid w:val="00FA72BA"/>
    <w:rsid w:val="00FB1259"/>
    <w:rsid w:val="00FB3488"/>
    <w:rsid w:val="00FB41D5"/>
    <w:rsid w:val="00FB5636"/>
    <w:rsid w:val="00FB7D90"/>
    <w:rsid w:val="00FC0BAD"/>
    <w:rsid w:val="00FC1D01"/>
    <w:rsid w:val="00FC3833"/>
    <w:rsid w:val="00FC516A"/>
    <w:rsid w:val="00FC544A"/>
    <w:rsid w:val="00FC7F27"/>
    <w:rsid w:val="00FD45FF"/>
    <w:rsid w:val="00FD5D16"/>
    <w:rsid w:val="00FD66D2"/>
    <w:rsid w:val="00FE04BB"/>
    <w:rsid w:val="00FE366F"/>
    <w:rsid w:val="00FF17E2"/>
    <w:rsid w:val="00FF20D2"/>
    <w:rsid w:val="00FF4A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9"/>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0E2F12"/>
    <w:pPr>
      <w:keepNext/>
      <w:keepLines/>
      <w:spacing w:before="240" w:after="240" w:line="240" w:lineRule="auto"/>
      <w:jc w:val="both"/>
      <w:outlineLvl w:val="1"/>
    </w:pPr>
    <w:rPr>
      <w:rFonts w:ascii="RR Pioneer" w:eastAsiaTheme="majorEastAsia" w:hAnsi="RR Pioneer" w:cstheme="majorBidi"/>
      <w:b/>
      <w:bCs/>
      <w:noProof/>
      <w:szCs w:val="24"/>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9"/>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0E2F12"/>
    <w:rPr>
      <w:rFonts w:ascii="RR Pioneer" w:eastAsiaTheme="majorEastAsia" w:hAnsi="RR Pioneer" w:cstheme="majorBidi"/>
      <w:b/>
      <w:bCs/>
      <w:noProof/>
      <w:szCs w:val="24"/>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paragraph" w:styleId="Bibliography">
    <w:name w:val="Bibliography"/>
    <w:basedOn w:val="Normal"/>
    <w:next w:val="Normal"/>
    <w:uiPriority w:val="37"/>
    <w:unhideWhenUsed/>
    <w:rsid w:val="00417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609">
      <w:bodyDiv w:val="1"/>
      <w:marLeft w:val="0"/>
      <w:marRight w:val="0"/>
      <w:marTop w:val="0"/>
      <w:marBottom w:val="0"/>
      <w:divBdr>
        <w:top w:val="none" w:sz="0" w:space="0" w:color="auto"/>
        <w:left w:val="none" w:sz="0" w:space="0" w:color="auto"/>
        <w:bottom w:val="none" w:sz="0" w:space="0" w:color="auto"/>
        <w:right w:val="none" w:sz="0" w:space="0" w:color="auto"/>
      </w:divBdr>
    </w:div>
    <w:div w:id="41490393">
      <w:bodyDiv w:val="1"/>
      <w:marLeft w:val="0"/>
      <w:marRight w:val="0"/>
      <w:marTop w:val="0"/>
      <w:marBottom w:val="0"/>
      <w:divBdr>
        <w:top w:val="none" w:sz="0" w:space="0" w:color="auto"/>
        <w:left w:val="none" w:sz="0" w:space="0" w:color="auto"/>
        <w:bottom w:val="none" w:sz="0" w:space="0" w:color="auto"/>
        <w:right w:val="none" w:sz="0" w:space="0" w:color="auto"/>
      </w:divBdr>
    </w:div>
    <w:div w:id="59788174">
      <w:bodyDiv w:val="1"/>
      <w:marLeft w:val="0"/>
      <w:marRight w:val="0"/>
      <w:marTop w:val="0"/>
      <w:marBottom w:val="0"/>
      <w:divBdr>
        <w:top w:val="none" w:sz="0" w:space="0" w:color="auto"/>
        <w:left w:val="none" w:sz="0" w:space="0" w:color="auto"/>
        <w:bottom w:val="none" w:sz="0" w:space="0" w:color="auto"/>
        <w:right w:val="none" w:sz="0" w:space="0" w:color="auto"/>
      </w:divBdr>
    </w:div>
    <w:div w:id="236748040">
      <w:bodyDiv w:val="1"/>
      <w:marLeft w:val="0"/>
      <w:marRight w:val="0"/>
      <w:marTop w:val="0"/>
      <w:marBottom w:val="0"/>
      <w:divBdr>
        <w:top w:val="none" w:sz="0" w:space="0" w:color="auto"/>
        <w:left w:val="none" w:sz="0" w:space="0" w:color="auto"/>
        <w:bottom w:val="none" w:sz="0" w:space="0" w:color="auto"/>
        <w:right w:val="none" w:sz="0" w:space="0" w:color="auto"/>
      </w:divBdr>
    </w:div>
    <w:div w:id="319579763">
      <w:bodyDiv w:val="1"/>
      <w:marLeft w:val="0"/>
      <w:marRight w:val="0"/>
      <w:marTop w:val="0"/>
      <w:marBottom w:val="0"/>
      <w:divBdr>
        <w:top w:val="none" w:sz="0" w:space="0" w:color="auto"/>
        <w:left w:val="none" w:sz="0" w:space="0" w:color="auto"/>
        <w:bottom w:val="none" w:sz="0" w:space="0" w:color="auto"/>
        <w:right w:val="none" w:sz="0" w:space="0" w:color="auto"/>
      </w:divBdr>
    </w:div>
    <w:div w:id="358170026">
      <w:bodyDiv w:val="1"/>
      <w:marLeft w:val="0"/>
      <w:marRight w:val="0"/>
      <w:marTop w:val="0"/>
      <w:marBottom w:val="0"/>
      <w:divBdr>
        <w:top w:val="none" w:sz="0" w:space="0" w:color="auto"/>
        <w:left w:val="none" w:sz="0" w:space="0" w:color="auto"/>
        <w:bottom w:val="none" w:sz="0" w:space="0" w:color="auto"/>
        <w:right w:val="none" w:sz="0" w:space="0" w:color="auto"/>
      </w:divBdr>
    </w:div>
    <w:div w:id="384139012">
      <w:bodyDiv w:val="1"/>
      <w:marLeft w:val="0"/>
      <w:marRight w:val="0"/>
      <w:marTop w:val="0"/>
      <w:marBottom w:val="0"/>
      <w:divBdr>
        <w:top w:val="none" w:sz="0" w:space="0" w:color="auto"/>
        <w:left w:val="none" w:sz="0" w:space="0" w:color="auto"/>
        <w:bottom w:val="none" w:sz="0" w:space="0" w:color="auto"/>
        <w:right w:val="none" w:sz="0" w:space="0" w:color="auto"/>
      </w:divBdr>
    </w:div>
    <w:div w:id="394204411">
      <w:bodyDiv w:val="1"/>
      <w:marLeft w:val="0"/>
      <w:marRight w:val="0"/>
      <w:marTop w:val="0"/>
      <w:marBottom w:val="0"/>
      <w:divBdr>
        <w:top w:val="none" w:sz="0" w:space="0" w:color="auto"/>
        <w:left w:val="none" w:sz="0" w:space="0" w:color="auto"/>
        <w:bottom w:val="none" w:sz="0" w:space="0" w:color="auto"/>
        <w:right w:val="none" w:sz="0" w:space="0" w:color="auto"/>
      </w:divBdr>
    </w:div>
    <w:div w:id="413010812">
      <w:bodyDiv w:val="1"/>
      <w:marLeft w:val="0"/>
      <w:marRight w:val="0"/>
      <w:marTop w:val="0"/>
      <w:marBottom w:val="0"/>
      <w:divBdr>
        <w:top w:val="none" w:sz="0" w:space="0" w:color="auto"/>
        <w:left w:val="none" w:sz="0" w:space="0" w:color="auto"/>
        <w:bottom w:val="none" w:sz="0" w:space="0" w:color="auto"/>
        <w:right w:val="none" w:sz="0" w:space="0" w:color="auto"/>
      </w:divBdr>
    </w:div>
    <w:div w:id="434523980">
      <w:bodyDiv w:val="1"/>
      <w:marLeft w:val="0"/>
      <w:marRight w:val="0"/>
      <w:marTop w:val="0"/>
      <w:marBottom w:val="0"/>
      <w:divBdr>
        <w:top w:val="none" w:sz="0" w:space="0" w:color="auto"/>
        <w:left w:val="none" w:sz="0" w:space="0" w:color="auto"/>
        <w:bottom w:val="none" w:sz="0" w:space="0" w:color="auto"/>
        <w:right w:val="none" w:sz="0" w:space="0" w:color="auto"/>
      </w:divBdr>
    </w:div>
    <w:div w:id="437063068">
      <w:bodyDiv w:val="1"/>
      <w:marLeft w:val="0"/>
      <w:marRight w:val="0"/>
      <w:marTop w:val="0"/>
      <w:marBottom w:val="0"/>
      <w:divBdr>
        <w:top w:val="none" w:sz="0" w:space="0" w:color="auto"/>
        <w:left w:val="none" w:sz="0" w:space="0" w:color="auto"/>
        <w:bottom w:val="none" w:sz="0" w:space="0" w:color="auto"/>
        <w:right w:val="none" w:sz="0" w:space="0" w:color="auto"/>
      </w:divBdr>
    </w:div>
    <w:div w:id="438256104">
      <w:bodyDiv w:val="1"/>
      <w:marLeft w:val="0"/>
      <w:marRight w:val="0"/>
      <w:marTop w:val="0"/>
      <w:marBottom w:val="0"/>
      <w:divBdr>
        <w:top w:val="none" w:sz="0" w:space="0" w:color="auto"/>
        <w:left w:val="none" w:sz="0" w:space="0" w:color="auto"/>
        <w:bottom w:val="none" w:sz="0" w:space="0" w:color="auto"/>
        <w:right w:val="none" w:sz="0" w:space="0" w:color="auto"/>
      </w:divBdr>
    </w:div>
    <w:div w:id="486362689">
      <w:bodyDiv w:val="1"/>
      <w:marLeft w:val="0"/>
      <w:marRight w:val="0"/>
      <w:marTop w:val="0"/>
      <w:marBottom w:val="0"/>
      <w:divBdr>
        <w:top w:val="none" w:sz="0" w:space="0" w:color="auto"/>
        <w:left w:val="none" w:sz="0" w:space="0" w:color="auto"/>
        <w:bottom w:val="none" w:sz="0" w:space="0" w:color="auto"/>
        <w:right w:val="none" w:sz="0" w:space="0" w:color="auto"/>
      </w:divBdr>
    </w:div>
    <w:div w:id="504832055">
      <w:bodyDiv w:val="1"/>
      <w:marLeft w:val="0"/>
      <w:marRight w:val="0"/>
      <w:marTop w:val="0"/>
      <w:marBottom w:val="0"/>
      <w:divBdr>
        <w:top w:val="none" w:sz="0" w:space="0" w:color="auto"/>
        <w:left w:val="none" w:sz="0" w:space="0" w:color="auto"/>
        <w:bottom w:val="none" w:sz="0" w:space="0" w:color="auto"/>
        <w:right w:val="none" w:sz="0" w:space="0" w:color="auto"/>
      </w:divBdr>
    </w:div>
    <w:div w:id="533466326">
      <w:bodyDiv w:val="1"/>
      <w:marLeft w:val="0"/>
      <w:marRight w:val="0"/>
      <w:marTop w:val="0"/>
      <w:marBottom w:val="0"/>
      <w:divBdr>
        <w:top w:val="none" w:sz="0" w:space="0" w:color="auto"/>
        <w:left w:val="none" w:sz="0" w:space="0" w:color="auto"/>
        <w:bottom w:val="none" w:sz="0" w:space="0" w:color="auto"/>
        <w:right w:val="none" w:sz="0" w:space="0" w:color="auto"/>
      </w:divBdr>
    </w:div>
    <w:div w:id="569384301">
      <w:bodyDiv w:val="1"/>
      <w:marLeft w:val="0"/>
      <w:marRight w:val="0"/>
      <w:marTop w:val="0"/>
      <w:marBottom w:val="0"/>
      <w:divBdr>
        <w:top w:val="none" w:sz="0" w:space="0" w:color="auto"/>
        <w:left w:val="none" w:sz="0" w:space="0" w:color="auto"/>
        <w:bottom w:val="none" w:sz="0" w:space="0" w:color="auto"/>
        <w:right w:val="none" w:sz="0" w:space="0" w:color="auto"/>
      </w:divBdr>
    </w:div>
    <w:div w:id="643241282">
      <w:bodyDiv w:val="1"/>
      <w:marLeft w:val="0"/>
      <w:marRight w:val="0"/>
      <w:marTop w:val="0"/>
      <w:marBottom w:val="0"/>
      <w:divBdr>
        <w:top w:val="none" w:sz="0" w:space="0" w:color="auto"/>
        <w:left w:val="none" w:sz="0" w:space="0" w:color="auto"/>
        <w:bottom w:val="none" w:sz="0" w:space="0" w:color="auto"/>
        <w:right w:val="none" w:sz="0" w:space="0" w:color="auto"/>
      </w:divBdr>
    </w:div>
    <w:div w:id="727648549">
      <w:bodyDiv w:val="1"/>
      <w:marLeft w:val="0"/>
      <w:marRight w:val="0"/>
      <w:marTop w:val="0"/>
      <w:marBottom w:val="0"/>
      <w:divBdr>
        <w:top w:val="none" w:sz="0" w:space="0" w:color="auto"/>
        <w:left w:val="none" w:sz="0" w:space="0" w:color="auto"/>
        <w:bottom w:val="none" w:sz="0" w:space="0" w:color="auto"/>
        <w:right w:val="none" w:sz="0" w:space="0" w:color="auto"/>
      </w:divBdr>
    </w:div>
    <w:div w:id="762458721">
      <w:bodyDiv w:val="1"/>
      <w:marLeft w:val="0"/>
      <w:marRight w:val="0"/>
      <w:marTop w:val="0"/>
      <w:marBottom w:val="0"/>
      <w:divBdr>
        <w:top w:val="none" w:sz="0" w:space="0" w:color="auto"/>
        <w:left w:val="none" w:sz="0" w:space="0" w:color="auto"/>
        <w:bottom w:val="none" w:sz="0" w:space="0" w:color="auto"/>
        <w:right w:val="none" w:sz="0" w:space="0" w:color="auto"/>
      </w:divBdr>
    </w:div>
    <w:div w:id="765006416">
      <w:bodyDiv w:val="1"/>
      <w:marLeft w:val="0"/>
      <w:marRight w:val="0"/>
      <w:marTop w:val="0"/>
      <w:marBottom w:val="0"/>
      <w:divBdr>
        <w:top w:val="none" w:sz="0" w:space="0" w:color="auto"/>
        <w:left w:val="none" w:sz="0" w:space="0" w:color="auto"/>
        <w:bottom w:val="none" w:sz="0" w:space="0" w:color="auto"/>
        <w:right w:val="none" w:sz="0" w:space="0" w:color="auto"/>
      </w:divBdr>
    </w:div>
    <w:div w:id="832796729">
      <w:bodyDiv w:val="1"/>
      <w:marLeft w:val="0"/>
      <w:marRight w:val="0"/>
      <w:marTop w:val="0"/>
      <w:marBottom w:val="0"/>
      <w:divBdr>
        <w:top w:val="none" w:sz="0" w:space="0" w:color="auto"/>
        <w:left w:val="none" w:sz="0" w:space="0" w:color="auto"/>
        <w:bottom w:val="none" w:sz="0" w:space="0" w:color="auto"/>
        <w:right w:val="none" w:sz="0" w:space="0" w:color="auto"/>
      </w:divBdr>
    </w:div>
    <w:div w:id="841748127">
      <w:bodyDiv w:val="1"/>
      <w:marLeft w:val="0"/>
      <w:marRight w:val="0"/>
      <w:marTop w:val="0"/>
      <w:marBottom w:val="0"/>
      <w:divBdr>
        <w:top w:val="none" w:sz="0" w:space="0" w:color="auto"/>
        <w:left w:val="none" w:sz="0" w:space="0" w:color="auto"/>
        <w:bottom w:val="none" w:sz="0" w:space="0" w:color="auto"/>
        <w:right w:val="none" w:sz="0" w:space="0" w:color="auto"/>
      </w:divBdr>
    </w:div>
    <w:div w:id="880704569">
      <w:bodyDiv w:val="1"/>
      <w:marLeft w:val="0"/>
      <w:marRight w:val="0"/>
      <w:marTop w:val="0"/>
      <w:marBottom w:val="0"/>
      <w:divBdr>
        <w:top w:val="none" w:sz="0" w:space="0" w:color="auto"/>
        <w:left w:val="none" w:sz="0" w:space="0" w:color="auto"/>
        <w:bottom w:val="none" w:sz="0" w:space="0" w:color="auto"/>
        <w:right w:val="none" w:sz="0" w:space="0" w:color="auto"/>
      </w:divBdr>
    </w:div>
    <w:div w:id="900677756">
      <w:bodyDiv w:val="1"/>
      <w:marLeft w:val="0"/>
      <w:marRight w:val="0"/>
      <w:marTop w:val="0"/>
      <w:marBottom w:val="0"/>
      <w:divBdr>
        <w:top w:val="none" w:sz="0" w:space="0" w:color="auto"/>
        <w:left w:val="none" w:sz="0" w:space="0" w:color="auto"/>
        <w:bottom w:val="none" w:sz="0" w:space="0" w:color="auto"/>
        <w:right w:val="none" w:sz="0" w:space="0" w:color="auto"/>
      </w:divBdr>
    </w:div>
    <w:div w:id="925455496">
      <w:bodyDiv w:val="1"/>
      <w:marLeft w:val="0"/>
      <w:marRight w:val="0"/>
      <w:marTop w:val="0"/>
      <w:marBottom w:val="0"/>
      <w:divBdr>
        <w:top w:val="none" w:sz="0" w:space="0" w:color="auto"/>
        <w:left w:val="none" w:sz="0" w:space="0" w:color="auto"/>
        <w:bottom w:val="none" w:sz="0" w:space="0" w:color="auto"/>
        <w:right w:val="none" w:sz="0" w:space="0" w:color="auto"/>
      </w:divBdr>
    </w:div>
    <w:div w:id="1016540961">
      <w:bodyDiv w:val="1"/>
      <w:marLeft w:val="0"/>
      <w:marRight w:val="0"/>
      <w:marTop w:val="0"/>
      <w:marBottom w:val="0"/>
      <w:divBdr>
        <w:top w:val="none" w:sz="0" w:space="0" w:color="auto"/>
        <w:left w:val="none" w:sz="0" w:space="0" w:color="auto"/>
        <w:bottom w:val="none" w:sz="0" w:space="0" w:color="auto"/>
        <w:right w:val="none" w:sz="0" w:space="0" w:color="auto"/>
      </w:divBdr>
    </w:div>
    <w:div w:id="1058475076">
      <w:bodyDiv w:val="1"/>
      <w:marLeft w:val="0"/>
      <w:marRight w:val="0"/>
      <w:marTop w:val="0"/>
      <w:marBottom w:val="0"/>
      <w:divBdr>
        <w:top w:val="none" w:sz="0" w:space="0" w:color="auto"/>
        <w:left w:val="none" w:sz="0" w:space="0" w:color="auto"/>
        <w:bottom w:val="none" w:sz="0" w:space="0" w:color="auto"/>
        <w:right w:val="none" w:sz="0" w:space="0" w:color="auto"/>
      </w:divBdr>
    </w:div>
    <w:div w:id="1123310063">
      <w:bodyDiv w:val="1"/>
      <w:marLeft w:val="0"/>
      <w:marRight w:val="0"/>
      <w:marTop w:val="0"/>
      <w:marBottom w:val="0"/>
      <w:divBdr>
        <w:top w:val="none" w:sz="0" w:space="0" w:color="auto"/>
        <w:left w:val="none" w:sz="0" w:space="0" w:color="auto"/>
        <w:bottom w:val="none" w:sz="0" w:space="0" w:color="auto"/>
        <w:right w:val="none" w:sz="0" w:space="0" w:color="auto"/>
      </w:divBdr>
    </w:div>
    <w:div w:id="1160197097">
      <w:bodyDiv w:val="1"/>
      <w:marLeft w:val="0"/>
      <w:marRight w:val="0"/>
      <w:marTop w:val="0"/>
      <w:marBottom w:val="0"/>
      <w:divBdr>
        <w:top w:val="none" w:sz="0" w:space="0" w:color="auto"/>
        <w:left w:val="none" w:sz="0" w:space="0" w:color="auto"/>
        <w:bottom w:val="none" w:sz="0" w:space="0" w:color="auto"/>
        <w:right w:val="none" w:sz="0" w:space="0" w:color="auto"/>
      </w:divBdr>
    </w:div>
    <w:div w:id="1178348927">
      <w:bodyDiv w:val="1"/>
      <w:marLeft w:val="0"/>
      <w:marRight w:val="0"/>
      <w:marTop w:val="0"/>
      <w:marBottom w:val="0"/>
      <w:divBdr>
        <w:top w:val="none" w:sz="0" w:space="0" w:color="auto"/>
        <w:left w:val="none" w:sz="0" w:space="0" w:color="auto"/>
        <w:bottom w:val="none" w:sz="0" w:space="0" w:color="auto"/>
        <w:right w:val="none" w:sz="0" w:space="0" w:color="auto"/>
      </w:divBdr>
    </w:div>
    <w:div w:id="1226263222">
      <w:bodyDiv w:val="1"/>
      <w:marLeft w:val="0"/>
      <w:marRight w:val="0"/>
      <w:marTop w:val="0"/>
      <w:marBottom w:val="0"/>
      <w:divBdr>
        <w:top w:val="none" w:sz="0" w:space="0" w:color="auto"/>
        <w:left w:val="none" w:sz="0" w:space="0" w:color="auto"/>
        <w:bottom w:val="none" w:sz="0" w:space="0" w:color="auto"/>
        <w:right w:val="none" w:sz="0" w:space="0" w:color="auto"/>
      </w:divBdr>
    </w:div>
    <w:div w:id="1367175109">
      <w:bodyDiv w:val="1"/>
      <w:marLeft w:val="0"/>
      <w:marRight w:val="0"/>
      <w:marTop w:val="0"/>
      <w:marBottom w:val="0"/>
      <w:divBdr>
        <w:top w:val="none" w:sz="0" w:space="0" w:color="auto"/>
        <w:left w:val="none" w:sz="0" w:space="0" w:color="auto"/>
        <w:bottom w:val="none" w:sz="0" w:space="0" w:color="auto"/>
        <w:right w:val="none" w:sz="0" w:space="0" w:color="auto"/>
      </w:divBdr>
    </w:div>
    <w:div w:id="1369834827">
      <w:bodyDiv w:val="1"/>
      <w:marLeft w:val="0"/>
      <w:marRight w:val="0"/>
      <w:marTop w:val="0"/>
      <w:marBottom w:val="0"/>
      <w:divBdr>
        <w:top w:val="none" w:sz="0" w:space="0" w:color="auto"/>
        <w:left w:val="none" w:sz="0" w:space="0" w:color="auto"/>
        <w:bottom w:val="none" w:sz="0" w:space="0" w:color="auto"/>
        <w:right w:val="none" w:sz="0" w:space="0" w:color="auto"/>
      </w:divBdr>
    </w:div>
    <w:div w:id="1382704496">
      <w:bodyDiv w:val="1"/>
      <w:marLeft w:val="0"/>
      <w:marRight w:val="0"/>
      <w:marTop w:val="0"/>
      <w:marBottom w:val="0"/>
      <w:divBdr>
        <w:top w:val="none" w:sz="0" w:space="0" w:color="auto"/>
        <w:left w:val="none" w:sz="0" w:space="0" w:color="auto"/>
        <w:bottom w:val="none" w:sz="0" w:space="0" w:color="auto"/>
        <w:right w:val="none" w:sz="0" w:space="0" w:color="auto"/>
      </w:divBdr>
    </w:div>
    <w:div w:id="1414087127">
      <w:bodyDiv w:val="1"/>
      <w:marLeft w:val="0"/>
      <w:marRight w:val="0"/>
      <w:marTop w:val="0"/>
      <w:marBottom w:val="0"/>
      <w:divBdr>
        <w:top w:val="none" w:sz="0" w:space="0" w:color="auto"/>
        <w:left w:val="none" w:sz="0" w:space="0" w:color="auto"/>
        <w:bottom w:val="none" w:sz="0" w:space="0" w:color="auto"/>
        <w:right w:val="none" w:sz="0" w:space="0" w:color="auto"/>
      </w:divBdr>
    </w:div>
    <w:div w:id="1416126562">
      <w:bodyDiv w:val="1"/>
      <w:marLeft w:val="0"/>
      <w:marRight w:val="0"/>
      <w:marTop w:val="0"/>
      <w:marBottom w:val="0"/>
      <w:divBdr>
        <w:top w:val="none" w:sz="0" w:space="0" w:color="auto"/>
        <w:left w:val="none" w:sz="0" w:space="0" w:color="auto"/>
        <w:bottom w:val="none" w:sz="0" w:space="0" w:color="auto"/>
        <w:right w:val="none" w:sz="0" w:space="0" w:color="auto"/>
      </w:divBdr>
    </w:div>
    <w:div w:id="1453405463">
      <w:bodyDiv w:val="1"/>
      <w:marLeft w:val="0"/>
      <w:marRight w:val="0"/>
      <w:marTop w:val="0"/>
      <w:marBottom w:val="0"/>
      <w:divBdr>
        <w:top w:val="none" w:sz="0" w:space="0" w:color="auto"/>
        <w:left w:val="none" w:sz="0" w:space="0" w:color="auto"/>
        <w:bottom w:val="none" w:sz="0" w:space="0" w:color="auto"/>
        <w:right w:val="none" w:sz="0" w:space="0" w:color="auto"/>
      </w:divBdr>
    </w:div>
    <w:div w:id="1454444895">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602452788">
      <w:bodyDiv w:val="1"/>
      <w:marLeft w:val="0"/>
      <w:marRight w:val="0"/>
      <w:marTop w:val="0"/>
      <w:marBottom w:val="0"/>
      <w:divBdr>
        <w:top w:val="none" w:sz="0" w:space="0" w:color="auto"/>
        <w:left w:val="none" w:sz="0" w:space="0" w:color="auto"/>
        <w:bottom w:val="none" w:sz="0" w:space="0" w:color="auto"/>
        <w:right w:val="none" w:sz="0" w:space="0" w:color="auto"/>
      </w:divBdr>
    </w:div>
    <w:div w:id="1611011978">
      <w:bodyDiv w:val="1"/>
      <w:marLeft w:val="0"/>
      <w:marRight w:val="0"/>
      <w:marTop w:val="0"/>
      <w:marBottom w:val="0"/>
      <w:divBdr>
        <w:top w:val="none" w:sz="0" w:space="0" w:color="auto"/>
        <w:left w:val="none" w:sz="0" w:space="0" w:color="auto"/>
        <w:bottom w:val="none" w:sz="0" w:space="0" w:color="auto"/>
        <w:right w:val="none" w:sz="0" w:space="0" w:color="auto"/>
      </w:divBdr>
    </w:div>
    <w:div w:id="1780098381">
      <w:bodyDiv w:val="1"/>
      <w:marLeft w:val="0"/>
      <w:marRight w:val="0"/>
      <w:marTop w:val="0"/>
      <w:marBottom w:val="0"/>
      <w:divBdr>
        <w:top w:val="none" w:sz="0" w:space="0" w:color="auto"/>
        <w:left w:val="none" w:sz="0" w:space="0" w:color="auto"/>
        <w:bottom w:val="none" w:sz="0" w:space="0" w:color="auto"/>
        <w:right w:val="none" w:sz="0" w:space="0" w:color="auto"/>
      </w:divBdr>
    </w:div>
    <w:div w:id="1810054389">
      <w:bodyDiv w:val="1"/>
      <w:marLeft w:val="0"/>
      <w:marRight w:val="0"/>
      <w:marTop w:val="0"/>
      <w:marBottom w:val="0"/>
      <w:divBdr>
        <w:top w:val="none" w:sz="0" w:space="0" w:color="auto"/>
        <w:left w:val="none" w:sz="0" w:space="0" w:color="auto"/>
        <w:bottom w:val="none" w:sz="0" w:space="0" w:color="auto"/>
        <w:right w:val="none" w:sz="0" w:space="0" w:color="auto"/>
      </w:divBdr>
    </w:div>
    <w:div w:id="1971393725">
      <w:bodyDiv w:val="1"/>
      <w:marLeft w:val="0"/>
      <w:marRight w:val="0"/>
      <w:marTop w:val="0"/>
      <w:marBottom w:val="0"/>
      <w:divBdr>
        <w:top w:val="none" w:sz="0" w:space="0" w:color="auto"/>
        <w:left w:val="none" w:sz="0" w:space="0" w:color="auto"/>
        <w:bottom w:val="none" w:sz="0" w:space="0" w:color="auto"/>
        <w:right w:val="none" w:sz="0" w:space="0" w:color="auto"/>
      </w:divBdr>
    </w:div>
    <w:div w:id="1971742473">
      <w:bodyDiv w:val="1"/>
      <w:marLeft w:val="0"/>
      <w:marRight w:val="0"/>
      <w:marTop w:val="0"/>
      <w:marBottom w:val="0"/>
      <w:divBdr>
        <w:top w:val="none" w:sz="0" w:space="0" w:color="auto"/>
        <w:left w:val="none" w:sz="0" w:space="0" w:color="auto"/>
        <w:bottom w:val="none" w:sz="0" w:space="0" w:color="auto"/>
        <w:right w:val="none" w:sz="0" w:space="0" w:color="auto"/>
      </w:divBdr>
    </w:div>
    <w:div w:id="1984654785">
      <w:bodyDiv w:val="1"/>
      <w:marLeft w:val="0"/>
      <w:marRight w:val="0"/>
      <w:marTop w:val="0"/>
      <w:marBottom w:val="0"/>
      <w:divBdr>
        <w:top w:val="none" w:sz="0" w:space="0" w:color="auto"/>
        <w:left w:val="none" w:sz="0" w:space="0" w:color="auto"/>
        <w:bottom w:val="none" w:sz="0" w:space="0" w:color="auto"/>
        <w:right w:val="none" w:sz="0" w:space="0" w:color="auto"/>
      </w:divBdr>
    </w:div>
    <w:div w:id="1995982574">
      <w:bodyDiv w:val="1"/>
      <w:marLeft w:val="0"/>
      <w:marRight w:val="0"/>
      <w:marTop w:val="0"/>
      <w:marBottom w:val="0"/>
      <w:divBdr>
        <w:top w:val="none" w:sz="0" w:space="0" w:color="auto"/>
        <w:left w:val="none" w:sz="0" w:space="0" w:color="auto"/>
        <w:bottom w:val="none" w:sz="0" w:space="0" w:color="auto"/>
        <w:right w:val="none" w:sz="0" w:space="0" w:color="auto"/>
      </w:divBdr>
    </w:div>
    <w:div w:id="2025860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RRS251</b:Tag>
    <b:SourceType>Report</b:SourceType>
    <b:Guid>{C909E8FE-D339-4CAA-81BD-F91EE9903F32}</b:Guid>
    <b:Author>
      <b:Author>
        <b:Corporate>RR SMR</b:Corporate>
      </b:Author>
    </b:Author>
    <b:Title>SMR0005919, Issue 3, Maintenance Dose Assessment</b:Title>
    <b:Year>March 2026</b:Year>
    <b:RefOrder>2</b:RefOrder>
  </b:Source>
  <b:Source>
    <b:Tag>RRS262</b:Tag>
    <b:SourceType>Report</b:SourceType>
    <b:Guid>{CDBEBA44-E021-4FF8-A430-F2BAC7C0078E}</b:Guid>
    <b:Author>
      <b:Author>
        <b:Corporate>RR SMR</b:Corporate>
      </b:Author>
    </b:Author>
    <b:Title>Rolls-Royce SMR Assessment of Individual and Collective Doses, SMR00031022, Issue 1</b:Title>
    <b:Year>February 2026</b:Year>
    <b:RefOrder>3</b:RefOrder>
  </b:Source>
  <b:Source>
    <b:Tag>RRS265</b:Tag>
    <b:SourceType>Report</b:SourceType>
    <b:Guid>{E66F32E3-C91D-41FB-8C31-7428FC9F2F70}</b:Guid>
    <b:Author>
      <b:Author>
        <b:Corporate>RR SMR</b:Corporate>
      </b:Author>
    </b:Author>
    <b:Title>Optimising Occupational Radiation Exposure in the Development of the Generic Design, SMR0029142, Issue 1</b:Title>
    <b:Year>January 2026</b:Year>
    <b:RefOrder>4</b:RefOrder>
  </b:Source>
  <b:Source>
    <b:Tag>RS0007</b:Tag>
    <b:SourceType>InternetSite</b:SourceType>
    <b:Guid>{510659AE-7411-4A76-8063-CE3300FE5C74}</b:Guid>
    <b:Title> The Ionising Radiations Regulations, January 2018. [Online].</b:Title>
    <b:Author>
      <b:Author>
        <b:NameList>
          <b:Person>
            <b:Last>UK Statutory Instruments 2017 No.1075</b:Last>
          </b:Person>
        </b:NameList>
      </b:Author>
    </b:Author>
    <b:URL> Available: https://www.legislation.gov.uk/uksi/2017/1075/contents/made.</b:URL>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ONRW-2126615823-13256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https://prodonrgov.sharepoint.com/sites/WIReD/_layouts/15/DocIdRedir.aspx?ID=ONRW-2126615823-13256</Url>
      <Description>ONRW-2126615823-13256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060AF-295F-4EDB-BD86-621370730DD3}">
  <ds:schemaRefs>
    <ds:schemaRef ds:uri="http://schemas.microsoft.com/sharepoint/events"/>
  </ds:schemaRefs>
</ds:datastoreItem>
</file>

<file path=customXml/itemProps2.xml><?xml version="1.0" encoding="utf-8"?>
<ds:datastoreItem xmlns:ds="http://schemas.openxmlformats.org/officeDocument/2006/customXml" ds:itemID="{D67B7536-B138-4756-906A-B88078E2D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44A6B2-D632-47BD-A854-F83773BB0A2D}">
  <ds:schemaRefs>
    <ds:schemaRef ds:uri="http://schemas.openxmlformats.org/officeDocument/2006/bibliography"/>
  </ds:schemaRefs>
</ds:datastoreItem>
</file>

<file path=customXml/itemProps4.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5.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2125</Words>
  <Characters>12581</Characters>
  <Application>Microsoft Office Word</Application>
  <DocSecurity>0</DocSecurity>
  <Lines>285</Lines>
  <Paragraphs>144</Paragraphs>
  <ScaleCrop>false</ScaleCrop>
  <HeadingPairs>
    <vt:vector size="2" baseType="variant">
      <vt:variant>
        <vt:lpstr>Title</vt:lpstr>
      </vt:variant>
      <vt:variant>
        <vt:i4>1</vt:i4>
      </vt:variant>
    </vt:vector>
  </HeadingPairs>
  <TitlesOfParts>
    <vt:vector size="1" baseType="lpstr">
      <vt:lpstr>RO Resolution Plan</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SMR0037342</dc:title>
  <dc:subject/>
  <cp:keywords/>
  <dc:description/>
  <cp:revision>3</cp:revision>
  <dcterms:created xsi:type="dcterms:W3CDTF">2026-07-28T15:07:00Z</dcterms:created>
  <dcterms:modified xsi:type="dcterms:W3CDTF">2026-08-10T08:32:00Z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UnderChangeControl">
    <vt:lpwstr>No</vt:lpwstr>
  </property>
  <property fmtid="{D5CDD505-2E9C-101B-9397-08002B2CF9AE}" pid="38" name="Distribution List">
    <vt:lpwstr/>
  </property>
  <property fmtid="{D5CDD505-2E9C-101B-9397-08002B2CF9AE}" pid="39" name="ClassificationContentMarkingFooterShapeIds">
    <vt:lpwstr>113d44fe,31ffef23,3674c116</vt:lpwstr>
  </property>
  <property fmtid="{D5CDD505-2E9C-101B-9397-08002B2CF9AE}" pid="40" name="ClassificationContentMarkingFooterFontProps">
    <vt:lpwstr>#000000,7,Aptos</vt:lpwstr>
  </property>
  <property fmtid="{D5CDD505-2E9C-101B-9397-08002B2CF9AE}" pid="41" name="ClassificationContentMarkingFooterText">
    <vt:lpwstr>Private – Not Listed – Not Subject to Export Controls</vt:lpwstr>
  </property>
  <property fmtid="{D5CDD505-2E9C-101B-9397-08002B2CF9AE}" pid="42" name="MSIP_Label_9e5e003a-90eb-47c9-a506-ad47e7a0b281_Enabled">
    <vt:lpwstr>true</vt:lpwstr>
  </property>
  <property fmtid="{D5CDD505-2E9C-101B-9397-08002B2CF9AE}" pid="43" name="MSIP_Label_9e5e003a-90eb-47c9-a506-ad47e7a0b281_SetDate">
    <vt:lpwstr>2026-07-16T09:30:14Z</vt:lpwstr>
  </property>
  <property fmtid="{D5CDD505-2E9C-101B-9397-08002B2CF9AE}" pid="44" name="MSIP_Label_9e5e003a-90eb-47c9-a506-ad47e7a0b281_Method">
    <vt:lpwstr>Privileged</vt:lpwstr>
  </property>
  <property fmtid="{D5CDD505-2E9C-101B-9397-08002B2CF9AE}" pid="45" name="MSIP_Label_9e5e003a-90eb-47c9-a506-ad47e7a0b281_Name">
    <vt:lpwstr>OFFICIAL</vt:lpwstr>
  </property>
  <property fmtid="{D5CDD505-2E9C-101B-9397-08002B2CF9AE}" pid="46" name="MSIP_Label_9e5e003a-90eb-47c9-a506-ad47e7a0b281_SiteId">
    <vt:lpwstr>742775df-8077-48d6-81d0-1e82a1f52cb8</vt:lpwstr>
  </property>
  <property fmtid="{D5CDD505-2E9C-101B-9397-08002B2CF9AE}" pid="47" name="MSIP_Label_9e5e003a-90eb-47c9-a506-ad47e7a0b281_ActionId">
    <vt:lpwstr>d2f44cd6-dcca-443b-9dd7-57595b1727b2</vt:lpwstr>
  </property>
  <property fmtid="{D5CDD505-2E9C-101B-9397-08002B2CF9AE}" pid="48" name="MSIP_Label_9e5e003a-90eb-47c9-a506-ad47e7a0b281_ContentBits">
    <vt:lpwstr>0</vt:lpwstr>
  </property>
  <property fmtid="{D5CDD505-2E9C-101B-9397-08002B2CF9AE}" pid="49" name="MSIP_Label_9e5e003a-90eb-47c9-a506-ad47e7a0b281_Tag">
    <vt:lpwstr>10, 0, 1, 1</vt:lpwstr>
  </property>
  <property fmtid="{D5CDD505-2E9C-101B-9397-08002B2CF9AE}" pid="50" name="SMRName">
    <vt:lpwstr/>
  </property>
  <property fmtid="{D5CDD505-2E9C-101B-9397-08002B2CF9AE}" pid="51" name="Role">
    <vt:lpwstr/>
  </property>
  <property fmtid="{D5CDD505-2E9C-101B-9397-08002B2CF9AE}" pid="52" name="SMREmail">
    <vt:lpwstr/>
  </property>
  <property fmtid="{D5CDD505-2E9C-101B-9397-08002B2CF9AE}" pid="53" name="Organisation">
    <vt:lpwstr>ONR - Office for Nuclear Regulation</vt:lpwstr>
  </property>
  <property fmtid="{D5CDD505-2E9C-101B-9397-08002B2CF9AE}" pid="54" name="EMail">
    <vt:lpwstr>annie.fay@onr.gov.uk</vt:lpwstr>
  </property>
  <property fmtid="{D5CDD505-2E9C-101B-9397-08002B2CF9AE}" pid="55" name="WorkAddress">
    <vt:lpwstr/>
  </property>
  <property fmtid="{D5CDD505-2E9C-101B-9397-08002B2CF9AE}" pid="56" name="_dlc_DocIdItemGuid">
    <vt:lpwstr>3b82dd28-52b1-4476-b9ae-a1e394de5513</vt:lpwstr>
  </property>
  <property fmtid="{D5CDD505-2E9C-101B-9397-08002B2CF9AE}" pid="57" name="MediaServiceImageTags">
    <vt:lpwstr/>
  </property>
</Properties>
</file>