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938"/>
        <w:gridCol w:w="2160"/>
        <w:gridCol w:w="2160"/>
        <w:gridCol w:w="2042"/>
      </w:tblGrid>
      <w:tr w:rsidR="00604F23" w:rsidRPr="009D15EC" w14:paraId="17C79393" w14:textId="77777777" w:rsidTr="00B12DE2">
        <w:trPr>
          <w:trHeight w:val="567"/>
        </w:trPr>
        <w:tc>
          <w:tcPr>
            <w:tcW w:w="9300" w:type="dxa"/>
            <w:gridSpan w:val="4"/>
            <w:shd w:val="clear" w:color="auto" w:fill="auto"/>
            <w:vAlign w:val="center"/>
          </w:tcPr>
          <w:p w14:paraId="0713A5AD" w14:textId="77777777" w:rsidR="00604F23" w:rsidRPr="009D15EC" w:rsidRDefault="00604F23" w:rsidP="009D15EC">
            <w:pPr>
              <w:jc w:val="center"/>
            </w:pPr>
            <w:r w:rsidRPr="009D15EC">
              <w:t>ONR GUIDE</w:t>
            </w:r>
          </w:p>
        </w:tc>
      </w:tr>
      <w:tr w:rsidR="00604F23" w:rsidRPr="009D15EC" w14:paraId="4FFD56C3" w14:textId="77777777" w:rsidTr="00B12DE2">
        <w:trPr>
          <w:trHeight w:val="567"/>
        </w:trPr>
        <w:tc>
          <w:tcPr>
            <w:tcW w:w="9300" w:type="dxa"/>
            <w:gridSpan w:val="4"/>
            <w:shd w:val="clear" w:color="auto" w:fill="auto"/>
            <w:vAlign w:val="center"/>
          </w:tcPr>
          <w:p w14:paraId="5E752AF1" w14:textId="77777777" w:rsidR="00604F23" w:rsidRPr="009D15EC" w:rsidRDefault="00FC619F" w:rsidP="00DF102B">
            <w:pPr>
              <w:jc w:val="center"/>
              <w:rPr>
                <w:b/>
              </w:rPr>
            </w:pPr>
            <w:r>
              <w:rPr>
                <w:b/>
              </w:rPr>
              <w:t>Asset Management</w:t>
            </w:r>
          </w:p>
        </w:tc>
      </w:tr>
      <w:tr w:rsidR="00612DF0" w:rsidRPr="009D15EC" w14:paraId="453C4A0A" w14:textId="77777777" w:rsidTr="00B12DE2">
        <w:trPr>
          <w:trHeight w:val="454"/>
        </w:trPr>
        <w:tc>
          <w:tcPr>
            <w:tcW w:w="2938" w:type="dxa"/>
            <w:shd w:val="clear" w:color="auto" w:fill="auto"/>
            <w:vAlign w:val="center"/>
          </w:tcPr>
          <w:p w14:paraId="44F6504E" w14:textId="77777777" w:rsidR="00612DF0" w:rsidRPr="009D15EC" w:rsidRDefault="00612DF0" w:rsidP="000C16CF">
            <w:pPr>
              <w:jc w:val="both"/>
              <w:rPr>
                <w:b/>
              </w:rPr>
            </w:pPr>
            <w:r w:rsidRPr="009D15EC">
              <w:rPr>
                <w:b/>
              </w:rPr>
              <w:t>Document Type:</w:t>
            </w:r>
          </w:p>
        </w:tc>
        <w:tc>
          <w:tcPr>
            <w:tcW w:w="6362" w:type="dxa"/>
            <w:gridSpan w:val="3"/>
            <w:shd w:val="clear" w:color="auto" w:fill="auto"/>
            <w:vAlign w:val="center"/>
          </w:tcPr>
          <w:p w14:paraId="38739588" w14:textId="77777777" w:rsidR="00612DF0" w:rsidRPr="009D15EC" w:rsidRDefault="00532D01" w:rsidP="000C16CF">
            <w:pPr>
              <w:jc w:val="both"/>
            </w:pPr>
            <w:r w:rsidRPr="009D15EC">
              <w:t>Nuclear Safety Technical Assessment Guide</w:t>
            </w:r>
          </w:p>
        </w:tc>
      </w:tr>
      <w:tr w:rsidR="00612DF0" w:rsidRPr="009D15EC" w14:paraId="32E91F8F" w14:textId="77777777" w:rsidTr="00B12DE2">
        <w:trPr>
          <w:trHeight w:val="454"/>
        </w:trPr>
        <w:tc>
          <w:tcPr>
            <w:tcW w:w="2938" w:type="dxa"/>
            <w:shd w:val="clear" w:color="auto" w:fill="auto"/>
            <w:vAlign w:val="center"/>
          </w:tcPr>
          <w:p w14:paraId="34F12DFC" w14:textId="77777777" w:rsidR="00612DF0" w:rsidRPr="009D15EC" w:rsidRDefault="00612DF0" w:rsidP="000C16CF">
            <w:pPr>
              <w:jc w:val="both"/>
              <w:rPr>
                <w:b/>
              </w:rPr>
            </w:pPr>
            <w:r w:rsidRPr="009D15EC">
              <w:rPr>
                <w:b/>
              </w:rPr>
              <w:t>Unique Document ID and Revision No:</w:t>
            </w:r>
          </w:p>
        </w:tc>
        <w:tc>
          <w:tcPr>
            <w:tcW w:w="6362" w:type="dxa"/>
            <w:gridSpan w:val="3"/>
            <w:shd w:val="clear" w:color="auto" w:fill="auto"/>
            <w:vAlign w:val="center"/>
          </w:tcPr>
          <w:p w14:paraId="237DF9E9" w14:textId="26D6299A" w:rsidR="00612DF0" w:rsidRPr="005F01BB" w:rsidRDefault="00532D01" w:rsidP="005F01BB">
            <w:pPr>
              <w:jc w:val="both"/>
            </w:pPr>
            <w:r w:rsidRPr="005F01BB">
              <w:t>NS-TAST-GD-</w:t>
            </w:r>
            <w:r w:rsidR="006C67C9">
              <w:t>098</w:t>
            </w:r>
            <w:r w:rsidRPr="005F01BB">
              <w:t xml:space="preserve"> </w:t>
            </w:r>
            <w:r w:rsidR="00913B80">
              <w:t>Issue</w:t>
            </w:r>
            <w:r w:rsidR="00ED2103" w:rsidRPr="005F01BB">
              <w:t xml:space="preserve"> </w:t>
            </w:r>
            <w:r w:rsidR="00C16DC8">
              <w:t>2</w:t>
            </w:r>
            <w:r w:rsidR="00913B80">
              <w:t>.1</w:t>
            </w:r>
          </w:p>
        </w:tc>
      </w:tr>
      <w:tr w:rsidR="008E67CB" w:rsidRPr="009D15EC" w14:paraId="798ECF2B" w14:textId="77777777" w:rsidTr="00B12DE2">
        <w:trPr>
          <w:trHeight w:val="340"/>
        </w:trPr>
        <w:tc>
          <w:tcPr>
            <w:tcW w:w="2938" w:type="dxa"/>
            <w:shd w:val="clear" w:color="auto" w:fill="auto"/>
            <w:vAlign w:val="center"/>
          </w:tcPr>
          <w:p w14:paraId="346C8877" w14:textId="77777777" w:rsidR="008E67CB" w:rsidRPr="009D15EC" w:rsidRDefault="008E67CB" w:rsidP="000C16CF">
            <w:pPr>
              <w:jc w:val="both"/>
              <w:rPr>
                <w:b/>
              </w:rPr>
            </w:pPr>
            <w:r w:rsidRPr="009D15EC">
              <w:rPr>
                <w:b/>
              </w:rPr>
              <w:t>Date Issued:</w:t>
            </w:r>
          </w:p>
        </w:tc>
        <w:tc>
          <w:tcPr>
            <w:tcW w:w="2160" w:type="dxa"/>
            <w:shd w:val="clear" w:color="auto" w:fill="auto"/>
            <w:vAlign w:val="center"/>
          </w:tcPr>
          <w:p w14:paraId="42BC1D10" w14:textId="0F439AC5" w:rsidR="008E67CB" w:rsidRPr="005F01BB" w:rsidRDefault="00D0114E" w:rsidP="00430CCF">
            <w:pPr>
              <w:jc w:val="both"/>
            </w:pPr>
            <w:r>
              <w:t>Dec</w:t>
            </w:r>
            <w:r w:rsidR="00A44163">
              <w:t>ember</w:t>
            </w:r>
            <w:r w:rsidR="000361E0" w:rsidRPr="005F01BB">
              <w:t xml:space="preserve"> </w:t>
            </w:r>
            <w:r w:rsidR="00141A0E" w:rsidRPr="005F01BB">
              <w:t>20</w:t>
            </w:r>
            <w:r w:rsidR="00913B80">
              <w:t>22</w:t>
            </w:r>
          </w:p>
        </w:tc>
        <w:tc>
          <w:tcPr>
            <w:tcW w:w="2160" w:type="dxa"/>
            <w:shd w:val="clear" w:color="auto" w:fill="auto"/>
            <w:vAlign w:val="center"/>
          </w:tcPr>
          <w:p w14:paraId="45B3D4DD" w14:textId="77777777" w:rsidR="008E67CB" w:rsidRPr="005F01BB" w:rsidRDefault="008E67CB" w:rsidP="000C16CF">
            <w:pPr>
              <w:jc w:val="both"/>
              <w:rPr>
                <w:b/>
              </w:rPr>
            </w:pPr>
            <w:r w:rsidRPr="005F01BB">
              <w:rPr>
                <w:b/>
              </w:rPr>
              <w:t>Review Date:</w:t>
            </w:r>
          </w:p>
        </w:tc>
        <w:tc>
          <w:tcPr>
            <w:tcW w:w="2042" w:type="dxa"/>
            <w:shd w:val="clear" w:color="auto" w:fill="auto"/>
            <w:vAlign w:val="center"/>
          </w:tcPr>
          <w:p w14:paraId="1EFA0B43" w14:textId="77777777" w:rsidR="008E67CB" w:rsidRPr="005F01BB" w:rsidRDefault="00C16DC8" w:rsidP="000C16CF">
            <w:pPr>
              <w:jc w:val="both"/>
            </w:pPr>
            <w:r>
              <w:t>October 2024</w:t>
            </w:r>
          </w:p>
        </w:tc>
      </w:tr>
      <w:tr w:rsidR="008E67CB" w:rsidRPr="009D15EC" w14:paraId="2CABF37E" w14:textId="77777777" w:rsidTr="00B12DE2">
        <w:trPr>
          <w:trHeight w:val="340"/>
        </w:trPr>
        <w:tc>
          <w:tcPr>
            <w:tcW w:w="2938" w:type="dxa"/>
            <w:shd w:val="clear" w:color="auto" w:fill="auto"/>
            <w:vAlign w:val="center"/>
          </w:tcPr>
          <w:p w14:paraId="76AEAFE9" w14:textId="77777777" w:rsidR="008E67CB" w:rsidRPr="009D15EC" w:rsidRDefault="008E67CB" w:rsidP="000C16CF">
            <w:pPr>
              <w:jc w:val="both"/>
              <w:rPr>
                <w:b/>
              </w:rPr>
            </w:pPr>
            <w:r w:rsidRPr="009D15EC">
              <w:rPr>
                <w:b/>
              </w:rPr>
              <w:t>Prepared by:</w:t>
            </w:r>
          </w:p>
        </w:tc>
        <w:tc>
          <w:tcPr>
            <w:tcW w:w="2160" w:type="dxa"/>
            <w:shd w:val="clear" w:color="auto" w:fill="auto"/>
            <w:vAlign w:val="center"/>
          </w:tcPr>
          <w:p w14:paraId="269F7143" w14:textId="5C100FDA" w:rsidR="008E67CB" w:rsidRPr="005F01BB" w:rsidRDefault="008E67CB" w:rsidP="000C16CF">
            <w:pPr>
              <w:jc w:val="both"/>
            </w:pPr>
          </w:p>
        </w:tc>
        <w:tc>
          <w:tcPr>
            <w:tcW w:w="4202" w:type="dxa"/>
            <w:gridSpan w:val="2"/>
            <w:shd w:val="clear" w:color="auto" w:fill="auto"/>
            <w:vAlign w:val="center"/>
          </w:tcPr>
          <w:p w14:paraId="4DC8D54E" w14:textId="77777777" w:rsidR="008E67CB" w:rsidRPr="005F01BB" w:rsidRDefault="00A97E3B" w:rsidP="000C16CF">
            <w:pPr>
              <w:jc w:val="both"/>
            </w:pPr>
            <w:r w:rsidRPr="005F01BB">
              <w:t>Inspector</w:t>
            </w:r>
          </w:p>
        </w:tc>
      </w:tr>
      <w:tr w:rsidR="00730399" w:rsidRPr="009D15EC" w14:paraId="582BCB78" w14:textId="77777777" w:rsidTr="00B12DE2">
        <w:trPr>
          <w:trHeight w:val="340"/>
        </w:trPr>
        <w:tc>
          <w:tcPr>
            <w:tcW w:w="2938" w:type="dxa"/>
            <w:shd w:val="clear" w:color="auto" w:fill="auto"/>
            <w:vAlign w:val="center"/>
          </w:tcPr>
          <w:p w14:paraId="5BA900AA" w14:textId="77777777" w:rsidR="00730399" w:rsidRPr="009D15EC" w:rsidRDefault="00730399" w:rsidP="000C16CF">
            <w:pPr>
              <w:jc w:val="both"/>
              <w:rPr>
                <w:b/>
              </w:rPr>
            </w:pPr>
            <w:r w:rsidRPr="009D15EC">
              <w:rPr>
                <w:b/>
              </w:rPr>
              <w:t>Approved by:</w:t>
            </w:r>
          </w:p>
        </w:tc>
        <w:tc>
          <w:tcPr>
            <w:tcW w:w="2160" w:type="dxa"/>
            <w:shd w:val="clear" w:color="auto" w:fill="auto"/>
            <w:vAlign w:val="center"/>
          </w:tcPr>
          <w:p w14:paraId="7D8B5611" w14:textId="6F3D181A" w:rsidR="00730399" w:rsidRPr="005F01BB" w:rsidRDefault="00730399" w:rsidP="000C16CF">
            <w:pPr>
              <w:jc w:val="both"/>
            </w:pPr>
          </w:p>
        </w:tc>
        <w:tc>
          <w:tcPr>
            <w:tcW w:w="4202" w:type="dxa"/>
            <w:gridSpan w:val="2"/>
            <w:shd w:val="clear" w:color="auto" w:fill="auto"/>
            <w:vAlign w:val="center"/>
          </w:tcPr>
          <w:p w14:paraId="6571C1FC" w14:textId="77777777" w:rsidR="00730399" w:rsidRPr="005F01BB" w:rsidRDefault="00141A0E" w:rsidP="003E5507">
            <w:r>
              <w:t>Mechanical Engineering Professional Lead</w:t>
            </w:r>
          </w:p>
        </w:tc>
      </w:tr>
      <w:tr w:rsidR="008E67CB" w:rsidRPr="009D15EC" w14:paraId="6C35A5C3" w14:textId="77777777" w:rsidTr="00B12DE2">
        <w:trPr>
          <w:trHeight w:val="288"/>
        </w:trPr>
        <w:tc>
          <w:tcPr>
            <w:tcW w:w="2938" w:type="dxa"/>
            <w:shd w:val="clear" w:color="auto" w:fill="auto"/>
            <w:vAlign w:val="center"/>
          </w:tcPr>
          <w:p w14:paraId="23299C27" w14:textId="77777777" w:rsidR="008E67CB" w:rsidRPr="009D15EC" w:rsidRDefault="008E67CB" w:rsidP="000C16CF">
            <w:pPr>
              <w:jc w:val="both"/>
              <w:rPr>
                <w:b/>
              </w:rPr>
            </w:pPr>
            <w:r w:rsidRPr="009D15EC">
              <w:rPr>
                <w:b/>
              </w:rPr>
              <w:t>Record Reference:</w:t>
            </w:r>
          </w:p>
        </w:tc>
        <w:tc>
          <w:tcPr>
            <w:tcW w:w="6362" w:type="dxa"/>
            <w:gridSpan w:val="3"/>
            <w:shd w:val="clear" w:color="auto" w:fill="auto"/>
            <w:vAlign w:val="center"/>
          </w:tcPr>
          <w:p w14:paraId="0E584AAE" w14:textId="77777777" w:rsidR="008E67CB" w:rsidRPr="005F01BB" w:rsidRDefault="005759DC" w:rsidP="00C16DC8">
            <w:pPr>
              <w:jc w:val="both"/>
            </w:pPr>
            <w:r w:rsidRPr="000149F1">
              <w:t xml:space="preserve">CM9 </w:t>
            </w:r>
            <w:r w:rsidR="008E67CB" w:rsidRPr="000149F1">
              <w:t xml:space="preserve">Folder </w:t>
            </w:r>
            <w:r w:rsidR="000149F1" w:rsidRPr="00D0114E">
              <w:t>1.</w:t>
            </w:r>
            <w:r w:rsidR="00A44163">
              <w:t>1.3.978.</w:t>
            </w:r>
            <w:r w:rsidR="00F32676">
              <w:t xml:space="preserve"> (2020/139061)</w:t>
            </w:r>
          </w:p>
        </w:tc>
      </w:tr>
      <w:tr w:rsidR="008E67CB" w:rsidRPr="009D15EC" w14:paraId="46427ECB" w14:textId="77777777" w:rsidTr="00B12DE2">
        <w:trPr>
          <w:trHeight w:val="288"/>
        </w:trPr>
        <w:tc>
          <w:tcPr>
            <w:tcW w:w="2938" w:type="dxa"/>
            <w:shd w:val="clear" w:color="auto" w:fill="auto"/>
            <w:vAlign w:val="center"/>
          </w:tcPr>
          <w:p w14:paraId="61251EA7" w14:textId="77777777" w:rsidR="008E67CB" w:rsidRPr="009D15EC" w:rsidRDefault="008E67CB" w:rsidP="000C16CF">
            <w:pPr>
              <w:jc w:val="both"/>
              <w:rPr>
                <w:b/>
              </w:rPr>
            </w:pPr>
            <w:r w:rsidRPr="009D15EC">
              <w:rPr>
                <w:b/>
              </w:rPr>
              <w:t>Revision commentary:</w:t>
            </w:r>
          </w:p>
        </w:tc>
        <w:tc>
          <w:tcPr>
            <w:tcW w:w="6362" w:type="dxa"/>
            <w:gridSpan w:val="3"/>
            <w:shd w:val="clear" w:color="auto" w:fill="auto"/>
            <w:vAlign w:val="center"/>
          </w:tcPr>
          <w:p w14:paraId="6815CD66" w14:textId="77777777" w:rsidR="008E67CB" w:rsidRDefault="005A6BBA" w:rsidP="00C16DC8">
            <w:pPr>
              <w:jc w:val="both"/>
            </w:pPr>
            <w:r>
              <w:t>Rev 1:</w:t>
            </w:r>
            <w:r w:rsidR="00786DE3">
              <w:t xml:space="preserve"> Includes additional guidance on obsolescence</w:t>
            </w:r>
            <w:r w:rsidR="005F639B">
              <w:t>,</w:t>
            </w:r>
            <w:r w:rsidR="00786DE3">
              <w:t xml:space="preserve"> configuration management</w:t>
            </w:r>
            <w:r w:rsidR="005F639B">
              <w:t>,</w:t>
            </w:r>
            <w:r w:rsidR="00786DE3">
              <w:t xml:space="preserve"> ISO55000 and environmental legislation.  </w:t>
            </w:r>
            <w:r>
              <w:t>Minor editorial changes</w:t>
            </w:r>
            <w:r w:rsidR="007F513D">
              <w:t>.</w:t>
            </w:r>
          </w:p>
          <w:p w14:paraId="2775AF01" w14:textId="77777777" w:rsidR="00C16DC8" w:rsidRDefault="00C16DC8" w:rsidP="00C16DC8">
            <w:pPr>
              <w:jc w:val="both"/>
            </w:pPr>
          </w:p>
          <w:p w14:paraId="09420F6E" w14:textId="77777777" w:rsidR="00C16DC8" w:rsidRDefault="00C16DC8" w:rsidP="00C16DC8">
            <w:pPr>
              <w:jc w:val="both"/>
            </w:pPr>
            <w:r>
              <w:t>Rev 2: Updated review period</w:t>
            </w:r>
          </w:p>
          <w:p w14:paraId="047A362D" w14:textId="77777777" w:rsidR="00913B80" w:rsidRDefault="00913B80" w:rsidP="00C16DC8">
            <w:pPr>
              <w:jc w:val="both"/>
            </w:pPr>
          </w:p>
          <w:p w14:paraId="68C770E2" w14:textId="560E79B0" w:rsidR="00913B80" w:rsidRPr="009D15EC" w:rsidRDefault="00913B80" w:rsidP="00C16DC8">
            <w:pPr>
              <w:jc w:val="both"/>
            </w:pPr>
            <w:r>
              <w:t xml:space="preserve">Issue 2.1: </w:t>
            </w:r>
            <w:r>
              <w:rPr>
                <w:sz w:val="24"/>
              </w:rPr>
              <w:t>Minor update to remove extant URLs from the document to mitigate potential configuration control issues arising because of changes to third-party web domains.</w:t>
            </w:r>
          </w:p>
        </w:tc>
      </w:tr>
    </w:tbl>
    <w:p w14:paraId="000712C8" w14:textId="77777777" w:rsidR="00D55197" w:rsidRPr="009D15EC" w:rsidRDefault="00D55197" w:rsidP="000C16CF">
      <w:pPr>
        <w:jc w:val="both"/>
      </w:pPr>
    </w:p>
    <w:p w14:paraId="2A683EC0" w14:textId="77777777" w:rsidR="008E67CB" w:rsidRPr="009D15EC" w:rsidRDefault="008E67CB" w:rsidP="000C16CF">
      <w:pPr>
        <w:jc w:val="both"/>
        <w:rPr>
          <w:b/>
        </w:rPr>
      </w:pPr>
      <w:r w:rsidRPr="009D15EC">
        <w:rPr>
          <w:b/>
        </w:rPr>
        <w:t>TABLE OF CONTENTS</w:t>
      </w:r>
    </w:p>
    <w:p w14:paraId="7C3C1926" w14:textId="77777777" w:rsidR="008E67CB" w:rsidRPr="009D15EC" w:rsidRDefault="008E67CB" w:rsidP="000C16CF">
      <w:pPr>
        <w:jc w:val="both"/>
      </w:pPr>
    </w:p>
    <w:p w14:paraId="289DC6A2" w14:textId="77777777" w:rsidR="006F5144" w:rsidRDefault="004750A2">
      <w:pPr>
        <w:pStyle w:val="TOC1"/>
        <w:rPr>
          <w:rFonts w:asciiTheme="minorHAnsi" w:eastAsiaTheme="minorEastAsia" w:hAnsiTheme="minorHAnsi" w:cstheme="minorBidi"/>
          <w:caps w:val="0"/>
          <w:noProof/>
          <w:szCs w:val="22"/>
          <w:lang w:eastAsia="en-GB"/>
        </w:rPr>
      </w:pPr>
      <w:r w:rsidRPr="009D15EC">
        <w:fldChar w:fldCharType="begin"/>
      </w:r>
      <w:r w:rsidRPr="009D15EC">
        <w:instrText xml:space="preserve"> TOC \h \z \t "TS Heading Numbered 1,1" </w:instrText>
      </w:r>
      <w:r w:rsidRPr="009D15EC">
        <w:fldChar w:fldCharType="separate"/>
      </w:r>
      <w:hyperlink w:anchor="_Toc464198980" w:history="1">
        <w:r w:rsidR="006F5144" w:rsidRPr="003C71EE">
          <w:rPr>
            <w:rStyle w:val="Hyperlink"/>
            <w:noProof/>
          </w:rPr>
          <w:t>1.</w:t>
        </w:r>
        <w:r w:rsidR="006F5144">
          <w:rPr>
            <w:rFonts w:asciiTheme="minorHAnsi" w:eastAsiaTheme="minorEastAsia" w:hAnsiTheme="minorHAnsi" w:cstheme="minorBidi"/>
            <w:caps w:val="0"/>
            <w:noProof/>
            <w:szCs w:val="22"/>
            <w:lang w:eastAsia="en-GB"/>
          </w:rPr>
          <w:tab/>
        </w:r>
        <w:r w:rsidR="006F5144" w:rsidRPr="003C71EE">
          <w:rPr>
            <w:rStyle w:val="Hyperlink"/>
            <w:noProof/>
          </w:rPr>
          <w:t>INTRODUCTION</w:t>
        </w:r>
        <w:r w:rsidR="006F5144">
          <w:rPr>
            <w:noProof/>
            <w:webHidden/>
          </w:rPr>
          <w:tab/>
        </w:r>
        <w:r w:rsidR="006F5144">
          <w:rPr>
            <w:noProof/>
            <w:webHidden/>
          </w:rPr>
          <w:fldChar w:fldCharType="begin"/>
        </w:r>
        <w:r w:rsidR="006F5144">
          <w:rPr>
            <w:noProof/>
            <w:webHidden/>
          </w:rPr>
          <w:instrText xml:space="preserve"> PAGEREF _Toc464198980 \h </w:instrText>
        </w:r>
        <w:r w:rsidR="006F5144">
          <w:rPr>
            <w:noProof/>
            <w:webHidden/>
          </w:rPr>
        </w:r>
        <w:r w:rsidR="006F5144">
          <w:rPr>
            <w:noProof/>
            <w:webHidden/>
          </w:rPr>
          <w:fldChar w:fldCharType="separate"/>
        </w:r>
        <w:r w:rsidR="00D47B37">
          <w:rPr>
            <w:noProof/>
            <w:webHidden/>
          </w:rPr>
          <w:t>2</w:t>
        </w:r>
        <w:r w:rsidR="006F5144">
          <w:rPr>
            <w:noProof/>
            <w:webHidden/>
          </w:rPr>
          <w:fldChar w:fldCharType="end"/>
        </w:r>
      </w:hyperlink>
    </w:p>
    <w:p w14:paraId="47DA0A32" w14:textId="77777777" w:rsidR="006F5144" w:rsidRDefault="0003406A">
      <w:pPr>
        <w:pStyle w:val="TOC1"/>
        <w:rPr>
          <w:rFonts w:asciiTheme="minorHAnsi" w:eastAsiaTheme="minorEastAsia" w:hAnsiTheme="minorHAnsi" w:cstheme="minorBidi"/>
          <w:caps w:val="0"/>
          <w:noProof/>
          <w:szCs w:val="22"/>
          <w:lang w:eastAsia="en-GB"/>
        </w:rPr>
      </w:pPr>
      <w:hyperlink w:anchor="_Toc464198981" w:history="1">
        <w:r w:rsidR="006F5144" w:rsidRPr="003C71EE">
          <w:rPr>
            <w:rStyle w:val="Hyperlink"/>
            <w:noProof/>
          </w:rPr>
          <w:t>2.</w:t>
        </w:r>
        <w:r w:rsidR="006F5144">
          <w:rPr>
            <w:rFonts w:asciiTheme="minorHAnsi" w:eastAsiaTheme="minorEastAsia" w:hAnsiTheme="minorHAnsi" w:cstheme="minorBidi"/>
            <w:caps w:val="0"/>
            <w:noProof/>
            <w:szCs w:val="22"/>
            <w:lang w:eastAsia="en-GB"/>
          </w:rPr>
          <w:tab/>
        </w:r>
        <w:r w:rsidR="006F5144" w:rsidRPr="003C71EE">
          <w:rPr>
            <w:rStyle w:val="Hyperlink"/>
            <w:noProof/>
          </w:rPr>
          <w:t>PURPOSE AND SCOPE</w:t>
        </w:r>
        <w:r w:rsidR="006F5144">
          <w:rPr>
            <w:noProof/>
            <w:webHidden/>
          </w:rPr>
          <w:tab/>
        </w:r>
        <w:r w:rsidR="006F5144">
          <w:rPr>
            <w:noProof/>
            <w:webHidden/>
          </w:rPr>
          <w:fldChar w:fldCharType="begin"/>
        </w:r>
        <w:r w:rsidR="006F5144">
          <w:rPr>
            <w:noProof/>
            <w:webHidden/>
          </w:rPr>
          <w:instrText xml:space="preserve"> PAGEREF _Toc464198981 \h </w:instrText>
        </w:r>
        <w:r w:rsidR="006F5144">
          <w:rPr>
            <w:noProof/>
            <w:webHidden/>
          </w:rPr>
        </w:r>
        <w:r w:rsidR="006F5144">
          <w:rPr>
            <w:noProof/>
            <w:webHidden/>
          </w:rPr>
          <w:fldChar w:fldCharType="separate"/>
        </w:r>
        <w:r w:rsidR="00D47B37">
          <w:rPr>
            <w:noProof/>
            <w:webHidden/>
          </w:rPr>
          <w:t>2</w:t>
        </w:r>
        <w:r w:rsidR="006F5144">
          <w:rPr>
            <w:noProof/>
            <w:webHidden/>
          </w:rPr>
          <w:fldChar w:fldCharType="end"/>
        </w:r>
      </w:hyperlink>
    </w:p>
    <w:p w14:paraId="12C5F5BC" w14:textId="77777777" w:rsidR="006F5144" w:rsidRDefault="0003406A">
      <w:pPr>
        <w:pStyle w:val="TOC1"/>
        <w:rPr>
          <w:rFonts w:asciiTheme="minorHAnsi" w:eastAsiaTheme="minorEastAsia" w:hAnsiTheme="minorHAnsi" w:cstheme="minorBidi"/>
          <w:caps w:val="0"/>
          <w:noProof/>
          <w:szCs w:val="22"/>
          <w:lang w:eastAsia="en-GB"/>
        </w:rPr>
      </w:pPr>
      <w:hyperlink w:anchor="_Toc464198982" w:history="1">
        <w:r w:rsidR="006F5144" w:rsidRPr="003C71EE">
          <w:rPr>
            <w:rStyle w:val="Hyperlink"/>
            <w:noProof/>
          </w:rPr>
          <w:t>3.</w:t>
        </w:r>
        <w:r w:rsidR="006F5144">
          <w:rPr>
            <w:rFonts w:asciiTheme="minorHAnsi" w:eastAsiaTheme="minorEastAsia" w:hAnsiTheme="minorHAnsi" w:cstheme="minorBidi"/>
            <w:caps w:val="0"/>
            <w:noProof/>
            <w:szCs w:val="22"/>
            <w:lang w:eastAsia="en-GB"/>
          </w:rPr>
          <w:tab/>
        </w:r>
        <w:r w:rsidR="006F5144" w:rsidRPr="003C71EE">
          <w:rPr>
            <w:rStyle w:val="Hyperlink"/>
            <w:noProof/>
          </w:rPr>
          <w:t>RELATIONSHIP TO LICENCE AND OTHER RELEVANT LEGISLATION</w:t>
        </w:r>
        <w:r w:rsidR="006F5144">
          <w:rPr>
            <w:noProof/>
            <w:webHidden/>
          </w:rPr>
          <w:tab/>
        </w:r>
        <w:r w:rsidR="006F5144">
          <w:rPr>
            <w:noProof/>
            <w:webHidden/>
          </w:rPr>
          <w:fldChar w:fldCharType="begin"/>
        </w:r>
        <w:r w:rsidR="006F5144">
          <w:rPr>
            <w:noProof/>
            <w:webHidden/>
          </w:rPr>
          <w:instrText xml:space="preserve"> PAGEREF _Toc464198982 \h </w:instrText>
        </w:r>
        <w:r w:rsidR="006F5144">
          <w:rPr>
            <w:noProof/>
            <w:webHidden/>
          </w:rPr>
        </w:r>
        <w:r w:rsidR="006F5144">
          <w:rPr>
            <w:noProof/>
            <w:webHidden/>
          </w:rPr>
          <w:fldChar w:fldCharType="separate"/>
        </w:r>
        <w:r w:rsidR="00D47B37">
          <w:rPr>
            <w:noProof/>
            <w:webHidden/>
          </w:rPr>
          <w:t>4</w:t>
        </w:r>
        <w:r w:rsidR="006F5144">
          <w:rPr>
            <w:noProof/>
            <w:webHidden/>
          </w:rPr>
          <w:fldChar w:fldCharType="end"/>
        </w:r>
      </w:hyperlink>
    </w:p>
    <w:p w14:paraId="4F70F168" w14:textId="77777777" w:rsidR="006F5144" w:rsidRDefault="0003406A">
      <w:pPr>
        <w:pStyle w:val="TOC1"/>
        <w:rPr>
          <w:rFonts w:asciiTheme="minorHAnsi" w:eastAsiaTheme="minorEastAsia" w:hAnsiTheme="minorHAnsi" w:cstheme="minorBidi"/>
          <w:caps w:val="0"/>
          <w:noProof/>
          <w:szCs w:val="22"/>
          <w:lang w:eastAsia="en-GB"/>
        </w:rPr>
      </w:pPr>
      <w:hyperlink w:anchor="_Toc464198983" w:history="1">
        <w:r w:rsidR="006F5144" w:rsidRPr="003C71EE">
          <w:rPr>
            <w:rStyle w:val="Hyperlink"/>
            <w:noProof/>
          </w:rPr>
          <w:t>4.</w:t>
        </w:r>
        <w:r w:rsidR="006F5144">
          <w:rPr>
            <w:rFonts w:asciiTheme="minorHAnsi" w:eastAsiaTheme="minorEastAsia" w:hAnsiTheme="minorHAnsi" w:cstheme="minorBidi"/>
            <w:caps w:val="0"/>
            <w:noProof/>
            <w:szCs w:val="22"/>
            <w:lang w:eastAsia="en-GB"/>
          </w:rPr>
          <w:tab/>
        </w:r>
        <w:r w:rsidR="006F5144" w:rsidRPr="003C71EE">
          <w:rPr>
            <w:rStyle w:val="Hyperlink"/>
            <w:noProof/>
          </w:rPr>
          <w:t>RELATIONSHIP TO SAPS, WENRA REFERENCE LEVELS, IAEA SAFETY STANDARDS ADDRESSED and BS ISO standards</w:t>
        </w:r>
        <w:r w:rsidR="006F5144">
          <w:rPr>
            <w:noProof/>
            <w:webHidden/>
          </w:rPr>
          <w:tab/>
        </w:r>
        <w:r w:rsidR="006F5144">
          <w:rPr>
            <w:noProof/>
            <w:webHidden/>
          </w:rPr>
          <w:fldChar w:fldCharType="begin"/>
        </w:r>
        <w:r w:rsidR="006F5144">
          <w:rPr>
            <w:noProof/>
            <w:webHidden/>
          </w:rPr>
          <w:instrText xml:space="preserve"> PAGEREF _Toc464198983 \h </w:instrText>
        </w:r>
        <w:r w:rsidR="006F5144">
          <w:rPr>
            <w:noProof/>
            <w:webHidden/>
          </w:rPr>
        </w:r>
        <w:r w:rsidR="006F5144">
          <w:rPr>
            <w:noProof/>
            <w:webHidden/>
          </w:rPr>
          <w:fldChar w:fldCharType="separate"/>
        </w:r>
        <w:r w:rsidR="00D47B37">
          <w:rPr>
            <w:noProof/>
            <w:webHidden/>
          </w:rPr>
          <w:t>5</w:t>
        </w:r>
        <w:r w:rsidR="006F5144">
          <w:rPr>
            <w:noProof/>
            <w:webHidden/>
          </w:rPr>
          <w:fldChar w:fldCharType="end"/>
        </w:r>
      </w:hyperlink>
    </w:p>
    <w:p w14:paraId="3AEA00E4" w14:textId="77777777" w:rsidR="006F5144" w:rsidRDefault="0003406A">
      <w:pPr>
        <w:pStyle w:val="TOC1"/>
        <w:rPr>
          <w:rFonts w:asciiTheme="minorHAnsi" w:eastAsiaTheme="minorEastAsia" w:hAnsiTheme="minorHAnsi" w:cstheme="minorBidi"/>
          <w:caps w:val="0"/>
          <w:noProof/>
          <w:szCs w:val="22"/>
          <w:lang w:eastAsia="en-GB"/>
        </w:rPr>
      </w:pPr>
      <w:hyperlink w:anchor="_Toc464198984" w:history="1">
        <w:r w:rsidR="006F5144" w:rsidRPr="003C71EE">
          <w:rPr>
            <w:rStyle w:val="Hyperlink"/>
            <w:noProof/>
          </w:rPr>
          <w:t>5.</w:t>
        </w:r>
        <w:r w:rsidR="006F5144">
          <w:rPr>
            <w:rFonts w:asciiTheme="minorHAnsi" w:eastAsiaTheme="minorEastAsia" w:hAnsiTheme="minorHAnsi" w:cstheme="minorBidi"/>
            <w:caps w:val="0"/>
            <w:noProof/>
            <w:szCs w:val="22"/>
            <w:lang w:eastAsia="en-GB"/>
          </w:rPr>
          <w:tab/>
        </w:r>
        <w:r w:rsidR="006F5144" w:rsidRPr="003C71EE">
          <w:rPr>
            <w:rStyle w:val="Hyperlink"/>
            <w:noProof/>
          </w:rPr>
          <w:t>ADVICE TO INSPECTORS</w:t>
        </w:r>
        <w:r w:rsidR="006F5144">
          <w:rPr>
            <w:noProof/>
            <w:webHidden/>
          </w:rPr>
          <w:tab/>
        </w:r>
        <w:r w:rsidR="006F5144">
          <w:rPr>
            <w:noProof/>
            <w:webHidden/>
          </w:rPr>
          <w:fldChar w:fldCharType="begin"/>
        </w:r>
        <w:r w:rsidR="006F5144">
          <w:rPr>
            <w:noProof/>
            <w:webHidden/>
          </w:rPr>
          <w:instrText xml:space="preserve"> PAGEREF _Toc464198984 \h </w:instrText>
        </w:r>
        <w:r w:rsidR="006F5144">
          <w:rPr>
            <w:noProof/>
            <w:webHidden/>
          </w:rPr>
        </w:r>
        <w:r w:rsidR="006F5144">
          <w:rPr>
            <w:noProof/>
            <w:webHidden/>
          </w:rPr>
          <w:fldChar w:fldCharType="separate"/>
        </w:r>
        <w:r w:rsidR="00D47B37">
          <w:rPr>
            <w:noProof/>
            <w:webHidden/>
          </w:rPr>
          <w:t>9</w:t>
        </w:r>
        <w:r w:rsidR="006F5144">
          <w:rPr>
            <w:noProof/>
            <w:webHidden/>
          </w:rPr>
          <w:fldChar w:fldCharType="end"/>
        </w:r>
      </w:hyperlink>
    </w:p>
    <w:p w14:paraId="3E310A10" w14:textId="77777777" w:rsidR="006F5144" w:rsidRDefault="0003406A">
      <w:pPr>
        <w:pStyle w:val="TOC1"/>
        <w:rPr>
          <w:rFonts w:asciiTheme="minorHAnsi" w:eastAsiaTheme="minorEastAsia" w:hAnsiTheme="minorHAnsi" w:cstheme="minorBidi"/>
          <w:caps w:val="0"/>
          <w:noProof/>
          <w:szCs w:val="22"/>
          <w:lang w:eastAsia="en-GB"/>
        </w:rPr>
      </w:pPr>
      <w:hyperlink w:anchor="_Toc464198985" w:history="1">
        <w:r w:rsidR="006F5144" w:rsidRPr="003C71EE">
          <w:rPr>
            <w:rStyle w:val="Hyperlink"/>
            <w:noProof/>
          </w:rPr>
          <w:t>6.</w:t>
        </w:r>
        <w:r w:rsidR="006F5144">
          <w:rPr>
            <w:rFonts w:asciiTheme="minorHAnsi" w:eastAsiaTheme="minorEastAsia" w:hAnsiTheme="minorHAnsi" w:cstheme="minorBidi"/>
            <w:caps w:val="0"/>
            <w:noProof/>
            <w:szCs w:val="22"/>
            <w:lang w:eastAsia="en-GB"/>
          </w:rPr>
          <w:tab/>
        </w:r>
        <w:r w:rsidR="006F5144" w:rsidRPr="003C71EE">
          <w:rPr>
            <w:rStyle w:val="Hyperlink"/>
            <w:noProof/>
          </w:rPr>
          <w:t>REFERENCES</w:t>
        </w:r>
        <w:r w:rsidR="006F5144">
          <w:rPr>
            <w:noProof/>
            <w:webHidden/>
          </w:rPr>
          <w:tab/>
        </w:r>
        <w:r w:rsidR="006F5144">
          <w:rPr>
            <w:noProof/>
            <w:webHidden/>
          </w:rPr>
          <w:fldChar w:fldCharType="begin"/>
        </w:r>
        <w:r w:rsidR="006F5144">
          <w:rPr>
            <w:noProof/>
            <w:webHidden/>
          </w:rPr>
          <w:instrText xml:space="preserve"> PAGEREF _Toc464198985 \h </w:instrText>
        </w:r>
        <w:r w:rsidR="006F5144">
          <w:rPr>
            <w:noProof/>
            <w:webHidden/>
          </w:rPr>
        </w:r>
        <w:r w:rsidR="006F5144">
          <w:rPr>
            <w:noProof/>
            <w:webHidden/>
          </w:rPr>
          <w:fldChar w:fldCharType="separate"/>
        </w:r>
        <w:r w:rsidR="00D47B37">
          <w:rPr>
            <w:noProof/>
            <w:webHidden/>
          </w:rPr>
          <w:t>17</w:t>
        </w:r>
        <w:r w:rsidR="006F5144">
          <w:rPr>
            <w:noProof/>
            <w:webHidden/>
          </w:rPr>
          <w:fldChar w:fldCharType="end"/>
        </w:r>
      </w:hyperlink>
    </w:p>
    <w:p w14:paraId="7A5BDC7A" w14:textId="77777777" w:rsidR="006F5144" w:rsidRDefault="0003406A">
      <w:pPr>
        <w:pStyle w:val="TOC1"/>
        <w:rPr>
          <w:rFonts w:asciiTheme="minorHAnsi" w:eastAsiaTheme="minorEastAsia" w:hAnsiTheme="minorHAnsi" w:cstheme="minorBidi"/>
          <w:caps w:val="0"/>
          <w:noProof/>
          <w:szCs w:val="22"/>
          <w:lang w:eastAsia="en-GB"/>
        </w:rPr>
      </w:pPr>
      <w:hyperlink w:anchor="_Toc464198986" w:history="1">
        <w:r w:rsidR="006F5144" w:rsidRPr="003C71EE">
          <w:rPr>
            <w:rStyle w:val="Hyperlink"/>
            <w:noProof/>
          </w:rPr>
          <w:t>7.</w:t>
        </w:r>
        <w:r w:rsidR="006F5144">
          <w:rPr>
            <w:rFonts w:asciiTheme="minorHAnsi" w:eastAsiaTheme="minorEastAsia" w:hAnsiTheme="minorHAnsi" w:cstheme="minorBidi"/>
            <w:caps w:val="0"/>
            <w:noProof/>
            <w:szCs w:val="22"/>
            <w:lang w:eastAsia="en-GB"/>
          </w:rPr>
          <w:tab/>
        </w:r>
        <w:r w:rsidR="006F5144" w:rsidRPr="003C71EE">
          <w:rPr>
            <w:rStyle w:val="Hyperlink"/>
            <w:noProof/>
          </w:rPr>
          <w:t>GLOSSARY AND ABBREVIATIONS</w:t>
        </w:r>
        <w:r w:rsidR="006F5144">
          <w:rPr>
            <w:noProof/>
            <w:webHidden/>
          </w:rPr>
          <w:tab/>
        </w:r>
        <w:r w:rsidR="006F5144">
          <w:rPr>
            <w:noProof/>
            <w:webHidden/>
          </w:rPr>
          <w:fldChar w:fldCharType="begin"/>
        </w:r>
        <w:r w:rsidR="006F5144">
          <w:rPr>
            <w:noProof/>
            <w:webHidden/>
          </w:rPr>
          <w:instrText xml:space="preserve"> PAGEREF _Toc464198986 \h </w:instrText>
        </w:r>
        <w:r w:rsidR="006F5144">
          <w:rPr>
            <w:noProof/>
            <w:webHidden/>
          </w:rPr>
        </w:r>
        <w:r w:rsidR="006F5144">
          <w:rPr>
            <w:noProof/>
            <w:webHidden/>
          </w:rPr>
          <w:fldChar w:fldCharType="separate"/>
        </w:r>
        <w:r w:rsidR="00D47B37">
          <w:rPr>
            <w:noProof/>
            <w:webHidden/>
          </w:rPr>
          <w:t>18</w:t>
        </w:r>
        <w:r w:rsidR="006F5144">
          <w:rPr>
            <w:noProof/>
            <w:webHidden/>
          </w:rPr>
          <w:fldChar w:fldCharType="end"/>
        </w:r>
      </w:hyperlink>
    </w:p>
    <w:p w14:paraId="31263E44" w14:textId="77777777" w:rsidR="008E67CB" w:rsidRPr="009D15EC" w:rsidRDefault="004750A2" w:rsidP="000C16CF">
      <w:pPr>
        <w:jc w:val="both"/>
      </w:pPr>
      <w:r w:rsidRPr="009D15EC">
        <w:fldChar w:fldCharType="end"/>
      </w:r>
    </w:p>
    <w:p w14:paraId="232F799E" w14:textId="77777777" w:rsidR="00604F23" w:rsidRPr="009D15EC" w:rsidRDefault="00604F23" w:rsidP="000C16CF">
      <w:pPr>
        <w:jc w:val="both"/>
      </w:pPr>
    </w:p>
    <w:p w14:paraId="6F595DBD" w14:textId="77777777" w:rsidR="00F96DFE" w:rsidRPr="009D15EC" w:rsidRDefault="00F96DFE" w:rsidP="000C16CF">
      <w:pPr>
        <w:jc w:val="both"/>
        <w:outlineLvl w:val="1"/>
        <w:rPr>
          <w:rFonts w:cs="Arial"/>
          <w:bCs/>
          <w:i/>
          <w:kern w:val="36"/>
          <w:sz w:val="16"/>
          <w:szCs w:val="16"/>
        </w:rPr>
      </w:pPr>
    </w:p>
    <w:p w14:paraId="526E1678" w14:textId="77777777" w:rsidR="00F96DFE" w:rsidRPr="009D15EC" w:rsidRDefault="00F96DFE" w:rsidP="000C16CF">
      <w:pPr>
        <w:jc w:val="both"/>
        <w:outlineLvl w:val="1"/>
        <w:rPr>
          <w:rFonts w:cs="Arial"/>
          <w:bCs/>
          <w:i/>
          <w:kern w:val="36"/>
          <w:sz w:val="16"/>
          <w:szCs w:val="16"/>
        </w:rPr>
      </w:pPr>
    </w:p>
    <w:p w14:paraId="6460C857" w14:textId="77777777" w:rsidR="00F96DFE" w:rsidRPr="009D15EC" w:rsidRDefault="00F96DFE" w:rsidP="000C16CF">
      <w:pPr>
        <w:jc w:val="both"/>
        <w:outlineLvl w:val="1"/>
        <w:rPr>
          <w:rFonts w:cs="Arial"/>
          <w:bCs/>
          <w:i/>
          <w:kern w:val="36"/>
          <w:sz w:val="16"/>
          <w:szCs w:val="16"/>
        </w:rPr>
      </w:pPr>
    </w:p>
    <w:p w14:paraId="6FF2AE22" w14:textId="77777777" w:rsidR="00F96DFE" w:rsidRPr="009D15EC" w:rsidRDefault="00F96DFE" w:rsidP="000C16CF">
      <w:pPr>
        <w:jc w:val="both"/>
        <w:outlineLvl w:val="1"/>
        <w:rPr>
          <w:rFonts w:cs="Arial"/>
          <w:bCs/>
          <w:i/>
          <w:kern w:val="36"/>
          <w:sz w:val="16"/>
          <w:szCs w:val="16"/>
        </w:rPr>
      </w:pPr>
    </w:p>
    <w:p w14:paraId="4C0F4A35" w14:textId="77777777" w:rsidR="00F96DFE" w:rsidRPr="009D15EC" w:rsidRDefault="00F96DFE" w:rsidP="000C16CF">
      <w:pPr>
        <w:jc w:val="both"/>
        <w:outlineLvl w:val="1"/>
        <w:rPr>
          <w:rFonts w:cs="Arial"/>
          <w:bCs/>
          <w:i/>
          <w:kern w:val="36"/>
          <w:sz w:val="16"/>
          <w:szCs w:val="16"/>
        </w:rPr>
      </w:pPr>
    </w:p>
    <w:p w14:paraId="019EB6D6" w14:textId="77777777" w:rsidR="003D71E5" w:rsidRDefault="003D71E5" w:rsidP="000C16CF">
      <w:pPr>
        <w:jc w:val="both"/>
        <w:outlineLvl w:val="1"/>
        <w:rPr>
          <w:rFonts w:cs="Arial"/>
          <w:bCs/>
          <w:i/>
          <w:kern w:val="36"/>
          <w:sz w:val="16"/>
          <w:szCs w:val="16"/>
        </w:rPr>
      </w:pPr>
    </w:p>
    <w:p w14:paraId="40D8F294" w14:textId="77777777" w:rsidR="003D71E5" w:rsidRDefault="003D71E5" w:rsidP="000C16CF">
      <w:pPr>
        <w:jc w:val="both"/>
        <w:outlineLvl w:val="1"/>
        <w:rPr>
          <w:rFonts w:cs="Arial"/>
          <w:bCs/>
          <w:i/>
          <w:kern w:val="36"/>
          <w:sz w:val="16"/>
          <w:szCs w:val="16"/>
        </w:rPr>
      </w:pPr>
    </w:p>
    <w:p w14:paraId="6B754FD5" w14:textId="77777777" w:rsidR="00F96DFE" w:rsidRDefault="00F96DFE" w:rsidP="000C16CF">
      <w:pPr>
        <w:jc w:val="both"/>
        <w:outlineLvl w:val="1"/>
        <w:rPr>
          <w:rFonts w:cs="Arial"/>
          <w:bCs/>
          <w:i/>
          <w:kern w:val="36"/>
          <w:sz w:val="16"/>
          <w:szCs w:val="16"/>
        </w:rPr>
      </w:pPr>
    </w:p>
    <w:p w14:paraId="0E848EED" w14:textId="77777777" w:rsidR="00A729F9" w:rsidRPr="009D15EC" w:rsidRDefault="00A729F9" w:rsidP="000C16CF">
      <w:pPr>
        <w:jc w:val="both"/>
        <w:outlineLvl w:val="1"/>
        <w:rPr>
          <w:rFonts w:cs="Arial"/>
          <w:bCs/>
          <w:i/>
          <w:kern w:val="36"/>
          <w:sz w:val="16"/>
          <w:szCs w:val="16"/>
        </w:rPr>
      </w:pPr>
    </w:p>
    <w:p w14:paraId="0E6BC6FC" w14:textId="77777777" w:rsidR="00F96DFE" w:rsidRPr="009D15EC" w:rsidRDefault="00F96DFE" w:rsidP="000C16CF">
      <w:pPr>
        <w:jc w:val="both"/>
        <w:outlineLvl w:val="1"/>
        <w:rPr>
          <w:rFonts w:cs="Arial"/>
          <w:bCs/>
          <w:i/>
          <w:kern w:val="36"/>
          <w:sz w:val="16"/>
          <w:szCs w:val="16"/>
        </w:rPr>
      </w:pPr>
    </w:p>
    <w:p w14:paraId="57BD5D74" w14:textId="2356EF88" w:rsidR="00F96DFE" w:rsidRPr="009D15EC" w:rsidRDefault="00F96DFE" w:rsidP="000C16CF">
      <w:pPr>
        <w:jc w:val="both"/>
        <w:outlineLvl w:val="1"/>
        <w:rPr>
          <w:rFonts w:cs="Arial"/>
          <w:bCs/>
          <w:i/>
          <w:kern w:val="36"/>
          <w:sz w:val="16"/>
          <w:szCs w:val="16"/>
        </w:rPr>
      </w:pPr>
      <w:r w:rsidRPr="009D15EC">
        <w:rPr>
          <w:rFonts w:cs="Arial"/>
          <w:bCs/>
          <w:i/>
          <w:kern w:val="36"/>
          <w:sz w:val="16"/>
          <w:szCs w:val="16"/>
        </w:rPr>
        <w:t xml:space="preserve">© </w:t>
      </w:r>
      <w:r w:rsidR="00532D01" w:rsidRPr="009D15EC">
        <w:rPr>
          <w:rFonts w:cs="Arial"/>
          <w:bCs/>
          <w:i/>
          <w:kern w:val="36"/>
          <w:sz w:val="16"/>
          <w:szCs w:val="16"/>
        </w:rPr>
        <w:t>Off</w:t>
      </w:r>
      <w:r w:rsidR="00873A9D">
        <w:rPr>
          <w:rFonts w:cs="Arial"/>
          <w:bCs/>
          <w:i/>
          <w:kern w:val="36"/>
          <w:sz w:val="16"/>
          <w:szCs w:val="16"/>
        </w:rPr>
        <w:t xml:space="preserve">ice for Nuclear Regulation, </w:t>
      </w:r>
      <w:r w:rsidR="00A44163">
        <w:rPr>
          <w:rFonts w:cs="Arial"/>
          <w:bCs/>
          <w:i/>
          <w:kern w:val="36"/>
          <w:sz w:val="16"/>
          <w:szCs w:val="16"/>
        </w:rPr>
        <w:t>202</w:t>
      </w:r>
      <w:r w:rsidR="00913B80">
        <w:rPr>
          <w:rFonts w:cs="Arial"/>
          <w:bCs/>
          <w:i/>
          <w:kern w:val="36"/>
          <w:sz w:val="16"/>
          <w:szCs w:val="16"/>
        </w:rPr>
        <w:t>2</w:t>
      </w:r>
    </w:p>
    <w:p w14:paraId="16B715EB" w14:textId="77777777" w:rsidR="00F96DFE" w:rsidRPr="009D15EC" w:rsidRDefault="00F96DFE" w:rsidP="000C16CF">
      <w:pPr>
        <w:jc w:val="both"/>
        <w:outlineLvl w:val="1"/>
        <w:rPr>
          <w:rFonts w:ascii="Times New Roman" w:hAnsi="Times New Roman"/>
          <w:bCs/>
          <w:kern w:val="36"/>
          <w:sz w:val="16"/>
          <w:szCs w:val="16"/>
        </w:rPr>
      </w:pPr>
      <w:r w:rsidRPr="009D15EC">
        <w:rPr>
          <w:rFonts w:cs="Arial"/>
          <w:bCs/>
          <w:kern w:val="36"/>
          <w:sz w:val="16"/>
          <w:szCs w:val="16"/>
        </w:rPr>
        <w:t xml:space="preserve">If you wish to reuse this information visit </w:t>
      </w:r>
      <w:hyperlink r:id="rId9" w:tooltip="blocked::blocked::BLOCKED::http://www.hse.gov.uk/copyright&#10;blocked::BLOCKED::http://www.hse.gov.uk/copyright&#10;http://www.hse.gov.uk/copyright" w:history="1"/>
      <w:hyperlink r:id="rId10" w:tooltip="http://www.onr.org.uk/copyright" w:history="1">
        <w:r w:rsidRPr="009D15EC">
          <w:rPr>
            <w:rStyle w:val="Hyperlink"/>
            <w:rFonts w:cs="Arial"/>
            <w:bCs/>
            <w:kern w:val="36"/>
            <w:sz w:val="16"/>
            <w:szCs w:val="16"/>
          </w:rPr>
          <w:t>www.onr.org.uk/copyright</w:t>
        </w:r>
      </w:hyperlink>
      <w:r w:rsidRPr="009D15EC">
        <w:rPr>
          <w:rFonts w:cs="Arial"/>
          <w:bCs/>
          <w:kern w:val="36"/>
          <w:sz w:val="16"/>
          <w:szCs w:val="16"/>
        </w:rPr>
        <w:t> for details</w:t>
      </w:r>
      <w:r w:rsidR="00433E13">
        <w:rPr>
          <w:rFonts w:cs="Arial"/>
          <w:bCs/>
          <w:kern w:val="36"/>
          <w:sz w:val="16"/>
          <w:szCs w:val="16"/>
        </w:rPr>
        <w:t xml:space="preserve">.  </w:t>
      </w:r>
    </w:p>
    <w:p w14:paraId="08D085A2" w14:textId="4DD1209A" w:rsidR="009B5159" w:rsidRPr="00D0114E" w:rsidRDefault="00F96DFE" w:rsidP="00D0114E">
      <w:pPr>
        <w:jc w:val="both"/>
        <w:outlineLvl w:val="1"/>
        <w:rPr>
          <w:bCs/>
          <w:kern w:val="36"/>
          <w:sz w:val="16"/>
          <w:szCs w:val="16"/>
        </w:rPr>
      </w:pPr>
      <w:r w:rsidRPr="009D15EC">
        <w:rPr>
          <w:rFonts w:cs="Arial"/>
          <w:bCs/>
          <w:kern w:val="36"/>
          <w:sz w:val="16"/>
          <w:szCs w:val="16"/>
        </w:rPr>
        <w:t xml:space="preserve">Published </w:t>
      </w:r>
      <w:r w:rsidR="00913B80">
        <w:rPr>
          <w:rFonts w:cs="Arial"/>
          <w:bCs/>
          <w:kern w:val="36"/>
          <w:sz w:val="16"/>
          <w:szCs w:val="16"/>
        </w:rPr>
        <w:t>12/22</w:t>
      </w:r>
    </w:p>
    <w:p w14:paraId="42A3403D" w14:textId="77777777" w:rsidR="005E13C2" w:rsidRPr="009D15EC" w:rsidRDefault="009B5159" w:rsidP="000C16CF">
      <w:pPr>
        <w:pStyle w:val="TSHeadingNumbered1"/>
        <w:jc w:val="both"/>
      </w:pPr>
      <w:bookmarkStart w:id="0" w:name="_Toc464198980"/>
      <w:r w:rsidRPr="009D15EC">
        <w:lastRenderedPageBreak/>
        <w:t>INTRODUCTION</w:t>
      </w:r>
      <w:bookmarkEnd w:id="0"/>
    </w:p>
    <w:p w14:paraId="0BE43A55" w14:textId="77777777" w:rsidR="009B5159" w:rsidRDefault="00801913" w:rsidP="000C16CF">
      <w:pPr>
        <w:pStyle w:val="TSNumberedParagraph11"/>
        <w:jc w:val="both"/>
      </w:pPr>
      <w:r>
        <w:t>The Office for Nuclear regulation (</w:t>
      </w:r>
      <w:r w:rsidR="009B5159" w:rsidRPr="009D15EC">
        <w:t>ONR</w:t>
      </w:r>
      <w:r>
        <w:t>)</w:t>
      </w:r>
      <w:r w:rsidR="00521F43">
        <w:t xml:space="preserve"> has established</w:t>
      </w:r>
      <w:r w:rsidR="005F01BB">
        <w:t xml:space="preserve"> s</w:t>
      </w:r>
      <w:r w:rsidR="009B5159" w:rsidRPr="009D15EC">
        <w:t>afe</w:t>
      </w:r>
      <w:r w:rsidR="005F01BB">
        <w:t>ty assessment p</w:t>
      </w:r>
      <w:r w:rsidR="00812963">
        <w:t>rinciples (SAP)</w:t>
      </w:r>
      <w:r w:rsidR="009D15EC">
        <w:t xml:space="preserve"> </w:t>
      </w:r>
      <w:r w:rsidR="00812963" w:rsidRPr="00917CBA">
        <w:t>[3</w:t>
      </w:r>
      <w:r w:rsidR="009D15EC" w:rsidRPr="00917CBA">
        <w:t>]</w:t>
      </w:r>
      <w:r w:rsidR="00433E13">
        <w:t xml:space="preserve">.  </w:t>
      </w:r>
      <w:r w:rsidR="00060856">
        <w:t xml:space="preserve"> </w:t>
      </w:r>
      <w:r w:rsidR="00AE608F">
        <w:t>These principles apply</w:t>
      </w:r>
      <w:r w:rsidR="009B5159" w:rsidRPr="009D15EC">
        <w:t xml:space="preserve"> to assessment by ONR specialist inspectors of safety cases</w:t>
      </w:r>
      <w:r w:rsidR="00DF2F50">
        <w:rPr>
          <w:rStyle w:val="FootnoteReference"/>
        </w:rPr>
        <w:footnoteReference w:id="1"/>
      </w:r>
      <w:r w:rsidR="009B5159" w:rsidRPr="009D15EC">
        <w:t xml:space="preserve"> for </w:t>
      </w:r>
      <w:r w:rsidR="00137CEE">
        <w:t xml:space="preserve">potential and existing </w:t>
      </w:r>
      <w:r w:rsidR="009B5159" w:rsidRPr="009D15EC">
        <w:t>nuclear facilities</w:t>
      </w:r>
      <w:r w:rsidR="00433E13">
        <w:t xml:space="preserve">.  </w:t>
      </w:r>
      <w:r w:rsidR="009B5159" w:rsidRPr="009D15EC">
        <w:t xml:space="preserve"> The SAPs are supported by a suite of guides to further assist ONR’s inspectors in their technical assessment work of making regulatory judgements and decisions</w:t>
      </w:r>
      <w:r w:rsidR="00433E13">
        <w:t xml:space="preserve">.  </w:t>
      </w:r>
      <w:r w:rsidR="009B5159" w:rsidRPr="009D15EC">
        <w:t xml:space="preserve"> This technical assessment guide is one of these guides.</w:t>
      </w:r>
    </w:p>
    <w:p w14:paraId="4D9E7E02" w14:textId="77777777" w:rsidR="00D11D18" w:rsidRDefault="005F01BB" w:rsidP="00D11D18">
      <w:pPr>
        <w:pStyle w:val="TSNumberedParagraph11"/>
        <w:jc w:val="both"/>
      </w:pPr>
      <w:r>
        <w:t>Technical assessment g</w:t>
      </w:r>
      <w:r w:rsidR="00D11D18">
        <w:t>uides (TAGs) primarily provide guidance to ONR inspectors on the interpretation and application of the SAPs. They also contain guidance relevant to principles underlining the enforcement of licence condition co</w:t>
      </w:r>
      <w:r>
        <w:t>mpliance which supplements the technical inspection g</w:t>
      </w:r>
      <w:r w:rsidR="00D11D18">
        <w:t>uides (TIGs)</w:t>
      </w:r>
      <w:r w:rsidR="005B42C8">
        <w:t xml:space="preserve"> </w:t>
      </w:r>
      <w:r w:rsidR="00D11D18">
        <w:t>[2]. Thus the TAGs have relevance to all inspectors within ONR,</w:t>
      </w:r>
      <w:r>
        <w:t xml:space="preserve"> regardless of function. The guides</w:t>
      </w:r>
      <w:r w:rsidR="00D11D18">
        <w:t xml:space="preserve"> also provide information to licensees regarding ONR’s expectations of the nature and content of relevant technical elements of </w:t>
      </w:r>
      <w:r w:rsidR="00545887">
        <w:t>licensees’</w:t>
      </w:r>
      <w:r>
        <w:t xml:space="preserve"> submissions</w:t>
      </w:r>
      <w:r w:rsidR="00D11D18">
        <w:t>.</w:t>
      </w:r>
    </w:p>
    <w:p w14:paraId="5454F63B" w14:textId="77777777" w:rsidR="00A729F9" w:rsidRDefault="002D19FC">
      <w:pPr>
        <w:pStyle w:val="TSNumberedParagraph11"/>
        <w:jc w:val="both"/>
      </w:pPr>
      <w:r>
        <w:t xml:space="preserve">Asset </w:t>
      </w:r>
      <w:r w:rsidR="005F01BB">
        <w:t>m</w:t>
      </w:r>
      <w:r w:rsidR="00FC619F">
        <w:t>anagement</w:t>
      </w:r>
      <w:r w:rsidR="00AE608F">
        <w:t xml:space="preserve"> has been </w:t>
      </w:r>
      <w:r w:rsidR="00BF3F51">
        <w:t>identified</w:t>
      </w:r>
      <w:r w:rsidR="00AE608F">
        <w:t xml:space="preserve"> by ONR as a key strategic factor to </w:t>
      </w:r>
      <w:r w:rsidR="00801913">
        <w:t xml:space="preserve">the safe </w:t>
      </w:r>
      <w:r w:rsidR="00B71C3C">
        <w:t xml:space="preserve">and secure </w:t>
      </w:r>
      <w:r w:rsidR="00801913">
        <w:t xml:space="preserve">management of the UK’s </w:t>
      </w:r>
      <w:r w:rsidR="00224BC2">
        <w:t xml:space="preserve">new and </w:t>
      </w:r>
      <w:r w:rsidR="00545887">
        <w:t xml:space="preserve">existing </w:t>
      </w:r>
      <w:r w:rsidR="00801913">
        <w:t>nuclear infrastructure</w:t>
      </w:r>
      <w:r w:rsidR="00433E13">
        <w:t xml:space="preserve">.   </w:t>
      </w:r>
      <w:r w:rsidR="00D22EF5">
        <w:t xml:space="preserve">ONR considers </w:t>
      </w:r>
      <w:r w:rsidR="00224BC2">
        <w:t>Asset Management</w:t>
      </w:r>
      <w:r w:rsidR="00D22EF5">
        <w:t xml:space="preserve"> to be </w:t>
      </w:r>
      <w:r w:rsidR="00F007C1">
        <w:t xml:space="preserve">important </w:t>
      </w:r>
      <w:r w:rsidR="00224BC2">
        <w:t xml:space="preserve">for </w:t>
      </w:r>
      <w:r w:rsidR="00F007C1">
        <w:t>duty-</w:t>
      </w:r>
      <w:r w:rsidR="00AE608F">
        <w:t>holders</w:t>
      </w:r>
      <w:r w:rsidR="00D22EF5">
        <w:t xml:space="preserve"> in order</w:t>
      </w:r>
      <w:r w:rsidR="00224BC2">
        <w:t xml:space="preserve"> to</w:t>
      </w:r>
      <w:r w:rsidR="00AE608F">
        <w:t xml:space="preserve"> effective</w:t>
      </w:r>
      <w:r w:rsidR="00F007C1">
        <w:t>ly</w:t>
      </w:r>
      <w:r w:rsidR="00FC619F">
        <w:t xml:space="preserve"> </w:t>
      </w:r>
      <w:r w:rsidR="00D22EF5">
        <w:t xml:space="preserve">manage </w:t>
      </w:r>
      <w:r w:rsidR="00AE608F">
        <w:t xml:space="preserve">all facilities on </w:t>
      </w:r>
      <w:r w:rsidR="00A110E0">
        <w:t xml:space="preserve">a </w:t>
      </w:r>
      <w:r w:rsidR="00AE608F">
        <w:t>nuclear licensed site</w:t>
      </w:r>
      <w:r w:rsidR="00594CF4">
        <w:t xml:space="preserve"> </w:t>
      </w:r>
      <w:r w:rsidR="00224BC2">
        <w:t xml:space="preserve">that have </w:t>
      </w:r>
      <w:r w:rsidR="00594CF4">
        <w:t xml:space="preserve">the ability to result in </w:t>
      </w:r>
      <w:r w:rsidR="00F5564F">
        <w:t>significant consequences</w:t>
      </w:r>
      <w:r w:rsidR="00A262B4">
        <w:t xml:space="preserve"> to safety, security or the environment</w:t>
      </w:r>
      <w:r w:rsidR="00433E13">
        <w:t xml:space="preserve">.  </w:t>
      </w:r>
      <w:r w:rsidR="00BF3F51">
        <w:t xml:space="preserve">ONR understands </w:t>
      </w:r>
      <w:r w:rsidR="00AE608F">
        <w:t xml:space="preserve">the need to </w:t>
      </w:r>
      <w:r w:rsidR="00801913">
        <w:t xml:space="preserve">support UK duty-holders in applying </w:t>
      </w:r>
      <w:r w:rsidR="005F01BB">
        <w:t>asset m</w:t>
      </w:r>
      <w:r w:rsidR="00FC619F">
        <w:t>anagement</w:t>
      </w:r>
      <w:r w:rsidR="00801913">
        <w:t xml:space="preserve"> effectively</w:t>
      </w:r>
      <w:r w:rsidR="00433E13">
        <w:t>.</w:t>
      </w:r>
    </w:p>
    <w:p w14:paraId="5A7717AA" w14:textId="77777777" w:rsidR="00AE608F" w:rsidRDefault="00AE608F">
      <w:pPr>
        <w:pStyle w:val="TSNumberedParagraph11"/>
        <w:jc w:val="both"/>
      </w:pPr>
      <w:r>
        <w:t xml:space="preserve">This guide </w:t>
      </w:r>
      <w:r w:rsidR="00F007C1">
        <w:t>sets out</w:t>
      </w:r>
      <w:r w:rsidR="00801913">
        <w:t xml:space="preserve"> </w:t>
      </w:r>
      <w:r w:rsidR="00224BC2">
        <w:t xml:space="preserve">what ONR considers </w:t>
      </w:r>
      <w:r w:rsidR="005F01BB">
        <w:t>relevant g</w:t>
      </w:r>
      <w:r w:rsidR="00D22EF5">
        <w:t>ood practice (RGP)</w:t>
      </w:r>
      <w:r w:rsidR="00224BC2">
        <w:t xml:space="preserve"> </w:t>
      </w:r>
      <w:r w:rsidR="00F007C1">
        <w:t>taken from</w:t>
      </w:r>
      <w:r>
        <w:t xml:space="preserve"> national and international guidance</w:t>
      </w:r>
      <w:r w:rsidR="00433E13">
        <w:t xml:space="preserve">.  </w:t>
      </w:r>
      <w:r w:rsidR="00F738B3">
        <w:t>T</w:t>
      </w:r>
      <w:r w:rsidR="00224BC2">
        <w:t xml:space="preserve">his guidance may be used for assessment of </w:t>
      </w:r>
      <w:r w:rsidR="00F738B3">
        <w:t xml:space="preserve">activities </w:t>
      </w:r>
      <w:r w:rsidR="00A729F9">
        <w:t xml:space="preserve">and safety submissions </w:t>
      </w:r>
      <w:r w:rsidR="00F738B3">
        <w:t xml:space="preserve">such as: </w:t>
      </w:r>
      <w:r w:rsidR="00224BC2">
        <w:t>periodic reviews of safety</w:t>
      </w:r>
      <w:r w:rsidR="00F738B3">
        <w:t xml:space="preserve"> cases</w:t>
      </w:r>
      <w:r w:rsidR="00224BC2">
        <w:t>,</w:t>
      </w:r>
      <w:r w:rsidR="00F738B3">
        <w:t xml:space="preserve"> construction or installation of new plant, modification or experiment on existing plant</w:t>
      </w:r>
      <w:r w:rsidR="00224BC2">
        <w:t xml:space="preserve"> </w:t>
      </w:r>
      <w:r w:rsidR="00F738B3">
        <w:t>or changes to examination, inspection, maintenance and testing.</w:t>
      </w:r>
    </w:p>
    <w:p w14:paraId="25D3B39E" w14:textId="77777777" w:rsidR="009B5159" w:rsidRPr="009D15EC" w:rsidRDefault="009B5159" w:rsidP="000C16CF">
      <w:pPr>
        <w:pStyle w:val="TSHeadingNumbered1"/>
        <w:jc w:val="both"/>
      </w:pPr>
      <w:bookmarkStart w:id="1" w:name="_Toc464198981"/>
      <w:r w:rsidRPr="009D15EC">
        <w:t>PURPOSE AND SCOPE</w:t>
      </w:r>
      <w:bookmarkEnd w:id="1"/>
    </w:p>
    <w:p w14:paraId="459E8C97" w14:textId="77777777" w:rsidR="007F131C" w:rsidRDefault="00A729F9" w:rsidP="00A729F9">
      <w:pPr>
        <w:pStyle w:val="TSNumberedParagraph11"/>
        <w:jc w:val="both"/>
      </w:pPr>
      <w:r w:rsidRPr="009D15EC">
        <w:t xml:space="preserve">This </w:t>
      </w:r>
      <w:r>
        <w:t>g</w:t>
      </w:r>
      <w:r w:rsidRPr="009D15EC">
        <w:t xml:space="preserve">uide </w:t>
      </w:r>
      <w:r>
        <w:t>presents additio</w:t>
      </w:r>
      <w:r w:rsidRPr="009D15EC">
        <w:t>nal information to support SAPs</w:t>
      </w:r>
      <w:r>
        <w:t xml:space="preserve"> </w:t>
      </w:r>
      <w:r w:rsidRPr="00917CBA">
        <w:t>[3]</w:t>
      </w:r>
      <w:r>
        <w:t xml:space="preserve"> that relate to Asset Management.  This guidance seeks to highlight the need to expand </w:t>
      </w:r>
      <w:proofErr w:type="spellStart"/>
      <w:r w:rsidR="00141A0E">
        <w:t>dutyholder</w:t>
      </w:r>
      <w:r>
        <w:t>s</w:t>
      </w:r>
      <w:proofErr w:type="spellEnd"/>
      <w:r>
        <w:t xml:space="preserve"> thinking and planning to take account of whole-of-life risks in respect to physical assets. </w:t>
      </w:r>
      <w:r w:rsidRPr="009D15EC">
        <w:t xml:space="preserve">It </w:t>
      </w:r>
      <w:r>
        <w:t>sets out regulatory expectations beyond those covered by routine examination, inspection, maintenance and testing (EIM&amp;T).</w:t>
      </w:r>
    </w:p>
    <w:p w14:paraId="6E844EAD" w14:textId="77777777" w:rsidR="000A674F" w:rsidRDefault="000A674F" w:rsidP="000A674F">
      <w:pPr>
        <w:pStyle w:val="TSNumberedParagraph11"/>
        <w:jc w:val="both"/>
      </w:pPr>
      <w:r>
        <w:t>This guidance is underpinned by existing standards</w:t>
      </w:r>
      <w:r w:rsidR="00B71C3C">
        <w:t xml:space="preserve"> and </w:t>
      </w:r>
      <w:r w:rsidR="003B31FF">
        <w:t xml:space="preserve">relevant good practice, including </w:t>
      </w:r>
      <w:r w:rsidR="00B71C3C">
        <w:t>ISO 55</w:t>
      </w:r>
      <w:r>
        <w:t>00</w:t>
      </w:r>
      <w:r w:rsidR="00A262B4">
        <w:t>1 [9]</w:t>
      </w:r>
      <w:r>
        <w:t xml:space="preserve">. It </w:t>
      </w:r>
      <w:r w:rsidR="00121D57">
        <w:t>should be noted</w:t>
      </w:r>
      <w:r>
        <w:t xml:space="preserve">, where </w:t>
      </w:r>
      <w:proofErr w:type="spellStart"/>
      <w:r>
        <w:t>dutyholder</w:t>
      </w:r>
      <w:r w:rsidR="00A262B4">
        <w:t>s</w:t>
      </w:r>
      <w:proofErr w:type="spellEnd"/>
      <w:r w:rsidR="00A262B4">
        <w:t>’</w:t>
      </w:r>
      <w:r>
        <w:t xml:space="preserve"> arrangements are found to meet recognised asset management standards, and </w:t>
      </w:r>
      <w:r w:rsidR="00121D57">
        <w:t xml:space="preserve">adequately </w:t>
      </w:r>
      <w:r>
        <w:t>demonstrate compliance with the licence conditions,</w:t>
      </w:r>
      <w:r w:rsidR="00121D57">
        <w:t xml:space="preserve"> this</w:t>
      </w:r>
      <w:r>
        <w:t xml:space="preserve"> guidance should not make additional demands upon them.</w:t>
      </w:r>
    </w:p>
    <w:p w14:paraId="64CB2A2C" w14:textId="77777777" w:rsidR="007F131C" w:rsidRDefault="007F131C" w:rsidP="007F131C">
      <w:pPr>
        <w:pStyle w:val="TSNumberedParagraph11"/>
        <w:jc w:val="both"/>
      </w:pPr>
      <w:r>
        <w:t xml:space="preserve">This guidance discusses issues ranging from initial design to decommissioning in order to drive proportionate consideration of long term issues. These issues include supply-chain, contract management and diversity and control of spares. The guidance also considers the need for through-life asset </w:t>
      </w:r>
      <w:r w:rsidRPr="002B377D">
        <w:t xml:space="preserve">management, comprising </w:t>
      </w:r>
      <w:r>
        <w:t>strategies</w:t>
      </w:r>
      <w:r w:rsidRPr="002B377D">
        <w:t>, plans and programmes for effective delivery</w:t>
      </w:r>
      <w:r>
        <w:t>. These include consideration of preservation plans as well as pro-active replacement projects, supply chain needs and their associated funding requirements.</w:t>
      </w:r>
    </w:p>
    <w:p w14:paraId="611DC667" w14:textId="77777777" w:rsidR="005E4EA3" w:rsidRDefault="005E4EA3" w:rsidP="00A729F9">
      <w:pPr>
        <w:pStyle w:val="TSNumberedParagraph11"/>
        <w:jc w:val="both"/>
      </w:pPr>
      <w:r>
        <w:t xml:space="preserve">The guidance has been developed to provide guidance to inspectors on </w:t>
      </w:r>
      <w:r w:rsidR="007F131C">
        <w:t xml:space="preserve">assessing the adequacy of </w:t>
      </w:r>
      <w:proofErr w:type="spellStart"/>
      <w:r w:rsidR="007F131C">
        <w:t>d</w:t>
      </w:r>
      <w:r w:rsidR="00141A0E">
        <w:t>utyholder</w:t>
      </w:r>
      <w:r w:rsidR="007F131C">
        <w:t>’s</w:t>
      </w:r>
      <w:proofErr w:type="spellEnd"/>
      <w:r w:rsidR="007F131C">
        <w:t xml:space="preserve"> asset management </w:t>
      </w:r>
      <w:r>
        <w:t>arrangements</w:t>
      </w:r>
      <w:r w:rsidR="007F131C">
        <w:t>, and how they are applied to ongoing safe operations</w:t>
      </w:r>
      <w:r>
        <w:t xml:space="preserve">. </w:t>
      </w:r>
      <w:r w:rsidR="007F131C">
        <w:t xml:space="preserve">ONR recognises that through future updates, the need </w:t>
      </w:r>
      <w:r>
        <w:t xml:space="preserve">for </w:t>
      </w:r>
      <w:r w:rsidR="007F131C">
        <w:lastRenderedPageBreak/>
        <w:t>a specific asset management TAG may be removed. This would be facilitated through the periodic update</w:t>
      </w:r>
      <w:r>
        <w:t xml:space="preserve"> </w:t>
      </w:r>
      <w:r w:rsidR="00A262B4">
        <w:t xml:space="preserve">of </w:t>
      </w:r>
      <w:r>
        <w:t xml:space="preserve">other </w:t>
      </w:r>
      <w:r w:rsidR="007F131C">
        <w:t xml:space="preserve">ONR </w:t>
      </w:r>
      <w:r>
        <w:t>guidance documents</w:t>
      </w:r>
      <w:r w:rsidR="007F131C">
        <w:t xml:space="preserve">, to include the respective requirements of asset management. This process would be controlled through the ongoing TAG review process. The </w:t>
      </w:r>
      <w:r>
        <w:t xml:space="preserve">integration of this TAG </w:t>
      </w:r>
      <w:r w:rsidR="007F131C">
        <w:t xml:space="preserve">by ONR into routine business should also be reflected in the </w:t>
      </w:r>
      <w:r>
        <w:t xml:space="preserve">duty-holders </w:t>
      </w:r>
      <w:r w:rsidR="007F131C">
        <w:t xml:space="preserve">own approach to asset management. As such, asset management should become integrated into ongoing operations. </w:t>
      </w:r>
    </w:p>
    <w:p w14:paraId="4E515740" w14:textId="77777777" w:rsidR="005E4EA3" w:rsidRPr="009D15EC" w:rsidRDefault="005E4EA3" w:rsidP="005E4EA3">
      <w:pPr>
        <w:pStyle w:val="TSNumberedParagraph11"/>
        <w:tabs>
          <w:tab w:val="clear" w:pos="-31680"/>
        </w:tabs>
        <w:jc w:val="both"/>
        <w:outlineLvl w:val="9"/>
      </w:pPr>
      <w:r>
        <w:t xml:space="preserve">Specialism specific annexes may be developed and published in support of this guidance.  If required, these annexes will offer detailed advice and guidance on discipline specific </w:t>
      </w:r>
      <w:r w:rsidR="007F131C">
        <w:t>a</w:t>
      </w:r>
      <w:r>
        <w:t xml:space="preserve">sset </w:t>
      </w:r>
      <w:r w:rsidR="007F131C">
        <w:t>m</w:t>
      </w:r>
      <w:r>
        <w:t>anagement issues. It is intended that the annexes will provide further support to inspector’s decisions and judgements.  Annexes will be produced and published as required</w:t>
      </w:r>
      <w:r w:rsidR="007F131C">
        <w:t>. These annexes may be published as assessments guides (TAG) or inspection guides (TIG) depending on their content and focus</w:t>
      </w:r>
      <w:r>
        <w:t>.</w:t>
      </w:r>
    </w:p>
    <w:p w14:paraId="218D196E" w14:textId="77777777" w:rsidR="004F3BD9" w:rsidRDefault="00FD4786" w:rsidP="004F3BD9">
      <w:pPr>
        <w:pStyle w:val="TSNumberedParagraph11"/>
        <w:jc w:val="both"/>
      </w:pPr>
      <w:r w:rsidRPr="009D15EC">
        <w:t xml:space="preserve">ONR recognises that </w:t>
      </w:r>
      <w:r w:rsidR="002D19FC">
        <w:t>asset m</w:t>
      </w:r>
      <w:r w:rsidR="00FC619F">
        <w:t>anagement</w:t>
      </w:r>
      <w:r w:rsidRPr="009D15EC">
        <w:t xml:space="preserve"> can apply to intangible assets such as knowledge and information</w:t>
      </w:r>
      <w:r w:rsidR="00D22EF5">
        <w:t>, however for the purpose of this guidance, only physical assets are included</w:t>
      </w:r>
      <w:r w:rsidR="00433E13">
        <w:t xml:space="preserve">.  </w:t>
      </w:r>
      <w:r w:rsidR="004F3BD9">
        <w:t xml:space="preserve">This guidance applies to all </w:t>
      </w:r>
      <w:r w:rsidR="00B26E9D">
        <w:t xml:space="preserve">physical </w:t>
      </w:r>
      <w:r w:rsidR="004F3BD9">
        <w:t xml:space="preserve">assets </w:t>
      </w:r>
      <w:r w:rsidR="00B26E9D">
        <w:t>with</w:t>
      </w:r>
      <w:r w:rsidR="004F3BD9">
        <w:t xml:space="preserve"> the ability to impact on safety</w:t>
      </w:r>
      <w:r w:rsidR="00DF2F50">
        <w:rPr>
          <w:rStyle w:val="FootnoteReference"/>
        </w:rPr>
        <w:footnoteReference w:id="2"/>
      </w:r>
      <w:r w:rsidR="00E84BF5">
        <w:t xml:space="preserve"> and security</w:t>
      </w:r>
      <w:r w:rsidR="00E11ADF">
        <w:t xml:space="preserve">. This includes assets that, </w:t>
      </w:r>
      <w:r w:rsidR="004F3BD9">
        <w:t>through their failure,</w:t>
      </w:r>
      <w:r w:rsidR="00E11ADF">
        <w:t xml:space="preserve"> may</w:t>
      </w:r>
      <w:r w:rsidR="004F3BD9">
        <w:t xml:space="preserve"> </w:t>
      </w:r>
      <w:r w:rsidR="00E11ADF">
        <w:t>increase</w:t>
      </w:r>
      <w:r w:rsidR="004F3BD9">
        <w:t xml:space="preserve"> the frequency of demand </w:t>
      </w:r>
      <w:r w:rsidR="00E11ADF">
        <w:t xml:space="preserve">placed </w:t>
      </w:r>
      <w:r w:rsidR="004F3BD9">
        <w:t xml:space="preserve">on plant protection </w:t>
      </w:r>
      <w:r w:rsidR="00E11ADF">
        <w:t>equipment</w:t>
      </w:r>
      <w:r w:rsidR="004F3BD9">
        <w:t>. These may include active and passive assets</w:t>
      </w:r>
      <w:r w:rsidR="00E11ADF">
        <w:t>,</w:t>
      </w:r>
      <w:r w:rsidR="004F3BD9">
        <w:t xml:space="preserve"> not explicitly discussed within the safety case</w:t>
      </w:r>
      <w:r w:rsidR="00E11ADF">
        <w:t>. They may however hold the</w:t>
      </w:r>
      <w:r w:rsidR="004F3BD9">
        <w:t xml:space="preserve"> potential to degrade existing lines of protection. </w:t>
      </w:r>
      <w:r w:rsidR="003B31FF">
        <w:t xml:space="preserve">This guidance may also apply to waste packages and storage containers for fuels and materials, due to the potential consequences of degradation of these packages/containers.  </w:t>
      </w:r>
      <w:r w:rsidR="004F3BD9">
        <w:t xml:space="preserve">For the purpose of this document these will be referred to as </w:t>
      </w:r>
      <w:r w:rsidR="000A674F">
        <w:t>Identified</w:t>
      </w:r>
      <w:r w:rsidR="004F3BD9" w:rsidRPr="00D11D18">
        <w:t xml:space="preserve"> Assets</w:t>
      </w:r>
      <w:r w:rsidR="004F3BD9" w:rsidRPr="004F3BD9">
        <w:t>.</w:t>
      </w:r>
    </w:p>
    <w:p w14:paraId="3D154902" w14:textId="77777777" w:rsidR="00D11D18" w:rsidRDefault="00D11D18" w:rsidP="00D11D18">
      <w:pPr>
        <w:pStyle w:val="TSNumberedParagraph11"/>
        <w:jc w:val="both"/>
      </w:pPr>
      <w:r>
        <w:t>In considering physical assets only, reference within the guide is focus</w:t>
      </w:r>
      <w:r w:rsidR="005F01BB">
        <w:t>ed exclusively on nuclear activities</w:t>
      </w:r>
      <w:r>
        <w:t xml:space="preserve">. It is however recognised that </w:t>
      </w:r>
      <w:proofErr w:type="spellStart"/>
      <w:r>
        <w:t>d</w:t>
      </w:r>
      <w:r w:rsidR="00141A0E">
        <w:t>utyholder</w:t>
      </w:r>
      <w:proofErr w:type="spellEnd"/>
      <w:r>
        <w:t xml:space="preserve"> decision making is multifaceted, taking account of many commercial factors of which safety</w:t>
      </w:r>
      <w:r w:rsidR="005F01BB">
        <w:t xml:space="preserve"> and security are but two.</w:t>
      </w:r>
      <w:r>
        <w:t xml:space="preserve"> ONR existing guidance in setting out ALARP justification includes financial considerations relating to cost when balancing investment decisions with reducing </w:t>
      </w:r>
      <w:r w:rsidR="002F68C9">
        <w:t xml:space="preserve">safety </w:t>
      </w:r>
      <w:r>
        <w:t>risks to as low as reasonably practicable.</w:t>
      </w:r>
    </w:p>
    <w:p w14:paraId="749EA678" w14:textId="77777777" w:rsidR="004F3BD9" w:rsidRPr="009D15EC" w:rsidRDefault="005F01BB" w:rsidP="004F3BD9">
      <w:pPr>
        <w:pStyle w:val="TSNumberedParagraph11"/>
        <w:jc w:val="both"/>
      </w:pPr>
      <w:r>
        <w:t>The term “asset management s</w:t>
      </w:r>
      <w:r w:rsidR="004F3BD9">
        <w:t>ystem</w:t>
      </w:r>
      <w:r>
        <w:t>” (AMS)</w:t>
      </w:r>
      <w:r w:rsidR="004F3BD9">
        <w:t xml:space="preserve"> applies to any arrangements used to control and manage tas</w:t>
      </w:r>
      <w:r>
        <w:t>ks associated with delivery of asset m</w:t>
      </w:r>
      <w:r w:rsidR="004F3BD9">
        <w:t xml:space="preserve">anagement </w:t>
      </w:r>
      <w:r w:rsidR="000F418E">
        <w:t>activities</w:t>
      </w:r>
      <w:r w:rsidR="004F3BD9">
        <w:t xml:space="preserve">. This may be a stand-alone, bespoke system or a process by which existing systems are utilised to deliver </w:t>
      </w:r>
      <w:r>
        <w:t>asset m</w:t>
      </w:r>
      <w:r w:rsidR="004F3BD9">
        <w:t xml:space="preserve">anagement objectives. </w:t>
      </w:r>
      <w:r w:rsidR="00E950E7">
        <w:t>Where the AMS is a standalone system,</w:t>
      </w:r>
      <w:r w:rsidR="003B31FF">
        <w:t xml:space="preserve"> </w:t>
      </w:r>
      <w:r w:rsidR="00E950E7">
        <w:t>it may</w:t>
      </w:r>
      <w:r w:rsidR="003B31FF">
        <w:t xml:space="preserve"> need to integrate with other systems such as risk management, investment planning and project delivery in order to </w:t>
      </w:r>
      <w:r w:rsidR="00E950E7">
        <w:t>deliver</w:t>
      </w:r>
      <w:r w:rsidR="003B31FF">
        <w:t xml:space="preserve"> asset management objectives.</w:t>
      </w:r>
    </w:p>
    <w:p w14:paraId="05653425" w14:textId="77777777" w:rsidR="0098632E" w:rsidRDefault="00137CEE" w:rsidP="005A7373">
      <w:pPr>
        <w:pStyle w:val="TSNumberedParagraph11"/>
        <w:tabs>
          <w:tab w:val="clear" w:pos="-31680"/>
        </w:tabs>
        <w:jc w:val="both"/>
        <w:outlineLvl w:val="9"/>
      </w:pPr>
      <w:r>
        <w:t xml:space="preserve">The guide </w:t>
      </w:r>
      <w:r w:rsidR="00DB7071" w:rsidRPr="009D15EC">
        <w:t xml:space="preserve">contains </w:t>
      </w:r>
      <w:r w:rsidR="0098632E">
        <w:t xml:space="preserve">additional </w:t>
      </w:r>
      <w:r>
        <w:t>advice</w:t>
      </w:r>
      <w:r w:rsidR="00DB7071" w:rsidRPr="009D15EC">
        <w:t xml:space="preserve"> </w:t>
      </w:r>
      <w:r w:rsidR="005D2B92">
        <w:t>to assist</w:t>
      </w:r>
      <w:r w:rsidR="0098632E">
        <w:t xml:space="preserve"> </w:t>
      </w:r>
      <w:r w:rsidR="00DB7071" w:rsidRPr="009D15EC">
        <w:t xml:space="preserve">inspectors in </w:t>
      </w:r>
      <w:r w:rsidR="005D2B92">
        <w:t xml:space="preserve">applying their </w:t>
      </w:r>
      <w:r w:rsidR="00DB7071" w:rsidRPr="009D15EC">
        <w:t>professional judgement</w:t>
      </w:r>
      <w:r w:rsidR="00433E13">
        <w:t xml:space="preserve">.  </w:t>
      </w:r>
      <w:r w:rsidR="005D2B92">
        <w:t xml:space="preserve">The guidance provides </w:t>
      </w:r>
      <w:r w:rsidR="0098632E">
        <w:t xml:space="preserve">information </w:t>
      </w:r>
      <w:r w:rsidR="005D2B92">
        <w:t>to support</w:t>
      </w:r>
      <w:r w:rsidR="00DB7071" w:rsidRPr="009D15EC">
        <w:t xml:space="preserve"> regulatory decisions </w:t>
      </w:r>
      <w:r w:rsidR="0098632E">
        <w:t xml:space="preserve">relating </w:t>
      </w:r>
      <w:r w:rsidR="00DB7071" w:rsidRPr="009D15EC">
        <w:t xml:space="preserve">to assessment of </w:t>
      </w:r>
      <w:r w:rsidR="002B377D">
        <w:t xml:space="preserve">licensees’ </w:t>
      </w:r>
      <w:r w:rsidR="00DB7071" w:rsidRPr="009D15EC">
        <w:t>safety submissions</w:t>
      </w:r>
      <w:r w:rsidR="00433E13">
        <w:t xml:space="preserve">.  </w:t>
      </w:r>
      <w:r w:rsidR="005D2B92">
        <w:t xml:space="preserve">The guidance </w:t>
      </w:r>
      <w:r w:rsidR="00A83532">
        <w:t>provides</w:t>
      </w:r>
      <w:r w:rsidR="009D15EC">
        <w:t xml:space="preserve"> a summary </w:t>
      </w:r>
      <w:r w:rsidR="00FF3EAA">
        <w:t xml:space="preserve">of </w:t>
      </w:r>
      <w:r w:rsidR="009D15EC">
        <w:t>relevant good practice taken from national and international sta</w:t>
      </w:r>
      <w:r w:rsidR="00A83532">
        <w:t>ndards</w:t>
      </w:r>
      <w:r w:rsidR="00433E13">
        <w:t xml:space="preserve">.  </w:t>
      </w:r>
      <w:r w:rsidR="0098632E">
        <w:t xml:space="preserve">ONR published guidance and </w:t>
      </w:r>
      <w:r>
        <w:t>commissioned</w:t>
      </w:r>
      <w:r w:rsidR="0098632E">
        <w:t xml:space="preserve"> r</w:t>
      </w:r>
      <w:r w:rsidR="00A83532">
        <w:t>esearc</w:t>
      </w:r>
      <w:r w:rsidR="0098632E">
        <w:t>h</w:t>
      </w:r>
      <w:r w:rsidR="00A83532">
        <w:t xml:space="preserve"> </w:t>
      </w:r>
      <w:r w:rsidR="0098632E">
        <w:t>has also</w:t>
      </w:r>
      <w:r>
        <w:t xml:space="preserve"> been </w:t>
      </w:r>
      <w:r w:rsidR="0098632E">
        <w:t>included</w:t>
      </w:r>
      <w:r w:rsidR="009D15EC">
        <w:t>.</w:t>
      </w:r>
      <w:r w:rsidR="00FF3EAA">
        <w:t xml:space="preserve"> Links back to the relevant source material are included throughout the guidance, relating to the reference section and denoted by </w:t>
      </w:r>
      <w:r w:rsidR="00FF3EAA" w:rsidRPr="00FF3EAA">
        <w:rPr>
          <w:vertAlign w:val="superscript"/>
        </w:rPr>
        <w:t>[#]</w:t>
      </w:r>
      <w:r w:rsidR="00B66086">
        <w:t>.</w:t>
      </w:r>
    </w:p>
    <w:p w14:paraId="168E2E4F" w14:textId="77777777" w:rsidR="00DB7071" w:rsidRPr="009D15EC" w:rsidRDefault="00DB7071" w:rsidP="000C16CF">
      <w:pPr>
        <w:pStyle w:val="TSNumberedParagraph11"/>
        <w:jc w:val="both"/>
        <w:outlineLvl w:val="9"/>
      </w:pPr>
      <w:r w:rsidRPr="009D15EC">
        <w:t xml:space="preserve">The guide is applicable to </w:t>
      </w:r>
      <w:r w:rsidR="00594CF4">
        <w:t xml:space="preserve">all </w:t>
      </w:r>
      <w:r w:rsidRPr="009D15EC">
        <w:t>plants</w:t>
      </w:r>
      <w:r w:rsidR="00594CF4">
        <w:t>, new</w:t>
      </w:r>
      <w:r w:rsidR="005D2B92">
        <w:t xml:space="preserve"> and existing</w:t>
      </w:r>
      <w:r w:rsidR="00433E13">
        <w:t xml:space="preserve">.  </w:t>
      </w:r>
      <w:r w:rsidR="0098632E">
        <w:t>The gu</w:t>
      </w:r>
      <w:r w:rsidR="005D2B92">
        <w:t>idance should be applie</w:t>
      </w:r>
      <w:r w:rsidR="0098632E">
        <w:t xml:space="preserve">d to all </w:t>
      </w:r>
      <w:r w:rsidR="007B2ACF">
        <w:t>stages</w:t>
      </w:r>
      <w:r w:rsidR="0098632E">
        <w:t xml:space="preserve"> of a</w:t>
      </w:r>
      <w:r w:rsidR="005D2B92">
        <w:t xml:space="preserve"> facilities life-cycle, through</w:t>
      </w:r>
      <w:r w:rsidR="005A7373">
        <w:t xml:space="preserve"> the</w:t>
      </w:r>
      <w:r w:rsidR="005D2B92">
        <w:t xml:space="preserve"> </w:t>
      </w:r>
      <w:r w:rsidRPr="009D15EC">
        <w:t>design, construction</w:t>
      </w:r>
      <w:r w:rsidR="005D2B92">
        <w:t xml:space="preserve">, </w:t>
      </w:r>
      <w:r w:rsidRPr="009D15EC">
        <w:t>commissioning</w:t>
      </w:r>
      <w:r w:rsidR="00137CEE">
        <w:t>,</w:t>
      </w:r>
      <w:r w:rsidR="00F60C20">
        <w:t xml:space="preserve"> operation</w:t>
      </w:r>
      <w:r w:rsidRPr="009D15EC">
        <w:t xml:space="preserve"> and decommissioning</w:t>
      </w:r>
      <w:r w:rsidR="00433E13">
        <w:t xml:space="preserve">.  </w:t>
      </w:r>
      <w:r w:rsidR="00FD3269" w:rsidRPr="009D15EC">
        <w:t xml:space="preserve">Due to </w:t>
      </w:r>
      <w:r w:rsidR="007B297A">
        <w:t>on</w:t>
      </w:r>
      <w:r w:rsidR="00870A56">
        <w:t>-</w:t>
      </w:r>
      <w:r w:rsidR="007B297A">
        <w:t>going</w:t>
      </w:r>
      <w:r w:rsidR="00FD3269" w:rsidRPr="009D15EC">
        <w:t xml:space="preserve"> development of</w:t>
      </w:r>
      <w:r w:rsidRPr="009D15EC">
        <w:t xml:space="preserve"> safety standards, existing </w:t>
      </w:r>
      <w:r w:rsidR="007B297A">
        <w:t>facilities</w:t>
      </w:r>
      <w:r w:rsidRPr="009D15EC">
        <w:t xml:space="preserve"> may not comply in every respect with the SAPs</w:t>
      </w:r>
      <w:r w:rsidR="00433E13">
        <w:t xml:space="preserve">.  </w:t>
      </w:r>
      <w:r w:rsidRPr="009D15EC">
        <w:t xml:space="preserve"> Where this is the case</w:t>
      </w:r>
      <w:r w:rsidR="005D2B92">
        <w:t>,</w:t>
      </w:r>
      <w:r w:rsidRPr="009D15EC">
        <w:t xml:space="preserve"> </w:t>
      </w:r>
      <w:r w:rsidR="00A43649">
        <w:t xml:space="preserve">the licensee should develop appropriate </w:t>
      </w:r>
      <w:r w:rsidRPr="009D15EC">
        <w:t>ALARP arguments</w:t>
      </w:r>
      <w:r w:rsidR="00A43649">
        <w:t>.</w:t>
      </w:r>
      <w:r w:rsidR="00433E13">
        <w:t xml:space="preserve">  </w:t>
      </w:r>
      <w:r w:rsidR="0059138D">
        <w:t>Its arguments</w:t>
      </w:r>
      <w:r w:rsidR="005D2B92">
        <w:t xml:space="preserve"> should </w:t>
      </w:r>
      <w:r w:rsidRPr="009D15EC">
        <w:t xml:space="preserve">take account of factors such as the age of the </w:t>
      </w:r>
      <w:r w:rsidR="007B297A">
        <w:t>facility</w:t>
      </w:r>
      <w:r w:rsidRPr="009D15EC">
        <w:t xml:space="preserve"> and projected lifetime</w:t>
      </w:r>
      <w:r w:rsidR="00594CF4">
        <w:t>, including decommissioning</w:t>
      </w:r>
      <w:r w:rsidRPr="009D15EC">
        <w:t>.</w:t>
      </w:r>
    </w:p>
    <w:p w14:paraId="67934F62" w14:textId="77777777" w:rsidR="00DB7071" w:rsidRPr="009D15EC" w:rsidRDefault="00DB7071" w:rsidP="000C16CF">
      <w:pPr>
        <w:pStyle w:val="TSNumberedParagraph11"/>
        <w:jc w:val="both"/>
        <w:outlineLvl w:val="9"/>
      </w:pPr>
      <w:r w:rsidRPr="009D15EC">
        <w:t>Th</w:t>
      </w:r>
      <w:r w:rsidR="00594CF4">
        <w:t>is</w:t>
      </w:r>
      <w:r w:rsidR="00F20DB8" w:rsidRPr="009D15EC">
        <w:t xml:space="preserve"> guide considers the claims made on </w:t>
      </w:r>
      <w:r w:rsidR="000A674F">
        <w:t>Identified Assets</w:t>
      </w:r>
      <w:r w:rsidR="00492074">
        <w:t xml:space="preserve"> that have the potential to affect </w:t>
      </w:r>
      <w:r w:rsidR="000F418E">
        <w:t>Safety, Security or Environmental (</w:t>
      </w:r>
      <w:proofErr w:type="spellStart"/>
      <w:r w:rsidR="00492074">
        <w:t>SSoE</w:t>
      </w:r>
      <w:proofErr w:type="spellEnd"/>
      <w:r w:rsidR="000F418E">
        <w:t>)</w:t>
      </w:r>
      <w:r w:rsidR="00492074">
        <w:t xml:space="preserve"> functions. </w:t>
      </w:r>
      <w:r w:rsidR="00433E13">
        <w:t xml:space="preserve"> </w:t>
      </w:r>
      <w:r w:rsidR="002C2787">
        <w:t xml:space="preserve">These claims can be in respect to the </w:t>
      </w:r>
      <w:r w:rsidR="00D22EF5">
        <w:t xml:space="preserve">support or </w:t>
      </w:r>
      <w:r w:rsidR="002C2787">
        <w:t xml:space="preserve">delivery of </w:t>
      </w:r>
      <w:proofErr w:type="spellStart"/>
      <w:r w:rsidR="00FC619F">
        <w:t>SSoE</w:t>
      </w:r>
      <w:proofErr w:type="spellEnd"/>
      <w:r w:rsidR="00F20DB8" w:rsidRPr="009D15EC">
        <w:t xml:space="preserve"> function</w:t>
      </w:r>
      <w:r w:rsidR="00FC619F">
        <w:t>s</w:t>
      </w:r>
      <w:r w:rsidR="00492074">
        <w:t xml:space="preserve"> through normal and fault conditions</w:t>
      </w:r>
      <w:r w:rsidR="00433E13">
        <w:t xml:space="preserve">.  </w:t>
      </w:r>
      <w:r w:rsidR="002C2787">
        <w:t xml:space="preserve">The guide </w:t>
      </w:r>
      <w:r w:rsidRPr="009D15EC">
        <w:t>takes account of the changing modes of operation that a facility may undergo during its life-cycle.</w:t>
      </w:r>
    </w:p>
    <w:p w14:paraId="195955C5" w14:textId="77777777" w:rsidR="00BE1A4E" w:rsidRDefault="00BE1A4E" w:rsidP="000C16CF">
      <w:pPr>
        <w:pStyle w:val="TSNumberedParagraph11"/>
        <w:jc w:val="both"/>
        <w:outlineLvl w:val="9"/>
      </w:pPr>
      <w:r w:rsidRPr="009D15EC">
        <w:t>Th</w:t>
      </w:r>
      <w:r w:rsidR="00594CF4">
        <w:t>is</w:t>
      </w:r>
      <w:r w:rsidRPr="009D15EC">
        <w:t xml:space="preserve"> guide was developed in</w:t>
      </w:r>
      <w:r w:rsidR="005A7373">
        <w:t xml:space="preserve"> </w:t>
      </w:r>
      <w:r w:rsidR="00137CEE">
        <w:t>line</w:t>
      </w:r>
      <w:r w:rsidRPr="009D15EC">
        <w:t xml:space="preserve"> </w:t>
      </w:r>
      <w:r w:rsidR="005A7373">
        <w:t xml:space="preserve">with </w:t>
      </w:r>
      <w:r w:rsidR="00D22EF5">
        <w:t>RGP</w:t>
      </w:r>
      <w:r w:rsidR="00137CEE">
        <w:t xml:space="preserve"> </w:t>
      </w:r>
      <w:r w:rsidR="00344881">
        <w:t xml:space="preserve">[7] </w:t>
      </w:r>
      <w:r w:rsidR="00137CEE">
        <w:t>and industry standards</w:t>
      </w:r>
      <w:r w:rsidR="00433E13">
        <w:t xml:space="preserve"> </w:t>
      </w:r>
      <w:r w:rsidR="00344881">
        <w:t>[5]</w:t>
      </w:r>
      <w:r w:rsidR="002F68C9">
        <w:t>.</w:t>
      </w:r>
      <w:r w:rsidR="00433E13">
        <w:t xml:space="preserve"> </w:t>
      </w:r>
      <w:r w:rsidR="002C2787">
        <w:t>It reflects the approaches and methods</w:t>
      </w:r>
      <w:r w:rsidRPr="009D15EC">
        <w:t xml:space="preserve"> </w:t>
      </w:r>
      <w:r w:rsidR="00C97434" w:rsidRPr="009D15EC">
        <w:t xml:space="preserve">implemented by </w:t>
      </w:r>
      <w:proofErr w:type="spellStart"/>
      <w:r w:rsidR="00C97434" w:rsidRPr="009D15EC">
        <w:t>d</w:t>
      </w:r>
      <w:r w:rsidR="00141A0E">
        <w:t>utyholder</w:t>
      </w:r>
      <w:r w:rsidR="00C97434" w:rsidRPr="009D15EC">
        <w:t>s</w:t>
      </w:r>
      <w:proofErr w:type="spellEnd"/>
      <w:r w:rsidR="00C97434" w:rsidRPr="009D15EC">
        <w:t xml:space="preserve"> in </w:t>
      </w:r>
      <w:r w:rsidR="002C2787">
        <w:t>managing</w:t>
      </w:r>
      <w:r w:rsidRPr="009D15EC">
        <w:t xml:space="preserve"> </w:t>
      </w:r>
      <w:r w:rsidR="000A674F">
        <w:t>Identified Assets</w:t>
      </w:r>
      <w:r w:rsidR="0059138D">
        <w:t xml:space="preserve"> </w:t>
      </w:r>
      <w:r w:rsidR="0059138D" w:rsidRPr="009D15EC">
        <w:t>throughout</w:t>
      </w:r>
      <w:r w:rsidR="00C97434" w:rsidRPr="009D15EC">
        <w:t xml:space="preserve"> their life</w:t>
      </w:r>
      <w:r w:rsidR="00FE3C67" w:rsidRPr="009D15EC">
        <w:t>-</w:t>
      </w:r>
      <w:r w:rsidR="00C97434" w:rsidRPr="009D15EC">
        <w:t>cycle</w:t>
      </w:r>
      <w:r w:rsidR="00433E13">
        <w:t xml:space="preserve">.  </w:t>
      </w:r>
    </w:p>
    <w:p w14:paraId="133C2103" w14:textId="77777777" w:rsidR="009B5159" w:rsidRPr="009D15EC" w:rsidRDefault="009B5159" w:rsidP="000C16CF">
      <w:pPr>
        <w:pStyle w:val="TSHeadingNumbered1"/>
        <w:jc w:val="both"/>
      </w:pPr>
      <w:bookmarkStart w:id="2" w:name="_Toc464198982"/>
      <w:r w:rsidRPr="009D15EC">
        <w:t>RELATIONSHIP TO LICENCE AND OTHER RELEVANT LEGISLATION</w:t>
      </w:r>
      <w:bookmarkEnd w:id="2"/>
    </w:p>
    <w:p w14:paraId="04CB3DA5" w14:textId="77777777" w:rsidR="008854EF" w:rsidRDefault="008854EF" w:rsidP="00D0114E">
      <w:pPr>
        <w:pStyle w:val="TSHeadingNumbered11"/>
      </w:pPr>
      <w:r>
        <w:t>Licence conditions</w:t>
      </w:r>
    </w:p>
    <w:p w14:paraId="04089659" w14:textId="77777777" w:rsidR="00795B0B" w:rsidRPr="009D15EC" w:rsidRDefault="00795B0B" w:rsidP="00D0114E">
      <w:pPr>
        <w:pStyle w:val="TSHeadingNumbered111"/>
      </w:pPr>
      <w:r w:rsidRPr="009D15EC">
        <w:t xml:space="preserve">Under the Nuclear Installations Act 1965, a set of 36 </w:t>
      </w:r>
      <w:r w:rsidR="00BE40C2">
        <w:t>s</w:t>
      </w:r>
      <w:r w:rsidRPr="009D15EC">
        <w:t xml:space="preserve">tandard </w:t>
      </w:r>
      <w:r w:rsidR="00BE40C2">
        <w:t>licence c</w:t>
      </w:r>
      <w:r w:rsidRPr="009D15EC">
        <w:t>onditions</w:t>
      </w:r>
      <w:r w:rsidR="00BE40C2">
        <w:t xml:space="preserve"> (LC)</w:t>
      </w:r>
      <w:r w:rsidRPr="009D15EC">
        <w:t xml:space="preserve"> attached to each nuclear site </w:t>
      </w:r>
      <w:r w:rsidR="0059138D" w:rsidRPr="009D15EC">
        <w:t>licence</w:t>
      </w:r>
      <w:r w:rsidR="0059138D">
        <w:rPr>
          <w:vertAlign w:val="superscript"/>
        </w:rPr>
        <w:t xml:space="preserve"> </w:t>
      </w:r>
      <w:r w:rsidR="0059138D" w:rsidRPr="00917CBA">
        <w:t>[</w:t>
      </w:r>
      <w:r w:rsidR="00521F43" w:rsidRPr="00917CBA">
        <w:t>1</w:t>
      </w:r>
      <w:r w:rsidRPr="00917CBA">
        <w:t>]</w:t>
      </w:r>
      <w:r w:rsidR="00433E13">
        <w:t xml:space="preserve">.  </w:t>
      </w:r>
      <w:r w:rsidRPr="009D15EC">
        <w:t xml:space="preserve">These conditions </w:t>
      </w:r>
      <w:r w:rsidR="002C2787" w:rsidRPr="009D15EC">
        <w:t xml:space="preserve">cover </w:t>
      </w:r>
      <w:r w:rsidR="002C2787">
        <w:t xml:space="preserve">the </w:t>
      </w:r>
      <w:r w:rsidR="00DB17DC">
        <w:t xml:space="preserve">facility lifecycle from </w:t>
      </w:r>
      <w:r w:rsidR="002C2787" w:rsidRPr="009D15EC">
        <w:t xml:space="preserve">design, construction, </w:t>
      </w:r>
      <w:r w:rsidR="00DB17DC">
        <w:t xml:space="preserve">and </w:t>
      </w:r>
      <w:r w:rsidR="002C2787" w:rsidRPr="009D15EC">
        <w:t>operation</w:t>
      </w:r>
      <w:r w:rsidR="00DB17DC">
        <w:t xml:space="preserve"> through to </w:t>
      </w:r>
      <w:r w:rsidR="002C2787" w:rsidRPr="009D15EC">
        <w:t>decommissioning</w:t>
      </w:r>
      <w:r w:rsidR="002C2787">
        <w:t xml:space="preserve"> </w:t>
      </w:r>
      <w:r w:rsidR="00DB17DC">
        <w:t>and include management oversight and reviews</w:t>
      </w:r>
      <w:r w:rsidR="00433E13">
        <w:t xml:space="preserve">.  </w:t>
      </w:r>
      <w:r w:rsidR="002C2787">
        <w:t>They</w:t>
      </w:r>
      <w:r w:rsidR="002C2787" w:rsidRPr="009D15EC">
        <w:t xml:space="preserve"> </w:t>
      </w:r>
      <w:r w:rsidRPr="009D15EC">
        <w:t xml:space="preserve">require </w:t>
      </w:r>
      <w:r w:rsidR="00DB17DC">
        <w:t xml:space="preserve">licensees’ or </w:t>
      </w:r>
      <w:r w:rsidR="00514776" w:rsidRPr="009D15EC">
        <w:t>duty-holder</w:t>
      </w:r>
      <w:r w:rsidRPr="009D15EC">
        <w:t>s to implement arrangements to ensure compliance</w:t>
      </w:r>
      <w:r w:rsidR="00433E13">
        <w:t xml:space="preserve">.  </w:t>
      </w:r>
      <w:r w:rsidRPr="009D15EC">
        <w:t xml:space="preserve">The licence conditions (LCs) </w:t>
      </w:r>
      <w:r w:rsidR="00521F43" w:rsidRPr="00917CBA">
        <w:t>[</w:t>
      </w:r>
      <w:r w:rsidR="00620D83" w:rsidRPr="00917CBA">
        <w:t>1]</w:t>
      </w:r>
      <w:r w:rsidR="00A006E4" w:rsidRPr="00521F43">
        <w:rPr>
          <w:vertAlign w:val="superscript"/>
        </w:rPr>
        <w:t xml:space="preserve"> </w:t>
      </w:r>
      <w:r w:rsidR="00A717E1" w:rsidRPr="00521F43">
        <w:rPr>
          <w:vertAlign w:val="superscript"/>
        </w:rPr>
        <w:t xml:space="preserve"> </w:t>
      </w:r>
      <w:r w:rsidRPr="009D15EC">
        <w:t xml:space="preserve"> SAPs </w:t>
      </w:r>
      <w:r w:rsidR="00521F43" w:rsidRPr="00917CBA">
        <w:t>[</w:t>
      </w:r>
      <w:r w:rsidR="00812963" w:rsidRPr="00917CBA">
        <w:t>3</w:t>
      </w:r>
      <w:r w:rsidR="00521F43" w:rsidRPr="00917CBA">
        <w:t>]</w:t>
      </w:r>
      <w:r w:rsidR="00521F43">
        <w:t xml:space="preserve"> </w:t>
      </w:r>
      <w:r w:rsidR="00C2621A">
        <w:t xml:space="preserve">considered applicable to this </w:t>
      </w:r>
      <w:r w:rsidRPr="009D15EC">
        <w:t xml:space="preserve">TAG are </w:t>
      </w:r>
      <w:r w:rsidR="00C2621A">
        <w:t xml:space="preserve">presented below. </w:t>
      </w:r>
    </w:p>
    <w:p w14:paraId="587C78AC" w14:textId="77777777" w:rsidR="00CA6987" w:rsidRPr="00054A5F" w:rsidRDefault="00CA6987" w:rsidP="00AB454C">
      <w:pPr>
        <w:pStyle w:val="TSHeadingNumbered111"/>
        <w:numPr>
          <w:ilvl w:val="0"/>
          <w:numId w:val="4"/>
        </w:numPr>
        <w:jc w:val="both"/>
        <w:rPr>
          <w:i/>
          <w:lang w:val="en"/>
        </w:rPr>
      </w:pPr>
      <w:r w:rsidRPr="00AB454C">
        <w:rPr>
          <w:b/>
          <w:i/>
          <w:lang w:val="en"/>
        </w:rPr>
        <w:t>LC</w:t>
      </w:r>
      <w:r w:rsidR="00DF6842" w:rsidRPr="00AB454C">
        <w:rPr>
          <w:b/>
          <w:i/>
          <w:lang w:val="en"/>
        </w:rPr>
        <w:t xml:space="preserve"> 10 Train</w:t>
      </w:r>
      <w:r w:rsidRPr="00AB454C">
        <w:rPr>
          <w:b/>
          <w:i/>
          <w:lang w:val="en"/>
        </w:rPr>
        <w:t>ing</w:t>
      </w:r>
      <w:r w:rsidR="00C2621A">
        <w:rPr>
          <w:i/>
          <w:lang w:val="en"/>
        </w:rPr>
        <w:t>:</w:t>
      </w:r>
      <w:r w:rsidR="00054A5F">
        <w:rPr>
          <w:i/>
          <w:lang w:val="en"/>
        </w:rPr>
        <w:t xml:space="preserve"> </w:t>
      </w:r>
      <w:r w:rsidR="00054A5F" w:rsidRPr="00054A5F">
        <w:rPr>
          <w:i/>
          <w:lang w:val="en"/>
        </w:rPr>
        <w:t>The Licensee shall make and implement adequate arrangements for suitable training for those on site who have responsibility for and operations which may affect safety</w:t>
      </w:r>
      <w:r w:rsidR="00ED4378" w:rsidRPr="00054A5F">
        <w:rPr>
          <w:i/>
          <w:lang w:val="en"/>
        </w:rPr>
        <w:t>.</w:t>
      </w:r>
    </w:p>
    <w:p w14:paraId="3A2E3BFF" w14:textId="77777777" w:rsidR="001D2E9B" w:rsidRPr="0025728E" w:rsidRDefault="001D2E9B" w:rsidP="001D2E9B">
      <w:pPr>
        <w:pStyle w:val="TSHeadingNumbered111"/>
        <w:numPr>
          <w:ilvl w:val="0"/>
          <w:numId w:val="4"/>
        </w:numPr>
        <w:jc w:val="both"/>
        <w:rPr>
          <w:i/>
          <w:lang w:val="en"/>
        </w:rPr>
      </w:pPr>
      <w:r>
        <w:rPr>
          <w:b/>
          <w:i/>
          <w:lang w:val="en"/>
        </w:rPr>
        <w:t>LC 11 Emergency Arrangements</w:t>
      </w:r>
      <w:r w:rsidRPr="00EC13B0">
        <w:rPr>
          <w:i/>
          <w:lang w:val="en"/>
        </w:rPr>
        <w:t>:</w:t>
      </w:r>
      <w:r>
        <w:rPr>
          <w:i/>
          <w:lang w:val="en"/>
        </w:rPr>
        <w:t xml:space="preserve"> T</w:t>
      </w:r>
      <w:r w:rsidRPr="0025728E">
        <w:rPr>
          <w:i/>
          <w:lang w:val="en"/>
        </w:rPr>
        <w:t>he licensee shall make and implement</w:t>
      </w:r>
      <w:r w:rsidRPr="00F57A18">
        <w:rPr>
          <w:i/>
          <w:lang w:val="en"/>
        </w:rPr>
        <w:t xml:space="preserve"> </w:t>
      </w:r>
      <w:r w:rsidRPr="0025728E">
        <w:rPr>
          <w:i/>
          <w:lang w:val="en"/>
        </w:rPr>
        <w:t>adequate arrangement for dealing with any accident or emergency arising on the site and their effects.</w:t>
      </w:r>
    </w:p>
    <w:p w14:paraId="1AC0737D" w14:textId="77777777" w:rsidR="00C2621A" w:rsidRPr="00EC13B0" w:rsidRDefault="00795B0B" w:rsidP="000C16CF">
      <w:pPr>
        <w:pStyle w:val="TSHeadingNumbered111"/>
        <w:numPr>
          <w:ilvl w:val="0"/>
          <w:numId w:val="4"/>
        </w:numPr>
        <w:jc w:val="both"/>
        <w:rPr>
          <w:i/>
          <w:lang w:val="en"/>
        </w:rPr>
      </w:pPr>
      <w:r w:rsidRPr="00AB454C">
        <w:rPr>
          <w:b/>
          <w:i/>
          <w:lang w:val="en"/>
        </w:rPr>
        <w:t xml:space="preserve">LC 12 Duly </w:t>
      </w:r>
      <w:proofErr w:type="spellStart"/>
      <w:r w:rsidR="00174A38" w:rsidRPr="00AB454C">
        <w:rPr>
          <w:b/>
          <w:i/>
          <w:lang w:val="en"/>
        </w:rPr>
        <w:t>authorised</w:t>
      </w:r>
      <w:proofErr w:type="spellEnd"/>
      <w:r w:rsidRPr="00AB454C">
        <w:rPr>
          <w:b/>
          <w:i/>
          <w:lang w:val="en"/>
        </w:rPr>
        <w:t xml:space="preserve"> and suitably qualified and experienced persons</w:t>
      </w:r>
      <w:r w:rsidR="00C2621A">
        <w:rPr>
          <w:i/>
          <w:lang w:val="en"/>
        </w:rPr>
        <w:t>:</w:t>
      </w:r>
      <w:r w:rsidR="00A54672">
        <w:rPr>
          <w:i/>
          <w:lang w:val="en"/>
        </w:rPr>
        <w:t xml:space="preserve"> </w:t>
      </w:r>
      <w:r w:rsidR="00A54672" w:rsidRPr="00A54672">
        <w:rPr>
          <w:i/>
        </w:rPr>
        <w:t>The licensee shall make and implement adequate arrangements to ensure that only suitably qualified and experienced persons perform any duties which may affect the safety of operations on the site or any other duties assigned by or under these conditions or any arrangements required under these conditions.</w:t>
      </w:r>
    </w:p>
    <w:p w14:paraId="641B51AF" w14:textId="77777777" w:rsidR="00C2621A" w:rsidRPr="005D65BB" w:rsidRDefault="00795B0B">
      <w:pPr>
        <w:pStyle w:val="TSHeadingNumbered111"/>
        <w:numPr>
          <w:ilvl w:val="0"/>
          <w:numId w:val="4"/>
        </w:numPr>
        <w:jc w:val="both"/>
        <w:rPr>
          <w:i/>
          <w:lang w:val="en"/>
        </w:rPr>
      </w:pPr>
      <w:r w:rsidRPr="00AB454C">
        <w:rPr>
          <w:b/>
          <w:i/>
          <w:lang w:val="en"/>
        </w:rPr>
        <w:t>LC 15 Periodic review</w:t>
      </w:r>
      <w:r w:rsidR="00C2621A">
        <w:rPr>
          <w:i/>
          <w:lang w:val="en"/>
        </w:rPr>
        <w:t>:</w:t>
      </w:r>
      <w:r w:rsidR="005D65BB">
        <w:rPr>
          <w:i/>
          <w:lang w:val="en"/>
        </w:rPr>
        <w:t xml:space="preserve"> </w:t>
      </w:r>
      <w:r w:rsidR="005D65BB" w:rsidRPr="005D65BB">
        <w:rPr>
          <w:i/>
          <w:lang w:val="en"/>
        </w:rPr>
        <w:t>The licensee shall make and implement adequate arrangements for</w:t>
      </w:r>
      <w:r w:rsidR="005D65BB">
        <w:rPr>
          <w:i/>
          <w:lang w:val="en"/>
        </w:rPr>
        <w:t xml:space="preserve"> </w:t>
      </w:r>
      <w:r w:rsidR="005D65BB" w:rsidRPr="005D65BB">
        <w:rPr>
          <w:i/>
          <w:lang w:val="en"/>
        </w:rPr>
        <w:t>the periodic and systematic review and reassessment of safety cases.</w:t>
      </w:r>
    </w:p>
    <w:p w14:paraId="07198729" w14:textId="77777777" w:rsidR="00BE40C2" w:rsidRPr="005D65BB" w:rsidRDefault="00BE40C2">
      <w:pPr>
        <w:pStyle w:val="TSHeadingNumbered111"/>
        <w:numPr>
          <w:ilvl w:val="0"/>
          <w:numId w:val="4"/>
        </w:numPr>
        <w:jc w:val="both"/>
        <w:rPr>
          <w:i/>
          <w:lang w:val="en"/>
        </w:rPr>
      </w:pPr>
      <w:r w:rsidRPr="00AB454C">
        <w:rPr>
          <w:b/>
          <w:i/>
          <w:lang w:val="en"/>
        </w:rPr>
        <w:t>LC 17 Management Systems</w:t>
      </w:r>
      <w:r w:rsidR="005D65BB">
        <w:rPr>
          <w:i/>
          <w:lang w:val="en"/>
        </w:rPr>
        <w:t xml:space="preserve">: </w:t>
      </w:r>
      <w:r w:rsidR="005D65BB" w:rsidRPr="005D65BB">
        <w:rPr>
          <w:i/>
          <w:lang w:val="en"/>
        </w:rPr>
        <w:t>Without prejudice to any other requirements of the conditions</w:t>
      </w:r>
      <w:r w:rsidR="005D65BB">
        <w:rPr>
          <w:i/>
          <w:lang w:val="en"/>
        </w:rPr>
        <w:t xml:space="preserve"> </w:t>
      </w:r>
      <w:r w:rsidR="005D65BB" w:rsidRPr="005D65BB">
        <w:rPr>
          <w:i/>
          <w:lang w:val="en"/>
        </w:rPr>
        <w:t xml:space="preserve">attached to this </w:t>
      </w:r>
      <w:proofErr w:type="spellStart"/>
      <w:r w:rsidR="005D65BB" w:rsidRPr="005D65BB">
        <w:rPr>
          <w:i/>
          <w:lang w:val="en"/>
        </w:rPr>
        <w:t>licence</w:t>
      </w:r>
      <w:proofErr w:type="spellEnd"/>
      <w:r w:rsidR="005D65BB" w:rsidRPr="005D65BB">
        <w:rPr>
          <w:i/>
          <w:lang w:val="en"/>
        </w:rPr>
        <w:t>, the licensee shall establish and implement</w:t>
      </w:r>
      <w:r w:rsidR="005D65BB">
        <w:rPr>
          <w:i/>
          <w:lang w:val="en"/>
        </w:rPr>
        <w:t xml:space="preserve"> </w:t>
      </w:r>
      <w:r w:rsidR="005D65BB" w:rsidRPr="005D65BB">
        <w:rPr>
          <w:i/>
          <w:lang w:val="en"/>
        </w:rPr>
        <w:t>management systems which give due priority to safety.</w:t>
      </w:r>
    </w:p>
    <w:p w14:paraId="7962E88A" w14:textId="77777777" w:rsidR="00C2621A" w:rsidRDefault="003E21C9" w:rsidP="000C16CF">
      <w:pPr>
        <w:pStyle w:val="TSHeadingNumbered111"/>
        <w:numPr>
          <w:ilvl w:val="0"/>
          <w:numId w:val="4"/>
        </w:numPr>
        <w:jc w:val="both"/>
        <w:rPr>
          <w:i/>
          <w:lang w:val="en"/>
        </w:rPr>
      </w:pPr>
      <w:r w:rsidRPr="00AB454C">
        <w:rPr>
          <w:b/>
          <w:i/>
          <w:lang w:val="en"/>
        </w:rPr>
        <w:t>LC19 Construction or installation of new plant</w:t>
      </w:r>
      <w:r w:rsidR="00C2621A">
        <w:rPr>
          <w:i/>
          <w:lang w:val="en"/>
        </w:rPr>
        <w:t>:</w:t>
      </w:r>
      <w:r w:rsidR="005D65BB" w:rsidRPr="005D65BB">
        <w:rPr>
          <w:rFonts w:ascii="Helvetica Neue LT" w:hAnsi="Helvetica Neue LT" w:cs="Helvetica Neue LT"/>
          <w:color w:val="000000"/>
          <w:sz w:val="24"/>
          <w:lang w:eastAsia="en-GB"/>
        </w:rPr>
        <w:t xml:space="preserve"> </w:t>
      </w:r>
      <w:r w:rsidR="005D65BB" w:rsidRPr="005D65BB">
        <w:rPr>
          <w:i/>
        </w:rPr>
        <w:t>Where the licensee proposes to construct or install any new plant which may affect safety the licensee shall make and implement adequate arrangements to control the construction or installation.</w:t>
      </w:r>
    </w:p>
    <w:p w14:paraId="627FDC42" w14:textId="77777777" w:rsidR="005D65BB" w:rsidRPr="00AB454C" w:rsidRDefault="00795B0B" w:rsidP="00AB454C">
      <w:pPr>
        <w:pStyle w:val="TSHeadingNumbered111"/>
        <w:numPr>
          <w:ilvl w:val="0"/>
          <w:numId w:val="4"/>
        </w:numPr>
        <w:jc w:val="both"/>
        <w:rPr>
          <w:i/>
        </w:rPr>
      </w:pPr>
      <w:r w:rsidRPr="00AB454C">
        <w:rPr>
          <w:b/>
          <w:i/>
          <w:lang w:val="en"/>
        </w:rPr>
        <w:t>LC 20 Modification to design of plant under construction</w:t>
      </w:r>
      <w:r w:rsidR="001C54A2" w:rsidRPr="009D15EC">
        <w:rPr>
          <w:i/>
          <w:lang w:val="en"/>
        </w:rPr>
        <w:t xml:space="preserve">; </w:t>
      </w:r>
      <w:r w:rsidR="005D65BB" w:rsidRPr="005D65BB">
        <w:rPr>
          <w:i/>
        </w:rPr>
        <w:t>The licensee shall ensure that no modification to the design which may affect safety is made to any plant during the period of construction except in accordance with adequate arrangements made</w:t>
      </w:r>
      <w:r w:rsidR="0025396A">
        <w:rPr>
          <w:i/>
        </w:rPr>
        <w:t xml:space="preserve"> </w:t>
      </w:r>
      <w:r w:rsidR="005D65BB" w:rsidRPr="0025396A">
        <w:rPr>
          <w:i/>
        </w:rPr>
        <w:t>and implemented by the licensee for that purpose.</w:t>
      </w:r>
    </w:p>
    <w:p w14:paraId="5E31BFFE" w14:textId="77777777" w:rsidR="00C2621A" w:rsidRDefault="003E21C9" w:rsidP="000C16CF">
      <w:pPr>
        <w:pStyle w:val="TSHeadingNumbered111"/>
        <w:numPr>
          <w:ilvl w:val="0"/>
          <w:numId w:val="4"/>
        </w:numPr>
        <w:jc w:val="both"/>
        <w:rPr>
          <w:i/>
          <w:lang w:val="en"/>
        </w:rPr>
      </w:pPr>
      <w:r w:rsidRPr="00AB454C">
        <w:rPr>
          <w:b/>
          <w:i/>
          <w:lang w:val="en"/>
        </w:rPr>
        <w:t>LC 22 Modification or experiment on existing plant</w:t>
      </w:r>
      <w:r w:rsidR="00C2621A">
        <w:rPr>
          <w:i/>
          <w:lang w:val="en"/>
        </w:rPr>
        <w:t>:</w:t>
      </w:r>
      <w:r w:rsidR="0025396A">
        <w:rPr>
          <w:i/>
          <w:lang w:val="en"/>
        </w:rPr>
        <w:t xml:space="preserve"> </w:t>
      </w:r>
      <w:r w:rsidR="0025396A" w:rsidRPr="0025396A">
        <w:rPr>
          <w:i/>
        </w:rPr>
        <w:t>The licensee shall make and implement adequate arrangements to control any modification or experiment carried out on any part of the existing plant or processes which may affect safety.</w:t>
      </w:r>
    </w:p>
    <w:p w14:paraId="359F6251" w14:textId="77777777" w:rsidR="00C2621A" w:rsidRDefault="00795B0B" w:rsidP="000C16CF">
      <w:pPr>
        <w:pStyle w:val="TSHeadingNumbered111"/>
        <w:numPr>
          <w:ilvl w:val="0"/>
          <w:numId w:val="4"/>
        </w:numPr>
        <w:jc w:val="both"/>
        <w:rPr>
          <w:i/>
          <w:lang w:val="en"/>
        </w:rPr>
      </w:pPr>
      <w:r w:rsidRPr="00AB454C">
        <w:rPr>
          <w:b/>
          <w:i/>
          <w:lang w:val="en"/>
        </w:rPr>
        <w:t>LC 23 Operating rules</w:t>
      </w:r>
      <w:r w:rsidR="00C2621A">
        <w:rPr>
          <w:i/>
          <w:lang w:val="en"/>
        </w:rPr>
        <w:t>:</w:t>
      </w:r>
      <w:r w:rsidR="0025396A" w:rsidRPr="0025396A">
        <w:rPr>
          <w:rFonts w:ascii="Helvetica Neue LT" w:hAnsi="Helvetica Neue LT" w:cs="Helvetica Neue LT"/>
          <w:color w:val="000000"/>
          <w:sz w:val="24"/>
          <w:lang w:eastAsia="en-GB"/>
        </w:rPr>
        <w:t xml:space="preserve"> </w:t>
      </w:r>
      <w:r w:rsidR="0025396A" w:rsidRPr="0025396A">
        <w:rPr>
          <w:i/>
        </w:rPr>
        <w:t>The licensee shall, in respect of any operation that may affect safety, produce an adequate safety case to demonstrate the safety of that operation and to identify the conditions and limits necessary in the interests of safety. Such conditions and limits shall hereinafter be referred to as operating rules.</w:t>
      </w:r>
    </w:p>
    <w:p w14:paraId="3E8B9E9C" w14:textId="77777777" w:rsidR="00C2621A" w:rsidRDefault="00CC52B4" w:rsidP="000C16CF">
      <w:pPr>
        <w:pStyle w:val="TSHeadingNumbered111"/>
        <w:numPr>
          <w:ilvl w:val="0"/>
          <w:numId w:val="4"/>
        </w:numPr>
        <w:jc w:val="both"/>
        <w:rPr>
          <w:i/>
          <w:lang w:val="en"/>
        </w:rPr>
      </w:pPr>
      <w:r w:rsidRPr="00AB454C">
        <w:rPr>
          <w:b/>
          <w:i/>
          <w:lang w:val="en"/>
        </w:rPr>
        <w:t>LC 24 Operating Instructions</w:t>
      </w:r>
      <w:r w:rsidR="00C2621A">
        <w:rPr>
          <w:i/>
          <w:lang w:val="en"/>
        </w:rPr>
        <w:t>:</w:t>
      </w:r>
      <w:r w:rsidR="0025396A" w:rsidRPr="0025396A">
        <w:rPr>
          <w:rFonts w:ascii="Helvetica Neue LT" w:hAnsi="Helvetica Neue LT" w:cs="Helvetica Neue LT"/>
          <w:color w:val="000000"/>
          <w:sz w:val="24"/>
          <w:lang w:eastAsia="en-GB"/>
        </w:rPr>
        <w:t xml:space="preserve"> </w:t>
      </w:r>
      <w:r w:rsidR="000F418E" w:rsidRPr="000F418E">
        <w:rPr>
          <w:i/>
        </w:rPr>
        <w:t xml:space="preserve">The licensee shall ensure that all operations which may affect safety are carried out in accordance with written instructions hereinafter referred to as operating instructions. </w:t>
      </w:r>
    </w:p>
    <w:p w14:paraId="0D5090B4" w14:textId="77777777" w:rsidR="00C2621A" w:rsidRDefault="00795B0B" w:rsidP="000C16CF">
      <w:pPr>
        <w:pStyle w:val="TSHeadingNumbered111"/>
        <w:numPr>
          <w:ilvl w:val="0"/>
          <w:numId w:val="4"/>
        </w:numPr>
        <w:jc w:val="both"/>
        <w:rPr>
          <w:i/>
          <w:lang w:val="en"/>
        </w:rPr>
      </w:pPr>
      <w:r w:rsidRPr="00AB454C">
        <w:rPr>
          <w:b/>
          <w:i/>
          <w:lang w:val="en"/>
        </w:rPr>
        <w:t>LC 25 Operational records</w:t>
      </w:r>
      <w:r w:rsidR="00C2621A">
        <w:rPr>
          <w:i/>
          <w:lang w:val="en"/>
        </w:rPr>
        <w:t>:</w:t>
      </w:r>
      <w:r w:rsidR="0025396A">
        <w:rPr>
          <w:i/>
          <w:lang w:val="en"/>
        </w:rPr>
        <w:t xml:space="preserve"> </w:t>
      </w:r>
      <w:r w:rsidR="0025396A" w:rsidRPr="0025396A">
        <w:rPr>
          <w:i/>
        </w:rPr>
        <w:t>The licensee shall ensure that adequate records are made of the operation, inspection and maintenance of any plant which may affect safety.</w:t>
      </w:r>
    </w:p>
    <w:p w14:paraId="66CC0E8C" w14:textId="77777777" w:rsidR="00C2621A" w:rsidRDefault="00364860" w:rsidP="000C16CF">
      <w:pPr>
        <w:pStyle w:val="TSHeadingNumbered111"/>
        <w:numPr>
          <w:ilvl w:val="0"/>
          <w:numId w:val="4"/>
        </w:numPr>
        <w:jc w:val="both"/>
        <w:rPr>
          <w:i/>
          <w:lang w:val="en"/>
        </w:rPr>
      </w:pPr>
      <w:r w:rsidRPr="00AB454C">
        <w:rPr>
          <w:b/>
          <w:i/>
          <w:lang w:val="en"/>
        </w:rPr>
        <w:t xml:space="preserve">LC 27 </w:t>
      </w:r>
      <w:r w:rsidR="00DF6842" w:rsidRPr="00AB454C">
        <w:rPr>
          <w:b/>
          <w:i/>
          <w:lang w:val="en"/>
        </w:rPr>
        <w:t>Safety mechanisms, devices and circuits</w:t>
      </w:r>
      <w:r w:rsidR="00C2621A">
        <w:rPr>
          <w:i/>
          <w:lang w:val="en"/>
        </w:rPr>
        <w:t>:</w:t>
      </w:r>
      <w:r w:rsidR="0025396A" w:rsidRPr="0025396A">
        <w:rPr>
          <w:rFonts w:ascii="Helvetica Neue LT" w:hAnsi="Helvetica Neue LT" w:cs="Helvetica Neue LT"/>
          <w:color w:val="000000"/>
          <w:sz w:val="24"/>
          <w:lang w:eastAsia="en-GB"/>
        </w:rPr>
        <w:t xml:space="preserve"> </w:t>
      </w:r>
      <w:r w:rsidR="0025396A" w:rsidRPr="0025396A">
        <w:rPr>
          <w:i/>
        </w:rPr>
        <w:t>The licensee shall ensure that adequate records are made of the operation, inspection and maintenance of any plant which may affect safety.</w:t>
      </w:r>
    </w:p>
    <w:p w14:paraId="3D5703CD" w14:textId="77777777" w:rsidR="00C2621A" w:rsidRPr="00903BF7" w:rsidRDefault="00795B0B" w:rsidP="000C16CF">
      <w:pPr>
        <w:pStyle w:val="TSHeadingNumbered111"/>
        <w:numPr>
          <w:ilvl w:val="0"/>
          <w:numId w:val="4"/>
        </w:numPr>
        <w:jc w:val="both"/>
        <w:rPr>
          <w:i/>
        </w:rPr>
      </w:pPr>
      <w:r w:rsidRPr="00AB454C">
        <w:rPr>
          <w:b/>
          <w:i/>
          <w:lang w:val="en"/>
        </w:rPr>
        <w:t>LC 28 Examination, inspection, maintenance and testing</w:t>
      </w:r>
      <w:r w:rsidR="00C2621A">
        <w:rPr>
          <w:i/>
          <w:lang w:val="en"/>
        </w:rPr>
        <w:t>:</w:t>
      </w:r>
      <w:r w:rsidR="0025396A">
        <w:rPr>
          <w:i/>
          <w:lang w:val="en"/>
        </w:rPr>
        <w:t xml:space="preserve"> </w:t>
      </w:r>
      <w:r w:rsidR="0025396A" w:rsidRPr="0025396A">
        <w:rPr>
          <w:i/>
        </w:rPr>
        <w:t>The licensee shall ensure that adequate records are made of the operation, inspection and maintenance of any plant which may affect safety.</w:t>
      </w:r>
    </w:p>
    <w:p w14:paraId="4E399B60" w14:textId="77777777" w:rsidR="00C2621A" w:rsidRDefault="00795B0B" w:rsidP="000C16CF">
      <w:pPr>
        <w:pStyle w:val="TSHeadingNumbered111"/>
        <w:numPr>
          <w:ilvl w:val="0"/>
          <w:numId w:val="4"/>
        </w:numPr>
        <w:jc w:val="both"/>
        <w:rPr>
          <w:i/>
        </w:rPr>
      </w:pPr>
      <w:r w:rsidRPr="009E30EC">
        <w:rPr>
          <w:b/>
          <w:i/>
        </w:rPr>
        <w:t>LC 34 Leakage and escape of radioactive material and radioactive waste</w:t>
      </w:r>
      <w:r w:rsidR="00C2621A" w:rsidRPr="009E30EC">
        <w:rPr>
          <w:b/>
          <w:i/>
        </w:rPr>
        <w:t>:</w:t>
      </w:r>
      <w:r w:rsidR="0025396A" w:rsidRPr="009E30EC">
        <w:rPr>
          <w:b/>
          <w:i/>
        </w:rPr>
        <w:t xml:space="preserve"> </w:t>
      </w:r>
      <w:r w:rsidR="0025396A" w:rsidRPr="0025396A">
        <w:rPr>
          <w:i/>
        </w:rPr>
        <w:t>The licensee shall ensure, so far as is reasonably practicable, that radioactive material and radioactive waste on the site is at all times adequately controlled or contained so that it cannot leak or otherwise escape from such control or containment.</w:t>
      </w:r>
    </w:p>
    <w:p w14:paraId="130A8BCB" w14:textId="77777777" w:rsidR="00C2621A" w:rsidRDefault="00795B0B" w:rsidP="000C16CF">
      <w:pPr>
        <w:pStyle w:val="TSHeadingNumbered111"/>
        <w:numPr>
          <w:ilvl w:val="0"/>
          <w:numId w:val="4"/>
        </w:numPr>
        <w:jc w:val="both"/>
        <w:rPr>
          <w:i/>
        </w:rPr>
      </w:pPr>
      <w:r w:rsidRPr="009E30EC">
        <w:rPr>
          <w:b/>
          <w:i/>
        </w:rPr>
        <w:t>LC 35 Decommissioning</w:t>
      </w:r>
      <w:r w:rsidR="00784607" w:rsidRPr="009E30EC">
        <w:rPr>
          <w:b/>
          <w:i/>
        </w:rPr>
        <w:t>:</w:t>
      </w:r>
      <w:r w:rsidR="00784607">
        <w:rPr>
          <w:i/>
        </w:rPr>
        <w:t xml:space="preserve"> </w:t>
      </w:r>
      <w:r w:rsidR="00784607" w:rsidRPr="00784607">
        <w:rPr>
          <w:i/>
        </w:rPr>
        <w:t>The licensee shall make and implement adequate arrangements for the decommissioning of any plant or process which may affect safety.</w:t>
      </w:r>
    </w:p>
    <w:p w14:paraId="16A19D07" w14:textId="77777777" w:rsidR="00D11D18" w:rsidRDefault="00D12CC1" w:rsidP="000C16CF">
      <w:pPr>
        <w:pStyle w:val="TSHeadingNumbered111"/>
        <w:numPr>
          <w:ilvl w:val="0"/>
          <w:numId w:val="4"/>
        </w:numPr>
        <w:jc w:val="both"/>
        <w:rPr>
          <w:i/>
        </w:rPr>
      </w:pPr>
      <w:r>
        <w:rPr>
          <w:b/>
          <w:i/>
        </w:rPr>
        <w:t>LC36 Organisational capability:</w:t>
      </w:r>
      <w:r>
        <w:rPr>
          <w:i/>
        </w:rPr>
        <w:t xml:space="preserve"> </w:t>
      </w:r>
      <w:r w:rsidRPr="00D12CC1">
        <w:rPr>
          <w:i/>
        </w:rPr>
        <w:t>The licensee shall provide and maintain adequate financial and human resources to ensure the safe operation of the licensed site.</w:t>
      </w:r>
    </w:p>
    <w:p w14:paraId="5111C473" w14:textId="77777777" w:rsidR="008854EF" w:rsidRDefault="008854EF" w:rsidP="00D0114E">
      <w:pPr>
        <w:pStyle w:val="TSHeadingNumbered11"/>
      </w:pPr>
      <w:r>
        <w:t>Environmental legislation</w:t>
      </w:r>
    </w:p>
    <w:p w14:paraId="31AA3E61" w14:textId="77777777" w:rsidR="000361E0" w:rsidRPr="00D0114E" w:rsidRDefault="008854EF" w:rsidP="00D0114E">
      <w:pPr>
        <w:pStyle w:val="TSHeadingNumbered111"/>
        <w:rPr>
          <w:color w:val="000000" w:themeColor="text1"/>
        </w:rPr>
      </w:pPr>
      <w:r w:rsidRPr="00D0114E">
        <w:rPr>
          <w:color w:val="000000" w:themeColor="text1"/>
        </w:rPr>
        <w:t xml:space="preserve">Under </w:t>
      </w:r>
      <w:r w:rsidR="00786DE3" w:rsidRPr="00D0114E">
        <w:rPr>
          <w:color w:val="000000" w:themeColor="text1"/>
        </w:rPr>
        <w:t>t</w:t>
      </w:r>
      <w:r w:rsidRPr="00D0114E">
        <w:rPr>
          <w:color w:val="000000" w:themeColor="text1"/>
        </w:rPr>
        <w:t xml:space="preserve">he Environment Act 1995 and the Environmental Permitting Regulations 2016, nuclear sites in England and Wales require an Environmental Permit.  </w:t>
      </w:r>
      <w:r w:rsidR="005F2574" w:rsidRPr="00D0114E">
        <w:rPr>
          <w:color w:val="000000" w:themeColor="text1"/>
        </w:rPr>
        <w:t xml:space="preserve">Similarly, nuclear sites in Scotland require an Environmental Permit under the Environmental Authorisations (Scotland) Regulations 2018.  </w:t>
      </w:r>
      <w:r w:rsidRPr="00D0114E">
        <w:rPr>
          <w:color w:val="000000" w:themeColor="text1"/>
        </w:rPr>
        <w:t>Environmental Permits require the application of Best Available Techniques (BAT)</w:t>
      </w:r>
      <w:r w:rsidR="005F2574" w:rsidRPr="00D0114E">
        <w:rPr>
          <w:color w:val="000000" w:themeColor="text1"/>
        </w:rPr>
        <w:t xml:space="preserve">, or Best Practicable Means (BPM) in Scotland, </w:t>
      </w:r>
      <w:r w:rsidRPr="00D0114E">
        <w:rPr>
          <w:color w:val="000000" w:themeColor="text1"/>
        </w:rPr>
        <w:t xml:space="preserve"> and that equipment meeting certain conditions of the permit be maintained in a good state of repair.</w:t>
      </w:r>
    </w:p>
    <w:p w14:paraId="6B27D778" w14:textId="77777777" w:rsidR="009B5159" w:rsidRPr="009D15EC" w:rsidRDefault="009B5159" w:rsidP="000C16CF">
      <w:pPr>
        <w:pStyle w:val="TSHeadingNumbered1"/>
        <w:jc w:val="both"/>
      </w:pPr>
      <w:bookmarkStart w:id="3" w:name="_Toc464198983"/>
      <w:r w:rsidRPr="009D15EC">
        <w:t>RELATIONSHIP TO SAPS, WENRA REFERENCE LEVELS</w:t>
      </w:r>
      <w:r w:rsidR="00432606" w:rsidRPr="009D15EC">
        <w:t>,</w:t>
      </w:r>
      <w:r w:rsidRPr="009D15EC">
        <w:t xml:space="preserve"> IAEA SAFETY STANDARDS ADDRESSED</w:t>
      </w:r>
      <w:r w:rsidR="00432606" w:rsidRPr="009D15EC">
        <w:t xml:space="preserve"> and BS ISO standards</w:t>
      </w:r>
      <w:bookmarkEnd w:id="3"/>
    </w:p>
    <w:p w14:paraId="7281F454" w14:textId="77777777" w:rsidR="00730399" w:rsidRPr="009D15EC" w:rsidRDefault="00730399" w:rsidP="000C16CF">
      <w:pPr>
        <w:pStyle w:val="TSNumberedParagraph11"/>
        <w:jc w:val="both"/>
        <w:rPr>
          <w:b/>
        </w:rPr>
      </w:pPr>
      <w:r w:rsidRPr="009D15EC">
        <w:rPr>
          <w:b/>
        </w:rPr>
        <w:t>SAPs</w:t>
      </w:r>
    </w:p>
    <w:p w14:paraId="7E871D58" w14:textId="77777777" w:rsidR="00730399" w:rsidRPr="009D15EC" w:rsidRDefault="00730399" w:rsidP="000C16CF">
      <w:pPr>
        <w:pStyle w:val="TSHeadingNumbered111"/>
        <w:jc w:val="both"/>
      </w:pPr>
      <w:r w:rsidRPr="009D15EC">
        <w:t xml:space="preserve">The SAPs </w:t>
      </w:r>
      <w:r w:rsidR="00812963" w:rsidRPr="00917CBA">
        <w:t>[</w:t>
      </w:r>
      <w:r w:rsidR="00620D83" w:rsidRPr="00917CBA">
        <w:t>3]</w:t>
      </w:r>
      <w:r w:rsidR="00620D83" w:rsidRPr="009D15EC">
        <w:t xml:space="preserve"> </w:t>
      </w:r>
      <w:r w:rsidRPr="009D15EC">
        <w:t xml:space="preserve">directly addressed by this TAG are: </w:t>
      </w:r>
    </w:p>
    <w:p w14:paraId="207DA94A" w14:textId="77777777" w:rsidR="005D1D50" w:rsidRPr="007B6D09" w:rsidRDefault="00A00395" w:rsidP="005D1D50">
      <w:pPr>
        <w:pStyle w:val="TSHeadingNumbered111"/>
        <w:numPr>
          <w:ilvl w:val="0"/>
          <w:numId w:val="4"/>
        </w:numPr>
        <w:jc w:val="both"/>
        <w:rPr>
          <w:i/>
        </w:rPr>
      </w:pPr>
      <w:r w:rsidRPr="007B6D09">
        <w:rPr>
          <w:i/>
        </w:rPr>
        <w:t xml:space="preserve">SC.3 </w:t>
      </w:r>
      <w:r w:rsidR="005D1D50" w:rsidRPr="007B6D09">
        <w:rPr>
          <w:i/>
        </w:rPr>
        <w:t>- For each lifecycle stage, control of the hazard should be demonstrated by a valid safety case that takes into account the implications from previous stages and for future stages.</w:t>
      </w:r>
    </w:p>
    <w:p w14:paraId="0FD43A27" w14:textId="77777777" w:rsidR="00E054BD" w:rsidRPr="007B6D09" w:rsidRDefault="005D1D50" w:rsidP="005D1D50">
      <w:pPr>
        <w:pStyle w:val="TSHeadingNumbered111"/>
        <w:numPr>
          <w:ilvl w:val="0"/>
          <w:numId w:val="4"/>
        </w:numPr>
        <w:jc w:val="both"/>
        <w:rPr>
          <w:i/>
        </w:rPr>
      </w:pPr>
      <w:r w:rsidRPr="007B6D09">
        <w:rPr>
          <w:i/>
        </w:rPr>
        <w:t xml:space="preserve">SC.7 - </w:t>
      </w:r>
      <w:r w:rsidR="00DE29EA" w:rsidRPr="007B6D09">
        <w:rPr>
          <w:i/>
        </w:rPr>
        <w:tab/>
      </w:r>
      <w:r w:rsidRPr="007B6D09">
        <w:rPr>
          <w:i/>
        </w:rPr>
        <w:t>A safety case should be actively maintained throughout each of the lifecycle stages, and reviewed regularly.</w:t>
      </w:r>
    </w:p>
    <w:p w14:paraId="5BC79B78" w14:textId="77777777" w:rsidR="00514776" w:rsidRPr="007B6D09" w:rsidRDefault="00514776" w:rsidP="00CC6C61">
      <w:pPr>
        <w:pStyle w:val="TSHeadingNumbered111"/>
        <w:numPr>
          <w:ilvl w:val="0"/>
          <w:numId w:val="4"/>
        </w:numPr>
        <w:jc w:val="both"/>
        <w:rPr>
          <w:i/>
        </w:rPr>
      </w:pPr>
      <w:r w:rsidRPr="007B6D09">
        <w:rPr>
          <w:i/>
        </w:rPr>
        <w:t xml:space="preserve">EKP.4 </w:t>
      </w:r>
      <w:r w:rsidRPr="007B6D09">
        <w:rPr>
          <w:i/>
        </w:rPr>
        <w:tab/>
      </w:r>
      <w:r w:rsidR="00144082" w:rsidRPr="007B6D09">
        <w:rPr>
          <w:i/>
        </w:rPr>
        <w:t>- The safety function(s) to be delivered within the facility should be identified by a structured analysis.</w:t>
      </w:r>
    </w:p>
    <w:p w14:paraId="13A4385E" w14:textId="77777777" w:rsidR="003E5507" w:rsidRPr="007B6D09" w:rsidRDefault="00233BAB" w:rsidP="00233BAB">
      <w:pPr>
        <w:pStyle w:val="TSHeadingNumbered111"/>
        <w:numPr>
          <w:ilvl w:val="0"/>
          <w:numId w:val="4"/>
        </w:numPr>
        <w:jc w:val="both"/>
        <w:rPr>
          <w:i/>
        </w:rPr>
      </w:pPr>
      <w:r w:rsidRPr="007B6D09">
        <w:rPr>
          <w:i/>
        </w:rPr>
        <w:t xml:space="preserve">ECS.3 - </w:t>
      </w:r>
      <w:r w:rsidR="005A7373">
        <w:rPr>
          <w:i/>
        </w:rPr>
        <w:t>SSCs</w:t>
      </w:r>
      <w:r w:rsidRPr="007B6D09">
        <w:rPr>
          <w:i/>
        </w:rPr>
        <w:t xml:space="preserve"> that are important to safety should be designed, manufactured, constructed, installed, commissioned, quality assured, maintained, tested and inspected to the appropriate codes and standards.</w:t>
      </w:r>
    </w:p>
    <w:p w14:paraId="1E132599" w14:textId="77777777" w:rsidR="00233BAB" w:rsidRPr="007B6D09" w:rsidRDefault="00233BAB" w:rsidP="00233BAB">
      <w:pPr>
        <w:pStyle w:val="TSHeadingNumbered111"/>
        <w:numPr>
          <w:ilvl w:val="0"/>
          <w:numId w:val="4"/>
        </w:numPr>
        <w:jc w:val="both"/>
        <w:rPr>
          <w:i/>
        </w:rPr>
      </w:pPr>
      <w:r w:rsidRPr="007B6D09">
        <w:rPr>
          <w:i/>
        </w:rPr>
        <w:t>ECS.5 - In the absence of applicable or relevant codes and standards, the results of experience, tests, analysis, or a combination thereof, should be applied to demonstrate that the structure, system or component will perform its safety function(s) to a level commensurate with its classification.</w:t>
      </w:r>
    </w:p>
    <w:p w14:paraId="5F9621F1" w14:textId="77777777" w:rsidR="00144082" w:rsidRPr="007B6D09" w:rsidRDefault="00144082" w:rsidP="00144082">
      <w:pPr>
        <w:pStyle w:val="TSHeadingNumbered111"/>
        <w:numPr>
          <w:ilvl w:val="0"/>
          <w:numId w:val="4"/>
        </w:numPr>
        <w:jc w:val="both"/>
        <w:rPr>
          <w:i/>
        </w:rPr>
      </w:pPr>
      <w:r w:rsidRPr="007B6D09">
        <w:rPr>
          <w:i/>
        </w:rPr>
        <w:t xml:space="preserve">ERL.1 - The reliability claimed for any </w:t>
      </w:r>
      <w:r w:rsidR="005A7373">
        <w:rPr>
          <w:i/>
        </w:rPr>
        <w:t>SSC</w:t>
      </w:r>
      <w:r w:rsidRPr="007B6D09">
        <w:rPr>
          <w:i/>
        </w:rPr>
        <w:t xml:space="preserve"> should take into account its novelty, experience relevant to its proposed environment, and uncertainties in operating and fault conditions, physical data and design methods.</w:t>
      </w:r>
    </w:p>
    <w:p w14:paraId="1DA0FFB5" w14:textId="77777777" w:rsidR="00144082" w:rsidRPr="007B6D09" w:rsidRDefault="00144082" w:rsidP="00144082">
      <w:pPr>
        <w:pStyle w:val="TSHeadingNumbered111"/>
        <w:numPr>
          <w:ilvl w:val="0"/>
          <w:numId w:val="4"/>
        </w:numPr>
        <w:jc w:val="both"/>
        <w:rPr>
          <w:i/>
        </w:rPr>
      </w:pPr>
      <w:r w:rsidRPr="007B6D09">
        <w:rPr>
          <w:i/>
        </w:rPr>
        <w:t>ERL.2 - The measures whereby the claimed reliability of systems and components will be achieved in practice should be stated.</w:t>
      </w:r>
    </w:p>
    <w:p w14:paraId="447E7E79" w14:textId="77777777" w:rsidR="00144082" w:rsidRPr="007B6D09" w:rsidRDefault="00144082" w:rsidP="00144082">
      <w:pPr>
        <w:pStyle w:val="TSHeadingNumbered111"/>
        <w:numPr>
          <w:ilvl w:val="0"/>
          <w:numId w:val="4"/>
        </w:numPr>
        <w:jc w:val="both"/>
        <w:rPr>
          <w:i/>
        </w:rPr>
      </w:pPr>
      <w:r w:rsidRPr="007B6D09">
        <w:rPr>
          <w:i/>
        </w:rPr>
        <w:t>ERL.3</w:t>
      </w:r>
      <w:r w:rsidR="00A91FB5" w:rsidRPr="007B6D09">
        <w:rPr>
          <w:i/>
        </w:rPr>
        <w:t xml:space="preserve"> - Where</w:t>
      </w:r>
      <w:r w:rsidRPr="007B6D09">
        <w:rPr>
          <w:i/>
        </w:rPr>
        <w:t xml:space="preserve"> reliable and rapid protective action is required, automatically initiated, engineered safety measures should be provided.</w:t>
      </w:r>
    </w:p>
    <w:p w14:paraId="43C6B8E1" w14:textId="77777777" w:rsidR="00514776" w:rsidRPr="007B6D09" w:rsidRDefault="00144082" w:rsidP="00A91FB5">
      <w:pPr>
        <w:pStyle w:val="TSHeadingNumbered111"/>
        <w:numPr>
          <w:ilvl w:val="0"/>
          <w:numId w:val="4"/>
        </w:numPr>
        <w:jc w:val="both"/>
        <w:rPr>
          <w:i/>
        </w:rPr>
      </w:pPr>
      <w:r w:rsidRPr="007B6D09">
        <w:rPr>
          <w:i/>
        </w:rPr>
        <w:t>ERL.</w:t>
      </w:r>
      <w:r w:rsidR="00514776" w:rsidRPr="007B6D09">
        <w:rPr>
          <w:i/>
        </w:rPr>
        <w:t>4</w:t>
      </w:r>
      <w:r w:rsidR="00514776" w:rsidRPr="007B6D09">
        <w:rPr>
          <w:i/>
        </w:rPr>
        <w:tab/>
      </w:r>
      <w:r w:rsidRPr="007B6D09">
        <w:rPr>
          <w:i/>
        </w:rPr>
        <w:t xml:space="preserve">- </w:t>
      </w:r>
      <w:r w:rsidR="00A91FB5" w:rsidRPr="007B6D09">
        <w:rPr>
          <w:i/>
        </w:rPr>
        <w:t>Where safety-related systems and/or other means are claimed to reduce the frequency of a fault sequence, the safety case should include a margin of conservatism to allow for uncertainties.</w:t>
      </w:r>
    </w:p>
    <w:p w14:paraId="39AF702C" w14:textId="77777777" w:rsidR="00A91FB5" w:rsidRPr="007B6D09" w:rsidRDefault="00A91FB5" w:rsidP="00A91FB5">
      <w:pPr>
        <w:pStyle w:val="TSHeadingNumbered111"/>
        <w:numPr>
          <w:ilvl w:val="0"/>
          <w:numId w:val="4"/>
        </w:numPr>
        <w:jc w:val="both"/>
        <w:rPr>
          <w:i/>
        </w:rPr>
      </w:pPr>
      <w:r w:rsidRPr="007B6D09">
        <w:rPr>
          <w:i/>
        </w:rPr>
        <w:t>EMT.</w:t>
      </w:r>
      <w:r w:rsidR="00514776" w:rsidRPr="007B6D09">
        <w:rPr>
          <w:i/>
        </w:rPr>
        <w:t>1</w:t>
      </w:r>
      <w:r w:rsidRPr="007B6D09">
        <w:rPr>
          <w:i/>
        </w:rPr>
        <w:t xml:space="preserve"> - Safety requirements for in-service testing, inspection and other maintenance procedures and frequencies should be identified in the safety case.</w:t>
      </w:r>
    </w:p>
    <w:p w14:paraId="1A6F190F" w14:textId="77777777" w:rsidR="00A91FB5" w:rsidRPr="007B6D09" w:rsidRDefault="00A91FB5" w:rsidP="00A91FB5">
      <w:pPr>
        <w:pStyle w:val="TSHeadingNumbered111"/>
        <w:numPr>
          <w:ilvl w:val="0"/>
          <w:numId w:val="4"/>
        </w:numPr>
        <w:jc w:val="both"/>
        <w:rPr>
          <w:i/>
        </w:rPr>
      </w:pPr>
      <w:r w:rsidRPr="007B6D09">
        <w:rPr>
          <w:i/>
        </w:rPr>
        <w:t xml:space="preserve">EMT.2 - </w:t>
      </w:r>
      <w:r w:rsidR="00433E13">
        <w:rPr>
          <w:i/>
        </w:rPr>
        <w:t xml:space="preserve">SSCs </w:t>
      </w:r>
      <w:r w:rsidR="00433E13" w:rsidRPr="007B6D09">
        <w:rPr>
          <w:i/>
        </w:rPr>
        <w:t>should</w:t>
      </w:r>
      <w:r w:rsidRPr="007B6D09">
        <w:rPr>
          <w:i/>
        </w:rPr>
        <w:t xml:space="preserve"> receive regular and systematic examination, inspection, maintenance and testing as defined in the safety case.</w:t>
      </w:r>
    </w:p>
    <w:p w14:paraId="33211C75" w14:textId="77777777" w:rsidR="00A91FB5" w:rsidRPr="007B6D09" w:rsidRDefault="00A91FB5" w:rsidP="00A91FB5">
      <w:pPr>
        <w:pStyle w:val="TSHeadingNumbered111"/>
        <w:numPr>
          <w:ilvl w:val="0"/>
          <w:numId w:val="4"/>
        </w:numPr>
        <w:jc w:val="both"/>
        <w:rPr>
          <w:i/>
        </w:rPr>
      </w:pPr>
      <w:r w:rsidRPr="007B6D09">
        <w:rPr>
          <w:i/>
        </w:rPr>
        <w:t xml:space="preserve">EMT.3 - </w:t>
      </w:r>
      <w:r w:rsidR="005A7373">
        <w:rPr>
          <w:i/>
        </w:rPr>
        <w:t>SSCs</w:t>
      </w:r>
      <w:r w:rsidRPr="007B6D09">
        <w:rPr>
          <w:i/>
        </w:rPr>
        <w:t xml:space="preserve"> should be type tested before they are installed to conditions equal to, at least, the most onerous for which they are designed.</w:t>
      </w:r>
    </w:p>
    <w:p w14:paraId="184D7D56" w14:textId="77777777" w:rsidR="00A91FB5" w:rsidRPr="007B6D09" w:rsidRDefault="00A91FB5" w:rsidP="00A91FB5">
      <w:pPr>
        <w:pStyle w:val="TSHeadingNumbered111"/>
        <w:numPr>
          <w:ilvl w:val="0"/>
          <w:numId w:val="4"/>
        </w:numPr>
        <w:jc w:val="both"/>
        <w:rPr>
          <w:i/>
        </w:rPr>
      </w:pPr>
      <w:r w:rsidRPr="007B6D09">
        <w:rPr>
          <w:i/>
        </w:rPr>
        <w:t>EMT.4 - The continuing validity of equipment qualification of structures, systems and components should not be unacceptably degraded by any modification or by the carrying out of any maintenance, inspection or testing activity.</w:t>
      </w:r>
    </w:p>
    <w:p w14:paraId="6FCE14FF" w14:textId="77777777" w:rsidR="00A91FB5" w:rsidRPr="007B6D09" w:rsidRDefault="00A91FB5" w:rsidP="00A91FB5">
      <w:pPr>
        <w:pStyle w:val="TSHeadingNumbered111"/>
        <w:numPr>
          <w:ilvl w:val="0"/>
          <w:numId w:val="4"/>
        </w:numPr>
        <w:jc w:val="both"/>
        <w:rPr>
          <w:i/>
        </w:rPr>
      </w:pPr>
      <w:r w:rsidRPr="007B6D09">
        <w:rPr>
          <w:i/>
        </w:rPr>
        <w:t>EMT.5 - Commissioning and in-service inspection and test procedures should be adopted that ensure initial and continuing quality and reliability.</w:t>
      </w:r>
    </w:p>
    <w:p w14:paraId="500862C9" w14:textId="77777777" w:rsidR="00A91FB5" w:rsidRPr="007B6D09" w:rsidRDefault="00A91FB5" w:rsidP="00A91FB5">
      <w:pPr>
        <w:pStyle w:val="TSHeadingNumbered111"/>
        <w:numPr>
          <w:ilvl w:val="0"/>
          <w:numId w:val="4"/>
        </w:numPr>
        <w:jc w:val="both"/>
        <w:rPr>
          <w:i/>
        </w:rPr>
      </w:pPr>
      <w:r w:rsidRPr="007B6D09">
        <w:rPr>
          <w:i/>
        </w:rPr>
        <w:t xml:space="preserve">EMT.6 - Provision should be made for testing, maintaining, monitoring and inspecting </w:t>
      </w:r>
      <w:r w:rsidR="005A7373">
        <w:rPr>
          <w:i/>
        </w:rPr>
        <w:t>SSCs</w:t>
      </w:r>
      <w:r w:rsidRPr="007B6D09">
        <w:rPr>
          <w:i/>
        </w:rPr>
        <w:t xml:space="preserve"> (including portable equipment) in service or at intervals throughout their life, commensurate with the reliability required of each item.</w:t>
      </w:r>
    </w:p>
    <w:p w14:paraId="6CC2A570" w14:textId="77777777" w:rsidR="00A91FB5" w:rsidRPr="007B6D09" w:rsidRDefault="00A91FB5" w:rsidP="00FD4A58">
      <w:pPr>
        <w:pStyle w:val="TSHeadingNumbered111"/>
        <w:numPr>
          <w:ilvl w:val="0"/>
          <w:numId w:val="4"/>
        </w:numPr>
        <w:jc w:val="both"/>
        <w:rPr>
          <w:i/>
        </w:rPr>
      </w:pPr>
      <w:r w:rsidRPr="007B6D09">
        <w:rPr>
          <w:i/>
        </w:rPr>
        <w:t>EMT.7</w:t>
      </w:r>
      <w:r w:rsidR="00FD4A58" w:rsidRPr="007B6D09">
        <w:rPr>
          <w:i/>
        </w:rPr>
        <w:t xml:space="preserve"> - In-service functional testing of structures, systems and components should prove the complete system and the safety function of each functional group.</w:t>
      </w:r>
    </w:p>
    <w:p w14:paraId="0251B386" w14:textId="77777777" w:rsidR="00FD4A58" w:rsidRPr="007B6D09" w:rsidRDefault="00A91FB5" w:rsidP="000C16CF">
      <w:pPr>
        <w:pStyle w:val="TSHeadingNumbered111"/>
        <w:numPr>
          <w:ilvl w:val="0"/>
          <w:numId w:val="4"/>
        </w:numPr>
        <w:jc w:val="both"/>
        <w:rPr>
          <w:i/>
        </w:rPr>
      </w:pPr>
      <w:r w:rsidRPr="007B6D09">
        <w:rPr>
          <w:i/>
        </w:rPr>
        <w:t>EMT.</w:t>
      </w:r>
      <w:r w:rsidR="00514776" w:rsidRPr="007B6D09">
        <w:rPr>
          <w:i/>
        </w:rPr>
        <w:t>8</w:t>
      </w:r>
      <w:r w:rsidRPr="007B6D09">
        <w:rPr>
          <w:i/>
        </w:rPr>
        <w:t xml:space="preserve"> </w:t>
      </w:r>
      <w:r w:rsidR="00514776" w:rsidRPr="007B6D09">
        <w:rPr>
          <w:i/>
        </w:rPr>
        <w:tab/>
      </w:r>
      <w:r w:rsidR="00FD4A58" w:rsidRPr="007B6D09">
        <w:rPr>
          <w:i/>
        </w:rPr>
        <w:t>- Structures, systems and components should be inspected and/or re-validated after any event that might have challenged their continuing reliability.</w:t>
      </w:r>
    </w:p>
    <w:p w14:paraId="1360DCA5" w14:textId="77777777" w:rsidR="00FD4A58" w:rsidRPr="007B6D09" w:rsidRDefault="00AD0196" w:rsidP="00FD4A58">
      <w:pPr>
        <w:pStyle w:val="TSHeadingNumbered111"/>
        <w:numPr>
          <w:ilvl w:val="0"/>
          <w:numId w:val="4"/>
        </w:numPr>
        <w:jc w:val="both"/>
        <w:rPr>
          <w:i/>
        </w:rPr>
      </w:pPr>
      <w:r w:rsidRPr="007B6D09">
        <w:rPr>
          <w:i/>
        </w:rPr>
        <w:t>EAD.1</w:t>
      </w:r>
      <w:r w:rsidR="00847254" w:rsidRPr="007B6D09">
        <w:rPr>
          <w:i/>
        </w:rPr>
        <w:t xml:space="preserve"> </w:t>
      </w:r>
      <w:r w:rsidR="00FD4A58" w:rsidRPr="007B6D09">
        <w:rPr>
          <w:i/>
        </w:rPr>
        <w:t>- The safe working life of structures, systems and components that are important to safety should be evaluated and defined at the design stage.</w:t>
      </w:r>
    </w:p>
    <w:p w14:paraId="05FD6BEE" w14:textId="77777777" w:rsidR="00FD4A58" w:rsidRPr="007B6D09" w:rsidRDefault="00FD4A58" w:rsidP="00FD4A58">
      <w:pPr>
        <w:pStyle w:val="TSHeadingNumbered111"/>
        <w:numPr>
          <w:ilvl w:val="0"/>
          <w:numId w:val="4"/>
        </w:numPr>
        <w:jc w:val="both"/>
        <w:rPr>
          <w:i/>
        </w:rPr>
      </w:pPr>
      <w:r w:rsidRPr="007B6D09">
        <w:rPr>
          <w:i/>
        </w:rPr>
        <w:t>EAD.2 - Adequate margins should exist throughout the life of a facility to allow for the effects of materials ageing and degradation processes on structures, systems and components.</w:t>
      </w:r>
    </w:p>
    <w:p w14:paraId="6622469A" w14:textId="77777777" w:rsidR="00FD4A58" w:rsidRPr="007B6D09" w:rsidRDefault="00FD4A58" w:rsidP="00FD4A58">
      <w:pPr>
        <w:pStyle w:val="TSHeadingNumbered111"/>
        <w:numPr>
          <w:ilvl w:val="0"/>
          <w:numId w:val="4"/>
        </w:numPr>
        <w:jc w:val="both"/>
        <w:rPr>
          <w:i/>
        </w:rPr>
      </w:pPr>
      <w:r w:rsidRPr="007B6D09">
        <w:rPr>
          <w:i/>
        </w:rPr>
        <w:t>EAD.3 - Where material properties could change with time and affect safety, provision should be made for periodic measurement of the properties.</w:t>
      </w:r>
    </w:p>
    <w:p w14:paraId="4BFB642D" w14:textId="77777777" w:rsidR="00FD4A58" w:rsidRPr="007B6D09" w:rsidRDefault="00FD4A58" w:rsidP="00FD4A58">
      <w:pPr>
        <w:pStyle w:val="TSHeadingNumbered111"/>
        <w:numPr>
          <w:ilvl w:val="0"/>
          <w:numId w:val="4"/>
        </w:numPr>
        <w:jc w:val="both"/>
        <w:rPr>
          <w:i/>
        </w:rPr>
      </w:pPr>
      <w:r w:rsidRPr="007B6D09">
        <w:rPr>
          <w:i/>
        </w:rPr>
        <w:t>EAD.4 - Where parameters relevant to the design of plant could change with time and affect safety, provision should be made for their periodic measurement.</w:t>
      </w:r>
    </w:p>
    <w:p w14:paraId="063EF136" w14:textId="77777777" w:rsidR="00E054BD" w:rsidRPr="007B6D09" w:rsidRDefault="00FD4A58" w:rsidP="00FD4A58">
      <w:pPr>
        <w:pStyle w:val="TSHeadingNumbered111"/>
        <w:numPr>
          <w:ilvl w:val="0"/>
          <w:numId w:val="4"/>
        </w:numPr>
        <w:jc w:val="both"/>
        <w:rPr>
          <w:i/>
        </w:rPr>
      </w:pPr>
      <w:r w:rsidRPr="007B6D09">
        <w:rPr>
          <w:i/>
        </w:rPr>
        <w:t>EAD.</w:t>
      </w:r>
      <w:r w:rsidR="00DE29EA" w:rsidRPr="007B6D09">
        <w:rPr>
          <w:i/>
        </w:rPr>
        <w:t xml:space="preserve">5 </w:t>
      </w:r>
      <w:r w:rsidR="00DE29EA" w:rsidRPr="007B6D09">
        <w:rPr>
          <w:i/>
        </w:rPr>
        <w:tab/>
      </w:r>
      <w:r w:rsidRPr="007B6D09">
        <w:rPr>
          <w:i/>
        </w:rPr>
        <w:t>- A process for reviewing the obsolescence of structures, systems and components important to safety should be in place.</w:t>
      </w:r>
    </w:p>
    <w:p w14:paraId="37B85672" w14:textId="77777777" w:rsidR="005D1D50" w:rsidRPr="007B6D09" w:rsidRDefault="005D1D50" w:rsidP="00A37F1E">
      <w:pPr>
        <w:pStyle w:val="TSHeadingNumbered111"/>
        <w:numPr>
          <w:ilvl w:val="0"/>
          <w:numId w:val="4"/>
        </w:numPr>
        <w:jc w:val="both"/>
        <w:rPr>
          <w:i/>
        </w:rPr>
      </w:pPr>
      <w:r w:rsidRPr="007B6D09">
        <w:rPr>
          <w:i/>
        </w:rPr>
        <w:t xml:space="preserve">ENC.2 </w:t>
      </w:r>
      <w:r w:rsidRPr="007B6D09">
        <w:rPr>
          <w:i/>
        </w:rPr>
        <w:tab/>
      </w:r>
      <w:r w:rsidR="00A37F1E" w:rsidRPr="007B6D09">
        <w:rPr>
          <w:i/>
        </w:rPr>
        <w:t>- The design of non-metallic components or structures should include the ability to examine the item through life for signs of degradation.</w:t>
      </w:r>
      <w:r w:rsidRPr="007B6D09">
        <w:rPr>
          <w:i/>
        </w:rPr>
        <w:tab/>
        <w:t xml:space="preserve"> </w:t>
      </w:r>
    </w:p>
    <w:p w14:paraId="35D9253D" w14:textId="77777777" w:rsidR="00A37F1E" w:rsidRPr="007B6D09" w:rsidRDefault="00DE29EA" w:rsidP="00A37F1E">
      <w:pPr>
        <w:pStyle w:val="TSHeadingNumbered111"/>
        <w:numPr>
          <w:ilvl w:val="0"/>
          <w:numId w:val="4"/>
        </w:numPr>
        <w:jc w:val="both"/>
        <w:rPr>
          <w:i/>
        </w:rPr>
      </w:pPr>
      <w:r w:rsidRPr="007B6D09">
        <w:rPr>
          <w:i/>
        </w:rPr>
        <w:t>ECE.3</w:t>
      </w:r>
      <w:r w:rsidR="00A37F1E" w:rsidRPr="007B6D09">
        <w:rPr>
          <w:i/>
        </w:rPr>
        <w:t xml:space="preserve"> - It should be demonstrated that structures important to safety are sufficiently free of defects so that their safety functions are not compromised, that identified defects can be tolerated, and that the existence of defects that could compromise safety functions can be established through their lifecycle.</w:t>
      </w:r>
    </w:p>
    <w:p w14:paraId="6676561F" w14:textId="77777777" w:rsidR="00E054BD" w:rsidRPr="007B6D09" w:rsidRDefault="00A37F1E" w:rsidP="00A37F1E">
      <w:pPr>
        <w:pStyle w:val="TSHeadingNumbered111"/>
        <w:numPr>
          <w:ilvl w:val="0"/>
          <w:numId w:val="4"/>
        </w:numPr>
        <w:jc w:val="both"/>
        <w:rPr>
          <w:i/>
        </w:rPr>
      </w:pPr>
      <w:r w:rsidRPr="007B6D09">
        <w:rPr>
          <w:i/>
        </w:rPr>
        <w:t>ECE.</w:t>
      </w:r>
      <w:r w:rsidR="00744B34" w:rsidRPr="007B6D09">
        <w:rPr>
          <w:i/>
        </w:rPr>
        <w:t xml:space="preserve">2 </w:t>
      </w:r>
      <w:r w:rsidR="00DE29EA" w:rsidRPr="007B6D09">
        <w:rPr>
          <w:i/>
        </w:rPr>
        <w:tab/>
      </w:r>
      <w:r w:rsidRPr="007B6D09">
        <w:rPr>
          <w:i/>
        </w:rPr>
        <w:t>- For structures requiring the highest levels of reliability, multiple independent and diverse arguments should be provided in the safety case.</w:t>
      </w:r>
    </w:p>
    <w:p w14:paraId="64D2CF9B" w14:textId="77777777" w:rsidR="00E054BD" w:rsidRPr="009D15EC" w:rsidRDefault="00DE29EA" w:rsidP="005A7373">
      <w:pPr>
        <w:pStyle w:val="TSHeadingNumbered111"/>
        <w:numPr>
          <w:ilvl w:val="0"/>
          <w:numId w:val="4"/>
        </w:numPr>
        <w:jc w:val="both"/>
      </w:pPr>
      <w:r w:rsidRPr="007B6D09">
        <w:rPr>
          <w:i/>
        </w:rPr>
        <w:t xml:space="preserve">DC.1 </w:t>
      </w:r>
      <w:r w:rsidR="00A37F1E" w:rsidRPr="007B6D09">
        <w:rPr>
          <w:i/>
        </w:rPr>
        <w:t>- Facilities should be designed and operated so that they can be safely decommissioned.</w:t>
      </w:r>
      <w:r w:rsidRPr="009D15EC">
        <w:tab/>
      </w:r>
    </w:p>
    <w:p w14:paraId="0673602D" w14:textId="77777777" w:rsidR="00730399" w:rsidRPr="009D15EC" w:rsidRDefault="00730399" w:rsidP="000C16CF">
      <w:pPr>
        <w:pStyle w:val="TSNumberedParagraph11"/>
        <w:jc w:val="both"/>
        <w:rPr>
          <w:b/>
        </w:rPr>
      </w:pPr>
      <w:r w:rsidRPr="009D15EC">
        <w:rPr>
          <w:b/>
        </w:rPr>
        <w:t>WENRA</w:t>
      </w:r>
    </w:p>
    <w:p w14:paraId="133D6349" w14:textId="77777777" w:rsidR="00730399" w:rsidRPr="009D15EC" w:rsidRDefault="001710CC" w:rsidP="000C16CF">
      <w:pPr>
        <w:pStyle w:val="TSHeadingNumbered111"/>
        <w:jc w:val="both"/>
      </w:pPr>
      <w:r w:rsidRPr="009D15EC">
        <w:t>T</w:t>
      </w:r>
      <w:r w:rsidR="00730399" w:rsidRPr="009D15EC">
        <w:t>his TAG considers the Western European N</w:t>
      </w:r>
      <w:r w:rsidRPr="009D15EC">
        <w:t xml:space="preserve">uclear Regulators’ </w:t>
      </w:r>
      <w:r w:rsidR="00364860" w:rsidRPr="009D15EC">
        <w:t>Association</w:t>
      </w:r>
      <w:r w:rsidR="00364860" w:rsidRPr="00D12F8C">
        <w:rPr>
          <w:vertAlign w:val="superscript"/>
        </w:rPr>
        <w:t xml:space="preserve"> </w:t>
      </w:r>
      <w:r w:rsidR="00364860" w:rsidRPr="00917CBA">
        <w:t>[</w:t>
      </w:r>
      <w:r w:rsidR="00FF41B5" w:rsidRPr="00917CBA">
        <w:t>4]</w:t>
      </w:r>
      <w:r w:rsidRPr="009D15EC">
        <w:rPr>
          <w:i/>
        </w:rPr>
        <w:t xml:space="preserve"> </w:t>
      </w:r>
      <w:r w:rsidR="00730399" w:rsidRPr="009D15EC">
        <w:t>(WENRA) for specific applicability</w:t>
      </w:r>
      <w:r w:rsidR="00433E13">
        <w:t xml:space="preserve">.  </w:t>
      </w:r>
      <w:r w:rsidR="002C2787">
        <w:t>W</w:t>
      </w:r>
      <w:r w:rsidR="00730399" w:rsidRPr="009D15EC">
        <w:t>hereas the WENRA Reactor Safety Reference Levels are intended for existing reactors</w:t>
      </w:r>
      <w:r w:rsidR="002C2787">
        <w:t>, the SAPs are intended for all existing and new nuclear facilities</w:t>
      </w:r>
      <w:r w:rsidR="00433E13">
        <w:t xml:space="preserve">.  </w:t>
      </w:r>
      <w:r w:rsidR="00730399" w:rsidRPr="009D15EC">
        <w:t>However</w:t>
      </w:r>
      <w:r w:rsidR="00BC1A16">
        <w:t>,</w:t>
      </w:r>
      <w:r w:rsidR="00730399" w:rsidRPr="009D15EC">
        <w:t xml:space="preserve"> there is little difference between the general requirements of each</w:t>
      </w:r>
      <w:r w:rsidR="00433E13">
        <w:t xml:space="preserve">.  </w:t>
      </w:r>
      <w:r w:rsidR="00730399" w:rsidRPr="009D15EC">
        <w:t>The WENRA and IAEA documents considered in this TAG are focused on nuclear reactor power plants</w:t>
      </w:r>
      <w:r w:rsidR="00433E13">
        <w:t xml:space="preserve">.  </w:t>
      </w:r>
      <w:r w:rsidR="002C2787">
        <w:t xml:space="preserve">For this reason they </w:t>
      </w:r>
      <w:r w:rsidR="00730399" w:rsidRPr="009D15EC">
        <w:t xml:space="preserve">do not have the same </w:t>
      </w:r>
      <w:r w:rsidR="00F55925">
        <w:t xml:space="preserve">breath of </w:t>
      </w:r>
      <w:r w:rsidR="00730399" w:rsidRPr="009D15EC">
        <w:t xml:space="preserve">scope </w:t>
      </w:r>
      <w:r w:rsidR="00F55925">
        <w:t xml:space="preserve">and </w:t>
      </w:r>
      <w:r w:rsidR="00730399" w:rsidRPr="009D15EC">
        <w:t>intent of the SAPs and this TAG</w:t>
      </w:r>
      <w:r w:rsidR="00433E13">
        <w:t xml:space="preserve">.  </w:t>
      </w:r>
      <w:r w:rsidR="005A7373">
        <w:t xml:space="preserve"> </w:t>
      </w:r>
      <w:r w:rsidR="00730399" w:rsidRPr="009D15EC">
        <w:t xml:space="preserve">Section 4 of NS-TAST-GD-005 identifies the WENRA </w:t>
      </w:r>
      <w:r w:rsidRPr="009D15EC">
        <w:t xml:space="preserve">Reference Levels </w:t>
      </w:r>
      <w:r w:rsidR="00730399" w:rsidRPr="009D15EC">
        <w:t>as Relevant Good Practice for existing civil nuclear reactors</w:t>
      </w:r>
    </w:p>
    <w:p w14:paraId="35169F31" w14:textId="77777777" w:rsidR="001710CC" w:rsidRPr="009D15EC" w:rsidRDefault="000609F6" w:rsidP="000C16CF">
      <w:pPr>
        <w:pStyle w:val="TSHeadingNumbered111"/>
        <w:jc w:val="both"/>
      </w:pPr>
      <w:r>
        <w:t>WENRA Reference Level ‘I’ is dedicated to “Ageing Management”.  It is considered within this TAG that ageing management is a sub-set within the broader scope of Asset Management.  The main themes discussed within the ageing management reference levels, which are listed below, are encompassed by the Asset Management po</w:t>
      </w:r>
      <w:r w:rsidR="00A01F84">
        <w:t>ints in section 5 of this guide:</w:t>
      </w:r>
    </w:p>
    <w:p w14:paraId="3FE5F311" w14:textId="77777777" w:rsidR="00C650B5" w:rsidRPr="009D15EC" w:rsidRDefault="00912C58" w:rsidP="000C16CF">
      <w:pPr>
        <w:pStyle w:val="TSHeadingNumbered111"/>
        <w:numPr>
          <w:ilvl w:val="0"/>
          <w:numId w:val="4"/>
        </w:numPr>
        <w:spacing w:after="0"/>
        <w:jc w:val="both"/>
        <w:rPr>
          <w:i/>
        </w:rPr>
      </w:pPr>
      <w:r>
        <w:rPr>
          <w:i/>
          <w:szCs w:val="22"/>
        </w:rPr>
        <w:t>“</w:t>
      </w:r>
      <w:r w:rsidR="00F20DB8" w:rsidRPr="009D15EC">
        <w:rPr>
          <w:i/>
          <w:szCs w:val="22"/>
        </w:rPr>
        <w:t>The operating organisation shall have an A</w:t>
      </w:r>
      <w:r w:rsidR="00137CEE">
        <w:rPr>
          <w:i/>
          <w:szCs w:val="22"/>
        </w:rPr>
        <w:t>M</w:t>
      </w:r>
      <w:r w:rsidR="00A600FA">
        <w:rPr>
          <w:i/>
          <w:szCs w:val="22"/>
        </w:rPr>
        <w:t>P</w:t>
      </w:r>
      <w:r w:rsidR="00137CEE">
        <w:rPr>
          <w:i/>
          <w:szCs w:val="22"/>
        </w:rPr>
        <w:t xml:space="preserve"> </w:t>
      </w:r>
      <w:r w:rsidR="00F20DB8" w:rsidRPr="009D15EC">
        <w:rPr>
          <w:i/>
          <w:szCs w:val="22"/>
        </w:rPr>
        <w:t xml:space="preserve">to identify all ageing mechanisms relevant to </w:t>
      </w:r>
      <w:r w:rsidR="00137CEE">
        <w:rPr>
          <w:i/>
          <w:szCs w:val="22"/>
        </w:rPr>
        <w:t>SSCs</w:t>
      </w:r>
      <w:r w:rsidR="00F20DB8" w:rsidRPr="009D15EC">
        <w:rPr>
          <w:i/>
          <w:szCs w:val="22"/>
        </w:rPr>
        <w:t xml:space="preserve"> important to safety, determine their possible consequences, and determine necessary activities in order to maintain the operability and reliability of these SSCs.</w:t>
      </w:r>
      <w:r>
        <w:rPr>
          <w:i/>
          <w:szCs w:val="22"/>
        </w:rPr>
        <w:t>”</w:t>
      </w:r>
    </w:p>
    <w:p w14:paraId="73AAABF7" w14:textId="77777777" w:rsidR="00A47B0A" w:rsidRPr="009D15EC" w:rsidRDefault="00A47B0A" w:rsidP="000C16CF">
      <w:pPr>
        <w:pStyle w:val="TSHeadingNumbered111"/>
        <w:numPr>
          <w:ilvl w:val="0"/>
          <w:numId w:val="0"/>
        </w:numPr>
        <w:spacing w:after="0"/>
        <w:ind w:left="1440"/>
        <w:jc w:val="both"/>
        <w:rPr>
          <w:i/>
        </w:rPr>
      </w:pPr>
    </w:p>
    <w:p w14:paraId="759405EF" w14:textId="77777777" w:rsidR="00C650B5" w:rsidRPr="009D15EC" w:rsidRDefault="00912C58" w:rsidP="000C16CF">
      <w:pPr>
        <w:pStyle w:val="TSHeadingNumbered111"/>
        <w:numPr>
          <w:ilvl w:val="0"/>
          <w:numId w:val="4"/>
        </w:numPr>
        <w:spacing w:after="0"/>
        <w:jc w:val="both"/>
        <w:rPr>
          <w:i/>
        </w:rPr>
      </w:pPr>
      <w:r>
        <w:rPr>
          <w:i/>
          <w:szCs w:val="22"/>
        </w:rPr>
        <w:t>“</w:t>
      </w:r>
      <w:r w:rsidR="00F20DB8" w:rsidRPr="009D15EC">
        <w:rPr>
          <w:i/>
          <w:szCs w:val="22"/>
        </w:rPr>
        <w:t>The licensee shall assess structures, systems and components important to safety taking into account relevant ageing and wear-out mechanisms and potential age related degradations in order to ensure the capability of the plant to perform the necessary safety functions throughout its planned life, under design basis conditions</w:t>
      </w:r>
      <w:r w:rsidR="005B3009">
        <w:rPr>
          <w:i/>
          <w:szCs w:val="22"/>
        </w:rPr>
        <w:t>”</w:t>
      </w:r>
    </w:p>
    <w:p w14:paraId="4AB48E8B" w14:textId="77777777" w:rsidR="00DC2DFC" w:rsidRPr="009D15EC" w:rsidRDefault="00DC2DFC" w:rsidP="000C16CF">
      <w:pPr>
        <w:pStyle w:val="TSHeadingNumbered111"/>
        <w:numPr>
          <w:ilvl w:val="0"/>
          <w:numId w:val="0"/>
        </w:numPr>
        <w:spacing w:after="0"/>
        <w:ind w:left="1440"/>
        <w:jc w:val="both"/>
        <w:rPr>
          <w:i/>
        </w:rPr>
      </w:pPr>
    </w:p>
    <w:p w14:paraId="0BCD59EB" w14:textId="77777777" w:rsidR="00F20DB8" w:rsidRPr="009D15EC" w:rsidRDefault="00912C58" w:rsidP="000C16CF">
      <w:pPr>
        <w:pStyle w:val="TSHeadingNumbered111"/>
        <w:numPr>
          <w:ilvl w:val="0"/>
          <w:numId w:val="4"/>
        </w:numPr>
        <w:spacing w:after="0"/>
        <w:jc w:val="both"/>
        <w:rPr>
          <w:i/>
        </w:rPr>
      </w:pPr>
      <w:r>
        <w:rPr>
          <w:i/>
          <w:szCs w:val="22"/>
        </w:rPr>
        <w:t>“</w:t>
      </w:r>
      <w:r w:rsidR="00F20DB8" w:rsidRPr="009D15EC">
        <w:rPr>
          <w:i/>
          <w:szCs w:val="22"/>
        </w:rPr>
        <w:t>The licensee shall provide monitoring, testing, sampling and inspection activities to assess ageing effects to identify unexpected behaviour or degradation during service.</w:t>
      </w:r>
      <w:r>
        <w:rPr>
          <w:i/>
          <w:szCs w:val="22"/>
        </w:rPr>
        <w:t>”</w:t>
      </w:r>
    </w:p>
    <w:p w14:paraId="5FFF43AB" w14:textId="77777777" w:rsidR="00DC2DFC" w:rsidRPr="009D15EC" w:rsidRDefault="00DC2DFC" w:rsidP="000C16CF">
      <w:pPr>
        <w:pStyle w:val="TSHeadingNumbered111"/>
        <w:numPr>
          <w:ilvl w:val="0"/>
          <w:numId w:val="0"/>
        </w:numPr>
        <w:spacing w:after="0"/>
        <w:jc w:val="both"/>
        <w:rPr>
          <w:i/>
        </w:rPr>
      </w:pPr>
    </w:p>
    <w:p w14:paraId="5ED3D2E8" w14:textId="77777777" w:rsidR="00F20DB8" w:rsidRPr="009D15EC" w:rsidRDefault="00912C58" w:rsidP="000C16CF">
      <w:pPr>
        <w:pStyle w:val="TSHeadingNumbered111"/>
        <w:numPr>
          <w:ilvl w:val="0"/>
          <w:numId w:val="4"/>
        </w:numPr>
        <w:spacing w:after="0"/>
        <w:jc w:val="both"/>
        <w:rPr>
          <w:i/>
        </w:rPr>
      </w:pPr>
      <w:r>
        <w:rPr>
          <w:i/>
          <w:szCs w:val="22"/>
        </w:rPr>
        <w:t>“</w:t>
      </w:r>
      <w:r w:rsidR="00F20DB8" w:rsidRPr="009D15EC">
        <w:rPr>
          <w:i/>
          <w:szCs w:val="22"/>
        </w:rPr>
        <w:t>The Periodic Safety Reviews shall be used to confirm whether ageing and wear-out mechanisms have been correctly taken into account and to detect unexpected issues.</w:t>
      </w:r>
      <w:r>
        <w:rPr>
          <w:i/>
          <w:szCs w:val="22"/>
        </w:rPr>
        <w:t>”</w:t>
      </w:r>
    </w:p>
    <w:p w14:paraId="7F4EFBAC" w14:textId="77777777" w:rsidR="00DC2DFC" w:rsidRPr="009D15EC" w:rsidRDefault="00DC2DFC" w:rsidP="000C16CF">
      <w:pPr>
        <w:pStyle w:val="TSHeadingNumbered111"/>
        <w:numPr>
          <w:ilvl w:val="0"/>
          <w:numId w:val="0"/>
        </w:numPr>
        <w:spacing w:after="0"/>
        <w:jc w:val="both"/>
        <w:rPr>
          <w:i/>
        </w:rPr>
      </w:pPr>
    </w:p>
    <w:p w14:paraId="1419FD2F" w14:textId="77777777" w:rsidR="00F20DB8" w:rsidRPr="009D15EC" w:rsidRDefault="00912C58" w:rsidP="000C16CF">
      <w:pPr>
        <w:pStyle w:val="TSHeadingNumbered111"/>
        <w:numPr>
          <w:ilvl w:val="0"/>
          <w:numId w:val="4"/>
        </w:numPr>
        <w:spacing w:after="0"/>
        <w:jc w:val="both"/>
        <w:rPr>
          <w:i/>
        </w:rPr>
      </w:pPr>
      <w:r>
        <w:rPr>
          <w:i/>
          <w:szCs w:val="22"/>
        </w:rPr>
        <w:t>“</w:t>
      </w:r>
      <w:r w:rsidR="00F20DB8" w:rsidRPr="009D15EC">
        <w:rPr>
          <w:i/>
          <w:szCs w:val="22"/>
        </w:rPr>
        <w:t>In its AM</w:t>
      </w:r>
      <w:r w:rsidR="00C13819" w:rsidRPr="009D15EC">
        <w:rPr>
          <w:i/>
          <w:szCs w:val="22"/>
        </w:rPr>
        <w:t>S</w:t>
      </w:r>
      <w:r w:rsidR="00F20DB8" w:rsidRPr="009D15EC">
        <w:rPr>
          <w:i/>
          <w:szCs w:val="22"/>
        </w:rPr>
        <w:t>, the licensee shall take account of environmental conditions, process conditions, duty cycles, maintenance schedules, service life, testing schedules and replacement strategy.</w:t>
      </w:r>
      <w:r>
        <w:rPr>
          <w:i/>
          <w:szCs w:val="22"/>
        </w:rPr>
        <w:t>”</w:t>
      </w:r>
    </w:p>
    <w:p w14:paraId="4412A5C0" w14:textId="77777777" w:rsidR="00DC2DFC" w:rsidRPr="009D15EC" w:rsidRDefault="00DC2DFC" w:rsidP="000C16CF">
      <w:pPr>
        <w:pStyle w:val="TSHeadingNumbered111"/>
        <w:numPr>
          <w:ilvl w:val="0"/>
          <w:numId w:val="0"/>
        </w:numPr>
        <w:spacing w:after="0"/>
        <w:jc w:val="both"/>
        <w:rPr>
          <w:i/>
        </w:rPr>
      </w:pPr>
    </w:p>
    <w:p w14:paraId="1A6DA100" w14:textId="77777777" w:rsidR="00F20DB8" w:rsidRPr="009D15EC" w:rsidRDefault="00912C58" w:rsidP="000C16CF">
      <w:pPr>
        <w:pStyle w:val="TSHeadingNumbered111"/>
        <w:numPr>
          <w:ilvl w:val="0"/>
          <w:numId w:val="4"/>
        </w:numPr>
        <w:spacing w:after="0"/>
        <w:jc w:val="both"/>
        <w:rPr>
          <w:i/>
        </w:rPr>
      </w:pPr>
      <w:r>
        <w:rPr>
          <w:i/>
          <w:szCs w:val="22"/>
        </w:rPr>
        <w:t>“</w:t>
      </w:r>
      <w:r w:rsidR="00F20DB8" w:rsidRPr="009D15EC">
        <w:rPr>
          <w:i/>
          <w:szCs w:val="22"/>
        </w:rPr>
        <w:t>The AM</w:t>
      </w:r>
      <w:r w:rsidR="00C13819" w:rsidRPr="009D15EC">
        <w:rPr>
          <w:i/>
          <w:szCs w:val="22"/>
        </w:rPr>
        <w:t>S</w:t>
      </w:r>
      <w:r w:rsidR="00F20DB8" w:rsidRPr="009D15EC">
        <w:rPr>
          <w:i/>
          <w:szCs w:val="22"/>
        </w:rPr>
        <w:t xml:space="preserve"> shall be reviewed and updated as a minimum with the PSR</w:t>
      </w:r>
      <w:r w:rsidR="00432606" w:rsidRPr="009D15EC">
        <w:rPr>
          <w:rStyle w:val="FootnoteReference"/>
          <w:i/>
          <w:szCs w:val="22"/>
        </w:rPr>
        <w:footnoteReference w:id="3"/>
      </w:r>
      <w:r w:rsidR="00F20DB8" w:rsidRPr="009D15EC">
        <w:rPr>
          <w:i/>
          <w:szCs w:val="22"/>
        </w:rPr>
        <w:t xml:space="preserve"> in order to in-corporate new information as it becomes available, to address new issues as they arise, to use more sophisticated tools and methods as they become accessible and to assess the performance of maintenance practices considered over the life of the plant.</w:t>
      </w:r>
      <w:r>
        <w:rPr>
          <w:i/>
          <w:szCs w:val="22"/>
        </w:rPr>
        <w:t>”</w:t>
      </w:r>
    </w:p>
    <w:p w14:paraId="7AC64634" w14:textId="77777777" w:rsidR="00DC2DFC" w:rsidRPr="009D15EC" w:rsidRDefault="00DC2DFC" w:rsidP="000C16CF">
      <w:pPr>
        <w:pStyle w:val="TSHeadingNumbered111"/>
        <w:numPr>
          <w:ilvl w:val="0"/>
          <w:numId w:val="0"/>
        </w:numPr>
        <w:spacing w:after="0"/>
        <w:jc w:val="both"/>
        <w:rPr>
          <w:i/>
        </w:rPr>
      </w:pPr>
    </w:p>
    <w:p w14:paraId="2380247D" w14:textId="77777777" w:rsidR="00F20DB8" w:rsidRPr="009D15EC" w:rsidRDefault="00912C58" w:rsidP="000C16CF">
      <w:pPr>
        <w:pStyle w:val="TSHeadingNumbered111"/>
        <w:numPr>
          <w:ilvl w:val="0"/>
          <w:numId w:val="4"/>
        </w:numPr>
        <w:spacing w:after="0"/>
        <w:jc w:val="both"/>
        <w:rPr>
          <w:i/>
        </w:rPr>
      </w:pPr>
      <w:r>
        <w:rPr>
          <w:i/>
          <w:szCs w:val="22"/>
        </w:rPr>
        <w:t>“</w:t>
      </w:r>
      <w:r w:rsidR="00F20DB8" w:rsidRPr="009D15EC">
        <w:rPr>
          <w:i/>
          <w:szCs w:val="22"/>
        </w:rPr>
        <w:t>Ageing management of the reactor pressure vessel</w:t>
      </w:r>
      <w:r w:rsidR="00F20DB8" w:rsidRPr="009D15EC">
        <w:rPr>
          <w:i/>
          <w:sz w:val="14"/>
          <w:szCs w:val="14"/>
        </w:rPr>
        <w:t xml:space="preserve"> </w:t>
      </w:r>
      <w:r w:rsidR="00F20DB8" w:rsidRPr="009D15EC">
        <w:rPr>
          <w:i/>
          <w:szCs w:val="22"/>
        </w:rPr>
        <w:t>and its welds shall take all relevant factors including embrittlement, thermal ageing, and fatigue into account to compare their performance with prediction, throughout plant life.</w:t>
      </w:r>
      <w:r w:rsidR="00611C79">
        <w:rPr>
          <w:i/>
          <w:szCs w:val="22"/>
        </w:rPr>
        <w:t>”</w:t>
      </w:r>
    </w:p>
    <w:p w14:paraId="0604A2F6" w14:textId="77777777" w:rsidR="00DC2DFC" w:rsidRPr="009D15EC" w:rsidRDefault="00DC2DFC" w:rsidP="000C16CF">
      <w:pPr>
        <w:pStyle w:val="TSHeadingNumbered111"/>
        <w:numPr>
          <w:ilvl w:val="0"/>
          <w:numId w:val="0"/>
        </w:numPr>
        <w:spacing w:after="0"/>
        <w:jc w:val="both"/>
        <w:rPr>
          <w:i/>
        </w:rPr>
      </w:pPr>
    </w:p>
    <w:p w14:paraId="7AEC58C8" w14:textId="77777777" w:rsidR="00F20DB8" w:rsidRPr="009D15EC" w:rsidRDefault="00611C79" w:rsidP="000C16CF">
      <w:pPr>
        <w:pStyle w:val="TSHeadingNumbered111"/>
        <w:numPr>
          <w:ilvl w:val="0"/>
          <w:numId w:val="4"/>
        </w:numPr>
        <w:spacing w:after="0"/>
        <w:jc w:val="both"/>
        <w:rPr>
          <w:i/>
        </w:rPr>
      </w:pPr>
      <w:r>
        <w:rPr>
          <w:i/>
          <w:szCs w:val="22"/>
        </w:rPr>
        <w:t>“</w:t>
      </w:r>
      <w:r w:rsidR="00F20DB8" w:rsidRPr="009D15EC">
        <w:rPr>
          <w:i/>
          <w:szCs w:val="22"/>
        </w:rPr>
        <w:t xml:space="preserve">Surveillance of major structures and components shall be carried out </w:t>
      </w:r>
      <w:r w:rsidR="002F2F8D" w:rsidRPr="009D15EC">
        <w:rPr>
          <w:i/>
          <w:szCs w:val="22"/>
        </w:rPr>
        <w:t>in a timely manner to</w:t>
      </w:r>
      <w:r w:rsidR="00F20DB8" w:rsidRPr="009D15EC">
        <w:rPr>
          <w:i/>
          <w:szCs w:val="22"/>
        </w:rPr>
        <w:t xml:space="preserve"> detect the inception of ageing effects and to allow for preventive and remedial actions.</w:t>
      </w:r>
      <w:r w:rsidR="00912C58">
        <w:rPr>
          <w:i/>
          <w:szCs w:val="22"/>
        </w:rPr>
        <w:t>”</w:t>
      </w:r>
    </w:p>
    <w:p w14:paraId="5816F14F" w14:textId="77777777" w:rsidR="001710CC" w:rsidRPr="009D15EC" w:rsidRDefault="001710CC" w:rsidP="000C16CF">
      <w:pPr>
        <w:pStyle w:val="TSHeadingNumbered111"/>
        <w:numPr>
          <w:ilvl w:val="0"/>
          <w:numId w:val="0"/>
        </w:numPr>
        <w:spacing w:after="0"/>
        <w:ind w:left="1440"/>
        <w:jc w:val="both"/>
      </w:pPr>
    </w:p>
    <w:p w14:paraId="033438E6" w14:textId="77777777" w:rsidR="001710CC" w:rsidRPr="009D15EC" w:rsidRDefault="001710CC" w:rsidP="000C16CF">
      <w:pPr>
        <w:pStyle w:val="TSHeadingNumbered111"/>
        <w:numPr>
          <w:ilvl w:val="0"/>
          <w:numId w:val="0"/>
        </w:numPr>
        <w:spacing w:after="0"/>
        <w:ind w:left="1440"/>
        <w:jc w:val="both"/>
      </w:pPr>
    </w:p>
    <w:p w14:paraId="057770D4" w14:textId="77777777" w:rsidR="00730399" w:rsidRPr="009D15EC" w:rsidRDefault="00730399" w:rsidP="000C16CF">
      <w:pPr>
        <w:pStyle w:val="TSHeadingNumbered111"/>
        <w:jc w:val="both"/>
      </w:pPr>
      <w:r w:rsidRPr="009D15EC">
        <w:t xml:space="preserve">WENRA Reference Level Issue </w:t>
      </w:r>
      <w:r w:rsidR="001A0C05" w:rsidRPr="009D15EC">
        <w:t>‘</w:t>
      </w:r>
      <w:r w:rsidRPr="009D15EC">
        <w:t>K</w:t>
      </w:r>
      <w:r w:rsidR="001A0C05" w:rsidRPr="009D15EC">
        <w:t>’</w:t>
      </w:r>
      <w:r w:rsidRPr="009D15EC">
        <w:t xml:space="preserve"> is dedicated to </w:t>
      </w:r>
      <w:r w:rsidR="001A0C05" w:rsidRPr="009D15EC">
        <w:t>EIM&amp;T</w:t>
      </w:r>
      <w:r w:rsidR="00433E13">
        <w:t xml:space="preserve">.  </w:t>
      </w:r>
      <w:r w:rsidR="005730F0">
        <w:t xml:space="preserve">The </w:t>
      </w:r>
      <w:r w:rsidRPr="009D15EC">
        <w:t xml:space="preserve">following </w:t>
      </w:r>
      <w:r w:rsidR="005730F0">
        <w:t xml:space="preserve">points are </w:t>
      </w:r>
      <w:r w:rsidRPr="009D15EC">
        <w:t xml:space="preserve">worthy of note during assessment of Licensees’ </w:t>
      </w:r>
      <w:r w:rsidR="002F68C9">
        <w:t>asset</w:t>
      </w:r>
      <w:r w:rsidR="002F68C9" w:rsidRPr="009D15EC">
        <w:t xml:space="preserve"> </w:t>
      </w:r>
      <w:r w:rsidR="001A0C05" w:rsidRPr="009D15EC">
        <w:t>management</w:t>
      </w:r>
      <w:r w:rsidRPr="009D15EC">
        <w:t xml:space="preserve"> arrangements: </w:t>
      </w:r>
    </w:p>
    <w:p w14:paraId="52301B01" w14:textId="77777777" w:rsidR="00730399" w:rsidRPr="009D15EC" w:rsidRDefault="00611C79" w:rsidP="000C16CF">
      <w:pPr>
        <w:pStyle w:val="TSHeadingNumbered111"/>
        <w:numPr>
          <w:ilvl w:val="0"/>
          <w:numId w:val="4"/>
        </w:numPr>
        <w:spacing w:after="0"/>
        <w:jc w:val="both"/>
        <w:rPr>
          <w:i/>
          <w:szCs w:val="22"/>
        </w:rPr>
      </w:pPr>
      <w:r>
        <w:rPr>
          <w:i/>
          <w:szCs w:val="22"/>
        </w:rPr>
        <w:t>“</w:t>
      </w:r>
      <w:r w:rsidR="00F20DB8" w:rsidRPr="009D15EC">
        <w:rPr>
          <w:i/>
          <w:szCs w:val="22"/>
        </w:rPr>
        <w:t>T</w:t>
      </w:r>
      <w:r w:rsidR="00730399" w:rsidRPr="009D15EC">
        <w:rPr>
          <w:i/>
          <w:szCs w:val="22"/>
        </w:rPr>
        <w:t xml:space="preserve">he need for the preparation and implementation of documented programmes of </w:t>
      </w:r>
      <w:r w:rsidR="001A0C05" w:rsidRPr="009D15EC">
        <w:rPr>
          <w:i/>
          <w:szCs w:val="22"/>
        </w:rPr>
        <w:t>EIM&amp;T</w:t>
      </w:r>
      <w:r w:rsidR="00730399" w:rsidRPr="009D15EC">
        <w:rPr>
          <w:i/>
          <w:szCs w:val="22"/>
        </w:rPr>
        <w:t xml:space="preserve"> of SSCs important to safety to ensure that their availability, reliability, and functionality remains in accordance with the design over the lifetime of the plant;</w:t>
      </w:r>
      <w:r>
        <w:rPr>
          <w:i/>
          <w:szCs w:val="22"/>
        </w:rPr>
        <w:t>”</w:t>
      </w:r>
    </w:p>
    <w:p w14:paraId="1A88E9B8" w14:textId="77777777" w:rsidR="00DC2DFC" w:rsidRPr="009D15EC" w:rsidRDefault="00DC2DFC" w:rsidP="000C16CF">
      <w:pPr>
        <w:pStyle w:val="TSHeadingNumbered111"/>
        <w:numPr>
          <w:ilvl w:val="0"/>
          <w:numId w:val="0"/>
        </w:numPr>
        <w:spacing w:after="0"/>
        <w:ind w:left="1080"/>
        <w:jc w:val="both"/>
        <w:rPr>
          <w:i/>
          <w:szCs w:val="22"/>
        </w:rPr>
      </w:pPr>
    </w:p>
    <w:p w14:paraId="117B05C6" w14:textId="77777777" w:rsidR="00730399" w:rsidRPr="009D15EC" w:rsidRDefault="00611C79" w:rsidP="000C16CF">
      <w:pPr>
        <w:pStyle w:val="TSHeadingNumbered111"/>
        <w:numPr>
          <w:ilvl w:val="0"/>
          <w:numId w:val="4"/>
        </w:numPr>
        <w:spacing w:after="0"/>
        <w:jc w:val="both"/>
        <w:rPr>
          <w:i/>
          <w:szCs w:val="22"/>
        </w:rPr>
      </w:pPr>
      <w:r>
        <w:rPr>
          <w:i/>
          <w:szCs w:val="22"/>
        </w:rPr>
        <w:t>“</w:t>
      </w:r>
      <w:r w:rsidR="00F20DB8" w:rsidRPr="009D15EC">
        <w:rPr>
          <w:i/>
          <w:szCs w:val="22"/>
        </w:rPr>
        <w:t>T</w:t>
      </w:r>
      <w:r w:rsidR="00730399" w:rsidRPr="009D15EC">
        <w:rPr>
          <w:i/>
          <w:szCs w:val="22"/>
        </w:rPr>
        <w:t>he programmes should include periodic inspections and tests of SSCs important to safety in order to determine whether they are acceptable for continued safe operation of the plant or whether any remedial measures are necessary;</w:t>
      </w:r>
      <w:r>
        <w:rPr>
          <w:i/>
          <w:szCs w:val="22"/>
        </w:rPr>
        <w:t>”</w:t>
      </w:r>
      <w:r w:rsidR="00730399" w:rsidRPr="009D15EC">
        <w:rPr>
          <w:i/>
          <w:szCs w:val="22"/>
        </w:rPr>
        <w:t xml:space="preserve"> </w:t>
      </w:r>
    </w:p>
    <w:p w14:paraId="37992CCF" w14:textId="77777777" w:rsidR="00DC2DFC" w:rsidRPr="009D15EC" w:rsidRDefault="00DC2DFC" w:rsidP="000C16CF">
      <w:pPr>
        <w:pStyle w:val="TSHeadingNumbered111"/>
        <w:numPr>
          <w:ilvl w:val="0"/>
          <w:numId w:val="0"/>
        </w:numPr>
        <w:spacing w:after="0"/>
        <w:jc w:val="both"/>
        <w:rPr>
          <w:i/>
          <w:szCs w:val="22"/>
        </w:rPr>
      </w:pPr>
    </w:p>
    <w:p w14:paraId="0A58DDAA" w14:textId="77777777" w:rsidR="00730399" w:rsidRPr="009D15EC" w:rsidRDefault="00611C79" w:rsidP="000C16CF">
      <w:pPr>
        <w:pStyle w:val="TSHeadingNumbered111"/>
        <w:numPr>
          <w:ilvl w:val="0"/>
          <w:numId w:val="4"/>
        </w:numPr>
        <w:spacing w:after="0"/>
        <w:jc w:val="both"/>
        <w:rPr>
          <w:i/>
          <w:szCs w:val="22"/>
        </w:rPr>
      </w:pPr>
      <w:r>
        <w:rPr>
          <w:i/>
          <w:szCs w:val="22"/>
        </w:rPr>
        <w:t>“</w:t>
      </w:r>
      <w:r w:rsidR="00F20DB8" w:rsidRPr="009D15EC">
        <w:rPr>
          <w:i/>
          <w:szCs w:val="22"/>
        </w:rPr>
        <w:t>T</w:t>
      </w:r>
      <w:r w:rsidR="00730399" w:rsidRPr="009D15EC">
        <w:rPr>
          <w:i/>
          <w:szCs w:val="22"/>
        </w:rPr>
        <w:t xml:space="preserve">he extent and frequency of preventative </w:t>
      </w:r>
      <w:r w:rsidR="001A0C05" w:rsidRPr="009D15EC">
        <w:rPr>
          <w:i/>
          <w:szCs w:val="22"/>
        </w:rPr>
        <w:t>EIM&amp;T</w:t>
      </w:r>
      <w:r w:rsidR="00730399" w:rsidRPr="009D15EC">
        <w:rPr>
          <w:i/>
          <w:szCs w:val="22"/>
        </w:rPr>
        <w:t xml:space="preserve"> should be determined using a systematic approach;</w:t>
      </w:r>
      <w:r>
        <w:rPr>
          <w:i/>
          <w:szCs w:val="22"/>
        </w:rPr>
        <w:t>”</w:t>
      </w:r>
      <w:r w:rsidR="00730399" w:rsidRPr="009D15EC">
        <w:rPr>
          <w:i/>
          <w:szCs w:val="22"/>
        </w:rPr>
        <w:t xml:space="preserve"> </w:t>
      </w:r>
    </w:p>
    <w:p w14:paraId="0E3C7BC8" w14:textId="77777777" w:rsidR="00DC2DFC" w:rsidRPr="009D15EC" w:rsidRDefault="00DC2DFC" w:rsidP="000C16CF">
      <w:pPr>
        <w:pStyle w:val="TSHeadingNumbered111"/>
        <w:numPr>
          <w:ilvl w:val="0"/>
          <w:numId w:val="0"/>
        </w:numPr>
        <w:spacing w:after="0"/>
        <w:jc w:val="both"/>
        <w:rPr>
          <w:i/>
          <w:szCs w:val="22"/>
        </w:rPr>
      </w:pPr>
    </w:p>
    <w:p w14:paraId="416563E6" w14:textId="77777777" w:rsidR="00730399" w:rsidRPr="009D15EC" w:rsidRDefault="00611C79" w:rsidP="000C16CF">
      <w:pPr>
        <w:pStyle w:val="TSHeadingNumbered111"/>
        <w:numPr>
          <w:ilvl w:val="0"/>
          <w:numId w:val="4"/>
        </w:numPr>
        <w:spacing w:after="0"/>
        <w:jc w:val="both"/>
        <w:rPr>
          <w:i/>
          <w:szCs w:val="22"/>
        </w:rPr>
      </w:pPr>
      <w:r>
        <w:rPr>
          <w:i/>
          <w:szCs w:val="22"/>
        </w:rPr>
        <w:t>“</w:t>
      </w:r>
      <w:r w:rsidR="00F20DB8" w:rsidRPr="009D15EC">
        <w:rPr>
          <w:i/>
          <w:szCs w:val="22"/>
        </w:rPr>
        <w:t>T</w:t>
      </w:r>
      <w:r w:rsidR="00730399" w:rsidRPr="009D15EC">
        <w:rPr>
          <w:i/>
          <w:szCs w:val="22"/>
        </w:rPr>
        <w:t xml:space="preserve">he impact of maintenance on plant safety is to be assessed using data from plant </w:t>
      </w:r>
      <w:r w:rsidR="001A0C05" w:rsidRPr="009D15EC">
        <w:rPr>
          <w:i/>
          <w:szCs w:val="22"/>
        </w:rPr>
        <w:t>EIM&amp;T</w:t>
      </w:r>
      <w:r w:rsidR="00730399" w:rsidRPr="009D15EC">
        <w:rPr>
          <w:i/>
          <w:szCs w:val="22"/>
        </w:rPr>
        <w:t>;</w:t>
      </w:r>
      <w:r>
        <w:rPr>
          <w:i/>
          <w:szCs w:val="22"/>
        </w:rPr>
        <w:t>”</w:t>
      </w:r>
      <w:r w:rsidR="00730399" w:rsidRPr="009D15EC">
        <w:rPr>
          <w:i/>
          <w:szCs w:val="22"/>
        </w:rPr>
        <w:t xml:space="preserve"> </w:t>
      </w:r>
    </w:p>
    <w:p w14:paraId="69B649E4" w14:textId="77777777" w:rsidR="00DC2DFC" w:rsidRPr="009D15EC" w:rsidRDefault="00DC2DFC" w:rsidP="000C16CF">
      <w:pPr>
        <w:pStyle w:val="TSHeadingNumbered111"/>
        <w:numPr>
          <w:ilvl w:val="0"/>
          <w:numId w:val="0"/>
        </w:numPr>
        <w:spacing w:after="0"/>
        <w:jc w:val="both"/>
        <w:rPr>
          <w:i/>
          <w:szCs w:val="22"/>
        </w:rPr>
      </w:pPr>
    </w:p>
    <w:p w14:paraId="113D99C8" w14:textId="77777777" w:rsidR="00730399" w:rsidRPr="009D15EC" w:rsidRDefault="00611C79" w:rsidP="000C16CF">
      <w:pPr>
        <w:pStyle w:val="TSHeadingNumbered111"/>
        <w:numPr>
          <w:ilvl w:val="0"/>
          <w:numId w:val="4"/>
        </w:numPr>
        <w:spacing w:after="0"/>
        <w:jc w:val="both"/>
        <w:rPr>
          <w:i/>
          <w:szCs w:val="22"/>
        </w:rPr>
      </w:pPr>
      <w:r>
        <w:rPr>
          <w:i/>
          <w:szCs w:val="22"/>
        </w:rPr>
        <w:t>“</w:t>
      </w:r>
      <w:r w:rsidR="00F20DB8" w:rsidRPr="009D15EC">
        <w:rPr>
          <w:i/>
          <w:szCs w:val="22"/>
        </w:rPr>
        <w:t>P</w:t>
      </w:r>
      <w:r w:rsidR="00730399" w:rsidRPr="009D15EC">
        <w:rPr>
          <w:i/>
          <w:szCs w:val="22"/>
        </w:rPr>
        <w:t xml:space="preserve">roven alternative approaches may be specified and other safety precautions taken to compensate for the potential for undiscovered failures where </w:t>
      </w:r>
      <w:r w:rsidR="001A0C05" w:rsidRPr="009D15EC">
        <w:rPr>
          <w:i/>
          <w:szCs w:val="22"/>
        </w:rPr>
        <w:t>EIM&amp;T</w:t>
      </w:r>
      <w:r w:rsidR="00730399" w:rsidRPr="009D15EC">
        <w:rPr>
          <w:i/>
          <w:szCs w:val="22"/>
        </w:rPr>
        <w:t xml:space="preserve"> provisions are not attainable;</w:t>
      </w:r>
      <w:r>
        <w:rPr>
          <w:i/>
          <w:szCs w:val="22"/>
        </w:rPr>
        <w:t>”</w:t>
      </w:r>
    </w:p>
    <w:p w14:paraId="03413AFE" w14:textId="77777777" w:rsidR="005B6A2E" w:rsidRPr="009D15EC" w:rsidRDefault="005B6A2E" w:rsidP="000C16CF">
      <w:pPr>
        <w:pStyle w:val="TSHeadingNumbered111"/>
        <w:numPr>
          <w:ilvl w:val="0"/>
          <w:numId w:val="0"/>
        </w:numPr>
        <w:spacing w:after="0"/>
        <w:ind w:left="1440"/>
        <w:jc w:val="both"/>
        <w:rPr>
          <w:szCs w:val="22"/>
        </w:rPr>
      </w:pPr>
    </w:p>
    <w:p w14:paraId="7880D1A0" w14:textId="77777777" w:rsidR="00730399" w:rsidRPr="009D15EC" w:rsidRDefault="00730399" w:rsidP="000C16CF">
      <w:pPr>
        <w:pStyle w:val="TSNumberedParagraph11"/>
        <w:jc w:val="both"/>
        <w:rPr>
          <w:b/>
        </w:rPr>
      </w:pPr>
      <w:r w:rsidRPr="009D15EC">
        <w:rPr>
          <w:b/>
        </w:rPr>
        <w:t>IAEA</w:t>
      </w:r>
    </w:p>
    <w:p w14:paraId="00F6DF8B" w14:textId="77777777" w:rsidR="009B5159" w:rsidRPr="009D15EC" w:rsidRDefault="001A0C05" w:rsidP="000C16CF">
      <w:pPr>
        <w:pStyle w:val="TSHeadingNumbered111"/>
        <w:jc w:val="both"/>
      </w:pPr>
      <w:r w:rsidRPr="009D15EC">
        <w:t>There are several Internati</w:t>
      </w:r>
      <w:r w:rsidR="005F7421">
        <w:t xml:space="preserve">onal Atomic Energy Agency </w:t>
      </w:r>
      <w:r w:rsidR="005F7421" w:rsidRPr="00917CBA">
        <w:t>[</w:t>
      </w:r>
      <w:r w:rsidR="00FF41B5" w:rsidRPr="00917CBA">
        <w:t>5</w:t>
      </w:r>
      <w:r w:rsidRPr="00917CBA">
        <w:t>]</w:t>
      </w:r>
      <w:r w:rsidRPr="009D15EC">
        <w:t xml:space="preserve"> (IAEA) publications with direct relevance to</w:t>
      </w:r>
      <w:r w:rsidR="006021CC">
        <w:t xml:space="preserve"> Asset</w:t>
      </w:r>
      <w:r w:rsidRPr="009D15EC">
        <w:t xml:space="preserve"> </w:t>
      </w:r>
      <w:r w:rsidR="006021CC">
        <w:t>M</w:t>
      </w:r>
      <w:r w:rsidRPr="009D15EC">
        <w:t>anagement</w:t>
      </w:r>
      <w:r w:rsidR="00433E13">
        <w:t xml:space="preserve">.  </w:t>
      </w:r>
      <w:r w:rsidRPr="009D15EC">
        <w:t xml:space="preserve">The following documents are of particular note in respect to assessing licensees’ </w:t>
      </w:r>
      <w:r w:rsidR="006021CC">
        <w:t>Asset</w:t>
      </w:r>
      <w:r w:rsidRPr="009D15EC">
        <w:t xml:space="preserve"> Management arrangements.</w:t>
      </w:r>
    </w:p>
    <w:p w14:paraId="19EA77A5" w14:textId="77777777" w:rsidR="00692D2E" w:rsidRPr="007B6D09" w:rsidRDefault="00692D2E" w:rsidP="00692D2E">
      <w:pPr>
        <w:pStyle w:val="TSHeadingNumbered111"/>
        <w:numPr>
          <w:ilvl w:val="0"/>
          <w:numId w:val="5"/>
        </w:numPr>
        <w:jc w:val="both"/>
        <w:rPr>
          <w:i/>
        </w:rPr>
      </w:pPr>
      <w:r w:rsidRPr="007B6D09">
        <w:rPr>
          <w:i/>
        </w:rPr>
        <w:t xml:space="preserve">IAEA Safety Guide No </w:t>
      </w:r>
      <w:r w:rsidR="00E950E7">
        <w:rPr>
          <w:i/>
        </w:rPr>
        <w:t>SSG-48</w:t>
      </w:r>
      <w:r w:rsidRPr="007B6D09">
        <w:rPr>
          <w:i/>
        </w:rPr>
        <w:t xml:space="preserve"> </w:t>
      </w:r>
      <w:r w:rsidR="005F7421" w:rsidRPr="007B6D09">
        <w:rPr>
          <w:i/>
        </w:rPr>
        <w:t>(IAEA, 20</w:t>
      </w:r>
      <w:r w:rsidR="00E950E7">
        <w:rPr>
          <w:i/>
        </w:rPr>
        <w:t>1</w:t>
      </w:r>
      <w:r w:rsidR="005F7421" w:rsidRPr="007B6D09">
        <w:rPr>
          <w:i/>
        </w:rPr>
        <w:t>8)</w:t>
      </w:r>
      <w:r w:rsidRPr="007B6D09">
        <w:rPr>
          <w:i/>
        </w:rPr>
        <w:t xml:space="preserve"> on Ageing Management </w:t>
      </w:r>
      <w:r w:rsidR="00E950E7">
        <w:rPr>
          <w:i/>
        </w:rPr>
        <w:t xml:space="preserve">and Development of a Programme for Long Term Operation </w:t>
      </w:r>
      <w:r w:rsidRPr="007B6D09">
        <w:rPr>
          <w:i/>
        </w:rPr>
        <w:t>of Nuclear Power Plant</w:t>
      </w:r>
      <w:r w:rsidR="00E950E7">
        <w:rPr>
          <w:i/>
        </w:rPr>
        <w:t xml:space="preserve">s. </w:t>
      </w:r>
      <w:r w:rsidR="00EC3C89">
        <w:rPr>
          <w:i/>
        </w:rPr>
        <w:t>P</w:t>
      </w:r>
      <w:r w:rsidRPr="007B6D09">
        <w:rPr>
          <w:i/>
        </w:rPr>
        <w:t>rovides recommendations on meeting the IAEA’s requirements for the management of the ageing of SSCs important to plant’s safety</w:t>
      </w:r>
      <w:r w:rsidR="00433E13">
        <w:rPr>
          <w:i/>
        </w:rPr>
        <w:t xml:space="preserve">.  </w:t>
      </w:r>
      <w:r w:rsidRPr="007B6D09">
        <w:rPr>
          <w:i/>
        </w:rPr>
        <w:t>It is intended for use by nuclear power plant operators establishing Ageing Management Programmes and for regulators in setting standards and verifying that ageing is being effectively managed.</w:t>
      </w:r>
    </w:p>
    <w:p w14:paraId="52FCA57F" w14:textId="77777777" w:rsidR="00F20DB8" w:rsidRPr="007B6D09" w:rsidRDefault="00F20DB8" w:rsidP="000C16CF">
      <w:pPr>
        <w:pStyle w:val="TSHeadingNumbered111"/>
        <w:numPr>
          <w:ilvl w:val="0"/>
          <w:numId w:val="5"/>
        </w:numPr>
        <w:jc w:val="both"/>
        <w:rPr>
          <w:i/>
        </w:rPr>
      </w:pPr>
      <w:r w:rsidRPr="007B6D09">
        <w:rPr>
          <w:i/>
        </w:rPr>
        <w:t>Methodology for the Management of Ageing of Nuclear Power Plant Components Important to Safety – Technical Report Series No: 338</w:t>
      </w:r>
    </w:p>
    <w:p w14:paraId="4165D317" w14:textId="77777777" w:rsidR="00F20DB8" w:rsidRPr="009D15EC" w:rsidRDefault="00F20DB8" w:rsidP="00687FC8">
      <w:pPr>
        <w:pStyle w:val="TSHeadingNumbered111"/>
        <w:jc w:val="both"/>
      </w:pPr>
      <w:r w:rsidRPr="009D15EC">
        <w:t xml:space="preserve">This TAG has taken account of the </w:t>
      </w:r>
      <w:r w:rsidR="005B3009">
        <w:t xml:space="preserve">above </w:t>
      </w:r>
      <w:r w:rsidRPr="009D15EC">
        <w:t xml:space="preserve">IAEA guidance which is reflected within the high level </w:t>
      </w:r>
      <w:r w:rsidR="00FD4786">
        <w:t>a</w:t>
      </w:r>
      <w:r w:rsidR="00FD0B22">
        <w:t>sset m</w:t>
      </w:r>
      <w:r w:rsidR="00FC619F">
        <w:t>anagement</w:t>
      </w:r>
      <w:r w:rsidRPr="009D15EC">
        <w:t xml:space="preserve"> principles and the supporting detailed guidance.</w:t>
      </w:r>
    </w:p>
    <w:p w14:paraId="7A5FE255" w14:textId="77777777" w:rsidR="00692D2E" w:rsidRPr="009D15EC" w:rsidRDefault="00692D2E" w:rsidP="001242F1">
      <w:pPr>
        <w:pStyle w:val="TSNumberedParagraph11"/>
        <w:rPr>
          <w:b/>
        </w:rPr>
      </w:pPr>
      <w:r w:rsidRPr="009D15EC">
        <w:rPr>
          <w:b/>
        </w:rPr>
        <w:t>I</w:t>
      </w:r>
      <w:r w:rsidR="00FD4786">
        <w:rPr>
          <w:b/>
        </w:rPr>
        <w:t>nternational Standards Organisations (I</w:t>
      </w:r>
      <w:r w:rsidRPr="009D15EC">
        <w:rPr>
          <w:b/>
        </w:rPr>
        <w:t>SO</w:t>
      </w:r>
      <w:r w:rsidR="00FD4786">
        <w:rPr>
          <w:b/>
        </w:rPr>
        <w:t>)</w:t>
      </w:r>
    </w:p>
    <w:p w14:paraId="4B7AD3EF" w14:textId="77777777" w:rsidR="004479DE" w:rsidRPr="009D15EC" w:rsidRDefault="005B3009" w:rsidP="001242F1">
      <w:pPr>
        <w:pStyle w:val="TSHeadingNumbered111"/>
      </w:pPr>
      <w:r>
        <w:t xml:space="preserve">The following </w:t>
      </w:r>
      <w:r w:rsidR="002C4357" w:rsidRPr="009D15EC">
        <w:t xml:space="preserve"> I</w:t>
      </w:r>
      <w:r w:rsidR="004479DE" w:rsidRPr="009D15EC">
        <w:t xml:space="preserve">nternational </w:t>
      </w:r>
      <w:r w:rsidR="002C4357" w:rsidRPr="009D15EC">
        <w:t>S</w:t>
      </w:r>
      <w:r w:rsidR="004479DE" w:rsidRPr="009D15EC">
        <w:t>tandard</w:t>
      </w:r>
      <w:r w:rsidR="002C4357" w:rsidRPr="009D15EC">
        <w:t xml:space="preserve">s were included in the development of this TAG </w:t>
      </w:r>
    </w:p>
    <w:p w14:paraId="422157CF" w14:textId="77777777" w:rsidR="004479DE" w:rsidRPr="007B6D09" w:rsidRDefault="004479DE" w:rsidP="001242F1">
      <w:pPr>
        <w:pStyle w:val="TSHeadingNumbered111"/>
        <w:numPr>
          <w:ilvl w:val="0"/>
          <w:numId w:val="5"/>
        </w:numPr>
        <w:jc w:val="both"/>
        <w:rPr>
          <w:i/>
        </w:rPr>
      </w:pPr>
      <w:r w:rsidRPr="007B6D09">
        <w:rPr>
          <w:i/>
        </w:rPr>
        <w:t xml:space="preserve">ISO 55000 </w:t>
      </w:r>
      <w:r w:rsidR="005B3009">
        <w:rPr>
          <w:i/>
        </w:rPr>
        <w:t xml:space="preserve">- This </w:t>
      </w:r>
      <w:r w:rsidR="001A4D4A">
        <w:rPr>
          <w:i/>
        </w:rPr>
        <w:t xml:space="preserve">document specifies </w:t>
      </w:r>
      <w:r w:rsidR="001A4D4A" w:rsidRPr="007B6D09">
        <w:rPr>
          <w:i/>
        </w:rPr>
        <w:t>the</w:t>
      </w:r>
      <w:r w:rsidRPr="007B6D09">
        <w:rPr>
          <w:i/>
        </w:rPr>
        <w:t xml:space="preserve"> overview, concepts and terminology in </w:t>
      </w:r>
      <w:r w:rsidR="00FC619F">
        <w:rPr>
          <w:i/>
        </w:rPr>
        <w:t>Asset Management</w:t>
      </w:r>
      <w:r w:rsidRPr="007B6D09">
        <w:rPr>
          <w:i/>
        </w:rPr>
        <w:t>.</w:t>
      </w:r>
    </w:p>
    <w:p w14:paraId="14326DD4" w14:textId="77777777" w:rsidR="004479DE" w:rsidRPr="007B6D09" w:rsidRDefault="004479DE" w:rsidP="001242F1">
      <w:pPr>
        <w:pStyle w:val="TSHeadingNumbered111"/>
        <w:numPr>
          <w:ilvl w:val="0"/>
          <w:numId w:val="5"/>
        </w:numPr>
        <w:jc w:val="both"/>
        <w:rPr>
          <w:i/>
        </w:rPr>
      </w:pPr>
      <w:r w:rsidRPr="007B6D09">
        <w:rPr>
          <w:i/>
        </w:rPr>
        <w:t>ISO 55001</w:t>
      </w:r>
      <w:r w:rsidR="005B3009">
        <w:rPr>
          <w:i/>
        </w:rPr>
        <w:t xml:space="preserve"> -</w:t>
      </w:r>
      <w:r w:rsidR="00F053A5">
        <w:rPr>
          <w:i/>
        </w:rPr>
        <w:t xml:space="preserve"> </w:t>
      </w:r>
      <w:r w:rsidR="005B3009">
        <w:rPr>
          <w:i/>
        </w:rPr>
        <w:t xml:space="preserve">This document </w:t>
      </w:r>
      <w:r w:rsidR="001A4D4A">
        <w:rPr>
          <w:i/>
        </w:rPr>
        <w:t xml:space="preserve">defines </w:t>
      </w:r>
      <w:r w:rsidR="001A4D4A" w:rsidRPr="007B6D09">
        <w:rPr>
          <w:i/>
        </w:rPr>
        <w:t>the</w:t>
      </w:r>
      <w:r w:rsidRPr="007B6D09">
        <w:rPr>
          <w:i/>
        </w:rPr>
        <w:t xml:space="preserve"> requirements for a "management system" for </w:t>
      </w:r>
      <w:r w:rsidR="00FC619F">
        <w:rPr>
          <w:i/>
        </w:rPr>
        <w:t>Asset Management</w:t>
      </w:r>
      <w:r w:rsidRPr="007B6D09">
        <w:rPr>
          <w:i/>
        </w:rPr>
        <w:t>.</w:t>
      </w:r>
    </w:p>
    <w:p w14:paraId="6DAC1862" w14:textId="77777777" w:rsidR="004479DE" w:rsidRDefault="004479DE" w:rsidP="001242F1">
      <w:pPr>
        <w:pStyle w:val="TSHeadingNumbered111"/>
        <w:numPr>
          <w:ilvl w:val="0"/>
          <w:numId w:val="5"/>
        </w:numPr>
        <w:jc w:val="both"/>
        <w:rPr>
          <w:i/>
        </w:rPr>
      </w:pPr>
      <w:r w:rsidRPr="007B6D09">
        <w:rPr>
          <w:i/>
        </w:rPr>
        <w:t xml:space="preserve">ISO 55002 </w:t>
      </w:r>
      <w:r w:rsidR="005B3009">
        <w:rPr>
          <w:i/>
        </w:rPr>
        <w:t xml:space="preserve">- This document </w:t>
      </w:r>
      <w:r w:rsidRPr="007B6D09">
        <w:rPr>
          <w:i/>
        </w:rPr>
        <w:t>provides interpretation and implementation guidance for such a management system</w:t>
      </w:r>
      <w:r w:rsidR="00D11D18">
        <w:rPr>
          <w:i/>
        </w:rPr>
        <w:t>.</w:t>
      </w:r>
    </w:p>
    <w:p w14:paraId="7E30548B" w14:textId="77777777" w:rsidR="00A6212D" w:rsidRPr="009D15EC" w:rsidRDefault="005F639B" w:rsidP="00D0114E">
      <w:pPr>
        <w:pStyle w:val="TSHeadingNumbered111"/>
      </w:pPr>
      <w:r>
        <w:t xml:space="preserve">ISO 55000 describes the benefits of asset management.  This </w:t>
      </w:r>
      <w:r w:rsidR="00022705">
        <w:t>recognises that a</w:t>
      </w:r>
      <w:r w:rsidR="00E973A8">
        <w:t>sset management can enable demonstration of compliance with legal and regulatory requirements.</w:t>
      </w:r>
      <w:r w:rsidR="00022705">
        <w:t xml:space="preserve">  The guidance in ISO55001 </w:t>
      </w:r>
      <w:r w:rsidR="007F513D">
        <w:t xml:space="preserve">is grouped into key themes including </w:t>
      </w:r>
      <w:r w:rsidR="00022705">
        <w:t xml:space="preserve"> organisational context, leadership, planning, support, operation, performance evaluation and improvement.</w:t>
      </w:r>
    </w:p>
    <w:p w14:paraId="1F285CE6" w14:textId="77777777" w:rsidR="009B5159" w:rsidRPr="009D15EC" w:rsidRDefault="009B5159" w:rsidP="00AB454C">
      <w:pPr>
        <w:pStyle w:val="TSHeadingNumbered1"/>
      </w:pPr>
      <w:bookmarkStart w:id="4" w:name="_Toc464198984"/>
      <w:r w:rsidRPr="009D15EC">
        <w:t>ADVICE TO INSPECTORS</w:t>
      </w:r>
      <w:bookmarkEnd w:id="4"/>
    </w:p>
    <w:p w14:paraId="6A809588" w14:textId="77777777" w:rsidR="00E16931" w:rsidRPr="009D15EC" w:rsidRDefault="00FC619F" w:rsidP="000C16CF">
      <w:pPr>
        <w:pStyle w:val="TSHeadingNumbered111"/>
        <w:jc w:val="both"/>
      </w:pPr>
      <w:r>
        <w:t>Asset Management</w:t>
      </w:r>
      <w:r w:rsidR="00E16931" w:rsidRPr="009D15EC">
        <w:t xml:space="preserve"> is the </w:t>
      </w:r>
      <w:r w:rsidR="00E16931" w:rsidRPr="009D15EC">
        <w:rPr>
          <w:b/>
        </w:rPr>
        <w:t xml:space="preserve">through life </w:t>
      </w:r>
      <w:r w:rsidR="00E16931" w:rsidRPr="009D15EC">
        <w:t xml:space="preserve">approach to </w:t>
      </w:r>
      <w:r w:rsidR="00E16931" w:rsidRPr="009D15EC">
        <w:rPr>
          <w:b/>
        </w:rPr>
        <w:t>effectively manage risks</w:t>
      </w:r>
      <w:r w:rsidR="00E16931" w:rsidRPr="009D15EC">
        <w:t xml:space="preserve"> that may </w:t>
      </w:r>
      <w:r w:rsidR="00E16931" w:rsidRPr="009D15EC">
        <w:rPr>
          <w:b/>
        </w:rPr>
        <w:t>challenge a</w:t>
      </w:r>
      <w:r w:rsidR="000A674F">
        <w:rPr>
          <w:b/>
        </w:rPr>
        <w:t xml:space="preserve">n identified </w:t>
      </w:r>
      <w:r w:rsidR="004A342B">
        <w:rPr>
          <w:b/>
        </w:rPr>
        <w:t xml:space="preserve">assets </w:t>
      </w:r>
      <w:r w:rsidR="00E16931" w:rsidRPr="009D15EC">
        <w:t xml:space="preserve">capability to </w:t>
      </w:r>
      <w:r w:rsidR="004A342B">
        <w:t xml:space="preserve">support or </w:t>
      </w:r>
      <w:r w:rsidR="00E16931" w:rsidRPr="009D15EC">
        <w:t xml:space="preserve">deliver </w:t>
      </w:r>
      <w:r w:rsidR="004A342B">
        <w:t>a</w:t>
      </w:r>
      <w:r w:rsidR="00E16931" w:rsidRPr="009D15EC">
        <w:t xml:space="preserve"> </w:t>
      </w:r>
      <w:r w:rsidR="00E16931" w:rsidRPr="009D15EC">
        <w:rPr>
          <w:b/>
        </w:rPr>
        <w:t>safety</w:t>
      </w:r>
      <w:r w:rsidR="00FD3269" w:rsidRPr="009D15EC">
        <w:rPr>
          <w:b/>
        </w:rPr>
        <w:t xml:space="preserve">, </w:t>
      </w:r>
      <w:r w:rsidR="00E16931" w:rsidRPr="009D15EC">
        <w:rPr>
          <w:b/>
        </w:rPr>
        <w:t xml:space="preserve">security </w:t>
      </w:r>
      <w:r w:rsidR="00FD3269" w:rsidRPr="009D15EC">
        <w:rPr>
          <w:b/>
        </w:rPr>
        <w:t>or environmental (</w:t>
      </w:r>
      <w:proofErr w:type="spellStart"/>
      <w:r w:rsidR="00FD3269" w:rsidRPr="009D15EC">
        <w:rPr>
          <w:b/>
        </w:rPr>
        <w:t>SSoE</w:t>
      </w:r>
      <w:proofErr w:type="spellEnd"/>
      <w:r w:rsidR="00FD3269" w:rsidRPr="009D15EC">
        <w:rPr>
          <w:b/>
        </w:rPr>
        <w:t xml:space="preserve">) </w:t>
      </w:r>
      <w:r w:rsidR="00E16931" w:rsidRPr="009D15EC">
        <w:rPr>
          <w:b/>
        </w:rPr>
        <w:t>function</w:t>
      </w:r>
      <w:r w:rsidR="00E16931" w:rsidRPr="009D15EC">
        <w:t>.</w:t>
      </w:r>
      <w:r w:rsidR="008931C0">
        <w:t xml:space="preserve">  </w:t>
      </w:r>
    </w:p>
    <w:p w14:paraId="61F5622A" w14:textId="77777777" w:rsidR="000E2A9B" w:rsidRPr="009D15EC" w:rsidRDefault="005B1863" w:rsidP="004A342B">
      <w:pPr>
        <w:pStyle w:val="TSHeadingNumbered111"/>
        <w:numPr>
          <w:ilvl w:val="0"/>
          <w:numId w:val="5"/>
        </w:numPr>
        <w:jc w:val="both"/>
      </w:pPr>
      <w:r w:rsidRPr="009D15EC">
        <w:rPr>
          <w:b/>
        </w:rPr>
        <w:t>Through life:</w:t>
      </w:r>
      <w:r w:rsidR="004A342B">
        <w:t xml:space="preserve"> </w:t>
      </w:r>
      <w:r w:rsidR="000F418E">
        <w:t>M</w:t>
      </w:r>
      <w:r w:rsidR="000E2A9B" w:rsidRPr="009D15EC">
        <w:t xml:space="preserve">anagement </w:t>
      </w:r>
      <w:r w:rsidR="004A342B">
        <w:t xml:space="preserve">of </w:t>
      </w:r>
      <w:r w:rsidR="000A674F">
        <w:t>Identified Assets</w:t>
      </w:r>
      <w:r w:rsidR="004A342B">
        <w:t xml:space="preserve"> </w:t>
      </w:r>
      <w:r w:rsidR="000E2A9B" w:rsidRPr="009D15EC">
        <w:t>should begin at the time of initial design</w:t>
      </w:r>
      <w:r w:rsidR="00433E13">
        <w:t xml:space="preserve">.  </w:t>
      </w:r>
      <w:r w:rsidR="005730F0">
        <w:t>It should continue</w:t>
      </w:r>
      <w:r w:rsidR="000E2A9B" w:rsidRPr="009D15EC">
        <w:t xml:space="preserve"> through to the final </w:t>
      </w:r>
      <w:r w:rsidR="00AE3574" w:rsidRPr="009D15EC">
        <w:t>decommissioning</w:t>
      </w:r>
      <w:r w:rsidR="000E2A9B" w:rsidRPr="009D15EC">
        <w:t xml:space="preserve"> of the facility</w:t>
      </w:r>
      <w:r w:rsidR="00433E13">
        <w:t xml:space="preserve">.  </w:t>
      </w:r>
      <w:r w:rsidR="000E2A9B" w:rsidRPr="009D15EC">
        <w:t>T</w:t>
      </w:r>
      <w:r w:rsidR="00E16931" w:rsidRPr="009D15EC">
        <w:t xml:space="preserve">he IAEA ageing management guidance </w:t>
      </w:r>
      <w:r w:rsidR="000E2A9B" w:rsidRPr="009D15EC">
        <w:t xml:space="preserve">breaks the facility lifecycle down </w:t>
      </w:r>
      <w:r w:rsidR="00E16931" w:rsidRPr="009D15EC">
        <w:t xml:space="preserve">into </w:t>
      </w:r>
      <w:r w:rsidR="000E2A9B" w:rsidRPr="009D15EC">
        <w:t xml:space="preserve">6 </w:t>
      </w:r>
      <w:r w:rsidR="007B2ACF">
        <w:t>stages</w:t>
      </w:r>
      <w:r w:rsidR="000E2A9B" w:rsidRPr="009D15EC">
        <w:t>; design, fabrication, construction, commissioning, operation and decommissioning</w:t>
      </w:r>
      <w:r w:rsidR="00433E13">
        <w:t xml:space="preserve">.  </w:t>
      </w:r>
    </w:p>
    <w:p w14:paraId="1DC3C458" w14:textId="77777777" w:rsidR="005B1863" w:rsidRPr="009D15EC" w:rsidRDefault="005B1863" w:rsidP="00B45116">
      <w:pPr>
        <w:pStyle w:val="TSHeadingNumbered111"/>
        <w:numPr>
          <w:ilvl w:val="0"/>
          <w:numId w:val="5"/>
        </w:numPr>
        <w:jc w:val="both"/>
      </w:pPr>
      <w:r w:rsidRPr="009D15EC">
        <w:rPr>
          <w:b/>
        </w:rPr>
        <w:t>Effectively manage risks:</w:t>
      </w:r>
      <w:r w:rsidRPr="009D15EC">
        <w:t xml:space="preserve"> A</w:t>
      </w:r>
      <w:r w:rsidR="00051961">
        <w:t>n appropriate</w:t>
      </w:r>
      <w:r w:rsidRPr="009D15EC">
        <w:t xml:space="preserve"> risk</w:t>
      </w:r>
      <w:r w:rsidR="00051961">
        <w:t>-</w:t>
      </w:r>
      <w:r w:rsidRPr="009D15EC">
        <w:t xml:space="preserve">informed approach should be utilised to evaluate the importance </w:t>
      </w:r>
      <w:r w:rsidR="005730F0">
        <w:t>of</w:t>
      </w:r>
      <w:r w:rsidRPr="009D15EC">
        <w:t xml:space="preserve"> </w:t>
      </w:r>
      <w:r w:rsidR="000A674F">
        <w:t>Identified</w:t>
      </w:r>
      <w:r w:rsidR="000A674F" w:rsidRPr="004F5B37">
        <w:t xml:space="preserve"> Assets</w:t>
      </w:r>
      <w:r w:rsidR="0053659A">
        <w:t>.</w:t>
      </w:r>
      <w:r w:rsidR="00D22EF5">
        <w:t xml:space="preserve"> </w:t>
      </w:r>
      <w:r w:rsidR="0053659A">
        <w:t xml:space="preserve"> The approach should recognise and address </w:t>
      </w:r>
      <w:r w:rsidR="00410E59">
        <w:t xml:space="preserve">the </w:t>
      </w:r>
      <w:r w:rsidR="00870A56">
        <w:t>on-going</w:t>
      </w:r>
      <w:r w:rsidR="00816060">
        <w:t xml:space="preserve"> </w:t>
      </w:r>
      <w:r w:rsidR="00410E59">
        <w:t xml:space="preserve">ability to source replacement parts and </w:t>
      </w:r>
      <w:r w:rsidR="00FD38A7">
        <w:t>services.</w:t>
      </w:r>
      <w:r w:rsidR="00433E13">
        <w:t xml:space="preserve">  </w:t>
      </w:r>
      <w:r w:rsidR="008A3FE7">
        <w:t xml:space="preserve">It </w:t>
      </w:r>
      <w:r w:rsidR="005730F0">
        <w:t xml:space="preserve">should recognise the reliance a facility places on </w:t>
      </w:r>
      <w:r w:rsidR="000A674F">
        <w:t>Identified Assets</w:t>
      </w:r>
      <w:r w:rsidR="005730F0">
        <w:t xml:space="preserve">, and how </w:t>
      </w:r>
      <w:r w:rsidRPr="009D15EC">
        <w:t>these may change with time</w:t>
      </w:r>
      <w:r w:rsidR="00433E13">
        <w:t xml:space="preserve">.  </w:t>
      </w:r>
      <w:r w:rsidRPr="009D15EC">
        <w:t xml:space="preserve">Early identification of </w:t>
      </w:r>
      <w:r w:rsidR="00E138C7">
        <w:t xml:space="preserve">Identified </w:t>
      </w:r>
      <w:r w:rsidR="00332B7E">
        <w:t>A</w:t>
      </w:r>
      <w:r w:rsidR="00B45116" w:rsidRPr="00B45116">
        <w:t xml:space="preserve">sset </w:t>
      </w:r>
      <w:r w:rsidRPr="009D15EC">
        <w:t>allows the</w:t>
      </w:r>
      <w:r w:rsidR="0028117A">
        <w:t>ir</w:t>
      </w:r>
      <w:r w:rsidRPr="009D15EC">
        <w:t xml:space="preserve"> condition to be accurately tracked</w:t>
      </w:r>
      <w:r w:rsidR="00433E13">
        <w:t xml:space="preserve">.  </w:t>
      </w:r>
      <w:r w:rsidR="005730F0">
        <w:t>This provides</w:t>
      </w:r>
      <w:r w:rsidRPr="009D15EC">
        <w:t xml:space="preserve"> pro-active opportunities to identify long term resolution activities</w:t>
      </w:r>
      <w:r w:rsidR="00FD38A7">
        <w:t xml:space="preserve"> such as contract management</w:t>
      </w:r>
      <w:r w:rsidRPr="009D15EC">
        <w:t>,</w:t>
      </w:r>
      <w:r w:rsidR="0053659A">
        <w:t xml:space="preserve"> thus</w:t>
      </w:r>
      <w:r w:rsidRPr="009D15EC">
        <w:t xml:space="preserve"> minimising future</w:t>
      </w:r>
      <w:r w:rsidR="0053659A">
        <w:t xml:space="preserve"> risks and</w:t>
      </w:r>
      <w:r w:rsidRPr="009D15EC">
        <w:t xml:space="preserve"> resource demands.</w:t>
      </w:r>
    </w:p>
    <w:p w14:paraId="7A502AB3" w14:textId="77777777" w:rsidR="003C3C8E" w:rsidRPr="009D15EC" w:rsidRDefault="003C3C8E" w:rsidP="00B45116">
      <w:pPr>
        <w:pStyle w:val="TSHeadingNumbered111"/>
        <w:numPr>
          <w:ilvl w:val="0"/>
          <w:numId w:val="5"/>
        </w:numPr>
        <w:jc w:val="both"/>
      </w:pPr>
      <w:r w:rsidRPr="009D15EC">
        <w:rPr>
          <w:b/>
        </w:rPr>
        <w:t>Challenge:</w:t>
      </w:r>
      <w:r w:rsidRPr="009D15EC">
        <w:t xml:space="preserve"> </w:t>
      </w:r>
      <w:r w:rsidR="000A674F">
        <w:t>Identified Assets</w:t>
      </w:r>
      <w:r w:rsidR="00B45116" w:rsidRPr="00B45116">
        <w:t xml:space="preserve"> </w:t>
      </w:r>
      <w:r w:rsidR="00B45116">
        <w:t xml:space="preserve">that support or deliver </w:t>
      </w:r>
      <w:proofErr w:type="spellStart"/>
      <w:r w:rsidR="002F2F8D" w:rsidRPr="009D15EC">
        <w:t>SSoE</w:t>
      </w:r>
      <w:proofErr w:type="spellEnd"/>
      <w:r w:rsidR="002F2F8D" w:rsidRPr="009D15EC">
        <w:t xml:space="preserve"> </w:t>
      </w:r>
      <w:r w:rsidR="00550EE3" w:rsidRPr="009D15EC">
        <w:t>functions</w:t>
      </w:r>
      <w:r w:rsidRPr="009D15EC">
        <w:t xml:space="preserve"> should be identified with clear links back to </w:t>
      </w:r>
      <w:r w:rsidR="00B45116">
        <w:t xml:space="preserve">any </w:t>
      </w:r>
      <w:r w:rsidRPr="009D15EC">
        <w:t>safety case</w:t>
      </w:r>
      <w:r w:rsidR="00B45116">
        <w:t xml:space="preserve"> reference</w:t>
      </w:r>
      <w:r w:rsidR="00433E13">
        <w:t xml:space="preserve">.  </w:t>
      </w:r>
      <w:r w:rsidRPr="009D15EC">
        <w:t>All</w:t>
      </w:r>
      <w:r w:rsidR="00051961">
        <w:t xml:space="preserve"> reasonably foreseeable </w:t>
      </w:r>
      <w:r w:rsidRPr="009D15EC">
        <w:t>failure modes that can affect th</w:t>
      </w:r>
      <w:r w:rsidR="00060A6F">
        <w:t>e</w:t>
      </w:r>
      <w:r w:rsidR="00B45116">
        <w:t xml:space="preserve"> </w:t>
      </w:r>
      <w:r w:rsidR="000A674F">
        <w:t>Identified Assets</w:t>
      </w:r>
      <w:r w:rsidR="00B45116">
        <w:t xml:space="preserve"> </w:t>
      </w:r>
      <w:r w:rsidRPr="009D15EC">
        <w:t xml:space="preserve">capability to </w:t>
      </w:r>
      <w:r w:rsidR="00B45116">
        <w:t xml:space="preserve">support or </w:t>
      </w:r>
      <w:r w:rsidRPr="009D15EC">
        <w:t xml:space="preserve">deliver </w:t>
      </w:r>
      <w:r w:rsidR="00B45116">
        <w:t xml:space="preserve">an </w:t>
      </w:r>
      <w:proofErr w:type="spellStart"/>
      <w:r w:rsidRPr="009D15EC">
        <w:t>SSoE</w:t>
      </w:r>
      <w:proofErr w:type="spellEnd"/>
      <w:r w:rsidRPr="009D15EC">
        <w:t xml:space="preserve"> function should be identified</w:t>
      </w:r>
      <w:r w:rsidR="00433E13">
        <w:t xml:space="preserve">.  </w:t>
      </w:r>
      <w:r w:rsidR="005730F0">
        <w:t>Appropriate</w:t>
      </w:r>
      <w:r w:rsidRPr="009D15EC">
        <w:t xml:space="preserve"> activities </w:t>
      </w:r>
      <w:r w:rsidR="005730F0">
        <w:t xml:space="preserve">should be </w:t>
      </w:r>
      <w:r w:rsidRPr="009D15EC">
        <w:t xml:space="preserve">put in place to monitor </w:t>
      </w:r>
      <w:r w:rsidR="000A674F">
        <w:t>Identified Assets</w:t>
      </w:r>
      <w:r w:rsidR="00B45116" w:rsidRPr="00B45116">
        <w:t xml:space="preserve"> </w:t>
      </w:r>
      <w:r w:rsidRPr="009D15EC">
        <w:t>condition and minimise potential impact.</w:t>
      </w:r>
    </w:p>
    <w:p w14:paraId="708300D9" w14:textId="77777777" w:rsidR="00786DE3" w:rsidRDefault="00065883" w:rsidP="00B45116">
      <w:pPr>
        <w:pStyle w:val="TSHeadingNumbered111"/>
        <w:numPr>
          <w:ilvl w:val="0"/>
          <w:numId w:val="5"/>
        </w:numPr>
        <w:jc w:val="both"/>
      </w:pPr>
      <w:r w:rsidRPr="009D15EC">
        <w:rPr>
          <w:b/>
        </w:rPr>
        <w:t>Safety, Security or E</w:t>
      </w:r>
      <w:r w:rsidR="003C3C8E" w:rsidRPr="009D15EC">
        <w:rPr>
          <w:b/>
        </w:rPr>
        <w:t>nvironmental (</w:t>
      </w:r>
      <w:proofErr w:type="spellStart"/>
      <w:r w:rsidR="003C3C8E" w:rsidRPr="009D15EC">
        <w:rPr>
          <w:b/>
        </w:rPr>
        <w:t>SSoE</w:t>
      </w:r>
      <w:proofErr w:type="spellEnd"/>
      <w:r w:rsidR="003C3C8E" w:rsidRPr="009D15EC">
        <w:rPr>
          <w:b/>
        </w:rPr>
        <w:t>) function:</w:t>
      </w:r>
      <w:r w:rsidR="003C3C8E" w:rsidRPr="009D15EC">
        <w:t xml:space="preserve"> This guidance is wri</w:t>
      </w:r>
      <w:r w:rsidR="00873C3E" w:rsidRPr="009D15EC">
        <w:t xml:space="preserve">tten </w:t>
      </w:r>
      <w:r w:rsidR="00DB256C">
        <w:t xml:space="preserve">such that it may be applied </w:t>
      </w:r>
      <w:r w:rsidR="00873C3E" w:rsidRPr="009D15EC">
        <w:t>universal</w:t>
      </w:r>
      <w:r w:rsidR="00DB256C">
        <w:t>ly</w:t>
      </w:r>
      <w:r w:rsidR="00873C3E" w:rsidRPr="009D15EC">
        <w:t xml:space="preserve"> across ONR </w:t>
      </w:r>
      <w:r w:rsidR="003C3C8E" w:rsidRPr="009D15EC">
        <w:t xml:space="preserve">and </w:t>
      </w:r>
      <w:r w:rsidR="00DB256C">
        <w:t xml:space="preserve">other regulatory bodies such as the </w:t>
      </w:r>
      <w:r w:rsidR="003C3C8E" w:rsidRPr="009D15EC">
        <w:t>EA</w:t>
      </w:r>
      <w:r w:rsidR="00433E13">
        <w:t xml:space="preserve">.  </w:t>
      </w:r>
      <w:r w:rsidR="00DB256C">
        <w:t>The guidance</w:t>
      </w:r>
      <w:r w:rsidR="003C3C8E" w:rsidRPr="009D15EC">
        <w:t xml:space="preserve"> recognises that</w:t>
      </w:r>
      <w:r w:rsidR="00B45116" w:rsidRPr="00B45116">
        <w:t xml:space="preserve"> </w:t>
      </w:r>
      <w:r w:rsidR="000A674F">
        <w:t>Identified Assets</w:t>
      </w:r>
      <w:r w:rsidR="003C3C8E" w:rsidRPr="009D15EC">
        <w:t xml:space="preserve"> may </w:t>
      </w:r>
      <w:r w:rsidR="00D6347A" w:rsidRPr="009D15EC">
        <w:t>be</w:t>
      </w:r>
      <w:r w:rsidR="00D6347A">
        <w:t xml:space="preserve"> </w:t>
      </w:r>
      <w:r w:rsidR="00060A6F">
        <w:t xml:space="preserve">identified </w:t>
      </w:r>
      <w:r w:rsidR="00060A6F" w:rsidRPr="009D15EC">
        <w:t>due</w:t>
      </w:r>
      <w:r w:rsidR="003C3C8E" w:rsidRPr="009D15EC">
        <w:t xml:space="preserve"> to their requirement to </w:t>
      </w:r>
      <w:r w:rsidR="00D6347A">
        <w:t xml:space="preserve">support or </w:t>
      </w:r>
      <w:r w:rsidR="003C3C8E" w:rsidRPr="009D15EC">
        <w:t>deliver a</w:t>
      </w:r>
      <w:r w:rsidR="00D6347A">
        <w:t>n</w:t>
      </w:r>
      <w:r w:rsidR="003C3C8E" w:rsidRPr="009D15EC">
        <w:t xml:space="preserve"> </w:t>
      </w:r>
      <w:proofErr w:type="spellStart"/>
      <w:r w:rsidR="00060856">
        <w:t>SSoE</w:t>
      </w:r>
      <w:proofErr w:type="spellEnd"/>
      <w:r w:rsidR="005B1863" w:rsidRPr="009D15EC">
        <w:t xml:space="preserve"> </w:t>
      </w:r>
      <w:r w:rsidR="003C3C8E" w:rsidRPr="009D15EC">
        <w:t>function</w:t>
      </w:r>
      <w:r w:rsidR="00433E13">
        <w:t>.</w:t>
      </w:r>
    </w:p>
    <w:p w14:paraId="6CC46D5B" w14:textId="77777777" w:rsidR="009C17F6" w:rsidRPr="009D15EC" w:rsidRDefault="009C17F6" w:rsidP="009C17F6">
      <w:pPr>
        <w:pStyle w:val="TSHeadingNumbered111"/>
      </w:pPr>
      <w:r>
        <w:t>Asset Management may also manage risks to an organisation’s product delivery.  Whilst this is not strictly of regulatory interest, it can be used to influence improvements in Asset Management.</w:t>
      </w:r>
    </w:p>
    <w:p w14:paraId="46A424E2" w14:textId="77777777" w:rsidR="008931C0" w:rsidRDefault="00786DE3" w:rsidP="00D0114E">
      <w:pPr>
        <w:pStyle w:val="TSHeadingNumbered111"/>
      </w:pPr>
      <w:r>
        <w:t xml:space="preserve">The Institute of Asset Management, and ISO 55000 define asset management as, “the co-ordinated activity of an organisation to realise value from its assets.”   In </w:t>
      </w:r>
      <w:r w:rsidR="005F2574">
        <w:t>the</w:t>
      </w:r>
      <w:r>
        <w:t xml:space="preserve"> context</w:t>
      </w:r>
      <w:r w:rsidR="005F2574">
        <w:t xml:space="preserve"> of this Technical Assessment Guide</w:t>
      </w:r>
      <w:r>
        <w:t xml:space="preserve">, ‘value’ can be interpreted as delivering the </w:t>
      </w:r>
      <w:proofErr w:type="spellStart"/>
      <w:r>
        <w:t>SSoE</w:t>
      </w:r>
      <w:proofErr w:type="spellEnd"/>
      <w:r>
        <w:t xml:space="preserve"> function, at the required performance and reliability through life.</w:t>
      </w:r>
    </w:p>
    <w:p w14:paraId="2227D070" w14:textId="77777777" w:rsidR="00D11D18" w:rsidRPr="009D15EC" w:rsidRDefault="00FD3269" w:rsidP="00D0114E">
      <w:pPr>
        <w:pStyle w:val="TSHeadingNumbered111"/>
        <w:jc w:val="both"/>
      </w:pPr>
      <w:r w:rsidRPr="009D15EC">
        <w:t xml:space="preserve">The advice in this guidance </w:t>
      </w:r>
      <w:r w:rsidR="00E9073E" w:rsidRPr="009D15EC">
        <w:t>has been broken down into 10</w:t>
      </w:r>
      <w:r w:rsidRPr="009D15EC">
        <w:t xml:space="preserve"> </w:t>
      </w:r>
      <w:r w:rsidR="0021629B" w:rsidRPr="009D15EC">
        <w:t xml:space="preserve">key </w:t>
      </w:r>
      <w:r w:rsidR="00FC619F">
        <w:t>Asset Management</w:t>
      </w:r>
      <w:r w:rsidR="0021629B" w:rsidRPr="009D15EC">
        <w:t xml:space="preserve"> </w:t>
      </w:r>
      <w:r w:rsidR="00DE0FC3">
        <w:t>points</w:t>
      </w:r>
      <w:r w:rsidR="00433E13">
        <w:t xml:space="preserve">.  </w:t>
      </w:r>
      <w:r w:rsidRPr="009D15EC">
        <w:t xml:space="preserve">ONR considers </w:t>
      </w:r>
      <w:r w:rsidR="0021629B" w:rsidRPr="009D15EC">
        <w:t xml:space="preserve">these </w:t>
      </w:r>
      <w:r w:rsidR="00060856">
        <w:t>p</w:t>
      </w:r>
      <w:r w:rsidR="00E11ADF">
        <w:t>oints</w:t>
      </w:r>
      <w:r w:rsidR="00060856">
        <w:t xml:space="preserve"> </w:t>
      </w:r>
      <w:r w:rsidRPr="009D15EC">
        <w:t xml:space="preserve">to be fundamental </w:t>
      </w:r>
      <w:r w:rsidR="0021629B" w:rsidRPr="009D15EC">
        <w:t>to</w:t>
      </w:r>
      <w:r w:rsidRPr="009D15EC">
        <w:t xml:space="preserve"> </w:t>
      </w:r>
      <w:r w:rsidR="008A3FE7">
        <w:t>delivering</w:t>
      </w:r>
      <w:r w:rsidRPr="009D15EC">
        <w:t xml:space="preserve"> an </w:t>
      </w:r>
      <w:r w:rsidR="0021629B" w:rsidRPr="009D15EC">
        <w:t xml:space="preserve">effective </w:t>
      </w:r>
      <w:r w:rsidR="00FC619F">
        <w:t>Asset Management</w:t>
      </w:r>
      <w:r w:rsidRPr="009D15EC">
        <w:t xml:space="preserve"> </w:t>
      </w:r>
      <w:r w:rsidR="00DE0FC3">
        <w:t>S</w:t>
      </w:r>
      <w:r w:rsidRPr="009D15EC">
        <w:t>ystem.</w:t>
      </w:r>
    </w:p>
    <w:p w14:paraId="6C742676" w14:textId="77777777" w:rsidR="008F3C59" w:rsidRPr="009D15EC" w:rsidRDefault="00836071" w:rsidP="00D0114E">
      <w:pPr>
        <w:pStyle w:val="TSHeadingNumbered11"/>
      </w:pPr>
      <w:r>
        <w:t xml:space="preserve">AM </w:t>
      </w:r>
      <w:r w:rsidR="008F3C59" w:rsidRPr="009D15EC">
        <w:t>Scope:</w:t>
      </w:r>
    </w:p>
    <w:p w14:paraId="3EF46B89" w14:textId="77777777" w:rsidR="008F3C59" w:rsidRPr="009D15EC" w:rsidRDefault="008F3C59" w:rsidP="00AB454C">
      <w:pPr>
        <w:pStyle w:val="TSHeadingNumbered111"/>
        <w:numPr>
          <w:ilvl w:val="0"/>
          <w:numId w:val="0"/>
        </w:numPr>
        <w:pBdr>
          <w:top w:val="single" w:sz="4" w:space="1" w:color="auto"/>
          <w:left w:val="single" w:sz="4" w:space="4" w:color="auto"/>
          <w:bottom w:val="single" w:sz="4" w:space="1" w:color="auto"/>
          <w:right w:val="single" w:sz="4" w:space="4" w:color="auto"/>
        </w:pBdr>
        <w:ind w:left="720"/>
      </w:pPr>
      <w:r w:rsidRPr="001B4C29">
        <w:rPr>
          <w:b/>
        </w:rPr>
        <w:t xml:space="preserve"> </w:t>
      </w:r>
      <w:r w:rsidR="00D22EF5">
        <w:rPr>
          <w:b/>
        </w:rPr>
        <w:t>AM</w:t>
      </w:r>
      <w:r w:rsidRPr="001B4C29">
        <w:rPr>
          <w:b/>
        </w:rPr>
        <w:t>1</w:t>
      </w:r>
      <w:r w:rsidRPr="009D15EC">
        <w:t xml:space="preserve">: </w:t>
      </w:r>
      <w:r w:rsidR="005F01BB">
        <w:t>Asset m</w:t>
      </w:r>
      <w:r w:rsidR="00FC619F">
        <w:t>anagement</w:t>
      </w:r>
      <w:r w:rsidRPr="009D15EC">
        <w:t xml:space="preserve"> should be applied </w:t>
      </w:r>
      <w:r w:rsidR="004726D2" w:rsidRPr="009D15EC">
        <w:t xml:space="preserve">proportionately </w:t>
      </w:r>
      <w:r w:rsidRPr="009D15EC">
        <w:t xml:space="preserve">to the lifecycle of </w:t>
      </w:r>
      <w:r w:rsidR="004726D2" w:rsidRPr="009D15EC">
        <w:t xml:space="preserve">all </w:t>
      </w:r>
      <w:r w:rsidR="000A674F">
        <w:t>Identified Assets</w:t>
      </w:r>
      <w:r w:rsidR="001E0335" w:rsidRPr="009D15EC">
        <w:t>.</w:t>
      </w:r>
    </w:p>
    <w:p w14:paraId="41CE4B8C" w14:textId="77777777" w:rsidR="000C16CF" w:rsidRPr="009D15EC" w:rsidRDefault="00A42FE2" w:rsidP="000C16CF">
      <w:pPr>
        <w:pStyle w:val="TSHeadingNumbered111"/>
        <w:numPr>
          <w:ilvl w:val="0"/>
          <w:numId w:val="5"/>
        </w:numPr>
        <w:jc w:val="both"/>
        <w:rPr>
          <w:b/>
        </w:rPr>
      </w:pPr>
      <w:r w:rsidRPr="009D15EC">
        <w:t xml:space="preserve">Effective </w:t>
      </w:r>
      <w:r w:rsidR="005F01BB">
        <w:t>a</w:t>
      </w:r>
      <w:r w:rsidR="00FC619F">
        <w:t xml:space="preserve">sset </w:t>
      </w:r>
      <w:r w:rsidR="005F01BB">
        <w:t>m</w:t>
      </w:r>
      <w:r w:rsidR="00FC619F">
        <w:t>anagement</w:t>
      </w:r>
      <w:r w:rsidR="00E611A2" w:rsidRPr="009D15EC">
        <w:t xml:space="preserve"> requires that ageing</w:t>
      </w:r>
      <w:r w:rsidR="000C16CF" w:rsidRPr="009D15EC">
        <w:t xml:space="preserve"> and degradation mechanisms are </w:t>
      </w:r>
      <w:r w:rsidR="00E611A2" w:rsidRPr="009D15EC">
        <w:t xml:space="preserve">properly </w:t>
      </w:r>
      <w:r w:rsidR="000C16CF" w:rsidRPr="009D15EC">
        <w:t>understood</w:t>
      </w:r>
      <w:r w:rsidR="00433E13">
        <w:t>.</w:t>
      </w:r>
      <w:r w:rsidR="00DE0FC3">
        <w:t xml:space="preserve"> </w:t>
      </w:r>
      <w:r w:rsidR="00492074">
        <w:t xml:space="preserve"> </w:t>
      </w:r>
      <w:r w:rsidR="00D12CC1">
        <w:t xml:space="preserve">Single point vulnerabilities should be suitably understood and identified. </w:t>
      </w:r>
      <w:r w:rsidR="00DE0FC3">
        <w:t xml:space="preserve">The </w:t>
      </w:r>
      <w:proofErr w:type="spellStart"/>
      <w:r w:rsidR="00DE0FC3">
        <w:t>d</w:t>
      </w:r>
      <w:r w:rsidR="00141A0E">
        <w:t>utyholder</w:t>
      </w:r>
      <w:proofErr w:type="spellEnd"/>
      <w:r w:rsidR="00DE0FC3">
        <w:t xml:space="preserve"> should be undertaking appropriate monitoring, trending and analysis of degradation rates and mechanisms. </w:t>
      </w:r>
      <w:r w:rsidR="00433E13">
        <w:t xml:space="preserve">  </w:t>
      </w:r>
      <w:r w:rsidR="00DE0FC3">
        <w:t xml:space="preserve">This </w:t>
      </w:r>
      <w:r w:rsidR="00060A6F">
        <w:t>information should</w:t>
      </w:r>
      <w:r w:rsidR="005730F0">
        <w:t xml:space="preserve"> be</w:t>
      </w:r>
      <w:r w:rsidR="000C16CF" w:rsidRPr="009D15EC">
        <w:t xml:space="preserve"> </w:t>
      </w:r>
      <w:r w:rsidR="00E611A2" w:rsidRPr="009D15EC">
        <w:t>taken into account at each stage of the plants lifecycle</w:t>
      </w:r>
      <w:r w:rsidR="00433E13">
        <w:t xml:space="preserve">.  </w:t>
      </w:r>
      <w:r w:rsidR="007B13E7" w:rsidRPr="00917CBA">
        <w:t>[5] [7]</w:t>
      </w:r>
    </w:p>
    <w:p w14:paraId="22351F77" w14:textId="77777777" w:rsidR="008C17F3" w:rsidRPr="009D15EC" w:rsidRDefault="00FF6039" w:rsidP="000C16CF">
      <w:pPr>
        <w:pStyle w:val="TSHeadingNumbered111"/>
        <w:numPr>
          <w:ilvl w:val="0"/>
          <w:numId w:val="5"/>
        </w:numPr>
        <w:jc w:val="both"/>
        <w:rPr>
          <w:b/>
        </w:rPr>
      </w:pPr>
      <w:r w:rsidRPr="009D15EC">
        <w:t>The life</w:t>
      </w:r>
      <w:r w:rsidR="005730F0">
        <w:t>-</w:t>
      </w:r>
      <w:r w:rsidRPr="009D15EC">
        <w:t>cycle should</w:t>
      </w:r>
      <w:r w:rsidR="00424171" w:rsidRPr="009D15EC">
        <w:t xml:space="preserve"> include the following </w:t>
      </w:r>
      <w:r w:rsidR="007B2ACF">
        <w:t>stages</w:t>
      </w:r>
      <w:r w:rsidRPr="009D15EC">
        <w:t>;</w:t>
      </w:r>
      <w:r w:rsidR="005F01BB">
        <w:t xml:space="preserve"> d</w:t>
      </w:r>
      <w:r w:rsidR="00424171" w:rsidRPr="009D15EC">
        <w:t>esign, manufacture</w:t>
      </w:r>
      <w:r w:rsidR="005730F0">
        <w:t>,</w:t>
      </w:r>
      <w:r w:rsidR="00CE687E" w:rsidRPr="009D15EC">
        <w:t xml:space="preserve"> fabrication</w:t>
      </w:r>
      <w:r w:rsidR="00504E7F" w:rsidRPr="009D15EC">
        <w:t xml:space="preserve">, construction, commissioning, operation </w:t>
      </w:r>
      <w:r w:rsidR="00CE687E" w:rsidRPr="009D15EC">
        <w:t>(including long term operation and extended shutdown</w:t>
      </w:r>
      <w:r w:rsidR="005730F0">
        <w:t xml:space="preserve"> and </w:t>
      </w:r>
      <w:r w:rsidR="00390371">
        <w:t>inactive state</w:t>
      </w:r>
      <w:r w:rsidR="00CE687E" w:rsidRPr="009D15EC">
        <w:t xml:space="preserve">) </w:t>
      </w:r>
      <w:r w:rsidR="00504E7F" w:rsidRPr="009D15EC">
        <w:t>and decommissioning</w:t>
      </w:r>
      <w:r w:rsidR="00390371">
        <w:t xml:space="preserve"> through to final site clearance</w:t>
      </w:r>
      <w:r w:rsidR="00433E13">
        <w:t xml:space="preserve">.  </w:t>
      </w:r>
      <w:r w:rsidR="007B13E7" w:rsidRPr="00917CBA">
        <w:t>[5] [7]</w:t>
      </w:r>
    </w:p>
    <w:p w14:paraId="6B04D765" w14:textId="77777777" w:rsidR="008F3C59" w:rsidRPr="009D15EC" w:rsidRDefault="00492074" w:rsidP="00E51B1E">
      <w:pPr>
        <w:pStyle w:val="TSHeadingNumbered111"/>
        <w:numPr>
          <w:ilvl w:val="0"/>
          <w:numId w:val="5"/>
        </w:numPr>
        <w:jc w:val="both"/>
      </w:pPr>
      <w:r w:rsidRPr="009D15EC">
        <w:t>The AMS should be adapted to reflect changes in a facilities operational mode, throughout the lifecycle</w:t>
      </w:r>
      <w:r>
        <w:t xml:space="preserve">.  This is required to </w:t>
      </w:r>
      <w:r w:rsidR="008C4A9B">
        <w:t xml:space="preserve">ensure the functional </w:t>
      </w:r>
      <w:r w:rsidR="008C4A9B" w:rsidRPr="009D15EC">
        <w:t>service provide</w:t>
      </w:r>
      <w:r w:rsidR="008C4A9B">
        <w:t xml:space="preserve">d by </w:t>
      </w:r>
      <w:r w:rsidR="000A674F">
        <w:t>Identified Assets</w:t>
      </w:r>
      <w:r w:rsidR="00E51B1E" w:rsidRPr="00E51B1E">
        <w:t xml:space="preserve"> </w:t>
      </w:r>
      <w:r w:rsidR="008C4A9B">
        <w:t>i</w:t>
      </w:r>
      <w:r w:rsidR="008C4A9B" w:rsidRPr="009D15EC">
        <w:t xml:space="preserve">s not </w:t>
      </w:r>
      <w:r>
        <w:t>degraded</w:t>
      </w:r>
      <w:r w:rsidR="008C4A9B">
        <w:t>,</w:t>
      </w:r>
      <w:r>
        <w:t xml:space="preserve"> as</w:t>
      </w:r>
      <w:r w:rsidR="008C4A9B">
        <w:t xml:space="preserve"> many</w:t>
      </w:r>
      <w:r w:rsidR="00873C3E" w:rsidRPr="009D15EC">
        <w:t xml:space="preserve"> of the </w:t>
      </w:r>
      <w:r w:rsidR="000A674F">
        <w:t>Identified Assets</w:t>
      </w:r>
      <w:r w:rsidR="00E51B1E" w:rsidRPr="00E51B1E">
        <w:t xml:space="preserve"> </w:t>
      </w:r>
      <w:r w:rsidR="00E611A2" w:rsidRPr="009D15EC">
        <w:t>in operation will at some point need to</w:t>
      </w:r>
      <w:r w:rsidR="001A1918">
        <w:t xml:space="preserve"> be</w:t>
      </w:r>
      <w:r w:rsidR="00E611A2" w:rsidRPr="009D15EC">
        <w:t xml:space="preserve"> </w:t>
      </w:r>
      <w:r w:rsidR="008C4A9B">
        <w:t>maintained</w:t>
      </w:r>
      <w:r w:rsidR="00433E13">
        <w:t xml:space="preserve">. </w:t>
      </w:r>
      <w:r w:rsidR="008C4A9B">
        <w:t>This may require partial, progressive or complete replacement</w:t>
      </w:r>
      <w:r w:rsidR="00433E13">
        <w:t xml:space="preserve">. </w:t>
      </w:r>
      <w:r w:rsidR="00E611A2" w:rsidRPr="009D15EC">
        <w:t xml:space="preserve">Managing the ageing of nuclear plant, means ensuring the availability of the required </w:t>
      </w:r>
      <w:proofErr w:type="spellStart"/>
      <w:r w:rsidR="00E51B1E">
        <w:t>SSoE</w:t>
      </w:r>
      <w:proofErr w:type="spellEnd"/>
      <w:r w:rsidR="00E611A2" w:rsidRPr="009D15EC">
        <w:t xml:space="preserve"> functions, throughout the service life of the </w:t>
      </w:r>
      <w:r w:rsidR="00E51B1E">
        <w:t>facility</w:t>
      </w:r>
      <w:r w:rsidR="00433E13">
        <w:t xml:space="preserve">.  </w:t>
      </w:r>
      <w:r w:rsidR="008C4A9B">
        <w:t xml:space="preserve">This should take account </w:t>
      </w:r>
      <w:r w:rsidR="00E611A2" w:rsidRPr="009D15EC">
        <w:t>of changes that occur with time and use</w:t>
      </w:r>
      <w:r>
        <w:t xml:space="preserve"> and not fully catered for by routine EIM&amp;T</w:t>
      </w:r>
      <w:r w:rsidR="00433E13" w:rsidRPr="002947CA">
        <w:t>.</w:t>
      </w:r>
      <w:r w:rsidR="00475556" w:rsidRPr="00917CBA">
        <w:t>[7]</w:t>
      </w:r>
    </w:p>
    <w:p w14:paraId="33C81C41" w14:textId="77777777" w:rsidR="001F7B58" w:rsidRPr="009D15EC" w:rsidRDefault="00DC6FE2" w:rsidP="00E51B1E">
      <w:pPr>
        <w:pStyle w:val="TSHeadingNumbered111"/>
        <w:numPr>
          <w:ilvl w:val="0"/>
          <w:numId w:val="5"/>
        </w:numPr>
        <w:jc w:val="both"/>
      </w:pPr>
      <w:r w:rsidRPr="009D15EC">
        <w:t>The</w:t>
      </w:r>
      <w:r w:rsidR="0039670D" w:rsidRPr="009D15EC">
        <w:t xml:space="preserve"> </w:t>
      </w:r>
      <w:r w:rsidR="007563DB" w:rsidRPr="009D15EC">
        <w:t>AMS</w:t>
      </w:r>
      <w:r w:rsidR="0039670D" w:rsidRPr="009D15EC">
        <w:t xml:space="preserve"> </w:t>
      </w:r>
      <w:r w:rsidR="007563DB" w:rsidRPr="009D15EC">
        <w:t>should</w:t>
      </w:r>
      <w:r w:rsidR="00836071">
        <w:t xml:space="preserve"> consider all </w:t>
      </w:r>
      <w:r w:rsidR="000A674F">
        <w:t>Identified Assets</w:t>
      </w:r>
      <w:r w:rsidR="00172D60" w:rsidRPr="009D15EC">
        <w:t xml:space="preserve"> in a </w:t>
      </w:r>
      <w:r w:rsidR="007563DB" w:rsidRPr="009D15EC">
        <w:t>proportionate</w:t>
      </w:r>
      <w:r w:rsidR="001A1918">
        <w:t xml:space="preserve"> manner</w:t>
      </w:r>
      <w:r w:rsidR="00433E13">
        <w:t xml:space="preserve">.  </w:t>
      </w:r>
      <w:r w:rsidR="008C4A9B">
        <w:t xml:space="preserve">This should reflect the </w:t>
      </w:r>
      <w:r w:rsidR="000C16CF" w:rsidRPr="009D15EC">
        <w:t>importance to the activity been undertaken</w:t>
      </w:r>
      <w:r w:rsidR="00433E13">
        <w:t xml:space="preserve">.  </w:t>
      </w:r>
      <w:r w:rsidR="002E7A1D" w:rsidRPr="009D15EC">
        <w:t>The</w:t>
      </w:r>
      <w:r w:rsidR="00172D60" w:rsidRPr="009D15EC">
        <w:t xml:space="preserve"> risk</w:t>
      </w:r>
      <w:r w:rsidR="000C16CF" w:rsidRPr="009D15EC">
        <w:t>s</w:t>
      </w:r>
      <w:r w:rsidR="0039670D" w:rsidRPr="009D15EC">
        <w:t xml:space="preserve"> </w:t>
      </w:r>
      <w:r w:rsidR="00172D60" w:rsidRPr="009D15EC">
        <w:t xml:space="preserve">associated </w:t>
      </w:r>
      <w:r w:rsidR="0039670D" w:rsidRPr="009D15EC">
        <w:t>with the</w:t>
      </w:r>
      <w:r w:rsidR="00E51B1E" w:rsidRPr="00E51B1E">
        <w:t xml:space="preserve"> asset</w:t>
      </w:r>
      <w:r w:rsidR="00E11ADF">
        <w:t>’</w:t>
      </w:r>
      <w:r w:rsidR="00E51B1E" w:rsidRPr="00E51B1E">
        <w:t xml:space="preserve">s </w:t>
      </w:r>
      <w:proofErr w:type="spellStart"/>
      <w:r w:rsidR="0039670D" w:rsidRPr="009D15EC">
        <w:t>SSoE</w:t>
      </w:r>
      <w:proofErr w:type="spellEnd"/>
      <w:r w:rsidR="0039670D" w:rsidRPr="009D15EC">
        <w:t xml:space="preserve"> </w:t>
      </w:r>
      <w:r w:rsidR="002E7A1D" w:rsidRPr="009D15EC">
        <w:t>significance should be recorded</w:t>
      </w:r>
      <w:r w:rsidR="00433E13">
        <w:t xml:space="preserve">.  </w:t>
      </w:r>
      <w:r w:rsidR="002E7A1D" w:rsidRPr="009D15EC">
        <w:t xml:space="preserve">An appropriate method of prioritising should </w:t>
      </w:r>
      <w:r w:rsidR="009E493A" w:rsidRPr="009D15EC">
        <w:t>be clearly defined</w:t>
      </w:r>
      <w:r w:rsidR="00433E13">
        <w:t xml:space="preserve">.  </w:t>
      </w:r>
      <w:r w:rsidR="00475556" w:rsidRPr="00917CBA">
        <w:t>[7]</w:t>
      </w:r>
    </w:p>
    <w:p w14:paraId="1EF0A615" w14:textId="77777777" w:rsidR="00EE554D" w:rsidRPr="009D15EC" w:rsidRDefault="00492074" w:rsidP="000C16CF">
      <w:pPr>
        <w:pStyle w:val="TSHeadingNumbered111"/>
        <w:numPr>
          <w:ilvl w:val="0"/>
          <w:numId w:val="5"/>
        </w:numPr>
        <w:jc w:val="both"/>
      </w:pPr>
      <w:r>
        <w:t>K</w:t>
      </w:r>
      <w:r w:rsidR="00EE554D" w:rsidRPr="009D15EC">
        <w:t xml:space="preserve">ey stakeholders </w:t>
      </w:r>
      <w:r>
        <w:t xml:space="preserve">should be </w:t>
      </w:r>
      <w:r w:rsidR="00DC6FE2">
        <w:t>identified to</w:t>
      </w:r>
      <w:r>
        <w:t xml:space="preserve"> </w:t>
      </w:r>
      <w:r w:rsidR="00E51B1E">
        <w:t>support the</w:t>
      </w:r>
      <w:r w:rsidR="00EE554D" w:rsidRPr="009D15EC">
        <w:t xml:space="preserve"> success and longevity of the AMS; they will be the owner or responsible person for</w:t>
      </w:r>
      <w:r w:rsidR="008046F1" w:rsidRPr="009D15EC">
        <w:t xml:space="preserve">: </w:t>
      </w:r>
      <w:r w:rsidR="00EE554D" w:rsidRPr="009D15EC">
        <w:t>activities</w:t>
      </w:r>
      <w:r w:rsidR="008046F1" w:rsidRPr="009D15EC">
        <w:t xml:space="preserve">, </w:t>
      </w:r>
      <w:r w:rsidR="000C16CF" w:rsidRPr="009D15EC">
        <w:t xml:space="preserve">decision making, </w:t>
      </w:r>
      <w:r w:rsidR="008046F1" w:rsidRPr="009D15EC">
        <w:t>emergency response</w:t>
      </w:r>
      <w:r w:rsidR="00407D80" w:rsidRPr="009D15EC">
        <w:t>s</w:t>
      </w:r>
      <w:r w:rsidR="008046F1" w:rsidRPr="009D15EC">
        <w:t>, site security</w:t>
      </w:r>
      <w:r w:rsidR="00407D80" w:rsidRPr="009D15EC">
        <w:t xml:space="preserve"> issues</w:t>
      </w:r>
      <w:r w:rsidR="008046F1" w:rsidRPr="009D15EC">
        <w:t>, mainte</w:t>
      </w:r>
      <w:r w:rsidR="000C16CF" w:rsidRPr="009D15EC">
        <w:t>nance, operations and regulatory interfaces</w:t>
      </w:r>
      <w:r w:rsidR="00433E13">
        <w:t xml:space="preserve">.  </w:t>
      </w:r>
      <w:r w:rsidR="00475556" w:rsidRPr="00917CBA">
        <w:t>[7]</w:t>
      </w:r>
    </w:p>
    <w:p w14:paraId="11203D83" w14:textId="77777777" w:rsidR="008F3C59" w:rsidRPr="009D15EC" w:rsidRDefault="008F3C59" w:rsidP="00D0114E">
      <w:pPr>
        <w:pStyle w:val="TSHeadingNumbered11"/>
      </w:pPr>
      <w:r w:rsidRPr="009D15EC">
        <w:t>Policy:</w:t>
      </w:r>
    </w:p>
    <w:p w14:paraId="1CE481D1" w14:textId="77777777" w:rsidR="008F3C59" w:rsidRPr="009D15EC" w:rsidRDefault="00D22EF5" w:rsidP="00AB454C">
      <w:pPr>
        <w:pStyle w:val="TSHeadingNumbered111"/>
        <w:numPr>
          <w:ilvl w:val="0"/>
          <w:numId w:val="0"/>
        </w:numPr>
        <w:pBdr>
          <w:top w:val="single" w:sz="4" w:space="1" w:color="auto"/>
          <w:left w:val="single" w:sz="4" w:space="4" w:color="auto"/>
          <w:bottom w:val="single" w:sz="4" w:space="1" w:color="auto"/>
          <w:right w:val="single" w:sz="4" w:space="4" w:color="auto"/>
        </w:pBdr>
        <w:ind w:left="720"/>
        <w:jc w:val="both"/>
      </w:pPr>
      <w:r>
        <w:rPr>
          <w:b/>
        </w:rPr>
        <w:t>AM</w:t>
      </w:r>
      <w:r w:rsidR="007C42F5" w:rsidRPr="001B4C29">
        <w:rPr>
          <w:b/>
        </w:rPr>
        <w:t>2</w:t>
      </w:r>
      <w:r w:rsidR="008F3C59" w:rsidRPr="009D15EC">
        <w:t xml:space="preserve">: The purpose of the </w:t>
      </w:r>
      <w:r w:rsidR="005F01BB">
        <w:t>asset m</w:t>
      </w:r>
      <w:r w:rsidR="00FC619F">
        <w:t>anagement</w:t>
      </w:r>
      <w:r w:rsidR="005F01BB">
        <w:t xml:space="preserve"> s</w:t>
      </w:r>
      <w:r w:rsidR="00C13819" w:rsidRPr="009D15EC">
        <w:t>ystem</w:t>
      </w:r>
      <w:r w:rsidR="008F3C59" w:rsidRPr="009D15EC">
        <w:t xml:space="preserve"> should be defined</w:t>
      </w:r>
      <w:r w:rsidR="00A6051E" w:rsidRPr="009D15EC">
        <w:t xml:space="preserve"> by</w:t>
      </w:r>
      <w:r w:rsidR="00C32411" w:rsidRPr="009D15EC">
        <w:t xml:space="preserve"> </w:t>
      </w:r>
      <w:r w:rsidR="005F01BB">
        <w:t>s</w:t>
      </w:r>
      <w:r w:rsidR="00062C94">
        <w:t xml:space="preserve">trategic </w:t>
      </w:r>
      <w:r w:rsidR="00E82579" w:rsidRPr="009D15EC">
        <w:t>objectives</w:t>
      </w:r>
      <w:r w:rsidR="00A6051E" w:rsidRPr="009D15EC">
        <w:t xml:space="preserve">, underpinning the </w:t>
      </w:r>
      <w:r w:rsidR="00065883" w:rsidRPr="009D15EC">
        <w:t>deliver</w:t>
      </w:r>
      <w:r w:rsidR="00A6051E" w:rsidRPr="009D15EC">
        <w:t xml:space="preserve">y </w:t>
      </w:r>
      <w:r w:rsidR="00AA00B6" w:rsidRPr="009D15EC">
        <w:t>of Safety</w:t>
      </w:r>
      <w:r w:rsidR="001E0335" w:rsidRPr="009D15EC">
        <w:t xml:space="preserve">, </w:t>
      </w:r>
      <w:r w:rsidR="008F3C59" w:rsidRPr="009D15EC">
        <w:t>S</w:t>
      </w:r>
      <w:r w:rsidR="001E0335" w:rsidRPr="009D15EC">
        <w:t>ecurity or Environmental</w:t>
      </w:r>
      <w:r w:rsidR="008F3C59" w:rsidRPr="009D15EC">
        <w:t xml:space="preserve"> function</w:t>
      </w:r>
      <w:r w:rsidR="00A6051E" w:rsidRPr="009D15EC">
        <w:t>s</w:t>
      </w:r>
      <w:r w:rsidR="008F3C59" w:rsidRPr="009D15EC">
        <w:t>.</w:t>
      </w:r>
    </w:p>
    <w:p w14:paraId="0554DD63" w14:textId="77777777" w:rsidR="00FA2E5D" w:rsidRPr="009D15EC" w:rsidRDefault="00AD6690" w:rsidP="000C16CF">
      <w:pPr>
        <w:pStyle w:val="TSHeadingNumbered111"/>
        <w:numPr>
          <w:ilvl w:val="0"/>
          <w:numId w:val="5"/>
        </w:numPr>
        <w:jc w:val="both"/>
      </w:pPr>
      <w:r w:rsidRPr="009D15EC">
        <w:t xml:space="preserve">The principles and framework by which the </w:t>
      </w:r>
      <w:proofErr w:type="spellStart"/>
      <w:r w:rsidRPr="009D15EC">
        <w:t>d</w:t>
      </w:r>
      <w:r w:rsidR="00141A0E">
        <w:t>utyholder</w:t>
      </w:r>
      <w:proofErr w:type="spellEnd"/>
      <w:r w:rsidRPr="009D15EC">
        <w:t xml:space="preserve"> intends to apply AM</w:t>
      </w:r>
      <w:r w:rsidR="00C13819" w:rsidRPr="009D15EC">
        <w:t>S</w:t>
      </w:r>
      <w:r w:rsidRPr="009D15EC">
        <w:t xml:space="preserve"> to achieve its objectives should be defined</w:t>
      </w:r>
      <w:r w:rsidR="00390371">
        <w:t xml:space="preserve"> including ALARP justification</w:t>
      </w:r>
      <w:r w:rsidR="00433E13">
        <w:t xml:space="preserve">.  </w:t>
      </w:r>
      <w:r w:rsidR="008C4A9B">
        <w:t xml:space="preserve">The </w:t>
      </w:r>
      <w:r w:rsidR="00BE14AF">
        <w:t xml:space="preserve">categorisation and classification </w:t>
      </w:r>
      <w:r w:rsidR="008C4A9B">
        <w:t>definition should be</w:t>
      </w:r>
      <w:r w:rsidRPr="009D15EC">
        <w:t xml:space="preserve"> </w:t>
      </w:r>
      <w:r w:rsidR="005A3D4F" w:rsidRPr="009D15EC">
        <w:t xml:space="preserve">explicit </w:t>
      </w:r>
      <w:r w:rsidRPr="009D15EC">
        <w:t>within the AMS policy</w:t>
      </w:r>
      <w:r w:rsidR="00433E13">
        <w:t xml:space="preserve">.  </w:t>
      </w:r>
      <w:r w:rsidR="008C4A9B">
        <w:t>It should be</w:t>
      </w:r>
      <w:r w:rsidR="005A3D4F" w:rsidRPr="009D15EC">
        <w:t xml:space="preserve"> unambiguous</w:t>
      </w:r>
      <w:r w:rsidR="008C4A9B">
        <w:t>,</w:t>
      </w:r>
      <w:r w:rsidR="005A3D4F" w:rsidRPr="009D15EC">
        <w:t xml:space="preserve"> and not open to interpretation</w:t>
      </w:r>
      <w:r w:rsidR="00433E13">
        <w:t xml:space="preserve">.  </w:t>
      </w:r>
      <w:r w:rsidR="00475556" w:rsidRPr="00917CBA">
        <w:t>[7]</w:t>
      </w:r>
    </w:p>
    <w:p w14:paraId="23BDC3C2" w14:textId="77777777" w:rsidR="005F3D42" w:rsidRPr="009D15EC" w:rsidRDefault="00492074" w:rsidP="00E51B1E">
      <w:pPr>
        <w:pStyle w:val="TSHeadingNumbered111"/>
        <w:numPr>
          <w:ilvl w:val="0"/>
          <w:numId w:val="5"/>
        </w:numPr>
        <w:jc w:val="both"/>
      </w:pPr>
      <w:r>
        <w:t>C</w:t>
      </w:r>
      <w:r w:rsidRPr="009D15EC">
        <w:t>ommitments and expectatio</w:t>
      </w:r>
      <w:r w:rsidR="00062C94">
        <w:t>ns for senior leadership</w:t>
      </w:r>
      <w:r w:rsidRPr="009D15EC">
        <w:t xml:space="preserve"> </w:t>
      </w:r>
      <w:r>
        <w:t>should be set out.</w:t>
      </w:r>
      <w:r w:rsidRPr="009D15EC">
        <w:t xml:space="preserve"> </w:t>
      </w:r>
      <w:r>
        <w:t xml:space="preserve"> </w:t>
      </w:r>
      <w:r w:rsidR="008C4A9B">
        <w:t>It should</w:t>
      </w:r>
      <w:r w:rsidR="00FA2E5D" w:rsidRPr="009D15EC">
        <w:t xml:space="preserve"> define the processes for </w:t>
      </w:r>
      <w:r w:rsidR="005F3D42" w:rsidRPr="009D15EC">
        <w:t xml:space="preserve">decisions, activities and </w:t>
      </w:r>
      <w:r w:rsidR="00576E97" w:rsidRPr="00AB454C">
        <w:t xml:space="preserve">appropriate </w:t>
      </w:r>
      <w:r w:rsidR="00687FC8" w:rsidRPr="00AB454C">
        <w:t xml:space="preserve">behaviours </w:t>
      </w:r>
      <w:r w:rsidR="0047597B" w:rsidRPr="00917CBA">
        <w:t>[10]</w:t>
      </w:r>
      <w:r w:rsidR="00687FC8" w:rsidRPr="00917CBA">
        <w:t>[</w:t>
      </w:r>
      <w:r w:rsidR="00432606" w:rsidRPr="00917CBA">
        <w:t>13]</w:t>
      </w:r>
      <w:r w:rsidR="005F3D42" w:rsidRPr="009D15EC">
        <w:t xml:space="preserve"> concerning </w:t>
      </w:r>
      <w:r w:rsidR="00E11ADF">
        <w:t xml:space="preserve">management of the </w:t>
      </w:r>
      <w:r w:rsidR="000A674F">
        <w:t>Identified Assets</w:t>
      </w:r>
      <w:r w:rsidR="00433E13">
        <w:t xml:space="preserve">.  </w:t>
      </w:r>
      <w:r w:rsidR="008C4A9B">
        <w:t>R</w:t>
      </w:r>
      <w:r w:rsidR="00E72C93" w:rsidRPr="009D15EC">
        <w:t xml:space="preserve">esponsibilities and accountability </w:t>
      </w:r>
      <w:r w:rsidR="008C4A9B">
        <w:t xml:space="preserve">should be </w:t>
      </w:r>
      <w:r w:rsidR="00E72C93" w:rsidRPr="009D15EC">
        <w:t xml:space="preserve">clearly assigned to appropriate positions within the </w:t>
      </w:r>
      <w:proofErr w:type="spellStart"/>
      <w:r w:rsidR="00E72C93" w:rsidRPr="009D15EC">
        <w:t>d</w:t>
      </w:r>
      <w:r w:rsidR="00141A0E">
        <w:t>utyholder</w:t>
      </w:r>
      <w:r w:rsidR="00E72C93" w:rsidRPr="009D15EC">
        <w:t>’s</w:t>
      </w:r>
      <w:proofErr w:type="spellEnd"/>
      <w:r w:rsidR="00390371">
        <w:t xml:space="preserve"> arrangements</w:t>
      </w:r>
      <w:r w:rsidR="002F68C9">
        <w:t>,</w:t>
      </w:r>
      <w:r w:rsidR="00390371">
        <w:t xml:space="preserve"> acting as intelligent customer if the AMS is managed by a contractor.</w:t>
      </w:r>
      <w:r w:rsidR="00433E13">
        <w:t xml:space="preserve">  </w:t>
      </w:r>
      <w:r w:rsidR="00475556" w:rsidRPr="00917CBA">
        <w:t>[7] [8]</w:t>
      </w:r>
    </w:p>
    <w:p w14:paraId="420BA412" w14:textId="77777777" w:rsidR="008448E2" w:rsidRPr="009D15EC" w:rsidRDefault="00592D7D" w:rsidP="000C16CF">
      <w:pPr>
        <w:pStyle w:val="TSHeadingNumbered111"/>
        <w:numPr>
          <w:ilvl w:val="0"/>
          <w:numId w:val="5"/>
        </w:numPr>
        <w:jc w:val="both"/>
      </w:pPr>
      <w:r w:rsidRPr="009D15EC">
        <w:t xml:space="preserve">The AMS </w:t>
      </w:r>
      <w:r w:rsidR="005702C6" w:rsidRPr="009D15EC">
        <w:t xml:space="preserve">should have a clear line of sight back to the relevant </w:t>
      </w:r>
      <w:r w:rsidR="00A42FE2" w:rsidRPr="009D15EC">
        <w:t>safety c</w:t>
      </w:r>
      <w:r w:rsidR="005702C6" w:rsidRPr="009D15EC">
        <w:t>ase</w:t>
      </w:r>
      <w:r w:rsidR="00E72C93" w:rsidRPr="009D15EC">
        <w:t>s</w:t>
      </w:r>
      <w:r w:rsidR="00744D04">
        <w:t>, and</w:t>
      </w:r>
      <w:r w:rsidR="00B24B3E">
        <w:t xml:space="preserve"> </w:t>
      </w:r>
      <w:r w:rsidR="00E72C93" w:rsidRPr="009D15EC">
        <w:t>provid</w:t>
      </w:r>
      <w:r w:rsidR="008C4A9B">
        <w:t>e</w:t>
      </w:r>
      <w:r w:rsidR="00E72C93" w:rsidRPr="009D15EC">
        <w:t xml:space="preserve"> details of</w:t>
      </w:r>
      <w:r w:rsidR="00A42FE2" w:rsidRPr="009D15EC">
        <w:t xml:space="preserve">; </w:t>
      </w:r>
      <w:proofErr w:type="spellStart"/>
      <w:r w:rsidR="00744D04">
        <w:t>SSoE</w:t>
      </w:r>
      <w:proofErr w:type="spellEnd"/>
      <w:r w:rsidR="005702C6" w:rsidRPr="009D15EC">
        <w:t xml:space="preserve"> functional requirements; </w:t>
      </w:r>
      <w:r w:rsidR="00786DE3">
        <w:t xml:space="preserve">required asset life; </w:t>
      </w:r>
      <w:r w:rsidR="00A42FE2" w:rsidRPr="009D15EC">
        <w:t>e</w:t>
      </w:r>
      <w:r w:rsidR="005702C6" w:rsidRPr="009D15EC">
        <w:t>ngineering</w:t>
      </w:r>
      <w:r w:rsidR="005F3D42" w:rsidRPr="009D15EC">
        <w:t xml:space="preserve"> and</w:t>
      </w:r>
      <w:r w:rsidR="00A42FE2" w:rsidRPr="009D15EC">
        <w:t xml:space="preserve"> plant maintenance s</w:t>
      </w:r>
      <w:r w:rsidR="005702C6" w:rsidRPr="009D15EC">
        <w:t>chedule</w:t>
      </w:r>
      <w:r w:rsidR="00A42FE2" w:rsidRPr="009D15EC">
        <w:t>s</w:t>
      </w:r>
      <w:r w:rsidR="002760C2">
        <w:t xml:space="preserve"> and </w:t>
      </w:r>
      <w:r w:rsidR="005F3D42" w:rsidRPr="009D15EC">
        <w:t>consider</w:t>
      </w:r>
      <w:r w:rsidRPr="009D15EC">
        <w:t xml:space="preserve"> </w:t>
      </w:r>
      <w:r w:rsidR="00A42FE2" w:rsidRPr="009D15EC">
        <w:t>legal and other r</w:t>
      </w:r>
      <w:r w:rsidRPr="009D15EC">
        <w:t xml:space="preserve">egulatory </w:t>
      </w:r>
      <w:r w:rsidR="005F3D42" w:rsidRPr="009D15EC">
        <w:t>obligations</w:t>
      </w:r>
      <w:r w:rsidR="00433E13">
        <w:t xml:space="preserve">.  </w:t>
      </w:r>
      <w:r w:rsidR="00475556" w:rsidRPr="00917CBA">
        <w:t>[8]</w:t>
      </w:r>
    </w:p>
    <w:p w14:paraId="53A22207" w14:textId="77777777" w:rsidR="000A674F" w:rsidRDefault="00C66518" w:rsidP="00744D04">
      <w:pPr>
        <w:pStyle w:val="TSHeadingNumbered111"/>
        <w:numPr>
          <w:ilvl w:val="0"/>
          <w:numId w:val="5"/>
        </w:numPr>
        <w:jc w:val="both"/>
      </w:pPr>
      <w:r w:rsidRPr="009D15EC">
        <w:t xml:space="preserve">The AMS should outline the whole of life approach to the management of the </w:t>
      </w:r>
      <w:r w:rsidR="000A674F">
        <w:t>Identified Assets</w:t>
      </w:r>
      <w:r w:rsidR="00433E13">
        <w:t xml:space="preserve">.  </w:t>
      </w:r>
      <w:r w:rsidR="00475556" w:rsidRPr="00917CBA">
        <w:t>[7</w:t>
      </w:r>
      <w:r w:rsidR="00D11D18">
        <w:t>]</w:t>
      </w:r>
    </w:p>
    <w:p w14:paraId="0E003811" w14:textId="77777777" w:rsidR="008F3C59" w:rsidRPr="00B962B6" w:rsidRDefault="00D22EF5" w:rsidP="00EC13B0">
      <w:pPr>
        <w:pStyle w:val="TSHeadingNumbered111"/>
        <w:numPr>
          <w:ilvl w:val="0"/>
          <w:numId w:val="0"/>
        </w:numPr>
        <w:pBdr>
          <w:top w:val="single" w:sz="4" w:space="1" w:color="auto"/>
          <w:left w:val="single" w:sz="4" w:space="4" w:color="auto"/>
          <w:bottom w:val="single" w:sz="4" w:space="1" w:color="auto"/>
          <w:right w:val="single" w:sz="4" w:space="4" w:color="auto"/>
        </w:pBdr>
        <w:ind w:left="720" w:hanging="720"/>
        <w:jc w:val="both"/>
        <w:rPr>
          <w:b/>
        </w:rPr>
      </w:pPr>
      <w:r>
        <w:rPr>
          <w:b/>
        </w:rPr>
        <w:t>AM</w:t>
      </w:r>
      <w:r w:rsidR="007C42F5" w:rsidRPr="001B4C29">
        <w:rPr>
          <w:b/>
        </w:rPr>
        <w:t>3</w:t>
      </w:r>
      <w:r w:rsidR="008F3C59" w:rsidRPr="00B962B6">
        <w:rPr>
          <w:b/>
        </w:rPr>
        <w:t xml:space="preserve">: The </w:t>
      </w:r>
      <w:r w:rsidR="005F01BB">
        <w:rPr>
          <w:b/>
        </w:rPr>
        <w:t>asset m</w:t>
      </w:r>
      <w:r w:rsidR="00FC619F" w:rsidRPr="00B962B6">
        <w:rPr>
          <w:b/>
        </w:rPr>
        <w:t>anagement</w:t>
      </w:r>
      <w:r w:rsidR="004D47CF" w:rsidRPr="00B962B6">
        <w:rPr>
          <w:b/>
        </w:rPr>
        <w:t xml:space="preserve"> </w:t>
      </w:r>
      <w:r w:rsidR="005F01BB">
        <w:rPr>
          <w:b/>
        </w:rPr>
        <w:t>s</w:t>
      </w:r>
      <w:r w:rsidR="005E6E52" w:rsidRPr="00B962B6">
        <w:rPr>
          <w:b/>
        </w:rPr>
        <w:t>yst</w:t>
      </w:r>
      <w:r w:rsidR="004D47CF" w:rsidRPr="00B962B6">
        <w:rPr>
          <w:b/>
        </w:rPr>
        <w:t>em</w:t>
      </w:r>
      <w:r w:rsidR="006F2B00" w:rsidRPr="00B962B6">
        <w:rPr>
          <w:b/>
        </w:rPr>
        <w:t xml:space="preserve"> should detail the</w:t>
      </w:r>
      <w:r w:rsidR="008F3C59" w:rsidRPr="00B962B6">
        <w:rPr>
          <w:b/>
        </w:rPr>
        <w:t xml:space="preserve"> </w:t>
      </w:r>
      <w:r w:rsidR="005F01BB">
        <w:rPr>
          <w:b/>
        </w:rPr>
        <w:t>o</w:t>
      </w:r>
      <w:r w:rsidR="00576E97" w:rsidRPr="00B962B6">
        <w:rPr>
          <w:b/>
        </w:rPr>
        <w:t>rganisation</w:t>
      </w:r>
      <w:r w:rsidR="004D47CF" w:rsidRPr="00B962B6">
        <w:rPr>
          <w:b/>
        </w:rPr>
        <w:t xml:space="preserve"> </w:t>
      </w:r>
      <w:r w:rsidR="004C2D32" w:rsidRPr="00B962B6">
        <w:rPr>
          <w:b/>
        </w:rPr>
        <w:t>required</w:t>
      </w:r>
      <w:r w:rsidR="0030135E">
        <w:rPr>
          <w:b/>
        </w:rPr>
        <w:t xml:space="preserve"> for the management of assets</w:t>
      </w:r>
      <w:r w:rsidR="008F3C59" w:rsidRPr="00B962B6">
        <w:rPr>
          <w:b/>
        </w:rPr>
        <w:t>.</w:t>
      </w:r>
    </w:p>
    <w:p w14:paraId="3973AFA1" w14:textId="77777777" w:rsidR="00690625" w:rsidRPr="009D15EC" w:rsidRDefault="00690625" w:rsidP="000C16CF">
      <w:pPr>
        <w:pStyle w:val="TSHeadingNumbered111"/>
        <w:numPr>
          <w:ilvl w:val="0"/>
          <w:numId w:val="5"/>
        </w:numPr>
        <w:jc w:val="both"/>
      </w:pPr>
      <w:r w:rsidRPr="009D15EC">
        <w:t>The AMS should define its organisational structure</w:t>
      </w:r>
      <w:r w:rsidR="00433E13">
        <w:t xml:space="preserve">.  </w:t>
      </w:r>
      <w:r w:rsidR="008C4A9B">
        <w:t>It should include details of</w:t>
      </w:r>
      <w:r w:rsidRPr="009D15EC">
        <w:t xml:space="preserve"> authority, accountabilities, roles and responsibilities</w:t>
      </w:r>
      <w:r w:rsidR="00433E13">
        <w:t xml:space="preserve">.  </w:t>
      </w:r>
      <w:r w:rsidRPr="009D15EC">
        <w:t>The AMS should define the terms of reference associated with each role, to ensur</w:t>
      </w:r>
      <w:r w:rsidR="00492074">
        <w:t>e</w:t>
      </w:r>
      <w:r w:rsidRPr="009D15EC">
        <w:t xml:space="preserve"> they are filled by </w:t>
      </w:r>
      <w:r w:rsidR="005F01BB">
        <w:t>s</w:t>
      </w:r>
      <w:r w:rsidR="00003A66">
        <w:t xml:space="preserve">uitably </w:t>
      </w:r>
      <w:r w:rsidR="005F01BB">
        <w:t>q</w:t>
      </w:r>
      <w:r w:rsidR="00003A66">
        <w:t xml:space="preserve">ualified </w:t>
      </w:r>
      <w:r w:rsidR="00BE14AF">
        <w:t xml:space="preserve">and </w:t>
      </w:r>
      <w:r w:rsidR="005F01BB">
        <w:t>e</w:t>
      </w:r>
      <w:r w:rsidR="00003A66">
        <w:t>xperience</w:t>
      </w:r>
      <w:r w:rsidR="00BE14AF">
        <w:t>d</w:t>
      </w:r>
      <w:r w:rsidR="00003A66">
        <w:t xml:space="preserve"> </w:t>
      </w:r>
      <w:r w:rsidR="005F01BB">
        <w:t>p</w:t>
      </w:r>
      <w:r w:rsidR="00003A66">
        <w:t>eople</w:t>
      </w:r>
      <w:r w:rsidR="00433E13" w:rsidRPr="00344881">
        <w:t xml:space="preserve">.  </w:t>
      </w:r>
      <w:r w:rsidR="00475556" w:rsidRPr="00917CBA">
        <w:t>[</w:t>
      </w:r>
      <w:r w:rsidR="003D614B" w:rsidRPr="00917CBA">
        <w:t>9]</w:t>
      </w:r>
    </w:p>
    <w:p w14:paraId="262589F5" w14:textId="77777777" w:rsidR="001C255D" w:rsidRPr="009D15EC" w:rsidRDefault="00C66037" w:rsidP="00A57B3C">
      <w:pPr>
        <w:pStyle w:val="TSHeadingNumbered111"/>
        <w:numPr>
          <w:ilvl w:val="0"/>
          <w:numId w:val="5"/>
        </w:numPr>
        <w:jc w:val="both"/>
      </w:pPr>
      <w:r w:rsidRPr="009D15EC">
        <w:t xml:space="preserve">The AMS </w:t>
      </w:r>
      <w:r w:rsidR="003B5C12" w:rsidRPr="009D15EC">
        <w:t xml:space="preserve">should be </w:t>
      </w:r>
      <w:r w:rsidR="0030135E">
        <w:t xml:space="preserve">appropriately </w:t>
      </w:r>
      <w:r w:rsidR="003B5C12" w:rsidRPr="009D15EC">
        <w:t xml:space="preserve">integrated with </w:t>
      </w:r>
      <w:r w:rsidRPr="009D15EC">
        <w:t xml:space="preserve">other </w:t>
      </w:r>
      <w:r w:rsidR="003B5C12" w:rsidRPr="009D15EC">
        <w:t>systems</w:t>
      </w:r>
      <w:r w:rsidR="00433E13">
        <w:t xml:space="preserve">.  </w:t>
      </w:r>
      <w:r w:rsidR="008C4A9B">
        <w:t>It should deliver</w:t>
      </w:r>
      <w:r w:rsidRPr="009D15EC">
        <w:t xml:space="preserve"> a comprehensive </w:t>
      </w:r>
      <w:r w:rsidR="00C848B5">
        <w:t xml:space="preserve">programme </w:t>
      </w:r>
      <w:r w:rsidRPr="009D15EC">
        <w:t xml:space="preserve">for </w:t>
      </w:r>
      <w:r w:rsidR="003B5C12" w:rsidRPr="009D15EC">
        <w:t xml:space="preserve">the overall management of </w:t>
      </w:r>
      <w:r w:rsidR="000A674F">
        <w:t>Identified Assets</w:t>
      </w:r>
      <w:r w:rsidR="00433E13">
        <w:t xml:space="preserve">.  </w:t>
      </w:r>
      <w:r w:rsidR="008C4A9B">
        <w:t>T</w:t>
      </w:r>
      <w:r w:rsidR="003B5C12" w:rsidRPr="009D15EC">
        <w:t xml:space="preserve">his may </w:t>
      </w:r>
      <w:r w:rsidRPr="009D15EC">
        <w:t>include financial</w:t>
      </w:r>
      <w:r w:rsidR="003B5C12" w:rsidRPr="009D15EC">
        <w:t xml:space="preserve"> governance</w:t>
      </w:r>
      <w:r w:rsidRPr="009D15EC">
        <w:t xml:space="preserve">, </w:t>
      </w:r>
      <w:r w:rsidR="00CC7BA9" w:rsidRPr="009D15EC">
        <w:t>supply chain, and resourcing</w:t>
      </w:r>
      <w:r w:rsidR="00433E13">
        <w:t xml:space="preserve">.  </w:t>
      </w:r>
      <w:r w:rsidR="00CC7BA9" w:rsidRPr="009D15EC">
        <w:t>There should be dir</w:t>
      </w:r>
      <w:r w:rsidR="00D325B2" w:rsidRPr="009D15EC">
        <w:t xml:space="preserve">ect inputs </w:t>
      </w:r>
      <w:r w:rsidR="00CC7BA9" w:rsidRPr="009D15EC">
        <w:t xml:space="preserve">from </w:t>
      </w:r>
      <w:r w:rsidR="00D325B2" w:rsidRPr="009D15EC">
        <w:t xml:space="preserve">operational areas such as </w:t>
      </w:r>
      <w:r w:rsidR="00CC7BA9" w:rsidRPr="009D15EC">
        <w:t xml:space="preserve">condition monitoring, </w:t>
      </w:r>
      <w:r w:rsidR="005F01BB">
        <w:t>quality assurance (</w:t>
      </w:r>
      <w:r w:rsidR="00CC7BA9" w:rsidRPr="009D15EC">
        <w:t>QA</w:t>
      </w:r>
      <w:r w:rsidR="005F01BB">
        <w:t>)</w:t>
      </w:r>
      <w:r w:rsidR="00CC7BA9" w:rsidRPr="009D15EC">
        <w:t xml:space="preserve"> and </w:t>
      </w:r>
      <w:r w:rsidR="00D325B2" w:rsidRPr="009D15EC">
        <w:t>other operating experience</w:t>
      </w:r>
      <w:r w:rsidR="00433E13" w:rsidRPr="00344881">
        <w:t xml:space="preserve">.  </w:t>
      </w:r>
      <w:r w:rsidR="003D614B" w:rsidRPr="00917CBA">
        <w:t>[7]</w:t>
      </w:r>
    </w:p>
    <w:p w14:paraId="092A4703" w14:textId="77777777" w:rsidR="00690625" w:rsidRPr="009D15EC" w:rsidRDefault="00F16C2E" w:rsidP="00A57B3C">
      <w:pPr>
        <w:pStyle w:val="TSHeadingNumbered111"/>
        <w:numPr>
          <w:ilvl w:val="0"/>
          <w:numId w:val="5"/>
        </w:numPr>
        <w:jc w:val="both"/>
      </w:pPr>
      <w:r>
        <w:t xml:space="preserve">The AMS </w:t>
      </w:r>
      <w:r w:rsidR="00C848B5">
        <w:t xml:space="preserve">should </w:t>
      </w:r>
      <w:r w:rsidR="00690625" w:rsidRPr="009D15EC">
        <w:t xml:space="preserve">support the </w:t>
      </w:r>
      <w:proofErr w:type="spellStart"/>
      <w:r w:rsidR="00690625" w:rsidRPr="009D15EC">
        <w:t>d</w:t>
      </w:r>
      <w:r w:rsidR="00141A0E">
        <w:t>utyholder</w:t>
      </w:r>
      <w:r w:rsidR="00690625" w:rsidRPr="009D15EC">
        <w:t>s</w:t>
      </w:r>
      <w:proofErr w:type="spellEnd"/>
      <w:r w:rsidR="00690625" w:rsidRPr="009D15EC">
        <w:t xml:space="preserve"> </w:t>
      </w:r>
      <w:r w:rsidR="00F60C20">
        <w:t xml:space="preserve">Identified </w:t>
      </w:r>
      <w:r w:rsidR="00332B7E">
        <w:t>A</w:t>
      </w:r>
      <w:r w:rsidR="00A57B3C" w:rsidRPr="00A57B3C">
        <w:t>sset</w:t>
      </w:r>
      <w:r w:rsidR="00E11ADF">
        <w:t>’</w:t>
      </w:r>
      <w:r w:rsidR="00A57B3C" w:rsidRPr="00A57B3C">
        <w:t>s</w:t>
      </w:r>
      <w:r w:rsidR="00690625" w:rsidRPr="009D15EC">
        <w:t xml:space="preserve"> management activities</w:t>
      </w:r>
      <w:r w:rsidR="00433E13">
        <w:t xml:space="preserve">.  </w:t>
      </w:r>
      <w:r w:rsidR="008C4A9B">
        <w:t>It</w:t>
      </w:r>
      <w:r w:rsidR="00690625" w:rsidRPr="009D15EC">
        <w:t xml:space="preserve"> should provide</w:t>
      </w:r>
      <w:r w:rsidR="00F33487">
        <w:t xml:space="preserve"> sufficient information and context </w:t>
      </w:r>
      <w:r w:rsidR="00690625" w:rsidRPr="009D15EC">
        <w:t>to assist in</w:t>
      </w:r>
      <w:r w:rsidR="00F33487">
        <w:t xml:space="preserve"> the</w:t>
      </w:r>
      <w:r w:rsidR="00690625" w:rsidRPr="009D15EC">
        <w:t xml:space="preserve"> decision-making process</w:t>
      </w:r>
      <w:r w:rsidR="00433E13">
        <w:t xml:space="preserve">.  </w:t>
      </w:r>
      <w:r w:rsidR="003D614B" w:rsidRPr="00917CBA">
        <w:t>[5] [6] [7]</w:t>
      </w:r>
    </w:p>
    <w:p w14:paraId="35F2EAC0" w14:textId="77777777" w:rsidR="00690625" w:rsidRPr="009D15EC" w:rsidRDefault="00226CFE" w:rsidP="000C16CF">
      <w:pPr>
        <w:pStyle w:val="TSHeadingNumbered111"/>
        <w:numPr>
          <w:ilvl w:val="0"/>
          <w:numId w:val="5"/>
        </w:numPr>
        <w:jc w:val="both"/>
      </w:pPr>
      <w:r w:rsidRPr="009D15EC">
        <w:t xml:space="preserve">The AMS should identify </w:t>
      </w:r>
      <w:r w:rsidR="00690625" w:rsidRPr="009D15EC">
        <w:t>all</w:t>
      </w:r>
      <w:r w:rsidRPr="009D15EC">
        <w:t xml:space="preserve"> end users </w:t>
      </w:r>
      <w:r w:rsidR="00690625" w:rsidRPr="009D15EC">
        <w:t xml:space="preserve">(board members, senior </w:t>
      </w:r>
      <w:r w:rsidR="00A83224">
        <w:t>leadership</w:t>
      </w:r>
      <w:r w:rsidR="00690625" w:rsidRPr="009D15EC">
        <w:t xml:space="preserve">, operations, engineering etc.) </w:t>
      </w:r>
      <w:r w:rsidR="004F5FCB">
        <w:t xml:space="preserve">that require </w:t>
      </w:r>
      <w:r w:rsidR="00690625" w:rsidRPr="009D15EC">
        <w:t>AM</w:t>
      </w:r>
      <w:r w:rsidR="00C13819" w:rsidRPr="009D15EC">
        <w:t>S</w:t>
      </w:r>
      <w:r w:rsidR="00690625" w:rsidRPr="009D15EC">
        <w:t xml:space="preserve"> information</w:t>
      </w:r>
      <w:r w:rsidR="00433E13">
        <w:t xml:space="preserve">.  </w:t>
      </w:r>
      <w:r w:rsidR="003F3474">
        <w:t>It should</w:t>
      </w:r>
      <w:r w:rsidR="00690625" w:rsidRPr="009D15EC">
        <w:t xml:space="preserve"> include the purpose for which information is </w:t>
      </w:r>
      <w:r w:rsidR="00C848B5">
        <w:t xml:space="preserve">being </w:t>
      </w:r>
      <w:r w:rsidR="00C848B5" w:rsidRPr="009D15EC">
        <w:t>provided</w:t>
      </w:r>
      <w:r w:rsidR="00690625" w:rsidRPr="009D15EC">
        <w:t xml:space="preserve"> </w:t>
      </w:r>
      <w:r w:rsidR="00CB1BB6" w:rsidRPr="009D15EC">
        <w:t>(e.g</w:t>
      </w:r>
      <w:r w:rsidR="00433E13">
        <w:t xml:space="preserve">.  </w:t>
      </w:r>
      <w:r w:rsidR="00373FA6">
        <w:t>S</w:t>
      </w:r>
      <w:r w:rsidR="00373FA6" w:rsidRPr="009D15EC">
        <w:t>enior</w:t>
      </w:r>
      <w:r w:rsidR="006E6F8E" w:rsidRPr="009D15EC">
        <w:t xml:space="preserve"> </w:t>
      </w:r>
      <w:r w:rsidR="00062C94">
        <w:t xml:space="preserve">leadership </w:t>
      </w:r>
      <w:r w:rsidR="00CB1BB6" w:rsidRPr="009D15EC">
        <w:t xml:space="preserve">receiving intelligence applied summaries and engineering staff receiving </w:t>
      </w:r>
      <w:r w:rsidR="00C848B5">
        <w:t xml:space="preserve">less </w:t>
      </w:r>
      <w:r w:rsidR="00373FA6">
        <w:t xml:space="preserve">processed </w:t>
      </w:r>
      <w:r w:rsidR="00373FA6" w:rsidRPr="009D15EC">
        <w:t>data</w:t>
      </w:r>
      <w:r w:rsidR="00CB1BB6" w:rsidRPr="009D15EC">
        <w:t xml:space="preserve"> for analysis)</w:t>
      </w:r>
      <w:r w:rsidR="00433E13">
        <w:t xml:space="preserve">.  </w:t>
      </w:r>
      <w:r w:rsidR="00CB1BB6" w:rsidRPr="009D15EC">
        <w:t xml:space="preserve">The AMS should detail </w:t>
      </w:r>
      <w:r w:rsidR="00690625" w:rsidRPr="009D15EC">
        <w:t xml:space="preserve">the most </w:t>
      </w:r>
      <w:r w:rsidRPr="009D15EC">
        <w:t xml:space="preserve">appropriate method </w:t>
      </w:r>
      <w:r w:rsidR="00690625" w:rsidRPr="009D15EC">
        <w:t xml:space="preserve">and </w:t>
      </w:r>
      <w:r w:rsidR="00C848B5">
        <w:t xml:space="preserve">frequency </w:t>
      </w:r>
      <w:r w:rsidRPr="009D15EC">
        <w:t>of communication</w:t>
      </w:r>
      <w:r w:rsidR="003F3474">
        <w:t>,</w:t>
      </w:r>
      <w:r w:rsidR="00CB1BB6" w:rsidRPr="009D15EC">
        <w:t xml:space="preserve"> providing fit for purpose reports</w:t>
      </w:r>
      <w:r w:rsidR="00433E13" w:rsidRPr="00344881">
        <w:t xml:space="preserve">.  </w:t>
      </w:r>
      <w:r w:rsidR="003D614B" w:rsidRPr="00917CBA">
        <w:t>[9]</w:t>
      </w:r>
    </w:p>
    <w:p w14:paraId="4324851E" w14:textId="77777777" w:rsidR="003E1DBA" w:rsidRPr="009D15EC" w:rsidRDefault="003E1DBA" w:rsidP="00A26006">
      <w:pPr>
        <w:pStyle w:val="TSHeadingNumbered111"/>
        <w:numPr>
          <w:ilvl w:val="0"/>
          <w:numId w:val="5"/>
        </w:numPr>
        <w:jc w:val="both"/>
      </w:pPr>
      <w:r>
        <w:t xml:space="preserve">The AMS should </w:t>
      </w:r>
      <w:r w:rsidR="00A26006">
        <w:t xml:space="preserve">include links out to the </w:t>
      </w:r>
      <w:r>
        <w:t xml:space="preserve">supply chain function. It should </w:t>
      </w:r>
      <w:r w:rsidR="00F60C20">
        <w:t>have strategies</w:t>
      </w:r>
      <w:r>
        <w:t xml:space="preserve"> </w:t>
      </w:r>
      <w:r w:rsidR="00410E59">
        <w:t>for the delivery</w:t>
      </w:r>
      <w:r>
        <w:t xml:space="preserve"> of services and spares</w:t>
      </w:r>
      <w:r w:rsidR="00410E59">
        <w:t>. Appropriate contract management and funding plans should be developed and maintained through the life of the facility</w:t>
      </w:r>
      <w:r w:rsidR="00410E59">
        <w:rPr>
          <w:vertAlign w:val="superscript"/>
        </w:rPr>
        <w:t xml:space="preserve"> </w:t>
      </w:r>
      <w:r w:rsidR="00410E59" w:rsidRPr="00917CBA">
        <w:t>[5]</w:t>
      </w:r>
      <w:r w:rsidR="00410E59">
        <w:rPr>
          <w:vertAlign w:val="superscript"/>
        </w:rPr>
        <w:t xml:space="preserve"> </w:t>
      </w:r>
      <w:r w:rsidR="00410E59" w:rsidRPr="00917CBA">
        <w:t>[9]</w:t>
      </w:r>
      <w:r w:rsidR="00410E59" w:rsidRPr="00344881">
        <w:t>.</w:t>
      </w:r>
      <w:r w:rsidR="00410E59">
        <w:t xml:space="preserve"> These should be updated regularly to reflect any changes to the needs of the organisation or to the specific </w:t>
      </w:r>
      <w:r w:rsidR="000A674F">
        <w:t>Identified Assets</w:t>
      </w:r>
      <w:r w:rsidR="00410E59">
        <w:t xml:space="preserve">. Reviews and their associated changes should be recorded </w:t>
      </w:r>
      <w:r w:rsidR="00A26006">
        <w:t xml:space="preserve">to </w:t>
      </w:r>
      <w:r w:rsidR="00410E59">
        <w:t>develop an auditable trail of decision making.</w:t>
      </w:r>
    </w:p>
    <w:p w14:paraId="6B13A0AB" w14:textId="77777777" w:rsidR="00E82579" w:rsidRPr="009D15EC" w:rsidRDefault="00AA4990" w:rsidP="00D0114E">
      <w:pPr>
        <w:pStyle w:val="TSHeadingNumbered11"/>
      </w:pPr>
      <w:r w:rsidRPr="009D15EC">
        <w:t>Planning:</w:t>
      </w:r>
      <w:r w:rsidR="005F603A" w:rsidRPr="009D15EC">
        <w:t xml:space="preserve"> </w:t>
      </w:r>
    </w:p>
    <w:p w14:paraId="6B07B8FA" w14:textId="77777777" w:rsidR="00551A84" w:rsidRPr="009D15EC" w:rsidRDefault="00D22EF5" w:rsidP="00AB454C">
      <w:pPr>
        <w:pStyle w:val="TSHeadingNumbered111"/>
        <w:numPr>
          <w:ilvl w:val="0"/>
          <w:numId w:val="0"/>
        </w:numPr>
        <w:pBdr>
          <w:top w:val="single" w:sz="4" w:space="1" w:color="auto"/>
          <w:left w:val="single" w:sz="4" w:space="4" w:color="auto"/>
          <w:bottom w:val="single" w:sz="4" w:space="1" w:color="auto"/>
          <w:right w:val="single" w:sz="4" w:space="4" w:color="auto"/>
        </w:pBdr>
        <w:ind w:left="720"/>
        <w:jc w:val="both"/>
      </w:pPr>
      <w:r>
        <w:rPr>
          <w:b/>
        </w:rPr>
        <w:t>AM</w:t>
      </w:r>
      <w:r w:rsidR="00551A84" w:rsidRPr="001B4C29">
        <w:rPr>
          <w:b/>
        </w:rPr>
        <w:t>4</w:t>
      </w:r>
      <w:r w:rsidR="006E6F8E" w:rsidRPr="009D15EC">
        <w:t xml:space="preserve"> </w:t>
      </w:r>
      <w:r w:rsidR="005F01BB">
        <w:t>Asset m</w:t>
      </w:r>
      <w:r w:rsidR="00FC619F">
        <w:t>anagement</w:t>
      </w:r>
      <w:r w:rsidR="00BB3C2D" w:rsidRPr="009D15EC">
        <w:t xml:space="preserve"> </w:t>
      </w:r>
      <w:r w:rsidR="005F01BB">
        <w:t>p</w:t>
      </w:r>
      <w:r w:rsidR="00C501C3">
        <w:t xml:space="preserve">lanning </w:t>
      </w:r>
      <w:r w:rsidR="006E6F8E" w:rsidRPr="009D15EC">
        <w:t xml:space="preserve">should </w:t>
      </w:r>
      <w:r w:rsidR="00F16C2E">
        <w:t>record</w:t>
      </w:r>
      <w:r w:rsidR="006E6F8E" w:rsidRPr="009D15EC">
        <w:t xml:space="preserve"> all</w:t>
      </w:r>
      <w:r w:rsidR="00551A84" w:rsidRPr="009D15EC">
        <w:t xml:space="preserve"> </w:t>
      </w:r>
      <w:r w:rsidR="005F01BB">
        <w:t>system, s</w:t>
      </w:r>
      <w:r w:rsidR="00593D86">
        <w:t xml:space="preserve">tructures </w:t>
      </w:r>
      <w:r w:rsidR="005F01BB">
        <w:t>and c</w:t>
      </w:r>
      <w:r w:rsidR="002F2F8D" w:rsidRPr="009D15EC">
        <w:t xml:space="preserve">omponents </w:t>
      </w:r>
      <w:r w:rsidR="004C2D32">
        <w:t>that</w:t>
      </w:r>
      <w:r w:rsidR="005F01BB">
        <w:t xml:space="preserve"> deliver a safety, s</w:t>
      </w:r>
      <w:r w:rsidR="002F2F8D" w:rsidRPr="009D15EC">
        <w:t xml:space="preserve">ecurity or </w:t>
      </w:r>
      <w:r w:rsidR="005F01BB">
        <w:t>e</w:t>
      </w:r>
      <w:r w:rsidR="002F2F8D" w:rsidRPr="009D15EC">
        <w:t>nvironmental</w:t>
      </w:r>
      <w:r w:rsidR="004C2D32">
        <w:t xml:space="preserve"> function.</w:t>
      </w:r>
    </w:p>
    <w:p w14:paraId="22504E93" w14:textId="77777777" w:rsidR="006E6F8E" w:rsidRPr="009D15EC" w:rsidRDefault="00DB256C" w:rsidP="00DB256C">
      <w:pPr>
        <w:pStyle w:val="TSHeadingNumbered111"/>
        <w:numPr>
          <w:ilvl w:val="0"/>
          <w:numId w:val="5"/>
        </w:numPr>
        <w:jc w:val="both"/>
      </w:pPr>
      <w:r w:rsidRPr="009D15EC">
        <w:t xml:space="preserve">The </w:t>
      </w:r>
      <w:r>
        <w:t>AMS</w:t>
      </w:r>
      <w:r w:rsidRPr="009D15EC">
        <w:t xml:space="preserve"> should include identification of all </w:t>
      </w:r>
      <w:r w:rsidR="000A674F">
        <w:t>Identified Assets</w:t>
      </w:r>
      <w:r w:rsidRPr="008F0550">
        <w:t xml:space="preserve"> </w:t>
      </w:r>
      <w:r w:rsidRPr="009D15EC">
        <w:t xml:space="preserve">that support </w:t>
      </w:r>
      <w:r>
        <w:t xml:space="preserve">or </w:t>
      </w:r>
      <w:r w:rsidRPr="009D15EC">
        <w:t xml:space="preserve">deliver </w:t>
      </w:r>
      <w:proofErr w:type="spellStart"/>
      <w:r w:rsidRPr="009D15EC">
        <w:t>SSoE</w:t>
      </w:r>
      <w:proofErr w:type="spellEnd"/>
      <w:r w:rsidRPr="009D15EC">
        <w:t xml:space="preserve"> functions</w:t>
      </w:r>
      <w:r>
        <w:t xml:space="preserve">.  </w:t>
      </w:r>
      <w:r w:rsidR="00551A84" w:rsidRPr="009D15EC">
        <w:t xml:space="preserve">The method for categorising functions should </w:t>
      </w:r>
      <w:r>
        <w:t xml:space="preserve">be referenced within the AMS. Conclusions from </w:t>
      </w:r>
      <w:r w:rsidR="006B714D">
        <w:t xml:space="preserve">the </w:t>
      </w:r>
      <w:r>
        <w:t>e</w:t>
      </w:r>
      <w:r w:rsidR="003F3474">
        <w:t>valuat</w:t>
      </w:r>
      <w:r w:rsidR="006B714D">
        <w:t>ion</w:t>
      </w:r>
      <w:r w:rsidR="00551A84" w:rsidRPr="009D15EC">
        <w:t xml:space="preserve"> </w:t>
      </w:r>
      <w:r>
        <w:t xml:space="preserve">of </w:t>
      </w:r>
      <w:r w:rsidR="00551A84" w:rsidRPr="009D15EC">
        <w:t>the consequence</w:t>
      </w:r>
      <w:r w:rsidR="003F3474">
        <w:t>s</w:t>
      </w:r>
      <w:r w:rsidR="00551A84" w:rsidRPr="009D15EC">
        <w:t xml:space="preserve"> of</w:t>
      </w:r>
      <w:r>
        <w:t xml:space="preserve"> a</w:t>
      </w:r>
      <w:r w:rsidR="00332B7E">
        <w:t>n</w:t>
      </w:r>
      <w:r>
        <w:t xml:space="preserve"> </w:t>
      </w:r>
      <w:r w:rsidR="00E138C7">
        <w:t xml:space="preserve">Identified </w:t>
      </w:r>
      <w:r w:rsidR="00332B7E">
        <w:t>A</w:t>
      </w:r>
      <w:r>
        <w:t>sset</w:t>
      </w:r>
      <w:r w:rsidR="00551A84" w:rsidRPr="009D15EC">
        <w:t xml:space="preserve"> failing to </w:t>
      </w:r>
      <w:r w:rsidR="008F0550">
        <w:t xml:space="preserve">support or </w:t>
      </w:r>
      <w:r w:rsidR="00551A84" w:rsidRPr="009D15EC">
        <w:t xml:space="preserve">deliver the </w:t>
      </w:r>
      <w:proofErr w:type="spellStart"/>
      <w:r w:rsidR="006E6F8E" w:rsidRPr="009D15EC">
        <w:t>SSoE</w:t>
      </w:r>
      <w:proofErr w:type="spellEnd"/>
      <w:r w:rsidR="006E6F8E" w:rsidRPr="009D15EC">
        <w:t xml:space="preserve"> </w:t>
      </w:r>
      <w:r w:rsidR="00593D86" w:rsidRPr="009D15EC">
        <w:t>function</w:t>
      </w:r>
      <w:r>
        <w:t xml:space="preserve"> should be stated within the AMS.</w:t>
      </w:r>
      <w:r w:rsidR="00593D86" w:rsidRPr="00DB256C">
        <w:rPr>
          <w:vertAlign w:val="superscript"/>
        </w:rPr>
        <w:t xml:space="preserve"> </w:t>
      </w:r>
      <w:r w:rsidR="00593D86" w:rsidRPr="00917CBA">
        <w:t>[</w:t>
      </w:r>
      <w:r w:rsidR="004C2D32" w:rsidRPr="00917CBA">
        <w:t>3]</w:t>
      </w:r>
      <w:r w:rsidR="00433E13" w:rsidRPr="00344881">
        <w:t xml:space="preserve"> </w:t>
      </w:r>
      <w:r w:rsidR="003E698E" w:rsidRPr="00917CBA">
        <w:t>[7]</w:t>
      </w:r>
    </w:p>
    <w:p w14:paraId="7DE32BB3" w14:textId="77777777" w:rsidR="00403F42" w:rsidRPr="009D15EC" w:rsidRDefault="00551A84" w:rsidP="008F0550">
      <w:pPr>
        <w:pStyle w:val="TSHeadingNumbered111"/>
        <w:numPr>
          <w:ilvl w:val="0"/>
          <w:numId w:val="5"/>
        </w:numPr>
        <w:jc w:val="both"/>
      </w:pPr>
      <w:r w:rsidRPr="009D15EC">
        <w:t xml:space="preserve">All </w:t>
      </w:r>
      <w:r w:rsidR="000A674F">
        <w:t>Identified Assets</w:t>
      </w:r>
      <w:r w:rsidRPr="009D15EC">
        <w:t xml:space="preserve"> should </w:t>
      </w:r>
      <w:r w:rsidR="00F16C2E">
        <w:t>have appropriate classification applied to them</w:t>
      </w:r>
      <w:r w:rsidR="00433E13">
        <w:t xml:space="preserve">.  </w:t>
      </w:r>
      <w:r w:rsidR="003F3474">
        <w:t>The c</w:t>
      </w:r>
      <w:r w:rsidR="00F16C2E">
        <w:t>lassification</w:t>
      </w:r>
      <w:r w:rsidR="003F3474">
        <w:t xml:space="preserve"> should be </w:t>
      </w:r>
      <w:r w:rsidRPr="009D15EC">
        <w:t>linked to</w:t>
      </w:r>
      <w:r w:rsidR="00F16C2E">
        <w:t xml:space="preserve"> the </w:t>
      </w:r>
      <w:r w:rsidR="00F60C20">
        <w:t xml:space="preserve">Identified </w:t>
      </w:r>
      <w:r w:rsidR="005F01BB">
        <w:t>A</w:t>
      </w:r>
      <w:r w:rsidR="00F60C20" w:rsidRPr="008F0550">
        <w:t>sset’s</w:t>
      </w:r>
      <w:r w:rsidR="008F0550" w:rsidRPr="008F0550">
        <w:t xml:space="preserve"> </w:t>
      </w:r>
      <w:r w:rsidRPr="009D15EC">
        <w:t>significance</w:t>
      </w:r>
      <w:r w:rsidR="003F3474">
        <w:t>,</w:t>
      </w:r>
      <w:r w:rsidRPr="009D15EC">
        <w:t xml:space="preserve"> with a description of all of its functional requirements</w:t>
      </w:r>
      <w:r w:rsidR="00F16C2E">
        <w:t xml:space="preserve"> and </w:t>
      </w:r>
      <w:r w:rsidR="008F0550">
        <w:t>any</w:t>
      </w:r>
      <w:r w:rsidR="00F16C2E">
        <w:t xml:space="preserve"> associated categorisations</w:t>
      </w:r>
      <w:r w:rsidR="00433E13">
        <w:t xml:space="preserve">.  </w:t>
      </w:r>
      <w:r w:rsidRPr="009D15EC">
        <w:t>Where applicable this should be directly linked to the safety case</w:t>
      </w:r>
      <w:r w:rsidR="00F16C2E">
        <w:t xml:space="preserve">. </w:t>
      </w:r>
      <w:r w:rsidR="003E698E" w:rsidRPr="00917CBA">
        <w:t>[7]</w:t>
      </w:r>
    </w:p>
    <w:p w14:paraId="0F106B1D" w14:textId="77777777" w:rsidR="00551A84" w:rsidRPr="009D15EC" w:rsidRDefault="0040754E" w:rsidP="000C16CF">
      <w:pPr>
        <w:pStyle w:val="TSHeadingNumbered111"/>
        <w:numPr>
          <w:ilvl w:val="0"/>
          <w:numId w:val="5"/>
        </w:numPr>
        <w:jc w:val="both"/>
      </w:pPr>
      <w:r>
        <w:t xml:space="preserve">The </w:t>
      </w:r>
      <w:proofErr w:type="spellStart"/>
      <w:r>
        <w:t>d</w:t>
      </w:r>
      <w:r w:rsidR="00141A0E">
        <w:t>utyholder</w:t>
      </w:r>
      <w:proofErr w:type="spellEnd"/>
      <w:r w:rsidR="00551A84" w:rsidRPr="009D15EC">
        <w:t xml:space="preserve"> </w:t>
      </w:r>
      <w:r w:rsidR="00373FA6" w:rsidRPr="009D15EC">
        <w:t>should collate</w:t>
      </w:r>
      <w:r w:rsidR="00551A84" w:rsidRPr="009D15EC">
        <w:t xml:space="preserve"> </w:t>
      </w:r>
      <w:r w:rsidR="00D06272">
        <w:t xml:space="preserve">all </w:t>
      </w:r>
      <w:r w:rsidR="00551A84" w:rsidRPr="009D15EC">
        <w:t>the knowledge, skill, expertise and experience available</w:t>
      </w:r>
      <w:r w:rsidR="00433E13">
        <w:t xml:space="preserve">.  </w:t>
      </w:r>
      <w:r w:rsidR="00551A84" w:rsidRPr="009D15EC">
        <w:t>This should include different perspectives to ensure comprehensive coverage of all hazards</w:t>
      </w:r>
      <w:r w:rsidR="003F3474">
        <w:t xml:space="preserve"> and </w:t>
      </w:r>
      <w:r w:rsidR="00551A84" w:rsidRPr="009D15EC">
        <w:t>failure modes</w:t>
      </w:r>
      <w:r w:rsidR="00433E13">
        <w:t xml:space="preserve">.  </w:t>
      </w:r>
      <w:r w:rsidR="003F3474">
        <w:t xml:space="preserve">The approach should </w:t>
      </w:r>
      <w:r w:rsidR="00060856">
        <w:t xml:space="preserve">also </w:t>
      </w:r>
      <w:r w:rsidR="00060856" w:rsidRPr="009D15EC">
        <w:t>promote</w:t>
      </w:r>
      <w:r w:rsidR="00551A84" w:rsidRPr="009D15EC">
        <w:t xml:space="preserve"> consistency</w:t>
      </w:r>
      <w:r w:rsidR="00433E13">
        <w:t xml:space="preserve">.  </w:t>
      </w:r>
      <w:r w:rsidR="003E698E" w:rsidRPr="00917CBA">
        <w:t>[5][6][7][8]</w:t>
      </w:r>
    </w:p>
    <w:p w14:paraId="03E9FF65" w14:textId="77777777" w:rsidR="008F3C59" w:rsidRPr="009D15EC" w:rsidRDefault="005D6039" w:rsidP="00AB454C">
      <w:pPr>
        <w:pStyle w:val="TSHeadingNumbered111"/>
        <w:numPr>
          <w:ilvl w:val="0"/>
          <w:numId w:val="0"/>
        </w:numPr>
        <w:pBdr>
          <w:top w:val="single" w:sz="4" w:space="1" w:color="auto"/>
          <w:left w:val="single" w:sz="4" w:space="4" w:color="auto"/>
          <w:bottom w:val="single" w:sz="4" w:space="1" w:color="auto"/>
          <w:right w:val="single" w:sz="4" w:space="4" w:color="auto"/>
        </w:pBdr>
        <w:ind w:left="720"/>
      </w:pPr>
      <w:r>
        <w:rPr>
          <w:b/>
        </w:rPr>
        <w:t>AM</w:t>
      </w:r>
      <w:r w:rsidR="00551A84" w:rsidRPr="001B4C29">
        <w:rPr>
          <w:b/>
        </w:rPr>
        <w:t>5</w:t>
      </w:r>
      <w:r w:rsidR="008F3C59" w:rsidRPr="009D15EC">
        <w:t xml:space="preserve">: </w:t>
      </w:r>
      <w:r w:rsidR="005B1863" w:rsidRPr="009D15EC">
        <w:t xml:space="preserve">The </w:t>
      </w:r>
      <w:r w:rsidR="005F01BB">
        <w:t>asset m</w:t>
      </w:r>
      <w:r w:rsidR="00FC619F">
        <w:t>anagement</w:t>
      </w:r>
      <w:r w:rsidR="00BB3C2D" w:rsidRPr="009D15EC">
        <w:t xml:space="preserve"> </w:t>
      </w:r>
      <w:r w:rsidR="005F01BB">
        <w:t>s</w:t>
      </w:r>
      <w:r w:rsidR="00BB3C2D" w:rsidRPr="009D15EC">
        <w:t>ystem</w:t>
      </w:r>
      <w:r w:rsidR="00226EBB" w:rsidRPr="009D15EC">
        <w:t xml:space="preserve"> should define the</w:t>
      </w:r>
      <w:r w:rsidR="008F3C59" w:rsidRPr="009D15EC">
        <w:t xml:space="preserve"> arrangements for managing </w:t>
      </w:r>
      <w:r w:rsidR="000A674F">
        <w:t>Identified Assets</w:t>
      </w:r>
      <w:r w:rsidR="00373FA6" w:rsidRPr="0040754E">
        <w:t xml:space="preserve"> </w:t>
      </w:r>
      <w:r w:rsidR="00373FA6" w:rsidRPr="009D15EC">
        <w:t>through</w:t>
      </w:r>
      <w:r w:rsidR="00EA5CFE" w:rsidRPr="009D15EC">
        <w:t xml:space="preserve"> the facilities </w:t>
      </w:r>
      <w:r w:rsidR="008F3C59" w:rsidRPr="009D15EC">
        <w:t>life</w:t>
      </w:r>
      <w:r w:rsidR="00EA5CFE" w:rsidRPr="009D15EC">
        <w:t>-cycle</w:t>
      </w:r>
      <w:r w:rsidR="00433E13">
        <w:t xml:space="preserve">.  </w:t>
      </w:r>
    </w:p>
    <w:p w14:paraId="42F78096" w14:textId="77777777" w:rsidR="00F33F7D" w:rsidRPr="009D15EC" w:rsidRDefault="00E72C93" w:rsidP="0040754E">
      <w:pPr>
        <w:pStyle w:val="TSHeadingNumbered111"/>
        <w:numPr>
          <w:ilvl w:val="0"/>
          <w:numId w:val="5"/>
        </w:numPr>
        <w:jc w:val="both"/>
      </w:pPr>
      <w:r w:rsidRPr="009D15EC">
        <w:t>The AMS should</w:t>
      </w:r>
      <w:r w:rsidR="00F33F7D" w:rsidRPr="009D15EC">
        <w:t xml:space="preserve"> represent a whole of life view</w:t>
      </w:r>
      <w:r w:rsidRPr="009D15EC">
        <w:t xml:space="preserve"> of the </w:t>
      </w:r>
      <w:r w:rsidR="00F33F7D" w:rsidRPr="009D15EC">
        <w:t>facility</w:t>
      </w:r>
      <w:r w:rsidR="00433E13">
        <w:t xml:space="preserve">.  </w:t>
      </w:r>
      <w:r w:rsidR="00FD1780">
        <w:t xml:space="preserve">It should </w:t>
      </w:r>
      <w:r w:rsidR="005F793C">
        <w:t>reflect all</w:t>
      </w:r>
      <w:r w:rsidR="00FD1780">
        <w:t xml:space="preserve"> </w:t>
      </w:r>
      <w:proofErr w:type="spellStart"/>
      <w:r w:rsidR="00F33F7D" w:rsidRPr="009D15EC">
        <w:t>SSoE</w:t>
      </w:r>
      <w:proofErr w:type="spellEnd"/>
      <w:r w:rsidR="00F33F7D" w:rsidRPr="009D15EC">
        <w:t xml:space="preserve"> functions</w:t>
      </w:r>
      <w:r w:rsidR="00FD1780">
        <w:t>, as well as</w:t>
      </w:r>
      <w:r w:rsidR="00F33F7D" w:rsidRPr="009D15EC">
        <w:t xml:space="preserve"> the</w:t>
      </w:r>
      <w:r w:rsidR="0040754E" w:rsidRPr="0040754E">
        <w:t xml:space="preserve"> </w:t>
      </w:r>
      <w:r w:rsidR="000A674F">
        <w:t>Identified Assets</w:t>
      </w:r>
      <w:r w:rsidR="00F33F7D" w:rsidRPr="009D15EC">
        <w:t xml:space="preserve"> that </w:t>
      </w:r>
      <w:r w:rsidR="0040754E" w:rsidRPr="009D15EC">
        <w:t xml:space="preserve">support and </w:t>
      </w:r>
      <w:r w:rsidR="00F33F7D" w:rsidRPr="009D15EC">
        <w:t>deliver those functions</w:t>
      </w:r>
      <w:r w:rsidR="00F33F7D" w:rsidRPr="002947CA">
        <w:t>.</w:t>
      </w:r>
      <w:r w:rsidR="002947CA">
        <w:t xml:space="preserve"> </w:t>
      </w:r>
      <w:r w:rsidR="003E698E" w:rsidRPr="00917CBA">
        <w:t>[7]</w:t>
      </w:r>
    </w:p>
    <w:p w14:paraId="2C0CCB7E" w14:textId="77777777" w:rsidR="00F33F7D" w:rsidRPr="009D15EC" w:rsidRDefault="00F33F7D" w:rsidP="0040754E">
      <w:pPr>
        <w:pStyle w:val="TSHeadingNumbered111"/>
        <w:numPr>
          <w:ilvl w:val="0"/>
          <w:numId w:val="5"/>
        </w:numPr>
        <w:jc w:val="both"/>
      </w:pPr>
      <w:r w:rsidRPr="009D15EC">
        <w:t xml:space="preserve">Consideration should be given at concept, design and manufacture </w:t>
      </w:r>
      <w:r w:rsidR="007B2ACF">
        <w:t>stages</w:t>
      </w:r>
      <w:r w:rsidRPr="009D15EC">
        <w:t xml:space="preserve"> of a facility as to how the </w:t>
      </w:r>
      <w:r w:rsidR="000A674F">
        <w:t>Identified Assets</w:t>
      </w:r>
      <w:r w:rsidRPr="009D15EC">
        <w:t xml:space="preserve"> will operate and degrade over time</w:t>
      </w:r>
      <w:r w:rsidR="00433E13">
        <w:t xml:space="preserve">.  </w:t>
      </w:r>
      <w:r w:rsidRPr="009D15EC">
        <w:t xml:space="preserve">Suitable consideration of design, process and material selection should be </w:t>
      </w:r>
      <w:r w:rsidR="00FD1780">
        <w:t>given</w:t>
      </w:r>
      <w:r w:rsidRPr="009D15EC">
        <w:t xml:space="preserve"> with respect to </w:t>
      </w:r>
      <w:r w:rsidR="00FD1780">
        <w:t xml:space="preserve">the facility </w:t>
      </w:r>
      <w:r w:rsidRPr="009D15EC">
        <w:t>life-cycle</w:t>
      </w:r>
      <w:r w:rsidR="00433E13">
        <w:t xml:space="preserve">. </w:t>
      </w:r>
      <w:r w:rsidR="00433E13" w:rsidRPr="002947CA">
        <w:t xml:space="preserve"> </w:t>
      </w:r>
      <w:r w:rsidR="003E698E" w:rsidRPr="00917CBA">
        <w:t>[5] [6] [7]</w:t>
      </w:r>
    </w:p>
    <w:p w14:paraId="01E761D1" w14:textId="77777777" w:rsidR="005759DC" w:rsidRPr="009D15EC" w:rsidRDefault="005759DC" w:rsidP="005759DC">
      <w:pPr>
        <w:pStyle w:val="TSHeadingNumbered111"/>
        <w:numPr>
          <w:ilvl w:val="0"/>
          <w:numId w:val="5"/>
        </w:numPr>
        <w:jc w:val="both"/>
      </w:pPr>
      <w:r>
        <w:t xml:space="preserve">The </w:t>
      </w:r>
      <w:proofErr w:type="spellStart"/>
      <w:r>
        <w:t>dutyholder</w:t>
      </w:r>
      <w:proofErr w:type="spellEnd"/>
      <w:r>
        <w:t xml:space="preserve"> should </w:t>
      </w:r>
      <w:r w:rsidR="00821D2D">
        <w:t>establish</w:t>
      </w:r>
      <w:r w:rsidR="00780B60">
        <w:t xml:space="preserve"> a process for reviewing the obsolescence of</w:t>
      </w:r>
      <w:r>
        <w:t xml:space="preserve"> Identified Assets.  Obsolescence management should be applied throughout an asset’s life-cycle. [14]</w:t>
      </w:r>
    </w:p>
    <w:p w14:paraId="24A03584" w14:textId="77777777" w:rsidR="005759DC" w:rsidRPr="009D15EC" w:rsidRDefault="00E72C93" w:rsidP="005759DC">
      <w:pPr>
        <w:pStyle w:val="TSHeadingNumbered111"/>
        <w:numPr>
          <w:ilvl w:val="0"/>
          <w:numId w:val="5"/>
        </w:numPr>
        <w:jc w:val="both"/>
      </w:pPr>
      <w:r w:rsidRPr="009D15EC">
        <w:t xml:space="preserve">Changes of function, operation and </w:t>
      </w:r>
      <w:r w:rsidR="00373FA6">
        <w:t xml:space="preserve">stages </w:t>
      </w:r>
      <w:r w:rsidR="00373FA6" w:rsidRPr="009D15EC">
        <w:t>of</w:t>
      </w:r>
      <w:r w:rsidRPr="009D15EC">
        <w:t xml:space="preserve"> </w:t>
      </w:r>
      <w:r w:rsidR="00BE14AF">
        <w:t xml:space="preserve">care and maintenance </w:t>
      </w:r>
      <w:r w:rsidRPr="009D15EC">
        <w:t xml:space="preserve">should be specifically </w:t>
      </w:r>
      <w:r w:rsidR="0040754E">
        <w:t>recorded</w:t>
      </w:r>
      <w:r w:rsidR="005F01BB">
        <w:t>.</w:t>
      </w:r>
      <w:r w:rsidR="0040754E">
        <w:t xml:space="preserve"> </w:t>
      </w:r>
      <w:r w:rsidR="00433E13">
        <w:t xml:space="preserve">  </w:t>
      </w:r>
      <w:r w:rsidR="00EA5CFE" w:rsidRPr="009D15EC">
        <w:t>A</w:t>
      </w:r>
      <w:r w:rsidRPr="009D15EC">
        <w:t xml:space="preserve">ppropriate arrangements </w:t>
      </w:r>
      <w:r w:rsidR="00EA5CFE" w:rsidRPr="009D15EC">
        <w:t xml:space="preserve">should be </w:t>
      </w:r>
      <w:r w:rsidRPr="009D15EC">
        <w:t xml:space="preserve">set out for preparation of </w:t>
      </w:r>
      <w:r w:rsidR="00EA5CFE" w:rsidRPr="009D15EC">
        <w:t xml:space="preserve">care and maintenance </w:t>
      </w:r>
      <w:r w:rsidR="00F945F0">
        <w:t xml:space="preserve">activities </w:t>
      </w:r>
      <w:r w:rsidR="00D06272">
        <w:t>during these stages</w:t>
      </w:r>
      <w:r w:rsidR="00433E13">
        <w:t xml:space="preserve">.  </w:t>
      </w:r>
      <w:r w:rsidR="00FD1780">
        <w:t>P</w:t>
      </w:r>
      <w:r w:rsidRPr="009D15EC">
        <w:t>lans</w:t>
      </w:r>
      <w:r w:rsidR="00FD1780">
        <w:t xml:space="preserve"> should be prepared</w:t>
      </w:r>
      <w:r w:rsidR="00EA5CFE" w:rsidRPr="009D15EC">
        <w:t xml:space="preserve"> for periods of </w:t>
      </w:r>
      <w:r w:rsidR="003B44F1">
        <w:t xml:space="preserve">care &amp;maintenance </w:t>
      </w:r>
      <w:r w:rsidR="00EA5CFE" w:rsidRPr="009D15EC">
        <w:t xml:space="preserve"> or outage</w:t>
      </w:r>
      <w:r w:rsidR="00F16C2E">
        <w:t xml:space="preserve"> (e.g. cranes that may be required for decommissioning, but not plant operations)</w:t>
      </w:r>
      <w:r w:rsidRPr="009D15EC">
        <w:t>.</w:t>
      </w:r>
      <w:r w:rsidR="00966E41" w:rsidRPr="00917CBA">
        <w:t>[5] [6] [7]</w:t>
      </w:r>
    </w:p>
    <w:p w14:paraId="3131D156" w14:textId="77777777" w:rsidR="00304DFC" w:rsidRPr="009D15EC" w:rsidRDefault="00226EBB" w:rsidP="0040754E">
      <w:pPr>
        <w:pStyle w:val="TSHeadingNumbered111"/>
        <w:numPr>
          <w:ilvl w:val="0"/>
          <w:numId w:val="5"/>
        </w:numPr>
        <w:jc w:val="both"/>
      </w:pPr>
      <w:r w:rsidRPr="009D15EC">
        <w:t>The</w:t>
      </w:r>
      <w:r w:rsidR="00304DFC" w:rsidRPr="009D15EC">
        <w:t xml:space="preserve"> </w:t>
      </w:r>
      <w:proofErr w:type="spellStart"/>
      <w:r w:rsidR="00304DFC" w:rsidRPr="009D15EC">
        <w:t>dutyholder</w:t>
      </w:r>
      <w:proofErr w:type="spellEnd"/>
      <w:r w:rsidR="00304DFC" w:rsidRPr="009D15EC">
        <w:t xml:space="preserve"> should establish</w:t>
      </w:r>
      <w:r w:rsidRPr="009D15EC">
        <w:t xml:space="preserve"> </w:t>
      </w:r>
      <w:r w:rsidR="00304DFC" w:rsidRPr="009D15EC">
        <w:t>long term AM</w:t>
      </w:r>
      <w:r w:rsidR="00C13819" w:rsidRPr="009D15EC">
        <w:t>S</w:t>
      </w:r>
      <w:r w:rsidR="00304DFC" w:rsidRPr="009D15EC">
        <w:t xml:space="preserve"> strategy and short/medium term AM plans</w:t>
      </w:r>
      <w:r w:rsidR="003B44F1">
        <w:t xml:space="preserve"> that are ALARP</w:t>
      </w:r>
      <w:r w:rsidR="00433E13">
        <w:t xml:space="preserve">.  </w:t>
      </w:r>
      <w:r w:rsidR="00FD1780">
        <w:t>These should</w:t>
      </w:r>
      <w:r w:rsidR="00304DFC" w:rsidRPr="009D15EC">
        <w:t xml:space="preserve"> recognis</w:t>
      </w:r>
      <w:r w:rsidR="00FD1780">
        <w:t>e</w:t>
      </w:r>
      <w:r w:rsidR="00304DFC" w:rsidRPr="009D15EC">
        <w:t xml:space="preserve"> and reflect the changing state of the </w:t>
      </w:r>
      <w:r w:rsidR="000A674F">
        <w:t>Identified Assets</w:t>
      </w:r>
      <w:r w:rsidR="00304DFC" w:rsidRPr="009D15EC">
        <w:t xml:space="preserve"> and their significance in terms of </w:t>
      </w:r>
      <w:proofErr w:type="spellStart"/>
      <w:r w:rsidR="00304DFC" w:rsidRPr="009D15EC">
        <w:t>SSoE</w:t>
      </w:r>
      <w:proofErr w:type="spellEnd"/>
      <w:r w:rsidR="00304DFC" w:rsidRPr="009D15EC">
        <w:t xml:space="preserve"> functions</w:t>
      </w:r>
      <w:r w:rsidR="00433E13" w:rsidRPr="002947CA">
        <w:t xml:space="preserve">.  </w:t>
      </w:r>
      <w:r w:rsidR="00966E41" w:rsidRPr="00917CBA">
        <w:t>[5] [7]</w:t>
      </w:r>
    </w:p>
    <w:p w14:paraId="5F38AC8D" w14:textId="77777777" w:rsidR="00732AA4" w:rsidRPr="009D15EC" w:rsidRDefault="00304DFC" w:rsidP="00304DFC">
      <w:pPr>
        <w:pStyle w:val="TSHeadingNumbered111"/>
        <w:numPr>
          <w:ilvl w:val="0"/>
          <w:numId w:val="5"/>
        </w:numPr>
        <w:jc w:val="both"/>
      </w:pPr>
      <w:r w:rsidRPr="009D15EC">
        <w:t xml:space="preserve">AM plans </w:t>
      </w:r>
      <w:r w:rsidR="008027E2" w:rsidRPr="009D15EC">
        <w:t xml:space="preserve">should consider </w:t>
      </w:r>
      <w:r w:rsidR="00BE14AF">
        <w:t xml:space="preserve">whole-of-life </w:t>
      </w:r>
      <w:r w:rsidR="009C59DA">
        <w:t>risks</w:t>
      </w:r>
      <w:r w:rsidR="00433E13">
        <w:t xml:space="preserve">. </w:t>
      </w:r>
      <w:r w:rsidR="00CF434B">
        <w:t>They should reflect</w:t>
      </w:r>
      <w:r w:rsidR="000E0A5C" w:rsidRPr="009D15EC">
        <w:t xml:space="preserve"> the operational limits, external requirements a</w:t>
      </w:r>
      <w:r w:rsidR="009C59DA">
        <w:t>s well as</w:t>
      </w:r>
      <w:r w:rsidR="000E0A5C" w:rsidRPr="009D15EC">
        <w:t xml:space="preserve"> </w:t>
      </w:r>
      <w:r w:rsidR="008027E2" w:rsidRPr="009D15EC">
        <w:t>extan</w:t>
      </w:r>
      <w:r w:rsidR="00EA5CFE" w:rsidRPr="009D15EC">
        <w:t>t EIM</w:t>
      </w:r>
      <w:r w:rsidR="009C59DA">
        <w:t>&amp;</w:t>
      </w:r>
      <w:r w:rsidR="00EA5CFE" w:rsidRPr="009D15EC">
        <w:t xml:space="preserve">T </w:t>
      </w:r>
      <w:r w:rsidR="009C59DA">
        <w:t xml:space="preserve">arrangements and whole-of-life supply chain </w:t>
      </w:r>
      <w:r w:rsidR="00EA5CFE" w:rsidRPr="009D15EC">
        <w:t xml:space="preserve">requirements for the </w:t>
      </w:r>
      <w:r w:rsidR="000A674F">
        <w:t>Identified Assets</w:t>
      </w:r>
      <w:r w:rsidR="00B24B3E">
        <w:t xml:space="preserve"> </w:t>
      </w:r>
      <w:r w:rsidR="00EA5CFE" w:rsidRPr="002947CA">
        <w:t>.</w:t>
      </w:r>
      <w:r w:rsidR="00966E41" w:rsidRPr="00917CBA">
        <w:t>[7]</w:t>
      </w:r>
    </w:p>
    <w:p w14:paraId="1C409509" w14:textId="77777777" w:rsidR="00304DFC" w:rsidRPr="009D15EC" w:rsidRDefault="00304DFC" w:rsidP="003337A7">
      <w:pPr>
        <w:pStyle w:val="TSHeadingNumbered111"/>
        <w:numPr>
          <w:ilvl w:val="0"/>
          <w:numId w:val="5"/>
        </w:numPr>
        <w:jc w:val="both"/>
      </w:pPr>
      <w:r w:rsidRPr="009D15EC">
        <w:t xml:space="preserve">AM plans should apply a proportionate approach to ensure that a higher level of rigour is applied </w:t>
      </w:r>
      <w:r w:rsidR="00373FA6" w:rsidRPr="009D15EC">
        <w:t xml:space="preserve">to </w:t>
      </w:r>
      <w:r w:rsidR="000A674F">
        <w:t>Identified Assets</w:t>
      </w:r>
      <w:r w:rsidR="003337A7" w:rsidRPr="003337A7">
        <w:t xml:space="preserve"> </w:t>
      </w:r>
      <w:r w:rsidR="00F16C2E">
        <w:t>assessed to be most important</w:t>
      </w:r>
      <w:r w:rsidR="00433E13">
        <w:t xml:space="preserve">.  </w:t>
      </w:r>
      <w:r w:rsidRPr="009D15EC">
        <w:t>These should be identified and prioritis</w:t>
      </w:r>
      <w:r w:rsidR="00D40929" w:rsidRPr="009D15EC">
        <w:t xml:space="preserve">ed against their </w:t>
      </w:r>
      <w:r w:rsidR="003337A7">
        <w:t xml:space="preserve">potential to impact on </w:t>
      </w:r>
      <w:proofErr w:type="spellStart"/>
      <w:r w:rsidR="00D40929" w:rsidRPr="009D15EC">
        <w:t>SSoE</w:t>
      </w:r>
      <w:proofErr w:type="spellEnd"/>
      <w:r w:rsidR="00D40929" w:rsidRPr="009D15EC">
        <w:t xml:space="preserve"> function</w:t>
      </w:r>
      <w:r w:rsidR="003337A7">
        <w:t>s</w:t>
      </w:r>
      <w:r w:rsidR="00433E13">
        <w:t xml:space="preserve">.  </w:t>
      </w:r>
      <w:r w:rsidR="00966E41" w:rsidRPr="00917CBA">
        <w:t>[7] [8]</w:t>
      </w:r>
    </w:p>
    <w:p w14:paraId="74A23EC0" w14:textId="77777777" w:rsidR="00EA5CFE" w:rsidRPr="009D15EC" w:rsidRDefault="00804D37" w:rsidP="0002401C">
      <w:pPr>
        <w:pStyle w:val="TSHeadingNumbered111"/>
        <w:numPr>
          <w:ilvl w:val="0"/>
          <w:numId w:val="5"/>
        </w:numPr>
        <w:jc w:val="both"/>
      </w:pPr>
      <w:r w:rsidRPr="009D15EC">
        <w:t>The AM</w:t>
      </w:r>
      <w:r w:rsidR="00304DFC" w:rsidRPr="009D15EC">
        <w:t xml:space="preserve"> plans</w:t>
      </w:r>
      <w:r w:rsidRPr="009D15EC">
        <w:t xml:space="preserve"> should be informed </w:t>
      </w:r>
      <w:r w:rsidR="00CF434B">
        <w:t xml:space="preserve">by, </w:t>
      </w:r>
      <w:r w:rsidRPr="009D15EC">
        <w:t>and regularly reviewed against asset condition</w:t>
      </w:r>
      <w:r w:rsidR="00433E13">
        <w:t xml:space="preserve">.  </w:t>
      </w:r>
      <w:r w:rsidR="00EA5CFE" w:rsidRPr="009D15EC">
        <w:t>The frequency of these reviews should be established</w:t>
      </w:r>
      <w:r w:rsidR="00803C34">
        <w:t xml:space="preserve"> and documented</w:t>
      </w:r>
      <w:r w:rsidR="00433E13">
        <w:t xml:space="preserve">.  </w:t>
      </w:r>
      <w:r w:rsidR="00803C34">
        <w:t>The frequency should consider</w:t>
      </w:r>
      <w:r w:rsidR="00EA5CFE" w:rsidRPr="009D15EC">
        <w:t xml:space="preserve"> the significance </w:t>
      </w:r>
      <w:r w:rsidR="005165DA" w:rsidRPr="009D15EC">
        <w:t xml:space="preserve">of the </w:t>
      </w:r>
      <w:proofErr w:type="spellStart"/>
      <w:r w:rsidR="005165DA" w:rsidRPr="009D15EC">
        <w:t>SSoE</w:t>
      </w:r>
      <w:proofErr w:type="spellEnd"/>
      <w:r w:rsidR="005165DA" w:rsidRPr="009D15EC">
        <w:t xml:space="preserve"> function, the c</w:t>
      </w:r>
      <w:r w:rsidR="00EA5CFE" w:rsidRPr="009D15EC">
        <w:t xml:space="preserve">urrent condition of the </w:t>
      </w:r>
      <w:r w:rsidR="000A674F">
        <w:t>Identified Assets</w:t>
      </w:r>
      <w:r w:rsidR="005165DA" w:rsidRPr="009D15EC">
        <w:t xml:space="preserve"> and observed rate of degradation</w:t>
      </w:r>
      <w:r w:rsidR="00F16C2E">
        <w:t>, including mechanism and cause (e.g. environment, operation etc).</w:t>
      </w:r>
      <w:r w:rsidR="00433E13">
        <w:t xml:space="preserve">  </w:t>
      </w:r>
      <w:proofErr w:type="spellStart"/>
      <w:r w:rsidR="00141A0E">
        <w:t>Dutyholder</w:t>
      </w:r>
      <w:r w:rsidR="0002401C">
        <w:t>s</w:t>
      </w:r>
      <w:proofErr w:type="spellEnd"/>
      <w:r w:rsidR="0002401C">
        <w:t xml:space="preserve"> should </w:t>
      </w:r>
      <w:r w:rsidR="00F60C20">
        <w:t>supplement</w:t>
      </w:r>
      <w:r w:rsidR="00C501C3">
        <w:t xml:space="preserve"> </w:t>
      </w:r>
      <w:r w:rsidR="0002401C">
        <w:t>this position through</w:t>
      </w:r>
      <w:r w:rsidR="00EA5CFE" w:rsidRPr="009D15EC">
        <w:t xml:space="preserve"> operational experience where available</w:t>
      </w:r>
      <w:r w:rsidR="00433E13">
        <w:t xml:space="preserve">.  </w:t>
      </w:r>
      <w:r w:rsidR="00F74639">
        <w:t xml:space="preserve">Details </w:t>
      </w:r>
      <w:r w:rsidR="00EA5CFE" w:rsidRPr="009D15EC">
        <w:t>should be recorded within the AMS, and early reviews should be considered</w:t>
      </w:r>
      <w:r w:rsidR="00433E13">
        <w:t xml:space="preserve">.  </w:t>
      </w:r>
      <w:r w:rsidR="00966E41" w:rsidRPr="00917CBA">
        <w:t>[5] [7] [8]</w:t>
      </w:r>
    </w:p>
    <w:p w14:paraId="0F4E4CB4" w14:textId="77777777" w:rsidR="00067FFB" w:rsidRDefault="00067FFB" w:rsidP="0002401C">
      <w:pPr>
        <w:pStyle w:val="TSHeadingNumbered111"/>
        <w:numPr>
          <w:ilvl w:val="0"/>
          <w:numId w:val="5"/>
        </w:numPr>
        <w:jc w:val="both"/>
      </w:pPr>
      <w:r>
        <w:t>The AMS</w:t>
      </w:r>
      <w:r w:rsidR="003933D9" w:rsidRPr="009D15EC">
        <w:t xml:space="preserve"> should</w:t>
      </w:r>
      <w:r w:rsidR="00FC4846" w:rsidRPr="009D15EC">
        <w:t xml:space="preserve"> be unambiguous</w:t>
      </w:r>
      <w:r>
        <w:t>, providing details of</w:t>
      </w:r>
      <w:r w:rsidR="0002401C" w:rsidRPr="0002401C">
        <w:t xml:space="preserve"> </w:t>
      </w:r>
      <w:r w:rsidR="00F60C20">
        <w:t xml:space="preserve">Identified </w:t>
      </w:r>
      <w:r w:rsidR="00BE14AF">
        <w:t>A</w:t>
      </w:r>
      <w:r w:rsidR="00F60C20" w:rsidRPr="0002401C">
        <w:t>sset’s</w:t>
      </w:r>
      <w:r w:rsidR="0002401C" w:rsidRPr="0002401C">
        <w:t xml:space="preserve"> </w:t>
      </w:r>
      <w:r>
        <w:t xml:space="preserve">location, ownership and current </w:t>
      </w:r>
      <w:r w:rsidR="003933D9" w:rsidRPr="009D15EC">
        <w:t xml:space="preserve">condition of </w:t>
      </w:r>
      <w:r>
        <w:t xml:space="preserve">the </w:t>
      </w:r>
      <w:r w:rsidR="000A674F">
        <w:t>Identified Assets</w:t>
      </w:r>
      <w:r w:rsidR="00433E13">
        <w:t xml:space="preserve">.  </w:t>
      </w:r>
      <w:r>
        <w:t>Dates of the previous and next review period should be recorded.</w:t>
      </w:r>
    </w:p>
    <w:p w14:paraId="49E16018" w14:textId="77777777" w:rsidR="008027E2" w:rsidRPr="009D15EC" w:rsidRDefault="00FA5B1F" w:rsidP="000C16CF">
      <w:pPr>
        <w:pStyle w:val="TSHeadingNumbered111"/>
        <w:numPr>
          <w:ilvl w:val="0"/>
          <w:numId w:val="5"/>
        </w:numPr>
        <w:jc w:val="both"/>
      </w:pPr>
      <w:r w:rsidRPr="009D15EC">
        <w:t>A</w:t>
      </w:r>
      <w:r w:rsidR="003B44F1">
        <w:t xml:space="preserve">n appropriate </w:t>
      </w:r>
      <w:r w:rsidR="003933D9" w:rsidRPr="009D15EC">
        <w:t xml:space="preserve">programme of self-assessments and peer reviews </w:t>
      </w:r>
      <w:r w:rsidRPr="009D15EC">
        <w:t xml:space="preserve">should be </w:t>
      </w:r>
      <w:r w:rsidR="003933D9" w:rsidRPr="009D15EC">
        <w:t>conducted to maintain confidence</w:t>
      </w:r>
      <w:r w:rsidR="00C3458F">
        <w:t xml:space="preserve"> in the </w:t>
      </w:r>
      <w:r w:rsidR="008F1E34">
        <w:t xml:space="preserve">effectiveness of the </w:t>
      </w:r>
      <w:r w:rsidR="00C3458F">
        <w:t>AMS</w:t>
      </w:r>
      <w:r w:rsidR="00433E13">
        <w:t xml:space="preserve">.  </w:t>
      </w:r>
      <w:r w:rsidR="00804D37" w:rsidRPr="009D15EC">
        <w:t>Where possible</w:t>
      </w:r>
      <w:r w:rsidR="00060856">
        <w:t>,</w:t>
      </w:r>
      <w:r w:rsidR="00804D37" w:rsidRPr="009D15EC">
        <w:t xml:space="preserve"> this should be based on </w:t>
      </w:r>
      <w:r w:rsidR="00027CDB" w:rsidRPr="009D15EC">
        <w:t xml:space="preserve">information and intelligence gathered from </w:t>
      </w:r>
      <w:r w:rsidR="00804D37" w:rsidRPr="009D15EC">
        <w:t>EIM</w:t>
      </w:r>
      <w:r w:rsidR="00EA5CFE" w:rsidRPr="009D15EC">
        <w:t>&amp;</w:t>
      </w:r>
      <w:r w:rsidR="00027CDB" w:rsidRPr="009D15EC">
        <w:t>T</w:t>
      </w:r>
      <w:r w:rsidR="00433E13">
        <w:t xml:space="preserve">.  </w:t>
      </w:r>
      <w:r w:rsidR="00027CDB" w:rsidRPr="009D15EC">
        <w:t xml:space="preserve">Where this is not practicable, </w:t>
      </w:r>
      <w:r w:rsidR="00804D37" w:rsidRPr="009D15EC">
        <w:t>engineering judgment should be applied</w:t>
      </w:r>
      <w:r w:rsidRPr="009D15EC">
        <w:t xml:space="preserve"> based on operational experience</w:t>
      </w:r>
      <w:r w:rsidR="00433E13">
        <w:t xml:space="preserve">.  </w:t>
      </w:r>
      <w:r w:rsidR="00966E41" w:rsidRPr="00917CBA">
        <w:t>[7]</w:t>
      </w:r>
    </w:p>
    <w:p w14:paraId="6630563A" w14:textId="77777777" w:rsidR="0088374A" w:rsidRDefault="00027CDB" w:rsidP="00027CDB">
      <w:pPr>
        <w:pStyle w:val="TSHeadingNumbered111"/>
        <w:numPr>
          <w:ilvl w:val="0"/>
          <w:numId w:val="5"/>
        </w:numPr>
        <w:jc w:val="both"/>
      </w:pPr>
      <w:r w:rsidRPr="009D15EC">
        <w:t>AM</w:t>
      </w:r>
      <w:r w:rsidR="00576E97" w:rsidRPr="009D15EC">
        <w:t>S</w:t>
      </w:r>
      <w:r w:rsidRPr="009D15EC">
        <w:t xml:space="preserve"> strategies and plans should hold sufficient levels of detail relating to resource requirements</w:t>
      </w:r>
      <w:r w:rsidR="00BE14AF">
        <w:t xml:space="preserve"> </w:t>
      </w:r>
      <w:r w:rsidRPr="009D15EC">
        <w:t xml:space="preserve">necessary to successfully deliver the </w:t>
      </w:r>
      <w:r w:rsidR="00F60C20" w:rsidRPr="009D15EC">
        <w:t>activity</w:t>
      </w:r>
      <w:r w:rsidR="00F60C20" w:rsidRPr="00917CBA">
        <w:t xml:space="preserve"> [</w:t>
      </w:r>
      <w:r w:rsidR="00966E41" w:rsidRPr="00917CBA">
        <w:t>5] [6] [7]</w:t>
      </w:r>
      <w:r w:rsidR="009C59DA" w:rsidRPr="002947CA">
        <w:t>.</w:t>
      </w:r>
    </w:p>
    <w:p w14:paraId="6768E348" w14:textId="77777777" w:rsidR="00D40929" w:rsidRPr="009D15EC" w:rsidRDefault="009C59DA" w:rsidP="00027CDB">
      <w:pPr>
        <w:pStyle w:val="TSHeadingNumbered111"/>
        <w:numPr>
          <w:ilvl w:val="0"/>
          <w:numId w:val="5"/>
        </w:numPr>
        <w:jc w:val="both"/>
      </w:pPr>
      <w:r>
        <w:t xml:space="preserve"> Ac</w:t>
      </w:r>
      <w:r w:rsidR="00410E59" w:rsidRPr="009C59DA">
        <w:t xml:space="preserve">tivities should take </w:t>
      </w:r>
      <w:r>
        <w:t xml:space="preserve">specific </w:t>
      </w:r>
      <w:r w:rsidR="00410E59" w:rsidRPr="009C59DA">
        <w:t xml:space="preserve">account of </w:t>
      </w:r>
      <w:r>
        <w:t>whole-of-life risks. This</w:t>
      </w:r>
      <w:r w:rsidR="0088374A">
        <w:t xml:space="preserve"> should include</w:t>
      </w:r>
      <w:r>
        <w:t xml:space="preserve"> </w:t>
      </w:r>
      <w:r w:rsidR="007803B4">
        <w:t xml:space="preserve">consideration and identification of </w:t>
      </w:r>
      <w:r w:rsidR="00D15D6B" w:rsidRPr="009C59DA">
        <w:t>long</w:t>
      </w:r>
      <w:r w:rsidR="00D15D6B">
        <w:rPr>
          <w:vertAlign w:val="superscript"/>
        </w:rPr>
        <w:t xml:space="preserve"> </w:t>
      </w:r>
      <w:r w:rsidR="00410E59">
        <w:t xml:space="preserve">term supply chain requirements. </w:t>
      </w:r>
      <w:r w:rsidR="0088374A">
        <w:t>I</w:t>
      </w:r>
      <w:r w:rsidR="00410E59">
        <w:t xml:space="preserve">dentification of alternate and </w:t>
      </w:r>
      <w:r w:rsidR="00C3458F">
        <w:t xml:space="preserve">diverse </w:t>
      </w:r>
      <w:r w:rsidR="00410E59">
        <w:t xml:space="preserve">suppliers of services </w:t>
      </w:r>
      <w:r w:rsidR="0088374A">
        <w:t>and</w:t>
      </w:r>
      <w:r w:rsidR="007803B4">
        <w:t xml:space="preserve">/or </w:t>
      </w:r>
      <w:r w:rsidR="0088374A">
        <w:t>equipment should be included</w:t>
      </w:r>
      <w:r w:rsidR="00410E59">
        <w:t xml:space="preserve">. Suitable funding should be identified and </w:t>
      </w:r>
      <w:r w:rsidR="0088374A">
        <w:t xml:space="preserve">secured to deliver </w:t>
      </w:r>
      <w:r w:rsidR="00373FA6">
        <w:t>this.</w:t>
      </w:r>
    </w:p>
    <w:p w14:paraId="3DE436CB" w14:textId="77777777" w:rsidR="00027CDB" w:rsidRPr="00903BF7" w:rsidRDefault="00D40929" w:rsidP="00027CDB">
      <w:pPr>
        <w:pStyle w:val="TSHeadingNumbered111"/>
        <w:numPr>
          <w:ilvl w:val="0"/>
          <w:numId w:val="5"/>
        </w:numPr>
        <w:jc w:val="both"/>
      </w:pPr>
      <w:r w:rsidRPr="009D15EC">
        <w:t xml:space="preserve">Changes or re-prioritisation of </w:t>
      </w:r>
      <w:r w:rsidR="00410E59">
        <w:t xml:space="preserve">part, or all </w:t>
      </w:r>
      <w:r w:rsidR="00C3458F">
        <w:t xml:space="preserve">of the AMS </w:t>
      </w:r>
      <w:r w:rsidRPr="009D15EC">
        <w:t xml:space="preserve">resource allocation </w:t>
      </w:r>
      <w:r w:rsidR="00C3458F">
        <w:t xml:space="preserve">(people, money &amp; time) </w:t>
      </w:r>
      <w:r w:rsidRPr="009D15EC">
        <w:t>should be recorded with clear justification for the decision</w:t>
      </w:r>
      <w:r w:rsidR="00433E13">
        <w:t xml:space="preserve">.  </w:t>
      </w:r>
      <w:r w:rsidR="00711328" w:rsidRPr="00917CBA">
        <w:t>[5] [6] [7]</w:t>
      </w:r>
    </w:p>
    <w:p w14:paraId="7716EA53" w14:textId="77777777" w:rsidR="00E83078" w:rsidRPr="009D15EC" w:rsidRDefault="00D40929" w:rsidP="00D40929">
      <w:pPr>
        <w:pStyle w:val="TSHeadingNumbered11"/>
      </w:pPr>
      <w:r w:rsidRPr="009D15EC">
        <w:t>Implementation &amp; Operation</w:t>
      </w:r>
    </w:p>
    <w:p w14:paraId="45287786" w14:textId="77777777" w:rsidR="00F6351D" w:rsidRPr="009D15EC" w:rsidRDefault="00D22EF5" w:rsidP="00AB454C">
      <w:pPr>
        <w:pStyle w:val="TSHeadingNumbered111"/>
        <w:numPr>
          <w:ilvl w:val="0"/>
          <w:numId w:val="0"/>
        </w:numPr>
        <w:pBdr>
          <w:top w:val="single" w:sz="4" w:space="1" w:color="auto"/>
          <w:left w:val="single" w:sz="4" w:space="4" w:color="auto"/>
          <w:bottom w:val="single" w:sz="4" w:space="1" w:color="auto"/>
          <w:right w:val="single" w:sz="4" w:space="4" w:color="auto"/>
        </w:pBdr>
        <w:ind w:left="720"/>
        <w:jc w:val="both"/>
      </w:pPr>
      <w:r>
        <w:rPr>
          <w:b/>
        </w:rPr>
        <w:t>AM</w:t>
      </w:r>
      <w:r w:rsidR="002C0771" w:rsidRPr="001B4C29">
        <w:rPr>
          <w:b/>
        </w:rPr>
        <w:t>6</w:t>
      </w:r>
      <w:r w:rsidR="00F6351D" w:rsidRPr="009D15EC">
        <w:t xml:space="preserve">: The </w:t>
      </w:r>
      <w:r w:rsidR="005F01BB">
        <w:t>asset m</w:t>
      </w:r>
      <w:r w:rsidR="00FC619F">
        <w:t>anagement</w:t>
      </w:r>
      <w:r w:rsidR="00BB3C2D" w:rsidRPr="009D15EC">
        <w:t xml:space="preserve"> </w:t>
      </w:r>
      <w:r w:rsidR="005F01BB">
        <w:t>s</w:t>
      </w:r>
      <w:r w:rsidR="005E6E52" w:rsidRPr="009D15EC">
        <w:t>ystem</w:t>
      </w:r>
      <w:r w:rsidR="00F6351D" w:rsidRPr="009D15EC">
        <w:t xml:space="preserve"> should contain </w:t>
      </w:r>
      <w:r w:rsidR="008242D8" w:rsidRPr="009D15EC">
        <w:t xml:space="preserve">details of </w:t>
      </w:r>
      <w:r w:rsidR="001E098C">
        <w:t xml:space="preserve">the </w:t>
      </w:r>
      <w:r w:rsidR="005F01BB">
        <w:t>safety, security and e</w:t>
      </w:r>
      <w:r w:rsidR="008242D8" w:rsidRPr="009D15EC">
        <w:t>nvironmenta</w:t>
      </w:r>
      <w:r w:rsidR="006B4C53">
        <w:t xml:space="preserve">l functions of </w:t>
      </w:r>
      <w:r w:rsidR="002D67FD">
        <w:t xml:space="preserve">the </w:t>
      </w:r>
      <w:r w:rsidR="000A674F">
        <w:t>Identified Assets</w:t>
      </w:r>
      <w:r w:rsidR="008242D8" w:rsidRPr="009D15EC">
        <w:t>.</w:t>
      </w:r>
    </w:p>
    <w:p w14:paraId="3C7E35CF" w14:textId="77777777" w:rsidR="005B4A4D" w:rsidRPr="009D15EC" w:rsidRDefault="008242D8" w:rsidP="00805242">
      <w:pPr>
        <w:pStyle w:val="TSHeadingNumbered111"/>
        <w:numPr>
          <w:ilvl w:val="0"/>
          <w:numId w:val="5"/>
        </w:numPr>
        <w:jc w:val="both"/>
      </w:pPr>
      <w:r w:rsidRPr="009D15EC">
        <w:t xml:space="preserve">There should be appropriate levels of detail recorded within the AMS outlining </w:t>
      </w:r>
      <w:r w:rsidR="00805242">
        <w:t xml:space="preserve">the </w:t>
      </w:r>
      <w:r w:rsidR="00805242" w:rsidRPr="009D15EC">
        <w:t>operation</w:t>
      </w:r>
      <w:r w:rsidR="00805242">
        <w:t xml:space="preserve"> of </w:t>
      </w:r>
      <w:r w:rsidR="000A674F">
        <w:t>Identified Assets</w:t>
      </w:r>
      <w:r w:rsidRPr="009D15EC">
        <w:t xml:space="preserve"> under both normal and fault conditions</w:t>
      </w:r>
      <w:r w:rsidR="00433E13">
        <w:t xml:space="preserve">.  </w:t>
      </w:r>
      <w:r w:rsidR="001242F1" w:rsidRPr="009D15EC">
        <w:t>Prioritisation should be based on a</w:t>
      </w:r>
      <w:r w:rsidRPr="009D15EC">
        <w:t xml:space="preserve"> risk informed approach</w:t>
      </w:r>
      <w:r w:rsidR="00433E13">
        <w:t xml:space="preserve">.  </w:t>
      </w:r>
      <w:r w:rsidR="00C545FB">
        <w:t>This should recognise</w:t>
      </w:r>
      <w:r w:rsidRPr="009D15EC">
        <w:t xml:space="preserve"> unmitigated consequences</w:t>
      </w:r>
      <w:r w:rsidR="004C2D32">
        <w:t xml:space="preserve"> relating to the </w:t>
      </w:r>
      <w:r w:rsidR="00805242">
        <w:t>function</w:t>
      </w:r>
      <w:r w:rsidR="004C2D32">
        <w:t xml:space="preserve"> of the </w:t>
      </w:r>
      <w:r w:rsidR="000A674F">
        <w:t>Identified Assets</w:t>
      </w:r>
      <w:r w:rsidR="00433E13">
        <w:t xml:space="preserve">. </w:t>
      </w:r>
      <w:r w:rsidRPr="00917CBA">
        <w:t>[2]</w:t>
      </w:r>
      <w:r w:rsidRPr="004C2D32">
        <w:rPr>
          <w:vertAlign w:val="superscript"/>
        </w:rPr>
        <w:t xml:space="preserve"> </w:t>
      </w:r>
    </w:p>
    <w:p w14:paraId="50E30FC7" w14:textId="77777777" w:rsidR="00B774FD" w:rsidRPr="009D15EC" w:rsidRDefault="008F1E34" w:rsidP="00805242">
      <w:pPr>
        <w:pStyle w:val="TSHeadingNumbered111"/>
        <w:numPr>
          <w:ilvl w:val="0"/>
          <w:numId w:val="5"/>
        </w:numPr>
        <w:jc w:val="both"/>
      </w:pPr>
      <w:r>
        <w:t xml:space="preserve">Demonstration of </w:t>
      </w:r>
      <w:r w:rsidR="001E098C">
        <w:t>a</w:t>
      </w:r>
      <w:r>
        <w:t xml:space="preserve"> </w:t>
      </w:r>
      <w:r w:rsidR="007D45E3">
        <w:t>Identified</w:t>
      </w:r>
      <w:r w:rsidR="00332B7E">
        <w:t xml:space="preserve"> A</w:t>
      </w:r>
      <w:r w:rsidR="00805242" w:rsidRPr="00805242">
        <w:t>sset</w:t>
      </w:r>
      <w:r w:rsidR="009D565B">
        <w:t>’</w:t>
      </w:r>
      <w:r w:rsidR="00805242" w:rsidRPr="00805242">
        <w:t>s</w:t>
      </w:r>
      <w:r>
        <w:t xml:space="preserve"> ability to deliver its functional requirement</w:t>
      </w:r>
      <w:r w:rsidR="00A87A03" w:rsidRPr="009D15EC">
        <w:t xml:space="preserve"> should</w:t>
      </w:r>
      <w:r>
        <w:t xml:space="preserve">, </w:t>
      </w:r>
      <w:r w:rsidR="005165DA" w:rsidRPr="009D15EC">
        <w:t>so far as is reasonably practicable</w:t>
      </w:r>
      <w:r>
        <w:t xml:space="preserve">, </w:t>
      </w:r>
      <w:r w:rsidR="00A87A03" w:rsidRPr="009D15EC">
        <w:t>be undertaken</w:t>
      </w:r>
      <w:r w:rsidR="00B774FD" w:rsidRPr="009D15EC">
        <w:t xml:space="preserve"> according to</w:t>
      </w:r>
      <w:r w:rsidR="00A87A03" w:rsidRPr="009D15EC">
        <w:t xml:space="preserve"> </w:t>
      </w:r>
      <w:r w:rsidR="00BE14AF">
        <w:t>written arrangements</w:t>
      </w:r>
      <w:r w:rsidR="00B774FD" w:rsidRPr="009D15EC">
        <w:t xml:space="preserve"> and technical </w:t>
      </w:r>
      <w:r w:rsidR="00D40929" w:rsidRPr="009D15EC">
        <w:t>instructions</w:t>
      </w:r>
      <w:r w:rsidR="00433E13">
        <w:t>.</w:t>
      </w:r>
      <w:r w:rsidR="00625C97">
        <w:t xml:space="preserve"> These should be undertaken commensurate with safety significance and consequence in a proportionate manner. </w:t>
      </w:r>
      <w:r w:rsidR="00433E13">
        <w:t xml:space="preserve"> </w:t>
      </w:r>
      <w:r w:rsidR="00A87A03" w:rsidRPr="009D15EC">
        <w:t xml:space="preserve">Reviews of these instructions should highlight practices that are detrimental </w:t>
      </w:r>
      <w:r w:rsidR="001E098C">
        <w:t xml:space="preserve">or </w:t>
      </w:r>
      <w:r w:rsidR="001E098C" w:rsidRPr="009D15EC">
        <w:t>beneficial</w:t>
      </w:r>
      <w:r w:rsidR="00A87A03" w:rsidRPr="009D15EC">
        <w:t xml:space="preserve"> to the condition of the </w:t>
      </w:r>
      <w:r w:rsidR="000A674F">
        <w:t>Identified Assets</w:t>
      </w:r>
      <w:r w:rsidR="00433E13">
        <w:t xml:space="preserve">.  </w:t>
      </w:r>
      <w:r w:rsidR="00356295" w:rsidRPr="00917CBA">
        <w:t>[7]</w:t>
      </w:r>
    </w:p>
    <w:p w14:paraId="31E12D5F" w14:textId="77777777" w:rsidR="00F147D8" w:rsidRPr="009D15EC" w:rsidRDefault="005165DA" w:rsidP="000C16CF">
      <w:pPr>
        <w:pStyle w:val="TSHeadingNumbered111"/>
        <w:numPr>
          <w:ilvl w:val="0"/>
          <w:numId w:val="5"/>
        </w:numPr>
        <w:jc w:val="both"/>
      </w:pPr>
      <w:r w:rsidRPr="009D15EC">
        <w:t xml:space="preserve">Where </w:t>
      </w:r>
      <w:proofErr w:type="spellStart"/>
      <w:r w:rsidRPr="009D15EC">
        <w:t>SSoE</w:t>
      </w:r>
      <w:proofErr w:type="spellEnd"/>
      <w:r w:rsidR="00F147D8" w:rsidRPr="009D15EC">
        <w:t xml:space="preserve"> functions are delivered or supported by human </w:t>
      </w:r>
      <w:r w:rsidR="00135550" w:rsidRPr="009D15EC">
        <w:t>inter</w:t>
      </w:r>
      <w:r w:rsidR="00F147D8" w:rsidRPr="009D15EC">
        <w:t>action</w:t>
      </w:r>
      <w:r w:rsidR="00135550" w:rsidRPr="009D15EC">
        <w:t>s</w:t>
      </w:r>
      <w:r w:rsidR="00F147D8" w:rsidRPr="009D15EC">
        <w:t xml:space="preserve">, these interfaces should be </w:t>
      </w:r>
      <w:r w:rsidR="00135550" w:rsidRPr="009D15EC">
        <w:t xml:space="preserve">specifically </w:t>
      </w:r>
      <w:r w:rsidR="00F147D8" w:rsidRPr="009D15EC">
        <w:t>identified</w:t>
      </w:r>
      <w:r w:rsidR="00433E13">
        <w:t xml:space="preserve">.  </w:t>
      </w:r>
      <w:r w:rsidR="00C545FB">
        <w:t>Associated r</w:t>
      </w:r>
      <w:r w:rsidR="00F147D8" w:rsidRPr="009D15EC">
        <w:t>is</w:t>
      </w:r>
      <w:r w:rsidR="00135550" w:rsidRPr="009D15EC">
        <w:t xml:space="preserve">ks </w:t>
      </w:r>
      <w:r w:rsidR="00C545FB">
        <w:t xml:space="preserve">should </w:t>
      </w:r>
      <w:r w:rsidR="00060856">
        <w:t xml:space="preserve">be </w:t>
      </w:r>
      <w:r w:rsidR="00C545FB" w:rsidRPr="009D15EC">
        <w:t>understood</w:t>
      </w:r>
      <w:r w:rsidR="00C545FB">
        <w:t xml:space="preserve">, </w:t>
      </w:r>
      <w:r w:rsidR="00060856">
        <w:t xml:space="preserve">and </w:t>
      </w:r>
      <w:r w:rsidR="00C545FB">
        <w:t>assessed</w:t>
      </w:r>
      <w:r w:rsidR="00433E13">
        <w:t xml:space="preserve">. </w:t>
      </w:r>
      <w:r w:rsidR="00433E13" w:rsidRPr="009C19FA">
        <w:t xml:space="preserve"> </w:t>
      </w:r>
      <w:r w:rsidR="00FE6BD1" w:rsidRPr="00917CBA">
        <w:t>[7]</w:t>
      </w:r>
    </w:p>
    <w:p w14:paraId="26965474" w14:textId="77777777" w:rsidR="00B774FD" w:rsidRPr="009D15EC" w:rsidRDefault="00F147D8" w:rsidP="00805242">
      <w:pPr>
        <w:pStyle w:val="TSHeadingNumbered111"/>
        <w:numPr>
          <w:ilvl w:val="0"/>
          <w:numId w:val="5"/>
        </w:numPr>
        <w:jc w:val="both"/>
      </w:pPr>
      <w:r w:rsidRPr="009D15EC">
        <w:t>O</w:t>
      </w:r>
      <w:r w:rsidR="00B774FD" w:rsidRPr="009D15EC">
        <w:t xml:space="preserve">perating </w:t>
      </w:r>
      <w:r w:rsidRPr="009D15EC">
        <w:t xml:space="preserve">histories of </w:t>
      </w:r>
      <w:r w:rsidR="000A674F">
        <w:t>Identified Assets</w:t>
      </w:r>
      <w:r w:rsidRPr="009D15EC">
        <w:t xml:space="preserve"> should be reviewed</w:t>
      </w:r>
      <w:r w:rsidR="00135550" w:rsidRPr="009D15EC">
        <w:t xml:space="preserve"> </w:t>
      </w:r>
      <w:r w:rsidR="00805242">
        <w:t xml:space="preserve">by </w:t>
      </w:r>
      <w:r w:rsidR="000F418E">
        <w:t xml:space="preserve">suitably qualified and experienced persons </w:t>
      </w:r>
      <w:r w:rsidR="00135550" w:rsidRPr="009D15EC">
        <w:t xml:space="preserve">in a way that is </w:t>
      </w:r>
      <w:r w:rsidR="00D40929" w:rsidRPr="009D15EC">
        <w:t xml:space="preserve">proportionate to their </w:t>
      </w:r>
      <w:proofErr w:type="spellStart"/>
      <w:r w:rsidR="00D40929" w:rsidRPr="009D15EC">
        <w:t>SSoE</w:t>
      </w:r>
      <w:proofErr w:type="spellEnd"/>
      <w:r w:rsidRPr="009D15EC">
        <w:t xml:space="preserve"> significance</w:t>
      </w:r>
      <w:r w:rsidR="00433E13">
        <w:t xml:space="preserve">.  </w:t>
      </w:r>
      <w:r w:rsidRPr="009D15EC">
        <w:t xml:space="preserve">These reviews should include </w:t>
      </w:r>
      <w:r w:rsidR="00B774FD" w:rsidRPr="009D15EC">
        <w:t>transient records</w:t>
      </w:r>
      <w:r w:rsidR="007828B3" w:rsidRPr="009D15EC">
        <w:t xml:space="preserve">, maintenance histories, periods of normal operation and operating experience from similar </w:t>
      </w:r>
      <w:r w:rsidR="000A674F">
        <w:t>Identified Assets</w:t>
      </w:r>
      <w:r w:rsidR="00433E13">
        <w:t xml:space="preserve">. </w:t>
      </w:r>
      <w:r w:rsidR="00805242">
        <w:t>Ideally t</w:t>
      </w:r>
      <w:r w:rsidR="00035D60">
        <w:t>h</w:t>
      </w:r>
      <w:r w:rsidR="00805242">
        <w:t xml:space="preserve">is information should be collated into a database such that information can be used </w:t>
      </w:r>
      <w:r w:rsidR="00035D60">
        <w:t>(e.g. inputs to safety cases or as an aid for processes such as reliability centred maintenance).</w:t>
      </w:r>
      <w:r w:rsidR="00433E13">
        <w:t xml:space="preserve"> </w:t>
      </w:r>
      <w:r w:rsidR="007828B3" w:rsidRPr="009D15EC">
        <w:t xml:space="preserve">This </w:t>
      </w:r>
      <w:r w:rsidR="00CE0785" w:rsidRPr="009D15EC">
        <w:t xml:space="preserve">approach </w:t>
      </w:r>
      <w:r w:rsidR="007828B3" w:rsidRPr="009D15EC">
        <w:t>will accurately reflect the current condition, effectivene</w:t>
      </w:r>
      <w:r w:rsidR="00135550" w:rsidRPr="009D15EC">
        <w:t>ss of AM</w:t>
      </w:r>
      <w:r w:rsidR="00576E97" w:rsidRPr="009D15EC">
        <w:t>S</w:t>
      </w:r>
      <w:r w:rsidR="00135550" w:rsidRPr="009D15EC">
        <w:t xml:space="preserve"> and inform future AM</w:t>
      </w:r>
      <w:r w:rsidR="00BA3661">
        <w:t>S plans</w:t>
      </w:r>
      <w:r w:rsidR="00231C58" w:rsidRPr="009D15EC">
        <w:t xml:space="preserve"> </w:t>
      </w:r>
      <w:r w:rsidR="00231C58" w:rsidRPr="00917CBA">
        <w:t>[5] [6] [7]</w:t>
      </w:r>
    </w:p>
    <w:p w14:paraId="7032AFCB" w14:textId="77777777" w:rsidR="00EE1F3A" w:rsidRPr="009D15EC" w:rsidRDefault="00D22EF5" w:rsidP="00AB454C">
      <w:pPr>
        <w:pStyle w:val="TSHeadingNumbered111"/>
        <w:numPr>
          <w:ilvl w:val="0"/>
          <w:numId w:val="0"/>
        </w:numPr>
        <w:pBdr>
          <w:top w:val="single" w:sz="4" w:space="1" w:color="auto"/>
          <w:left w:val="single" w:sz="4" w:space="4" w:color="auto"/>
          <w:bottom w:val="single" w:sz="4" w:space="1" w:color="auto"/>
          <w:right w:val="single" w:sz="4" w:space="4" w:color="auto"/>
        </w:pBdr>
        <w:ind w:left="720"/>
        <w:jc w:val="both"/>
      </w:pPr>
      <w:r>
        <w:rPr>
          <w:b/>
        </w:rPr>
        <w:t>AM</w:t>
      </w:r>
      <w:r w:rsidR="00EE1F3A" w:rsidRPr="001B4C29">
        <w:rPr>
          <w:b/>
        </w:rPr>
        <w:t>7</w:t>
      </w:r>
      <w:r w:rsidR="00EE1F3A" w:rsidRPr="009D15EC">
        <w:t xml:space="preserve">: The </w:t>
      </w:r>
      <w:r w:rsidR="005F01BB">
        <w:t>asset m</w:t>
      </w:r>
      <w:r w:rsidR="00FC619F">
        <w:t>anagement</w:t>
      </w:r>
      <w:r w:rsidR="00BB3C2D" w:rsidRPr="009D15EC">
        <w:t xml:space="preserve"> </w:t>
      </w:r>
      <w:r w:rsidR="005F01BB">
        <w:t>s</w:t>
      </w:r>
      <w:r w:rsidR="00BB3C2D" w:rsidRPr="009D15EC">
        <w:t>ystem</w:t>
      </w:r>
      <w:r w:rsidR="00EE1F3A" w:rsidRPr="009D15EC">
        <w:t xml:space="preserve"> should ensure that all modifications </w:t>
      </w:r>
      <w:r w:rsidR="001E098C" w:rsidRPr="009D15EC">
        <w:t xml:space="preserve">to </w:t>
      </w:r>
      <w:r w:rsidR="000A674F">
        <w:t>Identified Assets</w:t>
      </w:r>
      <w:r w:rsidR="005E6E52" w:rsidRPr="009D15EC">
        <w:t xml:space="preserve"> </w:t>
      </w:r>
      <w:r w:rsidR="00EE1F3A" w:rsidRPr="009D15EC">
        <w:t xml:space="preserve">are adequately </w:t>
      </w:r>
      <w:r w:rsidR="006853FC">
        <w:t xml:space="preserve">specified and </w:t>
      </w:r>
      <w:r w:rsidR="00EE1F3A" w:rsidRPr="009D15EC">
        <w:t>controlled</w:t>
      </w:r>
      <w:r w:rsidR="00433E13">
        <w:t xml:space="preserve">.  </w:t>
      </w:r>
    </w:p>
    <w:p w14:paraId="638EEDCA" w14:textId="77777777" w:rsidR="00EE1F3A" w:rsidRDefault="00EE1F3A" w:rsidP="0081784A">
      <w:pPr>
        <w:pStyle w:val="TSHeadingNumbered111"/>
        <w:numPr>
          <w:ilvl w:val="0"/>
          <w:numId w:val="5"/>
        </w:numPr>
        <w:jc w:val="both"/>
      </w:pPr>
      <w:r w:rsidRPr="009D15EC">
        <w:t xml:space="preserve">The AMS should </w:t>
      </w:r>
      <w:r w:rsidR="00431DB9">
        <w:t xml:space="preserve">be linked to </w:t>
      </w:r>
      <w:r w:rsidR="0081784A">
        <w:t xml:space="preserve">a </w:t>
      </w:r>
      <w:r w:rsidRPr="009D15EC">
        <w:t xml:space="preserve">process for tracking all </w:t>
      </w:r>
      <w:r w:rsidR="00E138C7">
        <w:t xml:space="preserve">Identified </w:t>
      </w:r>
      <w:r w:rsidR="005F01BB">
        <w:t>A</w:t>
      </w:r>
      <w:r w:rsidR="00431DB9" w:rsidRPr="00431DB9">
        <w:t>sset</w:t>
      </w:r>
      <w:r w:rsidRPr="009D15EC">
        <w:t xml:space="preserve"> modifications</w:t>
      </w:r>
      <w:r w:rsidR="00433E13">
        <w:t xml:space="preserve">.  </w:t>
      </w:r>
      <w:r w:rsidR="00C545FB">
        <w:t>It should include</w:t>
      </w:r>
      <w:r w:rsidRPr="009D15EC">
        <w:t xml:space="preserve"> their </w:t>
      </w:r>
      <w:r w:rsidR="00FD4786">
        <w:t>design</w:t>
      </w:r>
      <w:r w:rsidR="00FD4786" w:rsidRPr="009D15EC">
        <w:t xml:space="preserve"> </w:t>
      </w:r>
      <w:r w:rsidR="00FD4786">
        <w:t xml:space="preserve">function, </w:t>
      </w:r>
      <w:r w:rsidRPr="009D15EC">
        <w:t>operational use, special tools &amp; test equipment</w:t>
      </w:r>
      <w:r w:rsidR="00433E13">
        <w:t xml:space="preserve">.  </w:t>
      </w:r>
      <w:r w:rsidR="00FD4786">
        <w:t xml:space="preserve">Special note should be made to </w:t>
      </w:r>
      <w:r w:rsidRPr="009D15EC">
        <w:t xml:space="preserve">any modification to the interface between </w:t>
      </w:r>
      <w:r w:rsidR="000A674F">
        <w:t>Identified Assets</w:t>
      </w:r>
      <w:r w:rsidR="001E098C" w:rsidRPr="0081784A">
        <w:t>.</w:t>
      </w:r>
      <w:r w:rsidR="00433E13">
        <w:t xml:space="preserve">  </w:t>
      </w:r>
      <w:r w:rsidRPr="009D15EC">
        <w:t xml:space="preserve">Modifications to </w:t>
      </w:r>
      <w:r w:rsidR="000A674F">
        <w:t>Identified Assets</w:t>
      </w:r>
      <w:r w:rsidRPr="009D15EC">
        <w:t xml:space="preserve"> should </w:t>
      </w:r>
      <w:r w:rsidR="008F1E34">
        <w:t xml:space="preserve">include </w:t>
      </w:r>
      <w:r w:rsidRPr="009D15EC">
        <w:t>consider</w:t>
      </w:r>
      <w:r w:rsidR="008F1E34">
        <w:t>ation</w:t>
      </w:r>
      <w:r w:rsidRPr="009D15EC">
        <w:t xml:space="preserve"> </w:t>
      </w:r>
      <w:r w:rsidR="008F1E34">
        <w:t xml:space="preserve">of changes necessary to the </w:t>
      </w:r>
      <w:r w:rsidR="002B27C3" w:rsidRPr="009D15EC">
        <w:t>AMS</w:t>
      </w:r>
      <w:r w:rsidR="008F1E34">
        <w:t xml:space="preserve"> and place appropriate actions to resolve</w:t>
      </w:r>
      <w:r w:rsidR="00433E13">
        <w:t xml:space="preserve">.  </w:t>
      </w:r>
      <w:r w:rsidRPr="009D15EC">
        <w:t>These changes should be assessed within the AMS, with changes to AM</w:t>
      </w:r>
      <w:r w:rsidR="00BA3661">
        <w:t>S</w:t>
      </w:r>
      <w:r w:rsidRPr="009D15EC">
        <w:t xml:space="preserve"> plans (and strategies) if so required</w:t>
      </w:r>
      <w:r w:rsidR="00433E13">
        <w:t xml:space="preserve"> </w:t>
      </w:r>
      <w:r w:rsidR="00356295" w:rsidRPr="00D12CC1">
        <w:t>[</w:t>
      </w:r>
      <w:r w:rsidR="00356295" w:rsidRPr="00917CBA">
        <w:t>5] [7]</w:t>
      </w:r>
      <w:r w:rsidR="00D12CC1">
        <w:t>. Attention should be paid to cumulative effects of modifications and impact these may have holistically.</w:t>
      </w:r>
    </w:p>
    <w:p w14:paraId="7D453FB6" w14:textId="77777777" w:rsidR="00075861" w:rsidRPr="007C5532" w:rsidRDefault="00075861" w:rsidP="0081784A">
      <w:pPr>
        <w:pStyle w:val="TSHeadingNumbered111"/>
        <w:numPr>
          <w:ilvl w:val="0"/>
          <w:numId w:val="5"/>
        </w:numPr>
        <w:jc w:val="both"/>
      </w:pPr>
      <w:r w:rsidRPr="007C5532">
        <w:t xml:space="preserve">Identified Assets should be subject to configuration control </w:t>
      </w:r>
      <w:r w:rsidR="00675B96">
        <w:t xml:space="preserve">arrangements </w:t>
      </w:r>
      <w:r w:rsidRPr="007C5532">
        <w:t>throughout the</w:t>
      </w:r>
      <w:r w:rsidR="007C5532" w:rsidRPr="007C5532">
        <w:t>ir</w:t>
      </w:r>
      <w:r w:rsidRPr="007C5532">
        <w:t xml:space="preserve"> lifetime </w:t>
      </w:r>
      <w:r w:rsidR="007C5532" w:rsidRPr="007C5532">
        <w:t>in</w:t>
      </w:r>
      <w:r w:rsidRPr="007C5532">
        <w:t xml:space="preserve"> the plant</w:t>
      </w:r>
      <w:r w:rsidR="007C5532" w:rsidRPr="007C5532">
        <w:t xml:space="preserve"> application, to ensure compliance with the operating limits and conditions derived from the safety case</w:t>
      </w:r>
      <w:r w:rsidRPr="007C5532">
        <w:t xml:space="preserve"> [15]</w:t>
      </w:r>
      <w:r w:rsidR="007C5532" w:rsidRPr="007C5532">
        <w:t xml:space="preserve">.  </w:t>
      </w:r>
      <w:r w:rsidR="007C5532" w:rsidRPr="00D0114E">
        <w:rPr>
          <w:bCs/>
          <w:iCs/>
        </w:rPr>
        <w:t>According to IAEA definition [16</w:t>
      </w:r>
      <w:r w:rsidR="00675B96" w:rsidRPr="00675B96">
        <w:rPr>
          <w:bCs/>
          <w:iCs/>
        </w:rPr>
        <w:t xml:space="preserve">], configuration management is </w:t>
      </w:r>
      <w:r w:rsidR="007C5532" w:rsidRPr="00D0114E">
        <w:rPr>
          <w:bCs/>
          <w:iCs/>
        </w:rPr>
        <w:t>the process of identifying and documenting the characteristics of a facility’s structures, systems and components (including computer</w:t>
      </w:r>
      <w:r w:rsidR="00675B96">
        <w:rPr>
          <w:bCs/>
          <w:iCs/>
        </w:rPr>
        <w:t>-based</w:t>
      </w:r>
      <w:r w:rsidR="007C5532" w:rsidRPr="00D0114E">
        <w:rPr>
          <w:bCs/>
          <w:iCs/>
        </w:rPr>
        <w:t xml:space="preserve"> systems and software), and of ensuring that changes to these characteristics are properly developed, assessed, approved, issued, implemented, verified, recorded and incorporated into the facility documentation.</w:t>
      </w:r>
    </w:p>
    <w:p w14:paraId="64AA2772" w14:textId="77777777" w:rsidR="00EE1F3A" w:rsidRPr="009D15EC" w:rsidRDefault="003B6367" w:rsidP="00EE1F3A">
      <w:pPr>
        <w:pStyle w:val="TSHeadingNumbered111"/>
        <w:numPr>
          <w:ilvl w:val="0"/>
          <w:numId w:val="5"/>
        </w:numPr>
        <w:jc w:val="both"/>
      </w:pPr>
      <w:r>
        <w:t xml:space="preserve"> The</w:t>
      </w:r>
      <w:r w:rsidR="00EE1F3A" w:rsidRPr="009D15EC">
        <w:t xml:space="preserve"> </w:t>
      </w:r>
      <w:r w:rsidR="00332B7E">
        <w:t>Identified A</w:t>
      </w:r>
      <w:r w:rsidR="009C2239">
        <w:t>sset</w:t>
      </w:r>
      <w:r w:rsidR="001E098C">
        <w:t xml:space="preserve"> </w:t>
      </w:r>
      <w:r w:rsidR="001E098C" w:rsidRPr="009D15EC">
        <w:t>AMS</w:t>
      </w:r>
      <w:r w:rsidR="00576E97" w:rsidRPr="009D15EC">
        <w:t xml:space="preserve"> plans</w:t>
      </w:r>
      <w:r w:rsidR="00FA6938">
        <w:t xml:space="preserve"> should be reviewed </w:t>
      </w:r>
      <w:r w:rsidR="008F1E34">
        <w:t xml:space="preserve">by suitably qualified and experienced individuals </w:t>
      </w:r>
      <w:r w:rsidR="00FA6938">
        <w:t>to</w:t>
      </w:r>
      <w:r w:rsidR="00EE1F3A" w:rsidRPr="009D15EC">
        <w:t xml:space="preserve"> consider changes to documentation, operations </w:t>
      </w:r>
      <w:r w:rsidR="008F1E34">
        <w:t xml:space="preserve">and / </w:t>
      </w:r>
      <w:r w:rsidR="00EE1F3A" w:rsidRPr="009D15EC">
        <w:t>or physical plant</w:t>
      </w:r>
      <w:r w:rsidR="00433E13">
        <w:t xml:space="preserve">.  </w:t>
      </w:r>
      <w:r w:rsidR="00625C97">
        <w:t xml:space="preserve">Periodicity of the reviews should be defined and undertaken on a risk informed approach based on safety significance and consequences. </w:t>
      </w:r>
      <w:r w:rsidR="00EE1F3A" w:rsidRPr="009D15EC">
        <w:t>These reviews and any subsequent changes should be adequately recorded and managed</w:t>
      </w:r>
      <w:r w:rsidR="00433E13">
        <w:t xml:space="preserve">.  </w:t>
      </w:r>
      <w:r w:rsidR="00356295" w:rsidRPr="00917CBA">
        <w:t>[5] [7]</w:t>
      </w:r>
    </w:p>
    <w:p w14:paraId="6EB823D7" w14:textId="77777777" w:rsidR="00EE1F3A" w:rsidRPr="009D15EC" w:rsidRDefault="00EE1F3A" w:rsidP="0081784A">
      <w:pPr>
        <w:pStyle w:val="TSHeadingNumbered111"/>
        <w:numPr>
          <w:ilvl w:val="0"/>
          <w:numId w:val="5"/>
        </w:numPr>
        <w:jc w:val="both"/>
      </w:pPr>
      <w:r w:rsidRPr="009D15EC">
        <w:t xml:space="preserve">The requirement to modify an </w:t>
      </w:r>
      <w:r w:rsidR="000A674F">
        <w:t>Identified Assets</w:t>
      </w:r>
      <w:r w:rsidR="005F01BB">
        <w:t xml:space="preserve">, its </w:t>
      </w:r>
      <w:proofErr w:type="spellStart"/>
      <w:r w:rsidR="005F01BB">
        <w:t>SSoE</w:t>
      </w:r>
      <w:proofErr w:type="spellEnd"/>
      <w:r w:rsidR="005F01BB">
        <w:t xml:space="preserve"> function or o</w:t>
      </w:r>
      <w:r w:rsidRPr="009D15EC">
        <w:t>peration may be prompted by any of the following</w:t>
      </w:r>
      <w:r w:rsidR="00FA6938">
        <w:t>, the most common reasons being</w:t>
      </w:r>
      <w:r w:rsidRPr="009D15EC">
        <w:t xml:space="preserve">: </w:t>
      </w:r>
      <w:r w:rsidR="00FE6BD1" w:rsidRPr="009D15EC">
        <w:rPr>
          <w:vertAlign w:val="superscript"/>
        </w:rPr>
        <w:t>[5][7]</w:t>
      </w:r>
    </w:p>
    <w:p w14:paraId="2943F0BC" w14:textId="77777777" w:rsidR="00EE1F3A" w:rsidRPr="009D15EC" w:rsidRDefault="005F01BB" w:rsidP="00EE1F3A">
      <w:pPr>
        <w:pStyle w:val="TSHeadingNumbered111"/>
        <w:numPr>
          <w:ilvl w:val="1"/>
          <w:numId w:val="5"/>
        </w:numPr>
        <w:jc w:val="both"/>
      </w:pPr>
      <w:r>
        <w:t>LC15 p</w:t>
      </w:r>
      <w:r w:rsidR="00EE1F3A" w:rsidRPr="009D15EC">
        <w:t xml:space="preserve">eriodic </w:t>
      </w:r>
      <w:r w:rsidR="00BE14AF">
        <w:t>review</w:t>
      </w:r>
      <w:r>
        <w:t>;</w:t>
      </w:r>
    </w:p>
    <w:p w14:paraId="2E771911" w14:textId="77777777" w:rsidR="00EE1F3A" w:rsidRPr="009D15EC" w:rsidRDefault="005F01BB" w:rsidP="00EE1F3A">
      <w:pPr>
        <w:pStyle w:val="TSHeadingNumbered111"/>
        <w:numPr>
          <w:ilvl w:val="1"/>
          <w:numId w:val="5"/>
        </w:numPr>
        <w:jc w:val="both"/>
      </w:pPr>
      <w:r>
        <w:t>Relevant g</w:t>
      </w:r>
      <w:r w:rsidR="00EE1F3A" w:rsidRPr="009D15EC">
        <w:t xml:space="preserve">ood </w:t>
      </w:r>
      <w:r>
        <w:t>practice;</w:t>
      </w:r>
    </w:p>
    <w:p w14:paraId="2A096091" w14:textId="77777777" w:rsidR="005F01BB" w:rsidRDefault="005F01BB" w:rsidP="00EE1F3A">
      <w:pPr>
        <w:pStyle w:val="TSHeadingNumbered111"/>
        <w:numPr>
          <w:ilvl w:val="1"/>
          <w:numId w:val="5"/>
        </w:numPr>
        <w:jc w:val="both"/>
      </w:pPr>
      <w:r>
        <w:t>Changes in o</w:t>
      </w:r>
      <w:r w:rsidR="00EE1F3A" w:rsidRPr="009D15EC">
        <w:t xml:space="preserve">perational </w:t>
      </w:r>
      <w:r>
        <w:t>requirements</w:t>
      </w:r>
    </w:p>
    <w:p w14:paraId="44CA67C7" w14:textId="77777777" w:rsidR="00EE1F3A" w:rsidRPr="009D15EC" w:rsidRDefault="005F01BB" w:rsidP="00EE1F3A">
      <w:pPr>
        <w:pStyle w:val="TSHeadingNumbered111"/>
        <w:numPr>
          <w:ilvl w:val="1"/>
          <w:numId w:val="5"/>
        </w:numPr>
        <w:jc w:val="both"/>
      </w:pPr>
      <w:r>
        <w:t>E</w:t>
      </w:r>
      <w:r w:rsidR="00A6212D">
        <w:t>nvironment</w:t>
      </w:r>
      <w:r w:rsidR="00AF06FD">
        <w:t xml:space="preserve"> conditions;</w:t>
      </w:r>
    </w:p>
    <w:p w14:paraId="23FC139D" w14:textId="77777777" w:rsidR="002C0644" w:rsidRDefault="002C0644" w:rsidP="00EE1F3A">
      <w:pPr>
        <w:pStyle w:val="TSHeadingNumbered111"/>
        <w:numPr>
          <w:ilvl w:val="1"/>
          <w:numId w:val="5"/>
        </w:numPr>
        <w:jc w:val="both"/>
      </w:pPr>
      <w:r>
        <w:t xml:space="preserve">Ageing and </w:t>
      </w:r>
      <w:r w:rsidR="00AF06FD">
        <w:t>o</w:t>
      </w:r>
      <w:r w:rsidR="00FA6938">
        <w:t>bsolescence</w:t>
      </w:r>
      <w:r w:rsidR="00AF06FD">
        <w:t>; or</w:t>
      </w:r>
    </w:p>
    <w:p w14:paraId="18892B1B" w14:textId="77777777" w:rsidR="00FA6938" w:rsidRPr="009D15EC" w:rsidRDefault="002C0644" w:rsidP="00AB454C">
      <w:pPr>
        <w:pStyle w:val="TSHeadingNumbered111"/>
        <w:numPr>
          <w:ilvl w:val="1"/>
          <w:numId w:val="5"/>
        </w:numPr>
        <w:jc w:val="both"/>
      </w:pPr>
      <w:r>
        <w:t>Events o</w:t>
      </w:r>
      <w:r w:rsidR="007426D3">
        <w:t>r</w:t>
      </w:r>
      <w:r w:rsidR="00AF06FD">
        <w:t xml:space="preserve"> i</w:t>
      </w:r>
      <w:r>
        <w:t>ncidents</w:t>
      </w:r>
    </w:p>
    <w:p w14:paraId="61475FB5" w14:textId="77777777" w:rsidR="00D40929" w:rsidRPr="009D15EC" w:rsidRDefault="00D40929" w:rsidP="00D40929">
      <w:pPr>
        <w:pStyle w:val="TSHeadingNumbered11"/>
      </w:pPr>
      <w:r w:rsidRPr="009D15EC">
        <w:t>Assurance</w:t>
      </w:r>
    </w:p>
    <w:p w14:paraId="0A2F85BD" w14:textId="77777777" w:rsidR="0038649F" w:rsidRPr="009D15EC" w:rsidRDefault="00D22EF5" w:rsidP="00AB454C">
      <w:pPr>
        <w:pStyle w:val="TSHeadingNumbered111"/>
        <w:numPr>
          <w:ilvl w:val="0"/>
          <w:numId w:val="0"/>
        </w:numPr>
        <w:pBdr>
          <w:top w:val="single" w:sz="4" w:space="1" w:color="auto"/>
          <w:left w:val="single" w:sz="4" w:space="4" w:color="auto"/>
          <w:bottom w:val="single" w:sz="4" w:space="1" w:color="auto"/>
          <w:right w:val="single" w:sz="4" w:space="4" w:color="auto"/>
        </w:pBdr>
        <w:ind w:left="720"/>
      </w:pPr>
      <w:r>
        <w:rPr>
          <w:b/>
        </w:rPr>
        <w:t>AM</w:t>
      </w:r>
      <w:r w:rsidR="00EE1F3A" w:rsidRPr="001B4C29">
        <w:rPr>
          <w:b/>
        </w:rPr>
        <w:t>8</w:t>
      </w:r>
      <w:r w:rsidR="0038649F" w:rsidRPr="009D15EC">
        <w:t xml:space="preserve">: The </w:t>
      </w:r>
      <w:r w:rsidR="00AF06FD">
        <w:t>asset m</w:t>
      </w:r>
      <w:r w:rsidR="00FC619F">
        <w:t>anagement</w:t>
      </w:r>
      <w:r w:rsidR="00BB3C2D" w:rsidRPr="009D15EC">
        <w:t xml:space="preserve"> </w:t>
      </w:r>
      <w:r w:rsidR="00AF06FD">
        <w:t>s</w:t>
      </w:r>
      <w:r w:rsidR="00102723" w:rsidRPr="009D15EC">
        <w:t xml:space="preserve">ystem </w:t>
      </w:r>
      <w:r w:rsidR="00102723">
        <w:t>should</w:t>
      </w:r>
      <w:r w:rsidR="0038649F" w:rsidRPr="009D15EC">
        <w:t xml:space="preserve"> monitor and record the performance of the </w:t>
      </w:r>
      <w:r w:rsidR="000A674F">
        <w:t>Identified Assets</w:t>
      </w:r>
      <w:r w:rsidR="00CE4B2F" w:rsidRPr="00CE4B2F">
        <w:t xml:space="preserve"> </w:t>
      </w:r>
      <w:r w:rsidR="0038649F" w:rsidRPr="009D15EC">
        <w:t>and identify corrective actions as necessary.</w:t>
      </w:r>
    </w:p>
    <w:p w14:paraId="5C2A551D" w14:textId="77777777" w:rsidR="00135550" w:rsidRPr="009D15EC" w:rsidRDefault="00122851" w:rsidP="0081784A">
      <w:pPr>
        <w:pStyle w:val="TSHeadingNumbered111"/>
        <w:numPr>
          <w:ilvl w:val="0"/>
          <w:numId w:val="5"/>
        </w:numPr>
        <w:jc w:val="both"/>
      </w:pPr>
      <w:r w:rsidRPr="009D15EC">
        <w:t>The AMS s</w:t>
      </w:r>
      <w:r w:rsidR="008C732A" w:rsidRPr="009D15EC">
        <w:t>hould identify appropriate performance i</w:t>
      </w:r>
      <w:r w:rsidRPr="009D15EC">
        <w:t xml:space="preserve">ndicators for each of the </w:t>
      </w:r>
      <w:r w:rsidR="000A674F">
        <w:t>Identified Assets</w:t>
      </w:r>
      <w:r w:rsidRPr="009D15EC">
        <w:t xml:space="preserve">, linked to </w:t>
      </w:r>
      <w:r w:rsidR="00135550" w:rsidRPr="009D15EC">
        <w:t xml:space="preserve">their </w:t>
      </w:r>
      <w:proofErr w:type="spellStart"/>
      <w:r w:rsidR="008C732A" w:rsidRPr="009D15EC">
        <w:t>SSoE</w:t>
      </w:r>
      <w:proofErr w:type="spellEnd"/>
      <w:r w:rsidR="008C732A" w:rsidRPr="009D15EC">
        <w:t xml:space="preserve"> function</w:t>
      </w:r>
      <w:r w:rsidR="00433E13">
        <w:t xml:space="preserve">.  </w:t>
      </w:r>
      <w:r w:rsidR="00C545FB">
        <w:t>The indicators should reflect</w:t>
      </w:r>
      <w:r w:rsidRPr="009D15EC">
        <w:t xml:space="preserve"> significance, </w:t>
      </w:r>
      <w:r w:rsidR="0081784A">
        <w:t xml:space="preserve">and </w:t>
      </w:r>
      <w:r w:rsidR="008F1E34">
        <w:t>classification</w:t>
      </w:r>
      <w:r w:rsidR="00433E13">
        <w:t xml:space="preserve">.  </w:t>
      </w:r>
      <w:r w:rsidRPr="009D15EC">
        <w:t>The</w:t>
      </w:r>
      <w:r w:rsidR="00C545FB">
        <w:t>y</w:t>
      </w:r>
      <w:r w:rsidRPr="009D15EC">
        <w:t xml:space="preserve"> should comprise leading and lagging indicators that define the operating effectiven</w:t>
      </w:r>
      <w:r w:rsidR="00135550" w:rsidRPr="009D15EC">
        <w:t xml:space="preserve">ess and efficiency of the </w:t>
      </w:r>
      <w:r w:rsidR="000A674F">
        <w:t>Identified Assets</w:t>
      </w:r>
      <w:r w:rsidR="00433E13">
        <w:t xml:space="preserve">.  </w:t>
      </w:r>
      <w:r w:rsidR="00F734E7" w:rsidRPr="00917CBA">
        <w:t>[7]</w:t>
      </w:r>
    </w:p>
    <w:p w14:paraId="5F100EE0" w14:textId="77777777" w:rsidR="00E2151A" w:rsidRPr="009D15EC" w:rsidRDefault="00E2151A" w:rsidP="0081784A">
      <w:pPr>
        <w:pStyle w:val="TSHeadingNumbered111"/>
        <w:numPr>
          <w:ilvl w:val="0"/>
          <w:numId w:val="5"/>
        </w:numPr>
        <w:jc w:val="both"/>
      </w:pPr>
      <w:r w:rsidRPr="009D15EC">
        <w:t xml:space="preserve">Operations associated with </w:t>
      </w:r>
      <w:r w:rsidR="000A674F">
        <w:t>Identified Assets</w:t>
      </w:r>
      <w:r w:rsidRPr="009D15EC">
        <w:t xml:space="preserve"> should involve the timely detection and characterisation of degradation</w:t>
      </w:r>
      <w:r w:rsidR="00433E13">
        <w:t xml:space="preserve">.  </w:t>
      </w:r>
      <w:r w:rsidR="00C545FB">
        <w:t>This should be achieved through a combination of</w:t>
      </w:r>
      <w:r w:rsidR="00FD4786">
        <w:t xml:space="preserve"> </w:t>
      </w:r>
      <w:r w:rsidRPr="009D15EC">
        <w:t xml:space="preserve">inspection and monitoring of the </w:t>
      </w:r>
      <w:r w:rsidR="000A674F">
        <w:t>Identified Assets</w:t>
      </w:r>
      <w:r w:rsidR="00433E13">
        <w:t xml:space="preserve">.  </w:t>
      </w:r>
      <w:r w:rsidR="00C545FB">
        <w:t>A</w:t>
      </w:r>
      <w:r w:rsidRPr="009D15EC">
        <w:t xml:space="preserve">ssessment of </w:t>
      </w:r>
      <w:r w:rsidR="00C545FB">
        <w:t xml:space="preserve">the </w:t>
      </w:r>
      <w:r w:rsidRPr="009D15EC">
        <w:t xml:space="preserve">observed condition </w:t>
      </w:r>
      <w:r w:rsidR="00C545FB">
        <w:t xml:space="preserve">should be undertaken </w:t>
      </w:r>
      <w:r w:rsidRPr="009D15EC">
        <w:t>to determine the type and timing of any corrective actions</w:t>
      </w:r>
      <w:r w:rsidR="00433E13">
        <w:t xml:space="preserve">.  </w:t>
      </w:r>
      <w:r w:rsidR="007C1E67" w:rsidRPr="009D15EC">
        <w:t xml:space="preserve">Any decision making that impacts </w:t>
      </w:r>
      <w:r w:rsidR="009C2239">
        <w:t xml:space="preserve">Identified </w:t>
      </w:r>
      <w:r w:rsidR="00332B7E">
        <w:t>A</w:t>
      </w:r>
      <w:r w:rsidR="009C2239" w:rsidRPr="0081784A">
        <w:t>sset</w:t>
      </w:r>
      <w:r w:rsidR="007C1E67" w:rsidRPr="009D15EC">
        <w:t xml:space="preserve"> care or the AMS should be evidence based</w:t>
      </w:r>
      <w:r w:rsidR="00433E13">
        <w:t xml:space="preserve">.  </w:t>
      </w:r>
      <w:r w:rsidR="00C545FB">
        <w:t xml:space="preserve">It should be </w:t>
      </w:r>
      <w:r w:rsidR="007C1E67" w:rsidRPr="009D15EC">
        <w:t xml:space="preserve">supported by analysis </w:t>
      </w:r>
      <w:r w:rsidR="00135550" w:rsidRPr="009D15EC">
        <w:t xml:space="preserve">and recorded in such a way that demonstrates an </w:t>
      </w:r>
      <w:r w:rsidR="007C1E67" w:rsidRPr="009D15EC">
        <w:t>auditable trail</w:t>
      </w:r>
      <w:r w:rsidR="00433E13">
        <w:t xml:space="preserve">.  </w:t>
      </w:r>
      <w:r w:rsidR="00F734E7" w:rsidRPr="00917CBA">
        <w:t>[5] [6] [7]</w:t>
      </w:r>
      <w:r w:rsidR="00F734E7" w:rsidRPr="009D15EC">
        <w:t xml:space="preserve"> </w:t>
      </w:r>
    </w:p>
    <w:p w14:paraId="0617A34F" w14:textId="77777777" w:rsidR="00875302" w:rsidRPr="003E1DBA" w:rsidRDefault="00875302" w:rsidP="00875302">
      <w:pPr>
        <w:pStyle w:val="TSHeadingNumbered111"/>
        <w:numPr>
          <w:ilvl w:val="0"/>
          <w:numId w:val="5"/>
        </w:numPr>
        <w:jc w:val="both"/>
      </w:pPr>
      <w:r w:rsidRPr="009D15EC">
        <w:t>The visibility of an asset</w:t>
      </w:r>
      <w:r>
        <w:t>’</w:t>
      </w:r>
      <w:r w:rsidRPr="009D15EC">
        <w:t>s performance, functional and physical attributes should</w:t>
      </w:r>
      <w:r>
        <w:t>, where appropriate,</w:t>
      </w:r>
      <w:r w:rsidRPr="009D15EC">
        <w:t xml:space="preserve"> be provided through pictorial representation (e.g</w:t>
      </w:r>
      <w:r>
        <w:t xml:space="preserve">.  </w:t>
      </w:r>
      <w:r w:rsidRPr="009D15EC">
        <w:t>dated photographs, graphs and sketches)</w:t>
      </w:r>
      <w:r>
        <w:t xml:space="preserve">.  </w:t>
      </w:r>
      <w:r w:rsidRPr="009D15EC">
        <w:t xml:space="preserve">This promotes consistency between different members of </w:t>
      </w:r>
      <w:r>
        <w:t>the organisation and / or third party contractors,</w:t>
      </w:r>
      <w:r w:rsidRPr="009D15EC">
        <w:t xml:space="preserve"> when determining plant condition over protracted periods of time</w:t>
      </w:r>
      <w:r>
        <w:t xml:space="preserve">.  It also </w:t>
      </w:r>
      <w:r w:rsidRPr="009D15EC">
        <w:t>serves to provide accurate records for periods of change and handover</w:t>
      </w:r>
      <w:r>
        <w:t xml:space="preserve">.  </w:t>
      </w:r>
      <w:r w:rsidRPr="00917CBA">
        <w:t>[5] [6]</w:t>
      </w:r>
    </w:p>
    <w:p w14:paraId="53E0D1CF" w14:textId="77777777" w:rsidR="007C1E67" w:rsidRPr="009D15EC" w:rsidRDefault="00FA6938" w:rsidP="000C16CF">
      <w:pPr>
        <w:pStyle w:val="TSHeadingNumbered111"/>
        <w:numPr>
          <w:ilvl w:val="0"/>
          <w:numId w:val="5"/>
        </w:numPr>
        <w:jc w:val="both"/>
      </w:pPr>
      <w:r>
        <w:t xml:space="preserve">A corrective action process </w:t>
      </w:r>
      <w:r w:rsidR="00135550" w:rsidRPr="009D15EC">
        <w:t>should input into the AMS</w:t>
      </w:r>
      <w:r w:rsidR="00433E13">
        <w:t xml:space="preserve">.  </w:t>
      </w:r>
      <w:r w:rsidR="00C545FB">
        <w:t>It should provide</w:t>
      </w:r>
      <w:r w:rsidR="00135550" w:rsidRPr="009D15EC">
        <w:t xml:space="preserve"> </w:t>
      </w:r>
      <w:r w:rsidR="00122851" w:rsidRPr="009D15EC">
        <w:t>up to date information on issues and plant abnormalities</w:t>
      </w:r>
      <w:r w:rsidR="00433E13">
        <w:t xml:space="preserve">.  </w:t>
      </w:r>
      <w:r w:rsidR="00135550" w:rsidRPr="009D15EC">
        <w:t>This data should be trended to allow patterns to be identified, with learning applied to other similar systems and operations</w:t>
      </w:r>
      <w:r w:rsidR="00433E13">
        <w:t xml:space="preserve">.  </w:t>
      </w:r>
      <w:r w:rsidR="007C1E67" w:rsidRPr="009D15EC">
        <w:t>The AMS should identif</w:t>
      </w:r>
      <w:r w:rsidR="00EE1F3A" w:rsidRPr="009D15EC">
        <w:t xml:space="preserve">y how investigation findings and </w:t>
      </w:r>
      <w:r w:rsidR="007C1E67" w:rsidRPr="009D15EC">
        <w:t>recommendations</w:t>
      </w:r>
      <w:r w:rsidR="00EE1F3A" w:rsidRPr="009D15EC">
        <w:t xml:space="preserve">, taken from failures, incidents and non-conformities are to be </w:t>
      </w:r>
      <w:r w:rsidR="007C1E67" w:rsidRPr="009D15EC">
        <w:t>integrated in into the AMS</w:t>
      </w:r>
      <w:r w:rsidR="00433E13">
        <w:t xml:space="preserve">.  </w:t>
      </w:r>
      <w:r w:rsidR="00C545FB">
        <w:t xml:space="preserve">This should </w:t>
      </w:r>
      <w:r w:rsidR="00433E13">
        <w:t xml:space="preserve">be </w:t>
      </w:r>
      <w:r w:rsidR="00433E13" w:rsidRPr="009D15EC">
        <w:t>supported</w:t>
      </w:r>
      <w:r w:rsidR="007C1E67" w:rsidRPr="009D15EC">
        <w:t xml:space="preserve"> by a time</w:t>
      </w:r>
      <w:r w:rsidR="00135550" w:rsidRPr="009D15EC">
        <w:t>-</w:t>
      </w:r>
      <w:r w:rsidR="007C1E67" w:rsidRPr="009D15EC">
        <w:t>frame for implementation</w:t>
      </w:r>
      <w:r w:rsidR="00433E13">
        <w:t xml:space="preserve">.  </w:t>
      </w:r>
      <w:r w:rsidR="00384D61" w:rsidRPr="00917CBA">
        <w:t>[7]</w:t>
      </w:r>
    </w:p>
    <w:p w14:paraId="72DDD04E" w14:textId="77777777" w:rsidR="00122851" w:rsidRPr="009D15EC" w:rsidRDefault="00122851" w:rsidP="00CE4B2F">
      <w:pPr>
        <w:pStyle w:val="TSHeadingNumbered111"/>
        <w:numPr>
          <w:ilvl w:val="0"/>
          <w:numId w:val="5"/>
        </w:numPr>
        <w:jc w:val="both"/>
      </w:pPr>
      <w:r w:rsidRPr="009D15EC">
        <w:t>Operating experience should be applied to the AMS through the lifecycle of the</w:t>
      </w:r>
      <w:r w:rsidR="00CE4B2F" w:rsidRPr="00CE4B2F">
        <w:t xml:space="preserve"> </w:t>
      </w:r>
      <w:r w:rsidR="000A674F">
        <w:t>Identified Assets</w:t>
      </w:r>
      <w:r w:rsidR="00433E13">
        <w:t xml:space="preserve">.  </w:t>
      </w:r>
      <w:r w:rsidRPr="009D15EC">
        <w:t>Experience from similar</w:t>
      </w:r>
      <w:r w:rsidR="00135550" w:rsidRPr="009D15EC">
        <w:t xml:space="preserve"> high-hazard, but </w:t>
      </w:r>
      <w:r w:rsidRPr="009D15EC">
        <w:t>non-nuclear indust</w:t>
      </w:r>
      <w:r w:rsidR="00135550" w:rsidRPr="009D15EC">
        <w:t>ries should also be considered</w:t>
      </w:r>
      <w:r w:rsidR="00433E13">
        <w:t xml:space="preserve">.  </w:t>
      </w:r>
      <w:r w:rsidR="00FE6BD1" w:rsidRPr="00917CBA">
        <w:t>[5] [6] [7]</w:t>
      </w:r>
    </w:p>
    <w:p w14:paraId="428D45EF" w14:textId="77777777" w:rsidR="007C1E67" w:rsidRDefault="0076669E" w:rsidP="00CE4B2F">
      <w:pPr>
        <w:pStyle w:val="TSHeadingNumbered111"/>
        <w:numPr>
          <w:ilvl w:val="0"/>
          <w:numId w:val="5"/>
        </w:numPr>
        <w:jc w:val="both"/>
      </w:pPr>
      <w:r w:rsidRPr="009D15EC">
        <w:t>A</w:t>
      </w:r>
      <w:r w:rsidR="009C59DA">
        <w:t xml:space="preserve">geing and </w:t>
      </w:r>
      <w:r w:rsidR="008C732A" w:rsidRPr="009D15EC">
        <w:t>o</w:t>
      </w:r>
      <w:r w:rsidR="0038649F" w:rsidRPr="009D15EC">
        <w:t>bsolescence</w:t>
      </w:r>
      <w:r w:rsidRPr="009D15EC">
        <w:t xml:space="preserve"> strateg</w:t>
      </w:r>
      <w:r w:rsidR="009C59DA">
        <w:t>ies</w:t>
      </w:r>
      <w:r w:rsidRPr="009D15EC">
        <w:t xml:space="preserve"> should be developed in conjunction with the supply chain </w:t>
      </w:r>
      <w:r w:rsidR="002C0644">
        <w:t xml:space="preserve">in </w:t>
      </w:r>
      <w:r w:rsidRPr="009D15EC">
        <w:t>identif</w:t>
      </w:r>
      <w:r w:rsidR="002C0644">
        <w:t xml:space="preserve">ication </w:t>
      </w:r>
      <w:r w:rsidRPr="009D15EC">
        <w:t xml:space="preserve">and tracking </w:t>
      </w:r>
      <w:r w:rsidR="002C0644">
        <w:t xml:space="preserve">of </w:t>
      </w:r>
      <w:r w:rsidRPr="009D15EC">
        <w:t>mitigation and replacement options</w:t>
      </w:r>
      <w:r w:rsidR="00433E13">
        <w:t>.</w:t>
      </w:r>
      <w:r w:rsidR="00BE14AF">
        <w:t xml:space="preserve"> </w:t>
      </w:r>
      <w:r w:rsidR="009C59DA">
        <w:t>Suitable arrangements should be developed for end-of-life replacement</w:t>
      </w:r>
      <w:r w:rsidR="00FA6938">
        <w:t xml:space="preserve"> or</w:t>
      </w:r>
      <w:r w:rsidR="009C59DA">
        <w:t xml:space="preserve"> </w:t>
      </w:r>
      <w:r w:rsidR="002C0644">
        <w:t>refurbishment</w:t>
      </w:r>
      <w:r w:rsidR="009C59DA">
        <w:t xml:space="preserve"> o</w:t>
      </w:r>
      <w:r w:rsidR="00CE4B2F">
        <w:t>f</w:t>
      </w:r>
      <w:r w:rsidR="00CE4B2F" w:rsidRPr="00CE4B2F">
        <w:t xml:space="preserve"> </w:t>
      </w:r>
      <w:r w:rsidR="000A674F">
        <w:t>Identified Assets</w:t>
      </w:r>
      <w:r w:rsidR="009C59DA">
        <w:t>. Supply chain management should be included within these arrangements</w:t>
      </w:r>
      <w:r w:rsidR="002475E9">
        <w:t xml:space="preserve"> </w:t>
      </w:r>
      <w:r w:rsidR="003D441E">
        <w:t xml:space="preserve">and </w:t>
      </w:r>
      <w:r w:rsidR="003D441E" w:rsidRPr="009D15EC">
        <w:t>controlled</w:t>
      </w:r>
      <w:r w:rsidRPr="009D15EC">
        <w:t xml:space="preserve"> </w:t>
      </w:r>
      <w:r w:rsidR="007803B4">
        <w:t>by</w:t>
      </w:r>
      <w:r w:rsidR="007803B4" w:rsidRPr="009D15EC">
        <w:t xml:space="preserve"> </w:t>
      </w:r>
      <w:r w:rsidRPr="009D15EC">
        <w:t>the AMS</w:t>
      </w:r>
      <w:r w:rsidR="00433E13">
        <w:t xml:space="preserve">. </w:t>
      </w:r>
      <w:r w:rsidR="000A674F">
        <w:t>Identified Assets</w:t>
      </w:r>
      <w:r w:rsidRPr="009D15EC">
        <w:t xml:space="preserve"> </w:t>
      </w:r>
      <w:r w:rsidR="0038649F" w:rsidRPr="009D15EC">
        <w:t xml:space="preserve">that </w:t>
      </w:r>
      <w:r w:rsidR="00426B48" w:rsidRPr="009D15EC">
        <w:t xml:space="preserve">are identified as </w:t>
      </w:r>
      <w:r w:rsidR="0038649F" w:rsidRPr="009D15EC">
        <w:t xml:space="preserve">difficult to </w:t>
      </w:r>
      <w:r w:rsidR="00426B48" w:rsidRPr="009D15EC">
        <w:t xml:space="preserve">manage or </w:t>
      </w:r>
      <w:r w:rsidR="0038649F" w:rsidRPr="009D15EC">
        <w:t xml:space="preserve">replace </w:t>
      </w:r>
      <w:r w:rsidR="00426B48" w:rsidRPr="009D15EC">
        <w:t xml:space="preserve">should have </w:t>
      </w:r>
      <w:r w:rsidR="0038649F" w:rsidRPr="009D15EC">
        <w:t>enhanced monitoring</w:t>
      </w:r>
      <w:r w:rsidR="00426B48" w:rsidRPr="009D15EC">
        <w:t xml:space="preserve"> applied</w:t>
      </w:r>
      <w:r w:rsidR="002475E9">
        <w:t xml:space="preserve"> with longer term risk mitigation strategies developed</w:t>
      </w:r>
      <w:r w:rsidR="0038649F" w:rsidRPr="009D15EC">
        <w:t>.</w:t>
      </w:r>
      <w:r w:rsidR="00FE6BD1" w:rsidRPr="00917CBA">
        <w:t>[5] [7]</w:t>
      </w:r>
      <w:r w:rsidR="005759DC">
        <w:t xml:space="preserve"> [14]</w:t>
      </w:r>
    </w:p>
    <w:p w14:paraId="40C0B692" w14:textId="77777777" w:rsidR="00BE14AF" w:rsidRPr="009D15EC" w:rsidRDefault="00BE14AF" w:rsidP="00BE14AF">
      <w:pPr>
        <w:pStyle w:val="TSHeadingNumbered111"/>
        <w:numPr>
          <w:ilvl w:val="0"/>
          <w:numId w:val="5"/>
        </w:numPr>
        <w:jc w:val="both"/>
      </w:pPr>
      <w:r w:rsidRPr="009D15EC">
        <w:t xml:space="preserve">The AMS should identify the </w:t>
      </w:r>
      <w:r>
        <w:t xml:space="preserve">Identified </w:t>
      </w:r>
      <w:r w:rsidR="00332B7E">
        <w:t>A</w:t>
      </w:r>
      <w:r w:rsidRPr="00003A66">
        <w:t xml:space="preserve">sset </w:t>
      </w:r>
      <w:r w:rsidRPr="009D15EC">
        <w:t>monitoring regime</w:t>
      </w:r>
      <w:r>
        <w:t>, which should be</w:t>
      </w:r>
      <w:r w:rsidRPr="009D15EC">
        <w:t xml:space="preserve"> based on a graded approach</w:t>
      </w:r>
      <w:r>
        <w:t>.  Monitoring should be undertaken</w:t>
      </w:r>
      <w:r w:rsidRPr="009D15EC">
        <w:t xml:space="preserve"> according to the </w:t>
      </w:r>
      <w:r>
        <w:t xml:space="preserve">associated </w:t>
      </w:r>
      <w:r w:rsidRPr="009D15EC">
        <w:t>risk level</w:t>
      </w:r>
      <w:r>
        <w:t xml:space="preserve">.  </w:t>
      </w:r>
      <w:r w:rsidRPr="00917CBA">
        <w:t>[5] [7]</w:t>
      </w:r>
    </w:p>
    <w:p w14:paraId="3C28C339" w14:textId="77777777" w:rsidR="00F6351D" w:rsidRPr="009D15EC" w:rsidRDefault="00D22EF5" w:rsidP="00AB454C">
      <w:pPr>
        <w:pStyle w:val="TSHeadingNumbered111"/>
        <w:numPr>
          <w:ilvl w:val="0"/>
          <w:numId w:val="0"/>
        </w:numPr>
        <w:pBdr>
          <w:top w:val="single" w:sz="4" w:space="1" w:color="auto"/>
          <w:left w:val="single" w:sz="4" w:space="4" w:color="auto"/>
          <w:bottom w:val="single" w:sz="4" w:space="1" w:color="auto"/>
          <w:right w:val="single" w:sz="4" w:space="4" w:color="auto"/>
        </w:pBdr>
        <w:ind w:left="720"/>
        <w:jc w:val="both"/>
      </w:pPr>
      <w:r>
        <w:rPr>
          <w:b/>
        </w:rPr>
        <w:t>AM</w:t>
      </w:r>
      <w:r w:rsidR="00EE1F3A" w:rsidRPr="001B4C29">
        <w:rPr>
          <w:b/>
        </w:rPr>
        <w:t>9</w:t>
      </w:r>
      <w:r w:rsidR="00F6351D" w:rsidRPr="009D15EC">
        <w:t xml:space="preserve">: The </w:t>
      </w:r>
      <w:r w:rsidR="00AF06FD">
        <w:t>asset m</w:t>
      </w:r>
      <w:r w:rsidR="00FC619F">
        <w:t>anagement</w:t>
      </w:r>
      <w:r w:rsidR="00BB3C2D" w:rsidRPr="009D15EC">
        <w:t xml:space="preserve"> </w:t>
      </w:r>
      <w:r w:rsidR="00AF06FD">
        <w:t>s</w:t>
      </w:r>
      <w:r w:rsidR="00BB3C2D" w:rsidRPr="009D15EC">
        <w:t>ystem</w:t>
      </w:r>
      <w:r w:rsidR="00F6351D" w:rsidRPr="009D15EC">
        <w:t xml:space="preserve"> should be part of the organisations assurance process</w:t>
      </w:r>
      <w:r w:rsidR="00817F48" w:rsidRPr="009D15EC">
        <w:t xml:space="preserve"> and contain a means by which its effectiveness can be monitored and measured.</w:t>
      </w:r>
    </w:p>
    <w:p w14:paraId="02D646CA" w14:textId="77777777" w:rsidR="003C2539" w:rsidRPr="009D15EC" w:rsidRDefault="00A45231" w:rsidP="00CE4B2F">
      <w:pPr>
        <w:pStyle w:val="TSHeadingNumbered111"/>
        <w:numPr>
          <w:ilvl w:val="0"/>
          <w:numId w:val="5"/>
        </w:numPr>
        <w:jc w:val="both"/>
      </w:pPr>
      <w:r w:rsidRPr="009D15EC">
        <w:t>The AMS should be rout</w:t>
      </w:r>
      <w:r w:rsidR="00135550" w:rsidRPr="009D15EC">
        <w:t xml:space="preserve">inely reviewed by senior </w:t>
      </w:r>
      <w:r w:rsidR="00A83224">
        <w:t>leadership</w:t>
      </w:r>
      <w:r w:rsidR="00C13819" w:rsidRPr="009D15EC">
        <w:t xml:space="preserve"> </w:t>
      </w:r>
      <w:r w:rsidRPr="009D15EC">
        <w:t>to determine the continued suita</w:t>
      </w:r>
      <w:r w:rsidR="00135550" w:rsidRPr="009D15EC">
        <w:t xml:space="preserve">bility of the chosen strategy and </w:t>
      </w:r>
      <w:r w:rsidRPr="009D15EC">
        <w:t>polic</w:t>
      </w:r>
      <w:r w:rsidR="00135550" w:rsidRPr="009D15EC">
        <w:t>ies</w:t>
      </w:r>
      <w:r w:rsidR="00433E13">
        <w:t xml:space="preserve">.  </w:t>
      </w:r>
      <w:r w:rsidR="003C2539" w:rsidRPr="009D15EC">
        <w:t xml:space="preserve">The results of an </w:t>
      </w:r>
      <w:r w:rsidR="002B27C3" w:rsidRPr="009D15EC">
        <w:t>AMS</w:t>
      </w:r>
      <w:r w:rsidR="003C2539" w:rsidRPr="009D15EC">
        <w:t xml:space="preserve"> review should be documented in an appropriate report</w:t>
      </w:r>
      <w:r w:rsidR="00433E13">
        <w:t xml:space="preserve">.  </w:t>
      </w:r>
      <w:r w:rsidR="00E92479" w:rsidRPr="009D15EC">
        <w:t>T</w:t>
      </w:r>
      <w:r w:rsidR="003C2539" w:rsidRPr="009D15EC">
        <w:t xml:space="preserve">he report should address the understanding </w:t>
      </w:r>
      <w:r w:rsidRPr="009D15EC">
        <w:t xml:space="preserve">of the </w:t>
      </w:r>
      <w:r w:rsidR="002C37AA" w:rsidRPr="009D15EC">
        <w:t xml:space="preserve">condition of the </w:t>
      </w:r>
      <w:r w:rsidR="000A674F">
        <w:t>Identified Assets</w:t>
      </w:r>
      <w:r w:rsidR="002C37AA" w:rsidRPr="009D15EC">
        <w:t xml:space="preserve">, its </w:t>
      </w:r>
      <w:r w:rsidR="00870A56">
        <w:t xml:space="preserve">on-going </w:t>
      </w:r>
      <w:r w:rsidR="002C37AA" w:rsidRPr="009D15EC">
        <w:t xml:space="preserve">monitoring </w:t>
      </w:r>
      <w:r w:rsidR="003C2539" w:rsidRPr="009D15EC">
        <w:t>and t</w:t>
      </w:r>
      <w:r w:rsidR="002C37AA" w:rsidRPr="009D15EC">
        <w:t>he mitigation</w:t>
      </w:r>
      <w:r w:rsidR="00336AE2" w:rsidRPr="009D15EC">
        <w:t xml:space="preserve"> effects</w:t>
      </w:r>
      <w:r w:rsidR="00433E13">
        <w:t xml:space="preserve">. </w:t>
      </w:r>
      <w:r w:rsidR="001267F1">
        <w:t>Any</w:t>
      </w:r>
      <w:r w:rsidR="00433E13">
        <w:t xml:space="preserve"> </w:t>
      </w:r>
      <w:r w:rsidR="001267F1">
        <w:t>r</w:t>
      </w:r>
      <w:r w:rsidR="00095D1D" w:rsidRPr="009D15EC">
        <w:t>ecommendations</w:t>
      </w:r>
      <w:r w:rsidR="007065EC">
        <w:t xml:space="preserve"> for improvements in AM</w:t>
      </w:r>
      <w:r w:rsidR="00095D1D" w:rsidRPr="009D15EC">
        <w:t xml:space="preserve"> from the review</w:t>
      </w:r>
      <w:r w:rsidR="00ED39DC">
        <w:t xml:space="preserve"> should </w:t>
      </w:r>
      <w:r w:rsidR="001267F1">
        <w:t xml:space="preserve">include </w:t>
      </w:r>
      <w:r w:rsidR="00095D1D" w:rsidRPr="009D15EC">
        <w:t>plant</w:t>
      </w:r>
      <w:r w:rsidR="001267F1">
        <w:t xml:space="preserve">, process and procedures. </w:t>
      </w:r>
      <w:r w:rsidR="00433E13">
        <w:t xml:space="preserve">.  </w:t>
      </w:r>
      <w:r w:rsidR="00963A83" w:rsidRPr="00917CBA">
        <w:t>[7]</w:t>
      </w:r>
    </w:p>
    <w:p w14:paraId="71666821" w14:textId="77777777" w:rsidR="00EE1F3A" w:rsidRPr="009D15EC" w:rsidRDefault="00B9356A" w:rsidP="00CE4B2F">
      <w:pPr>
        <w:pStyle w:val="TSHeadingNumbered111"/>
        <w:numPr>
          <w:ilvl w:val="0"/>
          <w:numId w:val="5"/>
        </w:numPr>
        <w:jc w:val="both"/>
      </w:pPr>
      <w:r w:rsidRPr="009D15EC">
        <w:t>A risk-based AM</w:t>
      </w:r>
      <w:r w:rsidR="00C3001A" w:rsidRPr="009D15EC">
        <w:t>S</w:t>
      </w:r>
      <w:r w:rsidRPr="009D15EC">
        <w:t xml:space="preserve"> audit programme should be established, led</w:t>
      </w:r>
      <w:r w:rsidR="00135550" w:rsidRPr="009D15EC">
        <w:t xml:space="preserve"> by suitably qualified and experienced people</w:t>
      </w:r>
      <w:r w:rsidR="00433E13">
        <w:t xml:space="preserve">.  </w:t>
      </w:r>
      <w:r w:rsidR="00C545FB">
        <w:t xml:space="preserve">The </w:t>
      </w:r>
      <w:r w:rsidR="00ED39DC">
        <w:t xml:space="preserve">audit </w:t>
      </w:r>
      <w:r w:rsidR="00C545FB">
        <w:t xml:space="preserve">programme </w:t>
      </w:r>
      <w:r w:rsidR="00336AE2" w:rsidRPr="009D15EC">
        <w:t xml:space="preserve">should be </w:t>
      </w:r>
      <w:r w:rsidR="00135550" w:rsidRPr="009D15EC">
        <w:t>commensurate with</w:t>
      </w:r>
      <w:r w:rsidR="00C3001A" w:rsidRPr="009D15EC">
        <w:t xml:space="preserve"> the size and</w:t>
      </w:r>
      <w:r w:rsidR="00336AE2" w:rsidRPr="009D15EC">
        <w:t xml:space="preserve"> nature of the process or </w:t>
      </w:r>
      <w:r w:rsidR="000A674F">
        <w:t>Identified Assets</w:t>
      </w:r>
      <w:r w:rsidR="00336AE2" w:rsidRPr="009D15EC">
        <w:t xml:space="preserve"> being audited</w:t>
      </w:r>
      <w:r w:rsidR="006853FC">
        <w:t xml:space="preserve"> and have appropriate controls and supervision</w:t>
      </w:r>
      <w:r w:rsidR="00433E13">
        <w:t xml:space="preserve">.  </w:t>
      </w:r>
      <w:r w:rsidR="00963A83" w:rsidRPr="00917CBA">
        <w:t>[7]</w:t>
      </w:r>
    </w:p>
    <w:p w14:paraId="00B5B567" w14:textId="77777777" w:rsidR="00BA4A74" w:rsidRPr="009D15EC" w:rsidRDefault="00EE1F3A" w:rsidP="00EE1F3A">
      <w:pPr>
        <w:pStyle w:val="TSHeadingNumbered11"/>
      </w:pPr>
      <w:r w:rsidRPr="009D15EC">
        <w:t>Resourcing</w:t>
      </w:r>
    </w:p>
    <w:p w14:paraId="55FCDAC0" w14:textId="77777777" w:rsidR="008F3C59" w:rsidRPr="009D15EC" w:rsidRDefault="00D22EF5" w:rsidP="00AB454C">
      <w:pPr>
        <w:pStyle w:val="TSHeadingNumbered111"/>
        <w:numPr>
          <w:ilvl w:val="0"/>
          <w:numId w:val="0"/>
        </w:numPr>
        <w:pBdr>
          <w:top w:val="single" w:sz="4" w:space="1" w:color="auto"/>
          <w:left w:val="single" w:sz="4" w:space="4" w:color="auto"/>
          <w:bottom w:val="single" w:sz="4" w:space="1" w:color="auto"/>
          <w:right w:val="single" w:sz="4" w:space="4" w:color="auto"/>
        </w:pBdr>
        <w:ind w:left="720"/>
        <w:jc w:val="both"/>
      </w:pPr>
      <w:r>
        <w:rPr>
          <w:b/>
        </w:rPr>
        <w:t>AM</w:t>
      </w:r>
      <w:r w:rsidR="00003A66">
        <w:rPr>
          <w:b/>
        </w:rPr>
        <w:t>1</w:t>
      </w:r>
      <w:r w:rsidR="00AA19FC" w:rsidRPr="001B4C29">
        <w:rPr>
          <w:b/>
        </w:rPr>
        <w:t>0</w:t>
      </w:r>
      <w:r w:rsidR="008F3C59" w:rsidRPr="009D15EC">
        <w:t xml:space="preserve">: The </w:t>
      </w:r>
      <w:r w:rsidR="00AF06FD">
        <w:t>asset m</w:t>
      </w:r>
      <w:r w:rsidR="00FC619F">
        <w:t>anagement</w:t>
      </w:r>
      <w:r w:rsidR="002136C9" w:rsidRPr="009D15EC">
        <w:t xml:space="preserve"> </w:t>
      </w:r>
      <w:r w:rsidR="00AF06FD">
        <w:t>s</w:t>
      </w:r>
      <w:r w:rsidR="00102723" w:rsidRPr="009D15EC">
        <w:t>ystem should</w:t>
      </w:r>
      <w:r w:rsidR="008F3C59" w:rsidRPr="009D15EC">
        <w:t xml:space="preserve"> identify the </w:t>
      </w:r>
      <w:r w:rsidR="00CA4A8D">
        <w:t>o</w:t>
      </w:r>
      <w:r w:rsidR="003E2DCC">
        <w:t xml:space="preserve">rganisation </w:t>
      </w:r>
      <w:r w:rsidR="008F3C59" w:rsidRPr="009D15EC">
        <w:t xml:space="preserve">resources </w:t>
      </w:r>
      <w:r w:rsidR="003E2DCC">
        <w:t xml:space="preserve">required </w:t>
      </w:r>
      <w:r w:rsidR="008F3C59" w:rsidRPr="009D15EC">
        <w:t>for</w:t>
      </w:r>
      <w:r w:rsidR="00EB0E64">
        <w:t xml:space="preserve"> maintaining Assets</w:t>
      </w:r>
      <w:r w:rsidR="008F3C59" w:rsidRPr="009D15EC">
        <w:t>.</w:t>
      </w:r>
    </w:p>
    <w:p w14:paraId="6060E9A4" w14:textId="77777777" w:rsidR="00F735EB" w:rsidRPr="009D15EC" w:rsidRDefault="00135550" w:rsidP="00003A66">
      <w:pPr>
        <w:pStyle w:val="TSHeadingNumbered111"/>
        <w:numPr>
          <w:ilvl w:val="0"/>
          <w:numId w:val="5"/>
        </w:numPr>
        <w:jc w:val="both"/>
      </w:pPr>
      <w:r w:rsidRPr="009D15EC">
        <w:t xml:space="preserve">The </w:t>
      </w:r>
      <w:r w:rsidR="009C2239" w:rsidRPr="009D15EC">
        <w:t xml:space="preserve">senior </w:t>
      </w:r>
      <w:r w:rsidR="009C2239">
        <w:t>leadership</w:t>
      </w:r>
      <w:r w:rsidRPr="009D15EC">
        <w:t xml:space="preserve"> team</w:t>
      </w:r>
      <w:r w:rsidR="00A11496" w:rsidRPr="009D15EC">
        <w:t xml:space="preserve"> </w:t>
      </w:r>
      <w:r w:rsidR="00334341" w:rsidRPr="009D15EC">
        <w:t xml:space="preserve">should </w:t>
      </w:r>
      <w:r w:rsidR="00A11496" w:rsidRPr="009D15EC">
        <w:t xml:space="preserve">demonstrate </w:t>
      </w:r>
      <w:r w:rsidR="00BB244B" w:rsidRPr="009D15EC">
        <w:t xml:space="preserve">their </w:t>
      </w:r>
      <w:r w:rsidR="00A11496" w:rsidRPr="009D15EC">
        <w:t xml:space="preserve">commitment </w:t>
      </w:r>
      <w:r w:rsidR="00BB244B" w:rsidRPr="009D15EC">
        <w:t>b</w:t>
      </w:r>
      <w:r w:rsidR="00673439" w:rsidRPr="009D15EC">
        <w:t>y providing a</w:t>
      </w:r>
      <w:r w:rsidR="00BB244B" w:rsidRPr="009D15EC">
        <w:t>n enabling environment for AM</w:t>
      </w:r>
      <w:r w:rsidR="00433E13">
        <w:t xml:space="preserve">.  </w:t>
      </w:r>
      <w:r w:rsidR="00BB244B" w:rsidRPr="009D15EC">
        <w:t>They should support delivery of AM tasks and actively seek</w:t>
      </w:r>
      <w:r w:rsidR="00673439" w:rsidRPr="009D15EC">
        <w:t xml:space="preserve"> </w:t>
      </w:r>
      <w:r w:rsidR="00BB244B" w:rsidRPr="009D15EC">
        <w:t>information on</w:t>
      </w:r>
      <w:r w:rsidR="00673439" w:rsidRPr="009D15EC">
        <w:t xml:space="preserve"> </w:t>
      </w:r>
      <w:r w:rsidR="00BB244B" w:rsidRPr="009D15EC">
        <w:t xml:space="preserve">the </w:t>
      </w:r>
      <w:r w:rsidR="0073105C" w:rsidRPr="009D15EC">
        <w:t>past</w:t>
      </w:r>
      <w:r w:rsidR="00786DE3">
        <w:t xml:space="preserve">, </w:t>
      </w:r>
      <w:r w:rsidR="00BB244B" w:rsidRPr="009D15EC">
        <w:t xml:space="preserve">current </w:t>
      </w:r>
      <w:r w:rsidR="00786DE3">
        <w:t xml:space="preserve">and predicted future </w:t>
      </w:r>
      <w:r w:rsidR="00BB244B" w:rsidRPr="009D15EC">
        <w:t xml:space="preserve">condition </w:t>
      </w:r>
      <w:r w:rsidR="00673439" w:rsidRPr="009D15EC">
        <w:t xml:space="preserve">of </w:t>
      </w:r>
      <w:r w:rsidR="009C2239">
        <w:t>Identified Assets</w:t>
      </w:r>
      <w:r w:rsidR="00433E13" w:rsidRPr="00F16A2A">
        <w:t xml:space="preserve">.  </w:t>
      </w:r>
      <w:r w:rsidR="00384D61" w:rsidRPr="00917CBA">
        <w:t>[5] [6] [7</w:t>
      </w:r>
      <w:r w:rsidR="00432695" w:rsidRPr="00917CBA">
        <w:t>]</w:t>
      </w:r>
    </w:p>
    <w:p w14:paraId="00F0217B" w14:textId="77777777" w:rsidR="009C17F6" w:rsidRDefault="004568FB" w:rsidP="00003A66">
      <w:pPr>
        <w:pStyle w:val="TSHeadingNumbered111"/>
        <w:numPr>
          <w:ilvl w:val="0"/>
          <w:numId w:val="5"/>
        </w:numPr>
        <w:jc w:val="both"/>
      </w:pPr>
      <w:r w:rsidRPr="009D15EC">
        <w:t xml:space="preserve">The AMS should consider the long term funding required for </w:t>
      </w:r>
      <w:r w:rsidR="002B27C3" w:rsidRPr="009D15EC">
        <w:t>AMS</w:t>
      </w:r>
      <w:r w:rsidR="00433E13">
        <w:t xml:space="preserve">.  </w:t>
      </w:r>
      <w:r w:rsidR="00334341" w:rsidRPr="009D15EC">
        <w:t>This should be recognised through the development of resource achievable AM</w:t>
      </w:r>
      <w:r w:rsidR="00BA3661">
        <w:t>S plans</w:t>
      </w:r>
      <w:r w:rsidR="00334341" w:rsidRPr="009D15EC">
        <w:t xml:space="preserve"> deriv</w:t>
      </w:r>
      <w:r w:rsidR="00CE5321" w:rsidRPr="009D15EC">
        <w:t>ed from the high level str</w:t>
      </w:r>
      <w:r w:rsidR="00EE1F3A" w:rsidRPr="009D15EC">
        <w:t>ategy</w:t>
      </w:r>
      <w:r w:rsidR="00433E13">
        <w:t xml:space="preserve">.  </w:t>
      </w:r>
      <w:r w:rsidR="00EE1F3A" w:rsidRPr="009D15EC">
        <w:t>These should be prioritis</w:t>
      </w:r>
      <w:r w:rsidR="00CE5321" w:rsidRPr="009D15EC">
        <w:t xml:space="preserve">ed against the current </w:t>
      </w:r>
      <w:r w:rsidR="00E138C7">
        <w:t xml:space="preserve">Identified </w:t>
      </w:r>
      <w:r w:rsidR="00332B7E">
        <w:t>A</w:t>
      </w:r>
      <w:r w:rsidR="00003A66" w:rsidRPr="00003A66">
        <w:t xml:space="preserve">sset </w:t>
      </w:r>
      <w:r w:rsidR="00CE5321" w:rsidRPr="009D15EC">
        <w:t xml:space="preserve">condition, their </w:t>
      </w:r>
      <w:proofErr w:type="spellStart"/>
      <w:r w:rsidR="006A3C71" w:rsidRPr="009D15EC">
        <w:t>SSoE</w:t>
      </w:r>
      <w:proofErr w:type="spellEnd"/>
      <w:r w:rsidR="006A3C71" w:rsidRPr="009D15EC">
        <w:t xml:space="preserve"> function </w:t>
      </w:r>
      <w:r w:rsidR="00CE5321" w:rsidRPr="009D15EC">
        <w:t>and c</w:t>
      </w:r>
      <w:r w:rsidR="008F1E34">
        <w:t>lassification</w:t>
      </w:r>
      <w:r w:rsidR="00433E13">
        <w:t xml:space="preserve">. </w:t>
      </w:r>
      <w:r w:rsidR="00356295" w:rsidRPr="00D0114E">
        <w:t>[7]</w:t>
      </w:r>
      <w:r w:rsidR="009C17F6">
        <w:t xml:space="preserve">  </w:t>
      </w:r>
    </w:p>
    <w:p w14:paraId="17412A8D" w14:textId="77777777" w:rsidR="00DD199D" w:rsidRDefault="002C2A25" w:rsidP="00003A66">
      <w:pPr>
        <w:pStyle w:val="TSHeadingNumbered111"/>
        <w:numPr>
          <w:ilvl w:val="0"/>
          <w:numId w:val="5"/>
        </w:numPr>
        <w:jc w:val="both"/>
      </w:pPr>
      <w:r w:rsidRPr="009D15EC">
        <w:t xml:space="preserve">Removal of </w:t>
      </w:r>
      <w:r w:rsidR="003665DD">
        <w:t>part or all</w:t>
      </w:r>
      <w:r w:rsidRPr="009D15EC">
        <w:t xml:space="preserve"> </w:t>
      </w:r>
      <w:r w:rsidR="00EA440A">
        <w:t xml:space="preserve">scope, </w:t>
      </w:r>
      <w:r w:rsidRPr="009D15EC">
        <w:t>resource</w:t>
      </w:r>
      <w:r w:rsidR="003665DD">
        <w:t>, equipment or plant</w:t>
      </w:r>
      <w:r w:rsidRPr="009D15EC">
        <w:t xml:space="preserve"> associated with delivery of an AM</w:t>
      </w:r>
      <w:r w:rsidR="00BA3661">
        <w:t>S plan</w:t>
      </w:r>
      <w:r w:rsidRPr="009D15EC">
        <w:t xml:space="preserve"> </w:t>
      </w:r>
      <w:r w:rsidR="003665DD">
        <w:t xml:space="preserve">should be justified and </w:t>
      </w:r>
      <w:r w:rsidR="00ED39DC">
        <w:t>recorded</w:t>
      </w:r>
      <w:r w:rsidR="00433E13">
        <w:t xml:space="preserve">.  </w:t>
      </w:r>
      <w:r w:rsidR="00E11ADF">
        <w:t>S</w:t>
      </w:r>
      <w:r w:rsidR="003665DD">
        <w:t xml:space="preserve">uitable </w:t>
      </w:r>
      <w:r w:rsidRPr="009D15EC">
        <w:t>mitigation plan</w:t>
      </w:r>
      <w:r w:rsidR="00E11ADF">
        <w:t>s</w:t>
      </w:r>
      <w:r w:rsidRPr="009D15EC">
        <w:t xml:space="preserve"> </w:t>
      </w:r>
      <w:r w:rsidR="003665DD">
        <w:t>should be</w:t>
      </w:r>
      <w:r w:rsidR="00E11ADF">
        <w:t xml:space="preserve"> available, </w:t>
      </w:r>
      <w:r w:rsidRPr="009D15EC">
        <w:t>agreed with the</w:t>
      </w:r>
      <w:r w:rsidR="007D45E3">
        <w:t xml:space="preserve"> identified</w:t>
      </w:r>
      <w:r w:rsidR="00003A66" w:rsidRPr="00003A66">
        <w:t xml:space="preserve"> </w:t>
      </w:r>
      <w:r w:rsidR="00332B7E">
        <w:t>A</w:t>
      </w:r>
      <w:r w:rsidR="00003A66" w:rsidRPr="00003A66">
        <w:t xml:space="preserve">sset </w:t>
      </w:r>
      <w:r w:rsidRPr="009D15EC">
        <w:t>owner</w:t>
      </w:r>
      <w:r w:rsidR="00433E13">
        <w:t xml:space="preserve">.  </w:t>
      </w:r>
      <w:r w:rsidR="00F734E7" w:rsidRPr="00917CBA">
        <w:t xml:space="preserve">[5] [6] </w:t>
      </w:r>
      <w:r w:rsidR="00356295" w:rsidRPr="00917CBA">
        <w:t>[7]</w:t>
      </w:r>
    </w:p>
    <w:p w14:paraId="3A0A25E9" w14:textId="77777777" w:rsidR="00BE14AF" w:rsidRPr="00102723" w:rsidRDefault="00BE14AF" w:rsidP="00BE14AF">
      <w:pPr>
        <w:pStyle w:val="TSHeadingNumbered111"/>
        <w:numPr>
          <w:ilvl w:val="0"/>
          <w:numId w:val="5"/>
        </w:numPr>
        <w:jc w:val="both"/>
      </w:pPr>
      <w:r w:rsidRPr="009D15EC">
        <w:t>The AMS should be integrated with supply chain</w:t>
      </w:r>
      <w:r>
        <w:t xml:space="preserve">.  </w:t>
      </w:r>
      <w:r w:rsidRPr="009D15EC">
        <w:t xml:space="preserve">Outsourcing </w:t>
      </w:r>
      <w:r>
        <w:t>asset management</w:t>
      </w:r>
      <w:r w:rsidRPr="009D15EC">
        <w:t xml:space="preserve"> to a third party </w:t>
      </w:r>
      <w:r>
        <w:t xml:space="preserve">should </w:t>
      </w:r>
      <w:r w:rsidRPr="009D15EC">
        <w:t>be effectively monitored and controlled</w:t>
      </w:r>
      <w:r>
        <w:t xml:space="preserve">.  </w:t>
      </w:r>
      <w:r w:rsidRPr="009D15EC">
        <w:t xml:space="preserve">This should also include sharing of </w:t>
      </w:r>
      <w:r>
        <w:t xml:space="preserve">Identified </w:t>
      </w:r>
      <w:r w:rsidR="00332B7E">
        <w:t>A</w:t>
      </w:r>
      <w:r w:rsidRPr="00431DB9">
        <w:t>sset</w:t>
      </w:r>
      <w:r>
        <w:t>’</w:t>
      </w:r>
      <w:r w:rsidRPr="00431DB9">
        <w:t>s</w:t>
      </w:r>
      <w:r w:rsidRPr="009D15EC">
        <w:t xml:space="preserve"> information between organisations</w:t>
      </w:r>
      <w:r>
        <w:t xml:space="preserve">.  </w:t>
      </w:r>
      <w:r w:rsidRPr="00917CBA">
        <w:t>[7]</w:t>
      </w:r>
    </w:p>
    <w:p w14:paraId="325D33F3" w14:textId="77777777" w:rsidR="00BE14AF" w:rsidRDefault="00BE14AF" w:rsidP="00BE14AF">
      <w:pPr>
        <w:pStyle w:val="TSHeadingNumbered111"/>
        <w:numPr>
          <w:ilvl w:val="0"/>
          <w:numId w:val="5"/>
        </w:numPr>
        <w:jc w:val="both"/>
      </w:pPr>
      <w:r>
        <w:t>Impact of long term storage of spares should be assessed to identify degradation mechanisms. This should be supported within suitable spares strategies. Specific attention should be paid to spares that have been in storage for extended periods, with suitable QA process in place to provide ongoing confidence in the condition of the asset.</w:t>
      </w:r>
    </w:p>
    <w:p w14:paraId="3C9EBA68" w14:textId="77777777" w:rsidR="00E76B04" w:rsidRPr="009D15EC" w:rsidRDefault="00E76B04" w:rsidP="00E76B04">
      <w:pPr>
        <w:pStyle w:val="TSHeadingNumbered111"/>
        <w:numPr>
          <w:ilvl w:val="0"/>
          <w:numId w:val="5"/>
        </w:numPr>
        <w:jc w:val="both"/>
      </w:pPr>
      <w:r w:rsidRPr="009D15EC">
        <w:t xml:space="preserve">The AMS should consider the </w:t>
      </w:r>
      <w:r w:rsidR="007426D3">
        <w:t>suitably qualified and experienced person</w:t>
      </w:r>
      <w:r w:rsidRPr="009D15EC">
        <w:t xml:space="preserve"> roles, responsibilities and accountabilities for those persons who contribute to the effectiveness of the AMS throughout its life-cycle</w:t>
      </w:r>
      <w:r w:rsidR="00433E13">
        <w:t xml:space="preserve">.  </w:t>
      </w:r>
      <w:r w:rsidRPr="009D15EC">
        <w:t>Any specific training should be captured and linked with the relevant AM</w:t>
      </w:r>
      <w:r>
        <w:t>S plans</w:t>
      </w:r>
      <w:r w:rsidR="00433E13">
        <w:t xml:space="preserve">.  </w:t>
      </w:r>
      <w:r w:rsidRPr="00917CBA">
        <w:t>[7]</w:t>
      </w:r>
    </w:p>
    <w:p w14:paraId="30620C69" w14:textId="77777777" w:rsidR="000361E0" w:rsidRPr="009D15EC" w:rsidRDefault="00DD199D" w:rsidP="00D0114E">
      <w:pPr>
        <w:pStyle w:val="TSHeadingNumbered111"/>
        <w:numPr>
          <w:ilvl w:val="0"/>
          <w:numId w:val="0"/>
        </w:numPr>
        <w:ind w:left="1440"/>
        <w:jc w:val="both"/>
      </w:pPr>
      <w:r w:rsidRPr="009D15EC">
        <w:t>The AMS should demonstrate</w:t>
      </w:r>
      <w:r w:rsidR="00E76B04">
        <w:t xml:space="preserve"> that</w:t>
      </w:r>
      <w:r w:rsidRPr="009D15EC">
        <w:t xml:space="preserve"> </w:t>
      </w:r>
      <w:r w:rsidR="00E76B04">
        <w:t xml:space="preserve">the </w:t>
      </w:r>
      <w:r w:rsidR="00AF06FD">
        <w:t>du</w:t>
      </w:r>
      <w:r w:rsidRPr="009D15EC">
        <w:t>ly authorised</w:t>
      </w:r>
      <w:r w:rsidR="00AF06FD">
        <w:t>,</w:t>
      </w:r>
      <w:r w:rsidRPr="009D15EC">
        <w:t xml:space="preserve"> and other suitably qualified </w:t>
      </w:r>
      <w:r w:rsidR="00BE14AF">
        <w:t xml:space="preserve">and </w:t>
      </w:r>
      <w:r w:rsidRPr="009D15EC">
        <w:t>experience</w:t>
      </w:r>
      <w:r w:rsidR="00BE14AF">
        <w:t>d</w:t>
      </w:r>
      <w:r w:rsidRPr="009D15EC">
        <w:t xml:space="preserve"> persons </w:t>
      </w:r>
      <w:r w:rsidR="00C545FB">
        <w:t xml:space="preserve">are </w:t>
      </w:r>
      <w:r w:rsidR="002078E4">
        <w:t>part of the control and supervision across the AMS</w:t>
      </w:r>
      <w:r w:rsidR="00433E13">
        <w:t xml:space="preserve">.  </w:t>
      </w:r>
      <w:r w:rsidR="00C545FB">
        <w:t xml:space="preserve">The </w:t>
      </w:r>
      <w:r w:rsidRPr="009D15EC">
        <w:t xml:space="preserve">level of experience and qualifications </w:t>
      </w:r>
      <w:r w:rsidR="00E76B04">
        <w:t>required</w:t>
      </w:r>
      <w:r w:rsidR="00E76B04" w:rsidRPr="009D15EC">
        <w:t xml:space="preserve"> </w:t>
      </w:r>
      <w:r w:rsidRPr="009D15EC">
        <w:t>t</w:t>
      </w:r>
      <w:r w:rsidR="00F41A18" w:rsidRPr="009D15EC">
        <w:t>o maintain oversight and control</w:t>
      </w:r>
      <w:r w:rsidRPr="009D15EC">
        <w:t xml:space="preserve"> </w:t>
      </w:r>
      <w:r w:rsidR="00E76B04">
        <w:t>should be clear</w:t>
      </w:r>
      <w:r w:rsidR="00433E13">
        <w:t xml:space="preserve">.  </w:t>
      </w:r>
      <w:r w:rsidR="00E76B04">
        <w:t>Responsibilities and authorisations should be set out</w:t>
      </w:r>
      <w:r w:rsidR="00433E13">
        <w:t xml:space="preserve">.  </w:t>
      </w:r>
      <w:r w:rsidR="00432695" w:rsidRPr="009D15EC">
        <w:t xml:space="preserve"> </w:t>
      </w:r>
      <w:r w:rsidR="00AF06FD">
        <w:t>[</w:t>
      </w:r>
      <w:r w:rsidR="00432695" w:rsidRPr="00AF06FD">
        <w:t>5] [6]</w:t>
      </w:r>
      <w:r w:rsidR="00432695" w:rsidRPr="009D15EC">
        <w:rPr>
          <w:vertAlign w:val="superscript"/>
        </w:rPr>
        <w:t xml:space="preserve"> </w:t>
      </w:r>
      <w:r w:rsidR="00432695" w:rsidRPr="00917CBA">
        <w:t>[7]</w:t>
      </w:r>
    </w:p>
    <w:p w14:paraId="3C82EFD0" w14:textId="77777777" w:rsidR="009C2239" w:rsidRDefault="009C2239" w:rsidP="00AB1357">
      <w:pPr>
        <w:pStyle w:val="TSHeadingNumbered111"/>
        <w:numPr>
          <w:ilvl w:val="0"/>
          <w:numId w:val="0"/>
        </w:numPr>
        <w:jc w:val="both"/>
      </w:pPr>
    </w:p>
    <w:p w14:paraId="0636C5F9" w14:textId="77777777" w:rsidR="009B5159" w:rsidRPr="009D15EC" w:rsidRDefault="009B5159">
      <w:pPr>
        <w:pStyle w:val="TSHeadingNumbered1"/>
        <w:jc w:val="both"/>
      </w:pPr>
      <w:bookmarkStart w:id="5" w:name="_Toc464198985"/>
      <w:r w:rsidRPr="009D15EC">
        <w:t>REFERENCES</w:t>
      </w:r>
      <w:bookmarkEnd w:id="5"/>
    </w:p>
    <w:p w14:paraId="7E5598E7" w14:textId="77777777" w:rsidR="009B5159" w:rsidRPr="009D15EC" w:rsidRDefault="009B5159" w:rsidP="000C16CF">
      <w:pPr>
        <w:jc w:val="both"/>
        <w:rPr>
          <w:rStyle w:val="TSExampleText"/>
          <w:color w:val="auto"/>
        </w:rPr>
      </w:pPr>
    </w:p>
    <w:p w14:paraId="34D7BFA5" w14:textId="77777777" w:rsidR="009B5159" w:rsidRPr="009D15EC" w:rsidRDefault="009B5159" w:rsidP="00BC5131">
      <w:pPr>
        <w:ind w:left="720" w:hanging="720"/>
        <w:rPr>
          <w:rStyle w:val="TSExampleText"/>
          <w:color w:val="auto"/>
        </w:rPr>
      </w:pPr>
      <w:r w:rsidRPr="009D15EC">
        <w:rPr>
          <w:rStyle w:val="TSExampleText"/>
          <w:color w:val="auto"/>
        </w:rPr>
        <w:t>1</w:t>
      </w:r>
      <w:r w:rsidRPr="009D15EC">
        <w:rPr>
          <w:rStyle w:val="TSExampleText"/>
          <w:color w:val="auto"/>
        </w:rPr>
        <w:tab/>
      </w:r>
      <w:r w:rsidR="00BC5131" w:rsidRPr="009D15EC">
        <w:rPr>
          <w:rStyle w:val="TSExampleText"/>
          <w:color w:val="auto"/>
        </w:rPr>
        <w:t>Licence condition handbook</w:t>
      </w:r>
      <w:r w:rsidR="00433E13">
        <w:rPr>
          <w:rStyle w:val="TSExampleText"/>
          <w:color w:val="auto"/>
        </w:rPr>
        <w:t xml:space="preserve">.  </w:t>
      </w:r>
      <w:r w:rsidRPr="009D15EC">
        <w:rPr>
          <w:rStyle w:val="TSExampleText"/>
          <w:color w:val="auto"/>
        </w:rPr>
        <w:t>Office for Nuclear Re</w:t>
      </w:r>
      <w:r w:rsidR="00BC5131" w:rsidRPr="009D15EC">
        <w:rPr>
          <w:rStyle w:val="TSExampleText"/>
          <w:color w:val="auto"/>
        </w:rPr>
        <w:t>gulation</w:t>
      </w:r>
      <w:r w:rsidR="00433E13">
        <w:rPr>
          <w:rStyle w:val="TSExampleText"/>
          <w:color w:val="auto"/>
        </w:rPr>
        <w:t xml:space="preserve">.  </w:t>
      </w:r>
      <w:r w:rsidR="00BC5131" w:rsidRPr="009D15EC">
        <w:rPr>
          <w:rStyle w:val="TSExampleText"/>
          <w:color w:val="auto"/>
        </w:rPr>
        <w:t xml:space="preserve">January 2016 </w:t>
      </w:r>
      <w:hyperlink r:id="rId11" w:history="1">
        <w:r w:rsidR="00BC5131" w:rsidRPr="009D15EC">
          <w:rPr>
            <w:rStyle w:val="Hyperlink"/>
          </w:rPr>
          <w:t>http://www.onr.org.uk/documents/licence-condition-handbook.pdf</w:t>
        </w:r>
      </w:hyperlink>
    </w:p>
    <w:p w14:paraId="53DFDBCE" w14:textId="77777777" w:rsidR="00BC5131" w:rsidRPr="009D15EC" w:rsidRDefault="00BC5131" w:rsidP="00BC5131">
      <w:pPr>
        <w:ind w:left="720" w:hanging="720"/>
        <w:jc w:val="both"/>
        <w:rPr>
          <w:rStyle w:val="TSExampleText"/>
          <w:color w:val="auto"/>
        </w:rPr>
      </w:pPr>
    </w:p>
    <w:p w14:paraId="4E0056E3" w14:textId="77777777" w:rsidR="009B5159" w:rsidRPr="009D15EC" w:rsidRDefault="009B5159" w:rsidP="00A717E1">
      <w:pPr>
        <w:ind w:left="720" w:hanging="720"/>
        <w:rPr>
          <w:rStyle w:val="TSExampleText"/>
          <w:i w:val="0"/>
          <w:iCs w:val="0"/>
          <w:color w:val="auto"/>
        </w:rPr>
      </w:pPr>
      <w:r w:rsidRPr="009D15EC">
        <w:rPr>
          <w:rStyle w:val="TSExampleText"/>
          <w:color w:val="auto"/>
        </w:rPr>
        <w:t>2</w:t>
      </w:r>
      <w:r w:rsidR="00A717E1" w:rsidRPr="009D15EC">
        <w:rPr>
          <w:rStyle w:val="TSExampleText"/>
          <w:color w:val="auto"/>
        </w:rPr>
        <w:tab/>
        <w:t xml:space="preserve">Office for Nuclear Regulation (ONR) </w:t>
      </w:r>
      <w:proofErr w:type="spellStart"/>
      <w:r w:rsidR="00A717E1" w:rsidRPr="009D15EC">
        <w:rPr>
          <w:rStyle w:val="TSExampleText"/>
          <w:color w:val="auto"/>
        </w:rPr>
        <w:t>Permissioning</w:t>
      </w:r>
      <w:proofErr w:type="spellEnd"/>
      <w:r w:rsidR="00A717E1" w:rsidRPr="009D15EC">
        <w:rPr>
          <w:rStyle w:val="TSExampleText"/>
          <w:color w:val="auto"/>
        </w:rPr>
        <w:t xml:space="preserve"> inspection - Technical assessment guides </w:t>
      </w:r>
      <w:hyperlink r:id="rId12" w:history="1">
        <w:r w:rsidR="00A717E1" w:rsidRPr="009D15EC">
          <w:rPr>
            <w:rStyle w:val="Hyperlink"/>
          </w:rPr>
          <w:t>http://www.onr.org.uk/operational/tech_asst_guides/index.htm</w:t>
        </w:r>
      </w:hyperlink>
    </w:p>
    <w:p w14:paraId="7E120F43" w14:textId="77777777" w:rsidR="00606088" w:rsidRPr="009D15EC" w:rsidRDefault="00606088" w:rsidP="00606088">
      <w:pPr>
        <w:ind w:left="720"/>
        <w:rPr>
          <w:rStyle w:val="TSExampleText"/>
          <w:color w:val="auto"/>
        </w:rPr>
      </w:pPr>
    </w:p>
    <w:p w14:paraId="15E08483" w14:textId="77777777" w:rsidR="00DF13C3" w:rsidRPr="009D15EC" w:rsidRDefault="009B5159" w:rsidP="000C16CF">
      <w:pPr>
        <w:ind w:left="720" w:hanging="720"/>
        <w:jc w:val="both"/>
        <w:rPr>
          <w:rStyle w:val="Hyperlink"/>
          <w:color w:val="auto"/>
        </w:rPr>
      </w:pPr>
      <w:r w:rsidRPr="009D15EC">
        <w:rPr>
          <w:rStyle w:val="TSExampleText"/>
          <w:color w:val="auto"/>
        </w:rPr>
        <w:t>3</w:t>
      </w:r>
      <w:r w:rsidRPr="009D15EC">
        <w:rPr>
          <w:rStyle w:val="TSExampleText"/>
          <w:color w:val="auto"/>
        </w:rPr>
        <w:tab/>
        <w:t>Safety Assessment Principles for Nuclear Facilities</w:t>
      </w:r>
      <w:r w:rsidR="00433E13">
        <w:rPr>
          <w:rStyle w:val="TSExampleText"/>
          <w:color w:val="auto"/>
        </w:rPr>
        <w:t xml:space="preserve">.  </w:t>
      </w:r>
      <w:r w:rsidR="00DF13C3" w:rsidRPr="009D15EC">
        <w:rPr>
          <w:rStyle w:val="TSExampleText"/>
          <w:color w:val="auto"/>
        </w:rPr>
        <w:t>2014</w:t>
      </w:r>
      <w:r w:rsidRPr="009D15EC">
        <w:rPr>
          <w:rStyle w:val="TSExampleText"/>
          <w:color w:val="auto"/>
        </w:rPr>
        <w:t xml:space="preserve"> Edition Revision </w:t>
      </w:r>
      <w:r w:rsidR="00DF13C3" w:rsidRPr="009D15EC">
        <w:rPr>
          <w:rStyle w:val="TSExampleText"/>
          <w:color w:val="auto"/>
        </w:rPr>
        <w:t>0</w:t>
      </w:r>
      <w:r w:rsidR="00433E13">
        <w:rPr>
          <w:rStyle w:val="TSExampleText"/>
          <w:color w:val="auto"/>
        </w:rPr>
        <w:t xml:space="preserve">.  </w:t>
      </w:r>
      <w:r w:rsidR="00DF13C3" w:rsidRPr="009D15EC">
        <w:rPr>
          <w:rStyle w:val="TSExampleText"/>
          <w:color w:val="auto"/>
        </w:rPr>
        <w:t xml:space="preserve"> November 2014.</w:t>
      </w:r>
      <w:hyperlink r:id="rId13" w:history="1">
        <w:r w:rsidR="00606088" w:rsidRPr="009D15EC">
          <w:rPr>
            <w:rStyle w:val="Hyperlink"/>
          </w:rPr>
          <w:t>http://www.onr.org.uk/saps/saps2014.pdf</w:t>
        </w:r>
      </w:hyperlink>
      <w:r w:rsidR="00606088" w:rsidRPr="009D15EC">
        <w:rPr>
          <w:rStyle w:val="Hyperlink"/>
          <w:color w:val="auto"/>
        </w:rPr>
        <w:t xml:space="preserve"> </w:t>
      </w:r>
    </w:p>
    <w:p w14:paraId="61486324" w14:textId="77777777" w:rsidR="00606088" w:rsidRPr="009D15EC" w:rsidRDefault="00606088" w:rsidP="000C16CF">
      <w:pPr>
        <w:ind w:left="720" w:hanging="720"/>
        <w:jc w:val="both"/>
        <w:rPr>
          <w:rStyle w:val="TSExampleText"/>
          <w:color w:val="auto"/>
        </w:rPr>
      </w:pPr>
    </w:p>
    <w:p w14:paraId="311035D8" w14:textId="0C817305" w:rsidR="009B5159" w:rsidRPr="009D15EC" w:rsidRDefault="009B5159" w:rsidP="00517098">
      <w:pPr>
        <w:ind w:left="720" w:hanging="720"/>
        <w:rPr>
          <w:rStyle w:val="TSExampleText"/>
          <w:color w:val="auto"/>
        </w:rPr>
      </w:pPr>
      <w:r w:rsidRPr="009D15EC">
        <w:rPr>
          <w:rStyle w:val="TSExampleText"/>
          <w:color w:val="auto"/>
        </w:rPr>
        <w:t>4</w:t>
      </w:r>
      <w:r w:rsidRPr="009D15EC">
        <w:rPr>
          <w:rStyle w:val="TSExampleText"/>
          <w:color w:val="auto"/>
        </w:rPr>
        <w:tab/>
        <w:t>Western European Nuclear Regulators’ Association</w:t>
      </w:r>
      <w:r w:rsidR="00433E13">
        <w:rPr>
          <w:rStyle w:val="TSExampleText"/>
          <w:color w:val="auto"/>
        </w:rPr>
        <w:t xml:space="preserve">.  </w:t>
      </w:r>
      <w:r w:rsidRPr="009D15EC">
        <w:rPr>
          <w:rStyle w:val="TSExampleText"/>
          <w:color w:val="auto"/>
        </w:rPr>
        <w:t xml:space="preserve"> Reactor Harmonization Group</w:t>
      </w:r>
      <w:r w:rsidR="00433E13">
        <w:rPr>
          <w:rStyle w:val="TSExampleText"/>
          <w:color w:val="auto"/>
        </w:rPr>
        <w:t xml:space="preserve">.  </w:t>
      </w:r>
      <w:r w:rsidRPr="009D15EC">
        <w:rPr>
          <w:rStyle w:val="TSExampleText"/>
          <w:color w:val="auto"/>
        </w:rPr>
        <w:t xml:space="preserve"> WENRA Reactor Reference Safety Levels</w:t>
      </w:r>
      <w:r w:rsidR="00433E13">
        <w:rPr>
          <w:rStyle w:val="TSExampleText"/>
          <w:color w:val="auto"/>
        </w:rPr>
        <w:t xml:space="preserve">.  </w:t>
      </w:r>
      <w:r w:rsidR="00C252B4" w:rsidRPr="009D15EC">
        <w:rPr>
          <w:rStyle w:val="TSExampleText"/>
          <w:color w:val="auto"/>
        </w:rPr>
        <w:t>September 2014</w:t>
      </w:r>
      <w:r w:rsidR="00433E13">
        <w:rPr>
          <w:rStyle w:val="TSExampleText"/>
          <w:color w:val="auto"/>
        </w:rPr>
        <w:t xml:space="preserve">.  </w:t>
      </w:r>
    </w:p>
    <w:p w14:paraId="55EE6A2C" w14:textId="77777777" w:rsidR="00517098" w:rsidRPr="009D15EC" w:rsidRDefault="00517098" w:rsidP="000C16CF">
      <w:pPr>
        <w:ind w:left="720" w:hanging="720"/>
        <w:jc w:val="both"/>
        <w:rPr>
          <w:rStyle w:val="TSExampleText"/>
          <w:color w:val="auto"/>
        </w:rPr>
      </w:pPr>
    </w:p>
    <w:p w14:paraId="366BF77F" w14:textId="77777777" w:rsidR="00EC3C89" w:rsidRDefault="00517098" w:rsidP="000C16CF">
      <w:pPr>
        <w:ind w:left="720" w:hanging="720"/>
        <w:jc w:val="both"/>
        <w:rPr>
          <w:rStyle w:val="TSExampleText"/>
          <w:color w:val="auto"/>
        </w:rPr>
      </w:pPr>
      <w:r w:rsidRPr="009D15EC">
        <w:rPr>
          <w:rStyle w:val="TSExampleText"/>
          <w:color w:val="auto"/>
        </w:rPr>
        <w:t>5</w:t>
      </w:r>
      <w:r w:rsidRPr="009D15EC">
        <w:rPr>
          <w:rStyle w:val="TSExampleText"/>
          <w:color w:val="auto"/>
        </w:rPr>
        <w:tab/>
      </w:r>
      <w:r w:rsidR="00125E00" w:rsidRPr="009D15EC">
        <w:rPr>
          <w:rStyle w:val="TSExampleText"/>
          <w:color w:val="auto"/>
        </w:rPr>
        <w:t>IAEA Safety Guide No.</w:t>
      </w:r>
      <w:r w:rsidR="00EC3C89">
        <w:rPr>
          <w:rStyle w:val="TSExampleText"/>
          <w:color w:val="auto"/>
        </w:rPr>
        <w:t>SSG-48</w:t>
      </w:r>
      <w:r w:rsidRPr="009D15EC">
        <w:rPr>
          <w:rStyle w:val="TSExampleText"/>
          <w:color w:val="auto"/>
        </w:rPr>
        <w:t xml:space="preserve"> – Ageing Management </w:t>
      </w:r>
      <w:r w:rsidR="00EC3C89">
        <w:rPr>
          <w:rStyle w:val="TSExampleText"/>
          <w:color w:val="auto"/>
        </w:rPr>
        <w:t>and Development of a Programme for Long Term Operation of</w:t>
      </w:r>
      <w:r w:rsidRPr="009D15EC">
        <w:rPr>
          <w:rStyle w:val="TSExampleText"/>
          <w:color w:val="auto"/>
        </w:rPr>
        <w:t xml:space="preserve"> Nuclear Power Plants</w:t>
      </w:r>
      <w:r w:rsidR="00125E00" w:rsidRPr="009D15EC">
        <w:rPr>
          <w:rStyle w:val="TSExampleText"/>
          <w:color w:val="auto"/>
        </w:rPr>
        <w:t xml:space="preserve"> </w:t>
      </w:r>
      <w:hyperlink r:id="rId14" w:history="1">
        <w:r w:rsidR="00EC3C89" w:rsidRPr="0043308A">
          <w:rPr>
            <w:rStyle w:val="Hyperlink"/>
          </w:rPr>
          <w:t>https://www-pub.iaea.org/MTCD/Publications/PDF/P1814_web.pdf</w:t>
        </w:r>
      </w:hyperlink>
    </w:p>
    <w:p w14:paraId="670290FC" w14:textId="77777777" w:rsidR="00EC3C89" w:rsidRDefault="00EC3C89" w:rsidP="000C16CF">
      <w:pPr>
        <w:ind w:left="720" w:hanging="720"/>
        <w:jc w:val="both"/>
        <w:rPr>
          <w:rStyle w:val="TSExampleText"/>
          <w:color w:val="auto"/>
        </w:rPr>
      </w:pPr>
    </w:p>
    <w:p w14:paraId="6881092F" w14:textId="77777777" w:rsidR="000B5A78" w:rsidRPr="009D15EC" w:rsidRDefault="000B5A78">
      <w:pPr>
        <w:ind w:left="720" w:hanging="720"/>
        <w:jc w:val="both"/>
        <w:rPr>
          <w:rStyle w:val="TSExampleText"/>
          <w:color w:val="auto"/>
        </w:rPr>
      </w:pPr>
      <w:r w:rsidRPr="009D15EC">
        <w:rPr>
          <w:rStyle w:val="TSExampleText"/>
          <w:color w:val="auto"/>
        </w:rPr>
        <w:t>6</w:t>
      </w:r>
      <w:r w:rsidRPr="009D15EC">
        <w:rPr>
          <w:rStyle w:val="TSExampleText"/>
          <w:color w:val="auto"/>
        </w:rPr>
        <w:tab/>
        <w:t>Methodology for the Management of Ageing of Nuclear Power Plant Components Important to Safety – Technical Report Series No: 338</w:t>
      </w:r>
    </w:p>
    <w:p w14:paraId="394A30A8" w14:textId="77777777" w:rsidR="000B5A78" w:rsidRPr="009D15EC" w:rsidRDefault="0003406A" w:rsidP="000B5A78">
      <w:pPr>
        <w:ind w:left="720"/>
        <w:jc w:val="both"/>
        <w:rPr>
          <w:rStyle w:val="TSExampleText"/>
          <w:color w:val="auto"/>
        </w:rPr>
      </w:pPr>
      <w:hyperlink r:id="rId15" w:history="1">
        <w:r w:rsidR="000B5A78" w:rsidRPr="009D15EC">
          <w:rPr>
            <w:rStyle w:val="Hyperlink"/>
          </w:rPr>
          <w:t>http://www-pub.iaea.org/books/IAEABooks/1442/Methodology-for-the-Management-of-Ageing-of-Nuclear-Power-Plant-Components-Important-to-Safety</w:t>
        </w:r>
      </w:hyperlink>
    </w:p>
    <w:p w14:paraId="6E397C0A" w14:textId="77777777" w:rsidR="00651C40" w:rsidRPr="009D15EC" w:rsidRDefault="00651C40" w:rsidP="000C16CF">
      <w:pPr>
        <w:ind w:left="720" w:hanging="720"/>
        <w:jc w:val="both"/>
        <w:rPr>
          <w:rStyle w:val="TSExampleText"/>
          <w:color w:val="auto"/>
        </w:rPr>
      </w:pPr>
    </w:p>
    <w:p w14:paraId="2E5871C3" w14:textId="77777777" w:rsidR="00651C40" w:rsidRPr="009D15EC" w:rsidRDefault="000B5A78" w:rsidP="000C16CF">
      <w:pPr>
        <w:ind w:left="720" w:hanging="720"/>
        <w:jc w:val="both"/>
        <w:rPr>
          <w:rStyle w:val="TSExampleText"/>
          <w:color w:val="auto"/>
        </w:rPr>
      </w:pPr>
      <w:r w:rsidRPr="009D15EC">
        <w:rPr>
          <w:rStyle w:val="TSExampleText"/>
          <w:color w:val="auto"/>
        </w:rPr>
        <w:t>7</w:t>
      </w:r>
      <w:r w:rsidR="00651C40" w:rsidRPr="009D15EC">
        <w:rPr>
          <w:rStyle w:val="TSExampleText"/>
          <w:color w:val="auto"/>
        </w:rPr>
        <w:tab/>
        <w:t>Frazer Nash R</w:t>
      </w:r>
      <w:r w:rsidR="00E34ADE" w:rsidRPr="009D15EC">
        <w:rPr>
          <w:rStyle w:val="TSExampleText"/>
          <w:color w:val="auto"/>
        </w:rPr>
        <w:t xml:space="preserve">eport – Establishment of Relevant Good Practice in the Area of </w:t>
      </w:r>
      <w:r w:rsidR="00FC619F">
        <w:rPr>
          <w:rStyle w:val="TSExampleText"/>
          <w:color w:val="auto"/>
        </w:rPr>
        <w:t>Asset Management</w:t>
      </w:r>
      <w:r w:rsidR="00433E13">
        <w:rPr>
          <w:rStyle w:val="TSExampleText"/>
          <w:color w:val="auto"/>
        </w:rPr>
        <w:t xml:space="preserve">.  </w:t>
      </w:r>
      <w:r w:rsidR="00E34ADE" w:rsidRPr="009D15EC">
        <w:rPr>
          <w:rStyle w:val="TSExampleText"/>
          <w:color w:val="auto"/>
        </w:rPr>
        <w:t>FNC 45501/</w:t>
      </w:r>
      <w:r w:rsidR="003C04C6">
        <w:rPr>
          <w:rStyle w:val="TSExampleText"/>
          <w:color w:val="auto"/>
        </w:rPr>
        <w:t xml:space="preserve">42258R issue </w:t>
      </w:r>
      <w:r w:rsidR="000361E0">
        <w:rPr>
          <w:rStyle w:val="TSExampleText"/>
          <w:color w:val="auto"/>
        </w:rPr>
        <w:t xml:space="preserve">CM9 </w:t>
      </w:r>
      <w:r w:rsidR="003C04C6">
        <w:rPr>
          <w:rStyle w:val="TSExampleText"/>
          <w:color w:val="auto"/>
        </w:rPr>
        <w:t>Ref 2016/240163</w:t>
      </w:r>
    </w:p>
    <w:p w14:paraId="12110F7F" w14:textId="77777777" w:rsidR="00E34ADE" w:rsidRPr="009D15EC" w:rsidRDefault="00E34ADE" w:rsidP="000C16CF">
      <w:pPr>
        <w:ind w:left="720" w:hanging="720"/>
        <w:jc w:val="both"/>
        <w:rPr>
          <w:rStyle w:val="TSExampleText"/>
          <w:color w:val="auto"/>
        </w:rPr>
      </w:pPr>
    </w:p>
    <w:p w14:paraId="338C43D1" w14:textId="77777777" w:rsidR="00E34ADE" w:rsidRPr="009D15EC" w:rsidRDefault="000B5A78" w:rsidP="0073772E">
      <w:pPr>
        <w:ind w:left="720" w:hanging="720"/>
        <w:rPr>
          <w:rStyle w:val="TSExampleText"/>
          <w:color w:val="auto"/>
        </w:rPr>
      </w:pPr>
      <w:r w:rsidRPr="009D15EC">
        <w:rPr>
          <w:rStyle w:val="TSExampleText"/>
          <w:color w:val="auto"/>
        </w:rPr>
        <w:t>8</w:t>
      </w:r>
      <w:r w:rsidR="00E34ADE" w:rsidRPr="009D15EC">
        <w:rPr>
          <w:rStyle w:val="TSExampleText"/>
          <w:color w:val="auto"/>
        </w:rPr>
        <w:tab/>
      </w:r>
      <w:r w:rsidR="002D2278" w:rsidRPr="009D15EC">
        <w:rPr>
          <w:rStyle w:val="TSExampleText"/>
          <w:color w:val="auto"/>
        </w:rPr>
        <w:t xml:space="preserve">ICE’s Guiding Principles of </w:t>
      </w:r>
      <w:r w:rsidR="00FC619F">
        <w:rPr>
          <w:rStyle w:val="TSExampleText"/>
          <w:color w:val="auto"/>
        </w:rPr>
        <w:t>Asset Management</w:t>
      </w:r>
      <w:r w:rsidR="007B13E7" w:rsidRPr="009D15EC">
        <w:rPr>
          <w:rStyle w:val="TSExampleText"/>
          <w:color w:val="auto"/>
        </w:rPr>
        <w:t xml:space="preserve"> -</w:t>
      </w:r>
      <w:r w:rsidR="0073772E" w:rsidRPr="009D15EC">
        <w:rPr>
          <w:rStyle w:val="TSExampleText"/>
          <w:color w:val="auto"/>
        </w:rPr>
        <w:t xml:space="preserve"> Nov 2014 </w:t>
      </w:r>
      <w:hyperlink r:id="rId16" w:history="1">
        <w:r w:rsidR="002D2278" w:rsidRPr="009D15EC">
          <w:rPr>
            <w:rStyle w:val="Hyperlink"/>
          </w:rPr>
          <w:t>https://www.ice.org.uk/disciplines-and-resources/best-practice/realising-a-world-class-infrastructure</w:t>
        </w:r>
      </w:hyperlink>
    </w:p>
    <w:p w14:paraId="27128A1C" w14:textId="77777777" w:rsidR="002D2278" w:rsidRPr="009D15EC" w:rsidRDefault="002D2278" w:rsidP="000C16CF">
      <w:pPr>
        <w:ind w:left="720" w:hanging="720"/>
        <w:jc w:val="both"/>
        <w:rPr>
          <w:rStyle w:val="TSExampleText"/>
          <w:color w:val="auto"/>
        </w:rPr>
      </w:pPr>
    </w:p>
    <w:p w14:paraId="0D491E34" w14:textId="77777777" w:rsidR="002D2278" w:rsidRPr="009D15EC" w:rsidRDefault="000B5A78" w:rsidP="001614B7">
      <w:pPr>
        <w:ind w:left="720" w:hanging="720"/>
        <w:jc w:val="both"/>
        <w:rPr>
          <w:rStyle w:val="TSExampleText"/>
          <w:color w:val="auto"/>
        </w:rPr>
      </w:pPr>
      <w:r w:rsidRPr="003C04C6">
        <w:rPr>
          <w:rStyle w:val="TSExampleText"/>
          <w:rFonts w:cs="Arial"/>
          <w:color w:val="auto"/>
        </w:rPr>
        <w:t>9</w:t>
      </w:r>
      <w:r w:rsidR="002D2278" w:rsidRPr="009D15EC">
        <w:rPr>
          <w:rStyle w:val="TSExampleText"/>
          <w:rFonts w:cs="Arial"/>
          <w:b/>
          <w:color w:val="auto"/>
        </w:rPr>
        <w:tab/>
      </w:r>
      <w:r w:rsidR="00AF6CEE" w:rsidRPr="009D15EC">
        <w:rPr>
          <w:rStyle w:val="TSExampleText"/>
          <w:color w:val="auto"/>
        </w:rPr>
        <w:t xml:space="preserve">ISO 55001 – </w:t>
      </w:r>
      <w:r w:rsidR="00FC619F">
        <w:rPr>
          <w:rStyle w:val="TSExampleText"/>
          <w:color w:val="auto"/>
        </w:rPr>
        <w:t>Asset Management</w:t>
      </w:r>
      <w:r w:rsidR="00AF6CEE" w:rsidRPr="009D15EC">
        <w:rPr>
          <w:rStyle w:val="TSExampleText"/>
          <w:color w:val="auto"/>
        </w:rPr>
        <w:t xml:space="preserve"> </w:t>
      </w:r>
      <w:r w:rsidR="00343179" w:rsidRPr="009D15EC">
        <w:rPr>
          <w:rStyle w:val="TSExampleText"/>
          <w:color w:val="auto"/>
        </w:rPr>
        <w:t>–</w:t>
      </w:r>
      <w:r w:rsidR="003C04C6">
        <w:rPr>
          <w:rStyle w:val="TSExampleText"/>
          <w:color w:val="auto"/>
        </w:rPr>
        <w:t>Management Systems—Requirements</w:t>
      </w:r>
      <w:r w:rsidR="00433E13">
        <w:rPr>
          <w:rStyle w:val="TSExampleText"/>
          <w:color w:val="auto"/>
        </w:rPr>
        <w:t xml:space="preserve">.  </w:t>
      </w:r>
      <w:r w:rsidR="000361E0">
        <w:rPr>
          <w:rStyle w:val="TSExampleText"/>
          <w:color w:val="auto"/>
        </w:rPr>
        <w:t xml:space="preserve">CM9 </w:t>
      </w:r>
      <w:r w:rsidR="003C04C6">
        <w:rPr>
          <w:rStyle w:val="TSExampleText"/>
          <w:color w:val="auto"/>
        </w:rPr>
        <w:t>Ref 2016/193129</w:t>
      </w:r>
    </w:p>
    <w:p w14:paraId="4918760D" w14:textId="77777777" w:rsidR="001614B7" w:rsidRPr="009D15EC" w:rsidRDefault="001614B7" w:rsidP="001614B7">
      <w:pPr>
        <w:ind w:left="720" w:hanging="720"/>
        <w:jc w:val="both"/>
        <w:rPr>
          <w:rStyle w:val="TSExampleText"/>
          <w:color w:val="auto"/>
        </w:rPr>
      </w:pPr>
    </w:p>
    <w:p w14:paraId="4A759D4D" w14:textId="77777777" w:rsidR="003342AE" w:rsidRDefault="005F7C43" w:rsidP="003342AE">
      <w:pPr>
        <w:ind w:left="720" w:hanging="720"/>
        <w:rPr>
          <w:rStyle w:val="TSExampleText"/>
          <w:color w:val="auto"/>
        </w:rPr>
      </w:pPr>
      <w:r>
        <w:rPr>
          <w:rStyle w:val="TSExampleText"/>
          <w:color w:val="auto"/>
        </w:rPr>
        <w:t>10</w:t>
      </w:r>
      <w:r w:rsidR="008503A5" w:rsidRPr="009D15EC">
        <w:rPr>
          <w:rStyle w:val="TSExampleText"/>
          <w:color w:val="auto"/>
        </w:rPr>
        <w:tab/>
        <w:t xml:space="preserve">Global Forum On Maintenance &amp; </w:t>
      </w:r>
      <w:r w:rsidR="00FC619F">
        <w:rPr>
          <w:rStyle w:val="TSExampleText"/>
          <w:color w:val="auto"/>
        </w:rPr>
        <w:t>Asset Management</w:t>
      </w:r>
      <w:r w:rsidR="003D100C">
        <w:rPr>
          <w:rStyle w:val="TSExampleText"/>
          <w:color w:val="auto"/>
        </w:rPr>
        <w:t xml:space="preserve"> – The </w:t>
      </w:r>
      <w:r w:rsidR="00FC619F">
        <w:rPr>
          <w:rStyle w:val="TSExampleText"/>
          <w:color w:val="auto"/>
        </w:rPr>
        <w:t>Asset Management</w:t>
      </w:r>
      <w:r w:rsidR="003D100C">
        <w:rPr>
          <w:rStyle w:val="TSExampleText"/>
          <w:color w:val="auto"/>
        </w:rPr>
        <w:t xml:space="preserve"> Landscape – second edition March 2014</w:t>
      </w:r>
      <w:r w:rsidR="00433E13">
        <w:rPr>
          <w:rStyle w:val="TSExampleText"/>
          <w:color w:val="auto"/>
        </w:rPr>
        <w:t xml:space="preserve">.  </w:t>
      </w:r>
      <w:r w:rsidR="008503A5" w:rsidRPr="009D15EC">
        <w:rPr>
          <w:rStyle w:val="TSExampleText"/>
          <w:color w:val="auto"/>
        </w:rPr>
        <w:t xml:space="preserve"> </w:t>
      </w:r>
      <w:hyperlink r:id="rId17" w:history="1">
        <w:r w:rsidR="003D100C" w:rsidRPr="003D100C">
          <w:rPr>
            <w:rStyle w:val="Hyperlink"/>
          </w:rPr>
          <w:t>http://www.gfmam.org/files/ISBN978_0_9871799_2_0_GFMAMLandscape_SecondEdition_English.pdf</w:t>
        </w:r>
      </w:hyperlink>
    </w:p>
    <w:p w14:paraId="1D205EE1" w14:textId="77777777" w:rsidR="001614B7" w:rsidRPr="009D15EC" w:rsidRDefault="001614B7" w:rsidP="00D0114E">
      <w:pPr>
        <w:jc w:val="both"/>
        <w:rPr>
          <w:rStyle w:val="TSExampleText"/>
          <w:color w:val="auto"/>
        </w:rPr>
      </w:pPr>
    </w:p>
    <w:p w14:paraId="7DE49149" w14:textId="77777777" w:rsidR="00432606" w:rsidRPr="009D15EC" w:rsidRDefault="005F7C43" w:rsidP="00163419">
      <w:pPr>
        <w:ind w:left="720" w:hanging="720"/>
        <w:rPr>
          <w:rStyle w:val="TSExampleText"/>
          <w:color w:val="auto"/>
        </w:rPr>
      </w:pPr>
      <w:r>
        <w:rPr>
          <w:rStyle w:val="TSExampleText"/>
          <w:color w:val="auto"/>
        </w:rPr>
        <w:t>11</w:t>
      </w:r>
      <w:r w:rsidR="00432606" w:rsidRPr="009D15EC">
        <w:rPr>
          <w:rStyle w:val="TSExampleText"/>
          <w:color w:val="auto"/>
        </w:rPr>
        <w:tab/>
        <w:t xml:space="preserve">NS-TAST-GD-050 </w:t>
      </w:r>
      <w:r w:rsidR="00163419">
        <w:rPr>
          <w:rStyle w:val="TSExampleText"/>
          <w:color w:val="auto"/>
        </w:rPr>
        <w:t xml:space="preserve">Rev 4 </w:t>
      </w:r>
      <w:r w:rsidR="00432606" w:rsidRPr="009D15EC">
        <w:rPr>
          <w:rStyle w:val="TSExampleText"/>
          <w:color w:val="auto"/>
        </w:rPr>
        <w:t>– P</w:t>
      </w:r>
      <w:r w:rsidR="00163419">
        <w:rPr>
          <w:rStyle w:val="TSExampleText"/>
          <w:color w:val="auto"/>
        </w:rPr>
        <w:t xml:space="preserve">eriodic </w:t>
      </w:r>
      <w:r w:rsidR="00432606" w:rsidRPr="009D15EC">
        <w:rPr>
          <w:rStyle w:val="TSExampleText"/>
          <w:color w:val="auto"/>
        </w:rPr>
        <w:t>S</w:t>
      </w:r>
      <w:r w:rsidR="00163419">
        <w:rPr>
          <w:rStyle w:val="TSExampleText"/>
          <w:color w:val="auto"/>
        </w:rPr>
        <w:t xml:space="preserve">afety </w:t>
      </w:r>
      <w:r w:rsidR="00432606" w:rsidRPr="009D15EC">
        <w:rPr>
          <w:rStyle w:val="TSExampleText"/>
          <w:color w:val="auto"/>
        </w:rPr>
        <w:t>R</w:t>
      </w:r>
      <w:r w:rsidR="00163419">
        <w:rPr>
          <w:rStyle w:val="TSExampleText"/>
          <w:color w:val="auto"/>
        </w:rPr>
        <w:t xml:space="preserve">eview (PSR) </w:t>
      </w:r>
      <w:hyperlink r:id="rId18" w:history="1">
        <w:r w:rsidR="00163419" w:rsidRPr="00163419">
          <w:rPr>
            <w:rStyle w:val="Hyperlink"/>
          </w:rPr>
          <w:t>http://www.onr.org.uk/operational/tech_asst_guides/ns-tast-gd-050.pdf</w:t>
        </w:r>
      </w:hyperlink>
    </w:p>
    <w:p w14:paraId="44A69C86" w14:textId="77777777" w:rsidR="001614B7" w:rsidRPr="009D15EC" w:rsidRDefault="001614B7" w:rsidP="001614B7">
      <w:pPr>
        <w:ind w:left="720" w:hanging="720"/>
        <w:jc w:val="both"/>
        <w:rPr>
          <w:rStyle w:val="TSExampleText"/>
          <w:color w:val="auto"/>
        </w:rPr>
      </w:pPr>
    </w:p>
    <w:p w14:paraId="46CF9606" w14:textId="77777777" w:rsidR="00430CCF" w:rsidRDefault="005F7C43" w:rsidP="00430CCF">
      <w:pPr>
        <w:ind w:left="720" w:hanging="720"/>
        <w:jc w:val="both"/>
        <w:rPr>
          <w:rStyle w:val="Hyperlink"/>
        </w:rPr>
      </w:pPr>
      <w:r>
        <w:rPr>
          <w:rStyle w:val="TSExampleText"/>
          <w:color w:val="auto"/>
        </w:rPr>
        <w:t>12</w:t>
      </w:r>
      <w:r w:rsidR="003D100C">
        <w:rPr>
          <w:rStyle w:val="TSExampleText"/>
          <w:color w:val="auto"/>
        </w:rPr>
        <w:tab/>
      </w:r>
      <w:r w:rsidR="00163419">
        <w:rPr>
          <w:rStyle w:val="TSExampleText"/>
          <w:color w:val="auto"/>
        </w:rPr>
        <w:t xml:space="preserve">Management for ageing – A frame work for nuclear chemical plants- </w:t>
      </w:r>
      <w:r w:rsidR="003D100C">
        <w:rPr>
          <w:rStyle w:val="TSExampleText"/>
          <w:color w:val="auto"/>
        </w:rPr>
        <w:t>RR</w:t>
      </w:r>
      <w:r w:rsidR="00432606" w:rsidRPr="009D15EC">
        <w:rPr>
          <w:rStyle w:val="TSExampleText"/>
          <w:color w:val="auto"/>
        </w:rPr>
        <w:t>912</w:t>
      </w:r>
      <w:r w:rsidR="003D100C">
        <w:rPr>
          <w:rStyle w:val="TSExampleText"/>
          <w:color w:val="auto"/>
        </w:rPr>
        <w:t xml:space="preserve"> Research Report</w:t>
      </w:r>
      <w:r w:rsidR="00163419">
        <w:rPr>
          <w:rStyle w:val="TSExampleText"/>
          <w:color w:val="auto"/>
        </w:rPr>
        <w:t xml:space="preserve"> – HSE</w:t>
      </w:r>
      <w:r w:rsidR="00433E13">
        <w:rPr>
          <w:rStyle w:val="TSExampleText"/>
          <w:color w:val="auto"/>
        </w:rPr>
        <w:t xml:space="preserve">.  </w:t>
      </w:r>
      <w:hyperlink r:id="rId19" w:history="1">
        <w:r w:rsidR="00163419" w:rsidRPr="00163419">
          <w:rPr>
            <w:rStyle w:val="Hyperlink"/>
          </w:rPr>
          <w:t>http://www.hse.gov.uk/research/rrpdf/rr912.pdf</w:t>
        </w:r>
      </w:hyperlink>
    </w:p>
    <w:p w14:paraId="24BB39C0" w14:textId="77777777" w:rsidR="00594CF4" w:rsidRDefault="00594CF4" w:rsidP="001614B7">
      <w:pPr>
        <w:ind w:left="720" w:hanging="720"/>
        <w:jc w:val="both"/>
        <w:rPr>
          <w:rStyle w:val="Hyperlink"/>
        </w:rPr>
      </w:pPr>
    </w:p>
    <w:p w14:paraId="3DA33EDC" w14:textId="77777777" w:rsidR="00594CF4" w:rsidRPr="00D0114E" w:rsidRDefault="00594CF4" w:rsidP="00430CCF">
      <w:pPr>
        <w:ind w:left="720" w:hanging="720"/>
        <w:rPr>
          <w:rStyle w:val="Hyperlink"/>
          <w:i/>
          <w:color w:val="auto"/>
          <w:u w:val="none"/>
        </w:rPr>
      </w:pPr>
      <w:r w:rsidRPr="00AB454C">
        <w:rPr>
          <w:rStyle w:val="Hyperlink"/>
          <w:i/>
          <w:color w:val="auto"/>
          <w:u w:val="none"/>
        </w:rPr>
        <w:t>13</w:t>
      </w:r>
      <w:r w:rsidRPr="00D22EF5">
        <w:rPr>
          <w:rStyle w:val="Hyperlink"/>
          <w:u w:val="none"/>
        </w:rPr>
        <w:tab/>
      </w:r>
      <w:r w:rsidR="0047597B" w:rsidRPr="00903BF7">
        <w:rPr>
          <w:rStyle w:val="Hyperlink"/>
          <w:i/>
          <w:color w:val="auto"/>
          <w:u w:val="none"/>
        </w:rPr>
        <w:t>Managing for health and safety - HSG65</w:t>
      </w:r>
      <w:r w:rsidR="0047597B" w:rsidRPr="00903BF7">
        <w:rPr>
          <w:rStyle w:val="Hyperlink"/>
          <w:color w:val="auto"/>
        </w:rPr>
        <w:t xml:space="preserve"> </w:t>
      </w:r>
      <w:hyperlink r:id="rId20" w:history="1">
        <w:r w:rsidR="0047597B" w:rsidRPr="0047597B">
          <w:rPr>
            <w:rStyle w:val="Hyperlink"/>
          </w:rPr>
          <w:t>http://www.hse.gov.uk/pUbns/priced/hsg65.pdf</w:t>
        </w:r>
      </w:hyperlink>
    </w:p>
    <w:p w14:paraId="3AAF5C08" w14:textId="77777777" w:rsidR="00430CCF" w:rsidRDefault="00430CCF" w:rsidP="00903BF7">
      <w:pPr>
        <w:ind w:left="720" w:hanging="720"/>
        <w:rPr>
          <w:rStyle w:val="Hyperlink"/>
        </w:rPr>
      </w:pPr>
    </w:p>
    <w:p w14:paraId="746A7E23" w14:textId="77777777" w:rsidR="00594CF4" w:rsidRDefault="005A6BBA" w:rsidP="001614B7">
      <w:pPr>
        <w:ind w:left="720" w:hanging="720"/>
        <w:jc w:val="both"/>
        <w:rPr>
          <w:rStyle w:val="TSExampleText"/>
          <w:color w:val="auto"/>
        </w:rPr>
      </w:pPr>
      <w:r w:rsidRPr="005A6BBA">
        <w:rPr>
          <w:rStyle w:val="TSExampleText"/>
          <w:color w:val="auto"/>
        </w:rPr>
        <w:t>14</w:t>
      </w:r>
      <w:r w:rsidRPr="005A6BBA">
        <w:rPr>
          <w:rStyle w:val="TSExampleText"/>
          <w:color w:val="auto"/>
        </w:rPr>
        <w:tab/>
        <w:t>BS EN IEC 62402 – Obsolescence Management</w:t>
      </w:r>
    </w:p>
    <w:p w14:paraId="3475FFC0" w14:textId="77777777" w:rsidR="005A6BBA" w:rsidRPr="007C5532" w:rsidRDefault="005A6BBA" w:rsidP="001614B7">
      <w:pPr>
        <w:ind w:left="720" w:hanging="720"/>
        <w:jc w:val="both"/>
        <w:rPr>
          <w:rStyle w:val="TSExampleText"/>
          <w:color w:val="auto"/>
        </w:rPr>
      </w:pPr>
    </w:p>
    <w:p w14:paraId="2DE1261E" w14:textId="77777777" w:rsidR="00075861" w:rsidRPr="00D0114E" w:rsidRDefault="00075861" w:rsidP="00D0114E">
      <w:pPr>
        <w:ind w:left="720" w:hanging="720"/>
        <w:rPr>
          <w:rFonts w:cstheme="minorHAnsi"/>
          <w:i/>
        </w:rPr>
      </w:pPr>
      <w:r w:rsidRPr="007C5532">
        <w:rPr>
          <w:rStyle w:val="TSExampleText"/>
          <w:color w:val="auto"/>
        </w:rPr>
        <w:t>15</w:t>
      </w:r>
      <w:r w:rsidRPr="00D0114E">
        <w:rPr>
          <w:rFonts w:cstheme="minorHAnsi"/>
          <w:i/>
        </w:rPr>
        <w:tab/>
        <w:t>IAEA Safety Standards Series, Modifications to Nuclear Power Plants, Safety Guide, NS-G-2.3.</w:t>
      </w:r>
    </w:p>
    <w:p w14:paraId="31801DAC" w14:textId="77777777" w:rsidR="00075861" w:rsidRPr="007C5532" w:rsidRDefault="00075861" w:rsidP="001614B7">
      <w:pPr>
        <w:ind w:left="720" w:hanging="720"/>
        <w:jc w:val="both"/>
        <w:rPr>
          <w:rStyle w:val="TSExampleText"/>
          <w:color w:val="auto"/>
        </w:rPr>
      </w:pPr>
    </w:p>
    <w:p w14:paraId="1AFF21FC" w14:textId="77777777" w:rsidR="007C5532" w:rsidRPr="00D0114E" w:rsidRDefault="007C5532" w:rsidP="00D0114E">
      <w:pPr>
        <w:ind w:left="720" w:hanging="720"/>
        <w:rPr>
          <w:bCs/>
          <w:i/>
          <w:iCs/>
        </w:rPr>
      </w:pPr>
      <w:r w:rsidRPr="00D0114E">
        <w:rPr>
          <w:bCs/>
          <w:i/>
          <w:iCs/>
        </w:rPr>
        <w:t>16</w:t>
      </w:r>
      <w:r w:rsidRPr="00D0114E">
        <w:rPr>
          <w:bCs/>
          <w:i/>
          <w:iCs/>
        </w:rPr>
        <w:tab/>
        <w:t>IAEA Safety Glossary, Terminology used in Nuclear Safety and Radiation Protection 2016 Revision.</w:t>
      </w:r>
    </w:p>
    <w:p w14:paraId="48C7737F" w14:textId="77777777" w:rsidR="007C5532" w:rsidRDefault="007C5532" w:rsidP="001614B7">
      <w:pPr>
        <w:ind w:left="720" w:hanging="720"/>
        <w:jc w:val="both"/>
        <w:rPr>
          <w:rStyle w:val="TSExampleText"/>
          <w:color w:val="auto"/>
        </w:rPr>
      </w:pPr>
    </w:p>
    <w:p w14:paraId="26A6BCC2" w14:textId="77777777" w:rsidR="00FD170B" w:rsidRPr="009D15EC" w:rsidRDefault="00FD170B" w:rsidP="000C16CF">
      <w:pPr>
        <w:pStyle w:val="TSHeadingNumbered1"/>
        <w:numPr>
          <w:ilvl w:val="0"/>
          <w:numId w:val="0"/>
        </w:numPr>
        <w:jc w:val="both"/>
      </w:pPr>
    </w:p>
    <w:p w14:paraId="65A42E59" w14:textId="77777777" w:rsidR="009B5159" w:rsidRPr="009D15EC" w:rsidRDefault="009B5159" w:rsidP="000C16CF">
      <w:pPr>
        <w:pStyle w:val="TSHeadingNumbered1"/>
        <w:jc w:val="both"/>
      </w:pPr>
      <w:bookmarkStart w:id="6" w:name="_Toc464198986"/>
      <w:r w:rsidRPr="009D15EC">
        <w:t>GLOSSARY AND ABBREVIATIONS</w:t>
      </w:r>
      <w:bookmarkEnd w:id="6"/>
    </w:p>
    <w:p w14:paraId="6692FE4C" w14:textId="77777777" w:rsidR="009B5159" w:rsidRPr="009D15EC" w:rsidRDefault="009B5159" w:rsidP="000C16CF">
      <w:pPr>
        <w:tabs>
          <w:tab w:val="left" w:pos="1440"/>
        </w:tabs>
        <w:spacing w:after="120"/>
        <w:jc w:val="both"/>
      </w:pPr>
      <w:r w:rsidRPr="009D15EC">
        <w:t>ALARP</w:t>
      </w:r>
      <w:r w:rsidRPr="009D15EC">
        <w:tab/>
        <w:t>As low as reasonably practicable</w:t>
      </w:r>
    </w:p>
    <w:p w14:paraId="30328E04" w14:textId="77777777" w:rsidR="00EB497B" w:rsidRDefault="00EB497B" w:rsidP="000C16CF">
      <w:pPr>
        <w:tabs>
          <w:tab w:val="left" w:pos="1440"/>
        </w:tabs>
        <w:spacing w:after="120"/>
        <w:jc w:val="both"/>
      </w:pPr>
      <w:r w:rsidRPr="009D15EC">
        <w:t xml:space="preserve">AMS </w:t>
      </w:r>
      <w:r w:rsidRPr="009D15EC">
        <w:tab/>
      </w:r>
      <w:r w:rsidR="00FC619F">
        <w:t>Asset Management</w:t>
      </w:r>
      <w:r w:rsidRPr="009D15EC">
        <w:t xml:space="preserve"> System</w:t>
      </w:r>
    </w:p>
    <w:p w14:paraId="1E7EF237" w14:textId="77777777" w:rsidR="00786DE3" w:rsidRDefault="00786DE3" w:rsidP="000C16CF">
      <w:pPr>
        <w:tabs>
          <w:tab w:val="left" w:pos="1440"/>
        </w:tabs>
        <w:spacing w:after="120"/>
        <w:jc w:val="both"/>
      </w:pPr>
      <w:r>
        <w:t>BAT</w:t>
      </w:r>
      <w:r>
        <w:tab/>
        <w:t>Best Available Techniques</w:t>
      </w:r>
    </w:p>
    <w:p w14:paraId="071EFBC1" w14:textId="77777777" w:rsidR="005F2574" w:rsidRPr="009D15EC" w:rsidRDefault="005F2574" w:rsidP="000C16CF">
      <w:pPr>
        <w:tabs>
          <w:tab w:val="left" w:pos="1440"/>
        </w:tabs>
        <w:spacing w:after="120"/>
        <w:jc w:val="both"/>
      </w:pPr>
      <w:r>
        <w:t>BPM</w:t>
      </w:r>
      <w:r>
        <w:tab/>
        <w:t>Best Practicable Means</w:t>
      </w:r>
    </w:p>
    <w:p w14:paraId="4AACD170" w14:textId="77777777" w:rsidR="001614B7" w:rsidRPr="009D15EC" w:rsidRDefault="001614B7" w:rsidP="000C16CF">
      <w:pPr>
        <w:tabs>
          <w:tab w:val="left" w:pos="1440"/>
        </w:tabs>
        <w:spacing w:after="120"/>
        <w:jc w:val="both"/>
      </w:pPr>
      <w:r w:rsidRPr="009D15EC">
        <w:t>BS ISO</w:t>
      </w:r>
      <w:r w:rsidRPr="009D15EC">
        <w:tab/>
        <w:t>British Standards International Standards Organisation</w:t>
      </w:r>
    </w:p>
    <w:p w14:paraId="62EB839C" w14:textId="77777777" w:rsidR="00C71D7F" w:rsidRDefault="00C71D7F" w:rsidP="000C16CF">
      <w:pPr>
        <w:tabs>
          <w:tab w:val="left" w:pos="1440"/>
        </w:tabs>
        <w:spacing w:after="120"/>
        <w:jc w:val="both"/>
      </w:pPr>
      <w:r w:rsidRPr="009D15EC">
        <w:t>DAP</w:t>
      </w:r>
      <w:r w:rsidRPr="009D15EC">
        <w:tab/>
        <w:t>Duly Authorised Person</w:t>
      </w:r>
    </w:p>
    <w:p w14:paraId="0024F448" w14:textId="77777777" w:rsidR="001C4E43" w:rsidRPr="009D15EC" w:rsidRDefault="001C4E43" w:rsidP="000C16CF">
      <w:pPr>
        <w:tabs>
          <w:tab w:val="left" w:pos="1440"/>
        </w:tabs>
        <w:spacing w:after="120"/>
        <w:jc w:val="both"/>
      </w:pPr>
      <w:r>
        <w:t>EIM&amp;T</w:t>
      </w:r>
      <w:r>
        <w:tab/>
        <w:t>Examination, inspection, maintenance and testing</w:t>
      </w:r>
    </w:p>
    <w:p w14:paraId="24BC2442" w14:textId="77777777" w:rsidR="009B5159" w:rsidRPr="009D15EC" w:rsidRDefault="009B5159" w:rsidP="000C16CF">
      <w:pPr>
        <w:tabs>
          <w:tab w:val="left" w:pos="1440"/>
        </w:tabs>
        <w:spacing w:after="120"/>
        <w:jc w:val="both"/>
      </w:pPr>
      <w:r w:rsidRPr="009D15EC">
        <w:t>IAEA</w:t>
      </w:r>
      <w:r w:rsidRPr="009D15EC">
        <w:tab/>
        <w:t>International Atomic Energy Agency</w:t>
      </w:r>
    </w:p>
    <w:p w14:paraId="60C7B0FF" w14:textId="77777777" w:rsidR="00C71D7F" w:rsidRDefault="00733804" w:rsidP="000C16CF">
      <w:pPr>
        <w:tabs>
          <w:tab w:val="left" w:pos="1440"/>
        </w:tabs>
        <w:spacing w:after="120"/>
        <w:jc w:val="both"/>
      </w:pPr>
      <w:r>
        <w:t>LC</w:t>
      </w:r>
      <w:r>
        <w:tab/>
        <w:t>Licence Condition</w:t>
      </w:r>
    </w:p>
    <w:p w14:paraId="67DE17A0" w14:textId="77777777" w:rsidR="00733804" w:rsidRPr="009D15EC" w:rsidRDefault="00733804" w:rsidP="000C16CF">
      <w:pPr>
        <w:tabs>
          <w:tab w:val="left" w:pos="1440"/>
        </w:tabs>
        <w:spacing w:after="120"/>
        <w:jc w:val="both"/>
      </w:pPr>
      <w:r>
        <w:t>NEDF</w:t>
      </w:r>
      <w:r>
        <w:tab/>
        <w:t>Nuclear Engineering Directors Forum</w:t>
      </w:r>
    </w:p>
    <w:p w14:paraId="4E3D5208" w14:textId="77777777" w:rsidR="009B5159" w:rsidRDefault="009B5159" w:rsidP="000C16CF">
      <w:pPr>
        <w:tabs>
          <w:tab w:val="left" w:pos="1440"/>
        </w:tabs>
        <w:spacing w:after="120"/>
        <w:jc w:val="both"/>
      </w:pPr>
      <w:r w:rsidRPr="009D15EC">
        <w:t>PSR</w:t>
      </w:r>
      <w:r w:rsidRPr="009D15EC">
        <w:tab/>
        <w:t>Periodic Safety Review</w:t>
      </w:r>
    </w:p>
    <w:p w14:paraId="2180CEE1" w14:textId="77777777" w:rsidR="00733804" w:rsidRPr="009D15EC" w:rsidRDefault="00733804" w:rsidP="000C16CF">
      <w:pPr>
        <w:tabs>
          <w:tab w:val="left" w:pos="1440"/>
        </w:tabs>
        <w:spacing w:after="120"/>
        <w:jc w:val="both"/>
      </w:pPr>
      <w:r>
        <w:t>RGP</w:t>
      </w:r>
      <w:r>
        <w:tab/>
        <w:t>Relevant Good Practice</w:t>
      </w:r>
    </w:p>
    <w:p w14:paraId="658D5CA3" w14:textId="77777777" w:rsidR="009B5159" w:rsidRDefault="009B5159" w:rsidP="000C16CF">
      <w:pPr>
        <w:tabs>
          <w:tab w:val="left" w:pos="1440"/>
        </w:tabs>
        <w:spacing w:after="120"/>
        <w:jc w:val="both"/>
      </w:pPr>
      <w:r w:rsidRPr="009D15EC">
        <w:t>SAP</w:t>
      </w:r>
      <w:r w:rsidRPr="009D15EC">
        <w:tab/>
        <w:t xml:space="preserve">Safety Assessment Principle(s) </w:t>
      </w:r>
    </w:p>
    <w:p w14:paraId="7B27BD51" w14:textId="77777777" w:rsidR="00733804" w:rsidRDefault="00733804" w:rsidP="000C16CF">
      <w:pPr>
        <w:tabs>
          <w:tab w:val="left" w:pos="1440"/>
        </w:tabs>
        <w:spacing w:after="120"/>
        <w:jc w:val="both"/>
      </w:pPr>
      <w:r>
        <w:t>SDF</w:t>
      </w:r>
      <w:r>
        <w:tab/>
        <w:t>Safety Directors Forum</w:t>
      </w:r>
    </w:p>
    <w:p w14:paraId="3E96C00A" w14:textId="77777777" w:rsidR="00FD4786" w:rsidRPr="009D15EC" w:rsidRDefault="00FD4786" w:rsidP="000C16CF">
      <w:pPr>
        <w:tabs>
          <w:tab w:val="left" w:pos="1440"/>
        </w:tabs>
        <w:spacing w:after="120"/>
        <w:jc w:val="both"/>
      </w:pPr>
      <w:r>
        <w:t>SQEP</w:t>
      </w:r>
      <w:r>
        <w:tab/>
        <w:t>Suitably Qualified and Experienced Person</w:t>
      </w:r>
    </w:p>
    <w:p w14:paraId="385223F6" w14:textId="77777777" w:rsidR="009B5159" w:rsidRPr="009D15EC" w:rsidRDefault="009B5159" w:rsidP="000C16CF">
      <w:pPr>
        <w:tabs>
          <w:tab w:val="left" w:pos="1440"/>
        </w:tabs>
        <w:spacing w:after="120"/>
        <w:jc w:val="both"/>
      </w:pPr>
      <w:r w:rsidRPr="009D15EC">
        <w:t>SSC</w:t>
      </w:r>
      <w:r w:rsidRPr="009D15EC">
        <w:tab/>
        <w:t xml:space="preserve">Structure, System </w:t>
      </w:r>
      <w:r w:rsidR="00436A70">
        <w:t>or</w:t>
      </w:r>
      <w:r w:rsidRPr="009D15EC">
        <w:t xml:space="preserve"> Component</w:t>
      </w:r>
    </w:p>
    <w:p w14:paraId="423A7686" w14:textId="77777777" w:rsidR="005B1863" w:rsidRPr="009D15EC" w:rsidRDefault="005B1863" w:rsidP="000C16CF">
      <w:pPr>
        <w:tabs>
          <w:tab w:val="left" w:pos="1440"/>
        </w:tabs>
        <w:spacing w:after="120"/>
        <w:jc w:val="both"/>
      </w:pPr>
      <w:proofErr w:type="spellStart"/>
      <w:r w:rsidRPr="009D15EC">
        <w:t>SSoE</w:t>
      </w:r>
      <w:proofErr w:type="spellEnd"/>
      <w:r w:rsidRPr="009D15EC">
        <w:tab/>
        <w:t>Safety, Security or Environmental (function)</w:t>
      </w:r>
    </w:p>
    <w:p w14:paraId="57E1CA92" w14:textId="77777777" w:rsidR="009B5159" w:rsidRDefault="009B5159" w:rsidP="000C16CF">
      <w:pPr>
        <w:tabs>
          <w:tab w:val="left" w:pos="1440"/>
        </w:tabs>
        <w:spacing w:after="120"/>
        <w:jc w:val="both"/>
      </w:pPr>
      <w:r w:rsidRPr="009D15EC">
        <w:t>TAG</w:t>
      </w:r>
      <w:r w:rsidRPr="009D15EC">
        <w:tab/>
        <w:t>Technical Assessment Guide(s)</w:t>
      </w:r>
    </w:p>
    <w:p w14:paraId="0C251F5B" w14:textId="77777777" w:rsidR="00A27166" w:rsidRPr="009D15EC" w:rsidRDefault="00A27166" w:rsidP="000C16CF">
      <w:pPr>
        <w:tabs>
          <w:tab w:val="left" w:pos="1440"/>
        </w:tabs>
        <w:spacing w:after="120"/>
        <w:jc w:val="both"/>
      </w:pPr>
      <w:r>
        <w:t>TIG</w:t>
      </w:r>
      <w:r>
        <w:tab/>
        <w:t>Technical Inspection Guide(s)</w:t>
      </w:r>
    </w:p>
    <w:p w14:paraId="07309125" w14:textId="77777777" w:rsidR="009B5159" w:rsidRPr="009D15EC" w:rsidRDefault="009B5159" w:rsidP="000C16CF">
      <w:pPr>
        <w:tabs>
          <w:tab w:val="left" w:pos="1440"/>
        </w:tabs>
        <w:spacing w:after="120"/>
        <w:jc w:val="both"/>
      </w:pPr>
      <w:r w:rsidRPr="009D15EC">
        <w:t>WENRA</w:t>
      </w:r>
      <w:r w:rsidRPr="009D15EC">
        <w:tab/>
        <w:t>Western European Nuclear Regulators’ Association</w:t>
      </w:r>
    </w:p>
    <w:p w14:paraId="6D3CFCEC" w14:textId="77777777" w:rsidR="0021629B" w:rsidRPr="00BA3661" w:rsidRDefault="0021629B" w:rsidP="000C16CF">
      <w:pPr>
        <w:jc w:val="both"/>
        <w:rPr>
          <w:b/>
        </w:rPr>
      </w:pPr>
    </w:p>
    <w:sectPr w:rsidR="0021629B" w:rsidRPr="00BA3661" w:rsidSect="00AB454C">
      <w:headerReference w:type="default" r:id="rId21"/>
      <w:footerReference w:type="default" r:id="rId22"/>
      <w:headerReference w:type="first" r:id="rId23"/>
      <w:footerReference w:type="first" r:id="rId24"/>
      <w:pgSz w:w="11906" w:h="16838" w:code="9"/>
      <w:pgMar w:top="1134" w:right="1134" w:bottom="1134" w:left="1588"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39F8" w14:textId="77777777" w:rsidR="00A75FC9" w:rsidRDefault="00A75FC9">
      <w:r>
        <w:separator/>
      </w:r>
    </w:p>
  </w:endnote>
  <w:endnote w:type="continuationSeparator" w:id="0">
    <w:p w14:paraId="10F6AE66" w14:textId="77777777" w:rsidR="00A75FC9" w:rsidRDefault="00A7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L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36DE" w14:textId="77777777" w:rsidR="00D26237" w:rsidRDefault="00D26237" w:rsidP="00985E68">
    <w:pPr>
      <w:pStyle w:val="Header"/>
      <w:jc w:val="center"/>
      <w:rPr>
        <w:b/>
        <w:color w:val="006D68"/>
        <w:sz w:val="14"/>
        <w:szCs w:val="14"/>
      </w:rPr>
    </w:pPr>
  </w:p>
  <w:p w14:paraId="6A18CD7E" w14:textId="77777777" w:rsidR="00D26237" w:rsidRDefault="00D26237" w:rsidP="00985E68">
    <w:pPr>
      <w:pStyle w:val="Footer"/>
      <w:tabs>
        <w:tab w:val="clear" w:pos="4153"/>
        <w:tab w:val="clear" w:pos="8306"/>
        <w:tab w:val="right" w:pos="9214"/>
      </w:tabs>
      <w:jc w:val="center"/>
      <w:rPr>
        <w:color w:val="006D68"/>
        <w:sz w:val="14"/>
        <w:szCs w:val="14"/>
      </w:rPr>
    </w:pPr>
  </w:p>
  <w:p w14:paraId="54905BE0" w14:textId="77777777" w:rsidR="00D26237" w:rsidRPr="00FD170B" w:rsidRDefault="00334998" w:rsidP="00487A22">
    <w:pPr>
      <w:pStyle w:val="Footer"/>
      <w:tabs>
        <w:tab w:val="clear" w:pos="4153"/>
        <w:tab w:val="clear" w:pos="8306"/>
        <w:tab w:val="right" w:pos="9214"/>
      </w:tabs>
      <w:rPr>
        <w:color w:val="006D68"/>
        <w:sz w:val="14"/>
        <w:szCs w:val="14"/>
        <w:lang w:val="fr-FR"/>
      </w:rPr>
    </w:pPr>
    <w:r>
      <w:rPr>
        <w:color w:val="006D68"/>
        <w:sz w:val="14"/>
        <w:szCs w:val="14"/>
        <w:lang w:val="fr-FR"/>
      </w:rPr>
      <w:t>Report NS-TAST-GD-098</w:t>
    </w:r>
  </w:p>
  <w:p w14:paraId="412178F1" w14:textId="77777777" w:rsidR="00D26237" w:rsidRPr="00487A22" w:rsidRDefault="000149F1" w:rsidP="00487A22">
    <w:pPr>
      <w:pStyle w:val="Footer"/>
      <w:tabs>
        <w:tab w:val="clear" w:pos="4153"/>
        <w:tab w:val="clear" w:pos="8306"/>
        <w:tab w:val="right" w:pos="9214"/>
      </w:tabs>
      <w:rPr>
        <w:b/>
        <w:color w:val="006D68"/>
        <w:sz w:val="14"/>
        <w:szCs w:val="14"/>
      </w:rPr>
    </w:pPr>
    <w:r w:rsidRPr="00D0114E">
      <w:rPr>
        <w:color w:val="006D68"/>
        <w:sz w:val="14"/>
        <w:szCs w:val="14"/>
        <w:lang w:val="fr-FR"/>
      </w:rPr>
      <w:t>CM9</w:t>
    </w:r>
    <w:r w:rsidRPr="000149F1">
      <w:rPr>
        <w:color w:val="006D68"/>
        <w:sz w:val="14"/>
        <w:szCs w:val="14"/>
        <w:lang w:val="fr-FR"/>
      </w:rPr>
      <w:t xml:space="preserve"> </w:t>
    </w:r>
    <w:proofErr w:type="spellStart"/>
    <w:r w:rsidR="00D26237" w:rsidRPr="000149F1">
      <w:rPr>
        <w:color w:val="006D68"/>
        <w:sz w:val="14"/>
        <w:szCs w:val="14"/>
        <w:lang w:val="fr-FR"/>
      </w:rPr>
      <w:t>Ref</w:t>
    </w:r>
    <w:proofErr w:type="spellEnd"/>
    <w:r w:rsidR="00D26237" w:rsidRPr="000149F1">
      <w:rPr>
        <w:color w:val="006D68"/>
        <w:sz w:val="14"/>
        <w:szCs w:val="14"/>
        <w:lang w:val="fr-FR"/>
      </w:rPr>
      <w:t xml:space="preserve">: </w:t>
    </w:r>
    <w:r w:rsidR="00F32676">
      <w:rPr>
        <w:color w:val="006D68"/>
        <w:sz w:val="14"/>
        <w:szCs w:val="14"/>
        <w:lang w:val="fr-FR"/>
      </w:rPr>
      <w:t>2020/139061</w:t>
    </w:r>
    <w:r w:rsidR="00D26237" w:rsidRPr="000149F1">
      <w:rPr>
        <w:b/>
        <w:color w:val="006D68"/>
        <w:sz w:val="14"/>
        <w:szCs w:val="14"/>
        <w:lang w:val="fr-FR"/>
      </w:rPr>
      <w:tab/>
      <w:t xml:space="preserve">Page </w:t>
    </w:r>
    <w:r w:rsidR="00D26237" w:rsidRPr="00675B96">
      <w:rPr>
        <w:b/>
        <w:color w:val="006D68"/>
        <w:sz w:val="14"/>
        <w:szCs w:val="14"/>
      </w:rPr>
      <w:fldChar w:fldCharType="begin"/>
    </w:r>
    <w:r w:rsidR="00D26237" w:rsidRPr="000149F1">
      <w:rPr>
        <w:b/>
        <w:color w:val="006D68"/>
        <w:sz w:val="14"/>
        <w:szCs w:val="14"/>
      </w:rPr>
      <w:instrText xml:space="preserve"> PAGE </w:instrText>
    </w:r>
    <w:r w:rsidR="00D26237" w:rsidRPr="00675B96">
      <w:rPr>
        <w:b/>
        <w:color w:val="006D68"/>
        <w:sz w:val="14"/>
        <w:szCs w:val="14"/>
      </w:rPr>
      <w:fldChar w:fldCharType="separate"/>
    </w:r>
    <w:r w:rsidR="00F32676">
      <w:rPr>
        <w:b/>
        <w:noProof/>
        <w:color w:val="006D68"/>
        <w:sz w:val="14"/>
        <w:szCs w:val="14"/>
      </w:rPr>
      <w:t>3</w:t>
    </w:r>
    <w:r w:rsidR="00D26237" w:rsidRPr="00675B96">
      <w:rPr>
        <w:b/>
        <w:color w:val="006D68"/>
        <w:sz w:val="14"/>
        <w:szCs w:val="14"/>
      </w:rPr>
      <w:fldChar w:fldCharType="end"/>
    </w:r>
    <w:r w:rsidR="00D26237" w:rsidRPr="000149F1">
      <w:rPr>
        <w:b/>
        <w:color w:val="006D68"/>
        <w:sz w:val="14"/>
        <w:szCs w:val="14"/>
      </w:rPr>
      <w:t xml:space="preserve"> of </w:t>
    </w:r>
    <w:r w:rsidR="00D26237" w:rsidRPr="00675B96">
      <w:rPr>
        <w:b/>
        <w:color w:val="006D68"/>
        <w:sz w:val="14"/>
        <w:szCs w:val="14"/>
      </w:rPr>
      <w:fldChar w:fldCharType="begin"/>
    </w:r>
    <w:r w:rsidR="00D26237" w:rsidRPr="000149F1">
      <w:rPr>
        <w:b/>
        <w:color w:val="006D68"/>
        <w:sz w:val="14"/>
        <w:szCs w:val="14"/>
      </w:rPr>
      <w:instrText xml:space="preserve"> NUMPAGES </w:instrText>
    </w:r>
    <w:r w:rsidR="00D26237" w:rsidRPr="00675B96">
      <w:rPr>
        <w:b/>
        <w:color w:val="006D68"/>
        <w:sz w:val="14"/>
        <w:szCs w:val="14"/>
      </w:rPr>
      <w:fldChar w:fldCharType="separate"/>
    </w:r>
    <w:r w:rsidR="00F32676">
      <w:rPr>
        <w:b/>
        <w:noProof/>
        <w:color w:val="006D68"/>
        <w:sz w:val="14"/>
        <w:szCs w:val="14"/>
      </w:rPr>
      <w:t>18</w:t>
    </w:r>
    <w:r w:rsidR="00D26237" w:rsidRPr="00675B96">
      <w:rPr>
        <w:b/>
        <w:color w:val="006D68"/>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EE59" w14:textId="77777777" w:rsidR="00D26237" w:rsidRDefault="00D26237" w:rsidP="00985E68">
    <w:pPr>
      <w:pStyle w:val="Header"/>
      <w:jc w:val="center"/>
      <w:rPr>
        <w:b/>
        <w:color w:val="006D68"/>
        <w:sz w:val="14"/>
        <w:szCs w:val="14"/>
      </w:rPr>
    </w:pPr>
    <w:r>
      <w:rPr>
        <w:noProof/>
        <w:lang w:eastAsia="en-GB"/>
      </w:rPr>
      <w:drawing>
        <wp:anchor distT="288290" distB="0" distL="288290" distR="114300" simplePos="0" relativeHeight="251657728" behindDoc="0" locked="0" layoutInCell="1" allowOverlap="0" wp14:anchorId="7BF3321D" wp14:editId="3BD66F55">
          <wp:simplePos x="0" y="0"/>
          <wp:positionH relativeFrom="page">
            <wp:posOffset>288290</wp:posOffset>
          </wp:positionH>
          <wp:positionV relativeFrom="page">
            <wp:posOffset>252095</wp:posOffset>
          </wp:positionV>
          <wp:extent cx="6572250" cy="619125"/>
          <wp:effectExtent l="0" t="0" r="0" b="9525"/>
          <wp:wrapNone/>
          <wp:docPr id="37" name="Picture 37"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p w14:paraId="5C21BD3F" w14:textId="77777777" w:rsidR="00D26237" w:rsidRDefault="00D26237" w:rsidP="00985E68">
    <w:pPr>
      <w:pStyle w:val="Footer"/>
      <w:tabs>
        <w:tab w:val="clear" w:pos="4153"/>
        <w:tab w:val="clear" w:pos="8306"/>
        <w:tab w:val="right" w:pos="9214"/>
      </w:tabs>
      <w:jc w:val="center"/>
      <w:rPr>
        <w:color w:val="006D68"/>
        <w:sz w:val="14"/>
        <w:szCs w:val="14"/>
      </w:rPr>
    </w:pPr>
  </w:p>
  <w:p w14:paraId="15660FD4" w14:textId="77777777" w:rsidR="00D26237" w:rsidRPr="00B56CCE" w:rsidRDefault="00D26237" w:rsidP="00B56CCE">
    <w:pPr>
      <w:pStyle w:val="Footer"/>
      <w:tabs>
        <w:tab w:val="clear" w:pos="4153"/>
        <w:tab w:val="clear" w:pos="8306"/>
        <w:tab w:val="right" w:pos="9214"/>
      </w:tabs>
      <w:rPr>
        <w:b/>
        <w:color w:val="006D68"/>
        <w:sz w:val="14"/>
        <w:szCs w:val="14"/>
      </w:rPr>
    </w:pPr>
    <w:r>
      <w:rPr>
        <w:color w:val="006D68"/>
        <w:sz w:val="14"/>
        <w:szCs w:val="14"/>
      </w:rPr>
      <w:t>Template Ref: ONR-DOC-TEMP-002 Revision 3</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F32676">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F32676">
      <w:rPr>
        <w:b/>
        <w:noProof/>
        <w:color w:val="006D68"/>
        <w:sz w:val="14"/>
        <w:szCs w:val="14"/>
      </w:rPr>
      <w:t>18</w:t>
    </w:r>
    <w:r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459D" w14:textId="77777777" w:rsidR="00A75FC9" w:rsidRDefault="00A75FC9">
      <w:r>
        <w:separator/>
      </w:r>
    </w:p>
  </w:footnote>
  <w:footnote w:type="continuationSeparator" w:id="0">
    <w:p w14:paraId="392C056D" w14:textId="77777777" w:rsidR="00A75FC9" w:rsidRDefault="00A75FC9">
      <w:r>
        <w:continuationSeparator/>
      </w:r>
    </w:p>
  </w:footnote>
  <w:footnote w:id="1">
    <w:p w14:paraId="2C79DFD4" w14:textId="77777777" w:rsidR="00D26237" w:rsidRDefault="00D26237">
      <w:pPr>
        <w:pStyle w:val="FootnoteText"/>
      </w:pPr>
      <w:r>
        <w:rPr>
          <w:rStyle w:val="FootnoteReference"/>
        </w:rPr>
        <w:footnoteRef/>
      </w:r>
      <w:r>
        <w:t xml:space="preserve"> The term </w:t>
      </w:r>
      <w:r w:rsidRPr="00DF2F50">
        <w:rPr>
          <w:i/>
        </w:rPr>
        <w:t>‘safety case’</w:t>
      </w:r>
      <w:r>
        <w:t xml:space="preserve"> may for the purpose of this document be substituted throughout for </w:t>
      </w:r>
      <w:r w:rsidRPr="00DF2F50">
        <w:rPr>
          <w:i/>
        </w:rPr>
        <w:t>‘environment case’</w:t>
      </w:r>
      <w:r>
        <w:t xml:space="preserve"> and/or </w:t>
      </w:r>
      <w:r w:rsidRPr="00DF2F50">
        <w:rPr>
          <w:i/>
        </w:rPr>
        <w:t>‘security case’</w:t>
      </w:r>
      <w:r>
        <w:t>.</w:t>
      </w:r>
    </w:p>
  </w:footnote>
  <w:footnote w:id="2">
    <w:p w14:paraId="5A8C9A96" w14:textId="77777777" w:rsidR="00D26237" w:rsidRDefault="00D26237" w:rsidP="00DF2F50">
      <w:pPr>
        <w:pStyle w:val="FootnoteText"/>
      </w:pPr>
      <w:r>
        <w:rPr>
          <w:rStyle w:val="FootnoteReference"/>
        </w:rPr>
        <w:footnoteRef/>
      </w:r>
      <w:r>
        <w:t xml:space="preserve"> The term</w:t>
      </w:r>
      <w:r w:rsidRPr="00DF2F50">
        <w:t xml:space="preserve"> </w:t>
      </w:r>
      <w:r>
        <w:t>‘</w:t>
      </w:r>
      <w:r w:rsidRPr="00DF2F50">
        <w:rPr>
          <w:i/>
          <w:iCs/>
        </w:rPr>
        <w:t>Safety</w:t>
      </w:r>
      <w:r>
        <w:rPr>
          <w:i/>
          <w:iCs/>
        </w:rPr>
        <w:t>’</w:t>
      </w:r>
      <w:r w:rsidRPr="00DF2F50">
        <w:rPr>
          <w:iCs/>
        </w:rPr>
        <w:t xml:space="preserve"> within this document re</w:t>
      </w:r>
      <w:r>
        <w:rPr>
          <w:iCs/>
        </w:rPr>
        <w:t>fers</w:t>
      </w:r>
      <w:r w:rsidRPr="00DF2F50">
        <w:rPr>
          <w:iCs/>
        </w:rPr>
        <w:t xml:space="preserve"> to the</w:t>
      </w:r>
      <w:r w:rsidRPr="00DF2F50">
        <w:rPr>
          <w:i/>
          <w:iCs/>
        </w:rPr>
        <w:t xml:space="preserve"> </w:t>
      </w:r>
      <w:r w:rsidRPr="00DF2F50">
        <w:t>control of recognized hazards in order to achieve an acceptable level of risk to persons, property and the environment.</w:t>
      </w:r>
    </w:p>
    <w:p w14:paraId="5F134CC6" w14:textId="77777777" w:rsidR="00D26237" w:rsidRDefault="00D26237">
      <w:pPr>
        <w:pStyle w:val="FootnoteText"/>
      </w:pPr>
    </w:p>
  </w:footnote>
  <w:footnote w:id="3">
    <w:p w14:paraId="0275316F" w14:textId="77777777" w:rsidR="00D26237" w:rsidRDefault="00D26237">
      <w:pPr>
        <w:pStyle w:val="FootnoteText"/>
      </w:pPr>
      <w:r>
        <w:rPr>
          <w:rStyle w:val="FootnoteReference"/>
        </w:rPr>
        <w:footnoteRef/>
      </w:r>
      <w:r>
        <w:t xml:space="preserve"> For further guidance on the requirements and expectations of periodic re</w:t>
      </w:r>
      <w:r w:rsidR="00062C94">
        <w:t>view of safety, see reference 11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B691" w14:textId="77777777" w:rsidR="00D26237" w:rsidRDefault="00D26237">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p w14:paraId="39019478" w14:textId="77777777" w:rsidR="00D26237" w:rsidRDefault="00D26237">
    <w:pPr>
      <w:pStyle w:val="Header"/>
      <w:rPr>
        <w:b/>
        <w:color w:val="006D68"/>
        <w:sz w:val="14"/>
        <w:szCs w:val="14"/>
      </w:rPr>
    </w:pPr>
  </w:p>
  <w:p w14:paraId="0CA9977D" w14:textId="77777777" w:rsidR="00D26237" w:rsidRDefault="00D26237">
    <w:pPr>
      <w:pStyle w:val="Header"/>
      <w:rPr>
        <w:b/>
        <w:color w:val="006D68"/>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14EB" w14:textId="77777777" w:rsidR="00D26237" w:rsidRDefault="00D26237" w:rsidP="00CA3B14">
    <w:pPr>
      <w:pStyle w:val="Header"/>
      <w:rPr>
        <w:b/>
        <w:color w:val="006D68"/>
        <w:sz w:val="14"/>
        <w:szCs w:val="14"/>
      </w:rPr>
    </w:pPr>
    <w:r w:rsidRPr="00CA3B14">
      <w:rPr>
        <w:b/>
        <w:color w:val="006D68"/>
        <w:sz w:val="14"/>
        <w:szCs w:val="14"/>
      </w:rPr>
      <w:t xml:space="preserve"> </w:t>
    </w:r>
    <w:r w:rsidRPr="00B56CCE">
      <w:rPr>
        <w:b/>
        <w:color w:val="006D68"/>
        <w:sz w:val="14"/>
        <w:szCs w:val="14"/>
      </w:rPr>
      <w:t xml:space="preserve">Title of </w:t>
    </w:r>
    <w:r>
      <w:rPr>
        <w:b/>
        <w:color w:val="006D68"/>
        <w:sz w:val="14"/>
        <w:szCs w:val="14"/>
      </w:rPr>
      <w:t>document</w:t>
    </w:r>
  </w:p>
  <w:p w14:paraId="5A93433A" w14:textId="77777777" w:rsidR="00D26237" w:rsidRDefault="00D26237" w:rsidP="00CA3B14">
    <w:pPr>
      <w:pStyle w:val="Header"/>
      <w:rPr>
        <w:b/>
        <w:color w:val="006D68"/>
        <w:sz w:val="14"/>
        <w:szCs w:val="14"/>
      </w:rPr>
    </w:pPr>
  </w:p>
  <w:p w14:paraId="5E86E953" w14:textId="77777777" w:rsidR="00D26237" w:rsidRDefault="00D26237" w:rsidP="00CA3B14">
    <w:pPr>
      <w:pStyle w:val="Header"/>
      <w:rPr>
        <w:b/>
        <w:color w:val="006D68"/>
        <w:sz w:val="14"/>
        <w:szCs w:val="14"/>
      </w:rPr>
    </w:pPr>
  </w:p>
  <w:p w14:paraId="78B20C83" w14:textId="77777777" w:rsidR="00D26237" w:rsidRDefault="00D26237" w:rsidP="00CA3B14">
    <w:pPr>
      <w:pStyle w:val="Header"/>
      <w:rPr>
        <w:b/>
        <w:color w:val="006D68"/>
        <w:sz w:val="14"/>
        <w:szCs w:val="14"/>
      </w:rPr>
    </w:pPr>
  </w:p>
  <w:p w14:paraId="6196E4FD" w14:textId="77777777" w:rsidR="00D26237" w:rsidRDefault="00D26237" w:rsidP="00CA3B14">
    <w:pPr>
      <w:pStyle w:val="Header"/>
      <w:rPr>
        <w:b/>
        <w:color w:val="006D68"/>
        <w:sz w:val="14"/>
        <w:szCs w:val="14"/>
      </w:rPr>
    </w:pPr>
  </w:p>
  <w:p w14:paraId="74DBB139" w14:textId="77777777" w:rsidR="00D26237" w:rsidRDefault="00D26237" w:rsidP="00CA3B14">
    <w:pPr>
      <w:pStyle w:val="Header"/>
      <w:rPr>
        <w:b/>
        <w:color w:val="006D68"/>
        <w:sz w:val="14"/>
        <w:szCs w:val="14"/>
      </w:rPr>
    </w:pPr>
  </w:p>
  <w:p w14:paraId="2B2AC674" w14:textId="77777777" w:rsidR="00D26237" w:rsidRDefault="00D26237" w:rsidP="00CA3B14">
    <w:pPr>
      <w:pStyle w:val="Header"/>
      <w:rPr>
        <w:b/>
        <w:color w:val="006D68"/>
        <w:sz w:val="14"/>
        <w:szCs w:val="14"/>
      </w:rPr>
    </w:pPr>
  </w:p>
  <w:p w14:paraId="230C159A" w14:textId="77777777" w:rsidR="00D26237" w:rsidRDefault="00D26237" w:rsidP="00FD170B">
    <w:pPr>
      <w:pStyle w:val="Header"/>
      <w:jc w:val="center"/>
      <w:rPr>
        <w:b/>
        <w:color w:val="006D68"/>
        <w:sz w:val="14"/>
        <w:szCs w:val="14"/>
      </w:rPr>
    </w:pPr>
  </w:p>
  <w:p w14:paraId="21A57709" w14:textId="77777777" w:rsidR="00D26237" w:rsidRPr="00D55197" w:rsidRDefault="00D26237" w:rsidP="00CA3B14">
    <w:pPr>
      <w:pStyle w:val="Header"/>
      <w:jc w:val="center"/>
      <w:rPr>
        <w:b/>
        <w:color w:val="006D68"/>
        <w:sz w:val="14"/>
        <w:szCs w:val="14"/>
      </w:rPr>
    </w:pPr>
    <w:r>
      <w:rPr>
        <w:b/>
        <w:noProof/>
        <w:color w:val="006D68"/>
        <w:sz w:val="24"/>
        <w:szCs w:val="14"/>
        <w:lang w:eastAsia="en-GB"/>
      </w:rPr>
      <w:drawing>
        <wp:anchor distT="288290" distB="0" distL="288290" distR="114300" simplePos="0" relativeHeight="251656704" behindDoc="0" locked="0" layoutInCell="1" allowOverlap="0" wp14:anchorId="56ABCA45" wp14:editId="177B9AED">
          <wp:simplePos x="0" y="0"/>
          <wp:positionH relativeFrom="page">
            <wp:posOffset>288290</wp:posOffset>
          </wp:positionH>
          <wp:positionV relativeFrom="page">
            <wp:posOffset>252095</wp:posOffset>
          </wp:positionV>
          <wp:extent cx="6572250" cy="619125"/>
          <wp:effectExtent l="0" t="0" r="0" b="9525"/>
          <wp:wrapNone/>
          <wp:docPr id="25" name="Picture 25"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219D"/>
    <w:multiLevelType w:val="hybridMultilevel"/>
    <w:tmpl w:val="8F6A6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A20BD8"/>
    <w:multiLevelType w:val="hybridMultilevel"/>
    <w:tmpl w:val="DBC6B6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06A39"/>
    <w:multiLevelType w:val="multilevel"/>
    <w:tmpl w:val="CC847078"/>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sz w:val="22"/>
      </w:rPr>
    </w:lvl>
    <w:lvl w:ilvl="2">
      <w:start w:val="1"/>
      <w:numFmt w:val="decimal"/>
      <w:pStyle w:val="TSHeadingNumbered111"/>
      <w:lvlText w:val="%1.%2.%3"/>
      <w:lvlJc w:val="left"/>
      <w:pPr>
        <w:tabs>
          <w:tab w:val="num" w:pos="-31680"/>
        </w:tabs>
        <w:ind w:left="720" w:hanging="720"/>
      </w:pPr>
      <w:rPr>
        <w:rFonts w:hint="default"/>
        <w:b w:val="0"/>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29D05DFE"/>
    <w:multiLevelType w:val="hybridMultilevel"/>
    <w:tmpl w:val="59F69A8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15:restartNumberingAfterBreak="0">
    <w:nsid w:val="32232976"/>
    <w:multiLevelType w:val="hybridMultilevel"/>
    <w:tmpl w:val="90EC4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57B86"/>
    <w:multiLevelType w:val="hybridMultilevel"/>
    <w:tmpl w:val="4D38BA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DE710E8"/>
    <w:multiLevelType w:val="hybridMultilevel"/>
    <w:tmpl w:val="6AF0FE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5D01006"/>
    <w:multiLevelType w:val="multilevel"/>
    <w:tmpl w:val="D8FA9152"/>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bullet"/>
      <w:lvlText w:val=""/>
      <w:lvlJc w:val="left"/>
      <w:pPr>
        <w:tabs>
          <w:tab w:val="num" w:pos="-31680"/>
        </w:tabs>
        <w:ind w:left="720" w:hanging="720"/>
      </w:pPr>
      <w:rPr>
        <w:rFonts w:ascii="Symbol" w:hAnsi="Symbol" w:hint="default"/>
        <w:b w:val="0"/>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13B7A79"/>
    <w:multiLevelType w:val="multilevel"/>
    <w:tmpl w:val="10BC4DE4"/>
    <w:lvl w:ilvl="0">
      <w:start w:val="1"/>
      <w:numFmt w:val="decimal"/>
      <w:pStyle w:val="NumberedHeading"/>
      <w:lvlText w:val="%1."/>
      <w:lvlJc w:val="left"/>
      <w:pPr>
        <w:tabs>
          <w:tab w:val="num" w:pos="-31680"/>
        </w:tabs>
        <w:ind w:left="720" w:hanging="720"/>
      </w:pPr>
      <w:rPr>
        <w:rFonts w:hint="default"/>
      </w:rPr>
    </w:lvl>
    <w:lvl w:ilvl="1">
      <w:start w:val="1"/>
      <w:numFmt w:val="decimal"/>
      <w:pStyle w:val="NumberedParagraph"/>
      <w:lvlText w:val="%1.%2."/>
      <w:lvlJc w:val="left"/>
      <w:pPr>
        <w:tabs>
          <w:tab w:val="num" w:pos="-3168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F8A4D2C"/>
    <w:multiLevelType w:val="hybridMultilevel"/>
    <w:tmpl w:val="918E82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2"/>
  </w:num>
  <w:num w:numId="4">
    <w:abstractNumId w:val="10"/>
  </w:num>
  <w:num w:numId="5">
    <w:abstractNumId w:val="1"/>
  </w:num>
  <w:num w:numId="6">
    <w:abstractNumId w:val="6"/>
  </w:num>
  <w:num w:numId="7">
    <w:abstractNumId w:val="3"/>
  </w:num>
  <w:num w:numId="8">
    <w:abstractNumId w:val="9"/>
  </w:num>
  <w:num w:numId="9">
    <w:abstractNumId w:val="5"/>
  </w:num>
  <w:num w:numId="10">
    <w:abstractNumId w:val="3"/>
  </w:num>
  <w:num w:numId="11">
    <w:abstractNumId w:val="3"/>
  </w:num>
  <w:num w:numId="12">
    <w:abstractNumId w:val="3"/>
  </w:num>
  <w:num w:numId="13">
    <w:abstractNumId w:val="0"/>
  </w:num>
  <w:num w:numId="14">
    <w:abstractNumId w:val="7"/>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8"/>
  </w:num>
  <w:num w:numId="47">
    <w:abstractNumId w:val="3"/>
  </w:num>
  <w:num w:numId="48">
    <w:abstractNumId w:val="3"/>
  </w:num>
  <w:num w:numId="49">
    <w:abstractNumId w:val="3"/>
  </w:num>
  <w:num w:numId="50">
    <w:abstractNumId w:val="3"/>
  </w:num>
  <w:num w:numId="51">
    <w:abstractNumId w:val="3"/>
  </w:num>
  <w:num w:numId="52">
    <w:abstractNumId w:val="4"/>
  </w:num>
  <w:num w:numId="53">
    <w:abstractNumId w:val="3"/>
  </w:num>
  <w:num w:numId="54">
    <w:abstractNumId w:val="3"/>
  </w:num>
  <w:num w:numId="55">
    <w:abstractNumId w:val="3"/>
  </w:num>
  <w:num w:numId="56">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A22"/>
    <w:rsid w:val="00003332"/>
    <w:rsid w:val="00003A66"/>
    <w:rsid w:val="00003FAB"/>
    <w:rsid w:val="000053DF"/>
    <w:rsid w:val="0000610B"/>
    <w:rsid w:val="00007F7D"/>
    <w:rsid w:val="000149F1"/>
    <w:rsid w:val="00022705"/>
    <w:rsid w:val="000229C5"/>
    <w:rsid w:val="0002401C"/>
    <w:rsid w:val="000241A8"/>
    <w:rsid w:val="00027CDB"/>
    <w:rsid w:val="00030D3C"/>
    <w:rsid w:val="00030FBD"/>
    <w:rsid w:val="000312D3"/>
    <w:rsid w:val="0003406A"/>
    <w:rsid w:val="00035D60"/>
    <w:rsid w:val="000361E0"/>
    <w:rsid w:val="0004492B"/>
    <w:rsid w:val="00051961"/>
    <w:rsid w:val="00052F25"/>
    <w:rsid w:val="00053D82"/>
    <w:rsid w:val="00054A5F"/>
    <w:rsid w:val="00060856"/>
    <w:rsid w:val="000609F6"/>
    <w:rsid w:val="00060A6F"/>
    <w:rsid w:val="00062C94"/>
    <w:rsid w:val="000650B9"/>
    <w:rsid w:val="00065883"/>
    <w:rsid w:val="00067FFB"/>
    <w:rsid w:val="000715BD"/>
    <w:rsid w:val="00072182"/>
    <w:rsid w:val="00075861"/>
    <w:rsid w:val="000774DD"/>
    <w:rsid w:val="0009233F"/>
    <w:rsid w:val="00095D1D"/>
    <w:rsid w:val="00096F71"/>
    <w:rsid w:val="000A674F"/>
    <w:rsid w:val="000A73B9"/>
    <w:rsid w:val="000A7B38"/>
    <w:rsid w:val="000B4E40"/>
    <w:rsid w:val="000B5A78"/>
    <w:rsid w:val="000B7F14"/>
    <w:rsid w:val="000C021B"/>
    <w:rsid w:val="000C16CF"/>
    <w:rsid w:val="000C24F7"/>
    <w:rsid w:val="000C73A4"/>
    <w:rsid w:val="000D336C"/>
    <w:rsid w:val="000D6244"/>
    <w:rsid w:val="000D64E0"/>
    <w:rsid w:val="000D7CA1"/>
    <w:rsid w:val="000E0A5C"/>
    <w:rsid w:val="000E0CE4"/>
    <w:rsid w:val="000E2A9B"/>
    <w:rsid w:val="000F418E"/>
    <w:rsid w:val="000F46BA"/>
    <w:rsid w:val="000F7157"/>
    <w:rsid w:val="00100D96"/>
    <w:rsid w:val="00102723"/>
    <w:rsid w:val="00102CF5"/>
    <w:rsid w:val="001057C9"/>
    <w:rsid w:val="00121C8F"/>
    <w:rsid w:val="00121D57"/>
    <w:rsid w:val="00122851"/>
    <w:rsid w:val="001242F1"/>
    <w:rsid w:val="00125E00"/>
    <w:rsid w:val="001267F1"/>
    <w:rsid w:val="00126849"/>
    <w:rsid w:val="001268DB"/>
    <w:rsid w:val="00131ECC"/>
    <w:rsid w:val="001326E8"/>
    <w:rsid w:val="00133128"/>
    <w:rsid w:val="00135550"/>
    <w:rsid w:val="00137CEE"/>
    <w:rsid w:val="00141A0E"/>
    <w:rsid w:val="00144082"/>
    <w:rsid w:val="00152BD0"/>
    <w:rsid w:val="001614B7"/>
    <w:rsid w:val="00163419"/>
    <w:rsid w:val="00164F4F"/>
    <w:rsid w:val="001710CC"/>
    <w:rsid w:val="00172A15"/>
    <w:rsid w:val="00172CE3"/>
    <w:rsid w:val="00172D60"/>
    <w:rsid w:val="00174A38"/>
    <w:rsid w:val="0019222A"/>
    <w:rsid w:val="00194D53"/>
    <w:rsid w:val="001975BE"/>
    <w:rsid w:val="001A0C05"/>
    <w:rsid w:val="001A1918"/>
    <w:rsid w:val="001A1EBD"/>
    <w:rsid w:val="001A28C3"/>
    <w:rsid w:val="001A28DC"/>
    <w:rsid w:val="001A4B36"/>
    <w:rsid w:val="001A4D4A"/>
    <w:rsid w:val="001A57AD"/>
    <w:rsid w:val="001B2399"/>
    <w:rsid w:val="001B4C29"/>
    <w:rsid w:val="001B6152"/>
    <w:rsid w:val="001C255D"/>
    <w:rsid w:val="001C3954"/>
    <w:rsid w:val="001C3DB8"/>
    <w:rsid w:val="001C4E43"/>
    <w:rsid w:val="001C5000"/>
    <w:rsid w:val="001C54A2"/>
    <w:rsid w:val="001C73FC"/>
    <w:rsid w:val="001D2E9B"/>
    <w:rsid w:val="001D4901"/>
    <w:rsid w:val="001D78A1"/>
    <w:rsid w:val="001E0335"/>
    <w:rsid w:val="001E069E"/>
    <w:rsid w:val="001E098C"/>
    <w:rsid w:val="001E0ED8"/>
    <w:rsid w:val="001E48AA"/>
    <w:rsid w:val="001E77E8"/>
    <w:rsid w:val="001F7B58"/>
    <w:rsid w:val="0020066D"/>
    <w:rsid w:val="00200CB7"/>
    <w:rsid w:val="002078E4"/>
    <w:rsid w:val="0021074A"/>
    <w:rsid w:val="002136C9"/>
    <w:rsid w:val="00216018"/>
    <w:rsid w:val="0021629B"/>
    <w:rsid w:val="00224BC2"/>
    <w:rsid w:val="00226CFE"/>
    <w:rsid w:val="00226EBB"/>
    <w:rsid w:val="00231C58"/>
    <w:rsid w:val="00233BAB"/>
    <w:rsid w:val="002346A1"/>
    <w:rsid w:val="00240748"/>
    <w:rsid w:val="00243786"/>
    <w:rsid w:val="002475E9"/>
    <w:rsid w:val="00251979"/>
    <w:rsid w:val="0025396A"/>
    <w:rsid w:val="0025728E"/>
    <w:rsid w:val="00257DDB"/>
    <w:rsid w:val="00263228"/>
    <w:rsid w:val="002633BC"/>
    <w:rsid w:val="002760C2"/>
    <w:rsid w:val="00277484"/>
    <w:rsid w:val="0028011F"/>
    <w:rsid w:val="0028117A"/>
    <w:rsid w:val="00282B0D"/>
    <w:rsid w:val="0028356A"/>
    <w:rsid w:val="00287F1D"/>
    <w:rsid w:val="00293C61"/>
    <w:rsid w:val="002947CA"/>
    <w:rsid w:val="00297401"/>
    <w:rsid w:val="002B0DBF"/>
    <w:rsid w:val="002B27C3"/>
    <w:rsid w:val="002B377D"/>
    <w:rsid w:val="002C0644"/>
    <w:rsid w:val="002C0771"/>
    <w:rsid w:val="002C2787"/>
    <w:rsid w:val="002C2A25"/>
    <w:rsid w:val="002C33AD"/>
    <w:rsid w:val="002C37AA"/>
    <w:rsid w:val="002C4357"/>
    <w:rsid w:val="002D17EE"/>
    <w:rsid w:val="002D19FC"/>
    <w:rsid w:val="002D2278"/>
    <w:rsid w:val="002D3181"/>
    <w:rsid w:val="002D67FD"/>
    <w:rsid w:val="002D7A1B"/>
    <w:rsid w:val="002E7486"/>
    <w:rsid w:val="002E7A1D"/>
    <w:rsid w:val="002F2F8D"/>
    <w:rsid w:val="002F44DA"/>
    <w:rsid w:val="002F68C9"/>
    <w:rsid w:val="0030135E"/>
    <w:rsid w:val="00302DE9"/>
    <w:rsid w:val="00304DFC"/>
    <w:rsid w:val="00307023"/>
    <w:rsid w:val="003126AB"/>
    <w:rsid w:val="0031706E"/>
    <w:rsid w:val="00321A01"/>
    <w:rsid w:val="00324303"/>
    <w:rsid w:val="00326274"/>
    <w:rsid w:val="00332B7E"/>
    <w:rsid w:val="003337A7"/>
    <w:rsid w:val="00333E6F"/>
    <w:rsid w:val="003342AE"/>
    <w:rsid w:val="00334341"/>
    <w:rsid w:val="00334998"/>
    <w:rsid w:val="003359A5"/>
    <w:rsid w:val="00336AE2"/>
    <w:rsid w:val="003371D4"/>
    <w:rsid w:val="00341754"/>
    <w:rsid w:val="00342EA9"/>
    <w:rsid w:val="00343179"/>
    <w:rsid w:val="00344881"/>
    <w:rsid w:val="0035500E"/>
    <w:rsid w:val="00356295"/>
    <w:rsid w:val="00362E99"/>
    <w:rsid w:val="00364860"/>
    <w:rsid w:val="003665DD"/>
    <w:rsid w:val="00373FA6"/>
    <w:rsid w:val="003805EC"/>
    <w:rsid w:val="00382437"/>
    <w:rsid w:val="00383457"/>
    <w:rsid w:val="00384D61"/>
    <w:rsid w:val="0038649F"/>
    <w:rsid w:val="00390371"/>
    <w:rsid w:val="003921B8"/>
    <w:rsid w:val="003933D9"/>
    <w:rsid w:val="0039670D"/>
    <w:rsid w:val="003A0599"/>
    <w:rsid w:val="003A0CCE"/>
    <w:rsid w:val="003A700C"/>
    <w:rsid w:val="003B31FF"/>
    <w:rsid w:val="003B44F1"/>
    <w:rsid w:val="003B5C12"/>
    <w:rsid w:val="003B6367"/>
    <w:rsid w:val="003C04C6"/>
    <w:rsid w:val="003C2539"/>
    <w:rsid w:val="003C2B3F"/>
    <w:rsid w:val="003C3C8E"/>
    <w:rsid w:val="003D005E"/>
    <w:rsid w:val="003D0652"/>
    <w:rsid w:val="003D07F8"/>
    <w:rsid w:val="003D100C"/>
    <w:rsid w:val="003D3A2A"/>
    <w:rsid w:val="003D441E"/>
    <w:rsid w:val="003D49D7"/>
    <w:rsid w:val="003D5193"/>
    <w:rsid w:val="003D614B"/>
    <w:rsid w:val="003D71E5"/>
    <w:rsid w:val="003E12C9"/>
    <w:rsid w:val="003E1DBA"/>
    <w:rsid w:val="003E21C9"/>
    <w:rsid w:val="003E2CA6"/>
    <w:rsid w:val="003E2DCC"/>
    <w:rsid w:val="003E5507"/>
    <w:rsid w:val="003E698E"/>
    <w:rsid w:val="003E7B09"/>
    <w:rsid w:val="003F3474"/>
    <w:rsid w:val="004005FE"/>
    <w:rsid w:val="00400A86"/>
    <w:rsid w:val="00401E5D"/>
    <w:rsid w:val="00403F42"/>
    <w:rsid w:val="0040640F"/>
    <w:rsid w:val="0040754E"/>
    <w:rsid w:val="00407D80"/>
    <w:rsid w:val="00410E59"/>
    <w:rsid w:val="0042189F"/>
    <w:rsid w:val="00424171"/>
    <w:rsid w:val="00426B48"/>
    <w:rsid w:val="00430CCF"/>
    <w:rsid w:val="00431DB9"/>
    <w:rsid w:val="00432606"/>
    <w:rsid w:val="00432695"/>
    <w:rsid w:val="00433E13"/>
    <w:rsid w:val="00436A70"/>
    <w:rsid w:val="00444105"/>
    <w:rsid w:val="00447351"/>
    <w:rsid w:val="004479DE"/>
    <w:rsid w:val="00451242"/>
    <w:rsid w:val="004568FB"/>
    <w:rsid w:val="00460EB9"/>
    <w:rsid w:val="004700A8"/>
    <w:rsid w:val="004726D2"/>
    <w:rsid w:val="004750A2"/>
    <w:rsid w:val="00475556"/>
    <w:rsid w:val="0047597B"/>
    <w:rsid w:val="00480FBF"/>
    <w:rsid w:val="00484342"/>
    <w:rsid w:val="00487A22"/>
    <w:rsid w:val="00492074"/>
    <w:rsid w:val="0049616E"/>
    <w:rsid w:val="004A342B"/>
    <w:rsid w:val="004A7B1B"/>
    <w:rsid w:val="004B05C2"/>
    <w:rsid w:val="004C2D32"/>
    <w:rsid w:val="004C4B7E"/>
    <w:rsid w:val="004D47CF"/>
    <w:rsid w:val="004D5776"/>
    <w:rsid w:val="004E7C21"/>
    <w:rsid w:val="004F24BC"/>
    <w:rsid w:val="004F3BD9"/>
    <w:rsid w:val="004F5FCB"/>
    <w:rsid w:val="0050281A"/>
    <w:rsid w:val="00504E7F"/>
    <w:rsid w:val="00514776"/>
    <w:rsid w:val="005165DA"/>
    <w:rsid w:val="00517098"/>
    <w:rsid w:val="00521F43"/>
    <w:rsid w:val="00524EBE"/>
    <w:rsid w:val="0053139D"/>
    <w:rsid w:val="005322E6"/>
    <w:rsid w:val="00532D01"/>
    <w:rsid w:val="005358BC"/>
    <w:rsid w:val="0053659A"/>
    <w:rsid w:val="00537B8D"/>
    <w:rsid w:val="00541261"/>
    <w:rsid w:val="00545887"/>
    <w:rsid w:val="00546F9A"/>
    <w:rsid w:val="00550EE3"/>
    <w:rsid w:val="00551022"/>
    <w:rsid w:val="00551A84"/>
    <w:rsid w:val="005617DB"/>
    <w:rsid w:val="00562F2F"/>
    <w:rsid w:val="005638B5"/>
    <w:rsid w:val="005702C6"/>
    <w:rsid w:val="005730F0"/>
    <w:rsid w:val="005759DC"/>
    <w:rsid w:val="00576E97"/>
    <w:rsid w:val="00581574"/>
    <w:rsid w:val="00590695"/>
    <w:rsid w:val="0059138D"/>
    <w:rsid w:val="005926E4"/>
    <w:rsid w:val="00592D7D"/>
    <w:rsid w:val="0059303F"/>
    <w:rsid w:val="00593D86"/>
    <w:rsid w:val="0059400B"/>
    <w:rsid w:val="00594CF4"/>
    <w:rsid w:val="00597F3D"/>
    <w:rsid w:val="00597FAE"/>
    <w:rsid w:val="005A1570"/>
    <w:rsid w:val="005A3D4F"/>
    <w:rsid w:val="005A5A87"/>
    <w:rsid w:val="005A6878"/>
    <w:rsid w:val="005A6BBA"/>
    <w:rsid w:val="005A7373"/>
    <w:rsid w:val="005B1863"/>
    <w:rsid w:val="005B2572"/>
    <w:rsid w:val="005B3009"/>
    <w:rsid w:val="005B42C8"/>
    <w:rsid w:val="005B4A4D"/>
    <w:rsid w:val="005B6A2E"/>
    <w:rsid w:val="005B7659"/>
    <w:rsid w:val="005C1217"/>
    <w:rsid w:val="005C754A"/>
    <w:rsid w:val="005C7D1A"/>
    <w:rsid w:val="005D1D50"/>
    <w:rsid w:val="005D2B92"/>
    <w:rsid w:val="005D4474"/>
    <w:rsid w:val="005D5543"/>
    <w:rsid w:val="005D6039"/>
    <w:rsid w:val="005D65BB"/>
    <w:rsid w:val="005E13C2"/>
    <w:rsid w:val="005E222E"/>
    <w:rsid w:val="005E429C"/>
    <w:rsid w:val="005E4EA3"/>
    <w:rsid w:val="005E5050"/>
    <w:rsid w:val="005E548C"/>
    <w:rsid w:val="005E6E52"/>
    <w:rsid w:val="005E767F"/>
    <w:rsid w:val="005F01BB"/>
    <w:rsid w:val="005F2574"/>
    <w:rsid w:val="005F3B65"/>
    <w:rsid w:val="005F3D42"/>
    <w:rsid w:val="005F603A"/>
    <w:rsid w:val="005F639B"/>
    <w:rsid w:val="005F7421"/>
    <w:rsid w:val="005F793C"/>
    <w:rsid w:val="005F7C43"/>
    <w:rsid w:val="006021CC"/>
    <w:rsid w:val="006037D0"/>
    <w:rsid w:val="00604F23"/>
    <w:rsid w:val="00605AC6"/>
    <w:rsid w:val="00606088"/>
    <w:rsid w:val="006061E1"/>
    <w:rsid w:val="00611C79"/>
    <w:rsid w:val="00611CC3"/>
    <w:rsid w:val="00612DF0"/>
    <w:rsid w:val="006147CD"/>
    <w:rsid w:val="006157D6"/>
    <w:rsid w:val="00620D83"/>
    <w:rsid w:val="00622FBD"/>
    <w:rsid w:val="00624FFC"/>
    <w:rsid w:val="00625C97"/>
    <w:rsid w:val="006340AB"/>
    <w:rsid w:val="00634239"/>
    <w:rsid w:val="006372A4"/>
    <w:rsid w:val="0063770C"/>
    <w:rsid w:val="00641520"/>
    <w:rsid w:val="006424E3"/>
    <w:rsid w:val="006463DF"/>
    <w:rsid w:val="00647F1C"/>
    <w:rsid w:val="00651C40"/>
    <w:rsid w:val="00666AF2"/>
    <w:rsid w:val="00673439"/>
    <w:rsid w:val="00675B96"/>
    <w:rsid w:val="00675F02"/>
    <w:rsid w:val="006771D5"/>
    <w:rsid w:val="006851C7"/>
    <w:rsid w:val="006853FC"/>
    <w:rsid w:val="00687971"/>
    <w:rsid w:val="00687FC8"/>
    <w:rsid w:val="00690625"/>
    <w:rsid w:val="00692D2E"/>
    <w:rsid w:val="0069375B"/>
    <w:rsid w:val="006962A3"/>
    <w:rsid w:val="006A3C71"/>
    <w:rsid w:val="006B21E1"/>
    <w:rsid w:val="006B2DA6"/>
    <w:rsid w:val="006B4C53"/>
    <w:rsid w:val="006B714D"/>
    <w:rsid w:val="006C519A"/>
    <w:rsid w:val="006C67C9"/>
    <w:rsid w:val="006D1A0B"/>
    <w:rsid w:val="006E6F8E"/>
    <w:rsid w:val="006F1199"/>
    <w:rsid w:val="006F1E1D"/>
    <w:rsid w:val="006F2B00"/>
    <w:rsid w:val="006F37B3"/>
    <w:rsid w:val="006F5144"/>
    <w:rsid w:val="006F537C"/>
    <w:rsid w:val="006F7C39"/>
    <w:rsid w:val="007065EC"/>
    <w:rsid w:val="0070696C"/>
    <w:rsid w:val="00711328"/>
    <w:rsid w:val="00714477"/>
    <w:rsid w:val="00715B46"/>
    <w:rsid w:val="00715C62"/>
    <w:rsid w:val="00717BE7"/>
    <w:rsid w:val="007206E5"/>
    <w:rsid w:val="00730399"/>
    <w:rsid w:val="0073105C"/>
    <w:rsid w:val="0073286C"/>
    <w:rsid w:val="00732AA4"/>
    <w:rsid w:val="00733804"/>
    <w:rsid w:val="00734505"/>
    <w:rsid w:val="0073772E"/>
    <w:rsid w:val="00741334"/>
    <w:rsid w:val="007426D3"/>
    <w:rsid w:val="00744B34"/>
    <w:rsid w:val="00744D04"/>
    <w:rsid w:val="007563DB"/>
    <w:rsid w:val="007573D6"/>
    <w:rsid w:val="0076042A"/>
    <w:rsid w:val="0076326E"/>
    <w:rsid w:val="0076669E"/>
    <w:rsid w:val="0077184C"/>
    <w:rsid w:val="00777EDE"/>
    <w:rsid w:val="007803B4"/>
    <w:rsid w:val="00780B60"/>
    <w:rsid w:val="007828B3"/>
    <w:rsid w:val="00784607"/>
    <w:rsid w:val="00786DE3"/>
    <w:rsid w:val="00790CC7"/>
    <w:rsid w:val="007923D7"/>
    <w:rsid w:val="00793936"/>
    <w:rsid w:val="00795A40"/>
    <w:rsid w:val="00795B0B"/>
    <w:rsid w:val="007A1172"/>
    <w:rsid w:val="007A6B17"/>
    <w:rsid w:val="007A73CB"/>
    <w:rsid w:val="007B13E7"/>
    <w:rsid w:val="007B297A"/>
    <w:rsid w:val="007B2ACF"/>
    <w:rsid w:val="007B304E"/>
    <w:rsid w:val="007B4EE0"/>
    <w:rsid w:val="007B6D09"/>
    <w:rsid w:val="007C1E67"/>
    <w:rsid w:val="007C3E86"/>
    <w:rsid w:val="007C42F5"/>
    <w:rsid w:val="007C5532"/>
    <w:rsid w:val="007D45E3"/>
    <w:rsid w:val="007E062D"/>
    <w:rsid w:val="007E5AF3"/>
    <w:rsid w:val="007E668B"/>
    <w:rsid w:val="007E66E2"/>
    <w:rsid w:val="007F131C"/>
    <w:rsid w:val="007F513D"/>
    <w:rsid w:val="007F7246"/>
    <w:rsid w:val="007F735B"/>
    <w:rsid w:val="00801913"/>
    <w:rsid w:val="008027E2"/>
    <w:rsid w:val="00803C34"/>
    <w:rsid w:val="008046F1"/>
    <w:rsid w:val="00804D37"/>
    <w:rsid w:val="00805242"/>
    <w:rsid w:val="00806553"/>
    <w:rsid w:val="00812963"/>
    <w:rsid w:val="00812D66"/>
    <w:rsid w:val="00813C93"/>
    <w:rsid w:val="008140D1"/>
    <w:rsid w:val="00814503"/>
    <w:rsid w:val="00816060"/>
    <w:rsid w:val="0081774A"/>
    <w:rsid w:val="0081784A"/>
    <w:rsid w:val="00817F48"/>
    <w:rsid w:val="00821D2D"/>
    <w:rsid w:val="0082379E"/>
    <w:rsid w:val="008242D8"/>
    <w:rsid w:val="0082733C"/>
    <w:rsid w:val="00831A44"/>
    <w:rsid w:val="00834C95"/>
    <w:rsid w:val="00836071"/>
    <w:rsid w:val="008448E2"/>
    <w:rsid w:val="00847254"/>
    <w:rsid w:val="008503A5"/>
    <w:rsid w:val="0085549D"/>
    <w:rsid w:val="00857AA8"/>
    <w:rsid w:val="00870A56"/>
    <w:rsid w:val="00873A9D"/>
    <w:rsid w:val="00873C3E"/>
    <w:rsid w:val="00875302"/>
    <w:rsid w:val="00875453"/>
    <w:rsid w:val="0088374A"/>
    <w:rsid w:val="008854EF"/>
    <w:rsid w:val="00891423"/>
    <w:rsid w:val="008931C0"/>
    <w:rsid w:val="008977A8"/>
    <w:rsid w:val="008A3A9B"/>
    <w:rsid w:val="008A3FE7"/>
    <w:rsid w:val="008A453F"/>
    <w:rsid w:val="008A7BDD"/>
    <w:rsid w:val="008B053B"/>
    <w:rsid w:val="008C17F3"/>
    <w:rsid w:val="008C2B78"/>
    <w:rsid w:val="008C32EA"/>
    <w:rsid w:val="008C4A9B"/>
    <w:rsid w:val="008C732A"/>
    <w:rsid w:val="008D12E3"/>
    <w:rsid w:val="008D1DBB"/>
    <w:rsid w:val="008D364F"/>
    <w:rsid w:val="008D6FF1"/>
    <w:rsid w:val="008D71E9"/>
    <w:rsid w:val="008D72CF"/>
    <w:rsid w:val="008E154D"/>
    <w:rsid w:val="008E67CB"/>
    <w:rsid w:val="008F0550"/>
    <w:rsid w:val="008F1E34"/>
    <w:rsid w:val="008F3C59"/>
    <w:rsid w:val="00900A46"/>
    <w:rsid w:val="009033B4"/>
    <w:rsid w:val="00903BF7"/>
    <w:rsid w:val="0091041C"/>
    <w:rsid w:val="00912C58"/>
    <w:rsid w:val="00913B80"/>
    <w:rsid w:val="00915C7B"/>
    <w:rsid w:val="00917CBA"/>
    <w:rsid w:val="00932851"/>
    <w:rsid w:val="00937A82"/>
    <w:rsid w:val="009437B0"/>
    <w:rsid w:val="00944B11"/>
    <w:rsid w:val="009470F9"/>
    <w:rsid w:val="00950093"/>
    <w:rsid w:val="009538B1"/>
    <w:rsid w:val="00953ABF"/>
    <w:rsid w:val="009621A7"/>
    <w:rsid w:val="009621EE"/>
    <w:rsid w:val="00963A83"/>
    <w:rsid w:val="00966E41"/>
    <w:rsid w:val="009677A3"/>
    <w:rsid w:val="009727C7"/>
    <w:rsid w:val="00976A24"/>
    <w:rsid w:val="00984709"/>
    <w:rsid w:val="00985E68"/>
    <w:rsid w:val="0098632E"/>
    <w:rsid w:val="00987AA6"/>
    <w:rsid w:val="00993B91"/>
    <w:rsid w:val="00996CB2"/>
    <w:rsid w:val="009A04A0"/>
    <w:rsid w:val="009A6430"/>
    <w:rsid w:val="009B18C4"/>
    <w:rsid w:val="009B26F7"/>
    <w:rsid w:val="009B5159"/>
    <w:rsid w:val="009B5FE0"/>
    <w:rsid w:val="009B72C3"/>
    <w:rsid w:val="009C17F6"/>
    <w:rsid w:val="009C19FA"/>
    <w:rsid w:val="009C2128"/>
    <w:rsid w:val="009C2239"/>
    <w:rsid w:val="009C59DA"/>
    <w:rsid w:val="009D15EC"/>
    <w:rsid w:val="009D3CD0"/>
    <w:rsid w:val="009D565B"/>
    <w:rsid w:val="009D75EF"/>
    <w:rsid w:val="009E30EC"/>
    <w:rsid w:val="009E493A"/>
    <w:rsid w:val="009F1B6F"/>
    <w:rsid w:val="009F21FF"/>
    <w:rsid w:val="009F740A"/>
    <w:rsid w:val="009F75E1"/>
    <w:rsid w:val="00A00395"/>
    <w:rsid w:val="00A006E4"/>
    <w:rsid w:val="00A01F84"/>
    <w:rsid w:val="00A04F62"/>
    <w:rsid w:val="00A110E0"/>
    <w:rsid w:val="00A11496"/>
    <w:rsid w:val="00A15EAA"/>
    <w:rsid w:val="00A17D46"/>
    <w:rsid w:val="00A26006"/>
    <w:rsid w:val="00A262B4"/>
    <w:rsid w:val="00A27166"/>
    <w:rsid w:val="00A307E6"/>
    <w:rsid w:val="00A37F1E"/>
    <w:rsid w:val="00A41FDA"/>
    <w:rsid w:val="00A42FE2"/>
    <w:rsid w:val="00A43649"/>
    <w:rsid w:val="00A44163"/>
    <w:rsid w:val="00A442D1"/>
    <w:rsid w:val="00A45231"/>
    <w:rsid w:val="00A47B0A"/>
    <w:rsid w:val="00A50749"/>
    <w:rsid w:val="00A507AB"/>
    <w:rsid w:val="00A54672"/>
    <w:rsid w:val="00A548E4"/>
    <w:rsid w:val="00A575D8"/>
    <w:rsid w:val="00A57B3C"/>
    <w:rsid w:val="00A600FA"/>
    <w:rsid w:val="00A6033D"/>
    <w:rsid w:val="00A6051E"/>
    <w:rsid w:val="00A6212D"/>
    <w:rsid w:val="00A717E1"/>
    <w:rsid w:val="00A729F9"/>
    <w:rsid w:val="00A75FC9"/>
    <w:rsid w:val="00A763BA"/>
    <w:rsid w:val="00A83224"/>
    <w:rsid w:val="00A83532"/>
    <w:rsid w:val="00A87A03"/>
    <w:rsid w:val="00A9029D"/>
    <w:rsid w:val="00A91FB5"/>
    <w:rsid w:val="00A92B1E"/>
    <w:rsid w:val="00A97E3B"/>
    <w:rsid w:val="00AA00B6"/>
    <w:rsid w:val="00AA19FC"/>
    <w:rsid w:val="00AA4990"/>
    <w:rsid w:val="00AB12B2"/>
    <w:rsid w:val="00AB1357"/>
    <w:rsid w:val="00AB2BB0"/>
    <w:rsid w:val="00AB454C"/>
    <w:rsid w:val="00AB6C2C"/>
    <w:rsid w:val="00AC186A"/>
    <w:rsid w:val="00AC4600"/>
    <w:rsid w:val="00AC77D9"/>
    <w:rsid w:val="00AD0196"/>
    <w:rsid w:val="00AD5635"/>
    <w:rsid w:val="00AD587F"/>
    <w:rsid w:val="00AD6690"/>
    <w:rsid w:val="00AE1670"/>
    <w:rsid w:val="00AE3574"/>
    <w:rsid w:val="00AE608F"/>
    <w:rsid w:val="00AF06FD"/>
    <w:rsid w:val="00AF3BB6"/>
    <w:rsid w:val="00AF5FBE"/>
    <w:rsid w:val="00AF6CEE"/>
    <w:rsid w:val="00B00F65"/>
    <w:rsid w:val="00B02AE5"/>
    <w:rsid w:val="00B10968"/>
    <w:rsid w:val="00B1239C"/>
    <w:rsid w:val="00B12DE2"/>
    <w:rsid w:val="00B14C4D"/>
    <w:rsid w:val="00B22907"/>
    <w:rsid w:val="00B22FD2"/>
    <w:rsid w:val="00B24B3E"/>
    <w:rsid w:val="00B26E9D"/>
    <w:rsid w:val="00B32112"/>
    <w:rsid w:val="00B33F75"/>
    <w:rsid w:val="00B36AFD"/>
    <w:rsid w:val="00B43C54"/>
    <w:rsid w:val="00B45116"/>
    <w:rsid w:val="00B504F7"/>
    <w:rsid w:val="00B554B6"/>
    <w:rsid w:val="00B56CCE"/>
    <w:rsid w:val="00B659A4"/>
    <w:rsid w:val="00B66086"/>
    <w:rsid w:val="00B66193"/>
    <w:rsid w:val="00B67545"/>
    <w:rsid w:val="00B67814"/>
    <w:rsid w:val="00B71C3C"/>
    <w:rsid w:val="00B774FD"/>
    <w:rsid w:val="00B8115F"/>
    <w:rsid w:val="00B81B18"/>
    <w:rsid w:val="00B83B44"/>
    <w:rsid w:val="00B865DA"/>
    <w:rsid w:val="00B91B2E"/>
    <w:rsid w:val="00B92279"/>
    <w:rsid w:val="00B9356A"/>
    <w:rsid w:val="00B962B6"/>
    <w:rsid w:val="00B975C3"/>
    <w:rsid w:val="00BA077C"/>
    <w:rsid w:val="00BA3661"/>
    <w:rsid w:val="00BA4A74"/>
    <w:rsid w:val="00BA7E4B"/>
    <w:rsid w:val="00BB244B"/>
    <w:rsid w:val="00BB3C2D"/>
    <w:rsid w:val="00BC1A16"/>
    <w:rsid w:val="00BC5131"/>
    <w:rsid w:val="00BC52B0"/>
    <w:rsid w:val="00BC56AA"/>
    <w:rsid w:val="00BD6401"/>
    <w:rsid w:val="00BE08FA"/>
    <w:rsid w:val="00BE14AF"/>
    <w:rsid w:val="00BE1A4E"/>
    <w:rsid w:val="00BE40C2"/>
    <w:rsid w:val="00BE6EA5"/>
    <w:rsid w:val="00BF3F51"/>
    <w:rsid w:val="00C13819"/>
    <w:rsid w:val="00C16DC8"/>
    <w:rsid w:val="00C22C9A"/>
    <w:rsid w:val="00C249D5"/>
    <w:rsid w:val="00C252B4"/>
    <w:rsid w:val="00C25583"/>
    <w:rsid w:val="00C2621A"/>
    <w:rsid w:val="00C2756A"/>
    <w:rsid w:val="00C3001A"/>
    <w:rsid w:val="00C3081D"/>
    <w:rsid w:val="00C32411"/>
    <w:rsid w:val="00C3458F"/>
    <w:rsid w:val="00C35768"/>
    <w:rsid w:val="00C44A14"/>
    <w:rsid w:val="00C46A1B"/>
    <w:rsid w:val="00C501C3"/>
    <w:rsid w:val="00C505C5"/>
    <w:rsid w:val="00C54539"/>
    <w:rsid w:val="00C545FB"/>
    <w:rsid w:val="00C55FD5"/>
    <w:rsid w:val="00C650B5"/>
    <w:rsid w:val="00C66037"/>
    <w:rsid w:val="00C66518"/>
    <w:rsid w:val="00C66C26"/>
    <w:rsid w:val="00C71D7F"/>
    <w:rsid w:val="00C75298"/>
    <w:rsid w:val="00C75A1C"/>
    <w:rsid w:val="00C848B5"/>
    <w:rsid w:val="00C902C7"/>
    <w:rsid w:val="00C9031A"/>
    <w:rsid w:val="00C97434"/>
    <w:rsid w:val="00CA2709"/>
    <w:rsid w:val="00CA3B14"/>
    <w:rsid w:val="00CA4A8D"/>
    <w:rsid w:val="00CA6987"/>
    <w:rsid w:val="00CB10D8"/>
    <w:rsid w:val="00CB1BB6"/>
    <w:rsid w:val="00CB353A"/>
    <w:rsid w:val="00CB4232"/>
    <w:rsid w:val="00CB4C48"/>
    <w:rsid w:val="00CB6DA2"/>
    <w:rsid w:val="00CC0304"/>
    <w:rsid w:val="00CC066F"/>
    <w:rsid w:val="00CC52B4"/>
    <w:rsid w:val="00CC6C61"/>
    <w:rsid w:val="00CC7BA9"/>
    <w:rsid w:val="00CD5AA1"/>
    <w:rsid w:val="00CE0785"/>
    <w:rsid w:val="00CE21C6"/>
    <w:rsid w:val="00CE4B2F"/>
    <w:rsid w:val="00CE5321"/>
    <w:rsid w:val="00CE5958"/>
    <w:rsid w:val="00CE6571"/>
    <w:rsid w:val="00CE687E"/>
    <w:rsid w:val="00CE7321"/>
    <w:rsid w:val="00CF0B6D"/>
    <w:rsid w:val="00CF1723"/>
    <w:rsid w:val="00CF434B"/>
    <w:rsid w:val="00D00D06"/>
    <w:rsid w:val="00D0114E"/>
    <w:rsid w:val="00D030FC"/>
    <w:rsid w:val="00D06272"/>
    <w:rsid w:val="00D06341"/>
    <w:rsid w:val="00D11D18"/>
    <w:rsid w:val="00D12CC1"/>
    <w:rsid w:val="00D12DB2"/>
    <w:rsid w:val="00D12F8C"/>
    <w:rsid w:val="00D137FA"/>
    <w:rsid w:val="00D15D6B"/>
    <w:rsid w:val="00D170B3"/>
    <w:rsid w:val="00D1770C"/>
    <w:rsid w:val="00D22EF5"/>
    <w:rsid w:val="00D24979"/>
    <w:rsid w:val="00D26237"/>
    <w:rsid w:val="00D3061A"/>
    <w:rsid w:val="00D31C05"/>
    <w:rsid w:val="00D31E61"/>
    <w:rsid w:val="00D325B2"/>
    <w:rsid w:val="00D40929"/>
    <w:rsid w:val="00D40E52"/>
    <w:rsid w:val="00D43A45"/>
    <w:rsid w:val="00D47B37"/>
    <w:rsid w:val="00D50F61"/>
    <w:rsid w:val="00D51D99"/>
    <w:rsid w:val="00D52434"/>
    <w:rsid w:val="00D528F1"/>
    <w:rsid w:val="00D54813"/>
    <w:rsid w:val="00D55197"/>
    <w:rsid w:val="00D62F8D"/>
    <w:rsid w:val="00D6347A"/>
    <w:rsid w:val="00D727A4"/>
    <w:rsid w:val="00D746E7"/>
    <w:rsid w:val="00D74B4A"/>
    <w:rsid w:val="00D76EE2"/>
    <w:rsid w:val="00D7747E"/>
    <w:rsid w:val="00D81C9C"/>
    <w:rsid w:val="00D93C22"/>
    <w:rsid w:val="00D94683"/>
    <w:rsid w:val="00DA3CE8"/>
    <w:rsid w:val="00DA6506"/>
    <w:rsid w:val="00DB02CA"/>
    <w:rsid w:val="00DB17DC"/>
    <w:rsid w:val="00DB256C"/>
    <w:rsid w:val="00DB48E9"/>
    <w:rsid w:val="00DB7071"/>
    <w:rsid w:val="00DB7780"/>
    <w:rsid w:val="00DC2DFC"/>
    <w:rsid w:val="00DC3C5F"/>
    <w:rsid w:val="00DC6611"/>
    <w:rsid w:val="00DC6FE2"/>
    <w:rsid w:val="00DD199D"/>
    <w:rsid w:val="00DD1F11"/>
    <w:rsid w:val="00DD27C0"/>
    <w:rsid w:val="00DD5BDB"/>
    <w:rsid w:val="00DD6ADF"/>
    <w:rsid w:val="00DE0FC3"/>
    <w:rsid w:val="00DE29EA"/>
    <w:rsid w:val="00DE2E39"/>
    <w:rsid w:val="00DE344B"/>
    <w:rsid w:val="00DE4417"/>
    <w:rsid w:val="00DE576D"/>
    <w:rsid w:val="00DF102B"/>
    <w:rsid w:val="00DF13C3"/>
    <w:rsid w:val="00DF2F50"/>
    <w:rsid w:val="00DF3697"/>
    <w:rsid w:val="00DF6842"/>
    <w:rsid w:val="00E0169F"/>
    <w:rsid w:val="00E054BD"/>
    <w:rsid w:val="00E11ADF"/>
    <w:rsid w:val="00E12A39"/>
    <w:rsid w:val="00E13586"/>
    <w:rsid w:val="00E138C7"/>
    <w:rsid w:val="00E14550"/>
    <w:rsid w:val="00E16931"/>
    <w:rsid w:val="00E2151A"/>
    <w:rsid w:val="00E23258"/>
    <w:rsid w:val="00E23342"/>
    <w:rsid w:val="00E2414F"/>
    <w:rsid w:val="00E268C3"/>
    <w:rsid w:val="00E34ADE"/>
    <w:rsid w:val="00E36739"/>
    <w:rsid w:val="00E36E75"/>
    <w:rsid w:val="00E42183"/>
    <w:rsid w:val="00E43C48"/>
    <w:rsid w:val="00E51B1E"/>
    <w:rsid w:val="00E52FE0"/>
    <w:rsid w:val="00E611A2"/>
    <w:rsid w:val="00E61483"/>
    <w:rsid w:val="00E65EE5"/>
    <w:rsid w:val="00E72C93"/>
    <w:rsid w:val="00E76B04"/>
    <w:rsid w:val="00E81248"/>
    <w:rsid w:val="00E81B72"/>
    <w:rsid w:val="00E82579"/>
    <w:rsid w:val="00E83078"/>
    <w:rsid w:val="00E84BF5"/>
    <w:rsid w:val="00E86FB4"/>
    <w:rsid w:val="00E879DF"/>
    <w:rsid w:val="00E87C8C"/>
    <w:rsid w:val="00E9073E"/>
    <w:rsid w:val="00E92479"/>
    <w:rsid w:val="00E950E7"/>
    <w:rsid w:val="00E973A8"/>
    <w:rsid w:val="00EA440A"/>
    <w:rsid w:val="00EA46A5"/>
    <w:rsid w:val="00EA4B22"/>
    <w:rsid w:val="00EA5CFE"/>
    <w:rsid w:val="00EA5EB4"/>
    <w:rsid w:val="00EB0E64"/>
    <w:rsid w:val="00EB497B"/>
    <w:rsid w:val="00EB4E85"/>
    <w:rsid w:val="00EC063D"/>
    <w:rsid w:val="00EC13B0"/>
    <w:rsid w:val="00EC3C89"/>
    <w:rsid w:val="00EC5AC9"/>
    <w:rsid w:val="00EC603E"/>
    <w:rsid w:val="00ED2103"/>
    <w:rsid w:val="00ED39DC"/>
    <w:rsid w:val="00ED4378"/>
    <w:rsid w:val="00ED5F2B"/>
    <w:rsid w:val="00ED7449"/>
    <w:rsid w:val="00EE1F3A"/>
    <w:rsid w:val="00EE47E4"/>
    <w:rsid w:val="00EE4A99"/>
    <w:rsid w:val="00EE554D"/>
    <w:rsid w:val="00EF076B"/>
    <w:rsid w:val="00EF4AB1"/>
    <w:rsid w:val="00EF65C5"/>
    <w:rsid w:val="00F007C1"/>
    <w:rsid w:val="00F01B5E"/>
    <w:rsid w:val="00F053A5"/>
    <w:rsid w:val="00F05A55"/>
    <w:rsid w:val="00F11821"/>
    <w:rsid w:val="00F147D8"/>
    <w:rsid w:val="00F16A2A"/>
    <w:rsid w:val="00F16C2E"/>
    <w:rsid w:val="00F173DC"/>
    <w:rsid w:val="00F20DB8"/>
    <w:rsid w:val="00F23085"/>
    <w:rsid w:val="00F261D7"/>
    <w:rsid w:val="00F32676"/>
    <w:rsid w:val="00F33487"/>
    <w:rsid w:val="00F33F7D"/>
    <w:rsid w:val="00F35691"/>
    <w:rsid w:val="00F41A18"/>
    <w:rsid w:val="00F4263A"/>
    <w:rsid w:val="00F43F9D"/>
    <w:rsid w:val="00F46C6E"/>
    <w:rsid w:val="00F554CD"/>
    <w:rsid w:val="00F5564F"/>
    <w:rsid w:val="00F55925"/>
    <w:rsid w:val="00F5778C"/>
    <w:rsid w:val="00F57A18"/>
    <w:rsid w:val="00F60C20"/>
    <w:rsid w:val="00F61053"/>
    <w:rsid w:val="00F62526"/>
    <w:rsid w:val="00F62B20"/>
    <w:rsid w:val="00F6351D"/>
    <w:rsid w:val="00F70E83"/>
    <w:rsid w:val="00F734E7"/>
    <w:rsid w:val="00F735EB"/>
    <w:rsid w:val="00F738B3"/>
    <w:rsid w:val="00F74639"/>
    <w:rsid w:val="00F84FDD"/>
    <w:rsid w:val="00F86C19"/>
    <w:rsid w:val="00F945F0"/>
    <w:rsid w:val="00F96B25"/>
    <w:rsid w:val="00F96DFE"/>
    <w:rsid w:val="00FA0305"/>
    <w:rsid w:val="00FA1EF8"/>
    <w:rsid w:val="00FA2E5D"/>
    <w:rsid w:val="00FA5B1F"/>
    <w:rsid w:val="00FA6938"/>
    <w:rsid w:val="00FB7FCA"/>
    <w:rsid w:val="00FC1C43"/>
    <w:rsid w:val="00FC3217"/>
    <w:rsid w:val="00FC4846"/>
    <w:rsid w:val="00FC619F"/>
    <w:rsid w:val="00FD0B22"/>
    <w:rsid w:val="00FD0C4A"/>
    <w:rsid w:val="00FD170B"/>
    <w:rsid w:val="00FD1780"/>
    <w:rsid w:val="00FD3269"/>
    <w:rsid w:val="00FD38A7"/>
    <w:rsid w:val="00FD4786"/>
    <w:rsid w:val="00FD4A58"/>
    <w:rsid w:val="00FE3C67"/>
    <w:rsid w:val="00FE6BD1"/>
    <w:rsid w:val="00FE762D"/>
    <w:rsid w:val="00FF1AFB"/>
    <w:rsid w:val="00FF3EAA"/>
    <w:rsid w:val="00FF41B5"/>
    <w:rsid w:val="00FF6039"/>
    <w:rsid w:val="00FF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55DD5"/>
  <w15:docId w15:val="{83456679-9FF4-4C0F-A8DD-D1FD7771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
      </w:numPr>
      <w:spacing w:before="240" w:after="60"/>
      <w:outlineLvl w:val="4"/>
    </w:pPr>
    <w:rPr>
      <w:b/>
      <w:bCs/>
      <w:i/>
      <w:iCs/>
      <w:sz w:val="26"/>
      <w:szCs w:val="26"/>
    </w:rPr>
  </w:style>
  <w:style w:type="paragraph" w:styleId="Heading6">
    <w:name w:val="heading 6"/>
    <w:basedOn w:val="Normal"/>
    <w:next w:val="Normal"/>
    <w:qFormat/>
    <w:rsid w:val="00B02AE5"/>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5E13C2"/>
    <w:pPr>
      <w:numPr>
        <w:numId w:val="1"/>
      </w:numPr>
      <w:spacing w:after="220"/>
      <w:outlineLvl w:val="0"/>
    </w:pPr>
    <w:rPr>
      <w:rFonts w:ascii="Arial Bold" w:hAnsi="Arial Bold"/>
      <w:b/>
      <w:caps/>
    </w:rPr>
  </w:style>
  <w:style w:type="paragraph" w:customStyle="1" w:styleId="TSHeadingNumbered11">
    <w:name w:val="TS Heading Numbered 1.1"/>
    <w:basedOn w:val="TSHeadingNumbered1"/>
    <w:rsid w:val="00B02AE5"/>
    <w:pPr>
      <w:numPr>
        <w:ilvl w:val="1"/>
      </w:numPr>
    </w:pPr>
  </w:style>
  <w:style w:type="paragraph" w:customStyle="1" w:styleId="TSHeadingNumbered111">
    <w:name w:val="TS Heading Numbered 1.1.1"/>
    <w:basedOn w:val="TSHeadingNumbered1"/>
    <w:rsid w:val="00730399"/>
    <w:pPr>
      <w:numPr>
        <w:ilvl w:val="2"/>
      </w:numPr>
    </w:pPr>
    <w:rPr>
      <w:rFonts w:ascii="Arial" w:hAnsi="Arial"/>
      <w:b w:val="0"/>
      <w:caps w:val="0"/>
    </w:r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5E13C2"/>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5E13C2"/>
    <w:pPr>
      <w:tabs>
        <w:tab w:val="left" w:pos="360"/>
        <w:tab w:val="right" w:leader="dot" w:pos="9180"/>
      </w:tabs>
      <w:spacing w:after="120"/>
      <w:ind w:left="357" w:hanging="357"/>
    </w:pPr>
    <w:rPr>
      <w:caps/>
    </w:rPr>
  </w:style>
  <w:style w:type="paragraph" w:customStyle="1" w:styleId="TSBullet1Square">
    <w:name w:val="TS Bullet 1 Square"/>
    <w:basedOn w:val="Normal"/>
    <w:rsid w:val="00B504F7"/>
    <w:pPr>
      <w:numPr>
        <w:numId w:val="2"/>
      </w:numPr>
      <w:spacing w:after="240"/>
      <w:contextualSpacing/>
    </w:pPr>
  </w:style>
  <w:style w:type="paragraph" w:customStyle="1" w:styleId="TSBullet2Circle">
    <w:name w:val="TS Bullet 2 Circle"/>
    <w:basedOn w:val="TSBullet1Square"/>
    <w:rsid w:val="00B504F7"/>
    <w:pPr>
      <w:numPr>
        <w:numId w:val="3"/>
      </w:numPr>
    </w:pPr>
  </w:style>
  <w:style w:type="character" w:styleId="FollowedHyperlink">
    <w:name w:val="FollowedHyperlink"/>
    <w:rsid w:val="006061E1"/>
    <w:rPr>
      <w:color w:val="800080"/>
      <w:u w:val="single"/>
    </w:rPr>
  </w:style>
  <w:style w:type="paragraph" w:styleId="DocumentMap">
    <w:name w:val="Document Map"/>
    <w:basedOn w:val="Normal"/>
    <w:semiHidden/>
    <w:rsid w:val="005E13C2"/>
    <w:pPr>
      <w:shd w:val="clear" w:color="auto" w:fill="000080"/>
    </w:pPr>
    <w:rPr>
      <w:rFonts w:ascii="Tahoma" w:hAnsi="Tahoma" w:cs="Tahoma"/>
      <w:sz w:val="20"/>
      <w:szCs w:val="20"/>
    </w:rPr>
  </w:style>
  <w:style w:type="character" w:customStyle="1" w:styleId="HeaderChar">
    <w:name w:val="Header Char"/>
    <w:link w:val="Header"/>
    <w:semiHidden/>
    <w:locked/>
    <w:rsid w:val="00FD170B"/>
    <w:rPr>
      <w:rFonts w:ascii="Arial" w:hAnsi="Arial"/>
      <w:sz w:val="22"/>
      <w:szCs w:val="24"/>
      <w:lang w:val="en-GB" w:eastAsia="en-US" w:bidi="ar-SA"/>
    </w:rPr>
  </w:style>
  <w:style w:type="paragraph" w:styleId="BalloonText">
    <w:name w:val="Balloon Text"/>
    <w:basedOn w:val="Normal"/>
    <w:link w:val="BalloonTextChar"/>
    <w:rsid w:val="00CB353A"/>
    <w:rPr>
      <w:rFonts w:ascii="Tahoma" w:hAnsi="Tahoma" w:cs="Tahoma"/>
      <w:sz w:val="16"/>
      <w:szCs w:val="16"/>
    </w:rPr>
  </w:style>
  <w:style w:type="character" w:customStyle="1" w:styleId="BalloonTextChar">
    <w:name w:val="Balloon Text Char"/>
    <w:link w:val="BalloonText"/>
    <w:rsid w:val="00CB353A"/>
    <w:rPr>
      <w:rFonts w:ascii="Tahoma" w:hAnsi="Tahoma" w:cs="Tahoma"/>
      <w:sz w:val="16"/>
      <w:szCs w:val="16"/>
      <w:lang w:eastAsia="en-US"/>
    </w:rPr>
  </w:style>
  <w:style w:type="paragraph" w:customStyle="1" w:styleId="Default">
    <w:name w:val="Default"/>
    <w:rsid w:val="007303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D3269"/>
    <w:pPr>
      <w:ind w:left="720"/>
    </w:pPr>
  </w:style>
  <w:style w:type="paragraph" w:customStyle="1" w:styleId="NumberedHeading">
    <w:name w:val="Numbered Heading"/>
    <w:basedOn w:val="Normal"/>
    <w:rsid w:val="00795B0B"/>
    <w:pPr>
      <w:keepNext/>
      <w:numPr>
        <w:numId w:val="8"/>
      </w:numPr>
      <w:overflowPunct w:val="0"/>
      <w:autoSpaceDE w:val="0"/>
      <w:autoSpaceDN w:val="0"/>
      <w:adjustRightInd w:val="0"/>
      <w:spacing w:after="240"/>
      <w:textAlignment w:val="baseline"/>
    </w:pPr>
    <w:rPr>
      <w:rFonts w:ascii="Arial Bold" w:hAnsi="Arial Bold" w:cs="Arial"/>
      <w:b/>
      <w:bCs/>
      <w:caps/>
      <w:color w:val="000000"/>
      <w:szCs w:val="20"/>
    </w:rPr>
  </w:style>
  <w:style w:type="paragraph" w:customStyle="1" w:styleId="NumberedParagraph">
    <w:name w:val="Numbered Paragraph"/>
    <w:basedOn w:val="Normal"/>
    <w:rsid w:val="00795B0B"/>
    <w:pPr>
      <w:numPr>
        <w:ilvl w:val="1"/>
        <w:numId w:val="8"/>
      </w:numPr>
      <w:spacing w:after="240"/>
      <w:jc w:val="both"/>
    </w:pPr>
    <w:rPr>
      <w:rFonts w:cs="Arial"/>
      <w:szCs w:val="22"/>
    </w:rPr>
  </w:style>
  <w:style w:type="character" w:styleId="CommentReference">
    <w:name w:val="annotation reference"/>
    <w:basedOn w:val="DefaultParagraphFont"/>
    <w:rsid w:val="00514776"/>
    <w:rPr>
      <w:sz w:val="16"/>
      <w:szCs w:val="16"/>
    </w:rPr>
  </w:style>
  <w:style w:type="paragraph" w:styleId="CommentText">
    <w:name w:val="annotation text"/>
    <w:basedOn w:val="Normal"/>
    <w:link w:val="CommentTextChar"/>
    <w:rsid w:val="00514776"/>
    <w:rPr>
      <w:sz w:val="20"/>
      <w:szCs w:val="20"/>
    </w:rPr>
  </w:style>
  <w:style w:type="character" w:customStyle="1" w:styleId="CommentTextChar">
    <w:name w:val="Comment Text Char"/>
    <w:basedOn w:val="DefaultParagraphFont"/>
    <w:link w:val="CommentText"/>
    <w:rsid w:val="00514776"/>
    <w:rPr>
      <w:rFonts w:ascii="Arial" w:hAnsi="Arial"/>
      <w:lang w:eastAsia="en-US"/>
    </w:rPr>
  </w:style>
  <w:style w:type="paragraph" w:styleId="CommentSubject">
    <w:name w:val="annotation subject"/>
    <w:basedOn w:val="CommentText"/>
    <w:next w:val="CommentText"/>
    <w:link w:val="CommentSubjectChar"/>
    <w:rsid w:val="00514776"/>
    <w:rPr>
      <w:b/>
      <w:bCs/>
    </w:rPr>
  </w:style>
  <w:style w:type="character" w:customStyle="1" w:styleId="CommentSubjectChar">
    <w:name w:val="Comment Subject Char"/>
    <w:basedOn w:val="CommentTextChar"/>
    <w:link w:val="CommentSubject"/>
    <w:rsid w:val="00514776"/>
    <w:rPr>
      <w:rFonts w:ascii="Arial" w:hAnsi="Arial"/>
      <w:b/>
      <w:bCs/>
      <w:lang w:eastAsia="en-US"/>
    </w:rPr>
  </w:style>
  <w:style w:type="paragraph" w:styleId="NormalWeb">
    <w:name w:val="Normal (Web)"/>
    <w:basedOn w:val="Normal"/>
    <w:uiPriority w:val="99"/>
    <w:unhideWhenUsed/>
    <w:rsid w:val="000E0CE4"/>
    <w:pPr>
      <w:spacing w:before="100" w:beforeAutospacing="1" w:after="100" w:afterAutospacing="1"/>
    </w:pPr>
    <w:rPr>
      <w:rFonts w:ascii="Times New Roman" w:hAnsi="Times New Roman"/>
      <w:sz w:val="24"/>
      <w:lang w:eastAsia="en-GB"/>
    </w:rPr>
  </w:style>
  <w:style w:type="paragraph" w:styleId="EndnoteText">
    <w:name w:val="endnote text"/>
    <w:basedOn w:val="Normal"/>
    <w:link w:val="EndnoteTextChar"/>
    <w:rsid w:val="00576E97"/>
    <w:rPr>
      <w:sz w:val="20"/>
      <w:szCs w:val="20"/>
    </w:rPr>
  </w:style>
  <w:style w:type="character" w:customStyle="1" w:styleId="EndnoteTextChar">
    <w:name w:val="Endnote Text Char"/>
    <w:basedOn w:val="DefaultParagraphFont"/>
    <w:link w:val="EndnoteText"/>
    <w:rsid w:val="00576E97"/>
    <w:rPr>
      <w:rFonts w:ascii="Arial" w:hAnsi="Arial"/>
      <w:lang w:eastAsia="en-US"/>
    </w:rPr>
  </w:style>
  <w:style w:type="character" w:styleId="EndnoteReference">
    <w:name w:val="endnote reference"/>
    <w:basedOn w:val="DefaultParagraphFont"/>
    <w:rsid w:val="00576E97"/>
    <w:rPr>
      <w:vertAlign w:val="superscript"/>
    </w:rPr>
  </w:style>
  <w:style w:type="paragraph" w:styleId="FootnoteText">
    <w:name w:val="footnote text"/>
    <w:basedOn w:val="Normal"/>
    <w:link w:val="FootnoteTextChar"/>
    <w:rsid w:val="00576E97"/>
    <w:rPr>
      <w:sz w:val="20"/>
      <w:szCs w:val="20"/>
    </w:rPr>
  </w:style>
  <w:style w:type="character" w:customStyle="1" w:styleId="FootnoteTextChar">
    <w:name w:val="Footnote Text Char"/>
    <w:basedOn w:val="DefaultParagraphFont"/>
    <w:link w:val="FootnoteText"/>
    <w:rsid w:val="00576E97"/>
    <w:rPr>
      <w:rFonts w:ascii="Arial" w:hAnsi="Arial"/>
      <w:lang w:eastAsia="en-US"/>
    </w:rPr>
  </w:style>
  <w:style w:type="character" w:styleId="FootnoteReference">
    <w:name w:val="footnote reference"/>
    <w:basedOn w:val="DefaultParagraphFont"/>
    <w:rsid w:val="00576E97"/>
    <w:rPr>
      <w:vertAlign w:val="superscript"/>
    </w:rPr>
  </w:style>
  <w:style w:type="paragraph" w:styleId="Revision">
    <w:name w:val="Revision"/>
    <w:hidden/>
    <w:uiPriority w:val="99"/>
    <w:semiHidden/>
    <w:rsid w:val="00A110E0"/>
    <w:rPr>
      <w:rFonts w:ascii="Arial" w:hAnsi="Arial"/>
      <w:sz w:val="22"/>
      <w:szCs w:val="24"/>
      <w:lang w:eastAsia="en-US"/>
    </w:rPr>
  </w:style>
  <w:style w:type="character" w:styleId="Emphasis">
    <w:name w:val="Emphasis"/>
    <w:basedOn w:val="DefaultParagraphFont"/>
    <w:uiPriority w:val="20"/>
    <w:qFormat/>
    <w:rsid w:val="00D12CC1"/>
    <w:rPr>
      <w:i/>
      <w:iCs/>
    </w:rPr>
  </w:style>
  <w:style w:type="character" w:customStyle="1" w:styleId="apple-converted-space">
    <w:name w:val="apple-converted-space"/>
    <w:basedOn w:val="DefaultParagraphFont"/>
    <w:rsid w:val="00D1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203">
      <w:bodyDiv w:val="1"/>
      <w:marLeft w:val="0"/>
      <w:marRight w:val="0"/>
      <w:marTop w:val="0"/>
      <w:marBottom w:val="0"/>
      <w:divBdr>
        <w:top w:val="none" w:sz="0" w:space="0" w:color="auto"/>
        <w:left w:val="none" w:sz="0" w:space="0" w:color="auto"/>
        <w:bottom w:val="none" w:sz="0" w:space="0" w:color="auto"/>
        <w:right w:val="none" w:sz="0" w:space="0" w:color="auto"/>
      </w:divBdr>
    </w:div>
    <w:div w:id="292977708">
      <w:bodyDiv w:val="1"/>
      <w:marLeft w:val="0"/>
      <w:marRight w:val="0"/>
      <w:marTop w:val="0"/>
      <w:marBottom w:val="0"/>
      <w:divBdr>
        <w:top w:val="none" w:sz="0" w:space="0" w:color="auto"/>
        <w:left w:val="none" w:sz="0" w:space="0" w:color="auto"/>
        <w:bottom w:val="none" w:sz="0" w:space="0" w:color="auto"/>
        <w:right w:val="none" w:sz="0" w:space="0" w:color="auto"/>
      </w:divBdr>
    </w:div>
    <w:div w:id="580607568">
      <w:bodyDiv w:val="1"/>
      <w:marLeft w:val="0"/>
      <w:marRight w:val="0"/>
      <w:marTop w:val="0"/>
      <w:marBottom w:val="0"/>
      <w:divBdr>
        <w:top w:val="none" w:sz="0" w:space="0" w:color="auto"/>
        <w:left w:val="none" w:sz="0" w:space="0" w:color="auto"/>
        <w:bottom w:val="none" w:sz="0" w:space="0" w:color="auto"/>
        <w:right w:val="none" w:sz="0" w:space="0" w:color="auto"/>
      </w:divBdr>
    </w:div>
    <w:div w:id="705103365">
      <w:bodyDiv w:val="1"/>
      <w:marLeft w:val="0"/>
      <w:marRight w:val="0"/>
      <w:marTop w:val="0"/>
      <w:marBottom w:val="0"/>
      <w:divBdr>
        <w:top w:val="none" w:sz="0" w:space="0" w:color="auto"/>
        <w:left w:val="none" w:sz="0" w:space="0" w:color="auto"/>
        <w:bottom w:val="none" w:sz="0" w:space="0" w:color="auto"/>
        <w:right w:val="none" w:sz="0" w:space="0" w:color="auto"/>
      </w:divBdr>
    </w:div>
    <w:div w:id="1103692103">
      <w:bodyDiv w:val="1"/>
      <w:marLeft w:val="0"/>
      <w:marRight w:val="0"/>
      <w:marTop w:val="0"/>
      <w:marBottom w:val="0"/>
      <w:divBdr>
        <w:top w:val="none" w:sz="0" w:space="0" w:color="auto"/>
        <w:left w:val="none" w:sz="0" w:space="0" w:color="auto"/>
        <w:bottom w:val="none" w:sz="0" w:space="0" w:color="auto"/>
        <w:right w:val="none" w:sz="0" w:space="0" w:color="auto"/>
      </w:divBdr>
    </w:div>
    <w:div w:id="1156721470">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223175901">
      <w:bodyDiv w:val="1"/>
      <w:marLeft w:val="0"/>
      <w:marRight w:val="0"/>
      <w:marTop w:val="0"/>
      <w:marBottom w:val="0"/>
      <w:divBdr>
        <w:top w:val="none" w:sz="0" w:space="0" w:color="auto"/>
        <w:left w:val="none" w:sz="0" w:space="0" w:color="auto"/>
        <w:bottom w:val="none" w:sz="0" w:space="0" w:color="auto"/>
        <w:right w:val="none" w:sz="0" w:space="0" w:color="auto"/>
      </w:divBdr>
    </w:div>
    <w:div w:id="1277521132">
      <w:bodyDiv w:val="1"/>
      <w:marLeft w:val="0"/>
      <w:marRight w:val="0"/>
      <w:marTop w:val="0"/>
      <w:marBottom w:val="0"/>
      <w:divBdr>
        <w:top w:val="none" w:sz="0" w:space="0" w:color="auto"/>
        <w:left w:val="none" w:sz="0" w:space="0" w:color="auto"/>
        <w:bottom w:val="none" w:sz="0" w:space="0" w:color="auto"/>
        <w:right w:val="none" w:sz="0" w:space="0" w:color="auto"/>
      </w:divBdr>
    </w:div>
    <w:div w:id="1603100161">
      <w:bodyDiv w:val="1"/>
      <w:marLeft w:val="0"/>
      <w:marRight w:val="0"/>
      <w:marTop w:val="0"/>
      <w:marBottom w:val="0"/>
      <w:divBdr>
        <w:top w:val="none" w:sz="0" w:space="0" w:color="auto"/>
        <w:left w:val="none" w:sz="0" w:space="0" w:color="auto"/>
        <w:bottom w:val="none" w:sz="0" w:space="0" w:color="auto"/>
        <w:right w:val="none" w:sz="0" w:space="0" w:color="auto"/>
      </w:divBdr>
    </w:div>
    <w:div w:id="1899323299">
      <w:bodyDiv w:val="1"/>
      <w:marLeft w:val="0"/>
      <w:marRight w:val="0"/>
      <w:marTop w:val="0"/>
      <w:marBottom w:val="0"/>
      <w:divBdr>
        <w:top w:val="none" w:sz="0" w:space="0" w:color="auto"/>
        <w:left w:val="none" w:sz="0" w:space="0" w:color="auto"/>
        <w:bottom w:val="none" w:sz="0" w:space="0" w:color="auto"/>
        <w:right w:val="none" w:sz="0" w:space="0" w:color="auto"/>
      </w:divBdr>
    </w:div>
    <w:div w:id="19204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r.org.uk/saps/saps2014.pdf" TargetMode="External"/><Relationship Id="rId18" Type="http://schemas.openxmlformats.org/officeDocument/2006/relationships/hyperlink" Target="http://www.onr.org.uk/operational/tech_asst_guides/ns-tast-gd-050.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onr.org.uk/operational/tech_asst_guides/index.htm" TargetMode="External"/><Relationship Id="rId17" Type="http://schemas.openxmlformats.org/officeDocument/2006/relationships/hyperlink" Target="http://www.gfmam.org/files/ISBN978_0_9871799_2_0_GFMAMLandscape_SecondEdition_English.pdf"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ice.org.uk/disciplines-and-resources/best-practice/realising-a-world-class-infrastructure" TargetMode="External"/><Relationship Id="rId20" Type="http://schemas.openxmlformats.org/officeDocument/2006/relationships/hyperlink" Target="http://www.hse.gov.uk/pUbns/priced/hsg65.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onr.org.uk/documents/licence-condition-handbook.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ub.iaea.org/books/IAEABooks/1442/Methodology-for-the-Management-of-Ageing-of-Nuclear-Power-Plant-Components-Important-to-Safety" TargetMode="External"/><Relationship Id="rId23" Type="http://schemas.openxmlformats.org/officeDocument/2006/relationships/header" Target="header2.xml"/><Relationship Id="rId10" Type="http://schemas.openxmlformats.org/officeDocument/2006/relationships/hyperlink" Target="http://www.onr.org.uk/copyright" TargetMode="External"/><Relationship Id="rId19" Type="http://schemas.openxmlformats.org/officeDocument/2006/relationships/hyperlink" Target="http://www.hse.gov.uk/research/rrpdf/rr912.pdf" TargetMode="External"/><Relationship Id="rId4" Type="http://schemas.openxmlformats.org/officeDocument/2006/relationships/styles" Target="styles.xml"/><Relationship Id="rId9" Type="http://schemas.openxmlformats.org/officeDocument/2006/relationships/hyperlink" Target="blocked::blocked::BLOCKED::http://www.hse.gov.uk/copyright" TargetMode="External"/><Relationship Id="rId14" Type="http://schemas.openxmlformats.org/officeDocument/2006/relationships/hyperlink" Target="https://www-pub.iaea.org/MTCD/Publications/PDF/P1814_web.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F370-4B6A-45D7-9FA3-86E344E8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7591</Words>
  <Characters>43271</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50761</CharactersWithSpaces>
  <SharedDoc>false</SharedDoc>
  <HLinks>
    <vt:vector size="66" baseType="variant">
      <vt:variant>
        <vt:i4>393306</vt:i4>
      </vt:variant>
      <vt:variant>
        <vt:i4>57</vt:i4>
      </vt:variant>
      <vt:variant>
        <vt:i4>0</vt:i4>
      </vt:variant>
      <vt:variant>
        <vt:i4>5</vt:i4>
      </vt:variant>
      <vt:variant>
        <vt:lpwstr>http://www.onr.org.uk/saps/index.htm</vt:lpwstr>
      </vt:variant>
      <vt:variant>
        <vt:lpwstr/>
      </vt:variant>
      <vt:variant>
        <vt:i4>7536673</vt:i4>
      </vt:variant>
      <vt:variant>
        <vt:i4>54</vt:i4>
      </vt:variant>
      <vt:variant>
        <vt:i4>0</vt:i4>
      </vt:variant>
      <vt:variant>
        <vt:i4>5</vt:i4>
      </vt:variant>
      <vt:variant>
        <vt:lpwstr>http://www.onr.org.uk/copyright</vt:lpwstr>
      </vt:variant>
      <vt:variant>
        <vt:lpwstr/>
      </vt:variant>
      <vt:variant>
        <vt:i4>7143466</vt:i4>
      </vt:variant>
      <vt:variant>
        <vt:i4>51</vt:i4>
      </vt:variant>
      <vt:variant>
        <vt:i4>0</vt:i4>
      </vt:variant>
      <vt:variant>
        <vt:i4>5</vt:i4>
      </vt:variant>
      <vt:variant>
        <vt:lpwstr>blocked::blocked::BLOCKED::http://www.hse.gov.uk/copyright</vt:lpwstr>
      </vt:variant>
      <vt:variant>
        <vt:lpwstr/>
      </vt:variant>
      <vt:variant>
        <vt:i4>1900593</vt:i4>
      </vt:variant>
      <vt:variant>
        <vt:i4>44</vt:i4>
      </vt:variant>
      <vt:variant>
        <vt:i4>0</vt:i4>
      </vt:variant>
      <vt:variant>
        <vt:i4>5</vt:i4>
      </vt:variant>
      <vt:variant>
        <vt:lpwstr/>
      </vt:variant>
      <vt:variant>
        <vt:lpwstr>_Toc384030520</vt:lpwstr>
      </vt:variant>
      <vt:variant>
        <vt:i4>1966129</vt:i4>
      </vt:variant>
      <vt:variant>
        <vt:i4>38</vt:i4>
      </vt:variant>
      <vt:variant>
        <vt:i4>0</vt:i4>
      </vt:variant>
      <vt:variant>
        <vt:i4>5</vt:i4>
      </vt:variant>
      <vt:variant>
        <vt:lpwstr/>
      </vt:variant>
      <vt:variant>
        <vt:lpwstr>_Toc384030519</vt:lpwstr>
      </vt:variant>
      <vt:variant>
        <vt:i4>1966129</vt:i4>
      </vt:variant>
      <vt:variant>
        <vt:i4>32</vt:i4>
      </vt:variant>
      <vt:variant>
        <vt:i4>0</vt:i4>
      </vt:variant>
      <vt:variant>
        <vt:i4>5</vt:i4>
      </vt:variant>
      <vt:variant>
        <vt:lpwstr/>
      </vt:variant>
      <vt:variant>
        <vt:lpwstr>_Toc384030518</vt:lpwstr>
      </vt:variant>
      <vt:variant>
        <vt:i4>1966129</vt:i4>
      </vt:variant>
      <vt:variant>
        <vt:i4>26</vt:i4>
      </vt:variant>
      <vt:variant>
        <vt:i4>0</vt:i4>
      </vt:variant>
      <vt:variant>
        <vt:i4>5</vt:i4>
      </vt:variant>
      <vt:variant>
        <vt:lpwstr/>
      </vt:variant>
      <vt:variant>
        <vt:lpwstr>_Toc384030517</vt:lpwstr>
      </vt:variant>
      <vt:variant>
        <vt:i4>1966129</vt:i4>
      </vt:variant>
      <vt:variant>
        <vt:i4>20</vt:i4>
      </vt:variant>
      <vt:variant>
        <vt:i4>0</vt:i4>
      </vt:variant>
      <vt:variant>
        <vt:i4>5</vt:i4>
      </vt:variant>
      <vt:variant>
        <vt:lpwstr/>
      </vt:variant>
      <vt:variant>
        <vt:lpwstr>_Toc384030516</vt:lpwstr>
      </vt:variant>
      <vt:variant>
        <vt:i4>1966129</vt:i4>
      </vt:variant>
      <vt:variant>
        <vt:i4>14</vt:i4>
      </vt:variant>
      <vt:variant>
        <vt:i4>0</vt:i4>
      </vt:variant>
      <vt:variant>
        <vt:i4>5</vt:i4>
      </vt:variant>
      <vt:variant>
        <vt:lpwstr/>
      </vt:variant>
      <vt:variant>
        <vt:lpwstr>_Toc384030515</vt:lpwstr>
      </vt:variant>
      <vt:variant>
        <vt:i4>1966129</vt:i4>
      </vt:variant>
      <vt:variant>
        <vt:i4>8</vt:i4>
      </vt:variant>
      <vt:variant>
        <vt:i4>0</vt:i4>
      </vt:variant>
      <vt:variant>
        <vt:i4>5</vt:i4>
      </vt:variant>
      <vt:variant>
        <vt:lpwstr/>
      </vt:variant>
      <vt:variant>
        <vt:lpwstr>_Toc384030514</vt:lpwstr>
      </vt:variant>
      <vt:variant>
        <vt:i4>1966129</vt:i4>
      </vt:variant>
      <vt:variant>
        <vt:i4>2</vt:i4>
      </vt:variant>
      <vt:variant>
        <vt:i4>0</vt:i4>
      </vt:variant>
      <vt:variant>
        <vt:i4>5</vt:i4>
      </vt:variant>
      <vt:variant>
        <vt:lpwstr/>
      </vt:variant>
      <vt:variant>
        <vt:lpwstr>_Toc384030513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2016-10-21T06:56:00Z</cp:lastPrinted>
  <dcterms:created xsi:type="dcterms:W3CDTF">2022-12-22T08:23:00Z</dcterms:created>
  <dcterms:modified xsi:type="dcterms:W3CDTF">2022-12-22T08:23:00Z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1594894706</vt:i4>
  </property>
  <property fmtid="{D5CDD505-2E9C-101B-9397-08002B2CF9AE}" pid="3" name="_NewReviewCycle">
    <vt:lpwstr/>
  </property>
  <property fmtid="{D5CDD505-2E9C-101B-9397-08002B2CF9AE}" pid="4" name="_EmailSubject">
    <vt:lpwstr>TYPING SERVICES - Revised Template</vt:lpwstr>
  </property>
  <property fmtid="{D5CDD505-2E9C-101B-9397-08002B2CF9AE}" pid="5" name="_AuthorEmail">
    <vt:lpwstr>Pam.Paul@hse.gsi.gov.uk</vt:lpwstr>
  </property>
  <property fmtid="{D5CDD505-2E9C-101B-9397-08002B2CF9AE}" pid="6" name="_AuthorEmailDisplayName">
    <vt:lpwstr>Pam Paul</vt:lpwstr>
  </property>
  <property fmtid="{D5CDD505-2E9C-101B-9397-08002B2CF9AE}" pid="7" name="_ReviewingToolsShownOnce">
    <vt:lpwstr/>
  </property>
  <property fmtid="{D5CDD505-2E9C-101B-9397-08002B2CF9AE}" pid="8" name="MSIP_Label_9e5e003a-90eb-47c9-a506-ad47e7a0b281_Enabled">
    <vt:lpwstr>true</vt:lpwstr>
  </property>
  <property fmtid="{D5CDD505-2E9C-101B-9397-08002B2CF9AE}" pid="9" name="MSIP_Label_9e5e003a-90eb-47c9-a506-ad47e7a0b281_SetDate">
    <vt:lpwstr>2022-12-01T12:11:21Z</vt:lpwstr>
  </property>
  <property fmtid="{D5CDD505-2E9C-101B-9397-08002B2CF9AE}" pid="10" name="MSIP_Label_9e5e003a-90eb-47c9-a506-ad47e7a0b281_Method">
    <vt:lpwstr>Privileged</vt:lpwstr>
  </property>
  <property fmtid="{D5CDD505-2E9C-101B-9397-08002B2CF9AE}" pid="11" name="MSIP_Label_9e5e003a-90eb-47c9-a506-ad47e7a0b281_Name">
    <vt:lpwstr>OFFICIAL</vt:lpwstr>
  </property>
  <property fmtid="{D5CDD505-2E9C-101B-9397-08002B2CF9AE}" pid="12" name="MSIP_Label_9e5e003a-90eb-47c9-a506-ad47e7a0b281_SiteId">
    <vt:lpwstr>742775df-8077-48d6-81d0-1e82a1f52cb8</vt:lpwstr>
  </property>
  <property fmtid="{D5CDD505-2E9C-101B-9397-08002B2CF9AE}" pid="13" name="MSIP_Label_9e5e003a-90eb-47c9-a506-ad47e7a0b281_ActionId">
    <vt:lpwstr>eb8d2598-02e8-48ca-9c16-632737b9383d</vt:lpwstr>
  </property>
  <property fmtid="{D5CDD505-2E9C-101B-9397-08002B2CF9AE}" pid="14" name="MSIP_Label_9e5e003a-90eb-47c9-a506-ad47e7a0b281_ContentBits">
    <vt:lpwstr>0</vt:lpwstr>
  </property>
</Properties>
</file>