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13624A8" w:rsidR="00D0226A" w:rsidRPr="001E03E1" w:rsidRDefault="00410714"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B3592" w:rsidRPr="00AF698E">
                      <w:rPr>
                        <w:sz w:val="72"/>
                        <w:szCs w:val="72"/>
                      </w:rPr>
                      <w:t>Guidance on Mechanics of Assessment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8C1631A" w:rsidR="00004C16" w:rsidRPr="00F63AA5" w:rsidRDefault="00410714"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FB3592">
            <w:rPr>
              <w:rStyle w:val="Style2"/>
              <w:sz w:val="36"/>
              <w:szCs w:val="16"/>
            </w:rPr>
            <w:t>Guidance on Mechanics of Assessment</w:t>
          </w:r>
        </w:sdtContent>
      </w:sdt>
    </w:p>
    <w:p w14:paraId="61A25C0F" w14:textId="77777777" w:rsidR="00004C16" w:rsidRDefault="00004C16" w:rsidP="00004C16">
      <w:pPr>
        <w:rPr>
          <w:sz w:val="28"/>
          <w:szCs w:val="28"/>
        </w:rPr>
      </w:pPr>
    </w:p>
    <w:p w14:paraId="4C7A948F" w14:textId="0E8D82D4"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FB3592">
        <w:rPr>
          <w:sz w:val="28"/>
          <w:szCs w:val="28"/>
        </w:rPr>
        <w:t>I</w:t>
      </w:r>
      <w:r w:rsidR="0086102E">
        <w:rPr>
          <w:sz w:val="28"/>
          <w:szCs w:val="28"/>
        </w:rPr>
        <w:t>.</w:t>
      </w:r>
      <w:r w:rsidR="00FB3592">
        <w:rPr>
          <w:sz w:val="28"/>
          <w:szCs w:val="28"/>
        </w:rPr>
        <w:t xml:space="preserve"> Dallas, Principal Inspector</w:t>
      </w:r>
    </w:p>
    <w:p w14:paraId="15A21CF3" w14:textId="60F4B94F"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A</w:t>
      </w:r>
      <w:r w:rsidR="0086102E">
        <w:rPr>
          <w:sz w:val="28"/>
          <w:szCs w:val="28"/>
        </w:rPr>
        <w:t>.</w:t>
      </w:r>
      <w:r w:rsidRPr="00004C16">
        <w:rPr>
          <w:sz w:val="28"/>
          <w:szCs w:val="28"/>
        </w:rPr>
        <w:t xml:space="preserve"> </w:t>
      </w:r>
      <w:r w:rsidR="00FB3592">
        <w:rPr>
          <w:sz w:val="28"/>
          <w:szCs w:val="28"/>
        </w:rPr>
        <w:t xml:space="preserve">Holt, </w:t>
      </w:r>
      <w:r w:rsidR="00D57F5E">
        <w:rPr>
          <w:sz w:val="28"/>
          <w:szCs w:val="28"/>
        </w:rPr>
        <w:t xml:space="preserve">Professional Lead </w:t>
      </w:r>
      <w:r w:rsidR="0086102E">
        <w:rPr>
          <w:sz w:val="28"/>
          <w:szCs w:val="28"/>
        </w:rPr>
        <w:t xml:space="preserve">– Structural Integrity </w:t>
      </w:r>
    </w:p>
    <w:p w14:paraId="29270FF3" w14:textId="6938621B" w:rsidR="00CE1DB2" w:rsidRDefault="00D57F5E" w:rsidP="00245A0D">
      <w:pPr>
        <w:rPr>
          <w:sz w:val="28"/>
          <w:szCs w:val="28"/>
        </w:rPr>
      </w:pPr>
      <w:r>
        <w:rPr>
          <w:sz w:val="28"/>
          <w:szCs w:val="28"/>
        </w:rPr>
        <w:t>Process Owner</w:t>
      </w:r>
      <w:r w:rsidR="00CE1DB2">
        <w:rPr>
          <w:sz w:val="28"/>
          <w:szCs w:val="28"/>
        </w:rPr>
        <w:t xml:space="preserve">: </w:t>
      </w:r>
      <w:r w:rsidR="0086102E" w:rsidRPr="00004C16">
        <w:rPr>
          <w:sz w:val="28"/>
          <w:szCs w:val="28"/>
        </w:rPr>
        <w:t>A</w:t>
      </w:r>
      <w:r w:rsidR="0086102E">
        <w:rPr>
          <w:sz w:val="28"/>
          <w:szCs w:val="28"/>
        </w:rPr>
        <w:t>.</w:t>
      </w:r>
      <w:r w:rsidR="0086102E" w:rsidRPr="00004C16">
        <w:rPr>
          <w:sz w:val="28"/>
          <w:szCs w:val="28"/>
        </w:rPr>
        <w:t xml:space="preserve"> </w:t>
      </w:r>
      <w:r w:rsidR="0086102E">
        <w:rPr>
          <w:sz w:val="28"/>
          <w:szCs w:val="28"/>
        </w:rPr>
        <w:t xml:space="preserve">Holt, </w:t>
      </w:r>
      <w:r>
        <w:rPr>
          <w:sz w:val="28"/>
          <w:szCs w:val="28"/>
        </w:rPr>
        <w:t xml:space="preserve">Professional Lead </w:t>
      </w:r>
      <w:r w:rsidR="0086102E">
        <w:rPr>
          <w:sz w:val="28"/>
          <w:szCs w:val="28"/>
        </w:rPr>
        <w:t>– Structural Integrity</w:t>
      </w:r>
    </w:p>
    <w:p w14:paraId="3ADDCB72" w14:textId="77777777" w:rsidR="000950B3" w:rsidRPr="00004C16" w:rsidRDefault="000950B3" w:rsidP="00004C16">
      <w:pPr>
        <w:rPr>
          <w:sz w:val="28"/>
          <w:szCs w:val="28"/>
        </w:rPr>
      </w:pPr>
    </w:p>
    <w:p w14:paraId="247E3769" w14:textId="743B029A"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102E">
            <w:rPr>
              <w:sz w:val="28"/>
              <w:szCs w:val="28"/>
            </w:rPr>
            <w:t>1.2</w:t>
          </w:r>
        </w:sdtContent>
      </w:sdt>
    </w:p>
    <w:p w14:paraId="19206F45" w14:textId="462F52F4" w:rsidR="00004C16" w:rsidRDefault="00004C16" w:rsidP="00004C16">
      <w:pPr>
        <w:rPr>
          <w:sz w:val="28"/>
          <w:szCs w:val="28"/>
        </w:rPr>
      </w:pPr>
      <w:r w:rsidRPr="00004C16">
        <w:rPr>
          <w:sz w:val="28"/>
          <w:szCs w:val="28"/>
        </w:rPr>
        <w:t xml:space="preserve">Publication Date: </w:t>
      </w:r>
      <w:r w:rsidR="00FB3592">
        <w:rPr>
          <w:sz w:val="28"/>
          <w:szCs w:val="28"/>
        </w:rPr>
        <w:t>Dec-2</w:t>
      </w:r>
      <w:r w:rsidR="0086102E">
        <w:rPr>
          <w:sz w:val="28"/>
          <w:szCs w:val="28"/>
        </w:rPr>
        <w:t>02</w:t>
      </w:r>
      <w:r w:rsidR="00FB3592">
        <w:rPr>
          <w:sz w:val="28"/>
          <w:szCs w:val="28"/>
        </w:rPr>
        <w:t>2</w:t>
      </w:r>
    </w:p>
    <w:p w14:paraId="06A6B3A5" w14:textId="43C294B9" w:rsidR="00E57DB9" w:rsidRDefault="00E57DB9" w:rsidP="00E57DB9">
      <w:pPr>
        <w:rPr>
          <w:sz w:val="28"/>
          <w:szCs w:val="28"/>
        </w:rPr>
      </w:pPr>
      <w:r>
        <w:rPr>
          <w:sz w:val="28"/>
          <w:szCs w:val="28"/>
        </w:rPr>
        <w:t>Next Major Review Date:</w:t>
      </w:r>
      <w:r w:rsidR="00AE4F54">
        <w:rPr>
          <w:sz w:val="28"/>
          <w:szCs w:val="28"/>
        </w:rPr>
        <w:t xml:space="preserve"> </w:t>
      </w:r>
      <w:r w:rsidR="00FB3592">
        <w:rPr>
          <w:sz w:val="28"/>
          <w:szCs w:val="28"/>
        </w:rPr>
        <w:t>Nov-2</w:t>
      </w:r>
      <w:r w:rsidR="0086102E">
        <w:rPr>
          <w:sz w:val="28"/>
          <w:szCs w:val="28"/>
        </w:rPr>
        <w:t>02</w:t>
      </w:r>
      <w:r w:rsidR="00FB3592">
        <w:rPr>
          <w:sz w:val="28"/>
          <w:szCs w:val="28"/>
        </w:rPr>
        <w:t>7</w:t>
      </w:r>
    </w:p>
    <w:p w14:paraId="6DA341A1" w14:textId="24D52906" w:rsidR="00347CA8" w:rsidRPr="00004C16" w:rsidRDefault="00347CA8" w:rsidP="00E57DB9">
      <w:pPr>
        <w:rPr>
          <w:sz w:val="28"/>
          <w:szCs w:val="28"/>
        </w:rPr>
      </w:pPr>
      <w:r>
        <w:rPr>
          <w:sz w:val="28"/>
          <w:szCs w:val="28"/>
        </w:rPr>
        <w:t xml:space="preserve">Doc. Ref.: </w:t>
      </w:r>
      <w:r w:rsidR="0086102E">
        <w:rPr>
          <w:sz w:val="28"/>
          <w:szCs w:val="28"/>
        </w:rPr>
        <w:t>NS-TAST-GD-096</w:t>
      </w:r>
    </w:p>
    <w:p w14:paraId="55057C62" w14:textId="73123F85" w:rsidR="00004C16" w:rsidRPr="00004C16" w:rsidRDefault="00004C16" w:rsidP="00004C16">
      <w:pPr>
        <w:rPr>
          <w:sz w:val="28"/>
          <w:szCs w:val="28"/>
        </w:rPr>
      </w:pPr>
      <w:r w:rsidRPr="00004C16">
        <w:rPr>
          <w:sz w:val="28"/>
          <w:szCs w:val="28"/>
        </w:rPr>
        <w:t xml:space="preserve">Record Ref. No.: </w:t>
      </w:r>
      <w:r w:rsidR="00410714">
        <w:rPr>
          <w:sz w:val="28"/>
          <w:szCs w:val="28"/>
        </w:rPr>
        <w:t>2019/335774</w:t>
      </w:r>
    </w:p>
    <w:p w14:paraId="39BC0EA4" w14:textId="77777777" w:rsidR="00420A11" w:rsidRDefault="00420A11" w:rsidP="00323E71"/>
    <w:p w14:paraId="1921DBD9" w14:textId="295C5331" w:rsidR="00CE1DB2" w:rsidRDefault="00CE1DB2" w:rsidP="00CE1DB2">
      <w:pPr>
        <w:pStyle w:val="Caption"/>
        <w:keepNext/>
      </w:pPr>
      <w:r>
        <w:t xml:space="preserve">Table </w:t>
      </w:r>
      <w:r w:rsidR="00410714">
        <w:fldChar w:fldCharType="begin"/>
      </w:r>
      <w:r w:rsidR="00410714">
        <w:instrText xml:space="preserve"> SEQ Table \* ARABIC </w:instrText>
      </w:r>
      <w:r w:rsidR="00410714">
        <w:fldChar w:fldCharType="separate"/>
      </w:r>
      <w:r>
        <w:rPr>
          <w:noProof/>
        </w:rPr>
        <w:t>1</w:t>
      </w:r>
      <w:r w:rsidR="00410714">
        <w:rPr>
          <w:noProof/>
        </w:rPr>
        <w:fldChar w:fldCharType="end"/>
      </w:r>
      <w:r>
        <w:t>: Revision commentary</w:t>
      </w:r>
    </w:p>
    <w:tbl>
      <w:tblPr>
        <w:tblStyle w:val="ONRTable1"/>
        <w:tblW w:w="0" w:type="auto"/>
        <w:tblInd w:w="10" w:type="dxa"/>
        <w:tblLook w:val="04A0" w:firstRow="1" w:lastRow="0" w:firstColumn="1" w:lastColumn="0" w:noHBand="0" w:noVBand="1"/>
      </w:tblPr>
      <w:tblGrid>
        <w:gridCol w:w="1691"/>
        <w:gridCol w:w="8045"/>
      </w:tblGrid>
      <w:tr w:rsidR="00595C8C" w:rsidRPr="00CE1DB2" w14:paraId="116B87DF" w14:textId="77777777" w:rsidTr="00AF698E">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045"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AF698E">
        <w:tc>
          <w:tcPr>
            <w:tcW w:w="1691" w:type="dxa"/>
          </w:tcPr>
          <w:p w14:paraId="65482A03" w14:textId="23BFBEFD" w:rsidR="00595C8C" w:rsidRDefault="0086102E" w:rsidP="00595C8C">
            <w:pPr>
              <w:spacing w:before="60" w:after="60"/>
            </w:pPr>
            <w:r>
              <w:t>1.2</w:t>
            </w:r>
          </w:p>
        </w:tc>
        <w:tc>
          <w:tcPr>
            <w:tcW w:w="8045" w:type="dxa"/>
          </w:tcPr>
          <w:p w14:paraId="1C80912E" w14:textId="67918A5A" w:rsidR="00595C8C" w:rsidRDefault="00FB3592" w:rsidP="00595C8C">
            <w:pPr>
              <w:spacing w:before="60" w:after="60"/>
            </w:pPr>
            <w:r>
              <w:t>Document updated to reflect introduction of WIReD, and latest template applied.</w:t>
            </w:r>
          </w:p>
        </w:tc>
      </w:tr>
    </w:tbl>
    <w:p w14:paraId="1FDB4B56" w14:textId="6C10B266" w:rsidR="00595C8C" w:rsidRDefault="00595C8C" w:rsidP="00323E71">
      <w:pPr>
        <w:sectPr w:rsidR="00595C8C" w:rsidSect="004C4891">
          <w:headerReference w:type="even" r:id="rId14"/>
          <w:headerReference w:type="default" r:id="rId15"/>
          <w:footerReference w:type="even" r:id="rId16"/>
          <w:footerReference w:type="default" r:id="rId17"/>
          <w:headerReference w:type="first" r:id="rId18"/>
          <w:footerReference w:type="first" r:id="rId19"/>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9F18322" w14:textId="4183C644" w:rsidR="007756C7" w:rsidRDefault="007756C7">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232757" w:history="1">
        <w:r w:rsidRPr="001A0D57">
          <w:rPr>
            <w:rStyle w:val="Hyperlink"/>
          </w:rPr>
          <w:t>1.</w:t>
        </w:r>
        <w:r>
          <w:rPr>
            <w:rFonts w:asciiTheme="minorHAnsi" w:eastAsiaTheme="minorEastAsia" w:hAnsiTheme="minorHAnsi" w:cstheme="minorBidi"/>
            <w:sz w:val="22"/>
            <w:lang w:eastAsia="en-GB" w:bidi="ar-SA"/>
          </w:rPr>
          <w:tab/>
        </w:r>
        <w:r w:rsidRPr="001A0D57">
          <w:rPr>
            <w:rStyle w:val="Hyperlink"/>
          </w:rPr>
          <w:t>Introduction</w:t>
        </w:r>
        <w:r>
          <w:rPr>
            <w:webHidden/>
          </w:rPr>
          <w:tab/>
        </w:r>
        <w:r>
          <w:rPr>
            <w:webHidden/>
          </w:rPr>
          <w:fldChar w:fldCharType="begin"/>
        </w:r>
        <w:r>
          <w:rPr>
            <w:webHidden/>
          </w:rPr>
          <w:instrText xml:space="preserve"> PAGEREF _Toc121232757 \h </w:instrText>
        </w:r>
        <w:r>
          <w:rPr>
            <w:webHidden/>
          </w:rPr>
        </w:r>
        <w:r>
          <w:rPr>
            <w:webHidden/>
          </w:rPr>
          <w:fldChar w:fldCharType="separate"/>
        </w:r>
        <w:r>
          <w:rPr>
            <w:webHidden/>
          </w:rPr>
          <w:t>4</w:t>
        </w:r>
        <w:r>
          <w:rPr>
            <w:webHidden/>
          </w:rPr>
          <w:fldChar w:fldCharType="end"/>
        </w:r>
      </w:hyperlink>
    </w:p>
    <w:p w14:paraId="114067B3" w14:textId="44FAC735" w:rsidR="007756C7" w:rsidRDefault="00410714">
      <w:pPr>
        <w:pStyle w:val="TOC1"/>
        <w:tabs>
          <w:tab w:val="left" w:pos="720"/>
        </w:tabs>
        <w:rPr>
          <w:rFonts w:asciiTheme="minorHAnsi" w:eastAsiaTheme="minorEastAsia" w:hAnsiTheme="minorHAnsi" w:cstheme="minorBidi"/>
          <w:sz w:val="22"/>
          <w:lang w:eastAsia="en-GB" w:bidi="ar-SA"/>
        </w:rPr>
      </w:pPr>
      <w:hyperlink w:anchor="_Toc121232758" w:history="1">
        <w:r w:rsidR="007756C7" w:rsidRPr="001A0D57">
          <w:rPr>
            <w:rStyle w:val="Hyperlink"/>
          </w:rPr>
          <w:t>2.</w:t>
        </w:r>
        <w:r w:rsidR="007756C7">
          <w:rPr>
            <w:rFonts w:asciiTheme="minorHAnsi" w:eastAsiaTheme="minorEastAsia" w:hAnsiTheme="minorHAnsi" w:cstheme="minorBidi"/>
            <w:sz w:val="22"/>
            <w:lang w:eastAsia="en-GB" w:bidi="ar-SA"/>
          </w:rPr>
          <w:tab/>
        </w:r>
        <w:r w:rsidR="007756C7" w:rsidRPr="001A0D57">
          <w:rPr>
            <w:rStyle w:val="Hyperlink"/>
          </w:rPr>
          <w:t>Purpose and Scope</w:t>
        </w:r>
        <w:r w:rsidR="007756C7">
          <w:rPr>
            <w:webHidden/>
          </w:rPr>
          <w:tab/>
        </w:r>
        <w:r w:rsidR="007756C7">
          <w:rPr>
            <w:webHidden/>
          </w:rPr>
          <w:fldChar w:fldCharType="begin"/>
        </w:r>
        <w:r w:rsidR="007756C7">
          <w:rPr>
            <w:webHidden/>
          </w:rPr>
          <w:instrText xml:space="preserve"> PAGEREF _Toc121232758 \h </w:instrText>
        </w:r>
        <w:r w:rsidR="007756C7">
          <w:rPr>
            <w:webHidden/>
          </w:rPr>
        </w:r>
        <w:r w:rsidR="007756C7">
          <w:rPr>
            <w:webHidden/>
          </w:rPr>
          <w:fldChar w:fldCharType="separate"/>
        </w:r>
        <w:r w:rsidR="007756C7">
          <w:rPr>
            <w:webHidden/>
          </w:rPr>
          <w:t>4</w:t>
        </w:r>
        <w:r w:rsidR="007756C7">
          <w:rPr>
            <w:webHidden/>
          </w:rPr>
          <w:fldChar w:fldCharType="end"/>
        </w:r>
      </w:hyperlink>
    </w:p>
    <w:p w14:paraId="6ED70847" w14:textId="343A62BF" w:rsidR="007756C7" w:rsidRDefault="00410714">
      <w:pPr>
        <w:pStyle w:val="TOC1"/>
        <w:tabs>
          <w:tab w:val="left" w:pos="720"/>
        </w:tabs>
        <w:rPr>
          <w:rFonts w:asciiTheme="minorHAnsi" w:eastAsiaTheme="minorEastAsia" w:hAnsiTheme="minorHAnsi" w:cstheme="minorBidi"/>
          <w:sz w:val="22"/>
          <w:lang w:eastAsia="en-GB" w:bidi="ar-SA"/>
        </w:rPr>
      </w:pPr>
      <w:hyperlink w:anchor="_Toc121232759" w:history="1">
        <w:r w:rsidR="007756C7" w:rsidRPr="001A0D57">
          <w:rPr>
            <w:rStyle w:val="Hyperlink"/>
          </w:rPr>
          <w:t>3.</w:t>
        </w:r>
        <w:r w:rsidR="007756C7">
          <w:rPr>
            <w:rFonts w:asciiTheme="minorHAnsi" w:eastAsiaTheme="minorEastAsia" w:hAnsiTheme="minorHAnsi" w:cstheme="minorBidi"/>
            <w:sz w:val="22"/>
            <w:lang w:eastAsia="en-GB" w:bidi="ar-SA"/>
          </w:rPr>
          <w:tab/>
        </w:r>
        <w:r w:rsidR="007756C7" w:rsidRPr="001A0D57">
          <w:rPr>
            <w:rStyle w:val="Hyperlink"/>
          </w:rPr>
          <w:t>Relationship to Licence and Other Relevant Legislation</w:t>
        </w:r>
        <w:r w:rsidR="007756C7">
          <w:rPr>
            <w:webHidden/>
          </w:rPr>
          <w:tab/>
        </w:r>
        <w:r w:rsidR="007756C7">
          <w:rPr>
            <w:webHidden/>
          </w:rPr>
          <w:fldChar w:fldCharType="begin"/>
        </w:r>
        <w:r w:rsidR="007756C7">
          <w:rPr>
            <w:webHidden/>
          </w:rPr>
          <w:instrText xml:space="preserve"> PAGEREF _Toc121232759 \h </w:instrText>
        </w:r>
        <w:r w:rsidR="007756C7">
          <w:rPr>
            <w:webHidden/>
          </w:rPr>
        </w:r>
        <w:r w:rsidR="007756C7">
          <w:rPr>
            <w:webHidden/>
          </w:rPr>
          <w:fldChar w:fldCharType="separate"/>
        </w:r>
        <w:r w:rsidR="007756C7">
          <w:rPr>
            <w:webHidden/>
          </w:rPr>
          <w:t>5</w:t>
        </w:r>
        <w:r w:rsidR="007756C7">
          <w:rPr>
            <w:webHidden/>
          </w:rPr>
          <w:fldChar w:fldCharType="end"/>
        </w:r>
      </w:hyperlink>
    </w:p>
    <w:p w14:paraId="4A658C38" w14:textId="5420AB11" w:rsidR="007756C7" w:rsidRDefault="00410714">
      <w:pPr>
        <w:pStyle w:val="TOC1"/>
        <w:tabs>
          <w:tab w:val="left" w:pos="720"/>
        </w:tabs>
        <w:rPr>
          <w:rFonts w:asciiTheme="minorHAnsi" w:eastAsiaTheme="minorEastAsia" w:hAnsiTheme="minorHAnsi" w:cstheme="minorBidi"/>
          <w:sz w:val="22"/>
          <w:lang w:eastAsia="en-GB" w:bidi="ar-SA"/>
        </w:rPr>
      </w:pPr>
      <w:hyperlink w:anchor="_Toc121232760" w:history="1">
        <w:r w:rsidR="007756C7" w:rsidRPr="001A0D57">
          <w:rPr>
            <w:rStyle w:val="Hyperlink"/>
          </w:rPr>
          <w:t>4.</w:t>
        </w:r>
        <w:r w:rsidR="007756C7">
          <w:rPr>
            <w:rFonts w:asciiTheme="minorHAnsi" w:eastAsiaTheme="minorEastAsia" w:hAnsiTheme="minorHAnsi" w:cstheme="minorBidi"/>
            <w:sz w:val="22"/>
            <w:lang w:eastAsia="en-GB" w:bidi="ar-SA"/>
          </w:rPr>
          <w:tab/>
        </w:r>
        <w:r w:rsidR="007756C7" w:rsidRPr="001A0D57">
          <w:rPr>
            <w:rStyle w:val="Hyperlink"/>
          </w:rPr>
          <w:t>Relationship to SAPs/SyAPs, WENRA Reference Levels and IAEA Safety/Security Standards Addressed</w:t>
        </w:r>
        <w:r w:rsidR="007756C7">
          <w:rPr>
            <w:webHidden/>
          </w:rPr>
          <w:tab/>
        </w:r>
        <w:r w:rsidR="007756C7">
          <w:rPr>
            <w:webHidden/>
          </w:rPr>
          <w:fldChar w:fldCharType="begin"/>
        </w:r>
        <w:r w:rsidR="007756C7">
          <w:rPr>
            <w:webHidden/>
          </w:rPr>
          <w:instrText xml:space="preserve"> PAGEREF _Toc121232760 \h </w:instrText>
        </w:r>
        <w:r w:rsidR="007756C7">
          <w:rPr>
            <w:webHidden/>
          </w:rPr>
        </w:r>
        <w:r w:rsidR="007756C7">
          <w:rPr>
            <w:webHidden/>
          </w:rPr>
          <w:fldChar w:fldCharType="separate"/>
        </w:r>
        <w:r w:rsidR="007756C7">
          <w:rPr>
            <w:webHidden/>
          </w:rPr>
          <w:t>7</w:t>
        </w:r>
        <w:r w:rsidR="007756C7">
          <w:rPr>
            <w:webHidden/>
          </w:rPr>
          <w:fldChar w:fldCharType="end"/>
        </w:r>
      </w:hyperlink>
    </w:p>
    <w:p w14:paraId="34C12712" w14:textId="19767F80" w:rsidR="007756C7" w:rsidRDefault="00410714">
      <w:pPr>
        <w:pStyle w:val="TOC1"/>
        <w:tabs>
          <w:tab w:val="left" w:pos="720"/>
        </w:tabs>
        <w:rPr>
          <w:rFonts w:asciiTheme="minorHAnsi" w:eastAsiaTheme="minorEastAsia" w:hAnsiTheme="minorHAnsi" w:cstheme="minorBidi"/>
          <w:sz w:val="22"/>
          <w:lang w:eastAsia="en-GB" w:bidi="ar-SA"/>
        </w:rPr>
      </w:pPr>
      <w:hyperlink w:anchor="_Toc121232761" w:history="1">
        <w:r w:rsidR="007756C7" w:rsidRPr="001A0D57">
          <w:rPr>
            <w:rStyle w:val="Hyperlink"/>
          </w:rPr>
          <w:t>5.</w:t>
        </w:r>
        <w:r w:rsidR="007756C7">
          <w:rPr>
            <w:rFonts w:asciiTheme="minorHAnsi" w:eastAsiaTheme="minorEastAsia" w:hAnsiTheme="minorHAnsi" w:cstheme="minorBidi"/>
            <w:sz w:val="22"/>
            <w:lang w:eastAsia="en-GB" w:bidi="ar-SA"/>
          </w:rPr>
          <w:tab/>
        </w:r>
        <w:r w:rsidR="007756C7" w:rsidRPr="001A0D57">
          <w:rPr>
            <w:rStyle w:val="Hyperlink"/>
          </w:rPr>
          <w:t>Advice to Inspectors</w:t>
        </w:r>
        <w:r w:rsidR="007756C7">
          <w:rPr>
            <w:webHidden/>
          </w:rPr>
          <w:tab/>
        </w:r>
        <w:r w:rsidR="007756C7">
          <w:rPr>
            <w:webHidden/>
          </w:rPr>
          <w:fldChar w:fldCharType="begin"/>
        </w:r>
        <w:r w:rsidR="007756C7">
          <w:rPr>
            <w:webHidden/>
          </w:rPr>
          <w:instrText xml:space="preserve"> PAGEREF _Toc121232761 \h </w:instrText>
        </w:r>
        <w:r w:rsidR="007756C7">
          <w:rPr>
            <w:webHidden/>
          </w:rPr>
        </w:r>
        <w:r w:rsidR="007756C7">
          <w:rPr>
            <w:webHidden/>
          </w:rPr>
          <w:fldChar w:fldCharType="separate"/>
        </w:r>
        <w:r w:rsidR="007756C7">
          <w:rPr>
            <w:webHidden/>
          </w:rPr>
          <w:t>8</w:t>
        </w:r>
        <w:r w:rsidR="007756C7">
          <w:rPr>
            <w:webHidden/>
          </w:rPr>
          <w:fldChar w:fldCharType="end"/>
        </w:r>
      </w:hyperlink>
    </w:p>
    <w:p w14:paraId="7104B880" w14:textId="0DD1D610" w:rsidR="007756C7" w:rsidRDefault="00410714">
      <w:pPr>
        <w:pStyle w:val="TOC2"/>
        <w:tabs>
          <w:tab w:val="left" w:pos="1100"/>
        </w:tabs>
        <w:rPr>
          <w:rFonts w:asciiTheme="minorHAnsi" w:eastAsiaTheme="minorEastAsia" w:hAnsiTheme="minorHAnsi" w:cstheme="minorBidi"/>
          <w:sz w:val="22"/>
          <w:lang w:eastAsia="en-GB" w:bidi="ar-SA"/>
        </w:rPr>
      </w:pPr>
      <w:hyperlink w:anchor="_Toc121232762" w:history="1">
        <w:r w:rsidR="007756C7" w:rsidRPr="001A0D57">
          <w:rPr>
            <w:rStyle w:val="Hyperlink"/>
            <w:bCs/>
            <w:caps/>
          </w:rPr>
          <w:t>5.1.</w:t>
        </w:r>
        <w:r w:rsidR="007756C7">
          <w:rPr>
            <w:rFonts w:asciiTheme="minorHAnsi" w:eastAsiaTheme="minorEastAsia" w:hAnsiTheme="minorHAnsi" w:cstheme="minorBidi"/>
            <w:sz w:val="22"/>
            <w:lang w:eastAsia="en-GB" w:bidi="ar-SA"/>
          </w:rPr>
          <w:tab/>
        </w:r>
        <w:r w:rsidR="007756C7" w:rsidRPr="001A0D57">
          <w:rPr>
            <w:rStyle w:val="Hyperlink"/>
          </w:rPr>
          <w:t>Purpose of Assessment</w:t>
        </w:r>
        <w:r w:rsidR="007756C7">
          <w:rPr>
            <w:webHidden/>
          </w:rPr>
          <w:tab/>
        </w:r>
        <w:r w:rsidR="007756C7">
          <w:rPr>
            <w:webHidden/>
          </w:rPr>
          <w:fldChar w:fldCharType="begin"/>
        </w:r>
        <w:r w:rsidR="007756C7">
          <w:rPr>
            <w:webHidden/>
          </w:rPr>
          <w:instrText xml:space="preserve"> PAGEREF _Toc121232762 \h </w:instrText>
        </w:r>
        <w:r w:rsidR="007756C7">
          <w:rPr>
            <w:webHidden/>
          </w:rPr>
        </w:r>
        <w:r w:rsidR="007756C7">
          <w:rPr>
            <w:webHidden/>
          </w:rPr>
          <w:fldChar w:fldCharType="separate"/>
        </w:r>
        <w:r w:rsidR="007756C7">
          <w:rPr>
            <w:webHidden/>
          </w:rPr>
          <w:t>8</w:t>
        </w:r>
        <w:r w:rsidR="007756C7">
          <w:rPr>
            <w:webHidden/>
          </w:rPr>
          <w:fldChar w:fldCharType="end"/>
        </w:r>
      </w:hyperlink>
    </w:p>
    <w:p w14:paraId="5D26F3F8" w14:textId="1AA69B0B" w:rsidR="007756C7" w:rsidRDefault="00410714">
      <w:pPr>
        <w:pStyle w:val="TOC2"/>
        <w:tabs>
          <w:tab w:val="left" w:pos="1100"/>
        </w:tabs>
        <w:rPr>
          <w:rFonts w:asciiTheme="minorHAnsi" w:eastAsiaTheme="minorEastAsia" w:hAnsiTheme="minorHAnsi" w:cstheme="minorBidi"/>
          <w:sz w:val="22"/>
          <w:lang w:eastAsia="en-GB" w:bidi="ar-SA"/>
        </w:rPr>
      </w:pPr>
      <w:hyperlink w:anchor="_Toc121232763" w:history="1">
        <w:r w:rsidR="007756C7" w:rsidRPr="001A0D57">
          <w:rPr>
            <w:rStyle w:val="Hyperlink"/>
            <w:bCs/>
          </w:rPr>
          <w:t>5.2.</w:t>
        </w:r>
        <w:r w:rsidR="007756C7">
          <w:rPr>
            <w:rFonts w:asciiTheme="minorHAnsi" w:eastAsiaTheme="minorEastAsia" w:hAnsiTheme="minorHAnsi" w:cstheme="minorBidi"/>
            <w:sz w:val="22"/>
            <w:lang w:eastAsia="en-GB" w:bidi="ar-SA"/>
          </w:rPr>
          <w:tab/>
        </w:r>
        <w:r w:rsidR="007756C7" w:rsidRPr="001A0D57">
          <w:rPr>
            <w:rStyle w:val="Hyperlink"/>
          </w:rPr>
          <w:t>Principles of Assessment</w:t>
        </w:r>
        <w:r w:rsidR="007756C7">
          <w:rPr>
            <w:webHidden/>
          </w:rPr>
          <w:tab/>
        </w:r>
        <w:r w:rsidR="007756C7">
          <w:rPr>
            <w:webHidden/>
          </w:rPr>
          <w:fldChar w:fldCharType="begin"/>
        </w:r>
        <w:r w:rsidR="007756C7">
          <w:rPr>
            <w:webHidden/>
          </w:rPr>
          <w:instrText xml:space="preserve"> PAGEREF _Toc121232763 \h </w:instrText>
        </w:r>
        <w:r w:rsidR="007756C7">
          <w:rPr>
            <w:webHidden/>
          </w:rPr>
        </w:r>
        <w:r w:rsidR="007756C7">
          <w:rPr>
            <w:webHidden/>
          </w:rPr>
          <w:fldChar w:fldCharType="separate"/>
        </w:r>
        <w:r w:rsidR="007756C7">
          <w:rPr>
            <w:webHidden/>
          </w:rPr>
          <w:t>8</w:t>
        </w:r>
        <w:r w:rsidR="007756C7">
          <w:rPr>
            <w:webHidden/>
          </w:rPr>
          <w:fldChar w:fldCharType="end"/>
        </w:r>
      </w:hyperlink>
    </w:p>
    <w:p w14:paraId="3A6A5978" w14:textId="18A06D8D" w:rsidR="007756C7" w:rsidRDefault="00410714">
      <w:pPr>
        <w:pStyle w:val="TOC2"/>
        <w:tabs>
          <w:tab w:val="left" w:pos="1100"/>
        </w:tabs>
        <w:rPr>
          <w:rFonts w:asciiTheme="minorHAnsi" w:eastAsiaTheme="minorEastAsia" w:hAnsiTheme="minorHAnsi" w:cstheme="minorBidi"/>
          <w:sz w:val="22"/>
          <w:lang w:eastAsia="en-GB" w:bidi="ar-SA"/>
        </w:rPr>
      </w:pPr>
      <w:hyperlink w:anchor="_Toc121232764" w:history="1">
        <w:r w:rsidR="007756C7" w:rsidRPr="001A0D57">
          <w:rPr>
            <w:rStyle w:val="Hyperlink"/>
            <w:bCs/>
          </w:rPr>
          <w:t>5.3.</w:t>
        </w:r>
        <w:r w:rsidR="007756C7">
          <w:rPr>
            <w:rFonts w:asciiTheme="minorHAnsi" w:eastAsiaTheme="minorEastAsia" w:hAnsiTheme="minorHAnsi" w:cstheme="minorBidi"/>
            <w:sz w:val="22"/>
            <w:lang w:eastAsia="en-GB" w:bidi="ar-SA"/>
          </w:rPr>
          <w:tab/>
        </w:r>
        <w:r w:rsidR="007756C7" w:rsidRPr="001A0D57">
          <w:rPr>
            <w:rStyle w:val="Hyperlink"/>
          </w:rPr>
          <w:t>Assessment Approach</w:t>
        </w:r>
        <w:r w:rsidR="007756C7">
          <w:rPr>
            <w:webHidden/>
          </w:rPr>
          <w:tab/>
        </w:r>
        <w:r w:rsidR="007756C7">
          <w:rPr>
            <w:webHidden/>
          </w:rPr>
          <w:fldChar w:fldCharType="begin"/>
        </w:r>
        <w:r w:rsidR="007756C7">
          <w:rPr>
            <w:webHidden/>
          </w:rPr>
          <w:instrText xml:space="preserve"> PAGEREF _Toc121232764 \h </w:instrText>
        </w:r>
        <w:r w:rsidR="007756C7">
          <w:rPr>
            <w:webHidden/>
          </w:rPr>
        </w:r>
        <w:r w:rsidR="007756C7">
          <w:rPr>
            <w:webHidden/>
          </w:rPr>
          <w:fldChar w:fldCharType="separate"/>
        </w:r>
        <w:r w:rsidR="007756C7">
          <w:rPr>
            <w:webHidden/>
          </w:rPr>
          <w:t>9</w:t>
        </w:r>
        <w:r w:rsidR="007756C7">
          <w:rPr>
            <w:webHidden/>
          </w:rPr>
          <w:fldChar w:fldCharType="end"/>
        </w:r>
      </w:hyperlink>
    </w:p>
    <w:p w14:paraId="1CF72B69" w14:textId="5637F2CA" w:rsidR="007756C7" w:rsidRDefault="00410714">
      <w:pPr>
        <w:pStyle w:val="TOC2"/>
        <w:tabs>
          <w:tab w:val="left" w:pos="1100"/>
        </w:tabs>
        <w:rPr>
          <w:rFonts w:asciiTheme="minorHAnsi" w:eastAsiaTheme="minorEastAsia" w:hAnsiTheme="minorHAnsi" w:cstheme="minorBidi"/>
          <w:sz w:val="22"/>
          <w:lang w:eastAsia="en-GB" w:bidi="ar-SA"/>
        </w:rPr>
      </w:pPr>
      <w:hyperlink w:anchor="_Toc121232765" w:history="1">
        <w:r w:rsidR="007756C7" w:rsidRPr="001A0D57">
          <w:rPr>
            <w:rStyle w:val="Hyperlink"/>
            <w:bCs/>
          </w:rPr>
          <w:t>5.4.</w:t>
        </w:r>
        <w:r w:rsidR="007756C7">
          <w:rPr>
            <w:rFonts w:asciiTheme="minorHAnsi" w:eastAsiaTheme="minorEastAsia" w:hAnsiTheme="minorHAnsi" w:cstheme="minorBidi"/>
            <w:sz w:val="22"/>
            <w:lang w:eastAsia="en-GB" w:bidi="ar-SA"/>
          </w:rPr>
          <w:tab/>
        </w:r>
        <w:r w:rsidR="007756C7" w:rsidRPr="001A0D57">
          <w:rPr>
            <w:rStyle w:val="Hyperlink"/>
          </w:rPr>
          <w:t>Actual Plant/Operational Condition Compared to Documented Claims</w:t>
        </w:r>
        <w:r w:rsidR="007756C7">
          <w:rPr>
            <w:webHidden/>
          </w:rPr>
          <w:tab/>
        </w:r>
        <w:r w:rsidR="007756C7">
          <w:rPr>
            <w:webHidden/>
          </w:rPr>
          <w:fldChar w:fldCharType="begin"/>
        </w:r>
        <w:r w:rsidR="007756C7">
          <w:rPr>
            <w:webHidden/>
          </w:rPr>
          <w:instrText xml:space="preserve"> PAGEREF _Toc121232765 \h </w:instrText>
        </w:r>
        <w:r w:rsidR="007756C7">
          <w:rPr>
            <w:webHidden/>
          </w:rPr>
        </w:r>
        <w:r w:rsidR="007756C7">
          <w:rPr>
            <w:webHidden/>
          </w:rPr>
          <w:fldChar w:fldCharType="separate"/>
        </w:r>
        <w:r w:rsidR="007756C7">
          <w:rPr>
            <w:webHidden/>
          </w:rPr>
          <w:t>14</w:t>
        </w:r>
        <w:r w:rsidR="007756C7">
          <w:rPr>
            <w:webHidden/>
          </w:rPr>
          <w:fldChar w:fldCharType="end"/>
        </w:r>
      </w:hyperlink>
    </w:p>
    <w:p w14:paraId="51491450" w14:textId="7CE17905" w:rsidR="007756C7" w:rsidRDefault="00410714">
      <w:pPr>
        <w:pStyle w:val="TOC2"/>
        <w:tabs>
          <w:tab w:val="left" w:pos="1100"/>
        </w:tabs>
        <w:rPr>
          <w:rFonts w:asciiTheme="minorHAnsi" w:eastAsiaTheme="minorEastAsia" w:hAnsiTheme="minorHAnsi" w:cstheme="minorBidi"/>
          <w:sz w:val="22"/>
          <w:lang w:eastAsia="en-GB" w:bidi="ar-SA"/>
        </w:rPr>
      </w:pPr>
      <w:hyperlink w:anchor="_Toc121232766" w:history="1">
        <w:r w:rsidR="007756C7" w:rsidRPr="001A0D57">
          <w:rPr>
            <w:rStyle w:val="Hyperlink"/>
            <w:bCs/>
          </w:rPr>
          <w:t>5.5.</w:t>
        </w:r>
        <w:r w:rsidR="007756C7">
          <w:rPr>
            <w:rFonts w:asciiTheme="minorHAnsi" w:eastAsiaTheme="minorEastAsia" w:hAnsiTheme="minorHAnsi" w:cstheme="minorBidi"/>
            <w:sz w:val="22"/>
            <w:lang w:eastAsia="en-GB" w:bidi="ar-SA"/>
          </w:rPr>
          <w:tab/>
        </w:r>
        <w:r w:rsidR="007756C7" w:rsidRPr="001A0D57">
          <w:rPr>
            <w:rStyle w:val="Hyperlink"/>
          </w:rPr>
          <w:t>Judging Adequacy and Use of RGP</w:t>
        </w:r>
        <w:r w:rsidR="007756C7">
          <w:rPr>
            <w:webHidden/>
          </w:rPr>
          <w:tab/>
        </w:r>
        <w:r w:rsidR="007756C7">
          <w:rPr>
            <w:webHidden/>
          </w:rPr>
          <w:fldChar w:fldCharType="begin"/>
        </w:r>
        <w:r w:rsidR="007756C7">
          <w:rPr>
            <w:webHidden/>
          </w:rPr>
          <w:instrText xml:space="preserve"> PAGEREF _Toc121232766 \h </w:instrText>
        </w:r>
        <w:r w:rsidR="007756C7">
          <w:rPr>
            <w:webHidden/>
          </w:rPr>
        </w:r>
        <w:r w:rsidR="007756C7">
          <w:rPr>
            <w:webHidden/>
          </w:rPr>
          <w:fldChar w:fldCharType="separate"/>
        </w:r>
        <w:r w:rsidR="007756C7">
          <w:rPr>
            <w:webHidden/>
          </w:rPr>
          <w:t>15</w:t>
        </w:r>
        <w:r w:rsidR="007756C7">
          <w:rPr>
            <w:webHidden/>
          </w:rPr>
          <w:fldChar w:fldCharType="end"/>
        </w:r>
      </w:hyperlink>
    </w:p>
    <w:p w14:paraId="7B9D319A" w14:textId="4F9BAE6E" w:rsidR="007756C7" w:rsidRDefault="00410714">
      <w:pPr>
        <w:pStyle w:val="TOC2"/>
        <w:tabs>
          <w:tab w:val="left" w:pos="1100"/>
        </w:tabs>
        <w:rPr>
          <w:rFonts w:asciiTheme="minorHAnsi" w:eastAsiaTheme="minorEastAsia" w:hAnsiTheme="minorHAnsi" w:cstheme="minorBidi"/>
          <w:sz w:val="22"/>
          <w:lang w:eastAsia="en-GB" w:bidi="ar-SA"/>
        </w:rPr>
      </w:pPr>
      <w:hyperlink w:anchor="_Toc121232767" w:history="1">
        <w:r w:rsidR="007756C7" w:rsidRPr="001A0D57">
          <w:rPr>
            <w:rStyle w:val="Hyperlink"/>
            <w:bCs/>
          </w:rPr>
          <w:t>5.6.</w:t>
        </w:r>
        <w:r w:rsidR="007756C7">
          <w:rPr>
            <w:rFonts w:asciiTheme="minorHAnsi" w:eastAsiaTheme="minorEastAsia" w:hAnsiTheme="minorHAnsi" w:cstheme="minorBidi"/>
            <w:sz w:val="22"/>
            <w:lang w:eastAsia="en-GB" w:bidi="ar-SA"/>
          </w:rPr>
          <w:tab/>
        </w:r>
        <w:r w:rsidR="007756C7" w:rsidRPr="001A0D57">
          <w:rPr>
            <w:rStyle w:val="Hyperlink"/>
          </w:rPr>
          <w:t>Record Keeping</w:t>
        </w:r>
        <w:r w:rsidR="007756C7">
          <w:rPr>
            <w:webHidden/>
          </w:rPr>
          <w:tab/>
        </w:r>
        <w:r w:rsidR="007756C7">
          <w:rPr>
            <w:webHidden/>
          </w:rPr>
          <w:fldChar w:fldCharType="begin"/>
        </w:r>
        <w:r w:rsidR="007756C7">
          <w:rPr>
            <w:webHidden/>
          </w:rPr>
          <w:instrText xml:space="preserve"> PAGEREF _Toc121232767 \h </w:instrText>
        </w:r>
        <w:r w:rsidR="007756C7">
          <w:rPr>
            <w:webHidden/>
          </w:rPr>
        </w:r>
        <w:r w:rsidR="007756C7">
          <w:rPr>
            <w:webHidden/>
          </w:rPr>
          <w:fldChar w:fldCharType="separate"/>
        </w:r>
        <w:r w:rsidR="007756C7">
          <w:rPr>
            <w:webHidden/>
          </w:rPr>
          <w:t>16</w:t>
        </w:r>
        <w:r w:rsidR="007756C7">
          <w:rPr>
            <w:webHidden/>
          </w:rPr>
          <w:fldChar w:fldCharType="end"/>
        </w:r>
      </w:hyperlink>
    </w:p>
    <w:p w14:paraId="5884DA67" w14:textId="49EB6B2D" w:rsidR="007756C7" w:rsidRDefault="00410714">
      <w:pPr>
        <w:pStyle w:val="TOC2"/>
        <w:tabs>
          <w:tab w:val="left" w:pos="1100"/>
        </w:tabs>
        <w:rPr>
          <w:rFonts w:asciiTheme="minorHAnsi" w:eastAsiaTheme="minorEastAsia" w:hAnsiTheme="minorHAnsi" w:cstheme="minorBidi"/>
          <w:sz w:val="22"/>
          <w:lang w:eastAsia="en-GB" w:bidi="ar-SA"/>
        </w:rPr>
      </w:pPr>
      <w:hyperlink w:anchor="_Toc121232768" w:history="1">
        <w:r w:rsidR="007756C7" w:rsidRPr="001A0D57">
          <w:rPr>
            <w:rStyle w:val="Hyperlink"/>
            <w:bCs/>
          </w:rPr>
          <w:t>5.7.</w:t>
        </w:r>
        <w:r w:rsidR="007756C7">
          <w:rPr>
            <w:rFonts w:asciiTheme="minorHAnsi" w:eastAsiaTheme="minorEastAsia" w:hAnsiTheme="minorHAnsi" w:cstheme="minorBidi"/>
            <w:sz w:val="22"/>
            <w:lang w:eastAsia="en-GB" w:bidi="ar-SA"/>
          </w:rPr>
          <w:tab/>
        </w:r>
        <w:r w:rsidR="007756C7" w:rsidRPr="001A0D57">
          <w:rPr>
            <w:rStyle w:val="Hyperlink"/>
          </w:rPr>
          <w:t>Assessment Rating</w:t>
        </w:r>
        <w:r w:rsidR="007756C7">
          <w:rPr>
            <w:webHidden/>
          </w:rPr>
          <w:tab/>
        </w:r>
        <w:r w:rsidR="007756C7">
          <w:rPr>
            <w:webHidden/>
          </w:rPr>
          <w:fldChar w:fldCharType="begin"/>
        </w:r>
        <w:r w:rsidR="007756C7">
          <w:rPr>
            <w:webHidden/>
          </w:rPr>
          <w:instrText xml:space="preserve"> PAGEREF _Toc121232768 \h </w:instrText>
        </w:r>
        <w:r w:rsidR="007756C7">
          <w:rPr>
            <w:webHidden/>
          </w:rPr>
        </w:r>
        <w:r w:rsidR="007756C7">
          <w:rPr>
            <w:webHidden/>
          </w:rPr>
          <w:fldChar w:fldCharType="separate"/>
        </w:r>
        <w:r w:rsidR="007756C7">
          <w:rPr>
            <w:webHidden/>
          </w:rPr>
          <w:t>16</w:t>
        </w:r>
        <w:r w:rsidR="007756C7">
          <w:rPr>
            <w:webHidden/>
          </w:rPr>
          <w:fldChar w:fldCharType="end"/>
        </w:r>
      </w:hyperlink>
    </w:p>
    <w:p w14:paraId="7BBB8C30" w14:textId="4C875711" w:rsidR="007756C7" w:rsidRDefault="00410714">
      <w:pPr>
        <w:pStyle w:val="TOC1"/>
        <w:rPr>
          <w:rFonts w:asciiTheme="minorHAnsi" w:eastAsiaTheme="minorEastAsia" w:hAnsiTheme="minorHAnsi" w:cstheme="minorBidi"/>
          <w:sz w:val="22"/>
          <w:lang w:eastAsia="en-GB" w:bidi="ar-SA"/>
        </w:rPr>
      </w:pPr>
      <w:hyperlink w:anchor="_Toc121232769" w:history="1">
        <w:r w:rsidR="007756C7" w:rsidRPr="001A0D57">
          <w:rPr>
            <w:rStyle w:val="Hyperlink"/>
          </w:rPr>
          <w:t>References</w:t>
        </w:r>
        <w:r w:rsidR="007756C7">
          <w:rPr>
            <w:webHidden/>
          </w:rPr>
          <w:tab/>
        </w:r>
        <w:r w:rsidR="007756C7">
          <w:rPr>
            <w:webHidden/>
          </w:rPr>
          <w:fldChar w:fldCharType="begin"/>
        </w:r>
        <w:r w:rsidR="007756C7">
          <w:rPr>
            <w:webHidden/>
          </w:rPr>
          <w:instrText xml:space="preserve"> PAGEREF _Toc121232769 \h </w:instrText>
        </w:r>
        <w:r w:rsidR="007756C7">
          <w:rPr>
            <w:webHidden/>
          </w:rPr>
        </w:r>
        <w:r w:rsidR="007756C7">
          <w:rPr>
            <w:webHidden/>
          </w:rPr>
          <w:fldChar w:fldCharType="separate"/>
        </w:r>
        <w:r w:rsidR="007756C7">
          <w:rPr>
            <w:webHidden/>
          </w:rPr>
          <w:t>18</w:t>
        </w:r>
        <w:r w:rsidR="007756C7">
          <w:rPr>
            <w:webHidden/>
          </w:rPr>
          <w:fldChar w:fldCharType="end"/>
        </w:r>
      </w:hyperlink>
    </w:p>
    <w:p w14:paraId="64FE076B" w14:textId="324711A9" w:rsidR="007756C7" w:rsidRDefault="00410714">
      <w:pPr>
        <w:pStyle w:val="TOC1"/>
        <w:rPr>
          <w:rFonts w:asciiTheme="minorHAnsi" w:eastAsiaTheme="minorEastAsia" w:hAnsiTheme="minorHAnsi" w:cstheme="minorBidi"/>
          <w:sz w:val="22"/>
          <w:lang w:eastAsia="en-GB" w:bidi="ar-SA"/>
        </w:rPr>
      </w:pPr>
      <w:hyperlink w:anchor="_Toc121232770" w:history="1">
        <w:r w:rsidR="007756C7" w:rsidRPr="001A0D57">
          <w:rPr>
            <w:rStyle w:val="Hyperlink"/>
          </w:rPr>
          <w:t>Glossary and Abbreviations</w:t>
        </w:r>
        <w:r w:rsidR="007756C7">
          <w:rPr>
            <w:webHidden/>
          </w:rPr>
          <w:tab/>
        </w:r>
        <w:r w:rsidR="007756C7">
          <w:rPr>
            <w:webHidden/>
          </w:rPr>
          <w:fldChar w:fldCharType="begin"/>
        </w:r>
        <w:r w:rsidR="007756C7">
          <w:rPr>
            <w:webHidden/>
          </w:rPr>
          <w:instrText xml:space="preserve"> PAGEREF _Toc121232770 \h </w:instrText>
        </w:r>
        <w:r w:rsidR="007756C7">
          <w:rPr>
            <w:webHidden/>
          </w:rPr>
        </w:r>
        <w:r w:rsidR="007756C7">
          <w:rPr>
            <w:webHidden/>
          </w:rPr>
          <w:fldChar w:fldCharType="separate"/>
        </w:r>
        <w:r w:rsidR="007756C7">
          <w:rPr>
            <w:webHidden/>
          </w:rPr>
          <w:t>20</w:t>
        </w:r>
        <w:r w:rsidR="007756C7">
          <w:rPr>
            <w:webHidden/>
          </w:rPr>
          <w:fldChar w:fldCharType="end"/>
        </w:r>
      </w:hyperlink>
    </w:p>
    <w:p w14:paraId="006F88FD" w14:textId="7FF64E7D" w:rsidR="007756C7" w:rsidRDefault="00410714">
      <w:pPr>
        <w:pStyle w:val="TOC1"/>
        <w:rPr>
          <w:rFonts w:asciiTheme="minorHAnsi" w:eastAsiaTheme="minorEastAsia" w:hAnsiTheme="minorHAnsi" w:cstheme="minorBidi"/>
          <w:sz w:val="22"/>
          <w:lang w:eastAsia="en-GB" w:bidi="ar-SA"/>
        </w:rPr>
      </w:pPr>
      <w:hyperlink w:anchor="_Toc121232771" w:history="1">
        <w:r w:rsidR="007756C7" w:rsidRPr="001A0D57">
          <w:rPr>
            <w:rStyle w:val="Hyperlink"/>
          </w:rPr>
          <w:t>Appendix 1 – Assessment Ratings Guide</w:t>
        </w:r>
        <w:r w:rsidR="007756C7">
          <w:rPr>
            <w:webHidden/>
          </w:rPr>
          <w:tab/>
        </w:r>
        <w:r w:rsidR="007756C7">
          <w:rPr>
            <w:webHidden/>
          </w:rPr>
          <w:fldChar w:fldCharType="begin"/>
        </w:r>
        <w:r w:rsidR="007756C7">
          <w:rPr>
            <w:webHidden/>
          </w:rPr>
          <w:instrText xml:space="preserve"> PAGEREF _Toc121232771 \h </w:instrText>
        </w:r>
        <w:r w:rsidR="007756C7">
          <w:rPr>
            <w:webHidden/>
          </w:rPr>
        </w:r>
        <w:r w:rsidR="007756C7">
          <w:rPr>
            <w:webHidden/>
          </w:rPr>
          <w:fldChar w:fldCharType="separate"/>
        </w:r>
        <w:r w:rsidR="007756C7">
          <w:rPr>
            <w:webHidden/>
          </w:rPr>
          <w:t>21</w:t>
        </w:r>
        <w:r w:rsidR="007756C7">
          <w:rPr>
            <w:webHidden/>
          </w:rPr>
          <w:fldChar w:fldCharType="end"/>
        </w:r>
      </w:hyperlink>
    </w:p>
    <w:p w14:paraId="0CC4B54A" w14:textId="51E701B7" w:rsidR="00267815" w:rsidRDefault="007756C7"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20"/>
          <w:headerReference w:type="default" r:id="rId21"/>
          <w:footerReference w:type="even" r:id="rId22"/>
          <w:footerReference w:type="default" r:id="rId23"/>
          <w:pgSz w:w="11906" w:h="16838" w:code="9"/>
          <w:pgMar w:top="1440" w:right="1080" w:bottom="1440" w:left="1080" w:header="397" w:footer="397" w:gutter="0"/>
          <w:cols w:space="312"/>
          <w:docGrid w:linePitch="360"/>
        </w:sectPr>
      </w:pPr>
    </w:p>
    <w:p w14:paraId="09EA6753" w14:textId="4192DC63" w:rsidR="00FB3592" w:rsidRPr="00297037" w:rsidRDefault="00FB3592" w:rsidP="00FB3592">
      <w:pPr>
        <w:pStyle w:val="Heading1"/>
      </w:pPr>
      <w:bookmarkStart w:id="1" w:name="_Toc38887852"/>
      <w:bookmarkStart w:id="2" w:name="_Toc121232757"/>
      <w:bookmarkEnd w:id="0"/>
      <w:r w:rsidRPr="00297037">
        <w:lastRenderedPageBreak/>
        <w:t>I</w:t>
      </w:r>
      <w:bookmarkEnd w:id="1"/>
      <w:r w:rsidR="0003659E">
        <w:t>ntroduction</w:t>
      </w:r>
      <w:bookmarkEnd w:id="2"/>
    </w:p>
    <w:p w14:paraId="42543ACB" w14:textId="066F0BA3" w:rsidR="0086102E" w:rsidRPr="00712FD1" w:rsidRDefault="0086102E" w:rsidP="0086102E">
      <w:pPr>
        <w:pStyle w:val="F9-Paragraph"/>
        <w:numPr>
          <w:ilvl w:val="0"/>
          <w:numId w:val="29"/>
        </w:numPr>
        <w:ind w:left="851" w:hanging="851"/>
      </w:pPr>
      <w:bookmarkStart w:id="3" w:name="_Hlk64448648"/>
      <w:r w:rsidRPr="00712FD1">
        <w:t xml:space="preserve">ONR has established its </w:t>
      </w:r>
      <w:hyperlink r:id="rId24"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FF26DD">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3"/>
    <w:p w14:paraId="008A875D" w14:textId="6BCA6D9E" w:rsidR="00FB3592" w:rsidRPr="00AF698E" w:rsidRDefault="00FB3592" w:rsidP="00FB3592">
      <w:pPr>
        <w:pStyle w:val="F9-Paragraph"/>
        <w:rPr>
          <w:b/>
          <w:caps/>
        </w:rPr>
      </w:pPr>
      <w:r w:rsidRPr="00E82BCC">
        <w:t xml:space="preserve">This </w:t>
      </w:r>
      <w:r>
        <w:t xml:space="preserve">TAG </w:t>
      </w:r>
      <w:r w:rsidRPr="00E82BCC">
        <w:t xml:space="preserve">provides advice on the general approach and considerations when assessing </w:t>
      </w:r>
      <w:r>
        <w:t>dutyholder</w:t>
      </w:r>
      <w:r w:rsidRPr="00E82BCC">
        <w:t>’s submissions.</w:t>
      </w:r>
    </w:p>
    <w:p w14:paraId="79FF43FC" w14:textId="77777777" w:rsidR="0086102E" w:rsidRPr="00297037" w:rsidRDefault="0086102E" w:rsidP="00AF698E">
      <w:pPr>
        <w:pStyle w:val="F9-Paragraph"/>
        <w:numPr>
          <w:ilvl w:val="0"/>
          <w:numId w:val="0"/>
        </w:numPr>
        <w:ind w:left="851"/>
        <w:rPr>
          <w:b/>
          <w:caps/>
        </w:rPr>
      </w:pPr>
    </w:p>
    <w:p w14:paraId="5D77B4B4" w14:textId="510569A0" w:rsidR="00FB3592" w:rsidRPr="002935A9" w:rsidRDefault="0003659E" w:rsidP="00FB3592">
      <w:pPr>
        <w:pStyle w:val="Heading1"/>
      </w:pPr>
      <w:bookmarkStart w:id="4" w:name="_Toc8209583"/>
      <w:bookmarkStart w:id="5" w:name="_Toc8228039"/>
      <w:bookmarkStart w:id="6" w:name="_Toc8722136"/>
      <w:bookmarkStart w:id="7" w:name="_Toc121232758"/>
      <w:bookmarkEnd w:id="4"/>
      <w:bookmarkEnd w:id="5"/>
      <w:bookmarkEnd w:id="6"/>
      <w:r>
        <w:t>Purpose and Scope</w:t>
      </w:r>
      <w:bookmarkEnd w:id="7"/>
    </w:p>
    <w:p w14:paraId="545C46E4" w14:textId="77777777" w:rsidR="00FB3592" w:rsidRPr="001938A0" w:rsidRDefault="00FB3592" w:rsidP="00FB3592">
      <w:pPr>
        <w:pStyle w:val="F9-Paragraph"/>
      </w:pPr>
      <w:r w:rsidRPr="00F2206E">
        <w:rPr>
          <w:szCs w:val="22"/>
        </w:rPr>
        <w:t xml:space="preserve">Assessment of </w:t>
      </w:r>
      <w:r>
        <w:rPr>
          <w:szCs w:val="22"/>
        </w:rPr>
        <w:t xml:space="preserve">dutyholder </w:t>
      </w:r>
      <w:r w:rsidRPr="00D52014">
        <w:rPr>
          <w:szCs w:val="22"/>
        </w:rPr>
        <w:t>submissions</w:t>
      </w:r>
      <w:r w:rsidRPr="00F2206E">
        <w:rPr>
          <w:szCs w:val="22"/>
        </w:rPr>
        <w:t xml:space="preserve"> is a fundamental</w:t>
      </w:r>
      <w:r>
        <w:t xml:space="preserve"> and major component of ONR’s work. It is therefore appropriate to consider how this should be undertaken, </w:t>
      </w:r>
      <w:proofErr w:type="gramStart"/>
      <w:r>
        <w:t>in order to</w:t>
      </w:r>
      <w:proofErr w:type="gramEnd"/>
      <w:r>
        <w:t>:</w:t>
      </w:r>
    </w:p>
    <w:p w14:paraId="7318748A" w14:textId="77777777" w:rsidR="00FB3592" w:rsidRDefault="00FB3592" w:rsidP="00FB3592">
      <w:pPr>
        <w:pStyle w:val="Bulletlist1"/>
      </w:pPr>
      <w:r>
        <w:t>ensure assessment work is appropriately comprehensive and proportionate;</w:t>
      </w:r>
    </w:p>
    <w:p w14:paraId="0C3BB890" w14:textId="77777777" w:rsidR="00FB3592" w:rsidRDefault="00FB3592" w:rsidP="00FB3592">
      <w:pPr>
        <w:pStyle w:val="Bulletlist1"/>
      </w:pPr>
      <w:r>
        <w:t xml:space="preserve">maximise the effectiveness of available effort; </w:t>
      </w:r>
    </w:p>
    <w:p w14:paraId="6A242B7A" w14:textId="77777777" w:rsidR="00FB3592" w:rsidRDefault="00FB3592" w:rsidP="00FB3592">
      <w:pPr>
        <w:pStyle w:val="Bulletlist1"/>
      </w:pPr>
      <w:r>
        <w:t xml:space="preserve">promote consistency in the standard of assessment; </w:t>
      </w:r>
    </w:p>
    <w:p w14:paraId="08A4C5E2" w14:textId="77777777" w:rsidR="00FB3592" w:rsidRDefault="00FB3592" w:rsidP="00FB3592">
      <w:pPr>
        <w:pStyle w:val="Bulletlist1"/>
      </w:pPr>
      <w:r>
        <w:t>identify potential pitfalls and provide advice on ways to avoid them, and</w:t>
      </w:r>
    </w:p>
    <w:p w14:paraId="34482B6B" w14:textId="77777777" w:rsidR="00FB3592" w:rsidRDefault="00FB3592" w:rsidP="00FB3592">
      <w:pPr>
        <w:pStyle w:val="Bulletlist1"/>
      </w:pPr>
      <w:r>
        <w:t>ensure appropriate recommendations/conclusions are reached.</w:t>
      </w:r>
    </w:p>
    <w:p w14:paraId="4FB68A2D" w14:textId="77777777" w:rsidR="00FB3592" w:rsidRDefault="00FB3592" w:rsidP="00FB3592">
      <w:pPr>
        <w:pStyle w:val="F9-Paragraph"/>
      </w:pPr>
      <w:r>
        <w:t xml:space="preserve">This guide does not set out the definitive way to conduct assessment. Rather it sets out the purposes of assessment, the principles to be considered and provides reference to other ONR processes relevant to assessment. </w:t>
      </w:r>
    </w:p>
    <w:p w14:paraId="28DFC62D" w14:textId="77777777" w:rsidR="00FB3592" w:rsidRPr="0098392D" w:rsidRDefault="00FB3592" w:rsidP="00FB3592">
      <w:pPr>
        <w:pStyle w:val="F9-Paragraph"/>
      </w:pPr>
      <w:r>
        <w:t>T</w:t>
      </w:r>
      <w:r w:rsidRPr="00CE6F49">
        <w:t xml:space="preserve">his </w:t>
      </w:r>
      <w:r>
        <w:t xml:space="preserve">TAG is relevant to </w:t>
      </w:r>
      <w:proofErr w:type="gramStart"/>
      <w:r>
        <w:t>all of</w:t>
      </w:r>
      <w:proofErr w:type="gramEnd"/>
      <w:r w:rsidRPr="00CE6F49">
        <w:t xml:space="preserve"> ONR’s purposes. This include</w:t>
      </w:r>
      <w:r>
        <w:t xml:space="preserve">s </w:t>
      </w:r>
      <w:r w:rsidRPr="00CE6F49">
        <w:t xml:space="preserve">assessment of </w:t>
      </w:r>
      <w:r>
        <w:t xml:space="preserve">nuclear safety cases, </w:t>
      </w:r>
      <w:r w:rsidRPr="00CE6F49">
        <w:rPr>
          <w:szCs w:val="22"/>
        </w:rPr>
        <w:t xml:space="preserve">nuclear security plans, design safety reports, </w:t>
      </w:r>
      <w:r>
        <w:rPr>
          <w:szCs w:val="22"/>
        </w:rPr>
        <w:t xml:space="preserve">risk assessments </w:t>
      </w:r>
      <w:r w:rsidRPr="00CE6F49">
        <w:rPr>
          <w:szCs w:val="22"/>
        </w:rPr>
        <w:t>and safeguards material accountancy and control plans.</w:t>
      </w:r>
    </w:p>
    <w:p w14:paraId="28268E15" w14:textId="77777777" w:rsidR="0086102E" w:rsidRDefault="0086102E" w:rsidP="003A0917">
      <w:pPr>
        <w:pStyle w:val="Heading1"/>
        <w:sectPr w:rsidR="0086102E" w:rsidSect="00B82646">
          <w:headerReference w:type="even" r:id="rId25"/>
          <w:headerReference w:type="default" r:id="rId26"/>
          <w:footerReference w:type="even" r:id="rId27"/>
          <w:pgSz w:w="11906" w:h="16838" w:code="9"/>
          <w:pgMar w:top="1440" w:right="1080" w:bottom="1440" w:left="1080" w:header="397" w:footer="397" w:gutter="0"/>
          <w:cols w:space="312"/>
          <w:docGrid w:linePitch="360"/>
        </w:sectPr>
      </w:pPr>
      <w:bookmarkStart w:id="8" w:name="_Toc384030515"/>
      <w:bookmarkStart w:id="9" w:name="_Toc38887854"/>
    </w:p>
    <w:p w14:paraId="662FB351" w14:textId="77777777" w:rsidR="0003659E" w:rsidRDefault="00FB3592" w:rsidP="003A0917">
      <w:pPr>
        <w:pStyle w:val="Heading1"/>
      </w:pPr>
      <w:bookmarkStart w:id="10" w:name="_Toc121232759"/>
      <w:r>
        <w:lastRenderedPageBreak/>
        <w:t>R</w:t>
      </w:r>
      <w:r w:rsidR="0003659E">
        <w:t>elationship to Licence and Other Relevant Legislation</w:t>
      </w:r>
      <w:bookmarkEnd w:id="8"/>
      <w:bookmarkEnd w:id="9"/>
      <w:bookmarkEnd w:id="10"/>
    </w:p>
    <w:p w14:paraId="5FC55B11" w14:textId="2596B2A8" w:rsidR="00FB3592" w:rsidRDefault="00FB3592" w:rsidP="0003659E">
      <w:pPr>
        <w:pStyle w:val="F9-Paragraph"/>
      </w:pPr>
      <w:r>
        <w:t xml:space="preserve">ONR carries out assessment of dutyholder’s submissions across </w:t>
      </w:r>
      <w:proofErr w:type="gramStart"/>
      <w:r>
        <w:t>all of</w:t>
      </w:r>
      <w:proofErr w:type="gramEnd"/>
      <w:r>
        <w:t xml:space="preserve"> its purposes. The list of relevant legislation is therefore </w:t>
      </w:r>
      <w:r w:rsidR="0086102E">
        <w:t>extensive,</w:t>
      </w:r>
      <w:r>
        <w:t xml:space="preserve"> and this section will only provide some examples of relevant legislation. It is neither viewed as comprehensive nor exhaustive.</w:t>
      </w:r>
    </w:p>
    <w:p w14:paraId="31437EFB" w14:textId="77777777" w:rsidR="00FB3592" w:rsidRDefault="00FB3592" w:rsidP="00FB3592">
      <w:pPr>
        <w:pStyle w:val="F9-Paragraph"/>
      </w:pPr>
      <w:r>
        <w:t>Relevant legislation includes:</w:t>
      </w:r>
    </w:p>
    <w:p w14:paraId="056B3AEE" w14:textId="655E2C7E" w:rsidR="00FB3592" w:rsidRDefault="00FB3592" w:rsidP="00FB3592">
      <w:pPr>
        <w:pStyle w:val="Bulletlist1"/>
      </w:pPr>
      <w:r>
        <w:t xml:space="preserve">Health and Safety at Work Act 1974 (HSWA) and its Relevant Statutory Provisions </w:t>
      </w:r>
    </w:p>
    <w:p w14:paraId="7DC06478" w14:textId="77777777" w:rsidR="00FB3592" w:rsidRDefault="00FB3592" w:rsidP="00FB3592">
      <w:pPr>
        <w:pStyle w:val="Bulletlist1"/>
      </w:pPr>
      <w:r>
        <w:t>The Energy Act 2013 and its applicable provisions including:</w:t>
      </w:r>
    </w:p>
    <w:p w14:paraId="58DB4FA5" w14:textId="77777777" w:rsidR="00FB3592" w:rsidRDefault="00FB3592" w:rsidP="00FB3592">
      <w:pPr>
        <w:pStyle w:val="Bulletlist2"/>
      </w:pPr>
      <w:r>
        <w:t>Nuclear Industry Security Regulations (NISR) 2003</w:t>
      </w:r>
    </w:p>
    <w:p w14:paraId="708B571D" w14:textId="77777777" w:rsidR="00FB3592" w:rsidRDefault="00FB3592" w:rsidP="00FB3592">
      <w:pPr>
        <w:pStyle w:val="Bulletlist2"/>
      </w:pPr>
      <w:r>
        <w:t>Carriage of Dangerous Goods Regulations 2009</w:t>
      </w:r>
    </w:p>
    <w:p w14:paraId="2C99DC23" w14:textId="77777777" w:rsidR="00FB3592" w:rsidRDefault="00FB3592" w:rsidP="00FB3592">
      <w:pPr>
        <w:pStyle w:val="Bulletlist2"/>
      </w:pPr>
      <w:r>
        <w:t>Safeguards Act 2000</w:t>
      </w:r>
    </w:p>
    <w:p w14:paraId="259EF412" w14:textId="77777777" w:rsidR="00FB3592" w:rsidRDefault="00410714" w:rsidP="00FB3592">
      <w:pPr>
        <w:pStyle w:val="Bulletlist2"/>
      </w:pPr>
      <w:hyperlink r:id="rId28" w:history="1">
        <w:r w:rsidR="00FB3592" w:rsidRPr="00782711">
          <w:rPr>
            <w:bCs/>
          </w:rPr>
          <w:t xml:space="preserve">Radiation (Emergency Preparedness and Public Information) Regulations </w:t>
        </w:r>
        <w:r w:rsidR="00FB3592">
          <w:rPr>
            <w:bCs/>
          </w:rPr>
          <w:t xml:space="preserve">(REPPIR) </w:t>
        </w:r>
      </w:hyperlink>
      <w:r w:rsidR="00FB3592" w:rsidRPr="00782711">
        <w:t>2019</w:t>
      </w:r>
    </w:p>
    <w:p w14:paraId="5E0629B5" w14:textId="068689CD" w:rsidR="00FB3592" w:rsidRDefault="00FB3592" w:rsidP="00FB3592">
      <w:pPr>
        <w:pStyle w:val="F9-Paragraph"/>
      </w:pPr>
      <w:bookmarkStart w:id="11" w:name="_Ref37937567"/>
      <w:r>
        <w:t xml:space="preserve">All nuclear site Licence Conditions (LC) </w:t>
      </w:r>
      <w:sdt>
        <w:sdtPr>
          <w:id w:val="-1443528445"/>
          <w:citation/>
        </w:sdtPr>
        <w:sdtEndPr/>
        <w:sdtContent>
          <w:r w:rsidR="0086102E">
            <w:fldChar w:fldCharType="begin"/>
          </w:r>
          <w:r w:rsidR="0086102E">
            <w:instrText xml:space="preserve"> CITATION ONR46 \l 2057 </w:instrText>
          </w:r>
          <w:r w:rsidR="0086102E">
            <w:fldChar w:fldCharType="separate"/>
          </w:r>
          <w:r w:rsidR="00FF26DD">
            <w:rPr>
              <w:noProof/>
            </w:rPr>
            <w:t>[2]</w:t>
          </w:r>
          <w:r w:rsidR="0086102E">
            <w:fldChar w:fldCharType="end"/>
          </w:r>
        </w:sdtContent>
      </w:sdt>
      <w:r w:rsidR="0086102E">
        <w:t xml:space="preserve"> </w:t>
      </w:r>
      <w:r>
        <w:t>have the potential to require the licence holder to produce documentation which could be subject to regulatory assessment, including the arrangements for compliance with the licence conditions. Examples of dutyholder submissions that are likely to undergo regulatory assessment could include:</w:t>
      </w:r>
      <w:bookmarkEnd w:id="11"/>
      <w:r>
        <w:t xml:space="preserve"> </w:t>
      </w:r>
    </w:p>
    <w:p w14:paraId="2D7AF66C" w14:textId="77777777" w:rsidR="00FB3592" w:rsidRDefault="00FB3592" w:rsidP="00FB3592">
      <w:pPr>
        <w:pStyle w:val="Bulletlist1"/>
      </w:pPr>
      <w:r>
        <w:t>A</w:t>
      </w:r>
      <w:r w:rsidRPr="00602C54">
        <w:t>rrangements for dealing with any accident or emergency</w:t>
      </w:r>
      <w:r>
        <w:t xml:space="preserve"> made under LC11 – emergency arrangements.</w:t>
      </w:r>
    </w:p>
    <w:p w14:paraId="614C55C3" w14:textId="77777777" w:rsidR="00FB3592" w:rsidRDefault="00FB3592" w:rsidP="00FB3592">
      <w:pPr>
        <w:pStyle w:val="Bulletlist1"/>
      </w:pPr>
      <w:r>
        <w:t>Safety case arrangements made under LC14 - safety documentation.</w:t>
      </w:r>
    </w:p>
    <w:p w14:paraId="48831373" w14:textId="77777777" w:rsidR="00FB3592" w:rsidRDefault="00FB3592" w:rsidP="00FB3592">
      <w:pPr>
        <w:pStyle w:val="Bulletlist1"/>
      </w:pPr>
      <w:r>
        <w:t>P</w:t>
      </w:r>
      <w:r w:rsidRPr="00602C54">
        <w:t>eriodic and systematic review and reassessment of safety cases</w:t>
      </w:r>
      <w:r>
        <w:t xml:space="preserve"> sought under LC15 – periodic review.</w:t>
      </w:r>
    </w:p>
    <w:p w14:paraId="678DF50C" w14:textId="77777777" w:rsidR="00FB3592" w:rsidRDefault="00FB3592" w:rsidP="00FB3592">
      <w:pPr>
        <w:pStyle w:val="Bulletlist1"/>
      </w:pPr>
      <w:r>
        <w:t>Safety case documentation required under LC22 - Modification or experiment on existing plant.</w:t>
      </w:r>
    </w:p>
    <w:p w14:paraId="4BFEB822" w14:textId="77777777" w:rsidR="00FB3592" w:rsidRDefault="00FB3592" w:rsidP="00FB3592">
      <w:pPr>
        <w:pStyle w:val="Bulletlist1"/>
      </w:pPr>
      <w:r>
        <w:t>Safety case documentation required under LC23 – operating rules.</w:t>
      </w:r>
    </w:p>
    <w:p w14:paraId="05EAC3FA" w14:textId="77777777" w:rsidR="00FB3592" w:rsidRDefault="00FB3592" w:rsidP="00FB3592">
      <w:pPr>
        <w:pStyle w:val="Bulletlist1"/>
      </w:pPr>
      <w:r>
        <w:t>Decommissioning ar</w:t>
      </w:r>
      <w:r w:rsidRPr="00602C54">
        <w:t>rangements or programmes</w:t>
      </w:r>
      <w:r>
        <w:t xml:space="preserve"> sought under LC35 – d</w:t>
      </w:r>
      <w:r w:rsidRPr="00360CFA">
        <w:t>ecommissioning</w:t>
      </w:r>
      <w:r>
        <w:t>.</w:t>
      </w:r>
    </w:p>
    <w:p w14:paraId="1A6CF636" w14:textId="71FBDBF2" w:rsidR="00FB3592" w:rsidRDefault="00FB3592" w:rsidP="00FB3592">
      <w:pPr>
        <w:pStyle w:val="F9-Paragraph"/>
      </w:pPr>
      <w:bookmarkStart w:id="12" w:name="_Ref37937569"/>
      <w:r>
        <w:t xml:space="preserve">NISR 2003 requires the dutyholder to produce documentation for approval. </w:t>
      </w:r>
      <w:r w:rsidR="0086102E">
        <w:br/>
      </w:r>
      <w:r>
        <w:t>This could include:</w:t>
      </w:r>
      <w:bookmarkEnd w:id="12"/>
    </w:p>
    <w:p w14:paraId="612E256B" w14:textId="77777777" w:rsidR="00FB3592" w:rsidRDefault="00FB3592" w:rsidP="00FB3592">
      <w:pPr>
        <w:pStyle w:val="Bulletlist1"/>
      </w:pPr>
      <w:r>
        <w:lastRenderedPageBreak/>
        <w:t>Approval of new or replacement security plans under Regulations 5 and 6 respectively.</w:t>
      </w:r>
    </w:p>
    <w:p w14:paraId="425E75BA" w14:textId="77777777" w:rsidR="00FB3592" w:rsidRDefault="00FB3592" w:rsidP="00FB3592">
      <w:pPr>
        <w:pStyle w:val="Bulletlist1"/>
      </w:pPr>
      <w:r>
        <w:t>Temporary Security Arrangements and permanent amendments under Regulation 6.</w:t>
      </w:r>
    </w:p>
    <w:p w14:paraId="3CD74413" w14:textId="77777777" w:rsidR="00FB3592" w:rsidRDefault="00FB3592" w:rsidP="00FB3592">
      <w:pPr>
        <w:pStyle w:val="Bulletlist1"/>
      </w:pPr>
      <w:r>
        <w:t>Temporary Security Plans submitted under Regulation 8.</w:t>
      </w:r>
    </w:p>
    <w:p w14:paraId="295B6F23" w14:textId="77777777" w:rsidR="00FB3592" w:rsidRDefault="00FB3592" w:rsidP="00FB3592">
      <w:pPr>
        <w:pStyle w:val="Bulletlist1"/>
      </w:pPr>
      <w:r>
        <w:t>Transport Security Statements submitted under Regulation 16.</w:t>
      </w:r>
    </w:p>
    <w:p w14:paraId="31C57109" w14:textId="77777777" w:rsidR="0086102E" w:rsidRDefault="0086102E" w:rsidP="00FB3592">
      <w:pPr>
        <w:pStyle w:val="Heading1"/>
        <w:sectPr w:rsidR="0086102E" w:rsidSect="00B82646">
          <w:pgSz w:w="11906" w:h="16838" w:code="9"/>
          <w:pgMar w:top="1440" w:right="1080" w:bottom="1440" w:left="1080" w:header="397" w:footer="397" w:gutter="0"/>
          <w:cols w:space="312"/>
          <w:docGrid w:linePitch="360"/>
        </w:sectPr>
      </w:pPr>
      <w:bookmarkStart w:id="13" w:name="_Toc384030516"/>
      <w:bookmarkStart w:id="14" w:name="_Toc38887855"/>
    </w:p>
    <w:p w14:paraId="33C34A36" w14:textId="1453A6F4" w:rsidR="00FB3592" w:rsidRDefault="00FB3592" w:rsidP="00FB3592">
      <w:pPr>
        <w:pStyle w:val="Heading1"/>
      </w:pPr>
      <w:bookmarkStart w:id="15" w:name="_Toc121232760"/>
      <w:r>
        <w:lastRenderedPageBreak/>
        <w:t>R</w:t>
      </w:r>
      <w:r w:rsidR="0003659E">
        <w:t>elationship to SAPs/SyAPs, WENRA Reference Levels and IAEA Safety/Security Standards Addressed</w:t>
      </w:r>
      <w:bookmarkEnd w:id="13"/>
      <w:bookmarkEnd w:id="14"/>
      <w:bookmarkEnd w:id="15"/>
    </w:p>
    <w:p w14:paraId="6602D1CE" w14:textId="07B951C7" w:rsidR="00FB3592" w:rsidRDefault="00FB3592" w:rsidP="00FB3592">
      <w:pPr>
        <w:pStyle w:val="F9-Paragraph"/>
      </w:pPr>
      <w:r>
        <w:t xml:space="preserve">Several International Atomic Energy Agency (IAEA) documents </w:t>
      </w:r>
      <w:r w:rsidR="0086102E">
        <w:t xml:space="preserve">(for example, refs. </w:t>
      </w:r>
      <w:sdt>
        <w:sdtPr>
          <w:id w:val="-1749798805"/>
          <w:citation/>
        </w:sdtPr>
        <w:sdtEndPr/>
        <w:sdtContent>
          <w:r w:rsidR="0086102E">
            <w:fldChar w:fldCharType="begin"/>
          </w:r>
          <w:r w:rsidR="0086102E">
            <w:instrText xml:space="preserve"> CITATION IAE161 \l 2057 </w:instrText>
          </w:r>
          <w:r w:rsidR="0086102E">
            <w:fldChar w:fldCharType="separate"/>
          </w:r>
          <w:r w:rsidR="00FF26DD">
            <w:rPr>
              <w:noProof/>
            </w:rPr>
            <w:t>[3]</w:t>
          </w:r>
          <w:r w:rsidR="0086102E">
            <w:fldChar w:fldCharType="end"/>
          </w:r>
        </w:sdtContent>
      </w:sdt>
      <w:r w:rsidR="0086102E">
        <w:t>,</w:t>
      </w:r>
      <w:sdt>
        <w:sdtPr>
          <w:id w:val="1023518954"/>
          <w:citation/>
        </w:sdtPr>
        <w:sdtEndPr/>
        <w:sdtContent>
          <w:r w:rsidR="0086102E">
            <w:fldChar w:fldCharType="begin"/>
          </w:r>
          <w:r w:rsidR="0086102E">
            <w:instrText xml:space="preserve"> CITATION IAE181 \l 2057 </w:instrText>
          </w:r>
          <w:r w:rsidR="0086102E">
            <w:fldChar w:fldCharType="separate"/>
          </w:r>
          <w:r w:rsidR="00FF26DD">
            <w:rPr>
              <w:noProof/>
            </w:rPr>
            <w:t xml:space="preserve"> [4]</w:t>
          </w:r>
          <w:r w:rsidR="0086102E">
            <w:fldChar w:fldCharType="end"/>
          </w:r>
        </w:sdtContent>
      </w:sdt>
      <w:r w:rsidR="0086102E">
        <w:t xml:space="preserve"> and</w:t>
      </w:r>
      <w:sdt>
        <w:sdtPr>
          <w:id w:val="-1131022616"/>
          <w:citation/>
        </w:sdtPr>
        <w:sdtEndPr/>
        <w:sdtContent>
          <w:r w:rsidR="0086102E">
            <w:fldChar w:fldCharType="begin"/>
          </w:r>
          <w:r w:rsidR="0086102E">
            <w:instrText xml:space="preserve"> CITATION IAE111 \l 2057 </w:instrText>
          </w:r>
          <w:r w:rsidR="0086102E">
            <w:fldChar w:fldCharType="separate"/>
          </w:r>
          <w:r w:rsidR="00FF26DD">
            <w:rPr>
              <w:noProof/>
            </w:rPr>
            <w:t xml:space="preserve"> [5]</w:t>
          </w:r>
          <w:r w:rsidR="0086102E">
            <w:fldChar w:fldCharType="end"/>
          </w:r>
        </w:sdtContent>
      </w:sdt>
      <w:r w:rsidR="0086102E">
        <w:t>)</w:t>
      </w:r>
      <w:r>
        <w:t xml:space="preserve"> place expectations that the regulatory body should review and assess relevant information within the areas of safety and security.</w:t>
      </w:r>
      <w:r w:rsidR="0010269D">
        <w:t xml:space="preserve"> </w:t>
      </w:r>
    </w:p>
    <w:p w14:paraId="1537C406" w14:textId="11109F93" w:rsidR="00FB3592" w:rsidRDefault="00FB3592" w:rsidP="00FB3592">
      <w:pPr>
        <w:pStyle w:val="F9-Paragraph"/>
      </w:pPr>
      <w:r>
        <w:t>IAEA G</w:t>
      </w:r>
      <w:r w:rsidRPr="00845764">
        <w:t xml:space="preserve">eneral </w:t>
      </w:r>
      <w:r>
        <w:t>S</w:t>
      </w:r>
      <w:r w:rsidRPr="00845764">
        <w:t xml:space="preserve">afety </w:t>
      </w:r>
      <w:r>
        <w:t>R</w:t>
      </w:r>
      <w:r w:rsidRPr="00845764">
        <w:t>equirement</w:t>
      </w:r>
      <w:r>
        <w:t xml:space="preserve"> </w:t>
      </w:r>
      <w:r w:rsidR="0086102E">
        <w:t xml:space="preserve">(GSR) </w:t>
      </w:r>
      <w:r>
        <w:t>Part 1</w:t>
      </w:r>
      <w:sdt>
        <w:sdtPr>
          <w:id w:val="1342043767"/>
          <w:citation/>
        </w:sdtPr>
        <w:sdtEndPr/>
        <w:sdtContent>
          <w:r w:rsidR="0086102E">
            <w:fldChar w:fldCharType="begin"/>
          </w:r>
          <w:r w:rsidR="0086102E">
            <w:instrText xml:space="preserve"> CITATION IAE161 \l 2057 </w:instrText>
          </w:r>
          <w:r w:rsidR="0086102E">
            <w:fldChar w:fldCharType="separate"/>
          </w:r>
          <w:r w:rsidR="00FF26DD">
            <w:rPr>
              <w:noProof/>
            </w:rPr>
            <w:t xml:space="preserve"> [3]</w:t>
          </w:r>
          <w:r w:rsidR="0086102E">
            <w:fldChar w:fldCharType="end"/>
          </w:r>
        </w:sdtContent>
      </w:sdt>
      <w:r>
        <w:t xml:space="preserve"> places requirements on national regulatory organisations. It states that the </w:t>
      </w:r>
      <w:r w:rsidRPr="00845764">
        <w:t>objective of regulatory functions is the verification and assessment of safety in compliance with regulatory requirements</w:t>
      </w:r>
      <w:r>
        <w:t>. This includes:</w:t>
      </w:r>
    </w:p>
    <w:p w14:paraId="42717750" w14:textId="77777777" w:rsidR="0086102E" w:rsidRDefault="00FB3592" w:rsidP="003A0917">
      <w:pPr>
        <w:pStyle w:val="Bulletlist1"/>
      </w:pPr>
      <w:r w:rsidRPr="00AF698E">
        <w:rPr>
          <w:b/>
          <w:bCs w:val="0"/>
        </w:rPr>
        <w:t>Requirement 25: Review and assessment of information relevant to safety</w:t>
      </w:r>
      <w:r w:rsidR="0086102E" w:rsidRPr="00AF698E">
        <w:rPr>
          <w:b/>
          <w:bCs w:val="0"/>
        </w:rPr>
        <w:t xml:space="preserve"> </w:t>
      </w:r>
      <w:r w:rsidR="0086102E">
        <w:t xml:space="preserve">- </w:t>
      </w:r>
      <w:r w:rsidRPr="0086102E">
        <w:t>The regulatory body shall review and assess relevant information — whether submitted by the authorized party or the vendor, compiled by the regulatory body, or obtained from elsewhere — to determine whether facilities and activities comply with regulatory requirements and the conditions specified in the authorization. This review and assessment of information shall be performed prior to authorization and again over the lifetime of the facility or the duration of the activity, as specified in regulations promulgated by the regulatory body or in the authorization.</w:t>
      </w:r>
    </w:p>
    <w:p w14:paraId="0EEDB99B" w14:textId="5D81F3C5" w:rsidR="00FB3592" w:rsidRPr="0086102E" w:rsidRDefault="00FB3592" w:rsidP="0086102E">
      <w:pPr>
        <w:pStyle w:val="Bulletlist1"/>
      </w:pPr>
      <w:r w:rsidRPr="00AF698E">
        <w:rPr>
          <w:b/>
          <w:bCs w:val="0"/>
        </w:rPr>
        <w:t>Requirement 26: Graded approach to review and assessment of a facility or an activity (by the regulatory body)</w:t>
      </w:r>
      <w:r w:rsidR="0086102E">
        <w:t xml:space="preserve"> - </w:t>
      </w:r>
      <w:r w:rsidRPr="0086102E">
        <w:t>Review and assessment of a facility or an activity shall be commensurate with the radiation risks associated with the facility or activity, in accordance with a graded approach.</w:t>
      </w:r>
    </w:p>
    <w:p w14:paraId="50F63A16" w14:textId="37E693E1" w:rsidR="00FB3592" w:rsidRDefault="00FB3592" w:rsidP="00FB3592">
      <w:pPr>
        <w:pStyle w:val="F9-Paragraph"/>
      </w:pPr>
      <w:r>
        <w:t>The Convention on the Physical Protection of Nuclear Material, as reinforced by IAEA Nuclear Security Series 13</w:t>
      </w:r>
      <w:r w:rsidR="0086102E">
        <w:t xml:space="preserve"> </w:t>
      </w:r>
      <w:sdt>
        <w:sdtPr>
          <w:id w:val="1530609061"/>
          <w:citation/>
        </w:sdtPr>
        <w:sdtEndPr/>
        <w:sdtContent>
          <w:r w:rsidR="0086102E">
            <w:fldChar w:fldCharType="begin"/>
          </w:r>
          <w:r w:rsidR="0086102E">
            <w:instrText xml:space="preserve"> CITATION IAE111 \l 2057 </w:instrText>
          </w:r>
          <w:r w:rsidR="0086102E">
            <w:fldChar w:fldCharType="separate"/>
          </w:r>
          <w:r w:rsidR="00FF26DD">
            <w:rPr>
              <w:noProof/>
            </w:rPr>
            <w:t>[5]</w:t>
          </w:r>
          <w:r w:rsidR="0086102E">
            <w:fldChar w:fldCharType="end"/>
          </w:r>
        </w:sdtContent>
      </w:sdt>
      <w:r>
        <w:t>, places a legally binding obligations on member states including:</w:t>
      </w:r>
    </w:p>
    <w:p w14:paraId="4F896096" w14:textId="1E4C7A76" w:rsidR="00FB3592" w:rsidRPr="0086102E" w:rsidRDefault="00FB3592" w:rsidP="0086102E">
      <w:pPr>
        <w:pStyle w:val="Bulletlist1"/>
      </w:pPr>
      <w:r w:rsidRPr="00AF698E">
        <w:rPr>
          <w:b/>
          <w:bCs w:val="0"/>
        </w:rPr>
        <w:t>Fundamental Principle C: Legislative and Regulatory Framework</w:t>
      </w:r>
      <w:r w:rsidR="0086102E">
        <w:t xml:space="preserve"> - </w:t>
      </w:r>
      <w:r w:rsidRPr="0086102E">
        <w:t>The State is responsible for establishing and maintaining a legislative and regulatory framework to govern physical protection.</w:t>
      </w:r>
      <w:r w:rsidR="0010269D">
        <w:t xml:space="preserve"> </w:t>
      </w:r>
      <w:r w:rsidRPr="0086102E">
        <w:t>This framework should provide for the establishment of applicable physical protection requirements and include a system of evaluation and licensing or other procedures to grant authorisation.</w:t>
      </w:r>
      <w:r w:rsidR="0010269D">
        <w:t xml:space="preserve"> </w:t>
      </w:r>
    </w:p>
    <w:p w14:paraId="644B37A0" w14:textId="07EB32CA" w:rsidR="00FB3592" w:rsidRDefault="00FB3592" w:rsidP="00FB3592">
      <w:pPr>
        <w:pStyle w:val="F9-Paragraph"/>
      </w:pPr>
      <w:r>
        <w:t xml:space="preserve">The Western European Nuclear Regulators Association (WENRA) Safety Reference Levels (SRL) </w:t>
      </w:r>
      <w:sdt>
        <w:sdtPr>
          <w:id w:val="-93167916"/>
          <w:citation/>
        </w:sdtPr>
        <w:sdtEndPr/>
        <w:sdtContent>
          <w:r w:rsidR="0086102E">
            <w:fldChar w:fldCharType="begin"/>
          </w:r>
          <w:r w:rsidR="0086102E">
            <w:instrText xml:space="preserve"> CITATION WEN \l 2057 </w:instrText>
          </w:r>
          <w:r w:rsidR="0086102E">
            <w:fldChar w:fldCharType="separate"/>
          </w:r>
          <w:r w:rsidR="00FF26DD">
            <w:rPr>
              <w:noProof/>
            </w:rPr>
            <w:t>[6]</w:t>
          </w:r>
          <w:r w:rsidR="0086102E">
            <w:fldChar w:fldCharType="end"/>
          </w:r>
        </w:sdtContent>
      </w:sdt>
      <w:r>
        <w:t xml:space="preserve"> note the different regulatory regimes and range of plants and therefore state that they do not go into legal and technical expectations. The SRL’s should be considered, as appropriate, during ONR’s assessment of a dutyholder’s submission.</w:t>
      </w:r>
    </w:p>
    <w:p w14:paraId="34A1ECDD" w14:textId="7B1E7E74" w:rsidR="00FB3592" w:rsidRDefault="00FB3592" w:rsidP="00FB3592">
      <w:pPr>
        <w:pStyle w:val="F9-Paragraph"/>
      </w:pPr>
      <w:r>
        <w:t xml:space="preserve">These expectations flow through into the ONR’s Safety Assessment Principles (SAPs) </w:t>
      </w:r>
      <w:sdt>
        <w:sdtPr>
          <w:id w:val="1325478909"/>
          <w:citation/>
        </w:sdtPr>
        <w:sdtEndPr/>
        <w:sdtContent>
          <w:r w:rsidR="0086102E">
            <w:fldChar w:fldCharType="begin"/>
          </w:r>
          <w:r w:rsidR="0086102E">
            <w:instrText xml:space="preserve"> CITATION ONR2013 \l 2057 </w:instrText>
          </w:r>
          <w:r w:rsidR="0086102E">
            <w:fldChar w:fldCharType="separate"/>
          </w:r>
          <w:r w:rsidR="00FF26DD">
            <w:rPr>
              <w:noProof/>
            </w:rPr>
            <w:t>[1]</w:t>
          </w:r>
          <w:r w:rsidR="0086102E">
            <w:fldChar w:fldCharType="end"/>
          </w:r>
        </w:sdtContent>
      </w:sdt>
      <w:r>
        <w:t xml:space="preserve"> and the Security Assessment Principles (</w:t>
      </w:r>
      <w:proofErr w:type="spellStart"/>
      <w:r>
        <w:t>SyAPs</w:t>
      </w:r>
      <w:proofErr w:type="spellEnd"/>
      <w:r>
        <w:t xml:space="preserve">) </w:t>
      </w:r>
      <w:sdt>
        <w:sdtPr>
          <w:id w:val="555361600"/>
          <w:citation/>
        </w:sdtPr>
        <w:sdtEndPr/>
        <w:sdtContent>
          <w:r w:rsidR="0086102E">
            <w:fldChar w:fldCharType="begin"/>
          </w:r>
          <w:r w:rsidR="0086102E">
            <w:instrText xml:space="preserve"> CITATION ONR173 \l 2057 </w:instrText>
          </w:r>
          <w:r w:rsidR="0086102E">
            <w:fldChar w:fldCharType="separate"/>
          </w:r>
          <w:r w:rsidR="00FF26DD">
            <w:rPr>
              <w:noProof/>
            </w:rPr>
            <w:t>[7]</w:t>
          </w:r>
          <w:r w:rsidR="0086102E">
            <w:fldChar w:fldCharType="end"/>
          </w:r>
        </w:sdtContent>
      </w:sdt>
      <w:r>
        <w:t xml:space="preserve"> which provide guidance to ONR inspectors on expectations for dutyholder submissions relating to </w:t>
      </w:r>
      <w:r>
        <w:lastRenderedPageBreak/>
        <w:t>nuclear safety</w:t>
      </w:r>
      <w:r w:rsidRPr="00104B20">
        <w:t xml:space="preserve"> </w:t>
      </w:r>
      <w:r>
        <w:t xml:space="preserve">and security. ONR’s SAPs and the SyAPs should be applied to </w:t>
      </w:r>
      <w:proofErr w:type="gramStart"/>
      <w:r>
        <w:t>all of</w:t>
      </w:r>
      <w:proofErr w:type="gramEnd"/>
      <w:r>
        <w:t xml:space="preserve"> ONR’s nuclear safety</w:t>
      </w:r>
      <w:r w:rsidRPr="00104B20">
        <w:t xml:space="preserve"> </w:t>
      </w:r>
      <w:r>
        <w:t xml:space="preserve">and security assessment work. These documents are supported by a suite of </w:t>
      </w:r>
      <w:r w:rsidR="0086102E">
        <w:t xml:space="preserve">TAGs </w:t>
      </w:r>
      <w:r>
        <w:t xml:space="preserve">which provide more detailed advice to inspectors on standards to be applied during assessment. </w:t>
      </w:r>
    </w:p>
    <w:p w14:paraId="7AEB46A4" w14:textId="77777777" w:rsidR="00AF698E" w:rsidRDefault="00AF698E" w:rsidP="00AF698E">
      <w:pPr>
        <w:pStyle w:val="Heading1"/>
        <w:numPr>
          <w:ilvl w:val="0"/>
          <w:numId w:val="0"/>
        </w:numPr>
        <w:ind w:left="851"/>
      </w:pPr>
      <w:bookmarkStart w:id="16" w:name="_Toc38887856"/>
      <w:bookmarkStart w:id="17" w:name="_Toc121232761"/>
    </w:p>
    <w:p w14:paraId="430897CD" w14:textId="6FC1DA94" w:rsidR="00FB3592" w:rsidRDefault="0003659E" w:rsidP="00AF698E">
      <w:pPr>
        <w:pStyle w:val="Heading1"/>
      </w:pPr>
      <w:r>
        <w:t>Advice to Inspectors</w:t>
      </w:r>
      <w:bookmarkEnd w:id="16"/>
      <w:bookmarkEnd w:id="17"/>
    </w:p>
    <w:p w14:paraId="3BB4722F" w14:textId="253E37E9" w:rsidR="00FB3592" w:rsidRPr="00E2081A" w:rsidRDefault="0003659E" w:rsidP="00FB3592">
      <w:pPr>
        <w:pStyle w:val="Heading2"/>
        <w:rPr>
          <w:b/>
          <w:caps/>
        </w:rPr>
      </w:pPr>
      <w:bookmarkStart w:id="18" w:name="_Toc121232762"/>
      <w:r>
        <w:t>Purpose of Assessment</w:t>
      </w:r>
      <w:bookmarkEnd w:id="18"/>
    </w:p>
    <w:p w14:paraId="148D3F55" w14:textId="60837136" w:rsidR="00FB3592" w:rsidRPr="00D75E49" w:rsidRDefault="00FB3592" w:rsidP="00FB3592">
      <w:pPr>
        <w:pStyle w:val="F9-Paragraph"/>
        <w:rPr>
          <w:b/>
          <w:caps/>
        </w:rPr>
      </w:pPr>
      <w:r w:rsidRPr="00D75E49">
        <w:t>In the context of this guidance, assessment is the act of making a judg</w:t>
      </w:r>
      <w:r>
        <w:t>e</w:t>
      </w:r>
      <w:r w:rsidRPr="00D75E49">
        <w:t xml:space="preserve">ment by the consideration of relevant evidence. The purpose of assessment is to allow ONR </w:t>
      </w:r>
      <w:r>
        <w:t xml:space="preserve">inspectors </w:t>
      </w:r>
      <w:r w:rsidRPr="00D75E49">
        <w:t>to reach an independent and informed judg</w:t>
      </w:r>
      <w:r>
        <w:t>e</w:t>
      </w:r>
      <w:r w:rsidRPr="00D75E49">
        <w:t xml:space="preserve">ment on the adequacy of </w:t>
      </w:r>
      <w:r>
        <w:t xml:space="preserve">a </w:t>
      </w:r>
      <w:r w:rsidRPr="00D75E49">
        <w:t>dutyholder’s submission. Assessment is used to inform ONR whether the dutyholder is, or will be, compliant with relevant legislation</w:t>
      </w:r>
      <w:r>
        <w:t xml:space="preserve"> and can inform ONR permissioning or approval decisions</w:t>
      </w:r>
      <w:r w:rsidR="00415D07">
        <w:t xml:space="preserve"> </w:t>
      </w:r>
      <w:sdt>
        <w:sdtPr>
          <w:id w:val="1863773113"/>
          <w:citation/>
        </w:sdtPr>
        <w:sdtEndPr/>
        <w:sdtContent>
          <w:r w:rsidR="0086102E">
            <w:fldChar w:fldCharType="begin"/>
          </w:r>
          <w:r w:rsidR="0086102E">
            <w:instrText xml:space="preserve"> CITATION ONR112 \l 2057 </w:instrText>
          </w:r>
          <w:r w:rsidR="0086102E">
            <w:fldChar w:fldCharType="separate"/>
          </w:r>
          <w:r w:rsidR="00FF26DD">
            <w:rPr>
              <w:noProof/>
            </w:rPr>
            <w:t>[8]</w:t>
          </w:r>
          <w:r w:rsidR="0086102E">
            <w:fldChar w:fldCharType="end"/>
          </w:r>
        </w:sdtContent>
      </w:sdt>
      <w:r w:rsidRPr="00D75E49">
        <w:t xml:space="preserve">. </w:t>
      </w:r>
    </w:p>
    <w:p w14:paraId="09C35395" w14:textId="28C031CD" w:rsidR="00FB3592" w:rsidRPr="006D64C0" w:rsidRDefault="00FB3592" w:rsidP="00FB3592">
      <w:pPr>
        <w:pStyle w:val="F9-Paragraph"/>
        <w:rPr>
          <w:b/>
          <w:caps/>
        </w:rPr>
      </w:pPr>
      <w:r w:rsidRPr="006A5694">
        <w:t>Assessment is carried out by sampling submitted information</w:t>
      </w:r>
      <w:r>
        <w:t>, consideration of operational conditions</w:t>
      </w:r>
      <w:r w:rsidRPr="006A5694">
        <w:t xml:space="preserve"> and judging it against applicable standards and guidance</w:t>
      </w:r>
      <w:r>
        <w:t>.</w:t>
      </w:r>
      <w:r w:rsidR="0010269D">
        <w:t xml:space="preserve"> </w:t>
      </w:r>
      <w:r>
        <w:t xml:space="preserve">Where relevant this should </w:t>
      </w:r>
      <w:r w:rsidRPr="006A5694">
        <w:t xml:space="preserve">include the need to demonstrate that risks are reduced, or are capable of being reduced, to As Low </w:t>
      </w:r>
      <w:proofErr w:type="gramStart"/>
      <w:r w:rsidRPr="006A5694">
        <w:t>As</w:t>
      </w:r>
      <w:proofErr w:type="gramEnd"/>
      <w:r w:rsidRPr="006A5694">
        <w:t xml:space="preserve"> Reasonably Practicable (ALARP)</w:t>
      </w:r>
      <w:r>
        <w:t xml:space="preserve"> (for submissions relating to HSWA or the Ionising Radiation Regulations 2017 (IRR’s))</w:t>
      </w:r>
      <w:r w:rsidRPr="006A5694">
        <w:t>.</w:t>
      </w:r>
      <w:r w:rsidR="0010269D">
        <w:t xml:space="preserve"> </w:t>
      </w:r>
      <w:r>
        <w:t>Security assessment should include the need to demonstrate that defined outcomes are achieved in accordance with the graded approach.</w:t>
      </w:r>
    </w:p>
    <w:p w14:paraId="256A3B58" w14:textId="70433BCB" w:rsidR="00FB3592" w:rsidRPr="00026C5C" w:rsidRDefault="00FB3592" w:rsidP="00FB3592">
      <w:pPr>
        <w:pStyle w:val="F9-Paragraph"/>
        <w:rPr>
          <w:b/>
          <w:caps/>
        </w:rPr>
      </w:pPr>
      <w:r w:rsidRPr="00026C5C">
        <w:t xml:space="preserve">Assessment is normally undertaken by ONR </w:t>
      </w:r>
      <w:r>
        <w:t xml:space="preserve">specialist </w:t>
      </w:r>
      <w:r w:rsidR="0086102E" w:rsidRPr="00026C5C">
        <w:t>inspectors,</w:t>
      </w:r>
      <w:r w:rsidRPr="00026C5C">
        <w:t xml:space="preserve"> but specialist technical support contractors </w:t>
      </w:r>
      <w:r>
        <w:t xml:space="preserve">can be </w:t>
      </w:r>
      <w:r w:rsidRPr="00026C5C">
        <w:t xml:space="preserve">used to provide an input to regulatory assessments. </w:t>
      </w:r>
      <w:r>
        <w:t xml:space="preserve">Although </w:t>
      </w:r>
      <w:r w:rsidRPr="00026C5C">
        <w:t>technical support contractors cannot make regulatory decisions</w:t>
      </w:r>
      <w:r>
        <w:t xml:space="preserve"> their technical contributions can be used to inform the judgements of inspectors.</w:t>
      </w:r>
    </w:p>
    <w:p w14:paraId="77736BFE" w14:textId="3C8DF7F5" w:rsidR="00FB3592" w:rsidRDefault="00FB3592" w:rsidP="00FB3592">
      <w:pPr>
        <w:pStyle w:val="F9-Paragraph"/>
        <w:rPr>
          <w:b/>
          <w:caps/>
        </w:rPr>
      </w:pPr>
      <w:r>
        <w:t>Regulatory</w:t>
      </w:r>
      <w:r w:rsidRPr="00F773C8">
        <w:t xml:space="preserve"> judgements and decisions should be recorded</w:t>
      </w:r>
      <w:r>
        <w:t xml:space="preserve">, </w:t>
      </w:r>
      <w:r w:rsidRPr="00F773C8">
        <w:t>typically in an assessment report. An ONR assessment report can take many forms and details on the types can be found in ONR guidance on the production of reports</w:t>
      </w:r>
      <w:r w:rsidR="0086102E">
        <w:t xml:space="preserve"> </w:t>
      </w:r>
      <w:sdt>
        <w:sdtPr>
          <w:id w:val="342059584"/>
          <w:citation/>
        </w:sdtPr>
        <w:sdtEndPr/>
        <w:sdtContent>
          <w:r w:rsidR="0086102E">
            <w:fldChar w:fldCharType="begin"/>
          </w:r>
          <w:r w:rsidR="0088175B">
            <w:instrText xml:space="preserve">CITATION ONR23 \l 2057 </w:instrText>
          </w:r>
          <w:r w:rsidR="0086102E">
            <w:fldChar w:fldCharType="separate"/>
          </w:r>
          <w:r w:rsidR="0088175B">
            <w:rPr>
              <w:noProof/>
            </w:rPr>
            <w:t>[9]</w:t>
          </w:r>
          <w:r w:rsidR="0086102E">
            <w:fldChar w:fldCharType="end"/>
          </w:r>
        </w:sdtContent>
      </w:sdt>
      <w:r w:rsidRPr="00F773C8">
        <w:t>.</w:t>
      </w:r>
      <w:r>
        <w:t xml:space="preserve"> </w:t>
      </w:r>
    </w:p>
    <w:p w14:paraId="2202E4FD" w14:textId="77777777" w:rsidR="00FB3592" w:rsidRPr="00D75E49" w:rsidRDefault="00FB3592" w:rsidP="00FB3592">
      <w:pPr>
        <w:pStyle w:val="Heading2"/>
      </w:pPr>
      <w:bookmarkStart w:id="19" w:name="_Toc121232763"/>
      <w:r>
        <w:t>Principles</w:t>
      </w:r>
      <w:r w:rsidRPr="00D75E49">
        <w:t xml:space="preserve"> of Assessment</w:t>
      </w:r>
      <w:bookmarkEnd w:id="19"/>
    </w:p>
    <w:p w14:paraId="64177F2C" w14:textId="64DA34E7" w:rsidR="00FB3592" w:rsidRDefault="00FB3592" w:rsidP="00FB3592">
      <w:pPr>
        <w:pStyle w:val="F9-Paragraph"/>
        <w:rPr>
          <w:b/>
          <w:caps/>
        </w:rPr>
      </w:pPr>
      <w:r w:rsidRPr="00D75E49">
        <w:t xml:space="preserve">Regulatory assessment </w:t>
      </w:r>
      <w:r>
        <w:t xml:space="preserve">should be in line with the expectations of ONR’s enforcement policy statement </w:t>
      </w:r>
      <w:sdt>
        <w:sdtPr>
          <w:id w:val="-1684971761"/>
          <w:citation/>
        </w:sdtPr>
        <w:sdtEndPr/>
        <w:sdtContent>
          <w:r w:rsidR="0086102E">
            <w:fldChar w:fldCharType="begin"/>
          </w:r>
          <w:r w:rsidR="0086102E">
            <w:instrText xml:space="preserve"> CITATION ONR2111 \l 2057 </w:instrText>
          </w:r>
          <w:r w:rsidR="0086102E">
            <w:fldChar w:fldCharType="separate"/>
          </w:r>
          <w:r w:rsidR="00FF26DD">
            <w:rPr>
              <w:noProof/>
            </w:rPr>
            <w:t>[10]</w:t>
          </w:r>
          <w:r w:rsidR="0086102E">
            <w:fldChar w:fldCharType="end"/>
          </w:r>
        </w:sdtContent>
      </w:sdt>
      <w:r>
        <w:t>.</w:t>
      </w:r>
      <w:r w:rsidR="0010269D">
        <w:t xml:space="preserve"> </w:t>
      </w:r>
      <w:r>
        <w:t xml:space="preserve">This includes proportionality, consistency of approach, targeting of enforcement action, </w:t>
      </w:r>
      <w:proofErr w:type="gramStart"/>
      <w:r>
        <w:t>transparency</w:t>
      </w:r>
      <w:proofErr w:type="gramEnd"/>
      <w:r>
        <w:t xml:space="preserve"> and accountability for the </w:t>
      </w:r>
      <w:r w:rsidR="0086102E">
        <w:t>regulator’s</w:t>
      </w:r>
      <w:r>
        <w:t xml:space="preserve"> actions.</w:t>
      </w:r>
      <w:r w:rsidR="0010269D">
        <w:t xml:space="preserve"> </w:t>
      </w:r>
    </w:p>
    <w:p w14:paraId="74769CD6" w14:textId="7B981373" w:rsidR="00FB3592" w:rsidRPr="00D75E49" w:rsidRDefault="00FB3592" w:rsidP="00FB3592">
      <w:pPr>
        <w:pStyle w:val="F9-Paragraph"/>
        <w:rPr>
          <w:b/>
          <w:caps/>
        </w:rPr>
      </w:pPr>
      <w:r>
        <w:t xml:space="preserve">Regulatory assessment </w:t>
      </w:r>
      <w:r w:rsidRPr="00D75E49">
        <w:t xml:space="preserve">should </w:t>
      </w:r>
      <w:r>
        <w:t xml:space="preserve">also </w:t>
      </w:r>
      <w:r w:rsidRPr="00D75E49">
        <w:t>be demonstrably independent from the dutyholder</w:t>
      </w:r>
      <w:r>
        <w:t xml:space="preserve"> processes which generated the submission</w:t>
      </w:r>
      <w:r w:rsidRPr="00D75E49">
        <w:t>.</w:t>
      </w:r>
      <w:r w:rsidR="0010269D">
        <w:t xml:space="preserve"> </w:t>
      </w:r>
      <w:r w:rsidRPr="00D75E49">
        <w:t xml:space="preserve">The dutyholder's resources are limited, and the needs of safety or security can conflict with the needs of one or more of the other factors (performance, cost, production, functionality, project duration). </w:t>
      </w:r>
      <w:proofErr w:type="gramStart"/>
      <w:r w:rsidRPr="00D75E49">
        <w:t>In spite of</w:t>
      </w:r>
      <w:proofErr w:type="gramEnd"/>
      <w:r w:rsidRPr="00D75E49">
        <w:t xml:space="preserve"> a dutyholder aiming to achieve an adequate standard there </w:t>
      </w:r>
      <w:r w:rsidRPr="00D75E49">
        <w:lastRenderedPageBreak/>
        <w:t xml:space="preserve">remains the risk that safety or security will take a lesser share of the dutyholder's attention </w:t>
      </w:r>
      <w:r>
        <w:t>or resources</w:t>
      </w:r>
      <w:r w:rsidRPr="00D75E49">
        <w:t xml:space="preserve"> than it should.</w:t>
      </w:r>
      <w:r w:rsidR="0010269D">
        <w:t xml:space="preserve"> </w:t>
      </w:r>
      <w:r w:rsidRPr="00D75E49">
        <w:t xml:space="preserve">ONR inspectors are therefore deliberately independent of dutyholders and have legal powers to enforce the vires within ONR’s purposes. </w:t>
      </w:r>
    </w:p>
    <w:p w14:paraId="056BC67D" w14:textId="142F302C" w:rsidR="00FB3592" w:rsidRDefault="00FB3592" w:rsidP="00FB3592">
      <w:pPr>
        <w:pStyle w:val="F9-Paragraph"/>
        <w:rPr>
          <w:b/>
          <w:caps/>
        </w:rPr>
      </w:pPr>
      <w:r w:rsidRPr="008820DB">
        <w:t xml:space="preserve">Potential shortfalls </w:t>
      </w:r>
      <w:r>
        <w:t>against relevant</w:t>
      </w:r>
      <w:r w:rsidRPr="008820DB">
        <w:t xml:space="preserve"> standards are not always self-evident to dutyholders and organisations might not be aware of up-to-date standards or relevant good practice across the industry. ONR benefits from knowledge across the industry and that perspective can be applied to our assessment work.</w:t>
      </w:r>
      <w:r>
        <w:t xml:space="preserve"> </w:t>
      </w:r>
      <w:r w:rsidRPr="008820DB">
        <w:t xml:space="preserve">Further, </w:t>
      </w:r>
      <w:r>
        <w:t xml:space="preserve">as </w:t>
      </w:r>
      <w:r w:rsidRPr="008820DB">
        <w:t xml:space="preserve">organisations can be subject to “groupthink” </w:t>
      </w:r>
      <w:r>
        <w:t>this</w:t>
      </w:r>
      <w:r w:rsidRPr="008820DB">
        <w:t xml:space="preserve"> can be challenged through independent assessment.</w:t>
      </w:r>
      <w:r w:rsidR="0010269D">
        <w:t xml:space="preserve"> </w:t>
      </w:r>
      <w:r w:rsidRPr="008820DB">
        <w:t xml:space="preserve"> </w:t>
      </w:r>
    </w:p>
    <w:p w14:paraId="12AA6FEC" w14:textId="016FD901" w:rsidR="00FB3592" w:rsidRPr="00CA025F" w:rsidRDefault="00FB3592" w:rsidP="00FB3592">
      <w:pPr>
        <w:pStyle w:val="F9-Paragraph"/>
        <w:rPr>
          <w:b/>
          <w:caps/>
        </w:rPr>
      </w:pPr>
      <w:r w:rsidRPr="00CA025F">
        <w:t xml:space="preserve">Although ONR inspectors are less affected than dutyholders by the pressures that arise these considerations still do have an effect, and we must guard against allowing them to degrade the quality of ONR’s assessments. Time pressures that dutyholders seek to impose on ONR can have a major impact if we allow them to, and although it is sometimes appropriate to allow such pressures to </w:t>
      </w:r>
      <w:r>
        <w:t>inform</w:t>
      </w:r>
      <w:r w:rsidRPr="00CA025F">
        <w:t xml:space="preserve"> the priority that is assigned, it is not appropriate to allow them to influence the scope or depth of assessment that is considered necessary. Equally, ONR is responsible under the regulators code</w:t>
      </w:r>
      <w:r w:rsidR="006B103D">
        <w:t xml:space="preserve"> </w:t>
      </w:r>
      <w:sdt>
        <w:sdtPr>
          <w:id w:val="-146056034"/>
          <w:citation/>
        </w:sdtPr>
        <w:sdtEndPr/>
        <w:sdtContent>
          <w:r w:rsidR="0086102E">
            <w:fldChar w:fldCharType="begin"/>
          </w:r>
          <w:r w:rsidR="0086102E">
            <w:instrText xml:space="preserve"> CITATION Dep1 \l 2057 </w:instrText>
          </w:r>
          <w:r w:rsidR="0086102E">
            <w:fldChar w:fldCharType="separate"/>
          </w:r>
          <w:r w:rsidR="00FF26DD">
            <w:rPr>
              <w:noProof/>
            </w:rPr>
            <w:t>[11]</w:t>
          </w:r>
          <w:r w:rsidR="0086102E">
            <w:fldChar w:fldCharType="end"/>
          </w:r>
        </w:sdtContent>
      </w:sdt>
      <w:r w:rsidRPr="00CA025F">
        <w:t xml:space="preserve"> to “carry out their activities in a way that supports those they regulate to comply and grow “. We should therefore undertake assessment in a timely manner.</w:t>
      </w:r>
    </w:p>
    <w:p w14:paraId="2F94614A" w14:textId="0F30BB70" w:rsidR="00FB3592" w:rsidRDefault="00FB3592" w:rsidP="00FB3592">
      <w:pPr>
        <w:pStyle w:val="F9-Paragraph"/>
        <w:rPr>
          <w:b/>
          <w:caps/>
        </w:rPr>
      </w:pPr>
      <w:r w:rsidRPr="008820DB">
        <w:t xml:space="preserve">ONR inspectors should always remain </w:t>
      </w:r>
      <w:r w:rsidR="0086102E" w:rsidRPr="008820DB">
        <w:t>objective,</w:t>
      </w:r>
      <w:r w:rsidRPr="008820DB">
        <w:t xml:space="preserve"> and a particular awareness </w:t>
      </w:r>
      <w:r>
        <w:t xml:space="preserve">of our objectivity </w:t>
      </w:r>
      <w:r w:rsidRPr="008820DB">
        <w:t>should be maintained</w:t>
      </w:r>
      <w:r>
        <w:t>.</w:t>
      </w:r>
      <w:r w:rsidRPr="008820DB">
        <w:t xml:space="preserve"> </w:t>
      </w:r>
      <w:r>
        <w:t>W</w:t>
      </w:r>
      <w:r w:rsidRPr="008820DB">
        <w:t xml:space="preserve">e should be forceful in questioning </w:t>
      </w:r>
      <w:r>
        <w:t xml:space="preserve">dutyholders’ positions </w:t>
      </w:r>
      <w:r w:rsidRPr="008820DB">
        <w:t xml:space="preserve">and </w:t>
      </w:r>
      <w:r>
        <w:t>requiring</w:t>
      </w:r>
      <w:r w:rsidRPr="008820DB">
        <w:t xml:space="preserve"> </w:t>
      </w:r>
      <w:r>
        <w:t>evidence</w:t>
      </w:r>
      <w:r w:rsidRPr="008820DB">
        <w:t xml:space="preserve"> </w:t>
      </w:r>
      <w:r>
        <w:t>to support their claims and arguments</w:t>
      </w:r>
      <w:r w:rsidRPr="008820DB">
        <w:t xml:space="preserve">. </w:t>
      </w:r>
      <w:r>
        <w:t>If ONR inspectors become aware of conflicts of interest or loss of objectivity for any reason, they should inform appropriate ONR management such that their suitability for carrying out the assessment can be considered.</w:t>
      </w:r>
    </w:p>
    <w:p w14:paraId="6A652255" w14:textId="3D4D5A4C" w:rsidR="00FB3592" w:rsidRPr="001A5C1E" w:rsidRDefault="0003659E" w:rsidP="00FB3592">
      <w:pPr>
        <w:pStyle w:val="Heading2"/>
      </w:pPr>
      <w:bookmarkStart w:id="20" w:name="_Toc121232764"/>
      <w:r>
        <w:t>A</w:t>
      </w:r>
      <w:r w:rsidR="00FB3592">
        <w:t xml:space="preserve">ssessment </w:t>
      </w:r>
      <w:r>
        <w:t>A</w:t>
      </w:r>
      <w:r w:rsidR="00FB3592">
        <w:t>pproach</w:t>
      </w:r>
      <w:bookmarkEnd w:id="20"/>
    </w:p>
    <w:p w14:paraId="44E2F789" w14:textId="77777777" w:rsidR="00FB3592" w:rsidRPr="00D213E4" w:rsidRDefault="00FB3592" w:rsidP="00FB3592">
      <w:pPr>
        <w:pStyle w:val="Heading3"/>
        <w:rPr>
          <w:caps/>
        </w:rPr>
      </w:pPr>
      <w:r>
        <w:t>Adequacy of Information Supplied by the Dutyholder</w:t>
      </w:r>
    </w:p>
    <w:p w14:paraId="523F28BF" w14:textId="417D3C30" w:rsidR="00FB3592" w:rsidRPr="00380452" w:rsidRDefault="0086102E" w:rsidP="00FB3592">
      <w:pPr>
        <w:pStyle w:val="F9-Paragraph"/>
        <w:rPr>
          <w:b/>
          <w:caps/>
        </w:rPr>
      </w:pPr>
      <w:r w:rsidRPr="00380452">
        <w:t>Usually,</w:t>
      </w:r>
      <w:r w:rsidR="00FB3592" w:rsidRPr="00380452">
        <w:t xml:space="preserve"> it would be expected that the information provided for assessment has been approved through the dutyholder's due process (</w:t>
      </w:r>
      <w:r w:rsidRPr="00380452">
        <w:t>e.g.,</w:t>
      </w:r>
      <w:r w:rsidR="00FB3592" w:rsidRPr="00380452">
        <w:t xml:space="preserve"> </w:t>
      </w:r>
      <w:r w:rsidR="00FB3592">
        <w:t>n</w:t>
      </w:r>
      <w:r w:rsidR="00FB3592" w:rsidRPr="00380452">
        <w:t xml:space="preserve">uclear </w:t>
      </w:r>
      <w:r w:rsidR="00FB3592">
        <w:t>s</w:t>
      </w:r>
      <w:r w:rsidR="00FB3592" w:rsidRPr="00380452">
        <w:t>afety</w:t>
      </w:r>
      <w:r w:rsidR="00FB3592">
        <w:t>/security</w:t>
      </w:r>
      <w:r w:rsidR="00FB3592" w:rsidRPr="00380452">
        <w:t xml:space="preserve"> </w:t>
      </w:r>
      <w:r w:rsidR="00FB3592">
        <w:t>c</w:t>
      </w:r>
      <w:r w:rsidR="00FB3592" w:rsidRPr="00380452">
        <w:t xml:space="preserve">ommittees, </w:t>
      </w:r>
      <w:r w:rsidR="00FB3592">
        <w:t>i</w:t>
      </w:r>
      <w:r w:rsidR="00FB3592" w:rsidRPr="00380452">
        <w:t xml:space="preserve">ndependent </w:t>
      </w:r>
      <w:r w:rsidR="00FB3592">
        <w:t>n</w:t>
      </w:r>
      <w:r w:rsidR="00FB3592" w:rsidRPr="00380452">
        <w:t xml:space="preserve">uclear </w:t>
      </w:r>
      <w:r w:rsidR="00FB3592">
        <w:t>s</w:t>
      </w:r>
      <w:r w:rsidR="00FB3592" w:rsidRPr="00380452">
        <w:t>afety</w:t>
      </w:r>
      <w:r w:rsidR="00FB3592">
        <w:t>/security</w:t>
      </w:r>
      <w:r w:rsidR="00FB3592" w:rsidRPr="00380452">
        <w:t xml:space="preserve"> </w:t>
      </w:r>
      <w:r w:rsidR="00FB3592">
        <w:t>a</w:t>
      </w:r>
      <w:r w:rsidR="00FB3592" w:rsidRPr="00380452">
        <w:t xml:space="preserve">ssessment, peer review) and thus appropriately scrutinised and accepted by the </w:t>
      </w:r>
      <w:r w:rsidR="00FB3592">
        <w:t>dutyholder</w:t>
      </w:r>
      <w:r w:rsidR="00FB3592" w:rsidRPr="00380452">
        <w:t xml:space="preserve">. In some cases, where timely assessment is required, the ONR assessment may proceed alongside the dutyholder's own due processes for final approval of the </w:t>
      </w:r>
      <w:r w:rsidR="00FB3592">
        <w:t>submission</w:t>
      </w:r>
      <w:r w:rsidR="00FB3592" w:rsidRPr="00380452">
        <w:t xml:space="preserve">. However, the final ONR assessment must be based on the dutyholder's approved submission. </w:t>
      </w:r>
    </w:p>
    <w:p w14:paraId="5C0B0964" w14:textId="7C7ADF11" w:rsidR="00FB3592" w:rsidRDefault="00FB3592" w:rsidP="00FB3592">
      <w:pPr>
        <w:pStyle w:val="F9-Paragraph"/>
        <w:rPr>
          <w:b/>
          <w:caps/>
        </w:rPr>
      </w:pPr>
      <w:r w:rsidRPr="00C6689E">
        <w:t>Normally a great deal of information is potentially available, both within a submission and from its references</w:t>
      </w:r>
      <w:r>
        <w:t xml:space="preserve">. A </w:t>
      </w:r>
      <w:r w:rsidRPr="00380452">
        <w:t>useful means of accelerating an inspector</w:t>
      </w:r>
      <w:r>
        <w:t>’</w:t>
      </w:r>
      <w:r w:rsidRPr="00380452">
        <w:t xml:space="preserve">s understanding of the submission is </w:t>
      </w:r>
      <w:r>
        <w:t>through the dutyholder presenting its case to the inspector (</w:t>
      </w:r>
      <w:r w:rsidR="0086102E">
        <w:t>e.g.,</w:t>
      </w:r>
      <w:r>
        <w:t xml:space="preserve"> at a meeting)</w:t>
      </w:r>
      <w:r w:rsidRPr="00C6689E">
        <w:t xml:space="preserve">. </w:t>
      </w:r>
    </w:p>
    <w:p w14:paraId="2E7431A6" w14:textId="77777777" w:rsidR="00FB3592" w:rsidRPr="00C6689E" w:rsidRDefault="00FB3592" w:rsidP="00FB3592">
      <w:pPr>
        <w:pStyle w:val="F9-Paragraph"/>
        <w:rPr>
          <w:b/>
          <w:caps/>
        </w:rPr>
      </w:pPr>
      <w:r w:rsidRPr="00C6689E">
        <w:lastRenderedPageBreak/>
        <w:t>The inspector carrying out the assessment needs to consider the presentation</w:t>
      </w:r>
      <w:r>
        <w:t xml:space="preserve"> of this information and</w:t>
      </w:r>
      <w:r w:rsidRPr="00C6689E">
        <w:t xml:space="preserve"> the quality of the submission</w:t>
      </w:r>
      <w:r>
        <w:t xml:space="preserve"> prior to commencing assessment</w:t>
      </w:r>
      <w:r w:rsidRPr="00C6689E">
        <w:t xml:space="preserve">. Factors to consider include: </w:t>
      </w:r>
    </w:p>
    <w:p w14:paraId="3AA16B7F" w14:textId="77777777" w:rsidR="00FB3592" w:rsidRPr="0063458F" w:rsidRDefault="00FB3592" w:rsidP="00FB3592">
      <w:pPr>
        <w:pStyle w:val="Bulletlist1"/>
        <w:rPr>
          <w:b/>
          <w:caps/>
        </w:rPr>
      </w:pPr>
      <w:r w:rsidRPr="0063458F">
        <w:t xml:space="preserve">Is it comprehensive, coherent, accurate and consistent? </w:t>
      </w:r>
    </w:p>
    <w:p w14:paraId="5DA5B7D5" w14:textId="77777777" w:rsidR="00FB3592" w:rsidRPr="0063458F" w:rsidRDefault="00FB3592" w:rsidP="00FB3592">
      <w:pPr>
        <w:pStyle w:val="Bulletlist1"/>
        <w:rPr>
          <w:b/>
          <w:caps/>
        </w:rPr>
      </w:pPr>
      <w:r w:rsidRPr="0063458F">
        <w:t>If not</w:t>
      </w:r>
      <w:r>
        <w:t>,</w:t>
      </w:r>
      <w:r w:rsidRPr="0063458F">
        <w:t xml:space="preserve"> is the missing information or assumed prior knowledge already to hand?</w:t>
      </w:r>
    </w:p>
    <w:p w14:paraId="398A5845" w14:textId="10CC8305" w:rsidR="00FB3592" w:rsidRPr="00C772B4" w:rsidRDefault="00FB3592" w:rsidP="00FB3592">
      <w:pPr>
        <w:pStyle w:val="Bulletlist1"/>
        <w:rPr>
          <w:b/>
          <w:caps/>
        </w:rPr>
      </w:pPr>
      <w:r w:rsidRPr="0063458F">
        <w:t>Is it adequately structured?</w:t>
      </w:r>
      <w:r w:rsidR="0010269D">
        <w:t xml:space="preserve"> </w:t>
      </w:r>
    </w:p>
    <w:p w14:paraId="0B692C81" w14:textId="77777777" w:rsidR="00FB3592" w:rsidRPr="00387592" w:rsidRDefault="00FB3592" w:rsidP="00FB3592">
      <w:pPr>
        <w:pStyle w:val="Bulletlist1"/>
        <w:rPr>
          <w:b/>
          <w:caps/>
        </w:rPr>
      </w:pPr>
      <w:r>
        <w:t xml:space="preserve">If a staged submission, does the information supplied match the scope of the staged submission? </w:t>
      </w:r>
    </w:p>
    <w:p w14:paraId="5CDD17BE" w14:textId="77777777" w:rsidR="00FB3592" w:rsidRPr="00C772B4" w:rsidRDefault="00FB3592" w:rsidP="00FB3592">
      <w:pPr>
        <w:pStyle w:val="Bulletlist1"/>
        <w:rPr>
          <w:b/>
          <w:caps/>
        </w:rPr>
      </w:pPr>
      <w:r w:rsidRPr="00C772B4">
        <w:t xml:space="preserve">Is the </w:t>
      </w:r>
      <w:r>
        <w:t>level of detail sufficient</w:t>
      </w:r>
      <w:r w:rsidRPr="00C772B4">
        <w:t>?</w:t>
      </w:r>
    </w:p>
    <w:p w14:paraId="28E4CDC9" w14:textId="215F7A4C" w:rsidR="00FB3592" w:rsidRDefault="00FB3592" w:rsidP="00FB3592">
      <w:pPr>
        <w:pStyle w:val="F9-Paragraph"/>
        <w:rPr>
          <w:b/>
          <w:caps/>
        </w:rPr>
      </w:pPr>
      <w:r w:rsidRPr="0063458F">
        <w:t>It is the dutyholder</w:t>
      </w:r>
      <w:r>
        <w:t>’</w:t>
      </w:r>
      <w:r w:rsidRPr="0063458F">
        <w:t>s responsibility to demonstrate the safety of the plant</w:t>
      </w:r>
      <w:r>
        <w:t>, the delivery of the appropriate security outcomes,</w:t>
      </w:r>
      <w:r w:rsidRPr="0063458F">
        <w:t xml:space="preserve"> or compliance with relevant legislation, and a poorly presented or structured submission prevents that responsibility being fulfilled. The dutyholder should have reached a properly objective and valid conclusion</w:t>
      </w:r>
      <w:r>
        <w:t xml:space="preserve"> and</w:t>
      </w:r>
      <w:r w:rsidRPr="0063458F">
        <w:t xml:space="preserve"> this position should be demonstrable via the documentary evidence. An inspector should not be unduly reticent in rejecting a dutyholder</w:t>
      </w:r>
      <w:r>
        <w:t>’</w:t>
      </w:r>
      <w:r w:rsidRPr="0063458F">
        <w:t xml:space="preserve">s submission if it has failed to demonstrate these objectives. </w:t>
      </w:r>
      <w:r w:rsidR="0010269D">
        <w:br/>
      </w:r>
      <w:r w:rsidRPr="0063458F">
        <w:t xml:space="preserve">The specific shortfalls to </w:t>
      </w:r>
      <w:r w:rsidRPr="00181358">
        <w:t>support the rejection should be indicated by the inspector to the dutyholder. However, inspectors should be aware that the submissions are not written for the regulator but for the dutyholder</w:t>
      </w:r>
      <w:r>
        <w:t>’</w:t>
      </w:r>
      <w:r w:rsidRPr="00181358">
        <w:t>s organisation</w:t>
      </w:r>
      <w:r>
        <w:t>. Prior to any rejection consideration should be given to</w:t>
      </w:r>
      <w:r w:rsidRPr="00181358">
        <w:t xml:space="preserve"> the target audience and whether the submission meet</w:t>
      </w:r>
      <w:r>
        <w:t>s</w:t>
      </w:r>
      <w:r w:rsidRPr="00181358">
        <w:t xml:space="preserve"> its intended purpose in th</w:t>
      </w:r>
      <w:r>
        <w:t>at</w:t>
      </w:r>
      <w:r w:rsidRPr="00181358">
        <w:t xml:space="preserve"> context</w:t>
      </w:r>
      <w:r w:rsidRPr="0063458F">
        <w:t>.</w:t>
      </w:r>
    </w:p>
    <w:p w14:paraId="6CB751DD" w14:textId="20DF21A8" w:rsidR="00FB3592" w:rsidRDefault="00FB3592" w:rsidP="00FB3592">
      <w:pPr>
        <w:pStyle w:val="F9-Paragraph"/>
        <w:rPr>
          <w:b/>
          <w:caps/>
        </w:rPr>
      </w:pPr>
      <w:r w:rsidRPr="0063458F">
        <w:t>Submission</w:t>
      </w:r>
      <w:r>
        <w:t>s</w:t>
      </w:r>
      <w:r w:rsidRPr="0063458F">
        <w:t xml:space="preserve"> </w:t>
      </w:r>
      <w:r>
        <w:t>should consist of</w:t>
      </w:r>
      <w:r w:rsidRPr="0063458F">
        <w:t xml:space="preserve"> three elements: claims, </w:t>
      </w:r>
      <w:proofErr w:type="gramStart"/>
      <w:r w:rsidRPr="0063458F">
        <w:t>argument</w:t>
      </w:r>
      <w:proofErr w:type="gramEnd"/>
      <w:r w:rsidRPr="0063458F">
        <w:t xml:space="preserve"> and evidence. </w:t>
      </w:r>
      <w:r w:rsidR="0010269D">
        <w:br/>
      </w:r>
      <w:r w:rsidRPr="0063458F">
        <w:t xml:space="preserve">The </w:t>
      </w:r>
      <w:r>
        <w:t>claims represent the dutyholder’</w:t>
      </w:r>
      <w:r w:rsidRPr="0063458F">
        <w:t xml:space="preserve">s perception of the objectives to be met, and may be explicitly stated or implicit, in which case they should be self-evident. </w:t>
      </w:r>
      <w:r w:rsidR="0010269D">
        <w:br/>
      </w:r>
      <w:r w:rsidRPr="0063458F">
        <w:t xml:space="preserve">The evidence is the raw information or data that underpins the ability to show that the requirements are met. The evidence should either </w:t>
      </w:r>
      <w:r>
        <w:t xml:space="preserve">be </w:t>
      </w:r>
      <w:r w:rsidRPr="0063458F">
        <w:t xml:space="preserve">stated in the submission itself or referenced from it. The arguments </w:t>
      </w:r>
      <w:r>
        <w:t>are</w:t>
      </w:r>
      <w:r w:rsidRPr="0063458F">
        <w:t xml:space="preserve"> what link the evidence to the claims, </w:t>
      </w:r>
      <w:r>
        <w:t>they do</w:t>
      </w:r>
      <w:r w:rsidRPr="0063458F">
        <w:t xml:space="preserve"> the 'showing' </w:t>
      </w:r>
      <w:r>
        <w:t>that</w:t>
      </w:r>
      <w:r w:rsidRPr="0063458F">
        <w:t xml:space="preserve"> the claims are met - </w:t>
      </w:r>
      <w:r>
        <w:t>they</w:t>
      </w:r>
      <w:r w:rsidRPr="0063458F">
        <w:t xml:space="preserve"> 'tell the story'. Caution should be applied when documentation consists either of vast amounts of </w:t>
      </w:r>
      <w:r>
        <w:t>evidence</w:t>
      </w:r>
      <w:r w:rsidRPr="0063458F">
        <w:t xml:space="preserve"> with very little in the way of argument, or very extensive argument</w:t>
      </w:r>
      <w:r>
        <w:t>s</w:t>
      </w:r>
      <w:r w:rsidRPr="0063458F">
        <w:t xml:space="preserve"> with little </w:t>
      </w:r>
      <w:r>
        <w:t>evidence</w:t>
      </w:r>
      <w:r w:rsidRPr="0063458F">
        <w:t xml:space="preserve">. Further guidance on </w:t>
      </w:r>
      <w:r>
        <w:t>expectations for the purpose, scope and content of safety cases</w:t>
      </w:r>
      <w:r w:rsidRPr="0063458F">
        <w:t xml:space="preserve"> can be found in </w:t>
      </w:r>
      <w:r>
        <w:t xml:space="preserve">the </w:t>
      </w:r>
      <w:r w:rsidRPr="0063458F">
        <w:t xml:space="preserve">ONR </w:t>
      </w:r>
      <w:r>
        <w:t>S</w:t>
      </w:r>
      <w:r w:rsidRPr="0063458F">
        <w:t xml:space="preserve">afety </w:t>
      </w:r>
      <w:r>
        <w:t>C</w:t>
      </w:r>
      <w:r w:rsidRPr="0063458F">
        <w:t xml:space="preserve">ase TAG </w:t>
      </w:r>
      <w:sdt>
        <w:sdtPr>
          <w:id w:val="-1203860444"/>
          <w:citation/>
        </w:sdtPr>
        <w:sdtEndPr/>
        <w:sdtContent>
          <w:r w:rsidR="0010269D">
            <w:fldChar w:fldCharType="begin"/>
          </w:r>
          <w:r w:rsidR="0010269D">
            <w:instrText xml:space="preserve"> CITATION ONR39 \l 2057 </w:instrText>
          </w:r>
          <w:r w:rsidR="0010269D">
            <w:fldChar w:fldCharType="separate"/>
          </w:r>
          <w:r w:rsidR="00FF26DD">
            <w:rPr>
              <w:noProof/>
            </w:rPr>
            <w:t>[12]</w:t>
          </w:r>
          <w:r w:rsidR="0010269D">
            <w:fldChar w:fldCharType="end"/>
          </w:r>
        </w:sdtContent>
      </w:sdt>
      <w:r w:rsidRPr="00BA595D">
        <w:t xml:space="preserve"> and </w:t>
      </w:r>
      <w:r>
        <w:t xml:space="preserve">the </w:t>
      </w:r>
      <w:r w:rsidRPr="00BA595D">
        <w:t xml:space="preserve">Safety Directors Forum good practice guide on right </w:t>
      </w:r>
      <w:proofErr w:type="gramStart"/>
      <w:r w:rsidRPr="00BA595D">
        <w:t>first time</w:t>
      </w:r>
      <w:proofErr w:type="gramEnd"/>
      <w:r w:rsidRPr="00BA595D">
        <w:t xml:space="preserve"> safety case</w:t>
      </w:r>
      <w:r>
        <w:t>s</w:t>
      </w:r>
      <w:r w:rsidRPr="00BA595D">
        <w:t xml:space="preserve"> </w:t>
      </w:r>
      <w:sdt>
        <w:sdtPr>
          <w:id w:val="1495607842"/>
          <w:citation/>
        </w:sdtPr>
        <w:sdtEndPr/>
        <w:sdtContent>
          <w:r w:rsidR="0010269D">
            <w:fldChar w:fldCharType="begin"/>
          </w:r>
          <w:r w:rsidR="00705568">
            <w:instrText xml:space="preserve">CITATION Saf \l 2057 </w:instrText>
          </w:r>
          <w:r w:rsidR="0010269D">
            <w:fldChar w:fldCharType="separate"/>
          </w:r>
          <w:r w:rsidR="00705568">
            <w:rPr>
              <w:noProof/>
            </w:rPr>
            <w:t>[13]</w:t>
          </w:r>
          <w:r w:rsidR="0010269D">
            <w:fldChar w:fldCharType="end"/>
          </w:r>
        </w:sdtContent>
      </w:sdt>
      <w:r w:rsidRPr="00BA595D">
        <w:t>.</w:t>
      </w:r>
      <w:r>
        <w:t xml:space="preserve"> In the case of security plans, where industry has not developed good practice guidance, the dutyholder should be invited to demonstrate how the evidence underpins the claim.</w:t>
      </w:r>
    </w:p>
    <w:p w14:paraId="4FCC6DD1" w14:textId="77777777" w:rsidR="00FB3592" w:rsidRPr="003E00F9" w:rsidRDefault="00FB3592" w:rsidP="00FB3592">
      <w:pPr>
        <w:pStyle w:val="Heading3"/>
        <w:rPr>
          <w:caps/>
        </w:rPr>
      </w:pPr>
      <w:r w:rsidRPr="003E00F9">
        <w:t>Sampling</w:t>
      </w:r>
    </w:p>
    <w:p w14:paraId="709DBF5E" w14:textId="08A7BB15" w:rsidR="00FB3592" w:rsidRDefault="00FB3592" w:rsidP="00FB3592">
      <w:pPr>
        <w:pStyle w:val="F9-Paragraph"/>
        <w:rPr>
          <w:b/>
          <w:caps/>
        </w:rPr>
      </w:pPr>
      <w:r w:rsidRPr="008820DB">
        <w:t xml:space="preserve">It is seldom possible or necessary to assess a submission in its entirety. </w:t>
      </w:r>
      <w:r w:rsidR="0010269D">
        <w:br/>
      </w:r>
      <w:r w:rsidRPr="008820DB">
        <w:t xml:space="preserve">Sampling is used to limit the areas scrutinised, to limit the total effort to be applied, and to improve the overall efficiency of the assessment process. In general, the inspector should undertake a broad review of the </w:t>
      </w:r>
      <w:r w:rsidR="0010269D" w:rsidRPr="008820DB">
        <w:t>highest-level</w:t>
      </w:r>
      <w:r w:rsidRPr="008820DB">
        <w:t xml:space="preserve"> claims and arguments and then undertake </w:t>
      </w:r>
      <w:proofErr w:type="gramStart"/>
      <w:r w:rsidRPr="008820DB">
        <w:t>the majority of</w:t>
      </w:r>
      <w:proofErr w:type="gramEnd"/>
      <w:r w:rsidRPr="008820DB">
        <w:t xml:space="preserve"> sampling in areas of high significance, </w:t>
      </w:r>
      <w:r>
        <w:t xml:space="preserve">areas of novelty or high uncertainty </w:t>
      </w:r>
      <w:r w:rsidRPr="008820DB">
        <w:t xml:space="preserve">since weaknesses in these areas </w:t>
      </w:r>
      <w:r>
        <w:lastRenderedPageBreak/>
        <w:t>is</w:t>
      </w:r>
      <w:r w:rsidRPr="008820DB">
        <w:t xml:space="preserve"> potentially serious. Some samples may also be drawn from lower significance areas </w:t>
      </w:r>
      <w:r>
        <w:t xml:space="preserve">in line with the expectations of ONR’s enforcement policy statement (EPS) </w:t>
      </w:r>
      <w:r w:rsidR="0010269D">
        <w:t xml:space="preserve"> </w:t>
      </w:r>
      <w:sdt>
        <w:sdtPr>
          <w:id w:val="1403650464"/>
          <w:citation/>
        </w:sdtPr>
        <w:sdtEndPr/>
        <w:sdtContent>
          <w:r w:rsidR="0010269D">
            <w:fldChar w:fldCharType="begin"/>
          </w:r>
          <w:r w:rsidR="0010269D">
            <w:instrText xml:space="preserve"> CITATION ONR2111 \l 2057 </w:instrText>
          </w:r>
          <w:r w:rsidR="0010269D">
            <w:fldChar w:fldCharType="separate"/>
          </w:r>
          <w:r w:rsidR="00FF26DD">
            <w:rPr>
              <w:noProof/>
            </w:rPr>
            <w:t>[10]</w:t>
          </w:r>
          <w:r w:rsidR="0010269D">
            <w:fldChar w:fldCharType="end"/>
          </w:r>
        </w:sdtContent>
      </w:sdt>
      <w:r w:rsidRPr="008820DB">
        <w:t xml:space="preserve">. If sampling is done </w:t>
      </w:r>
      <w:r w:rsidR="0010269D" w:rsidRPr="008820DB">
        <w:t>carefully,</w:t>
      </w:r>
      <w:r w:rsidRPr="008820DB">
        <w:t xml:space="preserve"> it can be expected to test for weaknesses in the </w:t>
      </w:r>
      <w:proofErr w:type="gramStart"/>
      <w:r w:rsidRPr="008820DB">
        <w:t>submission as a whole</w:t>
      </w:r>
      <w:proofErr w:type="gramEnd"/>
      <w:r w:rsidRPr="008820DB">
        <w:t>.</w:t>
      </w:r>
      <w:r w:rsidR="0010269D">
        <w:t xml:space="preserve"> </w:t>
      </w:r>
      <w:r w:rsidRPr="00452265">
        <w:t xml:space="preserve">A powerful technique to apply is "deep thin slice" sampling, where deliberate scrutiny of </w:t>
      </w:r>
      <w:proofErr w:type="gramStart"/>
      <w:r w:rsidRPr="00452265">
        <w:t>a number of</w:t>
      </w:r>
      <w:proofErr w:type="gramEnd"/>
      <w:r w:rsidRPr="00452265">
        <w:t xml:space="preserve"> detailed matters across a narrow field is applied</w:t>
      </w:r>
      <w:r>
        <w:t xml:space="preserve">. </w:t>
      </w:r>
      <w:proofErr w:type="gramStart"/>
      <w:r w:rsidRPr="00452265">
        <w:t>In spite of</w:t>
      </w:r>
      <w:proofErr w:type="gramEnd"/>
      <w:r w:rsidRPr="00452265">
        <w:t xml:space="preserve"> the narrow view taken this technique is very good at revealing generic weaknesses.</w:t>
      </w:r>
      <w:r w:rsidR="0010269D">
        <w:t xml:space="preserve"> </w:t>
      </w:r>
    </w:p>
    <w:p w14:paraId="6EC36E2F" w14:textId="429FDE27" w:rsidR="00FB3592" w:rsidRDefault="00FB3592" w:rsidP="00FB3592">
      <w:pPr>
        <w:pStyle w:val="F9-Paragraph"/>
        <w:rPr>
          <w:b/>
          <w:caps/>
        </w:rPr>
      </w:pPr>
      <w:r w:rsidRPr="008820DB">
        <w:t xml:space="preserve">Judgement is necessary both in deciding whether to assess a particular submission at all - significance is the usual criterion here though there can be others - and in the time and hence degree of sampling that should be allocated if it is assessed. However, whatever </w:t>
      </w:r>
      <w:r>
        <w:t>submissions</w:t>
      </w:r>
      <w:r w:rsidRPr="008820DB">
        <w:t xml:space="preserve"> and samples are assessed, it is important always to apply sufficient rigour to arrive at defensible judgements, since they may well be challenged either at the time or at any time later. Shortage of time may restrict the range of cases or the areas that are </w:t>
      </w:r>
      <w:r w:rsidR="0010269D" w:rsidRPr="008820DB">
        <w:t>sampled but</w:t>
      </w:r>
      <w:r w:rsidRPr="008820DB">
        <w:t xml:space="preserve"> should </w:t>
      </w:r>
      <w:r>
        <w:t>not</w:t>
      </w:r>
      <w:r w:rsidRPr="008820DB">
        <w:t xml:space="preserve"> restrict the depth and rigour of assessment. </w:t>
      </w:r>
      <w:r>
        <w:t xml:space="preserve">As the assessment progresses inspectors need to be alert to avoid unnecessary mission creep but </w:t>
      </w:r>
      <w:r w:rsidR="0010269D">
        <w:t>equally,</w:t>
      </w:r>
      <w:r>
        <w:t xml:space="preserve"> they should be prepared to change their sample as further information becomes available.</w:t>
      </w:r>
      <w:r w:rsidR="0010269D">
        <w:t xml:space="preserve"> </w:t>
      </w:r>
    </w:p>
    <w:p w14:paraId="5A66F6C9" w14:textId="77777777" w:rsidR="00FB3592" w:rsidRPr="00181358" w:rsidRDefault="00FB3592" w:rsidP="00FB3592">
      <w:pPr>
        <w:pStyle w:val="Heading3"/>
        <w:rPr>
          <w:caps/>
        </w:rPr>
      </w:pPr>
      <w:r>
        <w:t>Undertaking Assessment</w:t>
      </w:r>
    </w:p>
    <w:p w14:paraId="3B1664A5" w14:textId="0A1A4820" w:rsidR="00FB3592" w:rsidRDefault="00FB3592" w:rsidP="00FB3592">
      <w:pPr>
        <w:pStyle w:val="F9-Paragraph"/>
        <w:rPr>
          <w:b/>
          <w:caps/>
        </w:rPr>
      </w:pPr>
      <w:r w:rsidRPr="001A5C1E">
        <w:t xml:space="preserve">Prior to commencing any </w:t>
      </w:r>
      <w:r w:rsidR="0010269D" w:rsidRPr="001A5C1E">
        <w:t>assessment,</w:t>
      </w:r>
      <w:r w:rsidRPr="001A5C1E">
        <w:t xml:space="preserve"> the assessor should</w:t>
      </w:r>
      <w:r>
        <w:t>:</w:t>
      </w:r>
    </w:p>
    <w:p w14:paraId="651FEFCC" w14:textId="77777777" w:rsidR="00FB3592" w:rsidRDefault="00FB3592" w:rsidP="00FB3592">
      <w:pPr>
        <w:pStyle w:val="Bulletlist1"/>
      </w:pPr>
      <w:r w:rsidRPr="001A5C1E">
        <w:t>understand the reason for their assessment</w:t>
      </w:r>
      <w:r>
        <w:t>;</w:t>
      </w:r>
    </w:p>
    <w:p w14:paraId="153F477E" w14:textId="77777777" w:rsidR="00FB3592" w:rsidRDefault="00FB3592" w:rsidP="00FB3592">
      <w:pPr>
        <w:pStyle w:val="Bulletlist1"/>
      </w:pPr>
      <w:r>
        <w:t xml:space="preserve">understand </w:t>
      </w:r>
      <w:r w:rsidRPr="001A5C1E">
        <w:t>the scope</w:t>
      </w:r>
      <w:r>
        <w:t xml:space="preserve"> of their </w:t>
      </w:r>
      <w:r w:rsidRPr="001A5C1E">
        <w:t xml:space="preserve">assessment (eg interfaces with other specialisms or the scope of </w:t>
      </w:r>
      <w:r>
        <w:t>assessment</w:t>
      </w:r>
      <w:r w:rsidRPr="001A5C1E">
        <w:t xml:space="preserve"> if there are a series of staged submissions);</w:t>
      </w:r>
      <w:r>
        <w:t xml:space="preserve"> and</w:t>
      </w:r>
    </w:p>
    <w:p w14:paraId="37A67335" w14:textId="77777777" w:rsidR="00FB3592" w:rsidRDefault="00FB3592" w:rsidP="00FB3592">
      <w:pPr>
        <w:pStyle w:val="Bulletlist1"/>
      </w:pPr>
      <w:r w:rsidRPr="008E1888">
        <w:t xml:space="preserve">consider if they are </w:t>
      </w:r>
      <w:r>
        <w:t>a suitably qualified and experienced person</w:t>
      </w:r>
      <w:r w:rsidRPr="008E1888">
        <w:t xml:space="preserve"> </w:t>
      </w:r>
      <w:r>
        <w:t>(</w:t>
      </w:r>
      <w:r w:rsidRPr="008E1888">
        <w:t>SQEP</w:t>
      </w:r>
      <w:r>
        <w:t>)</w:t>
      </w:r>
      <w:r w:rsidRPr="008E1888">
        <w:t xml:space="preserve"> to undertake the agreed scope or if other advice is required.</w:t>
      </w:r>
    </w:p>
    <w:p w14:paraId="079E8835" w14:textId="77777777" w:rsidR="00FB3592" w:rsidRPr="00B62249" w:rsidRDefault="00FB3592" w:rsidP="00FB3592">
      <w:pPr>
        <w:pStyle w:val="F9-Paragraph"/>
      </w:pPr>
      <w:r w:rsidRPr="717EF260">
        <w:t>The assessor should record their assessment plan in a unique WIReD assessment record.</w:t>
      </w:r>
    </w:p>
    <w:p w14:paraId="67DC0576" w14:textId="68F724B9" w:rsidR="00FB3592" w:rsidRPr="008D22A3" w:rsidRDefault="00FB3592" w:rsidP="00FB3592">
      <w:pPr>
        <w:pStyle w:val="F9-Paragraph"/>
        <w:rPr>
          <w:b/>
          <w:caps/>
        </w:rPr>
      </w:pPr>
      <w:r w:rsidRPr="008D22A3">
        <w:t>The reason for the assessment is often linked to ONR making a permissioning</w:t>
      </w:r>
      <w:r>
        <w:t xml:space="preserve"> </w:t>
      </w:r>
      <w:r w:rsidRPr="008D22A3">
        <w:t>decision</w:t>
      </w:r>
      <w:r>
        <w:t>. T</w:t>
      </w:r>
      <w:r w:rsidRPr="00EC562D">
        <w:t xml:space="preserve">he permissioning process enables </w:t>
      </w:r>
      <w:r>
        <w:t>ONR</w:t>
      </w:r>
      <w:r w:rsidRPr="00EC562D">
        <w:t xml:space="preserve"> to apply regulatory control to certain dutyholder undertakings, and to respond to dutyholders who require permission to commence, continue, </w:t>
      </w:r>
      <w:proofErr w:type="gramStart"/>
      <w:r w:rsidRPr="00EC562D">
        <w:t>modify</w:t>
      </w:r>
      <w:proofErr w:type="gramEnd"/>
      <w:r w:rsidRPr="00EC562D">
        <w:t xml:space="preserve"> or cease specified activities under relevant legislation.</w:t>
      </w:r>
      <w:r w:rsidR="0010269D">
        <w:t xml:space="preserve"> </w:t>
      </w:r>
      <w:r w:rsidRPr="008D22A3">
        <w:t xml:space="preserve">The permissioning </w:t>
      </w:r>
      <w:r w:rsidR="003C6FC8">
        <w:t>plan</w:t>
      </w:r>
      <w:r w:rsidR="003C6FC8" w:rsidRPr="008D22A3">
        <w:t xml:space="preserve"> </w:t>
      </w:r>
      <w:r w:rsidR="003C6FC8">
        <w:t>is</w:t>
      </w:r>
      <w:r w:rsidR="0010269D" w:rsidRPr="008D22A3">
        <w:t xml:space="preserve"> recorded</w:t>
      </w:r>
      <w:r w:rsidRPr="008D22A3">
        <w:t xml:space="preserve"> in </w:t>
      </w:r>
      <w:r>
        <w:t xml:space="preserve">a unique WIReD </w:t>
      </w:r>
      <w:proofErr w:type="gramStart"/>
      <w:r>
        <w:t xml:space="preserve">permissioning </w:t>
      </w:r>
      <w:r w:rsidR="0010269D">
        <w:t xml:space="preserve"> record</w:t>
      </w:r>
      <w:proofErr w:type="gramEnd"/>
      <w:r w:rsidR="0010269D">
        <w:t xml:space="preserve"> </w:t>
      </w:r>
      <w:r w:rsidR="0010269D" w:rsidRPr="008D22A3">
        <w:t>that</w:t>
      </w:r>
      <w:r w:rsidRPr="008D22A3">
        <w:t xml:space="preserve"> the project or site inspector responsible for the permissioning decision completes. This </w:t>
      </w:r>
      <w:r>
        <w:t>plan should identify the background/scope/type of a particular permission/approval being requested and aid any assessment being undertaken to support it.</w:t>
      </w:r>
      <w:r w:rsidR="0010269D">
        <w:t xml:space="preserve"> </w:t>
      </w:r>
      <w:r w:rsidRPr="008D22A3">
        <w:t xml:space="preserve"> </w:t>
      </w:r>
    </w:p>
    <w:p w14:paraId="7ECA6026" w14:textId="11DDDA7F" w:rsidR="00FB3592" w:rsidRDefault="00FB3592" w:rsidP="00FB3592">
      <w:pPr>
        <w:pStyle w:val="F9-Paragraph"/>
        <w:rPr>
          <w:b/>
          <w:caps/>
        </w:rPr>
      </w:pPr>
      <w:r w:rsidRPr="000960D4">
        <w:t>Following completion of assessment</w:t>
      </w:r>
      <w:r>
        <w:t>,</w:t>
      </w:r>
      <w:r w:rsidRPr="000960D4">
        <w:t xml:space="preserve"> the recommended permissioning decision is recorded and justified in accordance with the requirements of the ONR management system (</w:t>
      </w:r>
      <w:r w:rsidR="0010269D" w:rsidRPr="000960D4">
        <w:t>e.g.,</w:t>
      </w:r>
      <w:r w:rsidRPr="000960D4">
        <w:t xml:space="preserve"> through completion of a </w:t>
      </w:r>
      <w:r>
        <w:t>permissioning decision record</w:t>
      </w:r>
      <w:r w:rsidRPr="000960D4">
        <w:t xml:space="preserve"> or a project assessment report).</w:t>
      </w:r>
      <w:r w:rsidR="0010269D">
        <w:t xml:space="preserve"> </w:t>
      </w:r>
      <w:r w:rsidRPr="000960D4">
        <w:t>As such, the output from any assessment must link back to the original reason for the assessment (</w:t>
      </w:r>
      <w:r w:rsidR="0010269D" w:rsidRPr="000960D4">
        <w:t>e.g.,</w:t>
      </w:r>
      <w:r w:rsidRPr="000960D4">
        <w:t xml:space="preserve"> the requirement for a </w:t>
      </w:r>
      <w:r w:rsidRPr="000960D4">
        <w:lastRenderedPageBreak/>
        <w:t xml:space="preserve">permissioning decision). Further guidance on permissioning can be found in </w:t>
      </w:r>
      <w:r w:rsidR="0010269D">
        <w:t>ref</w:t>
      </w:r>
      <w:r w:rsidR="00ED54A3">
        <w:t xml:space="preserve">erence </w:t>
      </w:r>
      <w:sdt>
        <w:sdtPr>
          <w:id w:val="1327934393"/>
          <w:citation/>
        </w:sdtPr>
        <w:sdtEndPr/>
        <w:sdtContent>
          <w:r w:rsidR="0010269D">
            <w:fldChar w:fldCharType="begin"/>
          </w:r>
          <w:r w:rsidR="0010269D">
            <w:instrText xml:space="preserve"> CITATION ONR112 \l 2057 </w:instrText>
          </w:r>
          <w:r w:rsidR="0010269D">
            <w:fldChar w:fldCharType="separate"/>
          </w:r>
          <w:r w:rsidR="00FF26DD">
            <w:rPr>
              <w:noProof/>
            </w:rPr>
            <w:t>[8]</w:t>
          </w:r>
          <w:r w:rsidR="0010269D">
            <w:fldChar w:fldCharType="end"/>
          </w:r>
        </w:sdtContent>
      </w:sdt>
      <w:r w:rsidRPr="000960D4">
        <w:t>.</w:t>
      </w:r>
      <w:r w:rsidR="0010269D">
        <w:t xml:space="preserve"> </w:t>
      </w:r>
    </w:p>
    <w:p w14:paraId="34D77B4E" w14:textId="6874B83E" w:rsidR="00FB3592" w:rsidRPr="00DA5DE1" w:rsidRDefault="00FB3592" w:rsidP="00FB3592">
      <w:pPr>
        <w:pStyle w:val="F9-Paragraph"/>
        <w:rPr>
          <w:b/>
          <w:caps/>
        </w:rPr>
      </w:pPr>
      <w:r>
        <w:t xml:space="preserve">Inspectors should then commence assessment but </w:t>
      </w:r>
      <w:r w:rsidRPr="00DA5DE1">
        <w:t xml:space="preserve">avoid passive reading of the dutyholder’s submission. To provide independence and active assessment of the dutyholder’s submission the inspector should initially consider their expectations for the submission. Without reading (much of) the documentation it should be possible to identify </w:t>
      </w:r>
      <w:r>
        <w:t>r</w:t>
      </w:r>
      <w:r w:rsidRPr="00DA5DE1">
        <w:t xml:space="preserve">elevant </w:t>
      </w:r>
      <w:r>
        <w:t>g</w:t>
      </w:r>
      <w:r w:rsidRPr="00DA5DE1">
        <w:t xml:space="preserve">ood </w:t>
      </w:r>
      <w:r>
        <w:t>p</w:t>
      </w:r>
      <w:r w:rsidRPr="00DA5DE1">
        <w:t>ractic</w:t>
      </w:r>
      <w:r w:rsidRPr="000960D4">
        <w:t xml:space="preserve">e </w:t>
      </w:r>
      <w:r>
        <w:t xml:space="preserve">(RGP), regulatory requirements </w:t>
      </w:r>
      <w:r w:rsidRPr="000960D4">
        <w:t>and expectations for topics that should be considered and addressed by the submission.</w:t>
      </w:r>
      <w:r w:rsidR="0010269D">
        <w:t xml:space="preserve"> </w:t>
      </w:r>
    </w:p>
    <w:p w14:paraId="49A22F95" w14:textId="769519B5" w:rsidR="00FB3592" w:rsidRDefault="00FB3592" w:rsidP="00FB3592">
      <w:pPr>
        <w:pStyle w:val="F9-Paragraph"/>
        <w:rPr>
          <w:b/>
          <w:caps/>
        </w:rPr>
      </w:pPr>
      <w:r>
        <w:t>Once the inspector has a clear idea of expectations for the submission, t</w:t>
      </w:r>
      <w:r w:rsidRPr="008820DB">
        <w:t xml:space="preserve">he dutyholder's work can be </w:t>
      </w:r>
      <w:r>
        <w:t>sampled in more detail</w:t>
      </w:r>
      <w:r w:rsidRPr="008820DB">
        <w:t xml:space="preserve">, but in an active manner and to more purpose. </w:t>
      </w:r>
      <w:r>
        <w:t xml:space="preserve">As the submission is sampled in more detail and the inspector’s understanding of the submission increases the inspector should occasionally repeat the above process to ensure they are clear of their expectations of the submission and any RGP. It is good practice to record changes to the assessment plan in the WIReD unique record for the assessment. In this process </w:t>
      </w:r>
      <w:r w:rsidRPr="008820DB">
        <w:t xml:space="preserve">the implicit assumptions and boundaries in the </w:t>
      </w:r>
      <w:r>
        <w:t>dutyholder’s submission</w:t>
      </w:r>
      <w:r w:rsidRPr="008820DB">
        <w:t xml:space="preserve"> will be more likely to be revealed where they differ from the </w:t>
      </w:r>
      <w:r>
        <w:t>inspector</w:t>
      </w:r>
      <w:r w:rsidRPr="008820DB">
        <w:t>'s own thoughts. All such assumptions and boundaries revealed in this way should be tested objectively for validity, as should underlying explicit assumptions.</w:t>
      </w:r>
      <w:r>
        <w:t xml:space="preserve"> If a </w:t>
      </w:r>
      <w:r w:rsidRPr="00452265">
        <w:t>"deep thin slice" sampling</w:t>
      </w:r>
      <w:r>
        <w:t xml:space="preserve"> approach has been used, this may require examination of several levels of references to establish the underpinning technical or performance basis of a claim. T</w:t>
      </w:r>
      <w:r w:rsidRPr="00D7222F">
        <w:t xml:space="preserve">he references can exist in many formats and levels of authority which the assessor should consider the validity </w:t>
      </w:r>
      <w:r w:rsidR="0010269D" w:rsidRPr="00D7222F">
        <w:t>of</w:t>
      </w:r>
      <w:r w:rsidR="0010269D">
        <w:t xml:space="preserve"> if</w:t>
      </w:r>
      <w:r w:rsidRPr="00D7222F">
        <w:t xml:space="preserve"> key to the substantiation</w:t>
      </w:r>
      <w:r>
        <w:t>.</w:t>
      </w:r>
    </w:p>
    <w:p w14:paraId="6E085592" w14:textId="6A39D73E" w:rsidR="00FB3592" w:rsidRPr="00BC2EE6" w:rsidRDefault="00FB3592" w:rsidP="00FB3592">
      <w:pPr>
        <w:pStyle w:val="F9-Paragraph"/>
        <w:rPr>
          <w:b/>
          <w:caps/>
        </w:rPr>
      </w:pPr>
      <w:r w:rsidRPr="00BC2EE6">
        <w:t xml:space="preserve">It is important to recognise that the objective of this process is to have carried out an independent thought process to compare against the dutyholder’s submission. Independent assessment is therefore much more powerful, particularly in revealing omissions, which are of course often not mentioned at all and often represent the most serious of shortcomings. </w:t>
      </w:r>
      <w:r w:rsidR="0010269D" w:rsidRPr="00BC2EE6">
        <w:t>Thus,</w:t>
      </w:r>
      <w:r w:rsidRPr="00BC2EE6">
        <w:t xml:space="preserve"> deliberate attention to independence leads to greater efficiency in that effort is expended in direct relation to impact.</w:t>
      </w:r>
      <w:r w:rsidR="0010269D">
        <w:t xml:space="preserve"> </w:t>
      </w:r>
    </w:p>
    <w:p w14:paraId="50C7B833" w14:textId="77777777" w:rsidR="00FB3592" w:rsidRPr="008820DB" w:rsidRDefault="00FB3592" w:rsidP="00FB3592">
      <w:pPr>
        <w:pStyle w:val="Heading3"/>
        <w:rPr>
          <w:caps/>
        </w:rPr>
      </w:pPr>
      <w:r w:rsidRPr="008820DB">
        <w:t>Queries during the Assessment Process</w:t>
      </w:r>
    </w:p>
    <w:p w14:paraId="18F2679A" w14:textId="41B459EE" w:rsidR="00FB3592" w:rsidRPr="00C07DFB" w:rsidRDefault="00FB3592" w:rsidP="00FB3592">
      <w:pPr>
        <w:pStyle w:val="F9-Paragraph"/>
        <w:rPr>
          <w:b/>
          <w:caps/>
        </w:rPr>
      </w:pPr>
      <w:r w:rsidRPr="00C07DFB">
        <w:t xml:space="preserve">During the assessment </w:t>
      </w:r>
      <w:r>
        <w:t xml:space="preserve">process </w:t>
      </w:r>
      <w:r w:rsidRPr="00C07DFB">
        <w:t xml:space="preserve">queries will arise </w:t>
      </w:r>
      <w:r>
        <w:t>that</w:t>
      </w:r>
      <w:r w:rsidRPr="00C07DFB">
        <w:t xml:space="preserve"> will require clarification from the dutyholder. ONR inspectors should be aware of the process </w:t>
      </w:r>
      <w:r>
        <w:t>for</w:t>
      </w:r>
      <w:r w:rsidRPr="00C07DFB">
        <w:t xml:space="preserve"> raising queries </w:t>
      </w:r>
      <w:r>
        <w:t xml:space="preserve">on the relevant </w:t>
      </w:r>
      <w:r w:rsidRPr="00C07DFB">
        <w:t xml:space="preserve">project, </w:t>
      </w:r>
      <w:proofErr w:type="gramStart"/>
      <w:r w:rsidRPr="00C07DFB">
        <w:t>programme</w:t>
      </w:r>
      <w:proofErr w:type="gramEnd"/>
      <w:r w:rsidRPr="00C07DFB">
        <w:t xml:space="preserve"> or site. In some </w:t>
      </w:r>
      <w:r w:rsidR="0010269D" w:rsidRPr="00C07DFB">
        <w:t>instances,</w:t>
      </w:r>
      <w:r w:rsidRPr="00C07DFB">
        <w:t xml:space="preserve"> dutyholders may provide a verbal or written response to the query raised. In other </w:t>
      </w:r>
      <w:r w:rsidR="0010269D" w:rsidRPr="00C07DFB">
        <w:t>cases,</w:t>
      </w:r>
      <w:r w:rsidRPr="00C07DFB">
        <w:t xml:space="preserve"> the dutyholder may seek clarification on what the inspector requires to resolve the issue raised.</w:t>
      </w:r>
      <w:r w:rsidR="0010269D">
        <w:t xml:space="preserve"> </w:t>
      </w:r>
    </w:p>
    <w:p w14:paraId="267D4814" w14:textId="77777777" w:rsidR="00FB3592" w:rsidRDefault="00FB3592" w:rsidP="00FB3592">
      <w:pPr>
        <w:pStyle w:val="F9-Paragraph"/>
        <w:rPr>
          <w:b/>
          <w:caps/>
        </w:rPr>
      </w:pPr>
      <w:r w:rsidRPr="008820DB">
        <w:t xml:space="preserve">Inspectors should be cautious when supporting documentary evidence is not provided to support claims made. This situation usually occurs during discussions when the assurance is given verbally, and the </w:t>
      </w:r>
      <w:r>
        <w:t>inspector</w:t>
      </w:r>
      <w:r w:rsidRPr="008820DB">
        <w:t xml:space="preserve"> is expected to take the justifier's word for the matter in question. The inspector should</w:t>
      </w:r>
      <w:r>
        <w:t>, if key to the judgement,</w:t>
      </w:r>
      <w:r w:rsidRPr="008820DB">
        <w:t xml:space="preserve"> request that the supporting evidence be made available. </w:t>
      </w:r>
    </w:p>
    <w:p w14:paraId="2F42E588" w14:textId="77777777" w:rsidR="00FB3592" w:rsidRDefault="00FB3592" w:rsidP="00FB3592">
      <w:pPr>
        <w:pStyle w:val="F9-Paragraph"/>
        <w:rPr>
          <w:b/>
          <w:caps/>
        </w:rPr>
      </w:pPr>
      <w:r w:rsidRPr="008820DB">
        <w:t>If no supporting evidence is available, then the assurance may still be accepted providing one or more of the following points can be established:</w:t>
      </w:r>
      <w:r w:rsidRPr="001A5D69">
        <w:t xml:space="preserve"> </w:t>
      </w:r>
    </w:p>
    <w:p w14:paraId="346C6A13" w14:textId="0C945F70" w:rsidR="00FB3592" w:rsidRPr="00E85722" w:rsidRDefault="00FB3592" w:rsidP="00FB3592">
      <w:pPr>
        <w:pStyle w:val="Bulletlist1"/>
      </w:pPr>
      <w:r>
        <w:lastRenderedPageBreak/>
        <w:t xml:space="preserve">the matter is not one that is central to the overall validity of the submission. </w:t>
      </w:r>
      <w:r w:rsidR="0010269D">
        <w:br/>
      </w:r>
      <w:r>
        <w:t>In other words the case would stand without the assurance, but it provides an additional element of comfort or an increased margin;</w:t>
      </w:r>
    </w:p>
    <w:p w14:paraId="3E2E224F" w14:textId="77777777" w:rsidR="00FB3592" w:rsidRPr="00E85722" w:rsidRDefault="00FB3592" w:rsidP="00FB3592">
      <w:pPr>
        <w:pStyle w:val="Bulletlist1"/>
      </w:pPr>
      <w:r>
        <w:t>assurance is straightforward with little or no possibility of misunderstanding between the inspector and the justifier;</w:t>
      </w:r>
    </w:p>
    <w:p w14:paraId="0AE70E83" w14:textId="77777777" w:rsidR="00FB3592" w:rsidRPr="00E85722" w:rsidRDefault="00FB3592" w:rsidP="00FB3592">
      <w:pPr>
        <w:pStyle w:val="Bulletlist1"/>
      </w:pPr>
      <w:r>
        <w:t>the assurance is indeed factual and not in any way dependent on the opinion of the justifier;</w:t>
      </w:r>
    </w:p>
    <w:p w14:paraId="5D247AF3" w14:textId="77777777" w:rsidR="00FB3592" w:rsidRDefault="00FB3592" w:rsidP="00FB3592">
      <w:pPr>
        <w:pStyle w:val="Bulletlist1"/>
      </w:pPr>
      <w:r>
        <w:t>the justifier is personally competent, appropriately informed and empowered to make the assertion - it is not something reiterated from someone else:</w:t>
      </w:r>
    </w:p>
    <w:p w14:paraId="5B8DA16E" w14:textId="77777777" w:rsidR="00FB3592" w:rsidRPr="00E85722" w:rsidRDefault="00FB3592" w:rsidP="00FB3592">
      <w:pPr>
        <w:pStyle w:val="Bulletlist1"/>
      </w:pPr>
      <w:r>
        <w:t>Previous interventions have established that something is in fact the case.</w:t>
      </w:r>
    </w:p>
    <w:p w14:paraId="6376DB0A" w14:textId="18199B9E" w:rsidR="00FB3592" w:rsidRDefault="00FB3592" w:rsidP="00FB3592">
      <w:pPr>
        <w:pStyle w:val="F9-Paragraph"/>
        <w:rPr>
          <w:b/>
          <w:caps/>
        </w:rPr>
      </w:pPr>
      <w:r w:rsidRPr="001A5D69">
        <w:t xml:space="preserve">When satisfied, the </w:t>
      </w:r>
      <w:r>
        <w:t>inspector</w:t>
      </w:r>
      <w:r w:rsidRPr="001A5D69">
        <w:t xml:space="preserve"> should document the acceptance of the assurance in a formal manner, request that the assurance be recorded in the minutes of the </w:t>
      </w:r>
      <w:r w:rsidR="0010269D" w:rsidRPr="001A5D69">
        <w:t>meeting</w:t>
      </w:r>
      <w:r w:rsidR="0010269D">
        <w:t xml:space="preserve"> or</w:t>
      </w:r>
      <w:r>
        <w:t xml:space="preserve"> request the assurance via a written method (letter, email etc)</w:t>
      </w:r>
      <w:r w:rsidRPr="001A5D69">
        <w:t xml:space="preserve"> with any necessary supporting information that is available. It is important that the record should name the individual making the assurance, not only to demonstrate a traceable reference in this respect but also to maintain the individual's awareness of formal responsibility as spokesperson for </w:t>
      </w:r>
      <w:r>
        <w:t xml:space="preserve">the </w:t>
      </w:r>
      <w:r w:rsidRPr="001A5D69">
        <w:t xml:space="preserve">dutyholder. </w:t>
      </w:r>
      <w:r>
        <w:t>Such evidence should be uploaded to the WIReD assessment record.</w:t>
      </w:r>
    </w:p>
    <w:p w14:paraId="61BE05EB" w14:textId="77777777" w:rsidR="00FB3592" w:rsidRDefault="00FB3592" w:rsidP="00FB3592">
      <w:pPr>
        <w:pStyle w:val="F9-Paragraph"/>
        <w:rPr>
          <w:b/>
          <w:caps/>
        </w:rPr>
      </w:pPr>
      <w:r w:rsidRPr="001A5D69">
        <w:t xml:space="preserve">If the matter is one that is central to the submission, then it should be made clear that further evidence must be supplied, even, if necessary, by repeating and recording the process that led to the original assertion. </w:t>
      </w:r>
    </w:p>
    <w:p w14:paraId="51F5E8CE" w14:textId="6D64E597" w:rsidR="00FB3592" w:rsidRDefault="00FB3592" w:rsidP="00FB3592">
      <w:pPr>
        <w:pStyle w:val="F9-Paragraph"/>
        <w:rPr>
          <w:b/>
          <w:caps/>
        </w:rPr>
      </w:pPr>
      <w:r w:rsidRPr="001A5D69">
        <w:t>A situation</w:t>
      </w:r>
      <w:r>
        <w:t xml:space="preserve"> that</w:t>
      </w:r>
      <w:r w:rsidRPr="001A5D69">
        <w:t xml:space="preserve"> </w:t>
      </w:r>
      <w:r>
        <w:t>can</w:t>
      </w:r>
      <w:r w:rsidRPr="001A5D69">
        <w:t xml:space="preserve"> occur after a legitimate </w:t>
      </w:r>
      <w:r>
        <w:t>concern</w:t>
      </w:r>
      <w:r w:rsidRPr="001A5D69">
        <w:t xml:space="preserve"> has been raised by an </w:t>
      </w:r>
      <w:r>
        <w:t>inspector</w:t>
      </w:r>
      <w:r w:rsidRPr="001A5D69">
        <w:t xml:space="preserve"> and has been accepted, is that a dutyholder will ask for assistance with respect to what needs to be done to satisfy the </w:t>
      </w:r>
      <w:r>
        <w:t>inspector</w:t>
      </w:r>
      <w:r w:rsidRPr="001A5D69">
        <w:t xml:space="preserve">'s concern. </w:t>
      </w:r>
      <w:r>
        <w:t xml:space="preserve">Inspectors should adopt a constructive approach with dutyholders, in line with ONR’s enabling regulation approach </w:t>
      </w:r>
      <w:sdt>
        <w:sdtPr>
          <w:id w:val="-535511405"/>
          <w:citation/>
        </w:sdtPr>
        <w:sdtEndPr/>
        <w:sdtContent>
          <w:r w:rsidR="0010269D">
            <w:fldChar w:fldCharType="begin"/>
          </w:r>
          <w:r w:rsidR="0010269D">
            <w:instrText xml:space="preserve"> CITATION ONR1811 \l 2057 </w:instrText>
          </w:r>
          <w:r w:rsidR="0010269D">
            <w:fldChar w:fldCharType="separate"/>
          </w:r>
          <w:r w:rsidR="00FF26DD">
            <w:rPr>
              <w:noProof/>
            </w:rPr>
            <w:t>[14]</w:t>
          </w:r>
          <w:r w:rsidR="0010269D">
            <w:fldChar w:fldCharType="end"/>
          </w:r>
        </w:sdtContent>
      </w:sdt>
      <w:r>
        <w:t>. However, w</w:t>
      </w:r>
      <w:r w:rsidRPr="00D268A5">
        <w:t xml:space="preserve">hen providing guidance inspectors should be mindful of the duty to provide advice whilst ensuring that this is not </w:t>
      </w:r>
      <w:r w:rsidR="0010269D" w:rsidRPr="00D268A5">
        <w:t>prescriptive,</w:t>
      </w:r>
      <w:r w:rsidRPr="00D268A5">
        <w:t xml:space="preserve"> and that </w:t>
      </w:r>
      <w:r>
        <w:t>any</w:t>
      </w:r>
      <w:r w:rsidRPr="00D268A5">
        <w:t xml:space="preserve"> solution is ‘owned’ by </w:t>
      </w:r>
      <w:r>
        <w:t>the dutyholder.</w:t>
      </w:r>
    </w:p>
    <w:p w14:paraId="61F0F7E8" w14:textId="77777777" w:rsidR="00FB3592" w:rsidRDefault="00FB3592" w:rsidP="00FB3592">
      <w:pPr>
        <w:pStyle w:val="F9-Paragraph"/>
        <w:rPr>
          <w:b/>
          <w:caps/>
        </w:rPr>
      </w:pPr>
      <w:r>
        <w:t>Any guidance should be:</w:t>
      </w:r>
    </w:p>
    <w:p w14:paraId="74636DA6" w14:textId="77777777" w:rsidR="00FB3592" w:rsidRDefault="00FB3592" w:rsidP="00FB3592">
      <w:pPr>
        <w:pStyle w:val="Bulletlist1"/>
      </w:pPr>
      <w:r>
        <w:t>Clear on legal duties and what is (and is not) required for compliance.</w:t>
      </w:r>
    </w:p>
    <w:p w14:paraId="25726880" w14:textId="77777777" w:rsidR="00FB3592" w:rsidRDefault="00FB3592" w:rsidP="00FB3592">
      <w:pPr>
        <w:pStyle w:val="Bulletlist1"/>
      </w:pPr>
      <w:r>
        <w:t xml:space="preserve">Constructive, committed, open. </w:t>
      </w:r>
    </w:p>
    <w:p w14:paraId="311FBF42" w14:textId="77777777" w:rsidR="00FB3592" w:rsidRDefault="00FB3592" w:rsidP="00FB3592">
      <w:pPr>
        <w:pStyle w:val="Bulletlist1"/>
      </w:pPr>
      <w:r>
        <w:t xml:space="preserve">Encouraging development of fit for purpose solutions which meet legal obligations and represent RGP. </w:t>
      </w:r>
    </w:p>
    <w:p w14:paraId="29F908C4" w14:textId="77777777" w:rsidR="00FB3592" w:rsidRDefault="00FB3592" w:rsidP="00FB3592">
      <w:pPr>
        <w:pStyle w:val="Heading3"/>
        <w:rPr>
          <w:caps/>
        </w:rPr>
      </w:pPr>
      <w:r>
        <w:t xml:space="preserve">Areas of </w:t>
      </w:r>
      <w:r w:rsidRPr="0063458F">
        <w:t xml:space="preserve">Regulatory </w:t>
      </w:r>
      <w:r>
        <w:t>Concern</w:t>
      </w:r>
    </w:p>
    <w:p w14:paraId="51D20D1C" w14:textId="6BADEE4B" w:rsidR="00FB3592" w:rsidRPr="00063C21" w:rsidRDefault="00FB3592" w:rsidP="00FB3592">
      <w:pPr>
        <w:pStyle w:val="F9-Paragraph"/>
        <w:rPr>
          <w:b/>
          <w:caps/>
        </w:rPr>
      </w:pPr>
      <w:r w:rsidRPr="00063C21">
        <w:t xml:space="preserve">Where areas of regulatory concern are identified these should be discussed with the project or site inspector responsible for the permissioning decision as early in the assessment process as possible. </w:t>
      </w:r>
      <w:r>
        <w:t xml:space="preserve">Considerable interaction with the dutyholder may be required to </w:t>
      </w:r>
      <w:r w:rsidRPr="00063C21">
        <w:t xml:space="preserve">pursue </w:t>
      </w:r>
      <w:r>
        <w:t xml:space="preserve">and influence the </w:t>
      </w:r>
      <w:r w:rsidRPr="00063C21">
        <w:t xml:space="preserve">improvements </w:t>
      </w:r>
      <w:r>
        <w:t xml:space="preserve">required </w:t>
      </w:r>
      <w:r w:rsidRPr="00063C21">
        <w:t xml:space="preserve">to address the </w:t>
      </w:r>
      <w:r w:rsidRPr="00063C21">
        <w:lastRenderedPageBreak/>
        <w:t>shortfall</w:t>
      </w:r>
      <w:r>
        <w:t>s</w:t>
      </w:r>
      <w:r w:rsidRPr="00063C21">
        <w:t xml:space="preserve"> identified</w:t>
      </w:r>
      <w:r>
        <w:t xml:space="preserve">. </w:t>
      </w:r>
      <w:r w:rsidRPr="00063C21">
        <w:t xml:space="preserve">In some </w:t>
      </w:r>
      <w:r w:rsidR="0010269D" w:rsidRPr="00063C21">
        <w:t>instances,</w:t>
      </w:r>
      <w:r w:rsidRPr="00063C21">
        <w:t xml:space="preserve"> it may be necessary for the improvement to be in place prior to the permission being granted</w:t>
      </w:r>
      <w:r>
        <w:t>. I</w:t>
      </w:r>
      <w:r w:rsidRPr="00063C21">
        <w:t xml:space="preserve">n other </w:t>
      </w:r>
      <w:r w:rsidR="0010269D" w:rsidRPr="00063C21">
        <w:t>cases,</w:t>
      </w:r>
      <w:r w:rsidRPr="00063C21">
        <w:t xml:space="preserve"> </w:t>
      </w:r>
      <w:r>
        <w:t>it may be appropriate to ra</w:t>
      </w:r>
      <w:r w:rsidRPr="00063C21">
        <w:t>ise regulatory issues so that the dutyholder develops and delivers a suitable action plan. Further information on the management of regulatory issues is provided in</w:t>
      </w:r>
      <w:r w:rsidR="0010269D">
        <w:t xml:space="preserve"> ref</w:t>
      </w:r>
      <w:r w:rsidR="00FD2D33">
        <w:t xml:space="preserve">erence </w:t>
      </w:r>
      <w:sdt>
        <w:sdtPr>
          <w:id w:val="184567022"/>
          <w:citation/>
        </w:sdtPr>
        <w:sdtEndPr/>
        <w:sdtContent>
          <w:r w:rsidR="0010269D">
            <w:fldChar w:fldCharType="begin"/>
          </w:r>
          <w:r w:rsidR="0010269D">
            <w:instrText xml:space="preserve"> CITATION ONR179 \l 2057 </w:instrText>
          </w:r>
          <w:r w:rsidR="0010269D">
            <w:fldChar w:fldCharType="separate"/>
          </w:r>
          <w:r w:rsidR="00FF26DD">
            <w:rPr>
              <w:noProof/>
            </w:rPr>
            <w:t>[15]</w:t>
          </w:r>
          <w:r w:rsidR="0010269D">
            <w:fldChar w:fldCharType="end"/>
          </w:r>
        </w:sdtContent>
      </w:sdt>
      <w:r w:rsidRPr="00063C21">
        <w:t>.</w:t>
      </w:r>
    </w:p>
    <w:p w14:paraId="024DD713" w14:textId="77777777" w:rsidR="00FB3592" w:rsidRDefault="00FB3592" w:rsidP="00FB3592">
      <w:pPr>
        <w:pStyle w:val="F9-Paragraph"/>
        <w:rPr>
          <w:b/>
          <w:caps/>
        </w:rPr>
      </w:pPr>
      <w:r>
        <w:t>A d</w:t>
      </w:r>
      <w:r w:rsidRPr="00057F22">
        <w:t xml:space="preserve">utyholder’s internal </w:t>
      </w:r>
      <w:r>
        <w:t>assurance team</w:t>
      </w:r>
      <w:r w:rsidRPr="00057F22">
        <w:t xml:space="preserve"> may have intelligence on areas of regulatory concern and </w:t>
      </w:r>
      <w:r>
        <w:t>c</w:t>
      </w:r>
      <w:r w:rsidRPr="00057F22">
        <w:t xml:space="preserve">an </w:t>
      </w:r>
      <w:r>
        <w:t xml:space="preserve">also </w:t>
      </w:r>
      <w:r w:rsidRPr="00057F22">
        <w:t xml:space="preserve">be used to provide </w:t>
      </w:r>
      <w:r>
        <w:t>assurance that issues raised have been addressed by the dutyholder.</w:t>
      </w:r>
    </w:p>
    <w:p w14:paraId="7F409697" w14:textId="1E4B6A78" w:rsidR="00FB3592" w:rsidRPr="00677A36" w:rsidRDefault="00FB3592" w:rsidP="00FB3592">
      <w:pPr>
        <w:pStyle w:val="Heading3"/>
      </w:pPr>
      <w:r w:rsidRPr="001A5D69">
        <w:t xml:space="preserve">Interfaces with </w:t>
      </w:r>
      <w:r w:rsidR="0003659E">
        <w:t>O</w:t>
      </w:r>
      <w:r w:rsidRPr="001A5D69">
        <w:t xml:space="preserve">ther </w:t>
      </w:r>
      <w:r w:rsidR="0003659E">
        <w:t>A</w:t>
      </w:r>
      <w:r w:rsidRPr="001A5D69">
        <w:t>ssessments</w:t>
      </w:r>
    </w:p>
    <w:p w14:paraId="6BDE22E1" w14:textId="77777777" w:rsidR="00FB3592" w:rsidRDefault="00FB3592" w:rsidP="00936AC2">
      <w:pPr>
        <w:pStyle w:val="F9-Paragraph"/>
        <w:rPr>
          <w:b/>
          <w:caps/>
        </w:rPr>
      </w:pPr>
      <w:r w:rsidRPr="001A5D69">
        <w:t xml:space="preserve">The </w:t>
      </w:r>
      <w:r>
        <w:t xml:space="preserve">inspector </w:t>
      </w:r>
      <w:r w:rsidRPr="001A5D69">
        <w:t xml:space="preserve">should, where relevant, ensure </w:t>
      </w:r>
      <w:r>
        <w:t>that interfaces between different specialist assessments do not lead to gaps</w:t>
      </w:r>
      <w:r w:rsidRPr="001A5D69">
        <w:t xml:space="preserve">. </w:t>
      </w:r>
      <w:r>
        <w:t>W</w:t>
      </w:r>
      <w:r w:rsidRPr="001A5D69">
        <w:t xml:space="preserve">here two </w:t>
      </w:r>
      <w:r>
        <w:t>specialist inspectors</w:t>
      </w:r>
      <w:r w:rsidRPr="001A5D69">
        <w:t xml:space="preserve"> each assume that the other will address points at or near the specialism boundaries</w:t>
      </w:r>
      <w:r>
        <w:t xml:space="preserve"> there is the potential for assessment gaps to form or for duplication of the assessment to occur</w:t>
      </w:r>
      <w:r w:rsidRPr="001A5D69">
        <w:t xml:space="preserve">. </w:t>
      </w:r>
      <w:proofErr w:type="gramStart"/>
      <w:r>
        <w:t>In reality, operations</w:t>
      </w:r>
      <w:proofErr w:type="gramEnd"/>
      <w:r>
        <w:t xml:space="preserve">, plants etc </w:t>
      </w:r>
      <w:r w:rsidRPr="001A5D69">
        <w:t xml:space="preserve">do not separate themselves conveniently into the areas that </w:t>
      </w:r>
      <w:r>
        <w:t>specialist inspectors</w:t>
      </w:r>
      <w:r w:rsidRPr="001A5D69">
        <w:t xml:space="preserve"> (and dutyholder’s) separate themselves into, so care is needed to ensure comprehensive coverage of all areas of legitimate concern. </w:t>
      </w:r>
    </w:p>
    <w:p w14:paraId="43ED049A" w14:textId="77777777" w:rsidR="00FB3592" w:rsidRDefault="00FB3592" w:rsidP="00936AC2">
      <w:pPr>
        <w:pStyle w:val="F9-Paragraph"/>
        <w:rPr>
          <w:b/>
          <w:caps/>
        </w:rPr>
      </w:pPr>
      <w:r>
        <w:t>Inspectors should therefore identify at the outset of any assessment:</w:t>
      </w:r>
    </w:p>
    <w:p w14:paraId="76D67351" w14:textId="54ECD2E1" w:rsidR="00FB3592" w:rsidRDefault="00FB3592" w:rsidP="00936AC2">
      <w:pPr>
        <w:pStyle w:val="Bulletlist1"/>
      </w:pPr>
      <w:r>
        <w:t>Any likely interfaces and establish a clear understanding with other inspectors how that interface will be managed.</w:t>
      </w:r>
      <w:r w:rsidR="0010269D">
        <w:t xml:space="preserve"> </w:t>
      </w:r>
    </w:p>
    <w:p w14:paraId="1C12CF6E" w14:textId="77777777" w:rsidR="00FB3592" w:rsidRDefault="00FB3592" w:rsidP="00936AC2">
      <w:pPr>
        <w:pStyle w:val="Bulletlist1"/>
      </w:pPr>
      <w:r>
        <w:t>Any interfaces with dutyholders and who is the principal point of contact in a given area.</w:t>
      </w:r>
    </w:p>
    <w:p w14:paraId="18AC831C" w14:textId="77777777" w:rsidR="00FB3592" w:rsidRPr="00BC2EE6" w:rsidRDefault="00FB3592" w:rsidP="00936AC2">
      <w:pPr>
        <w:pStyle w:val="Bulletlist1"/>
        <w:rPr>
          <w:b/>
          <w:caps/>
        </w:rPr>
      </w:pPr>
      <w:r>
        <w:t>Any interfaces with other regulators and the need to understand the scope of their legal vires.</w:t>
      </w:r>
    </w:p>
    <w:p w14:paraId="2D2E7BFA" w14:textId="09DD7F89" w:rsidR="00FB3592" w:rsidRPr="00677A36" w:rsidRDefault="0003659E" w:rsidP="00936AC2">
      <w:pPr>
        <w:pStyle w:val="Heading2"/>
      </w:pPr>
      <w:bookmarkStart w:id="21" w:name="_Toc121232765"/>
      <w:r>
        <w:t>A</w:t>
      </w:r>
      <w:r w:rsidR="00FB3592" w:rsidRPr="00D80BC3">
        <w:t xml:space="preserve">ctual </w:t>
      </w:r>
      <w:r>
        <w:t>P</w:t>
      </w:r>
      <w:r w:rsidR="00FB3592">
        <w:t>lant/</w:t>
      </w:r>
      <w:r>
        <w:t>O</w:t>
      </w:r>
      <w:r w:rsidR="00FB3592">
        <w:t xml:space="preserve">perational </w:t>
      </w:r>
      <w:r>
        <w:t>C</w:t>
      </w:r>
      <w:r w:rsidR="00FB3592">
        <w:t xml:space="preserve">ondition </w:t>
      </w:r>
      <w:r>
        <w:t>Co</w:t>
      </w:r>
      <w:r w:rsidR="00FB3592">
        <w:t xml:space="preserve">mpared to </w:t>
      </w:r>
      <w:r>
        <w:t>D</w:t>
      </w:r>
      <w:r w:rsidR="00FB3592">
        <w:t xml:space="preserve">ocumented </w:t>
      </w:r>
      <w:r>
        <w:t>C</w:t>
      </w:r>
      <w:r w:rsidR="00FB3592">
        <w:t>laims</w:t>
      </w:r>
      <w:bookmarkEnd w:id="21"/>
    </w:p>
    <w:p w14:paraId="6B56DF23" w14:textId="77777777" w:rsidR="00FB3592" w:rsidRDefault="00FB3592" w:rsidP="00936AC2">
      <w:pPr>
        <w:pStyle w:val="F9-Paragraph"/>
        <w:rPr>
          <w:b/>
          <w:caps/>
        </w:rPr>
      </w:pPr>
      <w:r w:rsidRPr="00A45F7A">
        <w:t xml:space="preserve">It should always be borne in mind that there </w:t>
      </w:r>
      <w:r>
        <w:t>may be</w:t>
      </w:r>
      <w:r w:rsidRPr="00A45F7A">
        <w:t xml:space="preserve"> a difference between the implied claims in the submission paperwork and the </w:t>
      </w:r>
      <w:r>
        <w:t>actual plant/operational configuration or condition</w:t>
      </w:r>
      <w:r w:rsidRPr="00A45F7A">
        <w:t>. This is because the relationship between the plant</w:t>
      </w:r>
      <w:r>
        <w:t>/operations</w:t>
      </w:r>
      <w:r w:rsidRPr="00A45F7A">
        <w:t xml:space="preserve"> and the associated submission is not always as rigid as might be assumed, the justification sometimes representing a claimed state or expectation that may not be fully attained in practice. These considerations apply with regard to design intent and implementation, which may not always be the </w:t>
      </w:r>
      <w:proofErr w:type="gramStart"/>
      <w:r w:rsidRPr="00A45F7A">
        <w:t>same;</w:t>
      </w:r>
      <w:proofErr w:type="gramEnd"/>
      <w:r w:rsidRPr="00A45F7A">
        <w:t xml:space="preserve"> and to operational claims</w:t>
      </w:r>
      <w:r w:rsidRPr="00A371DF">
        <w:t>. Appropriate measures should therefore be taken to verify or otherwise test the claims made, preferably by inspection.</w:t>
      </w:r>
      <w:r w:rsidRPr="001A5D69">
        <w:t xml:space="preserve"> </w:t>
      </w:r>
    </w:p>
    <w:p w14:paraId="7EBB4031" w14:textId="77777777" w:rsidR="00FB3592" w:rsidRPr="00D7222F" w:rsidRDefault="00FB3592" w:rsidP="00936AC2">
      <w:pPr>
        <w:pStyle w:val="F9-Paragraph"/>
        <w:rPr>
          <w:b/>
          <w:caps/>
        </w:rPr>
      </w:pPr>
      <w:r w:rsidRPr="00452265">
        <w:t>Inspection in support of assessment should be against specific rather than general plant</w:t>
      </w:r>
      <w:r>
        <w:t>/operational</w:t>
      </w:r>
      <w:r w:rsidRPr="00452265">
        <w:t xml:space="preserve"> features. "</w:t>
      </w:r>
      <w:r>
        <w:t>D</w:t>
      </w:r>
      <w:r w:rsidRPr="00452265">
        <w:t xml:space="preserve">eep thin slice" sampling </w:t>
      </w:r>
      <w:r>
        <w:t>can be used to</w:t>
      </w:r>
      <w:r w:rsidRPr="00452265">
        <w:t xml:space="preserve"> test the </w:t>
      </w:r>
      <w:r>
        <w:t>dutyholder</w:t>
      </w:r>
      <w:r w:rsidRPr="00452265">
        <w:t xml:space="preserve">'s adherence to declared procedures, </w:t>
      </w:r>
      <w:proofErr w:type="gramStart"/>
      <w:r w:rsidRPr="00452265">
        <w:t>principles</w:t>
      </w:r>
      <w:proofErr w:type="gramEnd"/>
      <w:r w:rsidRPr="00452265">
        <w:t xml:space="preserve"> and claims. </w:t>
      </w:r>
    </w:p>
    <w:p w14:paraId="709A8904" w14:textId="087C2A3F" w:rsidR="00FB3592" w:rsidRDefault="00FB3592" w:rsidP="00936AC2">
      <w:pPr>
        <w:pStyle w:val="F9-Paragraph"/>
        <w:rPr>
          <w:b/>
          <w:caps/>
        </w:rPr>
      </w:pPr>
      <w:r w:rsidRPr="00452265">
        <w:lastRenderedPageBreak/>
        <w:t xml:space="preserve">When a weakness is found it should be pursued in some detail; it is most unlikely to be an isolated case. Whenever sampling is used it should be as part of a predetermined plan, and where time is limited the number of samples should be reduced rather than the depth of each sample. </w:t>
      </w:r>
      <w:r w:rsidR="0010269D" w:rsidRPr="00452265">
        <w:t>Generally,</w:t>
      </w:r>
      <w:r w:rsidRPr="00452265">
        <w:t xml:space="preserve"> three or four samples are sufficient for most inspection purposes and should be chosen by the </w:t>
      </w:r>
      <w:r>
        <w:t>inspector</w:t>
      </w:r>
      <w:r w:rsidRPr="00452265">
        <w:t xml:space="preserve"> unless there is an overriding reason for the </w:t>
      </w:r>
      <w:r>
        <w:t>dutyholder</w:t>
      </w:r>
      <w:r w:rsidRPr="00452265">
        <w:t xml:space="preserve"> to choose them, in which case it must be ensured that there is no possibility of favourable selection occurring. If weaknesses are found then it will probably be necessary to take further samples to ascertain how widespread they are, but the new samples need only be reviewed for the </w:t>
      </w:r>
      <w:proofErr w:type="gramStart"/>
      <w:r w:rsidRPr="00452265">
        <w:t>particular weakness</w:t>
      </w:r>
      <w:proofErr w:type="gramEnd"/>
      <w:r w:rsidRPr="00452265">
        <w:t xml:space="preserve"> rather than in the same detail as the original samples.</w:t>
      </w:r>
      <w:r w:rsidRPr="001A5D69">
        <w:t xml:space="preserve"> </w:t>
      </w:r>
      <w:r>
        <w:t>If the weakness has already been identified by the dutyholder (</w:t>
      </w:r>
      <w:r w:rsidR="0010269D">
        <w:t>e.g.,</w:t>
      </w:r>
      <w:r>
        <w:t xml:space="preserve"> in a Security Improvement Schedule (SIS)) then it would be expected that they would have a justification </w:t>
      </w:r>
      <w:r w:rsidRPr="005631A9">
        <w:t xml:space="preserve">of the adequacy of measures </w:t>
      </w:r>
      <w:r>
        <w:t xml:space="preserve">in place </w:t>
      </w:r>
      <w:r w:rsidRPr="005631A9">
        <w:t xml:space="preserve">or a plan to </w:t>
      </w:r>
      <w:r>
        <w:t>resolve the shortfall</w:t>
      </w:r>
      <w:r w:rsidRPr="005631A9">
        <w:t>, including compensatory measures in the interim</w:t>
      </w:r>
      <w:r>
        <w:t>.</w:t>
      </w:r>
      <w:r w:rsidR="0010269D">
        <w:t xml:space="preserve"> </w:t>
      </w:r>
      <w:r>
        <w:t>Where this is the case sufficient sampling should be done to establish the adequacy of the proposed solution.</w:t>
      </w:r>
    </w:p>
    <w:p w14:paraId="738749F9" w14:textId="5DBED501" w:rsidR="00FB3592" w:rsidRDefault="00FB3592" w:rsidP="00936AC2">
      <w:pPr>
        <w:pStyle w:val="F9-Paragraph"/>
        <w:rPr>
          <w:b/>
          <w:caps/>
        </w:rPr>
      </w:pPr>
      <w:r w:rsidRPr="00452265">
        <w:t>If inspection indicates the procedures or safety</w:t>
      </w:r>
      <w:r>
        <w:t>/security</w:t>
      </w:r>
      <w:r w:rsidRPr="00452265">
        <w:t xml:space="preserve"> systems claimed in the </w:t>
      </w:r>
      <w:r>
        <w:t>documentation</w:t>
      </w:r>
      <w:r w:rsidRPr="00452265">
        <w:t xml:space="preserve"> are not being implemented, that is a matter for an enforcement decision</w:t>
      </w:r>
      <w:r>
        <w:t xml:space="preserve"> by the site inspector. Any enforcement decision would be in accordance with ONR’s e</w:t>
      </w:r>
      <w:r w:rsidRPr="003F65C1">
        <w:t xml:space="preserve">nforcement </w:t>
      </w:r>
      <w:r>
        <w:t>m</w:t>
      </w:r>
      <w:r w:rsidRPr="003F65C1">
        <w:t xml:space="preserve">anagement </w:t>
      </w:r>
      <w:r>
        <w:t>m</w:t>
      </w:r>
      <w:r w:rsidRPr="003F65C1">
        <w:t xml:space="preserve">odel </w:t>
      </w:r>
      <w:r>
        <w:t xml:space="preserve">(EMM) </w:t>
      </w:r>
      <w:sdt>
        <w:sdtPr>
          <w:id w:val="-1409915062"/>
          <w:citation/>
        </w:sdtPr>
        <w:sdtEndPr/>
        <w:sdtContent>
          <w:r w:rsidR="0010269D">
            <w:fldChar w:fldCharType="begin"/>
          </w:r>
          <w:r w:rsidR="0010269D">
            <w:instrText xml:space="preserve"> CITATION ONR27 \l 2057 </w:instrText>
          </w:r>
          <w:r w:rsidR="0010269D">
            <w:fldChar w:fldCharType="separate"/>
          </w:r>
          <w:r w:rsidR="00FF26DD">
            <w:rPr>
              <w:noProof/>
            </w:rPr>
            <w:t>[16]</w:t>
          </w:r>
          <w:r w:rsidR="0010269D">
            <w:fldChar w:fldCharType="end"/>
          </w:r>
        </w:sdtContent>
      </w:sdt>
      <w:r>
        <w:t>.</w:t>
      </w:r>
      <w:r w:rsidRPr="001A5D69">
        <w:t xml:space="preserve"> </w:t>
      </w:r>
    </w:p>
    <w:p w14:paraId="282DC879" w14:textId="2754FBDE" w:rsidR="00FB3592" w:rsidRDefault="00FB3592" w:rsidP="00936AC2">
      <w:pPr>
        <w:pStyle w:val="Heading2"/>
      </w:pPr>
      <w:bookmarkStart w:id="22" w:name="_Toc121232766"/>
      <w:r w:rsidRPr="003C4EAD">
        <w:t xml:space="preserve">Judging </w:t>
      </w:r>
      <w:r w:rsidR="0003659E">
        <w:t>A</w:t>
      </w:r>
      <w:r>
        <w:t xml:space="preserve">dequacy and </w:t>
      </w:r>
      <w:r w:rsidR="0003659E">
        <w:t>U</w:t>
      </w:r>
      <w:r>
        <w:t xml:space="preserve">se of </w:t>
      </w:r>
      <w:r w:rsidR="0003659E">
        <w:t>RGP</w:t>
      </w:r>
      <w:bookmarkEnd w:id="22"/>
    </w:p>
    <w:p w14:paraId="7F709CE6" w14:textId="44E458E6" w:rsidR="00FB3592" w:rsidRDefault="00FB3592" w:rsidP="00936AC2">
      <w:pPr>
        <w:pStyle w:val="F9-Paragraph"/>
        <w:rPr>
          <w:b/>
          <w:caps/>
        </w:rPr>
      </w:pPr>
      <w:r w:rsidRPr="001A5D69">
        <w:t xml:space="preserve">It is the responsibility of the </w:t>
      </w:r>
      <w:r>
        <w:t xml:space="preserve">inspector carrying out the assessment </w:t>
      </w:r>
      <w:r w:rsidRPr="001A5D69">
        <w:t xml:space="preserve">to judge when and if a submission is adequate. Although it can be assumed that the dutyholder believes a submission to be adequate, the </w:t>
      </w:r>
      <w:r>
        <w:t>inspector</w:t>
      </w:r>
      <w:r w:rsidRPr="001A5D69">
        <w:t xml:space="preserve"> must have in mind a clear and independent image of what adequacy </w:t>
      </w:r>
      <w:r w:rsidR="0010269D" w:rsidRPr="001A5D69">
        <w:t>means and</w:t>
      </w:r>
      <w:r w:rsidRPr="001A5D69">
        <w:t xml:space="preserve"> must be able to recognise when it has been achieved. </w:t>
      </w:r>
    </w:p>
    <w:p w14:paraId="1E4026AE" w14:textId="399695AE" w:rsidR="00FB3592" w:rsidRDefault="00FB3592" w:rsidP="00936AC2">
      <w:pPr>
        <w:pStyle w:val="F9-Paragraph"/>
        <w:rPr>
          <w:b/>
          <w:caps/>
        </w:rPr>
      </w:pPr>
      <w:r>
        <w:t>Judging adequacy is normally</w:t>
      </w:r>
      <w:r w:rsidRPr="00A538EA">
        <w:t xml:space="preserve"> straightforward against prescriptive </w:t>
      </w:r>
      <w:r w:rsidR="0010269D">
        <w:t>duties</w:t>
      </w:r>
      <w:r w:rsidR="0010269D" w:rsidRPr="00A538EA">
        <w:t xml:space="preserve"> but</w:t>
      </w:r>
      <w:r w:rsidRPr="00A538EA">
        <w:t xml:space="preserve"> is more challenging against non-prescriptive </w:t>
      </w:r>
      <w:r>
        <w:t>requirements (</w:t>
      </w:r>
      <w:r w:rsidR="0010269D">
        <w:t>e.g.,</w:t>
      </w:r>
      <w:r>
        <w:t xml:space="preserve"> against the </w:t>
      </w:r>
      <w:r w:rsidRPr="00A538EA">
        <w:t>duty to reduce risk</w:t>
      </w:r>
      <w:r>
        <w:t xml:space="preserve"> </w:t>
      </w:r>
      <w:r w:rsidRPr="00A538EA">
        <w:t xml:space="preserve">ALARP </w:t>
      </w:r>
      <w:r>
        <w:t>or against</w:t>
      </w:r>
      <w:r w:rsidRPr="00A538EA">
        <w:t xml:space="preserve"> other goal</w:t>
      </w:r>
      <w:r>
        <w:t>-</w:t>
      </w:r>
      <w:r w:rsidRPr="00A538EA">
        <w:t xml:space="preserve">setting </w:t>
      </w:r>
      <w:r>
        <w:t>standards in legislation or licence conditions)</w:t>
      </w:r>
      <w:r w:rsidRPr="00A538EA">
        <w:t xml:space="preserve">. </w:t>
      </w:r>
      <w:r>
        <w:t xml:space="preserve">Within </w:t>
      </w:r>
      <w:r w:rsidRPr="00A538EA">
        <w:t>ONR we are usually able to make judgments by comparing the dutyholder’s submission against RGP. RGP refers to those good practices</w:t>
      </w:r>
      <w:r>
        <w:t xml:space="preserve"> </w:t>
      </w:r>
      <w:r w:rsidRPr="00A538EA">
        <w:t xml:space="preserve">that have been previously assessed and judged to meet the requirement </w:t>
      </w:r>
      <w:r>
        <w:t>in question</w:t>
      </w:r>
      <w:r w:rsidRPr="00A538EA">
        <w:t xml:space="preserve"> (whether that be reducing risks ALARP or another goal-setting out</w:t>
      </w:r>
      <w:r>
        <w:t xml:space="preserve">come). There are </w:t>
      </w:r>
      <w:proofErr w:type="gramStart"/>
      <w:r>
        <w:t>a number of</w:t>
      </w:r>
      <w:proofErr w:type="gramEnd"/>
      <w:r>
        <w:t xml:space="preserve"> sources of RGP. For nuclear safety, the key written sources are the SAPs, </w:t>
      </w:r>
      <w:proofErr w:type="gramStart"/>
      <w:r>
        <w:t>TAGs</w:t>
      </w:r>
      <w:proofErr w:type="gramEnd"/>
      <w:r>
        <w:t xml:space="preserve"> and Technical Inspection Guides (TIG).</w:t>
      </w:r>
      <w:r w:rsidR="0010269D">
        <w:t xml:space="preserve"> </w:t>
      </w:r>
      <w:r w:rsidRPr="00BF2E3A">
        <w:t xml:space="preserve">Several TIGs and TAGs also address conventional health and safety, where ONR would also make particular use of guidance published by HSE. </w:t>
      </w:r>
      <w:r>
        <w:t xml:space="preserve">The ALARP TAG </w:t>
      </w:r>
      <w:sdt>
        <w:sdtPr>
          <w:id w:val="-404147511"/>
          <w:citation/>
        </w:sdtPr>
        <w:sdtEndPr/>
        <w:sdtContent>
          <w:r w:rsidR="00F83755">
            <w:fldChar w:fldCharType="begin"/>
          </w:r>
          <w:r w:rsidR="00F83755">
            <w:instrText xml:space="preserve"> CITATION ONR100 \l 2057 </w:instrText>
          </w:r>
          <w:r w:rsidR="00F83755">
            <w:fldChar w:fldCharType="separate"/>
          </w:r>
          <w:r w:rsidR="00FF26DD">
            <w:rPr>
              <w:noProof/>
            </w:rPr>
            <w:t>[17]</w:t>
          </w:r>
          <w:r w:rsidR="00F83755">
            <w:fldChar w:fldCharType="end"/>
          </w:r>
        </w:sdtContent>
      </w:sdt>
      <w:r w:rsidR="00F83755">
        <w:t xml:space="preserve"> </w:t>
      </w:r>
      <w:r>
        <w:t xml:space="preserve">provides more </w:t>
      </w:r>
      <w:proofErr w:type="gramStart"/>
      <w:r>
        <w:t>information</w:t>
      </w:r>
      <w:r w:rsidR="0010269D">
        <w:t xml:space="preserve"> </w:t>
      </w:r>
      <w:r>
        <w:t>.</w:t>
      </w:r>
      <w:proofErr w:type="gramEnd"/>
      <w:r>
        <w:t xml:space="preserve"> </w:t>
      </w:r>
      <w:r w:rsidRPr="00BF2E3A">
        <w:t>For security, the SyAPs and security TIGs and TAGs are the primary sources</w:t>
      </w:r>
      <w:r>
        <w:t xml:space="preserve"> of RGP</w:t>
      </w:r>
      <w:r w:rsidRPr="00BF2E3A">
        <w:t>.</w:t>
      </w:r>
    </w:p>
    <w:p w14:paraId="1E18B642" w14:textId="023BEC0D" w:rsidR="00FB3592" w:rsidRDefault="00FB3592" w:rsidP="00936AC2">
      <w:pPr>
        <w:pStyle w:val="F9-Paragraph"/>
        <w:rPr>
          <w:b/>
          <w:caps/>
        </w:rPr>
      </w:pPr>
      <w:r w:rsidRPr="00164608">
        <w:t xml:space="preserve">It should be </w:t>
      </w:r>
      <w:r>
        <w:t>noted that RGP is not mandatory</w:t>
      </w:r>
      <w:r w:rsidRPr="00164608">
        <w:t xml:space="preserve"> and is only a starting point for </w:t>
      </w:r>
      <w:r w:rsidRPr="00A538EA">
        <w:t>situations that do not fall within the scope of the circumstances under which the RGP has been derived. ONR inspectors must be mindful that a dutyholder is always free to take an alternative approach providing it can still demonstrate the required safety or security goal</w:t>
      </w:r>
      <w:r>
        <w:t>.</w:t>
      </w:r>
      <w:r w:rsidRPr="00164608">
        <w:t xml:space="preserve"> </w:t>
      </w:r>
      <w:r>
        <w:t>Mo</w:t>
      </w:r>
      <w:r w:rsidRPr="00A538EA">
        <w:t xml:space="preserve">re information on the definition of ALARP </w:t>
      </w:r>
      <w:r>
        <w:t xml:space="preserve">and </w:t>
      </w:r>
      <w:r>
        <w:lastRenderedPageBreak/>
        <w:t xml:space="preserve">the use of RGP in judging compliance with ALARP and other goal-setting requirements </w:t>
      </w:r>
      <w:r w:rsidRPr="00164608">
        <w:t>can be found in the ALARP TAG</w:t>
      </w:r>
      <w:r w:rsidR="0010269D">
        <w:t xml:space="preserve"> </w:t>
      </w:r>
      <w:sdt>
        <w:sdtPr>
          <w:id w:val="-140580810"/>
          <w:citation/>
        </w:sdtPr>
        <w:sdtEndPr/>
        <w:sdtContent>
          <w:r w:rsidR="0010269D">
            <w:fldChar w:fldCharType="begin"/>
          </w:r>
          <w:r w:rsidR="0010269D">
            <w:instrText xml:space="preserve"> CITATION ONR100 \l 2057 </w:instrText>
          </w:r>
          <w:r w:rsidR="0010269D">
            <w:fldChar w:fldCharType="separate"/>
          </w:r>
          <w:r w:rsidR="00FF26DD">
            <w:rPr>
              <w:noProof/>
            </w:rPr>
            <w:t>[17]</w:t>
          </w:r>
          <w:r w:rsidR="0010269D">
            <w:fldChar w:fldCharType="end"/>
          </w:r>
        </w:sdtContent>
      </w:sdt>
      <w:r>
        <w:t xml:space="preserve">. </w:t>
      </w:r>
    </w:p>
    <w:p w14:paraId="3514BBAC" w14:textId="5FC03AFE" w:rsidR="00FB3592" w:rsidRDefault="00FB3592" w:rsidP="00936AC2">
      <w:pPr>
        <w:pStyle w:val="F9-Paragraph"/>
        <w:rPr>
          <w:b/>
          <w:caps/>
        </w:rPr>
      </w:pPr>
      <w:r>
        <w:t>The inspector’s report should articulate the degree to which RGP has been met including any proportionate application of their expectations.</w:t>
      </w:r>
      <w:r w:rsidR="0010269D">
        <w:t xml:space="preserve"> </w:t>
      </w:r>
      <w:r>
        <w:t>This should be an explicit statement and not a broad general statement (</w:t>
      </w:r>
      <w:r w:rsidR="0010269D">
        <w:t>e.g.,</w:t>
      </w:r>
      <w:r>
        <w:t xml:space="preserve"> the intent of the SAPs/SyAPs has been met). Should the judgement be contentious or not clear cut a useful source of advice is colleagues in the relevant specialism or other ONR working groups (</w:t>
      </w:r>
      <w:r w:rsidR="0010269D">
        <w:t>e.g.,</w:t>
      </w:r>
      <w:r>
        <w:t xml:space="preserve"> for safety the ALARP working group or for security the DL forum).</w:t>
      </w:r>
    </w:p>
    <w:p w14:paraId="77708A13" w14:textId="07C86688" w:rsidR="00FB3592" w:rsidRDefault="00FB3592" w:rsidP="00936AC2">
      <w:pPr>
        <w:pStyle w:val="F9-Paragraph"/>
        <w:rPr>
          <w:b/>
          <w:caps/>
        </w:rPr>
      </w:pPr>
      <w:r w:rsidRPr="00F8330E">
        <w:t>Inspectors should be aware that their decision making and judgements on adequacy can be subject to review. ONR</w:t>
      </w:r>
      <w:r w:rsidR="00C0683C">
        <w:t>’s</w:t>
      </w:r>
      <w:r w:rsidR="00B26E60">
        <w:t xml:space="preserve"> internal </w:t>
      </w:r>
      <w:r w:rsidR="00C0683C">
        <w:t xml:space="preserve">peer </w:t>
      </w:r>
      <w:r w:rsidRPr="00F8330E">
        <w:t>review</w:t>
      </w:r>
      <w:r w:rsidR="002735B7">
        <w:t xml:space="preserve"> process</w:t>
      </w:r>
      <w:r w:rsidR="00C0683C">
        <w:t xml:space="preserve"> is defined in reference </w:t>
      </w:r>
      <w:sdt>
        <w:sdtPr>
          <w:id w:val="-1763824764"/>
          <w:citation/>
        </w:sdtPr>
        <w:sdtEndPr/>
        <w:sdtContent>
          <w:r w:rsidR="0010269D">
            <w:fldChar w:fldCharType="begin"/>
          </w:r>
          <w:r w:rsidR="00404549">
            <w:instrText xml:space="preserve">CITATION ONR118 \l 2057 </w:instrText>
          </w:r>
          <w:r w:rsidR="0010269D">
            <w:fldChar w:fldCharType="separate"/>
          </w:r>
          <w:r w:rsidR="00FF26DD">
            <w:rPr>
              <w:noProof/>
            </w:rPr>
            <w:t>[18]</w:t>
          </w:r>
          <w:r w:rsidR="0010269D">
            <w:fldChar w:fldCharType="end"/>
          </w:r>
        </w:sdtContent>
      </w:sdt>
      <w:r w:rsidR="00861750">
        <w:t xml:space="preserve">. </w:t>
      </w:r>
      <w:r w:rsidRPr="00F8330E">
        <w:t>ONR</w:t>
      </w:r>
      <w:r w:rsidR="00A04700">
        <w:t>’s</w:t>
      </w:r>
      <w:r w:rsidRPr="00F8330E">
        <w:t xml:space="preserve"> process </w:t>
      </w:r>
      <w:r w:rsidR="00A04700">
        <w:t xml:space="preserve">for </w:t>
      </w:r>
      <w:r w:rsidRPr="00F8330E">
        <w:t>resolv</w:t>
      </w:r>
      <w:r w:rsidR="00A906D4">
        <w:t>ing</w:t>
      </w:r>
      <w:r w:rsidRPr="00F8330E">
        <w:t xml:space="preserve"> differences of regulatory opinion </w:t>
      </w:r>
      <w:r w:rsidR="00A906D4">
        <w:t xml:space="preserve">is defined in </w:t>
      </w:r>
      <w:r w:rsidR="0010269D">
        <w:t>ref</w:t>
      </w:r>
      <w:r w:rsidR="00A906D4">
        <w:t xml:space="preserve">erence </w:t>
      </w:r>
      <w:sdt>
        <w:sdtPr>
          <w:id w:val="-1110665451"/>
          <w:citation/>
        </w:sdtPr>
        <w:sdtEndPr/>
        <w:sdtContent>
          <w:r w:rsidR="0010269D">
            <w:fldChar w:fldCharType="begin"/>
          </w:r>
          <w:r w:rsidR="0010269D">
            <w:instrText xml:space="preserve"> CITATION ONR272 \l 2057 </w:instrText>
          </w:r>
          <w:r w:rsidR="0010269D">
            <w:fldChar w:fldCharType="separate"/>
          </w:r>
          <w:r w:rsidR="00FF26DD">
            <w:rPr>
              <w:noProof/>
            </w:rPr>
            <w:t>[19]</w:t>
          </w:r>
          <w:r w:rsidR="0010269D">
            <w:fldChar w:fldCharType="end"/>
          </w:r>
        </w:sdtContent>
      </w:sdt>
      <w:r w:rsidRPr="00F8330E">
        <w:t>.</w:t>
      </w:r>
      <w:r w:rsidR="0010269D">
        <w:t xml:space="preserve"> </w:t>
      </w:r>
      <w:r w:rsidRPr="00F8330E">
        <w:t>Externally an inspector’s judgement could be subject to review by appeal to a judicial review or at an inquiry following an incident.</w:t>
      </w:r>
      <w:r w:rsidR="0010269D">
        <w:t xml:space="preserve"> </w:t>
      </w:r>
      <w:r w:rsidRPr="001A5D69">
        <w:t xml:space="preserve">The </w:t>
      </w:r>
      <w:r>
        <w:t>inspector</w:t>
      </w:r>
      <w:r w:rsidRPr="001A5D69">
        <w:t xml:space="preserve">’s task would be to </w:t>
      </w:r>
      <w:r>
        <w:t>demonstrate</w:t>
      </w:r>
      <w:r w:rsidRPr="001A5D69">
        <w:t xml:space="preserve"> that the assessment carried out was </w:t>
      </w:r>
      <w:r>
        <w:t>that which</w:t>
      </w:r>
      <w:r w:rsidRPr="001A5D69">
        <w:t xml:space="preserve"> would have been done by a reasonable person with appropriate qualifications and experience, exercising discretion as permitted by law. If an </w:t>
      </w:r>
      <w:r>
        <w:t>inspector</w:t>
      </w:r>
      <w:r w:rsidRPr="001A5D69">
        <w:t xml:space="preserve"> can </w:t>
      </w:r>
      <w:r>
        <w:t xml:space="preserve">justify </w:t>
      </w:r>
      <w:r w:rsidRPr="001A5D69">
        <w:t>the judgement</w:t>
      </w:r>
      <w:r>
        <w:t xml:space="preserve"> in this </w:t>
      </w:r>
      <w:r w:rsidR="0010269D">
        <w:t>context,</w:t>
      </w:r>
      <w:r>
        <w:t xml:space="preserve"> </w:t>
      </w:r>
      <w:r w:rsidRPr="001A5D69">
        <w:t>then the process has gone far enough</w:t>
      </w:r>
      <w:r>
        <w:t>.</w:t>
      </w:r>
      <w:r w:rsidR="0010269D">
        <w:t xml:space="preserve"> </w:t>
      </w:r>
      <w:r>
        <w:t>Detailed consideration of this can be found in the judge over your shoulder – guide to good decision making</w:t>
      </w:r>
      <w:sdt>
        <w:sdtPr>
          <w:id w:val="-133722441"/>
          <w:citation/>
        </w:sdtPr>
        <w:sdtEndPr/>
        <w:sdtContent>
          <w:r w:rsidR="00FF26DD">
            <w:fldChar w:fldCharType="begin"/>
          </w:r>
          <w:r w:rsidR="00FF26DD">
            <w:instrText xml:space="preserve"> CITATION HMG186 \l 2057 </w:instrText>
          </w:r>
          <w:r w:rsidR="00FF26DD">
            <w:fldChar w:fldCharType="separate"/>
          </w:r>
          <w:r w:rsidR="00FF26DD">
            <w:rPr>
              <w:noProof/>
            </w:rPr>
            <w:t xml:space="preserve"> [20]</w:t>
          </w:r>
          <w:r w:rsidR="00FF26DD">
            <w:fldChar w:fldCharType="end"/>
          </w:r>
        </w:sdtContent>
      </w:sdt>
      <w:r>
        <w:t xml:space="preserve">. </w:t>
      </w:r>
    </w:p>
    <w:p w14:paraId="336DFDE1" w14:textId="77777777" w:rsidR="00FB3592" w:rsidRPr="00452265" w:rsidRDefault="00FB3592" w:rsidP="00936AC2">
      <w:pPr>
        <w:pStyle w:val="Heading2"/>
      </w:pPr>
      <w:bookmarkStart w:id="23" w:name="_Toc121232767"/>
      <w:r>
        <w:t>Record Keeping</w:t>
      </w:r>
      <w:bookmarkEnd w:id="23"/>
    </w:p>
    <w:p w14:paraId="1DB167B3" w14:textId="28BBFC32" w:rsidR="00FB3592" w:rsidRDefault="00FB3592" w:rsidP="00936AC2">
      <w:pPr>
        <w:pStyle w:val="F9-Paragraph"/>
        <w:rPr>
          <w:b/>
          <w:caps/>
        </w:rPr>
      </w:pPr>
      <w:r w:rsidRPr="001A5D69">
        <w:t xml:space="preserve">The need for a comprehensive written record is of paramount importance and should be clear from the above argument. </w:t>
      </w:r>
      <w:r>
        <w:t xml:space="preserve">Within ONR the written record could be an assessment report, decision record or project assessment report. Further information on these types of reports can be found in </w:t>
      </w:r>
      <w:r w:rsidR="0010269D">
        <w:t xml:space="preserve">refs. </w:t>
      </w:r>
      <w:sdt>
        <w:sdtPr>
          <w:id w:val="925848379"/>
          <w:citation/>
        </w:sdtPr>
        <w:sdtEndPr/>
        <w:sdtContent>
          <w:r w:rsidR="0010269D">
            <w:fldChar w:fldCharType="begin"/>
          </w:r>
          <w:r w:rsidR="0010269D">
            <w:instrText xml:space="preserve"> CITATION ONR112 \l 2057 </w:instrText>
          </w:r>
          <w:r w:rsidR="0010269D">
            <w:fldChar w:fldCharType="separate"/>
          </w:r>
          <w:r w:rsidR="00FF26DD">
            <w:rPr>
              <w:noProof/>
            </w:rPr>
            <w:t>[8]</w:t>
          </w:r>
          <w:r w:rsidR="0010269D">
            <w:fldChar w:fldCharType="end"/>
          </w:r>
        </w:sdtContent>
      </w:sdt>
      <w:r w:rsidR="0010269D">
        <w:t xml:space="preserve"> and </w:t>
      </w:r>
      <w:sdt>
        <w:sdtPr>
          <w:id w:val="1774668471"/>
          <w:citation/>
        </w:sdtPr>
        <w:sdtEndPr/>
        <w:sdtContent>
          <w:r w:rsidR="0010269D">
            <w:fldChar w:fldCharType="begin"/>
          </w:r>
          <w:r w:rsidR="0088175B">
            <w:instrText xml:space="preserve">CITATION ONR23 \l 2057 </w:instrText>
          </w:r>
          <w:r w:rsidR="0010269D">
            <w:fldChar w:fldCharType="separate"/>
          </w:r>
          <w:r w:rsidR="0088175B">
            <w:rPr>
              <w:noProof/>
            </w:rPr>
            <w:t>[9]</w:t>
          </w:r>
          <w:r w:rsidR="0010269D">
            <w:fldChar w:fldCharType="end"/>
          </w:r>
        </w:sdtContent>
      </w:sdt>
      <w:r>
        <w:t>.</w:t>
      </w:r>
    </w:p>
    <w:p w14:paraId="39E3F207" w14:textId="7A7DC3CC" w:rsidR="00FB3592" w:rsidRDefault="00FB3592" w:rsidP="00936AC2">
      <w:pPr>
        <w:pStyle w:val="F9-Paragraph"/>
        <w:rPr>
          <w:b/>
          <w:caps/>
        </w:rPr>
      </w:pPr>
      <w:r w:rsidRPr="717EF260">
        <w:t xml:space="preserve">If an incident occurs, it is likely to be long after the justification and its assessment have been carried out. Even if the inspector had a defensible position at the time, poor record keeping might make this difficult or even impossible to establish. </w:t>
      </w:r>
      <w:r w:rsidR="0010269D">
        <w:br/>
      </w:r>
      <w:r w:rsidRPr="717EF260">
        <w:t xml:space="preserve">The assessment records need not all be included in the final assessment report or note, but documents used as the basis of assessment and inspector’s decision-making should be referenced within the assessment report. </w:t>
      </w:r>
      <w:r w:rsidR="004C5F82">
        <w:t>These</w:t>
      </w:r>
      <w:r w:rsidRPr="717EF260">
        <w:t xml:space="preserve"> documents should be made available on WIReD or </w:t>
      </w:r>
      <w:r w:rsidR="006053E4">
        <w:t xml:space="preserve">ONR’s </w:t>
      </w:r>
      <w:r w:rsidR="007756C7">
        <w:t xml:space="preserve">electronic document and </w:t>
      </w:r>
      <w:r w:rsidRPr="717EF260">
        <w:t>record management system</w:t>
      </w:r>
      <w:r w:rsidR="007756C7">
        <w:t xml:space="preserve"> (EDRMS)</w:t>
      </w:r>
      <w:r w:rsidRPr="717EF260">
        <w:t xml:space="preserve">. If </w:t>
      </w:r>
      <w:r w:rsidR="00F21BA2">
        <w:t>security classification precludes their storage</w:t>
      </w:r>
      <w:r w:rsidR="00B43E25">
        <w:t xml:space="preserve"> on WIReD or EDRMS</w:t>
      </w:r>
      <w:r w:rsidR="00F21BA2">
        <w:t xml:space="preserve">, there should be clear instructions in the WIReD as to how copies of the </w:t>
      </w:r>
      <w:r w:rsidR="00A97443">
        <w:t xml:space="preserve">document </w:t>
      </w:r>
      <w:r w:rsidR="00F21BA2">
        <w:t>can be accessed</w:t>
      </w:r>
      <w:r w:rsidR="00265D7D">
        <w:t xml:space="preserve"> (typically with reference to </w:t>
      </w:r>
      <w:r w:rsidRPr="717EF260">
        <w:t>the dutyholder’s own storage arrangements</w:t>
      </w:r>
      <w:r w:rsidR="00265D7D">
        <w:t>)</w:t>
      </w:r>
      <w:r w:rsidRPr="717EF260">
        <w:t xml:space="preserve">. </w:t>
      </w:r>
    </w:p>
    <w:p w14:paraId="78C8D2A0" w14:textId="77777777" w:rsidR="00FB3592" w:rsidRPr="00677A36" w:rsidRDefault="00FB3592" w:rsidP="00936AC2">
      <w:pPr>
        <w:pStyle w:val="Heading2"/>
      </w:pPr>
      <w:bookmarkStart w:id="24" w:name="_Toc121232768"/>
      <w:r w:rsidRPr="00677A36">
        <w:t>Assessment Rating</w:t>
      </w:r>
      <w:bookmarkEnd w:id="24"/>
    </w:p>
    <w:p w14:paraId="4B454D65" w14:textId="77777777" w:rsidR="00FB3592" w:rsidRDefault="00FB3592" w:rsidP="00936AC2">
      <w:pPr>
        <w:pStyle w:val="F9-Paragraph"/>
        <w:rPr>
          <w:b/>
          <w:caps/>
        </w:rPr>
      </w:pPr>
      <w:r w:rsidRPr="001A5D69">
        <w:t xml:space="preserve">Inspectors should apply an assessment rating to formal permissioning assessments to inform the level of response that should be sought against </w:t>
      </w:r>
      <w:r>
        <w:t xml:space="preserve">any </w:t>
      </w:r>
      <w:r w:rsidRPr="001A5D69">
        <w:t xml:space="preserve">identified shortfalls. The assessment rating should be given against the dutyholder’s formal submission. This means that the rating should not take account of regulatory interventions undertaken by ONR inspectors following the formal submission to improve the quality of the submission and/or safety standards. Responses to </w:t>
      </w:r>
      <w:r w:rsidRPr="001A5D69">
        <w:lastRenderedPageBreak/>
        <w:t xml:space="preserve">queries or points of clarification should not be considered improvements to the case and therefore should not form part of the rating process. </w:t>
      </w:r>
    </w:p>
    <w:p w14:paraId="3CB6EC8A" w14:textId="77777777" w:rsidR="00FB3592" w:rsidRDefault="00FB3592" w:rsidP="00936AC2">
      <w:pPr>
        <w:pStyle w:val="F9-Paragraph"/>
        <w:rPr>
          <w:b/>
          <w:caps/>
        </w:rPr>
      </w:pPr>
      <w:r w:rsidRPr="001A5D69">
        <w:t xml:space="preserve">Significant shortfalls should only be recorded if permissioning was not granted or significant modification </w:t>
      </w:r>
      <w:r>
        <w:t>was</w:t>
      </w:r>
      <w:r w:rsidRPr="001A5D69">
        <w:t xml:space="preserve"> sought to the case during the assessment process. If significant modification </w:t>
      </w:r>
      <w:r>
        <w:t>was required</w:t>
      </w:r>
      <w:r w:rsidRPr="001A5D69">
        <w:t xml:space="preserve"> to the </w:t>
      </w:r>
      <w:r>
        <w:t>submission</w:t>
      </w:r>
      <w:r w:rsidRPr="001A5D69">
        <w:t xml:space="preserve"> during the assessment process to enable permissioning, regulatory follow up should be targeted at the failing in dutyholder</w:t>
      </w:r>
      <w:r>
        <w:t>’</w:t>
      </w:r>
      <w:r w:rsidRPr="001A5D69">
        <w:t>s due process. Conversely, assessment rating</w:t>
      </w:r>
      <w:r>
        <w:t>s</w:t>
      </w:r>
      <w:r w:rsidRPr="001A5D69">
        <w:t xml:space="preserve"> should not be applied to </w:t>
      </w:r>
      <w:r>
        <w:t>dutyholder’s</w:t>
      </w:r>
      <w:r w:rsidRPr="001A5D69">
        <w:t xml:space="preserve"> draft submissions provided for information or early engagement. </w:t>
      </w:r>
      <w:r>
        <w:t xml:space="preserve">These documents would likely be incomplete and require improvements as part of the dutyholder’s processes and therefore it is not appropriate to rate these submissions in a draft state. In such cases the rating should again be applied to the submission formally supplied to ONR once it has completed the dutyholder’s due process. </w:t>
      </w:r>
    </w:p>
    <w:p w14:paraId="509D4399" w14:textId="77777777" w:rsidR="00FB3592" w:rsidRDefault="00FB3592" w:rsidP="00936AC2">
      <w:pPr>
        <w:pStyle w:val="F9-Paragraph"/>
        <w:rPr>
          <w:b/>
          <w:caps/>
        </w:rPr>
      </w:pPr>
      <w:r w:rsidRPr="001A5D69">
        <w:t xml:space="preserve">To ensure a balanced assessment any </w:t>
      </w:r>
      <w:r>
        <w:t>best</w:t>
      </w:r>
      <w:r w:rsidRPr="001A5D69">
        <w:t xml:space="preserve"> practice within the dutyholder’s submission should be identified as well as any shortfalls. </w:t>
      </w:r>
    </w:p>
    <w:p w14:paraId="3C3719C7" w14:textId="77777777" w:rsidR="00FB3592" w:rsidRDefault="00FB3592" w:rsidP="00936AC2">
      <w:pPr>
        <w:pStyle w:val="F9-Paragraph"/>
        <w:rPr>
          <w:b/>
          <w:caps/>
        </w:rPr>
      </w:pPr>
      <w:r w:rsidRPr="001A5D69">
        <w:t xml:space="preserve">The rating should be in accordance with the ONR guidance for assessment ratings in Appendix 1. </w:t>
      </w:r>
    </w:p>
    <w:p w14:paraId="08F0172B" w14:textId="03662DEA" w:rsidR="00F7687C" w:rsidRDefault="00F7687C" w:rsidP="000A51C3">
      <w:pPr>
        <w:pStyle w:val="F9-Paragraph"/>
        <w:sectPr w:rsidR="00F7687C" w:rsidSect="00B82646">
          <w:pgSz w:w="11906" w:h="16838" w:code="9"/>
          <w:pgMar w:top="1440" w:right="1080" w:bottom="1440" w:left="1080" w:header="397" w:footer="397" w:gutter="0"/>
          <w:cols w:space="312"/>
          <w:docGrid w:linePitch="360"/>
        </w:sectPr>
      </w:pPr>
    </w:p>
    <w:bookmarkStart w:id="25" w:name="_Toc121232769"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5"/>
        </w:p>
        <w:sdt>
          <w:sdtPr>
            <w:id w:val="700524479"/>
            <w:bibliography/>
          </w:sdtPr>
          <w:sdtEndPr/>
          <w:sdtContent>
            <w:p w14:paraId="52C9B1D2" w14:textId="77777777" w:rsidR="0088175B"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893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364"/>
              </w:tblGrid>
              <w:tr w:rsidR="007D451C" w14:paraId="1B6C0B95" w14:textId="77777777" w:rsidTr="007D451C">
                <w:trPr>
                  <w:divId w:val="327438989"/>
                  <w:tblCellSpacing w:w="15" w:type="dxa"/>
                </w:trPr>
                <w:tc>
                  <w:tcPr>
                    <w:tcW w:w="522" w:type="dxa"/>
                    <w:hideMark/>
                  </w:tcPr>
                  <w:p w14:paraId="1CCC7F2A" w14:textId="750B6FB7" w:rsidR="0088175B" w:rsidRDefault="0088175B">
                    <w:pPr>
                      <w:pStyle w:val="Bibliography"/>
                      <w:rPr>
                        <w:noProof/>
                        <w:szCs w:val="24"/>
                      </w:rPr>
                    </w:pPr>
                    <w:r>
                      <w:rPr>
                        <w:noProof/>
                      </w:rPr>
                      <w:t xml:space="preserve">[1] </w:t>
                    </w:r>
                  </w:p>
                </w:tc>
                <w:tc>
                  <w:tcPr>
                    <w:tcW w:w="8319" w:type="dxa"/>
                    <w:hideMark/>
                  </w:tcPr>
                  <w:p w14:paraId="6C372AA6" w14:textId="77777777" w:rsidR="0088175B" w:rsidRDefault="0088175B">
                    <w:pPr>
                      <w:pStyle w:val="Bibliography"/>
                      <w:rPr>
                        <w:noProof/>
                      </w:rPr>
                    </w:pPr>
                    <w:r>
                      <w:rPr>
                        <w:noProof/>
                      </w:rPr>
                      <w:t>ONR, “Safety Assessment Principles (SAPs) for Nuclear Facilities - 2014 Edition (Revision 1),” 2020.</w:t>
                    </w:r>
                  </w:p>
                </w:tc>
              </w:tr>
              <w:tr w:rsidR="007D451C" w14:paraId="607403FB" w14:textId="77777777" w:rsidTr="007D451C">
                <w:trPr>
                  <w:divId w:val="327438989"/>
                  <w:tblCellSpacing w:w="15" w:type="dxa"/>
                </w:trPr>
                <w:tc>
                  <w:tcPr>
                    <w:tcW w:w="522" w:type="dxa"/>
                    <w:hideMark/>
                  </w:tcPr>
                  <w:p w14:paraId="1B050E8D" w14:textId="77777777" w:rsidR="0088175B" w:rsidRDefault="0088175B">
                    <w:pPr>
                      <w:pStyle w:val="Bibliography"/>
                      <w:rPr>
                        <w:noProof/>
                      </w:rPr>
                    </w:pPr>
                    <w:r>
                      <w:rPr>
                        <w:noProof/>
                      </w:rPr>
                      <w:t xml:space="preserve">[2] </w:t>
                    </w:r>
                  </w:p>
                </w:tc>
                <w:tc>
                  <w:tcPr>
                    <w:tcW w:w="8319" w:type="dxa"/>
                    <w:hideMark/>
                  </w:tcPr>
                  <w:p w14:paraId="2C0BEC46" w14:textId="77777777" w:rsidR="0088175B" w:rsidRDefault="0088175B">
                    <w:pPr>
                      <w:pStyle w:val="Bibliography"/>
                      <w:rPr>
                        <w:noProof/>
                      </w:rPr>
                    </w:pPr>
                    <w:r>
                      <w:rPr>
                        <w:noProof/>
                      </w:rPr>
                      <w:t>ONR, “Licence Condition Handbook,” 2017.</w:t>
                    </w:r>
                  </w:p>
                </w:tc>
              </w:tr>
              <w:tr w:rsidR="007D451C" w14:paraId="648E9A95" w14:textId="77777777" w:rsidTr="007D451C">
                <w:trPr>
                  <w:divId w:val="327438989"/>
                  <w:tblCellSpacing w:w="15" w:type="dxa"/>
                </w:trPr>
                <w:tc>
                  <w:tcPr>
                    <w:tcW w:w="522" w:type="dxa"/>
                    <w:hideMark/>
                  </w:tcPr>
                  <w:p w14:paraId="5DC9AA1F" w14:textId="77777777" w:rsidR="0088175B" w:rsidRDefault="0088175B">
                    <w:pPr>
                      <w:pStyle w:val="Bibliography"/>
                      <w:rPr>
                        <w:noProof/>
                      </w:rPr>
                    </w:pPr>
                    <w:r>
                      <w:rPr>
                        <w:noProof/>
                      </w:rPr>
                      <w:t xml:space="preserve">[3] </w:t>
                    </w:r>
                  </w:p>
                </w:tc>
                <w:tc>
                  <w:tcPr>
                    <w:tcW w:w="8319" w:type="dxa"/>
                    <w:hideMark/>
                  </w:tcPr>
                  <w:p w14:paraId="1C903D5B" w14:textId="77777777" w:rsidR="0088175B" w:rsidRDefault="0088175B">
                    <w:pPr>
                      <w:pStyle w:val="Bibliography"/>
                      <w:rPr>
                        <w:noProof/>
                      </w:rPr>
                    </w:pPr>
                    <w:r>
                      <w:rPr>
                        <w:noProof/>
                      </w:rPr>
                      <w:t>IAEA, “GSR Part 1 - Govermental, Legal and Regulatory Framework for Safety,” International Atomic Energy Agency (IAEA), Vienna, 2016.</w:t>
                    </w:r>
                  </w:p>
                </w:tc>
              </w:tr>
              <w:tr w:rsidR="007D451C" w14:paraId="5120DA79" w14:textId="77777777" w:rsidTr="007D451C">
                <w:trPr>
                  <w:divId w:val="327438989"/>
                  <w:tblCellSpacing w:w="15" w:type="dxa"/>
                </w:trPr>
                <w:tc>
                  <w:tcPr>
                    <w:tcW w:w="522" w:type="dxa"/>
                    <w:hideMark/>
                  </w:tcPr>
                  <w:p w14:paraId="4DCD2DC1" w14:textId="77777777" w:rsidR="0088175B" w:rsidRDefault="0088175B">
                    <w:pPr>
                      <w:pStyle w:val="Bibliography"/>
                      <w:rPr>
                        <w:noProof/>
                      </w:rPr>
                    </w:pPr>
                    <w:r>
                      <w:rPr>
                        <w:noProof/>
                      </w:rPr>
                      <w:t xml:space="preserve">[4] </w:t>
                    </w:r>
                  </w:p>
                </w:tc>
                <w:tc>
                  <w:tcPr>
                    <w:tcW w:w="8319" w:type="dxa"/>
                    <w:hideMark/>
                  </w:tcPr>
                  <w:p w14:paraId="536126F8" w14:textId="77777777" w:rsidR="0088175B" w:rsidRDefault="0088175B">
                    <w:pPr>
                      <w:pStyle w:val="Bibliography"/>
                      <w:rPr>
                        <w:noProof/>
                      </w:rPr>
                    </w:pPr>
                    <w:r>
                      <w:rPr>
                        <w:noProof/>
                      </w:rPr>
                      <w:t>IAEA, “IAEA General Safety Guide (GSG) 13 - Functions and Process of the Regulatory Body for Safety,” IAEA, Vienna, 2018.</w:t>
                    </w:r>
                  </w:p>
                </w:tc>
              </w:tr>
              <w:tr w:rsidR="007D451C" w14:paraId="43CCC475" w14:textId="77777777" w:rsidTr="007D451C">
                <w:trPr>
                  <w:divId w:val="327438989"/>
                  <w:tblCellSpacing w:w="15" w:type="dxa"/>
                </w:trPr>
                <w:tc>
                  <w:tcPr>
                    <w:tcW w:w="522" w:type="dxa"/>
                    <w:hideMark/>
                  </w:tcPr>
                  <w:p w14:paraId="746A40C0" w14:textId="77777777" w:rsidR="0088175B" w:rsidRDefault="0088175B">
                    <w:pPr>
                      <w:pStyle w:val="Bibliography"/>
                      <w:rPr>
                        <w:noProof/>
                      </w:rPr>
                    </w:pPr>
                    <w:r>
                      <w:rPr>
                        <w:noProof/>
                      </w:rPr>
                      <w:t xml:space="preserve">[5] </w:t>
                    </w:r>
                  </w:p>
                </w:tc>
                <w:tc>
                  <w:tcPr>
                    <w:tcW w:w="8319" w:type="dxa"/>
                    <w:hideMark/>
                  </w:tcPr>
                  <w:p w14:paraId="2B42FC10" w14:textId="77777777" w:rsidR="0088175B" w:rsidRDefault="0088175B">
                    <w:pPr>
                      <w:pStyle w:val="Bibliography"/>
                      <w:rPr>
                        <w:noProof/>
                      </w:rPr>
                    </w:pPr>
                    <w:r>
                      <w:rPr>
                        <w:noProof/>
                      </w:rPr>
                      <w:t>IAEA, “Nuclear Security Series No. 13. Nuclear Security Recommendations on Physical Protection of Nuclear Material and Nuclear Facilities (INFCIRC/225/Revision 5),” 2011.</w:t>
                    </w:r>
                  </w:p>
                </w:tc>
              </w:tr>
              <w:tr w:rsidR="007D451C" w14:paraId="1A4E9A66" w14:textId="77777777" w:rsidTr="007D451C">
                <w:trPr>
                  <w:divId w:val="327438989"/>
                  <w:tblCellSpacing w:w="15" w:type="dxa"/>
                </w:trPr>
                <w:tc>
                  <w:tcPr>
                    <w:tcW w:w="522" w:type="dxa"/>
                    <w:hideMark/>
                  </w:tcPr>
                  <w:p w14:paraId="2199A3C2" w14:textId="77777777" w:rsidR="0088175B" w:rsidRDefault="0088175B">
                    <w:pPr>
                      <w:pStyle w:val="Bibliography"/>
                      <w:rPr>
                        <w:noProof/>
                      </w:rPr>
                    </w:pPr>
                    <w:r>
                      <w:rPr>
                        <w:noProof/>
                      </w:rPr>
                      <w:t xml:space="preserve">[6] </w:t>
                    </w:r>
                  </w:p>
                </w:tc>
                <w:tc>
                  <w:tcPr>
                    <w:tcW w:w="8319" w:type="dxa"/>
                    <w:hideMark/>
                  </w:tcPr>
                  <w:p w14:paraId="1E2C087E" w14:textId="77777777" w:rsidR="0088175B" w:rsidRDefault="0088175B">
                    <w:pPr>
                      <w:pStyle w:val="Bibliography"/>
                      <w:rPr>
                        <w:noProof/>
                      </w:rPr>
                    </w:pPr>
                    <w:r>
                      <w:rPr>
                        <w:noProof/>
                      </w:rPr>
                      <w:t>WENRA, “WENRA Safety Reference Levels for Existing Reactors,” 2020.</w:t>
                    </w:r>
                  </w:p>
                </w:tc>
              </w:tr>
              <w:tr w:rsidR="007D451C" w14:paraId="6A458CB9" w14:textId="77777777" w:rsidTr="007D451C">
                <w:trPr>
                  <w:divId w:val="327438989"/>
                  <w:tblCellSpacing w:w="15" w:type="dxa"/>
                </w:trPr>
                <w:tc>
                  <w:tcPr>
                    <w:tcW w:w="522" w:type="dxa"/>
                    <w:hideMark/>
                  </w:tcPr>
                  <w:p w14:paraId="5485FF9D" w14:textId="77777777" w:rsidR="0088175B" w:rsidRDefault="0088175B">
                    <w:pPr>
                      <w:pStyle w:val="Bibliography"/>
                      <w:rPr>
                        <w:noProof/>
                      </w:rPr>
                    </w:pPr>
                    <w:r>
                      <w:rPr>
                        <w:noProof/>
                      </w:rPr>
                      <w:t xml:space="preserve">[7] </w:t>
                    </w:r>
                  </w:p>
                </w:tc>
                <w:tc>
                  <w:tcPr>
                    <w:tcW w:w="8319" w:type="dxa"/>
                    <w:hideMark/>
                  </w:tcPr>
                  <w:p w14:paraId="33AC0B98" w14:textId="77777777" w:rsidR="0088175B" w:rsidRDefault="0088175B">
                    <w:pPr>
                      <w:pStyle w:val="Bibliography"/>
                      <w:rPr>
                        <w:noProof/>
                      </w:rPr>
                    </w:pPr>
                    <w:r>
                      <w:rPr>
                        <w:noProof/>
                      </w:rPr>
                      <w:t>ONR, “Security Assessment Principles (SyAPs) for the Civil Nuclear Industry,” 2017.</w:t>
                    </w:r>
                  </w:p>
                </w:tc>
              </w:tr>
              <w:tr w:rsidR="007D451C" w14:paraId="1C093F95" w14:textId="77777777" w:rsidTr="007D451C">
                <w:trPr>
                  <w:divId w:val="327438989"/>
                  <w:tblCellSpacing w:w="15" w:type="dxa"/>
                </w:trPr>
                <w:tc>
                  <w:tcPr>
                    <w:tcW w:w="522" w:type="dxa"/>
                    <w:hideMark/>
                  </w:tcPr>
                  <w:p w14:paraId="0934927E" w14:textId="77777777" w:rsidR="0088175B" w:rsidRDefault="0088175B">
                    <w:pPr>
                      <w:pStyle w:val="Bibliography"/>
                      <w:rPr>
                        <w:noProof/>
                      </w:rPr>
                    </w:pPr>
                    <w:r>
                      <w:rPr>
                        <w:noProof/>
                      </w:rPr>
                      <w:t xml:space="preserve">[8] </w:t>
                    </w:r>
                  </w:p>
                </w:tc>
                <w:tc>
                  <w:tcPr>
                    <w:tcW w:w="8319" w:type="dxa"/>
                    <w:hideMark/>
                  </w:tcPr>
                  <w:p w14:paraId="40E493DC" w14:textId="77777777" w:rsidR="0088175B" w:rsidRDefault="0088175B">
                    <w:pPr>
                      <w:pStyle w:val="Bibliography"/>
                      <w:rPr>
                        <w:noProof/>
                      </w:rPr>
                    </w:pPr>
                    <w:r>
                      <w:rPr>
                        <w:noProof/>
                      </w:rPr>
                      <w:t>ONR, “NS-PER-GD-001 - The Purpose and use of Permissioning”.</w:t>
                    </w:r>
                  </w:p>
                </w:tc>
              </w:tr>
              <w:tr w:rsidR="007D451C" w14:paraId="2F8D31DD" w14:textId="77777777" w:rsidTr="007D451C">
                <w:trPr>
                  <w:divId w:val="327438989"/>
                  <w:tblCellSpacing w:w="15" w:type="dxa"/>
                </w:trPr>
                <w:tc>
                  <w:tcPr>
                    <w:tcW w:w="522" w:type="dxa"/>
                    <w:hideMark/>
                  </w:tcPr>
                  <w:p w14:paraId="29D8F6BF" w14:textId="77777777" w:rsidR="0088175B" w:rsidRDefault="0088175B">
                    <w:pPr>
                      <w:pStyle w:val="Bibliography"/>
                      <w:rPr>
                        <w:noProof/>
                      </w:rPr>
                    </w:pPr>
                    <w:r>
                      <w:rPr>
                        <w:noProof/>
                      </w:rPr>
                      <w:t xml:space="preserve">[9] </w:t>
                    </w:r>
                  </w:p>
                </w:tc>
                <w:tc>
                  <w:tcPr>
                    <w:tcW w:w="8319" w:type="dxa"/>
                    <w:hideMark/>
                  </w:tcPr>
                  <w:p w14:paraId="037EB909" w14:textId="77777777" w:rsidR="0088175B" w:rsidRDefault="0088175B">
                    <w:pPr>
                      <w:pStyle w:val="Bibliography"/>
                      <w:rPr>
                        <w:noProof/>
                      </w:rPr>
                    </w:pPr>
                    <w:r>
                      <w:rPr>
                        <w:noProof/>
                      </w:rPr>
                      <w:t>ONR, “NS-TAST-GD-108 - Guidance on the Production of Reports for Permissioning and Assessment,” 2022.</w:t>
                    </w:r>
                  </w:p>
                </w:tc>
              </w:tr>
              <w:tr w:rsidR="007D451C" w14:paraId="08875159" w14:textId="77777777" w:rsidTr="007D451C">
                <w:trPr>
                  <w:divId w:val="327438989"/>
                  <w:tblCellSpacing w:w="15" w:type="dxa"/>
                </w:trPr>
                <w:tc>
                  <w:tcPr>
                    <w:tcW w:w="522" w:type="dxa"/>
                    <w:hideMark/>
                  </w:tcPr>
                  <w:p w14:paraId="56BEA979" w14:textId="77777777" w:rsidR="0088175B" w:rsidRDefault="0088175B">
                    <w:pPr>
                      <w:pStyle w:val="Bibliography"/>
                      <w:rPr>
                        <w:noProof/>
                      </w:rPr>
                    </w:pPr>
                    <w:r>
                      <w:rPr>
                        <w:noProof/>
                      </w:rPr>
                      <w:t xml:space="preserve">[10] </w:t>
                    </w:r>
                  </w:p>
                </w:tc>
                <w:tc>
                  <w:tcPr>
                    <w:tcW w:w="8319" w:type="dxa"/>
                    <w:hideMark/>
                  </w:tcPr>
                  <w:p w14:paraId="6B787E04" w14:textId="77777777" w:rsidR="0088175B" w:rsidRDefault="0088175B">
                    <w:pPr>
                      <w:pStyle w:val="Bibliography"/>
                      <w:rPr>
                        <w:noProof/>
                      </w:rPr>
                    </w:pPr>
                    <w:r>
                      <w:rPr>
                        <w:noProof/>
                      </w:rPr>
                      <w:t>ONR, “Enforcement Policy Statement”.</w:t>
                    </w:r>
                  </w:p>
                </w:tc>
              </w:tr>
              <w:tr w:rsidR="007D451C" w14:paraId="05158328" w14:textId="77777777" w:rsidTr="007D451C">
                <w:trPr>
                  <w:divId w:val="327438989"/>
                  <w:tblCellSpacing w:w="15" w:type="dxa"/>
                </w:trPr>
                <w:tc>
                  <w:tcPr>
                    <w:tcW w:w="522" w:type="dxa"/>
                    <w:hideMark/>
                  </w:tcPr>
                  <w:p w14:paraId="4A487A67" w14:textId="77777777" w:rsidR="0088175B" w:rsidRDefault="0088175B">
                    <w:pPr>
                      <w:pStyle w:val="Bibliography"/>
                      <w:rPr>
                        <w:noProof/>
                      </w:rPr>
                    </w:pPr>
                    <w:r>
                      <w:rPr>
                        <w:noProof/>
                      </w:rPr>
                      <w:t xml:space="preserve">[11] </w:t>
                    </w:r>
                  </w:p>
                </w:tc>
                <w:tc>
                  <w:tcPr>
                    <w:tcW w:w="8319" w:type="dxa"/>
                    <w:hideMark/>
                  </w:tcPr>
                  <w:p w14:paraId="598CAEAA" w14:textId="77777777" w:rsidR="0088175B" w:rsidRDefault="0088175B">
                    <w:pPr>
                      <w:pStyle w:val="Bibliography"/>
                      <w:rPr>
                        <w:noProof/>
                      </w:rPr>
                    </w:pPr>
                    <w:r>
                      <w:rPr>
                        <w:noProof/>
                      </w:rPr>
                      <w:t>Department for Business Innovation and Skills, “Regulators Code 2014”.</w:t>
                    </w:r>
                  </w:p>
                </w:tc>
              </w:tr>
              <w:tr w:rsidR="007D451C" w14:paraId="3C908227" w14:textId="77777777" w:rsidTr="007D451C">
                <w:trPr>
                  <w:divId w:val="327438989"/>
                  <w:tblCellSpacing w:w="15" w:type="dxa"/>
                </w:trPr>
                <w:tc>
                  <w:tcPr>
                    <w:tcW w:w="522" w:type="dxa"/>
                    <w:hideMark/>
                  </w:tcPr>
                  <w:p w14:paraId="25554F61" w14:textId="77777777" w:rsidR="0088175B" w:rsidRDefault="0088175B">
                    <w:pPr>
                      <w:pStyle w:val="Bibliography"/>
                      <w:rPr>
                        <w:noProof/>
                      </w:rPr>
                    </w:pPr>
                    <w:r>
                      <w:rPr>
                        <w:noProof/>
                      </w:rPr>
                      <w:t xml:space="preserve">[12] </w:t>
                    </w:r>
                  </w:p>
                </w:tc>
                <w:tc>
                  <w:tcPr>
                    <w:tcW w:w="8319" w:type="dxa"/>
                    <w:hideMark/>
                  </w:tcPr>
                  <w:p w14:paraId="54D2F868" w14:textId="77777777" w:rsidR="0088175B" w:rsidRDefault="0088175B">
                    <w:pPr>
                      <w:pStyle w:val="Bibliography"/>
                      <w:rPr>
                        <w:noProof/>
                      </w:rPr>
                    </w:pPr>
                    <w:r>
                      <w:rPr>
                        <w:noProof/>
                      </w:rPr>
                      <w:t>ONR, “NS-TAST-GD-051 - The Purpose, Scope and Content of Safety Cases”.</w:t>
                    </w:r>
                  </w:p>
                </w:tc>
              </w:tr>
              <w:tr w:rsidR="007D451C" w14:paraId="3A3E3AE8" w14:textId="77777777" w:rsidTr="007D451C">
                <w:trPr>
                  <w:divId w:val="327438989"/>
                  <w:tblCellSpacing w:w="15" w:type="dxa"/>
                </w:trPr>
                <w:tc>
                  <w:tcPr>
                    <w:tcW w:w="522" w:type="dxa"/>
                    <w:hideMark/>
                  </w:tcPr>
                  <w:p w14:paraId="0EDDD9E1" w14:textId="77777777" w:rsidR="0088175B" w:rsidRDefault="0088175B">
                    <w:pPr>
                      <w:pStyle w:val="Bibliography"/>
                      <w:rPr>
                        <w:noProof/>
                      </w:rPr>
                    </w:pPr>
                    <w:r>
                      <w:rPr>
                        <w:noProof/>
                      </w:rPr>
                      <w:t xml:space="preserve">[13] </w:t>
                    </w:r>
                  </w:p>
                </w:tc>
                <w:tc>
                  <w:tcPr>
                    <w:tcW w:w="8319" w:type="dxa"/>
                    <w:hideMark/>
                  </w:tcPr>
                  <w:p w14:paraId="6FFC39B1" w14:textId="77777777" w:rsidR="0088175B" w:rsidRDefault="0088175B">
                    <w:pPr>
                      <w:pStyle w:val="Bibliography"/>
                      <w:rPr>
                        <w:noProof/>
                      </w:rPr>
                    </w:pPr>
                    <w:r>
                      <w:rPr>
                        <w:noProof/>
                      </w:rPr>
                      <w:t>Safety Directors Forum, “UK Nuclear Safety Case Forum Guide, Right First Time Safety Cases: How to write a usable safety case,” March 2014. [Online]. Available: https://www.nuclearinst.com/write/MediaUploads/SDF%20documents/Safety%20Case/UK_Nuclear_SC_Forum_guide_-_How_to_write_a_usable_Safety_Case_-_March_2014_.pdf.</w:t>
                    </w:r>
                  </w:p>
                </w:tc>
              </w:tr>
              <w:tr w:rsidR="0088175B" w14:paraId="03181565" w14:textId="77777777" w:rsidTr="007D451C">
                <w:trPr>
                  <w:divId w:val="327438989"/>
                  <w:tblCellSpacing w:w="15" w:type="dxa"/>
                </w:trPr>
                <w:tc>
                  <w:tcPr>
                    <w:tcW w:w="522" w:type="dxa"/>
                    <w:hideMark/>
                  </w:tcPr>
                  <w:p w14:paraId="006696A6" w14:textId="77777777" w:rsidR="0088175B" w:rsidRDefault="0088175B">
                    <w:pPr>
                      <w:pStyle w:val="Bibliography"/>
                      <w:rPr>
                        <w:noProof/>
                      </w:rPr>
                    </w:pPr>
                    <w:r>
                      <w:rPr>
                        <w:noProof/>
                      </w:rPr>
                      <w:t xml:space="preserve">[14] </w:t>
                    </w:r>
                  </w:p>
                </w:tc>
                <w:tc>
                  <w:tcPr>
                    <w:tcW w:w="8319" w:type="dxa"/>
                    <w:hideMark/>
                  </w:tcPr>
                  <w:p w14:paraId="7AAE12E7" w14:textId="77777777" w:rsidR="0088175B" w:rsidRDefault="0088175B">
                    <w:pPr>
                      <w:pStyle w:val="Bibliography"/>
                      <w:rPr>
                        <w:noProof/>
                      </w:rPr>
                    </w:pPr>
                    <w:r>
                      <w:rPr>
                        <w:noProof/>
                      </w:rPr>
                      <w:t>ONR, “Holding Industry to account and influencing improvements in nuclear safety and security – Enabling Regulations in practice,” 2018.</w:t>
                    </w:r>
                  </w:p>
                </w:tc>
              </w:tr>
              <w:tr w:rsidR="0088175B" w14:paraId="351AD56A" w14:textId="77777777" w:rsidTr="007D451C">
                <w:trPr>
                  <w:divId w:val="327438989"/>
                  <w:tblCellSpacing w:w="15" w:type="dxa"/>
                </w:trPr>
                <w:tc>
                  <w:tcPr>
                    <w:tcW w:w="522" w:type="dxa"/>
                    <w:hideMark/>
                  </w:tcPr>
                  <w:p w14:paraId="4DF96DBA" w14:textId="77777777" w:rsidR="0088175B" w:rsidRDefault="0088175B">
                    <w:pPr>
                      <w:pStyle w:val="Bibliography"/>
                      <w:rPr>
                        <w:noProof/>
                      </w:rPr>
                    </w:pPr>
                    <w:r>
                      <w:rPr>
                        <w:noProof/>
                      </w:rPr>
                      <w:lastRenderedPageBreak/>
                      <w:t xml:space="preserve">[15] </w:t>
                    </w:r>
                  </w:p>
                </w:tc>
                <w:tc>
                  <w:tcPr>
                    <w:tcW w:w="8319" w:type="dxa"/>
                    <w:hideMark/>
                  </w:tcPr>
                  <w:p w14:paraId="74F34E96" w14:textId="77777777" w:rsidR="0088175B" w:rsidRDefault="0088175B">
                    <w:pPr>
                      <w:pStyle w:val="Bibliography"/>
                      <w:rPr>
                        <w:noProof/>
                      </w:rPr>
                    </w:pPr>
                    <w:r>
                      <w:rPr>
                        <w:noProof/>
                      </w:rPr>
                      <w:t>ONR, “ONR-RIO-PROC-001 - Management of Regulatory Issues”.</w:t>
                    </w:r>
                  </w:p>
                </w:tc>
              </w:tr>
              <w:tr w:rsidR="0088175B" w14:paraId="59C8EFA2" w14:textId="77777777" w:rsidTr="007D451C">
                <w:trPr>
                  <w:divId w:val="327438989"/>
                  <w:tblCellSpacing w:w="15" w:type="dxa"/>
                </w:trPr>
                <w:tc>
                  <w:tcPr>
                    <w:tcW w:w="522" w:type="dxa"/>
                    <w:hideMark/>
                  </w:tcPr>
                  <w:p w14:paraId="617A2656" w14:textId="77777777" w:rsidR="0088175B" w:rsidRDefault="0088175B">
                    <w:pPr>
                      <w:pStyle w:val="Bibliography"/>
                      <w:rPr>
                        <w:noProof/>
                      </w:rPr>
                    </w:pPr>
                    <w:r>
                      <w:rPr>
                        <w:noProof/>
                      </w:rPr>
                      <w:t xml:space="preserve">[16] </w:t>
                    </w:r>
                  </w:p>
                </w:tc>
                <w:tc>
                  <w:tcPr>
                    <w:tcW w:w="8319" w:type="dxa"/>
                    <w:hideMark/>
                  </w:tcPr>
                  <w:p w14:paraId="261DA17D" w14:textId="77777777" w:rsidR="0088175B" w:rsidRDefault="0088175B">
                    <w:pPr>
                      <w:pStyle w:val="Bibliography"/>
                      <w:rPr>
                        <w:noProof/>
                      </w:rPr>
                    </w:pPr>
                    <w:r>
                      <w:rPr>
                        <w:noProof/>
                      </w:rPr>
                      <w:t>ONR, “ONR-ENF-GD-006 - Enforcement Management Model”.</w:t>
                    </w:r>
                  </w:p>
                </w:tc>
              </w:tr>
              <w:tr w:rsidR="0088175B" w14:paraId="4463D92C" w14:textId="77777777" w:rsidTr="007D451C">
                <w:trPr>
                  <w:divId w:val="327438989"/>
                  <w:tblCellSpacing w:w="15" w:type="dxa"/>
                </w:trPr>
                <w:tc>
                  <w:tcPr>
                    <w:tcW w:w="522" w:type="dxa"/>
                    <w:hideMark/>
                  </w:tcPr>
                  <w:p w14:paraId="0C9DEEAD" w14:textId="77777777" w:rsidR="0088175B" w:rsidRDefault="0088175B">
                    <w:pPr>
                      <w:pStyle w:val="Bibliography"/>
                      <w:rPr>
                        <w:noProof/>
                      </w:rPr>
                    </w:pPr>
                    <w:r>
                      <w:rPr>
                        <w:noProof/>
                      </w:rPr>
                      <w:t xml:space="preserve">[17] </w:t>
                    </w:r>
                  </w:p>
                </w:tc>
                <w:tc>
                  <w:tcPr>
                    <w:tcW w:w="8319" w:type="dxa"/>
                    <w:hideMark/>
                  </w:tcPr>
                  <w:p w14:paraId="21DA07A4" w14:textId="77777777" w:rsidR="0088175B" w:rsidRDefault="0088175B">
                    <w:pPr>
                      <w:pStyle w:val="Bibliography"/>
                      <w:rPr>
                        <w:noProof/>
                      </w:rPr>
                    </w:pPr>
                    <w:r>
                      <w:rPr>
                        <w:noProof/>
                      </w:rPr>
                      <w:t>ONR, “NS-TAST-GD-005 - ONR Guidance on the Demonstration of ALARP”.</w:t>
                    </w:r>
                  </w:p>
                </w:tc>
              </w:tr>
              <w:tr w:rsidR="0088175B" w14:paraId="2B170923" w14:textId="77777777" w:rsidTr="007D451C">
                <w:trPr>
                  <w:divId w:val="327438989"/>
                  <w:tblCellSpacing w:w="15" w:type="dxa"/>
                </w:trPr>
                <w:tc>
                  <w:tcPr>
                    <w:tcW w:w="522" w:type="dxa"/>
                    <w:hideMark/>
                  </w:tcPr>
                  <w:p w14:paraId="458F4879" w14:textId="77777777" w:rsidR="0088175B" w:rsidRDefault="0088175B">
                    <w:pPr>
                      <w:pStyle w:val="Bibliography"/>
                      <w:rPr>
                        <w:noProof/>
                      </w:rPr>
                    </w:pPr>
                    <w:r>
                      <w:rPr>
                        <w:noProof/>
                      </w:rPr>
                      <w:t xml:space="preserve">[18] </w:t>
                    </w:r>
                  </w:p>
                </w:tc>
                <w:tc>
                  <w:tcPr>
                    <w:tcW w:w="8319" w:type="dxa"/>
                    <w:hideMark/>
                  </w:tcPr>
                  <w:p w14:paraId="24DC1B7B" w14:textId="77777777" w:rsidR="0088175B" w:rsidRDefault="0088175B">
                    <w:pPr>
                      <w:pStyle w:val="Bibliography"/>
                      <w:rPr>
                        <w:noProof/>
                      </w:rPr>
                    </w:pPr>
                    <w:r>
                      <w:rPr>
                        <w:noProof/>
                      </w:rPr>
                      <w:t xml:space="preserve">ONR, NS-TAST-PROC-001 - Peer Review and Acceptance of Reports for Permissioning, 2022. </w:t>
                    </w:r>
                  </w:p>
                </w:tc>
              </w:tr>
              <w:tr w:rsidR="0088175B" w14:paraId="6A373A49" w14:textId="77777777" w:rsidTr="007D451C">
                <w:trPr>
                  <w:divId w:val="327438989"/>
                  <w:tblCellSpacing w:w="15" w:type="dxa"/>
                </w:trPr>
                <w:tc>
                  <w:tcPr>
                    <w:tcW w:w="522" w:type="dxa"/>
                    <w:hideMark/>
                  </w:tcPr>
                  <w:p w14:paraId="2DC65A2F" w14:textId="77777777" w:rsidR="0088175B" w:rsidRDefault="0088175B">
                    <w:pPr>
                      <w:pStyle w:val="Bibliography"/>
                      <w:rPr>
                        <w:noProof/>
                      </w:rPr>
                    </w:pPr>
                    <w:r>
                      <w:rPr>
                        <w:noProof/>
                      </w:rPr>
                      <w:t xml:space="preserve">[19] </w:t>
                    </w:r>
                  </w:p>
                </w:tc>
                <w:tc>
                  <w:tcPr>
                    <w:tcW w:w="8319" w:type="dxa"/>
                    <w:hideMark/>
                  </w:tcPr>
                  <w:p w14:paraId="2D7E8814" w14:textId="77777777" w:rsidR="0088175B" w:rsidRDefault="0088175B">
                    <w:pPr>
                      <w:pStyle w:val="Bibliography"/>
                      <w:rPr>
                        <w:noProof/>
                      </w:rPr>
                    </w:pPr>
                    <w:r>
                      <w:rPr>
                        <w:noProof/>
                      </w:rPr>
                      <w:t>ONR, “NS-INSP-IN-002 - Resolving Differences of Professional Opinion in ONR”.</w:t>
                    </w:r>
                  </w:p>
                </w:tc>
              </w:tr>
              <w:tr w:rsidR="0088175B" w14:paraId="553F16AD" w14:textId="77777777" w:rsidTr="007D451C">
                <w:trPr>
                  <w:divId w:val="327438989"/>
                  <w:tblCellSpacing w:w="15" w:type="dxa"/>
                </w:trPr>
                <w:tc>
                  <w:tcPr>
                    <w:tcW w:w="522" w:type="dxa"/>
                    <w:hideMark/>
                  </w:tcPr>
                  <w:p w14:paraId="63C3E63F" w14:textId="77777777" w:rsidR="0088175B" w:rsidRDefault="0088175B">
                    <w:pPr>
                      <w:pStyle w:val="Bibliography"/>
                      <w:rPr>
                        <w:noProof/>
                      </w:rPr>
                    </w:pPr>
                    <w:r>
                      <w:rPr>
                        <w:noProof/>
                      </w:rPr>
                      <w:t xml:space="preserve">[20] </w:t>
                    </w:r>
                  </w:p>
                </w:tc>
                <w:tc>
                  <w:tcPr>
                    <w:tcW w:w="8319" w:type="dxa"/>
                    <w:hideMark/>
                  </w:tcPr>
                  <w:p w14:paraId="6D64F605" w14:textId="77777777" w:rsidR="0088175B" w:rsidRDefault="0088175B">
                    <w:pPr>
                      <w:pStyle w:val="Bibliography"/>
                      <w:rPr>
                        <w:noProof/>
                      </w:rPr>
                    </w:pPr>
                    <w:r>
                      <w:rPr>
                        <w:noProof/>
                      </w:rPr>
                      <w:t>H.M Government, “Judge over your shoulder,” 9 October 2018. [Online]. Available: https://www.gov.uk/government/publications/judge-over-your-shoulder.</w:t>
                    </w:r>
                  </w:p>
                </w:tc>
              </w:tr>
            </w:tbl>
            <w:p w14:paraId="7055C43C" w14:textId="77777777" w:rsidR="0088175B" w:rsidRDefault="0088175B">
              <w:pPr>
                <w:divId w:val="327438989"/>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88175B">
          <w:pgSz w:w="11906" w:h="16838" w:code="9"/>
          <w:pgMar w:top="1440" w:right="1841" w:bottom="1440" w:left="1080" w:header="397" w:footer="397" w:gutter="0"/>
          <w:cols w:space="312"/>
          <w:docGrid w:linePitch="360"/>
        </w:sectPr>
      </w:pPr>
    </w:p>
    <w:p w14:paraId="39D36B57" w14:textId="27F687FE" w:rsidR="00936AC2" w:rsidRDefault="00F7687C" w:rsidP="00936AC2">
      <w:pPr>
        <w:pStyle w:val="Heading1"/>
        <w:numPr>
          <w:ilvl w:val="0"/>
          <w:numId w:val="0"/>
        </w:numPr>
        <w:ind w:left="851" w:hanging="851"/>
      </w:pPr>
      <w:bookmarkStart w:id="26" w:name="_Toc89268373"/>
      <w:bookmarkStart w:id="27" w:name="_Toc121232770"/>
      <w:r w:rsidRPr="003B4701">
        <w:lastRenderedPageBreak/>
        <w:t>Glossary and Abbreviations</w:t>
      </w:r>
      <w:bookmarkEnd w:id="26"/>
      <w:bookmarkEnd w:id="27"/>
    </w:p>
    <w:p w14:paraId="478BC8F7" w14:textId="4671907D" w:rsidR="00936AC2" w:rsidRPr="009A4905" w:rsidRDefault="00936AC2" w:rsidP="00936AC2">
      <w:pPr>
        <w:tabs>
          <w:tab w:val="left" w:pos="2268"/>
        </w:tabs>
        <w:spacing w:after="120"/>
      </w:pPr>
      <w:r w:rsidRPr="009A4905">
        <w:t>ALARP</w:t>
      </w:r>
      <w:r>
        <w:tab/>
      </w:r>
      <w:r w:rsidRPr="009A4905">
        <w:t>As low as reasonably practicable</w:t>
      </w:r>
    </w:p>
    <w:p w14:paraId="7925B2D7" w14:textId="77777777" w:rsidR="00936AC2" w:rsidRPr="009A4905" w:rsidRDefault="00936AC2" w:rsidP="00936AC2">
      <w:pPr>
        <w:tabs>
          <w:tab w:val="left" w:pos="2268"/>
        </w:tabs>
        <w:spacing w:after="120"/>
      </w:pPr>
      <w:r w:rsidRPr="009A4905">
        <w:t>DR</w:t>
      </w:r>
      <w:r w:rsidRPr="009A4905">
        <w:tab/>
        <w:t>Decision Record</w:t>
      </w:r>
    </w:p>
    <w:p w14:paraId="6C89A79B" w14:textId="41958D22" w:rsidR="007756C7" w:rsidRDefault="007756C7" w:rsidP="00936AC2">
      <w:pPr>
        <w:tabs>
          <w:tab w:val="left" w:pos="2268"/>
        </w:tabs>
        <w:spacing w:after="120"/>
      </w:pPr>
      <w:r>
        <w:t>EDRMS</w:t>
      </w:r>
      <w:r>
        <w:tab/>
        <w:t>Electronic document and records management system</w:t>
      </w:r>
    </w:p>
    <w:p w14:paraId="364AD14D" w14:textId="47BE59D9" w:rsidR="00936AC2" w:rsidRPr="009A4905" w:rsidRDefault="00936AC2" w:rsidP="00936AC2">
      <w:pPr>
        <w:tabs>
          <w:tab w:val="left" w:pos="2268"/>
        </w:tabs>
        <w:spacing w:after="120"/>
      </w:pPr>
      <w:r w:rsidRPr="009A4905">
        <w:t>EMM</w:t>
      </w:r>
      <w:r w:rsidRPr="009A4905">
        <w:tab/>
        <w:t>Enforcement Management Model</w:t>
      </w:r>
    </w:p>
    <w:p w14:paraId="6F4C3FBA" w14:textId="77777777" w:rsidR="00936AC2" w:rsidRPr="009A4905" w:rsidRDefault="00936AC2" w:rsidP="00936AC2">
      <w:pPr>
        <w:tabs>
          <w:tab w:val="left" w:pos="2268"/>
        </w:tabs>
        <w:spacing w:after="120"/>
      </w:pPr>
      <w:r w:rsidRPr="009A4905">
        <w:t>EPS</w:t>
      </w:r>
      <w:r w:rsidRPr="009A4905">
        <w:tab/>
        <w:t>Enforcement Policy Statement</w:t>
      </w:r>
    </w:p>
    <w:p w14:paraId="5B35AAB8" w14:textId="77777777" w:rsidR="00936AC2" w:rsidRPr="009A4905" w:rsidRDefault="00936AC2" w:rsidP="00936AC2">
      <w:pPr>
        <w:tabs>
          <w:tab w:val="left" w:pos="2268"/>
        </w:tabs>
        <w:spacing w:after="120"/>
      </w:pPr>
      <w:r w:rsidRPr="009A4905">
        <w:t>HSWA</w:t>
      </w:r>
      <w:r w:rsidRPr="009A4905">
        <w:tab/>
        <w:t>Health and Safety at Work Act</w:t>
      </w:r>
    </w:p>
    <w:p w14:paraId="7F101B5C" w14:textId="77777777" w:rsidR="00936AC2" w:rsidRDefault="00936AC2" w:rsidP="00936AC2">
      <w:pPr>
        <w:tabs>
          <w:tab w:val="left" w:pos="2268"/>
        </w:tabs>
        <w:spacing w:after="120"/>
      </w:pPr>
      <w:r w:rsidRPr="009A4905">
        <w:t>IAEA</w:t>
      </w:r>
      <w:r w:rsidRPr="009A4905">
        <w:tab/>
        <w:t>International Atomic Energy Agency</w:t>
      </w:r>
    </w:p>
    <w:p w14:paraId="0D4BA12D" w14:textId="09F109C2" w:rsidR="00936AC2" w:rsidRPr="009A4905" w:rsidRDefault="00936AC2" w:rsidP="00936AC2">
      <w:pPr>
        <w:tabs>
          <w:tab w:val="left" w:pos="2268"/>
        </w:tabs>
        <w:spacing w:after="120"/>
      </w:pPr>
      <w:r w:rsidRPr="009A4905">
        <w:t>IRRs</w:t>
      </w:r>
      <w:r w:rsidRPr="009A4905">
        <w:tab/>
        <w:t xml:space="preserve">Ionising Radiation Regulations </w:t>
      </w:r>
    </w:p>
    <w:p w14:paraId="2972FC2A" w14:textId="77777777" w:rsidR="00936AC2" w:rsidRPr="009A4905" w:rsidRDefault="00936AC2" w:rsidP="00936AC2">
      <w:pPr>
        <w:tabs>
          <w:tab w:val="left" w:pos="2268"/>
        </w:tabs>
        <w:spacing w:after="120"/>
      </w:pPr>
      <w:r w:rsidRPr="009A4905">
        <w:t>LC</w:t>
      </w:r>
      <w:r w:rsidRPr="009A4905">
        <w:tab/>
        <w:t>Licence Condition</w:t>
      </w:r>
    </w:p>
    <w:p w14:paraId="3B408F4E" w14:textId="77777777" w:rsidR="00936AC2" w:rsidRPr="009A4905" w:rsidRDefault="00936AC2" w:rsidP="00936AC2">
      <w:pPr>
        <w:tabs>
          <w:tab w:val="left" w:pos="2268"/>
        </w:tabs>
        <w:spacing w:after="120"/>
      </w:pPr>
      <w:r w:rsidRPr="009A4905">
        <w:t>NISR</w:t>
      </w:r>
      <w:r w:rsidRPr="009A4905">
        <w:tab/>
        <w:t>Nuclear Industry Security Regulations</w:t>
      </w:r>
    </w:p>
    <w:p w14:paraId="36C67815" w14:textId="77777777" w:rsidR="00936AC2" w:rsidRPr="009A4905" w:rsidRDefault="00936AC2" w:rsidP="00936AC2">
      <w:pPr>
        <w:tabs>
          <w:tab w:val="left" w:pos="2268"/>
        </w:tabs>
        <w:spacing w:after="120"/>
      </w:pPr>
      <w:r w:rsidRPr="009A4905">
        <w:t>ONR</w:t>
      </w:r>
      <w:r w:rsidRPr="009A4905">
        <w:tab/>
        <w:t>Office for Nuclear Regulation</w:t>
      </w:r>
    </w:p>
    <w:p w14:paraId="76F981D0" w14:textId="77496F62" w:rsidR="00936AC2" w:rsidRPr="009A4905" w:rsidRDefault="00936AC2" w:rsidP="007756C7">
      <w:pPr>
        <w:tabs>
          <w:tab w:val="left" w:pos="2268"/>
        </w:tabs>
        <w:spacing w:after="120"/>
        <w:ind w:left="2265" w:hanging="2265"/>
      </w:pPr>
      <w:r w:rsidRPr="009A4905">
        <w:t>REPPIR</w:t>
      </w:r>
      <w:r w:rsidRPr="009A4905">
        <w:tab/>
      </w:r>
      <w:r w:rsidR="007756C7">
        <w:tab/>
      </w:r>
      <w:r w:rsidRPr="009A4905">
        <w:t xml:space="preserve">Radiation (Emergency Preparedness and Public Information) </w:t>
      </w:r>
      <w:r w:rsidR="007756C7">
        <w:t>Regulations</w:t>
      </w:r>
    </w:p>
    <w:p w14:paraId="5CF5EDA4" w14:textId="77777777" w:rsidR="00936AC2" w:rsidRPr="009A4905" w:rsidRDefault="00936AC2" w:rsidP="00936AC2">
      <w:pPr>
        <w:tabs>
          <w:tab w:val="left" w:pos="2268"/>
        </w:tabs>
        <w:spacing w:after="120"/>
      </w:pPr>
      <w:r w:rsidRPr="009A4905">
        <w:t>RGP</w:t>
      </w:r>
      <w:r w:rsidRPr="009A4905">
        <w:tab/>
        <w:t>Relevant Good Practice</w:t>
      </w:r>
    </w:p>
    <w:p w14:paraId="61AA87C4" w14:textId="77777777" w:rsidR="00936AC2" w:rsidRPr="009A4905" w:rsidRDefault="00936AC2" w:rsidP="00936AC2">
      <w:pPr>
        <w:tabs>
          <w:tab w:val="left" w:pos="2268"/>
        </w:tabs>
        <w:spacing w:after="120"/>
      </w:pPr>
      <w:r w:rsidRPr="009A4905">
        <w:t>SAPs</w:t>
      </w:r>
      <w:r w:rsidRPr="009A4905">
        <w:tab/>
        <w:t xml:space="preserve">Safety Assessment Principles </w:t>
      </w:r>
    </w:p>
    <w:p w14:paraId="66274637" w14:textId="77777777" w:rsidR="00936AC2" w:rsidRDefault="00936AC2" w:rsidP="00936AC2">
      <w:pPr>
        <w:tabs>
          <w:tab w:val="left" w:pos="2268"/>
        </w:tabs>
        <w:spacing w:after="120"/>
      </w:pPr>
      <w:r w:rsidRPr="009A4905">
        <w:t>SIS</w:t>
      </w:r>
      <w:r w:rsidRPr="009A4905">
        <w:tab/>
        <w:t>Security Improvement Schedule</w:t>
      </w:r>
    </w:p>
    <w:p w14:paraId="0BBD87EC" w14:textId="77777777" w:rsidR="00936AC2" w:rsidRPr="009A4905" w:rsidRDefault="00936AC2" w:rsidP="00936AC2">
      <w:pPr>
        <w:tabs>
          <w:tab w:val="left" w:pos="2268"/>
        </w:tabs>
        <w:spacing w:after="120"/>
      </w:pPr>
      <w:r w:rsidRPr="00B51C36">
        <w:t>SP</w:t>
      </w:r>
      <w:r>
        <w:tab/>
      </w:r>
      <w:r w:rsidRPr="00B51C36">
        <w:t>Share</w:t>
      </w:r>
      <w:r>
        <w:t>P</w:t>
      </w:r>
      <w:r w:rsidRPr="00B51C36">
        <w:t>oint (Microsoft)</w:t>
      </w:r>
      <w:r>
        <w:t xml:space="preserve"> – Record management system for WIReD</w:t>
      </w:r>
    </w:p>
    <w:p w14:paraId="01141758" w14:textId="77777777" w:rsidR="00936AC2" w:rsidRPr="009A4905" w:rsidRDefault="00936AC2" w:rsidP="00936AC2">
      <w:pPr>
        <w:tabs>
          <w:tab w:val="left" w:pos="2268"/>
        </w:tabs>
        <w:spacing w:after="120"/>
      </w:pPr>
      <w:r w:rsidRPr="009A4905">
        <w:t>SQEP</w:t>
      </w:r>
      <w:r w:rsidRPr="009A4905">
        <w:tab/>
        <w:t>Suitably Qualified and Experienced Person</w:t>
      </w:r>
    </w:p>
    <w:p w14:paraId="7AD03DB1" w14:textId="77777777" w:rsidR="00936AC2" w:rsidRPr="009A4905" w:rsidRDefault="00936AC2" w:rsidP="00936AC2">
      <w:pPr>
        <w:tabs>
          <w:tab w:val="left" w:pos="2268"/>
        </w:tabs>
        <w:spacing w:after="120"/>
      </w:pPr>
      <w:r w:rsidRPr="009A4905">
        <w:t>SRL</w:t>
      </w:r>
      <w:r w:rsidRPr="009A4905">
        <w:tab/>
        <w:t>Safety Reference Level</w:t>
      </w:r>
    </w:p>
    <w:p w14:paraId="21DBAE62" w14:textId="3D21CB8A" w:rsidR="00936AC2" w:rsidRPr="009A4905" w:rsidRDefault="00936AC2" w:rsidP="00936AC2">
      <w:pPr>
        <w:tabs>
          <w:tab w:val="left" w:pos="2268"/>
        </w:tabs>
        <w:spacing w:after="120"/>
      </w:pPr>
      <w:proofErr w:type="spellStart"/>
      <w:r w:rsidRPr="009A4905">
        <w:t>SyAP</w:t>
      </w:r>
      <w:r w:rsidR="007756C7">
        <w:t>s</w:t>
      </w:r>
      <w:proofErr w:type="spellEnd"/>
      <w:r w:rsidRPr="009A4905">
        <w:tab/>
        <w:t>Security Assessment Principles</w:t>
      </w:r>
    </w:p>
    <w:p w14:paraId="03BDA705" w14:textId="77777777" w:rsidR="00936AC2" w:rsidRDefault="00936AC2" w:rsidP="00936AC2">
      <w:pPr>
        <w:tabs>
          <w:tab w:val="left" w:pos="2268"/>
        </w:tabs>
        <w:spacing w:after="120"/>
      </w:pPr>
      <w:r w:rsidRPr="009A4905">
        <w:t>TAG</w:t>
      </w:r>
      <w:r w:rsidRPr="009A4905">
        <w:tab/>
        <w:t xml:space="preserve">Technical </w:t>
      </w:r>
      <w:r>
        <w:t>A</w:t>
      </w:r>
      <w:r w:rsidRPr="009A4905">
        <w:t xml:space="preserve">ssessment </w:t>
      </w:r>
      <w:r>
        <w:t>G</w:t>
      </w:r>
      <w:r w:rsidRPr="009A4905">
        <w:t>uide</w:t>
      </w:r>
    </w:p>
    <w:p w14:paraId="1DBD0DE3" w14:textId="77777777" w:rsidR="00936AC2" w:rsidRPr="009A4905" w:rsidRDefault="00936AC2" w:rsidP="00936AC2">
      <w:pPr>
        <w:tabs>
          <w:tab w:val="left" w:pos="2268"/>
        </w:tabs>
        <w:spacing w:after="120"/>
      </w:pPr>
      <w:r>
        <w:t>TIG</w:t>
      </w:r>
      <w:r>
        <w:tab/>
        <w:t>Technical Inspection Guide</w:t>
      </w:r>
    </w:p>
    <w:p w14:paraId="78CA713D" w14:textId="77777777" w:rsidR="00936AC2" w:rsidRDefault="00936AC2" w:rsidP="00936AC2">
      <w:pPr>
        <w:tabs>
          <w:tab w:val="left" w:pos="2268"/>
        </w:tabs>
        <w:spacing w:after="120"/>
      </w:pPr>
      <w:r w:rsidRPr="009A4905">
        <w:t>WENRA</w:t>
      </w:r>
      <w:r w:rsidRPr="009A4905">
        <w:tab/>
        <w:t>Western European Nuclear Regulators Association</w:t>
      </w:r>
    </w:p>
    <w:p w14:paraId="76F505C9" w14:textId="77777777" w:rsidR="00067590" w:rsidRDefault="00936AC2" w:rsidP="00936AC2">
      <w:pPr>
        <w:tabs>
          <w:tab w:val="left" w:pos="2268"/>
        </w:tabs>
        <w:spacing w:after="120"/>
        <w:sectPr w:rsidR="00067590" w:rsidSect="00B82646">
          <w:pgSz w:w="11906" w:h="16838" w:code="9"/>
          <w:pgMar w:top="1440" w:right="1080" w:bottom="1440" w:left="1080" w:header="397" w:footer="397" w:gutter="0"/>
          <w:cols w:space="312"/>
          <w:docGrid w:linePitch="360"/>
        </w:sectPr>
      </w:pPr>
      <w:r>
        <w:t>WIReD</w:t>
      </w:r>
      <w:r>
        <w:tab/>
        <w:t>Well Informed Regulatory Decisions (ONR management tool)</w:t>
      </w:r>
    </w:p>
    <w:p w14:paraId="368BF134" w14:textId="4A452484" w:rsidR="0003659E" w:rsidRDefault="0003659E" w:rsidP="0003659E">
      <w:pPr>
        <w:pStyle w:val="Heading1"/>
        <w:numPr>
          <w:ilvl w:val="0"/>
          <w:numId w:val="0"/>
        </w:numPr>
        <w:ind w:left="851" w:hanging="851"/>
      </w:pPr>
      <w:bookmarkStart w:id="28" w:name="_Toc121232771"/>
      <w:r>
        <w:lastRenderedPageBreak/>
        <w:t>Appendix 1 – Assessment Ratings Guide</w:t>
      </w:r>
      <w:bookmarkEnd w:id="28"/>
    </w:p>
    <w:p w14:paraId="31B1351A" w14:textId="77777777" w:rsidR="0003659E" w:rsidRPr="00FC5FA8" w:rsidRDefault="0003659E" w:rsidP="0003659E">
      <w:pPr>
        <w:pStyle w:val="F9-Paragraph"/>
        <w:numPr>
          <w:ilvl w:val="0"/>
          <w:numId w:val="0"/>
        </w:numPr>
        <w:ind w:left="851" w:hanging="851"/>
        <w:rPr>
          <w:rFonts w:eastAsia="Calibri"/>
        </w:rPr>
      </w:pPr>
      <w:r w:rsidRPr="00FC5FA8">
        <w:rPr>
          <w:rFonts w:eastAsia="Calibri"/>
        </w:rPr>
        <w:t xml:space="preserve">To use this guide, inspectors should identify applicable indicators from the list based on their </w:t>
      </w:r>
      <w:r>
        <w:rPr>
          <w:rFonts w:eastAsia="Calibri"/>
        </w:rPr>
        <w:t>assessment</w:t>
      </w:r>
      <w:r w:rsidRPr="00FC5FA8">
        <w:rPr>
          <w:rFonts w:eastAsia="Calibri"/>
        </w:rPr>
        <w:t xml:space="preserve"> findings. Then select an appropriate rating which is the best fit, overall.</w:t>
      </w:r>
    </w:p>
    <w:p w14:paraId="4F9144C7" w14:textId="5996C5C0" w:rsidR="0003659E" w:rsidRPr="00FC5FA8" w:rsidRDefault="0003659E" w:rsidP="0003659E">
      <w:pPr>
        <w:pStyle w:val="F9-Paragraph"/>
        <w:numPr>
          <w:ilvl w:val="0"/>
          <w:numId w:val="0"/>
        </w:numPr>
        <w:ind w:left="851" w:hanging="851"/>
        <w:rPr>
          <w:rFonts w:eastAsia="Calibri"/>
          <w:sz w:val="18"/>
          <w:szCs w:val="18"/>
        </w:rPr>
      </w:pPr>
      <w:proofErr w:type="gramStart"/>
      <w:r w:rsidRPr="00FC5FA8">
        <w:rPr>
          <w:rFonts w:eastAsia="Calibri"/>
        </w:rPr>
        <w:t>The majority of</w:t>
      </w:r>
      <w:proofErr w:type="gramEnd"/>
      <w:r w:rsidRPr="00FC5FA8">
        <w:rPr>
          <w:rFonts w:eastAsia="Calibri"/>
        </w:rPr>
        <w:t xml:space="preserve"> </w:t>
      </w:r>
      <w:r>
        <w:rPr>
          <w:rFonts w:eastAsia="Calibri"/>
        </w:rPr>
        <w:t>licensees</w:t>
      </w:r>
      <w:r w:rsidRPr="00FC5FA8">
        <w:rPr>
          <w:rFonts w:eastAsia="Calibri"/>
        </w:rPr>
        <w:t xml:space="preserve"> and duty holders should be operating predominantly with a rating of Green. </w:t>
      </w:r>
    </w:p>
    <w:tbl>
      <w:tblPr>
        <w:tblStyle w:val="ONRTable1"/>
        <w:tblpPr w:leftFromText="180" w:rightFromText="180" w:vertAnchor="text" w:horzAnchor="margin" w:tblpXSpec="center" w:tblpY="276"/>
        <w:tblW w:w="5000" w:type="pct"/>
        <w:tblInd w:w="0" w:type="dxa"/>
        <w:tblLook w:val="04A0" w:firstRow="1" w:lastRow="0" w:firstColumn="1" w:lastColumn="0" w:noHBand="0" w:noVBand="1"/>
      </w:tblPr>
      <w:tblGrid>
        <w:gridCol w:w="9360"/>
        <w:gridCol w:w="1666"/>
        <w:gridCol w:w="9905"/>
      </w:tblGrid>
      <w:tr w:rsidR="0003659E" w:rsidRPr="00ED5295" w14:paraId="01EE3ADE" w14:textId="77777777" w:rsidTr="00AF698E">
        <w:trPr>
          <w:cnfStyle w:val="100000000000" w:firstRow="1" w:lastRow="0" w:firstColumn="0" w:lastColumn="0" w:oddVBand="0" w:evenVBand="0" w:oddHBand="0" w:evenHBand="0" w:firstRowFirstColumn="0" w:firstRowLastColumn="0" w:lastRowFirstColumn="0" w:lastRowLastColumn="0"/>
          <w:cantSplit/>
          <w:trHeight w:val="444"/>
          <w:tblHeader/>
        </w:trPr>
        <w:tc>
          <w:tcPr>
            <w:tcW w:w="2236" w:type="pct"/>
          </w:tcPr>
          <w:p w14:paraId="13086588" w14:textId="77777777" w:rsidR="0003659E" w:rsidRPr="00ED5295" w:rsidRDefault="0003659E" w:rsidP="003A0917">
            <w:pPr>
              <w:jc w:val="center"/>
              <w:rPr>
                <w:rFonts w:cs="Arial"/>
                <w:b w:val="0"/>
              </w:rPr>
            </w:pPr>
            <w:r w:rsidRPr="00ED5295">
              <w:rPr>
                <w:rFonts w:cs="Arial"/>
              </w:rPr>
              <w:t xml:space="preserve">Indicative </w:t>
            </w:r>
            <w:r>
              <w:rPr>
                <w:rFonts w:cs="Arial"/>
              </w:rPr>
              <w:t>Assessment</w:t>
            </w:r>
            <w:r w:rsidRPr="00ED5295">
              <w:rPr>
                <w:rFonts w:cs="Arial"/>
              </w:rPr>
              <w:t xml:space="preserve"> Findings</w:t>
            </w:r>
          </w:p>
        </w:tc>
        <w:tc>
          <w:tcPr>
            <w:tcW w:w="398" w:type="pct"/>
          </w:tcPr>
          <w:p w14:paraId="442BC0B6" w14:textId="77777777" w:rsidR="0003659E" w:rsidRPr="00ED5295" w:rsidRDefault="0003659E" w:rsidP="003A0917">
            <w:pPr>
              <w:jc w:val="center"/>
              <w:rPr>
                <w:rFonts w:cs="Arial"/>
                <w:b w:val="0"/>
              </w:rPr>
            </w:pPr>
            <w:r w:rsidRPr="00ED5295">
              <w:rPr>
                <w:rFonts w:cs="Arial"/>
              </w:rPr>
              <w:t>Rating</w:t>
            </w:r>
          </w:p>
        </w:tc>
        <w:tc>
          <w:tcPr>
            <w:tcW w:w="2367" w:type="pct"/>
          </w:tcPr>
          <w:p w14:paraId="5D8CE9B2" w14:textId="77777777" w:rsidR="0003659E" w:rsidRPr="00ED5295" w:rsidRDefault="0003659E" w:rsidP="003A0917">
            <w:pPr>
              <w:jc w:val="center"/>
              <w:rPr>
                <w:rFonts w:cs="Arial"/>
                <w:b w:val="0"/>
              </w:rPr>
            </w:pPr>
            <w:r w:rsidRPr="00ED5295">
              <w:rPr>
                <w:rFonts w:cs="Arial"/>
              </w:rPr>
              <w:t>ONR Response</w:t>
            </w:r>
          </w:p>
        </w:tc>
      </w:tr>
      <w:tr w:rsidR="0003659E" w:rsidRPr="00ED5295" w14:paraId="17F05109" w14:textId="77777777" w:rsidTr="00AF698E">
        <w:trPr>
          <w:cantSplit/>
          <w:trHeight w:val="792"/>
        </w:trPr>
        <w:tc>
          <w:tcPr>
            <w:tcW w:w="2236" w:type="pct"/>
            <w:vMerge w:val="restart"/>
          </w:tcPr>
          <w:p w14:paraId="7894BDBF"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Relevant good practice generally met, or minor shortfalls identified, when compared with appropriate benchmarks.</w:t>
            </w:r>
          </w:p>
          <w:p w14:paraId="7D402DB0"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There may be some opportunities for improvement to reduce risks to ALARP or enhance security measures.</w:t>
            </w:r>
          </w:p>
          <w:p w14:paraId="2225A8F5"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There may be some examples of standards being used as a reference at national/international level.</w:t>
            </w:r>
          </w:p>
          <w:p w14:paraId="19CF87C3"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Relatively minor, if any, deficiencies in the technical quality of the safety case or security plan when judged in terms of being intelligible, complete, valid, evidential, robust, integrated, balanced, and forward looking.</w:t>
            </w:r>
          </w:p>
          <w:p w14:paraId="499805A0"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No regulatory intervention and guidance needed with relatively minor, if any, issues being raised for clarification.</w:t>
            </w:r>
          </w:p>
          <w:p w14:paraId="681CB765"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Relatively minor, if any, deficiencies in safety case compliance arrangements or their implementation under LC13, LC14, LC15 and LC23.</w:t>
            </w:r>
          </w:p>
          <w:p w14:paraId="30B48997" w14:textId="548A3CB5"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 xml:space="preserve">Relatively </w:t>
            </w:r>
            <w:r w:rsidR="007756C7" w:rsidRPr="0003659E">
              <w:rPr>
                <w:rFonts w:cs="Arial"/>
                <w:szCs w:val="24"/>
              </w:rPr>
              <w:t>minor if</w:t>
            </w:r>
            <w:r w:rsidRPr="0003659E">
              <w:rPr>
                <w:rFonts w:cs="Arial"/>
                <w:szCs w:val="24"/>
              </w:rPr>
              <w:t xml:space="preserve"> any deficiencies in security plan compliance arrangements under NISR 2003. </w:t>
            </w:r>
          </w:p>
          <w:p w14:paraId="190F2EEA"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Safety case, periodic review or security plan submitted on time or slightly late.</w:t>
            </w:r>
          </w:p>
          <w:p w14:paraId="76877E4D"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There may be some examples of best practice which have been observed and recorded.</w:t>
            </w:r>
          </w:p>
        </w:tc>
        <w:tc>
          <w:tcPr>
            <w:tcW w:w="398" w:type="pct"/>
            <w:vMerge w:val="restart"/>
            <w:shd w:val="clear" w:color="auto" w:fill="00B050"/>
          </w:tcPr>
          <w:p w14:paraId="4705521F" w14:textId="77777777" w:rsidR="0003659E" w:rsidRPr="00ED5295" w:rsidRDefault="0003659E" w:rsidP="003A0917">
            <w:pPr>
              <w:jc w:val="center"/>
              <w:rPr>
                <w:rFonts w:cs="Arial"/>
              </w:rPr>
            </w:pPr>
            <w:r w:rsidRPr="00ED5295">
              <w:rPr>
                <w:rFonts w:cs="Arial"/>
                <w:b/>
              </w:rPr>
              <w:t>Green</w:t>
            </w:r>
          </w:p>
        </w:tc>
        <w:tc>
          <w:tcPr>
            <w:tcW w:w="2367" w:type="pct"/>
            <w:vMerge w:val="restart"/>
          </w:tcPr>
          <w:p w14:paraId="6AEE5A3B" w14:textId="77777777" w:rsidR="0003659E" w:rsidRPr="0003659E" w:rsidRDefault="0003659E" w:rsidP="003A0917">
            <w:pPr>
              <w:rPr>
                <w:rFonts w:cs="Arial"/>
                <w:b/>
                <w:szCs w:val="24"/>
              </w:rPr>
            </w:pPr>
            <w:r w:rsidRPr="0003659E">
              <w:rPr>
                <w:rFonts w:cs="Arial"/>
                <w:b/>
                <w:szCs w:val="24"/>
              </w:rPr>
              <w:t>No Formal Action</w:t>
            </w:r>
          </w:p>
          <w:p w14:paraId="550883A4"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Provide feedback on the rating and key points to be recorded in the Assessment Report.</w:t>
            </w:r>
          </w:p>
          <w:p w14:paraId="42AF0E4F"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If appropriate, provide regulatory advice on how to address any identified areas for improvement.</w:t>
            </w:r>
          </w:p>
          <w:p w14:paraId="50C4BD79"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Expect the licensee/duty holder to address any identified improvements and manage resolution via their internal management controls.</w:t>
            </w:r>
          </w:p>
          <w:p w14:paraId="26A59D74"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If safety case or periodic safety review supports a permissioning decision recommend issuing consent/approval/agreement.</w:t>
            </w:r>
          </w:p>
          <w:p w14:paraId="3A964475"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If security plan supports a permissioning decision recommend issuing approval.</w:t>
            </w:r>
          </w:p>
          <w:p w14:paraId="31CD03C3" w14:textId="5647C1D8"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Make a Level 4 Regulatory Issues Database entry, if necessary, to monitor licensee/duty holder progress.</w:t>
            </w:r>
            <w:r w:rsidR="0010269D">
              <w:rPr>
                <w:rFonts w:cs="Arial"/>
                <w:szCs w:val="24"/>
              </w:rPr>
              <w:t xml:space="preserve"> </w:t>
            </w:r>
          </w:p>
          <w:p w14:paraId="21161FB7"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 xml:space="preserve">Record any examples of best practice in the Assessment Report and acknowledge these to the licensee/duty holder. </w:t>
            </w:r>
          </w:p>
          <w:p w14:paraId="68CB7B15" w14:textId="77777777" w:rsidR="0003659E" w:rsidRPr="0003659E" w:rsidRDefault="0003659E" w:rsidP="0003659E">
            <w:pPr>
              <w:numPr>
                <w:ilvl w:val="0"/>
                <w:numId w:val="36"/>
              </w:numPr>
              <w:spacing w:after="0" w:line="240" w:lineRule="auto"/>
              <w:contextualSpacing/>
              <w:rPr>
                <w:rFonts w:cs="Arial"/>
                <w:szCs w:val="24"/>
              </w:rPr>
            </w:pPr>
            <w:r w:rsidRPr="0003659E">
              <w:rPr>
                <w:rFonts w:cs="Arial"/>
                <w:szCs w:val="24"/>
              </w:rPr>
              <w:t>Record advice given regarding continuous improvement and best practice.</w:t>
            </w:r>
          </w:p>
          <w:p w14:paraId="613DB908" w14:textId="77777777" w:rsidR="0003659E" w:rsidRPr="0003659E" w:rsidRDefault="0003659E" w:rsidP="003A0917">
            <w:pPr>
              <w:ind w:left="720"/>
              <w:contextualSpacing/>
              <w:rPr>
                <w:rFonts w:cs="Arial"/>
                <w:szCs w:val="24"/>
              </w:rPr>
            </w:pPr>
          </w:p>
        </w:tc>
      </w:tr>
      <w:tr w:rsidR="0003659E" w:rsidRPr="00ED5295" w14:paraId="1D7C53C8" w14:textId="77777777" w:rsidTr="00AF698E">
        <w:trPr>
          <w:cantSplit/>
          <w:trHeight w:val="929"/>
        </w:trPr>
        <w:tc>
          <w:tcPr>
            <w:tcW w:w="2236" w:type="pct"/>
            <w:vMerge/>
          </w:tcPr>
          <w:p w14:paraId="796173AC" w14:textId="77777777" w:rsidR="0003659E" w:rsidRPr="0003659E" w:rsidRDefault="0003659E" w:rsidP="003A0917">
            <w:pPr>
              <w:rPr>
                <w:rFonts w:cs="Arial"/>
                <w:szCs w:val="24"/>
              </w:rPr>
            </w:pPr>
          </w:p>
        </w:tc>
        <w:tc>
          <w:tcPr>
            <w:tcW w:w="398" w:type="pct"/>
            <w:vMerge/>
            <w:shd w:val="clear" w:color="auto" w:fill="00B050"/>
          </w:tcPr>
          <w:p w14:paraId="2A9F9089" w14:textId="77777777" w:rsidR="0003659E" w:rsidRPr="00ED5295" w:rsidRDefault="0003659E" w:rsidP="003A0917">
            <w:pPr>
              <w:rPr>
                <w:rFonts w:cs="Arial"/>
              </w:rPr>
            </w:pPr>
          </w:p>
        </w:tc>
        <w:tc>
          <w:tcPr>
            <w:tcW w:w="2367" w:type="pct"/>
            <w:vMerge/>
          </w:tcPr>
          <w:p w14:paraId="4678A5C5" w14:textId="77777777" w:rsidR="0003659E" w:rsidRPr="0003659E" w:rsidRDefault="0003659E" w:rsidP="003A0917">
            <w:pPr>
              <w:rPr>
                <w:rFonts w:cs="Arial"/>
                <w:szCs w:val="24"/>
              </w:rPr>
            </w:pPr>
          </w:p>
        </w:tc>
      </w:tr>
      <w:tr w:rsidR="0003659E" w:rsidRPr="00ED5295" w14:paraId="6271A735" w14:textId="77777777" w:rsidTr="00AF698E">
        <w:trPr>
          <w:cantSplit/>
          <w:trHeight w:val="1087"/>
        </w:trPr>
        <w:tc>
          <w:tcPr>
            <w:tcW w:w="2236" w:type="pct"/>
            <w:vMerge/>
          </w:tcPr>
          <w:p w14:paraId="45A6D1A2" w14:textId="77777777" w:rsidR="0003659E" w:rsidRPr="0003659E" w:rsidRDefault="0003659E" w:rsidP="003A0917">
            <w:pPr>
              <w:rPr>
                <w:rFonts w:cs="Arial"/>
                <w:szCs w:val="24"/>
              </w:rPr>
            </w:pPr>
          </w:p>
        </w:tc>
        <w:tc>
          <w:tcPr>
            <w:tcW w:w="398" w:type="pct"/>
            <w:vMerge/>
            <w:shd w:val="clear" w:color="auto" w:fill="00B050"/>
          </w:tcPr>
          <w:p w14:paraId="2BC5139D" w14:textId="77777777" w:rsidR="0003659E" w:rsidRPr="00ED5295" w:rsidRDefault="0003659E" w:rsidP="003A0917">
            <w:pPr>
              <w:rPr>
                <w:rFonts w:cs="Arial"/>
              </w:rPr>
            </w:pPr>
          </w:p>
        </w:tc>
        <w:tc>
          <w:tcPr>
            <w:tcW w:w="2367" w:type="pct"/>
            <w:vMerge/>
          </w:tcPr>
          <w:p w14:paraId="428E26C2" w14:textId="77777777" w:rsidR="0003659E" w:rsidRPr="0003659E" w:rsidRDefault="0003659E" w:rsidP="003A0917">
            <w:pPr>
              <w:rPr>
                <w:rFonts w:cs="Arial"/>
                <w:szCs w:val="24"/>
              </w:rPr>
            </w:pPr>
          </w:p>
        </w:tc>
      </w:tr>
      <w:tr w:rsidR="0003659E" w:rsidRPr="00ED5295" w14:paraId="318D7ABC" w14:textId="77777777" w:rsidTr="00AF698E">
        <w:trPr>
          <w:cantSplit/>
          <w:trHeight w:val="530"/>
        </w:trPr>
        <w:tc>
          <w:tcPr>
            <w:tcW w:w="2236" w:type="pct"/>
            <w:vMerge/>
          </w:tcPr>
          <w:p w14:paraId="3D288814" w14:textId="77777777" w:rsidR="0003659E" w:rsidRPr="0003659E" w:rsidRDefault="0003659E" w:rsidP="003A0917">
            <w:pPr>
              <w:rPr>
                <w:rFonts w:cs="Arial"/>
                <w:szCs w:val="24"/>
              </w:rPr>
            </w:pPr>
          </w:p>
        </w:tc>
        <w:tc>
          <w:tcPr>
            <w:tcW w:w="398" w:type="pct"/>
            <w:vMerge/>
            <w:shd w:val="clear" w:color="auto" w:fill="00B050"/>
          </w:tcPr>
          <w:p w14:paraId="56F9295A" w14:textId="77777777" w:rsidR="0003659E" w:rsidRPr="00ED5295" w:rsidRDefault="0003659E" w:rsidP="003A0917">
            <w:pPr>
              <w:rPr>
                <w:rFonts w:cs="Arial"/>
              </w:rPr>
            </w:pPr>
          </w:p>
        </w:tc>
        <w:tc>
          <w:tcPr>
            <w:tcW w:w="2367" w:type="pct"/>
            <w:vMerge/>
          </w:tcPr>
          <w:p w14:paraId="2FB4437A" w14:textId="77777777" w:rsidR="0003659E" w:rsidRPr="0003659E" w:rsidRDefault="0003659E" w:rsidP="003A0917">
            <w:pPr>
              <w:rPr>
                <w:rFonts w:cs="Arial"/>
                <w:szCs w:val="24"/>
              </w:rPr>
            </w:pPr>
          </w:p>
        </w:tc>
      </w:tr>
      <w:tr w:rsidR="0003659E" w:rsidRPr="00ED5295" w14:paraId="0554BABF" w14:textId="77777777" w:rsidTr="00AF698E">
        <w:trPr>
          <w:cantSplit/>
          <w:trHeight w:val="3007"/>
        </w:trPr>
        <w:tc>
          <w:tcPr>
            <w:tcW w:w="2236" w:type="pct"/>
            <w:vMerge w:val="restart"/>
          </w:tcPr>
          <w:p w14:paraId="6EB9A2C4"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Significant shortfall against relevant good practice or established standards when compared with appropriate benchmarks.</w:t>
            </w:r>
          </w:p>
          <w:p w14:paraId="62A635A8" w14:textId="77777777" w:rsidR="0003659E" w:rsidRPr="0003659E" w:rsidRDefault="0003659E" w:rsidP="0003659E">
            <w:pPr>
              <w:pStyle w:val="ListParagraph"/>
              <w:numPr>
                <w:ilvl w:val="0"/>
                <w:numId w:val="36"/>
              </w:numPr>
              <w:spacing w:after="0" w:line="240" w:lineRule="auto"/>
              <w:rPr>
                <w:rFonts w:cs="Arial"/>
                <w:szCs w:val="24"/>
              </w:rPr>
            </w:pPr>
            <w:r w:rsidRPr="0003659E">
              <w:rPr>
                <w:rFonts w:cs="Arial"/>
                <w:szCs w:val="24"/>
              </w:rPr>
              <w:t>Significant or systematic failure in the technical quality of the safety case or security plan when judged in terms of being intelligible, complete, valid, evidential, robust, integrated, balanced, and forward looking.</w:t>
            </w:r>
          </w:p>
          <w:p w14:paraId="1D6562FF"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Significant regulatory intervention and guidance needed with many technical issues being raised requiring regulatory follow-up.</w:t>
            </w:r>
          </w:p>
          <w:p w14:paraId="559398DE"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Significant or systematic failure in safety case compliance arrangements or their implementation under LC13, LC14, LC15 and LC23.</w:t>
            </w:r>
          </w:p>
          <w:p w14:paraId="1A5C5A63"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Significant gaps in dutyholder ability to demonstrate achievement of security outcomes.</w:t>
            </w:r>
          </w:p>
          <w:p w14:paraId="6404445B"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Significant or systematic failure in security plan compliance arrangements or their implementation under NISR 2003.</w:t>
            </w:r>
          </w:p>
          <w:p w14:paraId="12BF4056"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Safety case, periodic review or security plan improvements submitted well past agreed time.</w:t>
            </w:r>
          </w:p>
          <w:p w14:paraId="4E13DE96" w14:textId="77777777" w:rsidR="0003659E" w:rsidRPr="0003659E" w:rsidRDefault="0003659E" w:rsidP="003A0917">
            <w:pPr>
              <w:contextualSpacing/>
              <w:rPr>
                <w:rFonts w:cs="Arial"/>
                <w:szCs w:val="24"/>
              </w:rPr>
            </w:pPr>
          </w:p>
        </w:tc>
        <w:tc>
          <w:tcPr>
            <w:tcW w:w="398" w:type="pct"/>
            <w:vMerge w:val="restart"/>
            <w:shd w:val="clear" w:color="auto" w:fill="FFC000"/>
          </w:tcPr>
          <w:p w14:paraId="6B4EF4EF" w14:textId="77777777" w:rsidR="0003659E" w:rsidRPr="00ED5295" w:rsidRDefault="0003659E" w:rsidP="003A0917">
            <w:pPr>
              <w:jc w:val="center"/>
              <w:rPr>
                <w:rFonts w:cs="Arial"/>
              </w:rPr>
            </w:pPr>
            <w:r w:rsidRPr="00ED5295">
              <w:rPr>
                <w:rFonts w:cs="Arial"/>
                <w:b/>
              </w:rPr>
              <w:t>Amber</w:t>
            </w:r>
          </w:p>
        </w:tc>
        <w:tc>
          <w:tcPr>
            <w:tcW w:w="2367" w:type="pct"/>
            <w:vMerge w:val="restart"/>
          </w:tcPr>
          <w:p w14:paraId="504512A2" w14:textId="77777777" w:rsidR="0003659E" w:rsidRPr="0003659E" w:rsidRDefault="0003659E" w:rsidP="003A0917">
            <w:pPr>
              <w:rPr>
                <w:rFonts w:cs="Arial"/>
                <w:b/>
                <w:szCs w:val="24"/>
              </w:rPr>
            </w:pPr>
            <w:r w:rsidRPr="0003659E">
              <w:rPr>
                <w:rFonts w:cs="Arial"/>
                <w:b/>
                <w:szCs w:val="24"/>
              </w:rPr>
              <w:t>Seek Improvement</w:t>
            </w:r>
          </w:p>
          <w:p w14:paraId="04E8B868"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Provide feedback on the rating and key points from the assessment to be recorded in the AR.</w:t>
            </w:r>
          </w:p>
          <w:p w14:paraId="6EF7224E"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Identify and discuss any significant shortfalls with the licensee/duty holder, at an appropriate level. </w:t>
            </w:r>
          </w:p>
          <w:p w14:paraId="19EBF0D7" w14:textId="4A640912"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Review the shortfall(s) against the ONR Enforcement Management Model</w:t>
            </w:r>
            <w:r w:rsidR="007756C7">
              <w:rPr>
                <w:rFonts w:cs="Arial"/>
                <w:szCs w:val="24"/>
              </w:rPr>
              <w:t xml:space="preserve"> (ref. </w:t>
            </w:r>
            <w:sdt>
              <w:sdtPr>
                <w:rPr>
                  <w:szCs w:val="24"/>
                </w:rPr>
                <w:id w:val="281625565"/>
                <w:citation/>
              </w:sdtPr>
              <w:sdtEndPr/>
              <w:sdtContent>
                <w:r w:rsidR="007756C7">
                  <w:rPr>
                    <w:szCs w:val="24"/>
                  </w:rPr>
                  <w:fldChar w:fldCharType="begin"/>
                </w:r>
                <w:r w:rsidR="007756C7">
                  <w:rPr>
                    <w:rFonts w:cs="Arial"/>
                    <w:szCs w:val="24"/>
                  </w:rPr>
                  <w:instrText xml:space="preserve"> CITATION ONR27 \l 2057 </w:instrText>
                </w:r>
                <w:r w:rsidR="007756C7">
                  <w:rPr>
                    <w:szCs w:val="24"/>
                  </w:rPr>
                  <w:fldChar w:fldCharType="separate"/>
                </w:r>
                <w:r w:rsidR="00FF26DD" w:rsidRPr="00FF26DD">
                  <w:rPr>
                    <w:rFonts w:cs="Arial"/>
                    <w:noProof/>
                    <w:szCs w:val="24"/>
                  </w:rPr>
                  <w:t>[16]</w:t>
                </w:r>
                <w:r w:rsidR="007756C7">
                  <w:rPr>
                    <w:szCs w:val="24"/>
                  </w:rPr>
                  <w:fldChar w:fldCharType="end"/>
                </w:r>
              </w:sdtContent>
            </w:sdt>
            <w:r w:rsidR="007756C7">
              <w:rPr>
                <w:rFonts w:cs="Arial"/>
                <w:szCs w:val="24"/>
              </w:rPr>
              <w:t>)</w:t>
            </w:r>
            <w:r w:rsidRPr="0003659E">
              <w:rPr>
                <w:rFonts w:cs="Arial"/>
                <w:szCs w:val="24"/>
              </w:rPr>
              <w:t>.</w:t>
            </w:r>
          </w:p>
          <w:p w14:paraId="0B832E2B" w14:textId="716AFF16"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If the safety case supports a permissioning </w:t>
            </w:r>
            <w:r w:rsidR="007756C7" w:rsidRPr="0003659E">
              <w:rPr>
                <w:rFonts w:cs="Arial"/>
                <w:szCs w:val="24"/>
              </w:rPr>
              <w:t>decision,</w:t>
            </w:r>
            <w:r w:rsidRPr="0003659E">
              <w:rPr>
                <w:rFonts w:cs="Arial"/>
                <w:szCs w:val="24"/>
              </w:rPr>
              <w:t xml:space="preserve"> consider withholding consent/approval/agreement.</w:t>
            </w:r>
          </w:p>
          <w:p w14:paraId="428ED4BA" w14:textId="30C8E275"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If the security plan supports a permissioning </w:t>
            </w:r>
            <w:r w:rsidR="007756C7" w:rsidRPr="0003659E">
              <w:rPr>
                <w:rFonts w:cs="Arial"/>
                <w:szCs w:val="24"/>
              </w:rPr>
              <w:t>decision,</w:t>
            </w:r>
            <w:r w:rsidRPr="0003659E">
              <w:rPr>
                <w:rFonts w:cs="Arial"/>
                <w:szCs w:val="24"/>
              </w:rPr>
              <w:t xml:space="preserve"> consider withholding approval.</w:t>
            </w:r>
          </w:p>
          <w:p w14:paraId="7C83CABE"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Make a Regulatory Issues Database entry at Level 3 or above to log any enforcement communication and to track progress.</w:t>
            </w:r>
          </w:p>
          <w:p w14:paraId="6705DFCB" w14:textId="77777777" w:rsidR="0003659E" w:rsidRPr="0003659E" w:rsidRDefault="0003659E" w:rsidP="0003659E">
            <w:pPr>
              <w:numPr>
                <w:ilvl w:val="0"/>
                <w:numId w:val="37"/>
              </w:numPr>
              <w:spacing w:after="0" w:line="240" w:lineRule="auto"/>
              <w:contextualSpacing/>
              <w:rPr>
                <w:rFonts w:cs="Arial"/>
                <w:szCs w:val="24"/>
              </w:rPr>
            </w:pPr>
            <w:r w:rsidRPr="0003659E">
              <w:rPr>
                <w:rFonts w:cs="Arial"/>
                <w:szCs w:val="24"/>
              </w:rPr>
              <w:t>Follow-up and close out the Regulatory Issue when complete.</w:t>
            </w:r>
          </w:p>
          <w:p w14:paraId="676769DA" w14:textId="77777777" w:rsidR="0003659E" w:rsidRPr="0003659E" w:rsidRDefault="0003659E" w:rsidP="003A0917">
            <w:pPr>
              <w:ind w:left="720"/>
              <w:contextualSpacing/>
              <w:rPr>
                <w:rFonts w:cs="Arial"/>
                <w:szCs w:val="24"/>
              </w:rPr>
            </w:pPr>
            <w:r w:rsidRPr="0003659E">
              <w:rPr>
                <w:rFonts w:cs="Arial"/>
                <w:szCs w:val="24"/>
              </w:rPr>
              <w:t xml:space="preserve"> </w:t>
            </w:r>
          </w:p>
        </w:tc>
      </w:tr>
      <w:tr w:rsidR="0003659E" w:rsidRPr="00ED5295" w14:paraId="6E985A54" w14:textId="77777777" w:rsidTr="00AF698E">
        <w:trPr>
          <w:cantSplit/>
          <w:trHeight w:val="530"/>
        </w:trPr>
        <w:tc>
          <w:tcPr>
            <w:tcW w:w="2236" w:type="pct"/>
            <w:vMerge/>
          </w:tcPr>
          <w:p w14:paraId="1E8CF01B" w14:textId="77777777" w:rsidR="0003659E" w:rsidRPr="0003659E" w:rsidRDefault="0003659E" w:rsidP="003A0917">
            <w:pPr>
              <w:rPr>
                <w:rFonts w:cs="Arial"/>
                <w:szCs w:val="24"/>
              </w:rPr>
            </w:pPr>
          </w:p>
        </w:tc>
        <w:tc>
          <w:tcPr>
            <w:tcW w:w="398" w:type="pct"/>
            <w:vMerge/>
            <w:shd w:val="clear" w:color="auto" w:fill="FFC000"/>
          </w:tcPr>
          <w:p w14:paraId="1FE3F08F" w14:textId="77777777" w:rsidR="0003659E" w:rsidRPr="00ED5295" w:rsidRDefault="0003659E" w:rsidP="003A0917">
            <w:pPr>
              <w:rPr>
                <w:rFonts w:cs="Arial"/>
              </w:rPr>
            </w:pPr>
          </w:p>
        </w:tc>
        <w:tc>
          <w:tcPr>
            <w:tcW w:w="2367" w:type="pct"/>
            <w:vMerge/>
          </w:tcPr>
          <w:p w14:paraId="069072FF" w14:textId="77777777" w:rsidR="0003659E" w:rsidRPr="0003659E" w:rsidRDefault="0003659E" w:rsidP="003A0917">
            <w:pPr>
              <w:rPr>
                <w:rFonts w:cs="Arial"/>
                <w:szCs w:val="24"/>
              </w:rPr>
            </w:pPr>
          </w:p>
        </w:tc>
      </w:tr>
      <w:tr w:rsidR="0003659E" w:rsidRPr="00ED5295" w14:paraId="1FF3117C" w14:textId="77777777" w:rsidTr="00AF698E">
        <w:trPr>
          <w:cantSplit/>
          <w:trHeight w:val="1334"/>
        </w:trPr>
        <w:tc>
          <w:tcPr>
            <w:tcW w:w="2236" w:type="pct"/>
          </w:tcPr>
          <w:p w14:paraId="34FF55A5"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Major non-compliance with defined or established standards necessary to ensure nuclear safety or security.</w:t>
            </w:r>
          </w:p>
          <w:p w14:paraId="428568DE"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Major inadequacies in the safety case or security plan which require prompt regulatory intervention. </w:t>
            </w:r>
          </w:p>
          <w:p w14:paraId="1314E2E5"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lastRenderedPageBreak/>
              <w:t>Persistent need for regulatory intervention and guidance with multiple issues requiring frequent regulatory contact.</w:t>
            </w:r>
          </w:p>
          <w:p w14:paraId="2351214B"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Major shortfall in safety or security requirements revealed </w:t>
            </w:r>
            <w:proofErr w:type="gramStart"/>
            <w:r w:rsidRPr="0003659E">
              <w:rPr>
                <w:rFonts w:cs="Arial"/>
                <w:szCs w:val="24"/>
              </w:rPr>
              <w:t>as a result of</w:t>
            </w:r>
            <w:proofErr w:type="gramEnd"/>
            <w:r w:rsidRPr="0003659E">
              <w:rPr>
                <w:rFonts w:cs="Arial"/>
                <w:szCs w:val="24"/>
              </w:rPr>
              <w:t xml:space="preserve"> a periodic review of the safety case or security plan, an incident on the site, or any examination, inspection, maintenance or test of any part of a plant indicating that the safe operation or safe condition of the plant may be affected so giving rise to a significant and discernible risk gap to members of the public or workers under the EMM.</w:t>
            </w:r>
          </w:p>
          <w:p w14:paraId="7A76F343" w14:textId="25A478E6"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Submission of safety case, periodic </w:t>
            </w:r>
            <w:proofErr w:type="gramStart"/>
            <w:r w:rsidRPr="0003659E">
              <w:rPr>
                <w:rFonts w:cs="Arial"/>
                <w:szCs w:val="24"/>
              </w:rPr>
              <w:t>review</w:t>
            </w:r>
            <w:proofErr w:type="gramEnd"/>
            <w:r w:rsidRPr="0003659E">
              <w:rPr>
                <w:rFonts w:cs="Arial"/>
                <w:szCs w:val="24"/>
              </w:rPr>
              <w:t xml:space="preserve"> or security plan severely delayed, when the intent of the submission is to </w:t>
            </w:r>
            <w:r w:rsidR="007756C7" w:rsidRPr="0003659E">
              <w:rPr>
                <w:rFonts w:cs="Arial"/>
                <w:szCs w:val="24"/>
              </w:rPr>
              <w:t>justify</w:t>
            </w:r>
            <w:r w:rsidRPr="0003659E">
              <w:rPr>
                <w:rFonts w:cs="Arial"/>
                <w:szCs w:val="24"/>
              </w:rPr>
              <w:t xml:space="preserve"> continued operation when a major shortfall in safety or security requirements has been revealed.</w:t>
            </w:r>
          </w:p>
          <w:p w14:paraId="405F5A4F" w14:textId="00C81F00" w:rsidR="0003659E" w:rsidRPr="0003659E" w:rsidRDefault="0003659E" w:rsidP="003A0917">
            <w:pPr>
              <w:pStyle w:val="ListParagraph"/>
              <w:rPr>
                <w:rFonts w:cs="Arial"/>
                <w:szCs w:val="24"/>
              </w:rPr>
            </w:pPr>
            <w:r w:rsidRPr="0003659E">
              <w:rPr>
                <w:rFonts w:cs="Arial"/>
                <w:szCs w:val="24"/>
              </w:rPr>
              <w:t>Failure to deliver safety case or security improvements and commitments previously identified in ONR enforcement communications.</w:t>
            </w:r>
            <w:r w:rsidR="0010269D">
              <w:rPr>
                <w:rFonts w:ascii="Calibri" w:hAnsi="Calibri"/>
                <w:i/>
                <w:iCs/>
                <w:color w:val="FF0000"/>
                <w:szCs w:val="24"/>
              </w:rPr>
              <w:t xml:space="preserve"> </w:t>
            </w:r>
          </w:p>
        </w:tc>
        <w:tc>
          <w:tcPr>
            <w:tcW w:w="398" w:type="pct"/>
            <w:shd w:val="clear" w:color="auto" w:fill="FF0000"/>
          </w:tcPr>
          <w:p w14:paraId="2518640A" w14:textId="77777777" w:rsidR="0003659E" w:rsidRPr="00ED5295" w:rsidRDefault="0003659E" w:rsidP="003A0917">
            <w:pPr>
              <w:jc w:val="center"/>
              <w:rPr>
                <w:rFonts w:cs="Arial"/>
              </w:rPr>
            </w:pPr>
            <w:r w:rsidRPr="00ED5295">
              <w:rPr>
                <w:rFonts w:cs="Arial"/>
                <w:b/>
              </w:rPr>
              <w:lastRenderedPageBreak/>
              <w:t>Red</w:t>
            </w:r>
          </w:p>
        </w:tc>
        <w:tc>
          <w:tcPr>
            <w:tcW w:w="2367" w:type="pct"/>
          </w:tcPr>
          <w:p w14:paraId="4B30130A" w14:textId="77777777" w:rsidR="0003659E" w:rsidRPr="0003659E" w:rsidRDefault="0003659E" w:rsidP="003A0917">
            <w:pPr>
              <w:rPr>
                <w:rFonts w:cs="Arial"/>
                <w:b/>
                <w:szCs w:val="24"/>
              </w:rPr>
            </w:pPr>
            <w:r w:rsidRPr="0003659E">
              <w:rPr>
                <w:rFonts w:cs="Arial"/>
                <w:b/>
                <w:szCs w:val="24"/>
              </w:rPr>
              <w:t>Demand Improvement</w:t>
            </w:r>
          </w:p>
          <w:p w14:paraId="0E573C5B"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Provide feedback on the rating and key points from the assessment to be recorded in the AR.</w:t>
            </w:r>
          </w:p>
          <w:p w14:paraId="43B31ABE"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lastRenderedPageBreak/>
              <w:t>Raise the identified shortfall(s) with the relevant licensee/duty holder leadership and note the potential for enforcement action.</w:t>
            </w:r>
          </w:p>
          <w:p w14:paraId="4915C0E4"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Draw the matter to the attention of the relevant Programme Delivery Lead.</w:t>
            </w:r>
          </w:p>
          <w:p w14:paraId="6295CACF" w14:textId="18DF9279" w:rsidR="0003659E" w:rsidRPr="0003659E" w:rsidRDefault="0003659E" w:rsidP="0003659E">
            <w:pPr>
              <w:numPr>
                <w:ilvl w:val="0"/>
                <w:numId w:val="37"/>
              </w:numPr>
              <w:spacing w:after="0" w:line="240" w:lineRule="auto"/>
              <w:contextualSpacing/>
              <w:rPr>
                <w:rFonts w:cs="Arial"/>
                <w:szCs w:val="24"/>
              </w:rPr>
            </w:pPr>
            <w:r w:rsidRPr="0003659E">
              <w:rPr>
                <w:rFonts w:cs="Arial"/>
                <w:szCs w:val="24"/>
              </w:rPr>
              <w:t>Review the shortfall(s) against the ONR Enforcement Management Model</w:t>
            </w:r>
            <w:r w:rsidR="007756C7">
              <w:rPr>
                <w:rFonts w:cs="Arial"/>
                <w:szCs w:val="24"/>
              </w:rPr>
              <w:t xml:space="preserve"> (ref. </w:t>
            </w:r>
            <w:sdt>
              <w:sdtPr>
                <w:rPr>
                  <w:szCs w:val="24"/>
                </w:rPr>
                <w:id w:val="-529564077"/>
                <w:citation/>
              </w:sdtPr>
              <w:sdtEndPr/>
              <w:sdtContent>
                <w:r w:rsidR="007756C7">
                  <w:rPr>
                    <w:szCs w:val="24"/>
                  </w:rPr>
                  <w:fldChar w:fldCharType="begin"/>
                </w:r>
                <w:r w:rsidR="007756C7">
                  <w:rPr>
                    <w:rFonts w:cs="Arial"/>
                    <w:szCs w:val="24"/>
                  </w:rPr>
                  <w:instrText xml:space="preserve"> CITATION ONR27 \l 2057 </w:instrText>
                </w:r>
                <w:r w:rsidR="007756C7">
                  <w:rPr>
                    <w:szCs w:val="24"/>
                  </w:rPr>
                  <w:fldChar w:fldCharType="separate"/>
                </w:r>
                <w:r w:rsidR="00FF26DD" w:rsidRPr="00FF26DD">
                  <w:rPr>
                    <w:rFonts w:cs="Arial"/>
                    <w:noProof/>
                    <w:szCs w:val="24"/>
                  </w:rPr>
                  <w:t>[16]</w:t>
                </w:r>
                <w:r w:rsidR="007756C7">
                  <w:rPr>
                    <w:szCs w:val="24"/>
                  </w:rPr>
                  <w:fldChar w:fldCharType="end"/>
                </w:r>
              </w:sdtContent>
            </w:sdt>
            <w:r w:rsidR="007756C7">
              <w:rPr>
                <w:rFonts w:cs="Arial"/>
                <w:szCs w:val="24"/>
              </w:rPr>
              <w:t>)</w:t>
            </w:r>
            <w:r w:rsidRPr="0003659E">
              <w:rPr>
                <w:rFonts w:cs="Arial"/>
                <w:szCs w:val="24"/>
              </w:rPr>
              <w:t>.</w:t>
            </w:r>
          </w:p>
          <w:p w14:paraId="27925B31"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If safety case or periodic safety review supports a permissioning decision withhold consent/approval/agreement. </w:t>
            </w:r>
          </w:p>
          <w:p w14:paraId="34C1212C"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If security submission supports a permissioning decision withhold approval.</w:t>
            </w:r>
          </w:p>
          <w:p w14:paraId="70225B90"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If safety case or periodic safety review is intended to support continued operation issue a direction under LC31 to shutdown plant, </w:t>
            </w:r>
            <w:proofErr w:type="gramStart"/>
            <w:r w:rsidRPr="0003659E">
              <w:rPr>
                <w:rFonts w:cs="Arial"/>
                <w:szCs w:val="24"/>
              </w:rPr>
              <w:t>operation</w:t>
            </w:r>
            <w:proofErr w:type="gramEnd"/>
            <w:r w:rsidRPr="0003659E">
              <w:rPr>
                <w:rFonts w:cs="Arial"/>
                <w:szCs w:val="24"/>
              </w:rPr>
              <w:t xml:space="preserve"> or process.</w:t>
            </w:r>
          </w:p>
          <w:p w14:paraId="711FA78F" w14:textId="77777777" w:rsidR="0003659E" w:rsidRPr="0003659E" w:rsidRDefault="0003659E" w:rsidP="0003659E">
            <w:pPr>
              <w:pStyle w:val="ListParagraph"/>
              <w:numPr>
                <w:ilvl w:val="0"/>
                <w:numId w:val="37"/>
              </w:numPr>
              <w:spacing w:after="0" w:line="240" w:lineRule="auto"/>
              <w:rPr>
                <w:rFonts w:cs="Arial"/>
                <w:szCs w:val="24"/>
              </w:rPr>
            </w:pPr>
            <w:r w:rsidRPr="0003659E">
              <w:rPr>
                <w:rFonts w:cs="Arial"/>
                <w:szCs w:val="24"/>
              </w:rPr>
              <w:t xml:space="preserve">Make a Regulatory Issues Database entry at Level 1 or 2 to log the enforcement communication and to track progress. </w:t>
            </w:r>
          </w:p>
          <w:p w14:paraId="666C09B7" w14:textId="77777777" w:rsidR="0003659E" w:rsidRPr="0003659E" w:rsidRDefault="0003659E" w:rsidP="0003659E">
            <w:pPr>
              <w:numPr>
                <w:ilvl w:val="0"/>
                <w:numId w:val="37"/>
              </w:numPr>
              <w:spacing w:after="0" w:line="240" w:lineRule="auto"/>
              <w:contextualSpacing/>
              <w:rPr>
                <w:rFonts w:cs="Arial"/>
                <w:szCs w:val="24"/>
              </w:rPr>
            </w:pPr>
            <w:r w:rsidRPr="0003659E">
              <w:rPr>
                <w:rFonts w:cs="Arial"/>
                <w:szCs w:val="24"/>
              </w:rPr>
              <w:t>Consider if a holding to account, or similar meeting, with the licensee/duty holder is appropriate.</w:t>
            </w:r>
          </w:p>
          <w:p w14:paraId="59BD998E" w14:textId="77777777" w:rsidR="0003659E" w:rsidRPr="0003659E" w:rsidRDefault="0003659E" w:rsidP="003A0917">
            <w:pPr>
              <w:ind w:left="720"/>
              <w:contextualSpacing/>
              <w:rPr>
                <w:rFonts w:cs="Arial"/>
                <w:szCs w:val="24"/>
              </w:rPr>
            </w:pPr>
            <w:r w:rsidRPr="0003659E">
              <w:rPr>
                <w:rFonts w:cs="Arial"/>
                <w:szCs w:val="24"/>
              </w:rPr>
              <w:t>Follow-up and close out the Regulatory Issue when complete.</w:t>
            </w:r>
          </w:p>
          <w:p w14:paraId="59B8C1E3" w14:textId="77777777" w:rsidR="0003659E" w:rsidRPr="0003659E" w:rsidRDefault="0003659E" w:rsidP="003A0917">
            <w:pPr>
              <w:ind w:left="720"/>
              <w:contextualSpacing/>
              <w:rPr>
                <w:rFonts w:cs="Arial"/>
                <w:szCs w:val="24"/>
              </w:rPr>
            </w:pPr>
          </w:p>
        </w:tc>
      </w:tr>
    </w:tbl>
    <w:p w14:paraId="4AF28ABA" w14:textId="77777777" w:rsidR="0003659E" w:rsidRDefault="0003659E" w:rsidP="00AF698E">
      <w:pPr>
        <w:pStyle w:val="F9-Paragraph"/>
        <w:numPr>
          <w:ilvl w:val="0"/>
          <w:numId w:val="0"/>
        </w:numPr>
        <w:ind w:left="851" w:hanging="851"/>
      </w:pPr>
    </w:p>
    <w:p w14:paraId="1BB9F229" w14:textId="77777777" w:rsidR="00936AC2" w:rsidRDefault="00936AC2" w:rsidP="00F7687C">
      <w:pPr>
        <w:tabs>
          <w:tab w:val="left" w:pos="1440"/>
        </w:tabs>
        <w:spacing w:line="240" w:lineRule="auto"/>
        <w:contextualSpacing/>
      </w:pPr>
    </w:p>
    <w:sectPr w:rsidR="00936AC2" w:rsidSect="0003659E">
      <w:pgSz w:w="23811" w:h="16838" w:orient="landscape" w:code="8"/>
      <w:pgMar w:top="1080" w:right="1440" w:bottom="108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E771" w14:textId="77777777" w:rsidR="003A0917" w:rsidRDefault="003A0917" w:rsidP="007D199A">
      <w:pPr>
        <w:spacing w:after="0"/>
      </w:pPr>
      <w:r>
        <w:separator/>
      </w:r>
    </w:p>
    <w:p w14:paraId="4117AFB2" w14:textId="77777777" w:rsidR="003A0917" w:rsidRDefault="003A0917"/>
    <w:p w14:paraId="44BC0ABE" w14:textId="77777777" w:rsidR="003A0917" w:rsidRDefault="003A0917"/>
  </w:endnote>
  <w:endnote w:type="continuationSeparator" w:id="0">
    <w:p w14:paraId="5C6853B2" w14:textId="77777777" w:rsidR="003A0917" w:rsidRDefault="003A0917" w:rsidP="007D199A">
      <w:pPr>
        <w:spacing w:after="0"/>
      </w:pPr>
      <w:r>
        <w:continuationSeparator/>
      </w:r>
    </w:p>
    <w:p w14:paraId="295FCB2D" w14:textId="77777777" w:rsidR="003A0917" w:rsidRDefault="003A0917"/>
    <w:p w14:paraId="5B024C52" w14:textId="77777777" w:rsidR="003A0917" w:rsidRDefault="003A0917"/>
  </w:endnote>
  <w:endnote w:type="continuationNotice" w:id="1">
    <w:p w14:paraId="0BF7776B" w14:textId="77777777" w:rsidR="003A0917" w:rsidRDefault="003A0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C67C9" w14:textId="77777777" w:rsidR="003A0917" w:rsidRPr="005E0344" w:rsidRDefault="003A0917" w:rsidP="005E0344">
      <w:pPr>
        <w:spacing w:after="120"/>
        <w:rPr>
          <w:color w:val="000000" w:themeColor="text2"/>
        </w:rPr>
      </w:pPr>
      <w:r w:rsidRPr="005E0344">
        <w:rPr>
          <w:color w:val="000000" w:themeColor="text2"/>
        </w:rPr>
        <w:separator/>
      </w:r>
    </w:p>
    <w:p w14:paraId="2C0641FE" w14:textId="77777777" w:rsidR="003A0917" w:rsidRDefault="003A0917"/>
  </w:footnote>
  <w:footnote w:type="continuationSeparator" w:id="0">
    <w:p w14:paraId="37636A08" w14:textId="77777777" w:rsidR="003A0917" w:rsidRPr="005E0344" w:rsidRDefault="003A0917" w:rsidP="0090581D">
      <w:pPr>
        <w:spacing w:after="120"/>
        <w:rPr>
          <w:color w:val="000000" w:themeColor="text2"/>
        </w:rPr>
      </w:pPr>
      <w:r w:rsidRPr="005E0344">
        <w:rPr>
          <w:color w:val="000000" w:themeColor="text2"/>
        </w:rPr>
        <w:continuationSeparator/>
      </w:r>
    </w:p>
    <w:p w14:paraId="7BE7733E" w14:textId="77777777" w:rsidR="003A0917" w:rsidRDefault="003A0917"/>
    <w:p w14:paraId="793D1685" w14:textId="77777777" w:rsidR="003A0917" w:rsidRDefault="003A0917"/>
  </w:footnote>
  <w:footnote w:type="continuationNotice" w:id="1">
    <w:p w14:paraId="0A4122DD" w14:textId="77777777" w:rsidR="003A0917" w:rsidRDefault="003A0917">
      <w:pPr>
        <w:spacing w:after="0"/>
      </w:pPr>
    </w:p>
    <w:p w14:paraId="7FE33AF8" w14:textId="77777777" w:rsidR="003A0917" w:rsidRDefault="003A0917"/>
    <w:p w14:paraId="4B5A2F42" w14:textId="77777777" w:rsidR="003A0917" w:rsidRDefault="003A09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03EC730" w:rsidR="00177666" w:rsidRPr="00046936" w:rsidRDefault="00410714"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B3592">
          <w:rPr>
            <w:sz w:val="20"/>
            <w:szCs w:val="24"/>
          </w:rPr>
          <w:t>Guidance on Mechanics of Assessment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102E">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B49AF76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b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50857"/>
    <w:multiLevelType w:val="hybridMultilevel"/>
    <w:tmpl w:val="AB84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957587"/>
    <w:multiLevelType w:val="multilevel"/>
    <w:tmpl w:val="EEBE928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D230D5"/>
    <w:multiLevelType w:val="hybridMultilevel"/>
    <w:tmpl w:val="28303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AD750E"/>
    <w:multiLevelType w:val="hybridMultilevel"/>
    <w:tmpl w:val="5D061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4C85D18"/>
    <w:multiLevelType w:val="hybridMultilevel"/>
    <w:tmpl w:val="70AE5D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D586F1F4"/>
    <w:lvl w:ilvl="0">
      <w:start w:val="1"/>
      <w:numFmt w:val="decimal"/>
      <w:pStyle w:val="F9-Paragraph"/>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6"/>
  </w:num>
  <w:num w:numId="13">
    <w:abstractNumId w:val="16"/>
  </w:num>
  <w:num w:numId="14">
    <w:abstractNumId w:val="14"/>
  </w:num>
  <w:num w:numId="15">
    <w:abstractNumId w:val="26"/>
    <w:lvlOverride w:ilvl="0">
      <w:startOverride w:val="1"/>
    </w:lvlOverride>
  </w:num>
  <w:num w:numId="16">
    <w:abstractNumId w:val="16"/>
    <w:lvlOverride w:ilvl="0">
      <w:startOverride w:val="1"/>
    </w:lvlOverride>
  </w:num>
  <w:num w:numId="17">
    <w:abstractNumId w:val="14"/>
    <w:lvlOverride w:ilvl="0">
      <w:startOverride w:val="1"/>
    </w:lvlOverride>
  </w:num>
  <w:num w:numId="18">
    <w:abstractNumId w:val="24"/>
  </w:num>
  <w:num w:numId="19">
    <w:abstractNumId w:val="20"/>
  </w:num>
  <w:num w:numId="20">
    <w:abstractNumId w:val="13"/>
  </w:num>
  <w:num w:numId="21">
    <w:abstractNumId w:val="27"/>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1"/>
  </w:num>
  <w:num w:numId="28">
    <w:abstractNumId w:val="10"/>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3"/>
  </w:num>
  <w:num w:numId="34">
    <w:abstractNumId w:val="25"/>
  </w:num>
  <w:num w:numId="35">
    <w:abstractNumId w:val="22"/>
  </w:num>
  <w:num w:numId="36">
    <w:abstractNumId w:val="21"/>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59E"/>
    <w:rsid w:val="0003693D"/>
    <w:rsid w:val="00037EE2"/>
    <w:rsid w:val="0004440F"/>
    <w:rsid w:val="00046936"/>
    <w:rsid w:val="00052C8A"/>
    <w:rsid w:val="000548C8"/>
    <w:rsid w:val="00055898"/>
    <w:rsid w:val="00067590"/>
    <w:rsid w:val="00075605"/>
    <w:rsid w:val="00075C66"/>
    <w:rsid w:val="00081114"/>
    <w:rsid w:val="00082879"/>
    <w:rsid w:val="00091EEA"/>
    <w:rsid w:val="00092E85"/>
    <w:rsid w:val="000950B3"/>
    <w:rsid w:val="000A51C3"/>
    <w:rsid w:val="000A6D34"/>
    <w:rsid w:val="000C2DDC"/>
    <w:rsid w:val="000D2FD4"/>
    <w:rsid w:val="000D64FB"/>
    <w:rsid w:val="000F1B7B"/>
    <w:rsid w:val="000F2ED4"/>
    <w:rsid w:val="000F3932"/>
    <w:rsid w:val="0010269D"/>
    <w:rsid w:val="001028E8"/>
    <w:rsid w:val="00116C20"/>
    <w:rsid w:val="00122FCC"/>
    <w:rsid w:val="00126752"/>
    <w:rsid w:val="00130B30"/>
    <w:rsid w:val="00131E06"/>
    <w:rsid w:val="001321E2"/>
    <w:rsid w:val="00140E1C"/>
    <w:rsid w:val="001447A9"/>
    <w:rsid w:val="00147AE4"/>
    <w:rsid w:val="0015407B"/>
    <w:rsid w:val="001571E5"/>
    <w:rsid w:val="00177666"/>
    <w:rsid w:val="001849CA"/>
    <w:rsid w:val="00185410"/>
    <w:rsid w:val="00192352"/>
    <w:rsid w:val="001A0905"/>
    <w:rsid w:val="001C4D63"/>
    <w:rsid w:val="001D0DE0"/>
    <w:rsid w:val="001D5AFF"/>
    <w:rsid w:val="001D74B4"/>
    <w:rsid w:val="001E03E1"/>
    <w:rsid w:val="001F059F"/>
    <w:rsid w:val="00200811"/>
    <w:rsid w:val="00200CA1"/>
    <w:rsid w:val="0020337B"/>
    <w:rsid w:val="0021338D"/>
    <w:rsid w:val="00214D43"/>
    <w:rsid w:val="00221ED0"/>
    <w:rsid w:val="002235F1"/>
    <w:rsid w:val="002238B4"/>
    <w:rsid w:val="002319AB"/>
    <w:rsid w:val="002319AC"/>
    <w:rsid w:val="00234342"/>
    <w:rsid w:val="0024040D"/>
    <w:rsid w:val="00245A0D"/>
    <w:rsid w:val="00247ABC"/>
    <w:rsid w:val="00255FA3"/>
    <w:rsid w:val="00257288"/>
    <w:rsid w:val="00261FB6"/>
    <w:rsid w:val="002629F8"/>
    <w:rsid w:val="00263396"/>
    <w:rsid w:val="002659FA"/>
    <w:rsid w:val="00265D7D"/>
    <w:rsid w:val="00267815"/>
    <w:rsid w:val="002735B7"/>
    <w:rsid w:val="00280DDF"/>
    <w:rsid w:val="00283FEB"/>
    <w:rsid w:val="002917FF"/>
    <w:rsid w:val="00292ADF"/>
    <w:rsid w:val="002A0DEC"/>
    <w:rsid w:val="002B1C53"/>
    <w:rsid w:val="002B2DE5"/>
    <w:rsid w:val="002D1532"/>
    <w:rsid w:val="002E0BE4"/>
    <w:rsid w:val="002E3B58"/>
    <w:rsid w:val="002E3E8A"/>
    <w:rsid w:val="002E6A6A"/>
    <w:rsid w:val="002F3397"/>
    <w:rsid w:val="002F352C"/>
    <w:rsid w:val="0030380D"/>
    <w:rsid w:val="003040C8"/>
    <w:rsid w:val="00304CE5"/>
    <w:rsid w:val="00312411"/>
    <w:rsid w:val="00323E71"/>
    <w:rsid w:val="00346C8E"/>
    <w:rsid w:val="00347CA8"/>
    <w:rsid w:val="00357A80"/>
    <w:rsid w:val="00367BD5"/>
    <w:rsid w:val="0037176F"/>
    <w:rsid w:val="0038761F"/>
    <w:rsid w:val="00390327"/>
    <w:rsid w:val="00393B78"/>
    <w:rsid w:val="003970B0"/>
    <w:rsid w:val="003A01E9"/>
    <w:rsid w:val="003A0917"/>
    <w:rsid w:val="003C0306"/>
    <w:rsid w:val="003C0DD8"/>
    <w:rsid w:val="003C114C"/>
    <w:rsid w:val="003C465D"/>
    <w:rsid w:val="003C6FC8"/>
    <w:rsid w:val="003D495D"/>
    <w:rsid w:val="003E098E"/>
    <w:rsid w:val="003E2F1A"/>
    <w:rsid w:val="003E2FAE"/>
    <w:rsid w:val="00404549"/>
    <w:rsid w:val="00404B0C"/>
    <w:rsid w:val="00405E9C"/>
    <w:rsid w:val="00407CF7"/>
    <w:rsid w:val="00410714"/>
    <w:rsid w:val="00415D0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C5C08"/>
    <w:rsid w:val="004C5F82"/>
    <w:rsid w:val="004D2C89"/>
    <w:rsid w:val="004E3932"/>
    <w:rsid w:val="004F1E79"/>
    <w:rsid w:val="004F5F33"/>
    <w:rsid w:val="0050103A"/>
    <w:rsid w:val="00511B0F"/>
    <w:rsid w:val="00536721"/>
    <w:rsid w:val="005504C2"/>
    <w:rsid w:val="0055388E"/>
    <w:rsid w:val="0057472B"/>
    <w:rsid w:val="0057475A"/>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34D6"/>
    <w:rsid w:val="005E440B"/>
    <w:rsid w:val="005E59E2"/>
    <w:rsid w:val="005E6941"/>
    <w:rsid w:val="005F2C85"/>
    <w:rsid w:val="006053E4"/>
    <w:rsid w:val="00605ADB"/>
    <w:rsid w:val="00611C9F"/>
    <w:rsid w:val="00621BF6"/>
    <w:rsid w:val="00627555"/>
    <w:rsid w:val="00627B76"/>
    <w:rsid w:val="006316C4"/>
    <w:rsid w:val="006322A0"/>
    <w:rsid w:val="006361FD"/>
    <w:rsid w:val="00637B24"/>
    <w:rsid w:val="00640C7D"/>
    <w:rsid w:val="0064226F"/>
    <w:rsid w:val="00645315"/>
    <w:rsid w:val="00653298"/>
    <w:rsid w:val="00663A7C"/>
    <w:rsid w:val="00667DF2"/>
    <w:rsid w:val="00670DF1"/>
    <w:rsid w:val="00671345"/>
    <w:rsid w:val="00672A9B"/>
    <w:rsid w:val="00674646"/>
    <w:rsid w:val="00675884"/>
    <w:rsid w:val="00680CC3"/>
    <w:rsid w:val="0068625A"/>
    <w:rsid w:val="00692C1B"/>
    <w:rsid w:val="00696EE0"/>
    <w:rsid w:val="00697980"/>
    <w:rsid w:val="006A19EF"/>
    <w:rsid w:val="006A43D5"/>
    <w:rsid w:val="006A525B"/>
    <w:rsid w:val="006B103D"/>
    <w:rsid w:val="006C045F"/>
    <w:rsid w:val="006C4196"/>
    <w:rsid w:val="006C63B0"/>
    <w:rsid w:val="006C76A2"/>
    <w:rsid w:val="006C792E"/>
    <w:rsid w:val="006D116C"/>
    <w:rsid w:val="006D6E2D"/>
    <w:rsid w:val="006D7F73"/>
    <w:rsid w:val="006E200C"/>
    <w:rsid w:val="006E22C1"/>
    <w:rsid w:val="006E7C42"/>
    <w:rsid w:val="006F168A"/>
    <w:rsid w:val="006F5076"/>
    <w:rsid w:val="006F6009"/>
    <w:rsid w:val="0070321D"/>
    <w:rsid w:val="00705568"/>
    <w:rsid w:val="007068BA"/>
    <w:rsid w:val="00716AB1"/>
    <w:rsid w:val="00721D63"/>
    <w:rsid w:val="00732C7B"/>
    <w:rsid w:val="00734D2B"/>
    <w:rsid w:val="00737705"/>
    <w:rsid w:val="007405B2"/>
    <w:rsid w:val="007408D4"/>
    <w:rsid w:val="007420AC"/>
    <w:rsid w:val="00742617"/>
    <w:rsid w:val="007522FD"/>
    <w:rsid w:val="007756C7"/>
    <w:rsid w:val="00783AFA"/>
    <w:rsid w:val="00785427"/>
    <w:rsid w:val="00790540"/>
    <w:rsid w:val="007968CA"/>
    <w:rsid w:val="007A43FF"/>
    <w:rsid w:val="007B3918"/>
    <w:rsid w:val="007C09A9"/>
    <w:rsid w:val="007C0AD9"/>
    <w:rsid w:val="007C3C1D"/>
    <w:rsid w:val="007D199A"/>
    <w:rsid w:val="007D2EBE"/>
    <w:rsid w:val="007D451C"/>
    <w:rsid w:val="007D72FD"/>
    <w:rsid w:val="007E1C07"/>
    <w:rsid w:val="007F24B6"/>
    <w:rsid w:val="007F2A70"/>
    <w:rsid w:val="007F5EFE"/>
    <w:rsid w:val="00803D94"/>
    <w:rsid w:val="00806D68"/>
    <w:rsid w:val="0082085E"/>
    <w:rsid w:val="008229BA"/>
    <w:rsid w:val="00845390"/>
    <w:rsid w:val="0084601B"/>
    <w:rsid w:val="008606F0"/>
    <w:rsid w:val="0086102E"/>
    <w:rsid w:val="00861750"/>
    <w:rsid w:val="00865489"/>
    <w:rsid w:val="0086553D"/>
    <w:rsid w:val="00874FEB"/>
    <w:rsid w:val="0088175B"/>
    <w:rsid w:val="00881B6F"/>
    <w:rsid w:val="00882AA4"/>
    <w:rsid w:val="00883E22"/>
    <w:rsid w:val="00884E43"/>
    <w:rsid w:val="00887EC6"/>
    <w:rsid w:val="0089084C"/>
    <w:rsid w:val="00893409"/>
    <w:rsid w:val="00893D9F"/>
    <w:rsid w:val="008941D4"/>
    <w:rsid w:val="008A2379"/>
    <w:rsid w:val="008A4329"/>
    <w:rsid w:val="008A578E"/>
    <w:rsid w:val="008B1519"/>
    <w:rsid w:val="008B69E3"/>
    <w:rsid w:val="008B7BCC"/>
    <w:rsid w:val="008C50C3"/>
    <w:rsid w:val="008C7094"/>
    <w:rsid w:val="008D2B97"/>
    <w:rsid w:val="008D49A5"/>
    <w:rsid w:val="008D54BE"/>
    <w:rsid w:val="008D6C81"/>
    <w:rsid w:val="008E6CF0"/>
    <w:rsid w:val="008E7B85"/>
    <w:rsid w:val="008F1439"/>
    <w:rsid w:val="008F660E"/>
    <w:rsid w:val="008F7051"/>
    <w:rsid w:val="008F75EF"/>
    <w:rsid w:val="009033A9"/>
    <w:rsid w:val="00904152"/>
    <w:rsid w:val="0090581D"/>
    <w:rsid w:val="0091439C"/>
    <w:rsid w:val="00920572"/>
    <w:rsid w:val="00920BF2"/>
    <w:rsid w:val="00926DE4"/>
    <w:rsid w:val="009333DB"/>
    <w:rsid w:val="009349A9"/>
    <w:rsid w:val="00936AC2"/>
    <w:rsid w:val="00936C52"/>
    <w:rsid w:val="0095489B"/>
    <w:rsid w:val="00966FB9"/>
    <w:rsid w:val="009671CD"/>
    <w:rsid w:val="009751A9"/>
    <w:rsid w:val="00980F9C"/>
    <w:rsid w:val="0098632B"/>
    <w:rsid w:val="00997BFB"/>
    <w:rsid w:val="009A7348"/>
    <w:rsid w:val="009B462C"/>
    <w:rsid w:val="009C15F3"/>
    <w:rsid w:val="009E07C2"/>
    <w:rsid w:val="009E0E52"/>
    <w:rsid w:val="009F389E"/>
    <w:rsid w:val="009F72F9"/>
    <w:rsid w:val="00A00205"/>
    <w:rsid w:val="00A00AF0"/>
    <w:rsid w:val="00A04700"/>
    <w:rsid w:val="00A14B5A"/>
    <w:rsid w:val="00A3567F"/>
    <w:rsid w:val="00A37698"/>
    <w:rsid w:val="00A41ED3"/>
    <w:rsid w:val="00A56C01"/>
    <w:rsid w:val="00A81D82"/>
    <w:rsid w:val="00A906D4"/>
    <w:rsid w:val="00A93E33"/>
    <w:rsid w:val="00A97443"/>
    <w:rsid w:val="00AB4683"/>
    <w:rsid w:val="00AB6970"/>
    <w:rsid w:val="00AC1939"/>
    <w:rsid w:val="00AC4514"/>
    <w:rsid w:val="00AC7C05"/>
    <w:rsid w:val="00AC7C27"/>
    <w:rsid w:val="00AD167C"/>
    <w:rsid w:val="00AD17C7"/>
    <w:rsid w:val="00AD4041"/>
    <w:rsid w:val="00AD78FC"/>
    <w:rsid w:val="00AE302B"/>
    <w:rsid w:val="00AE4F54"/>
    <w:rsid w:val="00AF31F0"/>
    <w:rsid w:val="00AF698E"/>
    <w:rsid w:val="00B259DF"/>
    <w:rsid w:val="00B26E60"/>
    <w:rsid w:val="00B34DEC"/>
    <w:rsid w:val="00B43E25"/>
    <w:rsid w:val="00B44B1F"/>
    <w:rsid w:val="00B50450"/>
    <w:rsid w:val="00B64141"/>
    <w:rsid w:val="00B64E72"/>
    <w:rsid w:val="00B73194"/>
    <w:rsid w:val="00B77913"/>
    <w:rsid w:val="00B824FB"/>
    <w:rsid w:val="00B82646"/>
    <w:rsid w:val="00B83405"/>
    <w:rsid w:val="00B92E1A"/>
    <w:rsid w:val="00B97359"/>
    <w:rsid w:val="00B97A8F"/>
    <w:rsid w:val="00BA4E58"/>
    <w:rsid w:val="00BA7074"/>
    <w:rsid w:val="00BB5EBA"/>
    <w:rsid w:val="00BB7829"/>
    <w:rsid w:val="00BD1457"/>
    <w:rsid w:val="00BE2AD9"/>
    <w:rsid w:val="00BF27FE"/>
    <w:rsid w:val="00BF4526"/>
    <w:rsid w:val="00C043B3"/>
    <w:rsid w:val="00C0683C"/>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57F5E"/>
    <w:rsid w:val="00D71687"/>
    <w:rsid w:val="00D74813"/>
    <w:rsid w:val="00DA30BC"/>
    <w:rsid w:val="00DA69C2"/>
    <w:rsid w:val="00DA6D70"/>
    <w:rsid w:val="00DB6050"/>
    <w:rsid w:val="00DC2C34"/>
    <w:rsid w:val="00DC4909"/>
    <w:rsid w:val="00DE2C87"/>
    <w:rsid w:val="00DE459A"/>
    <w:rsid w:val="00DF27DA"/>
    <w:rsid w:val="00DF4DBE"/>
    <w:rsid w:val="00E01077"/>
    <w:rsid w:val="00E221DC"/>
    <w:rsid w:val="00E34607"/>
    <w:rsid w:val="00E40820"/>
    <w:rsid w:val="00E4658F"/>
    <w:rsid w:val="00E54A67"/>
    <w:rsid w:val="00E57DB9"/>
    <w:rsid w:val="00E61C0D"/>
    <w:rsid w:val="00E63EB4"/>
    <w:rsid w:val="00E64912"/>
    <w:rsid w:val="00E66160"/>
    <w:rsid w:val="00E67022"/>
    <w:rsid w:val="00E71329"/>
    <w:rsid w:val="00E80D83"/>
    <w:rsid w:val="00E8363B"/>
    <w:rsid w:val="00E84966"/>
    <w:rsid w:val="00E872D0"/>
    <w:rsid w:val="00E90780"/>
    <w:rsid w:val="00E92383"/>
    <w:rsid w:val="00E9489D"/>
    <w:rsid w:val="00EA1B3A"/>
    <w:rsid w:val="00EA2109"/>
    <w:rsid w:val="00EB02F1"/>
    <w:rsid w:val="00ED4D4E"/>
    <w:rsid w:val="00ED54A3"/>
    <w:rsid w:val="00ED7308"/>
    <w:rsid w:val="00EE0C77"/>
    <w:rsid w:val="00EE4E54"/>
    <w:rsid w:val="00EE4E96"/>
    <w:rsid w:val="00F21BA2"/>
    <w:rsid w:val="00F36FBF"/>
    <w:rsid w:val="00F436BB"/>
    <w:rsid w:val="00F44BEF"/>
    <w:rsid w:val="00F47145"/>
    <w:rsid w:val="00F545BF"/>
    <w:rsid w:val="00F56152"/>
    <w:rsid w:val="00F56C2D"/>
    <w:rsid w:val="00F61B86"/>
    <w:rsid w:val="00F63AA5"/>
    <w:rsid w:val="00F71B56"/>
    <w:rsid w:val="00F7687C"/>
    <w:rsid w:val="00F832C8"/>
    <w:rsid w:val="00F83755"/>
    <w:rsid w:val="00F866A8"/>
    <w:rsid w:val="00F873B3"/>
    <w:rsid w:val="00FA42B9"/>
    <w:rsid w:val="00FA755A"/>
    <w:rsid w:val="00FB2B0F"/>
    <w:rsid w:val="00FB3592"/>
    <w:rsid w:val="00FB4F6B"/>
    <w:rsid w:val="00FB5FE1"/>
    <w:rsid w:val="00FC0E8D"/>
    <w:rsid w:val="00FC2461"/>
    <w:rsid w:val="00FC46EF"/>
    <w:rsid w:val="00FD2D33"/>
    <w:rsid w:val="00FD31B3"/>
    <w:rsid w:val="00FD418B"/>
    <w:rsid w:val="00FD4204"/>
    <w:rsid w:val="00FF26D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05AE6AB-0C95-491E-99F6-F0574264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FB359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FB359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FB359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FB359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FB359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FB3592"/>
    <w:rPr>
      <w:rFonts w:ascii="Arial" w:eastAsia="Times New Roman" w:hAnsi="Arial"/>
      <w:sz w:val="22"/>
      <w:szCs w:val="22"/>
      <w:lang w:eastAsia="en-US"/>
    </w:rPr>
  </w:style>
  <w:style w:type="paragraph" w:customStyle="1" w:styleId="TSHeadingNumbered1">
    <w:name w:val="TS Heading Numbered 1"/>
    <w:basedOn w:val="Normal"/>
    <w:link w:val="TSHeadingNumbered1Char"/>
    <w:rsid w:val="00FB359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FB3592"/>
    <w:pPr>
      <w:tabs>
        <w:tab w:val="clear" w:pos="-31680"/>
        <w:tab w:val="num" w:pos="360"/>
      </w:tabs>
      <w:ind w:left="360" w:hanging="360"/>
    </w:pPr>
  </w:style>
  <w:style w:type="paragraph" w:customStyle="1" w:styleId="TSHeadingNumbered111">
    <w:name w:val="TS Heading Numbered 1.1.1"/>
    <w:basedOn w:val="TSHeadingNumbered1"/>
    <w:rsid w:val="00FB3592"/>
    <w:pPr>
      <w:tabs>
        <w:tab w:val="clear" w:pos="-31680"/>
        <w:tab w:val="num" w:pos="360"/>
      </w:tabs>
      <w:ind w:left="360" w:hanging="360"/>
    </w:pPr>
  </w:style>
  <w:style w:type="paragraph" w:customStyle="1" w:styleId="TSHeadingNumbered1111">
    <w:name w:val="TS Heading Numbered 1.1.1.1"/>
    <w:basedOn w:val="TSHeadingNumbered1"/>
    <w:rsid w:val="00FB3592"/>
    <w:pPr>
      <w:tabs>
        <w:tab w:val="clear" w:pos="-31680"/>
        <w:tab w:val="num" w:pos="360"/>
      </w:tabs>
      <w:ind w:left="360" w:hanging="360"/>
    </w:pPr>
  </w:style>
  <w:style w:type="paragraph" w:customStyle="1" w:styleId="TSNumberedParagraph11">
    <w:name w:val="TS Numbered Paragraph 1.1"/>
    <w:basedOn w:val="TSHeadingNumbered11"/>
    <w:link w:val="TSNumberedParagraph11Char"/>
    <w:rsid w:val="00FB3592"/>
    <w:rPr>
      <w:rFonts w:ascii="Arial" w:hAnsi="Arial"/>
      <w:b w:val="0"/>
      <w:caps w:val="0"/>
    </w:rPr>
  </w:style>
  <w:style w:type="paragraph" w:customStyle="1" w:styleId="TSBullet1Square">
    <w:name w:val="TS Bullet 1 Square"/>
    <w:basedOn w:val="Normal"/>
    <w:rsid w:val="00FB3592"/>
    <w:pPr>
      <w:numPr>
        <w:numId w:val="33"/>
      </w:numPr>
      <w:spacing w:line="240" w:lineRule="auto"/>
      <w:contextualSpacing/>
    </w:pPr>
    <w:rPr>
      <w:rFonts w:eastAsia="Times New Roman" w:cs="Times New Roman"/>
      <w:sz w:val="22"/>
      <w:szCs w:val="24"/>
      <w:lang w:bidi="ar-SA"/>
    </w:rPr>
  </w:style>
  <w:style w:type="character" w:customStyle="1" w:styleId="TSNumberedParagraph11Char">
    <w:name w:val="TS Numbered Paragraph 1.1 Char"/>
    <w:basedOn w:val="DefaultParagraphFont"/>
    <w:link w:val="TSNumberedParagraph11"/>
    <w:rsid w:val="00FB3592"/>
    <w:rPr>
      <w:rFonts w:ascii="Arial" w:eastAsia="Times New Roman" w:hAnsi="Arial" w:cs="Times New Roman"/>
      <w:sz w:val="22"/>
      <w:szCs w:val="24"/>
      <w:lang w:eastAsia="en-US"/>
    </w:rPr>
  </w:style>
  <w:style w:type="character" w:customStyle="1" w:styleId="TSHeadingNumbered1Char">
    <w:name w:val="TS Heading Numbered 1 Char"/>
    <w:basedOn w:val="DefaultParagraphFont"/>
    <w:link w:val="TSHeadingNumbered1"/>
    <w:rsid w:val="00FB3592"/>
    <w:rPr>
      <w:rFonts w:ascii="Arial Bold" w:eastAsia="Times New Roman" w:hAnsi="Arial Bold" w:cs="Times New Roman"/>
      <w:b/>
      <w:caps/>
      <w:sz w:val="22"/>
      <w:szCs w:val="24"/>
      <w:lang w:eastAsia="en-US"/>
    </w:rPr>
  </w:style>
  <w:style w:type="character" w:styleId="Mention">
    <w:name w:val="Mention"/>
    <w:basedOn w:val="DefaultParagraphFont"/>
    <w:uiPriority w:val="99"/>
    <w:unhideWhenUsed/>
    <w:rsid w:val="00FB3592"/>
    <w:rPr>
      <w:color w:val="2B579A"/>
      <w:shd w:val="clear" w:color="auto" w:fill="E1DFDD"/>
    </w:rPr>
  </w:style>
  <w:style w:type="character" w:customStyle="1" w:styleId="TSExampleText">
    <w:name w:val="TS Example Text"/>
    <w:rsid w:val="00936AC2"/>
    <w:rPr>
      <w:i/>
      <w:iCs/>
      <w:color w:val="006D68"/>
    </w:rPr>
  </w:style>
  <w:style w:type="table" w:customStyle="1" w:styleId="TableGrid1">
    <w:name w:val="Table Grid1"/>
    <w:basedOn w:val="TableNormal"/>
    <w:next w:val="TableGrid"/>
    <w:uiPriority w:val="59"/>
    <w:rsid w:val="0003659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HeadingNumbered10">
    <w:name w:val="TS Heading Numbered 1."/>
    <w:basedOn w:val="Normal"/>
    <w:rsid w:val="0003659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styleId="CommentSubject">
    <w:name w:val="annotation subject"/>
    <w:basedOn w:val="CommentText"/>
    <w:next w:val="CommentText"/>
    <w:link w:val="CommentSubjectChar"/>
    <w:uiPriority w:val="99"/>
    <w:semiHidden/>
    <w:unhideWhenUsed/>
    <w:rsid w:val="0086102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6102E"/>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6444774">
      <w:bodyDiv w:val="1"/>
      <w:marLeft w:val="0"/>
      <w:marRight w:val="0"/>
      <w:marTop w:val="0"/>
      <w:marBottom w:val="0"/>
      <w:divBdr>
        <w:top w:val="none" w:sz="0" w:space="0" w:color="auto"/>
        <w:left w:val="none" w:sz="0" w:space="0" w:color="auto"/>
        <w:bottom w:val="none" w:sz="0" w:space="0" w:color="auto"/>
        <w:right w:val="none" w:sz="0" w:space="0" w:color="auto"/>
      </w:divBdr>
    </w:div>
    <w:div w:id="12152443">
      <w:bodyDiv w:val="1"/>
      <w:marLeft w:val="0"/>
      <w:marRight w:val="0"/>
      <w:marTop w:val="0"/>
      <w:marBottom w:val="0"/>
      <w:divBdr>
        <w:top w:val="none" w:sz="0" w:space="0" w:color="auto"/>
        <w:left w:val="none" w:sz="0" w:space="0" w:color="auto"/>
        <w:bottom w:val="none" w:sz="0" w:space="0" w:color="auto"/>
        <w:right w:val="none" w:sz="0" w:space="0" w:color="auto"/>
      </w:divBdr>
    </w:div>
    <w:div w:id="28802947">
      <w:bodyDiv w:val="1"/>
      <w:marLeft w:val="0"/>
      <w:marRight w:val="0"/>
      <w:marTop w:val="0"/>
      <w:marBottom w:val="0"/>
      <w:divBdr>
        <w:top w:val="none" w:sz="0" w:space="0" w:color="auto"/>
        <w:left w:val="none" w:sz="0" w:space="0" w:color="auto"/>
        <w:bottom w:val="none" w:sz="0" w:space="0" w:color="auto"/>
        <w:right w:val="none" w:sz="0" w:space="0" w:color="auto"/>
      </w:divBdr>
    </w:div>
    <w:div w:id="30301234">
      <w:bodyDiv w:val="1"/>
      <w:marLeft w:val="0"/>
      <w:marRight w:val="0"/>
      <w:marTop w:val="0"/>
      <w:marBottom w:val="0"/>
      <w:divBdr>
        <w:top w:val="none" w:sz="0" w:space="0" w:color="auto"/>
        <w:left w:val="none" w:sz="0" w:space="0" w:color="auto"/>
        <w:bottom w:val="none" w:sz="0" w:space="0" w:color="auto"/>
        <w:right w:val="none" w:sz="0" w:space="0" w:color="auto"/>
      </w:divBdr>
    </w:div>
    <w:div w:id="37433799">
      <w:bodyDiv w:val="1"/>
      <w:marLeft w:val="0"/>
      <w:marRight w:val="0"/>
      <w:marTop w:val="0"/>
      <w:marBottom w:val="0"/>
      <w:divBdr>
        <w:top w:val="none" w:sz="0" w:space="0" w:color="auto"/>
        <w:left w:val="none" w:sz="0" w:space="0" w:color="auto"/>
        <w:bottom w:val="none" w:sz="0" w:space="0" w:color="auto"/>
        <w:right w:val="none" w:sz="0" w:space="0" w:color="auto"/>
      </w:divBdr>
    </w:div>
    <w:div w:id="46078803">
      <w:bodyDiv w:val="1"/>
      <w:marLeft w:val="0"/>
      <w:marRight w:val="0"/>
      <w:marTop w:val="0"/>
      <w:marBottom w:val="0"/>
      <w:divBdr>
        <w:top w:val="none" w:sz="0" w:space="0" w:color="auto"/>
        <w:left w:val="none" w:sz="0" w:space="0" w:color="auto"/>
        <w:bottom w:val="none" w:sz="0" w:space="0" w:color="auto"/>
        <w:right w:val="none" w:sz="0" w:space="0" w:color="auto"/>
      </w:divBdr>
    </w:div>
    <w:div w:id="74670288">
      <w:bodyDiv w:val="1"/>
      <w:marLeft w:val="0"/>
      <w:marRight w:val="0"/>
      <w:marTop w:val="0"/>
      <w:marBottom w:val="0"/>
      <w:divBdr>
        <w:top w:val="none" w:sz="0" w:space="0" w:color="auto"/>
        <w:left w:val="none" w:sz="0" w:space="0" w:color="auto"/>
        <w:bottom w:val="none" w:sz="0" w:space="0" w:color="auto"/>
        <w:right w:val="none" w:sz="0" w:space="0" w:color="auto"/>
      </w:divBdr>
    </w:div>
    <w:div w:id="8311183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251051">
      <w:bodyDiv w:val="1"/>
      <w:marLeft w:val="0"/>
      <w:marRight w:val="0"/>
      <w:marTop w:val="0"/>
      <w:marBottom w:val="0"/>
      <w:divBdr>
        <w:top w:val="none" w:sz="0" w:space="0" w:color="auto"/>
        <w:left w:val="none" w:sz="0" w:space="0" w:color="auto"/>
        <w:bottom w:val="none" w:sz="0" w:space="0" w:color="auto"/>
        <w:right w:val="none" w:sz="0" w:space="0" w:color="auto"/>
      </w:divBdr>
    </w:div>
    <w:div w:id="142356540">
      <w:bodyDiv w:val="1"/>
      <w:marLeft w:val="0"/>
      <w:marRight w:val="0"/>
      <w:marTop w:val="0"/>
      <w:marBottom w:val="0"/>
      <w:divBdr>
        <w:top w:val="none" w:sz="0" w:space="0" w:color="auto"/>
        <w:left w:val="none" w:sz="0" w:space="0" w:color="auto"/>
        <w:bottom w:val="none" w:sz="0" w:space="0" w:color="auto"/>
        <w:right w:val="none" w:sz="0" w:space="0" w:color="auto"/>
      </w:divBdr>
    </w:div>
    <w:div w:id="161896551">
      <w:bodyDiv w:val="1"/>
      <w:marLeft w:val="0"/>
      <w:marRight w:val="0"/>
      <w:marTop w:val="0"/>
      <w:marBottom w:val="0"/>
      <w:divBdr>
        <w:top w:val="none" w:sz="0" w:space="0" w:color="auto"/>
        <w:left w:val="none" w:sz="0" w:space="0" w:color="auto"/>
        <w:bottom w:val="none" w:sz="0" w:space="0" w:color="auto"/>
        <w:right w:val="none" w:sz="0" w:space="0" w:color="auto"/>
      </w:divBdr>
    </w:div>
    <w:div w:id="164979998">
      <w:bodyDiv w:val="1"/>
      <w:marLeft w:val="0"/>
      <w:marRight w:val="0"/>
      <w:marTop w:val="0"/>
      <w:marBottom w:val="0"/>
      <w:divBdr>
        <w:top w:val="none" w:sz="0" w:space="0" w:color="auto"/>
        <w:left w:val="none" w:sz="0" w:space="0" w:color="auto"/>
        <w:bottom w:val="none" w:sz="0" w:space="0" w:color="auto"/>
        <w:right w:val="none" w:sz="0" w:space="0" w:color="auto"/>
      </w:divBdr>
    </w:div>
    <w:div w:id="185679413">
      <w:bodyDiv w:val="1"/>
      <w:marLeft w:val="0"/>
      <w:marRight w:val="0"/>
      <w:marTop w:val="0"/>
      <w:marBottom w:val="0"/>
      <w:divBdr>
        <w:top w:val="none" w:sz="0" w:space="0" w:color="auto"/>
        <w:left w:val="none" w:sz="0" w:space="0" w:color="auto"/>
        <w:bottom w:val="none" w:sz="0" w:space="0" w:color="auto"/>
        <w:right w:val="none" w:sz="0" w:space="0" w:color="auto"/>
      </w:divBdr>
    </w:div>
    <w:div w:id="19084267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914271">
      <w:bodyDiv w:val="1"/>
      <w:marLeft w:val="0"/>
      <w:marRight w:val="0"/>
      <w:marTop w:val="0"/>
      <w:marBottom w:val="0"/>
      <w:divBdr>
        <w:top w:val="none" w:sz="0" w:space="0" w:color="auto"/>
        <w:left w:val="none" w:sz="0" w:space="0" w:color="auto"/>
        <w:bottom w:val="none" w:sz="0" w:space="0" w:color="auto"/>
        <w:right w:val="none" w:sz="0" w:space="0" w:color="auto"/>
      </w:divBdr>
    </w:div>
    <w:div w:id="211962030">
      <w:bodyDiv w:val="1"/>
      <w:marLeft w:val="0"/>
      <w:marRight w:val="0"/>
      <w:marTop w:val="0"/>
      <w:marBottom w:val="0"/>
      <w:divBdr>
        <w:top w:val="none" w:sz="0" w:space="0" w:color="auto"/>
        <w:left w:val="none" w:sz="0" w:space="0" w:color="auto"/>
        <w:bottom w:val="none" w:sz="0" w:space="0" w:color="auto"/>
        <w:right w:val="none" w:sz="0" w:space="0" w:color="auto"/>
      </w:divBdr>
    </w:div>
    <w:div w:id="221914450">
      <w:bodyDiv w:val="1"/>
      <w:marLeft w:val="0"/>
      <w:marRight w:val="0"/>
      <w:marTop w:val="0"/>
      <w:marBottom w:val="0"/>
      <w:divBdr>
        <w:top w:val="none" w:sz="0" w:space="0" w:color="auto"/>
        <w:left w:val="none" w:sz="0" w:space="0" w:color="auto"/>
        <w:bottom w:val="none" w:sz="0" w:space="0" w:color="auto"/>
        <w:right w:val="none" w:sz="0" w:space="0" w:color="auto"/>
      </w:divBdr>
    </w:div>
    <w:div w:id="230386083">
      <w:bodyDiv w:val="1"/>
      <w:marLeft w:val="0"/>
      <w:marRight w:val="0"/>
      <w:marTop w:val="0"/>
      <w:marBottom w:val="0"/>
      <w:divBdr>
        <w:top w:val="none" w:sz="0" w:space="0" w:color="auto"/>
        <w:left w:val="none" w:sz="0" w:space="0" w:color="auto"/>
        <w:bottom w:val="none" w:sz="0" w:space="0" w:color="auto"/>
        <w:right w:val="none" w:sz="0" w:space="0" w:color="auto"/>
      </w:divBdr>
    </w:div>
    <w:div w:id="257448220">
      <w:bodyDiv w:val="1"/>
      <w:marLeft w:val="0"/>
      <w:marRight w:val="0"/>
      <w:marTop w:val="0"/>
      <w:marBottom w:val="0"/>
      <w:divBdr>
        <w:top w:val="none" w:sz="0" w:space="0" w:color="auto"/>
        <w:left w:val="none" w:sz="0" w:space="0" w:color="auto"/>
        <w:bottom w:val="none" w:sz="0" w:space="0" w:color="auto"/>
        <w:right w:val="none" w:sz="0" w:space="0" w:color="auto"/>
      </w:divBdr>
    </w:div>
    <w:div w:id="271909975">
      <w:bodyDiv w:val="1"/>
      <w:marLeft w:val="0"/>
      <w:marRight w:val="0"/>
      <w:marTop w:val="0"/>
      <w:marBottom w:val="0"/>
      <w:divBdr>
        <w:top w:val="none" w:sz="0" w:space="0" w:color="auto"/>
        <w:left w:val="none" w:sz="0" w:space="0" w:color="auto"/>
        <w:bottom w:val="none" w:sz="0" w:space="0" w:color="auto"/>
        <w:right w:val="none" w:sz="0" w:space="0" w:color="auto"/>
      </w:divBdr>
    </w:div>
    <w:div w:id="282465713">
      <w:bodyDiv w:val="1"/>
      <w:marLeft w:val="0"/>
      <w:marRight w:val="0"/>
      <w:marTop w:val="0"/>
      <w:marBottom w:val="0"/>
      <w:divBdr>
        <w:top w:val="none" w:sz="0" w:space="0" w:color="auto"/>
        <w:left w:val="none" w:sz="0" w:space="0" w:color="auto"/>
        <w:bottom w:val="none" w:sz="0" w:space="0" w:color="auto"/>
        <w:right w:val="none" w:sz="0" w:space="0" w:color="auto"/>
      </w:divBdr>
    </w:div>
    <w:div w:id="304824493">
      <w:bodyDiv w:val="1"/>
      <w:marLeft w:val="0"/>
      <w:marRight w:val="0"/>
      <w:marTop w:val="0"/>
      <w:marBottom w:val="0"/>
      <w:divBdr>
        <w:top w:val="none" w:sz="0" w:space="0" w:color="auto"/>
        <w:left w:val="none" w:sz="0" w:space="0" w:color="auto"/>
        <w:bottom w:val="none" w:sz="0" w:space="0" w:color="auto"/>
        <w:right w:val="none" w:sz="0" w:space="0" w:color="auto"/>
      </w:divBdr>
    </w:div>
    <w:div w:id="318850301">
      <w:bodyDiv w:val="1"/>
      <w:marLeft w:val="0"/>
      <w:marRight w:val="0"/>
      <w:marTop w:val="0"/>
      <w:marBottom w:val="0"/>
      <w:divBdr>
        <w:top w:val="none" w:sz="0" w:space="0" w:color="auto"/>
        <w:left w:val="none" w:sz="0" w:space="0" w:color="auto"/>
        <w:bottom w:val="none" w:sz="0" w:space="0" w:color="auto"/>
        <w:right w:val="none" w:sz="0" w:space="0" w:color="auto"/>
      </w:divBdr>
    </w:div>
    <w:div w:id="327438989">
      <w:bodyDiv w:val="1"/>
      <w:marLeft w:val="0"/>
      <w:marRight w:val="0"/>
      <w:marTop w:val="0"/>
      <w:marBottom w:val="0"/>
      <w:divBdr>
        <w:top w:val="none" w:sz="0" w:space="0" w:color="auto"/>
        <w:left w:val="none" w:sz="0" w:space="0" w:color="auto"/>
        <w:bottom w:val="none" w:sz="0" w:space="0" w:color="auto"/>
        <w:right w:val="none" w:sz="0" w:space="0" w:color="auto"/>
      </w:divBdr>
    </w:div>
    <w:div w:id="3320760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3217351">
      <w:bodyDiv w:val="1"/>
      <w:marLeft w:val="0"/>
      <w:marRight w:val="0"/>
      <w:marTop w:val="0"/>
      <w:marBottom w:val="0"/>
      <w:divBdr>
        <w:top w:val="none" w:sz="0" w:space="0" w:color="auto"/>
        <w:left w:val="none" w:sz="0" w:space="0" w:color="auto"/>
        <w:bottom w:val="none" w:sz="0" w:space="0" w:color="auto"/>
        <w:right w:val="none" w:sz="0" w:space="0" w:color="auto"/>
      </w:divBdr>
    </w:div>
    <w:div w:id="395588175">
      <w:bodyDiv w:val="1"/>
      <w:marLeft w:val="0"/>
      <w:marRight w:val="0"/>
      <w:marTop w:val="0"/>
      <w:marBottom w:val="0"/>
      <w:divBdr>
        <w:top w:val="none" w:sz="0" w:space="0" w:color="auto"/>
        <w:left w:val="none" w:sz="0" w:space="0" w:color="auto"/>
        <w:bottom w:val="none" w:sz="0" w:space="0" w:color="auto"/>
        <w:right w:val="none" w:sz="0" w:space="0" w:color="auto"/>
      </w:divBdr>
    </w:div>
    <w:div w:id="39991259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155945">
      <w:bodyDiv w:val="1"/>
      <w:marLeft w:val="0"/>
      <w:marRight w:val="0"/>
      <w:marTop w:val="0"/>
      <w:marBottom w:val="0"/>
      <w:divBdr>
        <w:top w:val="none" w:sz="0" w:space="0" w:color="auto"/>
        <w:left w:val="none" w:sz="0" w:space="0" w:color="auto"/>
        <w:bottom w:val="none" w:sz="0" w:space="0" w:color="auto"/>
        <w:right w:val="none" w:sz="0" w:space="0" w:color="auto"/>
      </w:divBdr>
    </w:div>
    <w:div w:id="471407645">
      <w:bodyDiv w:val="1"/>
      <w:marLeft w:val="0"/>
      <w:marRight w:val="0"/>
      <w:marTop w:val="0"/>
      <w:marBottom w:val="0"/>
      <w:divBdr>
        <w:top w:val="none" w:sz="0" w:space="0" w:color="auto"/>
        <w:left w:val="none" w:sz="0" w:space="0" w:color="auto"/>
        <w:bottom w:val="none" w:sz="0" w:space="0" w:color="auto"/>
        <w:right w:val="none" w:sz="0" w:space="0" w:color="auto"/>
      </w:divBdr>
    </w:div>
    <w:div w:id="482426820">
      <w:bodyDiv w:val="1"/>
      <w:marLeft w:val="0"/>
      <w:marRight w:val="0"/>
      <w:marTop w:val="0"/>
      <w:marBottom w:val="0"/>
      <w:divBdr>
        <w:top w:val="none" w:sz="0" w:space="0" w:color="auto"/>
        <w:left w:val="none" w:sz="0" w:space="0" w:color="auto"/>
        <w:bottom w:val="none" w:sz="0" w:space="0" w:color="auto"/>
        <w:right w:val="none" w:sz="0" w:space="0" w:color="auto"/>
      </w:divBdr>
    </w:div>
    <w:div w:id="505555370">
      <w:bodyDiv w:val="1"/>
      <w:marLeft w:val="0"/>
      <w:marRight w:val="0"/>
      <w:marTop w:val="0"/>
      <w:marBottom w:val="0"/>
      <w:divBdr>
        <w:top w:val="none" w:sz="0" w:space="0" w:color="auto"/>
        <w:left w:val="none" w:sz="0" w:space="0" w:color="auto"/>
        <w:bottom w:val="none" w:sz="0" w:space="0" w:color="auto"/>
        <w:right w:val="none" w:sz="0" w:space="0" w:color="auto"/>
      </w:divBdr>
    </w:div>
    <w:div w:id="519664577">
      <w:bodyDiv w:val="1"/>
      <w:marLeft w:val="0"/>
      <w:marRight w:val="0"/>
      <w:marTop w:val="0"/>
      <w:marBottom w:val="0"/>
      <w:divBdr>
        <w:top w:val="none" w:sz="0" w:space="0" w:color="auto"/>
        <w:left w:val="none" w:sz="0" w:space="0" w:color="auto"/>
        <w:bottom w:val="none" w:sz="0" w:space="0" w:color="auto"/>
        <w:right w:val="none" w:sz="0" w:space="0" w:color="auto"/>
      </w:divBdr>
    </w:div>
    <w:div w:id="520052023">
      <w:bodyDiv w:val="1"/>
      <w:marLeft w:val="0"/>
      <w:marRight w:val="0"/>
      <w:marTop w:val="0"/>
      <w:marBottom w:val="0"/>
      <w:divBdr>
        <w:top w:val="none" w:sz="0" w:space="0" w:color="auto"/>
        <w:left w:val="none" w:sz="0" w:space="0" w:color="auto"/>
        <w:bottom w:val="none" w:sz="0" w:space="0" w:color="auto"/>
        <w:right w:val="none" w:sz="0" w:space="0" w:color="auto"/>
      </w:divBdr>
    </w:div>
    <w:div w:id="532770327">
      <w:bodyDiv w:val="1"/>
      <w:marLeft w:val="0"/>
      <w:marRight w:val="0"/>
      <w:marTop w:val="0"/>
      <w:marBottom w:val="0"/>
      <w:divBdr>
        <w:top w:val="none" w:sz="0" w:space="0" w:color="auto"/>
        <w:left w:val="none" w:sz="0" w:space="0" w:color="auto"/>
        <w:bottom w:val="none" w:sz="0" w:space="0" w:color="auto"/>
        <w:right w:val="none" w:sz="0" w:space="0" w:color="auto"/>
      </w:divBdr>
    </w:div>
    <w:div w:id="53334833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4409824">
      <w:bodyDiv w:val="1"/>
      <w:marLeft w:val="0"/>
      <w:marRight w:val="0"/>
      <w:marTop w:val="0"/>
      <w:marBottom w:val="0"/>
      <w:divBdr>
        <w:top w:val="none" w:sz="0" w:space="0" w:color="auto"/>
        <w:left w:val="none" w:sz="0" w:space="0" w:color="auto"/>
        <w:bottom w:val="none" w:sz="0" w:space="0" w:color="auto"/>
        <w:right w:val="none" w:sz="0" w:space="0" w:color="auto"/>
      </w:divBdr>
    </w:div>
    <w:div w:id="550725931">
      <w:bodyDiv w:val="1"/>
      <w:marLeft w:val="0"/>
      <w:marRight w:val="0"/>
      <w:marTop w:val="0"/>
      <w:marBottom w:val="0"/>
      <w:divBdr>
        <w:top w:val="none" w:sz="0" w:space="0" w:color="auto"/>
        <w:left w:val="none" w:sz="0" w:space="0" w:color="auto"/>
        <w:bottom w:val="none" w:sz="0" w:space="0" w:color="auto"/>
        <w:right w:val="none" w:sz="0" w:space="0" w:color="auto"/>
      </w:divBdr>
    </w:div>
    <w:div w:id="557739833">
      <w:bodyDiv w:val="1"/>
      <w:marLeft w:val="0"/>
      <w:marRight w:val="0"/>
      <w:marTop w:val="0"/>
      <w:marBottom w:val="0"/>
      <w:divBdr>
        <w:top w:val="none" w:sz="0" w:space="0" w:color="auto"/>
        <w:left w:val="none" w:sz="0" w:space="0" w:color="auto"/>
        <w:bottom w:val="none" w:sz="0" w:space="0" w:color="auto"/>
        <w:right w:val="none" w:sz="0" w:space="0" w:color="auto"/>
      </w:divBdr>
    </w:div>
    <w:div w:id="566578254">
      <w:bodyDiv w:val="1"/>
      <w:marLeft w:val="0"/>
      <w:marRight w:val="0"/>
      <w:marTop w:val="0"/>
      <w:marBottom w:val="0"/>
      <w:divBdr>
        <w:top w:val="none" w:sz="0" w:space="0" w:color="auto"/>
        <w:left w:val="none" w:sz="0" w:space="0" w:color="auto"/>
        <w:bottom w:val="none" w:sz="0" w:space="0" w:color="auto"/>
        <w:right w:val="none" w:sz="0" w:space="0" w:color="auto"/>
      </w:divBdr>
    </w:div>
    <w:div w:id="567303241">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571890192">
      <w:bodyDiv w:val="1"/>
      <w:marLeft w:val="0"/>
      <w:marRight w:val="0"/>
      <w:marTop w:val="0"/>
      <w:marBottom w:val="0"/>
      <w:divBdr>
        <w:top w:val="none" w:sz="0" w:space="0" w:color="auto"/>
        <w:left w:val="none" w:sz="0" w:space="0" w:color="auto"/>
        <w:bottom w:val="none" w:sz="0" w:space="0" w:color="auto"/>
        <w:right w:val="none" w:sz="0" w:space="0" w:color="auto"/>
      </w:divBdr>
    </w:div>
    <w:div w:id="575018931">
      <w:bodyDiv w:val="1"/>
      <w:marLeft w:val="0"/>
      <w:marRight w:val="0"/>
      <w:marTop w:val="0"/>
      <w:marBottom w:val="0"/>
      <w:divBdr>
        <w:top w:val="none" w:sz="0" w:space="0" w:color="auto"/>
        <w:left w:val="none" w:sz="0" w:space="0" w:color="auto"/>
        <w:bottom w:val="none" w:sz="0" w:space="0" w:color="auto"/>
        <w:right w:val="none" w:sz="0" w:space="0" w:color="auto"/>
      </w:divBdr>
    </w:div>
    <w:div w:id="587539260">
      <w:bodyDiv w:val="1"/>
      <w:marLeft w:val="0"/>
      <w:marRight w:val="0"/>
      <w:marTop w:val="0"/>
      <w:marBottom w:val="0"/>
      <w:divBdr>
        <w:top w:val="none" w:sz="0" w:space="0" w:color="auto"/>
        <w:left w:val="none" w:sz="0" w:space="0" w:color="auto"/>
        <w:bottom w:val="none" w:sz="0" w:space="0" w:color="auto"/>
        <w:right w:val="none" w:sz="0" w:space="0" w:color="auto"/>
      </w:divBdr>
    </w:div>
    <w:div w:id="589004668">
      <w:bodyDiv w:val="1"/>
      <w:marLeft w:val="0"/>
      <w:marRight w:val="0"/>
      <w:marTop w:val="0"/>
      <w:marBottom w:val="0"/>
      <w:divBdr>
        <w:top w:val="none" w:sz="0" w:space="0" w:color="auto"/>
        <w:left w:val="none" w:sz="0" w:space="0" w:color="auto"/>
        <w:bottom w:val="none" w:sz="0" w:space="0" w:color="auto"/>
        <w:right w:val="none" w:sz="0" w:space="0" w:color="auto"/>
      </w:divBdr>
    </w:div>
    <w:div w:id="592513893">
      <w:bodyDiv w:val="1"/>
      <w:marLeft w:val="0"/>
      <w:marRight w:val="0"/>
      <w:marTop w:val="0"/>
      <w:marBottom w:val="0"/>
      <w:divBdr>
        <w:top w:val="none" w:sz="0" w:space="0" w:color="auto"/>
        <w:left w:val="none" w:sz="0" w:space="0" w:color="auto"/>
        <w:bottom w:val="none" w:sz="0" w:space="0" w:color="auto"/>
        <w:right w:val="none" w:sz="0" w:space="0" w:color="auto"/>
      </w:divBdr>
    </w:div>
    <w:div w:id="602807393">
      <w:bodyDiv w:val="1"/>
      <w:marLeft w:val="0"/>
      <w:marRight w:val="0"/>
      <w:marTop w:val="0"/>
      <w:marBottom w:val="0"/>
      <w:divBdr>
        <w:top w:val="none" w:sz="0" w:space="0" w:color="auto"/>
        <w:left w:val="none" w:sz="0" w:space="0" w:color="auto"/>
        <w:bottom w:val="none" w:sz="0" w:space="0" w:color="auto"/>
        <w:right w:val="none" w:sz="0" w:space="0" w:color="auto"/>
      </w:divBdr>
    </w:div>
    <w:div w:id="623081441">
      <w:bodyDiv w:val="1"/>
      <w:marLeft w:val="0"/>
      <w:marRight w:val="0"/>
      <w:marTop w:val="0"/>
      <w:marBottom w:val="0"/>
      <w:divBdr>
        <w:top w:val="none" w:sz="0" w:space="0" w:color="auto"/>
        <w:left w:val="none" w:sz="0" w:space="0" w:color="auto"/>
        <w:bottom w:val="none" w:sz="0" w:space="0" w:color="auto"/>
        <w:right w:val="none" w:sz="0" w:space="0" w:color="auto"/>
      </w:divBdr>
    </w:div>
    <w:div w:id="646056367">
      <w:bodyDiv w:val="1"/>
      <w:marLeft w:val="0"/>
      <w:marRight w:val="0"/>
      <w:marTop w:val="0"/>
      <w:marBottom w:val="0"/>
      <w:divBdr>
        <w:top w:val="none" w:sz="0" w:space="0" w:color="auto"/>
        <w:left w:val="none" w:sz="0" w:space="0" w:color="auto"/>
        <w:bottom w:val="none" w:sz="0" w:space="0" w:color="auto"/>
        <w:right w:val="none" w:sz="0" w:space="0" w:color="auto"/>
      </w:divBdr>
    </w:div>
    <w:div w:id="647368397">
      <w:bodyDiv w:val="1"/>
      <w:marLeft w:val="0"/>
      <w:marRight w:val="0"/>
      <w:marTop w:val="0"/>
      <w:marBottom w:val="0"/>
      <w:divBdr>
        <w:top w:val="none" w:sz="0" w:space="0" w:color="auto"/>
        <w:left w:val="none" w:sz="0" w:space="0" w:color="auto"/>
        <w:bottom w:val="none" w:sz="0" w:space="0" w:color="auto"/>
        <w:right w:val="none" w:sz="0" w:space="0" w:color="auto"/>
      </w:divBdr>
    </w:div>
    <w:div w:id="648094894">
      <w:bodyDiv w:val="1"/>
      <w:marLeft w:val="0"/>
      <w:marRight w:val="0"/>
      <w:marTop w:val="0"/>
      <w:marBottom w:val="0"/>
      <w:divBdr>
        <w:top w:val="none" w:sz="0" w:space="0" w:color="auto"/>
        <w:left w:val="none" w:sz="0" w:space="0" w:color="auto"/>
        <w:bottom w:val="none" w:sz="0" w:space="0" w:color="auto"/>
        <w:right w:val="none" w:sz="0" w:space="0" w:color="auto"/>
      </w:divBdr>
    </w:div>
    <w:div w:id="665714817">
      <w:bodyDiv w:val="1"/>
      <w:marLeft w:val="0"/>
      <w:marRight w:val="0"/>
      <w:marTop w:val="0"/>
      <w:marBottom w:val="0"/>
      <w:divBdr>
        <w:top w:val="none" w:sz="0" w:space="0" w:color="auto"/>
        <w:left w:val="none" w:sz="0" w:space="0" w:color="auto"/>
        <w:bottom w:val="none" w:sz="0" w:space="0" w:color="auto"/>
        <w:right w:val="none" w:sz="0" w:space="0" w:color="auto"/>
      </w:divBdr>
    </w:div>
    <w:div w:id="673142231">
      <w:bodyDiv w:val="1"/>
      <w:marLeft w:val="0"/>
      <w:marRight w:val="0"/>
      <w:marTop w:val="0"/>
      <w:marBottom w:val="0"/>
      <w:divBdr>
        <w:top w:val="none" w:sz="0" w:space="0" w:color="auto"/>
        <w:left w:val="none" w:sz="0" w:space="0" w:color="auto"/>
        <w:bottom w:val="none" w:sz="0" w:space="0" w:color="auto"/>
        <w:right w:val="none" w:sz="0" w:space="0" w:color="auto"/>
      </w:divBdr>
    </w:div>
    <w:div w:id="70027969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1492113">
      <w:bodyDiv w:val="1"/>
      <w:marLeft w:val="0"/>
      <w:marRight w:val="0"/>
      <w:marTop w:val="0"/>
      <w:marBottom w:val="0"/>
      <w:divBdr>
        <w:top w:val="none" w:sz="0" w:space="0" w:color="auto"/>
        <w:left w:val="none" w:sz="0" w:space="0" w:color="auto"/>
        <w:bottom w:val="none" w:sz="0" w:space="0" w:color="auto"/>
        <w:right w:val="none" w:sz="0" w:space="0" w:color="auto"/>
      </w:divBdr>
    </w:div>
    <w:div w:id="809440959">
      <w:bodyDiv w:val="1"/>
      <w:marLeft w:val="0"/>
      <w:marRight w:val="0"/>
      <w:marTop w:val="0"/>
      <w:marBottom w:val="0"/>
      <w:divBdr>
        <w:top w:val="none" w:sz="0" w:space="0" w:color="auto"/>
        <w:left w:val="none" w:sz="0" w:space="0" w:color="auto"/>
        <w:bottom w:val="none" w:sz="0" w:space="0" w:color="auto"/>
        <w:right w:val="none" w:sz="0" w:space="0" w:color="auto"/>
      </w:divBdr>
    </w:div>
    <w:div w:id="809632522">
      <w:bodyDiv w:val="1"/>
      <w:marLeft w:val="0"/>
      <w:marRight w:val="0"/>
      <w:marTop w:val="0"/>
      <w:marBottom w:val="0"/>
      <w:divBdr>
        <w:top w:val="none" w:sz="0" w:space="0" w:color="auto"/>
        <w:left w:val="none" w:sz="0" w:space="0" w:color="auto"/>
        <w:bottom w:val="none" w:sz="0" w:space="0" w:color="auto"/>
        <w:right w:val="none" w:sz="0" w:space="0" w:color="auto"/>
      </w:divBdr>
    </w:div>
    <w:div w:id="895892117">
      <w:bodyDiv w:val="1"/>
      <w:marLeft w:val="0"/>
      <w:marRight w:val="0"/>
      <w:marTop w:val="0"/>
      <w:marBottom w:val="0"/>
      <w:divBdr>
        <w:top w:val="none" w:sz="0" w:space="0" w:color="auto"/>
        <w:left w:val="none" w:sz="0" w:space="0" w:color="auto"/>
        <w:bottom w:val="none" w:sz="0" w:space="0" w:color="auto"/>
        <w:right w:val="none" w:sz="0" w:space="0" w:color="auto"/>
      </w:divBdr>
    </w:div>
    <w:div w:id="896160262">
      <w:bodyDiv w:val="1"/>
      <w:marLeft w:val="0"/>
      <w:marRight w:val="0"/>
      <w:marTop w:val="0"/>
      <w:marBottom w:val="0"/>
      <w:divBdr>
        <w:top w:val="none" w:sz="0" w:space="0" w:color="auto"/>
        <w:left w:val="none" w:sz="0" w:space="0" w:color="auto"/>
        <w:bottom w:val="none" w:sz="0" w:space="0" w:color="auto"/>
        <w:right w:val="none" w:sz="0" w:space="0" w:color="auto"/>
      </w:divBdr>
    </w:div>
    <w:div w:id="901988741">
      <w:bodyDiv w:val="1"/>
      <w:marLeft w:val="0"/>
      <w:marRight w:val="0"/>
      <w:marTop w:val="0"/>
      <w:marBottom w:val="0"/>
      <w:divBdr>
        <w:top w:val="none" w:sz="0" w:space="0" w:color="auto"/>
        <w:left w:val="none" w:sz="0" w:space="0" w:color="auto"/>
        <w:bottom w:val="none" w:sz="0" w:space="0" w:color="auto"/>
        <w:right w:val="none" w:sz="0" w:space="0" w:color="auto"/>
      </w:divBdr>
    </w:div>
    <w:div w:id="904267129">
      <w:bodyDiv w:val="1"/>
      <w:marLeft w:val="0"/>
      <w:marRight w:val="0"/>
      <w:marTop w:val="0"/>
      <w:marBottom w:val="0"/>
      <w:divBdr>
        <w:top w:val="none" w:sz="0" w:space="0" w:color="auto"/>
        <w:left w:val="none" w:sz="0" w:space="0" w:color="auto"/>
        <w:bottom w:val="none" w:sz="0" w:space="0" w:color="auto"/>
        <w:right w:val="none" w:sz="0" w:space="0" w:color="auto"/>
      </w:divBdr>
    </w:div>
    <w:div w:id="905264419">
      <w:bodyDiv w:val="1"/>
      <w:marLeft w:val="0"/>
      <w:marRight w:val="0"/>
      <w:marTop w:val="0"/>
      <w:marBottom w:val="0"/>
      <w:divBdr>
        <w:top w:val="none" w:sz="0" w:space="0" w:color="auto"/>
        <w:left w:val="none" w:sz="0" w:space="0" w:color="auto"/>
        <w:bottom w:val="none" w:sz="0" w:space="0" w:color="auto"/>
        <w:right w:val="none" w:sz="0" w:space="0" w:color="auto"/>
      </w:divBdr>
    </w:div>
    <w:div w:id="922375646">
      <w:bodyDiv w:val="1"/>
      <w:marLeft w:val="0"/>
      <w:marRight w:val="0"/>
      <w:marTop w:val="0"/>
      <w:marBottom w:val="0"/>
      <w:divBdr>
        <w:top w:val="none" w:sz="0" w:space="0" w:color="auto"/>
        <w:left w:val="none" w:sz="0" w:space="0" w:color="auto"/>
        <w:bottom w:val="none" w:sz="0" w:space="0" w:color="auto"/>
        <w:right w:val="none" w:sz="0" w:space="0" w:color="auto"/>
      </w:divBdr>
    </w:div>
    <w:div w:id="922958374">
      <w:bodyDiv w:val="1"/>
      <w:marLeft w:val="0"/>
      <w:marRight w:val="0"/>
      <w:marTop w:val="0"/>
      <w:marBottom w:val="0"/>
      <w:divBdr>
        <w:top w:val="none" w:sz="0" w:space="0" w:color="auto"/>
        <w:left w:val="none" w:sz="0" w:space="0" w:color="auto"/>
        <w:bottom w:val="none" w:sz="0" w:space="0" w:color="auto"/>
        <w:right w:val="none" w:sz="0" w:space="0" w:color="auto"/>
      </w:divBdr>
    </w:div>
    <w:div w:id="94118784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051033">
      <w:bodyDiv w:val="1"/>
      <w:marLeft w:val="0"/>
      <w:marRight w:val="0"/>
      <w:marTop w:val="0"/>
      <w:marBottom w:val="0"/>
      <w:divBdr>
        <w:top w:val="none" w:sz="0" w:space="0" w:color="auto"/>
        <w:left w:val="none" w:sz="0" w:space="0" w:color="auto"/>
        <w:bottom w:val="none" w:sz="0" w:space="0" w:color="auto"/>
        <w:right w:val="none" w:sz="0" w:space="0" w:color="auto"/>
      </w:divBdr>
    </w:div>
    <w:div w:id="1000281280">
      <w:bodyDiv w:val="1"/>
      <w:marLeft w:val="0"/>
      <w:marRight w:val="0"/>
      <w:marTop w:val="0"/>
      <w:marBottom w:val="0"/>
      <w:divBdr>
        <w:top w:val="none" w:sz="0" w:space="0" w:color="auto"/>
        <w:left w:val="none" w:sz="0" w:space="0" w:color="auto"/>
        <w:bottom w:val="none" w:sz="0" w:space="0" w:color="auto"/>
        <w:right w:val="none" w:sz="0" w:space="0" w:color="auto"/>
      </w:divBdr>
    </w:div>
    <w:div w:id="1027566451">
      <w:bodyDiv w:val="1"/>
      <w:marLeft w:val="0"/>
      <w:marRight w:val="0"/>
      <w:marTop w:val="0"/>
      <w:marBottom w:val="0"/>
      <w:divBdr>
        <w:top w:val="none" w:sz="0" w:space="0" w:color="auto"/>
        <w:left w:val="none" w:sz="0" w:space="0" w:color="auto"/>
        <w:bottom w:val="none" w:sz="0" w:space="0" w:color="auto"/>
        <w:right w:val="none" w:sz="0" w:space="0" w:color="auto"/>
      </w:divBdr>
    </w:div>
    <w:div w:id="1053626483">
      <w:bodyDiv w:val="1"/>
      <w:marLeft w:val="0"/>
      <w:marRight w:val="0"/>
      <w:marTop w:val="0"/>
      <w:marBottom w:val="0"/>
      <w:divBdr>
        <w:top w:val="none" w:sz="0" w:space="0" w:color="auto"/>
        <w:left w:val="none" w:sz="0" w:space="0" w:color="auto"/>
        <w:bottom w:val="none" w:sz="0" w:space="0" w:color="auto"/>
        <w:right w:val="none" w:sz="0" w:space="0" w:color="auto"/>
      </w:divBdr>
    </w:div>
    <w:div w:id="1062098047">
      <w:bodyDiv w:val="1"/>
      <w:marLeft w:val="0"/>
      <w:marRight w:val="0"/>
      <w:marTop w:val="0"/>
      <w:marBottom w:val="0"/>
      <w:divBdr>
        <w:top w:val="none" w:sz="0" w:space="0" w:color="auto"/>
        <w:left w:val="none" w:sz="0" w:space="0" w:color="auto"/>
        <w:bottom w:val="none" w:sz="0" w:space="0" w:color="auto"/>
        <w:right w:val="none" w:sz="0" w:space="0" w:color="auto"/>
      </w:divBdr>
    </w:div>
    <w:div w:id="1100101449">
      <w:bodyDiv w:val="1"/>
      <w:marLeft w:val="0"/>
      <w:marRight w:val="0"/>
      <w:marTop w:val="0"/>
      <w:marBottom w:val="0"/>
      <w:divBdr>
        <w:top w:val="none" w:sz="0" w:space="0" w:color="auto"/>
        <w:left w:val="none" w:sz="0" w:space="0" w:color="auto"/>
        <w:bottom w:val="none" w:sz="0" w:space="0" w:color="auto"/>
        <w:right w:val="none" w:sz="0" w:space="0" w:color="auto"/>
      </w:divBdr>
    </w:div>
    <w:div w:id="113529588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1289369">
      <w:bodyDiv w:val="1"/>
      <w:marLeft w:val="0"/>
      <w:marRight w:val="0"/>
      <w:marTop w:val="0"/>
      <w:marBottom w:val="0"/>
      <w:divBdr>
        <w:top w:val="none" w:sz="0" w:space="0" w:color="auto"/>
        <w:left w:val="none" w:sz="0" w:space="0" w:color="auto"/>
        <w:bottom w:val="none" w:sz="0" w:space="0" w:color="auto"/>
        <w:right w:val="none" w:sz="0" w:space="0" w:color="auto"/>
      </w:divBdr>
    </w:div>
    <w:div w:id="1161194502">
      <w:bodyDiv w:val="1"/>
      <w:marLeft w:val="0"/>
      <w:marRight w:val="0"/>
      <w:marTop w:val="0"/>
      <w:marBottom w:val="0"/>
      <w:divBdr>
        <w:top w:val="none" w:sz="0" w:space="0" w:color="auto"/>
        <w:left w:val="none" w:sz="0" w:space="0" w:color="auto"/>
        <w:bottom w:val="none" w:sz="0" w:space="0" w:color="auto"/>
        <w:right w:val="none" w:sz="0" w:space="0" w:color="auto"/>
      </w:divBdr>
    </w:div>
    <w:div w:id="1182672302">
      <w:bodyDiv w:val="1"/>
      <w:marLeft w:val="0"/>
      <w:marRight w:val="0"/>
      <w:marTop w:val="0"/>
      <w:marBottom w:val="0"/>
      <w:divBdr>
        <w:top w:val="none" w:sz="0" w:space="0" w:color="auto"/>
        <w:left w:val="none" w:sz="0" w:space="0" w:color="auto"/>
        <w:bottom w:val="none" w:sz="0" w:space="0" w:color="auto"/>
        <w:right w:val="none" w:sz="0" w:space="0" w:color="auto"/>
      </w:divBdr>
    </w:div>
    <w:div w:id="1187257552">
      <w:bodyDiv w:val="1"/>
      <w:marLeft w:val="0"/>
      <w:marRight w:val="0"/>
      <w:marTop w:val="0"/>
      <w:marBottom w:val="0"/>
      <w:divBdr>
        <w:top w:val="none" w:sz="0" w:space="0" w:color="auto"/>
        <w:left w:val="none" w:sz="0" w:space="0" w:color="auto"/>
        <w:bottom w:val="none" w:sz="0" w:space="0" w:color="auto"/>
        <w:right w:val="none" w:sz="0" w:space="0" w:color="auto"/>
      </w:divBdr>
    </w:div>
    <w:div w:id="1204560623">
      <w:bodyDiv w:val="1"/>
      <w:marLeft w:val="0"/>
      <w:marRight w:val="0"/>
      <w:marTop w:val="0"/>
      <w:marBottom w:val="0"/>
      <w:divBdr>
        <w:top w:val="none" w:sz="0" w:space="0" w:color="auto"/>
        <w:left w:val="none" w:sz="0" w:space="0" w:color="auto"/>
        <w:bottom w:val="none" w:sz="0" w:space="0" w:color="auto"/>
        <w:right w:val="none" w:sz="0" w:space="0" w:color="auto"/>
      </w:divBdr>
    </w:div>
    <w:div w:id="1226911941">
      <w:bodyDiv w:val="1"/>
      <w:marLeft w:val="0"/>
      <w:marRight w:val="0"/>
      <w:marTop w:val="0"/>
      <w:marBottom w:val="0"/>
      <w:divBdr>
        <w:top w:val="none" w:sz="0" w:space="0" w:color="auto"/>
        <w:left w:val="none" w:sz="0" w:space="0" w:color="auto"/>
        <w:bottom w:val="none" w:sz="0" w:space="0" w:color="auto"/>
        <w:right w:val="none" w:sz="0" w:space="0" w:color="auto"/>
      </w:divBdr>
    </w:div>
    <w:div w:id="123693206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2129792">
      <w:bodyDiv w:val="1"/>
      <w:marLeft w:val="0"/>
      <w:marRight w:val="0"/>
      <w:marTop w:val="0"/>
      <w:marBottom w:val="0"/>
      <w:divBdr>
        <w:top w:val="none" w:sz="0" w:space="0" w:color="auto"/>
        <w:left w:val="none" w:sz="0" w:space="0" w:color="auto"/>
        <w:bottom w:val="none" w:sz="0" w:space="0" w:color="auto"/>
        <w:right w:val="none" w:sz="0" w:space="0" w:color="auto"/>
      </w:divBdr>
    </w:div>
    <w:div w:id="1298419104">
      <w:bodyDiv w:val="1"/>
      <w:marLeft w:val="0"/>
      <w:marRight w:val="0"/>
      <w:marTop w:val="0"/>
      <w:marBottom w:val="0"/>
      <w:divBdr>
        <w:top w:val="none" w:sz="0" w:space="0" w:color="auto"/>
        <w:left w:val="none" w:sz="0" w:space="0" w:color="auto"/>
        <w:bottom w:val="none" w:sz="0" w:space="0" w:color="auto"/>
        <w:right w:val="none" w:sz="0" w:space="0" w:color="auto"/>
      </w:divBdr>
    </w:div>
    <w:div w:id="1300069966">
      <w:bodyDiv w:val="1"/>
      <w:marLeft w:val="0"/>
      <w:marRight w:val="0"/>
      <w:marTop w:val="0"/>
      <w:marBottom w:val="0"/>
      <w:divBdr>
        <w:top w:val="none" w:sz="0" w:space="0" w:color="auto"/>
        <w:left w:val="none" w:sz="0" w:space="0" w:color="auto"/>
        <w:bottom w:val="none" w:sz="0" w:space="0" w:color="auto"/>
        <w:right w:val="none" w:sz="0" w:space="0" w:color="auto"/>
      </w:divBdr>
    </w:div>
    <w:div w:id="1326085414">
      <w:bodyDiv w:val="1"/>
      <w:marLeft w:val="0"/>
      <w:marRight w:val="0"/>
      <w:marTop w:val="0"/>
      <w:marBottom w:val="0"/>
      <w:divBdr>
        <w:top w:val="none" w:sz="0" w:space="0" w:color="auto"/>
        <w:left w:val="none" w:sz="0" w:space="0" w:color="auto"/>
        <w:bottom w:val="none" w:sz="0" w:space="0" w:color="auto"/>
        <w:right w:val="none" w:sz="0" w:space="0" w:color="auto"/>
      </w:divBdr>
    </w:div>
    <w:div w:id="1336496865">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324191">
      <w:bodyDiv w:val="1"/>
      <w:marLeft w:val="0"/>
      <w:marRight w:val="0"/>
      <w:marTop w:val="0"/>
      <w:marBottom w:val="0"/>
      <w:divBdr>
        <w:top w:val="none" w:sz="0" w:space="0" w:color="auto"/>
        <w:left w:val="none" w:sz="0" w:space="0" w:color="auto"/>
        <w:bottom w:val="none" w:sz="0" w:space="0" w:color="auto"/>
        <w:right w:val="none" w:sz="0" w:space="0" w:color="auto"/>
      </w:divBdr>
    </w:div>
    <w:div w:id="1364748436">
      <w:bodyDiv w:val="1"/>
      <w:marLeft w:val="0"/>
      <w:marRight w:val="0"/>
      <w:marTop w:val="0"/>
      <w:marBottom w:val="0"/>
      <w:divBdr>
        <w:top w:val="none" w:sz="0" w:space="0" w:color="auto"/>
        <w:left w:val="none" w:sz="0" w:space="0" w:color="auto"/>
        <w:bottom w:val="none" w:sz="0" w:space="0" w:color="auto"/>
        <w:right w:val="none" w:sz="0" w:space="0" w:color="auto"/>
      </w:divBdr>
    </w:div>
    <w:div w:id="1385710930">
      <w:bodyDiv w:val="1"/>
      <w:marLeft w:val="0"/>
      <w:marRight w:val="0"/>
      <w:marTop w:val="0"/>
      <w:marBottom w:val="0"/>
      <w:divBdr>
        <w:top w:val="none" w:sz="0" w:space="0" w:color="auto"/>
        <w:left w:val="none" w:sz="0" w:space="0" w:color="auto"/>
        <w:bottom w:val="none" w:sz="0" w:space="0" w:color="auto"/>
        <w:right w:val="none" w:sz="0" w:space="0" w:color="auto"/>
      </w:divBdr>
    </w:div>
    <w:div w:id="1392727324">
      <w:bodyDiv w:val="1"/>
      <w:marLeft w:val="0"/>
      <w:marRight w:val="0"/>
      <w:marTop w:val="0"/>
      <w:marBottom w:val="0"/>
      <w:divBdr>
        <w:top w:val="none" w:sz="0" w:space="0" w:color="auto"/>
        <w:left w:val="none" w:sz="0" w:space="0" w:color="auto"/>
        <w:bottom w:val="none" w:sz="0" w:space="0" w:color="auto"/>
        <w:right w:val="none" w:sz="0" w:space="0" w:color="auto"/>
      </w:divBdr>
    </w:div>
    <w:div w:id="14049154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45943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045786">
      <w:bodyDiv w:val="1"/>
      <w:marLeft w:val="0"/>
      <w:marRight w:val="0"/>
      <w:marTop w:val="0"/>
      <w:marBottom w:val="0"/>
      <w:divBdr>
        <w:top w:val="none" w:sz="0" w:space="0" w:color="auto"/>
        <w:left w:val="none" w:sz="0" w:space="0" w:color="auto"/>
        <w:bottom w:val="none" w:sz="0" w:space="0" w:color="auto"/>
        <w:right w:val="none" w:sz="0" w:space="0" w:color="auto"/>
      </w:divBdr>
    </w:div>
    <w:div w:id="1463498222">
      <w:bodyDiv w:val="1"/>
      <w:marLeft w:val="0"/>
      <w:marRight w:val="0"/>
      <w:marTop w:val="0"/>
      <w:marBottom w:val="0"/>
      <w:divBdr>
        <w:top w:val="none" w:sz="0" w:space="0" w:color="auto"/>
        <w:left w:val="none" w:sz="0" w:space="0" w:color="auto"/>
        <w:bottom w:val="none" w:sz="0" w:space="0" w:color="auto"/>
        <w:right w:val="none" w:sz="0" w:space="0" w:color="auto"/>
      </w:divBdr>
    </w:div>
    <w:div w:id="1466238447">
      <w:bodyDiv w:val="1"/>
      <w:marLeft w:val="0"/>
      <w:marRight w:val="0"/>
      <w:marTop w:val="0"/>
      <w:marBottom w:val="0"/>
      <w:divBdr>
        <w:top w:val="none" w:sz="0" w:space="0" w:color="auto"/>
        <w:left w:val="none" w:sz="0" w:space="0" w:color="auto"/>
        <w:bottom w:val="none" w:sz="0" w:space="0" w:color="auto"/>
        <w:right w:val="none" w:sz="0" w:space="0" w:color="auto"/>
      </w:divBdr>
    </w:div>
    <w:div w:id="1476533583">
      <w:bodyDiv w:val="1"/>
      <w:marLeft w:val="0"/>
      <w:marRight w:val="0"/>
      <w:marTop w:val="0"/>
      <w:marBottom w:val="0"/>
      <w:divBdr>
        <w:top w:val="none" w:sz="0" w:space="0" w:color="auto"/>
        <w:left w:val="none" w:sz="0" w:space="0" w:color="auto"/>
        <w:bottom w:val="none" w:sz="0" w:space="0" w:color="auto"/>
        <w:right w:val="none" w:sz="0" w:space="0" w:color="auto"/>
      </w:divBdr>
    </w:div>
    <w:div w:id="1494876421">
      <w:bodyDiv w:val="1"/>
      <w:marLeft w:val="0"/>
      <w:marRight w:val="0"/>
      <w:marTop w:val="0"/>
      <w:marBottom w:val="0"/>
      <w:divBdr>
        <w:top w:val="none" w:sz="0" w:space="0" w:color="auto"/>
        <w:left w:val="none" w:sz="0" w:space="0" w:color="auto"/>
        <w:bottom w:val="none" w:sz="0" w:space="0" w:color="auto"/>
        <w:right w:val="none" w:sz="0" w:space="0" w:color="auto"/>
      </w:divBdr>
    </w:div>
    <w:div w:id="1508866899">
      <w:bodyDiv w:val="1"/>
      <w:marLeft w:val="0"/>
      <w:marRight w:val="0"/>
      <w:marTop w:val="0"/>
      <w:marBottom w:val="0"/>
      <w:divBdr>
        <w:top w:val="none" w:sz="0" w:space="0" w:color="auto"/>
        <w:left w:val="none" w:sz="0" w:space="0" w:color="auto"/>
        <w:bottom w:val="none" w:sz="0" w:space="0" w:color="auto"/>
        <w:right w:val="none" w:sz="0" w:space="0" w:color="auto"/>
      </w:divBdr>
    </w:div>
    <w:div w:id="1512143434">
      <w:bodyDiv w:val="1"/>
      <w:marLeft w:val="0"/>
      <w:marRight w:val="0"/>
      <w:marTop w:val="0"/>
      <w:marBottom w:val="0"/>
      <w:divBdr>
        <w:top w:val="none" w:sz="0" w:space="0" w:color="auto"/>
        <w:left w:val="none" w:sz="0" w:space="0" w:color="auto"/>
        <w:bottom w:val="none" w:sz="0" w:space="0" w:color="auto"/>
        <w:right w:val="none" w:sz="0" w:space="0" w:color="auto"/>
      </w:divBdr>
    </w:div>
    <w:div w:id="1523977892">
      <w:bodyDiv w:val="1"/>
      <w:marLeft w:val="0"/>
      <w:marRight w:val="0"/>
      <w:marTop w:val="0"/>
      <w:marBottom w:val="0"/>
      <w:divBdr>
        <w:top w:val="none" w:sz="0" w:space="0" w:color="auto"/>
        <w:left w:val="none" w:sz="0" w:space="0" w:color="auto"/>
        <w:bottom w:val="none" w:sz="0" w:space="0" w:color="auto"/>
        <w:right w:val="none" w:sz="0" w:space="0" w:color="auto"/>
      </w:divBdr>
    </w:div>
    <w:div w:id="1526673248">
      <w:bodyDiv w:val="1"/>
      <w:marLeft w:val="0"/>
      <w:marRight w:val="0"/>
      <w:marTop w:val="0"/>
      <w:marBottom w:val="0"/>
      <w:divBdr>
        <w:top w:val="none" w:sz="0" w:space="0" w:color="auto"/>
        <w:left w:val="none" w:sz="0" w:space="0" w:color="auto"/>
        <w:bottom w:val="none" w:sz="0" w:space="0" w:color="auto"/>
        <w:right w:val="none" w:sz="0" w:space="0" w:color="auto"/>
      </w:divBdr>
    </w:div>
    <w:div w:id="1546091798">
      <w:bodyDiv w:val="1"/>
      <w:marLeft w:val="0"/>
      <w:marRight w:val="0"/>
      <w:marTop w:val="0"/>
      <w:marBottom w:val="0"/>
      <w:divBdr>
        <w:top w:val="none" w:sz="0" w:space="0" w:color="auto"/>
        <w:left w:val="none" w:sz="0" w:space="0" w:color="auto"/>
        <w:bottom w:val="none" w:sz="0" w:space="0" w:color="auto"/>
        <w:right w:val="none" w:sz="0" w:space="0" w:color="auto"/>
      </w:divBdr>
    </w:div>
    <w:div w:id="1561751448">
      <w:bodyDiv w:val="1"/>
      <w:marLeft w:val="0"/>
      <w:marRight w:val="0"/>
      <w:marTop w:val="0"/>
      <w:marBottom w:val="0"/>
      <w:divBdr>
        <w:top w:val="none" w:sz="0" w:space="0" w:color="auto"/>
        <w:left w:val="none" w:sz="0" w:space="0" w:color="auto"/>
        <w:bottom w:val="none" w:sz="0" w:space="0" w:color="auto"/>
        <w:right w:val="none" w:sz="0" w:space="0" w:color="auto"/>
      </w:divBdr>
    </w:div>
    <w:div w:id="1579514516">
      <w:bodyDiv w:val="1"/>
      <w:marLeft w:val="0"/>
      <w:marRight w:val="0"/>
      <w:marTop w:val="0"/>
      <w:marBottom w:val="0"/>
      <w:divBdr>
        <w:top w:val="none" w:sz="0" w:space="0" w:color="auto"/>
        <w:left w:val="none" w:sz="0" w:space="0" w:color="auto"/>
        <w:bottom w:val="none" w:sz="0" w:space="0" w:color="auto"/>
        <w:right w:val="none" w:sz="0" w:space="0" w:color="auto"/>
      </w:divBdr>
    </w:div>
    <w:div w:id="1592153710">
      <w:bodyDiv w:val="1"/>
      <w:marLeft w:val="0"/>
      <w:marRight w:val="0"/>
      <w:marTop w:val="0"/>
      <w:marBottom w:val="0"/>
      <w:divBdr>
        <w:top w:val="none" w:sz="0" w:space="0" w:color="auto"/>
        <w:left w:val="none" w:sz="0" w:space="0" w:color="auto"/>
        <w:bottom w:val="none" w:sz="0" w:space="0" w:color="auto"/>
        <w:right w:val="none" w:sz="0" w:space="0" w:color="auto"/>
      </w:divBdr>
    </w:div>
    <w:div w:id="1605729273">
      <w:bodyDiv w:val="1"/>
      <w:marLeft w:val="0"/>
      <w:marRight w:val="0"/>
      <w:marTop w:val="0"/>
      <w:marBottom w:val="0"/>
      <w:divBdr>
        <w:top w:val="none" w:sz="0" w:space="0" w:color="auto"/>
        <w:left w:val="none" w:sz="0" w:space="0" w:color="auto"/>
        <w:bottom w:val="none" w:sz="0" w:space="0" w:color="auto"/>
        <w:right w:val="none" w:sz="0" w:space="0" w:color="auto"/>
      </w:divBdr>
    </w:div>
    <w:div w:id="1608853147">
      <w:bodyDiv w:val="1"/>
      <w:marLeft w:val="0"/>
      <w:marRight w:val="0"/>
      <w:marTop w:val="0"/>
      <w:marBottom w:val="0"/>
      <w:divBdr>
        <w:top w:val="none" w:sz="0" w:space="0" w:color="auto"/>
        <w:left w:val="none" w:sz="0" w:space="0" w:color="auto"/>
        <w:bottom w:val="none" w:sz="0" w:space="0" w:color="auto"/>
        <w:right w:val="none" w:sz="0" w:space="0" w:color="auto"/>
      </w:divBdr>
    </w:div>
    <w:div w:id="1615791110">
      <w:bodyDiv w:val="1"/>
      <w:marLeft w:val="0"/>
      <w:marRight w:val="0"/>
      <w:marTop w:val="0"/>
      <w:marBottom w:val="0"/>
      <w:divBdr>
        <w:top w:val="none" w:sz="0" w:space="0" w:color="auto"/>
        <w:left w:val="none" w:sz="0" w:space="0" w:color="auto"/>
        <w:bottom w:val="none" w:sz="0" w:space="0" w:color="auto"/>
        <w:right w:val="none" w:sz="0" w:space="0" w:color="auto"/>
      </w:divBdr>
    </w:div>
    <w:div w:id="161875872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698001">
      <w:bodyDiv w:val="1"/>
      <w:marLeft w:val="0"/>
      <w:marRight w:val="0"/>
      <w:marTop w:val="0"/>
      <w:marBottom w:val="0"/>
      <w:divBdr>
        <w:top w:val="none" w:sz="0" w:space="0" w:color="auto"/>
        <w:left w:val="none" w:sz="0" w:space="0" w:color="auto"/>
        <w:bottom w:val="none" w:sz="0" w:space="0" w:color="auto"/>
        <w:right w:val="none" w:sz="0" w:space="0" w:color="auto"/>
      </w:divBdr>
    </w:div>
    <w:div w:id="1639802114">
      <w:bodyDiv w:val="1"/>
      <w:marLeft w:val="0"/>
      <w:marRight w:val="0"/>
      <w:marTop w:val="0"/>
      <w:marBottom w:val="0"/>
      <w:divBdr>
        <w:top w:val="none" w:sz="0" w:space="0" w:color="auto"/>
        <w:left w:val="none" w:sz="0" w:space="0" w:color="auto"/>
        <w:bottom w:val="none" w:sz="0" w:space="0" w:color="auto"/>
        <w:right w:val="none" w:sz="0" w:space="0" w:color="auto"/>
      </w:divBdr>
    </w:div>
    <w:div w:id="1662007625">
      <w:bodyDiv w:val="1"/>
      <w:marLeft w:val="0"/>
      <w:marRight w:val="0"/>
      <w:marTop w:val="0"/>
      <w:marBottom w:val="0"/>
      <w:divBdr>
        <w:top w:val="none" w:sz="0" w:space="0" w:color="auto"/>
        <w:left w:val="none" w:sz="0" w:space="0" w:color="auto"/>
        <w:bottom w:val="none" w:sz="0" w:space="0" w:color="auto"/>
        <w:right w:val="none" w:sz="0" w:space="0" w:color="auto"/>
      </w:divBdr>
    </w:div>
    <w:div w:id="1707636539">
      <w:bodyDiv w:val="1"/>
      <w:marLeft w:val="0"/>
      <w:marRight w:val="0"/>
      <w:marTop w:val="0"/>
      <w:marBottom w:val="0"/>
      <w:divBdr>
        <w:top w:val="none" w:sz="0" w:space="0" w:color="auto"/>
        <w:left w:val="none" w:sz="0" w:space="0" w:color="auto"/>
        <w:bottom w:val="none" w:sz="0" w:space="0" w:color="auto"/>
        <w:right w:val="none" w:sz="0" w:space="0" w:color="auto"/>
      </w:divBdr>
    </w:div>
    <w:div w:id="1740404382">
      <w:bodyDiv w:val="1"/>
      <w:marLeft w:val="0"/>
      <w:marRight w:val="0"/>
      <w:marTop w:val="0"/>
      <w:marBottom w:val="0"/>
      <w:divBdr>
        <w:top w:val="none" w:sz="0" w:space="0" w:color="auto"/>
        <w:left w:val="none" w:sz="0" w:space="0" w:color="auto"/>
        <w:bottom w:val="none" w:sz="0" w:space="0" w:color="auto"/>
        <w:right w:val="none" w:sz="0" w:space="0" w:color="auto"/>
      </w:divBdr>
    </w:div>
    <w:div w:id="1748763788">
      <w:bodyDiv w:val="1"/>
      <w:marLeft w:val="0"/>
      <w:marRight w:val="0"/>
      <w:marTop w:val="0"/>
      <w:marBottom w:val="0"/>
      <w:divBdr>
        <w:top w:val="none" w:sz="0" w:space="0" w:color="auto"/>
        <w:left w:val="none" w:sz="0" w:space="0" w:color="auto"/>
        <w:bottom w:val="none" w:sz="0" w:space="0" w:color="auto"/>
        <w:right w:val="none" w:sz="0" w:space="0" w:color="auto"/>
      </w:divBdr>
    </w:div>
    <w:div w:id="17571690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47746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0778243">
      <w:bodyDiv w:val="1"/>
      <w:marLeft w:val="0"/>
      <w:marRight w:val="0"/>
      <w:marTop w:val="0"/>
      <w:marBottom w:val="0"/>
      <w:divBdr>
        <w:top w:val="none" w:sz="0" w:space="0" w:color="auto"/>
        <w:left w:val="none" w:sz="0" w:space="0" w:color="auto"/>
        <w:bottom w:val="none" w:sz="0" w:space="0" w:color="auto"/>
        <w:right w:val="none" w:sz="0" w:space="0" w:color="auto"/>
      </w:divBdr>
    </w:div>
    <w:div w:id="1868132501">
      <w:bodyDiv w:val="1"/>
      <w:marLeft w:val="0"/>
      <w:marRight w:val="0"/>
      <w:marTop w:val="0"/>
      <w:marBottom w:val="0"/>
      <w:divBdr>
        <w:top w:val="none" w:sz="0" w:space="0" w:color="auto"/>
        <w:left w:val="none" w:sz="0" w:space="0" w:color="auto"/>
        <w:bottom w:val="none" w:sz="0" w:space="0" w:color="auto"/>
        <w:right w:val="none" w:sz="0" w:space="0" w:color="auto"/>
      </w:divBdr>
    </w:div>
    <w:div w:id="1878008460">
      <w:bodyDiv w:val="1"/>
      <w:marLeft w:val="0"/>
      <w:marRight w:val="0"/>
      <w:marTop w:val="0"/>
      <w:marBottom w:val="0"/>
      <w:divBdr>
        <w:top w:val="none" w:sz="0" w:space="0" w:color="auto"/>
        <w:left w:val="none" w:sz="0" w:space="0" w:color="auto"/>
        <w:bottom w:val="none" w:sz="0" w:space="0" w:color="auto"/>
        <w:right w:val="none" w:sz="0" w:space="0" w:color="auto"/>
      </w:divBdr>
    </w:div>
    <w:div w:id="1895114177">
      <w:bodyDiv w:val="1"/>
      <w:marLeft w:val="0"/>
      <w:marRight w:val="0"/>
      <w:marTop w:val="0"/>
      <w:marBottom w:val="0"/>
      <w:divBdr>
        <w:top w:val="none" w:sz="0" w:space="0" w:color="auto"/>
        <w:left w:val="none" w:sz="0" w:space="0" w:color="auto"/>
        <w:bottom w:val="none" w:sz="0" w:space="0" w:color="auto"/>
        <w:right w:val="none" w:sz="0" w:space="0" w:color="auto"/>
      </w:divBdr>
    </w:div>
    <w:div w:id="1908149699">
      <w:bodyDiv w:val="1"/>
      <w:marLeft w:val="0"/>
      <w:marRight w:val="0"/>
      <w:marTop w:val="0"/>
      <w:marBottom w:val="0"/>
      <w:divBdr>
        <w:top w:val="none" w:sz="0" w:space="0" w:color="auto"/>
        <w:left w:val="none" w:sz="0" w:space="0" w:color="auto"/>
        <w:bottom w:val="none" w:sz="0" w:space="0" w:color="auto"/>
        <w:right w:val="none" w:sz="0" w:space="0" w:color="auto"/>
      </w:divBdr>
    </w:div>
    <w:div w:id="1909608076">
      <w:bodyDiv w:val="1"/>
      <w:marLeft w:val="0"/>
      <w:marRight w:val="0"/>
      <w:marTop w:val="0"/>
      <w:marBottom w:val="0"/>
      <w:divBdr>
        <w:top w:val="none" w:sz="0" w:space="0" w:color="auto"/>
        <w:left w:val="none" w:sz="0" w:space="0" w:color="auto"/>
        <w:bottom w:val="none" w:sz="0" w:space="0" w:color="auto"/>
        <w:right w:val="none" w:sz="0" w:space="0" w:color="auto"/>
      </w:divBdr>
    </w:div>
    <w:div w:id="1911764411">
      <w:bodyDiv w:val="1"/>
      <w:marLeft w:val="0"/>
      <w:marRight w:val="0"/>
      <w:marTop w:val="0"/>
      <w:marBottom w:val="0"/>
      <w:divBdr>
        <w:top w:val="none" w:sz="0" w:space="0" w:color="auto"/>
        <w:left w:val="none" w:sz="0" w:space="0" w:color="auto"/>
        <w:bottom w:val="none" w:sz="0" w:space="0" w:color="auto"/>
        <w:right w:val="none" w:sz="0" w:space="0" w:color="auto"/>
      </w:divBdr>
    </w:div>
    <w:div w:id="1937054638">
      <w:bodyDiv w:val="1"/>
      <w:marLeft w:val="0"/>
      <w:marRight w:val="0"/>
      <w:marTop w:val="0"/>
      <w:marBottom w:val="0"/>
      <w:divBdr>
        <w:top w:val="none" w:sz="0" w:space="0" w:color="auto"/>
        <w:left w:val="none" w:sz="0" w:space="0" w:color="auto"/>
        <w:bottom w:val="none" w:sz="0" w:space="0" w:color="auto"/>
        <w:right w:val="none" w:sz="0" w:space="0" w:color="auto"/>
      </w:divBdr>
    </w:div>
    <w:div w:id="1937445590">
      <w:bodyDiv w:val="1"/>
      <w:marLeft w:val="0"/>
      <w:marRight w:val="0"/>
      <w:marTop w:val="0"/>
      <w:marBottom w:val="0"/>
      <w:divBdr>
        <w:top w:val="none" w:sz="0" w:space="0" w:color="auto"/>
        <w:left w:val="none" w:sz="0" w:space="0" w:color="auto"/>
        <w:bottom w:val="none" w:sz="0" w:space="0" w:color="auto"/>
        <w:right w:val="none" w:sz="0" w:space="0" w:color="auto"/>
      </w:divBdr>
    </w:div>
    <w:div w:id="1943805654">
      <w:bodyDiv w:val="1"/>
      <w:marLeft w:val="0"/>
      <w:marRight w:val="0"/>
      <w:marTop w:val="0"/>
      <w:marBottom w:val="0"/>
      <w:divBdr>
        <w:top w:val="none" w:sz="0" w:space="0" w:color="auto"/>
        <w:left w:val="none" w:sz="0" w:space="0" w:color="auto"/>
        <w:bottom w:val="none" w:sz="0" w:space="0" w:color="auto"/>
        <w:right w:val="none" w:sz="0" w:space="0" w:color="auto"/>
      </w:divBdr>
    </w:div>
    <w:div w:id="1958566201">
      <w:bodyDiv w:val="1"/>
      <w:marLeft w:val="0"/>
      <w:marRight w:val="0"/>
      <w:marTop w:val="0"/>
      <w:marBottom w:val="0"/>
      <w:divBdr>
        <w:top w:val="none" w:sz="0" w:space="0" w:color="auto"/>
        <w:left w:val="none" w:sz="0" w:space="0" w:color="auto"/>
        <w:bottom w:val="none" w:sz="0" w:space="0" w:color="auto"/>
        <w:right w:val="none" w:sz="0" w:space="0" w:color="auto"/>
      </w:divBdr>
    </w:div>
    <w:div w:id="1978220520">
      <w:bodyDiv w:val="1"/>
      <w:marLeft w:val="0"/>
      <w:marRight w:val="0"/>
      <w:marTop w:val="0"/>
      <w:marBottom w:val="0"/>
      <w:divBdr>
        <w:top w:val="none" w:sz="0" w:space="0" w:color="auto"/>
        <w:left w:val="none" w:sz="0" w:space="0" w:color="auto"/>
        <w:bottom w:val="none" w:sz="0" w:space="0" w:color="auto"/>
        <w:right w:val="none" w:sz="0" w:space="0" w:color="auto"/>
      </w:divBdr>
    </w:div>
    <w:div w:id="1980114790">
      <w:bodyDiv w:val="1"/>
      <w:marLeft w:val="0"/>
      <w:marRight w:val="0"/>
      <w:marTop w:val="0"/>
      <w:marBottom w:val="0"/>
      <w:divBdr>
        <w:top w:val="none" w:sz="0" w:space="0" w:color="auto"/>
        <w:left w:val="none" w:sz="0" w:space="0" w:color="auto"/>
        <w:bottom w:val="none" w:sz="0" w:space="0" w:color="auto"/>
        <w:right w:val="none" w:sz="0" w:space="0" w:color="auto"/>
      </w:divBdr>
    </w:div>
    <w:div w:id="1998652344">
      <w:bodyDiv w:val="1"/>
      <w:marLeft w:val="0"/>
      <w:marRight w:val="0"/>
      <w:marTop w:val="0"/>
      <w:marBottom w:val="0"/>
      <w:divBdr>
        <w:top w:val="none" w:sz="0" w:space="0" w:color="auto"/>
        <w:left w:val="none" w:sz="0" w:space="0" w:color="auto"/>
        <w:bottom w:val="none" w:sz="0" w:space="0" w:color="auto"/>
        <w:right w:val="none" w:sz="0" w:space="0" w:color="auto"/>
      </w:divBdr>
    </w:div>
    <w:div w:id="2001081883">
      <w:bodyDiv w:val="1"/>
      <w:marLeft w:val="0"/>
      <w:marRight w:val="0"/>
      <w:marTop w:val="0"/>
      <w:marBottom w:val="0"/>
      <w:divBdr>
        <w:top w:val="none" w:sz="0" w:space="0" w:color="auto"/>
        <w:left w:val="none" w:sz="0" w:space="0" w:color="auto"/>
        <w:bottom w:val="none" w:sz="0" w:space="0" w:color="auto"/>
        <w:right w:val="none" w:sz="0" w:space="0" w:color="auto"/>
      </w:divBdr>
    </w:div>
    <w:div w:id="201923463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395478">
      <w:bodyDiv w:val="1"/>
      <w:marLeft w:val="0"/>
      <w:marRight w:val="0"/>
      <w:marTop w:val="0"/>
      <w:marBottom w:val="0"/>
      <w:divBdr>
        <w:top w:val="none" w:sz="0" w:space="0" w:color="auto"/>
        <w:left w:val="none" w:sz="0" w:space="0" w:color="auto"/>
        <w:bottom w:val="none" w:sz="0" w:space="0" w:color="auto"/>
        <w:right w:val="none" w:sz="0" w:space="0" w:color="auto"/>
      </w:divBdr>
    </w:div>
    <w:div w:id="2027317582">
      <w:bodyDiv w:val="1"/>
      <w:marLeft w:val="0"/>
      <w:marRight w:val="0"/>
      <w:marTop w:val="0"/>
      <w:marBottom w:val="0"/>
      <w:divBdr>
        <w:top w:val="none" w:sz="0" w:space="0" w:color="auto"/>
        <w:left w:val="none" w:sz="0" w:space="0" w:color="auto"/>
        <w:bottom w:val="none" w:sz="0" w:space="0" w:color="auto"/>
        <w:right w:val="none" w:sz="0" w:space="0" w:color="auto"/>
      </w:divBdr>
    </w:div>
    <w:div w:id="207462421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743748">
      <w:bodyDiv w:val="1"/>
      <w:marLeft w:val="0"/>
      <w:marRight w:val="0"/>
      <w:marTop w:val="0"/>
      <w:marBottom w:val="0"/>
      <w:divBdr>
        <w:top w:val="none" w:sz="0" w:space="0" w:color="auto"/>
        <w:left w:val="none" w:sz="0" w:space="0" w:color="auto"/>
        <w:bottom w:val="none" w:sz="0" w:space="0" w:color="auto"/>
        <w:right w:val="none" w:sz="0" w:space="0" w:color="auto"/>
      </w:divBdr>
    </w:div>
    <w:div w:id="2101095916">
      <w:bodyDiv w:val="1"/>
      <w:marLeft w:val="0"/>
      <w:marRight w:val="0"/>
      <w:marTop w:val="0"/>
      <w:marBottom w:val="0"/>
      <w:divBdr>
        <w:top w:val="none" w:sz="0" w:space="0" w:color="auto"/>
        <w:left w:val="none" w:sz="0" w:space="0" w:color="auto"/>
        <w:bottom w:val="none" w:sz="0" w:space="0" w:color="auto"/>
        <w:right w:val="none" w:sz="0" w:space="0" w:color="auto"/>
      </w:divBdr>
    </w:div>
    <w:div w:id="210688144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762285">
      <w:bodyDiv w:val="1"/>
      <w:marLeft w:val="0"/>
      <w:marRight w:val="0"/>
      <w:marTop w:val="0"/>
      <w:marBottom w:val="0"/>
      <w:divBdr>
        <w:top w:val="none" w:sz="0" w:space="0" w:color="auto"/>
        <w:left w:val="none" w:sz="0" w:space="0" w:color="auto"/>
        <w:bottom w:val="none" w:sz="0" w:space="0" w:color="auto"/>
        <w:right w:val="none" w:sz="0" w:space="0" w:color="auto"/>
      </w:divBdr>
    </w:div>
    <w:div w:id="2139100265">
      <w:bodyDiv w:val="1"/>
      <w:marLeft w:val="0"/>
      <w:marRight w:val="0"/>
      <w:marTop w:val="0"/>
      <w:marBottom w:val="0"/>
      <w:divBdr>
        <w:top w:val="none" w:sz="0" w:space="0" w:color="auto"/>
        <w:left w:val="none" w:sz="0" w:space="0" w:color="auto"/>
        <w:bottom w:val="none" w:sz="0" w:space="0" w:color="auto"/>
        <w:right w:val="none" w:sz="0" w:space="0" w:color="auto"/>
      </w:divBdr>
    </w:div>
    <w:div w:id="214253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www.onr.org.uk/saps/saps2014.pdf" TargetMode="Externa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uk.practicallaw.thomsonreuters.com/Document/I2CCA4A5051EB11E984DAE235364AAE9D/View/FullText.html?originationContext=document&amp;transitionType=DocumentItem&amp;vr=3.0&amp;rs=PLUK1.0&amp;contextData=(sc.Search)"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091D"/>
    <w:rsid w:val="00084748"/>
    <w:rsid w:val="000A0C3B"/>
    <w:rsid w:val="00164B5A"/>
    <w:rsid w:val="001B3CCF"/>
    <w:rsid w:val="002550FD"/>
    <w:rsid w:val="00350199"/>
    <w:rsid w:val="003961C2"/>
    <w:rsid w:val="007154C5"/>
    <w:rsid w:val="00780C80"/>
    <w:rsid w:val="00835E07"/>
    <w:rsid w:val="008B7221"/>
    <w:rsid w:val="00C772D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{1533D8AD-4EDF-4643-9E27-11AD50DD3A3F}</b:Guid>
    <b:Author>
      <b:Author>
        <b:Corporate>ONR</b:Corporate>
      </b:Author>
    </b:Author>
    <b:Title>Licence Condition Handbook</b:Title>
    <b:Year>2017</b:Year>
    <b:RefOrder>2</b:RefOrder>
  </b:Source>
  <b:Source>
    <b:Tag>IAE161</b:Tag>
    <b:SourceType>Report</b:SourceType>
    <b:Guid>{E4992B3A-2B88-4A20-B613-CC363C49DDFC}</b:Guid>
    <b:Author>
      <b:Author>
        <b:Corporate>IAEA</b:Corporate>
      </b:Author>
    </b:Author>
    <b:Title>GSR Part 1 - Govermental, Legal and Regulatory Framework for Safety</b:Title>
    <b:Year>2016</b:Year>
    <b:Publisher>International Atomic Energy Agency (IAEA)</b:Publisher>
    <b:City>Vienna</b:City>
    <b:RefOrder>3</b:RefOrder>
  </b:Source>
  <b:Source>
    <b:Tag>IAE181</b:Tag>
    <b:SourceType>Report</b:SourceType>
    <b:Guid>{0CBBFDD4-D8E5-475F-B497-6D83B79842E6}</b:Guid>
    <b:Author>
      <b:Author>
        <b:Corporate>IAEA</b:Corporate>
      </b:Author>
    </b:Author>
    <b:Title>IAEA General Safety Guide (GSG) 13 - Functions and Process of the Regulatory Body for Safety</b:Title>
    <b:Year>2018</b:Year>
    <b:Publisher>IAEA</b:Publisher>
    <b:City>Vienna</b:City>
    <b:RefOrder>4</b:RefOrder>
  </b:Source>
  <b:Source>
    <b:Tag>IAE111</b:Tag>
    <b:SourceType>ElectronicSource</b:SourceType>
    <b:Guid>{49D6F174-C418-46E5-A49E-2839A6733502}</b:Guid>
    <b:Author>
      <b:Author>
        <b:Corporate>IAEA</b:Corporate>
      </b:Author>
    </b:Author>
    <b:Title>Nuclear Security Series No. 13. Nuclear Security Recommendations on Physical Protection of Nuclear Material and Nuclear Facilities (INFCIRC/225/Revision 5)</b:Title>
    <b:Year>2011</b:Year>
    <b:RefOrder>5</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6</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7</b:RefOrder>
  </b:Source>
  <b:Source>
    <b:Tag>ONR112</b:Tag>
    <b:SourceType>ElectronicSource</b:SourceType>
    <b:Guid>{92585490-BCE4-4EB6-8A8B-D4FF5127BEFD}</b:Guid>
    <b:Author>
      <b:Author>
        <b:Corporate>ONR</b:Corporate>
      </b:Author>
    </b:Author>
    <b:Title>NS-PER-GD-001 - The Purpose and use of Permissioning</b:Title>
    <b:RefOrder>8</b:RefOrder>
  </b:Source>
  <b:Source>
    <b:Tag>ONR2111</b:Tag>
    <b:SourceType>ElectronicSource</b:SourceType>
    <b:Guid>{144FC746-67E4-4E22-A288-EE35F6CA7088}</b:Guid>
    <b:Author>
      <b:Author>
        <b:Corporate>ONR</b:Corporate>
      </b:Author>
    </b:Author>
    <b:Title>Enforcement Policy Statement</b:Title>
    <b:RefOrder>10</b:RefOrder>
  </b:Source>
  <b:Source>
    <b:Tag>Dep1</b:Tag>
    <b:SourceType>ElectronicSource</b:SourceType>
    <b:Guid>{8867AF1A-7658-4B84-BFAB-086943EEA5CC}</b:Guid>
    <b:Author>
      <b:Author>
        <b:Corporate>Department for Business Innovation and Skills</b:Corporate>
      </b:Author>
    </b:Author>
    <b:Title>Regulators Code 2014</b:Title>
    <b:RefOrder>11</b:RefOrder>
  </b:Source>
  <b:Source>
    <b:Tag>ONR39</b:Tag>
    <b:SourceType>Report</b:SourceType>
    <b:Guid>{D9662C14-43DF-4E29-87C1-699CA3D51763}</b:Guid>
    <b:Author>
      <b:Author>
        <b:Corporate>ONR</b:Corporate>
      </b:Author>
    </b:Author>
    <b:Title>NS-TAST-GD-051 - The Purpose, Scope and Content of Safety Cases</b:Title>
    <b:RefOrder>12</b:RefOrder>
  </b:Source>
  <b:Source>
    <b:Tag>ONR1811</b:Tag>
    <b:SourceType>ElectronicSource</b:SourceType>
    <b:Guid>{8F90F22D-AAE8-4538-9AF7-9A2D69F81903}</b:Guid>
    <b:Author>
      <b:Author>
        <b:Corporate>ONR</b:Corporate>
      </b:Author>
    </b:Author>
    <b:Title>Holding Industry to account and influencing improvements in nuclear safety and security – Enabling Regulations in practice</b:Title>
    <b:Year>2018</b:Year>
    <b:RefOrder>14</b:RefOrder>
  </b:Source>
  <b:Source>
    <b:Tag>ONR179</b:Tag>
    <b:SourceType>ElectronicSource</b:SourceType>
    <b:Guid>{9050A908-4EBC-4AE5-A0CB-F30F9D8894F0}</b:Guid>
    <b:Author>
      <b:Author>
        <b:Corporate>ONR</b:Corporate>
      </b:Author>
    </b:Author>
    <b:Title>ONR-RIO-PROC-001 - Management of Regulatory Issues</b:Title>
    <b:RefOrder>15</b:RefOrder>
  </b:Source>
  <b:Source>
    <b:Tag>ONR27</b:Tag>
    <b:SourceType>ElectronicSource</b:SourceType>
    <b:Guid>{32033877-3995-422C-BFC8-CCAC1681823F}</b:Guid>
    <b:Author>
      <b:Author>
        <b:Corporate>ONR</b:Corporate>
      </b:Author>
    </b:Author>
    <b:Title>ONR-ENF-GD-006 - Enforcement Management Model</b:Title>
    <b:RefOrder>16</b:RefOrder>
  </b:Source>
  <b:Source>
    <b:Tag>ONR100</b:Tag>
    <b:SourceType>ElectronicSource</b:SourceType>
    <b:Guid>{4EB26EA6-147D-48B1-995E-5DD69281DF59}</b:Guid>
    <b:Author>
      <b:Author>
        <b:Corporate>ONR</b:Corporate>
      </b:Author>
    </b:Author>
    <b:Title>NS-TAST-GD-005 - ONR Guidance on the Demonstration of ALARP</b:Title>
    <b:RefOrder>17</b:RefOrder>
  </b:Source>
  <b:Source>
    <b:Tag>HMG186</b:Tag>
    <b:SourceType>InternetSite</b:SourceType>
    <b:Guid>{256A4113-9C42-40AC-B174-7ACBAA112B17}</b:Guid>
    <b:Title>Judge over your shoulder</b:Title>
    <b:Year>2018</b:Year>
    <b:Month>October</b:Month>
    <b:Day>9</b:Day>
    <b:URL>https://www.gov.uk/government/publications/judge-over-your-shoulder</b:URL>
    <b:Author>
      <b:Author>
        <b:Corporate>H.M Government</b:Corporate>
      </b:Author>
    </b:Author>
    <b:RefOrder>20</b:RefOrder>
  </b:Source>
  <b:Source>
    <b:Tag>ONR272</b:Tag>
    <b:SourceType>ElectronicSource</b:SourceType>
    <b:Guid>{77FF9938-5159-48A0-A2C9-B7D7F8AB953E}</b:Guid>
    <b:Author>
      <b:Author>
        <b:Corporate>ONR</b:Corporate>
      </b:Author>
    </b:Author>
    <b:Title>NS-INSP-IN-002 - Resolving Differences of Professional Opinion in ONR</b:Title>
    <b:RefOrder>19</b:RefOrder>
  </b:Source>
  <b:Source>
    <b:Tag>ONR118</b:Tag>
    <b:SourceType>Book</b:SourceType>
    <b:Guid>{2CC5E995-D41B-405B-9F16-9FA9604ADCCD}</b:Guid>
    <b:Author>
      <b:Author>
        <b:Corporate>ONR</b:Corporate>
      </b:Author>
    </b:Author>
    <b:Title>NS-TAST-PROC-001 - Peer Review and Acceptance of Reports for Permissioning</b:Title>
    <b:Year>2022</b:Year>
    <b:RefOrder>18</b:RefOrder>
  </b:Source>
  <b:Source>
    <b:Tag>Saf</b:Tag>
    <b:SourceType>DocumentFromInternetSite</b:SourceType>
    <b:Guid>{3EE1D13A-0F63-4107-9ABF-EBC3C7E7258C}</b:Guid>
    <b:Author>
      <b:Author>
        <b:Corporate>Safety Directors Forum</b:Corporate>
      </b:Author>
    </b:Author>
    <b:URL>https://www.nuclearinst.com/write/MediaUploads/SDF%20documents/Safety%20Case/UK_Nuclear_SC_Forum_guide_-_How_to_write_a_usable_Safety_Case_-_March_2014_.pdf</b:URL>
    <b:Title>UK Nuclear Safety Case Forum Guide, Right First Time Safety Cases: How to write a usable safety case</b:Title>
    <b:Year>2014</b:Year>
    <b:Month>March</b:Month>
    <b:RefOrder>13</b:RefOrder>
  </b:Source>
  <b:Source>
    <b:Tag>ONR23</b:Tag>
    <b:SourceType>Report</b:SourceType>
    <b:Guid>{74AA3A10-5E20-420F-8CA5-3B9DC9C28E37}</b:Guid>
    <b:Author>
      <b:Author>
        <b:Corporate>ONR</b:Corporate>
      </b:Author>
    </b:Author>
    <b:Title>NS-TAST-GD-108  - Guidance on the Production of Reports for Permissioning and Assessment</b:Title>
    <b:Year>2022</b:Year>
    <b:RefOrder>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511B6D1163224BA44A8AAE8C91D236" ma:contentTypeVersion="17" ma:contentTypeDescription="Create a new document." ma:contentTypeScope="" ma:versionID="09e414b14512d518b6e2e75b6fcff6ef">
  <xsd:schema xmlns:xsd="http://www.w3.org/2001/XMLSchema" xmlns:xs="http://www.w3.org/2001/XMLSchema" xmlns:p="http://schemas.microsoft.com/office/2006/metadata/properties" xmlns:ns2="4a34f21f-dbba-4405-bae7-9ab3038300f2" xmlns:ns3="6c58fe07-3cc0-48f0-bbd9-cbe0836658ee" targetNamespace="http://schemas.microsoft.com/office/2006/metadata/properties" ma:root="true" ma:fieldsID="4f01e77234ca5298ff3e6fa0c7607178" ns2:_="" ns3:_="">
    <xsd:import namespace="4a34f21f-dbba-4405-bae7-9ab3038300f2"/>
    <xsd:import namespace="6c58fe07-3cc0-48f0-bbd9-cbe0836658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Process_x0020_Manual" minOccurs="0"/>
                <xsd:element ref="ns2:MediaLengthInSeconds" minOccurs="0"/>
                <xsd:element ref="ns3:SharedWithUsers" minOccurs="0"/>
                <xsd:element ref="ns3:SharedWithDetail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4f21f-dbba-4405-bae7-9ab303830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Process_x0020_Manual" ma:index="17" nillable="true" ma:displayName="Process Manual" ma:internalName="Process_x0020_Manual">
      <xsd:simpleType>
        <xsd:restriction base="dms:Text">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58fe07-3cc0-48f0-bbd9-cbe0836658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1be7b50-f8b8-48ed-a142-ff3c850f0d0f}" ma:internalName="TaxCatchAll" ma:showField="CatchAllData" ma:web="6c58fe07-3cc0-48f0-bbd9-cbe083665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c58fe07-3cc0-48f0-bbd9-cbe0836658ee" xsi:nil="true"/>
    <lcf76f155ced4ddcb4097134ff3c332f xmlns="4a34f21f-dbba-4405-bae7-9ab3038300f2">
      <Terms xmlns="http://schemas.microsoft.com/office/infopath/2007/PartnerControls"/>
    </lcf76f155ced4ddcb4097134ff3c332f>
    <_Flow_SignoffStatus xmlns="4a34f21f-dbba-4405-bae7-9ab3038300f2" xsi:nil="true"/>
    <Process_x0020_Manual xmlns="4a34f21f-dbba-4405-bae7-9ab3038300f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C440C1-951C-4327-954A-B87A891550B9}">
  <ds:schemaRefs>
    <ds:schemaRef ds:uri="http://schemas.openxmlformats.org/officeDocument/2006/bibliography"/>
  </ds:schemaRefs>
</ds:datastoreItem>
</file>

<file path=customXml/itemProps3.xml><?xml version="1.0" encoding="utf-8"?>
<ds:datastoreItem xmlns:ds="http://schemas.openxmlformats.org/officeDocument/2006/customXml" ds:itemID="{500F8ACF-9916-4ACD-9C24-D3966DFF500A}">
  <ds:schemaRefs>
    <ds:schemaRef ds:uri="http://schemas.microsoft.com/sharepoint/v3/contenttype/forms"/>
  </ds:schemaRefs>
</ds:datastoreItem>
</file>

<file path=customXml/itemProps4.xml><?xml version="1.0" encoding="utf-8"?>
<ds:datastoreItem xmlns:ds="http://schemas.openxmlformats.org/officeDocument/2006/customXml" ds:itemID="{4B2D8CC9-795D-457B-95A9-973D903F5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4f21f-dbba-4405-bae7-9ab3038300f2"/>
    <ds:schemaRef ds:uri="6c58fe07-3cc0-48f0-bbd9-cbe083665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A14D60-ABE0-4422-9572-477BD6C0772F}">
  <ds:schemaRefs>
    <ds:schemaRef ds:uri="http://purl.org/dc/elements/1.1/"/>
    <ds:schemaRef ds:uri="http://purl.org/dc/terms/"/>
    <ds:schemaRef ds:uri="http://schemas.microsoft.com/office/2006/documentManagement/types"/>
    <ds:schemaRef ds:uri="http://schemas.microsoft.com/office/2006/metadata/properties"/>
    <ds:schemaRef ds:uri="6c58fe07-3cc0-48f0-bbd9-cbe0836658ee"/>
    <ds:schemaRef ds:uri="http://schemas.openxmlformats.org/package/2006/metadata/core-properties"/>
    <ds:schemaRef ds:uri="http://www.w3.org/XML/1998/namespace"/>
    <ds:schemaRef ds:uri="http://schemas.microsoft.com/office/infopath/2007/PartnerControls"/>
    <ds:schemaRef ds:uri="4a34f21f-dbba-4405-bae7-9ab3038300f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TotalTime>
  <Pages>22</Pages>
  <Words>6997</Words>
  <Characters>38697</Characters>
  <Application>Microsoft Office Word</Application>
  <DocSecurity>4</DocSecurity>
  <Lines>789</Lines>
  <Paragraphs>390</Paragraphs>
  <ScaleCrop>false</ScaleCrop>
  <HeadingPairs>
    <vt:vector size="2" baseType="variant">
      <vt:variant>
        <vt:lpstr>Title</vt:lpstr>
      </vt:variant>
      <vt:variant>
        <vt:i4>1</vt:i4>
      </vt:variant>
    </vt:vector>
  </HeadingPairs>
  <TitlesOfParts>
    <vt:vector size="1" baseType="lpstr">
      <vt:lpstr>Guidance on Mechanics of Assessment</vt:lpstr>
    </vt:vector>
  </TitlesOfParts>
  <Manager>Office for Nuclear Regulation</Manager>
  <Company>Office for Nuclear Regulation</Company>
  <LinksUpToDate>false</LinksUpToDate>
  <CharactersWithSpaces>45304</CharactersWithSpaces>
  <SharedDoc>false</SharedDoc>
  <HLinks>
    <vt:vector size="108" baseType="variant">
      <vt:variant>
        <vt:i4>5898241</vt:i4>
      </vt:variant>
      <vt:variant>
        <vt:i4>105</vt:i4>
      </vt:variant>
      <vt:variant>
        <vt:i4>0</vt:i4>
      </vt:variant>
      <vt:variant>
        <vt:i4>5</vt:i4>
      </vt:variant>
      <vt:variant>
        <vt:lpwstr>http://uk.practicallaw.thomsonreuters.com/Document/I2CCA4A5051EB11E984DAE235364AAE9D/View/FullText.html?originationContext=document&amp;transitionType=DocumentItem&amp;vr=3.0&amp;rs=PLUK1.0&amp;contextData=(sc.Search)</vt:lpwstr>
      </vt:variant>
      <vt:variant>
        <vt:lpwstr/>
      </vt:variant>
      <vt:variant>
        <vt:i4>3932269</vt:i4>
      </vt:variant>
      <vt:variant>
        <vt:i4>99</vt:i4>
      </vt:variant>
      <vt:variant>
        <vt:i4>0</vt:i4>
      </vt:variant>
      <vt:variant>
        <vt:i4>5</vt:i4>
      </vt:variant>
      <vt:variant>
        <vt:lpwstr>http://www.onr.org.uk/saps/saps2014.pdf</vt:lpwstr>
      </vt:variant>
      <vt:variant>
        <vt:lpwstr/>
      </vt:variant>
      <vt:variant>
        <vt:i4>1179700</vt:i4>
      </vt:variant>
      <vt:variant>
        <vt:i4>92</vt:i4>
      </vt:variant>
      <vt:variant>
        <vt:i4>0</vt:i4>
      </vt:variant>
      <vt:variant>
        <vt:i4>5</vt:i4>
      </vt:variant>
      <vt:variant>
        <vt:lpwstr/>
      </vt:variant>
      <vt:variant>
        <vt:lpwstr>_Toc121232771</vt:lpwstr>
      </vt:variant>
      <vt:variant>
        <vt:i4>1179700</vt:i4>
      </vt:variant>
      <vt:variant>
        <vt:i4>86</vt:i4>
      </vt:variant>
      <vt:variant>
        <vt:i4>0</vt:i4>
      </vt:variant>
      <vt:variant>
        <vt:i4>5</vt:i4>
      </vt:variant>
      <vt:variant>
        <vt:lpwstr/>
      </vt:variant>
      <vt:variant>
        <vt:lpwstr>_Toc121232770</vt:lpwstr>
      </vt:variant>
      <vt:variant>
        <vt:i4>1245236</vt:i4>
      </vt:variant>
      <vt:variant>
        <vt:i4>80</vt:i4>
      </vt:variant>
      <vt:variant>
        <vt:i4>0</vt:i4>
      </vt:variant>
      <vt:variant>
        <vt:i4>5</vt:i4>
      </vt:variant>
      <vt:variant>
        <vt:lpwstr/>
      </vt:variant>
      <vt:variant>
        <vt:lpwstr>_Toc121232769</vt:lpwstr>
      </vt:variant>
      <vt:variant>
        <vt:i4>1245236</vt:i4>
      </vt:variant>
      <vt:variant>
        <vt:i4>74</vt:i4>
      </vt:variant>
      <vt:variant>
        <vt:i4>0</vt:i4>
      </vt:variant>
      <vt:variant>
        <vt:i4>5</vt:i4>
      </vt:variant>
      <vt:variant>
        <vt:lpwstr/>
      </vt:variant>
      <vt:variant>
        <vt:lpwstr>_Toc121232768</vt:lpwstr>
      </vt:variant>
      <vt:variant>
        <vt:i4>1245236</vt:i4>
      </vt:variant>
      <vt:variant>
        <vt:i4>68</vt:i4>
      </vt:variant>
      <vt:variant>
        <vt:i4>0</vt:i4>
      </vt:variant>
      <vt:variant>
        <vt:i4>5</vt:i4>
      </vt:variant>
      <vt:variant>
        <vt:lpwstr/>
      </vt:variant>
      <vt:variant>
        <vt:lpwstr>_Toc121232767</vt:lpwstr>
      </vt:variant>
      <vt:variant>
        <vt:i4>1245236</vt:i4>
      </vt:variant>
      <vt:variant>
        <vt:i4>62</vt:i4>
      </vt:variant>
      <vt:variant>
        <vt:i4>0</vt:i4>
      </vt:variant>
      <vt:variant>
        <vt:i4>5</vt:i4>
      </vt:variant>
      <vt:variant>
        <vt:lpwstr/>
      </vt:variant>
      <vt:variant>
        <vt:lpwstr>_Toc121232766</vt:lpwstr>
      </vt:variant>
      <vt:variant>
        <vt:i4>1245236</vt:i4>
      </vt:variant>
      <vt:variant>
        <vt:i4>56</vt:i4>
      </vt:variant>
      <vt:variant>
        <vt:i4>0</vt:i4>
      </vt:variant>
      <vt:variant>
        <vt:i4>5</vt:i4>
      </vt:variant>
      <vt:variant>
        <vt:lpwstr/>
      </vt:variant>
      <vt:variant>
        <vt:lpwstr>_Toc121232765</vt:lpwstr>
      </vt:variant>
      <vt:variant>
        <vt:i4>1245236</vt:i4>
      </vt:variant>
      <vt:variant>
        <vt:i4>50</vt:i4>
      </vt:variant>
      <vt:variant>
        <vt:i4>0</vt:i4>
      </vt:variant>
      <vt:variant>
        <vt:i4>5</vt:i4>
      </vt:variant>
      <vt:variant>
        <vt:lpwstr/>
      </vt:variant>
      <vt:variant>
        <vt:lpwstr>_Toc121232764</vt:lpwstr>
      </vt:variant>
      <vt:variant>
        <vt:i4>1245236</vt:i4>
      </vt:variant>
      <vt:variant>
        <vt:i4>44</vt:i4>
      </vt:variant>
      <vt:variant>
        <vt:i4>0</vt:i4>
      </vt:variant>
      <vt:variant>
        <vt:i4>5</vt:i4>
      </vt:variant>
      <vt:variant>
        <vt:lpwstr/>
      </vt:variant>
      <vt:variant>
        <vt:lpwstr>_Toc121232763</vt:lpwstr>
      </vt:variant>
      <vt:variant>
        <vt:i4>1245236</vt:i4>
      </vt:variant>
      <vt:variant>
        <vt:i4>38</vt:i4>
      </vt:variant>
      <vt:variant>
        <vt:i4>0</vt:i4>
      </vt:variant>
      <vt:variant>
        <vt:i4>5</vt:i4>
      </vt:variant>
      <vt:variant>
        <vt:lpwstr/>
      </vt:variant>
      <vt:variant>
        <vt:lpwstr>_Toc121232762</vt:lpwstr>
      </vt:variant>
      <vt:variant>
        <vt:i4>1245236</vt:i4>
      </vt:variant>
      <vt:variant>
        <vt:i4>32</vt:i4>
      </vt:variant>
      <vt:variant>
        <vt:i4>0</vt:i4>
      </vt:variant>
      <vt:variant>
        <vt:i4>5</vt:i4>
      </vt:variant>
      <vt:variant>
        <vt:lpwstr/>
      </vt:variant>
      <vt:variant>
        <vt:lpwstr>_Toc121232761</vt:lpwstr>
      </vt:variant>
      <vt:variant>
        <vt:i4>1245236</vt:i4>
      </vt:variant>
      <vt:variant>
        <vt:i4>26</vt:i4>
      </vt:variant>
      <vt:variant>
        <vt:i4>0</vt:i4>
      </vt:variant>
      <vt:variant>
        <vt:i4>5</vt:i4>
      </vt:variant>
      <vt:variant>
        <vt:lpwstr/>
      </vt:variant>
      <vt:variant>
        <vt:lpwstr>_Toc121232760</vt:lpwstr>
      </vt:variant>
      <vt:variant>
        <vt:i4>1048628</vt:i4>
      </vt:variant>
      <vt:variant>
        <vt:i4>20</vt:i4>
      </vt:variant>
      <vt:variant>
        <vt:i4>0</vt:i4>
      </vt:variant>
      <vt:variant>
        <vt:i4>5</vt:i4>
      </vt:variant>
      <vt:variant>
        <vt:lpwstr/>
      </vt:variant>
      <vt:variant>
        <vt:lpwstr>_Toc121232759</vt:lpwstr>
      </vt:variant>
      <vt:variant>
        <vt:i4>1048628</vt:i4>
      </vt:variant>
      <vt:variant>
        <vt:i4>14</vt:i4>
      </vt:variant>
      <vt:variant>
        <vt:i4>0</vt:i4>
      </vt:variant>
      <vt:variant>
        <vt:i4>5</vt:i4>
      </vt:variant>
      <vt:variant>
        <vt:lpwstr/>
      </vt:variant>
      <vt:variant>
        <vt:lpwstr>_Toc121232758</vt:lpwstr>
      </vt:variant>
      <vt:variant>
        <vt:i4>1048628</vt:i4>
      </vt:variant>
      <vt:variant>
        <vt:i4>8</vt:i4>
      </vt:variant>
      <vt:variant>
        <vt:i4>0</vt:i4>
      </vt:variant>
      <vt:variant>
        <vt:i4>5</vt:i4>
      </vt:variant>
      <vt:variant>
        <vt:lpwstr/>
      </vt:variant>
      <vt:variant>
        <vt:lpwstr>_Toc121232757</vt:lpwstr>
      </vt:variant>
      <vt:variant>
        <vt:i4>5701742</vt:i4>
      </vt:variant>
      <vt:variant>
        <vt:i4>0</vt:i4>
      </vt:variant>
      <vt:variant>
        <vt:i4>0</vt:i4>
      </vt:variant>
      <vt:variant>
        <vt:i4>5</vt:i4>
      </vt:variant>
      <vt:variant>
        <vt:lpwstr>mailto:HOW2@onr.gov.uk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Mechanics of Assessment</dc:title>
  <dc:subject>[Subtitle or description]</dc:subject>
  <cp:keywords>[Key words separated by commas]</cp:keywords>
  <dc:description/>
  <cp:revision>2</cp:revision>
  <cp:lastPrinted>2016-11-28T11:35:00Z</cp:lastPrinted>
  <dcterms:created xsi:type="dcterms:W3CDTF">2022-12-08T14:03:00Z</dcterms:created>
  <dcterms:modified xsi:type="dcterms:W3CDTF">2022-12-08T14:03:00Z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0x010100A7511B6D1163224BA44A8AAE8C91D236</vt:lpwstr>
  </property>
  <property fmtid="{D5CDD505-2E9C-101B-9397-08002B2CF9AE}" pid="10" name="MediaServiceImageTags">
    <vt:lpwstr/>
  </property>
</Properties>
</file>