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495B" w14:textId="77777777" w:rsidR="00EA5EB4" w:rsidRPr="00EA5EB4" w:rsidRDefault="00EA5EB4" w:rsidP="00B81B18">
      <w:pPr>
        <w:rPr>
          <w:sz w:val="2"/>
          <w:szCs w:val="2"/>
        </w:rPr>
        <w:sectPr w:rsidR="00EA5EB4" w:rsidRPr="00EA5EB4" w:rsidSect="00EA5EB4">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134" w:left="1588" w:header="431" w:footer="567" w:gutter="0"/>
          <w:cols w:space="708"/>
          <w:titlePg/>
          <w:docGrid w:linePitch="360"/>
        </w:sectPr>
      </w:pP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894"/>
        <w:gridCol w:w="2129"/>
        <w:gridCol w:w="2121"/>
        <w:gridCol w:w="2010"/>
      </w:tblGrid>
      <w:tr w:rsidR="00604F23" w14:paraId="5F3F495D" w14:textId="77777777" w:rsidTr="00A07847">
        <w:trPr>
          <w:trHeight w:val="567"/>
        </w:trPr>
        <w:tc>
          <w:tcPr>
            <w:tcW w:w="9300" w:type="dxa"/>
            <w:gridSpan w:val="4"/>
            <w:shd w:val="clear" w:color="auto" w:fill="auto"/>
            <w:vAlign w:val="center"/>
          </w:tcPr>
          <w:p w14:paraId="5F3F495C" w14:textId="77777777" w:rsidR="00604F23" w:rsidRDefault="00604F23" w:rsidP="00A07847">
            <w:pPr>
              <w:jc w:val="center"/>
            </w:pPr>
            <w:r>
              <w:t>ONR GUIDE</w:t>
            </w:r>
          </w:p>
        </w:tc>
      </w:tr>
      <w:tr w:rsidR="00604F23" w14:paraId="5F3F495F" w14:textId="77777777" w:rsidTr="00A07847">
        <w:trPr>
          <w:trHeight w:val="567"/>
        </w:trPr>
        <w:tc>
          <w:tcPr>
            <w:tcW w:w="9300" w:type="dxa"/>
            <w:gridSpan w:val="4"/>
            <w:shd w:val="clear" w:color="auto" w:fill="auto"/>
            <w:vAlign w:val="center"/>
          </w:tcPr>
          <w:p w14:paraId="5F3F495E" w14:textId="77777777" w:rsidR="00604F23" w:rsidRPr="00A07847" w:rsidRDefault="00822C8D" w:rsidP="00A07847">
            <w:pPr>
              <w:jc w:val="center"/>
              <w:rPr>
                <w:b/>
              </w:rPr>
            </w:pPr>
            <w:r w:rsidRPr="00A07847">
              <w:rPr>
                <w:b/>
              </w:rPr>
              <w:t>CHEMISTRY</w:t>
            </w:r>
            <w:r w:rsidR="00D63E63">
              <w:rPr>
                <w:b/>
              </w:rPr>
              <w:t xml:space="preserve"> ASSESSMENT</w:t>
            </w:r>
          </w:p>
        </w:tc>
      </w:tr>
      <w:tr w:rsidR="00612DF0" w14:paraId="5F3F4962" w14:textId="77777777" w:rsidTr="00A07847">
        <w:trPr>
          <w:trHeight w:val="454"/>
        </w:trPr>
        <w:tc>
          <w:tcPr>
            <w:tcW w:w="2938" w:type="dxa"/>
            <w:shd w:val="clear" w:color="auto" w:fill="auto"/>
            <w:vAlign w:val="center"/>
          </w:tcPr>
          <w:p w14:paraId="5F3F4960" w14:textId="77777777" w:rsidR="00612DF0" w:rsidRPr="00A07847" w:rsidRDefault="00612DF0" w:rsidP="00604F23">
            <w:pPr>
              <w:rPr>
                <w:b/>
              </w:rPr>
            </w:pPr>
            <w:r w:rsidRPr="00A07847">
              <w:rPr>
                <w:b/>
              </w:rPr>
              <w:t>Document Type:</w:t>
            </w:r>
          </w:p>
        </w:tc>
        <w:tc>
          <w:tcPr>
            <w:tcW w:w="6362" w:type="dxa"/>
            <w:gridSpan w:val="3"/>
            <w:shd w:val="clear" w:color="auto" w:fill="auto"/>
            <w:vAlign w:val="center"/>
          </w:tcPr>
          <w:p w14:paraId="5F3F4961" w14:textId="77777777" w:rsidR="00612DF0" w:rsidRDefault="00532D01" w:rsidP="00604F23">
            <w:r>
              <w:t>Nuclear Safety Technical Assessment Guide</w:t>
            </w:r>
          </w:p>
        </w:tc>
      </w:tr>
      <w:tr w:rsidR="00612DF0" w14:paraId="5F3F4965" w14:textId="77777777" w:rsidTr="00A07847">
        <w:trPr>
          <w:trHeight w:val="454"/>
        </w:trPr>
        <w:tc>
          <w:tcPr>
            <w:tcW w:w="2938" w:type="dxa"/>
            <w:shd w:val="clear" w:color="auto" w:fill="auto"/>
            <w:vAlign w:val="center"/>
          </w:tcPr>
          <w:p w14:paraId="5F3F4963" w14:textId="77777777" w:rsidR="00612DF0" w:rsidRPr="00A07847" w:rsidRDefault="00612DF0" w:rsidP="00604F23">
            <w:pPr>
              <w:rPr>
                <w:b/>
              </w:rPr>
            </w:pPr>
            <w:r w:rsidRPr="00A07847">
              <w:rPr>
                <w:b/>
              </w:rPr>
              <w:t>Unique Document ID and Revision No:</w:t>
            </w:r>
          </w:p>
        </w:tc>
        <w:tc>
          <w:tcPr>
            <w:tcW w:w="6362" w:type="dxa"/>
            <w:gridSpan w:val="3"/>
            <w:shd w:val="clear" w:color="auto" w:fill="auto"/>
            <w:vAlign w:val="center"/>
          </w:tcPr>
          <w:p w14:paraId="5F3F4964" w14:textId="38F84677" w:rsidR="00612DF0" w:rsidRDefault="001C0F6E" w:rsidP="0052619B">
            <w:r w:rsidRPr="001C0F6E">
              <w:t>NS-TAST-GD-089</w:t>
            </w:r>
            <w:r w:rsidR="00532D01" w:rsidRPr="001C0F6E">
              <w:t xml:space="preserve"> </w:t>
            </w:r>
            <w:r w:rsidR="00A91B8C">
              <w:t>Issue</w:t>
            </w:r>
            <w:r w:rsidR="00532D01" w:rsidRPr="001C0F6E">
              <w:t xml:space="preserve"> </w:t>
            </w:r>
            <w:r w:rsidR="0052619B">
              <w:t>1</w:t>
            </w:r>
            <w:r w:rsidR="00A91B8C">
              <w:t>.1</w:t>
            </w:r>
          </w:p>
        </w:tc>
      </w:tr>
      <w:tr w:rsidR="008E67CB" w14:paraId="5F3F496A" w14:textId="77777777" w:rsidTr="00A07847">
        <w:trPr>
          <w:trHeight w:val="340"/>
        </w:trPr>
        <w:tc>
          <w:tcPr>
            <w:tcW w:w="2938" w:type="dxa"/>
            <w:shd w:val="clear" w:color="auto" w:fill="auto"/>
            <w:vAlign w:val="center"/>
          </w:tcPr>
          <w:p w14:paraId="5F3F4966" w14:textId="77777777" w:rsidR="008E67CB" w:rsidRPr="00A07847" w:rsidRDefault="008E67CB" w:rsidP="00604F23">
            <w:pPr>
              <w:rPr>
                <w:b/>
              </w:rPr>
            </w:pPr>
            <w:r w:rsidRPr="00A07847">
              <w:rPr>
                <w:b/>
              </w:rPr>
              <w:t>Date Issued:</w:t>
            </w:r>
          </w:p>
        </w:tc>
        <w:tc>
          <w:tcPr>
            <w:tcW w:w="2160" w:type="dxa"/>
            <w:shd w:val="clear" w:color="auto" w:fill="auto"/>
            <w:vAlign w:val="center"/>
          </w:tcPr>
          <w:p w14:paraId="5F3F4967" w14:textId="279FFC46" w:rsidR="008E67CB" w:rsidRDefault="00A91B8C" w:rsidP="001963F8">
            <w:r>
              <w:t>December</w:t>
            </w:r>
            <w:r w:rsidR="002B207C">
              <w:t xml:space="preserve"> </w:t>
            </w:r>
            <w:r w:rsidR="001963F8">
              <w:t>202</w:t>
            </w:r>
            <w:r>
              <w:t>2</w:t>
            </w:r>
          </w:p>
        </w:tc>
        <w:tc>
          <w:tcPr>
            <w:tcW w:w="2160" w:type="dxa"/>
            <w:shd w:val="clear" w:color="auto" w:fill="auto"/>
            <w:vAlign w:val="center"/>
          </w:tcPr>
          <w:p w14:paraId="5F3F4968" w14:textId="77777777" w:rsidR="008E67CB" w:rsidRPr="00A07847" w:rsidRDefault="008E67CB" w:rsidP="00604F23">
            <w:pPr>
              <w:rPr>
                <w:b/>
              </w:rPr>
            </w:pPr>
            <w:r w:rsidRPr="00A07847">
              <w:rPr>
                <w:b/>
              </w:rPr>
              <w:t>Review Date:</w:t>
            </w:r>
          </w:p>
        </w:tc>
        <w:tc>
          <w:tcPr>
            <w:tcW w:w="2042" w:type="dxa"/>
            <w:shd w:val="clear" w:color="auto" w:fill="auto"/>
            <w:vAlign w:val="center"/>
          </w:tcPr>
          <w:p w14:paraId="5F3F4969" w14:textId="0225EB89" w:rsidR="008E67CB" w:rsidRDefault="009B70A1" w:rsidP="0052619B">
            <w:r>
              <w:t>February</w:t>
            </w:r>
            <w:r w:rsidR="00DB4353">
              <w:t xml:space="preserve"> </w:t>
            </w:r>
            <w:r w:rsidR="0052619B">
              <w:t>2026</w:t>
            </w:r>
          </w:p>
        </w:tc>
      </w:tr>
      <w:tr w:rsidR="008E67CB" w14:paraId="5F3F496E" w14:textId="77777777" w:rsidTr="00A07847">
        <w:trPr>
          <w:trHeight w:val="340"/>
        </w:trPr>
        <w:tc>
          <w:tcPr>
            <w:tcW w:w="2938" w:type="dxa"/>
            <w:shd w:val="clear" w:color="auto" w:fill="auto"/>
            <w:vAlign w:val="center"/>
          </w:tcPr>
          <w:p w14:paraId="5F3F496B" w14:textId="77777777" w:rsidR="008E67CB" w:rsidRPr="00A07847" w:rsidRDefault="008E67CB" w:rsidP="00604F23">
            <w:pPr>
              <w:rPr>
                <w:b/>
              </w:rPr>
            </w:pPr>
            <w:r w:rsidRPr="00A07847">
              <w:rPr>
                <w:b/>
              </w:rPr>
              <w:t>Prepared by:</w:t>
            </w:r>
          </w:p>
        </w:tc>
        <w:tc>
          <w:tcPr>
            <w:tcW w:w="2160" w:type="dxa"/>
            <w:shd w:val="clear" w:color="auto" w:fill="auto"/>
            <w:vAlign w:val="center"/>
          </w:tcPr>
          <w:p w14:paraId="5F3F496C" w14:textId="116EFA4B" w:rsidR="008E67CB" w:rsidRDefault="008E67CB" w:rsidP="00604F23"/>
        </w:tc>
        <w:tc>
          <w:tcPr>
            <w:tcW w:w="4202" w:type="dxa"/>
            <w:gridSpan w:val="2"/>
            <w:shd w:val="clear" w:color="auto" w:fill="auto"/>
            <w:vAlign w:val="center"/>
          </w:tcPr>
          <w:p w14:paraId="5F3F496D" w14:textId="6A191FC6" w:rsidR="008E67CB" w:rsidRDefault="00822C8D">
            <w:r>
              <w:t>Inspector – Nuclear Safety</w:t>
            </w:r>
          </w:p>
        </w:tc>
      </w:tr>
      <w:tr w:rsidR="008E67CB" w14:paraId="5F3F4972" w14:textId="77777777" w:rsidTr="00A07847">
        <w:trPr>
          <w:trHeight w:val="340"/>
        </w:trPr>
        <w:tc>
          <w:tcPr>
            <w:tcW w:w="2938" w:type="dxa"/>
            <w:shd w:val="clear" w:color="auto" w:fill="auto"/>
            <w:vAlign w:val="center"/>
          </w:tcPr>
          <w:p w14:paraId="5F3F496F" w14:textId="77777777" w:rsidR="008E67CB" w:rsidRPr="00A07847" w:rsidRDefault="008E67CB" w:rsidP="00604F23">
            <w:pPr>
              <w:rPr>
                <w:b/>
              </w:rPr>
            </w:pPr>
            <w:r w:rsidRPr="00A07847">
              <w:rPr>
                <w:b/>
              </w:rPr>
              <w:t>Approved by:</w:t>
            </w:r>
          </w:p>
        </w:tc>
        <w:tc>
          <w:tcPr>
            <w:tcW w:w="2160" w:type="dxa"/>
            <w:shd w:val="clear" w:color="auto" w:fill="auto"/>
            <w:vAlign w:val="center"/>
          </w:tcPr>
          <w:p w14:paraId="5F3F4970" w14:textId="6984BCE0" w:rsidR="008E67CB" w:rsidRDefault="008E67CB" w:rsidP="00604F23"/>
        </w:tc>
        <w:tc>
          <w:tcPr>
            <w:tcW w:w="4202" w:type="dxa"/>
            <w:gridSpan w:val="2"/>
            <w:shd w:val="clear" w:color="auto" w:fill="auto"/>
            <w:vAlign w:val="center"/>
          </w:tcPr>
          <w:p w14:paraId="5F3F4971" w14:textId="77777777" w:rsidR="008E67CB" w:rsidRDefault="006D196C" w:rsidP="00604F23">
            <w:r>
              <w:t>Superintending</w:t>
            </w:r>
            <w:r w:rsidR="009B70A1">
              <w:t xml:space="preserve"> Inspector – Nuclear Safety</w:t>
            </w:r>
          </w:p>
        </w:tc>
      </w:tr>
      <w:tr w:rsidR="008E67CB" w14:paraId="5F3F4976" w14:textId="77777777" w:rsidTr="00A07847">
        <w:trPr>
          <w:trHeight w:val="288"/>
        </w:trPr>
        <w:tc>
          <w:tcPr>
            <w:tcW w:w="2938" w:type="dxa"/>
            <w:shd w:val="clear" w:color="auto" w:fill="auto"/>
            <w:vAlign w:val="center"/>
          </w:tcPr>
          <w:p w14:paraId="5F3F4973" w14:textId="77777777" w:rsidR="008E67CB" w:rsidRPr="00A07847" w:rsidRDefault="008E67CB" w:rsidP="00604F23">
            <w:pPr>
              <w:rPr>
                <w:b/>
              </w:rPr>
            </w:pPr>
            <w:r w:rsidRPr="00A07847">
              <w:rPr>
                <w:b/>
              </w:rPr>
              <w:t>Record Reference:</w:t>
            </w:r>
          </w:p>
        </w:tc>
        <w:tc>
          <w:tcPr>
            <w:tcW w:w="6362" w:type="dxa"/>
            <w:gridSpan w:val="3"/>
            <w:shd w:val="clear" w:color="auto" w:fill="auto"/>
            <w:vAlign w:val="center"/>
          </w:tcPr>
          <w:p w14:paraId="5F3F4974" w14:textId="7ABAFE2C" w:rsidR="008E67CB" w:rsidRDefault="00B733E7" w:rsidP="00604F23">
            <w:r>
              <w:t>2021/3872</w:t>
            </w:r>
          </w:p>
          <w:p w14:paraId="5F3F4975" w14:textId="77777777" w:rsidR="00366DAE" w:rsidRDefault="00366DAE" w:rsidP="00604F23">
            <w:r>
              <w:t xml:space="preserve">                    </w:t>
            </w:r>
          </w:p>
        </w:tc>
      </w:tr>
      <w:tr w:rsidR="008E67CB" w14:paraId="5F3F4979" w14:textId="77777777" w:rsidTr="00A07847">
        <w:trPr>
          <w:trHeight w:val="288"/>
        </w:trPr>
        <w:tc>
          <w:tcPr>
            <w:tcW w:w="2938" w:type="dxa"/>
            <w:shd w:val="clear" w:color="auto" w:fill="auto"/>
            <w:vAlign w:val="center"/>
          </w:tcPr>
          <w:p w14:paraId="5F3F4977" w14:textId="77777777" w:rsidR="008E67CB" w:rsidRPr="00A07847" w:rsidRDefault="008E67CB" w:rsidP="00604F23">
            <w:pPr>
              <w:rPr>
                <w:b/>
              </w:rPr>
            </w:pPr>
            <w:r w:rsidRPr="00A07847">
              <w:rPr>
                <w:b/>
              </w:rPr>
              <w:t>Revision commentary:</w:t>
            </w:r>
          </w:p>
        </w:tc>
        <w:tc>
          <w:tcPr>
            <w:tcW w:w="6362" w:type="dxa"/>
            <w:gridSpan w:val="3"/>
            <w:shd w:val="clear" w:color="auto" w:fill="auto"/>
            <w:vAlign w:val="center"/>
          </w:tcPr>
          <w:p w14:paraId="7DF8A690" w14:textId="1766527C" w:rsidR="00535D98" w:rsidRDefault="00535D98" w:rsidP="001963F8">
            <w:r>
              <w:t>Revision 0: New document issued.</w:t>
            </w:r>
          </w:p>
          <w:p w14:paraId="6D23171D" w14:textId="77777777" w:rsidR="00535D98" w:rsidRDefault="00535D98" w:rsidP="001963F8"/>
          <w:p w14:paraId="25D16F00" w14:textId="77777777" w:rsidR="008E67CB" w:rsidRDefault="00535D98" w:rsidP="001963F8">
            <w:r>
              <w:t xml:space="preserve">Revision 1: </w:t>
            </w:r>
            <w:r w:rsidR="001963F8">
              <w:t>M</w:t>
            </w:r>
            <w:r w:rsidR="0052619B">
              <w:t xml:space="preserve">inor revision to </w:t>
            </w:r>
            <w:r w:rsidR="00D36CEE">
              <w:t xml:space="preserve">update references and supplement </w:t>
            </w:r>
            <w:r w:rsidR="00AE4836">
              <w:t>a</w:t>
            </w:r>
            <w:r w:rsidR="00D36CEE">
              <w:t>ppendix 3</w:t>
            </w:r>
            <w:r w:rsidR="001963F8">
              <w:t xml:space="preserve">. </w:t>
            </w:r>
          </w:p>
          <w:p w14:paraId="76829C05" w14:textId="77777777" w:rsidR="00A91B8C" w:rsidRDefault="00A91B8C" w:rsidP="001963F8"/>
          <w:p w14:paraId="5F3F4978" w14:textId="0A083E7C" w:rsidR="00A91B8C" w:rsidRDefault="00A91B8C" w:rsidP="001963F8">
            <w:r>
              <w:t>Issue 1.1:</w:t>
            </w:r>
            <w:r w:rsidR="00514536">
              <w:t xml:space="preserve"> </w:t>
            </w:r>
            <w:r w:rsidR="00514536">
              <w:rPr>
                <w:sz w:val="24"/>
              </w:rPr>
              <w:t>Minor update to remove extant URLs from the document to mitigate potential configuration control issues arising because of changes to third-party web domains.</w:t>
            </w:r>
          </w:p>
        </w:tc>
      </w:tr>
    </w:tbl>
    <w:p w14:paraId="5F3F497A" w14:textId="77777777" w:rsidR="00D55197" w:rsidRDefault="00D55197" w:rsidP="008E67CB"/>
    <w:p w14:paraId="5F3F497B" w14:textId="77777777" w:rsidR="008E67CB" w:rsidRPr="008E67CB" w:rsidRDefault="008E67CB" w:rsidP="008E67CB">
      <w:pPr>
        <w:jc w:val="center"/>
        <w:rPr>
          <w:b/>
        </w:rPr>
      </w:pPr>
      <w:r w:rsidRPr="008E67CB">
        <w:rPr>
          <w:b/>
        </w:rPr>
        <w:t>TABLE OF CONTENTS</w:t>
      </w:r>
    </w:p>
    <w:p w14:paraId="5F3F497C" w14:textId="77777777" w:rsidR="008E67CB" w:rsidRDefault="008E67CB" w:rsidP="008E67CB"/>
    <w:p w14:paraId="381D6251" w14:textId="5EFC9E61" w:rsidR="00535D98" w:rsidRDefault="0008027D">
      <w:pPr>
        <w:pStyle w:val="TOC1"/>
        <w:rPr>
          <w:rFonts w:asciiTheme="minorHAnsi" w:eastAsiaTheme="minorEastAsia" w:hAnsiTheme="minorHAnsi" w:cstheme="minorBidi"/>
          <w:szCs w:val="22"/>
          <w:lang w:eastAsia="en-GB"/>
        </w:rPr>
      </w:pPr>
      <w:r>
        <w:fldChar w:fldCharType="begin"/>
      </w:r>
      <w:r>
        <w:instrText xml:space="preserve"> TOC \o "1-3" \h \z \t "TS Heading Level 1 Numbered,1"  \* MERGEFORMAT </w:instrText>
      </w:r>
      <w:r>
        <w:fldChar w:fldCharType="separate"/>
      </w:r>
      <w:hyperlink w:anchor="_Toc61505469" w:history="1">
        <w:r w:rsidR="00535D98" w:rsidRPr="009739EE">
          <w:rPr>
            <w:rStyle w:val="Hyperlink"/>
          </w:rPr>
          <w:t>1.</w:t>
        </w:r>
        <w:r w:rsidR="00535D98">
          <w:rPr>
            <w:rFonts w:asciiTheme="minorHAnsi" w:eastAsiaTheme="minorEastAsia" w:hAnsiTheme="minorHAnsi" w:cstheme="minorBidi"/>
            <w:szCs w:val="22"/>
            <w:lang w:eastAsia="en-GB"/>
          </w:rPr>
          <w:tab/>
        </w:r>
        <w:r w:rsidR="00535D98" w:rsidRPr="009739EE">
          <w:rPr>
            <w:rStyle w:val="Hyperlink"/>
          </w:rPr>
          <w:t>INTRODUCTION</w:t>
        </w:r>
        <w:r w:rsidR="00535D98">
          <w:rPr>
            <w:webHidden/>
          </w:rPr>
          <w:tab/>
        </w:r>
        <w:r w:rsidR="00535D98">
          <w:rPr>
            <w:webHidden/>
          </w:rPr>
          <w:fldChar w:fldCharType="begin"/>
        </w:r>
        <w:r w:rsidR="00535D98">
          <w:rPr>
            <w:webHidden/>
          </w:rPr>
          <w:instrText xml:space="preserve"> PAGEREF _Toc61505469 \h </w:instrText>
        </w:r>
        <w:r w:rsidR="00535D98">
          <w:rPr>
            <w:webHidden/>
          </w:rPr>
        </w:r>
        <w:r w:rsidR="00535D98">
          <w:rPr>
            <w:webHidden/>
          </w:rPr>
          <w:fldChar w:fldCharType="separate"/>
        </w:r>
        <w:r w:rsidR="00535D98">
          <w:rPr>
            <w:webHidden/>
          </w:rPr>
          <w:t>2</w:t>
        </w:r>
        <w:r w:rsidR="00535D98">
          <w:rPr>
            <w:webHidden/>
          </w:rPr>
          <w:fldChar w:fldCharType="end"/>
        </w:r>
      </w:hyperlink>
    </w:p>
    <w:p w14:paraId="5A517D30" w14:textId="4412EE90" w:rsidR="00535D98" w:rsidRDefault="0052667E">
      <w:pPr>
        <w:pStyle w:val="TOC1"/>
        <w:rPr>
          <w:rFonts w:asciiTheme="minorHAnsi" w:eastAsiaTheme="minorEastAsia" w:hAnsiTheme="minorHAnsi" w:cstheme="minorBidi"/>
          <w:szCs w:val="22"/>
          <w:lang w:eastAsia="en-GB"/>
        </w:rPr>
      </w:pPr>
      <w:hyperlink w:anchor="_Toc61505470" w:history="1">
        <w:r w:rsidR="00535D98" w:rsidRPr="009739EE">
          <w:rPr>
            <w:rStyle w:val="Hyperlink"/>
          </w:rPr>
          <w:t>2.</w:t>
        </w:r>
        <w:r w:rsidR="00535D98">
          <w:rPr>
            <w:rFonts w:asciiTheme="minorHAnsi" w:eastAsiaTheme="minorEastAsia" w:hAnsiTheme="minorHAnsi" w:cstheme="minorBidi"/>
            <w:szCs w:val="22"/>
            <w:lang w:eastAsia="en-GB"/>
          </w:rPr>
          <w:tab/>
        </w:r>
        <w:r w:rsidR="00535D98" w:rsidRPr="009739EE">
          <w:rPr>
            <w:rStyle w:val="Hyperlink"/>
          </w:rPr>
          <w:t>PURPOSE AND SCOPE</w:t>
        </w:r>
        <w:r w:rsidR="00535D98">
          <w:rPr>
            <w:webHidden/>
          </w:rPr>
          <w:tab/>
        </w:r>
        <w:r w:rsidR="00535D98">
          <w:rPr>
            <w:webHidden/>
          </w:rPr>
          <w:fldChar w:fldCharType="begin"/>
        </w:r>
        <w:r w:rsidR="00535D98">
          <w:rPr>
            <w:webHidden/>
          </w:rPr>
          <w:instrText xml:space="preserve"> PAGEREF _Toc61505470 \h </w:instrText>
        </w:r>
        <w:r w:rsidR="00535D98">
          <w:rPr>
            <w:webHidden/>
          </w:rPr>
        </w:r>
        <w:r w:rsidR="00535D98">
          <w:rPr>
            <w:webHidden/>
          </w:rPr>
          <w:fldChar w:fldCharType="separate"/>
        </w:r>
        <w:r w:rsidR="00535D98">
          <w:rPr>
            <w:webHidden/>
          </w:rPr>
          <w:t>2</w:t>
        </w:r>
        <w:r w:rsidR="00535D98">
          <w:rPr>
            <w:webHidden/>
          </w:rPr>
          <w:fldChar w:fldCharType="end"/>
        </w:r>
      </w:hyperlink>
    </w:p>
    <w:p w14:paraId="033C8A62" w14:textId="6DB142CC" w:rsidR="00535D98" w:rsidRDefault="0052667E">
      <w:pPr>
        <w:pStyle w:val="TOC1"/>
        <w:rPr>
          <w:rFonts w:asciiTheme="minorHAnsi" w:eastAsiaTheme="minorEastAsia" w:hAnsiTheme="minorHAnsi" w:cstheme="minorBidi"/>
          <w:szCs w:val="22"/>
          <w:lang w:eastAsia="en-GB"/>
        </w:rPr>
      </w:pPr>
      <w:hyperlink w:anchor="_Toc61505471" w:history="1">
        <w:r w:rsidR="00535D98" w:rsidRPr="009739EE">
          <w:rPr>
            <w:rStyle w:val="Hyperlink"/>
          </w:rPr>
          <w:t>3.</w:t>
        </w:r>
        <w:r w:rsidR="00535D98">
          <w:rPr>
            <w:rFonts w:asciiTheme="minorHAnsi" w:eastAsiaTheme="minorEastAsia" w:hAnsiTheme="minorHAnsi" w:cstheme="minorBidi"/>
            <w:szCs w:val="22"/>
            <w:lang w:eastAsia="en-GB"/>
          </w:rPr>
          <w:tab/>
        </w:r>
        <w:r w:rsidR="00535D98" w:rsidRPr="009739EE">
          <w:rPr>
            <w:rStyle w:val="Hyperlink"/>
          </w:rPr>
          <w:t>RELATIONSHIP TO LICENCE AND OTHER RELEVANT LEGISLATION</w:t>
        </w:r>
        <w:r w:rsidR="00535D98">
          <w:rPr>
            <w:webHidden/>
          </w:rPr>
          <w:tab/>
        </w:r>
        <w:r w:rsidR="00535D98">
          <w:rPr>
            <w:webHidden/>
          </w:rPr>
          <w:fldChar w:fldCharType="begin"/>
        </w:r>
        <w:r w:rsidR="00535D98">
          <w:rPr>
            <w:webHidden/>
          </w:rPr>
          <w:instrText xml:space="preserve"> PAGEREF _Toc61505471 \h </w:instrText>
        </w:r>
        <w:r w:rsidR="00535D98">
          <w:rPr>
            <w:webHidden/>
          </w:rPr>
        </w:r>
        <w:r w:rsidR="00535D98">
          <w:rPr>
            <w:webHidden/>
          </w:rPr>
          <w:fldChar w:fldCharType="separate"/>
        </w:r>
        <w:r w:rsidR="00535D98">
          <w:rPr>
            <w:webHidden/>
          </w:rPr>
          <w:t>3</w:t>
        </w:r>
        <w:r w:rsidR="00535D98">
          <w:rPr>
            <w:webHidden/>
          </w:rPr>
          <w:fldChar w:fldCharType="end"/>
        </w:r>
      </w:hyperlink>
    </w:p>
    <w:p w14:paraId="44959350" w14:textId="24F63E12" w:rsidR="00535D98" w:rsidRDefault="0052667E">
      <w:pPr>
        <w:pStyle w:val="TOC1"/>
        <w:rPr>
          <w:rFonts w:asciiTheme="minorHAnsi" w:eastAsiaTheme="minorEastAsia" w:hAnsiTheme="minorHAnsi" w:cstheme="minorBidi"/>
          <w:szCs w:val="22"/>
          <w:lang w:eastAsia="en-GB"/>
        </w:rPr>
      </w:pPr>
      <w:hyperlink w:anchor="_Toc61505472" w:history="1">
        <w:r w:rsidR="00535D98" w:rsidRPr="009739EE">
          <w:rPr>
            <w:rStyle w:val="Hyperlink"/>
          </w:rPr>
          <w:t>4.</w:t>
        </w:r>
        <w:r w:rsidR="00535D98">
          <w:rPr>
            <w:rFonts w:asciiTheme="minorHAnsi" w:eastAsiaTheme="minorEastAsia" w:hAnsiTheme="minorHAnsi" w:cstheme="minorBidi"/>
            <w:szCs w:val="22"/>
            <w:lang w:eastAsia="en-GB"/>
          </w:rPr>
          <w:tab/>
        </w:r>
        <w:r w:rsidR="00535D98" w:rsidRPr="009739EE">
          <w:rPr>
            <w:rStyle w:val="Hyperlink"/>
          </w:rPr>
          <w:t>RELATIONSHIP TO SAPS, WENRA REFERENCE LEVELS AND IAEA SAFETY STANDARDS ADDRESSED</w:t>
        </w:r>
        <w:r w:rsidR="00535D98">
          <w:rPr>
            <w:webHidden/>
          </w:rPr>
          <w:tab/>
        </w:r>
        <w:r w:rsidR="00535D98">
          <w:rPr>
            <w:webHidden/>
          </w:rPr>
          <w:fldChar w:fldCharType="begin"/>
        </w:r>
        <w:r w:rsidR="00535D98">
          <w:rPr>
            <w:webHidden/>
          </w:rPr>
          <w:instrText xml:space="preserve"> PAGEREF _Toc61505472 \h </w:instrText>
        </w:r>
        <w:r w:rsidR="00535D98">
          <w:rPr>
            <w:webHidden/>
          </w:rPr>
        </w:r>
        <w:r w:rsidR="00535D98">
          <w:rPr>
            <w:webHidden/>
          </w:rPr>
          <w:fldChar w:fldCharType="separate"/>
        </w:r>
        <w:r w:rsidR="00535D98">
          <w:rPr>
            <w:webHidden/>
          </w:rPr>
          <w:t>4</w:t>
        </w:r>
        <w:r w:rsidR="00535D98">
          <w:rPr>
            <w:webHidden/>
          </w:rPr>
          <w:fldChar w:fldCharType="end"/>
        </w:r>
      </w:hyperlink>
    </w:p>
    <w:p w14:paraId="3941495E" w14:textId="63CA9735" w:rsidR="00535D98" w:rsidRDefault="0052667E">
      <w:pPr>
        <w:pStyle w:val="TOC1"/>
        <w:rPr>
          <w:rFonts w:asciiTheme="minorHAnsi" w:eastAsiaTheme="minorEastAsia" w:hAnsiTheme="minorHAnsi" w:cstheme="minorBidi"/>
          <w:szCs w:val="22"/>
          <w:lang w:eastAsia="en-GB"/>
        </w:rPr>
      </w:pPr>
      <w:hyperlink w:anchor="_Toc61505473" w:history="1">
        <w:r w:rsidR="00535D98" w:rsidRPr="009739EE">
          <w:rPr>
            <w:rStyle w:val="Hyperlink"/>
          </w:rPr>
          <w:t>5.</w:t>
        </w:r>
        <w:r w:rsidR="00535D98">
          <w:rPr>
            <w:rFonts w:asciiTheme="minorHAnsi" w:eastAsiaTheme="minorEastAsia" w:hAnsiTheme="minorHAnsi" w:cstheme="minorBidi"/>
            <w:szCs w:val="22"/>
            <w:lang w:eastAsia="en-GB"/>
          </w:rPr>
          <w:tab/>
        </w:r>
        <w:r w:rsidR="00535D98" w:rsidRPr="009739EE">
          <w:rPr>
            <w:rStyle w:val="Hyperlink"/>
          </w:rPr>
          <w:t>GENERAL ADVICE TO INSPECTORS</w:t>
        </w:r>
        <w:r w:rsidR="00535D98">
          <w:rPr>
            <w:webHidden/>
          </w:rPr>
          <w:tab/>
        </w:r>
        <w:r w:rsidR="00535D98">
          <w:rPr>
            <w:webHidden/>
          </w:rPr>
          <w:fldChar w:fldCharType="begin"/>
        </w:r>
        <w:r w:rsidR="00535D98">
          <w:rPr>
            <w:webHidden/>
          </w:rPr>
          <w:instrText xml:space="preserve"> PAGEREF _Toc61505473 \h </w:instrText>
        </w:r>
        <w:r w:rsidR="00535D98">
          <w:rPr>
            <w:webHidden/>
          </w:rPr>
        </w:r>
        <w:r w:rsidR="00535D98">
          <w:rPr>
            <w:webHidden/>
          </w:rPr>
          <w:fldChar w:fldCharType="separate"/>
        </w:r>
        <w:r w:rsidR="00535D98">
          <w:rPr>
            <w:webHidden/>
          </w:rPr>
          <w:t>8</w:t>
        </w:r>
        <w:r w:rsidR="00535D98">
          <w:rPr>
            <w:webHidden/>
          </w:rPr>
          <w:fldChar w:fldCharType="end"/>
        </w:r>
      </w:hyperlink>
    </w:p>
    <w:p w14:paraId="18A87BCF" w14:textId="57A090C9" w:rsidR="00535D98" w:rsidRDefault="0052667E">
      <w:pPr>
        <w:pStyle w:val="TOC1"/>
        <w:rPr>
          <w:rFonts w:asciiTheme="minorHAnsi" w:eastAsiaTheme="minorEastAsia" w:hAnsiTheme="minorHAnsi" w:cstheme="minorBidi"/>
          <w:szCs w:val="22"/>
          <w:lang w:eastAsia="en-GB"/>
        </w:rPr>
      </w:pPr>
      <w:hyperlink w:anchor="_Toc61505474" w:history="1">
        <w:r w:rsidR="00535D98" w:rsidRPr="009739EE">
          <w:rPr>
            <w:rStyle w:val="Hyperlink"/>
          </w:rPr>
          <w:t>6.</w:t>
        </w:r>
        <w:r w:rsidR="00535D98">
          <w:rPr>
            <w:rFonts w:asciiTheme="minorHAnsi" w:eastAsiaTheme="minorEastAsia" w:hAnsiTheme="minorHAnsi" w:cstheme="minorBidi"/>
            <w:szCs w:val="22"/>
            <w:lang w:eastAsia="en-GB"/>
          </w:rPr>
          <w:tab/>
        </w:r>
        <w:r w:rsidR="00535D98" w:rsidRPr="009739EE">
          <w:rPr>
            <w:rStyle w:val="Hyperlink"/>
          </w:rPr>
          <w:t>CHEMICAL REACTION HAZARDS</w:t>
        </w:r>
        <w:r w:rsidR="00535D98">
          <w:rPr>
            <w:webHidden/>
          </w:rPr>
          <w:tab/>
        </w:r>
        <w:r w:rsidR="00535D98">
          <w:rPr>
            <w:webHidden/>
          </w:rPr>
          <w:fldChar w:fldCharType="begin"/>
        </w:r>
        <w:r w:rsidR="00535D98">
          <w:rPr>
            <w:webHidden/>
          </w:rPr>
          <w:instrText xml:space="preserve"> PAGEREF _Toc61505474 \h </w:instrText>
        </w:r>
        <w:r w:rsidR="00535D98">
          <w:rPr>
            <w:webHidden/>
          </w:rPr>
        </w:r>
        <w:r w:rsidR="00535D98">
          <w:rPr>
            <w:webHidden/>
          </w:rPr>
          <w:fldChar w:fldCharType="separate"/>
        </w:r>
        <w:r w:rsidR="00535D98">
          <w:rPr>
            <w:webHidden/>
          </w:rPr>
          <w:t>13</w:t>
        </w:r>
        <w:r w:rsidR="00535D98">
          <w:rPr>
            <w:webHidden/>
          </w:rPr>
          <w:fldChar w:fldCharType="end"/>
        </w:r>
      </w:hyperlink>
    </w:p>
    <w:p w14:paraId="12A273D1" w14:textId="2D7F524C" w:rsidR="00535D98" w:rsidRDefault="0052667E">
      <w:pPr>
        <w:pStyle w:val="TOC1"/>
        <w:rPr>
          <w:rFonts w:asciiTheme="minorHAnsi" w:eastAsiaTheme="minorEastAsia" w:hAnsiTheme="minorHAnsi" w:cstheme="minorBidi"/>
          <w:szCs w:val="22"/>
          <w:lang w:eastAsia="en-GB"/>
        </w:rPr>
      </w:pPr>
      <w:hyperlink w:anchor="_Toc61505475" w:history="1">
        <w:r w:rsidR="00535D98" w:rsidRPr="009739EE">
          <w:rPr>
            <w:rStyle w:val="Hyperlink"/>
          </w:rPr>
          <w:t>7.</w:t>
        </w:r>
        <w:r w:rsidR="00535D98">
          <w:rPr>
            <w:rFonts w:asciiTheme="minorHAnsi" w:eastAsiaTheme="minorEastAsia" w:hAnsiTheme="minorHAnsi" w:cstheme="minorBidi"/>
            <w:szCs w:val="22"/>
            <w:lang w:eastAsia="en-GB"/>
          </w:rPr>
          <w:tab/>
        </w:r>
        <w:r w:rsidR="00535D98" w:rsidRPr="009739EE">
          <w:rPr>
            <w:rStyle w:val="Hyperlink"/>
          </w:rPr>
          <w:t>CONTROL OF NUCLEAR MATTER, RADIOACTIVE MATERIAL AND RADIOACTIVE WASTE</w:t>
        </w:r>
        <w:r w:rsidR="00535D98">
          <w:rPr>
            <w:webHidden/>
          </w:rPr>
          <w:tab/>
        </w:r>
        <w:r w:rsidR="00535D98">
          <w:rPr>
            <w:webHidden/>
          </w:rPr>
          <w:fldChar w:fldCharType="begin"/>
        </w:r>
        <w:r w:rsidR="00535D98">
          <w:rPr>
            <w:webHidden/>
          </w:rPr>
          <w:instrText xml:space="preserve"> PAGEREF _Toc61505475 \h </w:instrText>
        </w:r>
        <w:r w:rsidR="00535D98">
          <w:rPr>
            <w:webHidden/>
          </w:rPr>
        </w:r>
        <w:r w:rsidR="00535D98">
          <w:rPr>
            <w:webHidden/>
          </w:rPr>
          <w:fldChar w:fldCharType="separate"/>
        </w:r>
        <w:r w:rsidR="00535D98">
          <w:rPr>
            <w:webHidden/>
          </w:rPr>
          <w:t>23</w:t>
        </w:r>
        <w:r w:rsidR="00535D98">
          <w:rPr>
            <w:webHidden/>
          </w:rPr>
          <w:fldChar w:fldCharType="end"/>
        </w:r>
      </w:hyperlink>
    </w:p>
    <w:p w14:paraId="7D41D491" w14:textId="788E3AEF" w:rsidR="00535D98" w:rsidRDefault="0052667E">
      <w:pPr>
        <w:pStyle w:val="TOC1"/>
        <w:rPr>
          <w:rFonts w:asciiTheme="minorHAnsi" w:eastAsiaTheme="minorEastAsia" w:hAnsiTheme="minorHAnsi" w:cstheme="minorBidi"/>
          <w:szCs w:val="22"/>
          <w:lang w:eastAsia="en-GB"/>
        </w:rPr>
      </w:pPr>
      <w:hyperlink w:anchor="_Toc61505476" w:history="1">
        <w:r w:rsidR="00535D98" w:rsidRPr="009739EE">
          <w:rPr>
            <w:rStyle w:val="Hyperlink"/>
          </w:rPr>
          <w:t>REFERENCES</w:t>
        </w:r>
        <w:r w:rsidR="00535D98">
          <w:rPr>
            <w:webHidden/>
          </w:rPr>
          <w:tab/>
        </w:r>
        <w:r w:rsidR="00535D98">
          <w:rPr>
            <w:webHidden/>
          </w:rPr>
          <w:fldChar w:fldCharType="begin"/>
        </w:r>
        <w:r w:rsidR="00535D98">
          <w:rPr>
            <w:webHidden/>
          </w:rPr>
          <w:instrText xml:space="preserve"> PAGEREF _Toc61505476 \h </w:instrText>
        </w:r>
        <w:r w:rsidR="00535D98">
          <w:rPr>
            <w:webHidden/>
          </w:rPr>
        </w:r>
        <w:r w:rsidR="00535D98">
          <w:rPr>
            <w:webHidden/>
          </w:rPr>
          <w:fldChar w:fldCharType="separate"/>
        </w:r>
        <w:r w:rsidR="00535D98">
          <w:rPr>
            <w:webHidden/>
          </w:rPr>
          <w:t>26</w:t>
        </w:r>
        <w:r w:rsidR="00535D98">
          <w:rPr>
            <w:webHidden/>
          </w:rPr>
          <w:fldChar w:fldCharType="end"/>
        </w:r>
      </w:hyperlink>
    </w:p>
    <w:p w14:paraId="6184AEFE" w14:textId="20616A28" w:rsidR="00535D98" w:rsidRDefault="0052667E">
      <w:pPr>
        <w:pStyle w:val="TOC1"/>
        <w:rPr>
          <w:rFonts w:asciiTheme="minorHAnsi" w:eastAsiaTheme="minorEastAsia" w:hAnsiTheme="minorHAnsi" w:cstheme="minorBidi"/>
          <w:szCs w:val="22"/>
          <w:lang w:eastAsia="en-GB"/>
        </w:rPr>
      </w:pPr>
      <w:hyperlink w:anchor="_Toc61505477" w:history="1">
        <w:r w:rsidR="00535D98" w:rsidRPr="009739EE">
          <w:rPr>
            <w:rStyle w:val="Hyperlink"/>
          </w:rPr>
          <w:t>8.</w:t>
        </w:r>
        <w:r w:rsidR="00535D98">
          <w:rPr>
            <w:rFonts w:asciiTheme="minorHAnsi" w:eastAsiaTheme="minorEastAsia" w:hAnsiTheme="minorHAnsi" w:cstheme="minorBidi"/>
            <w:szCs w:val="22"/>
            <w:lang w:eastAsia="en-GB"/>
          </w:rPr>
          <w:tab/>
        </w:r>
        <w:r w:rsidR="00535D98" w:rsidRPr="009739EE">
          <w:rPr>
            <w:rStyle w:val="Hyperlink"/>
          </w:rPr>
          <w:t>APPENDICES</w:t>
        </w:r>
        <w:r w:rsidR="00535D98">
          <w:rPr>
            <w:webHidden/>
          </w:rPr>
          <w:tab/>
        </w:r>
        <w:r w:rsidR="00535D98">
          <w:rPr>
            <w:webHidden/>
          </w:rPr>
          <w:fldChar w:fldCharType="begin"/>
        </w:r>
        <w:r w:rsidR="00535D98">
          <w:rPr>
            <w:webHidden/>
          </w:rPr>
          <w:instrText xml:space="preserve"> PAGEREF _Toc61505477 \h </w:instrText>
        </w:r>
        <w:r w:rsidR="00535D98">
          <w:rPr>
            <w:webHidden/>
          </w:rPr>
        </w:r>
        <w:r w:rsidR="00535D98">
          <w:rPr>
            <w:webHidden/>
          </w:rPr>
          <w:fldChar w:fldCharType="separate"/>
        </w:r>
        <w:r w:rsidR="00535D98">
          <w:rPr>
            <w:webHidden/>
          </w:rPr>
          <w:t>30</w:t>
        </w:r>
        <w:r w:rsidR="00535D98">
          <w:rPr>
            <w:webHidden/>
          </w:rPr>
          <w:fldChar w:fldCharType="end"/>
        </w:r>
      </w:hyperlink>
    </w:p>
    <w:p w14:paraId="5F3F4986" w14:textId="3A3A2AE7" w:rsidR="00FE2325" w:rsidRDefault="0008027D" w:rsidP="00CB4A40">
      <w:r>
        <w:fldChar w:fldCharType="end"/>
      </w:r>
    </w:p>
    <w:p w14:paraId="5F3F498F" w14:textId="77777777" w:rsidR="00FE2325" w:rsidRDefault="00FE2325" w:rsidP="00CB4A40"/>
    <w:p w14:paraId="5F3F4990" w14:textId="09C9CB03" w:rsidR="00F96DFE" w:rsidRPr="00F96DFE" w:rsidRDefault="00F96DFE" w:rsidP="00CB4A40">
      <w:pPr>
        <w:rPr>
          <w:rFonts w:cs="Arial"/>
          <w:bCs/>
          <w:i/>
          <w:kern w:val="36"/>
          <w:sz w:val="16"/>
          <w:szCs w:val="16"/>
        </w:rPr>
      </w:pPr>
      <w:r w:rsidRPr="00F96DFE">
        <w:rPr>
          <w:rFonts w:cs="Arial"/>
          <w:bCs/>
          <w:i/>
          <w:kern w:val="36"/>
          <w:sz w:val="16"/>
          <w:szCs w:val="16"/>
        </w:rPr>
        <w:t xml:space="preserve">© </w:t>
      </w:r>
      <w:r w:rsidR="00532D01">
        <w:rPr>
          <w:rFonts w:cs="Arial"/>
          <w:bCs/>
          <w:i/>
          <w:kern w:val="36"/>
          <w:sz w:val="16"/>
          <w:szCs w:val="16"/>
        </w:rPr>
        <w:t xml:space="preserve">Office for Nuclear Regulation, </w:t>
      </w:r>
      <w:r w:rsidR="001963F8">
        <w:rPr>
          <w:rFonts w:cs="Arial"/>
          <w:bCs/>
          <w:i/>
          <w:kern w:val="36"/>
          <w:sz w:val="16"/>
          <w:szCs w:val="16"/>
        </w:rPr>
        <w:t>202</w:t>
      </w:r>
      <w:r w:rsidR="00580B47">
        <w:rPr>
          <w:rFonts w:cs="Arial"/>
          <w:bCs/>
          <w:i/>
          <w:kern w:val="36"/>
          <w:sz w:val="16"/>
          <w:szCs w:val="16"/>
        </w:rPr>
        <w:t>2</w:t>
      </w:r>
    </w:p>
    <w:p w14:paraId="5F3F4991" w14:textId="77777777" w:rsidR="00F96DFE" w:rsidRPr="00F96DFE" w:rsidRDefault="00F96DFE" w:rsidP="00F96DFE">
      <w:pPr>
        <w:outlineLvl w:val="1"/>
        <w:rPr>
          <w:rFonts w:ascii="Times New Roman" w:hAnsi="Times New Roman"/>
          <w:bCs/>
          <w:kern w:val="36"/>
          <w:sz w:val="16"/>
          <w:szCs w:val="16"/>
        </w:rPr>
      </w:pPr>
      <w:r w:rsidRPr="00F96DFE">
        <w:rPr>
          <w:rFonts w:cs="Arial"/>
          <w:bCs/>
          <w:kern w:val="36"/>
          <w:sz w:val="16"/>
          <w:szCs w:val="16"/>
        </w:rPr>
        <w:t xml:space="preserve">If you wish to reuse this information visit </w:t>
      </w:r>
      <w:hyperlink r:id="rId17" w:tooltip="http://www.onr.org.uk/copyright" w:history="1">
        <w:r w:rsidRPr="00F96DFE">
          <w:rPr>
            <w:rStyle w:val="Hyperlink"/>
            <w:rFonts w:cs="Arial"/>
            <w:bCs/>
            <w:kern w:val="36"/>
            <w:sz w:val="16"/>
            <w:szCs w:val="16"/>
          </w:rPr>
          <w:t>www.onr.org.uk/copyright</w:t>
        </w:r>
      </w:hyperlink>
      <w:r w:rsidRPr="00F96DFE">
        <w:rPr>
          <w:rFonts w:cs="Arial"/>
          <w:bCs/>
          <w:kern w:val="36"/>
          <w:sz w:val="16"/>
          <w:szCs w:val="16"/>
        </w:rPr>
        <w:t xml:space="preserve"> for details. </w:t>
      </w:r>
    </w:p>
    <w:p w14:paraId="5F3F4992" w14:textId="5B821E8F" w:rsidR="00940FF6" w:rsidRDefault="00F96DFE" w:rsidP="002B207C">
      <w:pPr>
        <w:outlineLvl w:val="1"/>
      </w:pPr>
      <w:r w:rsidRPr="002B207C">
        <w:rPr>
          <w:rFonts w:cs="Arial"/>
          <w:bCs/>
          <w:kern w:val="36"/>
          <w:sz w:val="16"/>
          <w:szCs w:val="16"/>
        </w:rPr>
        <w:t xml:space="preserve">Published </w:t>
      </w:r>
      <w:r w:rsidR="00580B47">
        <w:rPr>
          <w:rFonts w:cs="Arial"/>
          <w:bCs/>
          <w:kern w:val="36"/>
          <w:sz w:val="16"/>
          <w:szCs w:val="16"/>
        </w:rPr>
        <w:t>12/22</w:t>
      </w:r>
    </w:p>
    <w:p w14:paraId="5F3F4993" w14:textId="77777777" w:rsidR="009B5159" w:rsidRPr="008865BE" w:rsidRDefault="009B5159" w:rsidP="0002758C">
      <w:pPr>
        <w:pStyle w:val="TSHeadingLevel1Numbered"/>
      </w:pPr>
      <w:bookmarkStart w:id="0" w:name="_Toc446504655"/>
      <w:bookmarkStart w:id="1" w:name="_Toc447189482"/>
      <w:bookmarkStart w:id="2" w:name="_Toc61505469"/>
      <w:r w:rsidRPr="008865BE">
        <w:lastRenderedPageBreak/>
        <w:t>INTRODUCTION</w:t>
      </w:r>
      <w:bookmarkEnd w:id="0"/>
      <w:bookmarkEnd w:id="1"/>
      <w:bookmarkEnd w:id="2"/>
    </w:p>
    <w:p w14:paraId="5F3F4994" w14:textId="7D5DFEB1" w:rsidR="00E466FB" w:rsidRDefault="003E1811" w:rsidP="002B207C">
      <w:pPr>
        <w:pStyle w:val="TSNumberedParagraph11"/>
      </w:pPr>
      <w:r>
        <w:t>The Office for Nuclear Regulation</w:t>
      </w:r>
      <w:r w:rsidR="009B5159">
        <w:t xml:space="preserve"> has established its Safety Assessment Principles (SAPs)</w:t>
      </w:r>
      <w:r w:rsidR="00B37DA5">
        <w:t xml:space="preserve"> [</w:t>
      </w:r>
      <w:r w:rsidR="00B37DA5" w:rsidRPr="00B37DA5">
        <w:rPr>
          <w:rStyle w:val="EndnoteReference"/>
        </w:rPr>
        <w:endnoteReference w:id="2"/>
      </w:r>
      <w:r w:rsidR="00B37DA5">
        <w:t>]</w:t>
      </w:r>
      <w:r w:rsidR="009B5159">
        <w:t xml:space="preserve"> which apply to the assessment by ONR specialist inspectors of safety cases for nuclear facilities that may be operated by potential licensees, existing licensees, or other duty-holders. The principles presented in the SAPs are supported by a suite of guides to further assist ONR’s inspectors in their technical assessment work in support of making regulatory j</w:t>
      </w:r>
      <w:r w:rsidR="00895D4E">
        <w:t>udgements and decisions. This Technical Assessment G</w:t>
      </w:r>
      <w:r w:rsidR="009B5159">
        <w:t>uide</w:t>
      </w:r>
      <w:r w:rsidR="00895D4E">
        <w:t xml:space="preserve"> (TAG)</w:t>
      </w:r>
      <w:r w:rsidR="009B5159">
        <w:t xml:space="preserve"> is one of these guides</w:t>
      </w:r>
      <w:r w:rsidR="00895D4E">
        <w:t>, and provides further advice and guidance on the assessment of chemistry</w:t>
      </w:r>
      <w:r w:rsidR="009B5159">
        <w:t>.</w:t>
      </w:r>
    </w:p>
    <w:p w14:paraId="5F3F4995" w14:textId="77777777" w:rsidR="009B5159" w:rsidRPr="008E52A5" w:rsidRDefault="009B5159" w:rsidP="0002758C">
      <w:pPr>
        <w:pStyle w:val="TSHeadingLevel1Numbered"/>
      </w:pPr>
      <w:bookmarkStart w:id="3" w:name="_Toc447189483"/>
      <w:bookmarkStart w:id="4" w:name="_Toc61505470"/>
      <w:r w:rsidRPr="008E52A5">
        <w:t>PURPOSE AND SCOPE</w:t>
      </w:r>
      <w:bookmarkEnd w:id="3"/>
      <w:bookmarkEnd w:id="4"/>
    </w:p>
    <w:p w14:paraId="5F3F4996" w14:textId="2692C7C3" w:rsidR="009D681B" w:rsidRDefault="009D681B" w:rsidP="0002758C">
      <w:pPr>
        <w:pStyle w:val="TSNumberedParagraph11"/>
      </w:pPr>
      <w:r>
        <w:t xml:space="preserve">The ONR has the responsibility for regulating </w:t>
      </w:r>
      <w:r w:rsidR="00E466FB">
        <w:t>n</w:t>
      </w:r>
      <w:r w:rsidR="003E1811">
        <w:t>uclear and conventional safety, safeguards and security of nuclear sites</w:t>
      </w:r>
      <w:r w:rsidR="008021E3">
        <w:t xml:space="preserve"> in Great Britain (GB)</w:t>
      </w:r>
      <w:r w:rsidR="003E1811">
        <w:t>, in addition to the regulation of the transport of class 7 goods</w:t>
      </w:r>
      <w:r w:rsidR="008021E3">
        <w:t xml:space="preserve"> (radioactive material) in GB</w:t>
      </w:r>
      <w:r w:rsidR="003E1811">
        <w:t xml:space="preserve">. </w:t>
      </w:r>
      <w:r>
        <w:t>The SAPs for Nuclear Facilities provide a framework to guide</w:t>
      </w:r>
      <w:r w:rsidR="00895D4E">
        <w:t xml:space="preserve"> assessment activities, as part of the </w:t>
      </w:r>
      <w:proofErr w:type="spellStart"/>
      <w:r w:rsidR="00895D4E">
        <w:t>permissioning</w:t>
      </w:r>
      <w:proofErr w:type="spellEnd"/>
      <w:r w:rsidR="00895D4E">
        <w:t xml:space="preserve"> process. </w:t>
      </w:r>
      <w:r>
        <w:t xml:space="preserve">ONR’s inspectors use the SAPs, together with the supporting TAGs, to guide regulatory decision-making. The </w:t>
      </w:r>
      <w:r w:rsidR="00E466FB">
        <w:t xml:space="preserve">objective </w:t>
      </w:r>
      <w:r>
        <w:t xml:space="preserve">of an assessment in ONR is to reach an </w:t>
      </w:r>
      <w:r w:rsidR="00825513" w:rsidRPr="00825513">
        <w:rPr>
          <w:b/>
        </w:rPr>
        <w:t>independent</w:t>
      </w:r>
      <w:r w:rsidR="00825513">
        <w:t xml:space="preserve"> </w:t>
      </w:r>
      <w:r>
        <w:t xml:space="preserve">and </w:t>
      </w:r>
      <w:r w:rsidR="00825513" w:rsidRPr="00825513">
        <w:rPr>
          <w:b/>
        </w:rPr>
        <w:t>informed</w:t>
      </w:r>
      <w:r w:rsidR="00825513">
        <w:t xml:space="preserve"> </w:t>
      </w:r>
      <w:r>
        <w:t xml:space="preserve">judgement on the </w:t>
      </w:r>
      <w:r w:rsidR="00825513" w:rsidRPr="00825513">
        <w:rPr>
          <w:b/>
        </w:rPr>
        <w:t>adequacy</w:t>
      </w:r>
      <w:r w:rsidR="00825513">
        <w:t xml:space="preserve"> </w:t>
      </w:r>
      <w:r>
        <w:t>of a nuclear safety cas</w:t>
      </w:r>
      <w:r w:rsidRPr="00CF0564">
        <w:t>e [</w:t>
      </w:r>
      <w:r w:rsidR="00FE2325" w:rsidRPr="00CF0564">
        <w:rPr>
          <w:rStyle w:val="EndnoteReference"/>
        </w:rPr>
        <w:endnoteReference w:id="3"/>
      </w:r>
      <w:r w:rsidRPr="00CF0564">
        <w:t>]. T</w:t>
      </w:r>
      <w:r>
        <w:t>his will involve the use of the inspector’s professional regulatory judgement, within the framework of ONR’s assessment process.</w:t>
      </w:r>
    </w:p>
    <w:p w14:paraId="5F3F4997" w14:textId="1DFB831E" w:rsidR="00AA661E" w:rsidRPr="008865BE" w:rsidRDefault="009D681B" w:rsidP="0002758C">
      <w:pPr>
        <w:pStyle w:val="TSNumberedParagraph11"/>
      </w:pPr>
      <w:r w:rsidRPr="00FC4D9B">
        <w:rPr>
          <w:iCs/>
        </w:rPr>
        <w:t>This TAG contains guidanc</w:t>
      </w:r>
      <w:r>
        <w:rPr>
          <w:iCs/>
        </w:rPr>
        <w:t>e to advise and inform ONR inspectors</w:t>
      </w:r>
      <w:r w:rsidRPr="00FC4D9B">
        <w:rPr>
          <w:iCs/>
        </w:rPr>
        <w:t xml:space="preserve"> in the exerci</w:t>
      </w:r>
      <w:r w:rsidR="00895D4E">
        <w:rPr>
          <w:iCs/>
        </w:rPr>
        <w:t xml:space="preserve">se of their regulatory judgment, and </w:t>
      </w:r>
      <w:r w:rsidR="00895D4E">
        <w:t>to support SAPs</w:t>
      </w:r>
      <w:r w:rsidR="003E1811">
        <w:t xml:space="preserve"> ECH.1 - ECH.4</w:t>
      </w:r>
      <w:r w:rsidR="004A3765">
        <w:t>;</w:t>
      </w:r>
      <w:r w:rsidR="00895D4E">
        <w:t xml:space="preserve"> it provides </w:t>
      </w:r>
      <w:r w:rsidRPr="00FC4D9B">
        <w:t xml:space="preserve">general guidance on the main issues </w:t>
      </w:r>
      <w:r w:rsidR="003E1811" w:rsidRPr="00FC4D9B">
        <w:t>t</w:t>
      </w:r>
      <w:r w:rsidR="003E1811">
        <w:t>hat should</w:t>
      </w:r>
      <w:r w:rsidR="003E1811" w:rsidRPr="00FC4D9B">
        <w:t xml:space="preserve"> </w:t>
      </w:r>
      <w:r w:rsidRPr="00FC4D9B">
        <w:t>be considered by nuclear inspectors in the</w:t>
      </w:r>
      <w:r>
        <w:t>ir</w:t>
      </w:r>
      <w:r w:rsidRPr="00FC4D9B">
        <w:t xml:space="preserve"> assessment of </w:t>
      </w:r>
      <w:r>
        <w:t xml:space="preserve">the chemistry aspects of safety cases for all types of nuclear plant and nuclear </w:t>
      </w:r>
      <w:r w:rsidR="008865BE">
        <w:t>chemical processes</w:t>
      </w:r>
      <w:r>
        <w:t>.</w:t>
      </w:r>
      <w:r w:rsidR="008865BE">
        <w:t xml:space="preserve"> By </w:t>
      </w:r>
      <w:r w:rsidR="00AA661E" w:rsidRPr="008865BE">
        <w:t>following this guidance</w:t>
      </w:r>
      <w:r w:rsidR="00AD071D">
        <w:t>,</w:t>
      </w:r>
      <w:r w:rsidR="00AA661E" w:rsidRPr="008865BE">
        <w:t xml:space="preserve"> the inspector will be able to:</w:t>
      </w:r>
    </w:p>
    <w:p w14:paraId="5F3F4998" w14:textId="4EE89D41" w:rsidR="00AA661E" w:rsidRDefault="004A3765" w:rsidP="00CF2599">
      <w:pPr>
        <w:pStyle w:val="TSBullet1Square"/>
      </w:pPr>
      <w:r>
        <w:t>u</w:t>
      </w:r>
      <w:r w:rsidR="00AA661E">
        <w:t>nderstand the objectives of the chemistry SAPs and their appl</w:t>
      </w:r>
      <w:r w:rsidR="00A8002E">
        <w:t>ication to chemistry assessment</w:t>
      </w:r>
      <w:r>
        <w:t>;</w:t>
      </w:r>
    </w:p>
    <w:p w14:paraId="5F3F4999" w14:textId="4CE5A6AC" w:rsidR="00AA661E" w:rsidRDefault="004A3765" w:rsidP="00CF2599">
      <w:pPr>
        <w:pStyle w:val="TSBullet1Square"/>
      </w:pPr>
      <w:r>
        <w:t>u</w:t>
      </w:r>
      <w:r w:rsidR="00AA661E">
        <w:t xml:space="preserve">nderstand where chemistry assessment interfaces with other technical disciplines in ONR </w:t>
      </w:r>
      <w:r w:rsidR="008865BE">
        <w:t xml:space="preserve">or other regulatory bodies, </w:t>
      </w:r>
      <w:r w:rsidR="00895D4E">
        <w:t xml:space="preserve">and the breadth and depth of a potential </w:t>
      </w:r>
      <w:r w:rsidR="00AA661E">
        <w:t>chemistry assessment;</w:t>
      </w:r>
      <w:r w:rsidR="006A4CF4">
        <w:t xml:space="preserve"> and</w:t>
      </w:r>
    </w:p>
    <w:p w14:paraId="5F3F499A" w14:textId="2137E915" w:rsidR="00AA661E" w:rsidRDefault="004A3765" w:rsidP="00CF2599">
      <w:pPr>
        <w:pStyle w:val="TSBullet1Square"/>
      </w:pPr>
      <w:r>
        <w:t>a</w:t>
      </w:r>
      <w:r w:rsidR="00AA661E">
        <w:t>ccess more detailed technical information regarding the influence of chemistry on specific hazards</w:t>
      </w:r>
      <w:r w:rsidR="00825513">
        <w:t>.</w:t>
      </w:r>
    </w:p>
    <w:p w14:paraId="5F3F499B" w14:textId="77777777" w:rsidR="002A59A7" w:rsidRDefault="002A59A7" w:rsidP="002A59A7"/>
    <w:p w14:paraId="5F3F499C" w14:textId="77777777" w:rsidR="00E85AAE" w:rsidRDefault="008865BE" w:rsidP="0002758C">
      <w:pPr>
        <w:pStyle w:val="TSNumberedParagraph11"/>
      </w:pPr>
      <w:r>
        <w:t>C</w:t>
      </w:r>
      <w:r w:rsidR="009D681B">
        <w:t xml:space="preserve">hemistry assessment </w:t>
      </w:r>
      <w:r>
        <w:t>is a broad topic</w:t>
      </w:r>
      <w:r w:rsidR="00825513">
        <w:t>.</w:t>
      </w:r>
      <w:r>
        <w:t xml:space="preserve"> </w:t>
      </w:r>
      <w:r w:rsidR="00825513">
        <w:t>T</w:t>
      </w:r>
      <w:r>
        <w:t xml:space="preserve">he assessment of the chemistry </w:t>
      </w:r>
      <w:r w:rsidR="009D681B">
        <w:t>of operating civil nuclear reactors is a particular specialist application of chemistry, and is therefore dealt with in a separate, but synergistic TAG on the topic - Chemistry of Operating Civil Nuclear Reactors</w:t>
      </w:r>
      <w:r w:rsidR="00825513">
        <w:t xml:space="preserve"> [</w:t>
      </w:r>
      <w:bookmarkStart w:id="5" w:name="_Ref447275804"/>
      <w:r w:rsidR="00825513">
        <w:rPr>
          <w:rStyle w:val="EndnoteReference"/>
        </w:rPr>
        <w:endnoteReference w:id="4"/>
      </w:r>
      <w:bookmarkEnd w:id="5"/>
      <w:r w:rsidR="00825513">
        <w:t xml:space="preserve">]. </w:t>
      </w:r>
      <w:r w:rsidR="00921D3A" w:rsidRPr="00E85AAE">
        <w:rPr>
          <w:szCs w:val="22"/>
        </w:rPr>
        <w:t xml:space="preserve">This TAG </w:t>
      </w:r>
      <w:r w:rsidR="009D681B" w:rsidRPr="00E85AAE">
        <w:rPr>
          <w:szCs w:val="22"/>
        </w:rPr>
        <w:t xml:space="preserve">aims to provide more generic advice on the assessment of chemistry aspects of safety cases </w:t>
      </w:r>
      <w:r w:rsidR="009D681B">
        <w:t>and as such is broader in scope.</w:t>
      </w:r>
      <w:r w:rsidR="00E85AAE">
        <w:t xml:space="preserve"> Chemistry assessment can also have an important underpinning and supporting role to assessments in other </w:t>
      </w:r>
      <w:proofErr w:type="spellStart"/>
      <w:r w:rsidR="00E85AAE">
        <w:t>specia</w:t>
      </w:r>
      <w:r w:rsidR="00DB4353">
        <w:t>lisms</w:t>
      </w:r>
      <w:proofErr w:type="spellEnd"/>
      <w:r w:rsidR="00DB4353">
        <w:t xml:space="preserve">, as discussed further in </w:t>
      </w:r>
      <w:r w:rsidR="00E85AAE">
        <w:t xml:space="preserve">paragraph </w:t>
      </w:r>
      <w:r w:rsidR="0052667E">
        <w:fldChar w:fldCharType="begin"/>
      </w:r>
      <w:r w:rsidR="0052667E">
        <w:instrText xml:space="preserve"> REF interfaces \r </w:instrText>
      </w:r>
      <w:r w:rsidR="0052667E">
        <w:fldChar w:fldCharType="separate"/>
      </w:r>
      <w:r w:rsidR="00C23519">
        <w:t>5.4</w:t>
      </w:r>
      <w:r w:rsidR="0052667E">
        <w:fldChar w:fldCharType="end"/>
      </w:r>
      <w:r w:rsidR="00E85AAE">
        <w:t xml:space="preserve"> onwards.</w:t>
      </w:r>
    </w:p>
    <w:p w14:paraId="5F3F499D" w14:textId="24F8288C" w:rsidR="003E1811" w:rsidRDefault="009D681B" w:rsidP="002B207C">
      <w:pPr>
        <w:pStyle w:val="TSNumberedParagraph11"/>
      </w:pPr>
      <w:r w:rsidRPr="006C6DFA">
        <w:t>This TAG</w:t>
      </w:r>
      <w:r w:rsidR="006C6DFA" w:rsidRPr="006C6DFA">
        <w:t xml:space="preserve"> is </w:t>
      </w:r>
      <w:r w:rsidR="00227A59" w:rsidRPr="006C6DFA">
        <w:t xml:space="preserve">applicable to </w:t>
      </w:r>
      <w:r w:rsidR="006C6DFA" w:rsidRPr="006C6DFA">
        <w:t xml:space="preserve">new and existing nuclear facilities throughout </w:t>
      </w:r>
      <w:r w:rsidR="006F0E61">
        <w:t xml:space="preserve">their </w:t>
      </w:r>
      <w:r w:rsidR="006C6DFA" w:rsidRPr="006C6DFA">
        <w:t xml:space="preserve">design, construction, </w:t>
      </w:r>
      <w:r w:rsidRPr="006C6DFA">
        <w:t>commissioni</w:t>
      </w:r>
      <w:r w:rsidR="006C6DFA" w:rsidRPr="006C6DFA">
        <w:t xml:space="preserve">ng and </w:t>
      </w:r>
      <w:r w:rsidRPr="006C6DFA">
        <w:t xml:space="preserve">eventual decommissioning. Similarly, the principles described in this guide are applicable through all </w:t>
      </w:r>
      <w:r w:rsidR="006C6DFA" w:rsidRPr="006C6DFA">
        <w:t xml:space="preserve">the </w:t>
      </w:r>
      <w:r w:rsidRPr="006C6DFA">
        <w:t>modes of operation</w:t>
      </w:r>
      <w:r w:rsidR="006C6DFA" w:rsidRPr="006C6DFA">
        <w:t xml:space="preserve"> of a nuclear facility, including normal operations, </w:t>
      </w:r>
      <w:r w:rsidR="00802228" w:rsidRPr="006C6DFA">
        <w:t>fault conditions</w:t>
      </w:r>
      <w:r w:rsidR="006C6DFA" w:rsidRPr="006C6DFA">
        <w:t xml:space="preserve"> and severe accidents. </w:t>
      </w:r>
    </w:p>
    <w:p w14:paraId="5F3F499E" w14:textId="77777777" w:rsidR="00CC0D54" w:rsidRDefault="00900D38" w:rsidP="00DB66C9">
      <w:pPr>
        <w:pStyle w:val="TSNumberedParagraph11"/>
      </w:pPr>
      <w:r>
        <w:t>The guidance</w:t>
      </w:r>
      <w:r w:rsidR="00330715">
        <w:t xml:space="preserve"> to inspectors given</w:t>
      </w:r>
      <w:r w:rsidR="00DB66C9">
        <w:t xml:space="preserve"> in Section 5 onwards first</w:t>
      </w:r>
      <w:r w:rsidR="00895D4E">
        <w:t>ly provides general advice,</w:t>
      </w:r>
      <w:r w:rsidR="00DB66C9">
        <w:t xml:space="preserve"> </w:t>
      </w:r>
      <w:r w:rsidR="00895D4E">
        <w:t xml:space="preserve">then </w:t>
      </w:r>
      <w:r w:rsidR="00E85AAE">
        <w:t>consider</w:t>
      </w:r>
      <w:r w:rsidR="00DB66C9">
        <w:t>s</w:t>
      </w:r>
      <w:r w:rsidR="00E85AAE">
        <w:t xml:space="preserve"> the chemis</w:t>
      </w:r>
      <w:r w:rsidR="00895D4E">
        <w:t>try SAPs</w:t>
      </w:r>
      <w:r w:rsidR="00DB66C9">
        <w:t xml:space="preserve">, and finally </w:t>
      </w:r>
      <w:r w:rsidR="00CC0D54">
        <w:t>provid</w:t>
      </w:r>
      <w:r w:rsidR="00B91B1A">
        <w:t>es</w:t>
      </w:r>
      <w:r w:rsidR="00CC0D54">
        <w:t xml:space="preserve"> </w:t>
      </w:r>
      <w:r w:rsidR="00895D4E">
        <w:t xml:space="preserve">more specific </w:t>
      </w:r>
      <w:r w:rsidR="004A4BF9">
        <w:t>guidance</w:t>
      </w:r>
      <w:r w:rsidR="002B207C">
        <w:t xml:space="preserve"> </w:t>
      </w:r>
      <w:r w:rsidR="004A4BF9">
        <w:t xml:space="preserve">on </w:t>
      </w:r>
      <w:r w:rsidR="00CC0D54">
        <w:t>aspects of:</w:t>
      </w:r>
    </w:p>
    <w:p w14:paraId="5F3F499F" w14:textId="77777777" w:rsidR="00CC0D54" w:rsidRDefault="004A4BF9" w:rsidP="00DB4353">
      <w:pPr>
        <w:pStyle w:val="TSBullet1Square"/>
      </w:pPr>
      <w:r>
        <w:t xml:space="preserve">chemical reaction </w:t>
      </w:r>
      <w:r w:rsidR="00DB66C9">
        <w:t>hazards</w:t>
      </w:r>
      <w:r w:rsidR="002B207C">
        <w:t>;</w:t>
      </w:r>
    </w:p>
    <w:p w14:paraId="5F3F49A0" w14:textId="77777777" w:rsidR="00CC0D54" w:rsidRDefault="004A4BF9" w:rsidP="00DB4353">
      <w:pPr>
        <w:pStyle w:val="TSBullet1Square"/>
      </w:pPr>
      <w:r>
        <w:t xml:space="preserve">the </w:t>
      </w:r>
      <w:r w:rsidR="003E1811">
        <w:t xml:space="preserve">effects </w:t>
      </w:r>
      <w:r>
        <w:t xml:space="preserve">of chemistry on </w:t>
      </w:r>
      <w:r w:rsidR="00DB66C9">
        <w:t>radiation exposure and criticality</w:t>
      </w:r>
      <w:r w:rsidR="002B207C">
        <w:t>;</w:t>
      </w:r>
    </w:p>
    <w:p w14:paraId="5F3F49A1" w14:textId="77777777" w:rsidR="00CC0D54" w:rsidRDefault="004A4BF9" w:rsidP="00DB4353">
      <w:pPr>
        <w:pStyle w:val="TSBullet1Square"/>
      </w:pPr>
      <w:r>
        <w:t xml:space="preserve">the </w:t>
      </w:r>
      <w:r w:rsidR="003E1811">
        <w:t xml:space="preserve">effects </w:t>
      </w:r>
      <w:r>
        <w:t xml:space="preserve">of chemistry on </w:t>
      </w:r>
      <w:r w:rsidR="00DB66C9">
        <w:t>corrosion and material degradation</w:t>
      </w:r>
      <w:r w:rsidR="00734983">
        <w:t>; and</w:t>
      </w:r>
      <w:r w:rsidR="00DB66C9">
        <w:t xml:space="preserve"> </w:t>
      </w:r>
    </w:p>
    <w:p w14:paraId="5F3F49A2" w14:textId="77777777" w:rsidR="00330715" w:rsidRDefault="004A4BF9" w:rsidP="00DB4353">
      <w:pPr>
        <w:pStyle w:val="TSBullet1Square"/>
      </w:pPr>
      <w:r>
        <w:lastRenderedPageBreak/>
        <w:t xml:space="preserve">the </w:t>
      </w:r>
      <w:r w:rsidR="003E1811">
        <w:t xml:space="preserve">effects </w:t>
      </w:r>
      <w:r>
        <w:t xml:space="preserve">of chemistry on </w:t>
      </w:r>
      <w:r w:rsidR="00DB66C9" w:rsidRPr="00DB66C9">
        <w:t>control of nuclear matter, radioactive material and radioactive waste</w:t>
      </w:r>
      <w:r w:rsidR="002B207C">
        <w:t>.</w:t>
      </w:r>
    </w:p>
    <w:p w14:paraId="5F3F49A3" w14:textId="77777777" w:rsidR="002A59A7" w:rsidRPr="006C6DFA" w:rsidRDefault="002A59A7" w:rsidP="002A59A7"/>
    <w:p w14:paraId="5F3F49A4" w14:textId="77777777" w:rsidR="006C6DFA" w:rsidRPr="00593FA7" w:rsidRDefault="00802228" w:rsidP="0002758C">
      <w:pPr>
        <w:pStyle w:val="TSNumberedParagraph11"/>
      </w:pPr>
      <w:r w:rsidRPr="00593FA7">
        <w:t>There are</w:t>
      </w:r>
      <w:r w:rsidR="003E036A" w:rsidRPr="00593FA7">
        <w:t xml:space="preserve"> also</w:t>
      </w:r>
      <w:r w:rsidR="00E346A0" w:rsidRPr="00593FA7">
        <w:t xml:space="preserve"> </w:t>
      </w:r>
      <w:r w:rsidR="00CC0D54">
        <w:t>four a</w:t>
      </w:r>
      <w:r w:rsidR="00CC0D54" w:rsidRPr="00593FA7">
        <w:t>ppendices</w:t>
      </w:r>
      <w:r w:rsidR="00CC0D54">
        <w:t>,</w:t>
      </w:r>
      <w:r w:rsidRPr="00593FA7">
        <w:t xml:space="preserve"> which </w:t>
      </w:r>
      <w:r w:rsidR="006C6DFA" w:rsidRPr="00593FA7">
        <w:t xml:space="preserve">provide further information: </w:t>
      </w:r>
    </w:p>
    <w:p w14:paraId="5F3F49A5" w14:textId="77777777" w:rsidR="00444549" w:rsidRDefault="00B82140" w:rsidP="00CF2599">
      <w:pPr>
        <w:pStyle w:val="TSBullet1Square"/>
      </w:pPr>
      <w:r w:rsidRPr="00A8002E">
        <w:rPr>
          <w:b/>
        </w:rPr>
        <w:t>Appendix 1</w:t>
      </w:r>
      <w:r w:rsidR="00A8002E" w:rsidRPr="00A8002E">
        <w:rPr>
          <w:b/>
        </w:rPr>
        <w:t>:</w:t>
      </w:r>
      <w:r w:rsidR="00B20BD0">
        <w:t xml:space="preserve"> </w:t>
      </w:r>
      <w:r w:rsidR="006C6DFA" w:rsidRPr="00B301C8">
        <w:t>Chemistry interfaces, cross-cutting topics and relevant ONR TAGs</w:t>
      </w:r>
      <w:r w:rsidR="00A8002E">
        <w:t>.</w:t>
      </w:r>
    </w:p>
    <w:p w14:paraId="5F3F49A6" w14:textId="77777777" w:rsidR="00004826" w:rsidRPr="0097027D" w:rsidRDefault="00004826" w:rsidP="00004826">
      <w:pPr>
        <w:pStyle w:val="TSBullet1Square"/>
      </w:pPr>
      <w:r w:rsidRPr="0097027D">
        <w:rPr>
          <w:b/>
        </w:rPr>
        <w:t>Appendix 2</w:t>
      </w:r>
      <w:r w:rsidR="00A8002E" w:rsidRPr="0097027D">
        <w:rPr>
          <w:b/>
        </w:rPr>
        <w:t>:</w:t>
      </w:r>
      <w:r w:rsidRPr="0097027D">
        <w:t xml:space="preserve"> </w:t>
      </w:r>
      <w:proofErr w:type="spellStart"/>
      <w:r w:rsidRPr="0097027D">
        <w:t>Physico</w:t>
      </w:r>
      <w:proofErr w:type="spellEnd"/>
      <w:r w:rsidRPr="0097027D">
        <w:t>-chemical phenomena in the assessment of radiological consequences for accident source terms</w:t>
      </w:r>
      <w:r w:rsidR="00185FC5">
        <w:t>.</w:t>
      </w:r>
    </w:p>
    <w:p w14:paraId="5F3F49A7" w14:textId="77777777" w:rsidR="00004826" w:rsidRDefault="00A8002E" w:rsidP="00004826">
      <w:pPr>
        <w:pStyle w:val="TSBullet1Square"/>
      </w:pPr>
      <w:r w:rsidRPr="00A8002E">
        <w:rPr>
          <w:b/>
        </w:rPr>
        <w:t>Appendix 3:</w:t>
      </w:r>
      <w:r>
        <w:t xml:space="preserve"> </w:t>
      </w:r>
      <w:r w:rsidR="00004826">
        <w:t>Material, chemical and radiochemical sampling and analysis</w:t>
      </w:r>
      <w:r>
        <w:t>.</w:t>
      </w:r>
    </w:p>
    <w:p w14:paraId="5F3F49A8" w14:textId="77777777" w:rsidR="00B82140" w:rsidRPr="00B301C8" w:rsidRDefault="00A8002E" w:rsidP="00004826">
      <w:pPr>
        <w:pStyle w:val="TSBullet1Square"/>
      </w:pPr>
      <w:r w:rsidRPr="00A8002E">
        <w:rPr>
          <w:b/>
        </w:rPr>
        <w:t>Appendix 4:</w:t>
      </w:r>
      <w:r>
        <w:t xml:space="preserve"> </w:t>
      </w:r>
      <w:r w:rsidR="00004826">
        <w:t>The influence of chemistry effects on combustible gases.</w:t>
      </w:r>
    </w:p>
    <w:p w14:paraId="5F3F49A9" w14:textId="77777777" w:rsidR="002A59A7" w:rsidRPr="002A59A7" w:rsidRDefault="002A59A7" w:rsidP="002A59A7"/>
    <w:p w14:paraId="5F3F49AA" w14:textId="77777777" w:rsidR="009B5159" w:rsidRPr="00B301C8" w:rsidRDefault="009D681B" w:rsidP="0002758C">
      <w:pPr>
        <w:pStyle w:val="TSNumberedParagraph11"/>
      </w:pPr>
      <w:r w:rsidRPr="006968CF">
        <w:t>Comments on this guide, and suggestions for future revisions, should be recorded as per ONR procedures.</w:t>
      </w:r>
    </w:p>
    <w:p w14:paraId="5F3F49AB" w14:textId="77777777" w:rsidR="009B5159" w:rsidRPr="00A51D6E" w:rsidRDefault="009B5159" w:rsidP="0002758C">
      <w:pPr>
        <w:pStyle w:val="TSHeadingLevel1Numbered"/>
      </w:pPr>
      <w:bookmarkStart w:id="6" w:name="_Toc447189484"/>
      <w:bookmarkStart w:id="7" w:name="_Toc61505471"/>
      <w:r w:rsidRPr="00A51D6E">
        <w:t>RELATIONSHIP TO LICENCE AND OTHER RELEVANT LEGISLATION</w:t>
      </w:r>
      <w:bookmarkEnd w:id="6"/>
      <w:bookmarkEnd w:id="7"/>
    </w:p>
    <w:p w14:paraId="5F3F49AC" w14:textId="77777777" w:rsidR="00C13A95" w:rsidRPr="00A94FB0" w:rsidRDefault="006F781B" w:rsidP="0002758C">
      <w:pPr>
        <w:pStyle w:val="TSHeadingLevel2"/>
      </w:pPr>
      <w:r w:rsidRPr="00C13A95">
        <w:t>Site Licence Conditions</w:t>
      </w:r>
    </w:p>
    <w:p w14:paraId="5F3F49AD" w14:textId="77777777" w:rsidR="009D681B" w:rsidRDefault="009D681B" w:rsidP="0002758C">
      <w:pPr>
        <w:pStyle w:val="TSNumberedParagraph11"/>
      </w:pPr>
      <w:r>
        <w:t>Th</w:t>
      </w:r>
      <w:r w:rsidR="006E4C3B">
        <w:t>e standard conditions a</w:t>
      </w:r>
      <w:r w:rsidR="00D60024">
        <w:t>ttached to a nuclear site licenc</w:t>
      </w:r>
      <w:r w:rsidR="006E4C3B">
        <w:t xml:space="preserve">e </w:t>
      </w:r>
      <w:r>
        <w:t>are described in</w:t>
      </w:r>
      <w:r w:rsidR="00004826">
        <w:t xml:space="preserve"> [</w:t>
      </w:r>
      <w:r w:rsidR="00004826">
        <w:rPr>
          <w:rStyle w:val="EndnoteReference"/>
        </w:rPr>
        <w:endnoteReference w:id="5"/>
      </w:r>
      <w:r w:rsidR="00004826">
        <w:t>].</w:t>
      </w:r>
      <w:r w:rsidR="00D60024">
        <w:t xml:space="preserve"> The majority of Licenc</w:t>
      </w:r>
      <w:r w:rsidR="006E4C3B">
        <w:t>e C</w:t>
      </w:r>
      <w:r>
        <w:t>onditions</w:t>
      </w:r>
      <w:r w:rsidR="006E4C3B">
        <w:t xml:space="preserve"> (LCs)</w:t>
      </w:r>
      <w:r>
        <w:t xml:space="preserve"> are potentially</w:t>
      </w:r>
      <w:r w:rsidR="001E01CE">
        <w:t xml:space="preserve"> relevant to</w:t>
      </w:r>
      <w:r w:rsidR="006E4C3B">
        <w:t xml:space="preserve"> chemistry and its consequential impact on hazards</w:t>
      </w:r>
      <w:r w:rsidR="00B91B1A">
        <w:t>;</w:t>
      </w:r>
      <w:r>
        <w:t xml:space="preserve"> how</w:t>
      </w:r>
      <w:r w:rsidR="004A4BF9">
        <w:t xml:space="preserve">ever, the following are generally the </w:t>
      </w:r>
      <w:r w:rsidR="006E4C3B">
        <w:t>most relevant</w:t>
      </w:r>
      <w:r>
        <w:t>:</w:t>
      </w:r>
    </w:p>
    <w:p w14:paraId="5F3F49AE" w14:textId="77777777" w:rsidR="00225296" w:rsidRPr="00225296" w:rsidRDefault="00225296" w:rsidP="00CF2599">
      <w:pPr>
        <w:pStyle w:val="TSBullet1Square"/>
      </w:pPr>
      <w:r w:rsidRPr="00225296">
        <w:rPr>
          <w:b/>
        </w:rPr>
        <w:t>Licence Condition 7: Incidents on the Site</w:t>
      </w:r>
      <w:r w:rsidR="00EA1BDF">
        <w:t xml:space="preserve"> – r</w:t>
      </w:r>
      <w:r>
        <w:t>ecords should be kept where a loss of chemistry control has led to consequential hazards</w:t>
      </w:r>
      <w:r w:rsidR="00E07771">
        <w:t xml:space="preserve"> or risks</w:t>
      </w:r>
      <w:r>
        <w:t xml:space="preserve">. </w:t>
      </w:r>
    </w:p>
    <w:p w14:paraId="5F3F49AF" w14:textId="77777777" w:rsidR="009D681B" w:rsidRPr="00225296" w:rsidRDefault="009D681B" w:rsidP="00CF2599">
      <w:pPr>
        <w:pStyle w:val="TSBullet1Square"/>
      </w:pPr>
      <w:r w:rsidRPr="00225296">
        <w:rPr>
          <w:b/>
        </w:rPr>
        <w:t>Licence Condition 14: Safety Documentation</w:t>
      </w:r>
      <w:r w:rsidRPr="00225296">
        <w:t xml:space="preserve"> –</w:t>
      </w:r>
      <w:r w:rsidR="00EA1BDF">
        <w:t xml:space="preserve"> t</w:t>
      </w:r>
      <w:r w:rsidR="00004826">
        <w:t>o satisfy t</w:t>
      </w:r>
      <w:r w:rsidR="00225296" w:rsidRPr="00225296">
        <w:t xml:space="preserve">his condition chemistry </w:t>
      </w:r>
      <w:r w:rsidR="00004826">
        <w:t>should</w:t>
      </w:r>
      <w:r w:rsidR="00004826" w:rsidRPr="00225296">
        <w:t xml:space="preserve"> </w:t>
      </w:r>
      <w:r w:rsidR="00225296" w:rsidRPr="00225296">
        <w:t>be considered for new plant or processes</w:t>
      </w:r>
      <w:r w:rsidRPr="00225296">
        <w:t xml:space="preserve">. </w:t>
      </w:r>
      <w:r w:rsidR="00225296" w:rsidRPr="00225296">
        <w:t xml:space="preserve">Chemistry requirements for all </w:t>
      </w:r>
      <w:r w:rsidRPr="00225296">
        <w:t>relevant ph</w:t>
      </w:r>
      <w:r w:rsidR="00225296" w:rsidRPr="00225296">
        <w:t>ase</w:t>
      </w:r>
      <w:r w:rsidR="003A1D95">
        <w:t>s</w:t>
      </w:r>
      <w:r w:rsidR="00225296" w:rsidRPr="00225296">
        <w:t xml:space="preserve"> of operations should be considered </w:t>
      </w:r>
      <w:r w:rsidRPr="00225296">
        <w:t>(</w:t>
      </w:r>
      <w:r w:rsidR="00E1197D">
        <w:t>i.e.</w:t>
      </w:r>
      <w:r w:rsidRPr="00225296">
        <w:t xml:space="preserve"> design, construction, manufacture, commissioning, </w:t>
      </w:r>
      <w:r w:rsidR="00D614D1">
        <w:t xml:space="preserve">maintenance, </w:t>
      </w:r>
      <w:r w:rsidRPr="00225296">
        <w:t xml:space="preserve">operation </w:t>
      </w:r>
      <w:r w:rsidR="00185FC5">
        <w:t>and</w:t>
      </w:r>
      <w:r w:rsidR="00185FC5" w:rsidRPr="00225296">
        <w:t xml:space="preserve"> </w:t>
      </w:r>
      <w:r w:rsidRPr="00225296">
        <w:t>decommissioning).</w:t>
      </w:r>
    </w:p>
    <w:p w14:paraId="5F3F49B0" w14:textId="77777777" w:rsidR="009D681B" w:rsidRPr="001622CD" w:rsidRDefault="009D681B" w:rsidP="00CF2599">
      <w:pPr>
        <w:pStyle w:val="TSBullet1Square"/>
      </w:pPr>
      <w:r w:rsidRPr="001622CD">
        <w:rPr>
          <w:b/>
        </w:rPr>
        <w:t>Licence Condition 15: Periodic Review –</w:t>
      </w:r>
      <w:r w:rsidRPr="001622CD">
        <w:t xml:space="preserve"> </w:t>
      </w:r>
      <w:r w:rsidR="00EA1BDF">
        <w:t>t</w:t>
      </w:r>
      <w:r w:rsidR="00004826">
        <w:t>o satisfy t</w:t>
      </w:r>
      <w:r w:rsidR="001622CD" w:rsidRPr="001622CD">
        <w:t xml:space="preserve">his condition chemistry </w:t>
      </w:r>
      <w:r w:rsidR="00004826">
        <w:t>should</w:t>
      </w:r>
      <w:r w:rsidR="00004826" w:rsidRPr="001622CD">
        <w:t xml:space="preserve"> </w:t>
      </w:r>
      <w:r w:rsidR="001622CD" w:rsidRPr="001622CD">
        <w:t xml:space="preserve">be considered for </w:t>
      </w:r>
      <w:r w:rsidR="00185FC5">
        <w:t>both</w:t>
      </w:r>
      <w:r w:rsidR="00185FC5" w:rsidRPr="001622CD">
        <w:t xml:space="preserve"> </w:t>
      </w:r>
      <w:r w:rsidR="001622CD" w:rsidRPr="001622CD">
        <w:t>plant</w:t>
      </w:r>
      <w:r w:rsidR="00225296">
        <w:t xml:space="preserve"> </w:t>
      </w:r>
      <w:r w:rsidR="00185FC5">
        <w:t xml:space="preserve">and </w:t>
      </w:r>
      <w:r w:rsidR="00225296">
        <w:t>processes</w:t>
      </w:r>
      <w:r w:rsidR="001622CD" w:rsidRPr="001622CD">
        <w:t>. Periodic re</w:t>
      </w:r>
      <w:r w:rsidR="004A4BF9">
        <w:t>views should consider chemistry as appropriate</w:t>
      </w:r>
      <w:r w:rsidR="00A51D6E" w:rsidRPr="001622CD">
        <w:t>.</w:t>
      </w:r>
    </w:p>
    <w:p w14:paraId="5F3F49B1" w14:textId="77777777" w:rsidR="009D681B" w:rsidRPr="001622CD" w:rsidRDefault="009D681B" w:rsidP="00CF2599">
      <w:pPr>
        <w:pStyle w:val="TSBullet1Square"/>
      </w:pPr>
      <w:r w:rsidRPr="001622CD">
        <w:rPr>
          <w:b/>
        </w:rPr>
        <w:t>Licence Condition 22: Modification or Experiment on Existing Plant</w:t>
      </w:r>
      <w:r w:rsidRPr="001622CD">
        <w:t xml:space="preserve"> – </w:t>
      </w:r>
      <w:r w:rsidR="00EA1BDF">
        <w:t>a</w:t>
      </w:r>
      <w:r w:rsidR="009140C5" w:rsidRPr="001622CD">
        <w:t>ny modification</w:t>
      </w:r>
      <w:r w:rsidR="001622CD" w:rsidRPr="001622CD">
        <w:t xml:space="preserve"> </w:t>
      </w:r>
      <w:r w:rsidR="001622CD">
        <w:t xml:space="preserve">to, </w:t>
      </w:r>
      <w:r w:rsidR="001622CD" w:rsidRPr="001622CD">
        <w:t xml:space="preserve">or experiment on </w:t>
      </w:r>
      <w:r w:rsidR="009140C5" w:rsidRPr="001622CD">
        <w:t xml:space="preserve">an item of </w:t>
      </w:r>
      <w:r w:rsidR="001622CD" w:rsidRPr="001622CD">
        <w:t xml:space="preserve">existing </w:t>
      </w:r>
      <w:r w:rsidR="009140C5" w:rsidRPr="001622CD">
        <w:t>plant t</w:t>
      </w:r>
      <w:r w:rsidR="001622CD" w:rsidRPr="001622CD">
        <w:t>hat may impact the chemical environment</w:t>
      </w:r>
      <w:r w:rsidR="001622CD">
        <w:t xml:space="preserve">, </w:t>
      </w:r>
      <w:r w:rsidR="001622CD" w:rsidRPr="001622CD">
        <w:t>or</w:t>
      </w:r>
      <w:r w:rsidR="001622CD">
        <w:t xml:space="preserve"> </w:t>
      </w:r>
      <w:r w:rsidR="001622CD" w:rsidRPr="001622CD">
        <w:t>the claims made on chemistry in the safety case</w:t>
      </w:r>
      <w:r w:rsidR="001622CD">
        <w:t>,</w:t>
      </w:r>
      <w:r w:rsidR="001622CD" w:rsidRPr="001622CD">
        <w:t xml:space="preserve"> should be adequately considered and justified. </w:t>
      </w:r>
    </w:p>
    <w:p w14:paraId="5F3F49B2" w14:textId="2BC94194" w:rsidR="00225296" w:rsidRDefault="009D681B" w:rsidP="00CF2599">
      <w:pPr>
        <w:pStyle w:val="TSBullet1Square"/>
      </w:pPr>
      <w:r w:rsidRPr="00225296">
        <w:rPr>
          <w:b/>
        </w:rPr>
        <w:t>Licence Condition 23: Operating Rules</w:t>
      </w:r>
      <w:r w:rsidRPr="00225296">
        <w:t xml:space="preserve"> – </w:t>
      </w:r>
      <w:r w:rsidR="00EA1BDF">
        <w:t>f</w:t>
      </w:r>
      <w:r w:rsidR="009F3D22" w:rsidRPr="00225296">
        <w:t>or all types of plant where control of chemistry is essential for mai</w:t>
      </w:r>
      <w:r w:rsidR="003A1D95">
        <w:t>ntaining a safe operating envelope</w:t>
      </w:r>
      <w:r w:rsidR="009F3D22" w:rsidRPr="00225296">
        <w:t>, appropriate controls should be sp</w:t>
      </w:r>
      <w:r w:rsidR="00225296" w:rsidRPr="00225296">
        <w:t>ecified. This should include any chemistry</w:t>
      </w:r>
      <w:r w:rsidR="00716E3A">
        <w:t>-</w:t>
      </w:r>
      <w:r w:rsidR="00225296" w:rsidRPr="00225296">
        <w:t>based limits or conditions</w:t>
      </w:r>
      <w:r w:rsidR="009F3D22" w:rsidRPr="00225296">
        <w:t xml:space="preserve">. </w:t>
      </w:r>
      <w:r w:rsidR="00225296" w:rsidRPr="00225296">
        <w:t>Depending on the relative importance of the chemistry</w:t>
      </w:r>
      <w:r w:rsidR="00716E3A">
        <w:t>-</w:t>
      </w:r>
      <w:r w:rsidR="00225296" w:rsidRPr="00225296">
        <w:t xml:space="preserve">based limits and conditions to maintaining overall nuclear safety for the </w:t>
      </w:r>
      <w:r w:rsidR="004A4BF9">
        <w:t xml:space="preserve">plant or </w:t>
      </w:r>
      <w:r w:rsidR="00EA1BDF">
        <w:t>process;</w:t>
      </w:r>
      <w:r w:rsidR="004A4BF9">
        <w:t xml:space="preserve"> these should feature in the hierarchy of safety case documentation, as appropriate</w:t>
      </w:r>
      <w:r w:rsidR="00225296" w:rsidRPr="00225296">
        <w:t>.</w:t>
      </w:r>
    </w:p>
    <w:p w14:paraId="5F3F49B3" w14:textId="77777777" w:rsidR="001F7E58" w:rsidRPr="006E4C3B" w:rsidRDefault="001F7E58" w:rsidP="00CF2599">
      <w:pPr>
        <w:pStyle w:val="TSBullet1Square"/>
      </w:pPr>
      <w:r>
        <w:rPr>
          <w:b/>
        </w:rPr>
        <w:t xml:space="preserve">Licence Condition 25: Operational Records </w:t>
      </w:r>
      <w:r w:rsidR="00EA1BDF">
        <w:t>– o</w:t>
      </w:r>
      <w:r w:rsidRPr="006E4C3B">
        <w:t>perational rec</w:t>
      </w:r>
      <w:r w:rsidR="006E4C3B" w:rsidRPr="006E4C3B">
        <w:t xml:space="preserve">ords of the key chemistry </w:t>
      </w:r>
      <w:r w:rsidRPr="006E4C3B">
        <w:t>para</w:t>
      </w:r>
      <w:r w:rsidR="006E4C3B" w:rsidRPr="006E4C3B">
        <w:t xml:space="preserve">meters which must be </w:t>
      </w:r>
      <w:r w:rsidRPr="006E4C3B">
        <w:t xml:space="preserve">controlled to maintain nuclear safety should be collated and maintained. This </w:t>
      </w:r>
      <w:r w:rsidR="006E4C3B" w:rsidRPr="006E4C3B">
        <w:t xml:space="preserve">should </w:t>
      </w:r>
      <w:r w:rsidR="006E4C3B">
        <w:t xml:space="preserve">include </w:t>
      </w:r>
      <w:r w:rsidR="006E4C3B" w:rsidRPr="006E4C3B">
        <w:t xml:space="preserve">data from </w:t>
      </w:r>
      <w:r w:rsidR="006E4C3B">
        <w:t xml:space="preserve">systems which </w:t>
      </w:r>
      <w:r w:rsidR="006E4C3B" w:rsidRPr="006E4C3B">
        <w:t>automa</w:t>
      </w:r>
      <w:r w:rsidR="006E4C3B">
        <w:t>tically acquire</w:t>
      </w:r>
      <w:r w:rsidR="006E4C3B" w:rsidRPr="006E4C3B">
        <w:t xml:space="preserve"> and process data and the requirement to manage information from manual sampling points and the results of laboratory analyses. </w:t>
      </w:r>
      <w:r w:rsidRPr="006E4C3B">
        <w:t xml:space="preserve"> </w:t>
      </w:r>
    </w:p>
    <w:p w14:paraId="5F3F49B4" w14:textId="77777777" w:rsidR="001F7E58" w:rsidRDefault="001F7E58" w:rsidP="00CF2599">
      <w:pPr>
        <w:pStyle w:val="TSBullet1Square"/>
      </w:pPr>
      <w:r w:rsidRPr="001F7E58">
        <w:rPr>
          <w:b/>
        </w:rPr>
        <w:t xml:space="preserve">Licence Condition 28: Examination, </w:t>
      </w:r>
      <w:r w:rsidR="005E237B">
        <w:rPr>
          <w:b/>
        </w:rPr>
        <w:t xml:space="preserve">Inspection, </w:t>
      </w:r>
      <w:r w:rsidRPr="001F7E58">
        <w:rPr>
          <w:b/>
        </w:rPr>
        <w:t>Maintenance and Testing (EI</w:t>
      </w:r>
      <w:r w:rsidR="005E237B">
        <w:rPr>
          <w:b/>
        </w:rPr>
        <w:t>M</w:t>
      </w:r>
      <w:r w:rsidRPr="001F7E58">
        <w:rPr>
          <w:b/>
        </w:rPr>
        <w:t>T)</w:t>
      </w:r>
      <w:r w:rsidR="00EA1BDF">
        <w:t xml:space="preserve"> – r</w:t>
      </w:r>
      <w:r>
        <w:t xml:space="preserve">equires that a licensee makes and implements adequate arrangements for the regular and systematic examination, inspection, maintenance and testing of all plant which may affect safety. This may include a number of engineered systems installed to maintain adequate chemistry control, for example, chemical reagent injection skids, clean-up systems or sampling and monitoring equipment. </w:t>
      </w:r>
    </w:p>
    <w:p w14:paraId="5F3F49B5" w14:textId="77777777" w:rsidR="00064A4A" w:rsidRPr="00064A4A" w:rsidRDefault="00064A4A" w:rsidP="00064A4A"/>
    <w:p w14:paraId="5F3F49B6" w14:textId="77777777" w:rsidR="009D681B" w:rsidRDefault="006E4C3B" w:rsidP="0002758C">
      <w:pPr>
        <w:pStyle w:val="TSNumberedParagraph11"/>
      </w:pPr>
      <w:r>
        <w:t>D</w:t>
      </w:r>
      <w:r w:rsidR="009D681B">
        <w:t xml:space="preserve">epending </w:t>
      </w:r>
      <w:r>
        <w:t xml:space="preserve">on the scope of the assessment, </w:t>
      </w:r>
      <w:r w:rsidR="00A8430E">
        <w:t>chemistry may also be of relevance when assessing the following areas</w:t>
      </w:r>
      <w:r w:rsidR="009D681B">
        <w:t>:</w:t>
      </w:r>
    </w:p>
    <w:p w14:paraId="5F3F49B7" w14:textId="1AECFB59" w:rsidR="009D681B" w:rsidRDefault="009D681B" w:rsidP="00CF2599">
      <w:pPr>
        <w:pStyle w:val="TSBullet1Square"/>
      </w:pPr>
      <w:r>
        <w:t>L</w:t>
      </w:r>
      <w:r w:rsidR="00492598">
        <w:t>C</w:t>
      </w:r>
      <w:r>
        <w:t xml:space="preserve"> 10: Training</w:t>
      </w:r>
    </w:p>
    <w:p w14:paraId="5F3F49B8" w14:textId="71968158" w:rsidR="009D681B" w:rsidRDefault="009D681B" w:rsidP="00CF2599">
      <w:pPr>
        <w:pStyle w:val="TSBullet1Square"/>
      </w:pPr>
      <w:r>
        <w:t>L</w:t>
      </w:r>
      <w:r w:rsidR="00492598">
        <w:t>C</w:t>
      </w:r>
      <w:r>
        <w:t xml:space="preserve"> 12: Duly authorised and other suitably qualified persons</w:t>
      </w:r>
    </w:p>
    <w:p w14:paraId="5F3F49B9" w14:textId="35ECEF47" w:rsidR="009D681B" w:rsidRDefault="009D681B" w:rsidP="00CF2599">
      <w:pPr>
        <w:pStyle w:val="TSBullet1Square"/>
      </w:pPr>
      <w:r>
        <w:t>L</w:t>
      </w:r>
      <w:r w:rsidR="00492598">
        <w:t>C</w:t>
      </w:r>
      <w:r>
        <w:t xml:space="preserve"> 19: Construction or installation of new plant</w:t>
      </w:r>
    </w:p>
    <w:p w14:paraId="5F3F49BA" w14:textId="5DA43641" w:rsidR="006E4C3B" w:rsidRDefault="006E4C3B" w:rsidP="00CF2599">
      <w:pPr>
        <w:pStyle w:val="TSBullet1Square"/>
      </w:pPr>
      <w:r>
        <w:t>L</w:t>
      </w:r>
      <w:r w:rsidR="00492598">
        <w:t>C</w:t>
      </w:r>
      <w:r>
        <w:t xml:space="preserve"> 21: Commissioning</w:t>
      </w:r>
    </w:p>
    <w:p w14:paraId="5F3F49BB" w14:textId="7FC2560B" w:rsidR="009D681B" w:rsidRDefault="009D681B" w:rsidP="00CF2599">
      <w:pPr>
        <w:pStyle w:val="TSBullet1Square"/>
      </w:pPr>
      <w:r>
        <w:t>L</w:t>
      </w:r>
      <w:r w:rsidR="00492598">
        <w:t>C</w:t>
      </w:r>
      <w:r>
        <w:t xml:space="preserve"> 24: Operating instructions</w:t>
      </w:r>
    </w:p>
    <w:p w14:paraId="5F3F49BC" w14:textId="5D6BDC8E" w:rsidR="009D681B" w:rsidRDefault="009D681B" w:rsidP="00CF2599">
      <w:pPr>
        <w:pStyle w:val="TSBullet1Square"/>
      </w:pPr>
      <w:r>
        <w:t>L</w:t>
      </w:r>
      <w:r w:rsidR="00492598">
        <w:t>C</w:t>
      </w:r>
      <w:r>
        <w:t xml:space="preserve"> 26: Control and supervision of operations</w:t>
      </w:r>
    </w:p>
    <w:p w14:paraId="5F3F49BD" w14:textId="0DF91778" w:rsidR="009D681B" w:rsidRDefault="009D681B" w:rsidP="00CF2599">
      <w:pPr>
        <w:pStyle w:val="TSBullet1Square"/>
      </w:pPr>
      <w:r>
        <w:t>L</w:t>
      </w:r>
      <w:r w:rsidR="00492598">
        <w:t>C</w:t>
      </w:r>
      <w:r w:rsidR="00D614D1">
        <w:t xml:space="preserve"> 27: Safety mechanisms, devic</w:t>
      </w:r>
      <w:r>
        <w:t>es and circuits</w:t>
      </w:r>
    </w:p>
    <w:p w14:paraId="5F3F49BE" w14:textId="28060EF1" w:rsidR="009D681B" w:rsidRDefault="009D681B" w:rsidP="00CF2599">
      <w:pPr>
        <w:pStyle w:val="TSBullet1Square"/>
      </w:pPr>
      <w:r>
        <w:t>L</w:t>
      </w:r>
      <w:r w:rsidR="00492598">
        <w:t>C</w:t>
      </w:r>
      <w:r>
        <w:t xml:space="preserve"> 30: Periodic shutdown</w:t>
      </w:r>
    </w:p>
    <w:p w14:paraId="5F3F49BF" w14:textId="0B77FDCF" w:rsidR="009F3D22" w:rsidRDefault="009F3D22" w:rsidP="00CF2599">
      <w:pPr>
        <w:pStyle w:val="TSBullet1Square"/>
      </w:pPr>
      <w:r>
        <w:t>L</w:t>
      </w:r>
      <w:r w:rsidR="00492598">
        <w:t>C</w:t>
      </w:r>
      <w:r>
        <w:t xml:space="preserve"> 32: Accumulation of radioactive waste</w:t>
      </w:r>
    </w:p>
    <w:p w14:paraId="5F3F49C0" w14:textId="1550A1E7" w:rsidR="006E4C3B" w:rsidRDefault="006E4C3B" w:rsidP="00CF2599">
      <w:pPr>
        <w:pStyle w:val="TSBullet1Square"/>
      </w:pPr>
      <w:r>
        <w:t>L</w:t>
      </w:r>
      <w:r w:rsidR="00492598">
        <w:t>C</w:t>
      </w:r>
      <w:r>
        <w:t xml:space="preserve"> 34: Leakage and escape of radioactive waste and radioactive material</w:t>
      </w:r>
    </w:p>
    <w:p w14:paraId="5F3F49C1" w14:textId="515FDB21" w:rsidR="009D681B" w:rsidRDefault="006E4C3B" w:rsidP="00CF2599">
      <w:pPr>
        <w:pStyle w:val="TSBullet1Square"/>
      </w:pPr>
      <w:r>
        <w:t>L</w:t>
      </w:r>
      <w:r w:rsidR="00492598">
        <w:t>C</w:t>
      </w:r>
      <w:r>
        <w:t xml:space="preserve"> 35: Decommissioning</w:t>
      </w:r>
    </w:p>
    <w:p w14:paraId="5F3F49C2" w14:textId="77777777" w:rsidR="002A59A7" w:rsidRPr="002A59A7" w:rsidRDefault="002A59A7" w:rsidP="002A59A7"/>
    <w:p w14:paraId="5F3F49C3" w14:textId="77777777" w:rsidR="00C13A95" w:rsidRPr="00A94FB0" w:rsidRDefault="006F781B" w:rsidP="0002758C">
      <w:pPr>
        <w:pStyle w:val="TSHeadingLevel2"/>
      </w:pPr>
      <w:r w:rsidRPr="00C13A95">
        <w:t>Other Relevant Legislation</w:t>
      </w:r>
    </w:p>
    <w:p w14:paraId="5F3F49C4" w14:textId="77777777" w:rsidR="009D681B" w:rsidRDefault="009D681B" w:rsidP="0002758C">
      <w:pPr>
        <w:pStyle w:val="TSNumberedParagraph11"/>
      </w:pPr>
      <w:r>
        <w:t xml:space="preserve">Other legislation which is potentially of relevance to a chemistry assessment, but </w:t>
      </w:r>
      <w:r w:rsidR="00492598">
        <w:t xml:space="preserve">is </w:t>
      </w:r>
      <w:r>
        <w:t xml:space="preserve">not expected to form </w:t>
      </w:r>
      <w:r w:rsidR="00492598">
        <w:t xml:space="preserve">the primary focus </w:t>
      </w:r>
      <w:r>
        <w:t>of a nuclear safety assessment, includes:</w:t>
      </w:r>
    </w:p>
    <w:p w14:paraId="5F3F49C5" w14:textId="65667460" w:rsidR="009D681B" w:rsidRPr="00582CC3" w:rsidRDefault="009D681B" w:rsidP="00CF2599">
      <w:pPr>
        <w:pStyle w:val="TSBullet1Square"/>
      </w:pPr>
      <w:r>
        <w:t>Ionising Radiation</w:t>
      </w:r>
      <w:r w:rsidR="00D614D1">
        <w:t>s</w:t>
      </w:r>
      <w:r>
        <w:t xml:space="preserve"> </w:t>
      </w:r>
      <w:r w:rsidR="002B207C">
        <w:t>Regulations (IRRs) 2017</w:t>
      </w:r>
    </w:p>
    <w:p w14:paraId="5F3F49C6" w14:textId="268B7C97" w:rsidR="00133CC6" w:rsidRPr="00582CC3" w:rsidRDefault="00133CC6" w:rsidP="00CF2599">
      <w:pPr>
        <w:pStyle w:val="TSBullet1Square"/>
      </w:pPr>
      <w:r w:rsidRPr="00582CC3">
        <w:t xml:space="preserve">Control of Major Accident Hazards </w:t>
      </w:r>
      <w:r w:rsidR="00582CC3" w:rsidRPr="00582CC3">
        <w:t xml:space="preserve">(COMAH) </w:t>
      </w:r>
      <w:r w:rsidRPr="00582CC3">
        <w:t xml:space="preserve">Regulations </w:t>
      </w:r>
      <w:r w:rsidR="008105DF">
        <w:t>2015</w:t>
      </w:r>
    </w:p>
    <w:p w14:paraId="5F3F49C7" w14:textId="50376E0B" w:rsidR="009D681B" w:rsidRPr="00582CC3" w:rsidRDefault="009D681B" w:rsidP="00CF2599">
      <w:pPr>
        <w:pStyle w:val="TSBullet1Square"/>
      </w:pPr>
      <w:r w:rsidRPr="00582CC3">
        <w:t>Control of Substances Hazardous to Health</w:t>
      </w:r>
      <w:r w:rsidR="00582CC3" w:rsidRPr="00582CC3">
        <w:t xml:space="preserve"> (</w:t>
      </w:r>
      <w:proofErr w:type="spellStart"/>
      <w:r w:rsidR="00582CC3" w:rsidRPr="00582CC3">
        <w:t>CoSHH</w:t>
      </w:r>
      <w:proofErr w:type="spellEnd"/>
      <w:r w:rsidR="00582CC3" w:rsidRPr="00582CC3">
        <w:t>) Regulations 2002</w:t>
      </w:r>
    </w:p>
    <w:p w14:paraId="5F3F49C8" w14:textId="798576E2" w:rsidR="009D681B" w:rsidRDefault="009D681B" w:rsidP="00CF2599">
      <w:pPr>
        <w:pStyle w:val="TSBullet1Square"/>
      </w:pPr>
      <w:r w:rsidRPr="00582CC3">
        <w:t>Dangerous Substances and Explosives Atmospheres Regulations (DSEAR)</w:t>
      </w:r>
      <w:r>
        <w:t xml:space="preserve"> 2002</w:t>
      </w:r>
    </w:p>
    <w:p w14:paraId="5F3F49C9" w14:textId="77777777" w:rsidR="009C51EC" w:rsidRPr="009C51EC" w:rsidRDefault="009C51EC" w:rsidP="00FE5CBA"/>
    <w:p w14:paraId="5F3F49CA" w14:textId="437EDCD0" w:rsidR="009B5159" w:rsidRDefault="009C51EC" w:rsidP="009B5159">
      <w:pPr>
        <w:pStyle w:val="TSNumberedParagraph11"/>
      </w:pPr>
      <w:r>
        <w:t xml:space="preserve">There are aspects of chemistry assessment that may fall outside the immediate vires of ONR, such as those impacting the Environmental Permitting Regulations </w:t>
      </w:r>
      <w:r w:rsidR="002B207C">
        <w:t>(EPR) 2016</w:t>
      </w:r>
      <w:r>
        <w:t>. ONR Inspectors should be cognisant of any such requirements a</w:t>
      </w:r>
      <w:r w:rsidR="002B207C">
        <w:t>nd engage with the appropriate a</w:t>
      </w:r>
      <w:r>
        <w:t xml:space="preserve">gency, as required. </w:t>
      </w:r>
    </w:p>
    <w:p w14:paraId="5F3F49CB" w14:textId="77777777" w:rsidR="006D27D1" w:rsidRPr="001C2729" w:rsidRDefault="009B5159" w:rsidP="0002758C">
      <w:pPr>
        <w:pStyle w:val="TSHeadingLevel1Numbered"/>
      </w:pPr>
      <w:bookmarkStart w:id="8" w:name="_Toc447189485"/>
      <w:bookmarkStart w:id="9" w:name="_Toc61505472"/>
      <w:r w:rsidRPr="001C2729">
        <w:t>RELATIONSHIP TO SAPS, WENRA REFERENCE LEVELS AND IAEA SAFETY STANDARDS ADDRESSED</w:t>
      </w:r>
      <w:bookmarkEnd w:id="8"/>
      <w:bookmarkEnd w:id="9"/>
    </w:p>
    <w:p w14:paraId="5F3F49CC" w14:textId="77777777" w:rsidR="00C13A95" w:rsidRPr="001C2729" w:rsidRDefault="00822C8D" w:rsidP="0002758C">
      <w:pPr>
        <w:pStyle w:val="TSHeadingLevel2"/>
      </w:pPr>
      <w:r w:rsidRPr="001C2729">
        <w:t>Chemistry Safety Assessment Principles</w:t>
      </w:r>
    </w:p>
    <w:p w14:paraId="5F3F49CD" w14:textId="42BD787F" w:rsidR="001F3790" w:rsidRDefault="00317F9E" w:rsidP="0002758C">
      <w:pPr>
        <w:pStyle w:val="TSNumberedParagraph11"/>
      </w:pPr>
      <w:r w:rsidRPr="00DE6D78">
        <w:t>T</w:t>
      </w:r>
      <w:r>
        <w:t>he SAPs</w:t>
      </w:r>
      <w:r w:rsidR="00492598">
        <w:t xml:space="preserve"> </w:t>
      </w:r>
      <w:r>
        <w:t xml:space="preserve">provide nuclear inspectors with a framework for making consistent regulatory judgements on nuclear safety cases, including the </w:t>
      </w:r>
      <w:r w:rsidR="00492598">
        <w:t xml:space="preserve">principal </w:t>
      </w:r>
      <w:r>
        <w:t>legal requirement of reducing risks so fa</w:t>
      </w:r>
      <w:r w:rsidR="00593FA7">
        <w:t xml:space="preserve">r as is reasonably practicable. </w:t>
      </w:r>
      <w:r w:rsidR="00947847">
        <w:t>The SAPs are split into sections relating to different aspects of nuclear safety</w:t>
      </w:r>
      <w:r w:rsidR="00097EC9">
        <w:t>;</w:t>
      </w:r>
      <w:r>
        <w:t xml:space="preserve"> there are four </w:t>
      </w:r>
      <w:r w:rsidR="007E6E95">
        <w:t xml:space="preserve">SAPs </w:t>
      </w:r>
      <w:r>
        <w:t>which deal explicitly with chemistry:</w:t>
      </w:r>
    </w:p>
    <w:p w14:paraId="5F3F49CE" w14:textId="77777777" w:rsidR="00317F9E" w:rsidRDefault="00317F9E" w:rsidP="00317F9E">
      <w:pPr>
        <w:pStyle w:val="TSBullet1Square"/>
      </w:pPr>
      <w:r w:rsidRPr="00317F9E">
        <w:rPr>
          <w:b/>
        </w:rPr>
        <w:t>ECH.1: Safety cases</w:t>
      </w:r>
      <w:r w:rsidR="00EA1BDF">
        <w:t xml:space="preserve"> – t</w:t>
      </w:r>
      <w:r>
        <w:t>his SAP describes ONR’s expectations for the scope of the consideration of chemistry and its effects on nuclear safety</w:t>
      </w:r>
      <w:r w:rsidR="00095278">
        <w:t xml:space="preserve"> </w:t>
      </w:r>
      <w:r>
        <w:t>in the preparation of safet</w:t>
      </w:r>
      <w:r w:rsidR="004A4BF9">
        <w:t xml:space="preserve">y cases for nuclear facilities; a key output of which should be any identified limits and conditions (Operating Rules), consistent with the requirements of LC 23. </w:t>
      </w:r>
    </w:p>
    <w:p w14:paraId="5F3F49CF" w14:textId="04231F7E" w:rsidR="00A81C37" w:rsidRDefault="00317F9E" w:rsidP="00A81C37">
      <w:pPr>
        <w:pStyle w:val="TSBullet1Square"/>
      </w:pPr>
      <w:r w:rsidRPr="00317F9E">
        <w:rPr>
          <w:b/>
        </w:rPr>
        <w:t>ECH.2: Resolution of conflicting chemical effects</w:t>
      </w:r>
      <w:r>
        <w:t xml:space="preserve"> – </w:t>
      </w:r>
      <w:r w:rsidR="00EA1BDF">
        <w:t>s</w:t>
      </w:r>
      <w:r w:rsidR="00A81C37" w:rsidRPr="00605B5C">
        <w:t>pecifically for chemistry assessment, there can</w:t>
      </w:r>
      <w:r w:rsidR="002B207C">
        <w:t xml:space="preserve"> be occasions where a change to one chemistry-</w:t>
      </w:r>
      <w:r w:rsidR="00A81C37" w:rsidRPr="00605B5C">
        <w:t>based parameter to improve safety can be to the detriment of another hazard or risk. This SAP outlines ONR’s expectations in these circumstances.</w:t>
      </w:r>
      <w:r w:rsidR="00A81C37">
        <w:t xml:space="preserve"> The SAP essentially requires a</w:t>
      </w:r>
      <w:r w:rsidR="00223A4F">
        <w:t xml:space="preserve"> </w:t>
      </w:r>
      <w:r w:rsidR="00A81C37">
        <w:t xml:space="preserve">demonstration </w:t>
      </w:r>
      <w:r w:rsidR="00223A4F">
        <w:t xml:space="preserve">that risks have been reduced to As Low As Reasonably Practicable (ALARP) </w:t>
      </w:r>
      <w:r w:rsidR="00A81C37">
        <w:t xml:space="preserve">to be made, proportionate to the level of risk and hazard, where there </w:t>
      </w:r>
      <w:r w:rsidR="00B624E0">
        <w:t xml:space="preserve">are </w:t>
      </w:r>
      <w:r w:rsidR="00A81C37">
        <w:t xml:space="preserve">a number of chemistry options available. </w:t>
      </w:r>
    </w:p>
    <w:p w14:paraId="5F3F49D0" w14:textId="527BDAF2" w:rsidR="00317F9E" w:rsidRPr="00A81C37" w:rsidRDefault="00317F9E" w:rsidP="00317F9E">
      <w:pPr>
        <w:pStyle w:val="TSBullet1Square"/>
        <w:rPr>
          <w:b/>
        </w:rPr>
      </w:pPr>
      <w:r w:rsidRPr="00A81C37">
        <w:rPr>
          <w:b/>
        </w:rPr>
        <w:t xml:space="preserve">ECH.3: Control of chemistry </w:t>
      </w:r>
      <w:r w:rsidR="008454D5">
        <w:rPr>
          <w:bCs/>
        </w:rPr>
        <w:t>–</w:t>
      </w:r>
      <w:r w:rsidRPr="00A81C37">
        <w:rPr>
          <w:b/>
        </w:rPr>
        <w:t xml:space="preserve"> </w:t>
      </w:r>
      <w:r w:rsidR="00EA1BDF">
        <w:rPr>
          <w:szCs w:val="22"/>
          <w:lang w:eastAsia="en-GB"/>
        </w:rPr>
        <w:t>t</w:t>
      </w:r>
      <w:r w:rsidR="004A4BF9">
        <w:rPr>
          <w:szCs w:val="22"/>
          <w:lang w:eastAsia="en-GB"/>
        </w:rPr>
        <w:t>his SAP expects</w:t>
      </w:r>
      <w:r w:rsidR="002B207C">
        <w:rPr>
          <w:szCs w:val="22"/>
          <w:lang w:eastAsia="en-GB"/>
        </w:rPr>
        <w:t xml:space="preserve"> that once the chemistry-</w:t>
      </w:r>
      <w:r w:rsidR="000E391B" w:rsidRPr="00A81C37">
        <w:rPr>
          <w:szCs w:val="22"/>
          <w:lang w:eastAsia="en-GB"/>
        </w:rPr>
        <w:t xml:space="preserve">based limits and conditions </w:t>
      </w:r>
      <w:r w:rsidR="004A4BF9">
        <w:rPr>
          <w:szCs w:val="22"/>
          <w:lang w:eastAsia="en-GB"/>
        </w:rPr>
        <w:t xml:space="preserve">(Operating Rules) </w:t>
      </w:r>
      <w:r w:rsidR="000E391B" w:rsidRPr="00A81C37">
        <w:rPr>
          <w:szCs w:val="22"/>
          <w:lang w:eastAsia="en-GB"/>
        </w:rPr>
        <w:t>are derived from the safety case, adequate provisions are in place to ensure the plant is designed</w:t>
      </w:r>
      <w:r w:rsidR="003A1D95">
        <w:rPr>
          <w:szCs w:val="22"/>
          <w:lang w:eastAsia="en-GB"/>
        </w:rPr>
        <w:t xml:space="preserve">, </w:t>
      </w:r>
      <w:r w:rsidR="00A81C37" w:rsidRPr="00A81C37">
        <w:rPr>
          <w:szCs w:val="22"/>
          <w:lang w:eastAsia="en-GB"/>
        </w:rPr>
        <w:t xml:space="preserve">and can be operated within the </w:t>
      </w:r>
      <w:r w:rsidR="003A1D95">
        <w:rPr>
          <w:szCs w:val="22"/>
          <w:lang w:eastAsia="en-GB"/>
        </w:rPr>
        <w:t>safe operating envelope defined in the safety case</w:t>
      </w:r>
      <w:r w:rsidR="000E391B" w:rsidRPr="00A81C37">
        <w:rPr>
          <w:szCs w:val="22"/>
          <w:lang w:eastAsia="en-GB"/>
        </w:rPr>
        <w:t xml:space="preserve">. This SAP covers people, processes and technology. </w:t>
      </w:r>
    </w:p>
    <w:p w14:paraId="5F3F49D1" w14:textId="79DB14EE" w:rsidR="009C30CF" w:rsidRDefault="00317F9E" w:rsidP="009C30CF">
      <w:pPr>
        <w:pStyle w:val="TSBullet1Square"/>
        <w:rPr>
          <w:szCs w:val="22"/>
          <w:lang w:eastAsia="en-GB"/>
        </w:rPr>
      </w:pPr>
      <w:r w:rsidRPr="00A81C37">
        <w:rPr>
          <w:b/>
        </w:rPr>
        <w:t xml:space="preserve">ECH.4: Monitoring, sampling and analysis </w:t>
      </w:r>
      <w:r w:rsidR="000E391B" w:rsidRPr="00A81C37">
        <w:t>–</w:t>
      </w:r>
      <w:r w:rsidRPr="00A81C37">
        <w:rPr>
          <w:b/>
        </w:rPr>
        <w:t xml:space="preserve"> </w:t>
      </w:r>
      <w:r w:rsidR="00EA1BDF">
        <w:rPr>
          <w:szCs w:val="22"/>
        </w:rPr>
        <w:t>t</w:t>
      </w:r>
      <w:r w:rsidR="00224656">
        <w:rPr>
          <w:szCs w:val="22"/>
        </w:rPr>
        <w:t>his is a</w:t>
      </w:r>
      <w:r w:rsidR="00224656" w:rsidRPr="00A81C37">
        <w:rPr>
          <w:szCs w:val="22"/>
        </w:rPr>
        <w:t xml:space="preserve">n </w:t>
      </w:r>
      <w:r w:rsidR="000E391B" w:rsidRPr="00A81C37">
        <w:rPr>
          <w:szCs w:val="22"/>
        </w:rPr>
        <w:t xml:space="preserve">important part of demonstrating adequate chemistry control. </w:t>
      </w:r>
      <w:r w:rsidR="00A81C37" w:rsidRPr="00A81C37">
        <w:rPr>
          <w:szCs w:val="22"/>
          <w:lang w:eastAsia="en-GB"/>
        </w:rPr>
        <w:t xml:space="preserve">This SAP requires </w:t>
      </w:r>
      <w:r w:rsidR="00D21709">
        <w:rPr>
          <w:szCs w:val="22"/>
          <w:lang w:eastAsia="en-GB"/>
        </w:rPr>
        <w:t xml:space="preserve">that </w:t>
      </w:r>
      <w:r w:rsidR="00A81C37" w:rsidRPr="00A81C37">
        <w:rPr>
          <w:szCs w:val="22"/>
          <w:lang w:eastAsia="en-GB"/>
        </w:rPr>
        <w:t xml:space="preserve">adequate provisions </w:t>
      </w:r>
      <w:r w:rsidR="008E1811">
        <w:rPr>
          <w:szCs w:val="22"/>
          <w:lang w:eastAsia="en-GB"/>
        </w:rPr>
        <w:t>are</w:t>
      </w:r>
      <w:r w:rsidR="00A81C37" w:rsidRPr="00A81C37">
        <w:rPr>
          <w:szCs w:val="22"/>
          <w:lang w:eastAsia="en-GB"/>
        </w:rPr>
        <w:t xml:space="preserve"> in place</w:t>
      </w:r>
      <w:r w:rsidR="00B55488">
        <w:rPr>
          <w:szCs w:val="22"/>
          <w:lang w:eastAsia="en-GB"/>
        </w:rPr>
        <w:t xml:space="preserve"> (</w:t>
      </w:r>
      <w:r w:rsidR="00B55488" w:rsidRPr="00A81C37">
        <w:rPr>
          <w:szCs w:val="22"/>
          <w:lang w:eastAsia="en-GB"/>
        </w:rPr>
        <w:t>people, processes and technology</w:t>
      </w:r>
      <w:r w:rsidR="00B55488">
        <w:rPr>
          <w:szCs w:val="22"/>
          <w:lang w:eastAsia="en-GB"/>
        </w:rPr>
        <w:t>)</w:t>
      </w:r>
      <w:r w:rsidR="00A81C37" w:rsidRPr="00A81C37">
        <w:rPr>
          <w:szCs w:val="22"/>
          <w:lang w:eastAsia="en-GB"/>
        </w:rPr>
        <w:t xml:space="preserve"> to </w:t>
      </w:r>
      <w:r w:rsidR="00224656">
        <w:rPr>
          <w:szCs w:val="22"/>
          <w:lang w:eastAsia="en-GB"/>
        </w:rPr>
        <w:t>ensure</w:t>
      </w:r>
      <w:r w:rsidR="00224656" w:rsidRPr="00A81C37">
        <w:rPr>
          <w:szCs w:val="22"/>
          <w:lang w:eastAsia="en-GB"/>
        </w:rPr>
        <w:t xml:space="preserve"> </w:t>
      </w:r>
      <w:r w:rsidR="00A81C37" w:rsidRPr="00A81C37">
        <w:rPr>
          <w:szCs w:val="22"/>
          <w:lang w:eastAsia="en-GB"/>
        </w:rPr>
        <w:t xml:space="preserve">that the required level of chemistry control for safety </w:t>
      </w:r>
      <w:r w:rsidR="00224656">
        <w:rPr>
          <w:szCs w:val="22"/>
          <w:lang w:eastAsia="en-GB"/>
        </w:rPr>
        <w:t>will</w:t>
      </w:r>
      <w:r w:rsidR="00224656" w:rsidRPr="00A81C37">
        <w:rPr>
          <w:szCs w:val="22"/>
          <w:lang w:eastAsia="en-GB"/>
        </w:rPr>
        <w:t xml:space="preserve"> </w:t>
      </w:r>
      <w:r w:rsidR="00A81C37" w:rsidRPr="00A81C37">
        <w:rPr>
          <w:szCs w:val="22"/>
          <w:lang w:eastAsia="en-GB"/>
        </w:rPr>
        <w:t xml:space="preserve">be effectively implemented, including obtaining and maintaining the required quantity and quality of data to support decision making, throughout all phases of the operational life of a nuclear facility. </w:t>
      </w:r>
    </w:p>
    <w:p w14:paraId="5F3F49D2" w14:textId="77777777" w:rsidR="002D1088" w:rsidRPr="002D1088" w:rsidRDefault="002D1088" w:rsidP="002D1088">
      <w:pPr>
        <w:rPr>
          <w:lang w:eastAsia="en-GB"/>
        </w:rPr>
      </w:pPr>
    </w:p>
    <w:p w14:paraId="5F3F49D3" w14:textId="77777777" w:rsidR="006C5F36" w:rsidRPr="00CD5285" w:rsidRDefault="006C5F36" w:rsidP="0002758C">
      <w:pPr>
        <w:pStyle w:val="TSNumberedParagraph11"/>
      </w:pPr>
      <w:r w:rsidRPr="00075055">
        <w:t>The overall objective of the chemistry SAPs</w:t>
      </w:r>
      <w:r>
        <w:t xml:space="preserve"> </w:t>
      </w:r>
      <w:r w:rsidRPr="00075055">
        <w:t>is to ensure that c</w:t>
      </w:r>
      <w:r w:rsidR="004A2B79">
        <w:t>hemistry and its impact on safety is considered when</w:t>
      </w:r>
      <w:r w:rsidRPr="00075055">
        <w:t xml:space="preserve"> developing and implementing the saf</w:t>
      </w:r>
      <w:r>
        <w:t>e</w:t>
      </w:r>
      <w:r w:rsidR="004A2B79">
        <w:t>ty case for a n</w:t>
      </w:r>
      <w:r w:rsidR="005939A6">
        <w:t xml:space="preserve">uclear facility. The intent behind the </w:t>
      </w:r>
      <w:r w:rsidR="005939A6" w:rsidRPr="00CD5285">
        <w:t>chemistry SAPs is</w:t>
      </w:r>
      <w:r w:rsidR="004A2B79" w:rsidRPr="00CD5285">
        <w:t xml:space="preserve"> </w:t>
      </w:r>
      <w:r w:rsidRPr="00CD5285">
        <w:t>that the effects of c</w:t>
      </w:r>
      <w:r w:rsidR="00227A59" w:rsidRPr="00CD5285">
        <w:t xml:space="preserve">hemistry can be demonstrated </w:t>
      </w:r>
      <w:r w:rsidRPr="00CD5285">
        <w:t xml:space="preserve">not </w:t>
      </w:r>
      <w:r w:rsidR="004A2B79" w:rsidRPr="00CD5285">
        <w:t xml:space="preserve">to detrimentally </w:t>
      </w:r>
      <w:r w:rsidRPr="00CD5285">
        <w:t>affect the safe operation of a</w:t>
      </w:r>
      <w:r w:rsidR="00F23BB2" w:rsidRPr="00CD5285">
        <w:t xml:space="preserve"> nuclear</w:t>
      </w:r>
      <w:r w:rsidRPr="00CD5285">
        <w:t xml:space="preserve"> facility</w:t>
      </w:r>
      <w:r w:rsidR="005939A6" w:rsidRPr="00CD5285">
        <w:t xml:space="preserve">, that relevant aspects of chemistry </w:t>
      </w:r>
      <w:r w:rsidRPr="00CD5285">
        <w:t>reduce risks to ALARP</w:t>
      </w:r>
      <w:r w:rsidR="00B55488" w:rsidRPr="00CD5285">
        <w:t xml:space="preserve">, </w:t>
      </w:r>
      <w:r w:rsidRPr="00CD5285">
        <w:t xml:space="preserve">and that </w:t>
      </w:r>
      <w:r w:rsidR="005939A6" w:rsidRPr="00CD5285">
        <w:t xml:space="preserve">any </w:t>
      </w:r>
      <w:r w:rsidRPr="00CD5285">
        <w:t xml:space="preserve">chemistry </w:t>
      </w:r>
      <w:r w:rsidR="005939A6" w:rsidRPr="00CD5285">
        <w:t xml:space="preserve">required for safety </w:t>
      </w:r>
      <w:r w:rsidRPr="00CD5285">
        <w:t xml:space="preserve">can be adequately controlled. </w:t>
      </w:r>
    </w:p>
    <w:p w14:paraId="5F3F49D4" w14:textId="77777777" w:rsidR="006C5F36" w:rsidRPr="00CD5285" w:rsidRDefault="006C5F36" w:rsidP="0002758C">
      <w:pPr>
        <w:pStyle w:val="TSNumberedParagraph11"/>
      </w:pPr>
      <w:r w:rsidRPr="00CD5285">
        <w:t xml:space="preserve">The </w:t>
      </w:r>
      <w:r w:rsidR="00227A59" w:rsidRPr="00CD5285">
        <w:t xml:space="preserve">chemistry </w:t>
      </w:r>
      <w:r w:rsidR="00A8430E">
        <w:t>SAPs</w:t>
      </w:r>
      <w:r w:rsidR="00A8430E" w:rsidRPr="00CD5285">
        <w:t xml:space="preserve"> </w:t>
      </w:r>
      <w:r w:rsidRPr="00CD5285">
        <w:t>have been structured to reflect this objective, in that the exp</w:t>
      </w:r>
      <w:r w:rsidR="00227A59" w:rsidRPr="00CD5285">
        <w:t xml:space="preserve">ected approach for the </w:t>
      </w:r>
      <w:bookmarkStart w:id="10" w:name="chem_aspects_of_sc"/>
      <w:r w:rsidR="00227A59" w:rsidRPr="00CD5285">
        <w:t xml:space="preserve">chemistry aspects of </w:t>
      </w:r>
      <w:r w:rsidRPr="00CD5285">
        <w:t>the safety case</w:t>
      </w:r>
      <w:bookmarkEnd w:id="10"/>
      <w:r w:rsidRPr="00CD5285">
        <w:t xml:space="preserve"> </w:t>
      </w:r>
      <w:r w:rsidR="00227A59" w:rsidRPr="00CD5285">
        <w:t xml:space="preserve">is that it </w:t>
      </w:r>
      <w:r w:rsidRPr="00CD5285">
        <w:t>should demon</w:t>
      </w:r>
      <w:r w:rsidR="00227A59" w:rsidRPr="00CD5285">
        <w:t>strate</w:t>
      </w:r>
      <w:r w:rsidR="002B207C">
        <w:t xml:space="preserve"> the following:</w:t>
      </w:r>
    </w:p>
    <w:p w14:paraId="5F3F49D5" w14:textId="77777777" w:rsidR="006C5F36" w:rsidRPr="00CD5285" w:rsidRDefault="00577F92" w:rsidP="00CF2599">
      <w:pPr>
        <w:pStyle w:val="TSBullet1Square"/>
      </w:pPr>
      <w:r w:rsidRPr="00CD5285">
        <w:t>A</w:t>
      </w:r>
      <w:r w:rsidR="00227A59" w:rsidRPr="00CD5285">
        <w:t xml:space="preserve"> </w:t>
      </w:r>
      <w:r w:rsidR="006C5F36" w:rsidRPr="00CD5285">
        <w:t xml:space="preserve">comprehensive and systematic analysis has been undertaken to identify all chemistry effects important to safety. It is imperative that the analysis derives </w:t>
      </w:r>
      <w:r w:rsidR="00A8430E">
        <w:t xml:space="preserve">and justifies </w:t>
      </w:r>
      <w:r w:rsidR="00F65FBB">
        <w:t>any chemistry-</w:t>
      </w:r>
      <w:r w:rsidR="006C5F36" w:rsidRPr="00CD5285">
        <w:t>based limits or c</w:t>
      </w:r>
      <w:r w:rsidR="005939A6" w:rsidRPr="00CD5285">
        <w:t>onditions (Operating R</w:t>
      </w:r>
      <w:r w:rsidR="006C5F36" w:rsidRPr="00CD5285">
        <w:t>ules) which need to be applied in the interests of safety</w:t>
      </w:r>
      <w:r w:rsidRPr="00CD5285">
        <w:t>.</w:t>
      </w:r>
    </w:p>
    <w:p w14:paraId="5F3F49D6" w14:textId="77777777" w:rsidR="006C5F36" w:rsidRPr="00CD5285" w:rsidRDefault="006C5F36" w:rsidP="00CF2599">
      <w:pPr>
        <w:pStyle w:val="TSBullet1Square"/>
      </w:pPr>
      <w:r w:rsidRPr="00CD5285">
        <w:t xml:space="preserve">Consideration of all the chemistry effects identified as being important to safety is </w:t>
      </w:r>
      <w:r w:rsidR="00F65FBB">
        <w:t xml:space="preserve">performed in a holistic manner; </w:t>
      </w:r>
      <w:r w:rsidRPr="00CD5285">
        <w:t>and a balanced demonstration is provided to justify that where the effects of different chemical parameters conflict with one another, the overall outcome is that risks have been reduced to ALARP. Further guidance on the demonstration of ALARP can be found in</w:t>
      </w:r>
      <w:r w:rsidR="00577F92" w:rsidRPr="00CD5285">
        <w:t xml:space="preserve"> [</w:t>
      </w:r>
      <w:bookmarkStart w:id="11" w:name="_Ref447280240"/>
      <w:r w:rsidR="00577F92" w:rsidRPr="00CD5285">
        <w:rPr>
          <w:rStyle w:val="EndnoteReference"/>
        </w:rPr>
        <w:endnoteReference w:id="6"/>
      </w:r>
      <w:bookmarkEnd w:id="11"/>
      <w:r w:rsidR="00577F92" w:rsidRPr="00CD5285">
        <w:t>].</w:t>
      </w:r>
      <w:r w:rsidRPr="00CD5285">
        <w:t xml:space="preserve"> </w:t>
      </w:r>
    </w:p>
    <w:p w14:paraId="5F3F49D7" w14:textId="77777777" w:rsidR="006C5F36" w:rsidRPr="00CD5285" w:rsidRDefault="006C5F36" w:rsidP="00CF2599">
      <w:pPr>
        <w:pStyle w:val="TSBullet1Square"/>
      </w:pPr>
      <w:r w:rsidRPr="00CD5285">
        <w:t>The systems, processes and procedures designed to maintain chemistry parameters within the limits and conditions identified in the safety case are</w:t>
      </w:r>
      <w:r w:rsidR="005939A6" w:rsidRPr="00CD5285">
        <w:t xml:space="preserve"> demonstrated to be</w:t>
      </w:r>
      <w:r w:rsidRPr="00CD5285">
        <w:t xml:space="preserve"> adequate</w:t>
      </w:r>
      <w:r w:rsidR="00577F92" w:rsidRPr="00CD5285">
        <w:t>.</w:t>
      </w:r>
    </w:p>
    <w:p w14:paraId="5F3F49D8" w14:textId="77777777" w:rsidR="006C5F36" w:rsidRDefault="006C5F36" w:rsidP="00CF2599">
      <w:pPr>
        <w:pStyle w:val="TSBullet1Square"/>
      </w:pPr>
      <w:r>
        <w:t>Appropriate consideration has been given to the need for chemical monitoring, sampling and analysis, including the adequacy of laboratory facilitie</w:t>
      </w:r>
      <w:r w:rsidR="005939A6">
        <w:t xml:space="preserve">s </w:t>
      </w:r>
      <w:r>
        <w:t xml:space="preserve">chosen to undertake such analysis. </w:t>
      </w:r>
    </w:p>
    <w:p w14:paraId="5F3F49D9" w14:textId="77777777" w:rsidR="006C5F36" w:rsidRPr="00075055" w:rsidRDefault="006C5F36" w:rsidP="006C5F36">
      <w:pPr>
        <w:rPr>
          <w:rFonts w:cs="Arial"/>
          <w:szCs w:val="22"/>
        </w:rPr>
      </w:pPr>
    </w:p>
    <w:p w14:paraId="5F3F49DA" w14:textId="77777777" w:rsidR="00C13A95" w:rsidRPr="001F3790" w:rsidRDefault="00097D0D" w:rsidP="0002758C">
      <w:pPr>
        <w:pStyle w:val="TSHeadingLevel2"/>
      </w:pPr>
      <w:r>
        <w:t xml:space="preserve">Other </w:t>
      </w:r>
      <w:r w:rsidR="00822C8D" w:rsidRPr="00C13A95">
        <w:t>Safety Assessment Principles</w:t>
      </w:r>
    </w:p>
    <w:p w14:paraId="5F3F49DB" w14:textId="77777777" w:rsidR="00831F35" w:rsidRPr="00831F35" w:rsidRDefault="00967636" w:rsidP="00831F35">
      <w:pPr>
        <w:pStyle w:val="TSNumberedParagraph11"/>
      </w:pPr>
      <w:r>
        <w:t>In addition to the chemi</w:t>
      </w:r>
      <w:r w:rsidR="00593FA7">
        <w:t>stry-specific SAPs</w:t>
      </w:r>
      <w:r w:rsidRPr="00095278">
        <w:t>,</w:t>
      </w:r>
      <w:r w:rsidR="001F3790">
        <w:t xml:space="preserve"> there are </w:t>
      </w:r>
      <w:bookmarkStart w:id="12" w:name="saps_implying_chemistry"/>
      <w:r w:rsidR="001F3790">
        <w:t xml:space="preserve">numerous </w:t>
      </w:r>
      <w:r w:rsidR="00CE2B5C">
        <w:t>others</w:t>
      </w:r>
      <w:bookmarkEnd w:id="12"/>
      <w:r w:rsidR="00CE2B5C">
        <w:t xml:space="preserve"> </w:t>
      </w:r>
      <w:r w:rsidR="005939A6">
        <w:t xml:space="preserve">in which chemistry </w:t>
      </w:r>
      <w:r w:rsidR="00B25F56">
        <w:t>can be directly inferred</w:t>
      </w:r>
      <w:r w:rsidR="00D8303C">
        <w:t>, see in particular paragraph 510 of the SAPs</w:t>
      </w:r>
      <w:r w:rsidR="001D3D6C">
        <w:t>. Depending on the particular safety case being assessed</w:t>
      </w:r>
      <w:r w:rsidR="00A8430E">
        <w:t>, chemistry may be of relevance when assessing against the following SAPs</w:t>
      </w:r>
      <w:r w:rsidR="005939A6">
        <w:t>:</w:t>
      </w:r>
      <w:r w:rsidR="00831F35" w:rsidRPr="00831F35">
        <w:t xml:space="preserve"> </w:t>
      </w:r>
    </w:p>
    <w:p w14:paraId="5F3F49DC" w14:textId="77777777" w:rsidR="001D3D6C" w:rsidRPr="00B8029B" w:rsidRDefault="001D3D6C" w:rsidP="001D3D6C">
      <w:pPr>
        <w:pStyle w:val="TSBullet1Square"/>
        <w:rPr>
          <w:b/>
        </w:rPr>
      </w:pPr>
      <w:r w:rsidRPr="00B8029B">
        <w:rPr>
          <w:b/>
        </w:rPr>
        <w:t xml:space="preserve">EAD.1 to EAD.4 </w:t>
      </w:r>
      <w:r w:rsidR="00D23A79" w:rsidRPr="00B8029B">
        <w:t>–</w:t>
      </w:r>
      <w:r w:rsidRPr="00B8029B">
        <w:rPr>
          <w:b/>
        </w:rPr>
        <w:t xml:space="preserve"> </w:t>
      </w:r>
      <w:r w:rsidR="00EA1BDF">
        <w:t>t</w:t>
      </w:r>
      <w:r w:rsidR="00D23A79" w:rsidRPr="00B8029B">
        <w:t>he through-life tolerance of materials to the chemical environment in which they are required</w:t>
      </w:r>
      <w:r w:rsidR="007A7513" w:rsidRPr="00B8029B">
        <w:t xml:space="preserve"> to operate</w:t>
      </w:r>
      <w:r w:rsidR="00D23A79" w:rsidRPr="00B8029B">
        <w:t xml:space="preserve"> should be considered.</w:t>
      </w:r>
      <w:r w:rsidR="00CD2685" w:rsidRPr="00B8029B">
        <w:t xml:space="preserve"> There should be consideration of the effects of radiation chemistry </w:t>
      </w:r>
      <w:r w:rsidR="00593FA7" w:rsidRPr="00B8029B">
        <w:t xml:space="preserve">and </w:t>
      </w:r>
      <w:r w:rsidR="00CD2685" w:rsidRPr="00B8029B">
        <w:t xml:space="preserve">factors such as </w:t>
      </w:r>
      <w:r w:rsidR="00D23A79" w:rsidRPr="00B8029B">
        <w:t>degradation rates</w:t>
      </w:r>
      <w:r w:rsidR="00B8029B" w:rsidRPr="00B8029B">
        <w:t xml:space="preserve"> and the impact of chronic degradation threat</w:t>
      </w:r>
      <w:r w:rsidR="006B2F0C" w:rsidRPr="00B8029B">
        <w:t>s</w:t>
      </w:r>
      <w:r w:rsidR="007A7513" w:rsidRPr="00B8029B">
        <w:t xml:space="preserve">, amongst others, </w:t>
      </w:r>
      <w:r w:rsidR="00D23A79" w:rsidRPr="00B8029B">
        <w:t>assumed in the safety case.</w:t>
      </w:r>
      <w:r w:rsidR="00D23A79" w:rsidRPr="00B8029B">
        <w:rPr>
          <w:b/>
        </w:rPr>
        <w:t xml:space="preserve">  </w:t>
      </w:r>
    </w:p>
    <w:p w14:paraId="5F3F49DD" w14:textId="77777777" w:rsidR="001D3D6C" w:rsidRPr="00B8029B" w:rsidRDefault="001D3D6C" w:rsidP="001D3D6C">
      <w:pPr>
        <w:pStyle w:val="TSBullet1Square"/>
      </w:pPr>
      <w:r w:rsidRPr="00B8029B">
        <w:rPr>
          <w:b/>
        </w:rPr>
        <w:t xml:space="preserve">EMC.2, EMC.3, EMC.13, EMC.16, EMC.21, EMC.22 and EMC.25 </w:t>
      </w:r>
      <w:r w:rsidR="001513EF" w:rsidRPr="00B8029B">
        <w:t>–</w:t>
      </w:r>
      <w:r w:rsidRPr="00B8029B">
        <w:t xml:space="preserve"> </w:t>
      </w:r>
      <w:r w:rsidR="00EA1BDF">
        <w:t>s</w:t>
      </w:r>
      <w:r w:rsidR="001513EF" w:rsidRPr="00B8029B">
        <w:t xml:space="preserve">afety case claims made on maintaining a suitable chemical environment for metal components important to maintaining nuclear safety should be considered. </w:t>
      </w:r>
    </w:p>
    <w:p w14:paraId="5F3F49DE" w14:textId="77777777" w:rsidR="001D3D6C" w:rsidRPr="00B8029B" w:rsidRDefault="001D3D6C" w:rsidP="001D3D6C">
      <w:pPr>
        <w:pStyle w:val="TSBullet1Square"/>
      </w:pPr>
      <w:r w:rsidRPr="00B8029B">
        <w:rPr>
          <w:b/>
        </w:rPr>
        <w:t xml:space="preserve">ENM1. to ENM.8 </w:t>
      </w:r>
      <w:r w:rsidRPr="00B8029B">
        <w:t>–</w:t>
      </w:r>
      <w:r w:rsidRPr="00B8029B">
        <w:rPr>
          <w:b/>
        </w:rPr>
        <w:t xml:space="preserve"> </w:t>
      </w:r>
      <w:r w:rsidR="00EA1BDF">
        <w:t>c</w:t>
      </w:r>
      <w:r w:rsidR="00CE2B5C" w:rsidRPr="00B8029B">
        <w:t xml:space="preserve">hemistry has a role to play in the control of nuclear matter, including its distribution, generation </w:t>
      </w:r>
      <w:r w:rsidR="00F65FBB">
        <w:t>and/</w:t>
      </w:r>
      <w:r w:rsidR="00CE2B5C" w:rsidRPr="00B8029B">
        <w:t xml:space="preserve">or accumulation around a nuclear facility. </w:t>
      </w:r>
      <w:r w:rsidR="00F65FBB">
        <w:t>Important chemistry-</w:t>
      </w:r>
      <w:r w:rsidR="00C75661" w:rsidRPr="00B8029B">
        <w:t xml:space="preserve">based considerations also include the adequacy of sampling and analysis to gain characterisation data on the physical, chemical and radiochemical properties of nuclear matter. </w:t>
      </w:r>
    </w:p>
    <w:p w14:paraId="5F3F49DF" w14:textId="77777777" w:rsidR="00831F35" w:rsidRPr="00B8029B" w:rsidRDefault="001D3D6C" w:rsidP="001D3D6C">
      <w:pPr>
        <w:pStyle w:val="TSBullet1Square"/>
      </w:pPr>
      <w:r w:rsidRPr="00B8029B">
        <w:rPr>
          <w:b/>
        </w:rPr>
        <w:t xml:space="preserve">EHA.13 and EHA.14 </w:t>
      </w:r>
      <w:r w:rsidRPr="00B8029B">
        <w:t xml:space="preserve">– </w:t>
      </w:r>
      <w:r w:rsidR="00EA1BDF">
        <w:t>u</w:t>
      </w:r>
      <w:r w:rsidR="001513EF" w:rsidRPr="00B8029B">
        <w:t xml:space="preserve">ncontrolled or unplanned chemical reactions can be a cause of fire or explosions. They may also produce hazardous substances such as toxic or corrosive materials and gases. </w:t>
      </w:r>
      <w:r w:rsidR="005939A6">
        <w:t>Where relevant, chemistry may</w:t>
      </w:r>
      <w:r w:rsidR="001513EF" w:rsidRPr="00B8029B">
        <w:t xml:space="preserve"> therefore be an input into internal hazards assessment.</w:t>
      </w:r>
    </w:p>
    <w:p w14:paraId="5F3F49E0" w14:textId="77777777" w:rsidR="001D3D6C" w:rsidRPr="00B8029B" w:rsidRDefault="00A8131D" w:rsidP="00A8131D">
      <w:pPr>
        <w:pStyle w:val="TSBullet1Square"/>
      </w:pPr>
      <w:r w:rsidRPr="00DB4353">
        <w:rPr>
          <w:b/>
        </w:rPr>
        <w:t>EPE.1 and EPE. 3 to EPE.5</w:t>
      </w:r>
      <w:r w:rsidR="00EA1BDF">
        <w:t xml:space="preserve"> – t</w:t>
      </w:r>
      <w:r>
        <w:t>he thermodynamics and kinetics of chemical reactions are fundamental to the design and operation of nuclear chemical processes and facilit</w:t>
      </w:r>
      <w:r w:rsidR="00F65FBB">
        <w:t xml:space="preserve">ies, and to the analysis of fault and accident conditions </w:t>
      </w:r>
      <w:r>
        <w:t xml:space="preserve">on </w:t>
      </w:r>
      <w:r w:rsidRPr="00B8029B">
        <w:t>such plant.</w:t>
      </w:r>
      <w:r w:rsidR="001513EF" w:rsidRPr="00B8029B">
        <w:t xml:space="preserve">  </w:t>
      </w:r>
    </w:p>
    <w:p w14:paraId="5F3F49E1" w14:textId="77777777" w:rsidR="001D3D6C" w:rsidRPr="00B8029B" w:rsidRDefault="001D3D6C" w:rsidP="001D3D6C">
      <w:pPr>
        <w:pStyle w:val="TSBullet1Square"/>
        <w:rPr>
          <w:b/>
        </w:rPr>
      </w:pPr>
      <w:r w:rsidRPr="00B8029B">
        <w:rPr>
          <w:b/>
        </w:rPr>
        <w:t xml:space="preserve">ECR.1 </w:t>
      </w:r>
      <w:r w:rsidR="00CE2B5C" w:rsidRPr="00B8029B">
        <w:t>–</w:t>
      </w:r>
      <w:r w:rsidRPr="00B8029B">
        <w:rPr>
          <w:b/>
        </w:rPr>
        <w:t xml:space="preserve"> </w:t>
      </w:r>
      <w:r w:rsidR="00EA1BDF">
        <w:t>c</w:t>
      </w:r>
      <w:r w:rsidR="00D23A79" w:rsidRPr="00B8029B">
        <w:t>hemical reactions, solvent evaporation, solute precipitation and other chemical phenomena can impact on the presence</w:t>
      </w:r>
      <w:r w:rsidR="00D614D1">
        <w:t xml:space="preserve"> or effectiveness</w:t>
      </w:r>
      <w:r w:rsidR="00D23A79" w:rsidRPr="00B8029B">
        <w:t xml:space="preserve"> of neutron poisons and/or </w:t>
      </w:r>
      <w:r w:rsidR="00B8029B" w:rsidRPr="00B8029B">
        <w:t xml:space="preserve">the control of fissile material, including the quantity and behaviour of moderators present, such as water. </w:t>
      </w:r>
      <w:r w:rsidR="00D23A79" w:rsidRPr="00B8029B">
        <w:rPr>
          <w:b/>
        </w:rPr>
        <w:t xml:space="preserve"> </w:t>
      </w:r>
    </w:p>
    <w:p w14:paraId="5F3F49E2" w14:textId="77777777" w:rsidR="00CE2B5C" w:rsidRPr="00B8029B" w:rsidRDefault="002C1ED2" w:rsidP="001D3D6C">
      <w:pPr>
        <w:pStyle w:val="TSBullet1Square"/>
      </w:pPr>
      <w:r w:rsidRPr="00B8029B">
        <w:rPr>
          <w:b/>
        </w:rPr>
        <w:t xml:space="preserve">FA.2, </w:t>
      </w:r>
      <w:r w:rsidR="00B8029B" w:rsidRPr="00B8029B">
        <w:rPr>
          <w:b/>
        </w:rPr>
        <w:t>FA.7, FA.9, FA.15, FA.16 and AV.1 to AV.8</w:t>
      </w:r>
      <w:r w:rsidR="00CE2B5C" w:rsidRPr="00B8029B">
        <w:rPr>
          <w:b/>
        </w:rPr>
        <w:t xml:space="preserve"> </w:t>
      </w:r>
      <w:r w:rsidR="00CE2B5C" w:rsidRPr="00B8029B">
        <w:t>–</w:t>
      </w:r>
      <w:r w:rsidR="00CE2B5C" w:rsidRPr="00B8029B">
        <w:rPr>
          <w:b/>
        </w:rPr>
        <w:t xml:space="preserve"> </w:t>
      </w:r>
      <w:proofErr w:type="spellStart"/>
      <w:r w:rsidR="00EA1BDF">
        <w:t>p</w:t>
      </w:r>
      <w:r w:rsidR="00D23A79" w:rsidRPr="00B8029B">
        <w:t>hysico</w:t>
      </w:r>
      <w:proofErr w:type="spellEnd"/>
      <w:r w:rsidR="00D23A79" w:rsidRPr="00B8029B">
        <w:t>-chemical processes can play a significant part in the assessment of the radiological consequences of accidents. Sophisticated computer codes and models, which take account of chemistry phenomena, are often used when undertaking accident analysis.</w:t>
      </w:r>
    </w:p>
    <w:p w14:paraId="5F3F49E3" w14:textId="77777777" w:rsidR="00CE2B5C" w:rsidRPr="00B8029B" w:rsidRDefault="00CD2685" w:rsidP="001D3D6C">
      <w:pPr>
        <w:pStyle w:val="TSBullet1Square"/>
      </w:pPr>
      <w:r w:rsidRPr="00B8029B">
        <w:rPr>
          <w:b/>
        </w:rPr>
        <w:t xml:space="preserve">RW.1, RW.2, RW.4, </w:t>
      </w:r>
      <w:r w:rsidR="00CE2B5C" w:rsidRPr="00B8029B">
        <w:rPr>
          <w:b/>
        </w:rPr>
        <w:t>RW.5</w:t>
      </w:r>
      <w:r w:rsidR="002C1ED2" w:rsidRPr="00B8029B">
        <w:rPr>
          <w:b/>
        </w:rPr>
        <w:t xml:space="preserve">, </w:t>
      </w:r>
      <w:r w:rsidR="00B8029B" w:rsidRPr="00B8029B">
        <w:rPr>
          <w:b/>
        </w:rPr>
        <w:t xml:space="preserve">RW.6, </w:t>
      </w:r>
      <w:r w:rsidR="002C1ED2" w:rsidRPr="00B8029B">
        <w:rPr>
          <w:b/>
        </w:rPr>
        <w:t xml:space="preserve">RW.7 </w:t>
      </w:r>
      <w:r w:rsidRPr="00B8029B">
        <w:rPr>
          <w:b/>
        </w:rPr>
        <w:t>and DC.1, DC.2, DC.5 and DC.6</w:t>
      </w:r>
      <w:r w:rsidR="00CE2B5C" w:rsidRPr="00B8029B">
        <w:rPr>
          <w:b/>
        </w:rPr>
        <w:t xml:space="preserve"> </w:t>
      </w:r>
      <w:r w:rsidRPr="005939A6">
        <w:t>–</w:t>
      </w:r>
      <w:r w:rsidR="00CE2B5C" w:rsidRPr="005939A6">
        <w:t xml:space="preserve"> </w:t>
      </w:r>
      <w:r w:rsidR="00EA1BDF">
        <w:t>i</w:t>
      </w:r>
      <w:r w:rsidR="005939A6" w:rsidRPr="005939A6">
        <w:t xml:space="preserve">n </w:t>
      </w:r>
      <w:r w:rsidR="00A8430E">
        <w:t>many</w:t>
      </w:r>
      <w:r w:rsidR="00A8430E" w:rsidRPr="005939A6">
        <w:t xml:space="preserve"> </w:t>
      </w:r>
      <w:r w:rsidR="005939A6" w:rsidRPr="005939A6">
        <w:t>circumstances, appropriate chemistry control can minimise the generation and accumulation of radioactive waste.</w:t>
      </w:r>
      <w:r w:rsidR="005939A6">
        <w:rPr>
          <w:b/>
        </w:rPr>
        <w:t xml:space="preserve"> </w:t>
      </w:r>
      <w:r w:rsidRPr="00B8029B">
        <w:t xml:space="preserve">Chemical reactivity should either be removed or </w:t>
      </w:r>
      <w:r w:rsidR="00A8430E">
        <w:t>minimised</w:t>
      </w:r>
      <w:r w:rsidR="00A8430E" w:rsidRPr="00B8029B">
        <w:t xml:space="preserve"> </w:t>
      </w:r>
      <w:r w:rsidRPr="00B8029B">
        <w:t>to be able to claim passive safety</w:t>
      </w:r>
      <w:r w:rsidR="005939A6">
        <w:t xml:space="preserve"> during storage</w:t>
      </w:r>
      <w:r w:rsidRPr="00B8029B">
        <w:t>. Decommissioning nuclear facilities often involves designing chemical processes to treat or condition radioactive wastes. Chemical and radiochemical sampl</w:t>
      </w:r>
      <w:r w:rsidR="00B8029B" w:rsidRPr="00B8029B">
        <w:t xml:space="preserve">ing and analysis arrangements are also </w:t>
      </w:r>
      <w:r w:rsidRPr="00B8029B">
        <w:t>important factor</w:t>
      </w:r>
      <w:r w:rsidR="00B8029B" w:rsidRPr="00B8029B">
        <w:t>s</w:t>
      </w:r>
      <w:r w:rsidRPr="00B8029B">
        <w:t xml:space="preserve"> in determining the quality and quantity of data used to inform strategy decisions</w:t>
      </w:r>
      <w:r w:rsidR="003A1D95" w:rsidRPr="00B8029B">
        <w:t xml:space="preserve"> for radioactive waste management and decommissioning</w:t>
      </w:r>
      <w:r w:rsidRPr="00B8029B">
        <w:t xml:space="preserve">.   </w:t>
      </w:r>
    </w:p>
    <w:p w14:paraId="5F3F49E4" w14:textId="77777777" w:rsidR="009C30CF" w:rsidRPr="00B8029B" w:rsidRDefault="009C30CF" w:rsidP="009C30CF"/>
    <w:p w14:paraId="5F3F49E5" w14:textId="6DAF130F" w:rsidR="002C1ED2" w:rsidRPr="00B8029B" w:rsidRDefault="000E391B" w:rsidP="003446B5">
      <w:pPr>
        <w:pStyle w:val="TSNumberedParagraph11"/>
      </w:pPr>
      <w:r w:rsidRPr="00B8029B">
        <w:t>Chemistry can also have a role in helping to fulfil the Fundamental Principles, FP.1 to FP.8</w:t>
      </w:r>
      <w:r w:rsidR="00F65FBB">
        <w:t>;</w:t>
      </w:r>
      <w:r w:rsidR="00EF5168" w:rsidRPr="00B8029B">
        <w:t xml:space="preserve"> the Safety Case P</w:t>
      </w:r>
      <w:r w:rsidRPr="00B8029B">
        <w:t>rinciples, SC.1 to SC.8</w:t>
      </w:r>
      <w:r w:rsidR="00F65FBB">
        <w:t xml:space="preserve">; </w:t>
      </w:r>
      <w:r w:rsidR="00A8131D" w:rsidRPr="00B8029B">
        <w:t xml:space="preserve">and </w:t>
      </w:r>
      <w:r w:rsidR="00910CF0">
        <w:t xml:space="preserve">the </w:t>
      </w:r>
      <w:r w:rsidR="009D36B5">
        <w:t xml:space="preserve">Key Engineering </w:t>
      </w:r>
      <w:r w:rsidR="00EF5168" w:rsidRPr="00B8029B">
        <w:t>P</w:t>
      </w:r>
      <w:r w:rsidRPr="00B8029B">
        <w:t>rinciples EKP.1 to EKP.5. In addition, a number of other SAPs may be relevant,</w:t>
      </w:r>
      <w:r w:rsidR="00CD78B5">
        <w:t xml:space="preserve"> including</w:t>
      </w:r>
      <w:r w:rsidRPr="00B8029B">
        <w:t xml:space="preserve"> </w:t>
      </w:r>
      <w:r w:rsidR="003446B5">
        <w:t>Safety Classification and S</w:t>
      </w:r>
      <w:r w:rsidR="003446B5" w:rsidRPr="003446B5">
        <w:t xml:space="preserve">tandards </w:t>
      </w:r>
      <w:r w:rsidR="00F65FBB">
        <w:t>ECS.1 to ECS.5; Maintenance, I</w:t>
      </w:r>
      <w:r w:rsidR="003446B5">
        <w:t>nspection and T</w:t>
      </w:r>
      <w:r w:rsidR="003446B5" w:rsidRPr="003446B5">
        <w:t xml:space="preserve">esting </w:t>
      </w:r>
      <w:r w:rsidR="00F65FBB">
        <w:t xml:space="preserve">EMT.1 to EMT.8; </w:t>
      </w:r>
      <w:r w:rsidR="003446B5">
        <w:t>Containment and V</w:t>
      </w:r>
      <w:r w:rsidR="003446B5" w:rsidRPr="003446B5">
        <w:t xml:space="preserve">entilation </w:t>
      </w:r>
      <w:r w:rsidR="00F65FBB">
        <w:t>ECV.1 to ECV.10; Radiation P</w:t>
      </w:r>
      <w:r w:rsidR="003446B5" w:rsidRPr="003446B5">
        <w:t xml:space="preserve">rotection </w:t>
      </w:r>
      <w:r w:rsidR="00F65FBB">
        <w:t xml:space="preserve">RP.1 to RP.6; </w:t>
      </w:r>
      <w:r w:rsidRPr="00B8029B">
        <w:t xml:space="preserve">and </w:t>
      </w:r>
      <w:r w:rsidR="003446B5">
        <w:t>Accident Management and Emergency P</w:t>
      </w:r>
      <w:r w:rsidR="003446B5" w:rsidRPr="003446B5">
        <w:t xml:space="preserve">reparedness </w:t>
      </w:r>
      <w:r w:rsidRPr="00B8029B">
        <w:t xml:space="preserve">AM.1. </w:t>
      </w:r>
      <w:r w:rsidR="00A91281" w:rsidRPr="00B8029B">
        <w:t xml:space="preserve"> </w:t>
      </w:r>
    </w:p>
    <w:p w14:paraId="5F3F49E6" w14:textId="77777777" w:rsidR="003B0ABE" w:rsidRDefault="00A94FB0" w:rsidP="0002758C">
      <w:pPr>
        <w:pStyle w:val="TSHeadingLevel2"/>
      </w:pPr>
      <w:r w:rsidRPr="00A94FB0">
        <w:t>Technical Assessment Guides</w:t>
      </w:r>
    </w:p>
    <w:p w14:paraId="5F3F49E7" w14:textId="77777777" w:rsidR="00A94FB0" w:rsidRPr="00A94FB0" w:rsidRDefault="00A94FB0" w:rsidP="00F65FBB">
      <w:pPr>
        <w:pStyle w:val="TSNumberedParagraph11"/>
      </w:pPr>
      <w:r w:rsidRPr="00A94FB0">
        <w:t xml:space="preserve">There are </w:t>
      </w:r>
      <w:r w:rsidR="009203B8">
        <w:t>a number</w:t>
      </w:r>
      <w:r w:rsidR="00C01B4B">
        <w:t xml:space="preserve"> of</w:t>
      </w:r>
      <w:r w:rsidR="009203B8" w:rsidRPr="00A94FB0">
        <w:t xml:space="preserve"> </w:t>
      </w:r>
      <w:r w:rsidRPr="00A94FB0">
        <w:t>TAGs of potential relevance to chemistry assessment. The most relevant will be determined by the nature of the asse</w:t>
      </w:r>
      <w:r w:rsidR="005939A6">
        <w:t xml:space="preserve">ssment being undertaken and </w:t>
      </w:r>
      <w:r w:rsidR="00FA6477">
        <w:t xml:space="preserve">the </w:t>
      </w:r>
      <w:r w:rsidRPr="00A94FB0">
        <w:t>sample of</w:t>
      </w:r>
      <w:r w:rsidR="005939A6">
        <w:t xml:space="preserve"> the SAPs</w:t>
      </w:r>
      <w:r w:rsidR="00FA6477">
        <w:t xml:space="preserve"> considered relevant by the </w:t>
      </w:r>
      <w:r w:rsidRPr="00A94FB0">
        <w:t xml:space="preserve">inspector. </w:t>
      </w:r>
      <w:r w:rsidR="009203B8">
        <w:t xml:space="preserve">Appendix 1 </w:t>
      </w:r>
      <w:r w:rsidR="00FA6477">
        <w:t xml:space="preserve">contains a list of </w:t>
      </w:r>
      <w:r w:rsidRPr="00A94FB0">
        <w:t>TAGs</w:t>
      </w:r>
      <w:r w:rsidR="00FA6477">
        <w:t xml:space="preserve"> which are most likely to be relevant</w:t>
      </w:r>
      <w:r w:rsidRPr="00A94FB0">
        <w:t xml:space="preserve">. </w:t>
      </w:r>
    </w:p>
    <w:p w14:paraId="5F3F49E8" w14:textId="77777777" w:rsidR="00097D0D" w:rsidRPr="00B8029B" w:rsidRDefault="00C13A95" w:rsidP="0002758C">
      <w:pPr>
        <w:pStyle w:val="TSHeadingLevel2"/>
      </w:pPr>
      <w:r w:rsidRPr="00B8029B">
        <w:t>WENRA Reference Levels</w:t>
      </w:r>
    </w:p>
    <w:p w14:paraId="5F3F49E9" w14:textId="215F7B31" w:rsidR="005C16F6" w:rsidRPr="00B8029B" w:rsidRDefault="003B0ABE" w:rsidP="000729D2">
      <w:pPr>
        <w:pStyle w:val="TSNumberedParagraph11"/>
      </w:pPr>
      <w:r w:rsidRPr="00B8029B">
        <w:t xml:space="preserve">This TAG considers the Western European Nuclear Regulators Association (WENRA) </w:t>
      </w:r>
      <w:r w:rsidR="000729D2" w:rsidRPr="00B8029B">
        <w:t>Safety Reference Levels for Existing Reactors</w:t>
      </w:r>
      <w:r w:rsidR="000729D2" w:rsidRPr="00B8029B" w:rsidDel="000729D2">
        <w:t xml:space="preserve"> </w:t>
      </w:r>
      <w:r w:rsidR="009203B8" w:rsidRPr="00B8029B">
        <w:t>[</w:t>
      </w:r>
      <w:r w:rsidR="00D52DD1" w:rsidRPr="00B8029B">
        <w:rPr>
          <w:rStyle w:val="EndnoteReference"/>
        </w:rPr>
        <w:endnoteReference w:id="7"/>
      </w:r>
      <w:r w:rsidR="009203B8" w:rsidRPr="00B8029B">
        <w:t>]</w:t>
      </w:r>
      <w:r w:rsidR="00D52DD1" w:rsidRPr="00B8029B">
        <w:t xml:space="preserve">, </w:t>
      </w:r>
      <w:r w:rsidRPr="00B8029B">
        <w:t>Decommissioning Safety Reference Levels</w:t>
      </w:r>
      <w:r w:rsidR="00D52DD1" w:rsidRPr="00B8029B">
        <w:t xml:space="preserve"> [</w:t>
      </w:r>
      <w:r w:rsidR="00D52DD1" w:rsidRPr="00B8029B">
        <w:rPr>
          <w:rStyle w:val="EndnoteReference"/>
        </w:rPr>
        <w:endnoteReference w:id="8"/>
      </w:r>
      <w:r w:rsidR="00D52DD1" w:rsidRPr="00B8029B">
        <w:t xml:space="preserve">] </w:t>
      </w:r>
      <w:r w:rsidRPr="00B8029B">
        <w:t>and Waste and Spent Fuel Sa</w:t>
      </w:r>
      <w:r w:rsidR="00B445E7" w:rsidRPr="00B8029B">
        <w:t>fety Reference Levels</w:t>
      </w:r>
      <w:r w:rsidR="00D52DD1" w:rsidRPr="00B8029B">
        <w:t xml:space="preserve"> [</w:t>
      </w:r>
      <w:r w:rsidR="00D52DD1" w:rsidRPr="00B8029B">
        <w:rPr>
          <w:rStyle w:val="EndnoteReference"/>
        </w:rPr>
        <w:endnoteReference w:id="9"/>
      </w:r>
      <w:r w:rsidR="00D52DD1" w:rsidRPr="00B8029B">
        <w:t>]</w:t>
      </w:r>
      <w:r w:rsidR="000729D2" w:rsidRPr="00B8029B">
        <w:t xml:space="preserve"> </w:t>
      </w:r>
      <w:r w:rsidRPr="00B8029B">
        <w:t>for specif</w:t>
      </w:r>
      <w:r w:rsidR="005C16F6" w:rsidRPr="00B8029B">
        <w:t>ic applicability to chemistry. Section 4 of NS-TAST-GD-005</w:t>
      </w:r>
      <w:r w:rsidR="00D52DD1" w:rsidRPr="00B8029B">
        <w:t xml:space="preserve"> [</w:t>
      </w:r>
      <w:r w:rsidR="00AE098C" w:rsidRPr="00B8029B">
        <w:fldChar w:fldCharType="begin"/>
      </w:r>
      <w:r w:rsidR="00AE098C" w:rsidRPr="00B8029B">
        <w:instrText xml:space="preserve"> NOTEREF _Ref447280240 </w:instrText>
      </w:r>
      <w:r w:rsidR="00B8029B">
        <w:instrText xml:space="preserve"> \* MERGEFORMAT </w:instrText>
      </w:r>
      <w:r w:rsidR="00AE098C" w:rsidRPr="00B8029B">
        <w:fldChar w:fldCharType="separate"/>
      </w:r>
      <w:r w:rsidR="00C23519">
        <w:t>5</w:t>
      </w:r>
      <w:r w:rsidR="00AE098C" w:rsidRPr="00B8029B">
        <w:fldChar w:fldCharType="end"/>
      </w:r>
      <w:r w:rsidR="00D52DD1" w:rsidRPr="00B8029B">
        <w:t>]</w:t>
      </w:r>
      <w:r w:rsidR="000729D2" w:rsidRPr="00B8029B">
        <w:t xml:space="preserve"> </w:t>
      </w:r>
      <w:r w:rsidR="005C16F6" w:rsidRPr="00B8029B">
        <w:t>states that the WENRA Reference Levels are identified as relevant good p</w:t>
      </w:r>
      <w:r w:rsidR="00E44F94" w:rsidRPr="00B8029B">
        <w:t>ractice</w:t>
      </w:r>
      <w:r w:rsidR="005C16F6" w:rsidRPr="00B8029B">
        <w:t>.</w:t>
      </w:r>
      <w:r w:rsidR="00E44F94" w:rsidRPr="00B8029B">
        <w:t xml:space="preserve"> Several S</w:t>
      </w:r>
      <w:r w:rsidR="005C16F6" w:rsidRPr="00B8029B">
        <w:t xml:space="preserve">afety </w:t>
      </w:r>
      <w:r w:rsidR="00E44F94" w:rsidRPr="00B8029B">
        <w:t>Reference L</w:t>
      </w:r>
      <w:r w:rsidR="005C16F6" w:rsidRPr="00B8029B">
        <w:t xml:space="preserve">evels feature control of chemistry as an important </w:t>
      </w:r>
      <w:r w:rsidR="008027A8" w:rsidRPr="00B8029B">
        <w:t>element and</w:t>
      </w:r>
      <w:r w:rsidR="005C16F6" w:rsidRPr="00B8029B">
        <w:t xml:space="preserve"> are </w:t>
      </w:r>
      <w:r w:rsidR="00BA7BCA">
        <w:t>linked</w:t>
      </w:r>
      <w:r w:rsidR="00BA7BCA" w:rsidRPr="00B8029B">
        <w:t xml:space="preserve"> </w:t>
      </w:r>
      <w:r w:rsidR="005C16F6" w:rsidRPr="00B8029B">
        <w:t>to the appropriate</w:t>
      </w:r>
      <w:r w:rsidR="0051662A">
        <w:t xml:space="preserve"> International Atomic Energy Agency</w:t>
      </w:r>
      <w:r w:rsidR="005C16F6" w:rsidRPr="00B8029B">
        <w:t xml:space="preserve"> </w:t>
      </w:r>
      <w:r w:rsidR="0051662A">
        <w:t>(</w:t>
      </w:r>
      <w:r w:rsidR="005C16F6" w:rsidRPr="00B8029B">
        <w:t>IAEA</w:t>
      </w:r>
      <w:r w:rsidR="0051662A">
        <w:t>)</w:t>
      </w:r>
      <w:r w:rsidR="005C16F6" w:rsidRPr="00B8029B">
        <w:t xml:space="preserve"> safety standard. </w:t>
      </w:r>
    </w:p>
    <w:p w14:paraId="5F3F49EA" w14:textId="77777777" w:rsidR="003B0ABE" w:rsidRPr="005C16F6" w:rsidRDefault="005C16F6" w:rsidP="0002758C">
      <w:pPr>
        <w:pStyle w:val="TSNumberedParagraph11"/>
      </w:pPr>
      <w:r>
        <w:t>Notwithstanding the above</w:t>
      </w:r>
      <w:r w:rsidRPr="005C16F6">
        <w:t xml:space="preserve">, </w:t>
      </w:r>
      <w:r w:rsidR="003B0ABE" w:rsidRPr="005C16F6">
        <w:t xml:space="preserve">there </w:t>
      </w:r>
      <w:r w:rsidR="005939A6">
        <w:t>are no WENRA reference levels explicitly</w:t>
      </w:r>
      <w:r w:rsidRPr="005C16F6">
        <w:t xml:space="preserve"> relevant to this guide. Depending on the safety case under consideration, chemistry assessment will, however, </w:t>
      </w:r>
      <w:r w:rsidR="003B0ABE" w:rsidRPr="005C16F6">
        <w:t xml:space="preserve">contribute to meeting the following </w:t>
      </w:r>
      <w:r w:rsidR="003410C5" w:rsidRPr="000729D2">
        <w:t>Safety Reference Levels for Existing Reactors</w:t>
      </w:r>
      <w:r w:rsidR="003B0ABE" w:rsidRPr="005C16F6">
        <w:t>:</w:t>
      </w:r>
    </w:p>
    <w:p w14:paraId="5F3F49EB" w14:textId="77777777" w:rsidR="005C16F6" w:rsidRPr="005C16F6" w:rsidRDefault="005C16F6" w:rsidP="005C16F6">
      <w:pPr>
        <w:pStyle w:val="TSBullet1Square"/>
      </w:pPr>
      <w:r w:rsidRPr="005C16F6">
        <w:t>Issue E: Design basis envelope of existing reactors</w:t>
      </w:r>
      <w:r w:rsidR="00F65FBB">
        <w:t>;</w:t>
      </w:r>
    </w:p>
    <w:p w14:paraId="5F3F49EC" w14:textId="77777777" w:rsidR="005C16F6" w:rsidRPr="005C16F6" w:rsidRDefault="005C16F6" w:rsidP="005C16F6">
      <w:pPr>
        <w:pStyle w:val="TSBullet1Square"/>
      </w:pPr>
      <w:r w:rsidRPr="005C16F6">
        <w:t>Issue H: Operational limits and conditions</w:t>
      </w:r>
      <w:r w:rsidR="00F65FBB">
        <w:t>;</w:t>
      </w:r>
    </w:p>
    <w:p w14:paraId="5F3F49ED" w14:textId="77777777" w:rsidR="005C16F6" w:rsidRPr="005C16F6" w:rsidRDefault="005C16F6" w:rsidP="005C16F6">
      <w:pPr>
        <w:pStyle w:val="TSBullet1Square"/>
      </w:pPr>
      <w:r w:rsidRPr="005C16F6">
        <w:t xml:space="preserve">Issue I: </w:t>
      </w:r>
      <w:r w:rsidR="00E466FB">
        <w:t xml:space="preserve"> </w:t>
      </w:r>
      <w:r w:rsidRPr="005C16F6">
        <w:t>Ageing management</w:t>
      </w:r>
      <w:r w:rsidR="00F65FBB">
        <w:t>; and</w:t>
      </w:r>
    </w:p>
    <w:p w14:paraId="5F3F49EE" w14:textId="77777777" w:rsidR="005C16F6" w:rsidRDefault="005C16F6" w:rsidP="005C16F6">
      <w:pPr>
        <w:pStyle w:val="TSBullet1Square"/>
      </w:pPr>
      <w:r w:rsidRPr="005C16F6">
        <w:t>Issue K: Maintenance, in-service in</w:t>
      </w:r>
      <w:r w:rsidR="00A8002E">
        <w:t>spection and functional testing</w:t>
      </w:r>
      <w:r w:rsidR="00F65FBB">
        <w:t>.</w:t>
      </w:r>
    </w:p>
    <w:p w14:paraId="5F3F49EF" w14:textId="77777777" w:rsidR="009C30CF" w:rsidRPr="009C30CF" w:rsidRDefault="009C30CF" w:rsidP="009C30CF"/>
    <w:p w14:paraId="5F3F49F0" w14:textId="6705BC39" w:rsidR="005C16F6" w:rsidRPr="00593FA7" w:rsidRDefault="00F65FBB" w:rsidP="00F65FBB">
      <w:pPr>
        <w:pStyle w:val="TSNumberedParagraph11"/>
      </w:pPr>
      <w:r>
        <w:t>H</w:t>
      </w:r>
      <w:r w:rsidR="00E44F94">
        <w:t>owever</w:t>
      </w:r>
      <w:r>
        <w:t xml:space="preserve">, </w:t>
      </w:r>
      <w:r w:rsidR="005C16F6" w:rsidRPr="005C16F6">
        <w:t>Decommissioning Safety Reference Levels and Waste and Spent Fue</w:t>
      </w:r>
      <w:r w:rsidR="00E44F94">
        <w:t>l Safety Reference Levels should be considered as relevant good practice for all types of nuclear f</w:t>
      </w:r>
      <w:r>
        <w:t xml:space="preserve">acilities </w:t>
      </w:r>
      <w:r w:rsidR="00E44F94">
        <w:t>and cover all phases of the lifecycle</w:t>
      </w:r>
      <w:r w:rsidR="00BA7BCA">
        <w:t xml:space="preserve"> of nuclear facilities</w:t>
      </w:r>
      <w:r w:rsidR="005C16F6" w:rsidRPr="005C16F6">
        <w:t xml:space="preserve">.  </w:t>
      </w:r>
    </w:p>
    <w:p w14:paraId="5F3F49F1" w14:textId="77777777" w:rsidR="00097D0D" w:rsidRPr="00095278" w:rsidRDefault="00AF7B82" w:rsidP="0002758C">
      <w:pPr>
        <w:pStyle w:val="TSHeadingLevel2"/>
      </w:pPr>
      <w:r>
        <w:t>IAEA Safety Standards</w:t>
      </w:r>
    </w:p>
    <w:p w14:paraId="5F3F49F2" w14:textId="05167C43" w:rsidR="00593FA7" w:rsidRPr="00593FA7" w:rsidRDefault="00E1197D" w:rsidP="0002758C">
      <w:pPr>
        <w:pStyle w:val="TSNumberedParagraph11"/>
      </w:pPr>
      <w:r w:rsidRPr="00593FA7">
        <w:t>IAEA</w:t>
      </w:r>
      <w:r>
        <w:t xml:space="preserve"> </w:t>
      </w:r>
      <w:r w:rsidRPr="00593FA7">
        <w:t>publish</w:t>
      </w:r>
      <w:r w:rsidR="00AC33DB">
        <w:t>es</w:t>
      </w:r>
      <w:r w:rsidR="00593FA7" w:rsidRPr="00593FA7">
        <w:t xml:space="preserve"> safety standards t</w:t>
      </w:r>
      <w:r w:rsidR="00FA6477">
        <w:t>hat are applicable to</w:t>
      </w:r>
      <w:r w:rsidR="00593FA7" w:rsidRPr="00593FA7">
        <w:t xml:space="preserve"> nuclear power plants, nuclear fuel cycle facilities and research reactors. The standards relevant to reactor chemistry assessment and the requirement for a ‘chemistry programme’ are discussed in Appendix 2</w:t>
      </w:r>
      <w:r w:rsidR="00EA39A7">
        <w:t xml:space="preserve"> of</w:t>
      </w:r>
      <w:r w:rsidR="00DF7AF3">
        <w:t xml:space="preserve"> [</w:t>
      </w:r>
      <w:r w:rsidR="0052667E">
        <w:fldChar w:fldCharType="begin"/>
      </w:r>
      <w:r w:rsidR="0052667E">
        <w:instrText xml:space="preserve"> NOTEREF _Ref447275804 </w:instrText>
      </w:r>
      <w:r w:rsidR="0052667E">
        <w:fldChar w:fldCharType="separate"/>
      </w:r>
      <w:r w:rsidR="00C23519">
        <w:t>3</w:t>
      </w:r>
      <w:r w:rsidR="0052667E">
        <w:fldChar w:fldCharType="end"/>
      </w:r>
      <w:r w:rsidR="00DF7AF3">
        <w:t>].</w:t>
      </w:r>
      <w:r w:rsidR="00593FA7" w:rsidRPr="00593FA7">
        <w:t xml:space="preserve"> </w:t>
      </w:r>
    </w:p>
    <w:p w14:paraId="5F3F49F3" w14:textId="4AA9D342" w:rsidR="00593FA7" w:rsidRDefault="00593FA7" w:rsidP="0002758C">
      <w:pPr>
        <w:pStyle w:val="TSNumberedParagraph11"/>
      </w:pPr>
      <w:r>
        <w:t>IAEA’s</w:t>
      </w:r>
      <w:r w:rsidR="00394D98">
        <w:t xml:space="preserve"> S</w:t>
      </w:r>
      <w:r w:rsidR="00EA39A7">
        <w:t xml:space="preserve">afety Standard for </w:t>
      </w:r>
      <w:r w:rsidR="00886667">
        <w:t>Nuclear Fuel Cycle Facilities</w:t>
      </w:r>
      <w:r w:rsidR="007F0826">
        <w:t xml:space="preserve"> [</w:t>
      </w:r>
      <w:r w:rsidR="007F0826">
        <w:rPr>
          <w:rStyle w:val="EndnoteReference"/>
        </w:rPr>
        <w:endnoteReference w:id="10"/>
      </w:r>
      <w:r w:rsidR="007F0826">
        <w:t>],</w:t>
      </w:r>
      <w:r>
        <w:t xml:space="preserve"> </w:t>
      </w:r>
      <w:r w:rsidR="00394D98">
        <w:t>describes various considerations that should be made during the des</w:t>
      </w:r>
      <w:r w:rsidR="00EA39A7">
        <w:t>ign of such plant, and states</w:t>
      </w:r>
      <w:r w:rsidR="00F65FBB">
        <w:t>,</w:t>
      </w:r>
      <w:r w:rsidR="00EA39A7">
        <w:t xml:space="preserve"> </w:t>
      </w:r>
      <w:r w:rsidR="00394D98" w:rsidRPr="00921D3A">
        <w:rPr>
          <w:i/>
        </w:rPr>
        <w:t>“the control of events initiated by chemical hazards can have a significant bearing on achieving the fundamental safety objective.”</w:t>
      </w:r>
      <w:r w:rsidR="00394D98">
        <w:t xml:space="preserve"> The document requir</w:t>
      </w:r>
      <w:r w:rsidR="00F65FBB">
        <w:t>es consideration of chemistry with</w:t>
      </w:r>
      <w:r w:rsidR="00394D98">
        <w:t xml:space="preserve"> respect to material selection and ageing, emergency planning, decommissioning, criticality and the design basis of the plant.</w:t>
      </w:r>
    </w:p>
    <w:p w14:paraId="5F3F49F4" w14:textId="33FBEE4F" w:rsidR="00593FA7" w:rsidRPr="007F0826" w:rsidRDefault="00593FA7" w:rsidP="0002758C">
      <w:pPr>
        <w:pStyle w:val="TSNumberedParagraph11"/>
      </w:pPr>
      <w:r>
        <w:t>Depending on</w:t>
      </w:r>
      <w:r w:rsidR="00334761">
        <w:t xml:space="preserve"> the safety case under consideration</w:t>
      </w:r>
      <w:r>
        <w:t>, IAEA ha</w:t>
      </w:r>
      <w:r w:rsidR="00AC33DB">
        <w:t>s</w:t>
      </w:r>
      <w:r>
        <w:t xml:space="preserve"> also published </w:t>
      </w:r>
      <w:r w:rsidR="00423B82">
        <w:t xml:space="preserve">a series of </w:t>
      </w:r>
      <w:r w:rsidR="000F0555">
        <w:t xml:space="preserve">General Safety Guides (GSGs), </w:t>
      </w:r>
      <w:r w:rsidR="00423B82">
        <w:t>Specific</w:t>
      </w:r>
      <w:r>
        <w:t xml:space="preserve"> Safety Guides</w:t>
      </w:r>
      <w:r w:rsidR="000F0555">
        <w:t xml:space="preserve"> (SSGs) and other </w:t>
      </w:r>
      <w:r w:rsidR="000F0555" w:rsidRPr="007F0826">
        <w:t xml:space="preserve">documentation </w:t>
      </w:r>
      <w:r w:rsidR="001E217B" w:rsidRPr="007F0826">
        <w:t>which may be relevant</w:t>
      </w:r>
      <w:r w:rsidR="00BA7BCA">
        <w:t>, including</w:t>
      </w:r>
      <w:r w:rsidRPr="007F0826">
        <w:t>:</w:t>
      </w:r>
    </w:p>
    <w:p w14:paraId="5F3F49F5" w14:textId="62F209B0" w:rsidR="001E217B" w:rsidRDefault="000F0555" w:rsidP="001E217B">
      <w:pPr>
        <w:pStyle w:val="TSBullet1Square"/>
      </w:pPr>
      <w:r w:rsidRPr="007F0826">
        <w:t>The Safety Case and Safety Assessment for the P</w:t>
      </w:r>
      <w:r w:rsidR="001E217B" w:rsidRPr="007F0826">
        <w:t xml:space="preserve">re-disposal </w:t>
      </w:r>
      <w:r w:rsidRPr="007F0826">
        <w:t xml:space="preserve">Management of Radioactive Waste </w:t>
      </w:r>
      <w:r w:rsidR="007F0826">
        <w:t>–</w:t>
      </w:r>
      <w:r w:rsidR="007F0826" w:rsidRPr="007F0826">
        <w:t xml:space="preserve"> </w:t>
      </w:r>
      <w:r w:rsidRPr="00DB4353">
        <w:t>GSG</w:t>
      </w:r>
      <w:r w:rsidR="007F0826">
        <w:t>-</w:t>
      </w:r>
      <w:r w:rsidRPr="00DB4353">
        <w:t>3</w:t>
      </w:r>
      <w:r w:rsidR="007F0826">
        <w:t xml:space="preserve"> [</w:t>
      </w:r>
      <w:r w:rsidR="007F0826">
        <w:rPr>
          <w:rStyle w:val="EndnoteReference"/>
        </w:rPr>
        <w:endnoteReference w:id="11"/>
      </w:r>
      <w:r w:rsidR="007F0826">
        <w:t>]</w:t>
      </w:r>
    </w:p>
    <w:p w14:paraId="5F3F49F6" w14:textId="7A6A9F98" w:rsidR="00C509C0" w:rsidRPr="00C509C0" w:rsidRDefault="00C509C0" w:rsidP="00C509C0">
      <w:pPr>
        <w:pStyle w:val="TSBullet1Square"/>
      </w:pPr>
      <w:r w:rsidRPr="00C509C0">
        <w:t>Chemistry Programme for Water Cooled Nuclear Power Plants</w:t>
      </w:r>
      <w:r>
        <w:t xml:space="preserve"> -</w:t>
      </w:r>
      <w:r w:rsidRPr="00C509C0">
        <w:t xml:space="preserve"> </w:t>
      </w:r>
      <w:r w:rsidRPr="005B48D5">
        <w:t>IAEA SSG-13</w:t>
      </w:r>
      <w:r w:rsidR="00B842F4">
        <w:t xml:space="preserve"> </w:t>
      </w:r>
      <w:r w:rsidR="007A7108">
        <w:t>[</w:t>
      </w:r>
      <w:r w:rsidR="00C041BD">
        <w:rPr>
          <w:rStyle w:val="EndnoteReference"/>
        </w:rPr>
        <w:endnoteReference w:id="12"/>
      </w:r>
      <w:r w:rsidR="007A7108">
        <w:t>]</w:t>
      </w:r>
    </w:p>
    <w:p w14:paraId="5F3F49F7" w14:textId="77777777" w:rsidR="001E217B" w:rsidRPr="007F0826" w:rsidRDefault="00687324" w:rsidP="001E217B">
      <w:pPr>
        <w:pStyle w:val="TSBullet1Square"/>
      </w:pPr>
      <w:r>
        <w:t>Safety of Conversion F</w:t>
      </w:r>
      <w:r w:rsidR="001E217B" w:rsidRPr="00334761">
        <w:t>acilities an</w:t>
      </w:r>
      <w:r>
        <w:t>d Uranium Enrichment F</w:t>
      </w:r>
      <w:r w:rsidR="000F0555">
        <w:t xml:space="preserve">acilities </w:t>
      </w:r>
      <w:r w:rsidR="007F0826">
        <w:t xml:space="preserve">– </w:t>
      </w:r>
      <w:r w:rsidR="000F0555" w:rsidRPr="00DB4353">
        <w:t xml:space="preserve">SSG-5 </w:t>
      </w:r>
      <w:r w:rsidR="007F0826">
        <w:t>[</w:t>
      </w:r>
      <w:r w:rsidR="007F0826">
        <w:rPr>
          <w:rStyle w:val="EndnoteReference"/>
        </w:rPr>
        <w:endnoteReference w:id="13"/>
      </w:r>
      <w:r w:rsidR="007F0826">
        <w:t>]</w:t>
      </w:r>
    </w:p>
    <w:p w14:paraId="5F3F49F8" w14:textId="2FDD0303" w:rsidR="001E217B" w:rsidRPr="00DB4353" w:rsidRDefault="0007177F" w:rsidP="001E217B">
      <w:pPr>
        <w:pStyle w:val="TSBullet1Square"/>
      </w:pPr>
      <w:r>
        <w:t>Safety of U</w:t>
      </w:r>
      <w:r w:rsidR="001E217B" w:rsidRPr="00334761">
        <w:t>ran</w:t>
      </w:r>
      <w:r w:rsidR="000F0555">
        <w:t xml:space="preserve">ium </w:t>
      </w:r>
      <w:r>
        <w:t>F</w:t>
      </w:r>
      <w:r w:rsidR="000F0555">
        <w:t xml:space="preserve">uel </w:t>
      </w:r>
      <w:r>
        <w:t>F</w:t>
      </w:r>
      <w:r w:rsidR="000F0555">
        <w:t xml:space="preserve">abrication </w:t>
      </w:r>
      <w:r>
        <w:t>F</w:t>
      </w:r>
      <w:r w:rsidR="000F0555">
        <w:t xml:space="preserve">acilities </w:t>
      </w:r>
      <w:r w:rsidR="007F0826">
        <w:t xml:space="preserve">– </w:t>
      </w:r>
      <w:r w:rsidR="000F0555" w:rsidRPr="00DB4353">
        <w:t>SSG-6</w:t>
      </w:r>
      <w:r w:rsidR="007F0826">
        <w:t xml:space="preserve"> [</w:t>
      </w:r>
      <w:r w:rsidR="007F0826">
        <w:rPr>
          <w:rStyle w:val="EndnoteReference"/>
        </w:rPr>
        <w:endnoteReference w:id="14"/>
      </w:r>
      <w:r w:rsidR="007F0826">
        <w:t>]</w:t>
      </w:r>
    </w:p>
    <w:p w14:paraId="5F3F49F9" w14:textId="4CC94C2D" w:rsidR="001E217B" w:rsidRPr="00DB4353" w:rsidRDefault="000F0555" w:rsidP="001E217B">
      <w:pPr>
        <w:pStyle w:val="TSBullet1Square"/>
      </w:pPr>
      <w:r>
        <w:t xml:space="preserve">Safety of Uranium and Plutonium </w:t>
      </w:r>
      <w:r w:rsidR="00860FDB">
        <w:t xml:space="preserve">Mixed </w:t>
      </w:r>
      <w:r>
        <w:t>O</w:t>
      </w:r>
      <w:r w:rsidR="001E217B" w:rsidRPr="00334761">
        <w:t>x</w:t>
      </w:r>
      <w:r>
        <w:t>ide F</w:t>
      </w:r>
      <w:r w:rsidR="00687324">
        <w:t>uel Fabrication F</w:t>
      </w:r>
      <w:r>
        <w:t xml:space="preserve">acilities </w:t>
      </w:r>
      <w:r w:rsidR="007F0826">
        <w:t xml:space="preserve">– </w:t>
      </w:r>
      <w:r w:rsidRPr="00DB4353">
        <w:t>SSG-7</w:t>
      </w:r>
      <w:r w:rsidR="007F0826">
        <w:t xml:space="preserve"> [</w:t>
      </w:r>
      <w:r w:rsidR="007F0826">
        <w:rPr>
          <w:rStyle w:val="EndnoteReference"/>
        </w:rPr>
        <w:endnoteReference w:id="15"/>
      </w:r>
      <w:r w:rsidR="007F0826">
        <w:t>]</w:t>
      </w:r>
    </w:p>
    <w:p w14:paraId="5F3F49FA" w14:textId="617C4A83" w:rsidR="001E217B" w:rsidRPr="007F0826" w:rsidRDefault="000F0555" w:rsidP="001E217B">
      <w:pPr>
        <w:pStyle w:val="TSBullet1Square"/>
      </w:pPr>
      <w:r>
        <w:t>Storage of Spent Nuclear F</w:t>
      </w:r>
      <w:r w:rsidR="004E49A5">
        <w:t xml:space="preserve">uel </w:t>
      </w:r>
      <w:r w:rsidR="007F0826">
        <w:t xml:space="preserve">– </w:t>
      </w:r>
      <w:r w:rsidR="004E49A5" w:rsidRPr="00DB4353">
        <w:t>SSG-15</w:t>
      </w:r>
      <w:r w:rsidR="007F0826">
        <w:t xml:space="preserve"> [</w:t>
      </w:r>
      <w:r w:rsidR="007F0826">
        <w:rPr>
          <w:rStyle w:val="EndnoteReference"/>
        </w:rPr>
        <w:endnoteReference w:id="16"/>
      </w:r>
      <w:r w:rsidR="007F0826">
        <w:t>]</w:t>
      </w:r>
    </w:p>
    <w:p w14:paraId="5F3F49FB" w14:textId="78438091" w:rsidR="001E217B" w:rsidRPr="007F0826" w:rsidRDefault="001E217B" w:rsidP="001E217B">
      <w:pPr>
        <w:pStyle w:val="TSBullet1Square"/>
      </w:pPr>
      <w:r w:rsidRPr="007F0826">
        <w:t xml:space="preserve">Decommissioning of Nuclear Fuel Cycle </w:t>
      </w:r>
      <w:r w:rsidR="004E49A5" w:rsidRPr="007F0826">
        <w:t xml:space="preserve">Facilities Safety Guide </w:t>
      </w:r>
      <w:r w:rsidR="007F0826" w:rsidRPr="007F0826">
        <w:t xml:space="preserve">– </w:t>
      </w:r>
      <w:r w:rsidR="004E49A5" w:rsidRPr="00DB4353">
        <w:t>WS-G-2.</w:t>
      </w:r>
      <w:r w:rsidR="007F0826" w:rsidRPr="00DB4353">
        <w:t xml:space="preserve"> [</w:t>
      </w:r>
      <w:r w:rsidR="007F0826" w:rsidRPr="00DB4353">
        <w:rPr>
          <w:rStyle w:val="EndnoteReference"/>
        </w:rPr>
        <w:endnoteReference w:id="17"/>
      </w:r>
      <w:r w:rsidR="007F0826" w:rsidRPr="00DB4353">
        <w:t>]</w:t>
      </w:r>
    </w:p>
    <w:p w14:paraId="5F3F49FC" w14:textId="50A839FA" w:rsidR="001E217B" w:rsidRDefault="001E217B" w:rsidP="001E217B">
      <w:pPr>
        <w:pStyle w:val="TSBullet1Square"/>
      </w:pPr>
      <w:r w:rsidRPr="00334761">
        <w:t>Design of Fuel Handling and Storage S</w:t>
      </w:r>
      <w:r w:rsidR="004E49A5">
        <w:t>ystems for Nuclear Power Plants – NS-G-1.4</w:t>
      </w:r>
      <w:r w:rsidR="007F0826">
        <w:t xml:space="preserve"> [</w:t>
      </w:r>
      <w:r w:rsidR="007F0826">
        <w:rPr>
          <w:rStyle w:val="EndnoteReference"/>
        </w:rPr>
        <w:endnoteReference w:id="18"/>
      </w:r>
      <w:r w:rsidR="00A8002E">
        <w:t>]</w:t>
      </w:r>
    </w:p>
    <w:p w14:paraId="5F3F49FD" w14:textId="77777777" w:rsidR="00117C09" w:rsidRPr="00117C09" w:rsidRDefault="00117C09" w:rsidP="00117C09"/>
    <w:p w14:paraId="5F3F49FE" w14:textId="60C51D09" w:rsidR="00D01F0C" w:rsidRDefault="00687324" w:rsidP="0002758C">
      <w:pPr>
        <w:pStyle w:val="TSNumberedParagraph11"/>
      </w:pPr>
      <w:r>
        <w:t xml:space="preserve">These publications </w:t>
      </w:r>
      <w:r w:rsidR="001E217B" w:rsidRPr="00334761">
        <w:t xml:space="preserve">do not </w:t>
      </w:r>
      <w:r w:rsidR="00B84D77">
        <w:t xml:space="preserve">all </w:t>
      </w:r>
      <w:r w:rsidR="001E217B" w:rsidRPr="00334761">
        <w:t>focus specifically on chemistry aspects but do include provisions related to chemist</w:t>
      </w:r>
      <w:r w:rsidR="00E7425A">
        <w:t xml:space="preserve">ry assessment. For example, </w:t>
      </w:r>
      <w:r w:rsidR="001E217B" w:rsidRPr="00334761">
        <w:t xml:space="preserve">the integrity of materials used for the processing </w:t>
      </w:r>
      <w:r w:rsidR="00E7425A">
        <w:t xml:space="preserve">and storage of nuclear material, </w:t>
      </w:r>
      <w:r w:rsidR="001E217B" w:rsidRPr="00334761">
        <w:t xml:space="preserve">and control of </w:t>
      </w:r>
      <w:r w:rsidR="00BA7BCA">
        <w:t>fuel storage pool</w:t>
      </w:r>
      <w:r w:rsidR="00BA7BCA" w:rsidRPr="00334761">
        <w:t xml:space="preserve"> </w:t>
      </w:r>
      <w:r w:rsidR="001E217B" w:rsidRPr="00334761">
        <w:t xml:space="preserve">water chemistry. In addition, some documents (SSG-5 and SSG-7) describe chemical hazards commonly </w:t>
      </w:r>
      <w:r>
        <w:t xml:space="preserve">encountered at </w:t>
      </w:r>
      <w:r w:rsidR="001E217B" w:rsidRPr="00334761">
        <w:t xml:space="preserve">particular </w:t>
      </w:r>
      <w:r>
        <w:t xml:space="preserve">nuclear </w:t>
      </w:r>
      <w:r w:rsidR="001E217B" w:rsidRPr="00334761">
        <w:t>facilities</w:t>
      </w:r>
      <w:r>
        <w:t xml:space="preserve">. </w:t>
      </w:r>
    </w:p>
    <w:p w14:paraId="5F3F49FF" w14:textId="41BF1F2A" w:rsidR="00A94FB0" w:rsidRDefault="00A94FB0" w:rsidP="0002758C">
      <w:pPr>
        <w:pStyle w:val="TSNumberedParagraph11"/>
      </w:pPr>
      <w:r w:rsidRPr="00A94FB0">
        <w:t>IAEA ha</w:t>
      </w:r>
      <w:r w:rsidR="00352AE2">
        <w:t>s</w:t>
      </w:r>
      <w:r w:rsidRPr="00A94FB0">
        <w:t xml:space="preserve"> also published a Safety Report, number 56, Approaches and Tools for Severe Accident Analysis for Nuclear Power Plants</w:t>
      </w:r>
      <w:r w:rsidR="00CF1744">
        <w:t xml:space="preserve"> [</w:t>
      </w:r>
      <w:r w:rsidR="00CF1744">
        <w:rPr>
          <w:rStyle w:val="EndnoteReference"/>
        </w:rPr>
        <w:endnoteReference w:id="19"/>
      </w:r>
      <w:r w:rsidR="00CF1744">
        <w:t xml:space="preserve">]. </w:t>
      </w:r>
      <w:r w:rsidRPr="00A94FB0">
        <w:t>This report contains some information of relevance to the as</w:t>
      </w:r>
      <w:r>
        <w:t>sessment of accident chemistry.</w:t>
      </w:r>
    </w:p>
    <w:p w14:paraId="5F3F4A00" w14:textId="77777777" w:rsidR="002C1ED2" w:rsidRDefault="00A94FB0" w:rsidP="0002758C">
      <w:pPr>
        <w:pStyle w:val="TSNumberedParagraph11"/>
      </w:pPr>
      <w:r>
        <w:t xml:space="preserve">This guide is consistent with the requirements of the above documentation and the inspector </w:t>
      </w:r>
      <w:r w:rsidR="00E7425A">
        <w:t xml:space="preserve">should consider these documents, as appropriate, </w:t>
      </w:r>
      <w:r w:rsidR="00CF1744">
        <w:t xml:space="preserve">where </w:t>
      </w:r>
      <w:r>
        <w:t xml:space="preserve">they are judged to provide relevant good practice in chemistry. </w:t>
      </w:r>
    </w:p>
    <w:p w14:paraId="5F3F4A01" w14:textId="77777777" w:rsidR="009B5159" w:rsidRPr="004617D9" w:rsidRDefault="00A5036D" w:rsidP="0002758C">
      <w:pPr>
        <w:pStyle w:val="TSHeadingLevel1Numbered"/>
      </w:pPr>
      <w:bookmarkStart w:id="13" w:name="_Toc447189486"/>
      <w:bookmarkStart w:id="14" w:name="Generalguidance"/>
      <w:bookmarkStart w:id="15" w:name="_Toc61505473"/>
      <w:r>
        <w:t xml:space="preserve">GENERAL </w:t>
      </w:r>
      <w:r w:rsidRPr="004617D9">
        <w:t>ADVICE TO INSPECTORS</w:t>
      </w:r>
      <w:bookmarkEnd w:id="13"/>
      <w:bookmarkEnd w:id="14"/>
      <w:bookmarkEnd w:id="15"/>
    </w:p>
    <w:p w14:paraId="5F3F4A02" w14:textId="77777777" w:rsidR="006C5F36" w:rsidRPr="00B97AD1" w:rsidRDefault="001C4488" w:rsidP="0002758C">
      <w:pPr>
        <w:pStyle w:val="TSNumberedParagraph11"/>
      </w:pPr>
      <w:r>
        <w:t xml:space="preserve">This guide </w:t>
      </w:r>
      <w:r w:rsidR="006C5F36" w:rsidRPr="00B97AD1">
        <w:t>forms part of ONR’s wider suite of standards and guidance on chemistry and should therefore be read in conjunction with the che</w:t>
      </w:r>
      <w:r w:rsidR="00886667">
        <w:t>mistry SAPs and the TAG on the Chemistry of Operating Civil Nuclear R</w:t>
      </w:r>
      <w:r w:rsidR="006C5F36" w:rsidRPr="00B97AD1">
        <w:t>eac</w:t>
      </w:r>
      <w:r w:rsidR="006C5F36" w:rsidRPr="005A7EB3">
        <w:t>tors</w:t>
      </w:r>
      <w:r w:rsidR="00FA6477">
        <w:t xml:space="preserve"> [</w:t>
      </w:r>
      <w:r w:rsidR="00FA6477">
        <w:fldChar w:fldCharType="begin"/>
      </w:r>
      <w:r w:rsidR="00FA6477">
        <w:instrText xml:space="preserve"> NOTEREF _Ref447275804 \h </w:instrText>
      </w:r>
      <w:r w:rsidR="00FA6477">
        <w:fldChar w:fldCharType="separate"/>
      </w:r>
      <w:r w:rsidR="00C23519">
        <w:t>3</w:t>
      </w:r>
      <w:r w:rsidR="00FA6477">
        <w:fldChar w:fldCharType="end"/>
      </w:r>
      <w:r w:rsidR="00FA6477">
        <w:t>]</w:t>
      </w:r>
      <w:r w:rsidR="005A7EB3" w:rsidRPr="005A7EB3">
        <w:t>.</w:t>
      </w:r>
      <w:r w:rsidR="006C5F36" w:rsidRPr="00B97AD1">
        <w:t xml:space="preserve"> </w:t>
      </w:r>
    </w:p>
    <w:p w14:paraId="5F3F4A03" w14:textId="77777777" w:rsidR="00146C58" w:rsidRPr="002C1ED2" w:rsidRDefault="006C5F36" w:rsidP="0002758C">
      <w:pPr>
        <w:pStyle w:val="TSNumberedParagraph11"/>
      </w:pPr>
      <w:r w:rsidRPr="00B97AD1">
        <w:t>The main purpose of this particular TAG is to</w:t>
      </w:r>
      <w:r w:rsidR="00FA6477">
        <w:t xml:space="preserve"> provide </w:t>
      </w:r>
      <w:r w:rsidR="00BA7BCA">
        <w:t>guidance</w:t>
      </w:r>
      <w:r w:rsidR="00BA7BCA" w:rsidRPr="00B97AD1">
        <w:t xml:space="preserve"> </w:t>
      </w:r>
      <w:r w:rsidRPr="00B97AD1">
        <w:t xml:space="preserve">to inspectors when </w:t>
      </w:r>
      <w:r w:rsidR="004A2B79" w:rsidRPr="00B97AD1">
        <w:t xml:space="preserve">interpreting </w:t>
      </w:r>
      <w:r w:rsidR="00BA7BCA">
        <w:t xml:space="preserve">both </w:t>
      </w:r>
      <w:r w:rsidRPr="00B97AD1">
        <w:t>the chemistry SAPs</w:t>
      </w:r>
      <w:r w:rsidR="00D86B9D">
        <w:t>,</w:t>
      </w:r>
      <w:r w:rsidRPr="00B97AD1">
        <w:t xml:space="preserve"> and those SAPs </w:t>
      </w:r>
      <w:r w:rsidR="00227A59" w:rsidRPr="00B97AD1">
        <w:t xml:space="preserve">where chemistry has been </w:t>
      </w:r>
      <w:r w:rsidRPr="00B97AD1">
        <w:t>identified</w:t>
      </w:r>
      <w:r w:rsidR="005A7EB3">
        <w:t xml:space="preserve"> </w:t>
      </w:r>
      <w:r w:rsidRPr="00B97AD1">
        <w:t>as havin</w:t>
      </w:r>
      <w:r w:rsidR="00227A59" w:rsidRPr="00B97AD1">
        <w:t>g a role in satisfying</w:t>
      </w:r>
      <w:r w:rsidRPr="00B97AD1">
        <w:t xml:space="preserve"> their requirements</w:t>
      </w:r>
      <w:r w:rsidR="005A7EB3">
        <w:t xml:space="preserve"> (paragraph </w:t>
      </w:r>
      <w:r w:rsidR="0052667E">
        <w:fldChar w:fldCharType="begin"/>
      </w:r>
      <w:r w:rsidR="0052667E">
        <w:instrText xml:space="preserve"> REF saps_implying_chemistry \r </w:instrText>
      </w:r>
      <w:r w:rsidR="0052667E">
        <w:fldChar w:fldCharType="separate"/>
      </w:r>
      <w:r w:rsidR="00C23519">
        <w:t>4.4</w:t>
      </w:r>
      <w:r w:rsidR="0052667E">
        <w:fldChar w:fldCharType="end"/>
      </w:r>
      <w:r w:rsidR="005A7EB3">
        <w:t>)</w:t>
      </w:r>
      <w:r w:rsidR="00FA6477">
        <w:t>.</w:t>
      </w:r>
    </w:p>
    <w:p w14:paraId="5F3F4A04" w14:textId="77777777" w:rsidR="00097D0D" w:rsidRPr="00097D0D" w:rsidRDefault="00097D0D" w:rsidP="0002758C">
      <w:pPr>
        <w:pStyle w:val="TSHeadingLevel2"/>
      </w:pPr>
      <w:r>
        <w:t>Terminology</w:t>
      </w:r>
    </w:p>
    <w:p w14:paraId="5F3F4A05" w14:textId="77777777" w:rsidR="006C5F36" w:rsidRPr="00B97AD1" w:rsidRDefault="006C5F36" w:rsidP="0002758C">
      <w:pPr>
        <w:pStyle w:val="TSNumberedParagraph11"/>
      </w:pPr>
      <w:r w:rsidRPr="00B97AD1">
        <w:t xml:space="preserve">The introductory section to the chemistry SAPs states that </w:t>
      </w:r>
      <w:r w:rsidR="005A7EB3">
        <w:t>‘</w:t>
      </w:r>
      <w:r w:rsidRPr="00B97AD1">
        <w:t>chemistry</w:t>
      </w:r>
      <w:r w:rsidR="005A7EB3">
        <w:t>’</w:t>
      </w:r>
      <w:r w:rsidR="005A7EB3" w:rsidRPr="00B97AD1">
        <w:t xml:space="preserve"> </w:t>
      </w:r>
      <w:r w:rsidRPr="00B97AD1">
        <w:t xml:space="preserve">should be interpreted to mean chemical or radiochemical </w:t>
      </w:r>
      <w:r w:rsidR="00E7425A">
        <w:t xml:space="preserve">parameters, </w:t>
      </w:r>
      <w:r w:rsidR="008F5F2F">
        <w:t>or effects. T</w:t>
      </w:r>
      <w:r w:rsidRPr="00B97AD1">
        <w:t xml:space="preserve">he term </w:t>
      </w:r>
      <w:r w:rsidR="00D215BD">
        <w:t>‘</w:t>
      </w:r>
      <w:r w:rsidRPr="00B97AD1">
        <w:t>chemistry</w:t>
      </w:r>
      <w:r w:rsidR="00D215BD">
        <w:t>’</w:t>
      </w:r>
      <w:r w:rsidR="00D215BD" w:rsidRPr="00B97AD1">
        <w:t xml:space="preserve"> </w:t>
      </w:r>
      <w:r w:rsidRPr="00B97AD1">
        <w:t>therefore encompasses aspects of chemistry,</w:t>
      </w:r>
      <w:r w:rsidR="008F5F2F">
        <w:t xml:space="preserve"> </w:t>
      </w:r>
      <w:r w:rsidRPr="00B97AD1">
        <w:t xml:space="preserve">radiochemistry and radiation chemistry. </w:t>
      </w:r>
      <w:r w:rsidR="005540E8">
        <w:t>All of these areas may</w:t>
      </w:r>
      <w:r w:rsidR="00227A59" w:rsidRPr="00B97AD1">
        <w:t xml:space="preserve"> therefore be considered by the inspector when decidin</w:t>
      </w:r>
      <w:r w:rsidR="009347E5" w:rsidRPr="00B97AD1">
        <w:t>g upon the</w:t>
      </w:r>
      <w:r w:rsidR="00227A59" w:rsidRPr="00B97AD1">
        <w:t xml:space="preserve"> strategy for sampling</w:t>
      </w:r>
      <w:r w:rsidR="009347E5" w:rsidRPr="00B97AD1">
        <w:t xml:space="preserve"> and assessing </w:t>
      </w:r>
      <w:r w:rsidR="004A2B79" w:rsidRPr="00B97AD1">
        <w:t>chemistry aspects of</w:t>
      </w:r>
      <w:r w:rsidR="00227A59" w:rsidRPr="00B97AD1">
        <w:t xml:space="preserve"> a safety case. </w:t>
      </w:r>
      <w:r w:rsidRPr="00B97AD1">
        <w:t>T</w:t>
      </w:r>
      <w:r w:rsidR="00227A59" w:rsidRPr="00B97AD1">
        <w:t>o avoid ambiguity eac</w:t>
      </w:r>
      <w:r w:rsidR="005540E8">
        <w:t xml:space="preserve">h of the terms </w:t>
      </w:r>
      <w:r w:rsidR="00996367">
        <w:t>is</w:t>
      </w:r>
      <w:r w:rsidR="005540E8">
        <w:t xml:space="preserve"> defined as</w:t>
      </w:r>
      <w:r w:rsidRPr="00B97AD1">
        <w:t>:</w:t>
      </w:r>
    </w:p>
    <w:p w14:paraId="5F3F4A06" w14:textId="77777777" w:rsidR="006C5F36" w:rsidRPr="00531068" w:rsidRDefault="006C5F36" w:rsidP="00531068">
      <w:pPr>
        <w:pStyle w:val="TSBullet1Square"/>
      </w:pPr>
      <w:r w:rsidRPr="008512F8">
        <w:rPr>
          <w:b/>
        </w:rPr>
        <w:t xml:space="preserve">Chemistry </w:t>
      </w:r>
      <w:r w:rsidRPr="00531068">
        <w:t xml:space="preserve">– a physical science concerned with the composition, properties and reactions of substances. </w:t>
      </w:r>
    </w:p>
    <w:p w14:paraId="5F3F4A07" w14:textId="77777777" w:rsidR="006C5F36" w:rsidRPr="00531068" w:rsidRDefault="006C5F36" w:rsidP="00531068">
      <w:pPr>
        <w:pStyle w:val="TSBullet1Square"/>
      </w:pPr>
      <w:r w:rsidRPr="008512F8">
        <w:rPr>
          <w:b/>
        </w:rPr>
        <w:t>Radiochemistry</w:t>
      </w:r>
      <w:r w:rsidRPr="00531068">
        <w:t xml:space="preserve"> – the branch of chemistry concerned with the composition, properties and reactions of nuclear matter, radioactive material and radioactive waste.  </w:t>
      </w:r>
    </w:p>
    <w:p w14:paraId="5F3F4A08" w14:textId="77777777" w:rsidR="00097D0D" w:rsidRDefault="006C5F36" w:rsidP="00531068">
      <w:pPr>
        <w:pStyle w:val="TSBullet1Square"/>
      </w:pPr>
      <w:r w:rsidRPr="008512F8">
        <w:rPr>
          <w:b/>
        </w:rPr>
        <w:t>Radiation chemistry</w:t>
      </w:r>
      <w:r w:rsidRPr="00531068">
        <w:t xml:space="preserve"> – the branch of chemistry concerned with the chemical effects, including decomposition, of energetic radiation or particles on matter. </w:t>
      </w:r>
    </w:p>
    <w:p w14:paraId="5F3F4A09" w14:textId="77777777" w:rsidR="00D15EAC" w:rsidRPr="00D15EAC" w:rsidRDefault="00D15EAC" w:rsidP="00D15EAC"/>
    <w:p w14:paraId="5F3F4A0A" w14:textId="77777777" w:rsidR="00097D0D" w:rsidRDefault="00A40740" w:rsidP="0002758C">
      <w:pPr>
        <w:pStyle w:val="TSHeadingLevel2"/>
      </w:pPr>
      <w:r>
        <w:t xml:space="preserve">Chemistry </w:t>
      </w:r>
      <w:r w:rsidR="00D215BD">
        <w:t xml:space="preserve">Interfaces </w:t>
      </w:r>
      <w:r w:rsidR="00097D0D">
        <w:t xml:space="preserve">with other </w:t>
      </w:r>
      <w:r w:rsidR="00D215BD">
        <w:t>Disciplines</w:t>
      </w:r>
    </w:p>
    <w:p w14:paraId="5F3F4A0B" w14:textId="5C1B67CC" w:rsidR="006C5F36" w:rsidRPr="00B97AD1" w:rsidRDefault="004A2B79" w:rsidP="0002758C">
      <w:pPr>
        <w:pStyle w:val="TSNumberedParagraph11"/>
      </w:pPr>
      <w:bookmarkStart w:id="16" w:name="interfaces"/>
      <w:r w:rsidRPr="00B97AD1">
        <w:t>Th</w:t>
      </w:r>
      <w:r w:rsidR="00FA6477">
        <w:t xml:space="preserve">e chemistry SAPs also </w:t>
      </w:r>
      <w:r w:rsidRPr="00B97AD1">
        <w:t xml:space="preserve">state that the specific </w:t>
      </w:r>
      <w:r w:rsidR="00A05FEB" w:rsidRPr="00B97AD1">
        <w:t xml:space="preserve">section on </w:t>
      </w:r>
      <w:r w:rsidR="00E0755F">
        <w:t>chemistry is not intended to stand</w:t>
      </w:r>
      <w:r w:rsidR="00FC6D3C">
        <w:t xml:space="preserve"> </w:t>
      </w:r>
      <w:r w:rsidR="00E0755F">
        <w:t>alone</w:t>
      </w:r>
      <w:r w:rsidRPr="00B97AD1">
        <w:t>. Although chemistry is dealt with explicitly in SAPs ECH.1 – ECH.4, the scope of chemistry assessment in ONR can be broad</w:t>
      </w:r>
      <w:r w:rsidR="00E466FB">
        <w:t>,</w:t>
      </w:r>
      <w:r w:rsidRPr="00B97AD1">
        <w:t xml:space="preserve"> and consequently chemistry has a role to play in </w:t>
      </w:r>
      <w:r w:rsidR="008D0CB8">
        <w:t>assessing against</w:t>
      </w:r>
      <w:r w:rsidR="008D0CB8" w:rsidRPr="00B97AD1">
        <w:t xml:space="preserve"> </w:t>
      </w:r>
      <w:r w:rsidRPr="00B97AD1">
        <w:t xml:space="preserve">the </w:t>
      </w:r>
      <w:r w:rsidR="008D0CB8">
        <w:t>expectations</w:t>
      </w:r>
      <w:r w:rsidR="008D0CB8" w:rsidRPr="00B97AD1">
        <w:t xml:space="preserve"> </w:t>
      </w:r>
      <w:r w:rsidRPr="00B97AD1">
        <w:t>of numerous SAPs, where the significance of chem</w:t>
      </w:r>
      <w:r w:rsidR="009347E5" w:rsidRPr="00B97AD1">
        <w:t xml:space="preserve">istry </w:t>
      </w:r>
      <w:r w:rsidR="009347E5" w:rsidRPr="00886667">
        <w:t>can often be</w:t>
      </w:r>
      <w:r w:rsidR="00A05FEB" w:rsidRPr="00886667">
        <w:t xml:space="preserve"> directly inferred. </w:t>
      </w:r>
      <w:r w:rsidR="005540E8" w:rsidRPr="00886667">
        <w:t>This is reflected in the larg</w:t>
      </w:r>
      <w:r w:rsidR="00EA39A7">
        <w:t xml:space="preserve">e number of SAPs referred to in </w:t>
      </w:r>
      <w:r w:rsidR="00C427AF">
        <w:t>this guide</w:t>
      </w:r>
      <w:r w:rsidR="00EA39A7">
        <w:t xml:space="preserve">. </w:t>
      </w:r>
      <w:r w:rsidR="009347E5" w:rsidRPr="00886667">
        <w:t xml:space="preserve">Consequently, </w:t>
      </w:r>
      <w:r w:rsidR="00A05FEB" w:rsidRPr="00886667">
        <w:t xml:space="preserve">undertaking a </w:t>
      </w:r>
      <w:r w:rsidR="009347E5" w:rsidRPr="00886667">
        <w:t>chemistry assessment may necessitate</w:t>
      </w:r>
      <w:r w:rsidR="00A05FEB" w:rsidRPr="00886667">
        <w:t xml:space="preserve"> interacting with</w:t>
      </w:r>
      <w:r w:rsidR="009347E5" w:rsidRPr="00886667">
        <w:t xml:space="preserve"> inspectors from</w:t>
      </w:r>
      <w:r w:rsidR="00A05FEB" w:rsidRPr="00886667">
        <w:t xml:space="preserve"> one or more technical disci</w:t>
      </w:r>
      <w:r w:rsidR="00EA39A7">
        <w:t>plines</w:t>
      </w:r>
      <w:r w:rsidR="005540E8" w:rsidRPr="00886667">
        <w:t xml:space="preserve">, which </w:t>
      </w:r>
      <w:r w:rsidR="00167E43" w:rsidRPr="00886667">
        <w:t>may</w:t>
      </w:r>
      <w:r w:rsidR="00C427AF">
        <w:t xml:space="preserve"> </w:t>
      </w:r>
      <w:r w:rsidR="009347E5" w:rsidRPr="00886667">
        <w:t>include</w:t>
      </w:r>
      <w:bookmarkEnd w:id="16"/>
      <w:r w:rsidR="00A05FEB" w:rsidRPr="00886667">
        <w:t>:</w:t>
      </w:r>
    </w:p>
    <w:p w14:paraId="5F3F4A0C" w14:textId="2269D946" w:rsidR="006C5F36" w:rsidRDefault="00A8002E" w:rsidP="00A5036D">
      <w:pPr>
        <w:pStyle w:val="TSBullet1Square"/>
      </w:pPr>
      <w:r>
        <w:t>c</w:t>
      </w:r>
      <w:r w:rsidR="008C56E4">
        <w:t>hemical engineering</w:t>
      </w:r>
    </w:p>
    <w:p w14:paraId="5F3F4A0D" w14:textId="51C115F0" w:rsidR="00F23BB2" w:rsidRPr="000F4FE8" w:rsidRDefault="00A8002E" w:rsidP="00A5036D">
      <w:pPr>
        <w:pStyle w:val="TSBullet1Square"/>
      </w:pPr>
      <w:r>
        <w:t>s</w:t>
      </w:r>
      <w:r w:rsidR="008C56E4">
        <w:t>tructural integrity</w:t>
      </w:r>
    </w:p>
    <w:p w14:paraId="5F3F4A0E" w14:textId="77738B46" w:rsidR="006C5F36" w:rsidRPr="000F4FE8" w:rsidRDefault="00A8002E" w:rsidP="00A5036D">
      <w:pPr>
        <w:pStyle w:val="TSBullet1Square"/>
      </w:pPr>
      <w:r>
        <w:t>r</w:t>
      </w:r>
      <w:r w:rsidR="006C5F36" w:rsidRPr="000F4FE8">
        <w:t>adiological protect</w:t>
      </w:r>
      <w:r w:rsidR="008C56E4">
        <w:t>ion</w:t>
      </w:r>
    </w:p>
    <w:p w14:paraId="5F3F4A0F" w14:textId="26B2FCA2" w:rsidR="006C5F36" w:rsidRPr="000F4FE8" w:rsidRDefault="00A8002E" w:rsidP="00A5036D">
      <w:pPr>
        <w:pStyle w:val="TSBullet1Square"/>
      </w:pPr>
      <w:r>
        <w:t>i</w:t>
      </w:r>
      <w:r w:rsidR="008C56E4">
        <w:t>nternal hazards</w:t>
      </w:r>
    </w:p>
    <w:p w14:paraId="5F3F4A10" w14:textId="03C161F2" w:rsidR="006C5F36" w:rsidRDefault="00A8002E" w:rsidP="00A5036D">
      <w:pPr>
        <w:pStyle w:val="TSBullet1Square"/>
      </w:pPr>
      <w:r>
        <w:t>f</w:t>
      </w:r>
      <w:r w:rsidR="008C56E4">
        <w:t>ault studies</w:t>
      </w:r>
      <w:r w:rsidR="00E7425A">
        <w:t>/probabilistic safety a</w:t>
      </w:r>
      <w:r w:rsidR="008D0CB8">
        <w:t>nalysis</w:t>
      </w:r>
    </w:p>
    <w:p w14:paraId="5F3F4A11" w14:textId="2CD724A8" w:rsidR="00220281" w:rsidRDefault="00E0755F" w:rsidP="00D86B9D">
      <w:pPr>
        <w:pStyle w:val="TSBullet1Square"/>
      </w:pPr>
      <w:r>
        <w:t xml:space="preserve">nuclear liabilities </w:t>
      </w:r>
      <w:r w:rsidR="0067788E">
        <w:t>regulation</w:t>
      </w:r>
    </w:p>
    <w:p w14:paraId="5F3F4A12" w14:textId="77777777" w:rsidR="00064A4A" w:rsidRPr="00064A4A" w:rsidRDefault="00064A4A" w:rsidP="00E7425A"/>
    <w:p w14:paraId="5F3F4A13" w14:textId="77777777" w:rsidR="00B97AD1" w:rsidRDefault="00C64199" w:rsidP="0002758C">
      <w:pPr>
        <w:pStyle w:val="TSNumberedParagraph11"/>
      </w:pPr>
      <w:r>
        <w:t>Chemistry assess</w:t>
      </w:r>
      <w:r w:rsidR="00C427AF">
        <w:t xml:space="preserve">ment often supports and underpins the </w:t>
      </w:r>
      <w:r w:rsidR="003F4BEC">
        <w:t xml:space="preserve">assessment in these </w:t>
      </w:r>
      <w:r w:rsidR="00C427AF">
        <w:t>disciplines</w:t>
      </w:r>
      <w:r w:rsidR="00993BC9">
        <w:t xml:space="preserve">. The key point is that ONR’s </w:t>
      </w:r>
      <w:r w:rsidR="000210C0">
        <w:t>scrutiny of safety cases</w:t>
      </w:r>
      <w:r w:rsidR="00993BC9">
        <w:t xml:space="preserve"> needs to be able to challenge the chemistry-based claims and assumptions </w:t>
      </w:r>
      <w:r w:rsidR="000210C0">
        <w:t>ther</w:t>
      </w:r>
      <w:r w:rsidR="002228D5">
        <w:t xml:space="preserve">ein, </w:t>
      </w:r>
      <w:r w:rsidR="00C427AF">
        <w:t>and not simply take them at</w:t>
      </w:r>
      <w:r w:rsidR="000210C0">
        <w:t xml:space="preserve"> fac</w:t>
      </w:r>
      <w:r w:rsidR="00C427AF">
        <w:t>e value.</w:t>
      </w:r>
    </w:p>
    <w:p w14:paraId="5F3F4A14" w14:textId="77777777" w:rsidR="00B97AD1" w:rsidRPr="00DB68D7" w:rsidRDefault="00B97AD1" w:rsidP="0002758C">
      <w:pPr>
        <w:pStyle w:val="TSNumberedParagraph11"/>
      </w:pPr>
      <w:r w:rsidRPr="00DB68D7">
        <w:t>I</w:t>
      </w:r>
      <w:r w:rsidR="00245447" w:rsidRPr="00DB68D7">
        <w:t xml:space="preserve">t </w:t>
      </w:r>
      <w:r w:rsidR="00F23BB2" w:rsidRPr="00DB68D7">
        <w:t xml:space="preserve">is </w:t>
      </w:r>
      <w:r w:rsidR="001F5EF9">
        <w:t>appropriate</w:t>
      </w:r>
      <w:r w:rsidR="001F5EF9" w:rsidRPr="00DB68D7">
        <w:t xml:space="preserve"> </w:t>
      </w:r>
      <w:r w:rsidR="00F23BB2" w:rsidRPr="00DB68D7">
        <w:t xml:space="preserve">to make special mention of </w:t>
      </w:r>
      <w:r w:rsidR="00245447" w:rsidRPr="00DB68D7">
        <w:t xml:space="preserve">the interface </w:t>
      </w:r>
      <w:r w:rsidR="00F23BB2" w:rsidRPr="00DB68D7">
        <w:t>between chemistry and chemical engineering.</w:t>
      </w:r>
      <w:r w:rsidR="00245447" w:rsidRPr="00DB68D7">
        <w:t xml:space="preserve"> </w:t>
      </w:r>
      <w:r w:rsidR="00C06908" w:rsidRPr="00DB68D7">
        <w:t xml:space="preserve">Both disciplines are </w:t>
      </w:r>
      <w:r w:rsidR="00167E43" w:rsidRPr="00DB68D7">
        <w:t xml:space="preserve">inextricably </w:t>
      </w:r>
      <w:r w:rsidR="00C06908" w:rsidRPr="00DB68D7">
        <w:t>linked, yet differ in several important ways</w:t>
      </w:r>
      <w:r w:rsidR="003A6CD0" w:rsidRPr="00DB68D7">
        <w:t>, which ultimately mean they</w:t>
      </w:r>
      <w:r w:rsidR="00F51D6B">
        <w:t xml:space="preserve"> </w:t>
      </w:r>
      <w:r w:rsidR="008D0CB8">
        <w:t>should be considered</w:t>
      </w:r>
      <w:r w:rsidR="003A6CD0" w:rsidRPr="00DB68D7">
        <w:t xml:space="preserve"> </w:t>
      </w:r>
      <w:r w:rsidR="00C06908" w:rsidRPr="00DB68D7">
        <w:t>technical disciplines</w:t>
      </w:r>
      <w:r w:rsidR="00017424" w:rsidRPr="00DB68D7">
        <w:t xml:space="preserve"> in </w:t>
      </w:r>
      <w:r w:rsidR="003A6CD0" w:rsidRPr="00DB68D7">
        <w:t>their own right</w:t>
      </w:r>
      <w:r w:rsidRPr="00DB68D7">
        <w:t xml:space="preserve">. </w:t>
      </w:r>
      <w:r w:rsidR="001F5EF9">
        <w:t xml:space="preserve">This point is often missed, and the differences between chemistry and chemical engineering are sometimes misunderstood by those outside the disciplines. </w:t>
      </w:r>
      <w:r w:rsidR="00245447" w:rsidRPr="00DB68D7">
        <w:t>The chemical (p</w:t>
      </w:r>
      <w:r w:rsidRPr="00DB68D7">
        <w:t>rocess) engineering SAPs state:</w:t>
      </w:r>
    </w:p>
    <w:p w14:paraId="5F3F4A15" w14:textId="77777777" w:rsidR="00B97AD1" w:rsidRPr="005C3A04" w:rsidRDefault="00245447" w:rsidP="005C3A04">
      <w:pPr>
        <w:ind w:left="720"/>
        <w:rPr>
          <w:i/>
        </w:rPr>
      </w:pPr>
      <w:r w:rsidRPr="00921D3A">
        <w:rPr>
          <w:i/>
        </w:rPr>
        <w:t xml:space="preserve">“Chemical </w:t>
      </w:r>
      <w:r w:rsidR="00095278" w:rsidRPr="00921D3A">
        <w:rPr>
          <w:i/>
        </w:rPr>
        <w:t>engineering (commonly known as Process E</w:t>
      </w:r>
      <w:r w:rsidRPr="00921D3A">
        <w:rPr>
          <w:i/>
        </w:rPr>
        <w:t>ngineering) links the underpinning science of processes to the engineering that delivers the required plant functionality”.</w:t>
      </w:r>
    </w:p>
    <w:p w14:paraId="5F3F4A16" w14:textId="77777777" w:rsidR="005C3A04" w:rsidRPr="005C3A04" w:rsidRDefault="005C3A04" w:rsidP="005C3A04">
      <w:pPr>
        <w:ind w:left="720"/>
        <w:rPr>
          <w:rFonts w:cs="Arial"/>
          <w:i/>
          <w:szCs w:val="22"/>
        </w:rPr>
      </w:pPr>
    </w:p>
    <w:p w14:paraId="5F3F4A17" w14:textId="77777777" w:rsidR="00E235EC" w:rsidRPr="00E235EC" w:rsidRDefault="00C06908" w:rsidP="00DB4353">
      <w:pPr>
        <w:pStyle w:val="TSNumberedParagraph11"/>
      </w:pPr>
      <w:r w:rsidRPr="008F5F2F">
        <w:t>In this context chemis</w:t>
      </w:r>
      <w:r w:rsidR="003A6CD0" w:rsidRPr="008F5F2F">
        <w:t xml:space="preserve">try is the subject </w:t>
      </w:r>
      <w:r w:rsidR="00621BB7">
        <w:t>that</w:t>
      </w:r>
      <w:r w:rsidR="00621BB7" w:rsidRPr="008F5F2F">
        <w:t xml:space="preserve"> </w:t>
      </w:r>
      <w:r w:rsidR="003A6CD0" w:rsidRPr="008F5F2F">
        <w:t xml:space="preserve">provides </w:t>
      </w:r>
      <w:r w:rsidRPr="008F5F2F">
        <w:t xml:space="preserve">the underpinning physical science. </w:t>
      </w:r>
      <w:r w:rsidR="003A6CD0" w:rsidRPr="008F5F2F">
        <w:t>It is this distinction, one of scale, where the main difference</w:t>
      </w:r>
      <w:r w:rsidR="00342869" w:rsidRPr="008F5F2F">
        <w:t xml:space="preserve"> </w:t>
      </w:r>
      <w:r w:rsidR="003A6CD0" w:rsidRPr="008F5F2F">
        <w:t>between chemistry a</w:t>
      </w:r>
      <w:r w:rsidR="00342869" w:rsidRPr="008F5F2F">
        <w:t xml:space="preserve">nd chemical </w:t>
      </w:r>
      <w:r w:rsidR="003A6CD0" w:rsidRPr="008F5F2F">
        <w:t>engineering lie</w:t>
      </w:r>
      <w:r w:rsidR="00342869" w:rsidRPr="008F5F2F">
        <w:t>s</w:t>
      </w:r>
      <w:r w:rsidR="003A6CD0" w:rsidRPr="008F5F2F">
        <w:t xml:space="preserve">. More often than not chemistry is concerned with the development and study of processes </w:t>
      </w:r>
      <w:r w:rsidR="00342869" w:rsidRPr="008F5F2F">
        <w:t>and materials in small quantities</w:t>
      </w:r>
      <w:r w:rsidR="003A6CD0" w:rsidRPr="008F5F2F">
        <w:t xml:space="preserve">, </w:t>
      </w:r>
      <w:r w:rsidR="00621BB7" w:rsidRPr="008F5F2F">
        <w:t>whereas</w:t>
      </w:r>
      <w:r w:rsidR="003A6CD0" w:rsidRPr="008F5F2F">
        <w:t xml:space="preserve"> chemical engineering is</w:t>
      </w:r>
      <w:r w:rsidR="00342869" w:rsidRPr="008F5F2F">
        <w:t xml:space="preserve"> concerned with</w:t>
      </w:r>
      <w:r w:rsidR="003A6CD0" w:rsidRPr="008F5F2F">
        <w:t xml:space="preserve"> up-scaling</w:t>
      </w:r>
      <w:r w:rsidR="00342869" w:rsidRPr="008F5F2F">
        <w:t xml:space="preserve"> </w:t>
      </w:r>
      <w:r w:rsidR="00621BB7">
        <w:t xml:space="preserve">and the engineering of </w:t>
      </w:r>
      <w:r w:rsidR="003A6CD0" w:rsidRPr="008F5F2F">
        <w:t>process</w:t>
      </w:r>
      <w:r w:rsidR="00342869" w:rsidRPr="008F5F2F">
        <w:t xml:space="preserve">es </w:t>
      </w:r>
      <w:r w:rsidR="00017424" w:rsidRPr="008F5F2F">
        <w:t>to handle much larger quantities</w:t>
      </w:r>
      <w:r w:rsidR="00621BB7">
        <w:t>,</w:t>
      </w:r>
      <w:r w:rsidR="00017424" w:rsidRPr="008F5F2F">
        <w:t xml:space="preserve"> </w:t>
      </w:r>
      <w:r w:rsidR="00342869" w:rsidRPr="008F5F2F">
        <w:t xml:space="preserve">and </w:t>
      </w:r>
      <w:r w:rsidR="00621BB7">
        <w:t xml:space="preserve">with </w:t>
      </w:r>
      <w:r w:rsidR="003A6CD0" w:rsidRPr="008F5F2F">
        <w:t xml:space="preserve">making appropriate choices at plant scale </w:t>
      </w:r>
      <w:r w:rsidR="00342869" w:rsidRPr="008F5F2F">
        <w:t xml:space="preserve">to apply the fundamental </w:t>
      </w:r>
      <w:r w:rsidR="00017424" w:rsidRPr="008F5F2F">
        <w:t>underpinning scientific knowledge and understanding</w:t>
      </w:r>
      <w:r w:rsidR="00342869" w:rsidRPr="008F5F2F">
        <w:t xml:space="preserve"> which chemistry provides.</w:t>
      </w:r>
    </w:p>
    <w:p w14:paraId="5F3F4A18" w14:textId="77777777" w:rsidR="0033265A" w:rsidRDefault="00E235EC" w:rsidP="00DB4353">
      <w:pPr>
        <w:pStyle w:val="TSNumberedParagraph11"/>
      </w:pPr>
      <w:r>
        <w:t xml:space="preserve">A chemistry assessment </w:t>
      </w:r>
      <w:r w:rsidR="008D0CB8">
        <w:t xml:space="preserve">may </w:t>
      </w:r>
      <w:r>
        <w:t>therefore often be needed to feed into and underpin a chemical engineering assessment.</w:t>
      </w:r>
      <w:r w:rsidR="002228D5">
        <w:t xml:space="preserve"> For example, </w:t>
      </w:r>
      <w:r w:rsidR="00D07C19">
        <w:t xml:space="preserve">chemical engineering </w:t>
      </w:r>
      <w:r w:rsidR="00D07C19" w:rsidRPr="00D07C19">
        <w:t>SAP EPE.1</w:t>
      </w:r>
      <w:r w:rsidR="00D07C19">
        <w:t xml:space="preserve"> states that t</w:t>
      </w:r>
      <w:r w:rsidR="00D07C19" w:rsidRPr="00D07C19">
        <w:t xml:space="preserve">he thermodynamics and kinetics </w:t>
      </w:r>
      <w:r w:rsidR="00D07C19">
        <w:t xml:space="preserve">of chemical reactions (including side reactions) </w:t>
      </w:r>
      <w:r w:rsidR="00D07C19" w:rsidRPr="00D07C19">
        <w:t>should be analysed for all normal operation and fault conditions identified in the safety case</w:t>
      </w:r>
      <w:r w:rsidR="002228D5">
        <w:t xml:space="preserve"> - </w:t>
      </w:r>
      <w:r w:rsidR="00D07C19">
        <w:t>this is likely to requir</w:t>
      </w:r>
      <w:r w:rsidR="00B8029B">
        <w:t>e input from chemistry specialists</w:t>
      </w:r>
      <w:r w:rsidR="00D07C19" w:rsidRPr="00D07C19">
        <w:t>.</w:t>
      </w:r>
    </w:p>
    <w:p w14:paraId="5F3F4A19" w14:textId="77777777" w:rsidR="00E0755F" w:rsidRPr="0033265A" w:rsidRDefault="00E0755F" w:rsidP="00DB4353">
      <w:pPr>
        <w:pStyle w:val="TSNumberedParagraph11"/>
      </w:pPr>
      <w:r>
        <w:t>Further information on the interfaces the chemistry discipline has with other ONR specialisms and some of the typical cross-cutting assessment topics which chemistry would interact with other disciplines on, is provided in Appendix 1.</w:t>
      </w:r>
    </w:p>
    <w:p w14:paraId="5F3F4A1A" w14:textId="77777777" w:rsidR="006C5F36" w:rsidRPr="00940FF6" w:rsidRDefault="00033B95" w:rsidP="007E23E7">
      <w:pPr>
        <w:pStyle w:val="TSNumberedParagraph11"/>
        <w:numPr>
          <w:ilvl w:val="0"/>
          <w:numId w:val="0"/>
        </w:numPr>
        <w:rPr>
          <w:b/>
        </w:rPr>
      </w:pPr>
      <w:bookmarkStart w:id="17" w:name="_Toc447804865"/>
      <w:bookmarkStart w:id="18" w:name="_Toc447804985"/>
      <w:bookmarkStart w:id="19" w:name="_Toc447189487"/>
      <w:bookmarkEnd w:id="17"/>
      <w:bookmarkEnd w:id="18"/>
      <w:r w:rsidRPr="00940FF6">
        <w:rPr>
          <w:b/>
        </w:rPr>
        <w:t>5.1</w:t>
      </w:r>
      <w:r w:rsidRPr="00940FF6">
        <w:rPr>
          <w:b/>
        </w:rPr>
        <w:tab/>
      </w:r>
      <w:r w:rsidR="00FE2325" w:rsidRPr="00940FF6">
        <w:rPr>
          <w:b/>
        </w:rPr>
        <w:t>SAFETY CASES</w:t>
      </w:r>
      <w:bookmarkEnd w:id="19"/>
    </w:p>
    <w:tbl>
      <w:tblPr>
        <w:tblW w:w="0" w:type="auto"/>
        <w:jc w:val="center"/>
        <w:tblBorders>
          <w:top w:val="nil"/>
          <w:left w:val="nil"/>
          <w:bottom w:val="nil"/>
          <w:right w:val="nil"/>
        </w:tblBorders>
        <w:tblLayout w:type="fixed"/>
        <w:tblLook w:val="0000" w:firstRow="0" w:lastRow="0" w:firstColumn="0" w:lastColumn="0" w:noHBand="0" w:noVBand="0"/>
      </w:tblPr>
      <w:tblGrid>
        <w:gridCol w:w="3189"/>
        <w:gridCol w:w="3189"/>
        <w:gridCol w:w="2622"/>
      </w:tblGrid>
      <w:tr w:rsidR="007308A6" w:rsidRPr="002A47E6" w14:paraId="5F3F4A1E" w14:textId="77777777" w:rsidTr="000E58DC">
        <w:trPr>
          <w:trHeight w:val="138"/>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1B" w14:textId="77777777" w:rsidR="007308A6" w:rsidRPr="007308A6" w:rsidRDefault="007308A6" w:rsidP="008512F8">
            <w:pPr>
              <w:pStyle w:val="normal1"/>
              <w:spacing w:before="60" w:after="60"/>
              <w:rPr>
                <w:rFonts w:cs="Arial"/>
                <w:color w:val="000000"/>
                <w:sz w:val="22"/>
                <w:szCs w:val="22"/>
              </w:rPr>
            </w:pPr>
            <w:r w:rsidRPr="007308A6">
              <w:rPr>
                <w:rFonts w:cs="Arial"/>
                <w:b/>
                <w:bCs/>
                <w:color w:val="000000"/>
                <w:sz w:val="22"/>
                <w:szCs w:val="22"/>
              </w:rPr>
              <w:t xml:space="preserve">Engineering principles: Chemistry </w:t>
            </w:r>
          </w:p>
        </w:tc>
        <w:tc>
          <w:tcPr>
            <w:tcW w:w="318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1C" w14:textId="77777777" w:rsidR="007308A6" w:rsidRPr="007308A6" w:rsidRDefault="007308A6" w:rsidP="008512F8">
            <w:pPr>
              <w:pStyle w:val="normal1"/>
              <w:spacing w:before="60" w:after="60"/>
              <w:rPr>
                <w:rFonts w:cs="Arial"/>
                <w:color w:val="000000"/>
                <w:sz w:val="22"/>
                <w:szCs w:val="22"/>
              </w:rPr>
            </w:pPr>
            <w:r w:rsidRPr="007308A6">
              <w:rPr>
                <w:rFonts w:cs="Arial"/>
                <w:bCs/>
                <w:color w:val="000000"/>
                <w:sz w:val="22"/>
                <w:szCs w:val="22"/>
              </w:rPr>
              <w:t>Safety cases</w:t>
            </w:r>
          </w:p>
        </w:tc>
        <w:tc>
          <w:tcPr>
            <w:tcW w:w="262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1D" w14:textId="77777777" w:rsidR="007308A6" w:rsidRPr="007308A6" w:rsidRDefault="007308A6" w:rsidP="008512F8">
            <w:pPr>
              <w:pStyle w:val="normal1"/>
              <w:spacing w:before="60" w:after="60"/>
              <w:jc w:val="center"/>
              <w:rPr>
                <w:rFonts w:cs="Arial"/>
                <w:color w:val="000000"/>
                <w:sz w:val="22"/>
                <w:szCs w:val="22"/>
              </w:rPr>
            </w:pPr>
            <w:r w:rsidRPr="007308A6">
              <w:rPr>
                <w:rFonts w:cs="Arial"/>
                <w:bCs/>
                <w:color w:val="000000"/>
                <w:sz w:val="22"/>
                <w:szCs w:val="22"/>
              </w:rPr>
              <w:t>ECH.1</w:t>
            </w:r>
          </w:p>
        </w:tc>
      </w:tr>
      <w:tr w:rsidR="007308A6" w:rsidRPr="002A47E6" w14:paraId="5F3F4A20" w14:textId="77777777" w:rsidTr="000E58DC">
        <w:trPr>
          <w:trHeight w:val="248"/>
          <w:jc w:val="center"/>
        </w:trPr>
        <w:tc>
          <w:tcPr>
            <w:tcW w:w="9000" w:type="dxa"/>
            <w:gridSpan w:val="3"/>
            <w:tcBorders>
              <w:top w:val="single" w:sz="4" w:space="0" w:color="000000"/>
              <w:left w:val="single" w:sz="4" w:space="0" w:color="000000"/>
              <w:bottom w:val="single" w:sz="4" w:space="0" w:color="000000"/>
              <w:right w:val="single" w:sz="4" w:space="0" w:color="000000"/>
            </w:tcBorders>
            <w:vAlign w:val="center"/>
          </w:tcPr>
          <w:p w14:paraId="5F3F4A1F" w14:textId="77777777" w:rsidR="007308A6" w:rsidRPr="007308A6" w:rsidRDefault="007308A6" w:rsidP="008512F8">
            <w:pPr>
              <w:pStyle w:val="Principle1"/>
              <w:spacing w:before="120" w:after="120"/>
              <w:jc w:val="both"/>
              <w:rPr>
                <w:rFonts w:cs="Arial"/>
                <w:color w:val="000000"/>
                <w:sz w:val="22"/>
                <w:szCs w:val="22"/>
              </w:rPr>
            </w:pPr>
            <w:r>
              <w:rPr>
                <w:rFonts w:cs="Arial"/>
                <w:color w:val="000000"/>
                <w:sz w:val="22"/>
                <w:szCs w:val="22"/>
              </w:rPr>
              <w:t xml:space="preserve">Safety cases should, by applying a systematic process, address all chemistry effects important to safety. </w:t>
            </w:r>
          </w:p>
        </w:tc>
      </w:tr>
    </w:tbl>
    <w:p w14:paraId="5F3F4A21" w14:textId="77777777" w:rsidR="007308A6" w:rsidRDefault="007308A6" w:rsidP="00940FF6">
      <w:pPr>
        <w:pStyle w:val="TSHeadingLevel1Numbered"/>
        <w:numPr>
          <w:ilvl w:val="0"/>
          <w:numId w:val="0"/>
        </w:numPr>
        <w:ind w:left="709" w:hanging="709"/>
      </w:pPr>
    </w:p>
    <w:p w14:paraId="5F3F4A22" w14:textId="77777777" w:rsidR="006C5F36" w:rsidRPr="006C5F36" w:rsidRDefault="001B59CC" w:rsidP="0002758C">
      <w:pPr>
        <w:pStyle w:val="TSNumberedParagraph11"/>
      </w:pPr>
      <w:r>
        <w:t xml:space="preserve">The inspector should refer to principle ECH.1 when reading the following section. </w:t>
      </w:r>
      <w:r w:rsidR="006C5F36">
        <w:t xml:space="preserve">In forming a judgement on the adequacy and completeness of the claims made </w:t>
      </w:r>
      <w:r w:rsidR="009347E5">
        <w:t xml:space="preserve">on chemistry in the safety case, </w:t>
      </w:r>
      <w:r w:rsidR="006C5F36">
        <w:t>the inspector should pay particular attention to the requirements of a nuclear facility to be designed and operated according to the concept of defence in depth. Chemistry effects claimed for safety can span the five l</w:t>
      </w:r>
      <w:r w:rsidR="0007177F">
        <w:t>evels of defence in</w:t>
      </w:r>
      <w:r w:rsidR="009347E5">
        <w:t xml:space="preserve"> depth. A </w:t>
      </w:r>
      <w:r w:rsidR="006C5F36">
        <w:t xml:space="preserve">safety case claim </w:t>
      </w:r>
      <w:r w:rsidR="009347E5">
        <w:t xml:space="preserve">made </w:t>
      </w:r>
      <w:r w:rsidR="006C5F36">
        <w:t xml:space="preserve">on chemistry should therefore </w:t>
      </w:r>
      <w:r w:rsidR="008F5F2F">
        <w:t xml:space="preserve">be interpreted </w:t>
      </w:r>
      <w:r w:rsidR="006C5F36">
        <w:t>as:</w:t>
      </w:r>
    </w:p>
    <w:p w14:paraId="5F3F4A23" w14:textId="77777777" w:rsidR="006C5F36" w:rsidRDefault="00310A52" w:rsidP="00117C09">
      <w:pPr>
        <w:pStyle w:val="TSBullet1Square"/>
      </w:pPr>
      <w:r>
        <w:t xml:space="preserve">any </w:t>
      </w:r>
      <w:r w:rsidR="006C5F36">
        <w:t>requirement or constraint placed on the chemistry of the plant or process which must be met to enable the plant or process to be operated safely;</w:t>
      </w:r>
    </w:p>
    <w:p w14:paraId="5F3F4A24" w14:textId="77777777" w:rsidR="006C5F36" w:rsidRDefault="00310A52" w:rsidP="00117C09">
      <w:pPr>
        <w:pStyle w:val="TSBullet1Square"/>
      </w:pPr>
      <w:r>
        <w:t xml:space="preserve">any </w:t>
      </w:r>
      <w:r w:rsidR="006C5F36">
        <w:t>chemistry related functional requirement which must be met to ensure that the plant or process is operated within its design basis;</w:t>
      </w:r>
      <w:r w:rsidR="00734983">
        <w:t xml:space="preserve"> and</w:t>
      </w:r>
    </w:p>
    <w:p w14:paraId="5F3F4A25" w14:textId="09EC9D11" w:rsidR="006C5F36" w:rsidRDefault="00310A52" w:rsidP="00117C09">
      <w:pPr>
        <w:pStyle w:val="TSBullet1Square"/>
      </w:pPr>
      <w:r>
        <w:t xml:space="preserve">any </w:t>
      </w:r>
      <w:r w:rsidR="006C5F36">
        <w:t>chemistry effect or consequence of chemistry which must be controlled in order to en</w:t>
      </w:r>
      <w:r w:rsidR="00747FEE">
        <w:t xml:space="preserve">sure safety, </w:t>
      </w:r>
      <w:r w:rsidR="006C5F36">
        <w:t xml:space="preserve">including normal operations, under fault conditions or during severe accidents. </w:t>
      </w:r>
    </w:p>
    <w:p w14:paraId="5F3F4A26" w14:textId="77777777" w:rsidR="00117C09" w:rsidRPr="00117C09" w:rsidRDefault="00117C09" w:rsidP="00117C09"/>
    <w:p w14:paraId="5F3F4A27" w14:textId="32B4B24B" w:rsidR="002053D7" w:rsidRPr="00900D38" w:rsidRDefault="00503111" w:rsidP="0002758C">
      <w:pPr>
        <w:pStyle w:val="TSNumberedParagraph11"/>
      </w:pPr>
      <w:r w:rsidRPr="00900D38">
        <w:t xml:space="preserve">The </w:t>
      </w:r>
      <w:r w:rsidR="00900D38" w:rsidRPr="00900D38">
        <w:t xml:space="preserve">definition given above means the </w:t>
      </w:r>
      <w:r w:rsidRPr="00900D38">
        <w:t>assumed performance of chemical processes such as</w:t>
      </w:r>
      <w:r w:rsidR="00AB63D6">
        <w:t xml:space="preserve"> demineralisation by</w:t>
      </w:r>
      <w:r w:rsidRPr="00900D38">
        <w:t xml:space="preserve"> ion exchange, filtrat</w:t>
      </w:r>
      <w:r w:rsidR="00AB63D6">
        <w:t xml:space="preserve">ion, evaporation </w:t>
      </w:r>
      <w:r w:rsidRPr="00900D38">
        <w:rPr>
          <w:i/>
        </w:rPr>
        <w:t>etc.,</w:t>
      </w:r>
      <w:r w:rsidR="00900D38" w:rsidRPr="00900D38">
        <w:t xml:space="preserve"> should also be considered to form part of the chemistry claims, wherever s</w:t>
      </w:r>
      <w:r w:rsidR="002D63D7">
        <w:t xml:space="preserve">uch a process is claimed for nuclear </w:t>
      </w:r>
      <w:r w:rsidR="00900D38" w:rsidRPr="00900D38">
        <w:t>safety</w:t>
      </w:r>
      <w:r w:rsidRPr="00900D38">
        <w:t xml:space="preserve">. </w:t>
      </w:r>
      <w:r w:rsidR="00AB63D6">
        <w:t xml:space="preserve">These claims </w:t>
      </w:r>
      <w:r w:rsidRPr="00900D38">
        <w:t>may often be implicit</w:t>
      </w:r>
      <w:r w:rsidR="00900D38" w:rsidRPr="00900D38">
        <w:t xml:space="preserve"> in the safety case but should nevertheless </w:t>
      </w:r>
      <w:r w:rsidR="008F5F2F">
        <w:t xml:space="preserve">still </w:t>
      </w:r>
      <w:r w:rsidR="00900D38" w:rsidRPr="00900D38">
        <w:t xml:space="preserve">be considered in the derivation of chemistry-based limits and conditions </w:t>
      </w:r>
      <w:r w:rsidR="00B8029B">
        <w:t>(Operating R</w:t>
      </w:r>
      <w:r w:rsidR="00900D38" w:rsidRPr="00900D38">
        <w:t>ules).</w:t>
      </w:r>
      <w:r w:rsidR="00900D38">
        <w:t xml:space="preserve">  </w:t>
      </w:r>
    </w:p>
    <w:p w14:paraId="5F3F4A28" w14:textId="77777777" w:rsidR="006C5F36" w:rsidRPr="006C5F36" w:rsidRDefault="006C5F36" w:rsidP="0002758C">
      <w:pPr>
        <w:pStyle w:val="TSNumberedParagraph11"/>
      </w:pPr>
      <w:r>
        <w:t xml:space="preserve">A fundamental part of an adequate safety case is the presentation of suitable and sufficient evidence to be able to demonstrate the safety </w:t>
      </w:r>
      <w:r w:rsidR="009347E5">
        <w:t xml:space="preserve">claims and arguments presented </w:t>
      </w:r>
      <w:r>
        <w:t>are valid. The suppor</w:t>
      </w:r>
      <w:r w:rsidR="009B7B53">
        <w:t>ting evidence for chemistry may</w:t>
      </w:r>
      <w:r>
        <w:t xml:space="preserve"> t</w:t>
      </w:r>
      <w:r w:rsidR="00126407">
        <w:t>ake a number of forms, but typically may</w:t>
      </w:r>
      <w:r w:rsidR="009347E5">
        <w:t xml:space="preserve"> be expected to </w:t>
      </w:r>
      <w:r>
        <w:t>include:</w:t>
      </w:r>
    </w:p>
    <w:p w14:paraId="5F3F4A29" w14:textId="77777777" w:rsidR="006C5F36" w:rsidRDefault="00310A52" w:rsidP="00A864D4">
      <w:pPr>
        <w:pStyle w:val="TSBullet1Square"/>
      </w:pPr>
      <w:r>
        <w:t xml:space="preserve">relevant </w:t>
      </w:r>
      <w:r w:rsidR="006C5F36">
        <w:t>operating experience and chemistry standards</w:t>
      </w:r>
      <w:r w:rsidR="00B8029B">
        <w:t>;</w:t>
      </w:r>
    </w:p>
    <w:p w14:paraId="5F3F4A2A" w14:textId="77777777" w:rsidR="006C5F36" w:rsidRDefault="00310A52" w:rsidP="00A864D4">
      <w:pPr>
        <w:pStyle w:val="TSBullet1Square"/>
      </w:pPr>
      <w:r>
        <w:t xml:space="preserve">the </w:t>
      </w:r>
      <w:r w:rsidR="006C5F36">
        <w:t>results of calculations and theoretical modelling</w:t>
      </w:r>
      <w:r w:rsidR="00B8029B">
        <w:t>;</w:t>
      </w:r>
    </w:p>
    <w:p w14:paraId="5F3F4A2B" w14:textId="77777777" w:rsidR="006C5F36" w:rsidRDefault="00310A52" w:rsidP="00A864D4">
      <w:pPr>
        <w:pStyle w:val="TSBullet1Square"/>
      </w:pPr>
      <w:r>
        <w:t xml:space="preserve">experimental </w:t>
      </w:r>
      <w:r w:rsidR="006C5F36">
        <w:t>trials data</w:t>
      </w:r>
      <w:r w:rsidR="00B8029B">
        <w:t>;</w:t>
      </w:r>
    </w:p>
    <w:p w14:paraId="5F3F4A2C" w14:textId="77777777" w:rsidR="006C5F36" w:rsidRDefault="00310A52" w:rsidP="00A864D4">
      <w:pPr>
        <w:pStyle w:val="TSBullet1Square"/>
      </w:pPr>
      <w:r>
        <w:t xml:space="preserve">data </w:t>
      </w:r>
      <w:r w:rsidR="006C5F36">
        <w:t>from laboratory experiments</w:t>
      </w:r>
      <w:r w:rsidR="00B8029B">
        <w:t>;</w:t>
      </w:r>
    </w:p>
    <w:p w14:paraId="5F3F4A2D" w14:textId="5928A729" w:rsidR="006C5F36" w:rsidRDefault="00310A52" w:rsidP="00A864D4">
      <w:pPr>
        <w:pStyle w:val="TSBullet1Square"/>
      </w:pPr>
      <w:r>
        <w:t xml:space="preserve">literature </w:t>
      </w:r>
      <w:r w:rsidR="006C5F36">
        <w:t>reviews</w:t>
      </w:r>
      <w:r w:rsidR="00B8029B">
        <w:t>;</w:t>
      </w:r>
      <w:r w:rsidR="00E7425A">
        <w:t xml:space="preserve"> and</w:t>
      </w:r>
    </w:p>
    <w:p w14:paraId="5F3F4A2E" w14:textId="77777777" w:rsidR="006C5F36" w:rsidRDefault="00310A52" w:rsidP="00A864D4">
      <w:pPr>
        <w:pStyle w:val="TSBullet1Square"/>
      </w:pPr>
      <w:r>
        <w:t xml:space="preserve">data </w:t>
      </w:r>
      <w:r w:rsidR="006C5F36">
        <w:t xml:space="preserve">from chemistry sampling and analysis regimes. </w:t>
      </w:r>
    </w:p>
    <w:p w14:paraId="5F3F4A2F" w14:textId="77777777" w:rsidR="00064A4A" w:rsidRPr="00064A4A" w:rsidRDefault="00064A4A" w:rsidP="00064A4A"/>
    <w:p w14:paraId="5F3F4A30" w14:textId="77777777" w:rsidR="006C5F36" w:rsidRPr="00DB68D7" w:rsidRDefault="006C5F36" w:rsidP="00E7425A">
      <w:pPr>
        <w:pStyle w:val="TSNumberedParagraph11"/>
        <w:tabs>
          <w:tab w:val="clear" w:pos="-31680"/>
        </w:tabs>
      </w:pPr>
      <w:r w:rsidRPr="00DB68D7">
        <w:t>There is no hierarchy associated with the acceptability of the suppor</w:t>
      </w:r>
      <w:r w:rsidR="00F73183">
        <w:t>ting evidence for chemistry. T</w:t>
      </w:r>
      <w:r w:rsidRPr="00DB68D7">
        <w:t>he general principle is that</w:t>
      </w:r>
      <w:r w:rsidR="00F73183">
        <w:t xml:space="preserve"> first </w:t>
      </w:r>
      <w:r w:rsidR="008F5F2F">
        <w:t xml:space="preserve">and foremost, </w:t>
      </w:r>
      <w:r w:rsidRPr="00DB68D7">
        <w:t xml:space="preserve">the evidence </w:t>
      </w:r>
      <w:r w:rsidR="00F73183">
        <w:t xml:space="preserve">should </w:t>
      </w:r>
      <w:r w:rsidR="00F73183" w:rsidRPr="00DB68D7">
        <w:t>be</w:t>
      </w:r>
      <w:r w:rsidR="0022078C">
        <w:t xml:space="preserve"> applicable to the facility, </w:t>
      </w:r>
      <w:r w:rsidR="00F73183" w:rsidRPr="00DB68D7">
        <w:t xml:space="preserve">design </w:t>
      </w:r>
      <w:r w:rsidR="0022078C">
        <w:t xml:space="preserve">or operation </w:t>
      </w:r>
      <w:r w:rsidR="00F73183" w:rsidRPr="00DB68D7">
        <w:t>under consideration</w:t>
      </w:r>
      <w:r w:rsidR="00F73183">
        <w:t>. If generic chemistry is presented instead</w:t>
      </w:r>
      <w:r w:rsidR="0022078C">
        <w:t xml:space="preserve">, the safety case should provide </w:t>
      </w:r>
      <w:r w:rsidR="00F73183">
        <w:t>a clear demonstration and justification</w:t>
      </w:r>
      <w:r w:rsidR="00E7425A">
        <w:t xml:space="preserve"> of its applicability. </w:t>
      </w:r>
      <w:r w:rsidRPr="00DB68D7">
        <w:t>The inspector may consider the following factors when judging the acceptability of supporting evidence for chemistry:</w:t>
      </w:r>
    </w:p>
    <w:p w14:paraId="5F3F4A31" w14:textId="77777777" w:rsidR="006C5F36" w:rsidRDefault="006C5F36" w:rsidP="00A864D4">
      <w:pPr>
        <w:pStyle w:val="TSBullet1Square"/>
      </w:pPr>
      <w:r>
        <w:t>The quantity and depth of evidence presented should be proportionate to the magnitude of the haza</w:t>
      </w:r>
      <w:r w:rsidR="001E3265">
        <w:t>rd and risk under consideration</w:t>
      </w:r>
      <w:r w:rsidR="00310A52">
        <w:t>.</w:t>
      </w:r>
    </w:p>
    <w:p w14:paraId="5F3F4A32" w14:textId="77777777" w:rsidR="006C5F36" w:rsidRDefault="006C5F36" w:rsidP="00A864D4">
      <w:pPr>
        <w:pStyle w:val="TSBullet1Square"/>
      </w:pPr>
      <w:r>
        <w:t>The quantity and depth of evidence should be commensurate with the technological readiness of the facility or design. For example, due account should be taken o</w:t>
      </w:r>
      <w:r w:rsidR="00D2729B">
        <w:t xml:space="preserve">f factors such as any novel </w:t>
      </w:r>
      <w:r w:rsidR="004222E9">
        <w:t xml:space="preserve">design </w:t>
      </w:r>
      <w:r w:rsidR="00D2729B">
        <w:t xml:space="preserve">features </w:t>
      </w:r>
      <w:r w:rsidR="004222E9">
        <w:t>and/or</w:t>
      </w:r>
      <w:r>
        <w:t xml:space="preserve"> whether </w:t>
      </w:r>
      <w:r w:rsidR="001E3265">
        <w:t>the facility is first of a kind</w:t>
      </w:r>
      <w:r w:rsidR="00310A52">
        <w:t>.</w:t>
      </w:r>
    </w:p>
    <w:p w14:paraId="5F3F4A33" w14:textId="77777777" w:rsidR="00D74DDD" w:rsidRDefault="00310A52" w:rsidP="00A41B2D">
      <w:pPr>
        <w:pStyle w:val="TSBullet1Square"/>
      </w:pPr>
      <w:r>
        <w:t xml:space="preserve">It should </w:t>
      </w:r>
      <w:r w:rsidR="00B46AC2">
        <w:t xml:space="preserve">be </w:t>
      </w:r>
      <w:r>
        <w:t>considered w</w:t>
      </w:r>
      <w:r w:rsidR="006C5F36">
        <w:t xml:space="preserve">hether the </w:t>
      </w:r>
      <w:r w:rsidR="00D2729B">
        <w:t xml:space="preserve">limits of the applicability of the </w:t>
      </w:r>
      <w:r w:rsidR="006C5F36">
        <w:t xml:space="preserve">evidence </w:t>
      </w:r>
      <w:r w:rsidR="00D2729B">
        <w:t xml:space="preserve">are clearly stated. </w:t>
      </w:r>
    </w:p>
    <w:p w14:paraId="5F3F4A34" w14:textId="77777777" w:rsidR="00A41B2D" w:rsidRPr="00A41B2D" w:rsidRDefault="00A41B2D" w:rsidP="00A41B2D"/>
    <w:p w14:paraId="5F3F4A35" w14:textId="77777777" w:rsidR="0092363D" w:rsidRPr="00A864D4" w:rsidRDefault="00E7425A" w:rsidP="0002758C">
      <w:pPr>
        <w:pStyle w:val="TSHeadingLevel2"/>
      </w:pPr>
      <w:r>
        <w:t>Fault A</w:t>
      </w:r>
      <w:r w:rsidR="00A864D4" w:rsidRPr="00A864D4">
        <w:t>nalysis</w:t>
      </w:r>
    </w:p>
    <w:p w14:paraId="5F3F4A36" w14:textId="77777777" w:rsidR="0006788E" w:rsidRDefault="00212132" w:rsidP="0002758C">
      <w:pPr>
        <w:pStyle w:val="TSNumberedParagraph11"/>
      </w:pPr>
      <w:r>
        <w:t xml:space="preserve">The scope of </w:t>
      </w:r>
      <w:r w:rsidR="002226D7">
        <w:t>chemistry assessment is broa</w:t>
      </w:r>
      <w:r w:rsidR="0006788E">
        <w:t xml:space="preserve">der </w:t>
      </w:r>
      <w:r w:rsidR="002226D7">
        <w:t xml:space="preserve">than just </w:t>
      </w:r>
      <w:r w:rsidR="0006788E">
        <w:t xml:space="preserve">considering </w:t>
      </w:r>
      <w:r w:rsidR="002226D7">
        <w:t xml:space="preserve">normal operations. Chemical </w:t>
      </w:r>
      <w:r w:rsidR="001E3265">
        <w:t xml:space="preserve">phenomena </w:t>
      </w:r>
      <w:r w:rsidR="002226D7">
        <w:t>can have an important role to play in the consideration of radiological consequence</w:t>
      </w:r>
      <w:r w:rsidR="000B7215">
        <w:t>s in fault or accident conditions</w:t>
      </w:r>
      <w:r w:rsidR="00E7425A">
        <w:t>. M</w:t>
      </w:r>
      <w:r w:rsidR="00EB6721">
        <w:t>any approaches to accident analyses, most commonly for reactor facilities, can make assumptions and/or specific claims on the relative importance of these phenomena in justifying acceptable levels of safety</w:t>
      </w:r>
      <w:r w:rsidR="002226D7">
        <w:t>.</w:t>
      </w:r>
      <w:r w:rsidR="00832927">
        <w:t xml:space="preserve"> This may directly impact the ability to meet some of the relevant numerical targets laid out in the SAPs. </w:t>
      </w:r>
      <w:r w:rsidR="002226D7">
        <w:t xml:space="preserve"> </w:t>
      </w:r>
    </w:p>
    <w:p w14:paraId="5F3F4A37" w14:textId="77777777" w:rsidR="001E3265" w:rsidRDefault="00832927" w:rsidP="0002758C">
      <w:pPr>
        <w:pStyle w:val="TSNumberedParagraph11"/>
      </w:pPr>
      <w:r>
        <w:t>In addition, t</w:t>
      </w:r>
      <w:r w:rsidR="001E3265" w:rsidRPr="005A2CBF">
        <w:t xml:space="preserve">he </w:t>
      </w:r>
      <w:r w:rsidR="00D86B9D">
        <w:t>expectations</w:t>
      </w:r>
      <w:r w:rsidR="001E3265" w:rsidRPr="005A2CBF">
        <w:t xml:space="preserve"> of </w:t>
      </w:r>
      <w:r w:rsidR="001E3265" w:rsidRPr="00DB4353">
        <w:t xml:space="preserve">SAP </w:t>
      </w:r>
      <w:r w:rsidR="003C49E1" w:rsidRPr="003C49E1">
        <w:t>AV.2</w:t>
      </w:r>
      <w:r w:rsidR="001E3265" w:rsidRPr="003C49E1">
        <w:t xml:space="preserve"> a</w:t>
      </w:r>
      <w:r w:rsidR="001E3265" w:rsidRPr="005A2CBF">
        <w:t>re particularly clear from a chem</w:t>
      </w:r>
      <w:r>
        <w:t>istry assessment standpoint. The</w:t>
      </w:r>
      <w:r w:rsidR="001E3265" w:rsidRPr="005A2CBF">
        <w:t xml:space="preserve"> physical and chemical form of radioa</w:t>
      </w:r>
      <w:r>
        <w:t xml:space="preserve">ctivity has to be considered, but also the </w:t>
      </w:r>
      <w:r w:rsidR="001E3265" w:rsidRPr="005A2CBF">
        <w:t xml:space="preserve">physical and chemical processes </w:t>
      </w:r>
      <w:r>
        <w:t xml:space="preserve">assumed to be taking place, </w:t>
      </w:r>
      <w:r w:rsidR="001E3265" w:rsidRPr="005A2CBF">
        <w:t>need to be representative.</w:t>
      </w:r>
      <w:r>
        <w:t xml:space="preserve"> The inspector may therefore consider if these two aspects are adequate, as appropriate. </w:t>
      </w:r>
    </w:p>
    <w:p w14:paraId="5F3F4A38" w14:textId="77777777" w:rsidR="005A2CBF" w:rsidRDefault="005A2CBF" w:rsidP="0002758C">
      <w:pPr>
        <w:pStyle w:val="TSNumberedParagraph11"/>
      </w:pPr>
      <w:r>
        <w:t>Sophisticated computer codes and theoretical models are tool</w:t>
      </w:r>
      <w:r w:rsidR="00B92614">
        <w:t>s</w:t>
      </w:r>
      <w:r>
        <w:t xml:space="preserve"> and techniques used frequently to undertake accident analyses for nuclear </w:t>
      </w:r>
      <w:r w:rsidR="00B8029B">
        <w:t xml:space="preserve">reactor </w:t>
      </w:r>
      <w:r>
        <w:t xml:space="preserve">facilities. Depending on the nature of the assessment, from the perspective of considering the relative importance of the assumed chemistry phenomena in making the safety case, the inspector might take into account the degree to </w:t>
      </w:r>
      <w:r w:rsidR="0006788E" w:rsidRPr="0006788E">
        <w:t>whi</w:t>
      </w:r>
      <w:r>
        <w:t xml:space="preserve">ch </w:t>
      </w:r>
      <w:r w:rsidRPr="00DB4353">
        <w:t>SAPs FA.7</w:t>
      </w:r>
      <w:r w:rsidR="00CE2B5C" w:rsidRPr="00DB4353">
        <w:t>, FA.9</w:t>
      </w:r>
      <w:r w:rsidR="003C49E1">
        <w:t>,</w:t>
      </w:r>
      <w:r w:rsidR="00CE2B5C" w:rsidRPr="00DB4353">
        <w:t xml:space="preserve"> FA.15</w:t>
      </w:r>
      <w:r w:rsidR="003C49E1">
        <w:t>, FA.16 and AV.1 to AV.8</w:t>
      </w:r>
      <w:r w:rsidR="00CE2B5C" w:rsidRPr="00DB4353">
        <w:t xml:space="preserve"> </w:t>
      </w:r>
      <w:r w:rsidRPr="003C49E1">
        <w:t>ar</w:t>
      </w:r>
      <w:r>
        <w:t>e satisfied.</w:t>
      </w:r>
    </w:p>
    <w:p w14:paraId="5F3F4A39" w14:textId="77777777" w:rsidR="008270C6" w:rsidRDefault="008270C6" w:rsidP="0002758C">
      <w:pPr>
        <w:pStyle w:val="TSNumberedParagraph11"/>
      </w:pPr>
      <w:r>
        <w:t xml:space="preserve">As well as the fault analysis principles, the inspector may also consider the relevance of the requirements of principle EPE.4, on severe accidents. </w:t>
      </w:r>
    </w:p>
    <w:p w14:paraId="5F3F4A3A" w14:textId="77777777" w:rsidR="007E23E7" w:rsidRDefault="00A6039A" w:rsidP="00E0755F">
      <w:pPr>
        <w:pStyle w:val="TSNumberedParagraph11"/>
      </w:pPr>
      <w:r w:rsidRPr="00EA39A7">
        <w:t>F</w:t>
      </w:r>
      <w:r w:rsidR="005A2CBF" w:rsidRPr="00EA39A7">
        <w:t>urther guidance on the potential role of chemis</w:t>
      </w:r>
      <w:r w:rsidRPr="00EA39A7">
        <w:t>try in the analysis of the</w:t>
      </w:r>
      <w:r w:rsidR="005A2CBF" w:rsidRPr="00EA39A7">
        <w:t xml:space="preserve"> radiological </w:t>
      </w:r>
      <w:r w:rsidR="00EA39A7" w:rsidRPr="00EA39A7">
        <w:t>conse</w:t>
      </w:r>
      <w:r w:rsidR="00EA39A7">
        <w:t xml:space="preserve">quences for accident source terms is provided </w:t>
      </w:r>
      <w:r w:rsidR="003C49E1">
        <w:t xml:space="preserve">in </w:t>
      </w:r>
      <w:r w:rsidR="001D6E16" w:rsidRPr="001D6E16">
        <w:t>paragraph</w:t>
      </w:r>
      <w:r w:rsidR="003C49E1" w:rsidRPr="001D6E16">
        <w:t xml:space="preserve"> </w:t>
      </w:r>
      <w:r w:rsidR="0018344D" w:rsidRPr="001D6E16">
        <w:t>6.27</w:t>
      </w:r>
      <w:r w:rsidR="0018344D">
        <w:t xml:space="preserve"> onward</w:t>
      </w:r>
      <w:r w:rsidR="001D6E16">
        <w:t>s,</w:t>
      </w:r>
      <w:r w:rsidR="003C49E1">
        <w:t xml:space="preserve"> </w:t>
      </w:r>
      <w:r w:rsidR="00EA39A7">
        <w:t xml:space="preserve">and in </w:t>
      </w:r>
      <w:r w:rsidR="00EA39A7" w:rsidRPr="00DB4353">
        <w:t>Appendix 2</w:t>
      </w:r>
      <w:r w:rsidR="005A2CBF" w:rsidRPr="00DB4353">
        <w:t>.</w:t>
      </w:r>
      <w:r w:rsidR="00B8029B">
        <w:t xml:space="preserve"> Clearly though, </w:t>
      </w:r>
      <w:r w:rsidR="00832927">
        <w:t>where applicable and necessary, chemistry specialist inspectors may be needed</w:t>
      </w:r>
      <w:r w:rsidR="00EB6721">
        <w:t xml:space="preserve"> to inform ONR’s regulatory judgements against some of the numerical targets presented in the SAPs.  </w:t>
      </w:r>
    </w:p>
    <w:p w14:paraId="5F3F4A3B" w14:textId="77777777" w:rsidR="00832927" w:rsidRPr="00940FF6" w:rsidRDefault="00033B95" w:rsidP="007E23E7">
      <w:pPr>
        <w:pStyle w:val="TSNumberedParagraph11"/>
        <w:numPr>
          <w:ilvl w:val="0"/>
          <w:numId w:val="0"/>
        </w:numPr>
        <w:rPr>
          <w:b/>
        </w:rPr>
      </w:pPr>
      <w:r w:rsidRPr="00940FF6">
        <w:rPr>
          <w:b/>
        </w:rPr>
        <w:t>5.2</w:t>
      </w:r>
      <w:r w:rsidRPr="00940FF6">
        <w:rPr>
          <w:b/>
        </w:rPr>
        <w:tab/>
        <w:t>RESOLUTION OF CONFLICTING CHEMISTRY EFFECTS</w:t>
      </w:r>
    </w:p>
    <w:tbl>
      <w:tblPr>
        <w:tblW w:w="0" w:type="auto"/>
        <w:jc w:val="center"/>
        <w:tblBorders>
          <w:top w:val="nil"/>
          <w:left w:val="nil"/>
          <w:bottom w:val="nil"/>
          <w:right w:val="nil"/>
        </w:tblBorders>
        <w:tblLayout w:type="fixed"/>
        <w:tblLook w:val="0000" w:firstRow="0" w:lastRow="0" w:firstColumn="0" w:lastColumn="0" w:noHBand="0" w:noVBand="0"/>
      </w:tblPr>
      <w:tblGrid>
        <w:gridCol w:w="3189"/>
        <w:gridCol w:w="3189"/>
        <w:gridCol w:w="2622"/>
      </w:tblGrid>
      <w:tr w:rsidR="005E74E8" w:rsidRPr="002A47E6" w14:paraId="5F3F4A3F" w14:textId="77777777" w:rsidTr="000E58DC">
        <w:trPr>
          <w:trHeight w:val="138"/>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3C" w14:textId="77777777" w:rsidR="005E74E8" w:rsidRPr="00B21A77" w:rsidRDefault="005E74E8" w:rsidP="008512F8">
            <w:pPr>
              <w:pStyle w:val="normal1"/>
              <w:spacing w:before="60" w:after="60"/>
              <w:rPr>
                <w:rFonts w:cs="Arial"/>
                <w:color w:val="000000"/>
                <w:sz w:val="22"/>
                <w:szCs w:val="22"/>
              </w:rPr>
            </w:pPr>
            <w:r w:rsidRPr="00B21A77">
              <w:rPr>
                <w:rFonts w:cs="Arial"/>
                <w:b/>
                <w:bCs/>
                <w:color w:val="000000"/>
                <w:sz w:val="22"/>
                <w:szCs w:val="22"/>
              </w:rPr>
              <w:t xml:space="preserve">Engineering principles: Chemistry </w:t>
            </w:r>
          </w:p>
        </w:tc>
        <w:tc>
          <w:tcPr>
            <w:tcW w:w="318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3D" w14:textId="77777777" w:rsidR="005E74E8" w:rsidRPr="00B21A77" w:rsidRDefault="005E74E8" w:rsidP="008512F8">
            <w:pPr>
              <w:pStyle w:val="normal1"/>
              <w:spacing w:before="60" w:after="60"/>
              <w:rPr>
                <w:rFonts w:cs="Arial"/>
                <w:color w:val="000000"/>
                <w:sz w:val="22"/>
                <w:szCs w:val="22"/>
              </w:rPr>
            </w:pPr>
            <w:r w:rsidRPr="00B21A77">
              <w:rPr>
                <w:rFonts w:cs="Arial"/>
                <w:bCs/>
                <w:color w:val="000000"/>
                <w:sz w:val="22"/>
                <w:szCs w:val="22"/>
              </w:rPr>
              <w:t>Resolution of conflicting chemical effects</w:t>
            </w:r>
          </w:p>
        </w:tc>
        <w:tc>
          <w:tcPr>
            <w:tcW w:w="262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3E" w14:textId="77777777" w:rsidR="005E74E8" w:rsidRPr="00B21A77" w:rsidRDefault="005E74E8" w:rsidP="008512F8">
            <w:pPr>
              <w:pStyle w:val="normal1"/>
              <w:spacing w:before="60" w:after="60"/>
              <w:jc w:val="center"/>
              <w:rPr>
                <w:rFonts w:cs="Arial"/>
                <w:color w:val="000000"/>
                <w:sz w:val="22"/>
                <w:szCs w:val="22"/>
              </w:rPr>
            </w:pPr>
            <w:r w:rsidRPr="00B21A77">
              <w:rPr>
                <w:rFonts w:cs="Arial"/>
                <w:bCs/>
                <w:color w:val="000000"/>
                <w:sz w:val="22"/>
                <w:szCs w:val="22"/>
              </w:rPr>
              <w:t xml:space="preserve">ECH.2 </w:t>
            </w:r>
          </w:p>
        </w:tc>
      </w:tr>
      <w:tr w:rsidR="005E74E8" w:rsidRPr="002A47E6" w14:paraId="5F3F4A41" w14:textId="77777777" w:rsidTr="000E58DC">
        <w:trPr>
          <w:trHeight w:val="248"/>
          <w:jc w:val="center"/>
        </w:trPr>
        <w:tc>
          <w:tcPr>
            <w:tcW w:w="9000" w:type="dxa"/>
            <w:gridSpan w:val="3"/>
            <w:tcBorders>
              <w:top w:val="single" w:sz="4" w:space="0" w:color="000000"/>
              <w:left w:val="single" w:sz="4" w:space="0" w:color="000000"/>
              <w:bottom w:val="single" w:sz="4" w:space="0" w:color="000000"/>
              <w:right w:val="single" w:sz="4" w:space="0" w:color="000000"/>
            </w:tcBorders>
            <w:vAlign w:val="center"/>
          </w:tcPr>
          <w:p w14:paraId="5F3F4A40" w14:textId="77777777" w:rsidR="005E74E8" w:rsidRPr="00B21A77" w:rsidRDefault="00EB7589" w:rsidP="008512F8">
            <w:pPr>
              <w:pStyle w:val="Principle1"/>
              <w:spacing w:before="120" w:after="120"/>
              <w:jc w:val="both"/>
              <w:rPr>
                <w:rFonts w:cs="Arial"/>
                <w:color w:val="000000"/>
                <w:sz w:val="22"/>
                <w:szCs w:val="22"/>
              </w:rPr>
            </w:pPr>
            <w:r w:rsidRPr="00B21A77">
              <w:rPr>
                <w:rFonts w:cs="Arial"/>
                <w:color w:val="000000"/>
                <w:sz w:val="22"/>
                <w:szCs w:val="22"/>
              </w:rPr>
              <w:t>Where the effects of different chemistry parameters conflict with one another, the safety case should demonstrate that an appropriate balance for safety has been achieved</w:t>
            </w:r>
            <w:r w:rsidR="005E74E8" w:rsidRPr="00B21A77">
              <w:rPr>
                <w:rFonts w:cs="Arial"/>
                <w:color w:val="000000"/>
                <w:sz w:val="22"/>
                <w:szCs w:val="22"/>
              </w:rPr>
              <w:t>.</w:t>
            </w:r>
          </w:p>
        </w:tc>
      </w:tr>
    </w:tbl>
    <w:p w14:paraId="5F3F4A42" w14:textId="77777777" w:rsidR="005E74E8" w:rsidRDefault="005E74E8" w:rsidP="005E74E8">
      <w:pPr>
        <w:pStyle w:val="TSNumberedParagraph11"/>
        <w:numPr>
          <w:ilvl w:val="0"/>
          <w:numId w:val="0"/>
        </w:numPr>
      </w:pPr>
    </w:p>
    <w:p w14:paraId="5F3F4A43" w14:textId="77777777" w:rsidR="008512F8" w:rsidRPr="00DC15C1" w:rsidRDefault="00AC08A3" w:rsidP="00AC08A3">
      <w:pPr>
        <w:pStyle w:val="TSNumberedParagraph11"/>
      </w:pPr>
      <w:r w:rsidRPr="00DC15C1">
        <w:t xml:space="preserve">As well as providing a claims, arguments, evidence </w:t>
      </w:r>
      <w:r w:rsidR="0090399A">
        <w:t>approach for chemistry (or alternative</w:t>
      </w:r>
      <w:r w:rsidRPr="00DC15C1">
        <w:t xml:space="preserve"> approach which achieves the same aims), where appropriate, the safety case should also present a holistic commentary </w:t>
      </w:r>
      <w:r w:rsidR="00B21A77" w:rsidRPr="00DC15C1">
        <w:t xml:space="preserve">and justification for chemistry. </w:t>
      </w:r>
    </w:p>
    <w:p w14:paraId="5F3F4A44" w14:textId="77777777" w:rsidR="00E466FB" w:rsidRPr="00DC15C1" w:rsidRDefault="00B21A77" w:rsidP="00C11755">
      <w:pPr>
        <w:pStyle w:val="TSNumberedParagraph11"/>
      </w:pPr>
      <w:r w:rsidRPr="00DC15C1">
        <w:t>This is because, as inferred by SAP ECH.2, it is rarely the case that the most appropriate choice of chemistry parameter to manage/control one particular safety issue</w:t>
      </w:r>
      <w:r w:rsidR="00955B3D">
        <w:t>,</w:t>
      </w:r>
      <w:r w:rsidR="00DC15C1" w:rsidRPr="00DC15C1">
        <w:t xml:space="preserve"> is the optimum choice for </w:t>
      </w:r>
      <w:r w:rsidR="008512F8" w:rsidRPr="00DC15C1">
        <w:t xml:space="preserve">other </w:t>
      </w:r>
      <w:r w:rsidRPr="00DC15C1">
        <w:t>chemistry parameter</w:t>
      </w:r>
      <w:r w:rsidR="008512F8" w:rsidRPr="00DC15C1">
        <w:t>(s)</w:t>
      </w:r>
      <w:r w:rsidRPr="00DC15C1">
        <w:t xml:space="preserve"> implem</w:t>
      </w:r>
      <w:r w:rsidR="008512F8" w:rsidRPr="00DC15C1">
        <w:t xml:space="preserve">ented to manage/control similar or different </w:t>
      </w:r>
      <w:r w:rsidRPr="00DC15C1">
        <w:t>safety issue</w:t>
      </w:r>
      <w:r w:rsidR="008512F8" w:rsidRPr="00DC15C1">
        <w:t>s</w:t>
      </w:r>
      <w:r w:rsidRPr="00DC15C1">
        <w:t xml:space="preserve">. The most appropriate choice of chemistry may therefore be a holistic balance between all </w:t>
      </w:r>
      <w:r w:rsidR="008512F8" w:rsidRPr="00DC15C1">
        <w:t xml:space="preserve">of the relevant, claimed, </w:t>
      </w:r>
      <w:r w:rsidRPr="00DC15C1">
        <w:t>safety aims.</w:t>
      </w:r>
      <w:r w:rsidR="008512F8" w:rsidRPr="00DC15C1">
        <w:t xml:space="preserve"> This also implies the importance of providing clear separation and justification of the aspects of chemistry control which are implemented for safety reasons, from those which may be implemented for other reasons. This particular scenario is commonly encountered for reactor facilities; the inspector should therefore ref</w:t>
      </w:r>
      <w:r w:rsidR="00C11755">
        <w:t xml:space="preserve">er to </w:t>
      </w:r>
      <w:r w:rsidR="008512F8" w:rsidRPr="00DC15C1">
        <w:t>[</w:t>
      </w:r>
      <w:r w:rsidR="0052667E">
        <w:fldChar w:fldCharType="begin"/>
      </w:r>
      <w:r w:rsidR="0052667E">
        <w:instrText xml:space="preserve"> NOTEREF _Ref447275804  \* MERGEFORMAT </w:instrText>
      </w:r>
      <w:r w:rsidR="0052667E">
        <w:fldChar w:fldCharType="separate"/>
      </w:r>
      <w:r w:rsidR="00C23519">
        <w:t>3</w:t>
      </w:r>
      <w:r w:rsidR="0052667E">
        <w:fldChar w:fldCharType="end"/>
      </w:r>
      <w:r w:rsidR="008512F8" w:rsidRPr="00DC15C1">
        <w:t>]</w:t>
      </w:r>
      <w:r w:rsidR="00DC15C1" w:rsidRPr="00DC15C1">
        <w:t xml:space="preserve"> for further guidance</w:t>
      </w:r>
      <w:r w:rsidR="00C11755">
        <w:t xml:space="preserve">, as appropriate.  </w:t>
      </w:r>
    </w:p>
    <w:p w14:paraId="5F3F4A45" w14:textId="77777777" w:rsidR="00267403" w:rsidRPr="00940FF6" w:rsidRDefault="00033B95" w:rsidP="007E23E7">
      <w:pPr>
        <w:pStyle w:val="TSNumberedParagraph11"/>
        <w:numPr>
          <w:ilvl w:val="0"/>
          <w:numId w:val="0"/>
        </w:numPr>
        <w:rPr>
          <w:b/>
        </w:rPr>
      </w:pPr>
      <w:bookmarkStart w:id="20" w:name="control_chemistry"/>
      <w:bookmarkStart w:id="21" w:name="_Toc447189488"/>
      <w:bookmarkStart w:id="22" w:name="_Ref447780922"/>
      <w:r w:rsidRPr="00940FF6">
        <w:rPr>
          <w:b/>
        </w:rPr>
        <w:t xml:space="preserve">5.3 </w:t>
      </w:r>
      <w:r w:rsidRPr="00940FF6">
        <w:rPr>
          <w:b/>
        </w:rPr>
        <w:tab/>
      </w:r>
      <w:r w:rsidR="00DA3777" w:rsidRPr="00940FF6">
        <w:rPr>
          <w:b/>
        </w:rPr>
        <w:t>CONTROL OF CHEMISTRY</w:t>
      </w:r>
      <w:bookmarkEnd w:id="20"/>
      <w:bookmarkEnd w:id="21"/>
      <w:bookmarkEnd w:id="22"/>
    </w:p>
    <w:tbl>
      <w:tblPr>
        <w:tblW w:w="0" w:type="auto"/>
        <w:jc w:val="center"/>
        <w:tblBorders>
          <w:top w:val="nil"/>
          <w:left w:val="nil"/>
          <w:bottom w:val="nil"/>
          <w:right w:val="nil"/>
        </w:tblBorders>
        <w:tblLayout w:type="fixed"/>
        <w:tblLook w:val="0000" w:firstRow="0" w:lastRow="0" w:firstColumn="0" w:lastColumn="0" w:noHBand="0" w:noVBand="0"/>
      </w:tblPr>
      <w:tblGrid>
        <w:gridCol w:w="3189"/>
        <w:gridCol w:w="3189"/>
        <w:gridCol w:w="2622"/>
      </w:tblGrid>
      <w:tr w:rsidR="005E74E8" w:rsidRPr="002A47E6" w14:paraId="5F3F4A49" w14:textId="77777777" w:rsidTr="000E58DC">
        <w:trPr>
          <w:trHeight w:val="138"/>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46" w14:textId="77777777" w:rsidR="005E74E8" w:rsidRPr="005E74E8" w:rsidRDefault="005E74E8" w:rsidP="008512F8">
            <w:pPr>
              <w:pStyle w:val="normal1"/>
              <w:spacing w:before="60" w:after="60"/>
              <w:rPr>
                <w:rFonts w:cs="Arial"/>
                <w:color w:val="000000"/>
                <w:sz w:val="22"/>
                <w:szCs w:val="22"/>
              </w:rPr>
            </w:pPr>
            <w:r w:rsidRPr="005E74E8">
              <w:rPr>
                <w:rFonts w:cs="Arial"/>
                <w:b/>
                <w:bCs/>
                <w:color w:val="000000"/>
                <w:sz w:val="22"/>
                <w:szCs w:val="22"/>
              </w:rPr>
              <w:t xml:space="preserve">Engineering principles: Chemistry </w:t>
            </w:r>
          </w:p>
        </w:tc>
        <w:tc>
          <w:tcPr>
            <w:tcW w:w="318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47" w14:textId="77777777" w:rsidR="005E74E8" w:rsidRPr="005E74E8" w:rsidRDefault="005E74E8" w:rsidP="008512F8">
            <w:pPr>
              <w:pStyle w:val="normal1"/>
              <w:spacing w:before="60" w:after="60"/>
              <w:rPr>
                <w:rFonts w:cs="Arial"/>
                <w:color w:val="000000"/>
                <w:sz w:val="22"/>
                <w:szCs w:val="22"/>
              </w:rPr>
            </w:pPr>
            <w:r w:rsidRPr="005E74E8">
              <w:rPr>
                <w:rFonts w:cs="Arial"/>
                <w:bCs/>
                <w:color w:val="000000"/>
                <w:sz w:val="22"/>
                <w:szCs w:val="22"/>
              </w:rPr>
              <w:t>C</w:t>
            </w:r>
            <w:r>
              <w:rPr>
                <w:rFonts w:cs="Arial"/>
                <w:bCs/>
                <w:color w:val="000000"/>
                <w:sz w:val="22"/>
                <w:szCs w:val="22"/>
              </w:rPr>
              <w:t>ontrol of chemistry</w:t>
            </w:r>
          </w:p>
        </w:tc>
        <w:tc>
          <w:tcPr>
            <w:tcW w:w="262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48" w14:textId="77777777" w:rsidR="005E74E8" w:rsidRPr="005E74E8" w:rsidRDefault="005E74E8" w:rsidP="008512F8">
            <w:pPr>
              <w:pStyle w:val="normal1"/>
              <w:spacing w:before="60" w:after="60"/>
              <w:jc w:val="center"/>
              <w:rPr>
                <w:rFonts w:cs="Arial"/>
                <w:color w:val="000000"/>
                <w:sz w:val="22"/>
                <w:szCs w:val="22"/>
              </w:rPr>
            </w:pPr>
            <w:r w:rsidRPr="005E74E8">
              <w:rPr>
                <w:rFonts w:cs="Arial"/>
                <w:bCs/>
                <w:color w:val="000000"/>
                <w:sz w:val="22"/>
                <w:szCs w:val="22"/>
              </w:rPr>
              <w:t>ECH.3</w:t>
            </w:r>
          </w:p>
        </w:tc>
      </w:tr>
      <w:tr w:rsidR="005E74E8" w:rsidRPr="002A47E6" w14:paraId="5F3F4A4B" w14:textId="77777777" w:rsidTr="000E58DC">
        <w:trPr>
          <w:trHeight w:val="248"/>
          <w:jc w:val="center"/>
        </w:trPr>
        <w:tc>
          <w:tcPr>
            <w:tcW w:w="9000" w:type="dxa"/>
            <w:gridSpan w:val="3"/>
            <w:tcBorders>
              <w:top w:val="single" w:sz="4" w:space="0" w:color="000000"/>
              <w:left w:val="single" w:sz="4" w:space="0" w:color="000000"/>
              <w:bottom w:val="single" w:sz="4" w:space="0" w:color="000000"/>
              <w:right w:val="single" w:sz="4" w:space="0" w:color="000000"/>
            </w:tcBorders>
            <w:vAlign w:val="center"/>
          </w:tcPr>
          <w:p w14:paraId="5F3F4A4A" w14:textId="77777777" w:rsidR="005E74E8" w:rsidRPr="005E74E8" w:rsidRDefault="00EB7589" w:rsidP="008512F8">
            <w:pPr>
              <w:pStyle w:val="Principle1"/>
              <w:spacing w:before="120" w:after="120"/>
              <w:jc w:val="both"/>
              <w:rPr>
                <w:rFonts w:cs="Arial"/>
                <w:color w:val="000000"/>
                <w:sz w:val="22"/>
                <w:szCs w:val="22"/>
              </w:rPr>
            </w:pPr>
            <w:r>
              <w:rPr>
                <w:rFonts w:cs="Arial"/>
                <w:color w:val="000000"/>
                <w:sz w:val="22"/>
                <w:szCs w:val="22"/>
              </w:rPr>
              <w:t>Suitable and sufficient systems, processes and procedures should be provided to maintain chemistry parameters within the limits and conditions identified in the safety case</w:t>
            </w:r>
            <w:r w:rsidR="005E74E8" w:rsidRPr="005E74E8">
              <w:rPr>
                <w:rFonts w:cs="Arial"/>
                <w:color w:val="000000"/>
                <w:sz w:val="22"/>
                <w:szCs w:val="22"/>
              </w:rPr>
              <w:t>.</w:t>
            </w:r>
          </w:p>
        </w:tc>
      </w:tr>
    </w:tbl>
    <w:p w14:paraId="5F3F4A4C" w14:textId="77777777" w:rsidR="005E74E8" w:rsidRPr="00DA3777" w:rsidRDefault="005E74E8" w:rsidP="005E74E8">
      <w:pPr>
        <w:pStyle w:val="TSHeadingLevel1Numbered"/>
        <w:numPr>
          <w:ilvl w:val="0"/>
          <w:numId w:val="0"/>
        </w:numPr>
        <w:ind w:left="709" w:hanging="709"/>
      </w:pPr>
    </w:p>
    <w:p w14:paraId="5F3F4A4D" w14:textId="77777777" w:rsidR="00267403" w:rsidRDefault="00267403" w:rsidP="0002758C">
      <w:pPr>
        <w:pStyle w:val="TSNumberedParagraph11"/>
      </w:pPr>
      <w:r>
        <w:t xml:space="preserve">The inspector should </w:t>
      </w:r>
      <w:r w:rsidR="004A042F">
        <w:t xml:space="preserve">refer to </w:t>
      </w:r>
      <w:r>
        <w:t xml:space="preserve">principle ECH.3 when reading </w:t>
      </w:r>
      <w:r w:rsidR="00C60D7D">
        <w:t>this</w:t>
      </w:r>
      <w:r>
        <w:t xml:space="preserve"> section. ECH.3 essentially requires that the basis of chemistry control for a nuclear facility is </w:t>
      </w:r>
      <w:r w:rsidR="00C11755">
        <w:t>clearly linked to the chemistry-</w:t>
      </w:r>
      <w:r>
        <w:t xml:space="preserve">based limits and conditions </w:t>
      </w:r>
      <w:r w:rsidR="00E725BB">
        <w:t xml:space="preserve">(Operating Rules) </w:t>
      </w:r>
      <w:r>
        <w:t xml:space="preserve">derived from the safety case. </w:t>
      </w:r>
    </w:p>
    <w:p w14:paraId="5F3F4A4E" w14:textId="77777777" w:rsidR="00267403" w:rsidRDefault="00267403" w:rsidP="0002758C">
      <w:pPr>
        <w:pStyle w:val="TSNumberedParagraph11"/>
      </w:pPr>
      <w:r>
        <w:t>This means chemistry parameters selected for ‘control’ should be determined by their relative significance to maintaining nuclear safety and be reflective of the claims made in the safet</w:t>
      </w:r>
      <w:r w:rsidR="00832927">
        <w:t xml:space="preserve">y case. The inspector should consider if </w:t>
      </w:r>
      <w:r>
        <w:t>the chemistry parameters selected for control are those which broadly define the safe operating envelope, from a chemistry perspective, for the facility. Further guidance</w:t>
      </w:r>
      <w:r w:rsidR="00832927">
        <w:t xml:space="preserve"> on the limits and conditions (O</w:t>
      </w:r>
      <w:r>
        <w:t>pe</w:t>
      </w:r>
      <w:r w:rsidR="00832927">
        <w:t>rating R</w:t>
      </w:r>
      <w:r>
        <w:t>ules) for nucl</w:t>
      </w:r>
      <w:r w:rsidR="00C11755">
        <w:t>ear plant safety is provided in</w:t>
      </w:r>
      <w:r w:rsidR="00053EE9">
        <w:t xml:space="preserve"> </w:t>
      </w:r>
      <w:r w:rsidR="00053EE9" w:rsidRPr="00DB4353">
        <w:t>[</w:t>
      </w:r>
      <w:r w:rsidR="00053EE9">
        <w:rPr>
          <w:rStyle w:val="EndnoteReference"/>
        </w:rPr>
        <w:endnoteReference w:id="20"/>
      </w:r>
      <w:r w:rsidR="00053EE9" w:rsidRPr="00DB4353">
        <w:t>]</w:t>
      </w:r>
      <w:r w:rsidRPr="00DB4353">
        <w:t xml:space="preserve">. </w:t>
      </w:r>
    </w:p>
    <w:p w14:paraId="5F3F4A4F" w14:textId="77777777" w:rsidR="00267403" w:rsidRPr="00A65F65" w:rsidRDefault="00267403" w:rsidP="00B60BD7">
      <w:pPr>
        <w:pStyle w:val="TSNumberedParagraph11"/>
        <w:tabs>
          <w:tab w:val="clear" w:pos="-31680"/>
        </w:tabs>
      </w:pPr>
      <w:r>
        <w:t>‘Che</w:t>
      </w:r>
      <w:r w:rsidR="00B60BD7">
        <w:t>mistry control’ is a broad term. A</w:t>
      </w:r>
      <w:r>
        <w:t>dequate arr</w:t>
      </w:r>
      <w:r w:rsidR="00C00C77">
        <w:t xml:space="preserve">angements for chemistry control </w:t>
      </w:r>
      <w:r w:rsidR="00B60BD7">
        <w:t xml:space="preserve">can therefore </w:t>
      </w:r>
      <w:r>
        <w:t>involve people, te</w:t>
      </w:r>
      <w:r w:rsidR="00B60BD7">
        <w:t xml:space="preserve">chnology and plant engineering. </w:t>
      </w:r>
      <w:r w:rsidRPr="00A65F65">
        <w:t xml:space="preserve">The inspector may </w:t>
      </w:r>
      <w:r w:rsidR="00B60BD7">
        <w:t xml:space="preserve">therefore </w:t>
      </w:r>
      <w:r w:rsidRPr="00A65F65">
        <w:t>consider if the following factors have been adequately addressed in the design or licensee’s arrangements for chemistry control:</w:t>
      </w:r>
    </w:p>
    <w:p w14:paraId="5F3F4A50" w14:textId="77777777" w:rsidR="00267403" w:rsidRPr="00DF12B7" w:rsidRDefault="004A042F" w:rsidP="00267403">
      <w:pPr>
        <w:pStyle w:val="TSBullet1Square"/>
      </w:pPr>
      <w:r>
        <w:t>Whether a</w:t>
      </w:r>
      <w:r w:rsidR="00B60BD7">
        <w:t xml:space="preserve"> holistic</w:t>
      </w:r>
      <w:r w:rsidR="00267403" w:rsidRPr="00DF12B7">
        <w:t xml:space="preserve"> process has been followed, where the safety case requirements for chemistry control have not been considered in isolation. A nuclear facility should be designed so that the engineered systems are able t</w:t>
      </w:r>
      <w:r w:rsidR="00C11755">
        <w:t>o deliver any claimed chemistry-</w:t>
      </w:r>
      <w:r w:rsidR="00B60BD7">
        <w:t xml:space="preserve">related safety </w:t>
      </w:r>
      <w:r w:rsidR="00267403" w:rsidRPr="00DF12B7">
        <w:t>function</w:t>
      </w:r>
      <w:r>
        <w:t>.</w:t>
      </w:r>
      <w:r w:rsidRPr="00DF12B7">
        <w:t xml:space="preserve">    </w:t>
      </w:r>
    </w:p>
    <w:p w14:paraId="5F3F4A51" w14:textId="77777777" w:rsidR="00267403" w:rsidRPr="00604473" w:rsidRDefault="00267403" w:rsidP="00267403">
      <w:pPr>
        <w:pStyle w:val="TSBullet1Square"/>
      </w:pPr>
      <w:r w:rsidRPr="00604473">
        <w:t>Where the safety case claims on chemistry</w:t>
      </w:r>
      <w:r>
        <w:t xml:space="preserve"> control</w:t>
      </w:r>
      <w:r w:rsidRPr="00604473">
        <w:t xml:space="preserve"> require reliable and rapid acti</w:t>
      </w:r>
      <w:r w:rsidR="00C11755">
        <w:t xml:space="preserve">on to ensure adequate </w:t>
      </w:r>
      <w:r w:rsidRPr="00604473">
        <w:t>control is maintained, for example</w:t>
      </w:r>
      <w:r w:rsidR="00283AE5">
        <w:t xml:space="preserve"> during</w:t>
      </w:r>
      <w:r w:rsidRPr="00604473">
        <w:t xml:space="preserve"> gross impurity ingress events, the requirements of principle ERL.3 should be considered. Automatically initiated safety features may be required</w:t>
      </w:r>
      <w:r w:rsidR="004A042F">
        <w:t>.</w:t>
      </w:r>
      <w:r w:rsidR="00283AE5">
        <w:t xml:space="preserve"> </w:t>
      </w:r>
    </w:p>
    <w:p w14:paraId="5F3F4A52" w14:textId="77777777" w:rsidR="00267403" w:rsidRPr="00DF12B7" w:rsidRDefault="00283AE5" w:rsidP="00267403">
      <w:pPr>
        <w:pStyle w:val="TSBullet1Square"/>
      </w:pPr>
      <w:r>
        <w:t>Limits and conditions (Operating R</w:t>
      </w:r>
      <w:r w:rsidR="00267403" w:rsidRPr="00DF12B7">
        <w:t>ules) for all phases of operation should be con</w:t>
      </w:r>
      <w:r w:rsidR="00C11755">
        <w:t xml:space="preserve">sidered, including </w:t>
      </w:r>
      <w:r w:rsidR="00267403" w:rsidRPr="00DF12B7">
        <w:t xml:space="preserve">fault </w:t>
      </w:r>
      <w:r w:rsidR="00C11755">
        <w:t xml:space="preserve">and accident </w:t>
      </w:r>
      <w:r w:rsidR="00267403" w:rsidRPr="00DF12B7">
        <w:t>conditions</w:t>
      </w:r>
      <w:r w:rsidR="004A042F">
        <w:t>.</w:t>
      </w:r>
    </w:p>
    <w:p w14:paraId="5F3F4A53" w14:textId="77777777" w:rsidR="002A59A7" w:rsidRDefault="00267403" w:rsidP="002A59A7">
      <w:pPr>
        <w:pStyle w:val="TSBullet1Square"/>
      </w:pPr>
      <w:r w:rsidRPr="00DF12B7">
        <w:t xml:space="preserve">Reliance on undertaking modelling or performing calculations to demonstrate adequate chemistry control and compliance with the safety case should be carefully considered, especially the potential limits of applicability of the models used and calculations being performed.  </w:t>
      </w:r>
    </w:p>
    <w:p w14:paraId="5F3F4A54" w14:textId="77777777" w:rsidR="007E23E7" w:rsidRPr="007E23E7" w:rsidRDefault="007E23E7" w:rsidP="007E23E7"/>
    <w:p w14:paraId="5F3F4A55" w14:textId="77777777" w:rsidR="00267403" w:rsidRPr="00940FF6" w:rsidRDefault="00033B95" w:rsidP="007E23E7">
      <w:pPr>
        <w:pStyle w:val="TSNumberedParagraph11"/>
        <w:numPr>
          <w:ilvl w:val="0"/>
          <w:numId w:val="0"/>
        </w:numPr>
        <w:ind w:left="720" w:hanging="720"/>
        <w:rPr>
          <w:b/>
        </w:rPr>
      </w:pPr>
      <w:bookmarkStart w:id="23" w:name="_Toc446504662"/>
      <w:bookmarkStart w:id="24" w:name="_Toc447189489"/>
      <w:r w:rsidRPr="00940FF6">
        <w:rPr>
          <w:b/>
        </w:rPr>
        <w:t>5.4</w:t>
      </w:r>
      <w:r w:rsidRPr="00940FF6">
        <w:rPr>
          <w:b/>
        </w:rPr>
        <w:tab/>
      </w:r>
      <w:r w:rsidR="00DA3777" w:rsidRPr="00940FF6">
        <w:rPr>
          <w:b/>
        </w:rPr>
        <w:t xml:space="preserve">MONITORING, </w:t>
      </w:r>
      <w:bookmarkStart w:id="25" w:name="sampling_section"/>
      <w:r w:rsidR="00DA3777" w:rsidRPr="00940FF6">
        <w:rPr>
          <w:b/>
        </w:rPr>
        <w:t>SAMPLING</w:t>
      </w:r>
      <w:bookmarkEnd w:id="25"/>
      <w:r w:rsidR="00DA3777" w:rsidRPr="00940FF6">
        <w:rPr>
          <w:b/>
        </w:rPr>
        <w:t xml:space="preserve"> AND ANALYSIS</w:t>
      </w:r>
      <w:bookmarkEnd w:id="23"/>
      <w:bookmarkEnd w:id="24"/>
    </w:p>
    <w:tbl>
      <w:tblPr>
        <w:tblW w:w="0" w:type="auto"/>
        <w:jc w:val="center"/>
        <w:tblBorders>
          <w:top w:val="nil"/>
          <w:left w:val="nil"/>
          <w:bottom w:val="nil"/>
          <w:right w:val="nil"/>
        </w:tblBorders>
        <w:tblLayout w:type="fixed"/>
        <w:tblLook w:val="0000" w:firstRow="0" w:lastRow="0" w:firstColumn="0" w:lastColumn="0" w:noHBand="0" w:noVBand="0"/>
      </w:tblPr>
      <w:tblGrid>
        <w:gridCol w:w="3189"/>
        <w:gridCol w:w="3189"/>
        <w:gridCol w:w="2622"/>
      </w:tblGrid>
      <w:tr w:rsidR="005E74E8" w:rsidRPr="002A47E6" w14:paraId="5F3F4A59" w14:textId="77777777" w:rsidTr="000E58DC">
        <w:trPr>
          <w:trHeight w:val="138"/>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56" w14:textId="77777777" w:rsidR="005E74E8" w:rsidRPr="005E74E8" w:rsidRDefault="005E74E8" w:rsidP="008512F8">
            <w:pPr>
              <w:pStyle w:val="normal1"/>
              <w:spacing w:before="60" w:after="60"/>
              <w:rPr>
                <w:rFonts w:cs="Arial"/>
                <w:color w:val="000000"/>
                <w:sz w:val="22"/>
                <w:szCs w:val="22"/>
              </w:rPr>
            </w:pPr>
            <w:r w:rsidRPr="005E74E8">
              <w:rPr>
                <w:rFonts w:cs="Arial"/>
                <w:b/>
                <w:bCs/>
                <w:color w:val="000000"/>
                <w:sz w:val="22"/>
                <w:szCs w:val="22"/>
              </w:rPr>
              <w:t>Engineering principles: Chemistry</w:t>
            </w:r>
          </w:p>
        </w:tc>
        <w:tc>
          <w:tcPr>
            <w:tcW w:w="318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57" w14:textId="77777777" w:rsidR="005E74E8" w:rsidRPr="005E74E8" w:rsidRDefault="001B59CC" w:rsidP="008512F8">
            <w:pPr>
              <w:pStyle w:val="normal1"/>
              <w:spacing w:before="60" w:after="60"/>
              <w:rPr>
                <w:rFonts w:cs="Arial"/>
                <w:color w:val="000000"/>
                <w:sz w:val="22"/>
                <w:szCs w:val="22"/>
              </w:rPr>
            </w:pPr>
            <w:r>
              <w:rPr>
                <w:rFonts w:cs="Arial"/>
                <w:bCs/>
                <w:color w:val="000000"/>
                <w:sz w:val="22"/>
                <w:szCs w:val="22"/>
              </w:rPr>
              <w:t>Monitoring, sampling and analysis</w:t>
            </w:r>
          </w:p>
        </w:tc>
        <w:tc>
          <w:tcPr>
            <w:tcW w:w="262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3F4A58" w14:textId="77777777" w:rsidR="005E74E8" w:rsidRPr="005E74E8" w:rsidRDefault="005E74E8" w:rsidP="008512F8">
            <w:pPr>
              <w:pStyle w:val="normal1"/>
              <w:spacing w:before="60" w:after="60"/>
              <w:jc w:val="center"/>
              <w:rPr>
                <w:rFonts w:cs="Arial"/>
                <w:color w:val="000000"/>
                <w:sz w:val="22"/>
                <w:szCs w:val="22"/>
              </w:rPr>
            </w:pPr>
            <w:r w:rsidRPr="005E74E8">
              <w:rPr>
                <w:rFonts w:cs="Arial"/>
                <w:bCs/>
                <w:color w:val="000000"/>
                <w:sz w:val="22"/>
                <w:szCs w:val="22"/>
              </w:rPr>
              <w:t>ECH.4</w:t>
            </w:r>
          </w:p>
        </w:tc>
      </w:tr>
      <w:tr w:rsidR="005E74E8" w:rsidRPr="002A47E6" w14:paraId="5F3F4A5B" w14:textId="77777777" w:rsidTr="000E58DC">
        <w:trPr>
          <w:trHeight w:val="248"/>
          <w:jc w:val="center"/>
        </w:trPr>
        <w:tc>
          <w:tcPr>
            <w:tcW w:w="9000" w:type="dxa"/>
            <w:gridSpan w:val="3"/>
            <w:tcBorders>
              <w:top w:val="single" w:sz="4" w:space="0" w:color="000000"/>
              <w:left w:val="single" w:sz="4" w:space="0" w:color="000000"/>
              <w:bottom w:val="single" w:sz="4" w:space="0" w:color="000000"/>
              <w:right w:val="single" w:sz="4" w:space="0" w:color="000000"/>
            </w:tcBorders>
            <w:vAlign w:val="center"/>
          </w:tcPr>
          <w:p w14:paraId="5F3F4A5A" w14:textId="77777777" w:rsidR="005E74E8" w:rsidRPr="005E74E8" w:rsidRDefault="005E74E8" w:rsidP="008512F8">
            <w:pPr>
              <w:pStyle w:val="Principle1"/>
              <w:spacing w:before="120" w:after="120"/>
              <w:jc w:val="both"/>
              <w:rPr>
                <w:rFonts w:cs="Arial"/>
                <w:color w:val="000000"/>
                <w:sz w:val="22"/>
                <w:szCs w:val="22"/>
              </w:rPr>
            </w:pPr>
            <w:r w:rsidRPr="005E74E8">
              <w:rPr>
                <w:rFonts w:cs="Arial"/>
                <w:color w:val="000000"/>
                <w:sz w:val="22"/>
                <w:szCs w:val="22"/>
              </w:rPr>
              <w:t>Suitable and sufficient systems, processes and procedures sh</w:t>
            </w:r>
            <w:r w:rsidR="001B59CC">
              <w:rPr>
                <w:rFonts w:cs="Arial"/>
                <w:color w:val="000000"/>
                <w:sz w:val="22"/>
                <w:szCs w:val="22"/>
              </w:rPr>
              <w:t>ould be provided for monitoring, sampling and analysis so that all chemistry parameters important to safety are properly controlled</w:t>
            </w:r>
            <w:r w:rsidRPr="005E74E8">
              <w:rPr>
                <w:rFonts w:cs="Arial"/>
                <w:color w:val="000000"/>
                <w:sz w:val="22"/>
                <w:szCs w:val="22"/>
              </w:rPr>
              <w:t>.</w:t>
            </w:r>
          </w:p>
        </w:tc>
      </w:tr>
    </w:tbl>
    <w:p w14:paraId="5F3F4A5C" w14:textId="77777777" w:rsidR="005E74E8" w:rsidRPr="00DA3777" w:rsidRDefault="005E74E8" w:rsidP="00E0755F">
      <w:pPr>
        <w:pStyle w:val="TSHeadingLevel1Numbered"/>
        <w:numPr>
          <w:ilvl w:val="0"/>
          <w:numId w:val="0"/>
        </w:numPr>
        <w:ind w:left="709" w:hanging="709"/>
      </w:pPr>
    </w:p>
    <w:p w14:paraId="5F3F4A5D" w14:textId="77777777" w:rsidR="001622F4" w:rsidRDefault="001B59CC" w:rsidP="00C00C77">
      <w:pPr>
        <w:pStyle w:val="TSNumberedParagraph11"/>
        <w:tabs>
          <w:tab w:val="clear" w:pos="-31680"/>
        </w:tabs>
      </w:pPr>
      <w:r>
        <w:t xml:space="preserve">The inspector should refer to principle ECH.4 when reading </w:t>
      </w:r>
      <w:r w:rsidR="00C60D7D">
        <w:t>this</w:t>
      </w:r>
      <w:r>
        <w:t xml:space="preserve"> section. </w:t>
      </w:r>
      <w:r w:rsidR="00267403" w:rsidRPr="00CC63E6">
        <w:t xml:space="preserve">The results of chemical and radiochemical analyses can be a key part in demonstrating compliance with the safety case and the on-going safe operation of a nuclear facility. There should therefore be suitable and sufficient chemical and radiochemical laboratory infrastructure and arrangements in place to be </w:t>
      </w:r>
      <w:r w:rsidR="00267403">
        <w:t xml:space="preserve">able </w:t>
      </w:r>
      <w:r w:rsidR="00267403" w:rsidRPr="00CC63E6">
        <w:t>to deliver the requirements of the safety case.</w:t>
      </w:r>
      <w:r w:rsidR="00C00C77">
        <w:t xml:space="preserve"> </w:t>
      </w:r>
      <w:r w:rsidR="001622F4">
        <w:t>The ins</w:t>
      </w:r>
      <w:r w:rsidR="00C00C77">
        <w:t xml:space="preserve">pector may therefore consider whether the following sampling and analysis requirements </w:t>
      </w:r>
      <w:r w:rsidR="001622F4">
        <w:t xml:space="preserve">have been adequately addressed in the design </w:t>
      </w:r>
      <w:r w:rsidR="005E05DB">
        <w:t>and</w:t>
      </w:r>
      <w:r w:rsidR="00E22D06">
        <w:t>/or licensee’s arrangements:</w:t>
      </w:r>
      <w:r w:rsidR="001622F4">
        <w:t xml:space="preserve"> </w:t>
      </w:r>
    </w:p>
    <w:p w14:paraId="5F3F4A5E" w14:textId="77777777" w:rsidR="001622F4" w:rsidRPr="00B301C8" w:rsidRDefault="001622F4" w:rsidP="0002758C">
      <w:pPr>
        <w:pStyle w:val="TSHeadingLevel2"/>
      </w:pPr>
      <w:r w:rsidRPr="00B301C8">
        <w:t>Sampling Requirements</w:t>
      </w:r>
    </w:p>
    <w:p w14:paraId="5F3F4A5F" w14:textId="77777777" w:rsidR="001622F4" w:rsidRDefault="001622F4" w:rsidP="0002758C">
      <w:pPr>
        <w:pStyle w:val="TSNumberedParagraph11"/>
      </w:pPr>
      <w:r>
        <w:t>The overarching requirement for sampling systems, processes and procedures is that representative sample(s) are obtained</w:t>
      </w:r>
      <w:r w:rsidR="00C60D7D">
        <w:t xml:space="preserve"> at an appropriate frequency</w:t>
      </w:r>
      <w:r>
        <w:t xml:space="preserve">. To be able to demonstrate representative sampling can be achieved, the </w:t>
      </w:r>
      <w:r w:rsidR="005E05DB">
        <w:t>following</w:t>
      </w:r>
      <w:r>
        <w:t xml:space="preserve"> should have been considered:</w:t>
      </w:r>
    </w:p>
    <w:p w14:paraId="5F3F4A60" w14:textId="07A1A76A" w:rsidR="001622F4" w:rsidRDefault="001622F4" w:rsidP="001622F4">
      <w:pPr>
        <w:pStyle w:val="TSBullet1Square"/>
      </w:pPr>
      <w:r>
        <w:t>sampling location</w:t>
      </w:r>
    </w:p>
    <w:p w14:paraId="5F3F4A61" w14:textId="5FA046FA" w:rsidR="001622F4" w:rsidRDefault="001622F4" w:rsidP="001622F4">
      <w:pPr>
        <w:pStyle w:val="TSBullet1Square"/>
      </w:pPr>
      <w:r>
        <w:t>sample collection</w:t>
      </w:r>
    </w:p>
    <w:p w14:paraId="5F3F4A62" w14:textId="22CFCAE0" w:rsidR="001622F4" w:rsidRDefault="001622F4" w:rsidP="001622F4">
      <w:pPr>
        <w:pStyle w:val="TSBullet1Square"/>
      </w:pPr>
      <w:r>
        <w:t>sample longevity, pre-treatment and preservation</w:t>
      </w:r>
    </w:p>
    <w:p w14:paraId="5F3F4A63" w14:textId="77777777" w:rsidR="001622F4" w:rsidRPr="001622F4" w:rsidRDefault="001622F4" w:rsidP="001622F4"/>
    <w:p w14:paraId="5F3F4A64" w14:textId="18A6B5FD" w:rsidR="00DF5B92" w:rsidRDefault="00DF5B92" w:rsidP="00DF5B92">
      <w:pPr>
        <w:pStyle w:val="TSNumberedParagraph11"/>
        <w:tabs>
          <w:tab w:val="clear" w:pos="-31680"/>
        </w:tabs>
      </w:pPr>
      <w:r>
        <w:t>Personnel competent in chemistry should be involved from an early stage in th</w:t>
      </w:r>
      <w:r w:rsidR="00EA216F">
        <w:t>e design process to provide advice</w:t>
      </w:r>
      <w:r>
        <w:t xml:space="preserve"> on</w:t>
      </w:r>
      <w:r w:rsidR="001D6E16">
        <w:t xml:space="preserve"> matters such as</w:t>
      </w:r>
      <w:r>
        <w:t xml:space="preserve"> the location of sample points, the method of sampling (</w:t>
      </w:r>
      <w:r w:rsidR="00E1197D">
        <w:t>i.e.</w:t>
      </w:r>
      <w:r>
        <w:t xml:space="preserve"> online or offline), the design of sampling equipment, and the significance of analytical parameters. Decisions on the options selected should be informed by the significance of the claims being made on chemistry for maintaining nuclear safety.</w:t>
      </w:r>
    </w:p>
    <w:p w14:paraId="5F3F4A65" w14:textId="77777777" w:rsidR="006157E9" w:rsidRPr="00B301C8" w:rsidRDefault="006157E9" w:rsidP="0002758C">
      <w:pPr>
        <w:pStyle w:val="TSHeadingLevel2"/>
        <w:rPr>
          <w:highlight w:val="yellow"/>
        </w:rPr>
      </w:pPr>
      <w:r w:rsidRPr="00B301C8">
        <w:t>Analysis Requirements</w:t>
      </w:r>
    </w:p>
    <w:p w14:paraId="5F3F4A66" w14:textId="77777777" w:rsidR="00AE098C" w:rsidRDefault="00EA216F" w:rsidP="000E58DC">
      <w:pPr>
        <w:pStyle w:val="TSNumberedParagraph11"/>
        <w:tabs>
          <w:tab w:val="clear" w:pos="-31680"/>
        </w:tabs>
      </w:pPr>
      <w:r>
        <w:t>Any chemistry parameters which constitute</w:t>
      </w:r>
      <w:r w:rsidR="00C60D7D">
        <w:t xml:space="preserve"> limits and conditions</w:t>
      </w:r>
      <w:r w:rsidR="006157E9" w:rsidRPr="00DE32DD">
        <w:t xml:space="preserve"> important to maintaining nuclear safety should be derived from the safety case. This should include </w:t>
      </w:r>
      <w:r>
        <w:t xml:space="preserve">a </w:t>
      </w:r>
      <w:r w:rsidR="006157E9" w:rsidRPr="00DE32DD">
        <w:t>consideration of the</w:t>
      </w:r>
      <w:r w:rsidR="000E58DC">
        <w:t xml:space="preserve"> range and frequency of the analysis required to ensure </w:t>
      </w:r>
      <w:r w:rsidR="006157E9" w:rsidRPr="00DE32DD">
        <w:t>chemistry is adequately maintained</w:t>
      </w:r>
      <w:r w:rsidR="006157E9">
        <w:t xml:space="preserve"> </w:t>
      </w:r>
      <w:r w:rsidR="006157E9" w:rsidRPr="00DE32DD">
        <w:t>within specified limits</w:t>
      </w:r>
      <w:r w:rsidR="000E58DC">
        <w:t xml:space="preserve">. Further </w:t>
      </w:r>
      <w:r w:rsidR="005E05DB">
        <w:t>guidance is provided in Appendix 3.</w:t>
      </w:r>
    </w:p>
    <w:p w14:paraId="5F3F4A67" w14:textId="77777777" w:rsidR="009B5159" w:rsidRPr="004301CB" w:rsidRDefault="00BC08BB" w:rsidP="0002758C">
      <w:pPr>
        <w:pStyle w:val="TSHeadingLevel1Numbered"/>
      </w:pPr>
      <w:bookmarkStart w:id="26" w:name="_Toc447804869"/>
      <w:bookmarkStart w:id="27" w:name="_Toc447804989"/>
      <w:bookmarkStart w:id="28" w:name="_Toc447189490"/>
      <w:bookmarkStart w:id="29" w:name="_Toc61505474"/>
      <w:bookmarkEnd w:id="26"/>
      <w:bookmarkEnd w:id="27"/>
      <w:r w:rsidRPr="004301CB">
        <w:t xml:space="preserve">CHEMICAL REACTION </w:t>
      </w:r>
      <w:r w:rsidR="00FE54BE" w:rsidRPr="004301CB">
        <w:t>HAZARDS</w:t>
      </w:r>
      <w:bookmarkEnd w:id="28"/>
      <w:bookmarkEnd w:id="29"/>
    </w:p>
    <w:p w14:paraId="5F3F4A68" w14:textId="77777777" w:rsidR="003A608F" w:rsidRDefault="00B27A2F" w:rsidP="0002758C">
      <w:pPr>
        <w:pStyle w:val="TSNumberedParagraph11"/>
      </w:pPr>
      <w:r>
        <w:t xml:space="preserve">This section </w:t>
      </w:r>
      <w:r w:rsidR="006C5F36" w:rsidRPr="002E428E">
        <w:t>has been structured according to the m</w:t>
      </w:r>
      <w:r w:rsidR="0034660F" w:rsidRPr="002E428E">
        <w:t xml:space="preserve">ain hazards which chemistry either has </w:t>
      </w:r>
      <w:r w:rsidR="00283AE5">
        <w:t xml:space="preserve">a </w:t>
      </w:r>
      <w:r w:rsidR="0034660F" w:rsidRPr="002E428E">
        <w:t xml:space="preserve">direct, </w:t>
      </w:r>
      <w:r w:rsidR="006C5F36" w:rsidRPr="002E428E">
        <w:t xml:space="preserve">or </w:t>
      </w:r>
      <w:r w:rsidR="0034660F" w:rsidRPr="002E428E">
        <w:t xml:space="preserve">an indirect effect on, and which may therefore </w:t>
      </w:r>
      <w:r w:rsidR="006C5F36" w:rsidRPr="002E428E">
        <w:t>be considered by the inspec</w:t>
      </w:r>
      <w:r w:rsidR="002E428E" w:rsidRPr="002E428E">
        <w:t xml:space="preserve">tor when judging whether the </w:t>
      </w:r>
      <w:r w:rsidR="0007177F">
        <w:t xml:space="preserve">expectations given in the </w:t>
      </w:r>
      <w:r w:rsidR="002053D7" w:rsidRPr="002E428E">
        <w:t>SAPs have been satisfied.</w:t>
      </w:r>
    </w:p>
    <w:p w14:paraId="5F3F4A69" w14:textId="5BAE16D1" w:rsidR="00E03A9F" w:rsidRPr="002E428E" w:rsidRDefault="009652E6" w:rsidP="0002758C">
      <w:pPr>
        <w:pStyle w:val="TSNumberedParagraph11"/>
      </w:pPr>
      <w:r>
        <w:t xml:space="preserve">When considering chemistry and its effects on hazards, ultimately the hazard is created by the </w:t>
      </w:r>
      <w:proofErr w:type="spellStart"/>
      <w:r>
        <w:t>physico</w:t>
      </w:r>
      <w:proofErr w:type="spellEnd"/>
      <w:r>
        <w:t xml:space="preserve">-chemical and chemical properties of the substances </w:t>
      </w:r>
      <w:r w:rsidR="00FA7D70">
        <w:t xml:space="preserve">and materials </w:t>
      </w:r>
      <w:r>
        <w:t xml:space="preserve">under consideration. Physical properties can </w:t>
      </w:r>
      <w:r w:rsidR="00534C4D">
        <w:t>include</w:t>
      </w:r>
      <w:r>
        <w:t xml:space="preserve"> boiling point, flashpoint, auto-ignition temperature, flammability, vapour pressure, thermal sensitivity and oxidising potential. Chemical properties can </w:t>
      </w:r>
      <w:r w:rsidR="00534C4D">
        <w:t>include</w:t>
      </w:r>
      <w:r w:rsidR="00E03A9F">
        <w:t xml:space="preserve"> chemical reactivity, heat of reaction, self-acceleration and deposition temperature. </w:t>
      </w:r>
    </w:p>
    <w:p w14:paraId="5F3F4A6A" w14:textId="77777777" w:rsidR="00B82140" w:rsidRPr="00B82140" w:rsidRDefault="00DE13B2" w:rsidP="00B21A77">
      <w:pPr>
        <w:pStyle w:val="TSHeadingLevel2"/>
        <w:ind w:left="0" w:firstLine="720"/>
      </w:pPr>
      <w:r w:rsidRPr="00F44A1B">
        <w:t>Exothermic Chemical Reactions</w:t>
      </w:r>
    </w:p>
    <w:p w14:paraId="5F3F4A6B" w14:textId="77777777" w:rsidR="000D587E" w:rsidRDefault="00CB7DCA" w:rsidP="0002758C">
      <w:pPr>
        <w:pStyle w:val="TSNumberedParagraph11"/>
      </w:pPr>
      <w:r>
        <w:t xml:space="preserve">When considering the </w:t>
      </w:r>
      <w:r w:rsidR="00176D6E" w:rsidRPr="001D0677">
        <w:t xml:space="preserve">chemistry </w:t>
      </w:r>
      <w:r w:rsidR="00176D6E" w:rsidRPr="00283AE5">
        <w:t>principle</w:t>
      </w:r>
      <w:r w:rsidRPr="00283AE5">
        <w:t xml:space="preserve"> </w:t>
      </w:r>
      <w:r w:rsidR="00176D6E" w:rsidRPr="00283AE5">
        <w:t>ECH.1, t</w:t>
      </w:r>
      <w:r w:rsidR="000B7215" w:rsidRPr="00283AE5">
        <w:t xml:space="preserve">he inspector should </w:t>
      </w:r>
      <w:r w:rsidR="00176D6E" w:rsidRPr="00283AE5">
        <w:t xml:space="preserve">also </w:t>
      </w:r>
      <w:r w:rsidR="000B7215" w:rsidRPr="00283AE5">
        <w:t xml:space="preserve">be aware of the </w:t>
      </w:r>
      <w:r w:rsidR="00176D6E" w:rsidRPr="00283AE5">
        <w:t>requirements of the internal hazards principles EHA.13 and EHA.14. Exothermic chemical reactions and pyrophoric materia</w:t>
      </w:r>
      <w:r w:rsidR="001D0677" w:rsidRPr="00283AE5">
        <w:t>ls can be a cause of explosions</w:t>
      </w:r>
      <w:r w:rsidR="000D587E" w:rsidRPr="00283AE5">
        <w:t xml:space="preserve"> and/or fire ignition sources</w:t>
      </w:r>
      <w:r w:rsidR="00EA216F">
        <w:t>. T</w:t>
      </w:r>
      <w:r w:rsidR="001D0677" w:rsidRPr="00283AE5">
        <w:t xml:space="preserve">o be able to demonstrate chemistry effects important to safety have </w:t>
      </w:r>
      <w:r w:rsidR="001D0677" w:rsidRPr="00A87C21">
        <w:t>been considered systematically,</w:t>
      </w:r>
      <w:r w:rsidR="000D587E" w:rsidRPr="00A87C21">
        <w:t xml:space="preserve"> </w:t>
      </w:r>
      <w:r w:rsidR="001D0677" w:rsidRPr="00A87C21">
        <w:t>where applicable, there should</w:t>
      </w:r>
      <w:r w:rsidR="00EA216F">
        <w:t xml:space="preserve"> therefore</w:t>
      </w:r>
      <w:r w:rsidR="001D0677" w:rsidRPr="00A87C21">
        <w:t xml:space="preserve"> be a demonstration in the safety case that chemistry has provided an input into the internal hazards assessment.</w:t>
      </w:r>
      <w:r w:rsidR="00BC08BB">
        <w:t xml:space="preserve"> </w:t>
      </w:r>
      <w:r w:rsidR="00283AE5" w:rsidRPr="00A87C21">
        <w:t xml:space="preserve">Chemistry would typically focus on </w:t>
      </w:r>
      <w:r w:rsidR="00E31BBB" w:rsidRPr="00A87C21">
        <w:t>aspects such as generation mechanisms</w:t>
      </w:r>
      <w:r w:rsidR="00283AE5" w:rsidRPr="00A87C21">
        <w:t>,</w:t>
      </w:r>
      <w:r w:rsidR="00E31BBB" w:rsidRPr="00A87C21">
        <w:t xml:space="preserve"> rates </w:t>
      </w:r>
      <w:r w:rsidR="00E31BBB" w:rsidRPr="00F547FF">
        <w:t>etc.</w:t>
      </w:r>
      <w:r w:rsidR="00E31BBB" w:rsidRPr="00A87C21">
        <w:t xml:space="preserve">, whereas </w:t>
      </w:r>
      <w:r w:rsidR="00283AE5" w:rsidRPr="00A87C21">
        <w:t>the interna</w:t>
      </w:r>
      <w:r w:rsidR="00E31BBB" w:rsidRPr="00A87C21">
        <w:t xml:space="preserve">l hazards assessment would build on this information to evaluate the impact/consequences of an explosion </w:t>
      </w:r>
      <w:r w:rsidR="00A87C21" w:rsidRPr="00A87C21">
        <w:t>on the Structures, Systems and Components (SSCs).</w:t>
      </w:r>
      <w:r w:rsidR="00A87C21">
        <w:t xml:space="preserve"> </w:t>
      </w:r>
    </w:p>
    <w:p w14:paraId="5F3F4A6C" w14:textId="77777777" w:rsidR="009652E6" w:rsidRPr="00582CC3" w:rsidRDefault="000D587E" w:rsidP="0002758C">
      <w:pPr>
        <w:pStyle w:val="TSNumberedParagraph11"/>
      </w:pPr>
      <w:r>
        <w:t xml:space="preserve">In addition to the relevant SAPs, other relevant regulations </w:t>
      </w:r>
      <w:r w:rsidRPr="00582CC3">
        <w:t xml:space="preserve">and the DSEAR Regulations </w:t>
      </w:r>
      <w:r w:rsidR="00CB7DCA" w:rsidRPr="00582CC3">
        <w:t xml:space="preserve">require adequate risk assessments in areas where dangerous and explosive substances are present. </w:t>
      </w:r>
      <w:r w:rsidR="001D0677" w:rsidRPr="00582CC3">
        <w:t xml:space="preserve"> </w:t>
      </w:r>
      <w:r w:rsidR="00176D6E" w:rsidRPr="00582CC3">
        <w:t xml:space="preserve"> </w:t>
      </w:r>
      <w:r w:rsidR="000B7215" w:rsidRPr="00582CC3">
        <w:t xml:space="preserve"> </w:t>
      </w:r>
    </w:p>
    <w:p w14:paraId="5F3F4A6D" w14:textId="77777777" w:rsidR="00004884" w:rsidRPr="00582CC3" w:rsidRDefault="00004884" w:rsidP="0002758C">
      <w:pPr>
        <w:pStyle w:val="TSNumberedParagraph11"/>
      </w:pPr>
      <w:r w:rsidRPr="00582CC3">
        <w:t>Exothermic chemical reactions are a source of exc</w:t>
      </w:r>
      <w:r w:rsidR="005F273B" w:rsidRPr="00582CC3">
        <w:t>ess heat and energy</w:t>
      </w:r>
      <w:r w:rsidR="006D4F61" w:rsidRPr="00582CC3">
        <w:t>.</w:t>
      </w:r>
      <w:r w:rsidR="005812AB" w:rsidRPr="00582CC3">
        <w:t xml:space="preserve"> </w:t>
      </w:r>
      <w:r w:rsidR="00327AD1" w:rsidRPr="00582CC3">
        <w:t>In the event</w:t>
      </w:r>
      <w:r w:rsidR="005812AB" w:rsidRPr="00582CC3">
        <w:t xml:space="preserve"> they are justified as being </w:t>
      </w:r>
      <w:r w:rsidR="004D2F83" w:rsidRPr="00582CC3">
        <w:t>unavoidable</w:t>
      </w:r>
      <w:r w:rsidR="005812AB" w:rsidRPr="00582CC3">
        <w:t xml:space="preserve">, </w:t>
      </w:r>
      <w:r w:rsidR="00D1061B" w:rsidRPr="00582CC3">
        <w:t xml:space="preserve">and/or thermal </w:t>
      </w:r>
      <w:r w:rsidR="00C60D7D">
        <w:t>excursion</w:t>
      </w:r>
      <w:r w:rsidR="00C60D7D" w:rsidRPr="00582CC3">
        <w:t xml:space="preserve"> </w:t>
      </w:r>
      <w:r w:rsidR="005812AB" w:rsidRPr="00582CC3">
        <w:t>is</w:t>
      </w:r>
      <w:r w:rsidR="00D1061B" w:rsidRPr="00582CC3">
        <w:t xml:space="preserve"> identified as a possibility</w:t>
      </w:r>
      <w:r w:rsidR="004D2F83" w:rsidRPr="00582CC3">
        <w:t xml:space="preserve">, an adequate understanding of the </w:t>
      </w:r>
      <w:r w:rsidR="00D1061B" w:rsidRPr="00582CC3">
        <w:t xml:space="preserve">reaction </w:t>
      </w:r>
      <w:r w:rsidR="004D2F83" w:rsidRPr="00582CC3">
        <w:t>mechanism, rate (kinetics) and exten</w:t>
      </w:r>
      <w:r w:rsidR="00D1061B" w:rsidRPr="00582CC3">
        <w:t xml:space="preserve">t (thermodynamics) </w:t>
      </w:r>
      <w:r w:rsidR="004D2F83" w:rsidRPr="00582CC3">
        <w:t>c</w:t>
      </w:r>
      <w:r w:rsidR="00330715">
        <w:t>an ensure a facility is suitably</w:t>
      </w:r>
      <w:r w:rsidR="004D2F83" w:rsidRPr="00582CC3">
        <w:t xml:space="preserve"> designed and operated to m</w:t>
      </w:r>
      <w:r w:rsidR="00D1061B" w:rsidRPr="00582CC3">
        <w:t>anage the consequential risks and hazards</w:t>
      </w:r>
      <w:r w:rsidR="004D2F83" w:rsidRPr="00582CC3">
        <w:t xml:space="preserve">.   </w:t>
      </w:r>
    </w:p>
    <w:p w14:paraId="5F3F4A6E" w14:textId="77777777" w:rsidR="005812AB" w:rsidRPr="004617D9" w:rsidRDefault="005812AB" w:rsidP="0002758C">
      <w:pPr>
        <w:pStyle w:val="TSNumberedParagraph11"/>
      </w:pPr>
      <w:r w:rsidRPr="00582CC3">
        <w:t>Some nuclear fuel cycle facilities use chemical separation (by solvent extraction) to either refine fissile material or separate fissile radionuclides</w:t>
      </w:r>
      <w:r w:rsidR="00C44B99" w:rsidRPr="00582CC3">
        <w:t xml:space="preserve"> (normall</w:t>
      </w:r>
      <w:r w:rsidR="00B54B43">
        <w:t>y uranium and plutonium</w:t>
      </w:r>
      <w:r w:rsidR="00C44B99" w:rsidRPr="00582CC3">
        <w:t>)</w:t>
      </w:r>
      <w:r w:rsidRPr="00582CC3">
        <w:t xml:space="preserve"> from one another. Such processes m</w:t>
      </w:r>
      <w:r w:rsidR="003A3FD8" w:rsidRPr="00582CC3">
        <w:t xml:space="preserve">ake use of organic solvents (typically tri-butyl phosphate (TBP)), </w:t>
      </w:r>
      <w:r w:rsidRPr="00582CC3">
        <w:t>diluents</w:t>
      </w:r>
      <w:r w:rsidR="00F547FF">
        <w:t xml:space="preserve"> (odourless k</w:t>
      </w:r>
      <w:r w:rsidR="003A3FD8" w:rsidRPr="00582CC3">
        <w:t>erosene (OK))</w:t>
      </w:r>
      <w:r w:rsidR="00B54B43">
        <w:t xml:space="preserve"> and nitric acid</w:t>
      </w:r>
      <w:r w:rsidRPr="00582CC3">
        <w:t xml:space="preserve"> in various concentrations</w:t>
      </w:r>
      <w:r w:rsidR="000D587E" w:rsidRPr="00582CC3">
        <w:t xml:space="preserve">. </w:t>
      </w:r>
      <w:r w:rsidRPr="00582CC3">
        <w:t>As well as the radiological hazard</w:t>
      </w:r>
      <w:r w:rsidRPr="006D4F61">
        <w:t>, incorrect management of these reagents can lead to a number of exothermic chemical reactions taking place, with potentially</w:t>
      </w:r>
      <w:r w:rsidR="00C44B99">
        <w:t xml:space="preserve"> hazardous consequences</w:t>
      </w:r>
      <w:r w:rsidRPr="006D4F61">
        <w:t>:</w:t>
      </w:r>
    </w:p>
    <w:p w14:paraId="5F3F4A6F" w14:textId="77777777" w:rsidR="005812AB" w:rsidRPr="003A3FD8" w:rsidRDefault="003A3FD8" w:rsidP="005812AB">
      <w:pPr>
        <w:pStyle w:val="TSBullet1Square"/>
        <w:rPr>
          <w:b/>
        </w:rPr>
      </w:pPr>
      <w:r>
        <w:t xml:space="preserve">Diluents, </w:t>
      </w:r>
      <w:r w:rsidR="005812AB" w:rsidRPr="003A3FD8">
        <w:t xml:space="preserve">organic solvents </w:t>
      </w:r>
      <w:r>
        <w:t xml:space="preserve">and solvent/diluent mixtures, when </w:t>
      </w:r>
      <w:r w:rsidR="005812AB" w:rsidRPr="003A3FD8">
        <w:t>exposed to hot concentrated nitric acid may generate reaction product gases at a high enough rate to initiate loss of containment</w:t>
      </w:r>
      <w:r>
        <w:t>. The product gases and hydrocarbon vapours released may then form explosive mixtures with air</w:t>
      </w:r>
      <w:r w:rsidR="00FA7D70">
        <w:t>.</w:t>
      </w:r>
    </w:p>
    <w:p w14:paraId="5F3F4A70" w14:textId="77777777" w:rsidR="005812AB" w:rsidRDefault="00FA7D70" w:rsidP="00C44B99">
      <w:pPr>
        <w:pStyle w:val="TSBullet1Square"/>
        <w:rPr>
          <w:b/>
        </w:rPr>
      </w:pPr>
      <w:r>
        <w:t>S</w:t>
      </w:r>
      <w:r w:rsidR="00C44B99" w:rsidRPr="00D805C5">
        <w:t>olvents such as TBP can react exo</w:t>
      </w:r>
      <w:r w:rsidR="00EA216F">
        <w:t xml:space="preserve">thermically with </w:t>
      </w:r>
      <w:r w:rsidR="00B54B43">
        <w:t>nitric acid</w:t>
      </w:r>
      <w:r>
        <w:t xml:space="preserve"> or </w:t>
      </w:r>
      <w:r w:rsidR="00D805C5">
        <w:t xml:space="preserve">solutions of uranyl or </w:t>
      </w:r>
      <w:r w:rsidR="00C44B99" w:rsidRPr="00D805C5">
        <w:t>plutonium nitrate</w:t>
      </w:r>
      <w:r w:rsidR="00D805C5">
        <w:t xml:space="preserve"> </w:t>
      </w:r>
      <w:r w:rsidR="00D805C5" w:rsidRPr="00D805C5">
        <w:t xml:space="preserve">to produce intermediate chemical compounds known as adducts. Where adducts are present in sufficient concentrations, runaway decomposition reactions could occur (see </w:t>
      </w:r>
      <w:r w:rsidR="00A6039A" w:rsidRPr="00A6039A">
        <w:t>below</w:t>
      </w:r>
      <w:r w:rsidR="00A6039A">
        <w:rPr>
          <w:b/>
        </w:rPr>
        <w:t xml:space="preserve"> </w:t>
      </w:r>
      <w:r w:rsidR="00D805C5" w:rsidRPr="00D805C5">
        <w:t>for further information on thermal runaway).</w:t>
      </w:r>
      <w:r w:rsidR="00C44B99" w:rsidRPr="00D805C5">
        <w:t xml:space="preserve"> </w:t>
      </w:r>
      <w:r w:rsidR="005812AB" w:rsidRPr="00D805C5">
        <w:t xml:space="preserve"> </w:t>
      </w:r>
      <w:r w:rsidR="005812AB" w:rsidRPr="00D805C5">
        <w:rPr>
          <w:b/>
        </w:rPr>
        <w:t xml:space="preserve"> </w:t>
      </w:r>
    </w:p>
    <w:p w14:paraId="5F3F4A71" w14:textId="77777777" w:rsidR="00064A4A" w:rsidRPr="00064A4A" w:rsidRDefault="00064A4A" w:rsidP="00064A4A"/>
    <w:p w14:paraId="5F3F4A72" w14:textId="77777777" w:rsidR="00DA39EF" w:rsidRPr="00D805C5" w:rsidRDefault="00DA39EF" w:rsidP="0002758C">
      <w:pPr>
        <w:pStyle w:val="TSNumberedParagraph11"/>
      </w:pPr>
      <w:r w:rsidRPr="00D805C5">
        <w:t>Chemically reactive met</w:t>
      </w:r>
      <w:r w:rsidR="00B54B43">
        <w:t>als such as: uranium, plutonium</w:t>
      </w:r>
      <w:r w:rsidR="00C44B99" w:rsidRPr="00D805C5">
        <w:t xml:space="preserve">, </w:t>
      </w:r>
      <w:r w:rsidRPr="00D805C5">
        <w:t xml:space="preserve">zirconium, </w:t>
      </w:r>
      <w:r w:rsidR="00EA216F">
        <w:t>h</w:t>
      </w:r>
      <w:r w:rsidRPr="00D805C5">
        <w:t>afnium</w:t>
      </w:r>
      <w:r w:rsidR="00B54B43">
        <w:t xml:space="preserve"> </w:t>
      </w:r>
      <w:r w:rsidRPr="00D805C5">
        <w:t>and Magnox (a magnesiu</w:t>
      </w:r>
      <w:r w:rsidR="00EA216F">
        <w:t>m-</w:t>
      </w:r>
      <w:r w:rsidR="00B92614">
        <w:t xml:space="preserve">based alloy) are </w:t>
      </w:r>
      <w:r w:rsidRPr="00D805C5">
        <w:t>commonly encountered at nuclear facilities. When finely divided or in powder form, they can be pyrophoric and particularly haza</w:t>
      </w:r>
      <w:r w:rsidR="004234EB">
        <w:t xml:space="preserve">rdous, resulting in </w:t>
      </w:r>
      <w:r w:rsidR="00D805C5" w:rsidRPr="00D805C5">
        <w:t xml:space="preserve">vigorous exothermic </w:t>
      </w:r>
      <w:r w:rsidR="00C51E6D">
        <w:t xml:space="preserve">chemical </w:t>
      </w:r>
      <w:r w:rsidR="00D805C5" w:rsidRPr="00D805C5">
        <w:t>reactions</w:t>
      </w:r>
      <w:r w:rsidR="004234EB">
        <w:t>. T</w:t>
      </w:r>
      <w:r w:rsidR="00C51E6D">
        <w:t>hese reactions should be prevented</w:t>
      </w:r>
      <w:r w:rsidR="00D805C5" w:rsidRPr="00D805C5">
        <w:t xml:space="preserve">. </w:t>
      </w:r>
      <w:r w:rsidR="00C44B99" w:rsidRPr="00D805C5">
        <w:t xml:space="preserve"> </w:t>
      </w:r>
      <w:r w:rsidRPr="00D805C5">
        <w:t xml:space="preserve">   </w:t>
      </w:r>
    </w:p>
    <w:p w14:paraId="5F3F4A73" w14:textId="77777777" w:rsidR="00D1061B" w:rsidRPr="00B82140" w:rsidRDefault="002A7B14" w:rsidP="0002758C">
      <w:pPr>
        <w:pStyle w:val="TSNumberedParagraph11"/>
      </w:pPr>
      <w:r>
        <w:t xml:space="preserve">When considering the design, </w:t>
      </w:r>
      <w:r w:rsidR="00D1061B" w:rsidRPr="00B82140">
        <w:t>or licensee’s arrangements for managing the effects of exothermic chemical reactions, the inspector may therefore</w:t>
      </w:r>
      <w:r w:rsidR="00BC08BB">
        <w:t xml:space="preserve"> wish to consider if the following factors </w:t>
      </w:r>
      <w:r w:rsidR="00D1061B" w:rsidRPr="00B82140">
        <w:t>have been adequately addressed:</w:t>
      </w:r>
    </w:p>
    <w:p w14:paraId="5F3F4A74" w14:textId="77777777" w:rsidR="002A7B14" w:rsidRPr="00E31BBB" w:rsidRDefault="000F7624" w:rsidP="00BC08BB">
      <w:pPr>
        <w:pStyle w:val="TSBullet1Square"/>
      </w:pPr>
      <w:r w:rsidRPr="00E31BBB">
        <w:t xml:space="preserve">Whether appropriate </w:t>
      </w:r>
      <w:r w:rsidR="004D2F83" w:rsidRPr="00E31BBB">
        <w:t>consideration has been given to chemistry at the design stage for a new facility</w:t>
      </w:r>
      <w:r w:rsidR="00EA216F">
        <w:t>. T</w:t>
      </w:r>
      <w:r w:rsidR="004D2F83" w:rsidRPr="00E31BBB">
        <w:t xml:space="preserve">here should be a demonstration that all alternative </w:t>
      </w:r>
      <w:r w:rsidR="00BC482D" w:rsidRPr="00E31BBB">
        <w:t xml:space="preserve">process chemistries </w:t>
      </w:r>
      <w:r w:rsidR="00D1061B" w:rsidRPr="00E31BBB">
        <w:t xml:space="preserve">which are </w:t>
      </w:r>
      <w:r w:rsidR="004D2F83" w:rsidRPr="00E31BBB">
        <w:t xml:space="preserve">able to achieve the same operational purpose </w:t>
      </w:r>
      <w:r w:rsidR="00736AC0" w:rsidRPr="00E31BBB">
        <w:t>for a facility</w:t>
      </w:r>
      <w:r w:rsidRPr="00E31BBB">
        <w:t xml:space="preserve"> </w:t>
      </w:r>
      <w:r w:rsidR="00736AC0" w:rsidRPr="00E31BBB">
        <w:t>/</w:t>
      </w:r>
      <w:r w:rsidRPr="00E31BBB">
        <w:t xml:space="preserve"> </w:t>
      </w:r>
      <w:r w:rsidR="00736AC0" w:rsidRPr="00E31BBB">
        <w:t xml:space="preserve">process have </w:t>
      </w:r>
      <w:r w:rsidR="004D2F83" w:rsidRPr="00E31BBB">
        <w:t>been considered</w:t>
      </w:r>
      <w:r w:rsidR="00645545" w:rsidRPr="00E31BBB">
        <w:t xml:space="preserve"> – </w:t>
      </w:r>
      <w:r w:rsidR="00E03A9F" w:rsidRPr="00E31BBB">
        <w:t xml:space="preserve">also </w:t>
      </w:r>
      <w:r w:rsidR="00645545" w:rsidRPr="00E31BBB">
        <w:t>see principles EKP.1 and EPE.1</w:t>
      </w:r>
      <w:r w:rsidRPr="00E31BBB">
        <w:t>.</w:t>
      </w:r>
    </w:p>
    <w:p w14:paraId="5F3F4A75" w14:textId="315AABFB" w:rsidR="00DE013A" w:rsidRPr="00E31BBB" w:rsidRDefault="00E03A9F" w:rsidP="00BC08BB">
      <w:pPr>
        <w:pStyle w:val="TSBullet1Square"/>
      </w:pPr>
      <w:r w:rsidRPr="00E31BBB">
        <w:t xml:space="preserve">Unintentional or uncontrolled chemical reactions </w:t>
      </w:r>
      <w:r w:rsidR="000F7624" w:rsidRPr="00E31BBB">
        <w:t xml:space="preserve">should be </w:t>
      </w:r>
      <w:r w:rsidRPr="00E31BBB">
        <w:t xml:space="preserve">avoided </w:t>
      </w:r>
      <w:r w:rsidR="000F7624" w:rsidRPr="00E31BBB">
        <w:t xml:space="preserve">or </w:t>
      </w:r>
      <w:r w:rsidRPr="00E31BBB">
        <w:t xml:space="preserve">minimised, including the decomposition of reactive chemical species. </w:t>
      </w:r>
      <w:r w:rsidR="000023DB" w:rsidRPr="00E31BBB">
        <w:t>W</w:t>
      </w:r>
      <w:r w:rsidR="00BC482D" w:rsidRPr="00E31BBB">
        <w:t>he</w:t>
      </w:r>
      <w:r w:rsidR="000023DB" w:rsidRPr="00E31BBB">
        <w:t>re exothermic reactions are unavoidable, there</w:t>
      </w:r>
      <w:r w:rsidR="00BC482D" w:rsidRPr="00E31BBB">
        <w:t xml:space="preserve"> </w:t>
      </w:r>
      <w:r w:rsidR="00584E57" w:rsidRPr="00E31BBB">
        <w:t xml:space="preserve">should be a demonstration </w:t>
      </w:r>
      <w:r w:rsidR="006E4AB3" w:rsidRPr="00E31BBB">
        <w:t>to justify why adopting</w:t>
      </w:r>
      <w:r w:rsidR="00584E57" w:rsidRPr="00E31BBB">
        <w:t xml:space="preserve"> process chemistries with </w:t>
      </w:r>
      <w:r w:rsidR="000023DB" w:rsidRPr="00E31BBB">
        <w:t xml:space="preserve">a </w:t>
      </w:r>
      <w:r w:rsidR="00584E57" w:rsidRPr="00E31BBB">
        <w:t>lower energy potentia</w:t>
      </w:r>
      <w:r w:rsidR="008270C6" w:rsidRPr="00E31BBB">
        <w:t>l is not reasonably practicable</w:t>
      </w:r>
      <w:r w:rsidR="00645545" w:rsidRPr="00E31BBB">
        <w:t xml:space="preserve"> </w:t>
      </w:r>
      <w:r w:rsidR="00DC442F">
        <w:t xml:space="preserve">and </w:t>
      </w:r>
      <w:r w:rsidR="00402D1C">
        <w:t xml:space="preserve">that </w:t>
      </w:r>
      <w:r w:rsidR="00DC442F">
        <w:t xml:space="preserve">suitable control measures are in place </w:t>
      </w:r>
      <w:r w:rsidR="00645545" w:rsidRPr="00E31BBB">
        <w:t xml:space="preserve">– </w:t>
      </w:r>
      <w:r w:rsidRPr="00E31BBB">
        <w:t xml:space="preserve">also </w:t>
      </w:r>
      <w:r w:rsidR="00645545" w:rsidRPr="00E31BBB">
        <w:t>see principle</w:t>
      </w:r>
      <w:r w:rsidRPr="00E31BBB">
        <w:t>s EKP.1 and EPE.1</w:t>
      </w:r>
      <w:r w:rsidR="000F7624" w:rsidRPr="00E31BBB">
        <w:t>.</w:t>
      </w:r>
    </w:p>
    <w:p w14:paraId="5F3F4A76" w14:textId="77777777" w:rsidR="00B53E33" w:rsidRDefault="00B53E33" w:rsidP="00BC08BB">
      <w:pPr>
        <w:pStyle w:val="TSBullet1Square"/>
      </w:pPr>
      <w:r>
        <w:t>The safety case should provide adequate information on the chemistry and thermochemistry of the chemical reactions under consideration.</w:t>
      </w:r>
      <w:r w:rsidR="00302360">
        <w:t xml:space="preserve"> The depth and breadth of the information should be proportionate to the complexity of the chemical process under consideration and the magnitude of the hazards and risks </w:t>
      </w:r>
      <w:r w:rsidR="00D1061B">
        <w:t xml:space="preserve">being </w:t>
      </w:r>
      <w:r w:rsidR="002A7B14">
        <w:t xml:space="preserve">managed. Typical information may </w:t>
      </w:r>
      <w:r w:rsidR="00302360">
        <w:t>include</w:t>
      </w:r>
      <w:r>
        <w:t>:</w:t>
      </w:r>
    </w:p>
    <w:p w14:paraId="5F3F4A77" w14:textId="77777777" w:rsidR="00B53E33" w:rsidRPr="00BA4516" w:rsidRDefault="000F7624" w:rsidP="00BC08BB">
      <w:pPr>
        <w:pStyle w:val="TSBullet2Circle"/>
      </w:pPr>
      <w:r>
        <w:t>h</w:t>
      </w:r>
      <w:r w:rsidRPr="00BA4516">
        <w:t xml:space="preserve">eats </w:t>
      </w:r>
      <w:r w:rsidR="004C309C" w:rsidRPr="00BA4516">
        <w:t>of reaction for all possible chemical reactions, including a</w:t>
      </w:r>
      <w:r w:rsidR="00302360" w:rsidRPr="00BA4516">
        <w:t xml:space="preserve"> comprehensive assessment of the possibility of thermal decomposition of raw materials, reaction intermediates, rea</w:t>
      </w:r>
      <w:r w:rsidR="002A7B14" w:rsidRPr="00BA4516">
        <w:t>ction products and by-products;</w:t>
      </w:r>
    </w:p>
    <w:p w14:paraId="5F3F4A78" w14:textId="77777777" w:rsidR="00302360" w:rsidRPr="00BA4516" w:rsidRDefault="000F7624" w:rsidP="00BC08BB">
      <w:pPr>
        <w:pStyle w:val="TSBullet2Circle"/>
      </w:pPr>
      <w:r>
        <w:t>i</w:t>
      </w:r>
      <w:r w:rsidRPr="00BA4516">
        <w:t xml:space="preserve">dentification </w:t>
      </w:r>
      <w:r w:rsidR="00302360" w:rsidRPr="00BA4516">
        <w:t>of whether any exother</w:t>
      </w:r>
      <w:r w:rsidR="00BC08BB">
        <w:t xml:space="preserve">mic runaway reactions can occur, </w:t>
      </w:r>
      <w:r>
        <w:t>and</w:t>
      </w:r>
      <w:r w:rsidR="00BC08BB">
        <w:t>;</w:t>
      </w:r>
    </w:p>
    <w:p w14:paraId="5F3F4A79" w14:textId="77777777" w:rsidR="00A434D1" w:rsidRPr="00A434D1" w:rsidRDefault="000F7624" w:rsidP="00DB4353">
      <w:pPr>
        <w:pStyle w:val="TSBullet2Circle"/>
      </w:pPr>
      <w:r>
        <w:t>r</w:t>
      </w:r>
      <w:r w:rsidRPr="00BA4516">
        <w:t xml:space="preserve">ates </w:t>
      </w:r>
      <w:r w:rsidR="00302360" w:rsidRPr="00BA4516">
        <w:t>of reaction and quantities of heat and gas produced</w:t>
      </w:r>
      <w:r w:rsidR="004C309C" w:rsidRPr="00BA4516">
        <w:t>.</w:t>
      </w:r>
    </w:p>
    <w:p w14:paraId="5F3F4A7A" w14:textId="77777777" w:rsidR="002A7B14" w:rsidRDefault="006A5FFB" w:rsidP="00BC08BB">
      <w:pPr>
        <w:pStyle w:val="TSBullet1Square"/>
      </w:pPr>
      <w:r w:rsidRPr="00D70A28">
        <w:t xml:space="preserve">The scale on which a chemical reaction is performed can have a significant effect on the likelihood of thermal </w:t>
      </w:r>
      <w:r w:rsidR="00C60D7D">
        <w:t>excursion</w:t>
      </w:r>
      <w:r w:rsidR="00C60D7D" w:rsidRPr="00D70A28">
        <w:t xml:space="preserve"> </w:t>
      </w:r>
      <w:r w:rsidRPr="00D70A28">
        <w:t>conditions developing</w:t>
      </w:r>
      <w:r w:rsidR="00B92614">
        <w:t xml:space="preserve">, making it </w:t>
      </w:r>
      <w:r w:rsidRPr="00D70A28">
        <w:t>an important parameter which should be consid</w:t>
      </w:r>
      <w:r w:rsidR="008270C6">
        <w:t>ered as part of the safety case</w:t>
      </w:r>
      <w:r w:rsidR="000F7624">
        <w:t>.</w:t>
      </w:r>
    </w:p>
    <w:p w14:paraId="5F3F4A7B" w14:textId="77777777" w:rsidR="00D70A28" w:rsidRDefault="002A7B14" w:rsidP="00BC08BB">
      <w:pPr>
        <w:pStyle w:val="TSBullet1Square"/>
      </w:pPr>
      <w:r>
        <w:t>Adequate c</w:t>
      </w:r>
      <w:r w:rsidR="006A5FFB" w:rsidRPr="00D70A28">
        <w:t>on</w:t>
      </w:r>
      <w:r>
        <w:t>sideration should be given to the surface-to-volume ratio of a reaction system</w:t>
      </w:r>
      <w:r w:rsidR="004617D9">
        <w:t xml:space="preserve">. As this ratio increases </w:t>
      </w:r>
      <w:r w:rsidR="006A5FFB" w:rsidRPr="00D70A28">
        <w:t>it</w:t>
      </w:r>
      <w:r>
        <w:t xml:space="preserve"> may challenge the design basis </w:t>
      </w:r>
      <w:r w:rsidR="00BC08BB">
        <w:t>of cooling systems</w:t>
      </w:r>
      <w:r w:rsidR="00EA216F">
        <w:t>. H</w:t>
      </w:r>
      <w:r w:rsidR="00BC08BB">
        <w:t xml:space="preserve">owever, assessing </w:t>
      </w:r>
      <w:r w:rsidR="00D70A28" w:rsidRPr="00D70A28">
        <w:t>the capacity and the adequacy of the design of cooling systems is largely a matter for c</w:t>
      </w:r>
      <w:r w:rsidR="008270C6">
        <w:t>hemical engineering</w:t>
      </w:r>
      <w:r w:rsidR="00EA216F">
        <w:t xml:space="preserve"> and other relevant</w:t>
      </w:r>
      <w:r w:rsidR="008270C6">
        <w:t xml:space="preserve"> specialists</w:t>
      </w:r>
      <w:r w:rsidR="000F7624">
        <w:t>.</w:t>
      </w:r>
    </w:p>
    <w:p w14:paraId="5F3F4A7C" w14:textId="77777777" w:rsidR="002D63D7" w:rsidRDefault="000F7624" w:rsidP="00BC08BB">
      <w:pPr>
        <w:pStyle w:val="TSBullet1Square"/>
      </w:pPr>
      <w:r>
        <w:t>Whether t</w:t>
      </w:r>
      <w:r w:rsidR="002D63D7">
        <w:t>he presence of pyrophoric material has been considered (</w:t>
      </w:r>
      <w:r w:rsidR="00E1197D">
        <w:t>e.g.</w:t>
      </w:r>
      <w:r w:rsidR="002D63D7">
        <w:t xml:space="preserve"> finely divided reactive metal</w:t>
      </w:r>
      <w:r w:rsidR="00D805C5">
        <w:t>,</w:t>
      </w:r>
      <w:r w:rsidR="00B54B43">
        <w:t xml:space="preserve"> or some corrosion products of uranium and plutonium</w:t>
      </w:r>
      <w:r>
        <w:t xml:space="preserve"> such as </w:t>
      </w:r>
      <w:r w:rsidR="00B54B43">
        <w:t>uranium hydride</w:t>
      </w:r>
      <w:r>
        <w:t xml:space="preserve">, which may form in </w:t>
      </w:r>
      <w:r w:rsidR="00152262">
        <w:t>damp, anaerobic</w:t>
      </w:r>
      <w:r>
        <w:t xml:space="preserve"> environments</w:t>
      </w:r>
      <w:r w:rsidR="002D63D7">
        <w:t xml:space="preserve">) </w:t>
      </w:r>
      <w:r w:rsidR="000D587E">
        <w:t>and eliminated, so far as is reasonably practicable. Where it is judged not reasonably practicable to eliminate, the</w:t>
      </w:r>
      <w:r w:rsidR="002D63D7">
        <w:t xml:space="preserve"> propensity </w:t>
      </w:r>
      <w:r w:rsidR="000D587E">
        <w:t xml:space="preserve">for pyrophoric material to </w:t>
      </w:r>
      <w:r w:rsidR="002D63D7">
        <w:t>initiate or propagate a fire</w:t>
      </w:r>
      <w:r w:rsidR="000D587E">
        <w:t xml:space="preserve"> should be </w:t>
      </w:r>
      <w:r w:rsidR="00D805C5">
        <w:t xml:space="preserve">considered by the safety case and </w:t>
      </w:r>
      <w:r w:rsidR="000D587E">
        <w:t>included as an input into the assessment of internal hazards</w:t>
      </w:r>
      <w:r>
        <w:t>.</w:t>
      </w:r>
    </w:p>
    <w:p w14:paraId="5F3F4A7D" w14:textId="77777777" w:rsidR="00BC08BB" w:rsidRPr="00BC08BB" w:rsidRDefault="002A7B14" w:rsidP="00D671EA">
      <w:pPr>
        <w:pStyle w:val="TSBullet1Square"/>
        <w:spacing w:after="220"/>
      </w:pPr>
      <w:r w:rsidRPr="002A7B14">
        <w:t xml:space="preserve">Whether the identified chemistry </w:t>
      </w:r>
      <w:r w:rsidR="000F7624" w:rsidRPr="002A7B14">
        <w:t>phenomena consider</w:t>
      </w:r>
      <w:r w:rsidRPr="002A7B14">
        <w:t xml:space="preserve"> the most hazardous </w:t>
      </w:r>
      <w:r w:rsidR="00BC482D" w:rsidRPr="002A7B14">
        <w:t xml:space="preserve">or combination of </w:t>
      </w:r>
      <w:r w:rsidRPr="002A7B14">
        <w:t>hazardous sequences.</w:t>
      </w:r>
      <w:r w:rsidR="00BC482D" w:rsidRPr="002A7B14">
        <w:t xml:space="preserve"> </w:t>
      </w:r>
      <w:r w:rsidR="00A31558" w:rsidRPr="002A7B14">
        <w:t xml:space="preserve"> </w:t>
      </w:r>
    </w:p>
    <w:p w14:paraId="5F3F4A7E" w14:textId="77777777" w:rsidR="003E6252" w:rsidRPr="00D32E61" w:rsidRDefault="003E6252" w:rsidP="00B21A77">
      <w:pPr>
        <w:pStyle w:val="TSHeadingLevel2"/>
        <w:ind w:left="0" w:firstLine="720"/>
      </w:pPr>
      <w:r w:rsidRPr="00D32E61">
        <w:t>Combustible Gases</w:t>
      </w:r>
    </w:p>
    <w:p w14:paraId="5F3F4A7F" w14:textId="77777777" w:rsidR="00D32E61" w:rsidRDefault="00E466FB" w:rsidP="0002758C">
      <w:pPr>
        <w:pStyle w:val="TSNumberedParagraph11"/>
      </w:pPr>
      <w:r>
        <w:t>N</w:t>
      </w:r>
      <w:r w:rsidR="003E6252" w:rsidRPr="00D32E61">
        <w:t>uclear facilities have to be able to safely manage the potential generation and combusti</w:t>
      </w:r>
      <w:r w:rsidR="00B92614">
        <w:t>on of flammable gases</w:t>
      </w:r>
      <w:r w:rsidR="00CB50F9">
        <w:t>, which is</w:t>
      </w:r>
      <w:r w:rsidR="000F7624">
        <w:t xml:space="preserve"> </w:t>
      </w:r>
      <w:r w:rsidR="003E6252" w:rsidRPr="00D32E61">
        <w:t xml:space="preserve">an exothermic chemical process. These reactions may occur during both normal operation and under fault or </w:t>
      </w:r>
      <w:r w:rsidR="00D32E61">
        <w:t>accident con</w:t>
      </w:r>
      <w:r w:rsidR="00B56748">
        <w:t>dition</w:t>
      </w:r>
      <w:r w:rsidR="003E6252" w:rsidRPr="00D32E61">
        <w:t xml:space="preserve">s. </w:t>
      </w:r>
    </w:p>
    <w:p w14:paraId="5F3F4A80" w14:textId="77777777" w:rsidR="003E6252" w:rsidRPr="00D32E61" w:rsidRDefault="003E6252" w:rsidP="0002758C">
      <w:pPr>
        <w:pStyle w:val="TSNumberedParagraph11"/>
      </w:pPr>
      <w:r w:rsidRPr="00D32E61">
        <w:t xml:space="preserve">Of all combustible gases, hydrogen is </w:t>
      </w:r>
      <w:r w:rsidR="00C60D7D">
        <w:t xml:space="preserve">one of </w:t>
      </w:r>
      <w:r w:rsidRPr="00D32E61">
        <w:t>the mo</w:t>
      </w:r>
      <w:r w:rsidR="00B92614">
        <w:t xml:space="preserve">st prevalent at </w:t>
      </w:r>
      <w:r w:rsidRPr="00D32E61">
        <w:t>nuclear facilities</w:t>
      </w:r>
      <w:r w:rsidR="00B92614">
        <w:t xml:space="preserve">, either purposely by design </w:t>
      </w:r>
      <w:r w:rsidR="0067788E">
        <w:t>in normal operations</w:t>
      </w:r>
      <w:r w:rsidR="00E31BBB">
        <w:t xml:space="preserve">, </w:t>
      </w:r>
      <w:r w:rsidRPr="00D32E61">
        <w:t xml:space="preserve">or as a consequence of a fault or accident scenario. Hydrogen hazards must be treated with particular care and rigour owing to the potential magnitude of the consequences of a hydrogen explosion. </w:t>
      </w:r>
    </w:p>
    <w:p w14:paraId="5F3F4A81" w14:textId="77777777" w:rsidR="008270C6" w:rsidRDefault="003E6252" w:rsidP="0002758C">
      <w:pPr>
        <w:pStyle w:val="TSNumberedParagraph11"/>
      </w:pPr>
      <w:r w:rsidRPr="00DB68D7">
        <w:t>Depending on the type of nuclear facility and the conditions under consid</w:t>
      </w:r>
      <w:r>
        <w:t>eration</w:t>
      </w:r>
      <w:r w:rsidRPr="00DB68D7">
        <w:t>, a number of exothermic chemical reactions can be a source of significant amounts of hydrogen, produced at high rates</w:t>
      </w:r>
      <w:r w:rsidR="00D32E61">
        <w:t xml:space="preserve">. </w:t>
      </w:r>
      <w:r w:rsidRPr="00D32E61">
        <w:t>Conversely, chemistry can also play an important role in some hydrogen control and mitigation measures which make use of</w:t>
      </w:r>
      <w:r w:rsidR="008270C6">
        <w:t xml:space="preserve"> exothermic chemical reactions.</w:t>
      </w:r>
    </w:p>
    <w:p w14:paraId="5F3F4A82" w14:textId="77777777" w:rsidR="004E2164" w:rsidRPr="008270C6" w:rsidRDefault="004E2164" w:rsidP="0002758C">
      <w:pPr>
        <w:pStyle w:val="TSNumberedParagraph11"/>
      </w:pPr>
      <w:r>
        <w:t>The operating chemistry for some nuclear facilities may require that combust</w:t>
      </w:r>
      <w:r w:rsidR="0067788E">
        <w:t xml:space="preserve">ible gases are purposely used. For example, </w:t>
      </w:r>
      <w:r>
        <w:t>the inje</w:t>
      </w:r>
      <w:r w:rsidR="00C51E6D">
        <w:t>ction of hydrogen into kilns or</w:t>
      </w:r>
      <w:r>
        <w:t xml:space="preserve"> furnaces which process uranic powders</w:t>
      </w:r>
      <w:r w:rsidR="00B92614">
        <w:t xml:space="preserve"> at fuel cycle facilities</w:t>
      </w:r>
      <w:r>
        <w:t>. Where the operating chemistry requires the purposeful use of a combustible gas, the inspector should consider the requirements of principle ECH.2.</w:t>
      </w:r>
    </w:p>
    <w:p w14:paraId="5F3F4A83" w14:textId="77777777" w:rsidR="00E31BBB" w:rsidRDefault="003E6252" w:rsidP="0002758C">
      <w:pPr>
        <w:pStyle w:val="TSNumberedParagraph11"/>
      </w:pPr>
      <w:r w:rsidRPr="00D32E61">
        <w:t xml:space="preserve">The impact of chemistry </w:t>
      </w:r>
      <w:r w:rsidR="00D32E61">
        <w:t xml:space="preserve">effects </w:t>
      </w:r>
      <w:r w:rsidRPr="00D32E61">
        <w:t xml:space="preserve">on </w:t>
      </w:r>
      <w:r w:rsidR="00D32E61" w:rsidRPr="00D32E61">
        <w:t xml:space="preserve">combustible </w:t>
      </w:r>
      <w:r w:rsidR="00D32E61">
        <w:t xml:space="preserve">gases is therefore a broad and detailed topic. </w:t>
      </w:r>
      <w:r w:rsidRPr="00D32E61">
        <w:t xml:space="preserve">Further technical </w:t>
      </w:r>
      <w:r w:rsidR="00D32E61">
        <w:t xml:space="preserve">detail </w:t>
      </w:r>
      <w:r w:rsidR="00E50E52">
        <w:t xml:space="preserve">on the relevant phenomena </w:t>
      </w:r>
      <w:r w:rsidR="00D32E61">
        <w:t xml:space="preserve">is </w:t>
      </w:r>
      <w:r w:rsidRPr="00D32E61">
        <w:t>provided in</w:t>
      </w:r>
      <w:r w:rsidRPr="004D15A6">
        <w:t xml:space="preserve"> </w:t>
      </w:r>
      <w:r w:rsidR="00A6039A" w:rsidRPr="00DB4353">
        <w:t xml:space="preserve">Appendix </w:t>
      </w:r>
      <w:r w:rsidR="000F7624">
        <w:t>4</w:t>
      </w:r>
      <w:r w:rsidR="000F7624" w:rsidRPr="000F7624">
        <w:t xml:space="preserve"> </w:t>
      </w:r>
      <w:r w:rsidRPr="000F7624">
        <w:t>at</w:t>
      </w:r>
      <w:r w:rsidRPr="00D32E61">
        <w:t xml:space="preserve"> the end of this guide.</w:t>
      </w:r>
      <w:r w:rsidR="00E31BBB">
        <w:t xml:space="preserve"> This means that as a minimum, the assessment of combustible gases may involve inspectors from a range of</w:t>
      </w:r>
      <w:r w:rsidR="00734146">
        <w:t xml:space="preserve"> disciplines</w:t>
      </w:r>
      <w:r w:rsidR="00E31BBB">
        <w:t xml:space="preserve">. </w:t>
      </w:r>
    </w:p>
    <w:p w14:paraId="5F3F4A84" w14:textId="77777777" w:rsidR="003E6252" w:rsidRPr="00B82140" w:rsidRDefault="003E6252" w:rsidP="0002758C">
      <w:pPr>
        <w:pStyle w:val="TSNumberedParagraph11"/>
      </w:pPr>
      <w:r>
        <w:t xml:space="preserve">When considering the design, </w:t>
      </w:r>
      <w:r w:rsidRPr="00B82140">
        <w:t>or licensee’s arrangements for manag</w:t>
      </w:r>
      <w:r>
        <w:t>ing the effects of chemistry on combustible gases</w:t>
      </w:r>
      <w:r w:rsidRPr="00B82140">
        <w:t>, the inspector may therefore wish to consider if the following factors have been adequately addressed:</w:t>
      </w:r>
    </w:p>
    <w:p w14:paraId="5F3F4A85" w14:textId="77777777" w:rsidR="00E03A9F" w:rsidRDefault="00E03A9F" w:rsidP="00B56748">
      <w:pPr>
        <w:pStyle w:val="TSBullet1Square"/>
      </w:pPr>
      <w:r>
        <w:t xml:space="preserve">Chemical reactions which produce combustible gases should be avoided </w:t>
      </w:r>
      <w:r w:rsidR="00E466FB">
        <w:t xml:space="preserve">or </w:t>
      </w:r>
      <w:r>
        <w:t>minimised, so far as is reasonably practicable</w:t>
      </w:r>
      <w:r w:rsidR="000F7624">
        <w:t>.</w:t>
      </w:r>
    </w:p>
    <w:p w14:paraId="5F3F4A86" w14:textId="77777777" w:rsidR="00E03A9F" w:rsidRDefault="00E03A9F" w:rsidP="004B723E">
      <w:pPr>
        <w:pStyle w:val="TSBullet1Square"/>
      </w:pPr>
      <w:r>
        <w:t xml:space="preserve">Where </w:t>
      </w:r>
      <w:r w:rsidR="002F7503">
        <w:t>it</w:t>
      </w:r>
      <w:r>
        <w:t xml:space="preserve"> is </w:t>
      </w:r>
      <w:r w:rsidR="002F7503">
        <w:t xml:space="preserve">demonstrated </w:t>
      </w:r>
      <w:r>
        <w:t>no</w:t>
      </w:r>
      <w:r w:rsidR="002F7503">
        <w:t>t</w:t>
      </w:r>
      <w:r>
        <w:t xml:space="preserve"> </w:t>
      </w:r>
      <w:r w:rsidR="0095210F">
        <w:t xml:space="preserve">to be </w:t>
      </w:r>
      <w:r>
        <w:t xml:space="preserve">reasonably practicable </w:t>
      </w:r>
      <w:r w:rsidR="004B723E">
        <w:t>to avoid chemical reactions which produce combustible gases, a robust and systematic approach to their identification should be followed, which should consider:</w:t>
      </w:r>
    </w:p>
    <w:p w14:paraId="5F3F4A87" w14:textId="77777777" w:rsidR="004B723E" w:rsidRDefault="00EE0A31" w:rsidP="00B56748">
      <w:pPr>
        <w:pStyle w:val="TSBullet2Circle"/>
      </w:pPr>
      <w:r>
        <w:t xml:space="preserve">the </w:t>
      </w:r>
      <w:r w:rsidR="004B723E">
        <w:t>possibility of unintentional or uncontrolled chemical reactions</w:t>
      </w:r>
      <w:r w:rsidR="00DB4353">
        <w:t>;</w:t>
      </w:r>
    </w:p>
    <w:p w14:paraId="5F3F4A88" w14:textId="77777777" w:rsidR="00B56748" w:rsidRDefault="00B56748" w:rsidP="00B56748">
      <w:pPr>
        <w:pStyle w:val="TSBullet2Circle"/>
      </w:pPr>
      <w:r>
        <w:t xml:space="preserve">rate of </w:t>
      </w:r>
      <w:r w:rsidR="00E50E52">
        <w:t xml:space="preserve">gas </w:t>
      </w:r>
      <w:r>
        <w:t>generation</w:t>
      </w:r>
      <w:r w:rsidR="00DB4353">
        <w:t>;</w:t>
      </w:r>
    </w:p>
    <w:p w14:paraId="5F3F4A89" w14:textId="77777777" w:rsidR="00B56748" w:rsidRDefault="00B56748" w:rsidP="00B56748">
      <w:pPr>
        <w:pStyle w:val="TSBullet2Circle"/>
      </w:pPr>
      <w:r>
        <w:t xml:space="preserve">total amount </w:t>
      </w:r>
      <w:r w:rsidR="00E50E52">
        <w:t xml:space="preserve">of combustible gas </w:t>
      </w:r>
      <w:r>
        <w:t>produced</w:t>
      </w:r>
      <w:r w:rsidR="00DB4353">
        <w:t>;</w:t>
      </w:r>
    </w:p>
    <w:p w14:paraId="5F3F4A8A" w14:textId="77777777" w:rsidR="002F7503" w:rsidRDefault="002D63D7" w:rsidP="00E50E52">
      <w:pPr>
        <w:pStyle w:val="TSBullet2Circle"/>
      </w:pPr>
      <w:r>
        <w:t>the dependence of volumetric concentration with time</w:t>
      </w:r>
      <w:r w:rsidR="00DB4353">
        <w:t>;</w:t>
      </w:r>
      <w:r w:rsidR="0067788E">
        <w:t xml:space="preserve"> and</w:t>
      </w:r>
    </w:p>
    <w:p w14:paraId="5F3F4A8B" w14:textId="77777777" w:rsidR="00D32E61" w:rsidRDefault="0067788E" w:rsidP="002F7503">
      <w:pPr>
        <w:pStyle w:val="TSBullet2Circle"/>
      </w:pPr>
      <w:r>
        <w:t xml:space="preserve">the </w:t>
      </w:r>
      <w:r w:rsidR="002F7503">
        <w:t>distribution within the facility, including local and global concentrations</w:t>
      </w:r>
      <w:r w:rsidR="00EE0A31">
        <w:t xml:space="preserve">. </w:t>
      </w:r>
    </w:p>
    <w:p w14:paraId="5F3F4A8C" w14:textId="77777777" w:rsidR="00B56748" w:rsidRDefault="002D63D7" w:rsidP="00D32E61">
      <w:pPr>
        <w:pStyle w:val="TSBullet1Square"/>
      </w:pPr>
      <w:r>
        <w:t>The degree to which chemistry effects</w:t>
      </w:r>
      <w:r w:rsidR="00E50E52">
        <w:t>, both desirable</w:t>
      </w:r>
      <w:r w:rsidR="00DA48CB">
        <w:t xml:space="preserve"> (</w:t>
      </w:r>
      <w:r w:rsidR="00E1197D">
        <w:t>i.e.</w:t>
      </w:r>
      <w:r w:rsidR="00EE0A31">
        <w:t xml:space="preserve"> </w:t>
      </w:r>
      <w:r w:rsidR="00DA48CB">
        <w:t>catalytic activity and efficiency)</w:t>
      </w:r>
      <w:r w:rsidR="00E50E52">
        <w:t xml:space="preserve"> and undesirable</w:t>
      </w:r>
      <w:r w:rsidR="00DA48CB">
        <w:t xml:space="preserve"> (</w:t>
      </w:r>
      <w:r w:rsidR="00E1197D">
        <w:t>e.g.</w:t>
      </w:r>
      <w:r w:rsidR="00EE0A31">
        <w:rPr>
          <w:i/>
        </w:rPr>
        <w:t xml:space="preserve"> </w:t>
      </w:r>
      <w:r w:rsidR="00DA48CB">
        <w:t>poisoning, elevated temperatures)</w:t>
      </w:r>
      <w:r w:rsidR="00E50E52">
        <w:t>,</w:t>
      </w:r>
      <w:r>
        <w:t xml:space="preserve"> in combustible gas control and mitigation st</w:t>
      </w:r>
      <w:r w:rsidR="00DA48CB">
        <w:t xml:space="preserve">rategies, </w:t>
      </w:r>
      <w:r w:rsidR="00E50E52">
        <w:t>have been considered</w:t>
      </w:r>
      <w:r>
        <w:t>. Such strategies may include:</w:t>
      </w:r>
    </w:p>
    <w:p w14:paraId="5F3F4A8D" w14:textId="77777777" w:rsidR="002D63D7" w:rsidRDefault="00DB4353" w:rsidP="002D63D7">
      <w:pPr>
        <w:pStyle w:val="TSBullet2Circle"/>
      </w:pPr>
      <w:proofErr w:type="spellStart"/>
      <w:r>
        <w:t>i</w:t>
      </w:r>
      <w:r w:rsidR="00E50E52">
        <w:t>nerting</w:t>
      </w:r>
      <w:proofErr w:type="spellEnd"/>
      <w:r>
        <w:t>;</w:t>
      </w:r>
    </w:p>
    <w:p w14:paraId="5F3F4A8E" w14:textId="77777777" w:rsidR="00E50E52" w:rsidRDefault="000E6949" w:rsidP="002D63D7">
      <w:pPr>
        <w:pStyle w:val="TSBullet2Circle"/>
      </w:pPr>
      <w:r>
        <w:t>deliberate combustion</w:t>
      </w:r>
      <w:r w:rsidR="00E50E52">
        <w:t xml:space="preserve"> using igniters</w:t>
      </w:r>
      <w:r w:rsidR="00DB4353">
        <w:t>;</w:t>
      </w:r>
    </w:p>
    <w:p w14:paraId="5F3F4A8F" w14:textId="77777777" w:rsidR="00E50E52" w:rsidRDefault="00E50E52" w:rsidP="002D63D7">
      <w:pPr>
        <w:pStyle w:val="TSBullet2Circle"/>
      </w:pPr>
      <w:r>
        <w:t>catalytic oxidation, and/or</w:t>
      </w:r>
      <w:r w:rsidR="00DB4353">
        <w:t>;</w:t>
      </w:r>
    </w:p>
    <w:p w14:paraId="5F3F4A90" w14:textId="77777777" w:rsidR="00E50E52" w:rsidRDefault="00E50E52" w:rsidP="002D63D7">
      <w:pPr>
        <w:pStyle w:val="TSBullet2Circle"/>
      </w:pPr>
      <w:r>
        <w:t xml:space="preserve">combinations of the above. </w:t>
      </w:r>
    </w:p>
    <w:p w14:paraId="5F3F4A91" w14:textId="77777777" w:rsidR="00E50E52" w:rsidRDefault="00E50E52" w:rsidP="00E50E52">
      <w:pPr>
        <w:pStyle w:val="TSBullet1Square"/>
      </w:pPr>
      <w:r>
        <w:t>The need to measure com</w:t>
      </w:r>
      <w:r w:rsidR="002F7503">
        <w:t xml:space="preserve">bustible gas concentrations should be </w:t>
      </w:r>
      <w:r>
        <w:t>considered</w:t>
      </w:r>
      <w:r w:rsidR="00EE0A31">
        <w:t>.</w:t>
      </w:r>
    </w:p>
    <w:p w14:paraId="5F3F4A92" w14:textId="77777777" w:rsidR="00E466FB" w:rsidRDefault="00734146" w:rsidP="00C11755">
      <w:pPr>
        <w:pStyle w:val="TSBullet1Square"/>
      </w:pPr>
      <w:r>
        <w:t xml:space="preserve">The extent to which analysis or modelling has been used to determine </w:t>
      </w:r>
      <w:r w:rsidR="00DA48CB">
        <w:t>the location and a</w:t>
      </w:r>
      <w:r w:rsidR="00E40797">
        <w:t xml:space="preserve">rrangement of any </w:t>
      </w:r>
      <w:r w:rsidR="00B92614">
        <w:t>devices</w:t>
      </w:r>
      <w:r w:rsidR="00E40797">
        <w:t xml:space="preserve"> or </w:t>
      </w:r>
      <w:r>
        <w:t>features</w:t>
      </w:r>
      <w:r w:rsidR="00E40797">
        <w:t xml:space="preserve"> with a function to mitigate combustible gases</w:t>
      </w:r>
      <w:r w:rsidR="00B92614">
        <w:t>.</w:t>
      </w:r>
    </w:p>
    <w:p w14:paraId="5F3F4A93" w14:textId="77777777" w:rsidR="00C11755" w:rsidRPr="00C11755" w:rsidRDefault="00C11755" w:rsidP="00C11755"/>
    <w:p w14:paraId="5F3F4A94" w14:textId="77777777" w:rsidR="003E6252" w:rsidRPr="00B82140" w:rsidRDefault="00E1197D" w:rsidP="00B21A77">
      <w:pPr>
        <w:pStyle w:val="TSHeadingLevel2"/>
        <w:ind w:left="0" w:firstLine="720"/>
      </w:pPr>
      <w:r w:rsidRPr="00B82140">
        <w:t>Thermal</w:t>
      </w:r>
      <w:r w:rsidR="003E6252" w:rsidRPr="00B82140">
        <w:t xml:space="preserve"> Runaway</w:t>
      </w:r>
    </w:p>
    <w:p w14:paraId="5F3F4A95" w14:textId="77777777" w:rsidR="003E6252" w:rsidRPr="00BA4516" w:rsidRDefault="003E6252" w:rsidP="00436775">
      <w:pPr>
        <w:pStyle w:val="TSNumberedParagraph11"/>
      </w:pPr>
      <w:r w:rsidRPr="00BA4516">
        <w:t>Thermal runaway commences when the heat produced by a</w:t>
      </w:r>
      <w:r w:rsidR="00D805C5" w:rsidRPr="00BA4516">
        <w:t>n exothermic</w:t>
      </w:r>
      <w:r w:rsidRPr="00BA4516">
        <w:t xml:space="preserve"> chemical reaction exceeds the amount of heat that is </w:t>
      </w:r>
      <w:r w:rsidR="00261B1F">
        <w:t>lost</w:t>
      </w:r>
      <w:r w:rsidR="00261B1F" w:rsidRPr="00BA4516">
        <w:t xml:space="preserve"> </w:t>
      </w:r>
      <w:r w:rsidR="00261B1F">
        <w:t>to the ‘environment</w:t>
      </w:r>
      <w:r w:rsidR="00261B1F" w:rsidRPr="00BA4516">
        <w:t>’</w:t>
      </w:r>
      <w:r w:rsidR="00261B1F">
        <w:t xml:space="preserve"> </w:t>
      </w:r>
      <w:r w:rsidRPr="00BA4516">
        <w:t>by the reaction system</w:t>
      </w:r>
      <w:r w:rsidR="00734146">
        <w:t xml:space="preserve">. </w:t>
      </w:r>
      <w:r w:rsidRPr="00BA4516">
        <w:t xml:space="preserve">The excess heat raises the temperature within the system, which </w:t>
      </w:r>
      <w:r w:rsidR="00734146">
        <w:t xml:space="preserve">further increases the rate of reaction. This feedback loop propagates </w:t>
      </w:r>
      <w:r w:rsidR="00436775">
        <w:t xml:space="preserve">and can lead </w:t>
      </w:r>
      <w:r w:rsidRPr="00BA4516">
        <w:t>to a loss of control of a chemical reaction and a number of consequential hazards, for example:</w:t>
      </w:r>
    </w:p>
    <w:p w14:paraId="5F3F4A96" w14:textId="77777777" w:rsidR="003E6252" w:rsidRDefault="00216F12" w:rsidP="00BA4516">
      <w:pPr>
        <w:pStyle w:val="TSBullet1Square"/>
      </w:pPr>
      <w:r>
        <w:t xml:space="preserve">the </w:t>
      </w:r>
      <w:r w:rsidR="003E6252">
        <w:t xml:space="preserve">initiation of secondary, more hazardous runaway reactions or decompositions; </w:t>
      </w:r>
    </w:p>
    <w:p w14:paraId="5F3F4A97" w14:textId="77777777" w:rsidR="003E6252" w:rsidRDefault="00216F12" w:rsidP="0007177F">
      <w:pPr>
        <w:pStyle w:val="TSBullet1Square"/>
        <w:tabs>
          <w:tab w:val="clear" w:pos="-31680"/>
        </w:tabs>
      </w:pPr>
      <w:r>
        <w:t xml:space="preserve">explosion </w:t>
      </w:r>
      <w:r w:rsidR="003E6252">
        <w:t>as a result of large increa</w:t>
      </w:r>
      <w:r w:rsidR="0007177F">
        <w:t xml:space="preserve">ses in temperature and pressure and the possibility of consequential </w:t>
      </w:r>
      <w:r>
        <w:t xml:space="preserve">blast </w:t>
      </w:r>
      <w:r w:rsidR="003E6252">
        <w:t>or missile damage;</w:t>
      </w:r>
    </w:p>
    <w:p w14:paraId="5F3F4A98" w14:textId="77777777" w:rsidR="003E6252" w:rsidRDefault="00216F12" w:rsidP="00BA4516">
      <w:pPr>
        <w:pStyle w:val="TSBullet1Square"/>
      </w:pPr>
      <w:r>
        <w:t xml:space="preserve">release </w:t>
      </w:r>
      <w:r w:rsidR="003E6252">
        <w:t>of flammable material and consequential explosion and/or fire;</w:t>
      </w:r>
      <w:r>
        <w:t xml:space="preserve"> and</w:t>
      </w:r>
    </w:p>
    <w:p w14:paraId="5F3F4A99" w14:textId="77777777" w:rsidR="003E6252" w:rsidRDefault="00216F12" w:rsidP="00BA4516">
      <w:pPr>
        <w:pStyle w:val="TSBullet1Square"/>
      </w:pPr>
      <w:r>
        <w:t xml:space="preserve">a </w:t>
      </w:r>
      <w:r w:rsidR="003E6252">
        <w:t>loss of containment of hot/corrosive liquors and/or toxic</w:t>
      </w:r>
      <w:r w:rsidR="00E466FB">
        <w:t xml:space="preserve">, </w:t>
      </w:r>
      <w:r w:rsidR="003E6252">
        <w:t>corrosive</w:t>
      </w:r>
      <w:r w:rsidR="00E466FB">
        <w:t xml:space="preserve"> or radioactive</w:t>
      </w:r>
      <w:r w:rsidR="003E6252">
        <w:t xml:space="preserve"> materials. </w:t>
      </w:r>
    </w:p>
    <w:p w14:paraId="5F3F4A9A" w14:textId="77777777" w:rsidR="00064A4A" w:rsidRPr="00064A4A" w:rsidRDefault="00064A4A" w:rsidP="00064A4A"/>
    <w:p w14:paraId="5F3F4A9B" w14:textId="77777777" w:rsidR="00291AA7" w:rsidRPr="002C1ED2" w:rsidRDefault="00D805C5" w:rsidP="0002758C">
      <w:pPr>
        <w:pStyle w:val="TSNumberedParagraph11"/>
      </w:pPr>
      <w:r>
        <w:t xml:space="preserve">Conditions which give rise to thermal runaway therefore need to be avoided. Where applicable, the safety case should provide the demonstration </w:t>
      </w:r>
      <w:r w:rsidR="00A30101">
        <w:t>that possible fault scenarios resulting from thermal runaway have been adequately addressed</w:t>
      </w:r>
      <w:r w:rsidR="003E6252" w:rsidRPr="00B82140">
        <w:t xml:space="preserve">. </w:t>
      </w:r>
    </w:p>
    <w:p w14:paraId="5F3F4A9C" w14:textId="77777777" w:rsidR="00DE13B2" w:rsidRPr="008925E9" w:rsidRDefault="00DE13B2" w:rsidP="00B21A77">
      <w:pPr>
        <w:pStyle w:val="TSHeadingLevel2"/>
        <w:ind w:left="0" w:firstLine="720"/>
      </w:pPr>
      <w:r w:rsidRPr="008925E9">
        <w:t>Gene</w:t>
      </w:r>
      <w:r w:rsidRPr="00DB4353">
        <w:t>r</w:t>
      </w:r>
      <w:r w:rsidRPr="008925E9">
        <w:t>ation of To</w:t>
      </w:r>
      <w:r w:rsidR="00082E0C" w:rsidRPr="008925E9">
        <w:t xml:space="preserve">xic and Corrosive Materials and </w:t>
      </w:r>
      <w:r w:rsidRPr="008925E9">
        <w:t xml:space="preserve">Gases </w:t>
      </w:r>
    </w:p>
    <w:p w14:paraId="5F3F4A9D" w14:textId="77777777" w:rsidR="00A1206C" w:rsidRPr="000D1CDD" w:rsidRDefault="00CB7DCA" w:rsidP="0002758C">
      <w:pPr>
        <w:pStyle w:val="TSNumberedParagraph11"/>
      </w:pPr>
      <w:r w:rsidRPr="000D1CDD">
        <w:t xml:space="preserve">Nuclear facilities can make </w:t>
      </w:r>
      <w:r w:rsidR="00A1206C" w:rsidRPr="000D1CDD">
        <w:t xml:space="preserve">use of substantial quantities of </w:t>
      </w:r>
      <w:r w:rsidR="00C52D3F" w:rsidRPr="000D1CDD">
        <w:t xml:space="preserve">a number of hazardous chemicals including </w:t>
      </w:r>
      <w:r w:rsidRPr="000D1CDD">
        <w:t>strong acids</w:t>
      </w:r>
      <w:r w:rsidR="00C52D3F" w:rsidRPr="000D1CDD">
        <w:t xml:space="preserve">, </w:t>
      </w:r>
      <w:r w:rsidRPr="000D1CDD">
        <w:t>alkalis</w:t>
      </w:r>
      <w:r w:rsidR="00C52D3F" w:rsidRPr="000D1CDD">
        <w:t>, solvents and asphyxiants, amongst others</w:t>
      </w:r>
      <w:r w:rsidR="00A1206C" w:rsidRPr="000D1CDD">
        <w:t>.</w:t>
      </w:r>
    </w:p>
    <w:p w14:paraId="5F3F4A9E" w14:textId="77777777" w:rsidR="001C2F99" w:rsidRDefault="001C2F99" w:rsidP="0002758C">
      <w:pPr>
        <w:pStyle w:val="TSNumberedParagraph11"/>
      </w:pPr>
      <w:r w:rsidRPr="00CB7DCA">
        <w:t>Chemi</w:t>
      </w:r>
      <w:r w:rsidR="00CB7DCA" w:rsidRPr="00CB7DCA">
        <w:t xml:space="preserve">stry can impact </w:t>
      </w:r>
      <w:r w:rsidRPr="00CB7DCA">
        <w:t xml:space="preserve">on the </w:t>
      </w:r>
      <w:r w:rsidR="00C52D3F">
        <w:t xml:space="preserve">rate of production, distribution, magnitude </w:t>
      </w:r>
      <w:r w:rsidRPr="00CB7DCA">
        <w:t>an</w:t>
      </w:r>
      <w:r w:rsidR="00CB7DCA" w:rsidRPr="00CB7DCA">
        <w:t xml:space="preserve">d removal mechanisms for toxic or corrosive materials and </w:t>
      </w:r>
      <w:r w:rsidRPr="00CB7DCA">
        <w:t>ga</w:t>
      </w:r>
      <w:r w:rsidR="00C52D3F">
        <w:t>ses that may be</w:t>
      </w:r>
      <w:r w:rsidRPr="00CB7DCA">
        <w:t xml:space="preserve"> g</w:t>
      </w:r>
      <w:r w:rsidR="000D1CDD">
        <w:t>enerated</w:t>
      </w:r>
      <w:r w:rsidR="0087111E" w:rsidRPr="00CB7DCA">
        <w:t>.</w:t>
      </w:r>
      <w:r w:rsidR="00C52D3F">
        <w:t xml:space="preserve"> </w:t>
      </w:r>
      <w:r w:rsidR="00291AA7">
        <w:t>In addition, g</w:t>
      </w:r>
      <w:r w:rsidR="00C52D3F">
        <w:t xml:space="preserve">ood chemistry control </w:t>
      </w:r>
      <w:r w:rsidR="00291AA7">
        <w:t xml:space="preserve">will form an important </w:t>
      </w:r>
      <w:r w:rsidR="000D1CDD">
        <w:t>part of</w:t>
      </w:r>
      <w:r w:rsidR="00C52D3F">
        <w:t xml:space="preserve"> the arrangements for demonstrating inventories of hazardous toxic and corrosive materials and gases</w:t>
      </w:r>
      <w:r w:rsidR="00291AA7">
        <w:t xml:space="preserve">, which are present by design, </w:t>
      </w:r>
      <w:r w:rsidR="00DF6F6E">
        <w:t xml:space="preserve">are </w:t>
      </w:r>
      <w:r w:rsidR="00C52D3F">
        <w:t>managed</w:t>
      </w:r>
      <w:r w:rsidR="00DF6F6E">
        <w:t xml:space="preserve"> safely</w:t>
      </w:r>
      <w:r w:rsidR="00C52D3F">
        <w:t xml:space="preserve">.  </w:t>
      </w:r>
    </w:p>
    <w:p w14:paraId="5F3F4A9F" w14:textId="77777777" w:rsidR="000D1CDD" w:rsidRPr="00A87C21" w:rsidRDefault="000D1CDD" w:rsidP="0002758C">
      <w:pPr>
        <w:pStyle w:val="TSNumberedParagraph11"/>
      </w:pPr>
      <w:r w:rsidRPr="00A87C21">
        <w:t>Similar to the consideration of the role of chemistry in fires, explosions and combustible gas generation, the inspector should consider the requirements of the internal hazard</w:t>
      </w:r>
      <w:r w:rsidR="0067788E">
        <w:t xml:space="preserve">s principles, EHA.13 and EHA.14; </w:t>
      </w:r>
      <w:r w:rsidRPr="00A87C21">
        <w:t xml:space="preserve">and whether the relevant chemistry aspects have formed an </w:t>
      </w:r>
      <w:r w:rsidR="00436775">
        <w:t xml:space="preserve">input into the </w:t>
      </w:r>
      <w:r w:rsidRPr="00A87C21">
        <w:t>assessment of toxic and</w:t>
      </w:r>
      <w:r w:rsidR="004B723E" w:rsidRPr="00A87C21">
        <w:t xml:space="preserve"> corrosive materials and gases.</w:t>
      </w:r>
      <w:r w:rsidR="00436775">
        <w:t xml:space="preserve"> </w:t>
      </w:r>
      <w:r w:rsidR="00A87C21" w:rsidRPr="00A87C21">
        <w:t xml:space="preserve">Chemistry would typically focus on aspects such as generation mechanisms, rates </w:t>
      </w:r>
      <w:r w:rsidR="00A87C21" w:rsidRPr="00A87C21">
        <w:rPr>
          <w:i/>
        </w:rPr>
        <w:t>etc.</w:t>
      </w:r>
      <w:r w:rsidR="00436775">
        <w:t xml:space="preserve">, whereas other parts of the </w:t>
      </w:r>
      <w:r w:rsidR="00A87C21" w:rsidRPr="00A87C21">
        <w:t>assessment would build on this information to evaluate the impact/consequences of an explosion</w:t>
      </w:r>
      <w:r w:rsidR="0067788E">
        <w:t xml:space="preserve"> on SSCs</w:t>
      </w:r>
      <w:r w:rsidR="00A87C21" w:rsidRPr="00A87C21">
        <w:t xml:space="preserve">. </w:t>
      </w:r>
      <w:r w:rsidRPr="00A87C21">
        <w:t xml:space="preserve">   </w:t>
      </w:r>
    </w:p>
    <w:p w14:paraId="5F3F4AA0" w14:textId="77777777" w:rsidR="00117173" w:rsidRPr="000D1CDD" w:rsidRDefault="00F80D60" w:rsidP="0002758C">
      <w:pPr>
        <w:pStyle w:val="TSNumberedParagraph11"/>
      </w:pPr>
      <w:r w:rsidRPr="000D1CDD">
        <w:t xml:space="preserve">The </w:t>
      </w:r>
      <w:r w:rsidR="00117173" w:rsidRPr="000D1CDD">
        <w:t>inspector may consider if the following factors have been adequately addr</w:t>
      </w:r>
      <w:r w:rsidR="00C52D3F" w:rsidRPr="000D1CDD">
        <w:t>essed in the design or l</w:t>
      </w:r>
      <w:r w:rsidR="00117173" w:rsidRPr="000D1CDD">
        <w:t>icensee’s arrangements for managing the effects of chemistry on the generation of toxic and co</w:t>
      </w:r>
      <w:r w:rsidR="00C52D3F" w:rsidRPr="000D1CDD">
        <w:t xml:space="preserve">rrosive materials and </w:t>
      </w:r>
      <w:r w:rsidR="00117173" w:rsidRPr="000D1CDD">
        <w:t>gases:</w:t>
      </w:r>
    </w:p>
    <w:p w14:paraId="5F3F4AA1" w14:textId="77777777" w:rsidR="004B723E" w:rsidRDefault="004B723E" w:rsidP="00CB2E9A">
      <w:pPr>
        <w:pStyle w:val="TSBullet1Square"/>
      </w:pPr>
      <w:r>
        <w:t xml:space="preserve">Chemical reactions which produce toxic and corrosive materials or gases should be avoided </w:t>
      </w:r>
      <w:r w:rsidR="00E466FB">
        <w:t xml:space="preserve">or </w:t>
      </w:r>
      <w:r>
        <w:t>minimised, so far as is reasonably practicable</w:t>
      </w:r>
      <w:r w:rsidR="00142D8A">
        <w:t>. See principle EKP.1</w:t>
      </w:r>
      <w:r w:rsidR="0065572A">
        <w:t>.</w:t>
      </w:r>
    </w:p>
    <w:p w14:paraId="5F3F4AA2" w14:textId="77777777" w:rsidR="00142D8A" w:rsidRDefault="0035530A" w:rsidP="00CB2E9A">
      <w:pPr>
        <w:pStyle w:val="TSBullet1Square"/>
      </w:pPr>
      <w:r>
        <w:t xml:space="preserve">Where the purposeful </w:t>
      </w:r>
      <w:r w:rsidR="00142D8A">
        <w:t xml:space="preserve">use </w:t>
      </w:r>
      <w:r>
        <w:t>of, or</w:t>
      </w:r>
      <w:r w:rsidR="00142D8A">
        <w:t xml:space="preserve"> </w:t>
      </w:r>
      <w:r>
        <w:t xml:space="preserve">generation of toxic and/or corrosive materials or gases cannot be avoided, </w:t>
      </w:r>
      <w:r w:rsidR="000B17BB">
        <w:t>their amount</w:t>
      </w:r>
      <w:r w:rsidR="00E466FB">
        <w:t>s</w:t>
      </w:r>
      <w:r w:rsidR="000B17BB">
        <w:t xml:space="preserve"> </w:t>
      </w:r>
      <w:r w:rsidR="00142D8A">
        <w:t>should be minimised</w:t>
      </w:r>
      <w:r w:rsidR="000B17BB">
        <w:t xml:space="preserve"> and </w:t>
      </w:r>
      <w:r w:rsidR="00133CC6">
        <w:t xml:space="preserve">measures to prevent </w:t>
      </w:r>
      <w:r w:rsidR="000B17BB">
        <w:t>their unintentional accum</w:t>
      </w:r>
      <w:r w:rsidR="00133CC6">
        <w:t>ulation considered</w:t>
      </w:r>
      <w:r w:rsidR="0065572A">
        <w:t>.</w:t>
      </w:r>
    </w:p>
    <w:p w14:paraId="5F3F4AA3" w14:textId="40AE2D5D" w:rsidR="0035530A" w:rsidRDefault="002F7503" w:rsidP="00CB2E9A">
      <w:pPr>
        <w:pStyle w:val="TSBullet1Square"/>
      </w:pPr>
      <w:r>
        <w:t xml:space="preserve">In some circumstances, the design of a nuclear facility may purposely select </w:t>
      </w:r>
      <w:r w:rsidR="00142D8A">
        <w:t>a toxic or corrosive mater</w:t>
      </w:r>
      <w:r>
        <w:t xml:space="preserve">ial </w:t>
      </w:r>
      <w:r w:rsidR="00DE0476">
        <w:t>specifical</w:t>
      </w:r>
      <w:r w:rsidR="0067788E">
        <w:t>ly for its chemical properties. F</w:t>
      </w:r>
      <w:r w:rsidR="00DE0476">
        <w:t xml:space="preserve">or example, an acid that is more chemically reactive, giving a faster reaction time. In some </w:t>
      </w:r>
      <w:r w:rsidR="00875109">
        <w:t>cases,</w:t>
      </w:r>
      <w:r w:rsidR="00DE0476">
        <w:t xml:space="preserve"> this may lead to a shift in the balance of risks</w:t>
      </w:r>
      <w:r>
        <w:t xml:space="preserve"> from radiological to </w:t>
      </w:r>
      <w:proofErr w:type="spellStart"/>
      <w:r>
        <w:t>chemotoxic</w:t>
      </w:r>
      <w:proofErr w:type="spellEnd"/>
      <w:r>
        <w:t xml:space="preserve"> safety considerations. The inspector should consider principle ECH.2 and whether the safety case provides a demonstration that on balance, the chosen solution reduces all relevant </w:t>
      </w:r>
      <w:r w:rsidRPr="00CD5285">
        <w:t xml:space="preserve">risks </w:t>
      </w:r>
      <w:r w:rsidR="00CD5285" w:rsidRPr="00CD5285">
        <w:t>to ALARP</w:t>
      </w:r>
      <w:r w:rsidR="0065572A" w:rsidRPr="00CD5285">
        <w:t>.</w:t>
      </w:r>
      <w:r w:rsidR="00FA6722">
        <w:t xml:space="preserve"> The inspector may wish to </w:t>
      </w:r>
      <w:r w:rsidR="00F1500E">
        <w:t xml:space="preserve">work with </w:t>
      </w:r>
      <w:r w:rsidR="00633C63">
        <w:t>Conventional Health</w:t>
      </w:r>
      <w:r w:rsidR="00A858F4">
        <w:t xml:space="preserve"> and</w:t>
      </w:r>
      <w:r w:rsidR="00633C63">
        <w:t xml:space="preserve"> Safety </w:t>
      </w:r>
      <w:r w:rsidR="00F1500E">
        <w:t>inspectors.</w:t>
      </w:r>
      <w:r w:rsidR="00633C63">
        <w:t xml:space="preserve"> </w:t>
      </w:r>
    </w:p>
    <w:p w14:paraId="5F3F4AA4" w14:textId="77777777" w:rsidR="00A62FB2" w:rsidRDefault="000E6949" w:rsidP="00CB2E9A">
      <w:pPr>
        <w:pStyle w:val="TSBullet1Square"/>
      </w:pPr>
      <w:r>
        <w:t>T</w:t>
      </w:r>
      <w:r w:rsidR="00A1206C" w:rsidRPr="000D1CDD">
        <w:t xml:space="preserve">he safety case </w:t>
      </w:r>
      <w:r>
        <w:t>should identify</w:t>
      </w:r>
      <w:r w:rsidR="00004884" w:rsidRPr="000D1CDD">
        <w:t xml:space="preserve"> all foreseeable</w:t>
      </w:r>
      <w:r>
        <w:t xml:space="preserve"> chemical reactions which could produce toxic </w:t>
      </w:r>
      <w:r w:rsidR="00133CC6">
        <w:t xml:space="preserve">and corrosive materials or </w:t>
      </w:r>
      <w:r>
        <w:t>gases, including unintentional or uncontrolled chemical reactions</w:t>
      </w:r>
      <w:r w:rsidR="00C52D3F" w:rsidRPr="000D1CDD">
        <w:t>.</w:t>
      </w:r>
      <w:r w:rsidR="00291AA7" w:rsidRPr="000D1CDD">
        <w:t xml:space="preserve"> </w:t>
      </w:r>
      <w:r w:rsidR="00291AA7" w:rsidRPr="000E6949">
        <w:t>This s</w:t>
      </w:r>
      <w:r w:rsidRPr="000E6949">
        <w:t xml:space="preserve">hould include </w:t>
      </w:r>
      <w:r w:rsidR="0035530A">
        <w:t xml:space="preserve">the </w:t>
      </w:r>
      <w:r w:rsidRPr="000E6949">
        <w:t>consideration of</w:t>
      </w:r>
      <w:r w:rsidR="00291AA7" w:rsidRPr="000E6949">
        <w:t xml:space="preserve"> </w:t>
      </w:r>
      <w:r w:rsidR="0035530A">
        <w:t xml:space="preserve">the </w:t>
      </w:r>
      <w:r w:rsidR="00291AA7" w:rsidRPr="000E6949">
        <w:t>most hazardous, or hazardous combination of</w:t>
      </w:r>
      <w:r w:rsidRPr="000E6949">
        <w:t xml:space="preserve"> sequences</w:t>
      </w:r>
      <w:r w:rsidR="00133CC6">
        <w:t xml:space="preserve">, which in some cases may </w:t>
      </w:r>
      <w:r w:rsidR="000B17BB">
        <w:t xml:space="preserve">mean </w:t>
      </w:r>
      <w:r w:rsidR="000B17BB" w:rsidRPr="000D1CDD">
        <w:t xml:space="preserve">the </w:t>
      </w:r>
      <w:proofErr w:type="spellStart"/>
      <w:r w:rsidR="000B17BB" w:rsidRPr="000D1CDD">
        <w:t>chemotoxic</w:t>
      </w:r>
      <w:proofErr w:type="spellEnd"/>
      <w:r w:rsidR="000B17BB" w:rsidRPr="000D1CDD">
        <w:t xml:space="preserve"> consequences of a chemical reaction </w:t>
      </w:r>
      <w:r w:rsidR="000B17BB">
        <w:t>are</w:t>
      </w:r>
      <w:r w:rsidR="000B17BB" w:rsidRPr="000D1CDD">
        <w:t xml:space="preserve"> more significant than the radiological consequ</w:t>
      </w:r>
      <w:r w:rsidR="000B17BB">
        <w:t>e</w:t>
      </w:r>
      <w:r w:rsidR="000B17BB" w:rsidRPr="000D1CDD">
        <w:t xml:space="preserve">nces. For example, the </w:t>
      </w:r>
      <w:r w:rsidR="000B17BB">
        <w:t xml:space="preserve">decomposition </w:t>
      </w:r>
      <w:r w:rsidR="000B17BB" w:rsidRPr="000D1CDD">
        <w:t>reac</w:t>
      </w:r>
      <w:r w:rsidR="00B54B43">
        <w:t xml:space="preserve">tion of uranium hexafluoride </w:t>
      </w:r>
      <w:r w:rsidR="000B17BB" w:rsidRPr="000D1CDD">
        <w:t>with moist air,</w:t>
      </w:r>
      <w:r w:rsidR="00B54B43">
        <w:t xml:space="preserve"> which forms uranyl fluoride</w:t>
      </w:r>
      <w:r w:rsidR="000B17BB" w:rsidRPr="000D1CDD">
        <w:t xml:space="preserve">, but also </w:t>
      </w:r>
      <w:r w:rsidR="0065572A" w:rsidRPr="000D1CDD">
        <w:t>stoichiometric</w:t>
      </w:r>
      <w:r w:rsidR="000B17BB" w:rsidRPr="000D1CDD">
        <w:t xml:space="preserve"> quant</w:t>
      </w:r>
      <w:r w:rsidR="00B54B43">
        <w:t xml:space="preserve">ities of hydrogen fluoride </w:t>
      </w:r>
      <w:r w:rsidR="000B17BB" w:rsidRPr="000D1CDD">
        <w:t xml:space="preserve">gas. </w:t>
      </w:r>
      <w:r w:rsidR="003A61AF" w:rsidRPr="003A61AF">
        <w:t xml:space="preserve">The </w:t>
      </w:r>
      <w:r w:rsidR="00291AA7" w:rsidRPr="000D1CDD">
        <w:t xml:space="preserve">materials degradation </w:t>
      </w:r>
      <w:r w:rsidR="003A61AF">
        <w:t xml:space="preserve">section provides </w:t>
      </w:r>
      <w:r w:rsidR="00291AA7" w:rsidRPr="000D1CDD">
        <w:t>further guidance o</w:t>
      </w:r>
      <w:r w:rsidR="00DF6F6E">
        <w:t xml:space="preserve">n some chemical reactions that </w:t>
      </w:r>
      <w:r w:rsidR="00291AA7" w:rsidRPr="000D1CDD">
        <w:t>may give rise to toxic or corrosive materials and gases</w:t>
      </w:r>
      <w:r w:rsidR="00DF6F6E">
        <w:t xml:space="preserve"> at some nuclear facilities</w:t>
      </w:r>
      <w:r w:rsidR="0065572A">
        <w:t>.</w:t>
      </w:r>
    </w:p>
    <w:p w14:paraId="5F3F4AA5" w14:textId="77777777" w:rsidR="002C1ED2" w:rsidRDefault="00142D8A" w:rsidP="00CB2E9A">
      <w:pPr>
        <w:pStyle w:val="TSBullet1Square"/>
      </w:pPr>
      <w:r>
        <w:t>Where chemical reactions</w:t>
      </w:r>
      <w:r w:rsidR="008925E9">
        <w:t xml:space="preserve"> producing toxic and/or corrosive mat</w:t>
      </w:r>
      <w:r w:rsidR="002F7503">
        <w:t>erials and gases have been identified</w:t>
      </w:r>
      <w:r w:rsidR="008925E9">
        <w:t xml:space="preserve">, the </w:t>
      </w:r>
      <w:r>
        <w:t xml:space="preserve">safety case </w:t>
      </w:r>
      <w:r w:rsidRPr="00582CC3">
        <w:t>should demonstrate the performance of the e</w:t>
      </w:r>
      <w:r w:rsidR="0067788E">
        <w:t xml:space="preserve">ngineered systems, including SSCs </w:t>
      </w:r>
      <w:r w:rsidRPr="00582CC3">
        <w:t>important to maintaining nuclear safety, are tolerant of the</w:t>
      </w:r>
      <w:r w:rsidR="002F7503" w:rsidRPr="00582CC3">
        <w:t xml:space="preserve"> prevailing chemical conditions</w:t>
      </w:r>
      <w:r w:rsidR="003A61AF">
        <w:t>.</w:t>
      </w:r>
    </w:p>
    <w:p w14:paraId="5F3F4AA6" w14:textId="77777777" w:rsidR="00064A4A" w:rsidRPr="00064A4A" w:rsidRDefault="00064A4A" w:rsidP="00064A4A"/>
    <w:p w14:paraId="5F3F4AA7" w14:textId="77777777" w:rsidR="00AF4FFE" w:rsidRPr="00940FF6" w:rsidRDefault="007E23E7" w:rsidP="007E23E7">
      <w:pPr>
        <w:pStyle w:val="TSNumberedParagraph11"/>
        <w:numPr>
          <w:ilvl w:val="0"/>
          <w:numId w:val="0"/>
        </w:numPr>
        <w:ind w:left="720" w:hanging="720"/>
        <w:rPr>
          <w:b/>
        </w:rPr>
      </w:pPr>
      <w:bookmarkStart w:id="30" w:name="_Toc447189491"/>
      <w:bookmarkStart w:id="31" w:name="rad_exp_and_crit"/>
      <w:r w:rsidRPr="00940FF6">
        <w:rPr>
          <w:b/>
        </w:rPr>
        <w:t>6.1</w:t>
      </w:r>
      <w:r w:rsidR="00F16EEC" w:rsidRPr="00940FF6">
        <w:rPr>
          <w:b/>
        </w:rPr>
        <w:tab/>
      </w:r>
      <w:r w:rsidR="00FE54BE" w:rsidRPr="00940FF6">
        <w:rPr>
          <w:b/>
        </w:rPr>
        <w:t>RADIATION EXPOSURE AND CRITICALITY</w:t>
      </w:r>
      <w:bookmarkEnd w:id="30"/>
      <w:bookmarkEnd w:id="31"/>
      <w:r w:rsidR="00FE54BE" w:rsidRPr="00940FF6">
        <w:rPr>
          <w:b/>
        </w:rPr>
        <w:t xml:space="preserve"> </w:t>
      </w:r>
    </w:p>
    <w:p w14:paraId="5F3F4AA8" w14:textId="77777777" w:rsidR="009B7B53" w:rsidRPr="00582CC3" w:rsidRDefault="009B7B53" w:rsidP="0002758C">
      <w:pPr>
        <w:pStyle w:val="TSNumberedParagraph11"/>
      </w:pPr>
      <w:r w:rsidRPr="00582CC3">
        <w:t>All nuclear facilities must be operated, inspected, maintained and decommissioned in accordance with the regulations relating to the use of ionising radiations (</w:t>
      </w:r>
      <w:r w:rsidR="0067788E">
        <w:t xml:space="preserve">the </w:t>
      </w:r>
      <w:r w:rsidRPr="00582CC3">
        <w:t xml:space="preserve">IRRs). A fundamental requirement of the IRRs is to restrict radiation exposure to workers and members of the public SFAIRP, which includes minimisation of sources of radiation. </w:t>
      </w:r>
    </w:p>
    <w:p w14:paraId="5F3F4AA9" w14:textId="77777777" w:rsidR="0079627F" w:rsidRPr="0079627F" w:rsidRDefault="00D2729B" w:rsidP="0002758C">
      <w:pPr>
        <w:pStyle w:val="TSNumberedParagraph11"/>
      </w:pPr>
      <w:r w:rsidRPr="00582CC3">
        <w:t>Chemistry</w:t>
      </w:r>
      <w:r w:rsidR="00330715">
        <w:t xml:space="preserve"> control can have a marked influence on the rate of production of </w:t>
      </w:r>
      <w:r w:rsidR="0067788E">
        <w:t>radio</w:t>
      </w:r>
      <w:r w:rsidR="00330715">
        <w:t>activity and upon its subs</w:t>
      </w:r>
      <w:r w:rsidR="0067788E">
        <w:t>equent transport</w:t>
      </w:r>
      <w:r w:rsidR="00330715">
        <w:t xml:space="preserve">. </w:t>
      </w:r>
      <w:r w:rsidRPr="00582CC3">
        <w:t xml:space="preserve">As such, it </w:t>
      </w:r>
      <w:r w:rsidR="0079627F" w:rsidRPr="00582CC3">
        <w:t>plays a part in satisfying some aspects of the con</w:t>
      </w:r>
      <w:r w:rsidR="005B0AA8" w:rsidRPr="00582CC3">
        <w:t>trol of</w:t>
      </w:r>
      <w:r w:rsidR="005B0AA8">
        <w:t xml:space="preserve"> nuclear matter SAPs. Principle ENM.3 </w:t>
      </w:r>
      <w:r w:rsidR="0079627F" w:rsidRPr="0079627F">
        <w:t>states that unnecessary or unintended generation, transfer or accumulation of nuclear matter should be avoided. T</w:t>
      </w:r>
      <w:r w:rsidR="0079627F">
        <w:t xml:space="preserve">he following chemistry effects, amongst others, </w:t>
      </w:r>
      <w:r w:rsidR="0079627F" w:rsidRPr="0079627F">
        <w:t xml:space="preserve">may </w:t>
      </w:r>
      <w:r w:rsidR="0067788E">
        <w:t xml:space="preserve">therefore </w:t>
      </w:r>
      <w:r w:rsidR="0079627F" w:rsidRPr="0079627F">
        <w:t>have an impact in satisfying the requirements of th</w:t>
      </w:r>
      <w:r w:rsidR="0079627F">
        <w:t xml:space="preserve">is </w:t>
      </w:r>
      <w:r w:rsidR="0079627F" w:rsidRPr="0079627F">
        <w:t>SAP</w:t>
      </w:r>
      <w:r>
        <w:t xml:space="preserve"> and should be given adequate consideration in the safety case</w:t>
      </w:r>
      <w:r w:rsidR="0079627F" w:rsidRPr="0079627F">
        <w:t xml:space="preserve">:  </w:t>
      </w:r>
    </w:p>
    <w:p w14:paraId="5F3F4AAA" w14:textId="750F0FAA" w:rsidR="0016297D" w:rsidRPr="0079627F" w:rsidRDefault="007F10C3" w:rsidP="00CB2E9A">
      <w:pPr>
        <w:pStyle w:val="TSBullet1Square"/>
      </w:pPr>
      <w:r>
        <w:t>s</w:t>
      </w:r>
      <w:r w:rsidRPr="0079627F">
        <w:t xml:space="preserve">olute </w:t>
      </w:r>
      <w:r w:rsidR="0079627F" w:rsidRPr="0079627F">
        <w:t>precipitation</w:t>
      </w:r>
    </w:p>
    <w:p w14:paraId="5F3F4AAB" w14:textId="5DD8E684" w:rsidR="0016297D" w:rsidRPr="0079627F" w:rsidRDefault="007F10C3" w:rsidP="00CB2E9A">
      <w:pPr>
        <w:pStyle w:val="TSBullet1Square"/>
      </w:pPr>
      <w:r>
        <w:t>s</w:t>
      </w:r>
      <w:r w:rsidRPr="0079627F">
        <w:t xml:space="preserve">olvent </w:t>
      </w:r>
      <w:r w:rsidR="00A8002E">
        <w:t>evaporation</w:t>
      </w:r>
    </w:p>
    <w:p w14:paraId="5F3F4AAC" w14:textId="6510363C" w:rsidR="0016297D" w:rsidRPr="0079627F" w:rsidRDefault="007F10C3" w:rsidP="00CB2E9A">
      <w:pPr>
        <w:pStyle w:val="TSBullet1Square"/>
      </w:pPr>
      <w:r>
        <w:t>c</w:t>
      </w:r>
      <w:r w:rsidRPr="0079627F">
        <w:t xml:space="preserve">hemical </w:t>
      </w:r>
      <w:r w:rsidR="0016297D" w:rsidRPr="0079627F">
        <w:t>reactions</w:t>
      </w:r>
    </w:p>
    <w:p w14:paraId="5F3F4AAD" w14:textId="39FD854C" w:rsidR="0016297D" w:rsidRDefault="007F10C3" w:rsidP="00CB2E9A">
      <w:pPr>
        <w:pStyle w:val="TSBullet1Square"/>
      </w:pPr>
      <w:proofErr w:type="spellStart"/>
      <w:r>
        <w:t>p</w:t>
      </w:r>
      <w:r w:rsidRPr="0079627F">
        <w:t>hysico</w:t>
      </w:r>
      <w:proofErr w:type="spellEnd"/>
      <w:r w:rsidR="0016297D" w:rsidRPr="0079627F">
        <w:t>-chemical interactions</w:t>
      </w:r>
    </w:p>
    <w:p w14:paraId="5F3F4AAE" w14:textId="77777777" w:rsidR="00064A4A" w:rsidRPr="00064A4A" w:rsidRDefault="00064A4A" w:rsidP="00064A4A"/>
    <w:p w14:paraId="5F3F4AAF" w14:textId="77777777" w:rsidR="00AA6339" w:rsidRDefault="00BC5039" w:rsidP="0002758C">
      <w:pPr>
        <w:pStyle w:val="TSNumberedParagraph11"/>
      </w:pPr>
      <w:r>
        <w:t xml:space="preserve">Of particular note are nuclear </w:t>
      </w:r>
      <w:r w:rsidR="00D2729B">
        <w:t>fuel cycle facilities which reprocess spent nuclear fuel</w:t>
      </w:r>
      <w:r w:rsidR="0067788E">
        <w:t>,</w:t>
      </w:r>
      <w:r w:rsidR="00D2729B">
        <w:t xml:space="preserve"> </w:t>
      </w:r>
      <w:r w:rsidR="0007177F">
        <w:t xml:space="preserve">which </w:t>
      </w:r>
      <w:r w:rsidR="00D2729B">
        <w:t>rel</w:t>
      </w:r>
      <w:r w:rsidR="005B0AA8">
        <w:t>y on careful</w:t>
      </w:r>
      <w:r w:rsidR="00C97AF6">
        <w:t xml:space="preserve">ly controlling </w:t>
      </w:r>
      <w:r w:rsidR="005B0AA8">
        <w:t>the oxidation states o</w:t>
      </w:r>
      <w:r w:rsidR="00B54B43">
        <w:t>f uranium and plutonium</w:t>
      </w:r>
      <w:r w:rsidR="005B0AA8">
        <w:t xml:space="preserve">, using various chemical reagents, to adjust the prevailing chemical conditions to achieve </w:t>
      </w:r>
      <w:r w:rsidR="00AA6339">
        <w:t xml:space="preserve">their safe separation. </w:t>
      </w:r>
      <w:r w:rsidR="005B0AA8">
        <w:t>Poor chemistry control in these facilities therefore has the potential to lead to the unintended a</w:t>
      </w:r>
      <w:r w:rsidR="00C97AF6">
        <w:t xml:space="preserve">ccumulation of fissile material. </w:t>
      </w:r>
      <w:r w:rsidR="00AA6339">
        <w:t>The safety case should therefore demonstrate suitable and sufficient provisions have been made to maintain adequate control over the</w:t>
      </w:r>
      <w:r w:rsidR="00C51E6D">
        <w:t xml:space="preserve">se particular chemical reagents, </w:t>
      </w:r>
      <w:r w:rsidR="00AA6339">
        <w:t xml:space="preserve">both in terms of availability and </w:t>
      </w:r>
      <w:r w:rsidR="00C51E6D">
        <w:t xml:space="preserve">the </w:t>
      </w:r>
      <w:r w:rsidR="00AA6339">
        <w:t xml:space="preserve">required chemical specification.  </w:t>
      </w:r>
    </w:p>
    <w:p w14:paraId="5F3F4AB0" w14:textId="77777777" w:rsidR="00C97AF6" w:rsidRPr="00A87C21" w:rsidRDefault="007F10C3" w:rsidP="0002758C">
      <w:pPr>
        <w:pStyle w:val="TSNumberedParagraph11"/>
      </w:pPr>
      <w:r>
        <w:t xml:space="preserve">The </w:t>
      </w:r>
      <w:r w:rsidR="00C97AF6">
        <w:t xml:space="preserve">role </w:t>
      </w:r>
      <w:r w:rsidRPr="00A87C21">
        <w:t xml:space="preserve">of chemistry </w:t>
      </w:r>
      <w:r w:rsidR="00C97AF6" w:rsidRPr="00A87C21">
        <w:t>in satisfying principle ENM.3</w:t>
      </w:r>
      <w:r w:rsidRPr="00A87C21">
        <w:t xml:space="preserve"> is also applicable to the control of</w:t>
      </w:r>
      <w:r w:rsidR="00C97AF6" w:rsidRPr="00A87C21">
        <w:t xml:space="preserve"> criticality hazards:</w:t>
      </w:r>
    </w:p>
    <w:p w14:paraId="5F3F4AB1" w14:textId="77777777" w:rsidR="00AD2A2B" w:rsidRPr="00A87C21" w:rsidRDefault="007F10C3" w:rsidP="00CB2E9A">
      <w:pPr>
        <w:pStyle w:val="TSBullet1Square"/>
      </w:pPr>
      <w:r w:rsidRPr="00A87C21">
        <w:t xml:space="preserve">by </w:t>
      </w:r>
      <w:r w:rsidR="00AD2A2B" w:rsidRPr="00A87C21">
        <w:t>influencing the concentration of fissile material present in a solution;</w:t>
      </w:r>
      <w:r w:rsidRPr="00A87C21">
        <w:t xml:space="preserve"> and</w:t>
      </w:r>
    </w:p>
    <w:p w14:paraId="5F3F4AB2" w14:textId="77777777" w:rsidR="00AD2A2B" w:rsidRPr="00A87C21" w:rsidRDefault="007F10C3" w:rsidP="00CB2E9A">
      <w:pPr>
        <w:pStyle w:val="TSBullet1Square"/>
      </w:pPr>
      <w:r w:rsidRPr="00A87C21">
        <w:t xml:space="preserve">by </w:t>
      </w:r>
      <w:r w:rsidR="00AD2A2B" w:rsidRPr="00A87C21">
        <w:t xml:space="preserve">influencing the concentration of soluble neutron poisons (for example boron) in solution. </w:t>
      </w:r>
    </w:p>
    <w:p w14:paraId="5F3F4AB3" w14:textId="77777777" w:rsidR="00064A4A" w:rsidRPr="00064A4A" w:rsidRDefault="00064A4A" w:rsidP="00064A4A"/>
    <w:p w14:paraId="5F3F4AB4" w14:textId="77777777" w:rsidR="00191121" w:rsidRDefault="00C97AF6" w:rsidP="0002758C">
      <w:pPr>
        <w:pStyle w:val="TSNumberedParagraph11"/>
      </w:pPr>
      <w:r>
        <w:t xml:space="preserve">Where the safety case places claims on the </w:t>
      </w:r>
      <w:r w:rsidR="00C51E6D">
        <w:t>above</w:t>
      </w:r>
      <w:r w:rsidR="007F10C3">
        <w:t xml:space="preserve"> two factors</w:t>
      </w:r>
      <w:r w:rsidR="00C51E6D">
        <w:t xml:space="preserve">, </w:t>
      </w:r>
      <w:r w:rsidR="007F10C3">
        <w:t>it should</w:t>
      </w:r>
      <w:r w:rsidR="00AA6339">
        <w:t xml:space="preserve"> take into account the role of chemistry in specifying</w:t>
      </w:r>
      <w:r w:rsidR="00931B1E">
        <w:t xml:space="preserve"> the necessary</w:t>
      </w:r>
      <w:r w:rsidR="00AA6339">
        <w:t xml:space="preserve"> safety measures</w:t>
      </w:r>
      <w:r w:rsidR="00931B1E">
        <w:t xml:space="preserve"> (SAP ECR.1)</w:t>
      </w:r>
      <w:r w:rsidR="00AA6339">
        <w:t xml:space="preserve">, including the consequences of incorrect chemistry control. </w:t>
      </w:r>
    </w:p>
    <w:p w14:paraId="5F3F4AB5" w14:textId="77777777" w:rsidR="004E2164" w:rsidRPr="004E2164" w:rsidRDefault="0016297D" w:rsidP="0002758C">
      <w:pPr>
        <w:pStyle w:val="TSNumberedParagraph11"/>
      </w:pPr>
      <w:r w:rsidRPr="00AA6339">
        <w:t>Further guidance o</w:t>
      </w:r>
      <w:r w:rsidR="008E52A5" w:rsidRPr="00AA6339">
        <w:t xml:space="preserve">n the influence of chemistry in </w:t>
      </w:r>
      <w:r w:rsidRPr="00AA6339">
        <w:t>min</w:t>
      </w:r>
      <w:r w:rsidR="008E52A5" w:rsidRPr="00AA6339">
        <w:t xml:space="preserve">imising </w:t>
      </w:r>
      <w:r w:rsidR="00C551F8" w:rsidRPr="00AA6339">
        <w:t xml:space="preserve">sources of radioactivity, </w:t>
      </w:r>
      <w:r w:rsidRPr="00AA6339">
        <w:t>transport o</w:t>
      </w:r>
      <w:r w:rsidR="00C551F8" w:rsidRPr="00AA6339">
        <w:t xml:space="preserve">f radionuclides, </w:t>
      </w:r>
      <w:r w:rsidR="008E52A5" w:rsidRPr="00AA6339">
        <w:t>and on controlling criticality hazards</w:t>
      </w:r>
      <w:r w:rsidR="00AA6339" w:rsidRPr="00AA6339">
        <w:t xml:space="preserve"> in civil nuclear reactors</w:t>
      </w:r>
      <w:r w:rsidR="008E52A5" w:rsidRPr="00AA6339">
        <w:t>,</w:t>
      </w:r>
      <w:r w:rsidR="00A6039A">
        <w:t xml:space="preserve"> is provided in </w:t>
      </w:r>
      <w:r w:rsidR="00A6039A" w:rsidRPr="00DB4353">
        <w:t>[</w:t>
      </w:r>
      <w:r w:rsidR="0052667E">
        <w:fldChar w:fldCharType="begin"/>
      </w:r>
      <w:r w:rsidR="0052667E">
        <w:instrText xml:space="preserve"> NOTEREF _Ref447275804 </w:instrText>
      </w:r>
      <w:r w:rsidR="0052667E">
        <w:fldChar w:fldCharType="separate"/>
      </w:r>
      <w:r w:rsidR="00C23519">
        <w:t>3</w:t>
      </w:r>
      <w:r w:rsidR="0052667E">
        <w:fldChar w:fldCharType="end"/>
      </w:r>
      <w:r w:rsidRPr="00DB4353">
        <w:t>].</w:t>
      </w:r>
      <w:r w:rsidR="00BC5039">
        <w:t xml:space="preserve"> This guidance may be equally applicable to other scenarios. </w:t>
      </w:r>
    </w:p>
    <w:p w14:paraId="5F3F4AB6" w14:textId="77777777" w:rsidR="0006788E" w:rsidRPr="00677D52" w:rsidRDefault="00B82140" w:rsidP="00B21A77">
      <w:pPr>
        <w:pStyle w:val="TSHeadingLevel2"/>
        <w:ind w:left="0" w:firstLine="720"/>
      </w:pPr>
      <w:r w:rsidRPr="00677D52">
        <w:t>Radiological Source Terms and Accident Chemistry</w:t>
      </w:r>
    </w:p>
    <w:p w14:paraId="5F3F4AB7" w14:textId="29C5C1F8" w:rsidR="0006788E" w:rsidRPr="00677D52" w:rsidRDefault="0006788E" w:rsidP="00E34B72">
      <w:pPr>
        <w:pStyle w:val="TSNumberedParagraph11"/>
        <w:tabs>
          <w:tab w:val="clear" w:pos="-31680"/>
        </w:tabs>
      </w:pPr>
      <w:r w:rsidRPr="00677D52">
        <w:t xml:space="preserve">Chemistry also plays an important </w:t>
      </w:r>
      <w:r w:rsidR="00E61A14" w:rsidRPr="00677D52">
        <w:t>role in the analysis of the radiological consequences of postulated accident scenarios for a nuclear facility</w:t>
      </w:r>
      <w:r w:rsidR="00160F32" w:rsidRPr="00677D52">
        <w:t xml:space="preserve">. It </w:t>
      </w:r>
      <w:r w:rsidRPr="00677D52">
        <w:t>can influe</w:t>
      </w:r>
      <w:r w:rsidR="00E61A14" w:rsidRPr="00677D52">
        <w:t xml:space="preserve">nce the progression of an </w:t>
      </w:r>
      <w:r w:rsidRPr="00677D52">
        <w:t>accident by determining</w:t>
      </w:r>
      <w:r w:rsidR="000D3AE8" w:rsidRPr="00677D52">
        <w:t xml:space="preserve"> the phases of materials, their </w:t>
      </w:r>
      <w:r w:rsidRPr="00677D52">
        <w:t>physical and chemi</w:t>
      </w:r>
      <w:r w:rsidR="000D3AE8" w:rsidRPr="00677D52">
        <w:t xml:space="preserve">cal properties, </w:t>
      </w:r>
      <w:r w:rsidR="00921D3A" w:rsidRPr="00677D52">
        <w:t>and</w:t>
      </w:r>
      <w:r w:rsidR="00E61A14" w:rsidRPr="00677D52">
        <w:t xml:space="preserve"> heat transfer processes.</w:t>
      </w:r>
      <w:r w:rsidRPr="00677D52">
        <w:t xml:space="preserve"> </w:t>
      </w:r>
      <w:r w:rsidR="00E34B72" w:rsidRPr="00677D52">
        <w:t>In addition, a</w:t>
      </w:r>
      <w:r w:rsidR="000D3AE8" w:rsidRPr="00677D52">
        <w:t>ppropriate estimation of radio</w:t>
      </w:r>
      <w:r w:rsidR="00BC5039" w:rsidRPr="00677D52">
        <w:t xml:space="preserve">logical consequences is </w:t>
      </w:r>
      <w:r w:rsidR="000D3AE8" w:rsidRPr="00677D52">
        <w:t xml:space="preserve">a </w:t>
      </w:r>
      <w:r w:rsidR="00BF2BC0" w:rsidRPr="00677D52">
        <w:t>fundamental</w:t>
      </w:r>
      <w:r w:rsidR="000D3AE8" w:rsidRPr="00677D52">
        <w:t xml:space="preserve"> part of</w:t>
      </w:r>
      <w:r w:rsidR="00BF2BC0" w:rsidRPr="00677D52">
        <w:t xml:space="preserve"> justifying the safety o</w:t>
      </w:r>
      <w:r w:rsidR="00BC5039" w:rsidRPr="00677D52">
        <w:t>f any nuclear facility</w:t>
      </w:r>
      <w:r w:rsidR="00E34B72" w:rsidRPr="00677D52">
        <w:t xml:space="preserve">, </w:t>
      </w:r>
      <w:r w:rsidR="00BC5039" w:rsidRPr="00677D52">
        <w:t xml:space="preserve">and therefore the ability to meet some of the relevant numerical </w:t>
      </w:r>
      <w:r w:rsidR="00E34B72" w:rsidRPr="00677D52">
        <w:t>targets presented</w:t>
      </w:r>
      <w:r w:rsidR="00BC5039" w:rsidRPr="00677D52">
        <w:t xml:space="preserve"> in the SAPs</w:t>
      </w:r>
      <w:r w:rsidR="002136BC">
        <w:t xml:space="preserve"> </w:t>
      </w:r>
      <w:sdt>
        <w:sdtPr>
          <w:id w:val="1347757404"/>
          <w:citation/>
        </w:sdtPr>
        <w:sdtEndPr/>
        <w:sdtContent>
          <w:r w:rsidR="00E07D2B">
            <w:fldChar w:fldCharType="begin"/>
          </w:r>
          <w:r w:rsidR="00E07D2B">
            <w:instrText xml:space="preserve"> CITATION SAPs \l 2057 </w:instrText>
          </w:r>
          <w:r w:rsidR="00E07D2B">
            <w:fldChar w:fldCharType="separate"/>
          </w:r>
          <w:r w:rsidR="00E07D2B">
            <w:rPr>
              <w:noProof/>
            </w:rPr>
            <w:t>[1]</w:t>
          </w:r>
          <w:r w:rsidR="00E07D2B">
            <w:fldChar w:fldCharType="end"/>
          </w:r>
        </w:sdtContent>
      </w:sdt>
      <w:r w:rsidR="00515007">
        <w:t>.</w:t>
      </w:r>
      <w:r w:rsidR="00BC5039" w:rsidRPr="00677D52">
        <w:t xml:space="preserve"> </w:t>
      </w:r>
    </w:p>
    <w:p w14:paraId="5F3F4AB8" w14:textId="310E3F56" w:rsidR="00160F32" w:rsidRPr="00677D52" w:rsidRDefault="00160F32" w:rsidP="0002758C">
      <w:pPr>
        <w:pStyle w:val="TSNumberedParagraph11"/>
      </w:pPr>
      <w:r w:rsidRPr="00677D52">
        <w:t xml:space="preserve">For </w:t>
      </w:r>
      <w:r w:rsidR="00E34B72" w:rsidRPr="00677D52">
        <w:t>reactor facilities</w:t>
      </w:r>
      <w:r w:rsidRPr="00677D52">
        <w:t>, losing the ability to cool the nuclear fuel contained in the core can lead to fuel failure, releasing fission products (FPs) to the Reactor Coolant System (RCS) and for the most severe accident scenarios, eventual loss of FPs from the RCS into the containment, which may then leak to the environment</w:t>
      </w:r>
      <w:r w:rsidR="00AC103A">
        <w:t>.</w:t>
      </w:r>
      <w:r w:rsidR="00AC103A" w:rsidRPr="00677D52">
        <w:t xml:space="preserve"> </w:t>
      </w:r>
      <w:r w:rsidR="00FC4A4A">
        <w:t xml:space="preserve">These accident scenarios could </w:t>
      </w:r>
      <w:r w:rsidRPr="00677D52">
        <w:t xml:space="preserve">result in potential radiological consequences </w:t>
      </w:r>
      <w:r w:rsidR="0007177F">
        <w:t xml:space="preserve">to workers and </w:t>
      </w:r>
      <w:r w:rsidRPr="00677D52">
        <w:t>to members of the public.</w:t>
      </w:r>
      <w:r w:rsidR="00E34B72" w:rsidRPr="00677D52">
        <w:t xml:space="preserve"> Similar effects might also be taken into consideration in other cases. </w:t>
      </w:r>
      <w:r w:rsidRPr="00677D52">
        <w:t xml:space="preserve"> </w:t>
      </w:r>
    </w:p>
    <w:p w14:paraId="5F3F4AB9" w14:textId="0AA09DE9" w:rsidR="00160F32" w:rsidRPr="00677D52" w:rsidRDefault="00E34B72" w:rsidP="0002758C">
      <w:pPr>
        <w:pStyle w:val="TSNumberedParagraph11"/>
      </w:pPr>
      <w:r w:rsidRPr="00677D52">
        <w:t xml:space="preserve">In safety cases it is common to make assumptions about the chemical and physical </w:t>
      </w:r>
      <w:r w:rsidR="00835BAB">
        <w:t>processes that may take place. T</w:t>
      </w:r>
      <w:r w:rsidRPr="00677D52">
        <w:t xml:space="preserve">hey </w:t>
      </w:r>
      <w:r w:rsidR="009B0494" w:rsidRPr="00677D52">
        <w:t>the</w:t>
      </w:r>
      <w:r w:rsidRPr="00677D52">
        <w:t xml:space="preserve">refore have a </w:t>
      </w:r>
      <w:r w:rsidR="009B0494" w:rsidRPr="00677D52">
        <w:t xml:space="preserve">role to play in </w:t>
      </w:r>
      <w:r w:rsidR="00A20877" w:rsidRPr="00677D52">
        <w:t>estimating radiological consequences following accidents</w:t>
      </w:r>
      <w:r w:rsidR="00253ECF" w:rsidRPr="00677D52">
        <w:t>,</w:t>
      </w:r>
      <w:r w:rsidR="001E3265" w:rsidRPr="00677D52">
        <w:t xml:space="preserve"> and ultimately</w:t>
      </w:r>
      <w:r w:rsidR="00253ECF" w:rsidRPr="00677D52">
        <w:t xml:space="preserve"> in</w:t>
      </w:r>
      <w:r w:rsidR="001E3265" w:rsidRPr="00677D52">
        <w:t xml:space="preserve"> ONR’s judgement on the</w:t>
      </w:r>
      <w:r w:rsidR="00582CC3" w:rsidRPr="00677D52">
        <w:t>ir acceptability</w:t>
      </w:r>
      <w:r w:rsidR="00A20877" w:rsidRPr="00677D52">
        <w:t>.</w:t>
      </w:r>
      <w:r w:rsidR="00BF2BC0" w:rsidRPr="00677D52">
        <w:t xml:space="preserve"> This means that for some safety case assessments</w:t>
      </w:r>
      <w:r w:rsidR="000D3AE8" w:rsidRPr="00677D52">
        <w:t>, consideration of how chemistry effects are dealt with and/or the specific claims being made on chemistry phenomena, may be an important input into the work of fault studies (including severe accidents) and/or PSA in</w:t>
      </w:r>
      <w:r w:rsidRPr="00677D52">
        <w:t>spectors</w:t>
      </w:r>
      <w:r w:rsidR="00931A53" w:rsidRPr="00677D52">
        <w:t xml:space="preserve">. </w:t>
      </w:r>
      <w:r w:rsidR="00A20877" w:rsidRPr="00677D52">
        <w:t xml:space="preserve"> </w:t>
      </w:r>
    </w:p>
    <w:p w14:paraId="5F3F4ABA" w14:textId="77777777" w:rsidR="0006788E" w:rsidRPr="00677D52" w:rsidRDefault="00E1197D" w:rsidP="00384AB8">
      <w:pPr>
        <w:pStyle w:val="TSNumberedParagraph11"/>
      </w:pPr>
      <w:r w:rsidRPr="00677D52">
        <w:t xml:space="preserve">The chemical and physical processes which may occur under accident conditions </w:t>
      </w:r>
      <w:r>
        <w:t>represent</w:t>
      </w:r>
      <w:r w:rsidRPr="00677D52">
        <w:t xml:space="preserve"> a complicated topic. </w:t>
      </w:r>
      <w:r w:rsidR="00A20877" w:rsidRPr="00677D52">
        <w:t>Appendix</w:t>
      </w:r>
      <w:r w:rsidR="00A6039A" w:rsidRPr="00677D52">
        <w:t xml:space="preserve"> </w:t>
      </w:r>
      <w:r w:rsidR="00253ECF" w:rsidRPr="00677D52">
        <w:t>2</w:t>
      </w:r>
      <w:r w:rsidR="00253ECF" w:rsidRPr="00677D52">
        <w:rPr>
          <w:b/>
        </w:rPr>
        <w:t xml:space="preserve"> </w:t>
      </w:r>
      <w:r w:rsidR="00A20877" w:rsidRPr="00677D52">
        <w:t>pr</w:t>
      </w:r>
      <w:r w:rsidR="00384AB8">
        <w:t xml:space="preserve">ovides further technical information </w:t>
      </w:r>
      <w:r w:rsidR="00A20877" w:rsidRPr="00677D52">
        <w:t xml:space="preserve">on </w:t>
      </w:r>
      <w:r w:rsidR="00E34B72" w:rsidRPr="00677D52">
        <w:t xml:space="preserve">some of </w:t>
      </w:r>
      <w:r w:rsidR="00A20877" w:rsidRPr="00677D52">
        <w:t>the main phenomena</w:t>
      </w:r>
      <w:r w:rsidR="00253ECF" w:rsidRPr="00677D52">
        <w:t xml:space="preserve">, </w:t>
      </w:r>
      <w:r w:rsidR="008D44AC" w:rsidRPr="00677D52">
        <w:t xml:space="preserve">which are </w:t>
      </w:r>
      <w:r w:rsidR="00253ECF" w:rsidRPr="00677D52">
        <w:t>dependent</w:t>
      </w:r>
      <w:r w:rsidR="00A20877" w:rsidRPr="00677D52">
        <w:t xml:space="preserve"> on facility design and the accident scenario under c</w:t>
      </w:r>
      <w:r w:rsidR="00921D3A" w:rsidRPr="00677D52">
        <w:t>onsideration</w:t>
      </w:r>
      <w:r w:rsidR="00253ECF" w:rsidRPr="00677D52">
        <w:t xml:space="preserve">, and </w:t>
      </w:r>
      <w:r w:rsidR="00921D3A" w:rsidRPr="00677D52">
        <w:t xml:space="preserve">which may be </w:t>
      </w:r>
      <w:r w:rsidR="00A20877" w:rsidRPr="00677D52">
        <w:t>considered</w:t>
      </w:r>
      <w:r w:rsidR="008D44AC" w:rsidRPr="00677D52">
        <w:t xml:space="preserve"> in the </w:t>
      </w:r>
      <w:r w:rsidR="00C56DBA" w:rsidRPr="00677D52">
        <w:t xml:space="preserve">safety case when assessing </w:t>
      </w:r>
      <w:r w:rsidR="00C60D7D">
        <w:t>such</w:t>
      </w:r>
      <w:r w:rsidR="00C60D7D" w:rsidRPr="00677D52">
        <w:t xml:space="preserve"> </w:t>
      </w:r>
      <w:r w:rsidR="00835BAB">
        <w:t>behaviour. The a</w:t>
      </w:r>
      <w:r w:rsidR="00324C46" w:rsidRPr="00677D52">
        <w:t>ppendix provides specific details on iodine chem</w:t>
      </w:r>
      <w:r w:rsidR="00835BAB">
        <w:t xml:space="preserve">istry phenomena. This is because </w:t>
      </w:r>
      <w:r w:rsidR="00324C46" w:rsidRPr="00677D52">
        <w:t>iodine</w:t>
      </w:r>
      <w:r w:rsidR="0054258D" w:rsidRPr="00677D52">
        <w:t xml:space="preserve"> is one of a small number of radioisotopes</w:t>
      </w:r>
      <w:r w:rsidR="00324C46" w:rsidRPr="00677D52">
        <w:t xml:space="preserve"> with the potential to exist in volatile forms at relativel</w:t>
      </w:r>
      <w:r w:rsidR="00E34B72" w:rsidRPr="00677D52">
        <w:t>y low temperatures</w:t>
      </w:r>
      <w:r w:rsidR="00C56DBA" w:rsidRPr="00677D52">
        <w:t xml:space="preserve">, has an appreciable fission </w:t>
      </w:r>
      <w:r w:rsidR="00835BAB">
        <w:t xml:space="preserve">yield, </w:t>
      </w:r>
      <w:r w:rsidR="00C56DBA" w:rsidRPr="00677D52">
        <w:t xml:space="preserve">and </w:t>
      </w:r>
      <w:r w:rsidR="00677D52" w:rsidRPr="00677D52">
        <w:t>is particularly radio-toxic and biologically active</w:t>
      </w:r>
      <w:r w:rsidR="00835BAB">
        <w:t xml:space="preserve">, and </w:t>
      </w:r>
      <w:r w:rsidR="00E466FB">
        <w:t xml:space="preserve">as such </w:t>
      </w:r>
      <w:r w:rsidR="00C60D7D">
        <w:t xml:space="preserve">is a key consideration in </w:t>
      </w:r>
      <w:r w:rsidR="00835BAB">
        <w:t xml:space="preserve">estimating radiological </w:t>
      </w:r>
      <w:r w:rsidR="00C60D7D">
        <w:t>consequences to members of the public.</w:t>
      </w:r>
      <w:r w:rsidR="00A20877" w:rsidRPr="00677D52">
        <w:t xml:space="preserve"> </w:t>
      </w:r>
    </w:p>
    <w:p w14:paraId="5F3F4ABB" w14:textId="77777777" w:rsidR="00E61A14" w:rsidRPr="00677D52" w:rsidRDefault="00E61A14" w:rsidP="0002758C">
      <w:pPr>
        <w:pStyle w:val="TSNumberedParagraph11"/>
      </w:pPr>
      <w:r w:rsidRPr="00677D52">
        <w:t>The inspe</w:t>
      </w:r>
      <w:r w:rsidR="0054258D" w:rsidRPr="00677D52">
        <w:t xml:space="preserve">ctor may consider if the following factors </w:t>
      </w:r>
      <w:r w:rsidRPr="00677D52">
        <w:t>have been adequately addressed in the design or in the licensee’s arrangements for addressing radiological source terms and accident chemistry</w:t>
      </w:r>
      <w:r w:rsidR="00253ECF" w:rsidRPr="00677D52">
        <w:t>. The inspector should also be mindful of the guidance provided by the</w:t>
      </w:r>
      <w:r w:rsidR="00A87C21" w:rsidRPr="00677D52">
        <w:t xml:space="preserve"> fault studies, assurance</w:t>
      </w:r>
      <w:r w:rsidR="000D3AE8" w:rsidRPr="00677D52">
        <w:t xml:space="preserve"> of validity of data and models </w:t>
      </w:r>
      <w:r w:rsidR="00A87C21" w:rsidRPr="00677D52">
        <w:t>(</w:t>
      </w:r>
      <w:r w:rsidR="00253ECF" w:rsidRPr="00677D52">
        <w:t>AV</w:t>
      </w:r>
      <w:r w:rsidR="00A87C21" w:rsidRPr="00677D52">
        <w:t>), series of</w:t>
      </w:r>
      <w:r w:rsidR="00253ECF" w:rsidRPr="00677D52">
        <w:t xml:space="preserve"> SAPs</w:t>
      </w:r>
      <w:r w:rsidR="00931A53" w:rsidRPr="00677D52">
        <w:t>:</w:t>
      </w:r>
    </w:p>
    <w:p w14:paraId="5F3F4ABC" w14:textId="77777777" w:rsidR="00E61A14" w:rsidRPr="00582CC3" w:rsidRDefault="008D44AC" w:rsidP="0054258D">
      <w:pPr>
        <w:pStyle w:val="TSBullet1Square"/>
      </w:pPr>
      <w:r w:rsidRPr="008D44AC">
        <w:t>R</w:t>
      </w:r>
      <w:r w:rsidR="00E61A14" w:rsidRPr="008D44AC">
        <w:t>adionuclides are often grouped together where they have similar chemical properties such as volatility and solubility.</w:t>
      </w:r>
      <w:r w:rsidR="00A20877" w:rsidRPr="008D44AC">
        <w:t xml:space="preserve"> Assumptions made on these factors influence the</w:t>
      </w:r>
      <w:r w:rsidRPr="008D44AC">
        <w:t>ir</w:t>
      </w:r>
      <w:r w:rsidR="00A20877" w:rsidRPr="008D44AC">
        <w:t xml:space="preserve"> assumed behaviour </w:t>
      </w:r>
      <w:r w:rsidRPr="008D44AC">
        <w:t xml:space="preserve">in accident scenarios. </w:t>
      </w:r>
      <w:r w:rsidR="00E61A14" w:rsidRPr="008D44AC">
        <w:t>An</w:t>
      </w:r>
      <w:r w:rsidRPr="008D44AC">
        <w:t xml:space="preserve">y such groupings should be justified as being </w:t>
      </w:r>
      <w:r w:rsidRPr="00582CC3">
        <w:t xml:space="preserve">appropriate to </w:t>
      </w:r>
      <w:r w:rsidR="00E61A14" w:rsidRPr="00582CC3">
        <w:t>the design and accident s</w:t>
      </w:r>
      <w:r w:rsidRPr="00582CC3">
        <w:t>cenario</w:t>
      </w:r>
      <w:r w:rsidR="00931A53">
        <w:t xml:space="preserve"> under consideration</w:t>
      </w:r>
      <w:r w:rsidR="000D3AE8">
        <w:t>.</w:t>
      </w:r>
    </w:p>
    <w:p w14:paraId="5F3F4ABD" w14:textId="77777777" w:rsidR="00AA402F" w:rsidRPr="00582CC3" w:rsidRDefault="00AA402F" w:rsidP="0054258D">
      <w:pPr>
        <w:pStyle w:val="TSBullet1Square"/>
      </w:pPr>
      <w:r w:rsidRPr="00582CC3">
        <w:t>In calculations, the assumed behaviour of radionuclides is often quantified by the use of release fractions (RFs) an</w:t>
      </w:r>
      <w:r w:rsidR="00CA3ED2">
        <w:t>d decontamination factors (DFs):</w:t>
      </w:r>
    </w:p>
    <w:p w14:paraId="5F3F4ABE" w14:textId="77777777" w:rsidR="00AA402F" w:rsidRPr="00450345" w:rsidRDefault="00010FB5" w:rsidP="0054258D">
      <w:pPr>
        <w:pStyle w:val="TSBullet2Circle"/>
      </w:pPr>
      <w:r>
        <w:t>t</w:t>
      </w:r>
      <w:r w:rsidR="00A92DE7" w:rsidRPr="00450345">
        <w:t xml:space="preserve">he </w:t>
      </w:r>
      <w:r w:rsidR="00AA402F" w:rsidRPr="00450345">
        <w:t>RF is the amount of release of a particular radionuclide with time</w:t>
      </w:r>
      <w:r w:rsidR="00591713">
        <w:t>;</w:t>
      </w:r>
      <w:r w:rsidR="00835BAB">
        <w:t xml:space="preserve"> and</w:t>
      </w:r>
    </w:p>
    <w:p w14:paraId="5F3F4ABF" w14:textId="77777777" w:rsidR="00A728B6" w:rsidRPr="00A92DE7" w:rsidRDefault="00010FB5" w:rsidP="00D671EA">
      <w:pPr>
        <w:pStyle w:val="TSBullet2Circle"/>
      </w:pPr>
      <w:r>
        <w:t>t</w:t>
      </w:r>
      <w:r w:rsidR="00A92DE7" w:rsidRPr="00450345">
        <w:t xml:space="preserve">he </w:t>
      </w:r>
      <w:r w:rsidR="00AA402F" w:rsidRPr="00450345">
        <w:t xml:space="preserve">DF is the proportion of the original amount of a released radionuclide </w:t>
      </w:r>
      <w:r w:rsidR="00A92DE7">
        <w:t>that</w:t>
      </w:r>
      <w:r w:rsidR="00A92DE7" w:rsidRPr="00450345">
        <w:t xml:space="preserve"> </w:t>
      </w:r>
      <w:r w:rsidR="00AA402F" w:rsidRPr="00450345">
        <w:t>is removed from the</w:t>
      </w:r>
      <w:r w:rsidR="0007177F">
        <w:t xml:space="preserve"> local plant</w:t>
      </w:r>
      <w:r w:rsidR="00122B31">
        <w:t>/site</w:t>
      </w:r>
      <w:r w:rsidR="00AA402F" w:rsidRPr="00450345">
        <w:t xml:space="preserve"> ‘environment’ and assumed unavailable for release</w:t>
      </w:r>
      <w:r w:rsidR="00A92DE7">
        <w:t>.</w:t>
      </w:r>
      <w:r w:rsidR="00A728B6">
        <w:t xml:space="preserve"> </w:t>
      </w:r>
    </w:p>
    <w:p w14:paraId="5F3F4AC0" w14:textId="77777777" w:rsidR="00450345" w:rsidRDefault="00450345" w:rsidP="0054258D">
      <w:pPr>
        <w:pStyle w:val="TSBullet1Square"/>
      </w:pPr>
      <w:r w:rsidRPr="00450345">
        <w:t xml:space="preserve">RFs and DFs </w:t>
      </w:r>
      <w:r w:rsidR="00365376">
        <w:t>a</w:t>
      </w:r>
      <w:r w:rsidR="00533390">
        <w:t>re highly specific to the type</w:t>
      </w:r>
      <w:r w:rsidR="00835BAB">
        <w:t>,</w:t>
      </w:r>
      <w:r w:rsidR="00533390">
        <w:t xml:space="preserve"> </w:t>
      </w:r>
      <w:r w:rsidR="00835BAB">
        <w:t xml:space="preserve">and design of, </w:t>
      </w:r>
      <w:r w:rsidRPr="00450345">
        <w:t>nuclear facility</w:t>
      </w:r>
      <w:r w:rsidR="00835BAB">
        <w:t xml:space="preserve"> </w:t>
      </w:r>
      <w:r>
        <w:t xml:space="preserve">and </w:t>
      </w:r>
      <w:r w:rsidRPr="00450345">
        <w:t>accident</w:t>
      </w:r>
      <w:r w:rsidR="00835BAB">
        <w:t xml:space="preserve"> scenario under consideration. T</w:t>
      </w:r>
      <w:r w:rsidRPr="00450345">
        <w:t xml:space="preserve">here should </w:t>
      </w:r>
      <w:r w:rsidR="00365376">
        <w:t xml:space="preserve">therefore </w:t>
      </w:r>
      <w:r w:rsidRPr="00450345">
        <w:t xml:space="preserve">be a </w:t>
      </w:r>
      <w:r w:rsidR="00365376">
        <w:t xml:space="preserve">clear </w:t>
      </w:r>
      <w:r w:rsidRPr="00450345">
        <w:t xml:space="preserve">justification </w:t>
      </w:r>
      <w:r w:rsidR="00365376">
        <w:t>of</w:t>
      </w:r>
      <w:r>
        <w:t xml:space="preserve"> their applicability</w:t>
      </w:r>
      <w:r w:rsidRPr="00450345">
        <w:t>.</w:t>
      </w:r>
      <w:r w:rsidR="00A728B6">
        <w:t xml:space="preserve">  It should also be noted that chemical processes may lead to </w:t>
      </w:r>
      <w:r w:rsidR="00835BAB">
        <w:t>radio</w:t>
      </w:r>
      <w:r w:rsidR="00A728B6">
        <w:t>activity be</w:t>
      </w:r>
      <w:r w:rsidR="00835BAB">
        <w:t>ing displaced or transported, therefore</w:t>
      </w:r>
      <w:r w:rsidR="00A728B6">
        <w:t xml:space="preserve"> it may be necessary to consider this in terms of </w:t>
      </w:r>
      <w:r w:rsidR="00835BAB">
        <w:t xml:space="preserve">plant </w:t>
      </w:r>
      <w:r w:rsidR="00A728B6">
        <w:t>operability &amp; fault progression.</w:t>
      </w:r>
    </w:p>
    <w:p w14:paraId="5F3F4AC1" w14:textId="77777777" w:rsidR="006F4F7A" w:rsidRPr="0048231F" w:rsidRDefault="00FF3BF0" w:rsidP="0054258D">
      <w:pPr>
        <w:pStyle w:val="TSBullet1Square"/>
      </w:pPr>
      <w:r w:rsidRPr="0048231F">
        <w:t xml:space="preserve">Safety </w:t>
      </w:r>
      <w:r w:rsidR="0054258D">
        <w:t xml:space="preserve">analyses </w:t>
      </w:r>
      <w:r w:rsidR="00931A53">
        <w:t xml:space="preserve">often </w:t>
      </w:r>
      <w:r w:rsidRPr="0048231F">
        <w:t>use</w:t>
      </w:r>
      <w:r w:rsidR="00931A53">
        <w:t xml:space="preserve"> </w:t>
      </w:r>
      <w:r w:rsidRPr="0048231F">
        <w:t xml:space="preserve">sophisticated </w:t>
      </w:r>
      <w:r w:rsidR="00450345" w:rsidRPr="0048231F">
        <w:t>computer codes</w:t>
      </w:r>
      <w:r w:rsidRPr="0048231F">
        <w:t>.</w:t>
      </w:r>
      <w:r w:rsidR="006F4F7A" w:rsidRPr="0048231F">
        <w:t xml:space="preserve"> The codes incorporate models of chemistry phenomena to a varying degree of sophistication, based on knowledge gained from experimental program</w:t>
      </w:r>
      <w:r w:rsidR="00CA3ED2">
        <w:t>mes</w:t>
      </w:r>
      <w:r w:rsidR="006F4F7A" w:rsidRPr="0048231F">
        <w:t xml:space="preserve">. Codes also </w:t>
      </w:r>
      <w:r w:rsidR="00835BAB">
        <w:t>require varying degrees of user-</w:t>
      </w:r>
      <w:r w:rsidR="006F4F7A" w:rsidRPr="0048231F">
        <w:t>defined inputs. The inspector may consider:</w:t>
      </w:r>
    </w:p>
    <w:p w14:paraId="5F3F4AC2" w14:textId="77777777" w:rsidR="006F4F7A" w:rsidRPr="0048231F" w:rsidRDefault="00A8002E" w:rsidP="0054258D">
      <w:pPr>
        <w:pStyle w:val="TSBullet2Circle"/>
      </w:pPr>
      <w:r>
        <w:t>T</w:t>
      </w:r>
      <w:r w:rsidR="006F4F7A" w:rsidRPr="0048231F">
        <w:t xml:space="preserve">he level </w:t>
      </w:r>
      <w:r w:rsidR="00F82932">
        <w:t xml:space="preserve">of sophistication with which the model describes radionuclide behaviour. Different codes attempt to model </w:t>
      </w:r>
      <w:r w:rsidR="0048231F" w:rsidRPr="0048231F">
        <w:t xml:space="preserve">chemistry phenomena as part of a more detailed study, </w:t>
      </w:r>
      <w:r w:rsidR="00A92DE7" w:rsidRPr="0048231F">
        <w:t>whereas</w:t>
      </w:r>
      <w:r w:rsidR="0048231F" w:rsidRPr="0048231F">
        <w:t xml:space="preserve"> others treat chemistry using a limited, but representative number </w:t>
      </w:r>
      <w:r w:rsidR="00F82932">
        <w:t>of phenomena. A judgement on the</w:t>
      </w:r>
      <w:r w:rsidR="0048231F" w:rsidRPr="0048231F">
        <w:t xml:space="preserve"> significance</w:t>
      </w:r>
      <w:r w:rsidR="00F82932">
        <w:t xml:space="preserve"> of each </w:t>
      </w:r>
      <w:r w:rsidR="00EA1BDF">
        <w:t>phenomenon</w:t>
      </w:r>
      <w:r w:rsidR="0048231F" w:rsidRPr="0048231F">
        <w:t xml:space="preserve"> will need to be made on a case-by-case basis</w:t>
      </w:r>
      <w:r w:rsidR="00A92DE7">
        <w:t>.</w:t>
      </w:r>
    </w:p>
    <w:p w14:paraId="5F3F4AC3" w14:textId="77777777" w:rsidR="006F4F7A" w:rsidRPr="0048231F" w:rsidRDefault="00A8002E" w:rsidP="0054258D">
      <w:pPr>
        <w:pStyle w:val="TSBullet2Circle"/>
      </w:pPr>
      <w:r>
        <w:t>W</w:t>
      </w:r>
      <w:r w:rsidR="006F4F7A" w:rsidRPr="0048231F">
        <w:t xml:space="preserve">hether any </w:t>
      </w:r>
      <w:r w:rsidR="00A92DE7">
        <w:t>‘</w:t>
      </w:r>
      <w:r w:rsidR="006F4F7A" w:rsidRPr="0048231F">
        <w:t>user effects</w:t>
      </w:r>
      <w:r w:rsidR="00A92DE7">
        <w:t>’</w:t>
      </w:r>
      <w:r w:rsidR="006F4F7A" w:rsidRPr="0048231F">
        <w:t xml:space="preserve"> for the chemistry phenomena exist</w:t>
      </w:r>
      <w:r w:rsidR="00A92DE7">
        <w:t xml:space="preserve"> - w</w:t>
      </w:r>
      <w:r w:rsidR="00533390">
        <w:t>here user defined inputs are required, c</w:t>
      </w:r>
      <w:r w:rsidR="006F4F7A" w:rsidRPr="0048231F">
        <w:t>ode users may make use of different experimental values or engineering ju</w:t>
      </w:r>
      <w:r w:rsidR="0048231F" w:rsidRPr="0048231F">
        <w:t>dgement, which</w:t>
      </w:r>
      <w:r w:rsidR="00533390">
        <w:t xml:space="preserve"> may</w:t>
      </w:r>
      <w:r w:rsidR="0048231F" w:rsidRPr="0048231F">
        <w:t xml:space="preserve"> impact on </w:t>
      </w:r>
      <w:r w:rsidR="0048231F">
        <w:t xml:space="preserve">the </w:t>
      </w:r>
      <w:r w:rsidR="00533390">
        <w:t xml:space="preserve">overall </w:t>
      </w:r>
      <w:r w:rsidR="0048231F">
        <w:t xml:space="preserve">calculation </w:t>
      </w:r>
      <w:r w:rsidR="006F4F7A" w:rsidRPr="0048231F">
        <w:t>result</w:t>
      </w:r>
      <w:r w:rsidR="00A92DE7">
        <w:t>.</w:t>
      </w:r>
    </w:p>
    <w:p w14:paraId="5F3F4AC4" w14:textId="77777777" w:rsidR="0054258D" w:rsidRPr="00A92DE7" w:rsidRDefault="00A8002E" w:rsidP="00F82932">
      <w:pPr>
        <w:pStyle w:val="TSBullet2Circle"/>
        <w:tabs>
          <w:tab w:val="clear" w:pos="-31680"/>
        </w:tabs>
      </w:pPr>
      <w:r>
        <w:t>T</w:t>
      </w:r>
      <w:r w:rsidR="006F4F7A" w:rsidRPr="0048231F">
        <w:t xml:space="preserve">he validation status of the calculation tools </w:t>
      </w:r>
      <w:r w:rsidR="0048231F" w:rsidRPr="0048231F">
        <w:t>used for chemistry phenomena.</w:t>
      </w:r>
      <w:r w:rsidR="00835BAB">
        <w:t xml:space="preserve"> In particular, </w:t>
      </w:r>
      <w:r w:rsidR="00F82932">
        <w:t xml:space="preserve">whether they are relevant </w:t>
      </w:r>
      <w:r w:rsidR="003A34A8">
        <w:t xml:space="preserve">to the analysis under consideration. </w:t>
      </w:r>
    </w:p>
    <w:p w14:paraId="5F3F4AC5" w14:textId="77777777" w:rsidR="006F4F7A" w:rsidRPr="0007005A" w:rsidRDefault="005C44FE" w:rsidP="007B7A10">
      <w:pPr>
        <w:pStyle w:val="TSBullet1Square"/>
      </w:pPr>
      <w:r>
        <w:t>The inspector may consider w</w:t>
      </w:r>
      <w:r w:rsidR="006F4F7A" w:rsidRPr="0056503F">
        <w:t>het</w:t>
      </w:r>
      <w:r w:rsidR="00CA3ED2">
        <w:t>her the chemistry phenomena included</w:t>
      </w:r>
      <w:r w:rsidR="006F4F7A" w:rsidRPr="0056503F">
        <w:t xml:space="preserve"> in the analysis of accident source terms are claimed as being representative of realistic behaviour </w:t>
      </w:r>
      <w:r w:rsidR="00E1197D">
        <w:t>i.e.</w:t>
      </w:r>
      <w:r w:rsidR="00B00C25" w:rsidRPr="005C44FE">
        <w:rPr>
          <w:i/>
        </w:rPr>
        <w:t xml:space="preserve"> </w:t>
      </w:r>
      <w:r w:rsidR="006F4F7A" w:rsidRPr="0056503F">
        <w:t xml:space="preserve">best </w:t>
      </w:r>
      <w:r w:rsidR="00E25996">
        <w:t xml:space="preserve">estimate or more conservative. </w:t>
      </w:r>
      <w:r w:rsidR="006F4F7A" w:rsidRPr="0056503F">
        <w:t>Regardless of what is claimed, there should be an adequate justification that the chemistry phenomena are applicable to the specific facility design and are representative of the postulated</w:t>
      </w:r>
      <w:r w:rsidR="003A34A8">
        <w:t xml:space="preserve"> accident sequences. Part of this</w:t>
      </w:r>
      <w:r w:rsidR="006F4F7A" w:rsidRPr="0056503F">
        <w:t xml:space="preserve"> justification </w:t>
      </w:r>
      <w:r w:rsidR="006F4F7A" w:rsidRPr="0007005A">
        <w:t>may include the provision o</w:t>
      </w:r>
      <w:r w:rsidR="00931A53" w:rsidRPr="0007005A">
        <w:t>f adequate sensitivity analyses</w:t>
      </w:r>
      <w:r w:rsidR="003A34A8">
        <w:t xml:space="preserve"> (SAP AV.6)</w:t>
      </w:r>
      <w:r w:rsidR="00931A53" w:rsidRPr="0007005A">
        <w:t>.</w:t>
      </w:r>
      <w:r w:rsidR="006F4F7A" w:rsidRPr="0007005A">
        <w:t xml:space="preserve"> </w:t>
      </w:r>
    </w:p>
    <w:p w14:paraId="5F3F4AC6" w14:textId="77777777" w:rsidR="00931A53" w:rsidRPr="0007005A" w:rsidRDefault="00931A53" w:rsidP="00F82932">
      <w:pPr>
        <w:pStyle w:val="TSBullet1Square"/>
      </w:pPr>
      <w:r w:rsidRPr="0007005A">
        <w:t xml:space="preserve">The inspector may consider the degree to which the safety case makes claims on the success of </w:t>
      </w:r>
      <w:r w:rsidR="00010FB5" w:rsidRPr="0007005A">
        <w:t xml:space="preserve">any </w:t>
      </w:r>
      <w:r w:rsidR="0007005A">
        <w:t xml:space="preserve">purposeful (either </w:t>
      </w:r>
      <w:r w:rsidRPr="0007005A">
        <w:t xml:space="preserve">active </w:t>
      </w:r>
      <w:r w:rsidR="0007005A">
        <w:t xml:space="preserve">or passive) </w:t>
      </w:r>
      <w:r w:rsidRPr="0007005A">
        <w:t>chemistry control measures to mitigate radiological conseque</w:t>
      </w:r>
      <w:r w:rsidR="0036094C" w:rsidRPr="0007005A">
        <w:t xml:space="preserve">nces. For example, some reactor facilities aim to purposefully control </w:t>
      </w:r>
      <w:r w:rsidR="00010FB5" w:rsidRPr="0007005A">
        <w:t xml:space="preserve">(buffer) </w:t>
      </w:r>
      <w:r w:rsidR="0036094C" w:rsidRPr="0007005A">
        <w:t xml:space="preserve">the pH of in-containment water sources to mitigate the </w:t>
      </w:r>
      <w:r w:rsidR="00010FB5" w:rsidRPr="0007005A">
        <w:t xml:space="preserve">long-term </w:t>
      </w:r>
      <w:r w:rsidR="0036094C" w:rsidRPr="0007005A">
        <w:t>release of iodine during some accident scenarios.</w:t>
      </w:r>
      <w:r w:rsidR="00010FB5" w:rsidRPr="0007005A">
        <w:t xml:space="preserve"> The inspector may consider: </w:t>
      </w:r>
      <w:r w:rsidR="0036094C" w:rsidRPr="0007005A">
        <w:t xml:space="preserve"> </w:t>
      </w:r>
      <w:r w:rsidRPr="0007005A">
        <w:t xml:space="preserve"> </w:t>
      </w:r>
    </w:p>
    <w:p w14:paraId="5F3F4AC7" w14:textId="77777777" w:rsidR="00010FB5" w:rsidRPr="0007005A" w:rsidRDefault="00A8002E" w:rsidP="00F82932">
      <w:pPr>
        <w:pStyle w:val="TSBullet2Circle"/>
      </w:pPr>
      <w:r>
        <w:t>T</w:t>
      </w:r>
      <w:r w:rsidR="006253DE" w:rsidRPr="0007005A">
        <w:t>he</w:t>
      </w:r>
      <w:r w:rsidR="0048231F" w:rsidRPr="0007005A">
        <w:t xml:space="preserve"> significance</w:t>
      </w:r>
      <w:r w:rsidR="00010FB5" w:rsidRPr="0007005A">
        <w:t xml:space="preserve"> of </w:t>
      </w:r>
      <w:r w:rsidR="0007005A" w:rsidRPr="0007005A">
        <w:t xml:space="preserve">any </w:t>
      </w:r>
      <w:r w:rsidR="0007005A">
        <w:t xml:space="preserve">claimed </w:t>
      </w:r>
      <w:r w:rsidR="00010FB5" w:rsidRPr="0007005A">
        <w:t>chemistry control</w:t>
      </w:r>
      <w:r w:rsidR="0048231F" w:rsidRPr="0007005A">
        <w:t xml:space="preserve"> </w:t>
      </w:r>
      <w:r w:rsidR="0007005A" w:rsidRPr="0007005A">
        <w:t xml:space="preserve">measures </w:t>
      </w:r>
      <w:r w:rsidR="006253DE" w:rsidRPr="0007005A">
        <w:t>to</w:t>
      </w:r>
      <w:r w:rsidR="0007005A" w:rsidRPr="0007005A">
        <w:t xml:space="preserve"> the overall safety argument </w:t>
      </w:r>
      <w:r w:rsidR="006253DE" w:rsidRPr="0007005A">
        <w:t xml:space="preserve">and whether </w:t>
      </w:r>
      <w:r w:rsidR="0073762A">
        <w:t>additional</w:t>
      </w:r>
      <w:r w:rsidR="00010FB5" w:rsidRPr="0007005A">
        <w:t xml:space="preserve">, </w:t>
      </w:r>
      <w:r w:rsidR="006253DE" w:rsidRPr="0007005A">
        <w:t>reasonably practicable measures</w:t>
      </w:r>
      <w:r w:rsidR="00010FB5" w:rsidRPr="0007005A">
        <w:t>, could be implemented</w:t>
      </w:r>
      <w:r w:rsidR="0007005A" w:rsidRPr="0007005A">
        <w:t>.</w:t>
      </w:r>
    </w:p>
    <w:p w14:paraId="5F3F4AC8" w14:textId="77777777" w:rsidR="00A92DE7" w:rsidRPr="00A92DE7" w:rsidRDefault="00A8002E" w:rsidP="00DB4353">
      <w:pPr>
        <w:pStyle w:val="TSBullet2Circle"/>
      </w:pPr>
      <w:r>
        <w:t>W</w:t>
      </w:r>
      <w:r w:rsidR="00010FB5" w:rsidRPr="0007005A">
        <w:t xml:space="preserve">hether suitable and sufficient evidence </w:t>
      </w:r>
      <w:r w:rsidR="0007005A" w:rsidRPr="0007005A">
        <w:t xml:space="preserve">is </w:t>
      </w:r>
      <w:r w:rsidR="00010FB5" w:rsidRPr="0007005A">
        <w:t xml:space="preserve">provided to substantiate the role of </w:t>
      </w:r>
      <w:r w:rsidR="0007005A">
        <w:t xml:space="preserve">purposeful </w:t>
      </w:r>
      <w:r w:rsidR="00010FB5" w:rsidRPr="0007005A">
        <w:t>chemistry control (</w:t>
      </w:r>
      <w:r w:rsidR="00E1197D">
        <w:t>i.e.</w:t>
      </w:r>
      <w:r w:rsidR="00010FB5" w:rsidRPr="0007005A">
        <w:t xml:space="preserve"> pH modelling)</w:t>
      </w:r>
      <w:r w:rsidR="0007005A" w:rsidRPr="0007005A">
        <w:t xml:space="preserve"> in the overall radiological consequence analysis.</w:t>
      </w:r>
    </w:p>
    <w:p w14:paraId="5F3F4AC9" w14:textId="77777777" w:rsidR="00A40099" w:rsidRPr="0092010B" w:rsidRDefault="00A405EC" w:rsidP="00F82932">
      <w:pPr>
        <w:pStyle w:val="TSBullet1Square"/>
      </w:pPr>
      <w:r w:rsidRPr="0092010B">
        <w:t xml:space="preserve">The performance of any claimed safety systems </w:t>
      </w:r>
      <w:r w:rsidR="00571731" w:rsidRPr="0092010B">
        <w:t xml:space="preserve">to </w:t>
      </w:r>
      <w:r w:rsidR="00A40099" w:rsidRPr="0092010B">
        <w:t xml:space="preserve">remove and </w:t>
      </w:r>
      <w:r w:rsidR="00571731" w:rsidRPr="0092010B">
        <w:t xml:space="preserve">retain </w:t>
      </w:r>
      <w:r w:rsidR="00533390" w:rsidRPr="0092010B">
        <w:t>radionuclide</w:t>
      </w:r>
      <w:r w:rsidR="00A40099" w:rsidRPr="0092010B">
        <w:t>s</w:t>
      </w:r>
      <w:r w:rsidR="00B00C25">
        <w:t>, the a</w:t>
      </w:r>
      <w:r w:rsidR="00B00C25" w:rsidRPr="0092010B">
        <w:t xml:space="preserve">ssumed </w:t>
      </w:r>
      <w:r w:rsidR="0092010B" w:rsidRPr="0092010B">
        <w:t>chemical and physical forms of radionuclides</w:t>
      </w:r>
      <w:r w:rsidR="00B00C25">
        <w:t>,</w:t>
      </w:r>
      <w:r w:rsidR="0092010B" w:rsidRPr="0092010B">
        <w:t xml:space="preserve"> and how these might evolve </w:t>
      </w:r>
      <w:r w:rsidR="005A7C78">
        <w:t xml:space="preserve">over the course of an accident </w:t>
      </w:r>
      <w:r w:rsidR="0092010B" w:rsidRPr="0092010B">
        <w:t>are key consideration</w:t>
      </w:r>
      <w:r w:rsidR="0092010B">
        <w:t>s</w:t>
      </w:r>
      <w:r w:rsidR="00F82932">
        <w:t>. For example</w:t>
      </w:r>
      <w:r w:rsidR="00A40099" w:rsidRPr="0092010B">
        <w:t>:</w:t>
      </w:r>
    </w:p>
    <w:p w14:paraId="5F3F4ACA" w14:textId="77777777" w:rsidR="00A40099" w:rsidRPr="0092010B" w:rsidRDefault="00A8002E" w:rsidP="00F82932">
      <w:pPr>
        <w:pStyle w:val="TSBullet2Circle"/>
      </w:pPr>
      <w:r>
        <w:t>S</w:t>
      </w:r>
      <w:r w:rsidR="00A40099" w:rsidRPr="0092010B">
        <w:t>prays may be used in a reactor containment to provide post-accident cooling or to remove radioactive aerosols. Sprays will not remove noble gases or organic forms of iodine</w:t>
      </w:r>
      <w:r w:rsidR="00B00C25">
        <w:t>.</w:t>
      </w:r>
    </w:p>
    <w:p w14:paraId="5F3F4ACB" w14:textId="77777777" w:rsidR="00A405EC" w:rsidRDefault="00A8002E" w:rsidP="00F82932">
      <w:pPr>
        <w:pStyle w:val="TSBullet2Circle"/>
      </w:pPr>
      <w:r>
        <w:t>T</w:t>
      </w:r>
      <w:r w:rsidR="0092010B" w:rsidRPr="0092010B">
        <w:t>he effects of</w:t>
      </w:r>
      <w:r w:rsidR="0092010B">
        <w:t xml:space="preserve"> safety systems or accident management strategies on </w:t>
      </w:r>
      <w:proofErr w:type="spellStart"/>
      <w:r w:rsidR="0092010B">
        <w:t>physic</w:t>
      </w:r>
      <w:r w:rsidR="005A7C78">
        <w:t>o</w:t>
      </w:r>
      <w:proofErr w:type="spellEnd"/>
      <w:r w:rsidR="0092010B">
        <w:t>-chemical phenomena</w:t>
      </w:r>
      <w:r w:rsidR="00B00C25">
        <w:t xml:space="preserve">, </w:t>
      </w:r>
      <w:r w:rsidR="00E1197D">
        <w:t>e.g.</w:t>
      </w:r>
      <w:r w:rsidR="0092010B">
        <w:t xml:space="preserve"> the effects of hydrogen burns or autocatalytic recombiners on iodine chemistry – see </w:t>
      </w:r>
      <w:r w:rsidR="0092010B" w:rsidRPr="00DB4353">
        <w:t xml:space="preserve">Appendix </w:t>
      </w:r>
      <w:r w:rsidR="00B00C25">
        <w:t xml:space="preserve">2 </w:t>
      </w:r>
      <w:r w:rsidR="0092010B">
        <w:t xml:space="preserve">for more information. </w:t>
      </w:r>
    </w:p>
    <w:p w14:paraId="5F3F4ACC" w14:textId="5BBA9359" w:rsidR="001D6E16" w:rsidRPr="0092010B" w:rsidRDefault="00D42AC2" w:rsidP="004301CB">
      <w:pPr>
        <w:pStyle w:val="TSNumberedParagraph11"/>
      </w:pPr>
      <w:r w:rsidRPr="00AA6339">
        <w:t xml:space="preserve">Further guidance on </w:t>
      </w:r>
      <w:r w:rsidR="00EA0695">
        <w:t>r</w:t>
      </w:r>
      <w:r w:rsidR="00EA0695" w:rsidRPr="00EA0695">
        <w:t xml:space="preserve">adiological </w:t>
      </w:r>
      <w:r w:rsidR="004D1D33">
        <w:t>s</w:t>
      </w:r>
      <w:r w:rsidR="00EA0695" w:rsidRPr="00EA0695">
        <w:t xml:space="preserve">ource </w:t>
      </w:r>
      <w:r w:rsidR="004D1D33">
        <w:t>t</w:t>
      </w:r>
      <w:r w:rsidR="00EA0695" w:rsidRPr="00EA0695">
        <w:t xml:space="preserve">erms and </w:t>
      </w:r>
      <w:r w:rsidR="004D1D33">
        <w:t>a</w:t>
      </w:r>
      <w:r w:rsidR="00EA0695" w:rsidRPr="00EA0695">
        <w:t xml:space="preserve">ccident </w:t>
      </w:r>
      <w:r w:rsidR="004D1D33">
        <w:t>c</w:t>
      </w:r>
      <w:r w:rsidR="00EA0695" w:rsidRPr="00EA0695">
        <w:t>hemistry</w:t>
      </w:r>
      <w:r w:rsidR="00EA0695">
        <w:t xml:space="preserve"> in</w:t>
      </w:r>
      <w:r w:rsidRPr="00AA6339">
        <w:t xml:space="preserve"> civil nuclear reactors,</w:t>
      </w:r>
      <w:r>
        <w:t xml:space="preserve"> is provided in</w:t>
      </w:r>
      <w:r w:rsidR="00742DE2">
        <w:t xml:space="preserve"> [3] and</w:t>
      </w:r>
      <w:r w:rsidR="00FB4059">
        <w:t xml:space="preserve"> </w:t>
      </w:r>
      <w:r w:rsidR="00FB4059" w:rsidRPr="00FB4059">
        <w:t>NS-TAST-GD-042</w:t>
      </w:r>
      <w:r w:rsidR="00686F5B">
        <w:t xml:space="preserve"> </w:t>
      </w:r>
      <w:r w:rsidR="00D223DB">
        <w:t>[</w:t>
      </w:r>
      <w:r w:rsidR="00686F5B">
        <w:rPr>
          <w:rStyle w:val="EndnoteReference"/>
        </w:rPr>
        <w:endnoteReference w:id="21"/>
      </w:r>
      <w:r w:rsidR="00D223DB">
        <w:t>]</w:t>
      </w:r>
      <w:r w:rsidRPr="00DB4353">
        <w:t>.</w:t>
      </w:r>
      <w:r>
        <w:t xml:space="preserve"> </w:t>
      </w:r>
    </w:p>
    <w:p w14:paraId="5F3F4ACD" w14:textId="77777777" w:rsidR="00887AAF" w:rsidRPr="00940FF6" w:rsidRDefault="007E23E7" w:rsidP="007E23E7">
      <w:pPr>
        <w:pStyle w:val="TSNumberedParagraph11"/>
        <w:numPr>
          <w:ilvl w:val="0"/>
          <w:numId w:val="0"/>
        </w:numPr>
        <w:ind w:left="720" w:hanging="720"/>
        <w:rPr>
          <w:b/>
        </w:rPr>
      </w:pPr>
      <w:bookmarkStart w:id="32" w:name="_Toc447189492"/>
      <w:r w:rsidRPr="00940FF6">
        <w:rPr>
          <w:b/>
        </w:rPr>
        <w:t>6.2</w:t>
      </w:r>
      <w:r w:rsidRPr="00940FF6">
        <w:rPr>
          <w:b/>
        </w:rPr>
        <w:tab/>
      </w:r>
      <w:r w:rsidR="00FE54BE" w:rsidRPr="00940FF6">
        <w:rPr>
          <w:b/>
        </w:rPr>
        <w:t>CORROSION AND MATERIALS DEGRADATION</w:t>
      </w:r>
      <w:bookmarkEnd w:id="32"/>
    </w:p>
    <w:p w14:paraId="5F3F4ACE" w14:textId="77777777" w:rsidR="00450DAA" w:rsidRPr="00B063CF" w:rsidRDefault="00B66991" w:rsidP="00450DAA">
      <w:pPr>
        <w:pStyle w:val="TSNumberedParagraph11"/>
        <w:tabs>
          <w:tab w:val="clear" w:pos="-31680"/>
        </w:tabs>
      </w:pPr>
      <w:r w:rsidRPr="00B063CF">
        <w:t xml:space="preserve">Maintaining a suitable chemical environment can often be a significant factor in demonstrating that numerous corrosion and materials degradation threats can be safely managed over the operating </w:t>
      </w:r>
      <w:r w:rsidR="00450DAA" w:rsidRPr="00B063CF">
        <w:t xml:space="preserve">life of a nuclear facility. The </w:t>
      </w:r>
      <w:r w:rsidR="00A76D6B">
        <w:t xml:space="preserve">specific </w:t>
      </w:r>
      <w:r w:rsidR="00450DAA" w:rsidRPr="00B063CF">
        <w:t>degr</w:t>
      </w:r>
      <w:r w:rsidR="00E25996">
        <w:t xml:space="preserve">adation mechanisms </w:t>
      </w:r>
      <w:r w:rsidR="00450DAA" w:rsidRPr="00B063CF">
        <w:t>will depend on a number of</w:t>
      </w:r>
      <w:r w:rsidR="00A76D6B">
        <w:t xml:space="preserve"> </w:t>
      </w:r>
      <w:r w:rsidR="00DE5176">
        <w:t>factors such as</w:t>
      </w:r>
      <w:r w:rsidR="00B063CF" w:rsidRPr="00B063CF">
        <w:t xml:space="preserve"> </w:t>
      </w:r>
      <w:r w:rsidR="00B063CF">
        <w:t xml:space="preserve">the </w:t>
      </w:r>
      <w:r w:rsidR="00450DAA" w:rsidRPr="00B063CF">
        <w:t>material</w:t>
      </w:r>
      <w:r w:rsidR="00B063CF" w:rsidRPr="00B063CF">
        <w:t>(</w:t>
      </w:r>
      <w:r w:rsidR="00450DAA" w:rsidRPr="00B063CF">
        <w:t>s</w:t>
      </w:r>
      <w:r w:rsidR="00B063CF" w:rsidRPr="00B063CF">
        <w:t>) selected</w:t>
      </w:r>
      <w:r w:rsidR="00DE5176">
        <w:t xml:space="preserve"> </w:t>
      </w:r>
      <w:r w:rsidR="00450DAA" w:rsidRPr="00B063CF">
        <w:t>and</w:t>
      </w:r>
      <w:r w:rsidR="00B063CF">
        <w:t xml:space="preserve"> the</w:t>
      </w:r>
      <w:r w:rsidR="00037A2C">
        <w:t xml:space="preserve"> tolerance of the </w:t>
      </w:r>
      <w:r w:rsidR="00450DAA" w:rsidRPr="00B063CF">
        <w:t>SSC</w:t>
      </w:r>
      <w:r w:rsidR="00037A2C">
        <w:t xml:space="preserve"> </w:t>
      </w:r>
      <w:r w:rsidR="00450DAA" w:rsidRPr="00B063CF">
        <w:t>to its operating environment</w:t>
      </w:r>
      <w:r w:rsidR="00DE5176">
        <w:t>, amongst other considerations</w:t>
      </w:r>
      <w:r w:rsidR="00450DAA" w:rsidRPr="00B063CF">
        <w:t>.</w:t>
      </w:r>
      <w:r w:rsidR="00B063CF" w:rsidRPr="00B063CF">
        <w:t xml:space="preserve"> Typically, the materials degradation mechanisms where </w:t>
      </w:r>
      <w:r w:rsidR="00A76D6B">
        <w:t xml:space="preserve">chemistry is implicated to a greater or lesser extent, </w:t>
      </w:r>
      <w:r w:rsidR="00B063CF" w:rsidRPr="00B063CF">
        <w:t xml:space="preserve">and </w:t>
      </w:r>
      <w:r w:rsidR="00037A2C">
        <w:t xml:space="preserve">where it </w:t>
      </w:r>
      <w:r w:rsidR="00B063CF" w:rsidRPr="00B063CF">
        <w:t>can have an impact on the nature, severity and likelihood of materials degradation threats are:</w:t>
      </w:r>
    </w:p>
    <w:p w14:paraId="5F3F4ACF" w14:textId="72AD4EED" w:rsidR="00B063CF" w:rsidRPr="00B063CF" w:rsidRDefault="00B063CF" w:rsidP="00B063CF">
      <w:pPr>
        <w:pStyle w:val="TSBullet1Square"/>
      </w:pPr>
      <w:r w:rsidRPr="00B063CF">
        <w:t>general corrosion</w:t>
      </w:r>
    </w:p>
    <w:p w14:paraId="5F3F4AD0" w14:textId="3F7A5224" w:rsidR="00B063CF" w:rsidRPr="00B063CF" w:rsidRDefault="00B063CF" w:rsidP="00B063CF">
      <w:pPr>
        <w:pStyle w:val="TSBullet1Square"/>
      </w:pPr>
      <w:r w:rsidRPr="00B063CF">
        <w:t>pitting</w:t>
      </w:r>
    </w:p>
    <w:p w14:paraId="5F3F4AD1" w14:textId="52AE058B" w:rsidR="00B063CF" w:rsidRPr="00B063CF" w:rsidRDefault="00B063CF" w:rsidP="00B063CF">
      <w:pPr>
        <w:pStyle w:val="TSBullet1Square"/>
      </w:pPr>
      <w:r w:rsidRPr="00B063CF">
        <w:t>galvanic corrosion</w:t>
      </w:r>
    </w:p>
    <w:p w14:paraId="5F3F4AD2" w14:textId="791796DC" w:rsidR="00B063CF" w:rsidRPr="00B063CF" w:rsidRDefault="00B063CF" w:rsidP="00B063CF">
      <w:pPr>
        <w:pStyle w:val="TSBullet1Square"/>
      </w:pPr>
      <w:r w:rsidRPr="00B063CF">
        <w:t>crevice corrosion</w:t>
      </w:r>
    </w:p>
    <w:p w14:paraId="5F3F4AD3" w14:textId="19036F4F" w:rsidR="00B063CF" w:rsidRPr="00C509C0" w:rsidRDefault="00B063CF" w:rsidP="00B063CF">
      <w:pPr>
        <w:pStyle w:val="TSBullet1Square"/>
      </w:pPr>
      <w:r w:rsidRPr="00C509C0">
        <w:t>erosion/corrosion (EC)</w:t>
      </w:r>
    </w:p>
    <w:p w14:paraId="5F3F4AD4" w14:textId="33D1E711" w:rsidR="00B063CF" w:rsidRPr="00C509C0" w:rsidRDefault="00B063CF" w:rsidP="00B063CF">
      <w:pPr>
        <w:pStyle w:val="TSBullet1Square"/>
      </w:pPr>
      <w:r w:rsidRPr="00C509C0">
        <w:t>flow assisted/accelerated corrosion (FAC)</w:t>
      </w:r>
    </w:p>
    <w:p w14:paraId="5F3F4AD5" w14:textId="169A47F4" w:rsidR="00C509C0" w:rsidRPr="00C509C0" w:rsidRDefault="00C509C0" w:rsidP="00C509C0">
      <w:pPr>
        <w:pStyle w:val="TSBullet1Square"/>
      </w:pPr>
      <w:r w:rsidRPr="00C509C0">
        <w:t>high temperature oxidation of steels</w:t>
      </w:r>
    </w:p>
    <w:p w14:paraId="5F3F4AD6" w14:textId="77777777" w:rsidR="00B063CF" w:rsidRPr="00C509C0" w:rsidRDefault="00B063CF" w:rsidP="00B063CF">
      <w:pPr>
        <w:pStyle w:val="TSBullet1Square"/>
      </w:pPr>
      <w:r w:rsidRPr="00C509C0">
        <w:t>stress corrosion cracking, including:</w:t>
      </w:r>
    </w:p>
    <w:p w14:paraId="5F3F4AD7" w14:textId="77777777" w:rsidR="00B063CF" w:rsidRPr="00B063CF" w:rsidRDefault="00B063CF" w:rsidP="00B063CF">
      <w:pPr>
        <w:pStyle w:val="TSBullet2Circle"/>
      </w:pPr>
      <w:r w:rsidRPr="00B063CF">
        <w:t>intergranular (IGSCC)</w:t>
      </w:r>
      <w:r w:rsidR="00037A2C">
        <w:t>;</w:t>
      </w:r>
    </w:p>
    <w:p w14:paraId="5F3F4AD8" w14:textId="77777777" w:rsidR="00B063CF" w:rsidRPr="00B063CF" w:rsidRDefault="00B063CF" w:rsidP="00B063CF">
      <w:pPr>
        <w:pStyle w:val="TSBullet2Circle"/>
      </w:pPr>
      <w:proofErr w:type="spellStart"/>
      <w:r w:rsidRPr="00B063CF">
        <w:t>transgranular</w:t>
      </w:r>
      <w:proofErr w:type="spellEnd"/>
      <w:r w:rsidRPr="00B063CF">
        <w:t xml:space="preserve"> (TGSCC)</w:t>
      </w:r>
      <w:r w:rsidR="00037A2C">
        <w:t>;</w:t>
      </w:r>
    </w:p>
    <w:p w14:paraId="5F3F4AD9" w14:textId="77777777" w:rsidR="00B063CF" w:rsidRPr="00B063CF" w:rsidRDefault="00B063CF" w:rsidP="00B063CF">
      <w:pPr>
        <w:pStyle w:val="TSBullet2Circle"/>
      </w:pPr>
      <w:r w:rsidRPr="00B063CF">
        <w:t>irradiation-assisted (IASCC)</w:t>
      </w:r>
      <w:r w:rsidR="00037A2C">
        <w:t>; and</w:t>
      </w:r>
    </w:p>
    <w:p w14:paraId="5F3F4ADA" w14:textId="77777777" w:rsidR="00B063CF" w:rsidRPr="00B063CF" w:rsidRDefault="00B063CF" w:rsidP="00B063CF">
      <w:pPr>
        <w:pStyle w:val="TSBullet2Circle"/>
      </w:pPr>
      <w:r w:rsidRPr="00B063CF">
        <w:t>associated with strain, cold work or hydrogen embrittlement</w:t>
      </w:r>
      <w:r w:rsidR="00037A2C">
        <w:t>;</w:t>
      </w:r>
    </w:p>
    <w:p w14:paraId="5F3F4ADB" w14:textId="37C707C6" w:rsidR="00B063CF" w:rsidRPr="00B063CF" w:rsidRDefault="00B063CF" w:rsidP="00B063CF">
      <w:pPr>
        <w:pStyle w:val="TSBullet1Square"/>
      </w:pPr>
      <w:r w:rsidRPr="00B063CF">
        <w:t>intergranular attack (IGA)</w:t>
      </w:r>
    </w:p>
    <w:p w14:paraId="5F3F4ADC" w14:textId="6982103E" w:rsidR="00B063CF" w:rsidRPr="00B063CF" w:rsidRDefault="00B063CF" w:rsidP="00B063CF">
      <w:pPr>
        <w:pStyle w:val="TSBullet1Square"/>
      </w:pPr>
      <w:r w:rsidRPr="00B063CF">
        <w:t>microbially-induced corrosion (MIC)</w:t>
      </w:r>
    </w:p>
    <w:p w14:paraId="5F3F4ADD" w14:textId="3DB60825" w:rsidR="00B063CF" w:rsidRDefault="00A8002E" w:rsidP="00B063CF">
      <w:pPr>
        <w:pStyle w:val="TSBullet1Square"/>
      </w:pPr>
      <w:r>
        <w:t>environmental fatigue</w:t>
      </w:r>
    </w:p>
    <w:p w14:paraId="5F3F4ADE" w14:textId="0B634352" w:rsidR="00C60D7D" w:rsidRPr="00C60D7D" w:rsidRDefault="00C60D7D" w:rsidP="00C60D7D">
      <w:pPr>
        <w:pStyle w:val="TSBullet1Square"/>
      </w:pPr>
      <w:r>
        <w:t xml:space="preserve">radiolytic degradation that may influence corrosion (e.g. </w:t>
      </w:r>
      <w:r w:rsidR="00B54B43">
        <w:t xml:space="preserve">the </w:t>
      </w:r>
      <w:r>
        <w:t xml:space="preserve">production of </w:t>
      </w:r>
      <w:r w:rsidR="00B54B43">
        <w:t>hydrochloric acid</w:t>
      </w:r>
      <w:r>
        <w:t>)</w:t>
      </w:r>
    </w:p>
    <w:p w14:paraId="5F3F4ADF" w14:textId="77777777" w:rsidR="00B063CF" w:rsidRPr="004049A0" w:rsidRDefault="00B063CF" w:rsidP="00B063CF"/>
    <w:p w14:paraId="5F3F4AE0" w14:textId="77777777" w:rsidR="00BB77BC" w:rsidRDefault="0090399A" w:rsidP="00450DAA">
      <w:pPr>
        <w:pStyle w:val="TSNumberedParagraph11"/>
        <w:tabs>
          <w:tab w:val="clear" w:pos="-31680"/>
        </w:tabs>
      </w:pPr>
      <w:r>
        <w:t>From a chemistry perspective</w:t>
      </w:r>
      <w:r w:rsidR="00581D54">
        <w:t xml:space="preserve"> </w:t>
      </w:r>
      <w:r w:rsidR="00BB77BC">
        <w:t xml:space="preserve">there are some specific effects which arise as a consequence of some of the degradation mechanisms </w:t>
      </w:r>
      <w:r w:rsidR="00581D54">
        <w:t xml:space="preserve">above, </w:t>
      </w:r>
      <w:r w:rsidR="00BB77BC">
        <w:t xml:space="preserve">which may require particular attention, as appropriate. For example, the impact </w:t>
      </w:r>
      <w:r w:rsidR="004049F7">
        <w:t xml:space="preserve">of </w:t>
      </w:r>
      <w:r w:rsidR="00BB77BC">
        <w:t>material released during general corrosion o</w:t>
      </w:r>
      <w:r w:rsidR="004049F7">
        <w:t>n</w:t>
      </w:r>
      <w:r w:rsidR="00BB77BC">
        <w:t xml:space="preserve"> the generation and transport of radioactivity</w:t>
      </w:r>
      <w:r w:rsidR="004049F7">
        <w:t xml:space="preserve"> (and any resultant radiation dose)</w:t>
      </w:r>
      <w:r w:rsidR="00BB77BC">
        <w:t xml:space="preserve">, </w:t>
      </w:r>
      <w:r w:rsidR="004049F7">
        <w:t>or the deposition of this material on heat transfer surfaces (and any resultant heat transfer impairment). In general, dealing with the anticipated loss of material from general corrosion</w:t>
      </w:r>
      <w:r w:rsidR="00581D54">
        <w:t xml:space="preserve"> in this way, is normally dealt with by the selection of an appropriate corrosion allowance. For more localised corrosion threats, such as IGSCC, consideration may turn to the role of chemical impurities on integrity threats and whether they are being adequately controlled. </w:t>
      </w:r>
      <w:r w:rsidR="004049F7">
        <w:t xml:space="preserve"> </w:t>
      </w:r>
    </w:p>
    <w:p w14:paraId="5F3F4AE1" w14:textId="77777777" w:rsidR="00A371B3" w:rsidRDefault="00A76D6B" w:rsidP="00450DAA">
      <w:pPr>
        <w:pStyle w:val="TSNumberedParagraph11"/>
        <w:tabs>
          <w:tab w:val="clear" w:pos="-31680"/>
        </w:tabs>
      </w:pPr>
      <w:r w:rsidRPr="004049A0">
        <w:t>In undertaking an assessment of the chemistry aspects of corrosion and m</w:t>
      </w:r>
      <w:r w:rsidR="00E25996">
        <w:t xml:space="preserve">aterials degradation threats, there is an important </w:t>
      </w:r>
      <w:r w:rsidRPr="004049A0">
        <w:t>interface between ONR’</w:t>
      </w:r>
      <w:r w:rsidR="00A371B3" w:rsidRPr="004049A0">
        <w:t>s c</w:t>
      </w:r>
      <w:r w:rsidRPr="004049A0">
        <w:t>hem</w:t>
      </w:r>
      <w:r w:rsidR="00037A2C">
        <w:t>istry and structural integrity s</w:t>
      </w:r>
      <w:r w:rsidR="00E25996">
        <w:t xml:space="preserve">pecialisms. </w:t>
      </w:r>
      <w:r w:rsidRPr="004049A0">
        <w:t xml:space="preserve">ONR </w:t>
      </w:r>
      <w:r w:rsidRPr="006F784C">
        <w:t>TAG-016 – The Integrity of Metal Structures and Components [</w:t>
      </w:r>
      <w:bookmarkStart w:id="33" w:name="_Ref469393489"/>
      <w:r w:rsidR="006F784C" w:rsidRPr="006F784C">
        <w:rPr>
          <w:rStyle w:val="EndnoteReference"/>
        </w:rPr>
        <w:endnoteReference w:id="22"/>
      </w:r>
      <w:bookmarkEnd w:id="33"/>
      <w:r w:rsidRPr="006F784C">
        <w:t>]</w:t>
      </w:r>
      <w:r w:rsidR="00E25996">
        <w:t xml:space="preserve"> is relevant</w:t>
      </w:r>
      <w:r w:rsidR="00AB1C6C">
        <w:t xml:space="preserve">, and </w:t>
      </w:r>
      <w:r w:rsidR="00A371B3" w:rsidRPr="004049A0">
        <w:t>the inspector should be aware of the guidance contained within this TAG, particularly the sections on ageing and degradation and use of proven materials.</w:t>
      </w:r>
      <w:r w:rsidR="000B5B56">
        <w:t xml:space="preserve"> The inspector should also be aware of SAPs EAD.1 to EAD.4 and the following SAPs from the integrity of metal components and structures series: </w:t>
      </w:r>
      <w:r w:rsidR="000B5B56" w:rsidRPr="000B5B56">
        <w:t xml:space="preserve">EMC.2, EMC.3, EMC.13, EMC.16, EMC.21, EMC.22 and EMC.25.   </w:t>
      </w:r>
    </w:p>
    <w:p w14:paraId="5F3F4AE2" w14:textId="77777777" w:rsidR="0065445C" w:rsidRDefault="00E25996" w:rsidP="00AB1C6C">
      <w:pPr>
        <w:pStyle w:val="TSNumberedParagraph11"/>
        <w:tabs>
          <w:tab w:val="clear" w:pos="-31680"/>
        </w:tabs>
      </w:pPr>
      <w:r>
        <w:t xml:space="preserve">While there may </w:t>
      </w:r>
      <w:r w:rsidR="00A371B3" w:rsidRPr="004049A0">
        <w:t>be overlap between the scope of chemistry and structural integrity assessment</w:t>
      </w:r>
      <w:r w:rsidR="00F15920" w:rsidRPr="004049A0">
        <w:t>s</w:t>
      </w:r>
      <w:r w:rsidR="00A371B3" w:rsidRPr="004049A0">
        <w:t xml:space="preserve"> of corrosion and</w:t>
      </w:r>
      <w:r>
        <w:t xml:space="preserve"> materials degradation threats, </w:t>
      </w:r>
      <w:r w:rsidR="00A371B3" w:rsidRPr="004049A0">
        <w:t>there are several key differences.</w:t>
      </w:r>
      <w:r w:rsidR="001A0133">
        <w:t xml:space="preserve"> The expectati</w:t>
      </w:r>
      <w:r w:rsidR="00AB1C6C">
        <w:t>ons for structural integrity are beyond the scope of this TAG, so the i</w:t>
      </w:r>
      <w:r w:rsidR="00037A2C">
        <w:t xml:space="preserve">nspector should consult </w:t>
      </w:r>
      <w:r w:rsidR="00AB1C6C">
        <w:t>[</w:t>
      </w:r>
      <w:r w:rsidR="00AB1C6C">
        <w:fldChar w:fldCharType="begin"/>
      </w:r>
      <w:r w:rsidR="00AB1C6C">
        <w:instrText xml:space="preserve"> NOTEREF _Ref469393489 \h </w:instrText>
      </w:r>
      <w:r w:rsidR="00AB1C6C">
        <w:fldChar w:fldCharType="separate"/>
      </w:r>
      <w:r w:rsidR="00C23519">
        <w:t>19</w:t>
      </w:r>
      <w:r w:rsidR="00AB1C6C">
        <w:fldChar w:fldCharType="end"/>
      </w:r>
      <w:r w:rsidR="00AB1C6C">
        <w:t xml:space="preserve">] if any further guidance is required. Broadly though, for structural integrity, </w:t>
      </w:r>
      <w:r w:rsidR="00F15920" w:rsidRPr="004049A0">
        <w:t xml:space="preserve">the </w:t>
      </w:r>
      <w:r w:rsidR="00AB1C6C">
        <w:t xml:space="preserve">general expectation is the </w:t>
      </w:r>
      <w:r w:rsidR="00F15920" w:rsidRPr="004049A0">
        <w:t xml:space="preserve">breadth and depth of the justification and evidence provided to substantiate the performance of a component (including </w:t>
      </w:r>
      <w:r w:rsidR="00AB1C6C">
        <w:t xml:space="preserve">the </w:t>
      </w:r>
      <w:r w:rsidR="00F15920" w:rsidRPr="004049A0">
        <w:t xml:space="preserve">materials selected) is proportionate to its structural integrity classification. </w:t>
      </w:r>
    </w:p>
    <w:p w14:paraId="5F3F4AE3" w14:textId="78A2B8B0" w:rsidR="00E5163C" w:rsidRPr="004049A0" w:rsidRDefault="00AB1C6C" w:rsidP="00AB1C6C">
      <w:pPr>
        <w:pStyle w:val="TSNumberedParagraph11"/>
        <w:tabs>
          <w:tab w:val="clear" w:pos="-31680"/>
        </w:tabs>
      </w:pPr>
      <w:r>
        <w:t>For chemistry, the criteria are broader. F</w:t>
      </w:r>
      <w:r w:rsidR="004D3C75" w:rsidRPr="004049A0">
        <w:t xml:space="preserve">or </w:t>
      </w:r>
      <w:r>
        <w:t xml:space="preserve">example, for </w:t>
      </w:r>
      <w:r w:rsidR="00B9695E">
        <w:t>Light Water Reactors (</w:t>
      </w:r>
      <w:r w:rsidR="004D3C75" w:rsidRPr="004049A0">
        <w:t>LWRs</w:t>
      </w:r>
      <w:r w:rsidR="00B9695E">
        <w:t>)</w:t>
      </w:r>
      <w:r w:rsidR="004D3C75" w:rsidRPr="004049A0">
        <w:t>, there are components/systems in the balance o</w:t>
      </w:r>
      <w:r w:rsidR="001F381E">
        <w:t xml:space="preserve">f plant, which may have a </w:t>
      </w:r>
      <w:r w:rsidR="004D3C75" w:rsidRPr="004049A0">
        <w:t>low</w:t>
      </w:r>
      <w:r w:rsidR="00C53F6D">
        <w:t>er</w:t>
      </w:r>
      <w:r w:rsidR="004D3C75" w:rsidRPr="004049A0">
        <w:t xml:space="preserve"> structural integrity classification, but which can make a significant contribution to maintaining adequate chemistry control </w:t>
      </w:r>
      <w:r w:rsidR="00E1197D">
        <w:t>i.e.</w:t>
      </w:r>
      <w:r w:rsidR="004D3C75" w:rsidRPr="004049A0">
        <w:t xml:space="preserve"> where corrosion rates can significantly impact the generation and transport of radi</w:t>
      </w:r>
      <w:r w:rsidR="00C53F6D">
        <w:t>oactivity (and subsequently dose</w:t>
      </w:r>
      <w:r w:rsidR="004D3C75" w:rsidRPr="004049A0">
        <w:t xml:space="preserve"> to workers), or where specific and direct safety case claims are made on being able to actively maintain a certain chemistry (operating environment)</w:t>
      </w:r>
      <w:r w:rsidR="003101D1">
        <w:t>,</w:t>
      </w:r>
      <w:r w:rsidR="004D3C75" w:rsidRPr="004049A0">
        <w:t xml:space="preserve"> </w:t>
      </w:r>
      <w:r w:rsidR="00E1197D">
        <w:t>i.e.</w:t>
      </w:r>
      <w:r w:rsidR="00E5163C" w:rsidRPr="00AB1C6C">
        <w:rPr>
          <w:i/>
        </w:rPr>
        <w:t xml:space="preserve"> </w:t>
      </w:r>
      <w:r w:rsidR="00037A2C">
        <w:t>oxygen</w:t>
      </w:r>
      <w:r w:rsidR="004D3C75" w:rsidRPr="004049A0">
        <w:t xml:space="preserve"> injection</w:t>
      </w:r>
      <w:r w:rsidR="00E5163C" w:rsidRPr="004049A0">
        <w:t>, to mitigate certain degradation threats (</w:t>
      </w:r>
      <w:r w:rsidR="00E1197D">
        <w:t>i.e.</w:t>
      </w:r>
      <w:r w:rsidR="00E5163C" w:rsidRPr="004049A0">
        <w:t xml:space="preserve"> FAC)</w:t>
      </w:r>
      <w:r w:rsidR="004D3C75" w:rsidRPr="004049A0">
        <w:t>.</w:t>
      </w:r>
      <w:r w:rsidR="004049A0" w:rsidRPr="004049A0">
        <w:t xml:space="preserve"> </w:t>
      </w:r>
      <w:r w:rsidR="00C53F6D">
        <w:t>These aspects may not necessarily form</w:t>
      </w:r>
      <w:r w:rsidR="00581D54">
        <w:t xml:space="preserve"> a key </w:t>
      </w:r>
      <w:r w:rsidR="00C53F6D">
        <w:t>part of the ‘structural integrity safety case’</w:t>
      </w:r>
      <w:r w:rsidR="003101D1">
        <w:t>;</w:t>
      </w:r>
      <w:r w:rsidR="00037A2C">
        <w:t xml:space="preserve"> however, </w:t>
      </w:r>
      <w:r w:rsidR="00581D54">
        <w:t xml:space="preserve">they </w:t>
      </w:r>
      <w:r w:rsidR="00EC6F2A">
        <w:t>may</w:t>
      </w:r>
      <w:r w:rsidR="00C53F6D">
        <w:t xml:space="preserve"> be an important aspect of the overall safety case, which a chemistry assessment may </w:t>
      </w:r>
      <w:r w:rsidR="00581D54">
        <w:t xml:space="preserve">therefore </w:t>
      </w:r>
      <w:r w:rsidR="00C53F6D">
        <w:t xml:space="preserve">consider, as appropriate. </w:t>
      </w:r>
    </w:p>
    <w:p w14:paraId="5F3F4AE4" w14:textId="77777777" w:rsidR="00E5163C" w:rsidRPr="001F381E" w:rsidRDefault="00E5163C" w:rsidP="00E5163C">
      <w:pPr>
        <w:pStyle w:val="TSNumberedParagraph11"/>
      </w:pPr>
      <w:r w:rsidRPr="001F381E">
        <w:t xml:space="preserve">In summary, this means </w:t>
      </w:r>
      <w:r w:rsidR="00C53F6D">
        <w:t xml:space="preserve">in </w:t>
      </w:r>
      <w:r w:rsidRPr="001F381E">
        <w:t xml:space="preserve">the </w:t>
      </w:r>
      <w:r w:rsidR="004049A0" w:rsidRPr="001F381E">
        <w:t xml:space="preserve">broadest </w:t>
      </w:r>
      <w:r w:rsidR="00B4661E">
        <w:t xml:space="preserve">sense, the </w:t>
      </w:r>
      <w:r w:rsidRPr="001F381E">
        <w:t>scope of a chemistry assessment of corrosion and materials degradation threats:</w:t>
      </w:r>
    </w:p>
    <w:p w14:paraId="5F3F4AE5" w14:textId="77777777" w:rsidR="004049A0" w:rsidRPr="001F381E" w:rsidRDefault="00B4661E" w:rsidP="004049A0">
      <w:pPr>
        <w:pStyle w:val="TSBullet1Square"/>
      </w:pPr>
      <w:r>
        <w:t>May s</w:t>
      </w:r>
      <w:r w:rsidR="00E5163C" w:rsidRPr="001F381E">
        <w:t>eek</w:t>
      </w:r>
      <w:r w:rsidR="004049A0" w:rsidRPr="001F381E">
        <w:t xml:space="preserve"> </w:t>
      </w:r>
      <w:r w:rsidR="00E5163C" w:rsidRPr="001F381E">
        <w:t xml:space="preserve">evidence to justify </w:t>
      </w:r>
      <w:r>
        <w:t xml:space="preserve">the materials selected for SSCs, </w:t>
      </w:r>
      <w:r w:rsidR="00E5163C" w:rsidRPr="001F381E">
        <w:t>which may not always directly align with the structural</w:t>
      </w:r>
      <w:r w:rsidR="004049A0" w:rsidRPr="001F381E">
        <w:t xml:space="preserve"> integrity classification</w:t>
      </w:r>
      <w:r w:rsidR="001F381E" w:rsidRPr="001F381E">
        <w:t xml:space="preserve"> of components.</w:t>
      </w:r>
    </w:p>
    <w:p w14:paraId="5F3F4AE6" w14:textId="7A1A4606" w:rsidR="004049A0" w:rsidRPr="001F381E" w:rsidRDefault="00B4661E" w:rsidP="001F381E">
      <w:pPr>
        <w:pStyle w:val="TSBullet1Square"/>
        <w:tabs>
          <w:tab w:val="clear" w:pos="-31680"/>
        </w:tabs>
      </w:pPr>
      <w:r>
        <w:t>May c</w:t>
      </w:r>
      <w:r w:rsidR="004049A0" w:rsidRPr="001F381E">
        <w:t>onsider the impact of materials selection and degradation threats on other hazards</w:t>
      </w:r>
      <w:r>
        <w:t xml:space="preserve">/risks </w:t>
      </w:r>
      <w:r w:rsidR="00E1197D">
        <w:t>e.g.</w:t>
      </w:r>
      <w:r>
        <w:t xml:space="preserve"> </w:t>
      </w:r>
      <w:r w:rsidR="004049A0" w:rsidRPr="001F381E">
        <w:t>radioactivity generation, transport, deposition</w:t>
      </w:r>
      <w:r w:rsidR="001F381E" w:rsidRPr="001F381E">
        <w:t xml:space="preserve"> and dose to workers</w:t>
      </w:r>
      <w:r>
        <w:t>, and whether on balance, relevant risks are reduced to ALARP</w:t>
      </w:r>
      <w:r w:rsidR="001F381E" w:rsidRPr="001F381E">
        <w:t>.</w:t>
      </w:r>
      <w:r w:rsidR="004049A0" w:rsidRPr="001F381E">
        <w:t xml:space="preserve">  </w:t>
      </w:r>
      <w:r w:rsidR="00E5163C" w:rsidRPr="001F381E">
        <w:t xml:space="preserve"> </w:t>
      </w:r>
    </w:p>
    <w:p w14:paraId="5F3F4AE7" w14:textId="77777777" w:rsidR="004049A0" w:rsidRPr="001F381E" w:rsidRDefault="00B4661E" w:rsidP="00E5163C">
      <w:pPr>
        <w:pStyle w:val="TSBullet1Square"/>
      </w:pPr>
      <w:r>
        <w:t>May c</w:t>
      </w:r>
      <w:r w:rsidR="004049A0" w:rsidRPr="001F381E">
        <w:t>onsider</w:t>
      </w:r>
      <w:r w:rsidR="001F381E" w:rsidRPr="001F381E">
        <w:t xml:space="preserve"> the impact of </w:t>
      </w:r>
      <w:r w:rsidR="004049A0" w:rsidRPr="001F381E">
        <w:t xml:space="preserve">chronic </w:t>
      </w:r>
      <w:r w:rsidR="00E5163C" w:rsidRPr="001F381E">
        <w:t xml:space="preserve">as well </w:t>
      </w:r>
      <w:r w:rsidR="003101D1">
        <w:t xml:space="preserve">as </w:t>
      </w:r>
      <w:r w:rsidR="00E5163C" w:rsidRPr="001F381E">
        <w:t xml:space="preserve">acute </w:t>
      </w:r>
      <w:r>
        <w:t>degradation threats</w:t>
      </w:r>
      <w:r w:rsidR="001F381E" w:rsidRPr="001F381E">
        <w:t>.</w:t>
      </w:r>
    </w:p>
    <w:p w14:paraId="5F3F4AE8" w14:textId="77777777" w:rsidR="00E5163C" w:rsidRPr="001F381E" w:rsidRDefault="004049A0" w:rsidP="00E5163C">
      <w:pPr>
        <w:pStyle w:val="TSBullet1Square"/>
      </w:pPr>
      <w:r w:rsidRPr="001F381E">
        <w:t xml:space="preserve">Does not </w:t>
      </w:r>
      <w:r w:rsidR="00330715">
        <w:t xml:space="preserve">in itself </w:t>
      </w:r>
      <w:r w:rsidRPr="001F381E">
        <w:t>directly consider the consequences of component</w:t>
      </w:r>
      <w:r w:rsidR="00A07AE8">
        <w:t xml:space="preserve"> failure</w:t>
      </w:r>
      <w:r w:rsidRPr="001F381E">
        <w:t>.</w:t>
      </w:r>
      <w:r w:rsidR="00E5163C" w:rsidRPr="001F381E">
        <w:t xml:space="preserve">   </w:t>
      </w:r>
    </w:p>
    <w:p w14:paraId="5F3F4AE9" w14:textId="77777777" w:rsidR="00064A4A" w:rsidRPr="00010FB5" w:rsidRDefault="00064A4A" w:rsidP="00064A4A">
      <w:pPr>
        <w:rPr>
          <w:highlight w:val="yellow"/>
        </w:rPr>
      </w:pPr>
    </w:p>
    <w:p w14:paraId="5F3F4AEA" w14:textId="77777777" w:rsidR="000925D2" w:rsidRPr="00DE5176" w:rsidRDefault="000925D2" w:rsidP="000925D2">
      <w:pPr>
        <w:pStyle w:val="TSNumberedParagraph11"/>
      </w:pPr>
      <w:r>
        <w:t>In addition t</w:t>
      </w:r>
      <w:r w:rsidR="00B4661E">
        <w:t xml:space="preserve">o the high-level matters </w:t>
      </w:r>
      <w:r>
        <w:t>given above, t</w:t>
      </w:r>
      <w:r w:rsidRPr="00E61A14">
        <w:t>he inspector may</w:t>
      </w:r>
      <w:r>
        <w:t xml:space="preserve"> also</w:t>
      </w:r>
      <w:r w:rsidR="00EC6F2A">
        <w:t xml:space="preserve"> consider if the following factors </w:t>
      </w:r>
      <w:r w:rsidRPr="00E61A14">
        <w:t>have been adequately addressed in the design or in the license</w:t>
      </w:r>
      <w:r>
        <w:t xml:space="preserve">e’s </w:t>
      </w:r>
      <w:r w:rsidRPr="00DE5176">
        <w:t>arrangements for addressing corrosion and materials degradation issues:</w:t>
      </w:r>
    </w:p>
    <w:p w14:paraId="5F3F4AEB" w14:textId="77777777" w:rsidR="00BF6FA8" w:rsidRPr="00DE5176" w:rsidRDefault="000925D2" w:rsidP="00EC6F2A">
      <w:pPr>
        <w:pStyle w:val="TSBullet1Square"/>
      </w:pPr>
      <w:r w:rsidRPr="00DE5176">
        <w:t xml:space="preserve">There is a clear demonstration that the starting point for mitigating </w:t>
      </w:r>
      <w:r w:rsidR="000B5B56" w:rsidRPr="00DE5176">
        <w:t xml:space="preserve">materials </w:t>
      </w:r>
      <w:r w:rsidRPr="00DE5176">
        <w:t xml:space="preserve">degradation </w:t>
      </w:r>
      <w:r w:rsidR="000B5B56" w:rsidRPr="00DE5176">
        <w:t xml:space="preserve">threats is not to </w:t>
      </w:r>
      <w:r w:rsidR="00E466FB">
        <w:t>place reliance</w:t>
      </w:r>
      <w:r w:rsidR="00646A55" w:rsidRPr="00DE5176">
        <w:t xml:space="preserve"> </w:t>
      </w:r>
      <w:r w:rsidR="000B5B56" w:rsidRPr="00DE5176">
        <w:t>on active chemistry control</w:t>
      </w:r>
      <w:r w:rsidR="006F784C" w:rsidRPr="00DE5176">
        <w:t>(s)</w:t>
      </w:r>
      <w:r w:rsidR="00037A2C">
        <w:t xml:space="preserve">, </w:t>
      </w:r>
      <w:r w:rsidR="00646A55" w:rsidRPr="00DE5176">
        <w:t xml:space="preserve">where </w:t>
      </w:r>
      <w:r w:rsidR="00BF6FA8" w:rsidRPr="00DE5176">
        <w:t xml:space="preserve">it is reasonably practicable not to </w:t>
      </w:r>
      <w:r w:rsidR="00646A55" w:rsidRPr="00DE5176">
        <w:t>do so</w:t>
      </w:r>
      <w:r w:rsidR="000B5B56" w:rsidRPr="00DE5176">
        <w:t>.</w:t>
      </w:r>
      <w:r w:rsidR="00646A55" w:rsidRPr="00DE5176">
        <w:t xml:space="preserve"> SAP EKP.1 is particularly pertinent here. Some degradation threats</w:t>
      </w:r>
      <w:r w:rsidR="00BF6FA8" w:rsidRPr="00DE5176">
        <w:t xml:space="preserve"> can effectively be ‘eliminated’ by informed materials selection decisions. For example, FAC in some reactor facility systems</w:t>
      </w:r>
      <w:r w:rsidR="00037A2C">
        <w:t xml:space="preserve"> constructed from carbon steel,</w:t>
      </w:r>
      <w:r w:rsidR="003101D1">
        <w:t xml:space="preserve"> </w:t>
      </w:r>
      <w:r w:rsidR="00BF6FA8" w:rsidRPr="00DE5176">
        <w:t xml:space="preserve">by selecting a material with </w:t>
      </w:r>
      <w:r w:rsidR="00EA1BDF" w:rsidRPr="00DE5176">
        <w:t>elevated</w:t>
      </w:r>
      <w:r w:rsidR="00BF6FA8" w:rsidRPr="00DE5176">
        <w:t xml:space="preserve"> chro</w:t>
      </w:r>
      <w:r w:rsidR="00037A2C">
        <w:t>mium content</w:t>
      </w:r>
      <w:r w:rsidR="00BF6FA8" w:rsidRPr="00DE5176">
        <w:t>.</w:t>
      </w:r>
      <w:r w:rsidR="00DE5176" w:rsidRPr="00DE5176">
        <w:t xml:space="preserve"> This is just one example</w:t>
      </w:r>
      <w:r w:rsidR="003101D1">
        <w:t>;</w:t>
      </w:r>
      <w:r w:rsidR="00DE5176" w:rsidRPr="00DE5176">
        <w:t xml:space="preserve"> there may also be other relevant factors which require consideration. </w:t>
      </w:r>
    </w:p>
    <w:p w14:paraId="5F3F4AEC" w14:textId="77777777" w:rsidR="00BF6FA8" w:rsidRPr="00ED2DA0" w:rsidRDefault="00BF6FA8" w:rsidP="00EC6F2A">
      <w:pPr>
        <w:pStyle w:val="TSBullet1Square"/>
      </w:pPr>
      <w:r w:rsidRPr="00ED2DA0">
        <w:t>The impact of chemistry and materials selecti</w:t>
      </w:r>
      <w:r w:rsidR="00055A32" w:rsidRPr="00ED2DA0">
        <w:t xml:space="preserve">on </w:t>
      </w:r>
      <w:r w:rsidR="00ED2DA0">
        <w:t xml:space="preserve">decisions </w:t>
      </w:r>
      <w:r w:rsidR="00055A32" w:rsidRPr="00ED2DA0">
        <w:t>has</w:t>
      </w:r>
      <w:r w:rsidRPr="00ED2DA0">
        <w:t xml:space="preserve"> </w:t>
      </w:r>
      <w:r w:rsidR="009E4531">
        <w:t xml:space="preserve">been considered holistically, </w:t>
      </w:r>
      <w:r w:rsidRPr="00ED2DA0">
        <w:t>and an opti</w:t>
      </w:r>
      <w:r w:rsidR="009E4531">
        <w:t xml:space="preserve">mised approach is demonstrably </w:t>
      </w:r>
      <w:r w:rsidR="00ED2DA0">
        <w:t>reached</w:t>
      </w:r>
      <w:r w:rsidRPr="00ED2DA0">
        <w:t>. This is particularly important at the desi</w:t>
      </w:r>
      <w:r w:rsidR="009E4531">
        <w:t xml:space="preserve">gn stage for a nuclear facility, </w:t>
      </w:r>
      <w:r w:rsidRPr="00ED2DA0">
        <w:t xml:space="preserve">or where potential changes to materials </w:t>
      </w:r>
      <w:r w:rsidR="00055A32" w:rsidRPr="00ED2DA0">
        <w:t xml:space="preserve">and/or chemistry control </w:t>
      </w:r>
      <w:r w:rsidR="00EC6F2A">
        <w:t>are being considered</w:t>
      </w:r>
      <w:r w:rsidRPr="00ED2DA0">
        <w:t xml:space="preserve">.   </w:t>
      </w:r>
    </w:p>
    <w:p w14:paraId="5F3F4AED" w14:textId="77777777" w:rsidR="00ED2DA0" w:rsidRPr="00ED2DA0" w:rsidRDefault="00BF6FA8" w:rsidP="00EC6F2A">
      <w:pPr>
        <w:pStyle w:val="TSBullet1Square"/>
      </w:pPr>
      <w:r w:rsidRPr="00ED2DA0">
        <w:t xml:space="preserve">Suitable and sufficient evidence is available to demonstrate </w:t>
      </w:r>
      <w:r w:rsidR="00055A32" w:rsidRPr="00ED2DA0">
        <w:t xml:space="preserve">the safety case claims made on the </w:t>
      </w:r>
      <w:r w:rsidRPr="00ED2DA0">
        <w:t xml:space="preserve">impact </w:t>
      </w:r>
      <w:r w:rsidR="00055A32" w:rsidRPr="00ED2DA0">
        <w:t xml:space="preserve">of </w:t>
      </w:r>
      <w:r w:rsidRPr="00ED2DA0">
        <w:t xml:space="preserve">the operating environment </w:t>
      </w:r>
      <w:r w:rsidR="00055A32" w:rsidRPr="00ED2DA0">
        <w:t>(</w:t>
      </w:r>
      <w:r w:rsidR="00E1197D">
        <w:t>i.e.</w:t>
      </w:r>
      <w:r w:rsidR="00055A32" w:rsidRPr="00ED2DA0">
        <w:t xml:space="preserve"> chemistry) </w:t>
      </w:r>
      <w:r w:rsidRPr="00ED2DA0">
        <w:t xml:space="preserve">on corrosion and materials degradation threats </w:t>
      </w:r>
      <w:r w:rsidR="009E4531">
        <w:t>(through-</w:t>
      </w:r>
      <w:r w:rsidR="00055A32" w:rsidRPr="00ED2DA0">
        <w:t xml:space="preserve">life degradation) are justified. This should include appropriate consideration of ‘bulk’ and ‘local’ chemistry effects and consideration of all relevant OPEX regarding materials degradation threats, to identify any known problem areas. </w:t>
      </w:r>
    </w:p>
    <w:p w14:paraId="5F3F4AEE" w14:textId="77777777" w:rsidR="00ED2DA0" w:rsidRDefault="00ED2DA0" w:rsidP="00EC6F2A">
      <w:pPr>
        <w:pStyle w:val="TSBullet1Square"/>
      </w:pPr>
      <w:r w:rsidRPr="00ED2DA0">
        <w:t>Where careful control of the operating environment (</w:t>
      </w:r>
      <w:r w:rsidR="00E1197D">
        <w:t>i.e.</w:t>
      </w:r>
      <w:r w:rsidRPr="00ED2DA0">
        <w:t xml:space="preserve"> chemistry) for an SSC is a particularly important consideration for maintaining nuclear safety, the safety case should provide an adequate </w:t>
      </w:r>
      <w:r w:rsidR="009E4531">
        <w:t>justification for the chemistry-</w:t>
      </w:r>
      <w:r w:rsidRPr="00ED2DA0">
        <w:t xml:space="preserve">based limits and conditions (Operating Rules). </w:t>
      </w:r>
    </w:p>
    <w:p w14:paraId="5F3F4AEF" w14:textId="77777777" w:rsidR="00ED2DA0" w:rsidRPr="006F784C" w:rsidRDefault="00ED2DA0" w:rsidP="00EC6F2A">
      <w:pPr>
        <w:pStyle w:val="TSBullet1Square"/>
      </w:pPr>
      <w:r>
        <w:t>Whether additional hazards created by the corrosion of metallic components ha</w:t>
      </w:r>
      <w:r w:rsidR="009E4531">
        <w:t>ve been adequately considered. F</w:t>
      </w:r>
      <w:r>
        <w:t xml:space="preserve">or example, the generation and/or accumulation of </w:t>
      </w:r>
      <w:r w:rsidRPr="006F784C">
        <w:t xml:space="preserve">hydrogen. </w:t>
      </w:r>
    </w:p>
    <w:p w14:paraId="5F3F4AF0" w14:textId="77777777" w:rsidR="00CC7C9F" w:rsidRPr="006F784C" w:rsidRDefault="00EC6F2A" w:rsidP="00EC6F2A">
      <w:pPr>
        <w:pStyle w:val="TSBullet1Square"/>
      </w:pPr>
      <w:r>
        <w:t xml:space="preserve">Whether there </w:t>
      </w:r>
      <w:r w:rsidR="00CC7C9F" w:rsidRPr="006F784C">
        <w:t>are other matters pertinent to the assessment of the chemistry aspects of corrosion and materials degradation which the ins</w:t>
      </w:r>
      <w:r w:rsidR="00491C9F">
        <w:t>pector may choose to consider. F</w:t>
      </w:r>
      <w:r w:rsidR="00CC7C9F" w:rsidRPr="006F784C">
        <w:t>or example:</w:t>
      </w:r>
    </w:p>
    <w:p w14:paraId="5F3F4AF1" w14:textId="77777777" w:rsidR="00CC7C9F" w:rsidRPr="006F784C" w:rsidRDefault="006F784C" w:rsidP="00EC6F2A">
      <w:pPr>
        <w:pStyle w:val="TSBullet2Circle"/>
      </w:pPr>
      <w:r w:rsidRPr="006F784C">
        <w:t>s</w:t>
      </w:r>
      <w:r w:rsidR="00CC7C9F" w:rsidRPr="006F784C">
        <w:t>urface finishes or materials treatment</w:t>
      </w:r>
      <w:r w:rsidR="00037A2C">
        <w:t>;</w:t>
      </w:r>
    </w:p>
    <w:p w14:paraId="5F3F4AF2" w14:textId="77777777" w:rsidR="00CC7C9F" w:rsidRPr="006F784C" w:rsidRDefault="006F784C" w:rsidP="00EC6F2A">
      <w:pPr>
        <w:pStyle w:val="TSBullet2Circle"/>
      </w:pPr>
      <w:r w:rsidRPr="006F784C">
        <w:t>u</w:t>
      </w:r>
      <w:r w:rsidR="00CC7C9F" w:rsidRPr="006F784C">
        <w:t>se of chemical inhibitors to prevent/mitigate corrosion</w:t>
      </w:r>
      <w:r w:rsidR="00037A2C">
        <w:t>; and</w:t>
      </w:r>
    </w:p>
    <w:p w14:paraId="5F3F4AF3" w14:textId="77777777" w:rsidR="006F784C" w:rsidRPr="006F784C" w:rsidRDefault="00491C9F" w:rsidP="00EC6F2A">
      <w:pPr>
        <w:pStyle w:val="TSBullet2Circle"/>
      </w:pPr>
      <w:r>
        <w:t>the impact of corrosion on clean-up system performance</w:t>
      </w:r>
      <w:r w:rsidR="00037A2C">
        <w:t>.</w:t>
      </w:r>
    </w:p>
    <w:p w14:paraId="5F3F4AF4" w14:textId="77777777" w:rsidR="006F784C" w:rsidRPr="006F784C" w:rsidRDefault="006F784C" w:rsidP="006F784C"/>
    <w:p w14:paraId="5F3F4AF5" w14:textId="77777777" w:rsidR="00B473DE" w:rsidRPr="006F784C" w:rsidRDefault="00B473DE" w:rsidP="0002758C">
      <w:pPr>
        <w:pStyle w:val="TSNumberedParagraph11"/>
      </w:pPr>
      <w:r w:rsidRPr="006F784C">
        <w:t>Further</w:t>
      </w:r>
      <w:r w:rsidR="006F784C" w:rsidRPr="006F784C">
        <w:t xml:space="preserve"> specific </w:t>
      </w:r>
      <w:r w:rsidRPr="006F784C">
        <w:t xml:space="preserve">information </w:t>
      </w:r>
      <w:r w:rsidR="006F784C" w:rsidRPr="006F784C">
        <w:t>on these topics and other matte</w:t>
      </w:r>
      <w:r w:rsidR="00491C9F">
        <w:t xml:space="preserve">rs related to assessing </w:t>
      </w:r>
      <w:r w:rsidR="006F784C" w:rsidRPr="006F784C">
        <w:t xml:space="preserve">the impact of chemistry on materials integrity, </w:t>
      </w:r>
      <w:r w:rsidR="009E4531">
        <w:t xml:space="preserve">is provided in </w:t>
      </w:r>
      <w:r w:rsidR="004234EB" w:rsidRPr="006F784C">
        <w:t>[</w:t>
      </w:r>
      <w:r w:rsidR="00784594" w:rsidRPr="006F784C">
        <w:fldChar w:fldCharType="begin"/>
      </w:r>
      <w:r w:rsidR="00784594" w:rsidRPr="006F784C">
        <w:instrText xml:space="preserve"> NOTEREF _Ref447275804 </w:instrText>
      </w:r>
      <w:r w:rsidR="006F784C">
        <w:instrText xml:space="preserve"> \* MERGEFORMAT </w:instrText>
      </w:r>
      <w:r w:rsidR="00784594" w:rsidRPr="006F784C">
        <w:fldChar w:fldCharType="separate"/>
      </w:r>
      <w:r w:rsidR="00C23519">
        <w:t>3</w:t>
      </w:r>
      <w:r w:rsidR="00784594" w:rsidRPr="006F784C">
        <w:fldChar w:fldCharType="end"/>
      </w:r>
      <w:r w:rsidR="006F784C" w:rsidRPr="006F784C">
        <w:t>]</w:t>
      </w:r>
      <w:r w:rsidR="00784594" w:rsidRPr="006F784C">
        <w:t>.</w:t>
      </w:r>
      <w:r w:rsidR="006F784C" w:rsidRPr="006F784C">
        <w:t xml:space="preserve"> The in</w:t>
      </w:r>
      <w:r w:rsidR="00491C9F">
        <w:t xml:space="preserve">spector should </w:t>
      </w:r>
      <w:r w:rsidR="006F784C" w:rsidRPr="006F784C">
        <w:t>consider</w:t>
      </w:r>
      <w:r w:rsidR="00491C9F">
        <w:t xml:space="preserve"> the relevant aspects of the guidance in [3] and</w:t>
      </w:r>
      <w:r w:rsidR="006F784C" w:rsidRPr="006F784C">
        <w:t xml:space="preserve"> its applicability, as appropriate. </w:t>
      </w:r>
    </w:p>
    <w:p w14:paraId="5F3F4AF6" w14:textId="77777777" w:rsidR="0087111E" w:rsidRPr="00D3434E" w:rsidRDefault="00887AAF" w:rsidP="00721CAD">
      <w:pPr>
        <w:pStyle w:val="TSHeadingLevel2"/>
        <w:ind w:left="0" w:firstLine="720"/>
      </w:pPr>
      <w:r>
        <w:t>Non-metallic</w:t>
      </w:r>
      <w:r w:rsidR="009E4531">
        <w:t xml:space="preserve"> M</w:t>
      </w:r>
      <w:r w:rsidR="003A608F" w:rsidRPr="00D3434E">
        <w:t>aterials</w:t>
      </w:r>
    </w:p>
    <w:p w14:paraId="5F3F4AF7" w14:textId="77777777" w:rsidR="00B52CC8" w:rsidRPr="00F97D97" w:rsidRDefault="00B52CC8" w:rsidP="0002758C">
      <w:pPr>
        <w:pStyle w:val="TSNumberedParagraph11"/>
      </w:pPr>
      <w:r w:rsidRPr="00F97D97">
        <w:t xml:space="preserve">As well as impacting the degradation and through-life integrity </w:t>
      </w:r>
      <w:r w:rsidR="00F97D97" w:rsidRPr="00F97D97">
        <w:t xml:space="preserve">of metallic components, the chemical degradation of matter by radiation (radiation chemistry) can also have important consequences for other materials and conditions </w:t>
      </w:r>
      <w:r w:rsidR="00134D49">
        <w:t>that may be present at nuclear facilities</w:t>
      </w:r>
      <w:r w:rsidR="00784594">
        <w:t xml:space="preserve">, </w:t>
      </w:r>
      <w:r w:rsidR="009E4531">
        <w:t>examples include</w:t>
      </w:r>
      <w:r w:rsidR="00F97D97" w:rsidRPr="00F97D97">
        <w:t>:</w:t>
      </w:r>
    </w:p>
    <w:p w14:paraId="5F3F4AF8" w14:textId="77777777" w:rsidR="001C6A6B" w:rsidRDefault="001C6A6B" w:rsidP="00F97D97">
      <w:pPr>
        <w:pStyle w:val="TSBullet1Square"/>
      </w:pPr>
      <w:r>
        <w:t xml:space="preserve">the corrosion of graphite in </w:t>
      </w:r>
      <w:r w:rsidR="009E4531">
        <w:t xml:space="preserve">some nuclear </w:t>
      </w:r>
      <w:r>
        <w:t>reactor cores</w:t>
      </w:r>
      <w:r w:rsidR="009E4531">
        <w:t>;</w:t>
      </w:r>
    </w:p>
    <w:p w14:paraId="5F3F4AF9" w14:textId="77777777" w:rsidR="00F97D97" w:rsidRPr="00F97D97" w:rsidRDefault="00784594" w:rsidP="00F97D97">
      <w:pPr>
        <w:pStyle w:val="TSBullet1Square"/>
      </w:pPr>
      <w:r>
        <w:t>t</w:t>
      </w:r>
      <w:r w:rsidRPr="00F97D97">
        <w:t xml:space="preserve">he </w:t>
      </w:r>
      <w:r w:rsidR="00F97D97" w:rsidRPr="00F97D97">
        <w:t>degradation o</w:t>
      </w:r>
      <w:r w:rsidR="00F97D97">
        <w:t xml:space="preserve">f </w:t>
      </w:r>
      <w:r w:rsidR="00F97D97" w:rsidRPr="00F97D97">
        <w:t>organic m</w:t>
      </w:r>
      <w:r w:rsidR="00F547FF">
        <w:t>aterials</w:t>
      </w:r>
      <w:r w:rsidR="009E4531">
        <w:t>;</w:t>
      </w:r>
    </w:p>
    <w:p w14:paraId="5F3F4AFA" w14:textId="77777777" w:rsidR="00E845B5" w:rsidRDefault="00784594" w:rsidP="00F97D97">
      <w:pPr>
        <w:pStyle w:val="TSBullet1Square"/>
      </w:pPr>
      <w:r>
        <w:t xml:space="preserve">radiation </w:t>
      </w:r>
      <w:r w:rsidR="00E845B5">
        <w:t>chemistry of nitrate, nitric acid and TBP systems;</w:t>
      </w:r>
      <w:r>
        <w:t xml:space="preserve"> and</w:t>
      </w:r>
    </w:p>
    <w:p w14:paraId="5F3F4AFB" w14:textId="77777777" w:rsidR="00F97D97" w:rsidRDefault="00784594" w:rsidP="00E845B5">
      <w:pPr>
        <w:pStyle w:val="TSBullet1Square"/>
      </w:pPr>
      <w:r>
        <w:t>r</w:t>
      </w:r>
      <w:r w:rsidRPr="00F97D97">
        <w:t xml:space="preserve">adiation </w:t>
      </w:r>
      <w:r w:rsidR="00F97D97" w:rsidRPr="00F97D97">
        <w:t>chemistry of aqueous systems</w:t>
      </w:r>
      <w:r w:rsidR="009E4531">
        <w:t>.</w:t>
      </w:r>
    </w:p>
    <w:p w14:paraId="5F3F4AFC" w14:textId="77777777" w:rsidR="00064A4A" w:rsidRPr="00064A4A" w:rsidRDefault="00064A4A" w:rsidP="00064A4A"/>
    <w:p w14:paraId="5F3F4AFD" w14:textId="77777777" w:rsidR="001C6A6B" w:rsidRDefault="001C6A6B" w:rsidP="001C6A6B">
      <w:pPr>
        <w:pStyle w:val="TSNumberedParagraph11"/>
      </w:pPr>
      <w:r>
        <w:t>An important degradation mechanism in gas-cooled graphite moderated reactors is the radiation induced oxidation of the gra</w:t>
      </w:r>
      <w:r w:rsidR="009E4531">
        <w:t xml:space="preserve">phite core by carbon dioxide, and associated phenomena, </w:t>
      </w:r>
      <w:r>
        <w:t xml:space="preserve">such as carbon deposition. Further details </w:t>
      </w:r>
      <w:r w:rsidR="009E4531">
        <w:t>are contained in</w:t>
      </w:r>
      <w:r>
        <w:t xml:space="preserve"> [</w:t>
      </w:r>
      <w:r w:rsidR="0052667E">
        <w:fldChar w:fldCharType="begin"/>
      </w:r>
      <w:r w:rsidR="0052667E">
        <w:instrText xml:space="preserve"> NOTEREF _Ref447275804 </w:instrText>
      </w:r>
      <w:r w:rsidR="0052667E">
        <w:fldChar w:fldCharType="separate"/>
      </w:r>
      <w:r w:rsidR="00C23519">
        <w:t>3</w:t>
      </w:r>
      <w:r w:rsidR="0052667E">
        <w:fldChar w:fldCharType="end"/>
      </w:r>
      <w:r>
        <w:t xml:space="preserve">]. </w:t>
      </w:r>
    </w:p>
    <w:p w14:paraId="5F3F4AFE" w14:textId="77777777" w:rsidR="00D3434E" w:rsidRDefault="00F97D97" w:rsidP="0002758C">
      <w:pPr>
        <w:pStyle w:val="TSNumberedParagraph11"/>
      </w:pPr>
      <w:r w:rsidRPr="00D3434E">
        <w:t xml:space="preserve">Organic material may </w:t>
      </w:r>
      <w:r w:rsidR="00EC6F2A">
        <w:t xml:space="preserve">commonly </w:t>
      </w:r>
      <w:r w:rsidRPr="00D3434E">
        <w:t>be present in the form of waste oils or solvents.</w:t>
      </w:r>
      <w:r w:rsidR="00355C8A">
        <w:t xml:space="preserve"> </w:t>
      </w:r>
      <w:r w:rsidR="00EC6F2A">
        <w:t xml:space="preserve">Some ion exchange media are </w:t>
      </w:r>
      <w:r w:rsidR="00D3434E">
        <w:t xml:space="preserve">polymeric </w:t>
      </w:r>
      <w:r w:rsidR="00A3347B">
        <w:t>resins</w:t>
      </w:r>
      <w:r w:rsidR="002F2289">
        <w:t>,</w:t>
      </w:r>
      <w:r w:rsidR="00A3347B">
        <w:t xml:space="preserve"> which if exposed </w:t>
      </w:r>
      <w:r w:rsidR="00EC6F2A">
        <w:t xml:space="preserve">to </w:t>
      </w:r>
      <w:r w:rsidR="00A3347B">
        <w:t xml:space="preserve">a high enough radiation dose, can cause </w:t>
      </w:r>
      <w:r w:rsidR="00BD08AC">
        <w:t>spent</w:t>
      </w:r>
      <w:r w:rsidR="00A3347B">
        <w:t xml:space="preserve"> resins to lose their functionality and </w:t>
      </w:r>
      <w:r w:rsidR="00D3434E">
        <w:t>release</w:t>
      </w:r>
      <w:r w:rsidR="00A3347B">
        <w:t xml:space="preserve"> </w:t>
      </w:r>
      <w:r w:rsidR="00D3434E">
        <w:t>radioactivity.</w:t>
      </w:r>
      <w:r w:rsidR="00EC6F2A">
        <w:t xml:space="preserve"> Other commonly encountered materials </w:t>
      </w:r>
      <w:r w:rsidR="009E4531">
        <w:t>at</w:t>
      </w:r>
      <w:r w:rsidR="00A3347B">
        <w:t xml:space="preserve"> nuclear facilities containing </w:t>
      </w:r>
      <w:r w:rsidR="00EC6F2A">
        <w:t xml:space="preserve">organics include cable insulation, </w:t>
      </w:r>
      <w:r w:rsidR="00A3347B">
        <w:t xml:space="preserve">often </w:t>
      </w:r>
      <w:r w:rsidR="00EC6F2A">
        <w:t xml:space="preserve">made from </w:t>
      </w:r>
      <w:r w:rsidR="00EC6F2A" w:rsidRPr="00582CC3">
        <w:t>Po</w:t>
      </w:r>
      <w:r w:rsidR="00A3347B">
        <w:t>lyvinyl C</w:t>
      </w:r>
      <w:r w:rsidR="00EC6F2A" w:rsidRPr="00582CC3">
        <w:t>hloride (PVC)</w:t>
      </w:r>
      <w:r w:rsidR="00A3347B">
        <w:t xml:space="preserve">. Under certain conditions </w:t>
      </w:r>
      <w:r w:rsidR="00EC6F2A" w:rsidRPr="00582CC3">
        <w:t xml:space="preserve">PVC can </w:t>
      </w:r>
      <w:r w:rsidR="00A3347B">
        <w:t>degrade over time, resulting in other consequential hazards. For e</w:t>
      </w:r>
      <w:r w:rsidR="009E4531">
        <w:t xml:space="preserve">xample, the evolution of hydrochloric acid. This </w:t>
      </w:r>
      <w:r w:rsidR="00EC6F2A" w:rsidRPr="00582CC3">
        <w:t xml:space="preserve">can </w:t>
      </w:r>
      <w:r w:rsidR="00A3347B">
        <w:t xml:space="preserve">lead to the formation of </w:t>
      </w:r>
      <w:r w:rsidR="00EC6F2A" w:rsidRPr="00582CC3">
        <w:t>a corrosive environment, and</w:t>
      </w:r>
      <w:r w:rsidR="00A3347B">
        <w:t>/or</w:t>
      </w:r>
      <w:r w:rsidR="00EC6F2A" w:rsidRPr="00582CC3">
        <w:t xml:space="preserve"> </w:t>
      </w:r>
      <w:r w:rsidR="009E4531">
        <w:t>the generation of hydrogen</w:t>
      </w:r>
      <w:r w:rsidR="00A3347B">
        <w:t xml:space="preserve">, </w:t>
      </w:r>
      <w:r w:rsidR="00EC6F2A" w:rsidRPr="00582CC3">
        <w:t>which may accumul</w:t>
      </w:r>
      <w:r w:rsidR="00A3347B">
        <w:t>ate to form an explosive atmosphere</w:t>
      </w:r>
      <w:r w:rsidR="00EC6F2A">
        <w:t xml:space="preserve">. </w:t>
      </w:r>
      <w:r w:rsidR="00D3434E">
        <w:t xml:space="preserve"> </w:t>
      </w:r>
    </w:p>
    <w:p w14:paraId="5F3F4AFF" w14:textId="7BEE7A66" w:rsidR="00F97D97" w:rsidRDefault="00D3434E" w:rsidP="0002758C">
      <w:pPr>
        <w:pStyle w:val="TSNumberedParagraph11"/>
      </w:pPr>
      <w:r>
        <w:t>P</w:t>
      </w:r>
      <w:r w:rsidR="00F97D97" w:rsidRPr="00D3434E">
        <w:t xml:space="preserve">olymeric materials have </w:t>
      </w:r>
      <w:r>
        <w:t xml:space="preserve">also </w:t>
      </w:r>
      <w:r w:rsidR="00F97D97" w:rsidRPr="00D3434E">
        <w:t>been used to encaps</w:t>
      </w:r>
      <w:r w:rsidR="00BD08AC">
        <w:t xml:space="preserve">ulate some radioactive wastes </w:t>
      </w:r>
      <w:r w:rsidR="00F97D97" w:rsidRPr="00D3434E">
        <w:t xml:space="preserve">and are being proposed as possible alternatives for the encapsulation of chemically reactive metals. </w:t>
      </w:r>
      <w:r w:rsidRPr="00D3434E">
        <w:t>Depending on the ty</w:t>
      </w:r>
      <w:r>
        <w:t xml:space="preserve">pe of organic material, </w:t>
      </w:r>
      <w:r w:rsidRPr="00D3434E">
        <w:t xml:space="preserve">radiation </w:t>
      </w:r>
      <w:r>
        <w:t xml:space="preserve">type </w:t>
      </w:r>
      <w:r w:rsidRPr="00D3434E">
        <w:t>and prevailing chemical conditions, radiolysis of these materials can result i</w:t>
      </w:r>
      <w:r>
        <w:t xml:space="preserve">n </w:t>
      </w:r>
      <w:r w:rsidR="00581D54">
        <w:t xml:space="preserve">degradation, </w:t>
      </w:r>
      <w:r>
        <w:t>form</w:t>
      </w:r>
      <w:r w:rsidR="00581D54">
        <w:t>ing</w:t>
      </w:r>
      <w:r>
        <w:t xml:space="preserve"> potentially corrosive</w:t>
      </w:r>
      <w:r w:rsidR="007A3989">
        <w:t xml:space="preserve">, toxic or </w:t>
      </w:r>
      <w:r>
        <w:t>combust</w:t>
      </w:r>
      <w:r w:rsidR="009E4531">
        <w:t xml:space="preserve">ible gases </w:t>
      </w:r>
      <w:r w:rsidR="00FF48B7">
        <w:t>including</w:t>
      </w:r>
      <w:r w:rsidR="009E4531">
        <w:t xml:space="preserve"> hydrogen, methane, hydrochloric acid, and hydrogen sulphide</w:t>
      </w:r>
      <w:r>
        <w:t xml:space="preserve">, amongst others. </w:t>
      </w:r>
    </w:p>
    <w:p w14:paraId="5F3F4B00" w14:textId="77777777" w:rsidR="00E845B5" w:rsidRPr="00582CC3" w:rsidRDefault="00E845B5" w:rsidP="0002758C">
      <w:pPr>
        <w:pStyle w:val="TSNumberedParagraph11"/>
      </w:pPr>
      <w:r>
        <w:t xml:space="preserve">For nuclear fuel cycle facilities which either refine or chemically separate fissile material, radiation chemistry of nitrate, nitric acid and TBP systems should also be given adequate consideration in the </w:t>
      </w:r>
      <w:r w:rsidRPr="00582CC3">
        <w:t xml:space="preserve">safety case. </w:t>
      </w:r>
    </w:p>
    <w:p w14:paraId="5F3F4B01" w14:textId="77777777" w:rsidR="00BD08AC" w:rsidRDefault="009E4531" w:rsidP="0002758C">
      <w:pPr>
        <w:pStyle w:val="TSNumberedParagraph11"/>
      </w:pPr>
      <w:r>
        <w:t>For some aqueous systems</w:t>
      </w:r>
      <w:r w:rsidR="00BD08AC" w:rsidRPr="00582CC3">
        <w:t xml:space="preserve"> water is purposely present to provide a cooling saf</w:t>
      </w:r>
      <w:r w:rsidR="008F4E4C">
        <w:t>ety function</w:t>
      </w:r>
      <w:r>
        <w:t>, for example, in a LWR</w:t>
      </w:r>
      <w:r w:rsidR="00BD08AC" w:rsidRPr="00582CC3">
        <w:t>. In these</w:t>
      </w:r>
      <w:r w:rsidR="00BD08AC">
        <w:t xml:space="preserve"> circumstances the presence of water is unavoidable, so the </w:t>
      </w:r>
      <w:r w:rsidR="00F6436D">
        <w:t>consequences of the coolant</w:t>
      </w:r>
      <w:r w:rsidR="00BD08AC">
        <w:t xml:space="preserve"> undergoing radiolysis</w:t>
      </w:r>
      <w:r w:rsidR="00C13538">
        <w:t xml:space="preserve">, </w:t>
      </w:r>
      <w:r>
        <w:t>ultimately to form hydrogen and oxygen</w:t>
      </w:r>
      <w:r w:rsidR="00BD08AC">
        <w:t>, amongst other chemical species, on the safe operation of the plant</w:t>
      </w:r>
      <w:r w:rsidR="00F345BF">
        <w:t>, must be adequately addressed</w:t>
      </w:r>
      <w:r w:rsidR="00BD08AC">
        <w:t xml:space="preserve"> in the safety case.</w:t>
      </w:r>
      <w:r w:rsidR="00F6436D">
        <w:t xml:space="preserve"> In this instance</w:t>
      </w:r>
      <w:r w:rsidR="00F345BF">
        <w:t xml:space="preserve">, </w:t>
      </w:r>
      <w:r w:rsidR="00F6436D">
        <w:t xml:space="preserve">the operating chemistry can directly influence the radiolysis mechanism. Further guidance is presented in </w:t>
      </w:r>
      <w:r w:rsidR="00FF5A39" w:rsidRPr="00DB4353">
        <w:t>[</w:t>
      </w:r>
      <w:r w:rsidR="00C13538" w:rsidRPr="00DB4353">
        <w:fldChar w:fldCharType="begin"/>
      </w:r>
      <w:r w:rsidR="00C13538" w:rsidRPr="00DB4353">
        <w:instrText xml:space="preserve"> NOTEREF _Ref447275804 </w:instrText>
      </w:r>
      <w:r w:rsidR="00C13538">
        <w:instrText xml:space="preserve"> \* MERGEFORMAT </w:instrText>
      </w:r>
      <w:r w:rsidR="00C13538" w:rsidRPr="00DB4353">
        <w:fldChar w:fldCharType="separate"/>
      </w:r>
      <w:r w:rsidR="00C23519">
        <w:t>3</w:t>
      </w:r>
      <w:r w:rsidR="00C13538" w:rsidRPr="00DB4353">
        <w:fldChar w:fldCharType="end"/>
      </w:r>
      <w:r w:rsidR="00FF5A39" w:rsidRPr="00DB4353">
        <w:t>]</w:t>
      </w:r>
      <w:r w:rsidR="00F6436D" w:rsidRPr="00DB4353">
        <w:t>,</w:t>
      </w:r>
      <w:r w:rsidR="00F6436D">
        <w:t xml:space="preserve"> see principle ECH.2.</w:t>
      </w:r>
      <w:r w:rsidR="00BD08AC">
        <w:t xml:space="preserve"> </w:t>
      </w:r>
    </w:p>
    <w:p w14:paraId="5F3F4B02" w14:textId="77777777" w:rsidR="0008442B" w:rsidRDefault="00E845B5" w:rsidP="0002758C">
      <w:pPr>
        <w:pStyle w:val="TSNumberedParagraph11"/>
      </w:pPr>
      <w:r>
        <w:t xml:space="preserve">Another circumstance where water may be present and its </w:t>
      </w:r>
      <w:r w:rsidR="006F784C">
        <w:t xml:space="preserve">radiolysis products problematic, </w:t>
      </w:r>
      <w:r>
        <w:t xml:space="preserve">is the long-term safe storage of nuclear matter, radioactive materials and radioactive waste. </w:t>
      </w:r>
      <w:r w:rsidR="00C13538">
        <w:t>The radiolysis of moist air can result in the formation of acidic nitrogen sp</w:t>
      </w:r>
      <w:r w:rsidR="009E4531">
        <w:t>ecies including nitric acid. R</w:t>
      </w:r>
      <w:r>
        <w:t xml:space="preserve">adiolysis of water and other </w:t>
      </w:r>
      <w:r w:rsidR="00355C8A">
        <w:t xml:space="preserve">contaminants can </w:t>
      </w:r>
      <w:r w:rsidR="009E4531">
        <w:t xml:space="preserve">therefore </w:t>
      </w:r>
      <w:r w:rsidR="00355C8A">
        <w:t xml:space="preserve">be </w:t>
      </w:r>
      <w:r w:rsidR="00C13538">
        <w:t>particularly problematic</w:t>
      </w:r>
      <w:r>
        <w:t xml:space="preserve"> </w:t>
      </w:r>
      <w:r w:rsidR="002931DE">
        <w:t>when storing</w:t>
      </w:r>
      <w:r>
        <w:t xml:space="preserve"> high</w:t>
      </w:r>
      <w:r w:rsidR="0008442B">
        <w:t xml:space="preserve"> </w:t>
      </w:r>
      <w:r w:rsidR="00C13538">
        <w:t>dose-</w:t>
      </w:r>
      <w:r w:rsidR="009E4531">
        <w:t>rate material such as plutonium</w:t>
      </w:r>
      <w:r w:rsidR="002931DE">
        <w:t>. M</w:t>
      </w:r>
      <w:r w:rsidR="009E4531">
        <w:t>ost forms of plutonium</w:t>
      </w:r>
      <w:r w:rsidR="0008442B">
        <w:t xml:space="preserve"> are chemically reactive.</w:t>
      </w:r>
      <w:r w:rsidR="002931DE">
        <w:t xml:space="preserve"> Almost all</w:t>
      </w:r>
      <w:r w:rsidR="007F35FC">
        <w:t xml:space="preserve"> potential prob</w:t>
      </w:r>
      <w:r w:rsidR="002931DE">
        <w:t>lems</w:t>
      </w:r>
      <w:r w:rsidR="007F35FC">
        <w:t xml:space="preserve"> arise from the chemical</w:t>
      </w:r>
      <w:r w:rsidR="009E4531">
        <w:t xml:space="preserve"> interactions of the plutonium</w:t>
      </w:r>
      <w:r w:rsidR="002931DE">
        <w:t xml:space="preserve"> with </w:t>
      </w:r>
      <w:r w:rsidR="007F35FC">
        <w:t>air, moisture, or radiolytic breakdown products.</w:t>
      </w:r>
    </w:p>
    <w:p w14:paraId="5F3F4B03" w14:textId="77777777" w:rsidR="00721CAD" w:rsidRPr="007F35FC" w:rsidRDefault="00E845B5" w:rsidP="00721CAD">
      <w:pPr>
        <w:pStyle w:val="TSNumberedParagraph11"/>
        <w:tabs>
          <w:tab w:val="clear" w:pos="-31680"/>
        </w:tabs>
      </w:pPr>
      <w:r w:rsidRPr="00DB4353">
        <w:t xml:space="preserve">Section </w:t>
      </w:r>
      <w:r w:rsidR="0052667E">
        <w:fldChar w:fldCharType="begin"/>
      </w:r>
      <w:r w:rsidR="0052667E">
        <w:instrText xml:space="preserve"> REF control_nuc_matter \r </w:instrText>
      </w:r>
      <w:r w:rsidR="0052667E">
        <w:fldChar w:fldCharType="separate"/>
      </w:r>
      <w:r w:rsidR="00C23519">
        <w:t>7</w:t>
      </w:r>
      <w:r w:rsidR="0052667E">
        <w:fldChar w:fldCharType="end"/>
      </w:r>
      <w:r w:rsidR="00BA5B75">
        <w:t xml:space="preserve"> provides further </w:t>
      </w:r>
      <w:r>
        <w:t>guidance</w:t>
      </w:r>
      <w:r w:rsidR="00355C8A">
        <w:t xml:space="preserve"> on chemistry consid</w:t>
      </w:r>
      <w:r w:rsidR="0037443A">
        <w:t xml:space="preserve">erations that may be important </w:t>
      </w:r>
      <w:r w:rsidR="00355C8A">
        <w:t>where passive safety is claimed</w:t>
      </w:r>
      <w:r w:rsidR="007C1252">
        <w:t>. S</w:t>
      </w:r>
      <w:r w:rsidR="00721CAD">
        <w:t xml:space="preserve">ome of the guidance </w:t>
      </w:r>
      <w:r w:rsidR="00CA48A7">
        <w:t xml:space="preserve">is </w:t>
      </w:r>
      <w:r w:rsidR="00721CAD">
        <w:t xml:space="preserve">also </w:t>
      </w:r>
      <w:r w:rsidR="00CA48A7">
        <w:t xml:space="preserve">relevant to the consideration of the </w:t>
      </w:r>
      <w:r w:rsidR="00721CAD">
        <w:t xml:space="preserve">impacts of </w:t>
      </w:r>
      <w:r w:rsidR="00024F30">
        <w:t xml:space="preserve">the </w:t>
      </w:r>
      <w:r w:rsidR="00CA48A7">
        <w:t xml:space="preserve">degradation of non-metallic materials. </w:t>
      </w:r>
    </w:p>
    <w:p w14:paraId="5F3F4B04" w14:textId="77777777" w:rsidR="00822C8D" w:rsidRPr="00CF2599" w:rsidRDefault="00BF107B" w:rsidP="0002758C">
      <w:pPr>
        <w:pStyle w:val="TSHeadingLevel1Numbered"/>
      </w:pPr>
      <w:bookmarkStart w:id="34" w:name="_Toc447189493"/>
      <w:bookmarkStart w:id="35" w:name="control_nuc_matter"/>
      <w:bookmarkStart w:id="36" w:name="_Toc61505475"/>
      <w:r w:rsidRPr="00CF2599">
        <w:t>CONTROL</w:t>
      </w:r>
      <w:r w:rsidR="00FE54BE" w:rsidRPr="00CF2599">
        <w:t xml:space="preserve"> OF NUCLEAR MATTER, RADIOACTIVE MATERIAL AND RADIOACTIVE WASTE</w:t>
      </w:r>
      <w:bookmarkEnd w:id="34"/>
      <w:bookmarkEnd w:id="35"/>
      <w:bookmarkEnd w:id="36"/>
      <w:r w:rsidR="00FE54BE" w:rsidRPr="00CF2599">
        <w:t xml:space="preserve"> </w:t>
      </w:r>
    </w:p>
    <w:p w14:paraId="5F3F4B05" w14:textId="72F2949E" w:rsidR="00FF3BF0" w:rsidRPr="00933745" w:rsidRDefault="00FF3BF0" w:rsidP="00D420F5">
      <w:pPr>
        <w:pStyle w:val="TSNumberedParagraph11"/>
        <w:tabs>
          <w:tab w:val="clear" w:pos="-31680"/>
        </w:tabs>
      </w:pPr>
      <w:r w:rsidRPr="00933745">
        <w:t xml:space="preserve">Radioactive waste management is principally concerned with developing and implementing strategies to achieve the safe </w:t>
      </w:r>
      <w:r w:rsidR="00315A2E" w:rsidRPr="00933745">
        <w:t>and efficient processing</w:t>
      </w:r>
      <w:r w:rsidR="005F1FFF">
        <w:t xml:space="preserve">, storage </w:t>
      </w:r>
      <w:r w:rsidR="00933745">
        <w:t>and</w:t>
      </w:r>
      <w:r w:rsidRPr="00933745">
        <w:t xml:space="preserve"> </w:t>
      </w:r>
      <w:r w:rsidR="005F1FFF">
        <w:t>eventu</w:t>
      </w:r>
      <w:r w:rsidR="00287228">
        <w:t xml:space="preserve">al </w:t>
      </w:r>
      <w:r w:rsidR="00B90D48" w:rsidRPr="00933745">
        <w:t>disposal</w:t>
      </w:r>
      <w:r w:rsidR="00287228">
        <w:t xml:space="preserve"> of </w:t>
      </w:r>
      <w:r w:rsidRPr="00933745">
        <w:t>waste.</w:t>
      </w:r>
      <w:r w:rsidR="00D85D55">
        <w:t xml:space="preserve"> In ONR, </w:t>
      </w:r>
      <w:r w:rsidR="0073762A">
        <w:t>these are the activities which nuclear l</w:t>
      </w:r>
      <w:r w:rsidR="00D85D55">
        <w:t>iabilities regulation specialists mostly deal with.</w:t>
      </w:r>
      <w:r w:rsidR="0073762A">
        <w:t xml:space="preserve"> It is also important to recognise this is the topic where ONR chemistry specialists may most likely need to interact with regulatory colleagues responsible for regulating discharges to the environment </w:t>
      </w:r>
      <w:r w:rsidR="00E1197D" w:rsidRPr="005642A9">
        <w:t>i.e.</w:t>
      </w:r>
      <w:r w:rsidR="0073762A" w:rsidRPr="0073762A">
        <w:rPr>
          <w:i/>
        </w:rPr>
        <w:t xml:space="preserve"> </w:t>
      </w:r>
      <w:r w:rsidR="0073762A">
        <w:t>EA, N</w:t>
      </w:r>
      <w:r w:rsidR="00A60A5A">
        <w:t xml:space="preserve">atural </w:t>
      </w:r>
      <w:r w:rsidR="0073762A">
        <w:t>R</w:t>
      </w:r>
      <w:r w:rsidR="00A60A5A">
        <w:t xml:space="preserve">esources </w:t>
      </w:r>
      <w:r w:rsidR="0073762A">
        <w:t>W</w:t>
      </w:r>
      <w:r w:rsidR="00A60A5A">
        <w:t>ales (NRW)</w:t>
      </w:r>
      <w:r w:rsidR="0073762A">
        <w:t xml:space="preserve"> and/or </w:t>
      </w:r>
      <w:r w:rsidR="004E7A77">
        <w:t xml:space="preserve">the Scottish </w:t>
      </w:r>
      <w:r w:rsidR="005E626A" w:rsidRPr="00B85AC7">
        <w:t>Environment</w:t>
      </w:r>
      <w:r w:rsidR="004E7A77">
        <w:t xml:space="preserve"> Protection Agency (</w:t>
      </w:r>
      <w:r w:rsidR="0073762A">
        <w:t>SEPA</w:t>
      </w:r>
      <w:r w:rsidR="004E7A77">
        <w:t>)</w:t>
      </w:r>
      <w:r w:rsidR="0073762A">
        <w:t xml:space="preserve">. </w:t>
      </w:r>
      <w:r w:rsidR="00D420F5" w:rsidRPr="00287228">
        <w:t xml:space="preserve">Further information </w:t>
      </w:r>
      <w:r w:rsidR="00D420F5">
        <w:t>related more generally to radioactive waste management issues is provided in the J</w:t>
      </w:r>
      <w:r w:rsidR="00D420F5" w:rsidRPr="00287228">
        <w:t>oint</w:t>
      </w:r>
      <w:r w:rsidR="00D420F5">
        <w:t xml:space="preserve"> Regulatory Guidance on </w:t>
      </w:r>
      <w:r w:rsidR="00B91638">
        <w:t>the</w:t>
      </w:r>
      <w:r w:rsidR="00D420F5">
        <w:t xml:space="preserve"> M</w:t>
      </w:r>
      <w:r w:rsidR="00D420F5" w:rsidRPr="00287228">
        <w:t xml:space="preserve">anagement </w:t>
      </w:r>
      <w:r w:rsidR="00B91638">
        <w:t xml:space="preserve">of Higher Activity Waste (HAW) </w:t>
      </w:r>
      <w:r w:rsidR="00D420F5" w:rsidRPr="00DB4353">
        <w:t>[</w:t>
      </w:r>
      <w:r w:rsidR="00D420F5">
        <w:rPr>
          <w:rStyle w:val="EndnoteReference"/>
        </w:rPr>
        <w:endnoteReference w:id="23"/>
      </w:r>
      <w:r w:rsidR="00D420F5" w:rsidRPr="00DB4353">
        <w:t>]</w:t>
      </w:r>
      <w:r w:rsidR="00D420F5" w:rsidRPr="00287228">
        <w:t xml:space="preserve"> and ONR’s TAG on the Management of Radioactive Materials and Rad</w:t>
      </w:r>
      <w:r w:rsidR="00D60024">
        <w:t>ioactive Waste on Nuclear Licenc</w:t>
      </w:r>
      <w:r w:rsidR="00D420F5" w:rsidRPr="00287228">
        <w:t xml:space="preserve">ed Sites </w:t>
      </w:r>
      <w:r w:rsidR="00D420F5" w:rsidRPr="00DB4353">
        <w:t>[</w:t>
      </w:r>
      <w:r w:rsidR="00D420F5">
        <w:rPr>
          <w:rStyle w:val="EndnoteReference"/>
        </w:rPr>
        <w:endnoteReference w:id="24"/>
      </w:r>
      <w:r w:rsidR="00D420F5" w:rsidRPr="00DB4353">
        <w:t>].</w:t>
      </w:r>
      <w:r w:rsidR="00D85D55">
        <w:t xml:space="preserve"> </w:t>
      </w:r>
    </w:p>
    <w:p w14:paraId="5F3F4B06" w14:textId="77777777" w:rsidR="00B90D48" w:rsidRPr="00933745" w:rsidRDefault="00D85D55" w:rsidP="0002758C">
      <w:pPr>
        <w:pStyle w:val="TSNumberedParagraph11"/>
      </w:pPr>
      <w:r>
        <w:t>Predominately, chemistry assessment sits a level beneath these activities and may have</w:t>
      </w:r>
      <w:r w:rsidR="00B90D48" w:rsidRPr="00933745">
        <w:t xml:space="preserve"> a role to play in implementing strategies for managing radioactive waste and in </w:t>
      </w:r>
      <w:r w:rsidR="00CB181B" w:rsidRPr="00933745">
        <w:t>the development of the supporting</w:t>
      </w:r>
      <w:r w:rsidR="007C1252">
        <w:t xml:space="preserve"> safety case. H</w:t>
      </w:r>
      <w:r>
        <w:t>owever,</w:t>
      </w:r>
      <w:r w:rsidR="007C1252">
        <w:t xml:space="preserve"> in some instances, </w:t>
      </w:r>
      <w:r w:rsidR="00CB181B" w:rsidRPr="00933745">
        <w:t>it may act as one of the inputs to</w:t>
      </w:r>
      <w:r w:rsidR="00287228">
        <w:t xml:space="preserve"> developing </w:t>
      </w:r>
      <w:r>
        <w:t xml:space="preserve">the radioactive waste management </w:t>
      </w:r>
      <w:r w:rsidR="005F1FFF">
        <w:t>strategies</w:t>
      </w:r>
      <w:r>
        <w:t xml:space="preserve"> themselves</w:t>
      </w:r>
      <w:r w:rsidR="00EB1EAD">
        <w:t xml:space="preserve">. </w:t>
      </w:r>
      <w:r w:rsidR="00B90D48" w:rsidRPr="00933745">
        <w:t>Chemistry</w:t>
      </w:r>
      <w:r w:rsidR="007C1252">
        <w:t xml:space="preserve"> can therefore </w:t>
      </w:r>
      <w:r>
        <w:t xml:space="preserve">be </w:t>
      </w:r>
      <w:r w:rsidR="00B90D48" w:rsidRPr="00933745">
        <w:t xml:space="preserve">involved </w:t>
      </w:r>
      <w:r>
        <w:t xml:space="preserve">to a greater or lesser extent, </w:t>
      </w:r>
      <w:r w:rsidR="00B90D48" w:rsidRPr="00933745">
        <w:t xml:space="preserve">in </w:t>
      </w:r>
      <w:r w:rsidR="00287228">
        <w:t xml:space="preserve">most </w:t>
      </w:r>
      <w:r w:rsidR="00CB181B" w:rsidRPr="00933745">
        <w:t xml:space="preserve">of the </w:t>
      </w:r>
      <w:r>
        <w:t xml:space="preserve">steps involved in </w:t>
      </w:r>
      <w:r w:rsidR="00B90D48" w:rsidRPr="00933745">
        <w:t>radioactive wast</w:t>
      </w:r>
      <w:r w:rsidR="00D60024">
        <w:t>e management on a nuclear licenc</w:t>
      </w:r>
      <w:r w:rsidR="00B90D48" w:rsidRPr="00933745">
        <w:t>ed site:</w:t>
      </w:r>
    </w:p>
    <w:p w14:paraId="5F3F4B07" w14:textId="77777777" w:rsidR="00B90D48" w:rsidRPr="00933745" w:rsidRDefault="00B90D48" w:rsidP="00B90D48">
      <w:pPr>
        <w:pStyle w:val="TSBullet1Square"/>
      </w:pPr>
      <w:r w:rsidRPr="00DB4353">
        <w:rPr>
          <w:b/>
        </w:rPr>
        <w:t>Waste generation</w:t>
      </w:r>
      <w:r w:rsidRPr="00DB4353">
        <w:t xml:space="preserve"> – </w:t>
      </w:r>
      <w:r w:rsidRPr="00933745">
        <w:t>good chemistry control can reduce</w:t>
      </w:r>
      <w:r w:rsidR="00CB181B" w:rsidRPr="00933745">
        <w:t xml:space="preserve"> the radioactivity content and overall volume of wastes. An adequate understanding of the physical and chemical properties of the waste from the outset can minimise secondary wastes and </w:t>
      </w:r>
      <w:r w:rsidR="00315A2E" w:rsidRPr="00933745">
        <w:t>support effective segregation</w:t>
      </w:r>
      <w:r w:rsidR="009677DA">
        <w:t>.</w:t>
      </w:r>
    </w:p>
    <w:p w14:paraId="5F3F4B08" w14:textId="5F3C549A" w:rsidR="00DF2790" w:rsidRPr="00DF2790" w:rsidRDefault="00B90D48" w:rsidP="00B90D48">
      <w:pPr>
        <w:pStyle w:val="TSBullet1Square"/>
      </w:pPr>
      <w:r w:rsidRPr="00DB4353">
        <w:rPr>
          <w:b/>
        </w:rPr>
        <w:t>Pre-treatment</w:t>
      </w:r>
      <w:r w:rsidR="00DF2790" w:rsidRPr="00DB4353">
        <w:t xml:space="preserve"> – </w:t>
      </w:r>
      <w:r w:rsidR="00DF2790" w:rsidRPr="00DF2790">
        <w:t>may include chemical</w:t>
      </w:r>
      <w:r w:rsidR="00533390">
        <w:t xml:space="preserve">ly adjusting waste to stabilise or </w:t>
      </w:r>
      <w:r w:rsidR="00DF2790">
        <w:t xml:space="preserve">passivate it </w:t>
      </w:r>
      <w:r w:rsidR="00287228">
        <w:t xml:space="preserve">or using </w:t>
      </w:r>
      <w:r w:rsidR="00DF2790" w:rsidRPr="00DF2790">
        <w:t>chemical decontamination techniques</w:t>
      </w:r>
      <w:r w:rsidR="00287228">
        <w:t xml:space="preserve"> to remove radioactivity or other chemical contamina</w:t>
      </w:r>
      <w:r w:rsidR="00DB4861">
        <w:t>n</w:t>
      </w:r>
      <w:r w:rsidR="00287228">
        <w:t>ts</w:t>
      </w:r>
      <w:r w:rsidR="009677DA">
        <w:t>.</w:t>
      </w:r>
      <w:r w:rsidR="00DF2790" w:rsidRPr="00DF2790">
        <w:t xml:space="preserve">   </w:t>
      </w:r>
    </w:p>
    <w:p w14:paraId="5F3F4B09" w14:textId="77777777" w:rsidR="00DF2790" w:rsidRPr="00287228" w:rsidRDefault="00DF2790" w:rsidP="00B90D48">
      <w:pPr>
        <w:pStyle w:val="TSBullet1Square"/>
      </w:pPr>
      <w:r w:rsidRPr="00DB4353">
        <w:rPr>
          <w:b/>
        </w:rPr>
        <w:t>T</w:t>
      </w:r>
      <w:r w:rsidR="00CB181B" w:rsidRPr="00DB4353">
        <w:rPr>
          <w:b/>
        </w:rPr>
        <w:t>reatment</w:t>
      </w:r>
      <w:r w:rsidR="00CB181B" w:rsidRPr="00DB4353">
        <w:t xml:space="preserve"> </w:t>
      </w:r>
      <w:r w:rsidR="00933745" w:rsidRPr="00DB4353">
        <w:t>–</w:t>
      </w:r>
      <w:r w:rsidRPr="009677DA">
        <w:t xml:space="preserve"> </w:t>
      </w:r>
      <w:r w:rsidRPr="00287228">
        <w:t>utilising chemical processes to selectively remove radionuclide</w:t>
      </w:r>
      <w:r w:rsidR="00287228">
        <w:t>s</w:t>
      </w:r>
      <w:r w:rsidR="007C1252">
        <w:t>. F</w:t>
      </w:r>
      <w:r w:rsidRPr="00287228">
        <w:t>or liquid effluents this may include filtration or ion exchange media. Precipitation or flocculation may also be used to selectively partition radionuclides from one phase to another.</w:t>
      </w:r>
      <w:r w:rsidR="00287228">
        <w:t xml:space="preserve"> Chemical processes can </w:t>
      </w:r>
      <w:r w:rsidRPr="00287228">
        <w:t xml:space="preserve">also be used for </w:t>
      </w:r>
      <w:r w:rsidR="00287228">
        <w:t xml:space="preserve">waste </w:t>
      </w:r>
      <w:r w:rsidRPr="00287228">
        <w:t>volume reduction</w:t>
      </w:r>
      <w:r w:rsidR="009677DA">
        <w:t>.</w:t>
      </w:r>
      <w:r w:rsidRPr="00287228">
        <w:t xml:space="preserve"> </w:t>
      </w:r>
    </w:p>
    <w:p w14:paraId="5F3F4B0A" w14:textId="48AC8523" w:rsidR="00B90D48" w:rsidRPr="00287228" w:rsidRDefault="00B90D48" w:rsidP="00B90D48">
      <w:pPr>
        <w:pStyle w:val="TSBullet1Square"/>
      </w:pPr>
      <w:r w:rsidRPr="00DB4353">
        <w:rPr>
          <w:b/>
        </w:rPr>
        <w:t>Conditioning</w:t>
      </w:r>
      <w:r w:rsidRPr="00DB4353">
        <w:t xml:space="preserve"> – </w:t>
      </w:r>
      <w:r w:rsidR="00DF2790" w:rsidRPr="00287228">
        <w:t>chemical processes to immobilise waste. Depending on wast</w:t>
      </w:r>
      <w:r w:rsidR="00287228" w:rsidRPr="00287228">
        <w:t>e type, examples include solidification in cement, encapsulation in polymers a</w:t>
      </w:r>
      <w:r w:rsidR="00287228">
        <w:t xml:space="preserve">nd vitrification. Chemistry </w:t>
      </w:r>
      <w:r w:rsidR="00287228" w:rsidRPr="00287228">
        <w:t xml:space="preserve">can be used to develop novel encapsulants. </w:t>
      </w:r>
      <w:r w:rsidR="00933745" w:rsidRPr="00287228">
        <w:t xml:space="preserve"> </w:t>
      </w:r>
    </w:p>
    <w:p w14:paraId="5F3F4B0B" w14:textId="77777777" w:rsidR="00B90D48" w:rsidRDefault="00B90D48" w:rsidP="00B90D48">
      <w:pPr>
        <w:pStyle w:val="TSBullet1Square"/>
      </w:pPr>
      <w:r w:rsidRPr="00DB4353">
        <w:rPr>
          <w:b/>
        </w:rPr>
        <w:t>Storage</w:t>
      </w:r>
      <w:r w:rsidRPr="00DB4353">
        <w:t xml:space="preserve"> – </w:t>
      </w:r>
      <w:r w:rsidR="00287228" w:rsidRPr="00287228">
        <w:t>the key principle is achieving passive safety. R</w:t>
      </w:r>
      <w:r w:rsidR="00315A2E" w:rsidRPr="00287228">
        <w:t>emoving or suppressing chemical reacti</w:t>
      </w:r>
      <w:r w:rsidR="00287228" w:rsidRPr="00287228">
        <w:t>vity is fundamental.</w:t>
      </w:r>
    </w:p>
    <w:p w14:paraId="5F3F4B0C" w14:textId="77777777" w:rsidR="00064A4A" w:rsidRPr="00064A4A" w:rsidRDefault="00064A4A" w:rsidP="00064A4A"/>
    <w:p w14:paraId="5F3F4B0D" w14:textId="49D313C8" w:rsidR="006147E4" w:rsidRPr="005F1FFF" w:rsidRDefault="001704E9" w:rsidP="0002758C">
      <w:pPr>
        <w:pStyle w:val="TSNumberedParagraph11"/>
      </w:pPr>
      <w:r w:rsidRPr="005F1FFF">
        <w:t>SAPs ENM.6 and RW.5</w:t>
      </w:r>
      <w:r w:rsidR="00A76439">
        <w:t xml:space="preserve"> convey the expectation that nuclear matter and radioactive waste should be stored in a passively safe </w:t>
      </w:r>
      <w:r w:rsidR="00401222">
        <w:t>condition</w:t>
      </w:r>
      <w:r w:rsidRPr="005F1FFF">
        <w:t xml:space="preserve">. </w:t>
      </w:r>
      <w:r w:rsidR="00A11A70">
        <w:t xml:space="preserve">To achieve passive safety, the radioactivity should be immobilised, and packaged in a form that is physically and chemically stable. </w:t>
      </w:r>
      <w:r w:rsidR="00315A2E" w:rsidRPr="005F1FFF">
        <w:t>Where passive safety is being claimed th</w:t>
      </w:r>
      <w:r w:rsidR="00DB4861">
        <w:t xml:space="preserve">e inspector may consider </w:t>
      </w:r>
      <w:r w:rsidR="00295CE2">
        <w:t>the following</w:t>
      </w:r>
      <w:r w:rsidR="00315A2E" w:rsidRPr="005F1FFF">
        <w:t>:</w:t>
      </w:r>
    </w:p>
    <w:p w14:paraId="5F3F4B0E" w14:textId="77777777" w:rsidR="00933745" w:rsidRPr="005F1FFF" w:rsidRDefault="00295CE2" w:rsidP="00315A2E">
      <w:pPr>
        <w:pStyle w:val="TSBullet1Square"/>
      </w:pPr>
      <w:r>
        <w:t>Whether a</w:t>
      </w:r>
      <w:r w:rsidRPr="005F1FFF">
        <w:t xml:space="preserve">ll </w:t>
      </w:r>
      <w:r w:rsidR="00315A2E" w:rsidRPr="005F1FFF">
        <w:t>reasonably practicable steps have been taken to remove or suppress chemic</w:t>
      </w:r>
      <w:r w:rsidR="00E05490" w:rsidRPr="005F1FFF">
        <w:t>al reactivity</w:t>
      </w:r>
      <w:r w:rsidR="00CA284A">
        <w:t xml:space="preserve">. This may </w:t>
      </w:r>
      <w:r w:rsidR="00933745" w:rsidRPr="005F1FFF">
        <w:t>include:</w:t>
      </w:r>
    </w:p>
    <w:p w14:paraId="5F3F4B0F" w14:textId="77777777" w:rsidR="00315A2E" w:rsidRPr="005F1FFF" w:rsidRDefault="00295CE2" w:rsidP="00933745">
      <w:pPr>
        <w:pStyle w:val="TSBullet2Circle"/>
      </w:pPr>
      <w:r>
        <w:t>r</w:t>
      </w:r>
      <w:r w:rsidRPr="005F1FFF">
        <w:t xml:space="preserve">emoving </w:t>
      </w:r>
      <w:r w:rsidR="00933745" w:rsidRPr="005F1FFF">
        <w:t>or passivating reactive metals or pyrophoric materials</w:t>
      </w:r>
      <w:r w:rsidR="00122B31">
        <w:t xml:space="preserve"> in order</w:t>
      </w:r>
      <w:r w:rsidR="0010011C">
        <w:t xml:space="preserve"> to reach thermodynamically stable states</w:t>
      </w:r>
      <w:r w:rsidR="00E05490" w:rsidRPr="005F1FFF">
        <w:t>;</w:t>
      </w:r>
    </w:p>
    <w:p w14:paraId="5F3F4B10" w14:textId="77777777" w:rsidR="00EB1EAD" w:rsidRPr="005F1FFF" w:rsidRDefault="00295CE2" w:rsidP="00933745">
      <w:pPr>
        <w:pStyle w:val="TSBullet2Circle"/>
      </w:pPr>
      <w:r>
        <w:t>t</w:t>
      </w:r>
      <w:r w:rsidRPr="005F1FFF">
        <w:t xml:space="preserve">he </w:t>
      </w:r>
      <w:r w:rsidR="00656BB8" w:rsidRPr="005F1FFF">
        <w:t>need to remove moisture to acceptably low levels, to minimise the risk of corrosion and</w:t>
      </w:r>
      <w:r w:rsidR="00F67611">
        <w:t xml:space="preserve">/or </w:t>
      </w:r>
      <w:r w:rsidR="00656BB8" w:rsidRPr="005F1FFF">
        <w:t>gas generation</w:t>
      </w:r>
      <w:r w:rsidR="00F67611">
        <w:t xml:space="preserve"> through radiolysis, which may threaten containment</w:t>
      </w:r>
      <w:r w:rsidR="00355C8A">
        <w:t>;</w:t>
      </w:r>
      <w:r>
        <w:t xml:space="preserve"> and</w:t>
      </w:r>
    </w:p>
    <w:p w14:paraId="5F3F4B11" w14:textId="77777777" w:rsidR="00EB1EAD" w:rsidRPr="005F1FFF" w:rsidRDefault="00295CE2" w:rsidP="005F1FFF">
      <w:pPr>
        <w:pStyle w:val="TSBullet2Circle"/>
      </w:pPr>
      <w:r>
        <w:t>r</w:t>
      </w:r>
      <w:r w:rsidRPr="005F1FFF">
        <w:t xml:space="preserve">emoving </w:t>
      </w:r>
      <w:r w:rsidR="00933745" w:rsidRPr="005F1FFF">
        <w:t>organic materials and contaminants</w:t>
      </w:r>
      <w:r w:rsidR="00EB1EAD" w:rsidRPr="005F1FFF">
        <w:t xml:space="preserve"> which may degrade over time to form combustible </w:t>
      </w:r>
      <w:r w:rsidR="005F1FFF" w:rsidRPr="005F1FFF">
        <w:t>or toxic gases</w:t>
      </w:r>
      <w:r w:rsidR="00DB4861">
        <w:t>, which may leak or pressurise storage containers</w:t>
      </w:r>
      <w:r w:rsidR="005F1FFF" w:rsidRPr="005F1FFF">
        <w:t>.</w:t>
      </w:r>
    </w:p>
    <w:p w14:paraId="5F3F4B12" w14:textId="77777777" w:rsidR="00EB1EAD" w:rsidRPr="005F1FFF" w:rsidRDefault="00295CE2" w:rsidP="00315A2E">
      <w:pPr>
        <w:pStyle w:val="TSBullet1Square"/>
      </w:pPr>
      <w:r>
        <w:t>Whether a</w:t>
      </w:r>
      <w:r w:rsidRPr="005F1FFF">
        <w:t xml:space="preserve">dequate </w:t>
      </w:r>
      <w:r w:rsidR="00315A2E" w:rsidRPr="005F1FFF">
        <w:t xml:space="preserve">consideration has been given to </w:t>
      </w:r>
      <w:r w:rsidR="00E05490" w:rsidRPr="005F1FFF">
        <w:t xml:space="preserve">the chemical </w:t>
      </w:r>
      <w:r w:rsidRPr="005F1FFF">
        <w:t>compatibility</w:t>
      </w:r>
      <w:r w:rsidR="00E05490" w:rsidRPr="005F1FFF">
        <w:t xml:space="preserve"> of </w:t>
      </w:r>
      <w:r w:rsidR="00933745" w:rsidRPr="005F1FFF">
        <w:t>the waste, waste form</w:t>
      </w:r>
      <w:r w:rsidR="00DB4861">
        <w:t xml:space="preserve">, </w:t>
      </w:r>
      <w:r w:rsidR="00933745" w:rsidRPr="005F1FFF">
        <w:t>nuclear matter,</w:t>
      </w:r>
      <w:r w:rsidR="00DB4861">
        <w:t xml:space="preserve"> or radioactive material, </w:t>
      </w:r>
      <w:r w:rsidR="00933745" w:rsidRPr="005F1FFF">
        <w:t xml:space="preserve">with its proposed </w:t>
      </w:r>
      <w:r w:rsidR="00EB1EAD" w:rsidRPr="005F1FFF">
        <w:t>storage container</w:t>
      </w:r>
      <w:r w:rsidR="00656BB8" w:rsidRPr="005F1FFF">
        <w:t xml:space="preserve"> and environment</w:t>
      </w:r>
      <w:r w:rsidR="00EB1EAD" w:rsidRPr="005F1FFF">
        <w:t>. This may include:</w:t>
      </w:r>
    </w:p>
    <w:p w14:paraId="5F3F4B13" w14:textId="77777777" w:rsidR="00EB1EAD" w:rsidRPr="005F1FFF" w:rsidRDefault="00F301F4" w:rsidP="00EB1EAD">
      <w:pPr>
        <w:pStyle w:val="TSBullet2Circle"/>
      </w:pPr>
      <w:r>
        <w:t xml:space="preserve">minimising the likelihood of </w:t>
      </w:r>
      <w:r w:rsidR="00295CE2">
        <w:t>d</w:t>
      </w:r>
      <w:r w:rsidR="00295CE2" w:rsidRPr="005F1FFF">
        <w:t xml:space="preserve">eleterious </w:t>
      </w:r>
      <w:r w:rsidR="00EB1EAD" w:rsidRPr="005F1FFF">
        <w:t xml:space="preserve">chemical reactions </w:t>
      </w:r>
      <w:r>
        <w:t xml:space="preserve">occurring, </w:t>
      </w:r>
      <w:r w:rsidR="00EB1EAD" w:rsidRPr="005F1FFF">
        <w:t>which may evolve slowly over time, but which may chemically degrade the performance of the storage container;</w:t>
      </w:r>
    </w:p>
    <w:p w14:paraId="5F3F4B14" w14:textId="77777777" w:rsidR="005F1FFF" w:rsidRDefault="00F301F4" w:rsidP="005F1FFF">
      <w:pPr>
        <w:pStyle w:val="TSBullet2Circle"/>
      </w:pPr>
      <w:r>
        <w:t>minimising the</w:t>
      </w:r>
      <w:r w:rsidR="00EB1EAD" w:rsidRPr="005F1FFF">
        <w:t xml:space="preserve"> potential </w:t>
      </w:r>
      <w:r w:rsidR="0085259A">
        <w:t xml:space="preserve">to </w:t>
      </w:r>
      <w:r w:rsidR="00EB1EAD" w:rsidRPr="005F1FFF">
        <w:t>create</w:t>
      </w:r>
      <w:r w:rsidR="00656BB8" w:rsidRPr="005F1FFF">
        <w:t xml:space="preserve"> conditions </w:t>
      </w:r>
      <w:r>
        <w:t>in immobilised radioactive waste</w:t>
      </w:r>
      <w:r w:rsidRPr="005F1FFF">
        <w:t xml:space="preserve"> </w:t>
      </w:r>
      <w:r w:rsidR="00656BB8" w:rsidRPr="005F1FFF">
        <w:t>where gases, liquids or expansive corrosion products are formed</w:t>
      </w:r>
      <w:r w:rsidR="00F67611">
        <w:t>;</w:t>
      </w:r>
    </w:p>
    <w:p w14:paraId="5F3F4B15" w14:textId="77777777" w:rsidR="00F67611" w:rsidRPr="005F1FFF" w:rsidRDefault="0085259A" w:rsidP="005F1FFF">
      <w:pPr>
        <w:pStyle w:val="TSBullet2Circle"/>
      </w:pPr>
      <w:r>
        <w:t xml:space="preserve">purposely </w:t>
      </w:r>
      <w:r w:rsidR="00F67611">
        <w:t>adjusting the chemical environment to mitigate risks and hazards</w:t>
      </w:r>
      <w:r>
        <w:t>,</w:t>
      </w:r>
      <w:r w:rsidR="00F67611">
        <w:t xml:space="preserve"> </w:t>
      </w:r>
      <w:r w:rsidR="00197922">
        <w:t>e.g.</w:t>
      </w:r>
      <w:r w:rsidR="0019611B">
        <w:t xml:space="preserve"> microbial </w:t>
      </w:r>
      <w:r w:rsidR="00F67611">
        <w:t xml:space="preserve">control, corrosion inhibition. </w:t>
      </w:r>
    </w:p>
    <w:p w14:paraId="5F3F4B16" w14:textId="77777777" w:rsidR="00BA5B75" w:rsidRDefault="00BA5B75" w:rsidP="005F1FFF">
      <w:pPr>
        <w:pStyle w:val="TSBullet1Square"/>
      </w:pPr>
      <w:r>
        <w:t>Whether adequate consideration has been given to the physical form of the stored material and</w:t>
      </w:r>
      <w:r w:rsidR="00CA48A7">
        <w:t xml:space="preserve"> the</w:t>
      </w:r>
      <w:r>
        <w:t xml:space="preserve"> impact on </w:t>
      </w:r>
      <w:r w:rsidR="00CA48A7">
        <w:t xml:space="preserve">any </w:t>
      </w:r>
      <w:r>
        <w:t>resultant hazards. For example:</w:t>
      </w:r>
    </w:p>
    <w:p w14:paraId="5F3F4B17" w14:textId="77777777" w:rsidR="00CA48A7" w:rsidRPr="00CA48A7" w:rsidRDefault="00CA48A7" w:rsidP="00CA48A7">
      <w:pPr>
        <w:pStyle w:val="TSBullet2Circle"/>
      </w:pPr>
      <w:r>
        <w:t>where appropriate for the material under consideration, thermal stabilisation, where reasonably practicable, to reduce the specif</w:t>
      </w:r>
      <w:r w:rsidR="00B54B43">
        <w:t>ic surface area</w:t>
      </w:r>
      <w:r>
        <w:t>.</w:t>
      </w:r>
    </w:p>
    <w:p w14:paraId="5F3F4B18" w14:textId="77777777" w:rsidR="00CA48A7" w:rsidRDefault="00CA48A7" w:rsidP="00CA48A7">
      <w:pPr>
        <w:pStyle w:val="TSBullet1Square"/>
      </w:pPr>
      <w:r>
        <w:t>The safety case may consider venting to mitigate the risk of accumulating corrosive, toxic or flammable gases and materials during storage. In these circumstances, consideration may be given by the inspector to the following:</w:t>
      </w:r>
    </w:p>
    <w:p w14:paraId="5F3F4B19" w14:textId="77777777" w:rsidR="00CA48A7" w:rsidRDefault="00CA48A7" w:rsidP="00CA48A7">
      <w:pPr>
        <w:pStyle w:val="TSBullet2Circle"/>
      </w:pPr>
      <w:proofErr w:type="spellStart"/>
      <w:r>
        <w:t>dispersability</w:t>
      </w:r>
      <w:proofErr w:type="spellEnd"/>
      <w:r>
        <w:t xml:space="preserve"> of the material under fault or accident conditions. For example, loose oxide powders are dispersible, metal is not.</w:t>
      </w:r>
    </w:p>
    <w:p w14:paraId="5F3F4B1A" w14:textId="77777777" w:rsidR="00CA48A7" w:rsidRDefault="00CA48A7" w:rsidP="00CA48A7">
      <w:pPr>
        <w:pStyle w:val="TSBullet2Circle"/>
      </w:pPr>
      <w:r>
        <w:t>some materials may blind filters, reducing their efficiency</w:t>
      </w:r>
      <w:r w:rsidR="005B09C1">
        <w:t xml:space="preserve"> and hampering the ventilation systems</w:t>
      </w:r>
      <w:r w:rsidR="00197922">
        <w:t>’</w:t>
      </w:r>
      <w:r w:rsidR="005B09C1">
        <w:t xml:space="preserve"> ability</w:t>
      </w:r>
      <w:r>
        <w:t xml:space="preserve"> to disperse toxic, corrosive or combusti</w:t>
      </w:r>
      <w:r w:rsidR="007C1252">
        <w:t xml:space="preserve">ble gases, or in the worst case, </w:t>
      </w:r>
      <w:r w:rsidR="005B09C1">
        <w:t>the filters may become completely obstructed</w:t>
      </w:r>
      <w:r>
        <w:t xml:space="preserve">. </w:t>
      </w:r>
    </w:p>
    <w:p w14:paraId="5F3F4B1B" w14:textId="77777777" w:rsidR="00064A4A" w:rsidRDefault="00F301F4" w:rsidP="005F1FFF">
      <w:pPr>
        <w:pStyle w:val="TSBullet1Square"/>
      </w:pPr>
      <w:r>
        <w:t>Whether p</w:t>
      </w:r>
      <w:r w:rsidRPr="005F1FFF">
        <w:t xml:space="preserve">rovisions </w:t>
      </w:r>
      <w:r w:rsidR="00DB4861">
        <w:t xml:space="preserve">have been made </w:t>
      </w:r>
      <w:r w:rsidR="005F1FFF" w:rsidRPr="005F1FFF">
        <w:t>to undertake repr</w:t>
      </w:r>
      <w:r w:rsidR="00DB4861">
        <w:t>esentative sampling, as prescribed</w:t>
      </w:r>
      <w:r w:rsidR="005F1FFF" w:rsidRPr="005F1FFF">
        <w:t xml:space="preserve"> by the safety case, to confirm passive safety is being maintained. </w:t>
      </w:r>
      <w:r w:rsidR="00EB1EAD" w:rsidRPr="005F1FFF">
        <w:t xml:space="preserve"> </w:t>
      </w:r>
      <w:r w:rsidR="00933745" w:rsidRPr="005F1FFF">
        <w:t xml:space="preserve"> </w:t>
      </w:r>
    </w:p>
    <w:p w14:paraId="5F3F4B1C" w14:textId="77777777" w:rsidR="00E05490" w:rsidRPr="005F1FFF" w:rsidRDefault="00933745" w:rsidP="00064A4A">
      <w:r w:rsidRPr="005F1FFF">
        <w:t xml:space="preserve"> </w:t>
      </w:r>
    </w:p>
    <w:p w14:paraId="75EB470D" w14:textId="7DADF910" w:rsidR="006D60EF" w:rsidRDefault="006D60EF" w:rsidP="0002758C">
      <w:pPr>
        <w:pStyle w:val="TSNumberedParagraph11"/>
      </w:pPr>
      <w:r>
        <w:t xml:space="preserve">Further information </w:t>
      </w:r>
      <w:r w:rsidR="0095207D">
        <w:t>and</w:t>
      </w:r>
      <w:r>
        <w:t xml:space="preserve"> </w:t>
      </w:r>
      <w:r w:rsidR="003667C4">
        <w:t xml:space="preserve">expectations for </w:t>
      </w:r>
      <w:r w:rsidR="00FE313E">
        <w:t>the</w:t>
      </w:r>
      <w:r w:rsidR="003667C4">
        <w:t xml:space="preserve"> passively safe st</w:t>
      </w:r>
      <w:r w:rsidR="00FE313E">
        <w:t xml:space="preserve">orage of </w:t>
      </w:r>
      <w:r w:rsidR="00D50B61">
        <w:t xml:space="preserve">radioactive waste and </w:t>
      </w:r>
      <w:r w:rsidR="00FE313E">
        <w:t xml:space="preserve">nuclear matter </w:t>
      </w:r>
      <w:r w:rsidR="00671D06">
        <w:t>are</w:t>
      </w:r>
      <w:r w:rsidR="003667C4">
        <w:t xml:space="preserve"> available </w:t>
      </w:r>
      <w:r w:rsidR="002740F2">
        <w:t xml:space="preserve">in </w:t>
      </w:r>
      <w:r w:rsidR="00F92CE7">
        <w:t xml:space="preserve">[22] and </w:t>
      </w:r>
      <w:r w:rsidR="00046F2D">
        <w:t>[</w:t>
      </w:r>
      <w:r w:rsidR="00517B2B">
        <w:rPr>
          <w:rStyle w:val="EndnoteReference"/>
        </w:rPr>
        <w:endnoteReference w:id="25"/>
      </w:r>
      <w:r w:rsidR="00046F2D">
        <w:t>].</w:t>
      </w:r>
    </w:p>
    <w:p w14:paraId="5F3F4B1D" w14:textId="6FDD75EC" w:rsidR="00E05490" w:rsidRPr="009A101B" w:rsidRDefault="00D60B5F" w:rsidP="0002758C">
      <w:pPr>
        <w:pStyle w:val="TSNumberedParagraph11"/>
      </w:pPr>
      <w:r>
        <w:t xml:space="preserve">One of the key success </w:t>
      </w:r>
      <w:r w:rsidR="00F301F4">
        <w:t xml:space="preserve">criteria </w:t>
      </w:r>
      <w:r w:rsidR="00933745" w:rsidRPr="009A101B">
        <w:t xml:space="preserve">for implementing a </w:t>
      </w:r>
      <w:r w:rsidR="004116B6">
        <w:t xml:space="preserve">strategy to manage nuclear matter, </w:t>
      </w:r>
      <w:r w:rsidR="00933745" w:rsidRPr="009A101B">
        <w:t>radio</w:t>
      </w:r>
      <w:r w:rsidR="004116B6">
        <w:t>active waste, or radioactive material</w:t>
      </w:r>
      <w:r w:rsidR="00933745" w:rsidRPr="009A101B">
        <w:t xml:space="preserve"> is having </w:t>
      </w:r>
      <w:r w:rsidR="004116B6">
        <w:t>suitable and sufficient information to make informed decisions.</w:t>
      </w:r>
      <w:r>
        <w:t xml:space="preserve"> Importantly, this involves having and </w:t>
      </w:r>
      <w:r w:rsidR="00933745" w:rsidRPr="009A101B">
        <w:t>maintaining a</w:t>
      </w:r>
      <w:r>
        <w:t xml:space="preserve">n adequate understanding of </w:t>
      </w:r>
      <w:r w:rsidR="00933745" w:rsidRPr="009A101B">
        <w:t>physical, chemical and radioch</w:t>
      </w:r>
      <w:r w:rsidR="00CA5794">
        <w:t>emical properties</w:t>
      </w:r>
      <w:r w:rsidR="00F301F4">
        <w:t>; s</w:t>
      </w:r>
      <w:r>
        <w:t>ee principles ENM.</w:t>
      </w:r>
      <w:r w:rsidR="00022815">
        <w:t xml:space="preserve">5 and RW.4. </w:t>
      </w:r>
      <w:r w:rsidR="009A101B" w:rsidRPr="009A101B">
        <w:t>Th</w:t>
      </w:r>
      <w:r w:rsidR="009A101B">
        <w:t>e inspector may consider</w:t>
      </w:r>
      <w:r w:rsidR="009A101B" w:rsidRPr="009A101B">
        <w:t>:</w:t>
      </w:r>
    </w:p>
    <w:p w14:paraId="5F3F4B1E" w14:textId="77777777" w:rsidR="00E05490" w:rsidRPr="00D60B5F" w:rsidRDefault="00D60B5F" w:rsidP="00E05490">
      <w:pPr>
        <w:pStyle w:val="TSBullet1Square"/>
      </w:pPr>
      <w:r w:rsidRPr="00D60B5F">
        <w:t>Whether the</w:t>
      </w:r>
      <w:r w:rsidR="009A101B" w:rsidRPr="00D60B5F">
        <w:t xml:space="preserve"> quality and quantity of data on the physical, chemical and radiochemical characteristics of </w:t>
      </w:r>
      <w:r w:rsidRPr="00D60B5F">
        <w:t xml:space="preserve">nuclear matter, </w:t>
      </w:r>
      <w:r w:rsidR="009A101B" w:rsidRPr="00D60B5F">
        <w:t>radioactive waste</w:t>
      </w:r>
      <w:r w:rsidRPr="00D60B5F">
        <w:t xml:space="preserve">, or radioactive </w:t>
      </w:r>
      <w:r w:rsidR="004116B6" w:rsidRPr="00D60B5F">
        <w:t>material</w:t>
      </w:r>
      <w:r w:rsidR="009A101B" w:rsidRPr="00D60B5F">
        <w:t xml:space="preserve"> is sufficient to support decisions on </w:t>
      </w:r>
      <w:r w:rsidR="004116B6" w:rsidRPr="00D60B5F">
        <w:t xml:space="preserve">the selection of preferred options </w:t>
      </w:r>
      <w:r w:rsidRPr="00D60B5F">
        <w:t>for their management</w:t>
      </w:r>
      <w:r w:rsidR="00F301F4">
        <w:t>.</w:t>
      </w:r>
    </w:p>
    <w:p w14:paraId="5F3F4B1F" w14:textId="1E01CED4" w:rsidR="004116B6" w:rsidRPr="00D60B5F" w:rsidRDefault="004116B6" w:rsidP="004116B6">
      <w:pPr>
        <w:pStyle w:val="TSBullet1Square"/>
      </w:pPr>
      <w:r w:rsidRPr="00D60B5F">
        <w:t>For legacy, or unconditioned</w:t>
      </w:r>
      <w:r w:rsidR="00CA5794">
        <w:t xml:space="preserve"> (‘raw’)</w:t>
      </w:r>
      <w:r w:rsidRPr="00D60B5F">
        <w:t xml:space="preserve"> </w:t>
      </w:r>
      <w:r w:rsidR="0088366F">
        <w:t xml:space="preserve">nuclear matter, </w:t>
      </w:r>
      <w:r w:rsidRPr="00D60B5F">
        <w:t>radioactive waste</w:t>
      </w:r>
      <w:r w:rsidR="0088366F">
        <w:t xml:space="preserve"> or radioactive </w:t>
      </w:r>
      <w:r w:rsidRPr="00D60B5F">
        <w:t xml:space="preserve">material, </w:t>
      </w:r>
      <w:r w:rsidR="003B1DE1">
        <w:t xml:space="preserve">whether </w:t>
      </w:r>
      <w:r w:rsidRPr="00D60B5F">
        <w:t xml:space="preserve">consideration has been given to </w:t>
      </w:r>
      <w:r w:rsidR="003B1DE1">
        <w:t xml:space="preserve">if </w:t>
      </w:r>
      <w:r w:rsidRPr="00D60B5F">
        <w:t>it is reasonably practicable</w:t>
      </w:r>
      <w:r w:rsidR="00D60B5F" w:rsidRPr="00D60B5F">
        <w:t xml:space="preserve"> to undertake more frequent characterisation campaigns to ensure the physical, chemical and radiochemical characteristics evolve as anticipated</w:t>
      </w:r>
      <w:r w:rsidR="00F301F4">
        <w:t>.</w:t>
      </w:r>
      <w:r w:rsidR="00F301F4" w:rsidRPr="00D60B5F">
        <w:t xml:space="preserve"> </w:t>
      </w:r>
    </w:p>
    <w:p w14:paraId="5F3F4B20" w14:textId="77777777" w:rsidR="0088366F" w:rsidRDefault="00D60B5F" w:rsidP="00CA5794">
      <w:pPr>
        <w:pStyle w:val="TSBullet1Square"/>
      </w:pPr>
      <w:r w:rsidRPr="00D60B5F">
        <w:t>Where characterisation is required, there should be a demonstration in the safety</w:t>
      </w:r>
      <w:r w:rsidR="007C1252">
        <w:t xml:space="preserve"> case of the options considered, </w:t>
      </w:r>
      <w:r w:rsidRPr="00D60B5F">
        <w:t xml:space="preserve">and that all relevant risks from undertaking the activity have </w:t>
      </w:r>
      <w:r w:rsidRPr="00CD5285">
        <w:t xml:space="preserve">been reduced </w:t>
      </w:r>
      <w:r w:rsidR="00CD5285" w:rsidRPr="00CD5285">
        <w:t>to ALARP</w:t>
      </w:r>
      <w:r w:rsidR="0088366F" w:rsidRPr="00CD5285">
        <w:t>.</w:t>
      </w:r>
    </w:p>
    <w:p w14:paraId="5F3F4B21" w14:textId="77777777" w:rsidR="00064A4A" w:rsidRPr="00064A4A" w:rsidRDefault="00064A4A" w:rsidP="00064A4A"/>
    <w:p w14:paraId="5F3F4B22" w14:textId="77777777" w:rsidR="00B301C8" w:rsidRDefault="0088366F" w:rsidP="0002758C">
      <w:pPr>
        <w:pStyle w:val="TSNumberedParagraph11"/>
      </w:pPr>
      <w:r>
        <w:t>Where the need to characterise nuclear matter, radioa</w:t>
      </w:r>
      <w:r w:rsidR="00DB4861">
        <w:t>ctive waste or</w:t>
      </w:r>
      <w:r>
        <w:t xml:space="preserve"> radioactive material</w:t>
      </w:r>
      <w:r w:rsidR="00DB4861">
        <w:t xml:space="preserve"> has been identified, the </w:t>
      </w:r>
      <w:r>
        <w:t>methods selected to undertake chemical and radiochemical sampling and analysis can have a direct impact on the quality of the information obtained. In addition to discrete sampling and analysis campaigns, maintaining a nuclear facility in a safe operating state may also require much more freq</w:t>
      </w:r>
      <w:r w:rsidR="00DB4861">
        <w:t>uent sampling and analysis to take place</w:t>
      </w:r>
      <w:r>
        <w:t xml:space="preserve">. </w:t>
      </w:r>
      <w:r w:rsidRPr="00DB4353">
        <w:t xml:space="preserve">Section </w:t>
      </w:r>
      <w:r w:rsidR="00721CAD">
        <w:t>5.4</w:t>
      </w:r>
      <w:r w:rsidR="007D7D06">
        <w:t xml:space="preserve"> </w:t>
      </w:r>
      <w:r w:rsidR="00721CAD">
        <w:t>and Appendix 3 provide</w:t>
      </w:r>
      <w:r w:rsidR="00CA5794">
        <w:t xml:space="preserve"> </w:t>
      </w:r>
      <w:r w:rsidR="00721CAD">
        <w:t xml:space="preserve">more </w:t>
      </w:r>
      <w:r w:rsidR="00CA5794">
        <w:t xml:space="preserve">guidance on chemical and radiochemical sampling and analysis. </w:t>
      </w:r>
    </w:p>
    <w:p w14:paraId="5F3F4B23" w14:textId="77777777" w:rsidR="009B5159" w:rsidRDefault="00532D01" w:rsidP="00940FF6">
      <w:pPr>
        <w:pStyle w:val="TSHeadingLevel1Numbered"/>
        <w:numPr>
          <w:ilvl w:val="0"/>
          <w:numId w:val="0"/>
        </w:numPr>
      </w:pPr>
      <w:r>
        <w:br w:type="page"/>
      </w:r>
      <w:bookmarkStart w:id="37" w:name="_Toc447189494"/>
      <w:bookmarkStart w:id="38" w:name="_Toc61505476"/>
      <w:r w:rsidR="009B5159" w:rsidRPr="00A971F1">
        <w:t>REFERENCES</w:t>
      </w:r>
      <w:bookmarkEnd w:id="37"/>
      <w:bookmarkEnd w:id="38"/>
    </w:p>
    <w:p w14:paraId="5F3F4B24" w14:textId="77777777" w:rsidR="00B37DA5" w:rsidRDefault="00B37DA5" w:rsidP="00686815">
      <w:pPr>
        <w:rPr>
          <w:rStyle w:val="TSExampleText"/>
          <w:i w:val="0"/>
          <w:iCs w:val="0"/>
          <w:color w:val="auto"/>
        </w:rPr>
        <w:sectPr w:rsidR="00B37DA5" w:rsidSect="00EA5EB4">
          <w:endnotePr>
            <w:numFmt w:val="decimal"/>
          </w:endnotePr>
          <w:type w:val="continuous"/>
          <w:pgSz w:w="11906" w:h="16838" w:code="9"/>
          <w:pgMar w:top="1134" w:right="1134" w:bottom="1134" w:left="1588" w:header="431" w:footer="567" w:gutter="0"/>
          <w:cols w:space="708"/>
          <w:titlePg/>
          <w:docGrid w:linePitch="360"/>
        </w:sectPr>
      </w:pPr>
    </w:p>
    <w:p w14:paraId="5F3F4B25" w14:textId="77777777" w:rsidR="003A7CC7" w:rsidRDefault="003A7CC7" w:rsidP="00E0045C">
      <w:pPr>
        <w:ind w:left="709"/>
        <w:rPr>
          <w:rStyle w:val="TSExampleText"/>
          <w:i w:val="0"/>
          <w:iCs w:val="0"/>
          <w:color w:val="auto"/>
        </w:rPr>
      </w:pPr>
      <w:r>
        <w:rPr>
          <w:rStyle w:val="TSExampleText"/>
          <w:i w:val="0"/>
          <w:iCs w:val="0"/>
          <w:color w:val="auto"/>
        </w:rPr>
        <w:br w:type="page"/>
      </w:r>
    </w:p>
    <w:p w14:paraId="5F3F4B26" w14:textId="77777777" w:rsidR="009B5159" w:rsidRPr="00DB4353" w:rsidRDefault="009B5159" w:rsidP="00DB4353">
      <w:pPr>
        <w:pStyle w:val="ONRNormal"/>
        <w:ind w:left="720" w:hanging="720"/>
        <w:rPr>
          <w:b/>
        </w:rPr>
      </w:pPr>
      <w:bookmarkStart w:id="39" w:name="_Toc447189495"/>
      <w:r w:rsidRPr="00DB4353">
        <w:rPr>
          <w:b/>
        </w:rPr>
        <w:t>GLOSSARY AND ABBREVIATIONS</w:t>
      </w:r>
      <w:bookmarkEnd w:id="39"/>
    </w:p>
    <w:p w14:paraId="5F3F4B27" w14:textId="77777777" w:rsidR="00423239" w:rsidRDefault="00423239" w:rsidP="00DB4353">
      <w:pPr>
        <w:pStyle w:val="ONRNormal"/>
        <w:ind w:left="720" w:hanging="720"/>
      </w:pPr>
    </w:p>
    <w:p w14:paraId="5F3F4B28" w14:textId="77777777" w:rsidR="006B2F0C" w:rsidRDefault="006B2F0C" w:rsidP="00532D01">
      <w:pPr>
        <w:tabs>
          <w:tab w:val="left" w:pos="1440"/>
        </w:tabs>
        <w:spacing w:after="120"/>
      </w:pPr>
      <w:proofErr w:type="spellStart"/>
      <w:r>
        <w:t>ACoP</w:t>
      </w:r>
      <w:proofErr w:type="spellEnd"/>
      <w:r>
        <w:tab/>
        <w:t>Approved Code of Practice</w:t>
      </w:r>
    </w:p>
    <w:p w14:paraId="5F3F4B29" w14:textId="77777777" w:rsidR="006B2F0C" w:rsidRDefault="006B2F0C" w:rsidP="00532D01">
      <w:pPr>
        <w:tabs>
          <w:tab w:val="left" w:pos="1440"/>
        </w:tabs>
        <w:spacing w:after="120"/>
      </w:pPr>
      <w:r>
        <w:t>AGR</w:t>
      </w:r>
      <w:r>
        <w:tab/>
        <w:t>Advanced Gas Cooled Reactor</w:t>
      </w:r>
    </w:p>
    <w:p w14:paraId="5F3F4B2A" w14:textId="77777777" w:rsidR="006B2F0C" w:rsidRDefault="006B2F0C" w:rsidP="00532D01">
      <w:pPr>
        <w:tabs>
          <w:tab w:val="left" w:pos="1440"/>
        </w:tabs>
        <w:spacing w:after="120"/>
      </w:pPr>
      <w:r>
        <w:t>AICC</w:t>
      </w:r>
      <w:r>
        <w:tab/>
        <w:t>Adiabatic Isochoric Complete Combustion</w:t>
      </w:r>
    </w:p>
    <w:p w14:paraId="5F3F4B2B" w14:textId="77777777" w:rsidR="009B5159" w:rsidRDefault="00163EA7" w:rsidP="00532D01">
      <w:pPr>
        <w:tabs>
          <w:tab w:val="left" w:pos="1440"/>
        </w:tabs>
        <w:spacing w:after="120"/>
      </w:pPr>
      <w:r>
        <w:t>ALARP</w:t>
      </w:r>
      <w:r>
        <w:tab/>
        <w:t>As Low as Reasonably P</w:t>
      </w:r>
      <w:r w:rsidR="009B5159">
        <w:t>racticable</w:t>
      </w:r>
    </w:p>
    <w:p w14:paraId="5F3F4B2C" w14:textId="77777777" w:rsidR="004451B6" w:rsidRDefault="004451B6" w:rsidP="00532D01">
      <w:pPr>
        <w:tabs>
          <w:tab w:val="left" w:pos="1440"/>
        </w:tabs>
        <w:spacing w:after="120"/>
      </w:pPr>
      <w:r>
        <w:t>BWR</w:t>
      </w:r>
      <w:r>
        <w:tab/>
        <w:t>Boiling Water Reactor</w:t>
      </w:r>
    </w:p>
    <w:p w14:paraId="5F3F4B2D" w14:textId="77777777" w:rsidR="006D7DE8" w:rsidRDefault="006D7DE8" w:rsidP="00532D01">
      <w:pPr>
        <w:tabs>
          <w:tab w:val="left" w:pos="1440"/>
        </w:tabs>
        <w:spacing w:after="120"/>
      </w:pPr>
      <w:proofErr w:type="spellStart"/>
      <w:r>
        <w:t>CfA</w:t>
      </w:r>
      <w:proofErr w:type="spellEnd"/>
      <w:r>
        <w:tab/>
        <w:t>Conditions for Acceptance</w:t>
      </w:r>
    </w:p>
    <w:p w14:paraId="5F3F4B2E" w14:textId="77777777" w:rsidR="006B2F0C" w:rsidRDefault="006B2F0C" w:rsidP="00532D01">
      <w:pPr>
        <w:tabs>
          <w:tab w:val="left" w:pos="1440"/>
        </w:tabs>
        <w:spacing w:after="120"/>
      </w:pPr>
      <w:r>
        <w:t>CFD</w:t>
      </w:r>
      <w:r>
        <w:tab/>
        <w:t>Computational Fluid Dynamics</w:t>
      </w:r>
    </w:p>
    <w:p w14:paraId="5F3F4B2F" w14:textId="77777777" w:rsidR="008F4E4C" w:rsidRDefault="007C1252" w:rsidP="00532D01">
      <w:pPr>
        <w:tabs>
          <w:tab w:val="left" w:pos="1440"/>
        </w:tabs>
        <w:spacing w:after="120"/>
      </w:pPr>
      <w:r>
        <w:t>C&amp;</w:t>
      </w:r>
      <w:r w:rsidR="008F4E4C">
        <w:t>I</w:t>
      </w:r>
      <w:r w:rsidR="008F4E4C">
        <w:tab/>
        <w:t>Control and Instrumentation</w:t>
      </w:r>
    </w:p>
    <w:p w14:paraId="5F3F4B30" w14:textId="77777777" w:rsidR="004451B6" w:rsidRDefault="004451B6" w:rsidP="00532D01">
      <w:pPr>
        <w:tabs>
          <w:tab w:val="left" w:pos="1440"/>
        </w:tabs>
        <w:spacing w:after="120"/>
      </w:pPr>
      <w:r>
        <w:t>COMAH</w:t>
      </w:r>
      <w:r>
        <w:tab/>
        <w:t>Control of Major Accident Hazards</w:t>
      </w:r>
    </w:p>
    <w:p w14:paraId="5F3F4B31" w14:textId="77777777" w:rsidR="004451B6" w:rsidRDefault="004451B6" w:rsidP="00532D01">
      <w:pPr>
        <w:tabs>
          <w:tab w:val="left" w:pos="1440"/>
        </w:tabs>
        <w:spacing w:after="120"/>
      </w:pPr>
      <w:r>
        <w:t>COSHH</w:t>
      </w:r>
      <w:r>
        <w:tab/>
        <w:t>Control of Substances Hazardous to Health</w:t>
      </w:r>
    </w:p>
    <w:p w14:paraId="5F3F4B32" w14:textId="77777777" w:rsidR="00591713" w:rsidRDefault="00591713" w:rsidP="00532D01">
      <w:pPr>
        <w:tabs>
          <w:tab w:val="left" w:pos="1440"/>
        </w:tabs>
        <w:spacing w:after="120"/>
      </w:pPr>
      <w:r>
        <w:t>DDT</w:t>
      </w:r>
      <w:r>
        <w:tab/>
        <w:t>Deflagration to Detonation Transition</w:t>
      </w:r>
    </w:p>
    <w:p w14:paraId="5F3F4B33" w14:textId="77777777" w:rsidR="004451B6" w:rsidRDefault="004451B6" w:rsidP="00532D01">
      <w:pPr>
        <w:tabs>
          <w:tab w:val="left" w:pos="1440"/>
        </w:tabs>
        <w:spacing w:after="120"/>
      </w:pPr>
      <w:r>
        <w:t>DF</w:t>
      </w:r>
      <w:r>
        <w:tab/>
        <w:t>Decontamination Factor</w:t>
      </w:r>
    </w:p>
    <w:p w14:paraId="5F3F4B34" w14:textId="77777777" w:rsidR="006D7DE8" w:rsidRDefault="006D7DE8" w:rsidP="00532D01">
      <w:pPr>
        <w:tabs>
          <w:tab w:val="left" w:pos="1440"/>
        </w:tabs>
        <w:spacing w:after="120"/>
      </w:pPr>
      <w:r>
        <w:t>DSEAR</w:t>
      </w:r>
      <w:r>
        <w:tab/>
        <w:t>Dangerous Substances and Explosive Atmospheres Regulations</w:t>
      </w:r>
    </w:p>
    <w:p w14:paraId="5F3F4B35" w14:textId="77777777" w:rsidR="0073762A" w:rsidRDefault="0073762A" w:rsidP="00532D01">
      <w:pPr>
        <w:tabs>
          <w:tab w:val="left" w:pos="1440"/>
        </w:tabs>
        <w:spacing w:after="120"/>
      </w:pPr>
      <w:r>
        <w:t>EA</w:t>
      </w:r>
      <w:r>
        <w:tab/>
        <w:t>Environment Agency</w:t>
      </w:r>
    </w:p>
    <w:p w14:paraId="5F3F4B36" w14:textId="2B84BAD7" w:rsidR="00163EA7" w:rsidRDefault="00163EA7" w:rsidP="00532D01">
      <w:pPr>
        <w:tabs>
          <w:tab w:val="left" w:pos="1440"/>
        </w:tabs>
        <w:spacing w:after="120"/>
      </w:pPr>
      <w:r>
        <w:t>EC</w:t>
      </w:r>
      <w:r>
        <w:tab/>
        <w:t>Erosion/corrosion</w:t>
      </w:r>
    </w:p>
    <w:p w14:paraId="1E008F91" w14:textId="3DF5792E" w:rsidR="00BB3EE7" w:rsidRDefault="00BB3EE7" w:rsidP="00532D01">
      <w:pPr>
        <w:tabs>
          <w:tab w:val="left" w:pos="1440"/>
        </w:tabs>
        <w:spacing w:after="120"/>
      </w:pPr>
      <w:r>
        <w:t>EPR</w:t>
      </w:r>
      <w:r>
        <w:tab/>
        <w:t>Environmental Permitting Regulations</w:t>
      </w:r>
    </w:p>
    <w:p w14:paraId="5F3F4B37" w14:textId="77777777" w:rsidR="00163EA7" w:rsidRDefault="00163EA7" w:rsidP="00532D01">
      <w:pPr>
        <w:tabs>
          <w:tab w:val="left" w:pos="1440"/>
        </w:tabs>
        <w:spacing w:after="120"/>
      </w:pPr>
      <w:r>
        <w:t>FAC</w:t>
      </w:r>
      <w:r>
        <w:tab/>
        <w:t>Flow Assisted/Accelerated Corrosion</w:t>
      </w:r>
    </w:p>
    <w:p w14:paraId="5F3F4B38" w14:textId="497A4D75" w:rsidR="006D7DE8" w:rsidRDefault="006D7DE8" w:rsidP="00532D01">
      <w:pPr>
        <w:tabs>
          <w:tab w:val="left" w:pos="1440"/>
        </w:tabs>
        <w:spacing w:after="120"/>
      </w:pPr>
      <w:r>
        <w:t>FP</w:t>
      </w:r>
      <w:r>
        <w:tab/>
        <w:t>Fission product(s)</w:t>
      </w:r>
    </w:p>
    <w:p w14:paraId="73FA6C59" w14:textId="3368A416" w:rsidR="008F6A78" w:rsidRDefault="008F6A78" w:rsidP="00532D01">
      <w:pPr>
        <w:tabs>
          <w:tab w:val="left" w:pos="1440"/>
        </w:tabs>
        <w:spacing w:after="120"/>
      </w:pPr>
      <w:r>
        <w:t>HAW</w:t>
      </w:r>
      <w:r>
        <w:tab/>
        <w:t>Higher Activity Waste</w:t>
      </w:r>
    </w:p>
    <w:p w14:paraId="5F3F4B39" w14:textId="77777777" w:rsidR="009B5159" w:rsidRDefault="009B5159" w:rsidP="00532D01">
      <w:pPr>
        <w:tabs>
          <w:tab w:val="left" w:pos="1440"/>
        </w:tabs>
        <w:spacing w:after="120"/>
      </w:pPr>
      <w:r w:rsidRPr="00B301C8">
        <w:t>HSE</w:t>
      </w:r>
      <w:r w:rsidRPr="00B301C8">
        <w:tab/>
        <w:t>Health and Safety Executive</w:t>
      </w:r>
    </w:p>
    <w:p w14:paraId="5F3F4B3A" w14:textId="4B14F351" w:rsidR="009B5159" w:rsidRDefault="009B5159" w:rsidP="00532D01">
      <w:pPr>
        <w:tabs>
          <w:tab w:val="left" w:pos="1440"/>
        </w:tabs>
        <w:spacing w:after="120"/>
      </w:pPr>
      <w:r>
        <w:t>HS</w:t>
      </w:r>
      <w:r w:rsidR="002A352F">
        <w:t>WA</w:t>
      </w:r>
      <w:r>
        <w:tab/>
        <w:t xml:space="preserve">The Health and Safety at Work </w:t>
      </w:r>
      <w:r w:rsidR="00FB17CA">
        <w:t>etc.</w:t>
      </w:r>
      <w:r>
        <w:t xml:space="preserve"> Act 1974</w:t>
      </w:r>
    </w:p>
    <w:p w14:paraId="5F3F4B3B" w14:textId="77777777" w:rsidR="009B5159" w:rsidRDefault="009B5159" w:rsidP="00532D01">
      <w:pPr>
        <w:tabs>
          <w:tab w:val="left" w:pos="1440"/>
        </w:tabs>
        <w:spacing w:after="120"/>
      </w:pPr>
      <w:r>
        <w:t>IAEA</w:t>
      </w:r>
      <w:r>
        <w:tab/>
        <w:t>In</w:t>
      </w:r>
      <w:r w:rsidR="006D7DE8">
        <w:t>ternational Atomic Energy Agency</w:t>
      </w:r>
    </w:p>
    <w:p w14:paraId="5F3F4B3C" w14:textId="77777777" w:rsidR="00163EA7" w:rsidRDefault="00163EA7" w:rsidP="00532D01">
      <w:pPr>
        <w:tabs>
          <w:tab w:val="left" w:pos="1440"/>
        </w:tabs>
        <w:spacing w:after="120"/>
      </w:pPr>
      <w:r>
        <w:t>IASCC</w:t>
      </w:r>
      <w:r>
        <w:tab/>
        <w:t>Irradiation Assisted Stress Corrosion Cracking</w:t>
      </w:r>
    </w:p>
    <w:p w14:paraId="5F3F4B3D" w14:textId="77777777" w:rsidR="00BF586F" w:rsidRDefault="00BF586F" w:rsidP="00532D01">
      <w:pPr>
        <w:tabs>
          <w:tab w:val="left" w:pos="1440"/>
        </w:tabs>
        <w:spacing w:after="120"/>
      </w:pPr>
      <w:r>
        <w:t xml:space="preserve">IGA </w:t>
      </w:r>
      <w:r>
        <w:tab/>
        <w:t xml:space="preserve">Intergranular Attack </w:t>
      </w:r>
    </w:p>
    <w:p w14:paraId="5F3F4B3E" w14:textId="77777777" w:rsidR="00163EA7" w:rsidRDefault="00163EA7" w:rsidP="00532D01">
      <w:pPr>
        <w:tabs>
          <w:tab w:val="left" w:pos="1440"/>
        </w:tabs>
        <w:spacing w:after="120"/>
      </w:pPr>
      <w:r>
        <w:t>IGSCC</w:t>
      </w:r>
      <w:r>
        <w:tab/>
        <w:t>Intergranular Stress Corrosion Cracking</w:t>
      </w:r>
    </w:p>
    <w:p w14:paraId="5F3F4B3F" w14:textId="77777777" w:rsidR="004451B6" w:rsidRDefault="004451B6" w:rsidP="00532D01">
      <w:pPr>
        <w:tabs>
          <w:tab w:val="left" w:pos="1440"/>
        </w:tabs>
        <w:spacing w:after="120"/>
      </w:pPr>
      <w:r>
        <w:t>IRRs</w:t>
      </w:r>
      <w:r>
        <w:tab/>
        <w:t>Ionising Radiation Regulations</w:t>
      </w:r>
    </w:p>
    <w:p w14:paraId="5F3F4B40" w14:textId="77777777" w:rsidR="006B2F0C" w:rsidRDefault="006B2F0C" w:rsidP="00532D01">
      <w:pPr>
        <w:tabs>
          <w:tab w:val="left" w:pos="1440"/>
        </w:tabs>
        <w:spacing w:after="120"/>
      </w:pPr>
      <w:r>
        <w:t>LEL</w:t>
      </w:r>
      <w:r>
        <w:tab/>
        <w:t>Lower Explosive Limit</w:t>
      </w:r>
    </w:p>
    <w:p w14:paraId="5F3F4B41" w14:textId="77777777" w:rsidR="004451B6" w:rsidRDefault="004451B6" w:rsidP="00532D01">
      <w:pPr>
        <w:tabs>
          <w:tab w:val="left" w:pos="1440"/>
        </w:tabs>
        <w:spacing w:after="120"/>
      </w:pPr>
      <w:r>
        <w:t>LC</w:t>
      </w:r>
      <w:r>
        <w:tab/>
        <w:t>Licence Condition(s)</w:t>
      </w:r>
    </w:p>
    <w:p w14:paraId="5F3F4B42" w14:textId="77777777" w:rsidR="006B2F0C" w:rsidRDefault="006B2F0C" w:rsidP="00532D01">
      <w:pPr>
        <w:tabs>
          <w:tab w:val="left" w:pos="1440"/>
        </w:tabs>
        <w:spacing w:after="120"/>
      </w:pPr>
      <w:r>
        <w:t>LFL</w:t>
      </w:r>
      <w:r>
        <w:tab/>
        <w:t>Lower Flammability Limit</w:t>
      </w:r>
    </w:p>
    <w:p w14:paraId="5F3F4B43" w14:textId="77777777" w:rsidR="006D7DE8" w:rsidRDefault="006D7DE8" w:rsidP="00532D01">
      <w:pPr>
        <w:tabs>
          <w:tab w:val="left" w:pos="1440"/>
        </w:tabs>
        <w:spacing w:after="120"/>
      </w:pPr>
      <w:proofErr w:type="spellStart"/>
      <w:r>
        <w:t>LoD</w:t>
      </w:r>
      <w:proofErr w:type="spellEnd"/>
      <w:r>
        <w:tab/>
        <w:t>Limit of Detection</w:t>
      </w:r>
    </w:p>
    <w:p w14:paraId="5F3F4B44" w14:textId="77777777" w:rsidR="006D7DE8" w:rsidRDefault="006D7DE8" w:rsidP="00532D01">
      <w:pPr>
        <w:tabs>
          <w:tab w:val="left" w:pos="1440"/>
        </w:tabs>
        <w:spacing w:after="120"/>
      </w:pPr>
      <w:proofErr w:type="spellStart"/>
      <w:r>
        <w:t>LoQ</w:t>
      </w:r>
      <w:proofErr w:type="spellEnd"/>
      <w:r>
        <w:tab/>
        <w:t>Limit of Quantification</w:t>
      </w:r>
    </w:p>
    <w:p w14:paraId="5F3F4B45" w14:textId="77777777" w:rsidR="006B2F0C" w:rsidRDefault="006B2F0C" w:rsidP="00532D01">
      <w:pPr>
        <w:tabs>
          <w:tab w:val="left" w:pos="1440"/>
        </w:tabs>
        <w:spacing w:after="120"/>
      </w:pPr>
      <w:r>
        <w:t>LP</w:t>
      </w:r>
      <w:r>
        <w:tab/>
        <w:t>Lumped Parameter</w:t>
      </w:r>
    </w:p>
    <w:p w14:paraId="5F3F4B46" w14:textId="77777777" w:rsidR="006D7DE8" w:rsidRDefault="006D7DE8" w:rsidP="00532D01">
      <w:pPr>
        <w:tabs>
          <w:tab w:val="left" w:pos="1440"/>
        </w:tabs>
        <w:spacing w:after="120"/>
      </w:pPr>
      <w:r>
        <w:t>LWR</w:t>
      </w:r>
      <w:r>
        <w:tab/>
        <w:t>Light Water Reactor</w:t>
      </w:r>
    </w:p>
    <w:p w14:paraId="5F3F4B47" w14:textId="77777777" w:rsidR="00163EA7" w:rsidRDefault="00163EA7" w:rsidP="00532D01">
      <w:pPr>
        <w:tabs>
          <w:tab w:val="left" w:pos="1440"/>
        </w:tabs>
        <w:spacing w:after="120"/>
      </w:pPr>
      <w:r>
        <w:t>MIC</w:t>
      </w:r>
      <w:r>
        <w:tab/>
        <w:t xml:space="preserve">Microbially-induced Corrosion </w:t>
      </w:r>
    </w:p>
    <w:p w14:paraId="5F3F4B48" w14:textId="77777777" w:rsidR="004451B6" w:rsidRDefault="004451B6" w:rsidP="00532D01">
      <w:pPr>
        <w:tabs>
          <w:tab w:val="left" w:pos="1440"/>
        </w:tabs>
        <w:spacing w:after="120"/>
      </w:pPr>
      <w:r>
        <w:t>NRW</w:t>
      </w:r>
      <w:r>
        <w:tab/>
        <w:t>Natural Resources Wales</w:t>
      </w:r>
    </w:p>
    <w:p w14:paraId="5F3F4B49" w14:textId="77777777" w:rsidR="006D7DE8" w:rsidRDefault="006D7DE8" w:rsidP="00532D01">
      <w:pPr>
        <w:tabs>
          <w:tab w:val="left" w:pos="1440"/>
        </w:tabs>
        <w:spacing w:after="120"/>
      </w:pPr>
      <w:r>
        <w:t>OK</w:t>
      </w:r>
      <w:r>
        <w:tab/>
        <w:t>Odourless Kerosene</w:t>
      </w:r>
    </w:p>
    <w:p w14:paraId="5F3F4B4A" w14:textId="77777777" w:rsidR="006F784C" w:rsidRDefault="006F784C" w:rsidP="00532D01">
      <w:pPr>
        <w:tabs>
          <w:tab w:val="left" w:pos="1440"/>
        </w:tabs>
        <w:spacing w:after="120"/>
      </w:pPr>
      <w:r>
        <w:t>OPEX</w:t>
      </w:r>
      <w:r>
        <w:tab/>
        <w:t>Operating Experience Feedback</w:t>
      </w:r>
    </w:p>
    <w:p w14:paraId="5F3F4B4B" w14:textId="77777777" w:rsidR="0092010B" w:rsidRDefault="0092010B" w:rsidP="00532D01">
      <w:pPr>
        <w:tabs>
          <w:tab w:val="left" w:pos="1440"/>
        </w:tabs>
        <w:spacing w:after="120"/>
      </w:pPr>
      <w:r>
        <w:t>PAR</w:t>
      </w:r>
      <w:r>
        <w:tab/>
        <w:t>Pas</w:t>
      </w:r>
      <w:r w:rsidR="003375C8">
        <w:t>sive Autocatalytic Recombiner</w:t>
      </w:r>
    </w:p>
    <w:p w14:paraId="5F3F4B4C" w14:textId="77777777" w:rsidR="0073762A" w:rsidRDefault="0073762A" w:rsidP="00532D01">
      <w:pPr>
        <w:tabs>
          <w:tab w:val="left" w:pos="1440"/>
        </w:tabs>
        <w:spacing w:after="120"/>
      </w:pPr>
      <w:r>
        <w:t>PSA</w:t>
      </w:r>
      <w:r>
        <w:tab/>
        <w:t>Probabilistic Safety Analysis</w:t>
      </w:r>
    </w:p>
    <w:p w14:paraId="5F3F4B4D" w14:textId="77777777" w:rsidR="009B5159" w:rsidRDefault="009B5159" w:rsidP="00532D01">
      <w:pPr>
        <w:tabs>
          <w:tab w:val="left" w:pos="1440"/>
        </w:tabs>
        <w:spacing w:after="120"/>
      </w:pPr>
      <w:r>
        <w:t>PSR</w:t>
      </w:r>
      <w:r>
        <w:tab/>
        <w:t>Periodic Safety Review</w:t>
      </w:r>
    </w:p>
    <w:p w14:paraId="5F3F4B4E" w14:textId="77777777" w:rsidR="006D7DE8" w:rsidRDefault="006D7DE8" w:rsidP="00532D01">
      <w:pPr>
        <w:tabs>
          <w:tab w:val="left" w:pos="1440"/>
        </w:tabs>
        <w:spacing w:after="120"/>
      </w:pPr>
      <w:r>
        <w:t>PVC</w:t>
      </w:r>
      <w:r>
        <w:tab/>
        <w:t>Polyvinyl chloride</w:t>
      </w:r>
    </w:p>
    <w:p w14:paraId="5F3F4B4F" w14:textId="77777777" w:rsidR="002069AE" w:rsidRDefault="002069AE" w:rsidP="00532D01">
      <w:pPr>
        <w:tabs>
          <w:tab w:val="left" w:pos="1440"/>
        </w:tabs>
        <w:spacing w:after="120"/>
      </w:pPr>
      <w:r>
        <w:t>PWR</w:t>
      </w:r>
      <w:r>
        <w:tab/>
        <w:t>Pressurised Water Reactor</w:t>
      </w:r>
    </w:p>
    <w:p w14:paraId="5F3F4B50" w14:textId="77777777" w:rsidR="004451B6" w:rsidRDefault="004451B6" w:rsidP="00532D01">
      <w:pPr>
        <w:tabs>
          <w:tab w:val="left" w:pos="1440"/>
        </w:tabs>
        <w:spacing w:after="120"/>
      </w:pPr>
      <w:r>
        <w:t>RCS</w:t>
      </w:r>
      <w:r>
        <w:tab/>
        <w:t>Reactor Coolant System</w:t>
      </w:r>
    </w:p>
    <w:p w14:paraId="5F3F4B51" w14:textId="77777777" w:rsidR="004451B6" w:rsidRDefault="004451B6" w:rsidP="00532D01">
      <w:pPr>
        <w:tabs>
          <w:tab w:val="left" w:pos="1440"/>
        </w:tabs>
        <w:spacing w:after="120"/>
      </w:pPr>
      <w:r>
        <w:t>RF</w:t>
      </w:r>
      <w:r>
        <w:tab/>
        <w:t>Release Fraction</w:t>
      </w:r>
    </w:p>
    <w:p w14:paraId="5F3F4B52" w14:textId="77777777" w:rsidR="004451B6" w:rsidRDefault="004451B6" w:rsidP="00532D01">
      <w:pPr>
        <w:tabs>
          <w:tab w:val="left" w:pos="1440"/>
        </w:tabs>
        <w:spacing w:after="120"/>
      </w:pPr>
      <w:r>
        <w:t>RPV</w:t>
      </w:r>
      <w:r>
        <w:tab/>
        <w:t>Reactor Pressure Vessel</w:t>
      </w:r>
    </w:p>
    <w:p w14:paraId="5F3F4B53" w14:textId="77777777" w:rsidR="009B5159" w:rsidRDefault="009B5159" w:rsidP="00532D01">
      <w:pPr>
        <w:tabs>
          <w:tab w:val="left" w:pos="1440"/>
        </w:tabs>
        <w:spacing w:after="120"/>
      </w:pPr>
      <w:r>
        <w:t>SAP</w:t>
      </w:r>
      <w:r>
        <w:tab/>
        <w:t xml:space="preserve">Safety Assessment Principle(s) </w:t>
      </w:r>
    </w:p>
    <w:p w14:paraId="5F3F4B54" w14:textId="77777777" w:rsidR="00BF586F" w:rsidRDefault="00BF586F" w:rsidP="00532D01">
      <w:pPr>
        <w:tabs>
          <w:tab w:val="left" w:pos="1440"/>
        </w:tabs>
        <w:spacing w:after="120"/>
      </w:pPr>
      <w:r>
        <w:t>SCC</w:t>
      </w:r>
      <w:r>
        <w:tab/>
        <w:t xml:space="preserve">Stress Corrosion Cracking </w:t>
      </w:r>
    </w:p>
    <w:p w14:paraId="5F3F4B55" w14:textId="77777777" w:rsidR="009B5159" w:rsidRDefault="00163EA7" w:rsidP="00532D01">
      <w:pPr>
        <w:tabs>
          <w:tab w:val="left" w:pos="1440"/>
        </w:tabs>
        <w:spacing w:after="120"/>
      </w:pPr>
      <w:r>
        <w:t>SFAIRP</w:t>
      </w:r>
      <w:r>
        <w:tab/>
        <w:t>So Far as is Reasonably P</w:t>
      </w:r>
      <w:r w:rsidR="009B5159">
        <w:t>racticable</w:t>
      </w:r>
    </w:p>
    <w:p w14:paraId="5F3F4B56" w14:textId="77777777" w:rsidR="009B5159" w:rsidRDefault="009B5159" w:rsidP="00532D01">
      <w:pPr>
        <w:tabs>
          <w:tab w:val="left" w:pos="1440"/>
        </w:tabs>
        <w:spacing w:after="120"/>
      </w:pPr>
      <w:r>
        <w:t>SEPA</w:t>
      </w:r>
      <w:r>
        <w:tab/>
        <w:t>Scottish Environment Protection Agency</w:t>
      </w:r>
    </w:p>
    <w:p w14:paraId="5F3F4B57" w14:textId="77777777" w:rsidR="002C1ED2" w:rsidRDefault="002C1ED2" w:rsidP="00532D01">
      <w:pPr>
        <w:tabs>
          <w:tab w:val="left" w:pos="1440"/>
        </w:tabs>
        <w:spacing w:after="120"/>
      </w:pPr>
      <w:r>
        <w:t>SQEP</w:t>
      </w:r>
      <w:r>
        <w:tab/>
        <w:t>Suitably Qualified and Experienced</w:t>
      </w:r>
    </w:p>
    <w:p w14:paraId="5F3F4B58" w14:textId="77777777" w:rsidR="006D7DE8" w:rsidRDefault="00163EA7" w:rsidP="00532D01">
      <w:pPr>
        <w:tabs>
          <w:tab w:val="left" w:pos="1440"/>
        </w:tabs>
        <w:spacing w:after="120"/>
      </w:pPr>
      <w:r>
        <w:t>SSA</w:t>
      </w:r>
      <w:r>
        <w:tab/>
        <w:t>Specific Surface A</w:t>
      </w:r>
      <w:r w:rsidR="006D7DE8">
        <w:t>rea</w:t>
      </w:r>
    </w:p>
    <w:p w14:paraId="5F3F4B59" w14:textId="77777777" w:rsidR="009B5159" w:rsidRDefault="009B5159" w:rsidP="00532D01">
      <w:pPr>
        <w:tabs>
          <w:tab w:val="left" w:pos="1440"/>
        </w:tabs>
        <w:spacing w:after="120"/>
      </w:pPr>
      <w:r>
        <w:t>SSC</w:t>
      </w:r>
      <w:r>
        <w:tab/>
        <w:t>Structures, Systems and Components</w:t>
      </w:r>
    </w:p>
    <w:p w14:paraId="5F3F4B5A" w14:textId="77777777" w:rsidR="003A1236" w:rsidRDefault="003A1236" w:rsidP="00532D01">
      <w:pPr>
        <w:tabs>
          <w:tab w:val="left" w:pos="1440"/>
        </w:tabs>
        <w:spacing w:after="120"/>
      </w:pPr>
      <w:r>
        <w:t>SSG</w:t>
      </w:r>
      <w:r>
        <w:tab/>
        <w:t>Specific Safety Guide</w:t>
      </w:r>
    </w:p>
    <w:p w14:paraId="5F3F4B5B" w14:textId="77777777" w:rsidR="009D7A5C" w:rsidRDefault="009B5159" w:rsidP="00532D01">
      <w:pPr>
        <w:tabs>
          <w:tab w:val="left" w:pos="1440"/>
        </w:tabs>
        <w:spacing w:after="120"/>
      </w:pPr>
      <w:r>
        <w:t>TAG</w:t>
      </w:r>
      <w:r>
        <w:tab/>
        <w:t>Technical Assessment Guide(s)</w:t>
      </w:r>
    </w:p>
    <w:p w14:paraId="5F3F4B5C" w14:textId="77777777" w:rsidR="006D7DE8" w:rsidRDefault="00163EA7" w:rsidP="00532D01">
      <w:pPr>
        <w:tabs>
          <w:tab w:val="left" w:pos="1440"/>
        </w:tabs>
        <w:spacing w:after="120"/>
      </w:pPr>
      <w:r>
        <w:t>TBP</w:t>
      </w:r>
      <w:r>
        <w:tab/>
        <w:t>Tri-butyl P</w:t>
      </w:r>
      <w:r w:rsidR="006D7DE8">
        <w:t>hosphate</w:t>
      </w:r>
    </w:p>
    <w:p w14:paraId="5F3F4B5D" w14:textId="77777777" w:rsidR="00163EA7" w:rsidRDefault="00163EA7" w:rsidP="00532D01">
      <w:pPr>
        <w:tabs>
          <w:tab w:val="left" w:pos="1440"/>
        </w:tabs>
        <w:spacing w:after="120"/>
      </w:pPr>
      <w:r>
        <w:t>TGSCC</w:t>
      </w:r>
      <w:r>
        <w:tab/>
      </w:r>
      <w:proofErr w:type="spellStart"/>
      <w:r>
        <w:t>Transgranular</w:t>
      </w:r>
      <w:proofErr w:type="spellEnd"/>
      <w:r>
        <w:t xml:space="preserve"> Stress Corrosion Cracking</w:t>
      </w:r>
    </w:p>
    <w:p w14:paraId="5F3F4B5E" w14:textId="77777777" w:rsidR="00163EA7" w:rsidRDefault="00163EA7" w:rsidP="00532D01">
      <w:pPr>
        <w:tabs>
          <w:tab w:val="left" w:pos="1440"/>
        </w:tabs>
        <w:spacing w:after="120"/>
      </w:pPr>
      <w:r>
        <w:t>TMI</w:t>
      </w:r>
      <w:r>
        <w:tab/>
        <w:t>Three Mile Island</w:t>
      </w:r>
    </w:p>
    <w:p w14:paraId="5F3F4B5F" w14:textId="77777777" w:rsidR="006B2F0C" w:rsidRDefault="006B2F0C" w:rsidP="00532D01">
      <w:pPr>
        <w:tabs>
          <w:tab w:val="left" w:pos="1440"/>
        </w:tabs>
        <w:spacing w:after="120"/>
      </w:pPr>
      <w:r>
        <w:t>UEL</w:t>
      </w:r>
      <w:r>
        <w:tab/>
        <w:t>Upper Explosive Limit</w:t>
      </w:r>
    </w:p>
    <w:p w14:paraId="5F3F4B60" w14:textId="77777777" w:rsidR="006B2F0C" w:rsidRDefault="006B2F0C" w:rsidP="00532D01">
      <w:pPr>
        <w:tabs>
          <w:tab w:val="left" w:pos="1440"/>
        </w:tabs>
        <w:spacing w:after="120"/>
      </w:pPr>
      <w:r>
        <w:t>UFL</w:t>
      </w:r>
      <w:r>
        <w:tab/>
        <w:t>Upper Flammable Limit</w:t>
      </w:r>
    </w:p>
    <w:p w14:paraId="5F3F4B61" w14:textId="77777777" w:rsidR="006B2F0C" w:rsidRDefault="006B2F0C" w:rsidP="00532D01">
      <w:pPr>
        <w:tabs>
          <w:tab w:val="left" w:pos="1440"/>
        </w:tabs>
        <w:spacing w:after="120"/>
      </w:pPr>
      <w:r>
        <w:t>VCT</w:t>
      </w:r>
      <w:r>
        <w:tab/>
        <w:t>Volume Control Tank</w:t>
      </w:r>
    </w:p>
    <w:p w14:paraId="5F3F4B62" w14:textId="77777777" w:rsidR="009B5159" w:rsidRDefault="009B5159" w:rsidP="00532D01">
      <w:pPr>
        <w:tabs>
          <w:tab w:val="left" w:pos="1440"/>
        </w:tabs>
        <w:spacing w:after="120"/>
      </w:pPr>
      <w:r>
        <w:t>WENRA</w:t>
      </w:r>
      <w:r>
        <w:tab/>
        <w:t>Western European Nuclear Regulators’ Association</w:t>
      </w:r>
    </w:p>
    <w:p w14:paraId="5F3F4B63" w14:textId="77777777" w:rsidR="009B5159" w:rsidRDefault="009B5159" w:rsidP="009B5159"/>
    <w:p w14:paraId="5F3F4B64" w14:textId="77777777" w:rsidR="00D215BD" w:rsidRDefault="00D215BD" w:rsidP="009B5159">
      <w:pPr>
        <w:sectPr w:rsidR="00D215BD" w:rsidSect="00EA5EB4">
          <w:type w:val="continuous"/>
          <w:pgSz w:w="11906" w:h="16838" w:code="9"/>
          <w:pgMar w:top="1134" w:right="1134" w:bottom="1134" w:left="1588" w:header="431" w:footer="567" w:gutter="0"/>
          <w:cols w:space="708"/>
          <w:titlePg/>
          <w:docGrid w:linePitch="360"/>
        </w:sectPr>
      </w:pPr>
    </w:p>
    <w:p w14:paraId="5F3F4B65" w14:textId="77777777" w:rsidR="00D215BD" w:rsidRDefault="00D215BD" w:rsidP="009B5159">
      <w:pPr>
        <w:sectPr w:rsidR="00D215BD" w:rsidSect="008C6F42">
          <w:type w:val="continuous"/>
          <w:pgSz w:w="11906" w:h="16838" w:code="9"/>
          <w:pgMar w:top="1134" w:right="1134" w:bottom="1134" w:left="1588" w:header="431" w:footer="567" w:gutter="0"/>
          <w:cols w:space="708"/>
          <w:titlePg/>
          <w:docGrid w:linePitch="360"/>
        </w:sectPr>
      </w:pPr>
    </w:p>
    <w:p w14:paraId="5F3F4B66" w14:textId="77777777" w:rsidR="00D215BD" w:rsidRDefault="00D215BD" w:rsidP="009B5159"/>
    <w:p w14:paraId="5F3F4B67" w14:textId="77777777" w:rsidR="00D215BD" w:rsidRDefault="00D215BD" w:rsidP="009B5159"/>
    <w:p w14:paraId="5F3F4B68" w14:textId="77777777" w:rsidR="00DB68D7" w:rsidRDefault="009B5159" w:rsidP="0002758C">
      <w:pPr>
        <w:pStyle w:val="TSHeadingLevel1Numbered"/>
      </w:pPr>
      <w:bookmarkStart w:id="40" w:name="_Toc447189496"/>
      <w:bookmarkStart w:id="41" w:name="_Toc61505477"/>
      <w:r w:rsidRPr="0072664D">
        <w:t>APPENDICES</w:t>
      </w:r>
      <w:bookmarkEnd w:id="40"/>
      <w:bookmarkEnd w:id="41"/>
    </w:p>
    <w:p w14:paraId="5F3F4B69" w14:textId="77777777" w:rsidR="005865BD" w:rsidRDefault="005865BD" w:rsidP="007B21BC">
      <w:pPr>
        <w:spacing w:after="120"/>
        <w:ind w:left="1418" w:hanging="1418"/>
      </w:pPr>
      <w:r w:rsidRPr="00F547FF">
        <w:rPr>
          <w:b/>
        </w:rPr>
        <w:t>Appendix 1</w:t>
      </w:r>
      <w:r w:rsidR="00F547FF" w:rsidRPr="00F547FF">
        <w:rPr>
          <w:b/>
        </w:rPr>
        <w:t>:</w:t>
      </w:r>
      <w:r>
        <w:t xml:space="preserve"> </w:t>
      </w:r>
      <w:r w:rsidR="007B21BC">
        <w:tab/>
      </w:r>
      <w:r w:rsidRPr="005865BD">
        <w:t xml:space="preserve">Chemistry Interfaces, Cross-Cutting Topics </w:t>
      </w:r>
      <w:r>
        <w:t>a</w:t>
      </w:r>
      <w:r w:rsidRPr="005865BD">
        <w:t xml:space="preserve">nd </w:t>
      </w:r>
      <w:r>
        <w:t>r</w:t>
      </w:r>
      <w:r w:rsidR="007C1252">
        <w:t>elevant ONR TAGs.</w:t>
      </w:r>
    </w:p>
    <w:p w14:paraId="5F3F4B6A" w14:textId="77777777" w:rsidR="005865BD" w:rsidRDefault="005865BD" w:rsidP="007B21BC">
      <w:pPr>
        <w:spacing w:after="120"/>
        <w:ind w:left="1418" w:hanging="1418"/>
      </w:pPr>
      <w:r w:rsidRPr="00F547FF">
        <w:rPr>
          <w:b/>
        </w:rPr>
        <w:t>Appendix 2</w:t>
      </w:r>
      <w:r w:rsidR="00F547FF" w:rsidRPr="00F547FF">
        <w:rPr>
          <w:b/>
        </w:rPr>
        <w:t>:</w:t>
      </w:r>
      <w:r>
        <w:t xml:space="preserve"> </w:t>
      </w:r>
      <w:r w:rsidR="007B21BC">
        <w:tab/>
      </w:r>
      <w:proofErr w:type="spellStart"/>
      <w:r w:rsidRPr="005865BD">
        <w:t>Physico</w:t>
      </w:r>
      <w:proofErr w:type="spellEnd"/>
      <w:r w:rsidRPr="005865BD">
        <w:t>-</w:t>
      </w:r>
      <w:r>
        <w:t>c</w:t>
      </w:r>
      <w:r w:rsidRPr="005865BD">
        <w:t xml:space="preserve">hemical Phenomena in the Assessment of Radiological Consequences </w:t>
      </w:r>
      <w:r>
        <w:t>f</w:t>
      </w:r>
      <w:r w:rsidRPr="005865BD">
        <w:t>or Accident Source Terms</w:t>
      </w:r>
      <w:r w:rsidR="00384AB8">
        <w:t xml:space="preserve"> for LWRs</w:t>
      </w:r>
      <w:r w:rsidR="007C1252">
        <w:t>.</w:t>
      </w:r>
    </w:p>
    <w:p w14:paraId="5F3F4B6B" w14:textId="77777777" w:rsidR="007B21BC" w:rsidRDefault="007B21BC" w:rsidP="007B21BC">
      <w:pPr>
        <w:spacing w:after="120"/>
        <w:ind w:left="1418" w:hanging="1418"/>
      </w:pPr>
      <w:r w:rsidRPr="00F547FF">
        <w:rPr>
          <w:b/>
        </w:rPr>
        <w:t>Appendix 3</w:t>
      </w:r>
      <w:r w:rsidR="00F547FF" w:rsidRPr="00F547FF">
        <w:rPr>
          <w:b/>
        </w:rPr>
        <w:t>:</w:t>
      </w:r>
      <w:r>
        <w:tab/>
      </w:r>
      <w:r w:rsidRPr="007B21BC">
        <w:t>Material</w:t>
      </w:r>
      <w:r>
        <w:t>,</w:t>
      </w:r>
      <w:r w:rsidRPr="007B21BC">
        <w:t xml:space="preserve"> Chemical and Radiochemical Sampling and Analysis</w:t>
      </w:r>
      <w:r w:rsidR="007C1252">
        <w:t>.</w:t>
      </w:r>
    </w:p>
    <w:p w14:paraId="5F3F4B6C" w14:textId="77777777" w:rsidR="007B21BC" w:rsidRDefault="007B21BC" w:rsidP="007B21BC">
      <w:pPr>
        <w:spacing w:after="120"/>
        <w:ind w:left="1418" w:hanging="1418"/>
      </w:pPr>
      <w:r w:rsidRPr="00F547FF">
        <w:rPr>
          <w:b/>
        </w:rPr>
        <w:t>Appendix 4</w:t>
      </w:r>
      <w:r w:rsidR="00F547FF" w:rsidRPr="00F547FF">
        <w:rPr>
          <w:b/>
        </w:rPr>
        <w:t>:</w:t>
      </w:r>
      <w:r>
        <w:tab/>
      </w:r>
      <w:r w:rsidRPr="007B21BC">
        <w:t xml:space="preserve">The Influence </w:t>
      </w:r>
      <w:r>
        <w:t>o</w:t>
      </w:r>
      <w:r w:rsidRPr="007B21BC">
        <w:t xml:space="preserve">f Chemistry Effects </w:t>
      </w:r>
      <w:r>
        <w:t>o</w:t>
      </w:r>
      <w:r w:rsidRPr="007B21BC">
        <w:t>n Combustible Gases</w:t>
      </w:r>
      <w:r w:rsidR="007C1252">
        <w:t>.</w:t>
      </w:r>
    </w:p>
    <w:p w14:paraId="5F3F4B6D" w14:textId="77777777" w:rsidR="00B36A6E" w:rsidRDefault="00B36A6E" w:rsidP="007B21BC">
      <w:pPr>
        <w:spacing w:after="120"/>
      </w:pPr>
    </w:p>
    <w:p w14:paraId="5F3F4B6E" w14:textId="77777777" w:rsidR="00B36A6E" w:rsidRDefault="00B36A6E">
      <w:r>
        <w:br w:type="page"/>
      </w:r>
    </w:p>
    <w:p w14:paraId="5F3F4B6F" w14:textId="77777777" w:rsidR="00B36A6E" w:rsidRPr="0072664D" w:rsidRDefault="00B36A6E" w:rsidP="00B36A6E"/>
    <w:p w14:paraId="5F3F4B70" w14:textId="77777777" w:rsidR="009B5159" w:rsidRPr="000C2F89" w:rsidRDefault="000C2F89" w:rsidP="001A0C5F">
      <w:pPr>
        <w:pStyle w:val="TSAppendixHeader"/>
      </w:pPr>
      <w:r>
        <w:t>APPENDIX 1</w:t>
      </w:r>
      <w:r w:rsidR="00F547FF">
        <w:t>:</w:t>
      </w:r>
      <w:r>
        <w:tab/>
      </w:r>
      <w:r w:rsidR="007B21BC" w:rsidRPr="000C2F89">
        <w:t>CHEMISTRY INTERFACES, CROSS-CUTTING TOPICS AND RELEVANT ONR TAGS</w:t>
      </w:r>
    </w:p>
    <w:p w14:paraId="5F3F4B71" w14:textId="77777777" w:rsidR="006F781B" w:rsidRPr="005219C3" w:rsidRDefault="006F781B" w:rsidP="009B5159">
      <w:pPr>
        <w:rPr>
          <w:b/>
          <w:highlight w:val="yellow"/>
        </w:rPr>
      </w:pPr>
    </w:p>
    <w:tbl>
      <w:tblPr>
        <w:tblW w:w="8183" w:type="dxa"/>
        <w:jc w:val="center"/>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Layout w:type="fixed"/>
        <w:tblCellMar>
          <w:top w:w="58" w:type="dxa"/>
          <w:left w:w="58" w:type="dxa"/>
          <w:bottom w:w="58" w:type="dxa"/>
          <w:right w:w="58" w:type="dxa"/>
        </w:tblCellMar>
        <w:tblLook w:val="01E0" w:firstRow="1" w:lastRow="1" w:firstColumn="1" w:lastColumn="1" w:noHBand="0" w:noVBand="0"/>
      </w:tblPr>
      <w:tblGrid>
        <w:gridCol w:w="1850"/>
        <w:gridCol w:w="2348"/>
        <w:gridCol w:w="3985"/>
      </w:tblGrid>
      <w:tr w:rsidR="0019611B" w:rsidRPr="00A07847" w14:paraId="5F3F4B75" w14:textId="77777777" w:rsidTr="008B0D84">
        <w:trPr>
          <w:jc w:val="center"/>
        </w:trPr>
        <w:tc>
          <w:tcPr>
            <w:tcW w:w="1850" w:type="dxa"/>
            <w:shd w:val="clear" w:color="auto" w:fill="006D68"/>
          </w:tcPr>
          <w:p w14:paraId="5F3F4B72" w14:textId="77777777" w:rsidR="0019611B" w:rsidRPr="00A07847" w:rsidRDefault="0019611B" w:rsidP="00F06E31">
            <w:pPr>
              <w:rPr>
                <w:b/>
                <w:color w:val="FFFFFF"/>
                <w:sz w:val="20"/>
                <w:szCs w:val="20"/>
                <w:highlight w:val="yellow"/>
              </w:rPr>
            </w:pPr>
          </w:p>
        </w:tc>
        <w:tc>
          <w:tcPr>
            <w:tcW w:w="2348" w:type="dxa"/>
            <w:shd w:val="clear" w:color="auto" w:fill="006D68"/>
          </w:tcPr>
          <w:p w14:paraId="5F3F4B73" w14:textId="77777777" w:rsidR="0019611B" w:rsidRPr="0019611B" w:rsidRDefault="0019611B" w:rsidP="00A07847">
            <w:pPr>
              <w:jc w:val="center"/>
              <w:rPr>
                <w:b/>
                <w:color w:val="FFFFFF"/>
                <w:sz w:val="20"/>
                <w:szCs w:val="20"/>
              </w:rPr>
            </w:pPr>
            <w:r>
              <w:rPr>
                <w:b/>
                <w:color w:val="FFFFFF"/>
                <w:sz w:val="20"/>
                <w:szCs w:val="20"/>
              </w:rPr>
              <w:t>Interfacing ONR discipline</w:t>
            </w:r>
          </w:p>
        </w:tc>
        <w:tc>
          <w:tcPr>
            <w:tcW w:w="3985" w:type="dxa"/>
            <w:shd w:val="clear" w:color="auto" w:fill="006D68"/>
          </w:tcPr>
          <w:p w14:paraId="5F3F4B74" w14:textId="77777777" w:rsidR="0019611B" w:rsidRPr="0019611B" w:rsidRDefault="0019611B" w:rsidP="00A07847">
            <w:pPr>
              <w:jc w:val="center"/>
              <w:rPr>
                <w:b/>
                <w:color w:val="FFFFFF"/>
                <w:sz w:val="20"/>
                <w:szCs w:val="20"/>
              </w:rPr>
            </w:pPr>
            <w:r w:rsidRPr="0019611B">
              <w:rPr>
                <w:b/>
                <w:color w:val="FFFFFF"/>
                <w:sz w:val="20"/>
                <w:szCs w:val="20"/>
              </w:rPr>
              <w:t>Cross-cutting topic</w:t>
            </w:r>
          </w:p>
        </w:tc>
      </w:tr>
      <w:tr w:rsidR="0019611B" w:rsidRPr="00A07847" w14:paraId="5F3F4B7D" w14:textId="77777777" w:rsidTr="008B0D84">
        <w:trPr>
          <w:jc w:val="center"/>
        </w:trPr>
        <w:tc>
          <w:tcPr>
            <w:tcW w:w="1850" w:type="dxa"/>
            <w:vMerge w:val="restart"/>
            <w:shd w:val="clear" w:color="auto" w:fill="auto"/>
          </w:tcPr>
          <w:p w14:paraId="5F3F4B76" w14:textId="77777777" w:rsidR="0019611B" w:rsidRPr="00DA3BBE" w:rsidRDefault="0019611B" w:rsidP="00A07847">
            <w:pPr>
              <w:autoSpaceDE w:val="0"/>
              <w:autoSpaceDN w:val="0"/>
              <w:adjustRightInd w:val="0"/>
              <w:jc w:val="center"/>
              <w:rPr>
                <w:rFonts w:eastAsia="MS Mincho" w:cs="Arial"/>
                <w:b/>
                <w:bCs/>
                <w:sz w:val="20"/>
                <w:szCs w:val="20"/>
                <w:lang w:eastAsia="ja-JP"/>
              </w:rPr>
            </w:pPr>
            <w:r w:rsidRPr="00DA3BBE">
              <w:rPr>
                <w:sz w:val="20"/>
                <w:szCs w:val="20"/>
              </w:rPr>
              <w:t>Chemistry</w:t>
            </w:r>
          </w:p>
        </w:tc>
        <w:tc>
          <w:tcPr>
            <w:tcW w:w="2348" w:type="dxa"/>
            <w:shd w:val="clear" w:color="auto" w:fill="auto"/>
          </w:tcPr>
          <w:p w14:paraId="5F3F4B77" w14:textId="77777777" w:rsidR="0019611B" w:rsidRPr="00DA3BBE" w:rsidRDefault="0019611B" w:rsidP="00A07847">
            <w:pPr>
              <w:autoSpaceDE w:val="0"/>
              <w:autoSpaceDN w:val="0"/>
              <w:adjustRightInd w:val="0"/>
              <w:rPr>
                <w:rFonts w:eastAsia="MS Mincho" w:cs="Arial"/>
                <w:sz w:val="20"/>
                <w:szCs w:val="20"/>
                <w:lang w:eastAsia="ja-JP"/>
              </w:rPr>
            </w:pPr>
            <w:r w:rsidRPr="00DA3BBE">
              <w:rPr>
                <w:sz w:val="20"/>
                <w:szCs w:val="20"/>
              </w:rPr>
              <w:t>Chemical engineering</w:t>
            </w:r>
          </w:p>
        </w:tc>
        <w:tc>
          <w:tcPr>
            <w:tcW w:w="3985" w:type="dxa"/>
            <w:shd w:val="clear" w:color="auto" w:fill="auto"/>
          </w:tcPr>
          <w:p w14:paraId="5F3F4B78" w14:textId="77777777" w:rsidR="005A7C78" w:rsidRDefault="005A7C78" w:rsidP="00B81D9C">
            <w:pPr>
              <w:numPr>
                <w:ilvl w:val="0"/>
                <w:numId w:val="14"/>
              </w:numPr>
              <w:autoSpaceDE w:val="0"/>
              <w:autoSpaceDN w:val="0"/>
              <w:adjustRightInd w:val="0"/>
              <w:rPr>
                <w:rFonts w:eastAsia="MS Mincho" w:cs="Arial"/>
                <w:sz w:val="20"/>
                <w:szCs w:val="20"/>
                <w:lang w:eastAsia="ja-JP"/>
              </w:rPr>
            </w:pPr>
            <w:r>
              <w:rPr>
                <w:rFonts w:eastAsia="MS Mincho" w:cs="Arial"/>
                <w:sz w:val="20"/>
                <w:szCs w:val="20"/>
                <w:lang w:eastAsia="ja-JP"/>
              </w:rPr>
              <w:t>Inherent safety – avoiding uncontrolled or unintentional chemical reactions;</w:t>
            </w:r>
          </w:p>
          <w:p w14:paraId="5F3F4B79" w14:textId="77777777" w:rsidR="0019611B" w:rsidRDefault="0019611B" w:rsidP="00B81D9C">
            <w:pPr>
              <w:numPr>
                <w:ilvl w:val="0"/>
                <w:numId w:val="14"/>
              </w:numPr>
              <w:autoSpaceDE w:val="0"/>
              <w:autoSpaceDN w:val="0"/>
              <w:adjustRightInd w:val="0"/>
              <w:rPr>
                <w:rFonts w:eastAsia="MS Mincho" w:cs="Arial"/>
                <w:sz w:val="20"/>
                <w:szCs w:val="20"/>
                <w:lang w:eastAsia="ja-JP"/>
              </w:rPr>
            </w:pPr>
            <w:r w:rsidRPr="00B37AF0">
              <w:rPr>
                <w:rFonts w:eastAsia="MS Mincho" w:cs="Arial"/>
                <w:sz w:val="20"/>
                <w:szCs w:val="20"/>
                <w:lang w:eastAsia="ja-JP"/>
              </w:rPr>
              <w:t>Reaction rates, timings and thermodynamics</w:t>
            </w:r>
            <w:r w:rsidR="00B37AF0">
              <w:rPr>
                <w:rFonts w:eastAsia="MS Mincho" w:cs="Arial"/>
                <w:sz w:val="20"/>
                <w:szCs w:val="20"/>
                <w:lang w:eastAsia="ja-JP"/>
              </w:rPr>
              <w:t>;</w:t>
            </w:r>
          </w:p>
          <w:p w14:paraId="5F3F4B7A" w14:textId="77777777" w:rsidR="00A405EC" w:rsidRDefault="00A405EC" w:rsidP="00B81D9C">
            <w:pPr>
              <w:numPr>
                <w:ilvl w:val="0"/>
                <w:numId w:val="14"/>
              </w:numPr>
              <w:autoSpaceDE w:val="0"/>
              <w:autoSpaceDN w:val="0"/>
              <w:adjustRightInd w:val="0"/>
              <w:rPr>
                <w:rFonts w:eastAsia="MS Mincho" w:cs="Arial"/>
                <w:sz w:val="20"/>
                <w:szCs w:val="20"/>
                <w:lang w:eastAsia="ja-JP"/>
              </w:rPr>
            </w:pPr>
            <w:r>
              <w:rPr>
                <w:rFonts w:eastAsia="MS Mincho" w:cs="Arial"/>
                <w:sz w:val="20"/>
                <w:szCs w:val="20"/>
                <w:lang w:eastAsia="ja-JP"/>
              </w:rPr>
              <w:t xml:space="preserve">Exothermic chemical reactions – thermal </w:t>
            </w:r>
            <w:r w:rsidR="00220281">
              <w:rPr>
                <w:rFonts w:eastAsia="MS Mincho" w:cs="Arial"/>
                <w:sz w:val="20"/>
                <w:szCs w:val="20"/>
                <w:lang w:eastAsia="ja-JP"/>
              </w:rPr>
              <w:t>excursion</w:t>
            </w:r>
            <w:r>
              <w:rPr>
                <w:rFonts w:eastAsia="MS Mincho" w:cs="Arial"/>
                <w:sz w:val="20"/>
                <w:szCs w:val="20"/>
                <w:lang w:eastAsia="ja-JP"/>
              </w:rPr>
              <w:t>;</w:t>
            </w:r>
          </w:p>
          <w:p w14:paraId="5F3F4B7B" w14:textId="77777777" w:rsidR="005A7C78" w:rsidRPr="00B37AF0" w:rsidRDefault="005A7C78" w:rsidP="00B81D9C">
            <w:pPr>
              <w:numPr>
                <w:ilvl w:val="0"/>
                <w:numId w:val="14"/>
              </w:numPr>
              <w:autoSpaceDE w:val="0"/>
              <w:autoSpaceDN w:val="0"/>
              <w:adjustRightInd w:val="0"/>
              <w:rPr>
                <w:rFonts w:eastAsia="MS Mincho" w:cs="Arial"/>
                <w:sz w:val="20"/>
                <w:szCs w:val="20"/>
                <w:lang w:eastAsia="ja-JP"/>
              </w:rPr>
            </w:pPr>
            <w:r>
              <w:rPr>
                <w:rFonts w:eastAsia="MS Mincho" w:cs="Arial"/>
                <w:sz w:val="20"/>
                <w:szCs w:val="20"/>
                <w:lang w:eastAsia="ja-JP"/>
              </w:rPr>
              <w:t>Experimental processes;</w:t>
            </w:r>
          </w:p>
          <w:p w14:paraId="5F3F4B7C" w14:textId="77777777" w:rsidR="0019611B" w:rsidRPr="00B37AF0" w:rsidRDefault="0019611B" w:rsidP="00B81D9C">
            <w:pPr>
              <w:numPr>
                <w:ilvl w:val="0"/>
                <w:numId w:val="14"/>
              </w:numPr>
              <w:autoSpaceDE w:val="0"/>
              <w:autoSpaceDN w:val="0"/>
              <w:adjustRightInd w:val="0"/>
              <w:rPr>
                <w:rFonts w:eastAsia="MS Mincho" w:cs="Arial"/>
                <w:sz w:val="20"/>
                <w:szCs w:val="20"/>
                <w:lang w:eastAsia="ja-JP"/>
              </w:rPr>
            </w:pPr>
            <w:r w:rsidRPr="00B37AF0">
              <w:rPr>
                <w:rFonts w:eastAsia="MS Mincho" w:cs="Arial"/>
                <w:sz w:val="20"/>
                <w:szCs w:val="20"/>
                <w:lang w:eastAsia="ja-JP"/>
              </w:rPr>
              <w:t>Limits and conditions (Operating Rules)</w:t>
            </w:r>
            <w:r w:rsidR="00B37AF0">
              <w:rPr>
                <w:rFonts w:eastAsia="MS Mincho" w:cs="Arial"/>
                <w:sz w:val="20"/>
                <w:szCs w:val="20"/>
                <w:lang w:eastAsia="ja-JP"/>
              </w:rPr>
              <w:t>;</w:t>
            </w:r>
          </w:p>
        </w:tc>
      </w:tr>
      <w:tr w:rsidR="0019611B" w:rsidRPr="00A07847" w14:paraId="5F3F4B83" w14:textId="77777777" w:rsidTr="008B0D84">
        <w:trPr>
          <w:jc w:val="center"/>
        </w:trPr>
        <w:tc>
          <w:tcPr>
            <w:tcW w:w="1850" w:type="dxa"/>
            <w:vMerge/>
            <w:shd w:val="clear" w:color="auto" w:fill="auto"/>
          </w:tcPr>
          <w:p w14:paraId="5F3F4B7E" w14:textId="77777777" w:rsidR="0019611B" w:rsidRPr="00DA3BBE" w:rsidRDefault="0019611B" w:rsidP="00A07847">
            <w:pPr>
              <w:autoSpaceDE w:val="0"/>
              <w:autoSpaceDN w:val="0"/>
              <w:adjustRightInd w:val="0"/>
              <w:rPr>
                <w:rFonts w:eastAsia="MS Mincho" w:cs="Arial"/>
                <w:b/>
                <w:bCs/>
                <w:sz w:val="20"/>
                <w:szCs w:val="20"/>
                <w:lang w:eastAsia="ja-JP"/>
              </w:rPr>
            </w:pPr>
          </w:p>
        </w:tc>
        <w:tc>
          <w:tcPr>
            <w:tcW w:w="2348" w:type="dxa"/>
            <w:shd w:val="clear" w:color="auto" w:fill="auto"/>
          </w:tcPr>
          <w:p w14:paraId="5F3F4B7F" w14:textId="77777777" w:rsidR="0019611B" w:rsidRPr="00DA3BBE" w:rsidRDefault="0019611B" w:rsidP="00A07847">
            <w:pPr>
              <w:autoSpaceDE w:val="0"/>
              <w:autoSpaceDN w:val="0"/>
              <w:adjustRightInd w:val="0"/>
              <w:rPr>
                <w:rFonts w:eastAsia="MS Mincho" w:cs="Arial"/>
                <w:sz w:val="20"/>
                <w:szCs w:val="20"/>
                <w:lang w:eastAsia="ja-JP"/>
              </w:rPr>
            </w:pPr>
            <w:r w:rsidRPr="00DA3BBE">
              <w:rPr>
                <w:sz w:val="20"/>
                <w:szCs w:val="20"/>
              </w:rPr>
              <w:t>Structural integrity</w:t>
            </w:r>
          </w:p>
        </w:tc>
        <w:tc>
          <w:tcPr>
            <w:tcW w:w="3985" w:type="dxa"/>
            <w:shd w:val="clear" w:color="auto" w:fill="auto"/>
          </w:tcPr>
          <w:p w14:paraId="5F3F4B80" w14:textId="77777777" w:rsidR="00DA3BBE" w:rsidRDefault="005A7C78" w:rsidP="00B81D9C">
            <w:pPr>
              <w:numPr>
                <w:ilvl w:val="0"/>
                <w:numId w:val="13"/>
              </w:numPr>
              <w:autoSpaceDE w:val="0"/>
              <w:autoSpaceDN w:val="0"/>
              <w:adjustRightInd w:val="0"/>
              <w:rPr>
                <w:rFonts w:eastAsia="MS Mincho" w:cs="Arial"/>
                <w:sz w:val="20"/>
                <w:szCs w:val="20"/>
                <w:lang w:eastAsia="ja-JP"/>
              </w:rPr>
            </w:pPr>
            <w:r>
              <w:rPr>
                <w:rFonts w:eastAsia="MS Mincho" w:cs="Arial"/>
                <w:sz w:val="20"/>
                <w:szCs w:val="20"/>
                <w:lang w:eastAsia="ja-JP"/>
              </w:rPr>
              <w:t xml:space="preserve">Chemical operating environment </w:t>
            </w:r>
            <w:r w:rsidR="00DA3BBE" w:rsidRPr="00B37AF0">
              <w:rPr>
                <w:rFonts w:eastAsia="MS Mincho" w:cs="Arial"/>
                <w:sz w:val="20"/>
                <w:szCs w:val="20"/>
                <w:lang w:eastAsia="ja-JP"/>
              </w:rPr>
              <w:t>of metallic components and other materials</w:t>
            </w:r>
            <w:r w:rsidR="00B37AF0">
              <w:rPr>
                <w:rFonts w:eastAsia="MS Mincho" w:cs="Arial"/>
                <w:sz w:val="20"/>
                <w:szCs w:val="20"/>
                <w:lang w:eastAsia="ja-JP"/>
              </w:rPr>
              <w:t>;</w:t>
            </w:r>
          </w:p>
          <w:p w14:paraId="5F3F4B81" w14:textId="77777777" w:rsidR="005A7C78" w:rsidRDefault="005A7C78" w:rsidP="00B81D9C">
            <w:pPr>
              <w:numPr>
                <w:ilvl w:val="0"/>
                <w:numId w:val="13"/>
              </w:numPr>
              <w:autoSpaceDE w:val="0"/>
              <w:autoSpaceDN w:val="0"/>
              <w:adjustRightInd w:val="0"/>
              <w:rPr>
                <w:rFonts w:eastAsia="MS Mincho" w:cs="Arial"/>
                <w:sz w:val="20"/>
                <w:szCs w:val="20"/>
                <w:lang w:eastAsia="ja-JP"/>
              </w:rPr>
            </w:pPr>
            <w:r>
              <w:rPr>
                <w:rFonts w:eastAsia="MS Mincho" w:cs="Arial"/>
                <w:sz w:val="20"/>
                <w:szCs w:val="20"/>
                <w:lang w:eastAsia="ja-JP"/>
              </w:rPr>
              <w:t>Ageing management – through-life degradation of materials and components;</w:t>
            </w:r>
          </w:p>
          <w:p w14:paraId="5F3F4B82" w14:textId="77777777" w:rsidR="00B37AF0" w:rsidRPr="00B37AF0" w:rsidRDefault="00B37AF0" w:rsidP="00B81D9C">
            <w:pPr>
              <w:numPr>
                <w:ilvl w:val="0"/>
                <w:numId w:val="13"/>
              </w:numPr>
              <w:autoSpaceDE w:val="0"/>
              <w:autoSpaceDN w:val="0"/>
              <w:adjustRightInd w:val="0"/>
              <w:rPr>
                <w:rFonts w:eastAsia="MS Mincho" w:cs="Arial"/>
                <w:sz w:val="20"/>
                <w:szCs w:val="20"/>
                <w:lang w:eastAsia="ja-JP"/>
              </w:rPr>
            </w:pPr>
            <w:r w:rsidRPr="00B37AF0">
              <w:rPr>
                <w:rFonts w:eastAsia="MS Mincho" w:cs="Arial"/>
                <w:sz w:val="20"/>
                <w:szCs w:val="20"/>
                <w:lang w:eastAsia="ja-JP"/>
              </w:rPr>
              <w:t>Limits and conditions (Operating Rules)</w:t>
            </w:r>
          </w:p>
        </w:tc>
      </w:tr>
      <w:tr w:rsidR="0019611B" w:rsidRPr="00A07847" w14:paraId="5F3F4B89" w14:textId="77777777" w:rsidTr="008B0D84">
        <w:trPr>
          <w:jc w:val="center"/>
        </w:trPr>
        <w:tc>
          <w:tcPr>
            <w:tcW w:w="1850" w:type="dxa"/>
            <w:vMerge/>
            <w:shd w:val="clear" w:color="auto" w:fill="auto"/>
          </w:tcPr>
          <w:p w14:paraId="5F3F4B84" w14:textId="77777777" w:rsidR="0019611B" w:rsidRPr="00DA3BBE" w:rsidRDefault="0019611B" w:rsidP="00A07847">
            <w:pPr>
              <w:autoSpaceDE w:val="0"/>
              <w:autoSpaceDN w:val="0"/>
              <w:adjustRightInd w:val="0"/>
              <w:rPr>
                <w:rFonts w:eastAsia="MS Mincho" w:cs="Arial"/>
                <w:b/>
                <w:bCs/>
                <w:sz w:val="20"/>
                <w:szCs w:val="20"/>
                <w:lang w:eastAsia="ja-JP"/>
              </w:rPr>
            </w:pPr>
          </w:p>
        </w:tc>
        <w:tc>
          <w:tcPr>
            <w:tcW w:w="2348" w:type="dxa"/>
            <w:shd w:val="clear" w:color="auto" w:fill="auto"/>
          </w:tcPr>
          <w:p w14:paraId="5F3F4B85" w14:textId="77777777" w:rsidR="0019611B" w:rsidRPr="00DA3BBE" w:rsidRDefault="0019611B" w:rsidP="00A07847">
            <w:pPr>
              <w:autoSpaceDE w:val="0"/>
              <w:autoSpaceDN w:val="0"/>
              <w:adjustRightInd w:val="0"/>
              <w:rPr>
                <w:rFonts w:eastAsia="MS Mincho" w:cs="Arial"/>
                <w:sz w:val="20"/>
                <w:szCs w:val="20"/>
                <w:lang w:eastAsia="ja-JP"/>
              </w:rPr>
            </w:pPr>
            <w:r w:rsidRPr="00DA3BBE">
              <w:rPr>
                <w:rFonts w:eastAsia="MS Mincho" w:cs="Arial"/>
                <w:sz w:val="20"/>
                <w:szCs w:val="20"/>
                <w:lang w:eastAsia="ja-JP"/>
              </w:rPr>
              <w:t>Radiological protection</w:t>
            </w:r>
          </w:p>
        </w:tc>
        <w:tc>
          <w:tcPr>
            <w:tcW w:w="3985" w:type="dxa"/>
            <w:shd w:val="clear" w:color="auto" w:fill="auto"/>
          </w:tcPr>
          <w:p w14:paraId="5F3F4B86" w14:textId="77777777" w:rsidR="0019611B" w:rsidRPr="00B37AF0" w:rsidRDefault="00B37AF0" w:rsidP="00B81D9C">
            <w:pPr>
              <w:numPr>
                <w:ilvl w:val="0"/>
                <w:numId w:val="11"/>
              </w:numPr>
              <w:autoSpaceDE w:val="0"/>
              <w:autoSpaceDN w:val="0"/>
              <w:adjustRightInd w:val="0"/>
              <w:rPr>
                <w:rFonts w:eastAsia="MS Mincho" w:cs="Arial"/>
                <w:sz w:val="20"/>
                <w:szCs w:val="20"/>
                <w:lang w:eastAsia="ja-JP"/>
              </w:rPr>
            </w:pPr>
            <w:r w:rsidRPr="00B37AF0">
              <w:rPr>
                <w:rFonts w:eastAsia="MS Mincho" w:cs="Arial"/>
                <w:sz w:val="20"/>
                <w:szCs w:val="20"/>
                <w:lang w:eastAsia="ja-JP"/>
              </w:rPr>
              <w:t>M</w:t>
            </w:r>
            <w:r w:rsidR="00FE579F" w:rsidRPr="00B37AF0">
              <w:rPr>
                <w:rFonts w:eastAsia="MS Mincho" w:cs="Arial"/>
                <w:sz w:val="20"/>
                <w:szCs w:val="20"/>
                <w:lang w:eastAsia="ja-JP"/>
              </w:rPr>
              <w:t>inimisation of source</w:t>
            </w:r>
            <w:r w:rsidRPr="00B37AF0">
              <w:rPr>
                <w:rFonts w:eastAsia="MS Mincho" w:cs="Arial"/>
                <w:sz w:val="20"/>
                <w:szCs w:val="20"/>
                <w:lang w:eastAsia="ja-JP"/>
              </w:rPr>
              <w:t>s of radioactivity</w:t>
            </w:r>
            <w:r w:rsidR="00FE579F" w:rsidRPr="00B37AF0">
              <w:rPr>
                <w:rFonts w:eastAsia="MS Mincho" w:cs="Arial"/>
                <w:sz w:val="20"/>
                <w:szCs w:val="20"/>
                <w:lang w:eastAsia="ja-JP"/>
              </w:rPr>
              <w:t>;</w:t>
            </w:r>
          </w:p>
          <w:p w14:paraId="5F3F4B87" w14:textId="77777777" w:rsidR="00FE579F" w:rsidRPr="00B37AF0" w:rsidRDefault="005B09C1" w:rsidP="00B81D9C">
            <w:pPr>
              <w:numPr>
                <w:ilvl w:val="0"/>
                <w:numId w:val="11"/>
              </w:numPr>
              <w:autoSpaceDE w:val="0"/>
              <w:autoSpaceDN w:val="0"/>
              <w:adjustRightInd w:val="0"/>
              <w:rPr>
                <w:rFonts w:eastAsia="MS Mincho" w:cs="Arial"/>
                <w:sz w:val="20"/>
                <w:szCs w:val="20"/>
                <w:lang w:eastAsia="ja-JP"/>
              </w:rPr>
            </w:pPr>
            <w:r>
              <w:rPr>
                <w:rFonts w:eastAsia="MS Mincho" w:cs="Arial"/>
                <w:sz w:val="20"/>
                <w:szCs w:val="20"/>
                <w:lang w:eastAsia="ja-JP"/>
              </w:rPr>
              <w:t>Reduction in the deposition, accumulation and t</w:t>
            </w:r>
            <w:r w:rsidR="00B37AF0" w:rsidRPr="00B37AF0">
              <w:rPr>
                <w:rFonts w:eastAsia="MS Mincho" w:cs="Arial"/>
                <w:sz w:val="20"/>
                <w:szCs w:val="20"/>
                <w:lang w:eastAsia="ja-JP"/>
              </w:rPr>
              <w:t>ransport of radioactivity;</w:t>
            </w:r>
          </w:p>
          <w:p w14:paraId="5F3F4B88" w14:textId="77777777" w:rsidR="00FE579F" w:rsidRPr="00B37AF0" w:rsidRDefault="005B09C1" w:rsidP="00B81D9C">
            <w:pPr>
              <w:numPr>
                <w:ilvl w:val="0"/>
                <w:numId w:val="11"/>
              </w:numPr>
              <w:autoSpaceDE w:val="0"/>
              <w:autoSpaceDN w:val="0"/>
              <w:adjustRightInd w:val="0"/>
              <w:rPr>
                <w:rFonts w:eastAsia="MS Mincho" w:cs="Arial"/>
                <w:sz w:val="20"/>
                <w:szCs w:val="20"/>
                <w:lang w:eastAsia="ja-JP"/>
              </w:rPr>
            </w:pPr>
            <w:r>
              <w:rPr>
                <w:rFonts w:eastAsia="MS Mincho" w:cs="Arial"/>
                <w:sz w:val="20"/>
                <w:szCs w:val="20"/>
                <w:lang w:eastAsia="ja-JP"/>
              </w:rPr>
              <w:t>Criticality c</w:t>
            </w:r>
            <w:r w:rsidR="00FE579F" w:rsidRPr="00B37AF0">
              <w:rPr>
                <w:rFonts w:eastAsia="MS Mincho" w:cs="Arial"/>
                <w:sz w:val="20"/>
                <w:szCs w:val="20"/>
                <w:lang w:eastAsia="ja-JP"/>
              </w:rPr>
              <w:t>ontrol of fissile material</w:t>
            </w:r>
            <w:r w:rsidR="00B37AF0" w:rsidRPr="00B37AF0">
              <w:rPr>
                <w:rFonts w:eastAsia="MS Mincho" w:cs="Arial"/>
                <w:sz w:val="20"/>
                <w:szCs w:val="20"/>
                <w:lang w:eastAsia="ja-JP"/>
              </w:rPr>
              <w:t>.</w:t>
            </w:r>
          </w:p>
        </w:tc>
      </w:tr>
      <w:tr w:rsidR="0019611B" w:rsidRPr="00A07847" w14:paraId="5F3F4B90" w14:textId="77777777" w:rsidTr="008B0D84">
        <w:trPr>
          <w:jc w:val="center"/>
        </w:trPr>
        <w:tc>
          <w:tcPr>
            <w:tcW w:w="1850" w:type="dxa"/>
            <w:vMerge/>
            <w:shd w:val="clear" w:color="auto" w:fill="auto"/>
          </w:tcPr>
          <w:p w14:paraId="5F3F4B8A" w14:textId="77777777" w:rsidR="0019611B" w:rsidRPr="00DA3BBE" w:rsidRDefault="0019611B" w:rsidP="00A07847">
            <w:pPr>
              <w:autoSpaceDE w:val="0"/>
              <w:autoSpaceDN w:val="0"/>
              <w:adjustRightInd w:val="0"/>
              <w:rPr>
                <w:rFonts w:eastAsia="MS Mincho" w:cs="Arial"/>
                <w:b/>
                <w:bCs/>
                <w:sz w:val="20"/>
                <w:szCs w:val="20"/>
                <w:lang w:eastAsia="ja-JP"/>
              </w:rPr>
            </w:pPr>
          </w:p>
        </w:tc>
        <w:tc>
          <w:tcPr>
            <w:tcW w:w="2348" w:type="dxa"/>
            <w:shd w:val="clear" w:color="auto" w:fill="auto"/>
          </w:tcPr>
          <w:p w14:paraId="5F3F4B8B" w14:textId="77777777" w:rsidR="0019611B" w:rsidRPr="00DA3BBE" w:rsidRDefault="0019611B" w:rsidP="00A07847">
            <w:pPr>
              <w:autoSpaceDE w:val="0"/>
              <w:autoSpaceDN w:val="0"/>
              <w:adjustRightInd w:val="0"/>
              <w:rPr>
                <w:rFonts w:eastAsia="MS Mincho" w:cs="Arial"/>
                <w:sz w:val="20"/>
                <w:szCs w:val="20"/>
                <w:lang w:eastAsia="ja-JP"/>
              </w:rPr>
            </w:pPr>
            <w:r w:rsidRPr="00DA3BBE">
              <w:rPr>
                <w:rFonts w:eastAsia="MS Mincho" w:cs="Arial"/>
                <w:sz w:val="20"/>
                <w:szCs w:val="20"/>
                <w:lang w:eastAsia="ja-JP"/>
              </w:rPr>
              <w:t>Internal hazards</w:t>
            </w:r>
          </w:p>
        </w:tc>
        <w:tc>
          <w:tcPr>
            <w:tcW w:w="3985" w:type="dxa"/>
            <w:shd w:val="clear" w:color="auto" w:fill="auto"/>
          </w:tcPr>
          <w:p w14:paraId="5F3F4B8C" w14:textId="77777777" w:rsidR="00B37AF0" w:rsidRDefault="00B37AF0" w:rsidP="00B81D9C">
            <w:pPr>
              <w:numPr>
                <w:ilvl w:val="0"/>
                <w:numId w:val="12"/>
              </w:numPr>
              <w:autoSpaceDE w:val="0"/>
              <w:autoSpaceDN w:val="0"/>
              <w:adjustRightInd w:val="0"/>
              <w:rPr>
                <w:rFonts w:eastAsia="MS Mincho" w:cs="Arial"/>
                <w:sz w:val="20"/>
                <w:szCs w:val="20"/>
                <w:lang w:eastAsia="ja-JP"/>
              </w:rPr>
            </w:pPr>
            <w:r>
              <w:rPr>
                <w:rFonts w:eastAsia="MS Mincho" w:cs="Arial"/>
                <w:sz w:val="20"/>
                <w:szCs w:val="20"/>
                <w:lang w:eastAsia="ja-JP"/>
              </w:rPr>
              <w:t>Minimisation of hazardous materials;</w:t>
            </w:r>
          </w:p>
          <w:p w14:paraId="5F3F4B8D" w14:textId="77777777" w:rsidR="0019611B" w:rsidRDefault="0019611B" w:rsidP="00B81D9C">
            <w:pPr>
              <w:numPr>
                <w:ilvl w:val="0"/>
                <w:numId w:val="12"/>
              </w:numPr>
              <w:autoSpaceDE w:val="0"/>
              <w:autoSpaceDN w:val="0"/>
              <w:adjustRightInd w:val="0"/>
              <w:rPr>
                <w:rFonts w:eastAsia="MS Mincho" w:cs="Arial"/>
                <w:sz w:val="20"/>
                <w:szCs w:val="20"/>
                <w:lang w:eastAsia="ja-JP"/>
              </w:rPr>
            </w:pPr>
            <w:r w:rsidRPr="00B37AF0">
              <w:rPr>
                <w:rFonts w:eastAsia="MS Mincho" w:cs="Arial"/>
                <w:sz w:val="20"/>
                <w:szCs w:val="20"/>
                <w:lang w:eastAsia="ja-JP"/>
              </w:rPr>
              <w:t>Combustible gas s</w:t>
            </w:r>
            <w:r w:rsidR="00B37AF0">
              <w:rPr>
                <w:rFonts w:eastAsia="MS Mincho" w:cs="Arial"/>
                <w:sz w:val="20"/>
                <w:szCs w:val="20"/>
                <w:lang w:eastAsia="ja-JP"/>
              </w:rPr>
              <w:t>ource terms and explosion hazards;</w:t>
            </w:r>
          </w:p>
          <w:p w14:paraId="5F3F4B8E" w14:textId="77777777" w:rsidR="0019611B" w:rsidRDefault="00B37AF0" w:rsidP="00B81D9C">
            <w:pPr>
              <w:numPr>
                <w:ilvl w:val="0"/>
                <w:numId w:val="12"/>
              </w:numPr>
              <w:autoSpaceDE w:val="0"/>
              <w:autoSpaceDN w:val="0"/>
              <w:adjustRightInd w:val="0"/>
              <w:rPr>
                <w:rFonts w:eastAsia="MS Mincho" w:cs="Arial"/>
                <w:sz w:val="20"/>
                <w:szCs w:val="20"/>
                <w:lang w:eastAsia="ja-JP"/>
              </w:rPr>
            </w:pPr>
            <w:r>
              <w:rPr>
                <w:rFonts w:eastAsia="MS Mincho" w:cs="Arial"/>
                <w:sz w:val="20"/>
                <w:szCs w:val="20"/>
                <w:lang w:eastAsia="ja-JP"/>
              </w:rPr>
              <w:t>Generation, accumulation and distribution of toxic or corrosive gases and materials</w:t>
            </w:r>
            <w:r w:rsidR="00A405EC">
              <w:rPr>
                <w:rFonts w:eastAsia="MS Mincho" w:cs="Arial"/>
                <w:sz w:val="20"/>
                <w:szCs w:val="20"/>
                <w:lang w:eastAsia="ja-JP"/>
              </w:rPr>
              <w:t>;</w:t>
            </w:r>
          </w:p>
          <w:p w14:paraId="5F3F4B8F" w14:textId="77777777" w:rsidR="00A405EC" w:rsidRPr="00B37AF0" w:rsidRDefault="00A405EC" w:rsidP="00B81D9C">
            <w:pPr>
              <w:numPr>
                <w:ilvl w:val="0"/>
                <w:numId w:val="12"/>
              </w:numPr>
              <w:autoSpaceDE w:val="0"/>
              <w:autoSpaceDN w:val="0"/>
              <w:adjustRightInd w:val="0"/>
              <w:rPr>
                <w:rFonts w:eastAsia="MS Mincho" w:cs="Arial"/>
                <w:sz w:val="20"/>
                <w:szCs w:val="20"/>
                <w:lang w:eastAsia="ja-JP"/>
              </w:rPr>
            </w:pPr>
            <w:r>
              <w:rPr>
                <w:rFonts w:eastAsia="MS Mincho" w:cs="Arial"/>
                <w:sz w:val="20"/>
                <w:szCs w:val="20"/>
                <w:lang w:eastAsia="ja-JP"/>
              </w:rPr>
              <w:t xml:space="preserve">Exothermic chemical </w:t>
            </w:r>
            <w:r w:rsidR="00FB17CA">
              <w:rPr>
                <w:rFonts w:eastAsia="MS Mincho" w:cs="Arial"/>
                <w:sz w:val="20"/>
                <w:szCs w:val="20"/>
                <w:lang w:eastAsia="ja-JP"/>
              </w:rPr>
              <w:t>reactions -</w:t>
            </w:r>
            <w:r>
              <w:rPr>
                <w:rFonts w:eastAsia="MS Mincho" w:cs="Arial"/>
                <w:sz w:val="20"/>
                <w:szCs w:val="20"/>
                <w:lang w:eastAsia="ja-JP"/>
              </w:rPr>
              <w:t xml:space="preserve"> thermal runaway, ignition sources.</w:t>
            </w:r>
          </w:p>
        </w:tc>
      </w:tr>
      <w:tr w:rsidR="0019611B" w:rsidRPr="00A07847" w14:paraId="5F3F4B96" w14:textId="77777777" w:rsidTr="008B0D84">
        <w:trPr>
          <w:jc w:val="center"/>
        </w:trPr>
        <w:tc>
          <w:tcPr>
            <w:tcW w:w="1850" w:type="dxa"/>
            <w:vMerge/>
            <w:shd w:val="clear" w:color="auto" w:fill="auto"/>
          </w:tcPr>
          <w:p w14:paraId="5F3F4B91" w14:textId="77777777" w:rsidR="0019611B" w:rsidRPr="00DA3BBE" w:rsidRDefault="0019611B" w:rsidP="00A07847">
            <w:pPr>
              <w:autoSpaceDE w:val="0"/>
              <w:autoSpaceDN w:val="0"/>
              <w:adjustRightInd w:val="0"/>
              <w:rPr>
                <w:rFonts w:eastAsia="MS Mincho" w:cs="Arial"/>
                <w:b/>
                <w:bCs/>
                <w:sz w:val="20"/>
                <w:szCs w:val="20"/>
                <w:lang w:eastAsia="ja-JP"/>
              </w:rPr>
            </w:pPr>
          </w:p>
        </w:tc>
        <w:tc>
          <w:tcPr>
            <w:tcW w:w="2348" w:type="dxa"/>
            <w:shd w:val="clear" w:color="auto" w:fill="auto"/>
          </w:tcPr>
          <w:p w14:paraId="5F3F4B92" w14:textId="77777777" w:rsidR="0019611B" w:rsidRPr="00DA3BBE" w:rsidRDefault="0019611B" w:rsidP="00A07847">
            <w:pPr>
              <w:autoSpaceDE w:val="0"/>
              <w:autoSpaceDN w:val="0"/>
              <w:adjustRightInd w:val="0"/>
              <w:rPr>
                <w:rFonts w:eastAsia="MS Mincho" w:cs="Arial"/>
                <w:sz w:val="20"/>
                <w:szCs w:val="20"/>
                <w:lang w:eastAsia="ja-JP"/>
              </w:rPr>
            </w:pPr>
            <w:r w:rsidRPr="00DA3BBE">
              <w:rPr>
                <w:rFonts w:eastAsia="MS Mincho" w:cs="Arial"/>
                <w:sz w:val="20"/>
                <w:szCs w:val="20"/>
                <w:lang w:eastAsia="ja-JP"/>
              </w:rPr>
              <w:t>Fault studies</w:t>
            </w:r>
            <w:r w:rsidR="0073762A">
              <w:rPr>
                <w:rFonts w:eastAsia="MS Mincho" w:cs="Arial"/>
                <w:sz w:val="20"/>
                <w:szCs w:val="20"/>
                <w:lang w:eastAsia="ja-JP"/>
              </w:rPr>
              <w:t>/PSA</w:t>
            </w:r>
          </w:p>
        </w:tc>
        <w:tc>
          <w:tcPr>
            <w:tcW w:w="3985" w:type="dxa"/>
            <w:shd w:val="clear" w:color="auto" w:fill="auto"/>
          </w:tcPr>
          <w:p w14:paraId="5F3F4B93" w14:textId="77777777" w:rsidR="0019611B" w:rsidRPr="00B37AF0" w:rsidRDefault="0019611B" w:rsidP="00B81D9C">
            <w:pPr>
              <w:numPr>
                <w:ilvl w:val="0"/>
                <w:numId w:val="10"/>
              </w:numPr>
              <w:autoSpaceDE w:val="0"/>
              <w:autoSpaceDN w:val="0"/>
              <w:adjustRightInd w:val="0"/>
              <w:rPr>
                <w:rFonts w:eastAsia="MS Mincho" w:cs="Arial"/>
                <w:sz w:val="20"/>
                <w:szCs w:val="20"/>
                <w:lang w:eastAsia="ja-JP"/>
              </w:rPr>
            </w:pPr>
            <w:r w:rsidRPr="00B37AF0">
              <w:rPr>
                <w:rFonts w:eastAsia="MS Mincho" w:cs="Arial"/>
                <w:sz w:val="20"/>
                <w:szCs w:val="20"/>
                <w:lang w:eastAsia="ja-JP"/>
              </w:rPr>
              <w:t>Combustible gas</w:t>
            </w:r>
            <w:r w:rsidR="00DA3BBE" w:rsidRPr="00B37AF0">
              <w:rPr>
                <w:rFonts w:eastAsia="MS Mincho" w:cs="Arial"/>
                <w:sz w:val="20"/>
                <w:szCs w:val="20"/>
                <w:lang w:eastAsia="ja-JP"/>
              </w:rPr>
              <w:t xml:space="preserve"> source terms and management strategies;</w:t>
            </w:r>
          </w:p>
          <w:p w14:paraId="5F3F4B94" w14:textId="77777777" w:rsidR="0019611B" w:rsidRPr="00B37AF0" w:rsidRDefault="00FE579F" w:rsidP="00B81D9C">
            <w:pPr>
              <w:numPr>
                <w:ilvl w:val="0"/>
                <w:numId w:val="10"/>
              </w:numPr>
              <w:autoSpaceDE w:val="0"/>
              <w:autoSpaceDN w:val="0"/>
              <w:adjustRightInd w:val="0"/>
              <w:rPr>
                <w:rFonts w:eastAsia="MS Mincho" w:cs="Arial"/>
                <w:sz w:val="20"/>
                <w:szCs w:val="20"/>
                <w:lang w:eastAsia="ja-JP"/>
              </w:rPr>
            </w:pPr>
            <w:r w:rsidRPr="00B37AF0">
              <w:rPr>
                <w:rFonts w:eastAsia="MS Mincho" w:cs="Arial"/>
                <w:sz w:val="20"/>
                <w:szCs w:val="20"/>
                <w:lang w:eastAsia="ja-JP"/>
              </w:rPr>
              <w:t>Radiological consequence assessment - accident source terms;</w:t>
            </w:r>
          </w:p>
          <w:p w14:paraId="5F3F4B95" w14:textId="77777777" w:rsidR="0019611B" w:rsidRPr="00B37AF0" w:rsidRDefault="0019611B" w:rsidP="00B81D9C">
            <w:pPr>
              <w:numPr>
                <w:ilvl w:val="0"/>
                <w:numId w:val="10"/>
              </w:numPr>
              <w:autoSpaceDE w:val="0"/>
              <w:autoSpaceDN w:val="0"/>
              <w:adjustRightInd w:val="0"/>
              <w:rPr>
                <w:rFonts w:eastAsia="MS Mincho" w:cs="Arial"/>
                <w:sz w:val="20"/>
                <w:szCs w:val="20"/>
                <w:lang w:eastAsia="ja-JP"/>
              </w:rPr>
            </w:pPr>
            <w:r w:rsidRPr="00B37AF0">
              <w:rPr>
                <w:rFonts w:eastAsia="MS Mincho" w:cs="Arial"/>
                <w:sz w:val="20"/>
                <w:szCs w:val="20"/>
                <w:lang w:eastAsia="ja-JP"/>
              </w:rPr>
              <w:t>Limits and conditions (Operating Rules)</w:t>
            </w:r>
          </w:p>
        </w:tc>
      </w:tr>
      <w:tr w:rsidR="0019611B" w:rsidRPr="00A07847" w14:paraId="5F3F4B9E" w14:textId="77777777" w:rsidTr="008B0D84">
        <w:trPr>
          <w:jc w:val="center"/>
        </w:trPr>
        <w:tc>
          <w:tcPr>
            <w:tcW w:w="1850" w:type="dxa"/>
            <w:vMerge/>
            <w:shd w:val="clear" w:color="auto" w:fill="auto"/>
          </w:tcPr>
          <w:p w14:paraId="5F3F4B97" w14:textId="77777777" w:rsidR="0019611B" w:rsidRPr="00DA3BBE" w:rsidRDefault="0019611B" w:rsidP="00A07847">
            <w:pPr>
              <w:autoSpaceDE w:val="0"/>
              <w:autoSpaceDN w:val="0"/>
              <w:adjustRightInd w:val="0"/>
              <w:rPr>
                <w:rFonts w:eastAsia="MS Mincho" w:cs="Arial"/>
                <w:b/>
                <w:bCs/>
                <w:sz w:val="20"/>
                <w:szCs w:val="20"/>
                <w:lang w:eastAsia="ja-JP"/>
              </w:rPr>
            </w:pPr>
          </w:p>
        </w:tc>
        <w:tc>
          <w:tcPr>
            <w:tcW w:w="2348" w:type="dxa"/>
            <w:shd w:val="clear" w:color="auto" w:fill="auto"/>
          </w:tcPr>
          <w:p w14:paraId="5F3F4B98" w14:textId="77777777" w:rsidR="0019611B" w:rsidRPr="00DA3BBE" w:rsidRDefault="0073762A" w:rsidP="00A07847">
            <w:pPr>
              <w:autoSpaceDE w:val="0"/>
              <w:autoSpaceDN w:val="0"/>
              <w:adjustRightInd w:val="0"/>
              <w:rPr>
                <w:rFonts w:eastAsia="MS Mincho" w:cs="Arial"/>
                <w:sz w:val="20"/>
                <w:szCs w:val="20"/>
                <w:lang w:eastAsia="ja-JP"/>
              </w:rPr>
            </w:pPr>
            <w:r>
              <w:rPr>
                <w:rFonts w:eastAsia="MS Mincho" w:cs="Arial"/>
                <w:sz w:val="20"/>
                <w:szCs w:val="20"/>
                <w:lang w:eastAsia="ja-JP"/>
              </w:rPr>
              <w:t>Nuclear liabilities regulation</w:t>
            </w:r>
          </w:p>
        </w:tc>
        <w:tc>
          <w:tcPr>
            <w:tcW w:w="3985" w:type="dxa"/>
            <w:shd w:val="clear" w:color="auto" w:fill="auto"/>
          </w:tcPr>
          <w:p w14:paraId="5F3F4B99" w14:textId="77777777" w:rsidR="0019611B" w:rsidRPr="00B37AF0" w:rsidRDefault="0019611B" w:rsidP="00B81D9C">
            <w:pPr>
              <w:numPr>
                <w:ilvl w:val="0"/>
                <w:numId w:val="9"/>
              </w:numPr>
              <w:autoSpaceDE w:val="0"/>
              <w:autoSpaceDN w:val="0"/>
              <w:adjustRightInd w:val="0"/>
              <w:rPr>
                <w:rFonts w:eastAsia="MS Mincho" w:cs="Arial"/>
                <w:sz w:val="20"/>
                <w:szCs w:val="20"/>
                <w:lang w:eastAsia="ja-JP"/>
              </w:rPr>
            </w:pPr>
            <w:r w:rsidRPr="00B37AF0">
              <w:rPr>
                <w:rFonts w:eastAsia="MS Mincho" w:cs="Arial"/>
                <w:sz w:val="20"/>
                <w:szCs w:val="20"/>
                <w:lang w:eastAsia="ja-JP"/>
              </w:rPr>
              <w:t>Passive safety</w:t>
            </w:r>
            <w:r w:rsidR="00DA3BBE" w:rsidRPr="00B37AF0">
              <w:rPr>
                <w:rFonts w:eastAsia="MS Mincho" w:cs="Arial"/>
                <w:sz w:val="20"/>
                <w:szCs w:val="20"/>
                <w:lang w:eastAsia="ja-JP"/>
              </w:rPr>
              <w:t>;</w:t>
            </w:r>
          </w:p>
          <w:p w14:paraId="5F3F4B9A" w14:textId="77777777" w:rsidR="00DA3BBE" w:rsidRPr="00B37AF0" w:rsidRDefault="00DA3BBE" w:rsidP="00B81D9C">
            <w:pPr>
              <w:numPr>
                <w:ilvl w:val="0"/>
                <w:numId w:val="9"/>
              </w:numPr>
              <w:autoSpaceDE w:val="0"/>
              <w:autoSpaceDN w:val="0"/>
              <w:adjustRightInd w:val="0"/>
              <w:rPr>
                <w:rFonts w:eastAsia="MS Mincho" w:cs="Arial"/>
                <w:sz w:val="20"/>
                <w:szCs w:val="20"/>
                <w:lang w:eastAsia="ja-JP"/>
              </w:rPr>
            </w:pPr>
            <w:r w:rsidRPr="00B37AF0">
              <w:rPr>
                <w:rFonts w:eastAsia="MS Mincho" w:cs="Arial"/>
                <w:sz w:val="20"/>
                <w:szCs w:val="20"/>
                <w:lang w:eastAsia="ja-JP"/>
              </w:rPr>
              <w:t>Representative sampling</w:t>
            </w:r>
            <w:r w:rsidR="00FE579F" w:rsidRPr="00B37AF0">
              <w:rPr>
                <w:rFonts w:eastAsia="MS Mincho" w:cs="Arial"/>
                <w:sz w:val="20"/>
                <w:szCs w:val="20"/>
                <w:lang w:eastAsia="ja-JP"/>
              </w:rPr>
              <w:t xml:space="preserve"> and characterisation</w:t>
            </w:r>
            <w:r w:rsidRPr="00B37AF0">
              <w:rPr>
                <w:rFonts w:eastAsia="MS Mincho" w:cs="Arial"/>
                <w:sz w:val="20"/>
                <w:szCs w:val="20"/>
                <w:lang w:eastAsia="ja-JP"/>
              </w:rPr>
              <w:t>;</w:t>
            </w:r>
          </w:p>
          <w:p w14:paraId="5F3F4B9B" w14:textId="77777777" w:rsidR="0019611B" w:rsidRDefault="0019611B" w:rsidP="00B81D9C">
            <w:pPr>
              <w:numPr>
                <w:ilvl w:val="0"/>
                <w:numId w:val="9"/>
              </w:numPr>
              <w:autoSpaceDE w:val="0"/>
              <w:autoSpaceDN w:val="0"/>
              <w:adjustRightInd w:val="0"/>
              <w:rPr>
                <w:rFonts w:eastAsia="MS Mincho" w:cs="Arial"/>
                <w:sz w:val="20"/>
                <w:szCs w:val="20"/>
                <w:lang w:eastAsia="ja-JP"/>
              </w:rPr>
            </w:pPr>
            <w:r w:rsidRPr="00B37AF0">
              <w:rPr>
                <w:rFonts w:eastAsia="MS Mincho" w:cs="Arial"/>
                <w:sz w:val="20"/>
                <w:szCs w:val="20"/>
                <w:lang w:eastAsia="ja-JP"/>
              </w:rPr>
              <w:t>Limits and conditions (Operating Rules)</w:t>
            </w:r>
            <w:r w:rsidR="00DA3BBE" w:rsidRPr="00B37AF0">
              <w:rPr>
                <w:rFonts w:eastAsia="MS Mincho" w:cs="Arial"/>
                <w:sz w:val="20"/>
                <w:szCs w:val="20"/>
                <w:lang w:eastAsia="ja-JP"/>
              </w:rPr>
              <w:t>;</w:t>
            </w:r>
          </w:p>
          <w:p w14:paraId="5F3F4B9C" w14:textId="77777777" w:rsidR="00B37AF0" w:rsidRDefault="00B37AF0" w:rsidP="00B81D9C">
            <w:pPr>
              <w:numPr>
                <w:ilvl w:val="0"/>
                <w:numId w:val="9"/>
              </w:numPr>
              <w:autoSpaceDE w:val="0"/>
              <w:autoSpaceDN w:val="0"/>
              <w:adjustRightInd w:val="0"/>
              <w:rPr>
                <w:rFonts w:eastAsia="MS Mincho" w:cs="Arial"/>
                <w:sz w:val="20"/>
                <w:szCs w:val="20"/>
                <w:lang w:eastAsia="ja-JP"/>
              </w:rPr>
            </w:pPr>
            <w:r>
              <w:rPr>
                <w:rFonts w:eastAsia="MS Mincho" w:cs="Arial"/>
                <w:sz w:val="20"/>
                <w:szCs w:val="20"/>
                <w:lang w:eastAsia="ja-JP"/>
              </w:rPr>
              <w:t>Waste minimisation;</w:t>
            </w:r>
          </w:p>
          <w:p w14:paraId="5F3F4B9D" w14:textId="77777777" w:rsidR="00B37AF0" w:rsidRPr="00B37AF0" w:rsidRDefault="00B37AF0" w:rsidP="00B81D9C">
            <w:pPr>
              <w:numPr>
                <w:ilvl w:val="0"/>
                <w:numId w:val="9"/>
              </w:numPr>
              <w:autoSpaceDE w:val="0"/>
              <w:autoSpaceDN w:val="0"/>
              <w:adjustRightInd w:val="0"/>
              <w:rPr>
                <w:rFonts w:eastAsia="MS Mincho" w:cs="Arial"/>
                <w:sz w:val="20"/>
                <w:szCs w:val="20"/>
                <w:lang w:eastAsia="ja-JP"/>
              </w:rPr>
            </w:pPr>
            <w:r>
              <w:rPr>
                <w:rFonts w:eastAsia="MS Mincho" w:cs="Arial"/>
                <w:sz w:val="20"/>
                <w:szCs w:val="20"/>
                <w:lang w:eastAsia="ja-JP"/>
              </w:rPr>
              <w:t>Strategies.</w:t>
            </w:r>
          </w:p>
        </w:tc>
      </w:tr>
    </w:tbl>
    <w:p w14:paraId="5F3F4B9F" w14:textId="77777777" w:rsidR="006F781B" w:rsidRPr="006F781B" w:rsidRDefault="006F781B" w:rsidP="009B5159">
      <w:pPr>
        <w:rPr>
          <w:b/>
          <w:highlight w:val="yellow"/>
        </w:rPr>
      </w:pPr>
    </w:p>
    <w:p w14:paraId="5F3F4BA0" w14:textId="77777777" w:rsidR="000C2F89" w:rsidRDefault="000C2F89">
      <w:pPr>
        <w:rPr>
          <w:highlight w:val="yellow"/>
          <w:lang w:val="fr-FR"/>
        </w:rPr>
      </w:pPr>
    </w:p>
    <w:tbl>
      <w:tblPr>
        <w:tblW w:w="9055" w:type="dxa"/>
        <w:jc w:val="center"/>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Layout w:type="fixed"/>
        <w:tblCellMar>
          <w:top w:w="58" w:type="dxa"/>
          <w:left w:w="58" w:type="dxa"/>
          <w:bottom w:w="58" w:type="dxa"/>
          <w:right w:w="58" w:type="dxa"/>
        </w:tblCellMar>
        <w:tblLook w:val="01E0" w:firstRow="1" w:lastRow="1" w:firstColumn="1" w:lastColumn="1" w:noHBand="0" w:noVBand="0"/>
      </w:tblPr>
      <w:tblGrid>
        <w:gridCol w:w="2630"/>
        <w:gridCol w:w="6425"/>
      </w:tblGrid>
      <w:tr w:rsidR="00D87C78" w:rsidRPr="00A07847" w14:paraId="5F3F4BA3" w14:textId="77777777" w:rsidTr="00D87C78">
        <w:trPr>
          <w:jc w:val="center"/>
        </w:trPr>
        <w:tc>
          <w:tcPr>
            <w:tcW w:w="2630" w:type="dxa"/>
            <w:shd w:val="clear" w:color="auto" w:fill="006D68"/>
          </w:tcPr>
          <w:p w14:paraId="5F3F4BA1" w14:textId="77777777" w:rsidR="00D87C78" w:rsidRPr="00A427F4" w:rsidRDefault="00D87C78" w:rsidP="003F7931">
            <w:pPr>
              <w:jc w:val="center"/>
              <w:rPr>
                <w:b/>
                <w:color w:val="FFFFFF"/>
                <w:sz w:val="20"/>
                <w:szCs w:val="20"/>
              </w:rPr>
            </w:pPr>
            <w:r>
              <w:rPr>
                <w:b/>
                <w:color w:val="FFFFFF"/>
                <w:sz w:val="20"/>
                <w:szCs w:val="20"/>
              </w:rPr>
              <w:t>TAG Reference</w:t>
            </w:r>
          </w:p>
        </w:tc>
        <w:tc>
          <w:tcPr>
            <w:tcW w:w="6425" w:type="dxa"/>
            <w:shd w:val="clear" w:color="auto" w:fill="006D68"/>
          </w:tcPr>
          <w:p w14:paraId="5F3F4BA2" w14:textId="77777777" w:rsidR="00D87C78" w:rsidRDefault="00D87C78" w:rsidP="003F7931">
            <w:pPr>
              <w:jc w:val="center"/>
              <w:rPr>
                <w:b/>
                <w:color w:val="FFFFFF"/>
                <w:sz w:val="20"/>
                <w:szCs w:val="20"/>
              </w:rPr>
            </w:pPr>
            <w:r>
              <w:rPr>
                <w:b/>
                <w:color w:val="FFFFFF"/>
                <w:sz w:val="20"/>
                <w:szCs w:val="20"/>
              </w:rPr>
              <w:t>TAG Title</w:t>
            </w:r>
          </w:p>
        </w:tc>
      </w:tr>
      <w:tr w:rsidR="00D87C78" w:rsidRPr="00A07847" w14:paraId="5F3F4BA6" w14:textId="77777777" w:rsidTr="00D87C78">
        <w:trPr>
          <w:jc w:val="center"/>
        </w:trPr>
        <w:tc>
          <w:tcPr>
            <w:tcW w:w="2630" w:type="dxa"/>
            <w:shd w:val="clear" w:color="auto" w:fill="auto"/>
          </w:tcPr>
          <w:p w14:paraId="5F3F4BA4" w14:textId="77777777" w:rsidR="00D87C78" w:rsidRPr="00A427F4" w:rsidRDefault="00D87C78" w:rsidP="00521FD8">
            <w:pPr>
              <w:autoSpaceDE w:val="0"/>
              <w:autoSpaceDN w:val="0"/>
              <w:adjustRightInd w:val="0"/>
              <w:jc w:val="center"/>
              <w:rPr>
                <w:rFonts w:eastAsia="MS Mincho" w:cs="Arial"/>
                <w:sz w:val="20"/>
                <w:szCs w:val="20"/>
                <w:lang w:eastAsia="ja-JP"/>
              </w:rPr>
            </w:pPr>
            <w:r>
              <w:rPr>
                <w:rFonts w:eastAsia="MS Mincho" w:cs="Arial"/>
                <w:sz w:val="20"/>
                <w:szCs w:val="20"/>
                <w:lang w:eastAsia="ja-JP"/>
              </w:rPr>
              <w:t>NS-TAST-GD-004</w:t>
            </w:r>
          </w:p>
        </w:tc>
        <w:tc>
          <w:tcPr>
            <w:tcW w:w="6425" w:type="dxa"/>
          </w:tcPr>
          <w:p w14:paraId="5F3F4BA5" w14:textId="77777777" w:rsidR="00D87C78" w:rsidRPr="00A427F4" w:rsidRDefault="00D87C78" w:rsidP="00D87C78">
            <w:pPr>
              <w:autoSpaceDE w:val="0"/>
              <w:autoSpaceDN w:val="0"/>
              <w:adjustRightInd w:val="0"/>
              <w:rPr>
                <w:rFonts w:eastAsia="MS Mincho" w:cs="Arial"/>
                <w:sz w:val="20"/>
                <w:szCs w:val="20"/>
                <w:lang w:eastAsia="ja-JP"/>
              </w:rPr>
            </w:pPr>
            <w:r>
              <w:rPr>
                <w:rFonts w:eastAsia="MS Mincho" w:cs="Arial"/>
                <w:sz w:val="20"/>
                <w:szCs w:val="20"/>
                <w:lang w:eastAsia="ja-JP"/>
              </w:rPr>
              <w:t>Fundamental principles</w:t>
            </w:r>
          </w:p>
        </w:tc>
      </w:tr>
      <w:tr w:rsidR="00D87C78" w:rsidRPr="00A07847" w14:paraId="5F3F4BA9" w14:textId="77777777" w:rsidTr="00D87C78">
        <w:trPr>
          <w:jc w:val="center"/>
        </w:trPr>
        <w:tc>
          <w:tcPr>
            <w:tcW w:w="2630" w:type="dxa"/>
            <w:shd w:val="clear" w:color="auto" w:fill="auto"/>
          </w:tcPr>
          <w:p w14:paraId="5F3F4BA7" w14:textId="77777777" w:rsidR="00D87C78" w:rsidRDefault="00D87C78" w:rsidP="00521FD8">
            <w:pPr>
              <w:autoSpaceDE w:val="0"/>
              <w:autoSpaceDN w:val="0"/>
              <w:adjustRightInd w:val="0"/>
              <w:jc w:val="center"/>
              <w:rPr>
                <w:sz w:val="20"/>
                <w:szCs w:val="20"/>
              </w:rPr>
            </w:pPr>
            <w:r>
              <w:rPr>
                <w:rFonts w:eastAsia="MS Mincho" w:cs="Arial"/>
                <w:sz w:val="20"/>
                <w:szCs w:val="20"/>
                <w:lang w:eastAsia="ja-JP"/>
              </w:rPr>
              <w:t>NS-TAST-GD-005</w:t>
            </w:r>
          </w:p>
        </w:tc>
        <w:tc>
          <w:tcPr>
            <w:tcW w:w="6425" w:type="dxa"/>
          </w:tcPr>
          <w:p w14:paraId="5F3F4BA8" w14:textId="77777777" w:rsidR="00D87C78" w:rsidRDefault="00D87C78" w:rsidP="00D87C78">
            <w:pPr>
              <w:autoSpaceDE w:val="0"/>
              <w:autoSpaceDN w:val="0"/>
              <w:adjustRightInd w:val="0"/>
              <w:rPr>
                <w:rFonts w:eastAsia="MS Mincho" w:cs="Arial"/>
                <w:sz w:val="20"/>
                <w:szCs w:val="20"/>
                <w:lang w:eastAsia="ja-JP"/>
              </w:rPr>
            </w:pPr>
            <w:r>
              <w:rPr>
                <w:rFonts w:eastAsia="MS Mincho" w:cs="Arial"/>
                <w:sz w:val="20"/>
                <w:szCs w:val="20"/>
                <w:lang w:eastAsia="ja-JP"/>
              </w:rPr>
              <w:t>ONR guidance on the demonstration of ALARP (as low as reasonably practicable</w:t>
            </w:r>
          </w:p>
        </w:tc>
      </w:tr>
      <w:tr w:rsidR="00D87C78" w:rsidRPr="00A07847" w14:paraId="5F3F4BAC" w14:textId="77777777" w:rsidTr="00D87C78">
        <w:trPr>
          <w:jc w:val="center"/>
        </w:trPr>
        <w:tc>
          <w:tcPr>
            <w:tcW w:w="2630" w:type="dxa"/>
            <w:shd w:val="clear" w:color="auto" w:fill="auto"/>
          </w:tcPr>
          <w:p w14:paraId="5F3F4BAA" w14:textId="77777777" w:rsidR="00D87C78" w:rsidRPr="00A427F4" w:rsidRDefault="00D87C78" w:rsidP="00521FD8">
            <w:pPr>
              <w:autoSpaceDE w:val="0"/>
              <w:autoSpaceDN w:val="0"/>
              <w:adjustRightInd w:val="0"/>
              <w:jc w:val="center"/>
              <w:rPr>
                <w:rFonts w:eastAsia="MS Mincho" w:cs="Arial"/>
                <w:sz w:val="20"/>
                <w:szCs w:val="20"/>
                <w:lang w:eastAsia="ja-JP"/>
              </w:rPr>
            </w:pPr>
            <w:r>
              <w:rPr>
                <w:rFonts w:eastAsia="MS Mincho" w:cs="Arial"/>
                <w:sz w:val="20"/>
                <w:szCs w:val="20"/>
                <w:lang w:eastAsia="ja-JP"/>
              </w:rPr>
              <w:t>NS-TAST-GD-014</w:t>
            </w:r>
          </w:p>
        </w:tc>
        <w:tc>
          <w:tcPr>
            <w:tcW w:w="6425" w:type="dxa"/>
          </w:tcPr>
          <w:p w14:paraId="5F3F4BAB" w14:textId="77777777" w:rsidR="00D87C78" w:rsidRPr="00A427F4" w:rsidRDefault="00D87C78" w:rsidP="00D87C78">
            <w:pPr>
              <w:autoSpaceDE w:val="0"/>
              <w:autoSpaceDN w:val="0"/>
              <w:adjustRightInd w:val="0"/>
              <w:rPr>
                <w:rFonts w:eastAsia="MS Mincho" w:cs="Arial"/>
                <w:sz w:val="20"/>
                <w:szCs w:val="20"/>
                <w:lang w:eastAsia="ja-JP"/>
              </w:rPr>
            </w:pPr>
            <w:r>
              <w:rPr>
                <w:rFonts w:eastAsia="MS Mincho" w:cs="Arial"/>
                <w:sz w:val="20"/>
                <w:szCs w:val="20"/>
                <w:lang w:eastAsia="ja-JP"/>
              </w:rPr>
              <w:t>Internal hazards</w:t>
            </w:r>
          </w:p>
        </w:tc>
      </w:tr>
      <w:tr w:rsidR="00D87C78" w:rsidRPr="00A07847" w14:paraId="5F3F4BAF" w14:textId="77777777" w:rsidTr="00D87C78">
        <w:trPr>
          <w:jc w:val="center"/>
        </w:trPr>
        <w:tc>
          <w:tcPr>
            <w:tcW w:w="2630" w:type="dxa"/>
            <w:shd w:val="clear" w:color="auto" w:fill="auto"/>
          </w:tcPr>
          <w:p w14:paraId="5F3F4BAD" w14:textId="77777777" w:rsidR="00D87C78" w:rsidRPr="00A427F4" w:rsidRDefault="00D87C78" w:rsidP="00521FD8">
            <w:pPr>
              <w:autoSpaceDE w:val="0"/>
              <w:autoSpaceDN w:val="0"/>
              <w:adjustRightInd w:val="0"/>
              <w:jc w:val="center"/>
              <w:rPr>
                <w:rFonts w:eastAsia="MS Mincho" w:cs="Arial"/>
                <w:sz w:val="20"/>
                <w:szCs w:val="20"/>
                <w:lang w:eastAsia="ja-JP"/>
              </w:rPr>
            </w:pPr>
            <w:r>
              <w:rPr>
                <w:rFonts w:eastAsia="MS Mincho" w:cs="Arial"/>
                <w:sz w:val="20"/>
                <w:szCs w:val="20"/>
                <w:lang w:eastAsia="ja-JP"/>
              </w:rPr>
              <w:t>NS-TAST-GD-016</w:t>
            </w:r>
          </w:p>
        </w:tc>
        <w:tc>
          <w:tcPr>
            <w:tcW w:w="6425" w:type="dxa"/>
          </w:tcPr>
          <w:p w14:paraId="5F3F4BAE" w14:textId="77777777" w:rsidR="00D87C78" w:rsidRDefault="00D87C78" w:rsidP="00D87C78">
            <w:pPr>
              <w:autoSpaceDE w:val="0"/>
              <w:autoSpaceDN w:val="0"/>
              <w:adjustRightInd w:val="0"/>
              <w:rPr>
                <w:rFonts w:eastAsia="MS Mincho" w:cs="Arial"/>
                <w:sz w:val="20"/>
                <w:szCs w:val="20"/>
                <w:lang w:eastAsia="ja-JP"/>
              </w:rPr>
            </w:pPr>
            <w:r>
              <w:rPr>
                <w:rFonts w:eastAsia="MS Mincho" w:cs="Arial"/>
                <w:sz w:val="20"/>
                <w:szCs w:val="20"/>
                <w:lang w:eastAsia="ja-JP"/>
              </w:rPr>
              <w:t>Integrity of metal components and structures</w:t>
            </w:r>
          </w:p>
        </w:tc>
      </w:tr>
      <w:tr w:rsidR="00D87C78" w:rsidRPr="00A07847" w14:paraId="5F3F4BB2" w14:textId="77777777" w:rsidTr="00D87C78">
        <w:trPr>
          <w:jc w:val="center"/>
        </w:trPr>
        <w:tc>
          <w:tcPr>
            <w:tcW w:w="2630" w:type="dxa"/>
            <w:shd w:val="clear" w:color="auto" w:fill="auto"/>
          </w:tcPr>
          <w:p w14:paraId="5F3F4BB0" w14:textId="77777777" w:rsidR="00D87C78" w:rsidRPr="00390368" w:rsidRDefault="00D87C78" w:rsidP="00521FD8">
            <w:pPr>
              <w:autoSpaceDE w:val="0"/>
              <w:autoSpaceDN w:val="0"/>
              <w:adjustRightInd w:val="0"/>
              <w:jc w:val="center"/>
              <w:rPr>
                <w:rFonts w:eastAsia="MS Mincho" w:cs="Arial"/>
                <w:sz w:val="20"/>
                <w:szCs w:val="20"/>
                <w:highlight w:val="yellow"/>
                <w:lang w:eastAsia="ja-JP"/>
              </w:rPr>
            </w:pPr>
            <w:r>
              <w:rPr>
                <w:rFonts w:eastAsia="MS Mincho" w:cs="Arial"/>
                <w:sz w:val="20"/>
                <w:szCs w:val="20"/>
                <w:lang w:eastAsia="ja-JP"/>
              </w:rPr>
              <w:t>NS-TAST-GD-020</w:t>
            </w:r>
          </w:p>
        </w:tc>
        <w:tc>
          <w:tcPr>
            <w:tcW w:w="6425" w:type="dxa"/>
          </w:tcPr>
          <w:p w14:paraId="5F3F4BB1" w14:textId="28DF456E" w:rsidR="00D87C78" w:rsidRPr="00D87C78" w:rsidRDefault="00CB3503" w:rsidP="00D87C78">
            <w:pPr>
              <w:autoSpaceDE w:val="0"/>
              <w:autoSpaceDN w:val="0"/>
              <w:adjustRightInd w:val="0"/>
              <w:rPr>
                <w:rFonts w:eastAsia="MS Mincho" w:cs="Arial"/>
                <w:sz w:val="20"/>
                <w:szCs w:val="20"/>
                <w:lang w:eastAsia="ja-JP"/>
              </w:rPr>
            </w:pPr>
            <w:r>
              <w:rPr>
                <w:rFonts w:eastAsia="MS Mincho" w:cs="Arial"/>
                <w:sz w:val="20"/>
                <w:szCs w:val="20"/>
                <w:lang w:eastAsia="ja-JP"/>
              </w:rPr>
              <w:t xml:space="preserve">Civil Engineering </w:t>
            </w:r>
            <w:r w:rsidR="00D87C78" w:rsidRPr="00D87C78">
              <w:rPr>
                <w:rFonts w:eastAsia="MS Mincho" w:cs="Arial"/>
                <w:sz w:val="20"/>
                <w:szCs w:val="20"/>
                <w:lang w:eastAsia="ja-JP"/>
              </w:rPr>
              <w:t>Containment</w:t>
            </w:r>
            <w:r>
              <w:rPr>
                <w:rFonts w:eastAsia="MS Mincho" w:cs="Arial"/>
                <w:sz w:val="20"/>
                <w:szCs w:val="20"/>
                <w:lang w:eastAsia="ja-JP"/>
              </w:rPr>
              <w:t>s</w:t>
            </w:r>
            <w:r w:rsidR="00D87C78" w:rsidRPr="00D87C78">
              <w:rPr>
                <w:rFonts w:eastAsia="MS Mincho" w:cs="Arial"/>
                <w:sz w:val="20"/>
                <w:szCs w:val="20"/>
                <w:lang w:eastAsia="ja-JP"/>
              </w:rPr>
              <w:t xml:space="preserve"> </w:t>
            </w:r>
            <w:r>
              <w:rPr>
                <w:rFonts w:eastAsia="MS Mincho" w:cs="Arial"/>
                <w:sz w:val="20"/>
                <w:szCs w:val="20"/>
                <w:lang w:eastAsia="ja-JP"/>
              </w:rPr>
              <w:t>for</w:t>
            </w:r>
            <w:r w:rsidR="00D87C78" w:rsidRPr="00D87C78">
              <w:rPr>
                <w:rFonts w:eastAsia="MS Mincho" w:cs="Arial"/>
                <w:sz w:val="20"/>
                <w:szCs w:val="20"/>
                <w:lang w:eastAsia="ja-JP"/>
              </w:rPr>
              <w:t xml:space="preserve"> reactor plants</w:t>
            </w:r>
          </w:p>
        </w:tc>
      </w:tr>
      <w:tr w:rsidR="00D87C78" w:rsidRPr="00A07847" w14:paraId="5F3F4BB5" w14:textId="77777777" w:rsidTr="00D87C78">
        <w:trPr>
          <w:jc w:val="center"/>
        </w:trPr>
        <w:tc>
          <w:tcPr>
            <w:tcW w:w="2630" w:type="dxa"/>
            <w:shd w:val="clear" w:color="auto" w:fill="auto"/>
          </w:tcPr>
          <w:p w14:paraId="5F3F4BB3" w14:textId="77777777" w:rsidR="00D87C78" w:rsidRPr="00D87C78" w:rsidRDefault="00D87C78" w:rsidP="00521FD8">
            <w:pPr>
              <w:autoSpaceDE w:val="0"/>
              <w:autoSpaceDN w:val="0"/>
              <w:adjustRightInd w:val="0"/>
              <w:jc w:val="center"/>
              <w:rPr>
                <w:rFonts w:eastAsia="MS Mincho" w:cs="Arial"/>
                <w:sz w:val="20"/>
                <w:szCs w:val="20"/>
                <w:highlight w:val="yellow"/>
                <w:lang w:eastAsia="ja-JP"/>
              </w:rPr>
            </w:pPr>
            <w:r>
              <w:rPr>
                <w:rFonts w:eastAsia="MS Mincho" w:cs="Arial"/>
                <w:sz w:val="20"/>
                <w:szCs w:val="20"/>
                <w:lang w:eastAsia="ja-JP"/>
              </w:rPr>
              <w:t>NS-TAST-GD-021</w:t>
            </w:r>
          </w:p>
        </w:tc>
        <w:tc>
          <w:tcPr>
            <w:tcW w:w="6425" w:type="dxa"/>
          </w:tcPr>
          <w:p w14:paraId="5F3F4BB4" w14:textId="187762E8" w:rsidR="00D87C78" w:rsidRPr="00D87C78" w:rsidRDefault="00D87C78" w:rsidP="00D87C78">
            <w:pPr>
              <w:autoSpaceDE w:val="0"/>
              <w:autoSpaceDN w:val="0"/>
              <w:adjustRightInd w:val="0"/>
              <w:rPr>
                <w:rFonts w:eastAsia="MS Mincho" w:cs="Arial"/>
                <w:sz w:val="20"/>
                <w:szCs w:val="20"/>
                <w:lang w:eastAsia="ja-JP"/>
              </w:rPr>
            </w:pPr>
            <w:r w:rsidRPr="00D87C78">
              <w:rPr>
                <w:rFonts w:eastAsia="MS Mincho" w:cs="Arial"/>
                <w:sz w:val="20"/>
                <w:szCs w:val="20"/>
                <w:lang w:eastAsia="ja-JP"/>
              </w:rPr>
              <w:t>Containment</w:t>
            </w:r>
            <w:r w:rsidR="00EC32F0">
              <w:rPr>
                <w:rFonts w:eastAsia="MS Mincho" w:cs="Arial"/>
                <w:sz w:val="20"/>
                <w:szCs w:val="20"/>
                <w:lang w:eastAsia="ja-JP"/>
              </w:rPr>
              <w:t xml:space="preserve">: </w:t>
            </w:r>
            <w:r w:rsidRPr="00D87C78">
              <w:rPr>
                <w:rFonts w:eastAsia="MS Mincho" w:cs="Arial"/>
                <w:sz w:val="20"/>
                <w:szCs w:val="20"/>
                <w:lang w:eastAsia="ja-JP"/>
              </w:rPr>
              <w:t>chemical plants</w:t>
            </w:r>
          </w:p>
        </w:tc>
      </w:tr>
      <w:tr w:rsidR="00D87C78" w:rsidRPr="00A07847" w14:paraId="5F3F4BB8" w14:textId="77777777" w:rsidTr="00D87C78">
        <w:trPr>
          <w:jc w:val="center"/>
        </w:trPr>
        <w:tc>
          <w:tcPr>
            <w:tcW w:w="2630" w:type="dxa"/>
            <w:shd w:val="clear" w:color="auto" w:fill="auto"/>
          </w:tcPr>
          <w:p w14:paraId="5F3F4BB6" w14:textId="77777777" w:rsidR="00D87C78" w:rsidRPr="00390368" w:rsidRDefault="00D87C78" w:rsidP="00521FD8">
            <w:pPr>
              <w:autoSpaceDE w:val="0"/>
              <w:autoSpaceDN w:val="0"/>
              <w:adjustRightInd w:val="0"/>
              <w:jc w:val="center"/>
              <w:rPr>
                <w:rFonts w:eastAsia="MS Mincho" w:cs="Arial"/>
                <w:sz w:val="20"/>
                <w:szCs w:val="20"/>
                <w:highlight w:val="yellow"/>
                <w:lang w:eastAsia="ja-JP"/>
              </w:rPr>
            </w:pPr>
            <w:r>
              <w:rPr>
                <w:rFonts w:eastAsia="MS Mincho" w:cs="Arial"/>
                <w:sz w:val="20"/>
                <w:szCs w:val="20"/>
                <w:lang w:eastAsia="ja-JP"/>
              </w:rPr>
              <w:t>NS-TAST-GD-023</w:t>
            </w:r>
          </w:p>
        </w:tc>
        <w:tc>
          <w:tcPr>
            <w:tcW w:w="6425" w:type="dxa"/>
          </w:tcPr>
          <w:p w14:paraId="5F3F4BB7" w14:textId="77777777" w:rsidR="00D87C78" w:rsidRPr="00390368" w:rsidRDefault="00D87C78" w:rsidP="00D87C78">
            <w:pPr>
              <w:autoSpaceDE w:val="0"/>
              <w:autoSpaceDN w:val="0"/>
              <w:adjustRightInd w:val="0"/>
              <w:rPr>
                <w:rFonts w:eastAsia="MS Mincho" w:cs="Arial"/>
                <w:sz w:val="20"/>
                <w:szCs w:val="20"/>
                <w:highlight w:val="yellow"/>
                <w:lang w:eastAsia="ja-JP"/>
              </w:rPr>
            </w:pPr>
            <w:r w:rsidRPr="00D87C78">
              <w:rPr>
                <w:rFonts w:eastAsia="MS Mincho" w:cs="Arial"/>
                <w:sz w:val="20"/>
                <w:szCs w:val="20"/>
                <w:lang w:eastAsia="ja-JP"/>
              </w:rPr>
              <w:t>Control of processes involving nuclear matter</w:t>
            </w:r>
          </w:p>
        </w:tc>
      </w:tr>
      <w:tr w:rsidR="00D87C78" w:rsidRPr="00A07847" w14:paraId="5F3F4BBB" w14:textId="77777777" w:rsidTr="00D87C78">
        <w:trPr>
          <w:jc w:val="center"/>
        </w:trPr>
        <w:tc>
          <w:tcPr>
            <w:tcW w:w="2630" w:type="dxa"/>
            <w:shd w:val="clear" w:color="auto" w:fill="auto"/>
          </w:tcPr>
          <w:p w14:paraId="5F3F4BB9" w14:textId="77777777" w:rsidR="00D87C78" w:rsidRPr="00BC6205" w:rsidRDefault="00D87C78" w:rsidP="00521FD8">
            <w:pPr>
              <w:autoSpaceDE w:val="0"/>
              <w:autoSpaceDN w:val="0"/>
              <w:adjustRightInd w:val="0"/>
              <w:jc w:val="center"/>
              <w:rPr>
                <w:rFonts w:eastAsia="MS Mincho" w:cs="Arial"/>
                <w:sz w:val="20"/>
                <w:szCs w:val="20"/>
                <w:lang w:eastAsia="ja-JP"/>
              </w:rPr>
            </w:pPr>
            <w:r w:rsidRPr="00BC6205">
              <w:rPr>
                <w:rFonts w:eastAsia="MS Mincho" w:cs="Arial"/>
                <w:sz w:val="20"/>
                <w:szCs w:val="20"/>
                <w:lang w:eastAsia="ja-JP"/>
              </w:rPr>
              <w:t>NS-TAST</w:t>
            </w:r>
            <w:r w:rsidR="00BC6205" w:rsidRPr="00BC6205">
              <w:rPr>
                <w:rFonts w:eastAsia="MS Mincho" w:cs="Arial"/>
                <w:sz w:val="20"/>
                <w:szCs w:val="20"/>
                <w:lang w:eastAsia="ja-JP"/>
              </w:rPr>
              <w:t>-GD-024</w:t>
            </w:r>
          </w:p>
        </w:tc>
        <w:tc>
          <w:tcPr>
            <w:tcW w:w="6425" w:type="dxa"/>
          </w:tcPr>
          <w:p w14:paraId="5F3F4BBA" w14:textId="371A1EDF" w:rsidR="00D87C78" w:rsidRPr="00BC6205" w:rsidRDefault="00BC6205" w:rsidP="003F7931">
            <w:pPr>
              <w:autoSpaceDE w:val="0"/>
              <w:autoSpaceDN w:val="0"/>
              <w:adjustRightInd w:val="0"/>
              <w:rPr>
                <w:rFonts w:eastAsia="MS Mincho" w:cs="Arial"/>
                <w:sz w:val="20"/>
                <w:szCs w:val="20"/>
                <w:lang w:eastAsia="ja-JP"/>
              </w:rPr>
            </w:pPr>
            <w:r w:rsidRPr="00BC6205">
              <w:rPr>
                <w:rFonts w:eastAsia="MS Mincho" w:cs="Arial"/>
                <w:sz w:val="20"/>
                <w:szCs w:val="20"/>
                <w:lang w:eastAsia="ja-JP"/>
              </w:rPr>
              <w:t>Management of radioactive material and rad</w:t>
            </w:r>
            <w:r w:rsidR="00D60024">
              <w:rPr>
                <w:rFonts w:eastAsia="MS Mincho" w:cs="Arial"/>
                <w:sz w:val="20"/>
                <w:szCs w:val="20"/>
                <w:lang w:eastAsia="ja-JP"/>
              </w:rPr>
              <w:t>ioactive waste on nuclear licen</w:t>
            </w:r>
            <w:r w:rsidR="00C157E9">
              <w:rPr>
                <w:rFonts w:eastAsia="MS Mincho" w:cs="Arial"/>
                <w:sz w:val="20"/>
                <w:szCs w:val="20"/>
                <w:lang w:eastAsia="ja-JP"/>
              </w:rPr>
              <w:t>s</w:t>
            </w:r>
            <w:r w:rsidRPr="00BC6205">
              <w:rPr>
                <w:rFonts w:eastAsia="MS Mincho" w:cs="Arial"/>
                <w:sz w:val="20"/>
                <w:szCs w:val="20"/>
                <w:lang w:eastAsia="ja-JP"/>
              </w:rPr>
              <w:t>ed sites</w:t>
            </w:r>
          </w:p>
        </w:tc>
      </w:tr>
      <w:tr w:rsidR="00D87C78" w:rsidRPr="00A07847" w14:paraId="5F3F4BBE" w14:textId="77777777" w:rsidTr="00D87C78">
        <w:trPr>
          <w:jc w:val="center"/>
        </w:trPr>
        <w:tc>
          <w:tcPr>
            <w:tcW w:w="2630" w:type="dxa"/>
            <w:shd w:val="clear" w:color="auto" w:fill="auto"/>
          </w:tcPr>
          <w:p w14:paraId="5F3F4BBC" w14:textId="77777777" w:rsidR="00D87C78" w:rsidRPr="00BC6205" w:rsidRDefault="00D87C78" w:rsidP="00521FD8">
            <w:pPr>
              <w:autoSpaceDE w:val="0"/>
              <w:autoSpaceDN w:val="0"/>
              <w:adjustRightInd w:val="0"/>
              <w:jc w:val="center"/>
              <w:rPr>
                <w:rFonts w:eastAsia="MS Mincho" w:cs="Arial"/>
                <w:sz w:val="20"/>
                <w:szCs w:val="20"/>
                <w:lang w:eastAsia="ja-JP"/>
              </w:rPr>
            </w:pPr>
            <w:r w:rsidRPr="00BC6205">
              <w:rPr>
                <w:rFonts w:eastAsia="MS Mincho" w:cs="Arial"/>
                <w:sz w:val="20"/>
                <w:szCs w:val="20"/>
                <w:lang w:eastAsia="ja-JP"/>
              </w:rPr>
              <w:t>NS-TAST-GD-</w:t>
            </w:r>
            <w:r w:rsidR="00BC6205" w:rsidRPr="00BC6205">
              <w:rPr>
                <w:rFonts w:eastAsia="MS Mincho" w:cs="Arial"/>
                <w:sz w:val="20"/>
                <w:szCs w:val="20"/>
                <w:lang w:eastAsia="ja-JP"/>
              </w:rPr>
              <w:t>0</w:t>
            </w:r>
            <w:r w:rsidR="00BC6205">
              <w:rPr>
                <w:rFonts w:eastAsia="MS Mincho" w:cs="Arial"/>
                <w:sz w:val="20"/>
                <w:szCs w:val="20"/>
                <w:lang w:eastAsia="ja-JP"/>
              </w:rPr>
              <w:t>34</w:t>
            </w:r>
          </w:p>
        </w:tc>
        <w:tc>
          <w:tcPr>
            <w:tcW w:w="6425" w:type="dxa"/>
          </w:tcPr>
          <w:p w14:paraId="5F3F4BBD" w14:textId="77777777" w:rsidR="00D87C78" w:rsidRPr="00BC6205" w:rsidRDefault="00BC6205" w:rsidP="003F7931">
            <w:pPr>
              <w:autoSpaceDE w:val="0"/>
              <w:autoSpaceDN w:val="0"/>
              <w:adjustRightInd w:val="0"/>
              <w:rPr>
                <w:rFonts w:eastAsia="MS Mincho" w:cs="Arial"/>
                <w:sz w:val="20"/>
                <w:szCs w:val="20"/>
                <w:lang w:eastAsia="ja-JP"/>
              </w:rPr>
            </w:pPr>
            <w:r>
              <w:rPr>
                <w:rFonts w:eastAsia="MS Mincho" w:cs="Arial"/>
                <w:sz w:val="20"/>
                <w:szCs w:val="20"/>
                <w:lang w:eastAsia="ja-JP"/>
              </w:rPr>
              <w:t>Transient analysis for DBAs in nuclear reactors</w:t>
            </w:r>
          </w:p>
        </w:tc>
      </w:tr>
      <w:tr w:rsidR="00D87C78" w:rsidRPr="00A07847" w14:paraId="5F3F4BC1" w14:textId="77777777" w:rsidTr="00D87C78">
        <w:trPr>
          <w:jc w:val="center"/>
        </w:trPr>
        <w:tc>
          <w:tcPr>
            <w:tcW w:w="2630" w:type="dxa"/>
            <w:shd w:val="clear" w:color="auto" w:fill="auto"/>
          </w:tcPr>
          <w:p w14:paraId="5F3F4BBF" w14:textId="77777777" w:rsidR="00D87C78" w:rsidRPr="00390368" w:rsidRDefault="00BC6205" w:rsidP="00521FD8">
            <w:pPr>
              <w:autoSpaceDE w:val="0"/>
              <w:autoSpaceDN w:val="0"/>
              <w:adjustRightInd w:val="0"/>
              <w:jc w:val="center"/>
              <w:rPr>
                <w:rFonts w:eastAsia="MS Mincho" w:cs="Arial"/>
                <w:sz w:val="20"/>
                <w:szCs w:val="20"/>
                <w:highlight w:val="yellow"/>
                <w:lang w:eastAsia="ja-JP"/>
              </w:rPr>
            </w:pPr>
            <w:r w:rsidRPr="00BC6205">
              <w:rPr>
                <w:rFonts w:eastAsia="MS Mincho" w:cs="Arial"/>
                <w:sz w:val="20"/>
                <w:szCs w:val="20"/>
                <w:lang w:eastAsia="ja-JP"/>
              </w:rPr>
              <w:t>NS-TAST-GD-0</w:t>
            </w:r>
            <w:r>
              <w:rPr>
                <w:rFonts w:eastAsia="MS Mincho" w:cs="Arial"/>
                <w:sz w:val="20"/>
                <w:szCs w:val="20"/>
                <w:lang w:eastAsia="ja-JP"/>
              </w:rPr>
              <w:t>35</w:t>
            </w:r>
          </w:p>
        </w:tc>
        <w:tc>
          <w:tcPr>
            <w:tcW w:w="6425" w:type="dxa"/>
          </w:tcPr>
          <w:p w14:paraId="5F3F4BC0" w14:textId="001F1A85" w:rsidR="00D87C78" w:rsidRPr="00390368" w:rsidRDefault="00BC6205" w:rsidP="003F7931">
            <w:pPr>
              <w:autoSpaceDE w:val="0"/>
              <w:autoSpaceDN w:val="0"/>
              <w:adjustRightInd w:val="0"/>
              <w:rPr>
                <w:rFonts w:eastAsia="MS Mincho" w:cs="Arial"/>
                <w:sz w:val="20"/>
                <w:szCs w:val="20"/>
                <w:highlight w:val="yellow"/>
                <w:lang w:eastAsia="ja-JP"/>
              </w:rPr>
            </w:pPr>
            <w:r w:rsidRPr="00BC6205">
              <w:rPr>
                <w:rFonts w:eastAsia="MS Mincho" w:cs="Arial"/>
                <w:sz w:val="20"/>
                <w:szCs w:val="20"/>
                <w:lang w:eastAsia="ja-JP"/>
              </w:rPr>
              <w:t>The limits and conditions for nuclear safety</w:t>
            </w:r>
            <w:r w:rsidR="00816371">
              <w:rPr>
                <w:rFonts w:eastAsia="MS Mincho" w:cs="Arial"/>
                <w:sz w:val="20"/>
                <w:szCs w:val="20"/>
                <w:lang w:eastAsia="ja-JP"/>
              </w:rPr>
              <w:t xml:space="preserve"> (operating rules)</w:t>
            </w:r>
          </w:p>
        </w:tc>
      </w:tr>
      <w:tr w:rsidR="00BC6205" w:rsidRPr="00A07847" w14:paraId="5F3F4BC7" w14:textId="77777777" w:rsidTr="00D87C78">
        <w:trPr>
          <w:jc w:val="center"/>
        </w:trPr>
        <w:tc>
          <w:tcPr>
            <w:tcW w:w="2630" w:type="dxa"/>
            <w:shd w:val="clear" w:color="auto" w:fill="auto"/>
          </w:tcPr>
          <w:p w14:paraId="5F3F4BC5" w14:textId="77777777" w:rsidR="00BC6205" w:rsidRPr="00BC6205" w:rsidRDefault="00BC6205" w:rsidP="00521FD8">
            <w:pPr>
              <w:autoSpaceDE w:val="0"/>
              <w:autoSpaceDN w:val="0"/>
              <w:adjustRightInd w:val="0"/>
              <w:jc w:val="center"/>
              <w:rPr>
                <w:rFonts w:eastAsia="MS Mincho" w:cs="Arial"/>
                <w:sz w:val="20"/>
                <w:szCs w:val="20"/>
                <w:lang w:eastAsia="ja-JP"/>
              </w:rPr>
            </w:pPr>
            <w:r w:rsidRPr="00BC6205">
              <w:rPr>
                <w:rFonts w:eastAsia="MS Mincho" w:cs="Arial"/>
                <w:sz w:val="20"/>
                <w:szCs w:val="20"/>
                <w:lang w:eastAsia="ja-JP"/>
              </w:rPr>
              <w:t>NS-TAST-GD-0</w:t>
            </w:r>
            <w:r>
              <w:rPr>
                <w:rFonts w:eastAsia="MS Mincho" w:cs="Arial"/>
                <w:sz w:val="20"/>
                <w:szCs w:val="20"/>
                <w:lang w:eastAsia="ja-JP"/>
              </w:rPr>
              <w:t>38</w:t>
            </w:r>
          </w:p>
        </w:tc>
        <w:tc>
          <w:tcPr>
            <w:tcW w:w="6425" w:type="dxa"/>
          </w:tcPr>
          <w:p w14:paraId="5F3F4BC6" w14:textId="77777777" w:rsidR="00BC6205" w:rsidRPr="00BC6205" w:rsidRDefault="00BC6205" w:rsidP="003F7931">
            <w:pPr>
              <w:autoSpaceDE w:val="0"/>
              <w:autoSpaceDN w:val="0"/>
              <w:adjustRightInd w:val="0"/>
              <w:rPr>
                <w:rFonts w:eastAsia="MS Mincho" w:cs="Arial"/>
                <w:sz w:val="20"/>
                <w:szCs w:val="20"/>
                <w:lang w:eastAsia="ja-JP"/>
              </w:rPr>
            </w:pPr>
            <w:r w:rsidRPr="00BC6205">
              <w:rPr>
                <w:rFonts w:eastAsia="MS Mincho" w:cs="Arial"/>
                <w:sz w:val="20"/>
                <w:szCs w:val="20"/>
                <w:lang w:eastAsia="ja-JP"/>
              </w:rPr>
              <w:t>Radiological protection</w:t>
            </w:r>
          </w:p>
        </w:tc>
      </w:tr>
      <w:tr w:rsidR="00521FD8" w:rsidRPr="00A07847" w14:paraId="5F3F4BCA" w14:textId="77777777" w:rsidTr="00D87C78">
        <w:trPr>
          <w:jc w:val="center"/>
        </w:trPr>
        <w:tc>
          <w:tcPr>
            <w:tcW w:w="2630" w:type="dxa"/>
            <w:shd w:val="clear" w:color="auto" w:fill="auto"/>
          </w:tcPr>
          <w:p w14:paraId="5F3F4BC8" w14:textId="77777777" w:rsidR="00521FD8" w:rsidRPr="00BC6205" w:rsidRDefault="00521FD8" w:rsidP="00521FD8">
            <w:pPr>
              <w:autoSpaceDE w:val="0"/>
              <w:autoSpaceDN w:val="0"/>
              <w:adjustRightInd w:val="0"/>
              <w:jc w:val="center"/>
              <w:rPr>
                <w:rFonts w:eastAsia="MS Mincho" w:cs="Arial"/>
                <w:sz w:val="20"/>
                <w:szCs w:val="20"/>
                <w:lang w:eastAsia="ja-JP"/>
              </w:rPr>
            </w:pPr>
            <w:r>
              <w:rPr>
                <w:rFonts w:eastAsia="MS Mincho" w:cs="Arial"/>
                <w:sz w:val="20"/>
                <w:szCs w:val="20"/>
                <w:lang w:eastAsia="ja-JP"/>
              </w:rPr>
              <w:t>NS-TAST-GD-041</w:t>
            </w:r>
          </w:p>
        </w:tc>
        <w:tc>
          <w:tcPr>
            <w:tcW w:w="6425" w:type="dxa"/>
          </w:tcPr>
          <w:p w14:paraId="5F3F4BC9" w14:textId="77777777" w:rsidR="00521FD8" w:rsidRPr="00BC6205" w:rsidRDefault="00521FD8" w:rsidP="003F7931">
            <w:pPr>
              <w:autoSpaceDE w:val="0"/>
              <w:autoSpaceDN w:val="0"/>
              <w:adjustRightInd w:val="0"/>
              <w:rPr>
                <w:rFonts w:eastAsia="MS Mincho" w:cs="Arial"/>
                <w:sz w:val="20"/>
                <w:szCs w:val="20"/>
                <w:lang w:eastAsia="ja-JP"/>
              </w:rPr>
            </w:pPr>
            <w:r>
              <w:rPr>
                <w:rFonts w:eastAsia="MS Mincho" w:cs="Arial"/>
                <w:sz w:val="20"/>
                <w:szCs w:val="20"/>
                <w:lang w:eastAsia="ja-JP"/>
              </w:rPr>
              <w:t>Criticality safety</w:t>
            </w:r>
          </w:p>
        </w:tc>
      </w:tr>
      <w:tr w:rsidR="00BC6205" w:rsidRPr="00A07847" w14:paraId="5F3F4BCD" w14:textId="77777777" w:rsidTr="00D87C78">
        <w:trPr>
          <w:jc w:val="center"/>
        </w:trPr>
        <w:tc>
          <w:tcPr>
            <w:tcW w:w="2630" w:type="dxa"/>
            <w:shd w:val="clear" w:color="auto" w:fill="auto"/>
          </w:tcPr>
          <w:p w14:paraId="5F3F4BCB" w14:textId="77777777" w:rsidR="00BC6205" w:rsidRPr="00BC6205" w:rsidRDefault="00BC6205" w:rsidP="00521FD8">
            <w:pPr>
              <w:autoSpaceDE w:val="0"/>
              <w:autoSpaceDN w:val="0"/>
              <w:adjustRightInd w:val="0"/>
              <w:jc w:val="center"/>
              <w:rPr>
                <w:rFonts w:eastAsia="MS Mincho" w:cs="Arial"/>
                <w:sz w:val="20"/>
                <w:szCs w:val="20"/>
                <w:lang w:eastAsia="ja-JP"/>
              </w:rPr>
            </w:pPr>
            <w:r w:rsidRPr="00BC6205">
              <w:rPr>
                <w:rFonts w:eastAsia="MS Mincho" w:cs="Arial"/>
                <w:sz w:val="20"/>
                <w:szCs w:val="20"/>
                <w:lang w:eastAsia="ja-JP"/>
              </w:rPr>
              <w:t>NS-TAST-GD-04</w:t>
            </w:r>
            <w:r>
              <w:rPr>
                <w:rFonts w:eastAsia="MS Mincho" w:cs="Arial"/>
                <w:sz w:val="20"/>
                <w:szCs w:val="20"/>
                <w:lang w:eastAsia="ja-JP"/>
              </w:rPr>
              <w:t>2</w:t>
            </w:r>
          </w:p>
        </w:tc>
        <w:tc>
          <w:tcPr>
            <w:tcW w:w="6425" w:type="dxa"/>
          </w:tcPr>
          <w:p w14:paraId="5F3F4BCC" w14:textId="77777777" w:rsidR="00BC6205" w:rsidRPr="00BC6205" w:rsidRDefault="00BC6205" w:rsidP="003F7931">
            <w:pPr>
              <w:autoSpaceDE w:val="0"/>
              <w:autoSpaceDN w:val="0"/>
              <w:adjustRightInd w:val="0"/>
              <w:rPr>
                <w:rFonts w:eastAsia="MS Mincho" w:cs="Arial"/>
                <w:sz w:val="20"/>
                <w:szCs w:val="20"/>
                <w:lang w:eastAsia="ja-JP"/>
              </w:rPr>
            </w:pPr>
            <w:r>
              <w:rPr>
                <w:rFonts w:eastAsia="MS Mincho" w:cs="Arial"/>
                <w:sz w:val="20"/>
                <w:szCs w:val="20"/>
                <w:lang w:eastAsia="ja-JP"/>
              </w:rPr>
              <w:t>Validation of computer codes and calculation methods</w:t>
            </w:r>
          </w:p>
        </w:tc>
      </w:tr>
      <w:tr w:rsidR="00BC6205" w:rsidRPr="00A07847" w14:paraId="5F3F4BD0" w14:textId="77777777" w:rsidTr="00D87C78">
        <w:trPr>
          <w:jc w:val="center"/>
        </w:trPr>
        <w:tc>
          <w:tcPr>
            <w:tcW w:w="2630" w:type="dxa"/>
            <w:shd w:val="clear" w:color="auto" w:fill="auto"/>
          </w:tcPr>
          <w:p w14:paraId="5F3F4BCE" w14:textId="77777777" w:rsidR="00BC6205" w:rsidRPr="00BC6205" w:rsidRDefault="00BC6205" w:rsidP="00521FD8">
            <w:pPr>
              <w:autoSpaceDE w:val="0"/>
              <w:autoSpaceDN w:val="0"/>
              <w:adjustRightInd w:val="0"/>
              <w:jc w:val="center"/>
              <w:rPr>
                <w:rFonts w:eastAsia="MS Mincho" w:cs="Arial"/>
                <w:sz w:val="20"/>
                <w:szCs w:val="20"/>
                <w:lang w:eastAsia="ja-JP"/>
              </w:rPr>
            </w:pPr>
            <w:r w:rsidRPr="00BC6205">
              <w:rPr>
                <w:rFonts w:eastAsia="MS Mincho" w:cs="Arial"/>
                <w:sz w:val="20"/>
                <w:szCs w:val="20"/>
                <w:lang w:eastAsia="ja-JP"/>
              </w:rPr>
              <w:t>NS-TAST-GD-043</w:t>
            </w:r>
          </w:p>
        </w:tc>
        <w:tc>
          <w:tcPr>
            <w:tcW w:w="6425" w:type="dxa"/>
          </w:tcPr>
          <w:p w14:paraId="5F3F4BCF" w14:textId="2A7975D7" w:rsidR="00BC6205" w:rsidRPr="00BC6205" w:rsidRDefault="00BC6205" w:rsidP="003F7931">
            <w:pPr>
              <w:autoSpaceDE w:val="0"/>
              <w:autoSpaceDN w:val="0"/>
              <w:adjustRightInd w:val="0"/>
              <w:rPr>
                <w:rFonts w:eastAsia="MS Mincho" w:cs="Arial"/>
                <w:sz w:val="20"/>
                <w:szCs w:val="20"/>
                <w:lang w:eastAsia="ja-JP"/>
              </w:rPr>
            </w:pPr>
            <w:r w:rsidRPr="00BC6205">
              <w:rPr>
                <w:rFonts w:eastAsia="MS Mincho" w:cs="Arial"/>
                <w:sz w:val="20"/>
                <w:szCs w:val="20"/>
                <w:lang w:eastAsia="ja-JP"/>
              </w:rPr>
              <w:t>Radiological analysis normal operation</w:t>
            </w:r>
          </w:p>
        </w:tc>
      </w:tr>
      <w:tr w:rsidR="00521FD8" w:rsidRPr="00A07847" w14:paraId="5F3F4BD3" w14:textId="77777777" w:rsidTr="00D87C78">
        <w:trPr>
          <w:jc w:val="center"/>
        </w:trPr>
        <w:tc>
          <w:tcPr>
            <w:tcW w:w="2630" w:type="dxa"/>
            <w:shd w:val="clear" w:color="auto" w:fill="auto"/>
          </w:tcPr>
          <w:p w14:paraId="5F3F4BD1" w14:textId="77777777" w:rsidR="00521FD8" w:rsidRPr="00BC6205" w:rsidRDefault="00521FD8" w:rsidP="00521FD8">
            <w:pPr>
              <w:autoSpaceDE w:val="0"/>
              <w:autoSpaceDN w:val="0"/>
              <w:adjustRightInd w:val="0"/>
              <w:jc w:val="center"/>
              <w:rPr>
                <w:rFonts w:eastAsia="MS Mincho" w:cs="Arial"/>
                <w:sz w:val="20"/>
                <w:szCs w:val="20"/>
                <w:lang w:eastAsia="ja-JP"/>
              </w:rPr>
            </w:pPr>
            <w:r w:rsidRPr="00BC6205">
              <w:rPr>
                <w:rFonts w:eastAsia="MS Mincho" w:cs="Arial"/>
                <w:sz w:val="20"/>
                <w:szCs w:val="20"/>
                <w:lang w:eastAsia="ja-JP"/>
              </w:rPr>
              <w:t>NS-TAST-GD-04</w:t>
            </w:r>
            <w:r>
              <w:rPr>
                <w:rFonts w:eastAsia="MS Mincho" w:cs="Arial"/>
                <w:sz w:val="20"/>
                <w:szCs w:val="20"/>
                <w:lang w:eastAsia="ja-JP"/>
              </w:rPr>
              <w:t>5</w:t>
            </w:r>
          </w:p>
        </w:tc>
        <w:tc>
          <w:tcPr>
            <w:tcW w:w="6425" w:type="dxa"/>
          </w:tcPr>
          <w:p w14:paraId="5F3F4BD2" w14:textId="10AA8682" w:rsidR="00521FD8" w:rsidRPr="00BC6205" w:rsidRDefault="00521FD8" w:rsidP="003F7931">
            <w:pPr>
              <w:autoSpaceDE w:val="0"/>
              <w:autoSpaceDN w:val="0"/>
              <w:adjustRightInd w:val="0"/>
              <w:rPr>
                <w:rFonts w:eastAsia="MS Mincho" w:cs="Arial"/>
                <w:sz w:val="20"/>
                <w:szCs w:val="20"/>
                <w:lang w:eastAsia="ja-JP"/>
              </w:rPr>
            </w:pPr>
            <w:r>
              <w:rPr>
                <w:rFonts w:eastAsia="MS Mincho" w:cs="Arial"/>
                <w:sz w:val="20"/>
                <w:szCs w:val="20"/>
                <w:lang w:eastAsia="ja-JP"/>
              </w:rPr>
              <w:t>Radiological analysis fault conditions</w:t>
            </w:r>
          </w:p>
        </w:tc>
      </w:tr>
      <w:tr w:rsidR="00BC6205" w:rsidRPr="00A07847" w14:paraId="5F3F4BD6" w14:textId="77777777" w:rsidTr="00D87C78">
        <w:trPr>
          <w:jc w:val="center"/>
        </w:trPr>
        <w:tc>
          <w:tcPr>
            <w:tcW w:w="2630" w:type="dxa"/>
            <w:shd w:val="clear" w:color="auto" w:fill="auto"/>
          </w:tcPr>
          <w:p w14:paraId="5F3F4BD4" w14:textId="77777777" w:rsidR="00BC6205" w:rsidRPr="00BC6205" w:rsidRDefault="00BC6205" w:rsidP="00521FD8">
            <w:pPr>
              <w:autoSpaceDE w:val="0"/>
              <w:autoSpaceDN w:val="0"/>
              <w:adjustRightInd w:val="0"/>
              <w:jc w:val="center"/>
              <w:rPr>
                <w:rFonts w:eastAsia="MS Mincho" w:cs="Arial"/>
                <w:sz w:val="20"/>
                <w:szCs w:val="20"/>
                <w:lang w:eastAsia="ja-JP"/>
              </w:rPr>
            </w:pPr>
            <w:r w:rsidRPr="00BC6205">
              <w:rPr>
                <w:rFonts w:eastAsia="MS Mincho" w:cs="Arial"/>
                <w:sz w:val="20"/>
                <w:szCs w:val="20"/>
                <w:lang w:eastAsia="ja-JP"/>
              </w:rPr>
              <w:t>NS-TAST-GD-0</w:t>
            </w:r>
            <w:r>
              <w:rPr>
                <w:rFonts w:eastAsia="MS Mincho" w:cs="Arial"/>
                <w:sz w:val="20"/>
                <w:szCs w:val="20"/>
                <w:lang w:eastAsia="ja-JP"/>
              </w:rPr>
              <w:t>51</w:t>
            </w:r>
          </w:p>
        </w:tc>
        <w:tc>
          <w:tcPr>
            <w:tcW w:w="6425" w:type="dxa"/>
          </w:tcPr>
          <w:p w14:paraId="5F3F4BD5" w14:textId="77777777" w:rsidR="00BC6205" w:rsidRPr="00BC6205" w:rsidRDefault="00BC6205" w:rsidP="003F7931">
            <w:pPr>
              <w:autoSpaceDE w:val="0"/>
              <w:autoSpaceDN w:val="0"/>
              <w:adjustRightInd w:val="0"/>
              <w:rPr>
                <w:rFonts w:eastAsia="MS Mincho" w:cs="Arial"/>
                <w:sz w:val="20"/>
                <w:szCs w:val="20"/>
                <w:lang w:eastAsia="ja-JP"/>
              </w:rPr>
            </w:pPr>
            <w:r>
              <w:rPr>
                <w:rFonts w:eastAsia="MS Mincho" w:cs="Arial"/>
                <w:sz w:val="20"/>
                <w:szCs w:val="20"/>
                <w:lang w:eastAsia="ja-JP"/>
              </w:rPr>
              <w:t>The purpose, scope and content of nuclear safety cases</w:t>
            </w:r>
          </w:p>
        </w:tc>
      </w:tr>
      <w:tr w:rsidR="00BC6205" w:rsidRPr="00A07847" w14:paraId="5F3F4BD9" w14:textId="77777777" w:rsidTr="00D87C78">
        <w:trPr>
          <w:jc w:val="center"/>
        </w:trPr>
        <w:tc>
          <w:tcPr>
            <w:tcW w:w="2630" w:type="dxa"/>
            <w:shd w:val="clear" w:color="auto" w:fill="auto"/>
          </w:tcPr>
          <w:p w14:paraId="5F3F4BD7" w14:textId="77777777" w:rsidR="00BC6205" w:rsidRPr="00BC6205" w:rsidRDefault="00BC6205" w:rsidP="00521FD8">
            <w:pPr>
              <w:autoSpaceDE w:val="0"/>
              <w:autoSpaceDN w:val="0"/>
              <w:adjustRightInd w:val="0"/>
              <w:jc w:val="center"/>
              <w:rPr>
                <w:rFonts w:eastAsia="MS Mincho" w:cs="Arial"/>
                <w:sz w:val="20"/>
                <w:szCs w:val="20"/>
                <w:lang w:eastAsia="ja-JP"/>
              </w:rPr>
            </w:pPr>
            <w:r>
              <w:rPr>
                <w:rFonts w:eastAsia="MS Mincho" w:cs="Arial"/>
                <w:sz w:val="20"/>
                <w:szCs w:val="20"/>
                <w:lang w:eastAsia="ja-JP"/>
              </w:rPr>
              <w:t>NS-TAST-GD-081</w:t>
            </w:r>
          </w:p>
        </w:tc>
        <w:tc>
          <w:tcPr>
            <w:tcW w:w="6425" w:type="dxa"/>
          </w:tcPr>
          <w:p w14:paraId="5F3F4BD8" w14:textId="77777777" w:rsidR="00BC6205" w:rsidRPr="00BC6205" w:rsidRDefault="00BC6205" w:rsidP="003F7931">
            <w:pPr>
              <w:autoSpaceDE w:val="0"/>
              <w:autoSpaceDN w:val="0"/>
              <w:adjustRightInd w:val="0"/>
              <w:rPr>
                <w:rFonts w:eastAsia="MS Mincho" w:cs="Arial"/>
                <w:sz w:val="20"/>
                <w:szCs w:val="20"/>
                <w:lang w:eastAsia="ja-JP"/>
              </w:rPr>
            </w:pPr>
            <w:r>
              <w:rPr>
                <w:rFonts w:eastAsia="MS Mincho" w:cs="Arial"/>
                <w:sz w:val="20"/>
                <w:szCs w:val="20"/>
                <w:lang w:eastAsia="ja-JP"/>
              </w:rPr>
              <w:t>Safety aspects specific to the storage of spent nuclear fuel</w:t>
            </w:r>
          </w:p>
        </w:tc>
      </w:tr>
      <w:tr w:rsidR="00BC6205" w:rsidRPr="00A07847" w14:paraId="5F3F4BDC" w14:textId="77777777" w:rsidTr="00D87C78">
        <w:trPr>
          <w:jc w:val="center"/>
        </w:trPr>
        <w:tc>
          <w:tcPr>
            <w:tcW w:w="2630" w:type="dxa"/>
            <w:shd w:val="clear" w:color="auto" w:fill="auto"/>
          </w:tcPr>
          <w:p w14:paraId="5F3F4BDA" w14:textId="77777777" w:rsidR="00BC6205" w:rsidRDefault="00BC6205" w:rsidP="00521FD8">
            <w:pPr>
              <w:autoSpaceDE w:val="0"/>
              <w:autoSpaceDN w:val="0"/>
              <w:adjustRightInd w:val="0"/>
              <w:jc w:val="center"/>
              <w:rPr>
                <w:rFonts w:eastAsia="MS Mincho" w:cs="Arial"/>
                <w:sz w:val="20"/>
                <w:szCs w:val="20"/>
                <w:lang w:eastAsia="ja-JP"/>
              </w:rPr>
            </w:pPr>
            <w:r>
              <w:rPr>
                <w:rFonts w:eastAsia="MS Mincho" w:cs="Arial"/>
                <w:sz w:val="20"/>
                <w:szCs w:val="20"/>
                <w:lang w:eastAsia="ja-JP"/>
              </w:rPr>
              <w:t>NS-TAST-GD-088</w:t>
            </w:r>
          </w:p>
        </w:tc>
        <w:tc>
          <w:tcPr>
            <w:tcW w:w="6425" w:type="dxa"/>
          </w:tcPr>
          <w:p w14:paraId="5F3F4BDB" w14:textId="77777777" w:rsidR="00BC6205" w:rsidRDefault="00BC6205" w:rsidP="003F7931">
            <w:pPr>
              <w:autoSpaceDE w:val="0"/>
              <w:autoSpaceDN w:val="0"/>
              <w:adjustRightInd w:val="0"/>
              <w:rPr>
                <w:rFonts w:eastAsia="MS Mincho" w:cs="Arial"/>
                <w:sz w:val="20"/>
                <w:szCs w:val="20"/>
                <w:lang w:eastAsia="ja-JP"/>
              </w:rPr>
            </w:pPr>
            <w:r>
              <w:rPr>
                <w:rFonts w:eastAsia="MS Mincho" w:cs="Arial"/>
                <w:sz w:val="20"/>
                <w:szCs w:val="20"/>
                <w:lang w:eastAsia="ja-JP"/>
              </w:rPr>
              <w:t>Chemistry of operating civil nuclear reactors</w:t>
            </w:r>
          </w:p>
        </w:tc>
      </w:tr>
      <w:tr w:rsidR="004702AE" w:rsidRPr="00A07847" w14:paraId="5F3F4BDF" w14:textId="77777777" w:rsidTr="00D87C78">
        <w:trPr>
          <w:jc w:val="center"/>
        </w:trPr>
        <w:tc>
          <w:tcPr>
            <w:tcW w:w="2630" w:type="dxa"/>
            <w:shd w:val="clear" w:color="auto" w:fill="auto"/>
          </w:tcPr>
          <w:p w14:paraId="5F3F4BDD" w14:textId="77777777" w:rsidR="004702AE" w:rsidRDefault="004702AE" w:rsidP="00521FD8">
            <w:pPr>
              <w:autoSpaceDE w:val="0"/>
              <w:autoSpaceDN w:val="0"/>
              <w:adjustRightInd w:val="0"/>
              <w:jc w:val="center"/>
              <w:rPr>
                <w:rFonts w:eastAsia="MS Mincho" w:cs="Arial"/>
                <w:sz w:val="20"/>
                <w:szCs w:val="20"/>
                <w:lang w:eastAsia="ja-JP"/>
              </w:rPr>
            </w:pPr>
            <w:r>
              <w:rPr>
                <w:rFonts w:eastAsia="MS Mincho" w:cs="Arial"/>
                <w:sz w:val="20"/>
                <w:szCs w:val="20"/>
                <w:lang w:eastAsia="ja-JP"/>
              </w:rPr>
              <w:t>NS-TAST-GD-094</w:t>
            </w:r>
          </w:p>
        </w:tc>
        <w:tc>
          <w:tcPr>
            <w:tcW w:w="6425" w:type="dxa"/>
          </w:tcPr>
          <w:p w14:paraId="5F3F4BDE" w14:textId="77777777" w:rsidR="004702AE" w:rsidRDefault="004702AE" w:rsidP="003F7931">
            <w:pPr>
              <w:autoSpaceDE w:val="0"/>
              <w:autoSpaceDN w:val="0"/>
              <w:adjustRightInd w:val="0"/>
              <w:rPr>
                <w:rFonts w:eastAsia="MS Mincho" w:cs="Arial"/>
                <w:sz w:val="20"/>
                <w:szCs w:val="20"/>
                <w:lang w:eastAsia="ja-JP"/>
              </w:rPr>
            </w:pPr>
            <w:r>
              <w:rPr>
                <w:rFonts w:eastAsia="MS Mincho" w:cs="Arial"/>
                <w:sz w:val="20"/>
                <w:szCs w:val="20"/>
                <w:lang w:eastAsia="ja-JP"/>
              </w:rPr>
              <w:t>Categorisation of safety functions and classification of structures and components</w:t>
            </w:r>
          </w:p>
        </w:tc>
      </w:tr>
    </w:tbl>
    <w:p w14:paraId="5F3F4BE0" w14:textId="77777777" w:rsidR="00126407" w:rsidRPr="006661E6" w:rsidRDefault="00126407" w:rsidP="00DE13B2">
      <w:pPr>
        <w:rPr>
          <w:b/>
          <w:highlight w:val="yellow"/>
        </w:rPr>
      </w:pPr>
    </w:p>
    <w:p w14:paraId="5F3F4BE1" w14:textId="77777777" w:rsidR="00B445E7" w:rsidRDefault="00B445E7" w:rsidP="00B445E7">
      <w:pPr>
        <w:pStyle w:val="ONRNormal"/>
        <w:ind w:left="720" w:hanging="720"/>
        <w:rPr>
          <w:i/>
          <w:iCs/>
        </w:rPr>
      </w:pPr>
    </w:p>
    <w:p w14:paraId="5F3F4BE2" w14:textId="77777777" w:rsidR="00B445E7" w:rsidRPr="007B21BC" w:rsidRDefault="00B445E7" w:rsidP="00B445E7">
      <w:pPr>
        <w:ind w:left="720" w:hanging="720"/>
        <w:rPr>
          <w:rStyle w:val="TSExampleText"/>
          <w:i w:val="0"/>
          <w:color w:val="auto"/>
        </w:rPr>
      </w:pPr>
    </w:p>
    <w:p w14:paraId="5F3F4BE3" w14:textId="77777777" w:rsidR="008C6F42" w:rsidRPr="006661E6" w:rsidRDefault="008C6F42">
      <w:pPr>
        <w:rPr>
          <w:b/>
          <w:highlight w:val="yellow"/>
        </w:rPr>
      </w:pPr>
      <w:r w:rsidRPr="006661E6">
        <w:rPr>
          <w:b/>
          <w:highlight w:val="yellow"/>
        </w:rPr>
        <w:br w:type="page"/>
      </w:r>
    </w:p>
    <w:p w14:paraId="5F3F4BE4" w14:textId="77777777" w:rsidR="008C6F42" w:rsidRPr="00C0349B" w:rsidRDefault="000C2F89" w:rsidP="001A0C5F">
      <w:pPr>
        <w:pStyle w:val="TSAppendixHeader"/>
      </w:pPr>
      <w:r w:rsidRPr="002D6DC2">
        <w:t>APPENDIX 2</w:t>
      </w:r>
      <w:r w:rsidR="00F547FF" w:rsidRPr="002D6DC2">
        <w:t>:</w:t>
      </w:r>
      <w:r w:rsidR="00C0349B" w:rsidRPr="002D6DC2">
        <w:tab/>
      </w:r>
      <w:r w:rsidR="008C6F42" w:rsidRPr="002D6DC2">
        <w:t>PHYSICO-CHEMICAL PHENOMENA IN THE ASSESSMENT OF RADIOLOGICAL CONSEQU</w:t>
      </w:r>
      <w:r w:rsidR="00C56DBA">
        <w:t>E</w:t>
      </w:r>
      <w:r w:rsidR="008C6F42" w:rsidRPr="002D6DC2">
        <w:t>NCES FOR ACCIDENT SOURCE TERMS</w:t>
      </w:r>
      <w:r w:rsidR="00097B10">
        <w:t xml:space="preserve"> </w:t>
      </w:r>
    </w:p>
    <w:p w14:paraId="5F3F4BE5" w14:textId="77777777" w:rsidR="00102F2F" w:rsidRDefault="00345F0C" w:rsidP="00B23037">
      <w:pPr>
        <w:pStyle w:val="TSApp2ParaNum"/>
      </w:pPr>
      <w:r w:rsidRPr="00970F4B">
        <w:t xml:space="preserve">This appendix </w:t>
      </w:r>
      <w:r>
        <w:t>p</w:t>
      </w:r>
      <w:r w:rsidR="00384AB8">
        <w:t xml:space="preserve">rovides more details on some </w:t>
      </w:r>
      <w:r>
        <w:t xml:space="preserve">of the </w:t>
      </w:r>
      <w:proofErr w:type="spellStart"/>
      <w:r>
        <w:t>physico</w:t>
      </w:r>
      <w:proofErr w:type="spellEnd"/>
      <w:r>
        <w:t xml:space="preserve">-chemical phenomena involved in accident analysis </w:t>
      </w:r>
      <w:r w:rsidR="00185FC5">
        <w:t>source terms, including but not limited to source terms for</w:t>
      </w:r>
      <w:r>
        <w:t xml:space="preserve"> LWRs</w:t>
      </w:r>
      <w:r w:rsidRPr="00970F4B">
        <w:t>.</w:t>
      </w:r>
      <w:r w:rsidR="00097B10">
        <w:t xml:space="preserve"> This is a particularly complex topic and</w:t>
      </w:r>
      <w:r w:rsidR="00384AB8">
        <w:t xml:space="preserve"> consequently </w:t>
      </w:r>
      <w:r w:rsidR="00097B10">
        <w:t>large parts of it are both beyond</w:t>
      </w:r>
      <w:r w:rsidR="00384AB8">
        <w:t xml:space="preserve"> the scope of this TAG and </w:t>
      </w:r>
      <w:r w:rsidR="00097B10">
        <w:t>chemistry assessment</w:t>
      </w:r>
      <w:r w:rsidR="0097027D">
        <w:t xml:space="preserve"> in general</w:t>
      </w:r>
      <w:r w:rsidR="00097B10">
        <w:t xml:space="preserve">. </w:t>
      </w:r>
      <w:r w:rsidR="00384AB8">
        <w:t>This</w:t>
      </w:r>
      <w:r w:rsidR="00102F2F">
        <w:t xml:space="preserve"> appendix, therefore, does not provide a detailed overview of accident progression in LWRs. </w:t>
      </w:r>
    </w:p>
    <w:p w14:paraId="5F3F4BE6" w14:textId="77777777" w:rsidR="00255794" w:rsidRDefault="00384AB8" w:rsidP="00B23037">
      <w:pPr>
        <w:pStyle w:val="TSApp2ParaNum"/>
      </w:pPr>
      <w:r>
        <w:t xml:space="preserve">The appendix provides </w:t>
      </w:r>
      <w:r w:rsidR="00097B10">
        <w:t>a brief description of th</w:t>
      </w:r>
      <w:r w:rsidR="0097027D">
        <w:t>e topics</w:t>
      </w:r>
      <w:r w:rsidR="00255794">
        <w:t xml:space="preserve"> a chemistry inspector</w:t>
      </w:r>
      <w:r w:rsidR="00097B10">
        <w:t xml:space="preserve"> may typically look at</w:t>
      </w:r>
      <w:r w:rsidR="0097027D">
        <w:t xml:space="preserve"> when performing an assessment of the chemistry aspects of the radiological consequence analysis presented in some safety cases</w:t>
      </w:r>
      <w:r w:rsidR="00255794">
        <w:t>. The appendix then intentionally focusses</w:t>
      </w:r>
      <w:r>
        <w:t xml:space="preserve"> on the specific example</w:t>
      </w:r>
      <w:r w:rsidR="00255794">
        <w:t xml:space="preserve"> of iodine phenomena</w:t>
      </w:r>
      <w:r w:rsidR="00102F2F">
        <w:t xml:space="preserve">, to exemplify how some of </w:t>
      </w:r>
      <w:r>
        <w:t xml:space="preserve">the general </w:t>
      </w:r>
      <w:r w:rsidR="00102F2F">
        <w:t xml:space="preserve">topics </w:t>
      </w:r>
      <w:r>
        <w:t xml:space="preserve">introduced </w:t>
      </w:r>
      <w:r w:rsidR="00102F2F">
        <w:t xml:space="preserve">are specifically </w:t>
      </w:r>
      <w:r w:rsidR="0097027D">
        <w:t xml:space="preserve">addressed, </w:t>
      </w:r>
      <w:r>
        <w:t>from a chemistry perspective</w:t>
      </w:r>
      <w:r w:rsidR="00255794">
        <w:t>. Therefore, w</w:t>
      </w:r>
      <w:r w:rsidR="00097B10">
        <w:t xml:space="preserve">hile this appendix refers </w:t>
      </w:r>
      <w:r>
        <w:t xml:space="preserve">to LWRs, the </w:t>
      </w:r>
      <w:r w:rsidR="00097B10">
        <w:t xml:space="preserve">topics </w:t>
      </w:r>
      <w:r w:rsidR="0097027D">
        <w:t xml:space="preserve">covered may </w:t>
      </w:r>
      <w:r w:rsidR="00255794">
        <w:t xml:space="preserve">be equally applicable </w:t>
      </w:r>
      <w:r w:rsidR="00097B10">
        <w:t>to ot</w:t>
      </w:r>
      <w:r w:rsidR="0097027D">
        <w:t xml:space="preserve">her nuclear facilities and/or </w:t>
      </w:r>
      <w:r w:rsidR="00255794">
        <w:t>accident scenarios</w:t>
      </w:r>
      <w:r w:rsidR="00097B10">
        <w:t xml:space="preserve"> as appropriate</w:t>
      </w:r>
      <w:r w:rsidR="00CF0B8E">
        <w:t>;</w:t>
      </w:r>
      <w:r>
        <w:t xml:space="preserve"> </w:t>
      </w:r>
      <w:r w:rsidR="006D13E5">
        <w:t>t</w:t>
      </w:r>
      <w:r>
        <w:t>he caveat being that radioac</w:t>
      </w:r>
      <w:r w:rsidR="0097027D">
        <w:t xml:space="preserve">tivity release and transport </w:t>
      </w:r>
      <w:r w:rsidR="00C52747">
        <w:t xml:space="preserve">during accidents </w:t>
      </w:r>
      <w:r w:rsidR="0097027D">
        <w:t xml:space="preserve">tends to be </w:t>
      </w:r>
      <w:r>
        <w:t xml:space="preserve">very design specific. </w:t>
      </w:r>
    </w:p>
    <w:p w14:paraId="5F3F4BE7" w14:textId="77777777" w:rsidR="00255794" w:rsidRDefault="00255794" w:rsidP="00B23037">
      <w:pPr>
        <w:pStyle w:val="TSApp2ParaNum"/>
      </w:pPr>
      <w:r>
        <w:t>Typical topics that may need to be considered</w:t>
      </w:r>
      <w:r w:rsidR="00102F2F">
        <w:t xml:space="preserve"> by the chemistry inspector</w:t>
      </w:r>
      <w:r w:rsidR="00C97D75">
        <w:t xml:space="preserve"> when performing an assessment of the chemistry aspects of the radiological consequence analysis presented in some safety cases are as follows</w:t>
      </w:r>
      <w:r w:rsidR="00FB0CAA">
        <w:t>:</w:t>
      </w:r>
    </w:p>
    <w:p w14:paraId="5F3F4BE8" w14:textId="77777777" w:rsidR="00FB0CAA" w:rsidRPr="00B23037" w:rsidRDefault="00491C9F" w:rsidP="00B23037">
      <w:pPr>
        <w:pStyle w:val="TSBullet2Circle"/>
        <w:numPr>
          <w:ilvl w:val="0"/>
          <w:numId w:val="0"/>
        </w:numPr>
        <w:ind w:firstLine="720"/>
        <w:rPr>
          <w:b/>
          <w:i/>
        </w:rPr>
      </w:pPr>
      <w:r>
        <w:rPr>
          <w:b/>
          <w:i/>
        </w:rPr>
        <w:t>Radioactivity Physical and Chemical F</w:t>
      </w:r>
      <w:r w:rsidR="00FB0CAA" w:rsidRPr="00B23037">
        <w:rPr>
          <w:b/>
          <w:i/>
        </w:rPr>
        <w:t xml:space="preserve">orm </w:t>
      </w:r>
    </w:p>
    <w:p w14:paraId="5F3F4BE9" w14:textId="77777777" w:rsidR="00B23037" w:rsidRPr="00B23037" w:rsidRDefault="00B23037" w:rsidP="00B23037">
      <w:pPr>
        <w:pStyle w:val="TSBullet2Circle"/>
        <w:numPr>
          <w:ilvl w:val="0"/>
          <w:numId w:val="0"/>
        </w:numPr>
        <w:rPr>
          <w:b/>
        </w:rPr>
      </w:pPr>
    </w:p>
    <w:p w14:paraId="5F3F4BEA" w14:textId="5D4CF04C" w:rsidR="00FB0CAA" w:rsidRDefault="00FB0CAA" w:rsidP="00B23037">
      <w:pPr>
        <w:pStyle w:val="TSApp2ParaNum"/>
      </w:pPr>
      <w:r w:rsidRPr="00134435">
        <w:t>The ch</w:t>
      </w:r>
      <w:r>
        <w:t xml:space="preserve">emical and physical form of radioactivity </w:t>
      </w:r>
      <w:r w:rsidRPr="00134435">
        <w:t>play</w:t>
      </w:r>
      <w:r>
        <w:t>s</w:t>
      </w:r>
      <w:r w:rsidRPr="00134435">
        <w:t xml:space="preserve"> an important role in determining the relev</w:t>
      </w:r>
      <w:r w:rsidR="00491C9F">
        <w:t>ant phenomena which govern its</w:t>
      </w:r>
      <w:r w:rsidRPr="00134435">
        <w:t xml:space="preserve"> long-term</w:t>
      </w:r>
      <w:r>
        <w:t xml:space="preserve"> post-accident behaviour</w:t>
      </w:r>
      <w:r w:rsidRPr="00134435">
        <w:t>.</w:t>
      </w:r>
      <w:r>
        <w:t xml:space="preserve"> Chemically, radioactivity </w:t>
      </w:r>
      <w:r w:rsidRPr="0036015C">
        <w:t>can either be in or</w:t>
      </w:r>
      <w:r w:rsidR="00491C9F">
        <w:t xml:space="preserve">ganic or inorganic forms; this </w:t>
      </w:r>
      <w:r w:rsidRPr="0036015C">
        <w:t>dictate</w:t>
      </w:r>
      <w:r>
        <w:t>s</w:t>
      </w:r>
      <w:r w:rsidRPr="0036015C">
        <w:t xml:space="preserve"> imp</w:t>
      </w:r>
      <w:r w:rsidR="00491C9F">
        <w:t xml:space="preserve">ortant properties such as </w:t>
      </w:r>
      <w:r w:rsidRPr="0036015C">
        <w:t>volatility and solubility.</w:t>
      </w:r>
      <w:r w:rsidR="00491C9F">
        <w:t xml:space="preserve"> P</w:t>
      </w:r>
      <w:r>
        <w:t>hysically, radioactivity will either be in the form of gases or particles (aerosols). Overall, d</w:t>
      </w:r>
      <w:r w:rsidRPr="0036015C">
        <w:t xml:space="preserve">esigning engineered safety systems capable of mitigating releases of </w:t>
      </w:r>
      <w:r>
        <w:t>radioactivity</w:t>
      </w:r>
      <w:r w:rsidRPr="0036015C">
        <w:t xml:space="preserve"> following accidents</w:t>
      </w:r>
      <w:r w:rsidR="00045958">
        <w:t>,</w:t>
      </w:r>
      <w:r w:rsidRPr="0036015C">
        <w:t xml:space="preserve"> requires an </w:t>
      </w:r>
      <w:r>
        <w:t>adequate understanding of the physical and chemical form of the radioactivity expected to be present.</w:t>
      </w:r>
    </w:p>
    <w:p w14:paraId="5F3F4BEB" w14:textId="77777777" w:rsidR="00FB0CAA" w:rsidRPr="00B23037" w:rsidRDefault="00491C9F" w:rsidP="00B23037">
      <w:pPr>
        <w:pStyle w:val="TSApp2ParaNum"/>
        <w:numPr>
          <w:ilvl w:val="0"/>
          <w:numId w:val="0"/>
        </w:numPr>
        <w:ind w:left="720"/>
        <w:rPr>
          <w:b/>
          <w:i/>
        </w:rPr>
      </w:pPr>
      <w:r>
        <w:rPr>
          <w:b/>
          <w:i/>
        </w:rPr>
        <w:t>Deposition/Retention Processes and M</w:t>
      </w:r>
      <w:r w:rsidR="00FB0CAA" w:rsidRPr="00B23037">
        <w:rPr>
          <w:b/>
          <w:i/>
        </w:rPr>
        <w:t xml:space="preserve">echanisms </w:t>
      </w:r>
    </w:p>
    <w:p w14:paraId="5F3F4BEC" w14:textId="67F70F1F" w:rsidR="00FB0CAA" w:rsidRPr="00F31F8B" w:rsidRDefault="00FB0CAA" w:rsidP="00B23037">
      <w:pPr>
        <w:pStyle w:val="TSApp2ParaNum"/>
      </w:pPr>
      <w:r w:rsidRPr="00134435">
        <w:t>Several different mechanisms</w:t>
      </w:r>
      <w:r w:rsidR="00A551A5">
        <w:t xml:space="preserve"> can</w:t>
      </w:r>
      <w:r w:rsidRPr="00134435">
        <w:t xml:space="preserve"> lead to the natural deposition</w:t>
      </w:r>
      <w:r>
        <w:t xml:space="preserve"> of aerosols on </w:t>
      </w:r>
      <w:r w:rsidRPr="00134435">
        <w:t xml:space="preserve">surfaces </w:t>
      </w:r>
      <w:r>
        <w:t xml:space="preserve">during an accident. </w:t>
      </w:r>
      <w:r w:rsidRPr="00134435">
        <w:t>Natural and purposeful processes (</w:t>
      </w:r>
      <w:r w:rsidR="00E1197D">
        <w:t>i.e.</w:t>
      </w:r>
      <w:r w:rsidRPr="00134435">
        <w:t xml:space="preserve"> the action of engineered systems) which </w:t>
      </w:r>
      <w:r>
        <w:t xml:space="preserve">occur can decontaminate the </w:t>
      </w:r>
      <w:r w:rsidRPr="00134435">
        <w:t xml:space="preserve">atmosphere early in an accident and act as </w:t>
      </w:r>
      <w:r>
        <w:t>‘</w:t>
      </w:r>
      <w:r w:rsidRPr="00134435">
        <w:t>sinks</w:t>
      </w:r>
      <w:r>
        <w:t>’</w:t>
      </w:r>
      <w:r w:rsidR="00A551A5">
        <w:t xml:space="preserve"> for radioactivity</w:t>
      </w:r>
      <w:r>
        <w:t xml:space="preserve">. Natural processes may include gravitational settling, diffusive deposition, thermophoresis and </w:t>
      </w:r>
      <w:proofErr w:type="spellStart"/>
      <w:r>
        <w:t>diffusiophoresis</w:t>
      </w:r>
      <w:proofErr w:type="spellEnd"/>
      <w:r>
        <w:t xml:space="preserve">. </w:t>
      </w:r>
    </w:p>
    <w:p w14:paraId="5F3F4BED" w14:textId="77777777" w:rsidR="00FB0CAA" w:rsidRPr="00B23037" w:rsidRDefault="00FB0CAA" w:rsidP="00B23037">
      <w:pPr>
        <w:pStyle w:val="TSApp2ParaNum"/>
        <w:numPr>
          <w:ilvl w:val="0"/>
          <w:numId w:val="0"/>
        </w:numPr>
        <w:ind w:left="720"/>
        <w:rPr>
          <w:b/>
          <w:i/>
        </w:rPr>
      </w:pPr>
      <w:r w:rsidRPr="00B23037">
        <w:rPr>
          <w:b/>
          <w:i/>
        </w:rPr>
        <w:t>Re</w:t>
      </w:r>
      <w:r w:rsidR="00491C9F">
        <w:rPr>
          <w:b/>
          <w:i/>
        </w:rPr>
        <w:t>-distribution Processes and M</w:t>
      </w:r>
      <w:r w:rsidRPr="00B23037">
        <w:rPr>
          <w:b/>
          <w:i/>
        </w:rPr>
        <w:t>echanisms</w:t>
      </w:r>
    </w:p>
    <w:p w14:paraId="5F3F4BEE" w14:textId="77777777" w:rsidR="00FB0CAA" w:rsidRDefault="00FB0CAA" w:rsidP="00B23037">
      <w:pPr>
        <w:pStyle w:val="TSApp2ParaNum"/>
      </w:pPr>
      <w:proofErr w:type="spellStart"/>
      <w:r w:rsidRPr="00134435">
        <w:t>Physi</w:t>
      </w:r>
      <w:r w:rsidR="00A551A5">
        <w:t>co</w:t>
      </w:r>
      <w:proofErr w:type="spellEnd"/>
      <w:r w:rsidR="00A551A5">
        <w:t xml:space="preserve">-chemical processes can </w:t>
      </w:r>
      <w:r w:rsidRPr="00134435">
        <w:t>evolve in the later s</w:t>
      </w:r>
      <w:r w:rsidR="00A551A5">
        <w:t xml:space="preserve">tages of an accident and may re-volatilise or </w:t>
      </w:r>
      <w:r w:rsidRPr="00134435">
        <w:t>re-suspen</w:t>
      </w:r>
      <w:r>
        <w:t>d</w:t>
      </w:r>
      <w:r w:rsidRPr="00134435">
        <w:t xml:space="preserve"> </w:t>
      </w:r>
      <w:r w:rsidR="00CF0B8E">
        <w:t xml:space="preserve">some, or all, of </w:t>
      </w:r>
      <w:r w:rsidR="00A551A5">
        <w:t xml:space="preserve">the </w:t>
      </w:r>
      <w:r w:rsidRPr="00134435">
        <w:t>radioactivity</w:t>
      </w:r>
      <w:r w:rsidR="00A551A5">
        <w:t xml:space="preserve"> deposited during the earlier phases of the accident scenario</w:t>
      </w:r>
      <w:r w:rsidRPr="00134435">
        <w:t xml:space="preserve">. </w:t>
      </w:r>
      <w:r w:rsidR="00A551A5">
        <w:t>R</w:t>
      </w:r>
      <w:r w:rsidRPr="00134435">
        <w:t>e-suspension process</w:t>
      </w:r>
      <w:r w:rsidR="00A551A5">
        <w:t xml:space="preserve">es typically occur </w:t>
      </w:r>
      <w:r w:rsidRPr="00134435">
        <w:t>whe</w:t>
      </w:r>
      <w:r w:rsidR="00A551A5">
        <w:t>n ther</w:t>
      </w:r>
      <w:r w:rsidR="00CF0B8E">
        <w:t xml:space="preserve">e </w:t>
      </w:r>
      <w:r w:rsidR="00491C9F">
        <w:t>is a sharp variation in thermal-</w:t>
      </w:r>
      <w:r w:rsidR="00A551A5">
        <w:t xml:space="preserve">hydraulic conditions </w:t>
      </w:r>
      <w:r w:rsidR="00E1197D">
        <w:t>e.g.</w:t>
      </w:r>
      <w:r w:rsidR="00A551A5">
        <w:t xml:space="preserve"> </w:t>
      </w:r>
      <w:r w:rsidRPr="00134435">
        <w:t>differences in pressure, temperature and</w:t>
      </w:r>
      <w:r w:rsidR="00A551A5">
        <w:t>/or</w:t>
      </w:r>
      <w:r w:rsidRPr="00134435">
        <w:t xml:space="preserve"> heat transfer</w:t>
      </w:r>
      <w:r w:rsidR="00A551A5">
        <w:t xml:space="preserve"> characteristics</w:t>
      </w:r>
      <w:r w:rsidRPr="00134435">
        <w:t xml:space="preserve">. </w:t>
      </w:r>
      <w:r>
        <w:t xml:space="preserve">The impact of radioactive decay </w:t>
      </w:r>
      <w:r w:rsidR="00A551A5">
        <w:t xml:space="preserve">and radiation chemistry </w:t>
      </w:r>
      <w:r>
        <w:t xml:space="preserve">can also </w:t>
      </w:r>
      <w:r w:rsidR="00A551A5">
        <w:t>therefore have important effects. For example, d</w:t>
      </w:r>
      <w:r>
        <w:t>ecay heat can impact natural convection, relative humidity and condensation phenomena.</w:t>
      </w:r>
    </w:p>
    <w:p w14:paraId="5F3F4BEF" w14:textId="77777777" w:rsidR="00A551A5" w:rsidRDefault="00A551A5" w:rsidP="00B23037">
      <w:pPr>
        <w:pStyle w:val="TSApp2ParaNum"/>
        <w:numPr>
          <w:ilvl w:val="0"/>
          <w:numId w:val="0"/>
        </w:numPr>
        <w:ind w:left="720"/>
      </w:pPr>
    </w:p>
    <w:p w14:paraId="5F3F4BF0" w14:textId="77777777" w:rsidR="00A551A5" w:rsidRDefault="00A551A5" w:rsidP="00B23037">
      <w:pPr>
        <w:pStyle w:val="TSApp2ParaNum"/>
        <w:numPr>
          <w:ilvl w:val="0"/>
          <w:numId w:val="0"/>
        </w:numPr>
        <w:ind w:left="720"/>
      </w:pPr>
    </w:p>
    <w:p w14:paraId="5F3F4BF1" w14:textId="77777777" w:rsidR="00220281" w:rsidRDefault="00220281" w:rsidP="00B23037">
      <w:pPr>
        <w:pStyle w:val="TSApp2ParaNum"/>
        <w:numPr>
          <w:ilvl w:val="0"/>
          <w:numId w:val="0"/>
        </w:numPr>
        <w:ind w:left="720"/>
      </w:pPr>
    </w:p>
    <w:p w14:paraId="5F3F4BF2" w14:textId="77777777" w:rsidR="00FB0CAA" w:rsidRPr="00B23037" w:rsidRDefault="00491C9F" w:rsidP="00B23037">
      <w:pPr>
        <w:pStyle w:val="TSApp2ParaNum"/>
        <w:numPr>
          <w:ilvl w:val="0"/>
          <w:numId w:val="0"/>
        </w:numPr>
        <w:ind w:left="720"/>
        <w:rPr>
          <w:b/>
          <w:i/>
        </w:rPr>
      </w:pPr>
      <w:r>
        <w:rPr>
          <w:b/>
          <w:i/>
        </w:rPr>
        <w:t>Engineered S</w:t>
      </w:r>
      <w:r w:rsidR="00FB0CAA" w:rsidRPr="00B23037">
        <w:rPr>
          <w:b/>
          <w:i/>
        </w:rPr>
        <w:t>ystems</w:t>
      </w:r>
    </w:p>
    <w:p w14:paraId="5F3F4BF3" w14:textId="77777777" w:rsidR="00FB0CAA" w:rsidRDefault="00FB0CAA" w:rsidP="00B23037">
      <w:pPr>
        <w:pStyle w:val="TSApp2ParaNum"/>
      </w:pPr>
      <w:r>
        <w:t>T</w:t>
      </w:r>
      <w:r w:rsidRPr="00134435">
        <w:t>he activation of certain systems or c</w:t>
      </w:r>
      <w:r>
        <w:t>omponents</w:t>
      </w:r>
      <w:r w:rsidRPr="00134435">
        <w:t xml:space="preserve">, whether routine, purposeful, or otherwise, </w:t>
      </w:r>
      <w:r w:rsidR="00A551A5">
        <w:t>during an accident scenar</w:t>
      </w:r>
      <w:r w:rsidR="00491C9F">
        <w:t xml:space="preserve">io, can impact </w:t>
      </w:r>
      <w:r w:rsidRPr="00134435">
        <w:t xml:space="preserve">the </w:t>
      </w:r>
      <w:proofErr w:type="spellStart"/>
      <w:r w:rsidRPr="00134435">
        <w:t>physico</w:t>
      </w:r>
      <w:proofErr w:type="spellEnd"/>
      <w:r w:rsidRPr="00134435">
        <w:t>-chemical phenomena described above and the progressi</w:t>
      </w:r>
      <w:r>
        <w:t>on of the accident. For example</w:t>
      </w:r>
      <w:r w:rsidRPr="00134435">
        <w:t>:</w:t>
      </w:r>
    </w:p>
    <w:p w14:paraId="5F3F4BF4" w14:textId="77777777" w:rsidR="00102F2F" w:rsidRPr="00134435" w:rsidRDefault="00A551A5" w:rsidP="00B23037">
      <w:pPr>
        <w:pStyle w:val="TSApp2ParaNum"/>
        <w:numPr>
          <w:ilvl w:val="0"/>
          <w:numId w:val="45"/>
        </w:numPr>
      </w:pPr>
      <w:r>
        <w:t>t</w:t>
      </w:r>
      <w:r w:rsidR="00102F2F" w:rsidRPr="00134435">
        <w:t>he transportation characteristics of fluids and aerosols may be altered b</w:t>
      </w:r>
      <w:r>
        <w:t>y the presence of fans or doors;</w:t>
      </w:r>
    </w:p>
    <w:p w14:paraId="5F3F4BF5" w14:textId="0C0C0B48" w:rsidR="0090399A" w:rsidRPr="0036015C" w:rsidRDefault="00A551A5" w:rsidP="007C1252">
      <w:pPr>
        <w:pStyle w:val="TSApp2ParaNum"/>
        <w:numPr>
          <w:ilvl w:val="0"/>
          <w:numId w:val="45"/>
        </w:numPr>
      </w:pPr>
      <w:r>
        <w:t>t</w:t>
      </w:r>
      <w:r w:rsidR="00102F2F" w:rsidRPr="00134435">
        <w:t xml:space="preserve">he action of engineered safety systems designed to mitigate the radiological consequences of an accident, including sprays, </w:t>
      </w:r>
      <w:r w:rsidR="008B50CE">
        <w:t xml:space="preserve">filtered containment ventilation systems, </w:t>
      </w:r>
      <w:r w:rsidR="00102F2F" w:rsidRPr="00134435">
        <w:t xml:space="preserve">suppression pools and/or heat removal systems.  </w:t>
      </w:r>
    </w:p>
    <w:p w14:paraId="5F3F4BF6" w14:textId="77777777" w:rsidR="005159EB" w:rsidRPr="00134435" w:rsidRDefault="00C97D75" w:rsidP="00B23037">
      <w:pPr>
        <w:pStyle w:val="TSApp2ParaNum"/>
      </w:pPr>
      <w:r>
        <w:t>Further information on the above topics ca</w:t>
      </w:r>
      <w:r w:rsidR="00491C9F">
        <w:t>n be found in</w:t>
      </w:r>
      <w:r>
        <w:t xml:space="preserve"> references</w:t>
      </w:r>
      <w:r w:rsidR="00491C9F">
        <w:t>:</w:t>
      </w:r>
      <w:r>
        <w:t xml:space="preserve"> [</w:t>
      </w:r>
      <w:r w:rsidRPr="00B23037">
        <w:endnoteReference w:id="26"/>
      </w:r>
      <w:r>
        <w:t>], [</w:t>
      </w:r>
      <w:r w:rsidRPr="00B23037">
        <w:endnoteReference w:id="27"/>
      </w:r>
      <w:r>
        <w:t>] and [</w:t>
      </w:r>
      <w:bookmarkStart w:id="42" w:name="_Ref469478814"/>
      <w:r w:rsidRPr="00B23037">
        <w:endnoteReference w:id="28"/>
      </w:r>
      <w:bookmarkEnd w:id="42"/>
      <w:r>
        <w:t>].</w:t>
      </w:r>
    </w:p>
    <w:p w14:paraId="5F3F4BF7" w14:textId="77777777" w:rsidR="008C6F42" w:rsidRPr="003D6E87" w:rsidRDefault="00255794" w:rsidP="005159EB">
      <w:pPr>
        <w:pStyle w:val="TSHeadingLevel2"/>
      </w:pPr>
      <w:r w:rsidRPr="003D6E87">
        <w:t xml:space="preserve">EXAMPLE: </w:t>
      </w:r>
      <w:r w:rsidR="00102F2F" w:rsidRPr="003D6E87">
        <w:t>IODINE PHENOMENA</w:t>
      </w:r>
      <w:r w:rsidR="00AA132F" w:rsidRPr="003D6E87">
        <w:t xml:space="preserve"> [</w:t>
      </w:r>
      <w:r w:rsidR="00581802">
        <w:fldChar w:fldCharType="begin"/>
      </w:r>
      <w:r w:rsidR="00581802">
        <w:instrText xml:space="preserve"> NOTEREF _Ref469478814 \h </w:instrText>
      </w:r>
      <w:r w:rsidR="00581802">
        <w:fldChar w:fldCharType="separate"/>
      </w:r>
      <w:r w:rsidR="00C23519">
        <w:t>24</w:t>
      </w:r>
      <w:r w:rsidR="00581802">
        <w:fldChar w:fldCharType="end"/>
      </w:r>
      <w:r w:rsidR="00AA132F" w:rsidRPr="003D6E87">
        <w:t>],</w:t>
      </w:r>
      <w:r w:rsidR="002F38AC" w:rsidRPr="003D6E87">
        <w:t xml:space="preserve"> [</w:t>
      </w:r>
      <w:bookmarkStart w:id="43" w:name="_Ref464056393"/>
      <w:r w:rsidR="002F38AC" w:rsidRPr="003D6E87">
        <w:rPr>
          <w:rStyle w:val="EndnoteReference"/>
        </w:rPr>
        <w:endnoteReference w:id="29"/>
      </w:r>
      <w:bookmarkEnd w:id="43"/>
      <w:r w:rsidR="006500A0" w:rsidRPr="003D6E87">
        <w:t>]</w:t>
      </w:r>
      <w:r w:rsidR="002F38AC" w:rsidRPr="003D6E87">
        <w:t>, [</w:t>
      </w:r>
      <w:bookmarkStart w:id="44" w:name="_Ref464056399"/>
      <w:r w:rsidR="002F38AC" w:rsidRPr="003D6E87">
        <w:rPr>
          <w:rStyle w:val="EndnoteReference"/>
        </w:rPr>
        <w:endnoteReference w:id="30"/>
      </w:r>
      <w:bookmarkEnd w:id="44"/>
      <w:r w:rsidR="002F38AC" w:rsidRPr="003D6E87">
        <w:t>]</w:t>
      </w:r>
    </w:p>
    <w:p w14:paraId="5F3F4BF8" w14:textId="77777777" w:rsidR="008C6F42" w:rsidRPr="00134435" w:rsidRDefault="008C6F42" w:rsidP="00B23037">
      <w:pPr>
        <w:pStyle w:val="TSApp2ParaNum"/>
      </w:pPr>
      <w:r w:rsidRPr="00134435">
        <w:t>In the early 1960s, safety assessments of reactor accidents assumed the physical form of iodine entering containment was predominat</w:t>
      </w:r>
      <w:r w:rsidR="007C1252">
        <w:t>ely volatile molecular iodine</w:t>
      </w:r>
      <w:r w:rsidRPr="00134435">
        <w:t xml:space="preserve">. More recent events in the nuclear industry, namely the reactor accident at Three Mile Island (TMI), sparked intense research efforts to gain a better understanding of iodine </w:t>
      </w:r>
      <w:r w:rsidR="00692563" w:rsidRPr="00134435">
        <w:t>behaviour</w:t>
      </w:r>
      <w:r w:rsidRPr="00134435">
        <w:t xml:space="preserve"> under severe accident conditions.</w:t>
      </w:r>
      <w:r w:rsidR="00384AB8">
        <w:t xml:space="preserve"> I</w:t>
      </w:r>
      <w:r w:rsidR="00384AB8" w:rsidRPr="00677D52">
        <w:t xml:space="preserve">odine is </w:t>
      </w:r>
      <w:r w:rsidR="00384AB8">
        <w:t xml:space="preserve">particularly important because it is </w:t>
      </w:r>
      <w:r w:rsidR="00384AB8" w:rsidRPr="00677D52">
        <w:t>one of a small number of radioisotopes with the potential to exist in volatile forms at relatively low temperatures</w:t>
      </w:r>
      <w:r w:rsidR="00384AB8">
        <w:t xml:space="preserve">. In addition, it </w:t>
      </w:r>
      <w:r w:rsidR="00384AB8" w:rsidRPr="00677D52">
        <w:t>has an appreciable fission yield and is particularly radio-toxic and biologically active.</w:t>
      </w:r>
      <w:r w:rsidRPr="00134435">
        <w:t xml:space="preserve"> </w:t>
      </w:r>
    </w:p>
    <w:p w14:paraId="5F3F4BF9" w14:textId="77777777" w:rsidR="008C6F42" w:rsidRPr="00134435" w:rsidRDefault="008C6F42" w:rsidP="005159EB">
      <w:pPr>
        <w:pStyle w:val="TSApp2ParaNum"/>
      </w:pPr>
      <w:r w:rsidRPr="00134435">
        <w:t xml:space="preserve">A much better understanding of the </w:t>
      </w:r>
      <w:r w:rsidR="00BD0ECB" w:rsidRPr="00134435">
        <w:t>phenomena</w:t>
      </w:r>
      <w:r w:rsidRPr="00134435">
        <w:t xml:space="preserve"> governing the behaviour of iodine under severe accident conditions has now been established. The analysis of most reactor accidents now assumes, for example, the physical form of iodine released from the RCS during a severe accident is predominately in the form of aerosols of metal iodides </w:t>
      </w:r>
      <w:r w:rsidR="00E1197D" w:rsidRPr="00FD4E19">
        <w:t>e.g.</w:t>
      </w:r>
      <w:r w:rsidRPr="00FD4E19">
        <w:t xml:space="preserve"> </w:t>
      </w:r>
      <w:r w:rsidR="00BD0ECB" w:rsidRPr="00134435">
        <w:t>caesium</w:t>
      </w:r>
      <w:r w:rsidR="00364BDC">
        <w:t xml:space="preserve"> iodide</w:t>
      </w:r>
      <w:r w:rsidR="00C21DAA">
        <w:t>;</w:t>
      </w:r>
      <w:r w:rsidRPr="00134435">
        <w:t xml:space="preserve"> accompanied by a much smaller fraction of volatile iodine in the gas phase. </w:t>
      </w:r>
    </w:p>
    <w:p w14:paraId="5F3F4BFA" w14:textId="77777777" w:rsidR="008C6F42" w:rsidRPr="00134435" w:rsidRDefault="008C6F42" w:rsidP="005159EB">
      <w:pPr>
        <w:pStyle w:val="TSApp2ParaNum"/>
      </w:pPr>
      <w:r w:rsidRPr="00134435">
        <w:t xml:space="preserve">The majority of the </w:t>
      </w:r>
      <w:proofErr w:type="spellStart"/>
      <w:r w:rsidRPr="00134435">
        <w:t>physi</w:t>
      </w:r>
      <w:r w:rsidR="006D13E5">
        <w:t>c</w:t>
      </w:r>
      <w:r w:rsidRPr="00134435">
        <w:t>o</w:t>
      </w:r>
      <w:proofErr w:type="spellEnd"/>
      <w:r w:rsidRPr="00134435">
        <w:t>-chemical phenomena which dictate the behaviour of i</w:t>
      </w:r>
      <w:r w:rsidR="00C21DAA">
        <w:t>odine have been identified. T</w:t>
      </w:r>
      <w:r w:rsidRPr="00134435">
        <w:t xml:space="preserve">he sophisticated computer codes used in the analysis of reactor accidents incorporate models to address </w:t>
      </w:r>
      <w:r w:rsidR="00B4661E">
        <w:t xml:space="preserve">most of </w:t>
      </w:r>
      <w:r w:rsidRPr="00134435">
        <w:t xml:space="preserve">these phenomena. Despite appreciable advances in the field of iodine chemistry over the last several decades, the results of more recent experimental and modelling </w:t>
      </w:r>
      <w:r w:rsidR="00BD0ECB" w:rsidRPr="00134435">
        <w:t>research</w:t>
      </w:r>
      <w:r w:rsidR="00B4661E">
        <w:t xml:space="preserve"> </w:t>
      </w:r>
      <w:r w:rsidR="00CD1A87">
        <w:t>programmes</w:t>
      </w:r>
      <w:r w:rsidR="00B4661E">
        <w:t xml:space="preserve"> suggest</w:t>
      </w:r>
      <w:r w:rsidRPr="00134435">
        <w:t xml:space="preserve"> the complexity of different iodine phenomena and their interactions are still not fully </w:t>
      </w:r>
      <w:r w:rsidR="00BD0ECB" w:rsidRPr="00134435">
        <w:t>understood</w:t>
      </w:r>
      <w:r w:rsidRPr="00134435">
        <w:t xml:space="preserve">. </w:t>
      </w:r>
    </w:p>
    <w:p w14:paraId="5F3F4BFB" w14:textId="321D5E78" w:rsidR="00BD0ECB" w:rsidRDefault="008C6F42" w:rsidP="005159EB">
      <w:pPr>
        <w:pStyle w:val="TSApp2ParaNum"/>
      </w:pPr>
      <w:r w:rsidRPr="00134435">
        <w:t>Iodine exhibits a complex chemistry which determines its chemical form</w:t>
      </w:r>
      <w:r w:rsidR="003D0E82">
        <w:t>,</w:t>
      </w:r>
      <w:r w:rsidRPr="00134435">
        <w:t xml:space="preserve"> and which means there are </w:t>
      </w:r>
      <w:r w:rsidR="00BD0ECB" w:rsidRPr="00134435">
        <w:t>potentially</w:t>
      </w:r>
      <w:r w:rsidRPr="00134435">
        <w:t xml:space="preserve"> a wide variety of forms of iodine present in a post-accident </w:t>
      </w:r>
      <w:r w:rsidR="00C21DAA">
        <w:t xml:space="preserve">reactor </w:t>
      </w:r>
      <w:r w:rsidRPr="00134435">
        <w:t xml:space="preserve">containment, each with a varying degree of volatility. The major iodine species important in reactor accidents are shown </w:t>
      </w:r>
      <w:r w:rsidR="00BD0ECB">
        <w:t xml:space="preserve">in Table A2.1 </w:t>
      </w:r>
      <w:r w:rsidRPr="00134435">
        <w:t>below</w:t>
      </w:r>
      <w:r w:rsidR="00BD0ECB">
        <w:t>.</w:t>
      </w:r>
    </w:p>
    <w:p w14:paraId="5F3F4BFC" w14:textId="77777777" w:rsidR="00BD0ECB" w:rsidRPr="00DB4353" w:rsidRDefault="00BD0ECB" w:rsidP="00DB4353">
      <w:pPr>
        <w:keepNext/>
        <w:ind w:left="709"/>
        <w:rPr>
          <w:sz w:val="20"/>
        </w:rPr>
      </w:pPr>
      <w:r w:rsidRPr="00DB4353">
        <w:rPr>
          <w:b/>
          <w:sz w:val="20"/>
        </w:rPr>
        <w:t>Table A2.1:</w:t>
      </w:r>
      <w:r w:rsidRPr="00DB4353">
        <w:rPr>
          <w:sz w:val="20"/>
        </w:rPr>
        <w:t xml:space="preserve"> Major iodine species in reactor accidents</w:t>
      </w:r>
    </w:p>
    <w:p w14:paraId="5F3F4BFD" w14:textId="77777777" w:rsidR="008C6F42" w:rsidRPr="00134435" w:rsidRDefault="008C6F42" w:rsidP="00DB4353">
      <w:pPr>
        <w:keepNext/>
        <w:ind w:left="709"/>
      </w:pPr>
    </w:p>
    <w:tbl>
      <w:tblPr>
        <w:tblW w:w="7702" w:type="dxa"/>
        <w:jc w:val="center"/>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Layout w:type="fixed"/>
        <w:tblCellMar>
          <w:top w:w="58" w:type="dxa"/>
          <w:left w:w="58" w:type="dxa"/>
          <w:bottom w:w="58" w:type="dxa"/>
          <w:right w:w="58" w:type="dxa"/>
        </w:tblCellMar>
        <w:tblLook w:val="01E0" w:firstRow="1" w:lastRow="1" w:firstColumn="1" w:lastColumn="1" w:noHBand="0" w:noVBand="0"/>
      </w:tblPr>
      <w:tblGrid>
        <w:gridCol w:w="2820"/>
        <w:gridCol w:w="2204"/>
        <w:gridCol w:w="2678"/>
      </w:tblGrid>
      <w:tr w:rsidR="008C6F42" w:rsidRPr="00134435" w14:paraId="5F3F4C01" w14:textId="77777777" w:rsidTr="00DB4353">
        <w:trPr>
          <w:cantSplit/>
          <w:jc w:val="center"/>
        </w:trPr>
        <w:tc>
          <w:tcPr>
            <w:tcW w:w="2820" w:type="dxa"/>
            <w:shd w:val="clear" w:color="auto" w:fill="006D68"/>
          </w:tcPr>
          <w:p w14:paraId="5F3F4BFE" w14:textId="77777777" w:rsidR="008C6F42" w:rsidRPr="00134435" w:rsidRDefault="008C6F42" w:rsidP="00DB4353">
            <w:pPr>
              <w:keepNext/>
              <w:jc w:val="center"/>
              <w:rPr>
                <w:b/>
                <w:color w:val="FFFFFF"/>
                <w:sz w:val="20"/>
                <w:szCs w:val="20"/>
              </w:rPr>
            </w:pPr>
            <w:r w:rsidRPr="00134435">
              <w:rPr>
                <w:b/>
                <w:color w:val="FFFFFF"/>
                <w:sz w:val="20"/>
                <w:szCs w:val="20"/>
              </w:rPr>
              <w:t xml:space="preserve">Iodine species </w:t>
            </w:r>
          </w:p>
        </w:tc>
        <w:tc>
          <w:tcPr>
            <w:tcW w:w="2204" w:type="dxa"/>
            <w:shd w:val="clear" w:color="auto" w:fill="006D68"/>
          </w:tcPr>
          <w:p w14:paraId="5F3F4BFF" w14:textId="77777777" w:rsidR="008C6F42" w:rsidRPr="00134435" w:rsidRDefault="008C6F42" w:rsidP="00DB4353">
            <w:pPr>
              <w:keepNext/>
              <w:jc w:val="center"/>
              <w:rPr>
                <w:b/>
                <w:color w:val="FFFFFF"/>
                <w:sz w:val="20"/>
                <w:szCs w:val="20"/>
              </w:rPr>
            </w:pPr>
            <w:r w:rsidRPr="00134435">
              <w:rPr>
                <w:b/>
                <w:color w:val="FFFFFF"/>
                <w:sz w:val="20"/>
                <w:szCs w:val="20"/>
              </w:rPr>
              <w:t>Physical form</w:t>
            </w:r>
          </w:p>
        </w:tc>
        <w:tc>
          <w:tcPr>
            <w:tcW w:w="2678" w:type="dxa"/>
            <w:shd w:val="clear" w:color="auto" w:fill="006D68"/>
          </w:tcPr>
          <w:p w14:paraId="5F3F4C00" w14:textId="77777777" w:rsidR="008C6F42" w:rsidRPr="00134435" w:rsidRDefault="008C6F42" w:rsidP="00DB4353">
            <w:pPr>
              <w:keepNext/>
              <w:jc w:val="center"/>
              <w:rPr>
                <w:b/>
                <w:color w:val="FFFFFF"/>
                <w:sz w:val="20"/>
                <w:szCs w:val="20"/>
              </w:rPr>
            </w:pPr>
            <w:r w:rsidRPr="00134435">
              <w:rPr>
                <w:b/>
                <w:color w:val="FFFFFF"/>
                <w:sz w:val="20"/>
                <w:szCs w:val="20"/>
              </w:rPr>
              <w:t>Volatility</w:t>
            </w:r>
          </w:p>
        </w:tc>
      </w:tr>
      <w:tr w:rsidR="008C6F42" w:rsidRPr="00134435" w14:paraId="5F3F4C05" w14:textId="77777777" w:rsidTr="00DB4353">
        <w:trPr>
          <w:jc w:val="center"/>
        </w:trPr>
        <w:tc>
          <w:tcPr>
            <w:tcW w:w="2820" w:type="dxa"/>
            <w:shd w:val="clear" w:color="auto" w:fill="auto"/>
          </w:tcPr>
          <w:p w14:paraId="5F3F4C02" w14:textId="77777777" w:rsidR="008C6F42" w:rsidRPr="00134435" w:rsidRDefault="008C6F42" w:rsidP="00DB4353">
            <w:pPr>
              <w:keepNext/>
              <w:autoSpaceDE w:val="0"/>
              <w:autoSpaceDN w:val="0"/>
              <w:adjustRightInd w:val="0"/>
              <w:rPr>
                <w:rFonts w:eastAsia="MS Mincho" w:cs="Arial"/>
                <w:sz w:val="20"/>
                <w:szCs w:val="20"/>
                <w:lang w:eastAsia="ja-JP"/>
              </w:rPr>
            </w:pPr>
            <w:r w:rsidRPr="00134435">
              <w:rPr>
                <w:sz w:val="20"/>
                <w:szCs w:val="20"/>
              </w:rPr>
              <w:t xml:space="preserve">Caesium iodide - </w:t>
            </w:r>
            <w:proofErr w:type="spellStart"/>
            <w:r w:rsidRPr="00134435">
              <w:rPr>
                <w:sz w:val="20"/>
                <w:szCs w:val="20"/>
              </w:rPr>
              <w:t>CsI</w:t>
            </w:r>
            <w:proofErr w:type="spellEnd"/>
          </w:p>
        </w:tc>
        <w:tc>
          <w:tcPr>
            <w:tcW w:w="2204" w:type="dxa"/>
          </w:tcPr>
          <w:p w14:paraId="5F3F4C03"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Aerosol</w:t>
            </w:r>
          </w:p>
        </w:tc>
        <w:tc>
          <w:tcPr>
            <w:tcW w:w="2678" w:type="dxa"/>
            <w:shd w:val="clear" w:color="auto" w:fill="auto"/>
          </w:tcPr>
          <w:p w14:paraId="5F3F4C04"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Involatile</w:t>
            </w:r>
          </w:p>
        </w:tc>
      </w:tr>
      <w:tr w:rsidR="008C6F42" w:rsidRPr="00134435" w14:paraId="5F3F4C09" w14:textId="77777777" w:rsidTr="00DB4353">
        <w:trPr>
          <w:jc w:val="center"/>
        </w:trPr>
        <w:tc>
          <w:tcPr>
            <w:tcW w:w="2820" w:type="dxa"/>
            <w:shd w:val="clear" w:color="auto" w:fill="auto"/>
          </w:tcPr>
          <w:p w14:paraId="5F3F4C06" w14:textId="77777777" w:rsidR="008C6F42" w:rsidRPr="00134435" w:rsidRDefault="008C6F42" w:rsidP="00DB4353">
            <w:pPr>
              <w:keepNext/>
              <w:autoSpaceDE w:val="0"/>
              <w:autoSpaceDN w:val="0"/>
              <w:adjustRightInd w:val="0"/>
              <w:rPr>
                <w:sz w:val="20"/>
                <w:szCs w:val="20"/>
              </w:rPr>
            </w:pPr>
            <w:r w:rsidRPr="00134435">
              <w:rPr>
                <w:sz w:val="20"/>
                <w:szCs w:val="20"/>
              </w:rPr>
              <w:t xml:space="preserve">Silver iodide - </w:t>
            </w:r>
            <w:proofErr w:type="spellStart"/>
            <w:r w:rsidRPr="00134435">
              <w:rPr>
                <w:sz w:val="20"/>
                <w:szCs w:val="20"/>
              </w:rPr>
              <w:t>AgI</w:t>
            </w:r>
            <w:proofErr w:type="spellEnd"/>
          </w:p>
        </w:tc>
        <w:tc>
          <w:tcPr>
            <w:tcW w:w="2204" w:type="dxa"/>
          </w:tcPr>
          <w:p w14:paraId="5F3F4C07"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Solid – insoluble</w:t>
            </w:r>
          </w:p>
        </w:tc>
        <w:tc>
          <w:tcPr>
            <w:tcW w:w="2678" w:type="dxa"/>
            <w:shd w:val="clear" w:color="auto" w:fill="auto"/>
          </w:tcPr>
          <w:p w14:paraId="5F3F4C08"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Involatile</w:t>
            </w:r>
          </w:p>
        </w:tc>
      </w:tr>
      <w:tr w:rsidR="008C6F42" w:rsidRPr="00134435" w14:paraId="5F3F4C0D" w14:textId="77777777" w:rsidTr="00DB4353">
        <w:trPr>
          <w:jc w:val="center"/>
        </w:trPr>
        <w:tc>
          <w:tcPr>
            <w:tcW w:w="2820" w:type="dxa"/>
            <w:shd w:val="clear" w:color="auto" w:fill="auto"/>
          </w:tcPr>
          <w:p w14:paraId="5F3F4C0A" w14:textId="77777777" w:rsidR="008C6F42" w:rsidRPr="00134435" w:rsidRDefault="008C6F42" w:rsidP="00DB4353">
            <w:pPr>
              <w:keepNext/>
              <w:autoSpaceDE w:val="0"/>
              <w:autoSpaceDN w:val="0"/>
              <w:adjustRightInd w:val="0"/>
              <w:rPr>
                <w:rFonts w:eastAsia="MS Mincho" w:cs="Arial"/>
                <w:sz w:val="20"/>
                <w:szCs w:val="20"/>
                <w:lang w:eastAsia="ja-JP"/>
              </w:rPr>
            </w:pPr>
            <w:r w:rsidRPr="00134435">
              <w:rPr>
                <w:rFonts w:eastAsia="MS Mincho" w:cs="Arial"/>
                <w:sz w:val="20"/>
                <w:szCs w:val="20"/>
                <w:lang w:eastAsia="ja-JP"/>
              </w:rPr>
              <w:t>Iodide – I</w:t>
            </w:r>
            <w:r w:rsidRPr="00134435">
              <w:rPr>
                <w:rFonts w:eastAsia="MS Mincho" w:cs="Arial"/>
                <w:sz w:val="20"/>
                <w:szCs w:val="20"/>
                <w:vertAlign w:val="superscript"/>
                <w:lang w:eastAsia="ja-JP"/>
              </w:rPr>
              <w:t>-</w:t>
            </w:r>
          </w:p>
        </w:tc>
        <w:tc>
          <w:tcPr>
            <w:tcW w:w="2204" w:type="dxa"/>
          </w:tcPr>
          <w:p w14:paraId="5F3F4C0B" w14:textId="77777777" w:rsidR="008C6F42" w:rsidRPr="00134435" w:rsidRDefault="008C6F42" w:rsidP="00DB4353">
            <w:pPr>
              <w:keepNext/>
              <w:autoSpaceDE w:val="0"/>
              <w:autoSpaceDN w:val="0"/>
              <w:adjustRightInd w:val="0"/>
              <w:ind w:left="720"/>
              <w:rPr>
                <w:rFonts w:eastAsia="MS Mincho" w:cs="Arial"/>
                <w:sz w:val="20"/>
                <w:szCs w:val="20"/>
                <w:lang w:eastAsia="ja-JP"/>
              </w:rPr>
            </w:pPr>
            <w:r w:rsidRPr="00134435">
              <w:rPr>
                <w:rFonts w:eastAsia="MS Mincho" w:cs="Arial"/>
                <w:sz w:val="20"/>
                <w:szCs w:val="20"/>
                <w:lang w:eastAsia="ja-JP"/>
              </w:rPr>
              <w:t>Aqueous</w:t>
            </w:r>
          </w:p>
        </w:tc>
        <w:tc>
          <w:tcPr>
            <w:tcW w:w="2678" w:type="dxa"/>
            <w:shd w:val="clear" w:color="auto" w:fill="auto"/>
          </w:tcPr>
          <w:p w14:paraId="5F3F4C0C"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Involatile</w:t>
            </w:r>
          </w:p>
        </w:tc>
      </w:tr>
      <w:tr w:rsidR="008C6F42" w:rsidRPr="00134435" w14:paraId="5F3F4C11" w14:textId="77777777" w:rsidTr="00DB4353">
        <w:trPr>
          <w:jc w:val="center"/>
        </w:trPr>
        <w:tc>
          <w:tcPr>
            <w:tcW w:w="2820" w:type="dxa"/>
            <w:shd w:val="clear" w:color="auto" w:fill="auto"/>
          </w:tcPr>
          <w:p w14:paraId="5F3F4C0E" w14:textId="77777777" w:rsidR="008C6F42" w:rsidRPr="00134435" w:rsidRDefault="008C6F42" w:rsidP="00DB4353">
            <w:pPr>
              <w:keepNext/>
              <w:autoSpaceDE w:val="0"/>
              <w:autoSpaceDN w:val="0"/>
              <w:adjustRightInd w:val="0"/>
              <w:rPr>
                <w:rFonts w:eastAsia="MS Mincho" w:cs="Arial"/>
                <w:sz w:val="20"/>
                <w:szCs w:val="20"/>
                <w:lang w:eastAsia="ja-JP"/>
              </w:rPr>
            </w:pPr>
            <w:r w:rsidRPr="00134435">
              <w:rPr>
                <w:sz w:val="20"/>
                <w:szCs w:val="20"/>
              </w:rPr>
              <w:t>Molecular iodine – I</w:t>
            </w:r>
            <w:r w:rsidRPr="00134435">
              <w:rPr>
                <w:sz w:val="20"/>
                <w:szCs w:val="20"/>
                <w:vertAlign w:val="subscript"/>
              </w:rPr>
              <w:t>2</w:t>
            </w:r>
          </w:p>
        </w:tc>
        <w:tc>
          <w:tcPr>
            <w:tcW w:w="2204" w:type="dxa"/>
          </w:tcPr>
          <w:p w14:paraId="5F3F4C0F"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 xml:space="preserve">Aqueous/gaseous </w:t>
            </w:r>
          </w:p>
        </w:tc>
        <w:tc>
          <w:tcPr>
            <w:tcW w:w="2678" w:type="dxa"/>
            <w:shd w:val="clear" w:color="auto" w:fill="auto"/>
          </w:tcPr>
          <w:p w14:paraId="5F3F4C10"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Volatile</w:t>
            </w:r>
          </w:p>
        </w:tc>
      </w:tr>
      <w:tr w:rsidR="008C6F42" w:rsidRPr="00134435" w14:paraId="5F3F4C15" w14:textId="77777777" w:rsidTr="00DB4353">
        <w:trPr>
          <w:jc w:val="center"/>
        </w:trPr>
        <w:tc>
          <w:tcPr>
            <w:tcW w:w="2820" w:type="dxa"/>
            <w:shd w:val="clear" w:color="auto" w:fill="auto"/>
          </w:tcPr>
          <w:p w14:paraId="5F3F4C12" w14:textId="77777777" w:rsidR="008C6F42" w:rsidRPr="00134435" w:rsidRDefault="008C6F42" w:rsidP="00DB4353">
            <w:pPr>
              <w:keepNext/>
              <w:autoSpaceDE w:val="0"/>
              <w:autoSpaceDN w:val="0"/>
              <w:adjustRightInd w:val="0"/>
              <w:rPr>
                <w:rFonts w:eastAsia="MS Mincho" w:cs="Arial"/>
                <w:sz w:val="20"/>
                <w:szCs w:val="20"/>
                <w:highlight w:val="yellow"/>
                <w:lang w:eastAsia="ja-JP"/>
              </w:rPr>
            </w:pPr>
            <w:r w:rsidRPr="00134435">
              <w:rPr>
                <w:rFonts w:eastAsia="MS Mincho" w:cs="Arial"/>
                <w:sz w:val="20"/>
                <w:szCs w:val="20"/>
                <w:lang w:eastAsia="ja-JP"/>
              </w:rPr>
              <w:t>Organic iodides – RI, CH</w:t>
            </w:r>
            <w:r w:rsidRPr="00134435">
              <w:rPr>
                <w:rFonts w:eastAsia="MS Mincho" w:cs="Arial"/>
                <w:sz w:val="20"/>
                <w:szCs w:val="20"/>
                <w:vertAlign w:val="subscript"/>
                <w:lang w:eastAsia="ja-JP"/>
              </w:rPr>
              <w:t>3</w:t>
            </w:r>
            <w:r w:rsidRPr="00134435">
              <w:rPr>
                <w:rFonts w:eastAsia="MS Mincho" w:cs="Arial"/>
                <w:sz w:val="20"/>
                <w:szCs w:val="20"/>
                <w:lang w:eastAsia="ja-JP"/>
              </w:rPr>
              <w:t>I</w:t>
            </w:r>
          </w:p>
        </w:tc>
        <w:tc>
          <w:tcPr>
            <w:tcW w:w="2204" w:type="dxa"/>
          </w:tcPr>
          <w:p w14:paraId="5F3F4C13"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Gaseous</w:t>
            </w:r>
          </w:p>
        </w:tc>
        <w:tc>
          <w:tcPr>
            <w:tcW w:w="2678" w:type="dxa"/>
            <w:shd w:val="clear" w:color="auto" w:fill="auto"/>
          </w:tcPr>
          <w:p w14:paraId="5F3F4C14"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Volatile</w:t>
            </w:r>
          </w:p>
        </w:tc>
      </w:tr>
      <w:tr w:rsidR="008C6F42" w:rsidRPr="00134435" w14:paraId="5F3F4C19" w14:textId="77777777" w:rsidTr="00DB4353">
        <w:trPr>
          <w:jc w:val="center"/>
        </w:trPr>
        <w:tc>
          <w:tcPr>
            <w:tcW w:w="2820" w:type="dxa"/>
            <w:shd w:val="clear" w:color="auto" w:fill="auto"/>
          </w:tcPr>
          <w:p w14:paraId="5F3F4C16" w14:textId="77777777" w:rsidR="008C6F42" w:rsidRPr="00134435" w:rsidRDefault="008C6F42" w:rsidP="00DB4353">
            <w:pPr>
              <w:keepNext/>
              <w:autoSpaceDE w:val="0"/>
              <w:autoSpaceDN w:val="0"/>
              <w:adjustRightInd w:val="0"/>
              <w:rPr>
                <w:rFonts w:eastAsia="MS Mincho" w:cs="Arial"/>
                <w:sz w:val="20"/>
                <w:szCs w:val="20"/>
                <w:lang w:eastAsia="ja-JP"/>
              </w:rPr>
            </w:pPr>
            <w:r w:rsidRPr="00134435">
              <w:rPr>
                <w:rFonts w:eastAsia="MS Mincho" w:cs="Arial"/>
                <w:sz w:val="20"/>
                <w:szCs w:val="20"/>
                <w:lang w:eastAsia="ja-JP"/>
              </w:rPr>
              <w:t>Iodate – IO</w:t>
            </w:r>
            <w:r w:rsidRPr="00134435">
              <w:rPr>
                <w:rFonts w:eastAsia="MS Mincho" w:cs="Arial"/>
                <w:sz w:val="20"/>
                <w:szCs w:val="20"/>
                <w:vertAlign w:val="subscript"/>
                <w:lang w:eastAsia="ja-JP"/>
              </w:rPr>
              <w:t>3</w:t>
            </w:r>
            <w:r w:rsidRPr="00134435">
              <w:rPr>
                <w:rFonts w:eastAsia="MS Mincho" w:cs="Arial"/>
                <w:sz w:val="20"/>
                <w:szCs w:val="20"/>
                <w:vertAlign w:val="superscript"/>
                <w:lang w:eastAsia="ja-JP"/>
              </w:rPr>
              <w:t>-</w:t>
            </w:r>
          </w:p>
        </w:tc>
        <w:tc>
          <w:tcPr>
            <w:tcW w:w="2204" w:type="dxa"/>
          </w:tcPr>
          <w:p w14:paraId="5F3F4C17"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Aqueous</w:t>
            </w:r>
          </w:p>
        </w:tc>
        <w:tc>
          <w:tcPr>
            <w:tcW w:w="2678" w:type="dxa"/>
            <w:shd w:val="clear" w:color="auto" w:fill="auto"/>
          </w:tcPr>
          <w:p w14:paraId="5F3F4C18"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Involatile</w:t>
            </w:r>
          </w:p>
        </w:tc>
      </w:tr>
      <w:tr w:rsidR="008C6F42" w:rsidRPr="00134435" w14:paraId="5F3F4C1D" w14:textId="77777777" w:rsidTr="00DB4353">
        <w:trPr>
          <w:jc w:val="center"/>
        </w:trPr>
        <w:tc>
          <w:tcPr>
            <w:tcW w:w="2820" w:type="dxa"/>
            <w:shd w:val="clear" w:color="auto" w:fill="auto"/>
          </w:tcPr>
          <w:p w14:paraId="5F3F4C1A" w14:textId="77777777" w:rsidR="008C6F42" w:rsidRPr="00134435" w:rsidRDefault="008C6F42" w:rsidP="00DB4353">
            <w:pPr>
              <w:keepNext/>
              <w:autoSpaceDE w:val="0"/>
              <w:autoSpaceDN w:val="0"/>
              <w:adjustRightInd w:val="0"/>
              <w:rPr>
                <w:rFonts w:eastAsia="MS Mincho" w:cs="Arial"/>
                <w:sz w:val="20"/>
                <w:szCs w:val="20"/>
                <w:lang w:eastAsia="ja-JP"/>
              </w:rPr>
            </w:pPr>
            <w:r w:rsidRPr="00134435">
              <w:rPr>
                <w:rFonts w:eastAsia="MS Mincho" w:cs="Arial"/>
                <w:sz w:val="20"/>
                <w:szCs w:val="20"/>
                <w:lang w:eastAsia="ja-JP"/>
              </w:rPr>
              <w:t xml:space="preserve">Iodine oxides - </w:t>
            </w:r>
            <w:proofErr w:type="spellStart"/>
            <w:r w:rsidRPr="00134435">
              <w:rPr>
                <w:rFonts w:eastAsia="MS Mincho" w:cs="Arial"/>
                <w:sz w:val="20"/>
                <w:szCs w:val="20"/>
                <w:lang w:eastAsia="ja-JP"/>
              </w:rPr>
              <w:t>I</w:t>
            </w:r>
            <w:r w:rsidRPr="00134435">
              <w:rPr>
                <w:rFonts w:eastAsia="MS Mincho" w:cs="Arial"/>
                <w:sz w:val="20"/>
                <w:szCs w:val="20"/>
                <w:vertAlign w:val="subscript"/>
                <w:lang w:eastAsia="ja-JP"/>
              </w:rPr>
              <w:t>x</w:t>
            </w:r>
            <w:r w:rsidRPr="00134435">
              <w:rPr>
                <w:rFonts w:eastAsia="MS Mincho" w:cs="Arial"/>
                <w:sz w:val="20"/>
                <w:szCs w:val="20"/>
                <w:lang w:eastAsia="ja-JP"/>
              </w:rPr>
              <w:t>O</w:t>
            </w:r>
            <w:r w:rsidRPr="00134435">
              <w:rPr>
                <w:rFonts w:eastAsia="MS Mincho" w:cs="Arial"/>
                <w:sz w:val="20"/>
                <w:szCs w:val="20"/>
                <w:vertAlign w:val="subscript"/>
                <w:lang w:eastAsia="ja-JP"/>
              </w:rPr>
              <w:t>y</w:t>
            </w:r>
            <w:proofErr w:type="spellEnd"/>
          </w:p>
        </w:tc>
        <w:tc>
          <w:tcPr>
            <w:tcW w:w="2204" w:type="dxa"/>
          </w:tcPr>
          <w:p w14:paraId="5F3F4C1B"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Aerosols</w:t>
            </w:r>
          </w:p>
        </w:tc>
        <w:tc>
          <w:tcPr>
            <w:tcW w:w="2678" w:type="dxa"/>
            <w:shd w:val="clear" w:color="auto" w:fill="auto"/>
          </w:tcPr>
          <w:p w14:paraId="5F3F4C1C"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Involatile</w:t>
            </w:r>
          </w:p>
        </w:tc>
      </w:tr>
      <w:tr w:rsidR="008C6F42" w:rsidRPr="00134435" w14:paraId="5F3F4C21" w14:textId="77777777" w:rsidTr="00DB4353">
        <w:trPr>
          <w:jc w:val="center"/>
        </w:trPr>
        <w:tc>
          <w:tcPr>
            <w:tcW w:w="2820" w:type="dxa"/>
            <w:shd w:val="clear" w:color="auto" w:fill="auto"/>
          </w:tcPr>
          <w:p w14:paraId="5F3F4C1E" w14:textId="77777777" w:rsidR="008C6F42" w:rsidRPr="00134435" w:rsidRDefault="008C6F42" w:rsidP="00DB4353">
            <w:pPr>
              <w:keepNext/>
              <w:autoSpaceDE w:val="0"/>
              <w:autoSpaceDN w:val="0"/>
              <w:adjustRightInd w:val="0"/>
              <w:rPr>
                <w:rFonts w:eastAsia="MS Mincho" w:cs="Arial"/>
                <w:sz w:val="20"/>
                <w:szCs w:val="20"/>
                <w:lang w:eastAsia="ja-JP"/>
              </w:rPr>
            </w:pPr>
            <w:proofErr w:type="spellStart"/>
            <w:r w:rsidRPr="00134435">
              <w:rPr>
                <w:rFonts w:eastAsia="MS Mincho" w:cs="Arial"/>
                <w:sz w:val="20"/>
                <w:szCs w:val="20"/>
                <w:lang w:eastAsia="ja-JP"/>
              </w:rPr>
              <w:t>Hypoiodous</w:t>
            </w:r>
            <w:proofErr w:type="spellEnd"/>
            <w:r w:rsidRPr="00134435">
              <w:rPr>
                <w:rFonts w:eastAsia="MS Mincho" w:cs="Arial"/>
                <w:sz w:val="20"/>
                <w:szCs w:val="20"/>
                <w:lang w:eastAsia="ja-JP"/>
              </w:rPr>
              <w:t xml:space="preserve"> acid - HOI</w:t>
            </w:r>
          </w:p>
        </w:tc>
        <w:tc>
          <w:tcPr>
            <w:tcW w:w="2204" w:type="dxa"/>
          </w:tcPr>
          <w:p w14:paraId="5F3F4C1F"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Aqueous/gaseous</w:t>
            </w:r>
          </w:p>
        </w:tc>
        <w:tc>
          <w:tcPr>
            <w:tcW w:w="2678" w:type="dxa"/>
            <w:shd w:val="clear" w:color="auto" w:fill="auto"/>
          </w:tcPr>
          <w:p w14:paraId="5F3F4C20"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Volatile</w:t>
            </w:r>
          </w:p>
        </w:tc>
      </w:tr>
      <w:tr w:rsidR="008C6F42" w:rsidRPr="00134435" w14:paraId="5F3F4C25" w14:textId="77777777" w:rsidTr="00DB4353">
        <w:trPr>
          <w:jc w:val="center"/>
        </w:trPr>
        <w:tc>
          <w:tcPr>
            <w:tcW w:w="2820" w:type="dxa"/>
            <w:shd w:val="clear" w:color="auto" w:fill="auto"/>
          </w:tcPr>
          <w:p w14:paraId="5F3F4C22" w14:textId="77777777" w:rsidR="008C6F42" w:rsidRPr="00134435" w:rsidRDefault="008C6F42" w:rsidP="00DB4353">
            <w:pPr>
              <w:keepNext/>
              <w:autoSpaceDE w:val="0"/>
              <w:autoSpaceDN w:val="0"/>
              <w:adjustRightInd w:val="0"/>
              <w:rPr>
                <w:rFonts w:eastAsia="MS Mincho" w:cs="Arial"/>
                <w:sz w:val="20"/>
                <w:szCs w:val="20"/>
                <w:lang w:eastAsia="ja-JP"/>
              </w:rPr>
            </w:pPr>
            <w:r w:rsidRPr="00134435">
              <w:rPr>
                <w:rFonts w:eastAsia="MS Mincho" w:cs="Arial"/>
                <w:sz w:val="20"/>
                <w:szCs w:val="20"/>
                <w:lang w:eastAsia="ja-JP"/>
              </w:rPr>
              <w:t>Hydroiodic acid - HI</w:t>
            </w:r>
          </w:p>
        </w:tc>
        <w:tc>
          <w:tcPr>
            <w:tcW w:w="2204" w:type="dxa"/>
          </w:tcPr>
          <w:p w14:paraId="5F3F4C23" w14:textId="77777777" w:rsidR="008C6F42" w:rsidRPr="00134435" w:rsidRDefault="008C6F42" w:rsidP="00DB4353">
            <w:pPr>
              <w:keepNext/>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Aqueous/gaseous</w:t>
            </w:r>
          </w:p>
        </w:tc>
        <w:tc>
          <w:tcPr>
            <w:tcW w:w="2678" w:type="dxa"/>
            <w:shd w:val="clear" w:color="auto" w:fill="auto"/>
          </w:tcPr>
          <w:p w14:paraId="5F3F4C24" w14:textId="77777777" w:rsidR="008C6F42" w:rsidRPr="00134435" w:rsidRDefault="008C6F42">
            <w:pPr>
              <w:autoSpaceDE w:val="0"/>
              <w:autoSpaceDN w:val="0"/>
              <w:adjustRightInd w:val="0"/>
              <w:jc w:val="center"/>
              <w:rPr>
                <w:rFonts w:eastAsia="MS Mincho" w:cs="Arial"/>
                <w:sz w:val="20"/>
                <w:szCs w:val="20"/>
                <w:lang w:eastAsia="ja-JP"/>
              </w:rPr>
            </w:pPr>
            <w:r w:rsidRPr="00134435">
              <w:rPr>
                <w:rFonts w:eastAsia="MS Mincho" w:cs="Arial"/>
                <w:sz w:val="20"/>
                <w:szCs w:val="20"/>
                <w:lang w:eastAsia="ja-JP"/>
              </w:rPr>
              <w:t>Volatile</w:t>
            </w:r>
          </w:p>
        </w:tc>
      </w:tr>
    </w:tbl>
    <w:p w14:paraId="5F3F4C26" w14:textId="77777777" w:rsidR="008C6F42" w:rsidRPr="00134435" w:rsidRDefault="008C6F42" w:rsidP="008C6F42"/>
    <w:p w14:paraId="5F3F4C27" w14:textId="77777777" w:rsidR="008C6F42" w:rsidRPr="00134435" w:rsidRDefault="008C6F42" w:rsidP="005159EB">
      <w:pPr>
        <w:pStyle w:val="TSApp2ParaNum"/>
      </w:pPr>
      <w:r w:rsidRPr="00134435">
        <w:t xml:space="preserve">Numerous chemical phenomena exist in a post-accident containment, which result in a dynamic process where the released iodine is converted from one chemical </w:t>
      </w:r>
      <w:r w:rsidR="00D761C0">
        <w:t xml:space="preserve">(and/or physical) </w:t>
      </w:r>
      <w:r w:rsidRPr="00134435">
        <w:t>form to another. From a nuclear safety perspective, the most important chemical processes to understand and confidently predict are those which le</w:t>
      </w:r>
      <w:r w:rsidR="007C1252">
        <w:t>ad to the evolution of gaseous iodine</w:t>
      </w:r>
      <w:r w:rsidRPr="00134435">
        <w:t>. The main chemical reactions and phenomena which are currently understood to influence this process are:</w:t>
      </w:r>
    </w:p>
    <w:p w14:paraId="5F3F4C28" w14:textId="77777777" w:rsidR="008C6F42" w:rsidRPr="00134435" w:rsidRDefault="006E4A31" w:rsidP="008C6F42">
      <w:pPr>
        <w:pStyle w:val="TSBullet1Square"/>
      </w:pPr>
      <w:r>
        <w:t>t</w:t>
      </w:r>
      <w:r w:rsidRPr="00134435">
        <w:t xml:space="preserve">he </w:t>
      </w:r>
      <w:r w:rsidR="007C1252">
        <w:t>fraction of gaseous iodine</w:t>
      </w:r>
      <w:r w:rsidR="008C6F42" w:rsidRPr="00134435">
        <w:t xml:space="preserve"> entering containment from the RCS;</w:t>
      </w:r>
    </w:p>
    <w:p w14:paraId="5F3F4C29" w14:textId="77777777" w:rsidR="008C6F42" w:rsidRPr="00134435" w:rsidRDefault="006E4A31" w:rsidP="008C6F42">
      <w:pPr>
        <w:pStyle w:val="TSBullet1Square"/>
      </w:pPr>
      <w:r>
        <w:t>r</w:t>
      </w:r>
      <w:r w:rsidRPr="00134435">
        <w:t xml:space="preserve">adiolytically </w:t>
      </w:r>
      <w:r w:rsidR="008C6F42" w:rsidRPr="00134435">
        <w:t xml:space="preserve">induced formation of volatile iodine species in containment water sources and their release to the containment </w:t>
      </w:r>
      <w:r w:rsidRPr="00134435">
        <w:t>atmosphere</w:t>
      </w:r>
      <w:r w:rsidR="008C6F42" w:rsidRPr="00134435">
        <w:t>;</w:t>
      </w:r>
    </w:p>
    <w:p w14:paraId="5F3F4C2A" w14:textId="77777777" w:rsidR="008C6F42" w:rsidRPr="00134435" w:rsidRDefault="006E4A31" w:rsidP="008C6F42">
      <w:pPr>
        <w:pStyle w:val="TSBullet1Square"/>
      </w:pPr>
      <w:r>
        <w:t>a</w:t>
      </w:r>
      <w:r w:rsidRPr="00134435">
        <w:t xml:space="preserve">dsorption </w:t>
      </w:r>
      <w:r w:rsidR="008C6F42" w:rsidRPr="00134435">
        <w:t xml:space="preserve">and </w:t>
      </w:r>
      <w:r w:rsidRPr="00134435">
        <w:t>desorption</w:t>
      </w:r>
      <w:r w:rsidR="007C1252">
        <w:t xml:space="preserve"> processes of iodine</w:t>
      </w:r>
      <w:r w:rsidR="008C6F42" w:rsidRPr="00134435">
        <w:t xml:space="preserve"> </w:t>
      </w:r>
      <w:r w:rsidR="008B50CE">
        <w:t xml:space="preserve">on </w:t>
      </w:r>
      <w:r w:rsidR="008C6F42" w:rsidRPr="00134435">
        <w:t>containment surfaces, surface treatment (</w:t>
      </w:r>
      <w:r w:rsidR="000D338B">
        <w:t>i.e.</w:t>
      </w:r>
      <w:r w:rsidR="008C6F42" w:rsidRPr="00134435">
        <w:t xml:space="preserve"> painted or un-painted) and the potential formation of organic iodides;</w:t>
      </w:r>
      <w:r>
        <w:t xml:space="preserve"> and</w:t>
      </w:r>
    </w:p>
    <w:p w14:paraId="5F3F4C2B" w14:textId="77777777" w:rsidR="008C6F42" w:rsidRDefault="006E4A31" w:rsidP="008C6F42">
      <w:pPr>
        <w:pStyle w:val="TSBullet1Square"/>
      </w:pPr>
      <w:r>
        <w:t>v</w:t>
      </w:r>
      <w:r w:rsidRPr="00134435">
        <w:t xml:space="preserve">olatile </w:t>
      </w:r>
      <w:r w:rsidR="008C6F42" w:rsidRPr="00134435">
        <w:t xml:space="preserve">iodine interacting with air radiolysis products and the fate of the resulting oxidation products. </w:t>
      </w:r>
    </w:p>
    <w:p w14:paraId="5F3F4C2C" w14:textId="77777777" w:rsidR="005159EB" w:rsidRPr="005159EB" w:rsidRDefault="005159EB" w:rsidP="004A2F8E"/>
    <w:p w14:paraId="5F3F4C2D" w14:textId="451975AA" w:rsidR="008C6F42" w:rsidRPr="00134435" w:rsidRDefault="008C6F42" w:rsidP="004A2F8E">
      <w:pPr>
        <w:pStyle w:val="TSApp2ParaNum"/>
      </w:pPr>
      <w:r w:rsidRPr="00134435">
        <w:t xml:space="preserve">The following </w:t>
      </w:r>
      <w:r w:rsidR="006E4A31">
        <w:t>sub</w:t>
      </w:r>
      <w:r w:rsidRPr="00134435">
        <w:t>section</w:t>
      </w:r>
      <w:r w:rsidR="006E4A31">
        <w:t>s</w:t>
      </w:r>
      <w:r w:rsidRPr="00134435">
        <w:t xml:space="preserve"> </w:t>
      </w:r>
      <w:r w:rsidR="006E4A31" w:rsidRPr="00134435">
        <w:t>summarise</w:t>
      </w:r>
      <w:r w:rsidRPr="00134435">
        <w:t xml:space="preserve"> the main chemical and physical processes and chemistry</w:t>
      </w:r>
      <w:r w:rsidR="00E221AE">
        <w:t>-</w:t>
      </w:r>
      <w:r w:rsidRPr="00134435">
        <w:t xml:space="preserve">based phenomena which are </w:t>
      </w:r>
      <w:r w:rsidR="006E4A31">
        <w:t>understood</w:t>
      </w:r>
      <w:r w:rsidR="006E4A31" w:rsidRPr="00134435">
        <w:t xml:space="preserve"> </w:t>
      </w:r>
      <w:r w:rsidRPr="00134435">
        <w:t xml:space="preserve">to influence the behaviour of iodine under severe reactor accident conditions.  </w:t>
      </w:r>
    </w:p>
    <w:p w14:paraId="5F3F4C2E" w14:textId="77777777" w:rsidR="008C6F42" w:rsidRPr="00134435" w:rsidRDefault="008C6F42" w:rsidP="004A2F8E">
      <w:pPr>
        <w:pStyle w:val="TSHeadingLevel2"/>
      </w:pPr>
      <w:r w:rsidRPr="00134435">
        <w:t xml:space="preserve">Iodine </w:t>
      </w:r>
      <w:r w:rsidR="006E4A31">
        <w:t>B</w:t>
      </w:r>
      <w:r w:rsidR="006E4A31" w:rsidRPr="00134435">
        <w:t xml:space="preserve">ehaviour </w:t>
      </w:r>
      <w:r w:rsidRPr="00134435">
        <w:t>in the RCS</w:t>
      </w:r>
      <w:r w:rsidR="0044738A">
        <w:t xml:space="preserve"> [</w:t>
      </w:r>
      <w:r w:rsidR="00581802">
        <w:fldChar w:fldCharType="begin"/>
      </w:r>
      <w:r w:rsidR="00581802">
        <w:instrText xml:space="preserve"> NOTEREF _Ref469478814 \h </w:instrText>
      </w:r>
      <w:r w:rsidR="00581802">
        <w:fldChar w:fldCharType="separate"/>
      </w:r>
      <w:r w:rsidR="00C23519">
        <w:t>24</w:t>
      </w:r>
      <w:r w:rsidR="00581802">
        <w:fldChar w:fldCharType="end"/>
      </w:r>
      <w:r w:rsidR="0044738A">
        <w:t>], [</w:t>
      </w:r>
      <w:r w:rsidR="0044738A">
        <w:fldChar w:fldCharType="begin"/>
      </w:r>
      <w:r w:rsidR="0044738A">
        <w:instrText xml:space="preserve"> NOTEREF _Ref464056393 \h </w:instrText>
      </w:r>
      <w:r w:rsidR="0044738A">
        <w:fldChar w:fldCharType="separate"/>
      </w:r>
      <w:r w:rsidR="00C23519">
        <w:t>25</w:t>
      </w:r>
      <w:r w:rsidR="0044738A">
        <w:fldChar w:fldCharType="end"/>
      </w:r>
      <w:r w:rsidR="0044738A">
        <w:t>], [</w:t>
      </w:r>
      <w:r w:rsidR="0044738A">
        <w:fldChar w:fldCharType="begin"/>
      </w:r>
      <w:r w:rsidR="0044738A">
        <w:instrText xml:space="preserve"> NOTEREF _Ref464056399 \h </w:instrText>
      </w:r>
      <w:r w:rsidR="0044738A">
        <w:fldChar w:fldCharType="separate"/>
      </w:r>
      <w:r w:rsidR="00C23519">
        <w:t>26</w:t>
      </w:r>
      <w:r w:rsidR="0044738A">
        <w:fldChar w:fldCharType="end"/>
      </w:r>
      <w:r w:rsidR="0044738A">
        <w:t>]</w:t>
      </w:r>
    </w:p>
    <w:p w14:paraId="5F3F4C2F" w14:textId="7819FFB6" w:rsidR="008C6F42" w:rsidRPr="00134435" w:rsidRDefault="008C6F42" w:rsidP="004A2F8E">
      <w:pPr>
        <w:pStyle w:val="TSApp2ParaNum"/>
      </w:pPr>
      <w:r w:rsidRPr="00134435">
        <w:t>Intense research in the field of iodine chemistry in react</w:t>
      </w:r>
      <w:r w:rsidR="007C1252">
        <w:t>or accidents has showed that caesium iodide</w:t>
      </w:r>
      <w:r w:rsidRPr="00134435">
        <w:t xml:space="preserve"> is not the only </w:t>
      </w:r>
      <w:r w:rsidR="006E4A31" w:rsidRPr="00134435">
        <w:t>likely</w:t>
      </w:r>
      <w:r w:rsidRPr="00134435">
        <w:t xml:space="preserve"> chemical form. The equal importance of both thermodynamics and kinetics has been realised, as well as the effect of certain structural materials and FPs on the chemical speciation of iod</w:t>
      </w:r>
      <w:r w:rsidR="008F4E4C">
        <w:t xml:space="preserve">ine. Considering the case of a </w:t>
      </w:r>
      <w:r w:rsidR="00E11D54">
        <w:t>P</w:t>
      </w:r>
      <w:r w:rsidRPr="00134435">
        <w:t>ressuris</w:t>
      </w:r>
      <w:r w:rsidR="008F4E4C">
        <w:t xml:space="preserve">ed </w:t>
      </w:r>
      <w:r w:rsidR="00E11D54">
        <w:t>W</w:t>
      </w:r>
      <w:r w:rsidR="008F4E4C">
        <w:t xml:space="preserve">ater </w:t>
      </w:r>
      <w:r w:rsidR="00E11D54">
        <w:t>R</w:t>
      </w:r>
      <w:r w:rsidR="00C21DAA">
        <w:t xml:space="preserve">eactor (PWR) </w:t>
      </w:r>
      <w:r w:rsidRPr="00134435">
        <w:t>with silver-indium-</w:t>
      </w:r>
      <w:r w:rsidR="006E4A31" w:rsidRPr="00134435">
        <w:t>cadmium</w:t>
      </w:r>
      <w:r w:rsidRPr="00134435">
        <w:t xml:space="preserve"> control rods, experiments have shown other possible chemical forms of iodine may include rubidium iodi</w:t>
      </w:r>
      <w:r w:rsidR="007C1252">
        <w:t>de, indium iodide</w:t>
      </w:r>
      <w:r w:rsidRPr="00134435">
        <w:t xml:space="preserve">, </w:t>
      </w:r>
      <w:r w:rsidR="006E4A31" w:rsidRPr="00134435">
        <w:t>cadmium</w:t>
      </w:r>
      <w:r w:rsidR="007C1252">
        <w:t xml:space="preserve"> iodide and/or silver iodide</w:t>
      </w:r>
      <w:r w:rsidRPr="00134435">
        <w:t xml:space="preserve">. Regardless of the chemical form these initial iodine vapours take, as the RCS cools, iodine-bearing aerosol particles will form.  </w:t>
      </w:r>
    </w:p>
    <w:p w14:paraId="5F3F4C30" w14:textId="77777777" w:rsidR="008C6F42" w:rsidRPr="00134435" w:rsidRDefault="008C6F42" w:rsidP="004A2F8E">
      <w:pPr>
        <w:pStyle w:val="TSHeadingLevel2"/>
      </w:pPr>
      <w:r w:rsidRPr="00134435">
        <w:t xml:space="preserve">In-containment </w:t>
      </w:r>
      <w:r w:rsidR="006E4A31">
        <w:t>I</w:t>
      </w:r>
      <w:r w:rsidR="006E4A31" w:rsidRPr="00134435">
        <w:t xml:space="preserve">odine </w:t>
      </w:r>
      <w:r w:rsidR="006E4A31">
        <w:t>P</w:t>
      </w:r>
      <w:r w:rsidR="006E4A31" w:rsidRPr="00134435">
        <w:t xml:space="preserve">henomena </w:t>
      </w:r>
      <w:r w:rsidR="0044738A">
        <w:t>[</w:t>
      </w:r>
      <w:r w:rsidR="00581802">
        <w:fldChar w:fldCharType="begin"/>
      </w:r>
      <w:r w:rsidR="00581802">
        <w:instrText xml:space="preserve"> NOTEREF _Ref469478814 \h </w:instrText>
      </w:r>
      <w:r w:rsidR="00581802">
        <w:fldChar w:fldCharType="separate"/>
      </w:r>
      <w:r w:rsidR="00C23519">
        <w:t>24</w:t>
      </w:r>
      <w:r w:rsidR="00581802">
        <w:fldChar w:fldCharType="end"/>
      </w:r>
      <w:r w:rsidR="0044738A">
        <w:t>], [</w:t>
      </w:r>
      <w:r w:rsidR="0044738A">
        <w:fldChar w:fldCharType="begin"/>
      </w:r>
      <w:r w:rsidR="0044738A">
        <w:instrText xml:space="preserve"> NOTEREF _Ref464056393 \h </w:instrText>
      </w:r>
      <w:r w:rsidR="0044738A">
        <w:fldChar w:fldCharType="separate"/>
      </w:r>
      <w:r w:rsidR="00C23519">
        <w:t>25</w:t>
      </w:r>
      <w:r w:rsidR="0044738A">
        <w:fldChar w:fldCharType="end"/>
      </w:r>
      <w:r w:rsidR="0044738A">
        <w:t>], [</w:t>
      </w:r>
      <w:r w:rsidR="0044738A">
        <w:fldChar w:fldCharType="begin"/>
      </w:r>
      <w:r w:rsidR="0044738A">
        <w:instrText xml:space="preserve"> NOTEREF _Ref464056399 \h </w:instrText>
      </w:r>
      <w:r w:rsidR="0044738A">
        <w:fldChar w:fldCharType="separate"/>
      </w:r>
      <w:r w:rsidR="00C23519">
        <w:t>26</w:t>
      </w:r>
      <w:r w:rsidR="0044738A">
        <w:fldChar w:fldCharType="end"/>
      </w:r>
      <w:r w:rsidR="0044738A">
        <w:t>]</w:t>
      </w:r>
    </w:p>
    <w:p w14:paraId="5F3F4C31" w14:textId="77777777" w:rsidR="008C6F42" w:rsidRPr="00134435" w:rsidRDefault="008C6F42" w:rsidP="004A2F8E">
      <w:pPr>
        <w:pStyle w:val="TSApp2ParaNum"/>
        <w:rPr>
          <w:u w:val="single"/>
        </w:rPr>
      </w:pPr>
      <w:r w:rsidRPr="00134435">
        <w:t xml:space="preserve">A large fraction of the core inventory of iodine could eventually reach the containment during an accident. Of this fraction, between 2- 4% of the fuel bundle iodine inventory could be in the gas phase. This means that in the early </w:t>
      </w:r>
      <w:r w:rsidR="006E4A31" w:rsidRPr="00134435">
        <w:t>stages</w:t>
      </w:r>
      <w:r w:rsidRPr="00134435">
        <w:t xml:space="preserve"> of a severe accident, the in-containment concentration of gaseous iodine is dominated by the fraction initially released from the degrading core.</w:t>
      </w:r>
    </w:p>
    <w:p w14:paraId="5F3F4C32" w14:textId="77777777" w:rsidR="008B50CE" w:rsidRPr="007C1252" w:rsidRDefault="008C6F42" w:rsidP="007C1252">
      <w:pPr>
        <w:pStyle w:val="TSApp2ParaNum"/>
      </w:pPr>
      <w:r w:rsidRPr="00134435">
        <w:t>The assumption is though, that the largest fraction of iodine exits the RCS in the form of suspended aerosols composed of metal iodides</w:t>
      </w:r>
      <w:r w:rsidR="000D338B">
        <w:t>.</w:t>
      </w:r>
      <w:r w:rsidRPr="00134435">
        <w:t xml:space="preserve"> </w:t>
      </w:r>
      <w:r w:rsidR="000D338B">
        <w:t>T</w:t>
      </w:r>
      <w:r w:rsidRPr="00134435">
        <w:t xml:space="preserve">he aerosol physics </w:t>
      </w:r>
      <w:r w:rsidR="006E4A31" w:rsidRPr="00134435">
        <w:t>phenomena</w:t>
      </w:r>
      <w:r w:rsidRPr="00134435">
        <w:t xml:space="preserve"> and </w:t>
      </w:r>
      <w:r w:rsidR="006E4A31" w:rsidRPr="00134435">
        <w:t>deposition</w:t>
      </w:r>
      <w:r w:rsidRPr="00134435">
        <w:t xml:space="preserve"> mechanisms for FPs </w:t>
      </w:r>
      <w:r w:rsidR="006E4A31" w:rsidRPr="00134435">
        <w:t>previously</w:t>
      </w:r>
      <w:r w:rsidRPr="00134435">
        <w:t xml:space="preserve"> described above mean that in the short-term, the largest fraction of iodine would be expected to deposit on in-containment surfaces.</w:t>
      </w:r>
    </w:p>
    <w:p w14:paraId="5F3F4C33" w14:textId="77777777" w:rsidR="007F629D" w:rsidRPr="00A551A5" w:rsidRDefault="008C6F42" w:rsidP="00DB4353">
      <w:pPr>
        <w:pStyle w:val="TSHeadingLevel3"/>
        <w:rPr>
          <w:b/>
        </w:rPr>
      </w:pPr>
      <w:r w:rsidRPr="00A551A5">
        <w:rPr>
          <w:b/>
        </w:rPr>
        <w:t xml:space="preserve">Aqueous phase chemistry </w:t>
      </w:r>
    </w:p>
    <w:p w14:paraId="5F3F4C34" w14:textId="3625C08C" w:rsidR="008C6F42" w:rsidRPr="00134435" w:rsidRDefault="007F629D" w:rsidP="004A2F8E">
      <w:pPr>
        <w:pStyle w:val="TSApp2ParaNum"/>
      </w:pPr>
      <w:r>
        <w:t>M</w:t>
      </w:r>
      <w:r w:rsidR="008C6F42" w:rsidRPr="00134435">
        <w:t>ost metal-iodides are soluble and will readily dissolve in containment bulk water sources to yield iodide ions. Unfortunately</w:t>
      </w:r>
      <w:r w:rsidR="00D14CBD">
        <w:t>,</w:t>
      </w:r>
      <w:r w:rsidR="008C6F42" w:rsidRPr="00134435">
        <w:t xml:space="preserve"> there are a number of thermal and radiolytic chemical reactions, forming a range of species, that can occur in containment bulk water sources or on surfaces, under accident conditions, which cause the o</w:t>
      </w:r>
      <w:r w:rsidR="00E02D72">
        <w:t>xidation of iodide to volatile iodine</w:t>
      </w:r>
      <w:r w:rsidR="008C6F42" w:rsidRPr="00134435">
        <w:t xml:space="preserve">: </w:t>
      </w:r>
    </w:p>
    <w:p w14:paraId="5F3F4C35" w14:textId="77777777" w:rsidR="008C6F42" w:rsidRDefault="008C6F42" w:rsidP="004A2F8E">
      <w:pPr>
        <w:jc w:val="center"/>
      </w:pPr>
      <w:r w:rsidRPr="00134435">
        <w:t>2[I]</w:t>
      </w:r>
      <w:r w:rsidRPr="00134435">
        <w:rPr>
          <w:vertAlign w:val="superscript"/>
        </w:rPr>
        <w:t>-</w:t>
      </w:r>
      <w:r w:rsidRPr="00134435">
        <w:t xml:space="preserve">  +   2[H]</w:t>
      </w:r>
      <w:r w:rsidRPr="00134435">
        <w:rPr>
          <w:vertAlign w:val="superscript"/>
        </w:rPr>
        <w:t>+</w:t>
      </w:r>
      <w:r w:rsidRPr="00134435">
        <w:t xml:space="preserve">   +   </w:t>
      </w:r>
      <w:r w:rsidR="007F629D">
        <w:rPr>
          <w:rFonts w:cs="Arial"/>
        </w:rPr>
        <w:t>½</w:t>
      </w:r>
      <w:r w:rsidRPr="00134435">
        <w:t>O</w:t>
      </w:r>
      <w:r w:rsidRPr="00134435">
        <w:rPr>
          <w:vertAlign w:val="subscript"/>
        </w:rPr>
        <w:t>2</w:t>
      </w:r>
      <w:r w:rsidRPr="00134435">
        <w:t xml:space="preserve">   </w:t>
      </w:r>
      <w:r w:rsidRPr="00134435">
        <w:rPr>
          <w:rFonts w:cs="Arial"/>
        </w:rPr>
        <w:t>↔</w:t>
      </w:r>
      <w:r w:rsidRPr="00134435">
        <w:t xml:space="preserve">  I</w:t>
      </w:r>
      <w:r w:rsidRPr="00134435">
        <w:rPr>
          <w:vertAlign w:val="subscript"/>
        </w:rPr>
        <w:t>2</w:t>
      </w:r>
      <w:r w:rsidRPr="00134435">
        <w:t xml:space="preserve">  +  H</w:t>
      </w:r>
      <w:r w:rsidRPr="00134435">
        <w:rPr>
          <w:vertAlign w:val="subscript"/>
        </w:rPr>
        <w:t>2</w:t>
      </w:r>
      <w:r w:rsidRPr="00134435">
        <w:t>O</w:t>
      </w:r>
    </w:p>
    <w:p w14:paraId="5F3F4C36" w14:textId="77777777" w:rsidR="004A2F8E" w:rsidRPr="004A2F8E" w:rsidRDefault="004A2F8E" w:rsidP="004A2F8E"/>
    <w:p w14:paraId="5F3F4C37" w14:textId="77777777" w:rsidR="008C6F42" w:rsidRPr="00134435" w:rsidRDefault="008C6F42" w:rsidP="004A2F8E">
      <w:pPr>
        <w:pStyle w:val="TSApp2ParaNum"/>
      </w:pPr>
      <w:r w:rsidRPr="00134435">
        <w:t>This means a fraction of the iodine released from the core and initially dissolved as non-volatile iodide ions can become available for re-release to the containment as the accident progresses. The steady-state fraction of volatile iodine is therefore the net balance of numerous chemical reactions. The extent of volatile iodine production in aqueous conditions depends on:</w:t>
      </w:r>
    </w:p>
    <w:p w14:paraId="5F3F4C38" w14:textId="77777777" w:rsidR="008C6F42" w:rsidRPr="00134435" w:rsidRDefault="008C6F42" w:rsidP="008C6F42">
      <w:pPr>
        <w:pStyle w:val="TSBullet1Square"/>
      </w:pPr>
      <w:r w:rsidRPr="00134435">
        <w:t>pH – acidic cond</w:t>
      </w:r>
      <w:r w:rsidR="007C1252">
        <w:t>itions favour the formation of iodine</w:t>
      </w:r>
      <w:r w:rsidRPr="00134435">
        <w:t>;</w:t>
      </w:r>
    </w:p>
    <w:p w14:paraId="5F3F4C39" w14:textId="77777777" w:rsidR="008C6F42" w:rsidRPr="00134435" w:rsidRDefault="007F629D" w:rsidP="008C6F42">
      <w:pPr>
        <w:pStyle w:val="TSBullet1Square"/>
      </w:pPr>
      <w:r>
        <w:t>d</w:t>
      </w:r>
      <w:r w:rsidRPr="00134435">
        <w:t xml:space="preserve">ose </w:t>
      </w:r>
      <w:r w:rsidR="008C6F42" w:rsidRPr="00134435">
        <w:t>rate – directly influenced by FPs entering the containment following the accident</w:t>
      </w:r>
      <w:r w:rsidR="00BB381A">
        <w:t>;</w:t>
      </w:r>
      <w:r>
        <w:t xml:space="preserve"> higher rate p</w:t>
      </w:r>
      <w:r w:rsidR="008C6F42" w:rsidRPr="00134435">
        <w:t>romotes radiolytic reactions;</w:t>
      </w:r>
    </w:p>
    <w:p w14:paraId="5F3F4C3A" w14:textId="77777777" w:rsidR="008C6F42" w:rsidRPr="00134435" w:rsidRDefault="007F629D" w:rsidP="008C6F42">
      <w:pPr>
        <w:pStyle w:val="TSBullet1Square"/>
      </w:pPr>
      <w:r>
        <w:t>t</w:t>
      </w:r>
      <w:r w:rsidRPr="00134435">
        <w:t xml:space="preserve">emperature </w:t>
      </w:r>
      <w:r w:rsidR="008C6F42" w:rsidRPr="00134435">
        <w:t>– low temperatures favour the formation of volatile iodine species;</w:t>
      </w:r>
      <w:r>
        <w:t xml:space="preserve"> and</w:t>
      </w:r>
    </w:p>
    <w:p w14:paraId="5F3F4C3B" w14:textId="77777777" w:rsidR="008C6F42" w:rsidRDefault="007F629D" w:rsidP="008C6F42">
      <w:pPr>
        <w:pStyle w:val="TSBullet1Square"/>
      </w:pPr>
      <w:r>
        <w:t>r</w:t>
      </w:r>
      <w:r w:rsidRPr="00134435">
        <w:t xml:space="preserve">edox </w:t>
      </w:r>
      <w:r w:rsidR="008C6F42" w:rsidRPr="00134435">
        <w:t>potential – the presence of</w:t>
      </w:r>
      <w:r w:rsidR="007C1252">
        <w:t xml:space="preserve"> reducing species, for example </w:t>
      </w:r>
      <w:r w:rsidR="00EA1BDF">
        <w:t>hydrogen</w:t>
      </w:r>
      <w:r w:rsidR="008C6F42" w:rsidRPr="00134435">
        <w:t>, should decrease the formation of volatile iodine species.</w:t>
      </w:r>
    </w:p>
    <w:p w14:paraId="5F3F4C3C" w14:textId="77777777" w:rsidR="001A0C5F" w:rsidRPr="001A0C5F" w:rsidRDefault="001A0C5F" w:rsidP="001A0C5F"/>
    <w:p w14:paraId="5F3F4C3D" w14:textId="77777777" w:rsidR="008C6F42" w:rsidRPr="00134435" w:rsidRDefault="008C6F42" w:rsidP="001A0C5F">
      <w:pPr>
        <w:pStyle w:val="TSApp2ParaNum"/>
      </w:pPr>
      <w:r w:rsidRPr="00134435">
        <w:t>There are also a number of competing formation and decomposition hydrolytic and radiolytic reactions which result in a steady-state conce</w:t>
      </w:r>
      <w:r w:rsidR="007C1252">
        <w:t>ntration of organic iodides</w:t>
      </w:r>
      <w:r w:rsidRPr="00134435">
        <w:t>. In-containment water sources may contain dissolved or suspended organic i</w:t>
      </w:r>
      <w:r w:rsidR="00CF0B8E">
        <w:t>mpurities which iodide ions or iodine may react with. Organic iodine</w:t>
      </w:r>
      <w:r w:rsidRPr="00134435">
        <w:t xml:space="preserve"> may also be formed from iodine reactions with immersed painted surfaces.  Some organic </w:t>
      </w:r>
      <w:r w:rsidR="007F629D" w:rsidRPr="00134435">
        <w:t>iodides</w:t>
      </w:r>
      <w:r w:rsidRPr="00134435">
        <w:t xml:space="preserve"> are also volatile, leading to further parti</w:t>
      </w:r>
      <w:r w:rsidR="007F629D">
        <w:t>ti</w:t>
      </w:r>
      <w:r w:rsidRPr="00134435">
        <w:t xml:space="preserve">oning of iodine to the containment </w:t>
      </w:r>
      <w:r w:rsidR="007F629D" w:rsidRPr="00134435">
        <w:t>atmosphere</w:t>
      </w:r>
      <w:r w:rsidRPr="00134435">
        <w:t xml:space="preserve">. </w:t>
      </w:r>
    </w:p>
    <w:p w14:paraId="5F3F4C3E" w14:textId="77777777" w:rsidR="008C6F42" w:rsidRPr="00134435" w:rsidRDefault="008C6F42" w:rsidP="001A0C5F">
      <w:pPr>
        <w:pStyle w:val="TSApp2ParaNum"/>
      </w:pPr>
      <w:r w:rsidRPr="00134435">
        <w:t xml:space="preserve">As well as reacting with </w:t>
      </w:r>
      <w:r w:rsidR="007F629D" w:rsidRPr="00134435">
        <w:t>impurities</w:t>
      </w:r>
      <w:r w:rsidR="00CF0B8E">
        <w:t xml:space="preserve"> which may be present, any iodine</w:t>
      </w:r>
      <w:r w:rsidRPr="00134435">
        <w:t xml:space="preserve"> formed can also undergo hydrolysis</w:t>
      </w:r>
      <w:r w:rsidR="007C1252">
        <w:t xml:space="preserve">, forming </w:t>
      </w:r>
      <w:proofErr w:type="spellStart"/>
      <w:r w:rsidR="007C1252">
        <w:t>hypoiodous</w:t>
      </w:r>
      <w:proofErr w:type="spellEnd"/>
      <w:r w:rsidR="007C1252">
        <w:t xml:space="preserve"> acid </w:t>
      </w:r>
      <w:r w:rsidR="00CF0B8E">
        <w:t xml:space="preserve">as a product. </w:t>
      </w:r>
      <w:proofErr w:type="spellStart"/>
      <w:r w:rsidR="00CF0B8E">
        <w:t>Hypoiodous</w:t>
      </w:r>
      <w:proofErr w:type="spellEnd"/>
      <w:r w:rsidR="00CF0B8E">
        <w:t xml:space="preserve"> acid</w:t>
      </w:r>
      <w:r w:rsidRPr="00134435">
        <w:t xml:space="preserve"> itself may then decompose:</w:t>
      </w:r>
    </w:p>
    <w:p w14:paraId="5F3F4C3F" w14:textId="77777777" w:rsidR="008C6F42" w:rsidRPr="00134435" w:rsidRDefault="008C6F42" w:rsidP="008C6F42">
      <w:pPr>
        <w:jc w:val="center"/>
        <w:rPr>
          <w:vertAlign w:val="superscript"/>
        </w:rPr>
      </w:pPr>
      <w:r w:rsidRPr="00134435">
        <w:t>I</w:t>
      </w:r>
      <w:r w:rsidRPr="00134435">
        <w:rPr>
          <w:vertAlign w:val="subscript"/>
        </w:rPr>
        <w:t>2</w:t>
      </w:r>
      <w:r w:rsidRPr="00134435">
        <w:t xml:space="preserve">  +   H</w:t>
      </w:r>
      <w:r w:rsidRPr="00134435">
        <w:rPr>
          <w:vertAlign w:val="subscript"/>
        </w:rPr>
        <w:t>2</w:t>
      </w:r>
      <w:r w:rsidRPr="00134435">
        <w:t xml:space="preserve">O  </w:t>
      </w:r>
      <w:r w:rsidRPr="00134435">
        <w:rPr>
          <w:rFonts w:cs="Arial"/>
        </w:rPr>
        <w:t>↔</w:t>
      </w:r>
      <w:r w:rsidRPr="00134435">
        <w:t xml:space="preserve">  HOI  +  [I]</w:t>
      </w:r>
      <w:r w:rsidRPr="00134435">
        <w:rPr>
          <w:vertAlign w:val="superscript"/>
        </w:rPr>
        <w:t>-</w:t>
      </w:r>
      <w:r w:rsidRPr="00134435">
        <w:t xml:space="preserve">  +  [H]</w:t>
      </w:r>
      <w:r w:rsidRPr="00134435">
        <w:rPr>
          <w:vertAlign w:val="superscript"/>
        </w:rPr>
        <w:t>+</w:t>
      </w:r>
    </w:p>
    <w:p w14:paraId="5F3F4C40" w14:textId="77777777" w:rsidR="008C6F42" w:rsidRPr="001A0C5F" w:rsidRDefault="008C6F42" w:rsidP="008C6F42">
      <w:pPr>
        <w:jc w:val="center"/>
      </w:pPr>
    </w:p>
    <w:p w14:paraId="5F3F4C41" w14:textId="77777777" w:rsidR="008C6F42" w:rsidRDefault="008C6F42" w:rsidP="008C6F42">
      <w:pPr>
        <w:jc w:val="center"/>
        <w:rPr>
          <w:vertAlign w:val="superscript"/>
        </w:rPr>
      </w:pPr>
      <w:r w:rsidRPr="00134435">
        <w:t xml:space="preserve">3HOI  </w:t>
      </w:r>
      <w:r w:rsidRPr="00134435">
        <w:rPr>
          <w:rFonts w:cs="Arial"/>
        </w:rPr>
        <w:t>↔</w:t>
      </w:r>
      <w:r w:rsidRPr="00134435">
        <w:t xml:space="preserve">  [IO</w:t>
      </w:r>
      <w:r w:rsidRPr="00134435">
        <w:rPr>
          <w:vertAlign w:val="subscript"/>
        </w:rPr>
        <w:t>3</w:t>
      </w:r>
      <w:r w:rsidRPr="00134435">
        <w:t>]</w:t>
      </w:r>
      <w:r w:rsidRPr="00134435">
        <w:rPr>
          <w:vertAlign w:val="superscript"/>
        </w:rPr>
        <w:t>-</w:t>
      </w:r>
      <w:r w:rsidRPr="00134435">
        <w:t xml:space="preserve">  +  2[I]</w:t>
      </w:r>
      <w:r w:rsidRPr="00134435">
        <w:rPr>
          <w:vertAlign w:val="superscript"/>
        </w:rPr>
        <w:t>-</w:t>
      </w:r>
      <w:r w:rsidRPr="00134435">
        <w:t xml:space="preserve">  +  3[H]</w:t>
      </w:r>
      <w:r w:rsidRPr="00134435">
        <w:rPr>
          <w:vertAlign w:val="superscript"/>
        </w:rPr>
        <w:t>+</w:t>
      </w:r>
    </w:p>
    <w:p w14:paraId="5F3F4C42" w14:textId="77777777" w:rsidR="008C6F42" w:rsidRPr="00134435" w:rsidRDefault="008C6F42" w:rsidP="008C6F42">
      <w:pPr>
        <w:jc w:val="center"/>
      </w:pPr>
    </w:p>
    <w:p w14:paraId="5F3F4C43" w14:textId="77777777" w:rsidR="008C6F42" w:rsidRPr="00134435" w:rsidRDefault="008C6F42" w:rsidP="001A0C5F">
      <w:pPr>
        <w:pStyle w:val="TSApp2ParaNum"/>
      </w:pPr>
      <w:r w:rsidRPr="00134435">
        <w:t>For PWRs, if sil</w:t>
      </w:r>
      <w:r w:rsidR="00CF0B8E">
        <w:t xml:space="preserve">ver </w:t>
      </w:r>
      <w:r w:rsidRPr="00134435">
        <w:t>is present in the water in excess to the iodine concentration, as a result of control rod melting, experiments have shown it can effectively suppress iodine volatility, precipi</w:t>
      </w:r>
      <w:r w:rsidR="00CF0B8E">
        <w:t>tating solid silver iodide</w:t>
      </w:r>
      <w:r w:rsidRPr="00134435">
        <w:t>. This mechanism can occur for both met</w:t>
      </w:r>
      <w:r w:rsidR="00CF0B8E">
        <w:t>allic and oxidised forms of silver</w:t>
      </w:r>
      <w:r w:rsidRPr="00134435">
        <w:t>:</w:t>
      </w:r>
    </w:p>
    <w:p w14:paraId="5F3F4C44" w14:textId="77777777" w:rsidR="008C6F42" w:rsidRDefault="008C6F42" w:rsidP="008C6F42">
      <w:pPr>
        <w:jc w:val="center"/>
      </w:pPr>
      <w:bookmarkStart w:id="45" w:name="_Toc406753941"/>
      <w:r w:rsidRPr="00134435">
        <w:t>2Ag  +  I</w:t>
      </w:r>
      <w:r w:rsidRPr="00134435">
        <w:rPr>
          <w:vertAlign w:val="subscript"/>
        </w:rPr>
        <w:t xml:space="preserve">2 </w:t>
      </w:r>
      <w:r w:rsidRPr="00134435">
        <w:t xml:space="preserve"> </w:t>
      </w:r>
      <w:r w:rsidRPr="00134435">
        <w:rPr>
          <w:rFonts w:cs="Arial"/>
        </w:rPr>
        <w:t>↔</w:t>
      </w:r>
      <w:r w:rsidRPr="00134435">
        <w:t xml:space="preserve">  2AgI</w:t>
      </w:r>
      <w:bookmarkEnd w:id="45"/>
    </w:p>
    <w:p w14:paraId="5F3F4C45" w14:textId="77777777" w:rsidR="008C6F42" w:rsidRPr="00134435" w:rsidRDefault="008C6F42" w:rsidP="008C6F42">
      <w:pPr>
        <w:jc w:val="center"/>
      </w:pPr>
    </w:p>
    <w:p w14:paraId="5F3F4C46" w14:textId="77777777" w:rsidR="008C6F42" w:rsidRDefault="008C6F42" w:rsidP="008C6F42">
      <w:pPr>
        <w:jc w:val="center"/>
      </w:pPr>
      <w:r w:rsidRPr="00134435">
        <w:t>Ag</w:t>
      </w:r>
      <w:r w:rsidRPr="00134435">
        <w:rPr>
          <w:vertAlign w:val="subscript"/>
        </w:rPr>
        <w:t>2</w:t>
      </w:r>
      <w:r w:rsidRPr="00134435">
        <w:t>O  +  2[I]</w:t>
      </w:r>
      <w:r w:rsidRPr="00134435">
        <w:rPr>
          <w:vertAlign w:val="superscript"/>
        </w:rPr>
        <w:t>-</w:t>
      </w:r>
      <w:r w:rsidRPr="00134435">
        <w:t xml:space="preserve">  +  2[H]</w:t>
      </w:r>
      <w:r w:rsidRPr="00134435">
        <w:rPr>
          <w:vertAlign w:val="superscript"/>
        </w:rPr>
        <w:t>+</w:t>
      </w:r>
      <w:r w:rsidRPr="00134435">
        <w:t xml:space="preserve">   </w:t>
      </w:r>
      <w:r w:rsidRPr="00134435">
        <w:rPr>
          <w:rFonts w:cs="Arial"/>
        </w:rPr>
        <w:t>↔</w:t>
      </w:r>
      <w:r w:rsidRPr="00134435">
        <w:t xml:space="preserve">  2AgI  +  H</w:t>
      </w:r>
      <w:r w:rsidRPr="00134435">
        <w:rPr>
          <w:vertAlign w:val="subscript"/>
        </w:rPr>
        <w:t>2</w:t>
      </w:r>
      <w:r w:rsidRPr="00134435">
        <w:t>O</w:t>
      </w:r>
    </w:p>
    <w:p w14:paraId="5F3F4C47" w14:textId="77777777" w:rsidR="008C6F42" w:rsidRPr="00134435" w:rsidRDefault="008C6F42" w:rsidP="008C6F42"/>
    <w:p w14:paraId="5F3F4C48" w14:textId="77777777" w:rsidR="008C6F42" w:rsidRPr="00134435" w:rsidRDefault="008C6F42" w:rsidP="001A0C5F">
      <w:pPr>
        <w:pStyle w:val="TSApp2ParaNum"/>
      </w:pPr>
      <w:r w:rsidRPr="00134435">
        <w:t>The relative success and efficiency of these two reactions is determined by a number of factors, which results in significant uncertainties when determining the degree of silver suppression on iodine volatility</w:t>
      </w:r>
      <w:r w:rsidR="007F629D">
        <w:t>. Factors include</w:t>
      </w:r>
      <w:r w:rsidRPr="00134435">
        <w:t>:</w:t>
      </w:r>
    </w:p>
    <w:p w14:paraId="5F3F4C49" w14:textId="77777777" w:rsidR="008C6F42" w:rsidRPr="00134435" w:rsidRDefault="00CD1A87" w:rsidP="008C6F42">
      <w:pPr>
        <w:pStyle w:val="TSBullet1Square"/>
      </w:pPr>
      <w:r>
        <w:t>number</w:t>
      </w:r>
      <w:r w:rsidR="007F629D" w:rsidRPr="00134435">
        <w:t xml:space="preserve"> </w:t>
      </w:r>
      <w:r w:rsidR="008C6F42" w:rsidRPr="00134435">
        <w:t>of silver particles entering containment;</w:t>
      </w:r>
    </w:p>
    <w:p w14:paraId="5F3F4C4A" w14:textId="77777777" w:rsidR="008C6F42" w:rsidRPr="00134435" w:rsidRDefault="007F629D" w:rsidP="008C6F42">
      <w:pPr>
        <w:pStyle w:val="TSBullet1Square"/>
      </w:pPr>
      <w:r>
        <w:t>w</w:t>
      </w:r>
      <w:r w:rsidRPr="00134435">
        <w:t xml:space="preserve">hether </w:t>
      </w:r>
      <w:r w:rsidR="008C6F42" w:rsidRPr="00134435">
        <w:t xml:space="preserve">the silver particles are contaminated by other FPs or structural material degradation products; </w:t>
      </w:r>
    </w:p>
    <w:p w14:paraId="5F3F4C4B" w14:textId="77777777" w:rsidR="008C6F42" w:rsidRPr="00134435" w:rsidRDefault="007F629D" w:rsidP="008C6F42">
      <w:pPr>
        <w:pStyle w:val="TSBullet1Square"/>
      </w:pPr>
      <w:r>
        <w:t>s</w:t>
      </w:r>
      <w:r w:rsidRPr="00134435">
        <w:t xml:space="preserve">ilver </w:t>
      </w:r>
      <w:r w:rsidR="008C6F42" w:rsidRPr="00134435">
        <w:t>oxidation state before entering in-containment water sources;</w:t>
      </w:r>
    </w:p>
    <w:p w14:paraId="5F3F4C4C" w14:textId="77777777" w:rsidR="008C6F42" w:rsidRDefault="007F629D" w:rsidP="008C6F42">
      <w:pPr>
        <w:pStyle w:val="TSBullet1Square"/>
      </w:pPr>
      <w:r>
        <w:t>r</w:t>
      </w:r>
      <w:r w:rsidRPr="00134435">
        <w:t xml:space="preserve">adiolytic </w:t>
      </w:r>
      <w:r w:rsidR="00B54B43">
        <w:t xml:space="preserve">decomposition of silver iodide </w:t>
      </w:r>
      <w:r w:rsidR="008C6F42" w:rsidRPr="00134435">
        <w:t>in the presence of beta radiation.</w:t>
      </w:r>
    </w:p>
    <w:p w14:paraId="5F3F4C4D" w14:textId="77777777" w:rsidR="001A0C5F" w:rsidRPr="00A551A5" w:rsidRDefault="001A0C5F" w:rsidP="001A0C5F">
      <w:pPr>
        <w:rPr>
          <w:b/>
        </w:rPr>
      </w:pPr>
    </w:p>
    <w:p w14:paraId="5F3F4C4E" w14:textId="77777777" w:rsidR="007F629D" w:rsidRPr="00A551A5" w:rsidRDefault="00C21DAA" w:rsidP="00DB4353">
      <w:pPr>
        <w:pStyle w:val="TSHeadingLevel3"/>
        <w:rPr>
          <w:b/>
        </w:rPr>
      </w:pPr>
      <w:r>
        <w:rPr>
          <w:b/>
        </w:rPr>
        <w:t>Gas-liquid P</w:t>
      </w:r>
      <w:r w:rsidR="008C6F42" w:rsidRPr="00A551A5">
        <w:rPr>
          <w:b/>
        </w:rPr>
        <w:t>artitioning</w:t>
      </w:r>
    </w:p>
    <w:p w14:paraId="5F3F4C4F" w14:textId="77777777" w:rsidR="008C6F42" w:rsidRPr="00134435" w:rsidRDefault="007F629D" w:rsidP="001A0C5F">
      <w:pPr>
        <w:pStyle w:val="TSApp2ParaNum"/>
      </w:pPr>
      <w:r w:rsidRPr="00DB4353">
        <w:t>M</w:t>
      </w:r>
      <w:r w:rsidR="008C6F42" w:rsidRPr="00134435">
        <w:t xml:space="preserve">ass transfer of volatile iodine species between the liquid and gas phase can occur, increasing the iodine concentration in the containment atmosphere. The important thermodynamic parameter to consider is the partition coefficient, which is defined as the ratio of the concentrations of volatile species in the liquid and gas phases. The overall iodine partition coefficient will therefore depend on the concentrations of volatile species in the solution and their individual partition coefficients. </w:t>
      </w:r>
    </w:p>
    <w:p w14:paraId="5F3F4C50" w14:textId="77777777" w:rsidR="008C6F42" w:rsidRPr="00134435" w:rsidRDefault="008C6F42" w:rsidP="001A0C5F">
      <w:pPr>
        <w:pStyle w:val="TSApp2ParaNum"/>
      </w:pPr>
      <w:r w:rsidRPr="00134435">
        <w:t xml:space="preserve">Some safety analyses may claim acceptable partition coefficients as a function of </w:t>
      </w:r>
      <w:proofErr w:type="spellStart"/>
      <w:r w:rsidRPr="00134435">
        <w:t>pH.</w:t>
      </w:r>
      <w:proofErr w:type="spellEnd"/>
      <w:r w:rsidRPr="00134435">
        <w:t xml:space="preserve"> The lower the pH, the greater the concentration of volatile iodine species in solution, which then partition to the atmosphere. The strategy adopted at some plants exploits this tendency by using engineered measures to maintain control of the pH of in-containment water sources. </w:t>
      </w:r>
    </w:p>
    <w:p w14:paraId="5F3F4C51" w14:textId="77777777" w:rsidR="008C6F42" w:rsidRPr="00134435" w:rsidRDefault="008C6F42" w:rsidP="001A0C5F">
      <w:pPr>
        <w:pStyle w:val="TSApp2ParaNum"/>
      </w:pPr>
      <w:r w:rsidRPr="00134435">
        <w:t xml:space="preserve">Where this is not implemented, a calculation may have to be </w:t>
      </w:r>
      <w:r w:rsidR="007F629D" w:rsidRPr="00134435">
        <w:t>performed</w:t>
      </w:r>
      <w:r w:rsidRPr="00134435">
        <w:t xml:space="preserve"> to predict the pH profile with time as the accident progresses, to demonstrate an acceptable pH/partition coefficient is maintained. This is a complex calculation and the methodology should consider all potential sources of acidic and basic chemical species which may be present during</w:t>
      </w:r>
      <w:r w:rsidR="00C21DAA">
        <w:t xml:space="preserve"> an accident. These may include</w:t>
      </w:r>
      <w:r w:rsidRPr="00134435">
        <w:t>:</w:t>
      </w:r>
    </w:p>
    <w:p w14:paraId="5F3F4C52" w14:textId="77777777" w:rsidR="008C6F42" w:rsidRPr="00134435" w:rsidRDefault="007F629D" w:rsidP="008C6F42">
      <w:pPr>
        <w:pStyle w:val="TSBullet1Square"/>
      </w:pPr>
      <w:r>
        <w:t>s</w:t>
      </w:r>
      <w:r w:rsidRPr="00134435">
        <w:t xml:space="preserve">oluble </w:t>
      </w:r>
      <w:r w:rsidR="008C6F42" w:rsidRPr="00134435">
        <w:t>sources of neutron poisons</w:t>
      </w:r>
      <w:r w:rsidR="007E7796">
        <w:t>,</w:t>
      </w:r>
      <w:r w:rsidR="008C6F42" w:rsidRPr="00134435">
        <w:t xml:space="preserve"> </w:t>
      </w:r>
      <w:r w:rsidR="007E7796">
        <w:t>e.g.</w:t>
      </w:r>
      <w:r w:rsidR="00B54B43">
        <w:t xml:space="preserve"> boric acid</w:t>
      </w:r>
      <w:r w:rsidR="008C6F42" w:rsidRPr="00134435">
        <w:t>;</w:t>
      </w:r>
    </w:p>
    <w:p w14:paraId="5F3F4C53" w14:textId="77777777" w:rsidR="008C6F42" w:rsidRPr="00134435" w:rsidRDefault="007F629D" w:rsidP="008C6F42">
      <w:pPr>
        <w:pStyle w:val="TSBullet1Square"/>
      </w:pPr>
      <w:r>
        <w:t>c</w:t>
      </w:r>
      <w:r w:rsidRPr="00134435">
        <w:t xml:space="preserve">arbon </w:t>
      </w:r>
      <w:r w:rsidR="008C6F42" w:rsidRPr="00134435">
        <w:t>dioxide – present in air and adsorbed by w</w:t>
      </w:r>
      <w:r w:rsidR="00B54B43">
        <w:t>ater to produce carbonic acid</w:t>
      </w:r>
      <w:r w:rsidR="008C6F42" w:rsidRPr="00134435">
        <w:t>;</w:t>
      </w:r>
    </w:p>
    <w:p w14:paraId="5F3F4C54" w14:textId="1873E08E" w:rsidR="008C6F42" w:rsidRPr="00134435" w:rsidRDefault="007F629D" w:rsidP="008C6F42">
      <w:pPr>
        <w:pStyle w:val="TSBullet1Square"/>
      </w:pPr>
      <w:r>
        <w:t>c</w:t>
      </w:r>
      <w:r w:rsidRPr="00134435">
        <w:t xml:space="preserve">aesium </w:t>
      </w:r>
      <w:r w:rsidR="00B54B43">
        <w:t>hydroxide</w:t>
      </w:r>
      <w:r w:rsidR="008C6F42" w:rsidRPr="00134435">
        <w:t xml:space="preserve"> – strongly basic, introduced during accidents from the degrading core;</w:t>
      </w:r>
    </w:p>
    <w:p w14:paraId="5F3F4C55" w14:textId="77777777" w:rsidR="008C6F42" w:rsidRPr="00134435" w:rsidRDefault="007F629D" w:rsidP="008C6F42">
      <w:pPr>
        <w:pStyle w:val="TSBullet1Square"/>
      </w:pPr>
      <w:r>
        <w:t>c</w:t>
      </w:r>
      <w:r w:rsidRPr="00134435">
        <w:t>ore</w:t>
      </w:r>
      <w:r w:rsidR="008C6F42" w:rsidRPr="00134435">
        <w:t>-concrete aerosols – produced during the ex-vessel phase of some accident scenarios;</w:t>
      </w:r>
    </w:p>
    <w:p w14:paraId="5F3F4C56" w14:textId="77777777" w:rsidR="008C6F42" w:rsidRPr="00134435" w:rsidRDefault="007F629D" w:rsidP="008C6F42">
      <w:pPr>
        <w:pStyle w:val="TSBullet1Square"/>
      </w:pPr>
      <w:r>
        <w:t>di</w:t>
      </w:r>
      <w:r w:rsidRPr="00134435">
        <w:t xml:space="preserve">ssolved </w:t>
      </w:r>
      <w:r w:rsidR="008C6F42" w:rsidRPr="00134435">
        <w:t>products from the radiolysis of moist air under accident conditions to produce nitric aci</w:t>
      </w:r>
      <w:r w:rsidR="00B54B43">
        <w:t>d</w:t>
      </w:r>
      <w:r w:rsidR="008C6F42" w:rsidRPr="00134435">
        <w:t>;</w:t>
      </w:r>
    </w:p>
    <w:p w14:paraId="5F3F4C57" w14:textId="77777777" w:rsidR="008C6F42" w:rsidRPr="00134435" w:rsidRDefault="007F629D" w:rsidP="008C6F42">
      <w:pPr>
        <w:pStyle w:val="TSBullet1Square"/>
      </w:pPr>
      <w:r>
        <w:t>h</w:t>
      </w:r>
      <w:r w:rsidRPr="00134435">
        <w:t xml:space="preserve">ydrochloric </w:t>
      </w:r>
      <w:r w:rsidR="00B54B43">
        <w:t>acid</w:t>
      </w:r>
      <w:r w:rsidR="008C6F42" w:rsidRPr="00134435">
        <w:t xml:space="preserve"> – formed during accidents from the radiolysis or burning of chlori</w:t>
      </w:r>
      <w:r w:rsidR="00893BB8">
        <w:t>de-bearing insulation on cables</w:t>
      </w:r>
      <w:r w:rsidR="008C6F42" w:rsidRPr="00134435">
        <w:t>;</w:t>
      </w:r>
    </w:p>
    <w:p w14:paraId="5F3F4C58" w14:textId="77777777" w:rsidR="008C6F42" w:rsidRPr="00134435" w:rsidRDefault="007F629D" w:rsidP="008C6F42">
      <w:pPr>
        <w:pStyle w:val="TSBullet1Square"/>
      </w:pPr>
      <w:r>
        <w:t>h</w:t>
      </w:r>
      <w:r w:rsidRPr="00134435">
        <w:t xml:space="preserve">ydroiodic </w:t>
      </w:r>
      <w:r w:rsidR="00B54B43">
        <w:t>acid</w:t>
      </w:r>
      <w:r w:rsidR="008C6F42" w:rsidRPr="00134435">
        <w:t xml:space="preserve"> – the chemical form of some of the iodine fraction released from the de</w:t>
      </w:r>
      <w:r w:rsidR="00893BB8">
        <w:t>grading core during an accident</w:t>
      </w:r>
      <w:r w:rsidR="008C6F42" w:rsidRPr="00134435">
        <w:t xml:space="preserve">; </w:t>
      </w:r>
    </w:p>
    <w:p w14:paraId="5F3F4C59" w14:textId="77777777" w:rsidR="008C6F42" w:rsidRDefault="007F629D" w:rsidP="008C6F42">
      <w:pPr>
        <w:pStyle w:val="TSBullet1Square"/>
      </w:pPr>
      <w:r>
        <w:t>o</w:t>
      </w:r>
      <w:r w:rsidRPr="00134435">
        <w:t>rganic impurities</w:t>
      </w:r>
      <w:r w:rsidR="008C6F42" w:rsidRPr="00134435">
        <w:t xml:space="preserve"> which may react with water radiolysis pro</w:t>
      </w:r>
      <w:r w:rsidR="00B54B43">
        <w:t>ducts to form organic acids</w:t>
      </w:r>
      <w:r w:rsidR="008C6F42" w:rsidRPr="00134435">
        <w:t>.</w:t>
      </w:r>
    </w:p>
    <w:p w14:paraId="5F3F4C5A" w14:textId="77777777" w:rsidR="001A0C5F" w:rsidRPr="001A0C5F" w:rsidRDefault="001A0C5F" w:rsidP="001A0C5F"/>
    <w:p w14:paraId="5F3F4C5B" w14:textId="77777777" w:rsidR="007F629D" w:rsidRPr="00A551A5" w:rsidRDefault="00C21DAA" w:rsidP="00DB4353">
      <w:pPr>
        <w:pStyle w:val="TSHeadingLevel3"/>
        <w:rPr>
          <w:b/>
          <w:highlight w:val="yellow"/>
        </w:rPr>
      </w:pPr>
      <w:r>
        <w:rPr>
          <w:b/>
        </w:rPr>
        <w:t>Gas Phase C</w:t>
      </w:r>
      <w:r w:rsidR="008C6F42" w:rsidRPr="00A551A5">
        <w:rPr>
          <w:b/>
        </w:rPr>
        <w:t>hemistry</w:t>
      </w:r>
    </w:p>
    <w:p w14:paraId="5F3F4C5C" w14:textId="77777777" w:rsidR="00226BC6" w:rsidRPr="00893BB8" w:rsidRDefault="00226BC6" w:rsidP="001A0C5F">
      <w:pPr>
        <w:pStyle w:val="TSApp2ParaNum"/>
      </w:pPr>
      <w:r w:rsidRPr="00893BB8">
        <w:t>From a nuclear safety standpoint, developing an adequate understanding of the processes</w:t>
      </w:r>
      <w:r w:rsidR="00A17A1C">
        <w:t xml:space="preserve"> which govern the concentration</w:t>
      </w:r>
      <w:r w:rsidRPr="00893BB8">
        <w:t xml:space="preserve"> of gaseous radioiodine</w:t>
      </w:r>
      <w:r w:rsidR="002D6DC2">
        <w:t xml:space="preserve"> </w:t>
      </w:r>
      <w:r w:rsidR="00707A85">
        <w:t>(</w:t>
      </w:r>
      <w:r w:rsidR="00414C3F">
        <w:t>i.e.</w:t>
      </w:r>
      <w:r w:rsidR="00707A85">
        <w:t xml:space="preserve"> iodine volatility)</w:t>
      </w:r>
      <w:r w:rsidRPr="00893BB8">
        <w:t xml:space="preserve"> in the containment atmosphere of nuclear reactors is fundamental to the demonstration of safety. This is principally because in the event of purposeful venting, leakage</w:t>
      </w:r>
      <w:r w:rsidR="00893BB8">
        <w:t xml:space="preserve"> or failure of the containment</w:t>
      </w:r>
      <w:r w:rsidR="00414C3F">
        <w:t>,</w:t>
      </w:r>
      <w:r w:rsidR="00893BB8">
        <w:t xml:space="preserve"> </w:t>
      </w:r>
      <w:r w:rsidRPr="00893BB8">
        <w:t>the gaseous radioiodine contained in the atmosphere may constitut</w:t>
      </w:r>
      <w:r w:rsidR="00893BB8">
        <w:t xml:space="preserve">e a dominant source of the total </w:t>
      </w:r>
      <w:r w:rsidRPr="00893BB8">
        <w:t xml:space="preserve">radioactivity </w:t>
      </w:r>
      <w:r w:rsidR="00893BB8">
        <w:t xml:space="preserve">released </w:t>
      </w:r>
      <w:r w:rsidRPr="00893BB8">
        <w:t>to the environment</w:t>
      </w:r>
      <w:r w:rsidR="002165F4">
        <w:t xml:space="preserve"> under these scenarios</w:t>
      </w:r>
      <w:r w:rsidRPr="00893BB8">
        <w:t>.</w:t>
      </w:r>
    </w:p>
    <w:p w14:paraId="5F3F4C5D" w14:textId="77777777" w:rsidR="005B6FCF" w:rsidRPr="00707A85" w:rsidRDefault="005D3DF2" w:rsidP="00893BB8">
      <w:pPr>
        <w:pStyle w:val="TSApp2ParaNum"/>
      </w:pPr>
      <w:r w:rsidRPr="00893BB8">
        <w:t>Th</w:t>
      </w:r>
      <w:r w:rsidR="00CF0B8E">
        <w:t>e volatile forms of iodine are molecular iodine</w:t>
      </w:r>
      <w:r w:rsidRPr="00893BB8">
        <w:rPr>
          <w:vertAlign w:val="subscript"/>
        </w:rPr>
        <w:t xml:space="preserve"> </w:t>
      </w:r>
      <w:r w:rsidRPr="00893BB8">
        <w:t>and organic iodides, the most volatile of which under nuclear reactor accident scenari</w:t>
      </w:r>
      <w:r w:rsidR="00B54B43">
        <w:t>os tends to be methyl iodide</w:t>
      </w:r>
      <w:r w:rsidRPr="00893BB8">
        <w:t>. There are a number of mechanisms responsible for the formation of organic iodides</w:t>
      </w:r>
      <w:r w:rsidR="00CF0B8E">
        <w:t>, including reaction of iodine</w:t>
      </w:r>
      <w:r w:rsidR="005B6FCF" w:rsidRPr="00893BB8">
        <w:t xml:space="preserve"> with organic species dissolved in in-containment </w:t>
      </w:r>
      <w:r w:rsidR="009B588A" w:rsidRPr="00893BB8">
        <w:t xml:space="preserve">water </w:t>
      </w:r>
      <w:r w:rsidR="005B6FCF" w:rsidRPr="00893BB8">
        <w:t>so</w:t>
      </w:r>
      <w:r w:rsidR="00893BB8">
        <w:t>urces, or reaction of any</w:t>
      </w:r>
      <w:r w:rsidR="00CF0B8E">
        <w:t xml:space="preserve"> iodine</w:t>
      </w:r>
      <w:r w:rsidR="005B6FCF" w:rsidRPr="00893BB8">
        <w:t xml:space="preserve"> </w:t>
      </w:r>
      <w:r w:rsidR="00893BB8">
        <w:t xml:space="preserve">which has partitioned from the liquid to the gas phase, </w:t>
      </w:r>
      <w:r w:rsidR="005B6FCF" w:rsidRPr="00893BB8">
        <w:t xml:space="preserve">with organic </w:t>
      </w:r>
      <w:r w:rsidR="00893BB8">
        <w:t xml:space="preserve">species in the gas phase. </w:t>
      </w:r>
      <w:r w:rsidR="005B6FCF" w:rsidRPr="00893BB8">
        <w:t>The formation of volatile organic iodides ca</w:t>
      </w:r>
      <w:r w:rsidR="009B588A" w:rsidRPr="00893BB8">
        <w:t>n be particularly problematic</w:t>
      </w:r>
      <w:r w:rsidR="00414C3F">
        <w:t>,</w:t>
      </w:r>
      <w:r w:rsidR="009B588A" w:rsidRPr="00893BB8">
        <w:t xml:space="preserve"> as</w:t>
      </w:r>
      <w:r w:rsidR="005B6FCF" w:rsidRPr="00893BB8">
        <w:t xml:space="preserve"> </w:t>
      </w:r>
      <w:r w:rsidR="00414C3F">
        <w:t xml:space="preserve">when </w:t>
      </w:r>
      <w:r w:rsidR="005B6FCF" w:rsidRPr="00893BB8">
        <w:t>comp</w:t>
      </w:r>
      <w:r w:rsidR="00CF0B8E">
        <w:t>ared to molecular iodine</w:t>
      </w:r>
      <w:r w:rsidR="009B588A" w:rsidRPr="00893BB8">
        <w:t xml:space="preserve">, they are less easily scrubbed or filtered from the containment atmosphere, which introduces further uncertainty in the estimation of </w:t>
      </w:r>
      <w:r w:rsidR="009B588A" w:rsidRPr="00707A85">
        <w:t xml:space="preserve">radiological consequences for some reactor accident scenarios. </w:t>
      </w:r>
    </w:p>
    <w:p w14:paraId="5F3F4C5E" w14:textId="307A6FBE" w:rsidR="00226BC6" w:rsidRPr="004C5A91" w:rsidRDefault="005B6FCF" w:rsidP="001A0C5F">
      <w:pPr>
        <w:pStyle w:val="TSApp2ParaNum"/>
      </w:pPr>
      <w:r w:rsidRPr="00707A85">
        <w:t xml:space="preserve">In addition, there is the added complication of the </w:t>
      </w:r>
      <w:r w:rsidR="00893BB8" w:rsidRPr="00707A85">
        <w:t>radiolytic</w:t>
      </w:r>
      <w:r w:rsidRPr="00707A85">
        <w:t xml:space="preserve"> reactions of iodine which may take place in the gas phase. The effect of r</w:t>
      </w:r>
      <w:r w:rsidR="0052401E" w:rsidRPr="00707A85">
        <w:t xml:space="preserve">adiation on the gases present </w:t>
      </w:r>
      <w:r w:rsidRPr="00707A85">
        <w:t>in the containment atmosphere</w:t>
      </w:r>
      <w:r w:rsidR="0052401E" w:rsidRPr="00707A85">
        <w:t xml:space="preserve"> (</w:t>
      </w:r>
      <w:r w:rsidR="00414C3F" w:rsidRPr="00707A85">
        <w:t>i.e.</w:t>
      </w:r>
      <w:r w:rsidR="00CF0B8E">
        <w:t xml:space="preserve"> oxygen, nitrogen, steam</w:t>
      </w:r>
      <w:r w:rsidR="0052401E" w:rsidRPr="00707A85">
        <w:t xml:space="preserve">), </w:t>
      </w:r>
      <w:r w:rsidRPr="00707A85">
        <w:t>produces a number of chemically reacti</w:t>
      </w:r>
      <w:r w:rsidR="009B588A" w:rsidRPr="00707A85">
        <w:t xml:space="preserve">ve decomposition products. </w:t>
      </w:r>
      <w:r w:rsidR="00D761C0">
        <w:t xml:space="preserve">Reaction with these </w:t>
      </w:r>
      <w:r w:rsidR="009B588A" w:rsidRPr="00707A85">
        <w:t>can lead to the decomposition</w:t>
      </w:r>
      <w:r w:rsidR="00FA75F0" w:rsidRPr="00707A85">
        <w:t>/conversion</w:t>
      </w:r>
      <w:r w:rsidR="009B588A" w:rsidRPr="00707A85">
        <w:t xml:space="preserve"> of organic iodides </w:t>
      </w:r>
      <w:r w:rsidR="00CF0B8E">
        <w:t>and iodine</w:t>
      </w:r>
      <w:r w:rsidR="00FA75F0" w:rsidRPr="00707A85">
        <w:t xml:space="preserve"> </w:t>
      </w:r>
      <w:r w:rsidR="009B588A" w:rsidRPr="00707A85">
        <w:t xml:space="preserve">into involatile iodine oxides. This may lead to a reduction in the concentration of iodine in the gas phase (and therefore </w:t>
      </w:r>
      <w:r w:rsidR="00AB367B">
        <w:t xml:space="preserve">in the amount </w:t>
      </w:r>
      <w:r w:rsidR="009B588A" w:rsidRPr="00707A85">
        <w:t xml:space="preserve">available for potential release to the environment), </w:t>
      </w:r>
      <w:r w:rsidR="00FA75F0" w:rsidRPr="00707A85">
        <w:t xml:space="preserve">as iodine oxides deposit on </w:t>
      </w:r>
      <w:r w:rsidR="009B588A" w:rsidRPr="00707A85">
        <w:t xml:space="preserve">any </w:t>
      </w:r>
      <w:r w:rsidR="00FA75F0" w:rsidRPr="00707A85">
        <w:t xml:space="preserve">in-containment </w:t>
      </w:r>
      <w:r w:rsidR="009B588A" w:rsidRPr="00707A85">
        <w:t>surfaces including wal</w:t>
      </w:r>
      <w:r w:rsidR="00FA75F0" w:rsidRPr="00707A85">
        <w:t xml:space="preserve">ls, </w:t>
      </w:r>
      <w:r w:rsidR="009B588A" w:rsidRPr="00707A85">
        <w:t xml:space="preserve">pipework </w:t>
      </w:r>
      <w:r w:rsidR="00AB367B" w:rsidRPr="00707A85">
        <w:t>etc.</w:t>
      </w:r>
      <w:r w:rsidR="009B588A" w:rsidRPr="00707A85">
        <w:t>, aerosols or water droplets</w:t>
      </w:r>
      <w:r w:rsidR="00FA75F0" w:rsidRPr="00707A85">
        <w:t xml:space="preserve">, or re-dissolve in water sources. </w:t>
      </w:r>
      <w:r w:rsidR="00A67272" w:rsidRPr="00707A85">
        <w:t>There is still considerable uncertainty</w:t>
      </w:r>
      <w:r w:rsidR="0052401E" w:rsidRPr="00707A85">
        <w:t>, however, as to the dominance of this mechanism in</w:t>
      </w:r>
      <w:r w:rsidR="00B54B43">
        <w:t xml:space="preserve"> reducing iodine volatility. Iodine oxide</w:t>
      </w:r>
      <w:r w:rsidR="0052401E" w:rsidRPr="00707A85">
        <w:t xml:space="preserve"> solids are hygroscopic and the impact of radiation in post-accident reactor containments, means further conversion into </w:t>
      </w:r>
      <w:r w:rsidR="0052401E" w:rsidRPr="004C5A91">
        <w:t xml:space="preserve">other physical and chemical forms is likely. </w:t>
      </w:r>
      <w:r w:rsidR="00A67272" w:rsidRPr="004C5A91">
        <w:t xml:space="preserve"> </w:t>
      </w:r>
      <w:r w:rsidR="009B588A" w:rsidRPr="004C5A91">
        <w:t xml:space="preserve">   </w:t>
      </w:r>
      <w:r w:rsidRPr="004C5A91">
        <w:t xml:space="preserve"> </w:t>
      </w:r>
      <w:r w:rsidR="005D3DF2" w:rsidRPr="004C5A91">
        <w:t xml:space="preserve">  </w:t>
      </w:r>
      <w:r w:rsidR="00226BC6" w:rsidRPr="004C5A91">
        <w:t xml:space="preserve">  </w:t>
      </w:r>
    </w:p>
    <w:p w14:paraId="5F3F4C5F" w14:textId="3D21B905" w:rsidR="001A0C5F" w:rsidRPr="004C5A91" w:rsidRDefault="00707A85" w:rsidP="001A0C5F">
      <w:pPr>
        <w:pStyle w:val="TSApp2ParaNum"/>
      </w:pPr>
      <w:r w:rsidRPr="004C5A91">
        <w:t>Iodine</w:t>
      </w:r>
      <w:r w:rsidR="002165F4" w:rsidRPr="004C5A91">
        <w:t xml:space="preserve"> contained in the containment atmosphere</w:t>
      </w:r>
      <w:r w:rsidRPr="004C5A91">
        <w:t xml:space="preserve"> will undergo adsorption and desorption from a number of in-containment surfaces, each </w:t>
      </w:r>
      <w:r w:rsidR="002165F4" w:rsidRPr="004C5A91">
        <w:t xml:space="preserve">of which will have </w:t>
      </w:r>
      <w:r w:rsidRPr="004C5A91">
        <w:t>a different affinity for iodine</w:t>
      </w:r>
      <w:r w:rsidR="002165F4" w:rsidRPr="004C5A91">
        <w:t xml:space="preserve"> </w:t>
      </w:r>
      <w:r w:rsidR="00FF3AF6" w:rsidRPr="004C5A91">
        <w:t xml:space="preserve">depending on a number of factors </w:t>
      </w:r>
      <w:r w:rsidR="00B22229">
        <w:t>i.e.</w:t>
      </w:r>
      <w:r w:rsidR="002D6DC2">
        <w:t xml:space="preserve"> </w:t>
      </w:r>
      <w:r w:rsidR="00FF3AF6" w:rsidRPr="004C5A91">
        <w:t xml:space="preserve">material type, moisture content </w:t>
      </w:r>
      <w:r w:rsidR="00E1197D" w:rsidRPr="004C5A91">
        <w:t>etc.</w:t>
      </w:r>
      <w:r w:rsidR="00B22229">
        <w:t xml:space="preserve">  E</w:t>
      </w:r>
      <w:r w:rsidRPr="004C5A91">
        <w:t xml:space="preserve">ach of </w:t>
      </w:r>
      <w:r w:rsidR="00B22229">
        <w:t>these</w:t>
      </w:r>
      <w:r w:rsidRPr="004C5A91">
        <w:t xml:space="preserve"> can</w:t>
      </w:r>
      <w:r w:rsidR="002165F4" w:rsidRPr="004C5A91">
        <w:t xml:space="preserve"> therefore</w:t>
      </w:r>
      <w:r w:rsidRPr="004C5A91">
        <w:t xml:space="preserve"> impact iodine volatility in different ways. Painted surfaces are commonly encountered in the containments of nuclear reactors, mainly to mitigate corrosion phenomena. Consequently, the action of painted surfaces on iodine behaviour may also be an important factor and has therefore been explored by a number of experimental </w:t>
      </w:r>
      <w:r w:rsidR="00CD1A87">
        <w:t>programmes</w:t>
      </w:r>
      <w:r w:rsidR="002165F4" w:rsidRPr="004C5A91">
        <w:t xml:space="preserve">, </w:t>
      </w:r>
      <w:r w:rsidRPr="004C5A91">
        <w:t xml:space="preserve">to </w:t>
      </w:r>
      <w:r w:rsidR="002165F4" w:rsidRPr="004C5A91">
        <w:t xml:space="preserve">seek to </w:t>
      </w:r>
      <w:r w:rsidRPr="004C5A91">
        <w:t xml:space="preserve">gain a better understanding of the relative importance of </w:t>
      </w:r>
      <w:r w:rsidR="00FD4E19" w:rsidRPr="004C5A91">
        <w:t>this</w:t>
      </w:r>
      <w:r w:rsidR="00FD4E19">
        <w:t xml:space="preserve"> </w:t>
      </w:r>
      <w:r w:rsidR="00FD4E19" w:rsidRPr="004C5A91">
        <w:t>phenomenon</w:t>
      </w:r>
      <w:r w:rsidR="002D6DC2">
        <w:t xml:space="preserve"> in determining the behaviour of iodine</w:t>
      </w:r>
      <w:r w:rsidRPr="004C5A91">
        <w:t xml:space="preserve">. </w:t>
      </w:r>
    </w:p>
    <w:p w14:paraId="5F3F4C60" w14:textId="77777777" w:rsidR="002165F4" w:rsidRPr="004C5A91" w:rsidRDefault="008C6F42" w:rsidP="00CF0B8E">
      <w:pPr>
        <w:pStyle w:val="TSApp2ParaNum"/>
      </w:pPr>
      <w:r w:rsidRPr="004C5A91">
        <w:t xml:space="preserve">The action of painted surfaces on </w:t>
      </w:r>
      <w:r w:rsidR="00707A85" w:rsidRPr="004C5A91">
        <w:t xml:space="preserve">iodine behaviour generally has </w:t>
      </w:r>
      <w:r w:rsidRPr="004C5A91">
        <w:t xml:space="preserve">two countering effects: they </w:t>
      </w:r>
      <w:r w:rsidR="00707A85" w:rsidRPr="004C5A91">
        <w:t xml:space="preserve">can act as both a </w:t>
      </w:r>
      <w:r w:rsidR="002D6DC2">
        <w:t>‘</w:t>
      </w:r>
      <w:r w:rsidR="00707A85" w:rsidRPr="004C5A91">
        <w:t>sink</w:t>
      </w:r>
      <w:r w:rsidR="002D6DC2">
        <w:t>’</w:t>
      </w:r>
      <w:r w:rsidR="00CF0B8E">
        <w:t xml:space="preserve"> for iodine</w:t>
      </w:r>
      <w:r w:rsidR="00707A85" w:rsidRPr="004C5A91">
        <w:t xml:space="preserve"> </w:t>
      </w:r>
      <w:r w:rsidRPr="004C5A91">
        <w:t>and</w:t>
      </w:r>
      <w:r w:rsidR="00707A85" w:rsidRPr="004C5A91">
        <w:t>/or</w:t>
      </w:r>
      <w:r w:rsidRPr="004C5A91">
        <w:t xml:space="preserve"> a source of volatile organic iodine.</w:t>
      </w:r>
      <w:r w:rsidR="002165F4" w:rsidRPr="004C5A91">
        <w:t xml:space="preserve"> Although painted surfaces may adsorb iodine from the containment atmosphere and therefore reduce the inventory of gaseous iodine available in the containment for potential release to the environment, the concern comes with the action of some</w:t>
      </w:r>
      <w:r w:rsidR="00CF0B8E">
        <w:t xml:space="preserve"> painted surfaces on iodine, which can convert iodine</w:t>
      </w:r>
      <w:r w:rsidR="002D6DC2">
        <w:t xml:space="preserve"> in</w:t>
      </w:r>
      <w:r w:rsidR="002165F4" w:rsidRPr="004C5A91">
        <w:t xml:space="preserve">to organic iodides, which as stated above, are more difficult to scrub/filter from the containment atmosphere and may therefore lead to an increase in the inventory of radioiodine available </w:t>
      </w:r>
      <w:r w:rsidR="002D6DC2">
        <w:t>for release</w:t>
      </w:r>
      <w:r w:rsidR="002165F4" w:rsidRPr="004C5A91">
        <w:t xml:space="preserve">. </w:t>
      </w:r>
    </w:p>
    <w:p w14:paraId="5F3F4C61" w14:textId="77777777" w:rsidR="004C5A91" w:rsidRPr="004C5A91" w:rsidRDefault="002D6DC2" w:rsidP="004C5A91">
      <w:pPr>
        <w:pStyle w:val="TSApp2ParaNum"/>
      </w:pPr>
      <w:r>
        <w:t xml:space="preserve">A common design feature of </w:t>
      </w:r>
      <w:r w:rsidR="002165F4" w:rsidRPr="004C5A91">
        <w:t>LWR containments is to include a spray system(s) which</w:t>
      </w:r>
      <w:r>
        <w:t xml:space="preserve"> reduces </w:t>
      </w:r>
      <w:r w:rsidR="002165F4" w:rsidRPr="004C5A91">
        <w:t xml:space="preserve">pressure in </w:t>
      </w:r>
      <w:r>
        <w:t xml:space="preserve">the </w:t>
      </w:r>
      <w:r w:rsidR="002165F4" w:rsidRPr="004C5A91">
        <w:t>containment during some accident scenarios.</w:t>
      </w:r>
      <w:r w:rsidR="00FF3AF6" w:rsidRPr="004C5A91">
        <w:t xml:space="preserve"> As well as performing this function, sprays may also wash-out</w:t>
      </w:r>
      <w:r w:rsidR="00E02D72">
        <w:t xml:space="preserve"> aerosols and volatile </w:t>
      </w:r>
      <w:r w:rsidR="00CF0B8E">
        <w:t>iodine</w:t>
      </w:r>
      <w:r w:rsidR="00FF3AF6" w:rsidRPr="004C5A91">
        <w:t xml:space="preserve"> from the containment atmosphere and/or </w:t>
      </w:r>
      <w:r>
        <w:t xml:space="preserve">which are </w:t>
      </w:r>
      <w:r w:rsidR="00FF3AF6" w:rsidRPr="004C5A91">
        <w:t xml:space="preserve">adsorbed on various </w:t>
      </w:r>
      <w:r w:rsidR="004C5A91" w:rsidRPr="004C5A91">
        <w:t xml:space="preserve">in-containment </w:t>
      </w:r>
      <w:r w:rsidR="00FF3AF6" w:rsidRPr="004C5A91">
        <w:t xml:space="preserve">surfaces. Unsurprisingly, </w:t>
      </w:r>
      <w:r>
        <w:t xml:space="preserve">therefore, </w:t>
      </w:r>
      <w:r w:rsidR="00FF3AF6" w:rsidRPr="004C5A91">
        <w:t xml:space="preserve">these phenomena have been the focus of numerous experimental </w:t>
      </w:r>
      <w:r w:rsidR="00CD1A87">
        <w:t>programmes</w:t>
      </w:r>
      <w:r w:rsidR="00FF3AF6" w:rsidRPr="004C5A91">
        <w:t>. The general conclusions are that the removal efficiency of aerosols by sprays is generally governed by thermal hydraulics</w:t>
      </w:r>
      <w:r w:rsidR="004C5A91" w:rsidRPr="004C5A91">
        <w:t>, whereas the prevailing chemistry conditions play a more significant role in the removal of volatile</w:t>
      </w:r>
      <w:r w:rsidR="00E02D72">
        <w:t xml:space="preserve"> iodine</w:t>
      </w:r>
      <w:r w:rsidR="004C5A91" w:rsidRPr="004C5A91">
        <w:t xml:space="preserve"> </w:t>
      </w:r>
      <w:r w:rsidR="00E1197D" w:rsidRPr="004C5A91">
        <w:t>i.e.</w:t>
      </w:r>
      <w:r w:rsidR="004C5A91" w:rsidRPr="004C5A91">
        <w:t xml:space="preserve"> by the addition of additives to the spray water, and/or pH buffering (similar to control of the pH of in-containment water sources</w:t>
      </w:r>
      <w:r>
        <w:t>), to promote</w:t>
      </w:r>
      <w:r w:rsidR="004C5A91" w:rsidRPr="004C5A91">
        <w:t xml:space="preserve"> iodine hydrolysis. </w:t>
      </w:r>
    </w:p>
    <w:p w14:paraId="5F3F4C62" w14:textId="77777777" w:rsidR="008B50CE" w:rsidRDefault="00A17A1C" w:rsidP="001D6E16">
      <w:pPr>
        <w:pStyle w:val="TSApp2ParaNum"/>
      </w:pPr>
      <w:r>
        <w:t>In summary, understanding iodine phenomena is a complex topic and it is clear that there are numerous competing processes which give rise to different physical and chemical forms of iodine in a post-accident reactor containment. This means that understanding the iodine source term is one of the numerous uncertainties</w:t>
      </w:r>
      <w:r w:rsidR="00441207">
        <w:t xml:space="preserve"> inherent in undertaking </w:t>
      </w:r>
      <w:r>
        <w:t>accident analysis for nuclear facilities.</w:t>
      </w:r>
    </w:p>
    <w:p w14:paraId="5F3F4C63" w14:textId="77777777" w:rsidR="008B50CE" w:rsidRPr="001D6E16" w:rsidRDefault="00220281" w:rsidP="001D6E16">
      <w:pPr>
        <w:pStyle w:val="TSApp2ParaNum"/>
      </w:pPr>
      <w:r>
        <w:t xml:space="preserve">Additional </w:t>
      </w:r>
      <w:r w:rsidR="00A17A1C">
        <w:t xml:space="preserve">information can be found in the references listed below.   </w:t>
      </w:r>
      <w:r w:rsidR="00FF3AF6" w:rsidRPr="004C5A91">
        <w:t xml:space="preserve">    </w:t>
      </w:r>
      <w:r w:rsidR="002165F4" w:rsidRPr="004C5A91">
        <w:t xml:space="preserve">  </w:t>
      </w:r>
      <w:r w:rsidR="008C6F42" w:rsidRPr="004C5A91">
        <w:t xml:space="preserve"> </w:t>
      </w:r>
    </w:p>
    <w:p w14:paraId="5F3F4C64" w14:textId="77777777" w:rsidR="008C6F42" w:rsidRPr="00345F0C" w:rsidRDefault="008C6F42" w:rsidP="002F38AC">
      <w:pPr>
        <w:pStyle w:val="TSNumberedParagraph11"/>
        <w:numPr>
          <w:ilvl w:val="0"/>
          <w:numId w:val="0"/>
        </w:numPr>
        <w:rPr>
          <w:b/>
          <w:u w:val="single"/>
        </w:rPr>
      </w:pPr>
      <w:r w:rsidRPr="00AA132F">
        <w:rPr>
          <w:b/>
          <w:u w:val="single"/>
        </w:rPr>
        <w:t>References</w:t>
      </w:r>
    </w:p>
    <w:p w14:paraId="5F3F4C65" w14:textId="77777777" w:rsidR="007F629D" w:rsidRPr="00C36187" w:rsidRDefault="007F629D" w:rsidP="00DE13B2">
      <w:pPr>
        <w:rPr>
          <w:b/>
          <w:highlight w:val="yellow"/>
        </w:rPr>
        <w:sectPr w:rsidR="007F629D" w:rsidRPr="00C36187" w:rsidSect="00D215BD">
          <w:footnotePr>
            <w:pos w:val="beneathText"/>
          </w:footnotePr>
          <w:endnotePr>
            <w:numFmt w:val="decimal"/>
          </w:endnotePr>
          <w:pgSz w:w="11906" w:h="16838" w:code="9"/>
          <w:pgMar w:top="1134" w:right="1134" w:bottom="1134" w:left="1588" w:header="431" w:footer="567" w:gutter="0"/>
          <w:cols w:space="708"/>
          <w:titlePg/>
          <w:docGrid w:linePitch="360"/>
        </w:sectPr>
      </w:pPr>
    </w:p>
    <w:p w14:paraId="5F3F4C66" w14:textId="77777777" w:rsidR="00EB5AA5" w:rsidRPr="001A0C5F" w:rsidRDefault="00EB5AA5" w:rsidP="001A0C5F">
      <w:pPr>
        <w:pStyle w:val="TSAppendixHeader"/>
      </w:pPr>
      <w:r w:rsidRPr="004301CB">
        <w:t xml:space="preserve">APPENDIX </w:t>
      </w:r>
      <w:r w:rsidR="008C6F42" w:rsidRPr="004301CB">
        <w:t>3</w:t>
      </w:r>
      <w:r w:rsidR="00F547FF" w:rsidRPr="004301CB">
        <w:t>:</w:t>
      </w:r>
      <w:r w:rsidR="00B36A6E" w:rsidRPr="004301CB">
        <w:t xml:space="preserve"> </w:t>
      </w:r>
      <w:r w:rsidR="001A0C5F" w:rsidRPr="004301CB">
        <w:tab/>
      </w:r>
      <w:r w:rsidR="00591713" w:rsidRPr="004301CB">
        <w:t xml:space="preserve">MATERIAL, </w:t>
      </w:r>
      <w:r w:rsidRPr="004301CB">
        <w:t>CHEMICAL AND RADIOCHEMICAL SAMPLING AND ANALYSIS</w:t>
      </w:r>
      <w:r w:rsidRPr="001A0C5F">
        <w:t xml:space="preserve"> </w:t>
      </w:r>
    </w:p>
    <w:p w14:paraId="5F3F4C67" w14:textId="43DD780A" w:rsidR="00EB5AA5" w:rsidRPr="00455AC7" w:rsidRDefault="00235628" w:rsidP="00455AC7">
      <w:pPr>
        <w:pStyle w:val="TSApp3ParaNum"/>
      </w:pPr>
      <w:r>
        <w:t xml:space="preserve">This </w:t>
      </w:r>
      <w:r w:rsidR="004C103F">
        <w:t xml:space="preserve">appendix </w:t>
      </w:r>
      <w:r w:rsidR="00026608">
        <w:t>provides</w:t>
      </w:r>
      <w:r w:rsidR="004C103F">
        <w:t xml:space="preserve"> further </w:t>
      </w:r>
      <w:r>
        <w:t>guidance and information in relation to SAP ECH.4.</w:t>
      </w:r>
      <w:r w:rsidR="00455AC7" w:rsidRPr="00455AC7">
        <w:t xml:space="preserve"> </w:t>
      </w:r>
    </w:p>
    <w:p w14:paraId="733C23A0" w14:textId="7E0D770C" w:rsidR="00334E3B" w:rsidRDefault="00EB5AA5" w:rsidP="00334E3B">
      <w:pPr>
        <w:pStyle w:val="TSApp3ParaNum"/>
      </w:pPr>
      <w:r>
        <w:t xml:space="preserve">The overarching requirement for sampling systems, processes and procedures is that representative sample(s) are obtained. </w:t>
      </w:r>
      <w:r w:rsidR="00334E3B" w:rsidRPr="0067536F">
        <w:t>The sampling systems</w:t>
      </w:r>
      <w:r w:rsidR="00334E3B">
        <w:t>,</w:t>
      </w:r>
      <w:r w:rsidR="00334E3B" w:rsidRPr="00D14798">
        <w:t xml:space="preserve"> </w:t>
      </w:r>
      <w:r w:rsidR="00334E3B" w:rsidRPr="0067536F">
        <w:t xml:space="preserve">processes and procedures can be used to ensure the facility is operating within its Limits and Conditions for Operation (LCOs), to monitor the material integrity of SSCs and hence </w:t>
      </w:r>
      <w:r w:rsidR="00E030B4">
        <w:t xml:space="preserve">to </w:t>
      </w:r>
      <w:r w:rsidR="00334E3B" w:rsidRPr="0067536F">
        <w:t>maintain plant safety.</w:t>
      </w:r>
    </w:p>
    <w:p w14:paraId="652FB97F" w14:textId="11C54F4A" w:rsidR="00207B18" w:rsidRDefault="00A02276" w:rsidP="00455AC7">
      <w:pPr>
        <w:pStyle w:val="TSApp3ParaNum"/>
      </w:pPr>
      <w:r>
        <w:t>The sampling and analysis requiremen</w:t>
      </w:r>
      <w:r w:rsidR="000C5E0E">
        <w:t xml:space="preserve">ts </w:t>
      </w:r>
      <w:r w:rsidR="00334E3B">
        <w:t xml:space="preserve">can </w:t>
      </w:r>
      <w:r w:rsidR="000C5E0E">
        <w:t>depend</w:t>
      </w:r>
      <w:r>
        <w:t xml:space="preserve"> on</w:t>
      </w:r>
      <w:r w:rsidR="00AB607A">
        <w:t xml:space="preserve"> the</w:t>
      </w:r>
      <w:r>
        <w:t xml:space="preserve"> t</w:t>
      </w:r>
      <w:r w:rsidR="00B0775C">
        <w:t>ype of</w:t>
      </w:r>
      <w:r>
        <w:t xml:space="preserve"> nuclear facility</w:t>
      </w:r>
      <w:r w:rsidR="000C5E0E">
        <w:t>.</w:t>
      </w:r>
      <w:r>
        <w:t xml:space="preserve"> </w:t>
      </w:r>
      <w:r w:rsidR="000C5E0E">
        <w:t>T</w:t>
      </w:r>
      <w:r>
        <w:t xml:space="preserve">herefore, the inspector should consider the </w:t>
      </w:r>
      <w:r w:rsidR="000C5E0E">
        <w:t>type of</w:t>
      </w:r>
      <w:r>
        <w:t xml:space="preserve"> nuclear facility when assessing the adequacy of the licensee’s sampling and analysis </w:t>
      </w:r>
      <w:r w:rsidR="00D8682D">
        <w:t>arrangements</w:t>
      </w:r>
      <w:r>
        <w:t>. For civil nuclear reactor sampling and analysis</w:t>
      </w:r>
      <w:r w:rsidR="00A93753">
        <w:t>,</w:t>
      </w:r>
      <w:r w:rsidR="00820C99">
        <w:t xml:space="preserve"> the inspector should be aware of the guidance in</w:t>
      </w:r>
      <w:r>
        <w:t xml:space="preserve"> </w:t>
      </w:r>
      <w:r w:rsidR="007B31BF">
        <w:t>NS-TAST-GD</w:t>
      </w:r>
      <w:r w:rsidRPr="006F784C">
        <w:t>-0</w:t>
      </w:r>
      <w:r>
        <w:t>8</w:t>
      </w:r>
      <w:r w:rsidR="00A858F4">
        <w:t xml:space="preserve">8 </w:t>
      </w:r>
      <w:r>
        <w:t>– The Chemistry of Civil Nuclear Reactors</w:t>
      </w:r>
      <w:r w:rsidR="00820C99">
        <w:t xml:space="preserve">. </w:t>
      </w:r>
      <w:r w:rsidR="00334E3B">
        <w:t xml:space="preserve">Guidance on assessing the characterisation of nuclear matter and radioactive waste may also be relevant here (see </w:t>
      </w:r>
      <w:r w:rsidR="00820C99">
        <w:t>SAP</w:t>
      </w:r>
      <w:r w:rsidR="00334E3B">
        <w:t>s ENM.5 and RW.4).</w:t>
      </w:r>
    </w:p>
    <w:p w14:paraId="72EC1E2B" w14:textId="77777777" w:rsidR="00026FB7" w:rsidRDefault="00BC4D88" w:rsidP="00420918">
      <w:pPr>
        <w:pStyle w:val="TSApp3ParaNum"/>
      </w:pPr>
      <w:r>
        <w:t xml:space="preserve">Typical topics that may need to be considered by the chemistry inspector when performing an assessment of the chemistry aspects of the </w:t>
      </w:r>
      <w:r w:rsidR="00CD13AD">
        <w:t>material</w:t>
      </w:r>
      <w:r w:rsidR="00334E3B">
        <w:t>,</w:t>
      </w:r>
      <w:r w:rsidR="00CD13AD">
        <w:t xml:space="preserve"> chemical and radiological sampling and anal</w:t>
      </w:r>
      <w:r w:rsidR="00BB06C6">
        <w:t>ysis</w:t>
      </w:r>
      <w:r>
        <w:t xml:space="preserve"> presented in some safety cases are as follows:</w:t>
      </w:r>
    </w:p>
    <w:p w14:paraId="6B6ED1B0" w14:textId="67E87E99" w:rsidR="00EB5AA5" w:rsidRPr="00776CFC" w:rsidRDefault="00EA0148" w:rsidP="00455AC7">
      <w:pPr>
        <w:pStyle w:val="TSHeadingLevel2"/>
      </w:pPr>
      <w:r>
        <w:t xml:space="preserve">Sampling </w:t>
      </w:r>
      <w:r w:rsidR="005777D2">
        <w:t>and Analysis Programme</w:t>
      </w:r>
    </w:p>
    <w:p w14:paraId="156F3E02" w14:textId="3B3C3461" w:rsidR="00844BF7" w:rsidRDefault="00543B38" w:rsidP="00455AC7">
      <w:pPr>
        <w:pStyle w:val="TSApp3ParaNum"/>
      </w:pPr>
      <w:r>
        <w:t>A</w:t>
      </w:r>
      <w:r w:rsidR="009236BF">
        <w:t xml:space="preserve"> chemistry </w:t>
      </w:r>
      <w:r>
        <w:t xml:space="preserve">sampling and analysis </w:t>
      </w:r>
      <w:r w:rsidR="009236BF">
        <w:t xml:space="preserve">programme </w:t>
      </w:r>
      <w:r>
        <w:t>can be used to</w:t>
      </w:r>
      <w:r w:rsidR="009236BF">
        <w:t xml:space="preserve"> verify the effectiveness of chemistry control in plant systems. </w:t>
      </w:r>
      <w:r>
        <w:t>The programme may be used to provide assurance</w:t>
      </w:r>
      <w:r w:rsidR="009236BF">
        <w:t xml:space="preserve"> that </w:t>
      </w:r>
      <w:r w:rsidR="002F16A2">
        <w:t>the</w:t>
      </w:r>
      <w:r w:rsidR="00A854AB">
        <w:t xml:space="preserve"> structures</w:t>
      </w:r>
      <w:r w:rsidR="00024D25" w:rsidRPr="00226AB6">
        <w:t>,</w:t>
      </w:r>
      <w:r w:rsidR="00A854AB">
        <w:t xml:space="preserve"> systems and components</w:t>
      </w:r>
      <w:r w:rsidR="009236BF">
        <w:t xml:space="preserve"> are operat</w:t>
      </w:r>
      <w:r>
        <w:t xml:space="preserve">ing </w:t>
      </w:r>
      <w:r w:rsidR="009236BF">
        <w:t xml:space="preserve">within the </w:t>
      </w:r>
      <w:r w:rsidR="002F16A2">
        <w:t>Limits and Conditions for Operation</w:t>
      </w:r>
      <w:r w:rsidR="009236BF">
        <w:t xml:space="preserve">. </w:t>
      </w:r>
    </w:p>
    <w:p w14:paraId="67AA89F2" w14:textId="660E9032" w:rsidR="00543B38" w:rsidRDefault="00543B38" w:rsidP="00543B38">
      <w:pPr>
        <w:pStyle w:val="TSApp3ParaNum"/>
      </w:pPr>
      <w:r>
        <w:t>The chemistry</w:t>
      </w:r>
      <w:r w:rsidRPr="00543B38">
        <w:t xml:space="preserve"> </w:t>
      </w:r>
      <w:r>
        <w:t xml:space="preserve">sampling and analysis programme usually reflects the chemistry requirements for all stages of the lifetime of a plant, including commissioning, shutdown and start-up periods and when systems are taken out of operation for prolonged periods. </w:t>
      </w:r>
    </w:p>
    <w:p w14:paraId="147B0419" w14:textId="77777777" w:rsidR="008A5C73" w:rsidRDefault="002F16A2" w:rsidP="00844BF7">
      <w:pPr>
        <w:pStyle w:val="TSApp3ParaNum"/>
      </w:pPr>
      <w:r>
        <w:t xml:space="preserve">The sampling </w:t>
      </w:r>
      <w:r w:rsidR="00D90239">
        <w:t xml:space="preserve">and analysis </w:t>
      </w:r>
      <w:r w:rsidR="007A7F02">
        <w:t>programme can be used</w:t>
      </w:r>
      <w:r w:rsidR="009236BF">
        <w:t xml:space="preserve"> to detect trends in </w:t>
      </w:r>
      <w:r w:rsidR="00D90239">
        <w:t xml:space="preserve">the chemistry </w:t>
      </w:r>
      <w:r w:rsidR="009236BF">
        <w:t xml:space="preserve">parameters and eliminate undesirable effects and consequences of out-of-range chemistry parameters. </w:t>
      </w:r>
      <w:r w:rsidR="000468A4">
        <w:t>Dependent on the chemistry parameter, there may be a requirement to respond in a</w:t>
      </w:r>
      <w:r w:rsidR="00844BF7">
        <w:t xml:space="preserve"> timely </w:t>
      </w:r>
      <w:r w:rsidR="000468A4">
        <w:t>manner</w:t>
      </w:r>
      <w:r w:rsidR="00844BF7">
        <w:t xml:space="preserve"> to correct any deviations from normal operational status, such as small deficiencies, adverse trends or fast transients of chemistry parameters. </w:t>
      </w:r>
    </w:p>
    <w:p w14:paraId="4E58FE3C" w14:textId="77777777" w:rsidR="003E3943" w:rsidRDefault="003E3943" w:rsidP="003E3943">
      <w:pPr>
        <w:pStyle w:val="TSApp3ParaNum"/>
      </w:pPr>
      <w:r>
        <w:t xml:space="preserve">The nuclear facility will </w:t>
      </w:r>
      <w:r w:rsidR="00A4135C">
        <w:t xml:space="preserve">usually </w:t>
      </w:r>
      <w:r>
        <w:t xml:space="preserve">have some sampling equipment and/or laboratories to enable representative sampling and analysis of the chemistry parameters. </w:t>
      </w:r>
      <w:r w:rsidR="005A5046">
        <w:t xml:space="preserve">The type and extent of the sampling and analysis equipment will be dependent on the type of nuclear facility. </w:t>
      </w:r>
    </w:p>
    <w:p w14:paraId="5F3F4C69" w14:textId="471E24C1" w:rsidR="00EB5AA5" w:rsidRDefault="00EB5AA5" w:rsidP="00455AC7">
      <w:pPr>
        <w:pStyle w:val="TSApp3ParaNum"/>
      </w:pPr>
      <w:r>
        <w:t>To be able to demonstrate representative sampling can be achieved, some of the requirements outlined below should have been considered:</w:t>
      </w:r>
    </w:p>
    <w:p w14:paraId="6A74DB99" w14:textId="77777777" w:rsidR="00A00533" w:rsidRPr="00A551A5" w:rsidRDefault="00886EAD" w:rsidP="00A00533">
      <w:pPr>
        <w:pStyle w:val="TSHeadingLevel3"/>
        <w:rPr>
          <w:b/>
        </w:rPr>
      </w:pPr>
      <w:r>
        <w:rPr>
          <w:b/>
        </w:rPr>
        <w:t>Species sampled</w:t>
      </w:r>
    </w:p>
    <w:p w14:paraId="0B95EB0D" w14:textId="4D9F6D89" w:rsidR="00A00533" w:rsidRDefault="007C033A" w:rsidP="00A00533">
      <w:pPr>
        <w:pStyle w:val="TSApp3ParaNum"/>
      </w:pPr>
      <w:r w:rsidRPr="00DE32DD">
        <w:t>Chemistry</w:t>
      </w:r>
      <w:r w:rsidR="00EB5AA5" w:rsidRPr="00DE32DD">
        <w:t xml:space="preserve"> parameters important to maintaining nuclear safety should be derived from the safety case. This should include consideration of the range and frequency of </w:t>
      </w:r>
      <w:r w:rsidR="00A36D78">
        <w:t xml:space="preserve">analysis required to ensure </w:t>
      </w:r>
      <w:r w:rsidR="00EB5AA5" w:rsidRPr="00DE32DD">
        <w:t>chemistry is adequately maintained</w:t>
      </w:r>
      <w:r w:rsidR="00EB5AA5">
        <w:t xml:space="preserve"> </w:t>
      </w:r>
      <w:r w:rsidR="00EB5AA5" w:rsidRPr="00DE32DD">
        <w:t>within specified limits</w:t>
      </w:r>
      <w:r w:rsidR="00995AD1">
        <w:t>.</w:t>
      </w:r>
      <w:r w:rsidR="00052B6D">
        <w:t xml:space="preserve"> </w:t>
      </w:r>
      <w:r w:rsidR="00886EAD">
        <w:t xml:space="preserve"> </w:t>
      </w:r>
      <w:r w:rsidR="00A00533">
        <w:t xml:space="preserve">Some examples of the types of </w:t>
      </w:r>
      <w:r w:rsidR="00733905">
        <w:t xml:space="preserve">chemical </w:t>
      </w:r>
      <w:r w:rsidR="00A00533">
        <w:t xml:space="preserve">species which </w:t>
      </w:r>
      <w:r w:rsidR="00504C48">
        <w:t>may</w:t>
      </w:r>
      <w:r w:rsidR="00A00533">
        <w:t xml:space="preserve"> be sampled include:</w:t>
      </w:r>
    </w:p>
    <w:p w14:paraId="116701D4" w14:textId="7839F9DB" w:rsidR="00A00533" w:rsidRDefault="008A2C4E" w:rsidP="00A00533">
      <w:pPr>
        <w:pStyle w:val="TSBullet1Square"/>
      </w:pPr>
      <w:r>
        <w:t>Soluble</w:t>
      </w:r>
      <w:r w:rsidR="00A00533">
        <w:t xml:space="preserve"> chemical species</w:t>
      </w:r>
      <w:r w:rsidR="00D70670">
        <w:t xml:space="preserve"> (e.g. hydrazine</w:t>
      </w:r>
      <w:r w:rsidR="00A5026B">
        <w:t>, ammonia</w:t>
      </w:r>
      <w:r w:rsidR="00F9493D">
        <w:t>, chlorides</w:t>
      </w:r>
      <w:r w:rsidR="002C4E89">
        <w:t>, oxygen</w:t>
      </w:r>
      <w:r w:rsidR="00A5026B">
        <w:t>)</w:t>
      </w:r>
      <w:r w:rsidR="00A00533">
        <w:t xml:space="preserve"> </w:t>
      </w:r>
    </w:p>
    <w:p w14:paraId="37BDED05" w14:textId="41035A74" w:rsidR="00A00533" w:rsidRDefault="00A00533" w:rsidP="00A00533">
      <w:pPr>
        <w:pStyle w:val="TSBullet1Square"/>
      </w:pPr>
      <w:r>
        <w:t xml:space="preserve">Fission </w:t>
      </w:r>
      <w:r w:rsidR="00F433D0">
        <w:t>p</w:t>
      </w:r>
      <w:r>
        <w:t>roducts</w:t>
      </w:r>
      <w:r w:rsidR="006C6745">
        <w:t xml:space="preserve"> (e.g. I-13</w:t>
      </w:r>
      <w:r w:rsidR="00044DCC">
        <w:t>1</w:t>
      </w:r>
      <w:r w:rsidR="00AB53DF">
        <w:t>,</w:t>
      </w:r>
      <w:r w:rsidR="006C6745">
        <w:t xml:space="preserve"> Cs-137</w:t>
      </w:r>
      <w:r w:rsidR="00AB53DF">
        <w:t>, H-3</w:t>
      </w:r>
      <w:r w:rsidR="00B34285">
        <w:t xml:space="preserve"> etc.</w:t>
      </w:r>
      <w:r w:rsidR="006C6745">
        <w:t>)</w:t>
      </w:r>
    </w:p>
    <w:p w14:paraId="0C3AABD7" w14:textId="5D1CEA5C" w:rsidR="00F00062" w:rsidRDefault="00F00062" w:rsidP="00A00533">
      <w:pPr>
        <w:pStyle w:val="TSBullet1Square"/>
      </w:pPr>
      <w:r>
        <w:t xml:space="preserve">Insoluble </w:t>
      </w:r>
      <w:r w:rsidR="00F433D0">
        <w:t>c</w:t>
      </w:r>
      <w:r>
        <w:t xml:space="preserve">orrosion </w:t>
      </w:r>
      <w:r w:rsidR="00F433D0">
        <w:t>p</w:t>
      </w:r>
      <w:r>
        <w:t>roducts</w:t>
      </w:r>
    </w:p>
    <w:p w14:paraId="41DF1479" w14:textId="0690068F" w:rsidR="00A00533" w:rsidRDefault="008A2C4E" w:rsidP="00A00533">
      <w:pPr>
        <w:pStyle w:val="TSBullet1Square"/>
      </w:pPr>
      <w:r>
        <w:t xml:space="preserve">Soluble </w:t>
      </w:r>
      <w:r w:rsidR="00F433D0">
        <w:t>c</w:t>
      </w:r>
      <w:r w:rsidR="00A00533">
        <w:t xml:space="preserve">orrosion </w:t>
      </w:r>
      <w:r w:rsidR="00F433D0">
        <w:t>p</w:t>
      </w:r>
      <w:r w:rsidR="00A00533">
        <w:t>roducts</w:t>
      </w:r>
      <w:r w:rsidR="006C6745">
        <w:t xml:space="preserve"> (e.g. </w:t>
      </w:r>
      <w:r w:rsidR="00F00062">
        <w:t xml:space="preserve">chromium </w:t>
      </w:r>
      <w:r w:rsidR="0065560F">
        <w:t xml:space="preserve">iron, </w:t>
      </w:r>
      <w:r w:rsidR="00F00062">
        <w:t>nickel</w:t>
      </w:r>
      <w:r w:rsidR="0065560F">
        <w:t>)</w:t>
      </w:r>
    </w:p>
    <w:p w14:paraId="262136BB" w14:textId="5E58562B" w:rsidR="00A00533" w:rsidRDefault="00A00533" w:rsidP="00A00533">
      <w:pPr>
        <w:pStyle w:val="TSBullet1Square"/>
      </w:pPr>
      <w:r>
        <w:t>Steam</w:t>
      </w:r>
    </w:p>
    <w:p w14:paraId="633D766E" w14:textId="7DEE8EA0" w:rsidR="00A00533" w:rsidRDefault="00A00533" w:rsidP="00A00533">
      <w:pPr>
        <w:pStyle w:val="TSBullet1Square"/>
      </w:pPr>
      <w:r>
        <w:t>Gases</w:t>
      </w:r>
      <w:r w:rsidR="0065560F">
        <w:t xml:space="preserve"> (e.g. hy</w:t>
      </w:r>
      <w:r w:rsidR="00D70670">
        <w:t>drogen)</w:t>
      </w:r>
      <w:r>
        <w:t xml:space="preserve"> </w:t>
      </w:r>
    </w:p>
    <w:p w14:paraId="47F53346" w14:textId="77777777" w:rsidR="00A97454" w:rsidRDefault="00A97454" w:rsidP="00A97454"/>
    <w:p w14:paraId="24BCF20D" w14:textId="43E29C9E" w:rsidR="00420918" w:rsidRDefault="00A12B32" w:rsidP="0066344A">
      <w:pPr>
        <w:pStyle w:val="TSApp3ParaNum"/>
      </w:pPr>
      <w:r>
        <w:t xml:space="preserve">The sampling and analysis chemistry programme should </w:t>
      </w:r>
      <w:r w:rsidR="005C2D80">
        <w:t>provide</w:t>
      </w:r>
      <w:r>
        <w:t xml:space="preserve"> an adequate understanding of the </w:t>
      </w:r>
      <w:r w:rsidR="00926FC3">
        <w:t>chemical species which are important to the safe operation of the facility</w:t>
      </w:r>
      <w:r w:rsidR="00493A55">
        <w:t xml:space="preserve"> </w:t>
      </w:r>
      <w:r w:rsidR="004515F0">
        <w:t xml:space="preserve">(sometimes referred to as ‘control parameters’) </w:t>
      </w:r>
      <w:r w:rsidR="00493A55">
        <w:t xml:space="preserve">and those which </w:t>
      </w:r>
      <w:r w:rsidR="004515F0">
        <w:t>provide additional information on the operatio</w:t>
      </w:r>
      <w:r w:rsidR="007C350D">
        <w:t>n</w:t>
      </w:r>
      <w:r w:rsidR="004515F0">
        <w:t xml:space="preserve"> of the facility</w:t>
      </w:r>
      <w:r w:rsidR="00493A55">
        <w:t xml:space="preserve"> </w:t>
      </w:r>
      <w:r w:rsidR="004515F0">
        <w:t>(sometimes referred to as ‘diagnostic parameters’)</w:t>
      </w:r>
      <w:r w:rsidR="00420918">
        <w:t>.</w:t>
      </w:r>
    </w:p>
    <w:p w14:paraId="7F9EAC98" w14:textId="679F230D" w:rsidR="00420918" w:rsidRDefault="00420918" w:rsidP="0066344A">
      <w:pPr>
        <w:pStyle w:val="TSApp3ParaNum"/>
      </w:pPr>
      <w:r>
        <w:t xml:space="preserve">The programme should consider the potential challenges </w:t>
      </w:r>
      <w:r w:rsidR="001D3376">
        <w:t xml:space="preserve">associated with the analysis </w:t>
      </w:r>
      <w:r>
        <w:t>of different type</w:t>
      </w:r>
      <w:r w:rsidR="004600FC">
        <w:t>s</w:t>
      </w:r>
      <w:r>
        <w:t xml:space="preserve"> of chemical species and how this informs the sampling system</w:t>
      </w:r>
      <w:r w:rsidR="001D3376">
        <w:t xml:space="preserve"> design</w:t>
      </w:r>
      <w:r>
        <w:t>; for example, the solubility of a corrosion product over a temperature</w:t>
      </w:r>
      <w:r w:rsidR="00AF45C1">
        <w:t xml:space="preserve"> range</w:t>
      </w:r>
      <w:r>
        <w:t>. Further information can be found in [</w:t>
      </w:r>
      <w:r w:rsidR="000353F6">
        <w:rPr>
          <w:rStyle w:val="EndnoteReference"/>
        </w:rPr>
        <w:endnoteReference w:id="31"/>
      </w:r>
      <w:r>
        <w:t xml:space="preserve">]. </w:t>
      </w:r>
    </w:p>
    <w:p w14:paraId="4311D013" w14:textId="53AFC183" w:rsidR="0066344A" w:rsidRDefault="00364BDC" w:rsidP="0066344A">
      <w:pPr>
        <w:pStyle w:val="TSApp3ParaNum"/>
      </w:pPr>
      <w:r>
        <w:t xml:space="preserve">Failure to collect a sample </w:t>
      </w:r>
      <w:r w:rsidR="00EB5AA5">
        <w:t>correctly (</w:t>
      </w:r>
      <w:r w:rsidR="00E1197D" w:rsidRPr="004301CB">
        <w:t>i.e.</w:t>
      </w:r>
      <w:r w:rsidR="00EB5AA5">
        <w:t xml:space="preserve"> a non-representative sample) should be considered in the safety case. </w:t>
      </w:r>
    </w:p>
    <w:p w14:paraId="5F3F4C6A" w14:textId="40900423" w:rsidR="00235628" w:rsidRPr="00A551A5" w:rsidRDefault="00776CFC" w:rsidP="00DB4353">
      <w:pPr>
        <w:pStyle w:val="TSHeadingLevel3"/>
        <w:rPr>
          <w:b/>
        </w:rPr>
      </w:pPr>
      <w:bookmarkStart w:id="46" w:name="_Hlk55573022"/>
      <w:r>
        <w:rPr>
          <w:b/>
        </w:rPr>
        <w:t xml:space="preserve">Sampling </w:t>
      </w:r>
      <w:r w:rsidR="009B6544">
        <w:rPr>
          <w:b/>
        </w:rPr>
        <w:t>System</w:t>
      </w:r>
    </w:p>
    <w:bookmarkEnd w:id="46"/>
    <w:p w14:paraId="6D8D0359" w14:textId="6791B2C8" w:rsidR="00D272C6" w:rsidRPr="005A66EB" w:rsidRDefault="00273E0D" w:rsidP="00950A37">
      <w:pPr>
        <w:pStyle w:val="TSApp3ParaNum"/>
        <w:rPr>
          <w:rFonts w:cs="Times New Roman"/>
          <w:szCs w:val="24"/>
        </w:rPr>
      </w:pPr>
      <w:r>
        <w:t xml:space="preserve">Sampling and analysis programmes may combine on-line monitoring of plant operating parameters and results </w:t>
      </w:r>
      <w:r w:rsidR="0075660D">
        <w:t xml:space="preserve">obtained </w:t>
      </w:r>
      <w:r>
        <w:t xml:space="preserve">from </w:t>
      </w:r>
      <w:r w:rsidR="0075660D">
        <w:t xml:space="preserve">manual </w:t>
      </w:r>
      <w:r>
        <w:t>grab samples which are analysed in the laboratory.</w:t>
      </w:r>
      <w:r w:rsidR="00B7740A" w:rsidDel="00B7740A">
        <w:t xml:space="preserve"> </w:t>
      </w:r>
    </w:p>
    <w:p w14:paraId="55C67207" w14:textId="0CAD1CE3" w:rsidR="00D272C6" w:rsidRDefault="00667359" w:rsidP="00D272C6">
      <w:pPr>
        <w:pStyle w:val="TSApp3ParaNum"/>
      </w:pPr>
      <w:bookmarkStart w:id="47" w:name="_Hlk55573198"/>
      <w:r>
        <w:t>The type of s</w:t>
      </w:r>
      <w:r w:rsidR="00886EAD">
        <w:t>ampl</w:t>
      </w:r>
      <w:r>
        <w:t>ing</w:t>
      </w:r>
      <w:r w:rsidR="00886EAD">
        <w:t xml:space="preserve"> system may differ depending on </w:t>
      </w:r>
      <w:r w:rsidR="003F508A">
        <w:t>the</w:t>
      </w:r>
      <w:r w:rsidR="00886EAD">
        <w:t xml:space="preserve"> species being sampled</w:t>
      </w:r>
      <w:r w:rsidR="00255AF3">
        <w:t>, sample location and frequenc</w:t>
      </w:r>
      <w:r w:rsidR="009E4532">
        <w:t xml:space="preserve">y. In addition, </w:t>
      </w:r>
      <w:r w:rsidR="00BE6005">
        <w:t>an existing facility may have further restrictions on the sampling and monitoring system</w:t>
      </w:r>
      <w:r w:rsidR="00AA54BF">
        <w:t xml:space="preserve">, </w:t>
      </w:r>
      <w:r w:rsidR="007C350D">
        <w:t>whereas</w:t>
      </w:r>
      <w:r w:rsidR="00AA54BF">
        <w:t xml:space="preserve"> a new facility in the design stage may have greater flexibility in the type of sampling system</w:t>
      </w:r>
      <w:r w:rsidR="00C57D4D">
        <w:t xml:space="preserve"> which can be installed</w:t>
      </w:r>
      <w:r w:rsidR="008B4575">
        <w:t xml:space="preserve"> [</w:t>
      </w:r>
      <w:r w:rsidR="008B4575">
        <w:rPr>
          <w:rStyle w:val="EndnoteReference"/>
        </w:rPr>
        <w:endnoteReference w:id="32"/>
      </w:r>
      <w:r w:rsidR="008B4575">
        <w:t>]</w:t>
      </w:r>
      <w:r w:rsidR="00C57D4D">
        <w:t>.</w:t>
      </w:r>
      <w:r w:rsidR="00AA54BF">
        <w:t xml:space="preserve"> </w:t>
      </w:r>
      <w:bookmarkEnd w:id="47"/>
    </w:p>
    <w:p w14:paraId="39116AC2" w14:textId="32E2BDA5" w:rsidR="00053AF0" w:rsidRPr="005F1FFF" w:rsidRDefault="00923AA9">
      <w:pPr>
        <w:pStyle w:val="TSApp3ParaNum"/>
      </w:pPr>
      <w:r>
        <w:t xml:space="preserve">The accuracy of the chemical analyses from either online monitoring equipment or grab samples is dependent </w:t>
      </w:r>
      <w:r w:rsidR="00F312A8">
        <w:t>on</w:t>
      </w:r>
      <w:r>
        <w:t xml:space="preserve"> the sampling procedure. Guidelines for sampling have been reported by </w:t>
      </w:r>
      <w:r w:rsidR="00726055">
        <w:t>the Electric Power Research Institute (</w:t>
      </w:r>
      <w:r>
        <w:t>EPRI</w:t>
      </w:r>
      <w:r w:rsidR="00726055">
        <w:t>)</w:t>
      </w:r>
      <w:r w:rsidR="002F0060">
        <w:t xml:space="preserve"> [</w:t>
      </w:r>
      <w:r w:rsidR="00FB50F8">
        <w:rPr>
          <w:rStyle w:val="EndnoteReference"/>
        </w:rPr>
        <w:endnoteReference w:id="33"/>
      </w:r>
      <w:r w:rsidR="00FB50F8">
        <w:t>]</w:t>
      </w:r>
      <w:r w:rsidR="00F312A8">
        <w:t>. The A</w:t>
      </w:r>
      <w:r w:rsidR="000303DA">
        <w:t>merican Society for Testing and Materials (A</w:t>
      </w:r>
      <w:r w:rsidR="00F312A8">
        <w:t>STM</w:t>
      </w:r>
      <w:r w:rsidR="000303DA">
        <w:t>)</w:t>
      </w:r>
      <w:r w:rsidR="00F312A8">
        <w:t xml:space="preserve"> standards D3864 and D2777</w:t>
      </w:r>
      <w:r w:rsidR="00802D3D">
        <w:t xml:space="preserve"> </w:t>
      </w:r>
      <w:r w:rsidR="00950A37">
        <w:t>[</w:t>
      </w:r>
      <w:r w:rsidR="00D6419D">
        <w:rPr>
          <w:rStyle w:val="EndnoteReference"/>
        </w:rPr>
        <w:endnoteReference w:id="34"/>
      </w:r>
      <w:r w:rsidR="00950A37">
        <w:t>] [</w:t>
      </w:r>
      <w:r w:rsidR="00D6419D">
        <w:rPr>
          <w:rStyle w:val="EndnoteReference"/>
        </w:rPr>
        <w:endnoteReference w:id="35"/>
      </w:r>
      <w:r w:rsidR="00950A37">
        <w:t>]</w:t>
      </w:r>
      <w:r w:rsidR="00E65354">
        <w:t xml:space="preserve"> </w:t>
      </w:r>
      <w:r w:rsidR="00F9223D">
        <w:t xml:space="preserve">also </w:t>
      </w:r>
      <w:r w:rsidR="00802D3D">
        <w:t>give sampling practices and sampling system design.</w:t>
      </w:r>
      <w:r w:rsidR="00053AF0">
        <w:t xml:space="preserve"> </w:t>
      </w:r>
      <w:r w:rsidR="005414A9">
        <w:t>F</w:t>
      </w:r>
      <w:r w:rsidR="00053AF0">
        <w:t xml:space="preserve">actors to consider </w:t>
      </w:r>
      <w:r w:rsidR="00B06080">
        <w:t xml:space="preserve">when assessing </w:t>
      </w:r>
      <w:r w:rsidR="005414A9">
        <w:t xml:space="preserve">the adequacy of a sampling system </w:t>
      </w:r>
      <w:r w:rsidR="00053AF0">
        <w:t xml:space="preserve">include: </w:t>
      </w:r>
    </w:p>
    <w:p w14:paraId="6C3963C0" w14:textId="657815C1" w:rsidR="00053AF0" w:rsidRDefault="00053AF0" w:rsidP="00053AF0">
      <w:pPr>
        <w:pStyle w:val="TSBullet1Square"/>
      </w:pPr>
      <w:r>
        <w:t xml:space="preserve">Solubility of species to be sampled – </w:t>
      </w:r>
      <w:r w:rsidR="003F7C8E">
        <w:t xml:space="preserve">the solubility of </w:t>
      </w:r>
      <w:r>
        <w:t xml:space="preserve">chemical species can </w:t>
      </w:r>
      <w:r w:rsidR="003F7C8E">
        <w:t>vary</w:t>
      </w:r>
      <w:r>
        <w:t xml:space="preserve"> depend</w:t>
      </w:r>
      <w:r w:rsidR="003F7C8E">
        <w:t>ing</w:t>
      </w:r>
      <w:r>
        <w:t xml:space="preserve"> on pH, temperature or pressure. If samples need to be cooled or depressurised to ambient conditions, consideration should be given to how this could affect the solubility of the species.</w:t>
      </w:r>
    </w:p>
    <w:p w14:paraId="70B49D54" w14:textId="7C32E320" w:rsidR="00053AF0" w:rsidRDefault="00053AF0" w:rsidP="00053AF0">
      <w:pPr>
        <w:pStyle w:val="TSBullet1Square"/>
      </w:pPr>
      <w:r>
        <w:t xml:space="preserve">Temperature of system to be sampled – if the system normally operates at an elevated temperature the sample may be cooled. </w:t>
      </w:r>
      <w:r w:rsidR="00FF327B">
        <w:t>Careful consideration should be given to t</w:t>
      </w:r>
      <w:r>
        <w:t>he specific location of cooling equipment in a sampling system. There should be consideration</w:t>
      </w:r>
      <w:r w:rsidR="00A00533">
        <w:t xml:space="preserve"> as to how the temperature of the </w:t>
      </w:r>
      <w:r>
        <w:t>sample may impact the solubility of key species which are required to be measured.</w:t>
      </w:r>
    </w:p>
    <w:p w14:paraId="5C04A4F6" w14:textId="06ACB836" w:rsidR="00053AF0" w:rsidRDefault="00053AF0" w:rsidP="00053AF0">
      <w:pPr>
        <w:pStyle w:val="TSBullet1Square"/>
      </w:pPr>
      <w:r>
        <w:t>Pressure of system to be sampled – if the system normally operates at an elevated pressure the sample pressure may be conditioned to almost ambient conditions</w:t>
      </w:r>
      <w:r w:rsidR="0063348D" w:rsidRPr="006B1BFA">
        <w:t>.</w:t>
      </w:r>
      <w:r w:rsidRPr="006B1BFA">
        <w:t xml:space="preserve"> </w:t>
      </w:r>
      <w:r w:rsidR="0063348D" w:rsidRPr="006B1BFA">
        <w:t>T</w:t>
      </w:r>
      <w:r>
        <w:t xml:space="preserve">his can be reduced by pressure reducing valves, pressure regulation and relief valves. </w:t>
      </w:r>
    </w:p>
    <w:p w14:paraId="39395E8A" w14:textId="1D16487F" w:rsidR="00053AF0" w:rsidRDefault="00053AF0" w:rsidP="00053AF0">
      <w:pPr>
        <w:pStyle w:val="TSBullet1Square"/>
      </w:pPr>
      <w:r>
        <w:t xml:space="preserve">Length of sample line and flow rate </w:t>
      </w:r>
      <w:r w:rsidR="001F3918">
        <w:t>–</w:t>
      </w:r>
      <w:r>
        <w:t xml:space="preserve"> </w:t>
      </w:r>
      <w:r w:rsidR="001F3918">
        <w:t xml:space="preserve">samples collected </w:t>
      </w:r>
      <w:r w:rsidR="00CC4004">
        <w:t xml:space="preserve">via </w:t>
      </w:r>
      <w:r>
        <w:t>long sample lines may become less representative of the bulk</w:t>
      </w:r>
      <w:r w:rsidR="00CC4004">
        <w:t>,</w:t>
      </w:r>
      <w:r>
        <w:t xml:space="preserve"> as material can deposit</w:t>
      </w:r>
      <w:r w:rsidR="0011783B">
        <w:t>;</w:t>
      </w:r>
      <w:r>
        <w:t xml:space="preserve"> this can be mitigated by high </w:t>
      </w:r>
      <w:r w:rsidRPr="00BA1DBD">
        <w:t xml:space="preserve">(turbulent) flow rates. </w:t>
      </w:r>
      <w:r w:rsidR="00A858F4">
        <w:t>In addition, long sample lines may result in the sample stagnating and therefore may not reflect the current operating conditions.</w:t>
      </w:r>
    </w:p>
    <w:p w14:paraId="6D4B9FEA" w14:textId="19795326" w:rsidR="00A858F4" w:rsidRPr="00A858F4" w:rsidRDefault="00A858F4">
      <w:pPr>
        <w:pStyle w:val="TSBullet1Square"/>
      </w:pPr>
      <w:r>
        <w:t>Decomposition of samples</w:t>
      </w:r>
      <w:r w:rsidRPr="00BA1DBD">
        <w:t xml:space="preserve"> </w:t>
      </w:r>
      <w:r>
        <w:t>–</w:t>
      </w:r>
      <w:r w:rsidRPr="00BA1DBD">
        <w:t xml:space="preserve"> </w:t>
      </w:r>
      <w:r>
        <w:t>for volatile</w:t>
      </w:r>
      <w:r w:rsidR="005F0CF8">
        <w:t xml:space="preserve"> species it may</w:t>
      </w:r>
      <w:r w:rsidRPr="00BA1DBD">
        <w:t xml:space="preserve"> </w:t>
      </w:r>
      <w:r>
        <w:t>be necessary to employ sample stabilisation or pre-treatment, to ensure the species remains in the correct physical form</w:t>
      </w:r>
      <w:r w:rsidRPr="00BA1DBD">
        <w:t xml:space="preserve">. </w:t>
      </w:r>
    </w:p>
    <w:p w14:paraId="68ECA08F" w14:textId="77777777" w:rsidR="00053AF0" w:rsidRPr="00BA1DBD" w:rsidRDefault="00053AF0" w:rsidP="00A00533">
      <w:pPr>
        <w:pStyle w:val="TSBullet1Square"/>
      </w:pPr>
      <w:r w:rsidRPr="00BA1DBD">
        <w:t xml:space="preserve">Generation of secondary waste volumes - </w:t>
      </w:r>
      <w:r w:rsidR="00A00533" w:rsidRPr="00BA1DBD">
        <w:t>t</w:t>
      </w:r>
      <w:r w:rsidRPr="00BA1DBD">
        <w:t xml:space="preserve">he impact of sampling location on secondary waste volumes.  </w:t>
      </w:r>
    </w:p>
    <w:p w14:paraId="58D87247" w14:textId="77777777" w:rsidR="002C0208" w:rsidRPr="00BA1DBD" w:rsidRDefault="002C0208" w:rsidP="002C0208"/>
    <w:p w14:paraId="0ED94460" w14:textId="7F1451F1" w:rsidR="00344E20" w:rsidRDefault="00825F84" w:rsidP="00952913">
      <w:pPr>
        <w:pStyle w:val="TSBullet1Square"/>
        <w:numPr>
          <w:ilvl w:val="0"/>
          <w:numId w:val="0"/>
        </w:numPr>
        <w:ind w:left="720"/>
      </w:pPr>
      <w:r w:rsidRPr="00BA1DBD">
        <w:t xml:space="preserve">The sampling systems should include safety features </w:t>
      </w:r>
      <w:r w:rsidR="00FF2856" w:rsidRPr="00BA1DBD">
        <w:t>to protect the operators collecting samples from hazards</w:t>
      </w:r>
      <w:r w:rsidR="00910DD6">
        <w:t>;</w:t>
      </w:r>
      <w:r w:rsidR="00FF2856" w:rsidRPr="00BA1DBD">
        <w:t xml:space="preserve"> these can include exposure to potentially highly active samples, high temperatures or pressures.</w:t>
      </w:r>
      <w:r w:rsidRPr="00BA1DBD">
        <w:t xml:space="preserve"> </w:t>
      </w:r>
      <w:r w:rsidR="00FF2856" w:rsidRPr="00BA1DBD">
        <w:t>Ref.</w:t>
      </w:r>
      <w:r w:rsidR="00042CAE">
        <w:t xml:space="preserve"> </w:t>
      </w:r>
      <w:r w:rsidR="00086855">
        <w:t xml:space="preserve">[31] </w:t>
      </w:r>
      <w:r w:rsidR="00FF2856" w:rsidRPr="00BA1DBD">
        <w:t xml:space="preserve">provides some examples of sampling </w:t>
      </w:r>
      <w:r w:rsidR="0007410C">
        <w:t xml:space="preserve">system </w:t>
      </w:r>
      <w:r w:rsidR="00FF2856" w:rsidRPr="00BA1DBD">
        <w:t xml:space="preserve">safety features. </w:t>
      </w:r>
      <w:r w:rsidR="00DF6D45">
        <w:t xml:space="preserve"> </w:t>
      </w:r>
    </w:p>
    <w:p w14:paraId="5F3F4C70" w14:textId="77777777" w:rsidR="00235628" w:rsidRPr="00A551A5" w:rsidRDefault="00235628" w:rsidP="004301CB">
      <w:pPr>
        <w:rPr>
          <w:b/>
        </w:rPr>
      </w:pPr>
    </w:p>
    <w:p w14:paraId="5F3F4C71" w14:textId="4936FA68" w:rsidR="00235628" w:rsidRPr="00A551A5" w:rsidRDefault="00776CFC" w:rsidP="00DB4353">
      <w:pPr>
        <w:pStyle w:val="TSHeadingLevel3"/>
        <w:rPr>
          <w:b/>
        </w:rPr>
      </w:pPr>
      <w:r>
        <w:rPr>
          <w:b/>
        </w:rPr>
        <w:t xml:space="preserve">Sample </w:t>
      </w:r>
      <w:r w:rsidR="006A2A66">
        <w:rPr>
          <w:b/>
        </w:rPr>
        <w:t>Location</w:t>
      </w:r>
      <w:r w:rsidR="00451A9F">
        <w:rPr>
          <w:b/>
        </w:rPr>
        <w:t xml:space="preserve"> and Frequency</w:t>
      </w:r>
      <w:r w:rsidR="006A2A66" w:rsidRPr="00A551A5">
        <w:rPr>
          <w:b/>
        </w:rPr>
        <w:t xml:space="preserve"> </w:t>
      </w:r>
    </w:p>
    <w:p w14:paraId="74B6EEEF" w14:textId="62078EF3" w:rsidR="001C1ADF" w:rsidRDefault="001C1ADF" w:rsidP="00236FD5">
      <w:pPr>
        <w:pStyle w:val="TSApp3ParaNum"/>
      </w:pPr>
      <w:r>
        <w:t xml:space="preserve">The chemistry sampling and analysis programme should include a justification for the sample location, number of sample points and frequency of sampling. </w:t>
      </w:r>
      <w:r w:rsidR="00A858F4">
        <w:t xml:space="preserve">The design of the sampling system should be considered at a sufficiently early point in the design process, such that it does not foreclose sampling options. </w:t>
      </w:r>
    </w:p>
    <w:p w14:paraId="28F92F44" w14:textId="28DB55BA" w:rsidR="00451A9F" w:rsidRDefault="0062539A" w:rsidP="001C1ADF">
      <w:pPr>
        <w:pStyle w:val="TSApp3ParaNum"/>
      </w:pPr>
      <w:r>
        <w:t>T</w:t>
      </w:r>
      <w:r w:rsidR="00377183">
        <w:t>o ensure a representative sample, t</w:t>
      </w:r>
      <w:r>
        <w:t>he</w:t>
      </w:r>
      <w:r w:rsidR="00FE42F8">
        <w:t>re may be a single</w:t>
      </w:r>
      <w:r>
        <w:t xml:space="preserve"> sample location</w:t>
      </w:r>
      <w:r w:rsidR="00FE42F8">
        <w:t xml:space="preserve"> </w:t>
      </w:r>
      <w:r>
        <w:t xml:space="preserve">or </w:t>
      </w:r>
      <w:r w:rsidR="00FE42F8">
        <w:t xml:space="preserve">multiple </w:t>
      </w:r>
      <w:r>
        <w:t>locations depending on the facility and importance of the parameter to maintain safety</w:t>
      </w:r>
      <w:r w:rsidR="00FE42F8">
        <w:t xml:space="preserve">. </w:t>
      </w:r>
      <w:r w:rsidR="00451A9F">
        <w:t xml:space="preserve">The </w:t>
      </w:r>
      <w:r w:rsidR="00FA4F26">
        <w:t>sa</w:t>
      </w:r>
      <w:r w:rsidR="00DC72B2">
        <w:t>mpling frequency should be determined in the safety case</w:t>
      </w:r>
      <w:r w:rsidR="008D1F7B">
        <w:t xml:space="preserve"> Ref. [30] and [31]</w:t>
      </w:r>
      <w:r w:rsidR="00DC72B2">
        <w:t xml:space="preserve">. This </w:t>
      </w:r>
      <w:r w:rsidR="008705A0">
        <w:t xml:space="preserve">should consider the </w:t>
      </w:r>
      <w:r w:rsidR="003B2508">
        <w:t xml:space="preserve">time </w:t>
      </w:r>
      <w:r w:rsidR="000C192E">
        <w:t xml:space="preserve">taken for a system to deviate from its expected range. </w:t>
      </w:r>
    </w:p>
    <w:p w14:paraId="5F3F4C74" w14:textId="3A07E8B2" w:rsidR="007C033A" w:rsidRPr="007C033A" w:rsidRDefault="001C1ADF">
      <w:pPr>
        <w:pStyle w:val="TSApp3ParaNum"/>
      </w:pPr>
      <w:r>
        <w:t>Consideration should be given to the sampling system design; the location of system components needs to allow access for maintenance and calibration during plant operation.</w:t>
      </w:r>
      <w:r w:rsidR="000A4963">
        <w:t xml:space="preserve"> </w:t>
      </w:r>
      <w:r w:rsidR="00235628">
        <w:t xml:space="preserve">Where </w:t>
      </w:r>
      <w:r w:rsidR="00EB5AA5">
        <w:t xml:space="preserve">frequent sampling and lab-based analysis is </w:t>
      </w:r>
      <w:r w:rsidR="00672277">
        <w:t>required</w:t>
      </w:r>
      <w:r w:rsidR="00776CFC">
        <w:t xml:space="preserve"> </w:t>
      </w:r>
      <w:r w:rsidR="00EB5AA5">
        <w:t>or frequent calibration and maintenance of online instrumentation is necessary, instrument and sample point locations should cater for safe, reliable access, which minimises risks to workers</w:t>
      </w:r>
      <w:r w:rsidR="008D1F7B">
        <w:t xml:space="preserve"> Ref. [30] and [31]</w:t>
      </w:r>
      <w:r w:rsidR="00235628">
        <w:t>.</w:t>
      </w:r>
      <w:r w:rsidR="00441207">
        <w:t xml:space="preserve"> </w:t>
      </w:r>
    </w:p>
    <w:p w14:paraId="5F3F4C75" w14:textId="77777777" w:rsidR="007C033A" w:rsidRPr="00A551A5" w:rsidRDefault="00776CFC" w:rsidP="00DB4353">
      <w:pPr>
        <w:pStyle w:val="TSHeadingLevel3"/>
        <w:rPr>
          <w:b/>
        </w:rPr>
      </w:pPr>
      <w:r>
        <w:rPr>
          <w:b/>
        </w:rPr>
        <w:t>Sample T</w:t>
      </w:r>
      <w:r w:rsidR="00EB5AA5" w:rsidRPr="00A551A5">
        <w:rPr>
          <w:b/>
        </w:rPr>
        <w:t>ransportation</w:t>
      </w:r>
    </w:p>
    <w:p w14:paraId="5F3F4C76" w14:textId="2E08D768" w:rsidR="00EB5AA5" w:rsidRDefault="007C033A" w:rsidP="00DB4353">
      <w:pPr>
        <w:pStyle w:val="TSApp3ParaNum"/>
      </w:pPr>
      <w:r>
        <w:t>S</w:t>
      </w:r>
      <w:r w:rsidR="00EB5AA5">
        <w:t>uitable and sufficient means of sample transportation should be provided when collecting samples from locations remote to the analytical laboratory</w:t>
      </w:r>
      <w:r w:rsidR="008D1F7B">
        <w:t xml:space="preserve"> Ref. [30] and [31]</w:t>
      </w:r>
      <w:r>
        <w:t>.</w:t>
      </w:r>
      <w:r w:rsidR="00E11EE6">
        <w:t xml:space="preserve"> The </w:t>
      </w:r>
      <w:r w:rsidR="005F0B3F">
        <w:t>following may be considered:</w:t>
      </w:r>
    </w:p>
    <w:p w14:paraId="5F3F4C77" w14:textId="77777777" w:rsidR="00EB5AA5" w:rsidRDefault="00EB5AA5" w:rsidP="00DB4353">
      <w:pPr>
        <w:pStyle w:val="TSBullet1Square"/>
      </w:pPr>
      <w:r>
        <w:t>The method used to transport samples should consider the requirement to contain radioactive material and minimise the risk of its leakage or escape</w:t>
      </w:r>
      <w:r w:rsidR="007C033A">
        <w:t>.</w:t>
      </w:r>
    </w:p>
    <w:p w14:paraId="61426CAD" w14:textId="77777777" w:rsidR="00097440" w:rsidRDefault="00EB5AA5" w:rsidP="00484402">
      <w:pPr>
        <w:pStyle w:val="TSBullet1Square"/>
      </w:pPr>
      <w:r>
        <w:t xml:space="preserve">The designated route to transport samples containing radioactive material should be designed to avoid radiological hazards and minimise the risk of leakage or escape of radioactive material. </w:t>
      </w:r>
    </w:p>
    <w:p w14:paraId="46D90464" w14:textId="5210E203" w:rsidR="00484402" w:rsidRPr="00484402" w:rsidRDefault="00484402">
      <w:pPr>
        <w:pStyle w:val="TSBullet1Square"/>
      </w:pPr>
      <w:r>
        <w:t>Where analyses for ‘difficult’ or volatile chemical species are required, it may be necessary to employ sample stabilisation or pre-treatment, to ensure the species remains in the correct physical form</w:t>
      </w:r>
      <w:r w:rsidR="00A858F4">
        <w:t>.</w:t>
      </w:r>
    </w:p>
    <w:p w14:paraId="5F3F4C7A" w14:textId="77777777" w:rsidR="00441207" w:rsidRPr="00441207" w:rsidRDefault="00441207" w:rsidP="00441207"/>
    <w:p w14:paraId="5F3F4C7B" w14:textId="77777777" w:rsidR="00EB5AA5" w:rsidRPr="004301CB" w:rsidRDefault="00EB5AA5" w:rsidP="00455AC7">
      <w:pPr>
        <w:pStyle w:val="TSHeadingLevel2"/>
        <w:rPr>
          <w:highlight w:val="yellow"/>
        </w:rPr>
      </w:pPr>
      <w:r w:rsidRPr="00B301C8">
        <w:t>Analysis Requirements</w:t>
      </w:r>
    </w:p>
    <w:p w14:paraId="0E97A8A9" w14:textId="2213E73A" w:rsidR="005562FA" w:rsidRPr="001E0E65" w:rsidRDefault="00A209D2" w:rsidP="001E0E65">
      <w:pPr>
        <w:pStyle w:val="TSApp3ParaNum"/>
      </w:pPr>
      <w:r>
        <w:t>This section provides an overview of the analytic</w:t>
      </w:r>
      <w:r w:rsidR="00A813A3">
        <w:t>al</w:t>
      </w:r>
      <w:r>
        <w:t xml:space="preserve"> techniques used to ai</w:t>
      </w:r>
      <w:r w:rsidR="00AB7647">
        <w:t xml:space="preserve">d monitoring and control of the chemistry parameters. </w:t>
      </w:r>
      <w:r w:rsidR="005562FA">
        <w:t xml:space="preserve">The </w:t>
      </w:r>
      <w:r w:rsidR="002662C6">
        <w:t xml:space="preserve">evaluation of </w:t>
      </w:r>
      <w:r w:rsidR="00BA1F9D">
        <w:t xml:space="preserve">the results </w:t>
      </w:r>
      <w:r w:rsidR="005562FA">
        <w:t xml:space="preserve">should be considered; these </w:t>
      </w:r>
      <w:r w:rsidR="00BA1F9D">
        <w:t>results may</w:t>
      </w:r>
      <w:r w:rsidR="005562FA">
        <w:t xml:space="preserve"> be trended and periodically reported. </w:t>
      </w:r>
    </w:p>
    <w:p w14:paraId="5F3F4C7C" w14:textId="77777777" w:rsidR="007C033A" w:rsidRPr="00A551A5" w:rsidRDefault="00EB5AA5" w:rsidP="00DB4353">
      <w:pPr>
        <w:pStyle w:val="TSHeadingLevel3"/>
        <w:rPr>
          <w:b/>
        </w:rPr>
      </w:pPr>
      <w:bookmarkStart w:id="48" w:name="_Hlk55803417"/>
      <w:r w:rsidRPr="00A551A5">
        <w:rPr>
          <w:b/>
        </w:rPr>
        <w:t xml:space="preserve">Analytical technique </w:t>
      </w:r>
    </w:p>
    <w:bookmarkEnd w:id="48"/>
    <w:p w14:paraId="5F3F4C7D" w14:textId="5AD7CD93" w:rsidR="00A36D78" w:rsidRDefault="00A36D78" w:rsidP="00052B6D">
      <w:pPr>
        <w:pStyle w:val="TSApp3ParaNum"/>
      </w:pPr>
      <w:r w:rsidRPr="003126C4">
        <w:t>The</w:t>
      </w:r>
      <w:r w:rsidR="00DE5446">
        <w:t xml:space="preserve"> </w:t>
      </w:r>
      <w:r w:rsidRPr="003126C4">
        <w:t>analytical technique(s) selected to report</w:t>
      </w:r>
      <w:r>
        <w:t xml:space="preserve"> </w:t>
      </w:r>
      <w:r w:rsidRPr="003126C4">
        <w:t>chemistry parameters should take full account of the safety significance of the parameter being measured and the phase of facility operations during which th</w:t>
      </w:r>
      <w:r>
        <w:t xml:space="preserve">e analytical result is required, </w:t>
      </w:r>
      <w:r w:rsidR="00E1197D">
        <w:t>i.e.</w:t>
      </w:r>
      <w:r>
        <w:t xml:space="preserve"> </w:t>
      </w:r>
      <w:r w:rsidRPr="003126C4">
        <w:t>normal operations</w:t>
      </w:r>
      <w:r>
        <w:t>, accident or fault conditions</w:t>
      </w:r>
      <w:r w:rsidR="008D1F7B" w:rsidRPr="008D1F7B">
        <w:t xml:space="preserve"> </w:t>
      </w:r>
      <w:r w:rsidR="008D1F7B">
        <w:t>Ref. [30] and [31]</w:t>
      </w:r>
      <w:r>
        <w:t>.</w:t>
      </w:r>
      <w:r w:rsidR="008D1F7B">
        <w:t xml:space="preserve"> </w:t>
      </w:r>
      <w:r>
        <w:t xml:space="preserve"> </w:t>
      </w:r>
    </w:p>
    <w:p w14:paraId="61B26A89" w14:textId="232E6AC5" w:rsidR="005536B9" w:rsidRDefault="005536B9" w:rsidP="00052B6D">
      <w:pPr>
        <w:pStyle w:val="TSApp3ParaNum"/>
      </w:pPr>
      <w:bookmarkStart w:id="49" w:name="_Hlk55805202"/>
      <w:r>
        <w:t xml:space="preserve">The analytical </w:t>
      </w:r>
      <w:r w:rsidR="00410DDB">
        <w:t>technique should consider a range of requirements</w:t>
      </w:r>
      <w:r w:rsidR="00A858F4">
        <w:t>, these may</w:t>
      </w:r>
      <w:r w:rsidR="00410DDB">
        <w:t xml:space="preserve"> includ</w:t>
      </w:r>
      <w:r w:rsidR="00A858F4">
        <w:t>e</w:t>
      </w:r>
      <w:r w:rsidR="00410DDB">
        <w:t xml:space="preserve"> sample availability</w:t>
      </w:r>
      <w:bookmarkEnd w:id="49"/>
      <w:r w:rsidR="00410DDB">
        <w:t>, sample type, sample size</w:t>
      </w:r>
      <w:r w:rsidR="00334D23">
        <w:t xml:space="preserve"> and transit time requirements.</w:t>
      </w:r>
      <w:r w:rsidR="005F0CF8">
        <w:t xml:space="preserve"> It should be noted that the methods for sampling and analysis need to</w:t>
      </w:r>
      <w:r w:rsidR="00334D23">
        <w:t xml:space="preserve"> </w:t>
      </w:r>
      <w:r w:rsidR="005F0CF8">
        <w:t xml:space="preserve">be </w:t>
      </w:r>
      <w:r w:rsidR="00CE30AB">
        <w:t>complementary</w:t>
      </w:r>
      <w:r w:rsidR="005F0CF8">
        <w:t xml:space="preserve">, for example the size of the sample may depend on the analytical technique available and vice versa. </w:t>
      </w:r>
      <w:r w:rsidR="00C028F4">
        <w:t>Analysis approaches can be classified as:</w:t>
      </w:r>
    </w:p>
    <w:p w14:paraId="14ADEC27" w14:textId="77777777" w:rsidR="006F1B5E" w:rsidRDefault="00C028F4" w:rsidP="006F1B5E">
      <w:pPr>
        <w:pStyle w:val="TSBullet1Square"/>
      </w:pPr>
      <w:r>
        <w:t>In</w:t>
      </w:r>
      <w:r w:rsidR="004E75BB">
        <w:t xml:space="preserve">-situ, this is typically for material and corrosion monitoring. </w:t>
      </w:r>
    </w:p>
    <w:p w14:paraId="6F495A99" w14:textId="0B8F5ED6" w:rsidR="006F1B5E" w:rsidRDefault="006F1B5E" w:rsidP="006F1B5E">
      <w:pPr>
        <w:pStyle w:val="TSBullet1Square"/>
      </w:pPr>
      <w:r>
        <w:t>Ex-situ, this</w:t>
      </w:r>
      <w:r w:rsidR="007B1097">
        <w:t xml:space="preserve"> </w:t>
      </w:r>
      <w:r w:rsidR="007B1097" w:rsidRPr="00A507B0">
        <w:t>is</w:t>
      </w:r>
      <w:r>
        <w:t xml:space="preserve"> typically for </w:t>
      </w:r>
      <w:r w:rsidR="00113BB8">
        <w:t>soluble species</w:t>
      </w:r>
      <w:r w:rsidR="00247E55">
        <w:t xml:space="preserve"> whereby samples are diverted to the analytical equipment</w:t>
      </w:r>
      <w:r w:rsidR="00DE5446">
        <w:t>.</w:t>
      </w:r>
    </w:p>
    <w:p w14:paraId="6C2595E4" w14:textId="77777777" w:rsidR="00A3498F" w:rsidRPr="00A3498F" w:rsidRDefault="00A3498F" w:rsidP="00A25751"/>
    <w:p w14:paraId="78F444D6" w14:textId="2E63852B" w:rsidR="00247E55" w:rsidRPr="00247E55" w:rsidRDefault="00A3498F" w:rsidP="00383F83">
      <w:pPr>
        <w:pStyle w:val="TSApp3ParaNum"/>
      </w:pPr>
      <w:r>
        <w:t xml:space="preserve">The analytical techniques </w:t>
      </w:r>
      <w:r w:rsidR="00963588">
        <w:t>can include</w:t>
      </w:r>
      <w:r w:rsidR="00914B71">
        <w:t>, but are not limited to,</w:t>
      </w:r>
      <w:r w:rsidR="00963588">
        <w:t xml:space="preserve"> ion chromatography, </w:t>
      </w:r>
      <w:r w:rsidR="00081B65">
        <w:t>colourimetry</w:t>
      </w:r>
      <w:r w:rsidR="00344E20">
        <w:t xml:space="preserve">, </w:t>
      </w:r>
      <w:r w:rsidR="00225566">
        <w:t xml:space="preserve">light spectrometry and </w:t>
      </w:r>
      <w:r w:rsidR="000F67F5">
        <w:t>mass spectrometry</w:t>
      </w:r>
      <w:r w:rsidR="008D1F7B">
        <w:t xml:space="preserve"> Ref. [30] and [31]</w:t>
      </w:r>
      <w:r w:rsidR="00534D58">
        <w:t>.</w:t>
      </w:r>
      <w:r w:rsidR="00A41B8D">
        <w:t xml:space="preserve"> </w:t>
      </w:r>
      <w:r w:rsidR="00AE3E63">
        <w:t>The</w:t>
      </w:r>
      <w:r w:rsidR="00534D58">
        <w:t xml:space="preserve"> </w:t>
      </w:r>
      <w:r w:rsidR="00675EAD">
        <w:t xml:space="preserve">typical analysis range should </w:t>
      </w:r>
      <w:r w:rsidR="00AE3E63">
        <w:t xml:space="preserve">also </w:t>
      </w:r>
      <w:r w:rsidR="00675EAD">
        <w:t xml:space="preserve">be defined for each </w:t>
      </w:r>
      <w:r w:rsidR="00A41B8D">
        <w:t>sample analysis</w:t>
      </w:r>
      <w:r w:rsidR="00AE3E63">
        <w:t>.</w:t>
      </w:r>
    </w:p>
    <w:p w14:paraId="5F3F4C7E" w14:textId="0753BC1A" w:rsidR="007C033A" w:rsidRPr="003126C4" w:rsidRDefault="00A36D78" w:rsidP="00A36D78">
      <w:pPr>
        <w:pStyle w:val="TSApp3ParaNum"/>
      </w:pPr>
      <w:r>
        <w:t>Th</w:t>
      </w:r>
      <w:r w:rsidR="003019E5">
        <w:t>ere should be</w:t>
      </w:r>
      <w:r>
        <w:t xml:space="preserve"> adequate quality control processes for </w:t>
      </w:r>
      <w:r w:rsidR="00052B6D" w:rsidRPr="006A2091">
        <w:t>chemical and radiochemical analyses</w:t>
      </w:r>
      <w:r>
        <w:t xml:space="preserve"> in place, which give suitable consideration to factors such as</w:t>
      </w:r>
      <w:r w:rsidR="008D1F7B">
        <w:t xml:space="preserve"> Ref. [30] and [31]</w:t>
      </w:r>
      <w:r>
        <w:t>:</w:t>
      </w:r>
    </w:p>
    <w:p w14:paraId="5F3F4C7F" w14:textId="2C716667" w:rsidR="00995AD1" w:rsidRPr="00995AD1" w:rsidRDefault="00A36D78" w:rsidP="00DB4353">
      <w:pPr>
        <w:pStyle w:val="TSBullet1Square"/>
      </w:pPr>
      <w:r>
        <w:t>relevant e</w:t>
      </w:r>
      <w:r w:rsidR="00EB5AA5" w:rsidRPr="00A36D78">
        <w:t>rrors and uncertainties</w:t>
      </w:r>
      <w:r w:rsidR="001D6E16">
        <w:t>;</w:t>
      </w:r>
    </w:p>
    <w:p w14:paraId="5F3F4C80" w14:textId="3B6399A7" w:rsidR="00995AD1" w:rsidRDefault="00A36D78" w:rsidP="00DB4353">
      <w:pPr>
        <w:pStyle w:val="TSBullet1Square"/>
      </w:pPr>
      <w:r>
        <w:t>l</w:t>
      </w:r>
      <w:r w:rsidR="00EB5AA5" w:rsidRPr="00A36D78">
        <w:t>imits of detection (</w:t>
      </w:r>
      <w:proofErr w:type="spellStart"/>
      <w:r w:rsidR="00EB5AA5" w:rsidRPr="00A36D78">
        <w:t>LoD</w:t>
      </w:r>
      <w:proofErr w:type="spellEnd"/>
      <w:r w:rsidR="00EB5AA5" w:rsidRPr="00A36D78">
        <w:t>) and quantification (</w:t>
      </w:r>
      <w:proofErr w:type="spellStart"/>
      <w:r w:rsidR="00EB5AA5" w:rsidRPr="00A36D78">
        <w:t>LoQ</w:t>
      </w:r>
      <w:proofErr w:type="spellEnd"/>
      <w:r w:rsidR="00EB5AA5" w:rsidRPr="00A36D78">
        <w:t>)</w:t>
      </w:r>
      <w:r w:rsidR="001D6E16">
        <w:t>;</w:t>
      </w:r>
    </w:p>
    <w:p w14:paraId="00DC007B" w14:textId="346C73E7" w:rsidR="00140D86" w:rsidRDefault="00A36D78">
      <w:pPr>
        <w:pStyle w:val="TSBullet1Square"/>
      </w:pPr>
      <w:r>
        <w:t>q</w:t>
      </w:r>
      <w:r w:rsidR="00EB5AA5" w:rsidRPr="006A2091">
        <w:t>uality assurance</w:t>
      </w:r>
      <w:r>
        <w:t xml:space="preserve"> arrangements such as appropriate chemical standards </w:t>
      </w:r>
      <w:r w:rsidR="004C01DF">
        <w:t xml:space="preserve">and </w:t>
      </w:r>
      <w:r>
        <w:t>calibration of equipment and instrumentation</w:t>
      </w:r>
      <w:r w:rsidR="004C01DF">
        <w:t>;</w:t>
      </w:r>
      <w:r w:rsidR="00BE5E39">
        <w:t xml:space="preserve"> and</w:t>
      </w:r>
    </w:p>
    <w:p w14:paraId="130B0C82" w14:textId="3FA73F95" w:rsidR="004C01DF" w:rsidRDefault="00754533">
      <w:pPr>
        <w:pStyle w:val="TSBullet1Square"/>
      </w:pPr>
      <w:r>
        <w:t>r</w:t>
      </w:r>
      <w:r w:rsidR="005D2E5C">
        <w:t xml:space="preserve">egular </w:t>
      </w:r>
      <w:r w:rsidR="006A2A66">
        <w:t>i</w:t>
      </w:r>
      <w:r w:rsidR="005D2E5C">
        <w:t>nspection and maintenance of on-line instruments and equipment in the laboratory.</w:t>
      </w:r>
    </w:p>
    <w:p w14:paraId="29EB95F2" w14:textId="77777777" w:rsidR="00D12E80" w:rsidRPr="00D12E80" w:rsidRDefault="00D12E80" w:rsidP="00A25751"/>
    <w:p w14:paraId="4DE4252A" w14:textId="77777777" w:rsidR="00A07639" w:rsidRDefault="0035540B" w:rsidP="00B961FA">
      <w:pPr>
        <w:ind w:firstLine="720"/>
        <w:rPr>
          <w:b/>
          <w:i/>
          <w:iCs/>
        </w:rPr>
      </w:pPr>
      <w:r w:rsidRPr="001E0E65">
        <w:rPr>
          <w:b/>
          <w:i/>
          <w:iCs/>
        </w:rPr>
        <w:t xml:space="preserve">Trending and Reporting of </w:t>
      </w:r>
      <w:r w:rsidR="00D12E80" w:rsidRPr="001E0E65">
        <w:rPr>
          <w:b/>
          <w:i/>
          <w:iCs/>
        </w:rPr>
        <w:t>Analytic</w:t>
      </w:r>
      <w:r w:rsidR="00162E69" w:rsidRPr="001E0E65">
        <w:rPr>
          <w:b/>
          <w:i/>
          <w:iCs/>
        </w:rPr>
        <w:t>al</w:t>
      </w:r>
      <w:r w:rsidRPr="001E0E65">
        <w:rPr>
          <w:b/>
          <w:i/>
          <w:iCs/>
        </w:rPr>
        <w:t xml:space="preserve"> Results</w:t>
      </w:r>
    </w:p>
    <w:p w14:paraId="44729FF3" w14:textId="77777777" w:rsidR="00BA1DBD" w:rsidRPr="00383F83" w:rsidRDefault="00BA1DBD" w:rsidP="00383F83">
      <w:pPr>
        <w:rPr>
          <w:b/>
          <w:i/>
          <w:iCs/>
        </w:rPr>
      </w:pPr>
    </w:p>
    <w:p w14:paraId="7C6F0DC8" w14:textId="3E3973EF" w:rsidR="00D34AAE" w:rsidRDefault="00D34AAE">
      <w:pPr>
        <w:pStyle w:val="TSApp3ParaNum"/>
      </w:pPr>
      <w:r>
        <w:t xml:space="preserve">Once the analysis is complete, the results should be recorded. </w:t>
      </w:r>
      <w:r w:rsidR="000D5303">
        <w:t xml:space="preserve">It is important </w:t>
      </w:r>
      <w:r w:rsidR="005F0CF8">
        <w:t xml:space="preserve">to </w:t>
      </w:r>
      <w:r w:rsidR="000D5303">
        <w:t xml:space="preserve">record the correct units for the analytical measurement, for example ppb or ppm. </w:t>
      </w:r>
      <w:r>
        <w:t xml:space="preserve">The results should be compared with </w:t>
      </w:r>
      <w:r w:rsidR="00565CCC">
        <w:t xml:space="preserve">an </w:t>
      </w:r>
      <w:r>
        <w:t>expected value. If the sample analysis shows a deviation from normal operational status, such as small deficiencies, adverse trends or fast transients of chemistry parameters</w:t>
      </w:r>
      <w:r w:rsidR="00F15DEB">
        <w:t>, the safety case should identify the timescales for action</w:t>
      </w:r>
      <w:r w:rsidR="005F0CF8">
        <w:t xml:space="preserve"> if required. </w:t>
      </w:r>
      <w:r>
        <w:t>The methodologies for diagnosis and treatment of deviations should be utili</w:t>
      </w:r>
      <w:r w:rsidR="00815B5B">
        <w:t>s</w:t>
      </w:r>
      <w:r>
        <w:t xml:space="preserve">ed and kept up to date. </w:t>
      </w:r>
    </w:p>
    <w:p w14:paraId="3D1F19C6" w14:textId="0E36871B" w:rsidR="002377A3" w:rsidRDefault="002E1FB3" w:rsidP="00C66BCC">
      <w:pPr>
        <w:pStyle w:val="TSApp3ParaNum"/>
      </w:pPr>
      <w:r>
        <w:t xml:space="preserve">The chemistry parameters should </w:t>
      </w:r>
      <w:r w:rsidR="001D4FCB">
        <w:t>be trended and periodically reported on for evaluation.</w:t>
      </w:r>
    </w:p>
    <w:p w14:paraId="6D2C911A" w14:textId="77777777" w:rsidR="002377A3" w:rsidRPr="00C66BCC" w:rsidRDefault="002377A3" w:rsidP="00C66BCC">
      <w:pPr>
        <w:pStyle w:val="EndnoteText"/>
        <w:ind w:left="709" w:hanging="709"/>
        <w:rPr>
          <w:rFonts w:eastAsia="Calibri" w:cs="Arial"/>
          <w:b/>
          <w:szCs w:val="22"/>
          <w:u w:val="single"/>
        </w:rPr>
      </w:pPr>
      <w:r w:rsidRPr="00FC099B">
        <w:rPr>
          <w:rFonts w:eastAsia="Calibri" w:cs="Arial"/>
          <w:b/>
          <w:sz w:val="22"/>
          <w:szCs w:val="22"/>
          <w:u w:val="single"/>
        </w:rPr>
        <w:t>References</w:t>
      </w:r>
    </w:p>
    <w:p w14:paraId="5A37775F" w14:textId="77777777" w:rsidR="00033620" w:rsidRPr="00E741A9" w:rsidRDefault="00033620" w:rsidP="00033620">
      <w:pPr>
        <w:rPr>
          <w:rFonts w:cs="Arial"/>
          <w:szCs w:val="22"/>
        </w:rPr>
        <w:sectPr w:rsidR="00033620" w:rsidRPr="00E741A9" w:rsidSect="00D215BD">
          <w:endnotePr>
            <w:numFmt w:val="decimal"/>
          </w:endnotePr>
          <w:pgSz w:w="11906" w:h="16838" w:code="9"/>
          <w:pgMar w:top="1134" w:right="1134" w:bottom="1134" w:left="1588" w:header="431" w:footer="567" w:gutter="0"/>
          <w:cols w:space="708"/>
          <w:titlePg/>
          <w:docGrid w:linePitch="360"/>
        </w:sectPr>
      </w:pPr>
    </w:p>
    <w:p w14:paraId="1CEB5540" w14:textId="77777777" w:rsidR="00EB5AA5" w:rsidRPr="001920BD" w:rsidRDefault="00EB5AA5" w:rsidP="00DE13B2">
      <w:pPr>
        <w:rPr>
          <w:b/>
        </w:rPr>
      </w:pPr>
    </w:p>
    <w:p w14:paraId="5F3F4C83" w14:textId="77777777" w:rsidR="00DE13B2" w:rsidRPr="001920BD" w:rsidRDefault="00816F2B" w:rsidP="003D6E87">
      <w:pPr>
        <w:pStyle w:val="TSAppendixHeader"/>
        <w:ind w:left="0" w:firstLine="0"/>
      </w:pPr>
      <w:r w:rsidRPr="001920BD">
        <w:t xml:space="preserve">APPENDIX </w:t>
      </w:r>
      <w:r w:rsidR="008C6F42" w:rsidRPr="001920BD">
        <w:t>4</w:t>
      </w:r>
      <w:r w:rsidR="00DE13B2" w:rsidRPr="001920BD">
        <w:t>:</w:t>
      </w:r>
      <w:r w:rsidR="00870C18" w:rsidRPr="001920BD">
        <w:tab/>
      </w:r>
      <w:r w:rsidR="00886F07" w:rsidRPr="001920BD">
        <w:t xml:space="preserve">THE INFLUENCE OF </w:t>
      </w:r>
      <w:r w:rsidR="002E2D52" w:rsidRPr="001920BD">
        <w:t>CHEMI</w:t>
      </w:r>
      <w:r w:rsidR="00886F07" w:rsidRPr="001920BD">
        <w:t>STRY EFFECTS ON COMBUSTIBLE GASES</w:t>
      </w:r>
      <w:r w:rsidR="002E2D52" w:rsidRPr="001920BD">
        <w:t xml:space="preserve"> </w:t>
      </w:r>
    </w:p>
    <w:p w14:paraId="5F3F4C84" w14:textId="02AE673F" w:rsidR="004B4DFE" w:rsidRPr="00970F4B" w:rsidRDefault="004B4DFE" w:rsidP="00DB4353">
      <w:pPr>
        <w:pStyle w:val="TSApp4ParaNum"/>
      </w:pPr>
      <w:r w:rsidRPr="00970F4B">
        <w:t>This ap</w:t>
      </w:r>
      <w:r w:rsidR="00776CFC">
        <w:t xml:space="preserve">pendix provides more details on </w:t>
      </w:r>
      <w:r w:rsidRPr="00970F4B">
        <w:t xml:space="preserve">combustible gases in nuclear facilities. It is not intended to be a complete description of all possible phenomena or </w:t>
      </w:r>
      <w:r w:rsidR="00F439A6" w:rsidRPr="00970F4B">
        <w:t>hazards</w:t>
      </w:r>
      <w:r w:rsidRPr="00970F4B">
        <w:t xml:space="preserve"> but provides examples of the type of information that may need to be considered by the </w:t>
      </w:r>
      <w:r w:rsidR="00801DB9">
        <w:t>i</w:t>
      </w:r>
      <w:r w:rsidR="00801DB9" w:rsidRPr="00970F4B">
        <w:t xml:space="preserve">nspector </w:t>
      </w:r>
      <w:r w:rsidRPr="00970F4B">
        <w:t>when considering a nuclear safety case that involves combustible gas hazards. Typical topics that may need to be considered in such a safety case may include:</w:t>
      </w:r>
    </w:p>
    <w:p w14:paraId="5F3F4C85" w14:textId="77777777" w:rsidR="004B4DFE" w:rsidRPr="004B4DFE" w:rsidRDefault="00801DB9" w:rsidP="00970F4B">
      <w:pPr>
        <w:pStyle w:val="TSBullet1Square"/>
        <w:rPr>
          <w:rFonts w:eastAsia="Calibri"/>
        </w:rPr>
      </w:pPr>
      <w:r w:rsidRPr="004B4DFE">
        <w:rPr>
          <w:rFonts w:eastAsia="Calibri"/>
        </w:rPr>
        <w:t>combustible gas sources</w:t>
      </w:r>
      <w:r w:rsidR="001D6E16">
        <w:rPr>
          <w:rFonts w:eastAsia="Calibri"/>
        </w:rPr>
        <w:t>;</w:t>
      </w:r>
    </w:p>
    <w:p w14:paraId="5F3F4C86" w14:textId="77777777" w:rsidR="004B4DFE" w:rsidRPr="004B4DFE" w:rsidRDefault="00801DB9" w:rsidP="00970F4B">
      <w:pPr>
        <w:pStyle w:val="TSBullet1Square"/>
        <w:rPr>
          <w:rFonts w:eastAsia="Calibri"/>
        </w:rPr>
      </w:pPr>
      <w:r w:rsidRPr="004B4DFE">
        <w:rPr>
          <w:rFonts w:eastAsia="Calibri"/>
        </w:rPr>
        <w:t>combustible gas distribution</w:t>
      </w:r>
      <w:r w:rsidR="001D6E16">
        <w:rPr>
          <w:rFonts w:eastAsia="Calibri"/>
        </w:rPr>
        <w:t>;</w:t>
      </w:r>
    </w:p>
    <w:p w14:paraId="5F3F4C87" w14:textId="77777777" w:rsidR="004B4DFE" w:rsidRPr="004B4DFE" w:rsidRDefault="00801DB9" w:rsidP="00970F4B">
      <w:pPr>
        <w:pStyle w:val="TSBullet1Square"/>
        <w:rPr>
          <w:rFonts w:eastAsia="Calibri"/>
        </w:rPr>
      </w:pPr>
      <w:r w:rsidRPr="004B4DFE">
        <w:rPr>
          <w:rFonts w:eastAsia="Calibri"/>
        </w:rPr>
        <w:t>relevant combustion phenomena</w:t>
      </w:r>
      <w:r w:rsidR="001D6E16">
        <w:rPr>
          <w:rFonts w:eastAsia="Calibri"/>
        </w:rPr>
        <w:t>;</w:t>
      </w:r>
    </w:p>
    <w:p w14:paraId="5F3F4C88" w14:textId="77777777" w:rsidR="004B4DFE" w:rsidRPr="004B4DFE" w:rsidRDefault="00801DB9" w:rsidP="00970F4B">
      <w:pPr>
        <w:pStyle w:val="TSBullet1Square"/>
        <w:rPr>
          <w:rFonts w:eastAsia="Calibri"/>
        </w:rPr>
      </w:pPr>
      <w:r w:rsidRPr="004B4DFE">
        <w:rPr>
          <w:rFonts w:eastAsia="Calibri"/>
        </w:rPr>
        <w:t>consequences of combustion</w:t>
      </w:r>
      <w:r w:rsidR="001D6E16">
        <w:rPr>
          <w:rFonts w:eastAsia="Calibri"/>
        </w:rPr>
        <w:t>;</w:t>
      </w:r>
    </w:p>
    <w:p w14:paraId="5F3F4C89" w14:textId="77777777" w:rsidR="004B4DFE" w:rsidRPr="004B4DFE" w:rsidRDefault="00801DB9" w:rsidP="00970F4B">
      <w:pPr>
        <w:pStyle w:val="TSBullet1Square"/>
        <w:rPr>
          <w:rFonts w:eastAsia="Calibri"/>
        </w:rPr>
      </w:pPr>
      <w:r w:rsidRPr="004B4DFE">
        <w:rPr>
          <w:rFonts w:eastAsia="Calibri"/>
        </w:rPr>
        <w:t>measurement and detection of combustible gases</w:t>
      </w:r>
      <w:r w:rsidR="001D6E16">
        <w:rPr>
          <w:rFonts w:eastAsia="Calibri"/>
        </w:rPr>
        <w:t>; and</w:t>
      </w:r>
    </w:p>
    <w:p w14:paraId="5F3F4C8A" w14:textId="77777777" w:rsidR="004B4DFE" w:rsidRPr="004B4DFE" w:rsidRDefault="008F4E4C" w:rsidP="00970F4B">
      <w:pPr>
        <w:pStyle w:val="TSBullet1Square"/>
        <w:rPr>
          <w:rFonts w:eastAsia="Calibri"/>
        </w:rPr>
      </w:pPr>
      <w:r>
        <w:rPr>
          <w:rFonts w:eastAsia="Calibri"/>
        </w:rPr>
        <w:t>mitigation of combustible gases</w:t>
      </w:r>
      <w:r w:rsidR="001D6E16">
        <w:rPr>
          <w:rFonts w:eastAsia="Calibri"/>
        </w:rPr>
        <w:t>.</w:t>
      </w:r>
    </w:p>
    <w:p w14:paraId="5F3F4C8B" w14:textId="77777777" w:rsidR="004B4DFE" w:rsidRPr="004B4DFE" w:rsidRDefault="004B4DFE" w:rsidP="004B4DFE">
      <w:pPr>
        <w:rPr>
          <w:rFonts w:eastAsia="Calibri" w:cs="Arial"/>
          <w:szCs w:val="22"/>
        </w:rPr>
      </w:pPr>
    </w:p>
    <w:p w14:paraId="5F3F4C8C" w14:textId="77777777" w:rsidR="004B4DFE" w:rsidRPr="004B4DFE" w:rsidRDefault="004B4DFE">
      <w:pPr>
        <w:pStyle w:val="TSApp4ParaNum"/>
      </w:pPr>
      <w:r w:rsidRPr="004B4DFE">
        <w:t>This appendix therefore provides some brief background information and then inte</w:t>
      </w:r>
      <w:r w:rsidR="00776CFC">
        <w:t xml:space="preserve">ntionally concentrates on </w:t>
      </w:r>
      <w:r w:rsidRPr="004B4DFE">
        <w:t>aspects where the chemistry inspector’s involvement is expected to be greatest under e</w:t>
      </w:r>
      <w:r w:rsidR="00776CFC">
        <w:t>ach of these topics. It also provides some additional information on</w:t>
      </w:r>
      <w:r w:rsidRPr="004B4DFE">
        <w:t xml:space="preserve"> the modelling approach for such phenomena, rather than the full scope of a particular assessment. In totality, combustible gases in nuclear facilities often require consideration by specialists in disciplin</w:t>
      </w:r>
      <w:r w:rsidR="000F538B">
        <w:t xml:space="preserve">es other than chemistry, and may include specialists from: </w:t>
      </w:r>
      <w:r w:rsidRPr="004B4DFE">
        <w:t>fault studies, internal hazards, civil engineering and</w:t>
      </w:r>
      <w:r w:rsidR="000F538B">
        <w:t>/or</w:t>
      </w:r>
      <w:r w:rsidRPr="004B4DFE">
        <w:t xml:space="preserve"> PSA. </w:t>
      </w:r>
    </w:p>
    <w:p w14:paraId="5F3F4C8D" w14:textId="77777777" w:rsidR="004B4DFE" w:rsidRPr="004B4DFE" w:rsidRDefault="004B4DFE">
      <w:pPr>
        <w:pStyle w:val="TSApp4ParaNum"/>
      </w:pPr>
      <w:r w:rsidRPr="004B4DFE">
        <w:t>While this appendix refers to combustible gases, many of the concepts would also apply to other dispersed combustible mixtures suc</w:t>
      </w:r>
      <w:r w:rsidR="000F538B">
        <w:t xml:space="preserve">h as gaseous or vaporised fuels, </w:t>
      </w:r>
      <w:r w:rsidRPr="004B4DFE">
        <w:t>or some dusts.</w:t>
      </w:r>
    </w:p>
    <w:p w14:paraId="5F3F4C8E" w14:textId="77777777" w:rsidR="004B4DFE" w:rsidRPr="00970F4B" w:rsidRDefault="004B4DFE" w:rsidP="00970F4B">
      <w:pPr>
        <w:pStyle w:val="TSHeadingLevel2"/>
        <w:rPr>
          <w:rFonts w:eastAsia="Calibri"/>
        </w:rPr>
      </w:pPr>
      <w:r w:rsidRPr="00970F4B">
        <w:rPr>
          <w:rFonts w:eastAsia="Calibri"/>
        </w:rPr>
        <w:t>General Combustible Gas Behaviour</w:t>
      </w:r>
    </w:p>
    <w:p w14:paraId="5F3F4C8F" w14:textId="725ACA3D" w:rsidR="004B4DFE" w:rsidRDefault="004B4DFE">
      <w:pPr>
        <w:pStyle w:val="TSApp4ParaNum"/>
      </w:pPr>
      <w:r w:rsidRPr="004B4DFE">
        <w:t>Combustible gases are those which will burn (or oxidise) when mixed with air (or an oxidant) and ignited. This a chemical process, releasing heat and often light. In this context the combustible gas is the fuel. Such mixtures will only burn if the fuel concentration lies within defi</w:t>
      </w:r>
      <w:r w:rsidR="008F4E4C">
        <w:t>ned limits, referred to as the lower flammability limit (LFL) and upper flammability l</w:t>
      </w:r>
      <w:r w:rsidRPr="004B4DFE">
        <w:t>imi</w:t>
      </w:r>
      <w:r w:rsidR="008F4E4C">
        <w:t>t (UFL)</w:t>
      </w:r>
      <w:r w:rsidRPr="004B4DFE">
        <w:t xml:space="preserve">). Outside of these limits the mixture is not capable of sustaining </w:t>
      </w:r>
      <w:r w:rsidR="00E1197D" w:rsidRPr="004B4DFE">
        <w:t>combustion</w:t>
      </w:r>
      <w:r w:rsidRPr="004B4DFE">
        <w:t xml:space="preserve"> even if an ignition source is present. Such limits are commonly quoted as volume percentage of fuel in air at room temperature and pressure. Understanding these limits is important in terms of both avoiding and mitigating hazards posed by combustible gases. Such limits are experimentally determined and readily available [</w:t>
      </w:r>
      <w:r w:rsidR="00D606A3">
        <w:rPr>
          <w:rStyle w:val="EndnoteReference"/>
        </w:rPr>
        <w:endnoteReference w:id="36"/>
      </w:r>
      <w:r w:rsidRPr="004B4DFE">
        <w:t xml:space="preserve">]. A typical example is given </w:t>
      </w:r>
      <w:r w:rsidR="001C1265">
        <w:t xml:space="preserve">in </w:t>
      </w:r>
      <w:r w:rsidRPr="004B4DFE">
        <w:t>below:</w:t>
      </w:r>
    </w:p>
    <w:p w14:paraId="5F3F4C90" w14:textId="77777777" w:rsidR="00964968" w:rsidRPr="004B4DFE" w:rsidRDefault="00964968" w:rsidP="00DB4353"/>
    <w:p w14:paraId="5F3F4C91" w14:textId="77777777" w:rsidR="00A91DF2" w:rsidRDefault="00064A4A" w:rsidP="00DB4353">
      <w:pPr>
        <w:keepNext/>
        <w:ind w:left="709"/>
        <w:rPr>
          <w:rFonts w:eastAsia="Calibri" w:cs="Arial"/>
          <w:szCs w:val="22"/>
        </w:rPr>
      </w:pPr>
      <w:r>
        <w:rPr>
          <w:rFonts w:eastAsia="Calibri" w:cs="Arial"/>
          <w:noProof/>
          <w:szCs w:val="22"/>
          <w:lang w:eastAsia="en-GB"/>
        </w:rPr>
        <w:drawing>
          <wp:inline distT="0" distB="0" distL="0" distR="0" wp14:anchorId="5F3F4CFD" wp14:editId="5F3F4CFE">
            <wp:extent cx="4299585" cy="1936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9585" cy="1936115"/>
                    </a:xfrm>
                    <a:prstGeom prst="rect">
                      <a:avLst/>
                    </a:prstGeom>
                    <a:noFill/>
                    <a:ln>
                      <a:noFill/>
                    </a:ln>
                  </pic:spPr>
                </pic:pic>
              </a:graphicData>
            </a:graphic>
          </wp:inline>
        </w:drawing>
      </w:r>
    </w:p>
    <w:p w14:paraId="5F3F4C92" w14:textId="77777777" w:rsidR="00A91DF2" w:rsidRPr="00DB4353" w:rsidRDefault="00A91DF2" w:rsidP="00DB4353">
      <w:pPr>
        <w:ind w:left="709"/>
        <w:rPr>
          <w:rFonts w:eastAsia="Calibri" w:cs="Arial"/>
          <w:sz w:val="20"/>
          <w:szCs w:val="22"/>
        </w:rPr>
      </w:pPr>
      <w:r w:rsidRPr="00DB4353">
        <w:rPr>
          <w:rFonts w:eastAsia="Calibri" w:cs="Arial"/>
          <w:b/>
          <w:sz w:val="20"/>
          <w:szCs w:val="22"/>
        </w:rPr>
        <w:t>Figure A4.1</w:t>
      </w:r>
      <w:r w:rsidR="00AD6E71" w:rsidRPr="00DB4353">
        <w:rPr>
          <w:rFonts w:eastAsia="Calibri" w:cs="Arial"/>
          <w:b/>
          <w:sz w:val="20"/>
          <w:szCs w:val="22"/>
        </w:rPr>
        <w:t>:</w:t>
      </w:r>
      <w:r w:rsidRPr="00DB4353">
        <w:rPr>
          <w:rFonts w:eastAsia="Calibri" w:cs="Arial"/>
          <w:sz w:val="20"/>
          <w:szCs w:val="22"/>
        </w:rPr>
        <w:t xml:space="preserve"> Lower and Upper Flammability Limits of some common gases</w:t>
      </w:r>
    </w:p>
    <w:p w14:paraId="5F3F4C93" w14:textId="77777777" w:rsidR="00A91DF2" w:rsidRPr="004B4DFE" w:rsidRDefault="00A91DF2" w:rsidP="004B4DFE">
      <w:pPr>
        <w:jc w:val="center"/>
        <w:rPr>
          <w:rFonts w:eastAsia="Calibri" w:cs="Arial"/>
          <w:szCs w:val="22"/>
        </w:rPr>
      </w:pPr>
    </w:p>
    <w:p w14:paraId="5F3F4C94" w14:textId="427DE8CF" w:rsidR="004B4DFE" w:rsidRPr="004B4DFE" w:rsidRDefault="004B4DFE" w:rsidP="00DB4353">
      <w:pPr>
        <w:pStyle w:val="TSApp4ParaNum"/>
      </w:pPr>
      <w:r w:rsidRPr="004B4DFE">
        <w:t>As shown above</w:t>
      </w:r>
      <w:r w:rsidR="000F538B">
        <w:t>,</w:t>
      </w:r>
      <w:r w:rsidRPr="004B4DFE">
        <w:t xml:space="preserve"> the values</w:t>
      </w:r>
      <w:r w:rsidR="000F538B">
        <w:t xml:space="preserve"> for these limits vary from gas-to-</w:t>
      </w:r>
      <w:r w:rsidR="00B81C3D" w:rsidRPr="004B4DFE">
        <w:t>gas</w:t>
      </w:r>
      <w:r w:rsidRPr="004B4DFE">
        <w:t xml:space="preserve"> but are also influenced by other factors such as the temperature, pressure or gas mixture composition. For example, increasing the temperature, pressure or oxidiser concentration lowers the LFL and increases the UFL, increasing the range over which the gas mixture will combust. Conversely, the opposite is true, and importantly for preventing flammable atmospheres developing, reducing the concentration of oxidiser (for example by increasing the fraction of inert gas) raises the LFL and decreases the UFL. This type of behaviour is shown schematically below:</w:t>
      </w:r>
    </w:p>
    <w:p w14:paraId="5F3F4C95" w14:textId="77777777" w:rsidR="004B4DFE" w:rsidRDefault="00064A4A" w:rsidP="004B4DFE">
      <w:pPr>
        <w:jc w:val="center"/>
        <w:rPr>
          <w:rFonts w:eastAsia="Calibri" w:cs="Arial"/>
          <w:szCs w:val="22"/>
        </w:rPr>
      </w:pPr>
      <w:r>
        <w:rPr>
          <w:rFonts w:eastAsia="Calibri" w:cs="Arial"/>
          <w:noProof/>
          <w:szCs w:val="22"/>
          <w:lang w:eastAsia="en-GB"/>
        </w:rPr>
        <w:drawing>
          <wp:inline distT="0" distB="0" distL="0" distR="0" wp14:anchorId="5F3F4CFF" wp14:editId="5F3F4D00">
            <wp:extent cx="2675255" cy="192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5255" cy="1925955"/>
                    </a:xfrm>
                    <a:prstGeom prst="rect">
                      <a:avLst/>
                    </a:prstGeom>
                    <a:noFill/>
                    <a:ln>
                      <a:noFill/>
                    </a:ln>
                  </pic:spPr>
                </pic:pic>
              </a:graphicData>
            </a:graphic>
          </wp:inline>
        </w:drawing>
      </w:r>
    </w:p>
    <w:p w14:paraId="5F3F4C96" w14:textId="77777777" w:rsidR="006E4244" w:rsidRDefault="006E4244" w:rsidP="00DB4353">
      <w:pPr>
        <w:ind w:left="709"/>
        <w:rPr>
          <w:rFonts w:eastAsia="Calibri" w:cs="Arial"/>
          <w:sz w:val="20"/>
          <w:szCs w:val="20"/>
        </w:rPr>
      </w:pPr>
      <w:r w:rsidRPr="00DB4353">
        <w:rPr>
          <w:rFonts w:eastAsia="Calibri" w:cs="Arial"/>
          <w:b/>
          <w:sz w:val="20"/>
          <w:szCs w:val="20"/>
        </w:rPr>
        <w:t>Figure A4.2</w:t>
      </w:r>
      <w:r w:rsidR="00AD6E71" w:rsidRPr="00DB4353">
        <w:rPr>
          <w:rFonts w:eastAsia="Calibri" w:cs="Arial"/>
          <w:b/>
          <w:sz w:val="20"/>
          <w:szCs w:val="20"/>
        </w:rPr>
        <w:t>:</w:t>
      </w:r>
      <w:r>
        <w:rPr>
          <w:rFonts w:eastAsia="Calibri" w:cs="Arial"/>
          <w:sz w:val="20"/>
          <w:szCs w:val="20"/>
        </w:rPr>
        <w:t xml:space="preserve"> Effect of temperature on Lower and Upper Flammability Limit</w:t>
      </w:r>
    </w:p>
    <w:p w14:paraId="5F3F4C97" w14:textId="77777777" w:rsidR="006E4244" w:rsidRPr="006E4244" w:rsidRDefault="006E4244" w:rsidP="00DB4353">
      <w:pPr>
        <w:ind w:left="709"/>
        <w:rPr>
          <w:rFonts w:eastAsia="Calibri" w:cs="Arial"/>
          <w:szCs w:val="22"/>
        </w:rPr>
      </w:pPr>
    </w:p>
    <w:p w14:paraId="5F3F4C98" w14:textId="77777777" w:rsidR="004B4DFE" w:rsidRPr="004B4DFE" w:rsidRDefault="004B4DFE" w:rsidP="00DB4353">
      <w:pPr>
        <w:pStyle w:val="TSApp4ParaNum"/>
      </w:pPr>
      <w:r w:rsidRPr="004B4DFE">
        <w:t>The above figure also introduces the concept of auto</w:t>
      </w:r>
      <w:r w:rsidR="000F538B">
        <w:t>-</w:t>
      </w:r>
      <w:r w:rsidRPr="004B4DFE">
        <w:t>ignition. The combustible gas mixture will spontaneously ignite, without an external ignition source at this temperature. This value also varies with the mixture composition, with the minimum being close to the stoichiometric composition.</w:t>
      </w:r>
    </w:p>
    <w:p w14:paraId="5F3F4C99" w14:textId="77777777" w:rsidR="004B4DFE" w:rsidRPr="004B4DFE" w:rsidRDefault="004B4DFE" w:rsidP="00970F4B">
      <w:pPr>
        <w:pStyle w:val="TSHeadingLevel2"/>
        <w:rPr>
          <w:rFonts w:eastAsia="Calibri"/>
        </w:rPr>
      </w:pPr>
      <w:r w:rsidRPr="004B4DFE">
        <w:rPr>
          <w:rFonts w:eastAsia="Calibri"/>
        </w:rPr>
        <w:t>Combustible Gas Sources</w:t>
      </w:r>
    </w:p>
    <w:p w14:paraId="5F3F4C9A" w14:textId="77777777" w:rsidR="004B4DFE" w:rsidRPr="004B4DFE" w:rsidRDefault="004B4DFE">
      <w:pPr>
        <w:pStyle w:val="TSApp4ParaNum"/>
      </w:pPr>
      <w:r w:rsidRPr="004B4DFE">
        <w:t>Combustible gases such as</w:t>
      </w:r>
      <w:r w:rsidR="000F538B">
        <w:t>:</w:t>
      </w:r>
      <w:r w:rsidRPr="004B4DFE">
        <w:t xml:space="preserve"> hydrogen, propane, acetylene, and methane are used for various purposes during normal operations of nuclear facilities. Hydrogen is the most common combustible gas used. For example, it is used as a coolant for the mai</w:t>
      </w:r>
      <w:r w:rsidR="008F4E4C">
        <w:t>n electrical generator in both advanced gas cooled r</w:t>
      </w:r>
      <w:r w:rsidRPr="004B4DFE">
        <w:t xml:space="preserve">eactors (AGRs) </w:t>
      </w:r>
      <w:r w:rsidR="008F4E4C">
        <w:t>and PWRs</w:t>
      </w:r>
      <w:r w:rsidRPr="004B4DFE">
        <w:t xml:space="preserve">. In </w:t>
      </w:r>
      <w:r w:rsidR="000F538B">
        <w:t xml:space="preserve">the majority of </w:t>
      </w:r>
      <w:r w:rsidRPr="004B4DFE">
        <w:t>PWRs, it is also fed to the volume control tank (VCT) in the chemical volume and control system to control the dissolved oxygen concentration</w:t>
      </w:r>
      <w:r w:rsidR="000F538B">
        <w:t xml:space="preserve"> in the RCS</w:t>
      </w:r>
      <w:r w:rsidRPr="004B4DFE">
        <w:t>. It is a</w:t>
      </w:r>
      <w:r w:rsidR="000F538B">
        <w:t>lso used as a process gas for</w:t>
      </w:r>
      <w:r w:rsidRPr="004B4DFE">
        <w:t xml:space="preserve"> uranium fuel production. Othe</w:t>
      </w:r>
      <w:r w:rsidR="000F538B">
        <w:t xml:space="preserve">r combustible gas may be used. For example, </w:t>
      </w:r>
      <w:r w:rsidRPr="004B4DFE">
        <w:t xml:space="preserve">the gas chemistry of an AGR includes additions of methane and carbon monoxide. In these cases, the combustible gas is a purposeful addition to the process. </w:t>
      </w:r>
    </w:p>
    <w:p w14:paraId="5F3F4C9B" w14:textId="0B18AE5E" w:rsidR="004B4DFE" w:rsidRPr="004B4DFE" w:rsidRDefault="004B4DFE">
      <w:pPr>
        <w:pStyle w:val="TSApp4ParaNum"/>
      </w:pPr>
      <w:r w:rsidRPr="004B4DFE">
        <w:t>In other cases</w:t>
      </w:r>
      <w:r w:rsidR="005A66EB">
        <w:t>,</w:t>
      </w:r>
      <w:r w:rsidRPr="004B4DFE">
        <w:t xml:space="preserve"> combustible gases can be a product of the process, either purposefully or by accident, although the former is not common and should be avoided if possible. As above, hydrogen is the most common combustible gas, but this depends on the particular situation under consideration. </w:t>
      </w:r>
      <w:r>
        <w:t>S</w:t>
      </w:r>
      <w:r w:rsidRPr="004B4DFE">
        <w:t>uch sources could include:</w:t>
      </w:r>
    </w:p>
    <w:p w14:paraId="5F3F4C9C" w14:textId="77777777" w:rsidR="004B4DFE" w:rsidRPr="004B4DFE" w:rsidRDefault="004B4DFE" w:rsidP="00970F4B">
      <w:pPr>
        <w:pStyle w:val="TSBullet1Square"/>
        <w:rPr>
          <w:rFonts w:eastAsia="Calibri"/>
        </w:rPr>
      </w:pPr>
      <w:r w:rsidRPr="00DB4353">
        <w:rPr>
          <w:rFonts w:eastAsia="Calibri"/>
          <w:b/>
        </w:rPr>
        <w:t>Radiolysis of water, producing essentially stoichiometric hydrogen and oxygen.</w:t>
      </w:r>
      <w:r w:rsidRPr="004B4DFE">
        <w:rPr>
          <w:rFonts w:eastAsia="Calibri"/>
        </w:rPr>
        <w:t xml:space="preserve"> The rate is a function of the radiation energy, the fraction absorbed by the water and the rate of dissociation. Other solutes in the water can increase or decrease the yields. Different equilibrium conditions can be reached, depending on whether the system is </w:t>
      </w:r>
      <w:r w:rsidR="00E924F6">
        <w:rPr>
          <w:rFonts w:eastAsia="Calibri"/>
        </w:rPr>
        <w:t>‘</w:t>
      </w:r>
      <w:r w:rsidRPr="004B4DFE">
        <w:rPr>
          <w:rFonts w:eastAsia="Calibri"/>
        </w:rPr>
        <w:t>closed</w:t>
      </w:r>
      <w:r w:rsidR="00E924F6">
        <w:rPr>
          <w:rFonts w:eastAsia="Calibri"/>
        </w:rPr>
        <w:t>’</w:t>
      </w:r>
      <w:r w:rsidR="00E924F6" w:rsidRPr="004B4DFE">
        <w:rPr>
          <w:rFonts w:eastAsia="Calibri"/>
        </w:rPr>
        <w:t xml:space="preserve"> </w:t>
      </w:r>
      <w:r w:rsidRPr="004B4DFE">
        <w:rPr>
          <w:rFonts w:eastAsia="Calibri"/>
        </w:rPr>
        <w:t xml:space="preserve">or </w:t>
      </w:r>
      <w:r w:rsidR="00E924F6">
        <w:rPr>
          <w:rFonts w:eastAsia="Calibri"/>
        </w:rPr>
        <w:t>‘</w:t>
      </w:r>
      <w:r w:rsidRPr="004B4DFE">
        <w:rPr>
          <w:rFonts w:eastAsia="Calibri"/>
        </w:rPr>
        <w:t>open</w:t>
      </w:r>
      <w:r w:rsidR="00E924F6">
        <w:rPr>
          <w:rFonts w:eastAsia="Calibri"/>
        </w:rPr>
        <w:t>’</w:t>
      </w:r>
      <w:r w:rsidR="00E924F6" w:rsidRPr="004B4DFE">
        <w:rPr>
          <w:rFonts w:eastAsia="Calibri"/>
        </w:rPr>
        <w:t xml:space="preserve"> </w:t>
      </w:r>
      <w:r w:rsidRPr="004B4DFE">
        <w:rPr>
          <w:rFonts w:eastAsia="Calibri"/>
        </w:rPr>
        <w:t>and whether a gas phase exists above the water. Radiolysis of water can be a significant source of combustible gases, particularly for high dose rate conditions.</w:t>
      </w:r>
    </w:p>
    <w:p w14:paraId="5F3F4C9D" w14:textId="77777777" w:rsidR="004B4DFE" w:rsidRPr="004B4DFE" w:rsidRDefault="004B4DFE" w:rsidP="00970F4B">
      <w:pPr>
        <w:pStyle w:val="TSBullet1Square"/>
        <w:rPr>
          <w:rFonts w:eastAsia="Calibri"/>
        </w:rPr>
      </w:pPr>
      <w:r w:rsidRPr="00DB4353">
        <w:rPr>
          <w:rFonts w:eastAsia="Calibri"/>
          <w:b/>
        </w:rPr>
        <w:t>Corrosion reactions, producing hydrogen.</w:t>
      </w:r>
      <w:r w:rsidRPr="004B4DFE">
        <w:rPr>
          <w:rFonts w:eastAsia="Calibri"/>
        </w:rPr>
        <w:t xml:space="preserve"> While metals corrode </w:t>
      </w:r>
      <w:r w:rsidR="00E924F6">
        <w:rPr>
          <w:rFonts w:eastAsia="Calibri"/>
        </w:rPr>
        <w:t>in</w:t>
      </w:r>
      <w:r w:rsidR="00E924F6" w:rsidRPr="004B4DFE">
        <w:rPr>
          <w:rFonts w:eastAsia="Calibri"/>
        </w:rPr>
        <w:t xml:space="preserve"> </w:t>
      </w:r>
      <w:r w:rsidRPr="004B4DFE">
        <w:rPr>
          <w:rFonts w:eastAsia="Calibri"/>
        </w:rPr>
        <w:t>all pH conditions, the yield</w:t>
      </w:r>
      <w:r w:rsidR="000F538B">
        <w:rPr>
          <w:rFonts w:eastAsia="Calibri"/>
        </w:rPr>
        <w:t xml:space="preserve"> of hydrogen</w:t>
      </w:r>
      <w:r w:rsidRPr="004B4DFE">
        <w:rPr>
          <w:rFonts w:eastAsia="Calibri"/>
        </w:rPr>
        <w:t xml:space="preserve"> from these reactions may become significant particularly if the pH is high or</w:t>
      </w:r>
      <w:r w:rsidR="000F538B">
        <w:rPr>
          <w:rFonts w:eastAsia="Calibri"/>
        </w:rPr>
        <w:t xml:space="preserve"> low, the surface area is large, </w:t>
      </w:r>
      <w:r w:rsidRPr="004B4DFE">
        <w:rPr>
          <w:rFonts w:eastAsia="Calibri"/>
        </w:rPr>
        <w:t xml:space="preserve">or the timescales </w:t>
      </w:r>
      <w:r w:rsidR="000F538B">
        <w:rPr>
          <w:rFonts w:eastAsia="Calibri"/>
        </w:rPr>
        <w:t>are long. Aluminium and</w:t>
      </w:r>
      <w:r w:rsidRPr="004B4DFE">
        <w:rPr>
          <w:rFonts w:eastAsia="Calibri"/>
        </w:rPr>
        <w:t xml:space="preserve"> zinc are typical metals prone to this type of degradation, as is Magnox fuel cladding durin</w:t>
      </w:r>
      <w:r w:rsidR="000F538B">
        <w:rPr>
          <w:rFonts w:eastAsia="Calibri"/>
        </w:rPr>
        <w:t>g long-</w:t>
      </w:r>
      <w:r w:rsidRPr="004B4DFE">
        <w:rPr>
          <w:rFonts w:eastAsia="Calibri"/>
        </w:rPr>
        <w:t>term storage.</w:t>
      </w:r>
    </w:p>
    <w:p w14:paraId="5F3F4C9E" w14:textId="77777777" w:rsidR="004B4DFE" w:rsidRPr="004B4DFE" w:rsidRDefault="004B4DFE" w:rsidP="00970F4B">
      <w:pPr>
        <w:pStyle w:val="TSBullet1Square"/>
        <w:rPr>
          <w:rFonts w:eastAsia="Calibri"/>
        </w:rPr>
      </w:pPr>
      <w:r w:rsidRPr="00DB4353">
        <w:rPr>
          <w:rFonts w:eastAsia="Calibri"/>
          <w:b/>
        </w:rPr>
        <w:t>Zirconium oxidation, producing hydrogen.</w:t>
      </w:r>
      <w:r w:rsidR="000F538B">
        <w:rPr>
          <w:rFonts w:eastAsia="Calibri"/>
        </w:rPr>
        <w:t xml:space="preserve"> In L</w:t>
      </w:r>
      <w:r w:rsidRPr="004B4DFE">
        <w:rPr>
          <w:rFonts w:eastAsia="Calibri"/>
        </w:rPr>
        <w:t>WR accidents which involve exposure of</w:t>
      </w:r>
      <w:r w:rsidR="000F538B">
        <w:rPr>
          <w:rFonts w:eastAsia="Calibri"/>
        </w:rPr>
        <w:t xml:space="preserve"> high temperature fuel to steam, </w:t>
      </w:r>
      <w:r w:rsidRPr="004B4DFE">
        <w:rPr>
          <w:rFonts w:eastAsia="Calibri"/>
        </w:rPr>
        <w:t>the zirconium fuel cladding w</w:t>
      </w:r>
      <w:r w:rsidR="000F538B">
        <w:rPr>
          <w:rFonts w:eastAsia="Calibri"/>
        </w:rPr>
        <w:t xml:space="preserve">ill oxidise producing hydrogen: </w:t>
      </w:r>
      <w:r w:rsidRPr="004B4DFE">
        <w:rPr>
          <w:rFonts w:eastAsia="Calibri"/>
        </w:rPr>
        <w:t>Zr + 2H</w:t>
      </w:r>
      <w:r w:rsidRPr="004B4DFE">
        <w:rPr>
          <w:rFonts w:eastAsia="Calibri"/>
          <w:vertAlign w:val="subscript"/>
        </w:rPr>
        <w:t>2</w:t>
      </w:r>
      <w:r w:rsidRPr="004B4DFE">
        <w:rPr>
          <w:rFonts w:eastAsia="Calibri"/>
        </w:rPr>
        <w:t xml:space="preserve">O </w:t>
      </w:r>
      <w:r w:rsidRPr="004B4DFE">
        <w:rPr>
          <w:rFonts w:eastAsia="Calibri"/>
        </w:rPr>
        <w:sym w:font="Symbol" w:char="F0AE"/>
      </w:r>
      <w:r w:rsidRPr="004B4DFE">
        <w:rPr>
          <w:rFonts w:eastAsia="Calibri"/>
        </w:rPr>
        <w:t xml:space="preserve"> ZrO</w:t>
      </w:r>
      <w:r w:rsidRPr="004B4DFE">
        <w:rPr>
          <w:rFonts w:eastAsia="Calibri"/>
          <w:vertAlign w:val="subscript"/>
        </w:rPr>
        <w:t>2</w:t>
      </w:r>
      <w:r w:rsidRPr="004B4DFE">
        <w:rPr>
          <w:rFonts w:eastAsia="Calibri"/>
        </w:rPr>
        <w:t xml:space="preserve"> + 2H</w:t>
      </w:r>
      <w:r w:rsidRPr="004B4DFE">
        <w:rPr>
          <w:rFonts w:eastAsia="Calibri"/>
          <w:vertAlign w:val="subscript"/>
        </w:rPr>
        <w:t>2</w:t>
      </w:r>
      <w:r w:rsidRPr="004B4DFE">
        <w:rPr>
          <w:rFonts w:eastAsia="Calibri"/>
        </w:rPr>
        <w:t xml:space="preserve"> + heat. The actual process is complex, and at low and moderate temperatures it is kinetically limited by diffusion through the outer oxide </w:t>
      </w:r>
      <w:r w:rsidR="00973B43">
        <w:rPr>
          <w:rFonts w:eastAsia="Calibri"/>
        </w:rPr>
        <w:t xml:space="preserve">layer </w:t>
      </w:r>
      <w:r w:rsidRPr="004B4DFE">
        <w:rPr>
          <w:rFonts w:eastAsia="Calibri"/>
        </w:rPr>
        <w:t>on intact fuel rods but becomes more complex at higher temperatures (and may no longer be chemically limited). In such accidents, this is the major source of combustible gases and the rate and quantity of hydrogen generated in this way therefore has a large impact on the potential accident progression.</w:t>
      </w:r>
    </w:p>
    <w:p w14:paraId="5F3F4C9F" w14:textId="77777777" w:rsidR="004B4DFE" w:rsidRPr="004B4DFE" w:rsidRDefault="004B4DFE" w:rsidP="00970F4B">
      <w:pPr>
        <w:pStyle w:val="TSBullet1Square"/>
        <w:rPr>
          <w:rFonts w:eastAsia="Calibri"/>
        </w:rPr>
      </w:pPr>
      <w:r w:rsidRPr="00DB4353">
        <w:rPr>
          <w:rFonts w:eastAsia="Calibri"/>
          <w:b/>
        </w:rPr>
        <w:t>Steel oxidation, producing hydrogen.</w:t>
      </w:r>
      <w:r w:rsidRPr="004B4DFE">
        <w:rPr>
          <w:rFonts w:eastAsia="Calibri"/>
        </w:rPr>
        <w:t xml:space="preserve"> In a similar manner to zirconium, stainless steels may be oxidised by high temperature steam, but the rates are much slower and the reaction exotherm is several orders of magnitude lower.</w:t>
      </w:r>
    </w:p>
    <w:p w14:paraId="5F3F4CA0" w14:textId="77777777" w:rsidR="004B4DFE" w:rsidRPr="004B4DFE" w:rsidRDefault="004B4DFE" w:rsidP="00970F4B">
      <w:pPr>
        <w:pStyle w:val="TSBullet1Square"/>
        <w:rPr>
          <w:rFonts w:eastAsia="Calibri"/>
        </w:rPr>
      </w:pPr>
      <w:r w:rsidRPr="00DB4353">
        <w:rPr>
          <w:rFonts w:eastAsia="Calibri"/>
          <w:b/>
        </w:rPr>
        <w:t>Uranium oxidation, producing hydrogen.</w:t>
      </w:r>
      <w:r w:rsidRPr="004B4DFE">
        <w:rPr>
          <w:rFonts w:eastAsia="Calibri"/>
        </w:rPr>
        <w:t xml:space="preserve"> Uranium and uranium oxides will oxid</w:t>
      </w:r>
      <w:r w:rsidR="00973B43">
        <w:rPr>
          <w:rFonts w:eastAsia="Calibri"/>
        </w:rPr>
        <w:t>is</w:t>
      </w:r>
      <w:r w:rsidRPr="004B4DFE">
        <w:rPr>
          <w:rFonts w:eastAsia="Calibri"/>
        </w:rPr>
        <w:t>e with steam producing hydrogen. Uranium metal will o</w:t>
      </w:r>
      <w:r w:rsidR="000F538B">
        <w:rPr>
          <w:rFonts w:eastAsia="Calibri"/>
        </w:rPr>
        <w:t>xidise completely to uranium dioxide. Some uranium dioxide</w:t>
      </w:r>
      <w:r w:rsidRPr="004B4DFE">
        <w:rPr>
          <w:rFonts w:eastAsia="Calibri"/>
        </w:rPr>
        <w:t xml:space="preserve"> will oxidise </w:t>
      </w:r>
      <w:r w:rsidR="000F538B">
        <w:rPr>
          <w:rFonts w:eastAsia="Calibri"/>
        </w:rPr>
        <w:t xml:space="preserve">further to </w:t>
      </w:r>
      <w:proofErr w:type="spellStart"/>
      <w:r w:rsidR="000F538B">
        <w:rPr>
          <w:rFonts w:eastAsia="Calibri"/>
        </w:rPr>
        <w:t>triuranium</w:t>
      </w:r>
      <w:proofErr w:type="spellEnd"/>
      <w:r w:rsidR="000F538B">
        <w:rPr>
          <w:rFonts w:eastAsia="Calibri"/>
        </w:rPr>
        <w:t xml:space="preserve"> octoxide</w:t>
      </w:r>
      <w:r w:rsidRPr="004B4DFE">
        <w:rPr>
          <w:rFonts w:eastAsia="Calibri"/>
        </w:rPr>
        <w:t xml:space="preserve">, but the amount is very small with </w:t>
      </w:r>
      <w:r w:rsidR="00973B43">
        <w:rPr>
          <w:rFonts w:eastAsia="Calibri"/>
        </w:rPr>
        <w:t>only</w:t>
      </w:r>
      <w:r w:rsidR="00973B43" w:rsidRPr="004B4DFE">
        <w:rPr>
          <w:rFonts w:eastAsia="Calibri"/>
        </w:rPr>
        <w:t xml:space="preserve"> </w:t>
      </w:r>
      <w:r w:rsidRPr="004B4DFE">
        <w:rPr>
          <w:rFonts w:eastAsia="Calibri"/>
        </w:rPr>
        <w:t>small amounts of hydrogen present. The</w:t>
      </w:r>
      <w:r w:rsidR="000F538B">
        <w:rPr>
          <w:rFonts w:eastAsia="Calibri"/>
        </w:rPr>
        <w:t xml:space="preserve"> rate of oxidation of ceramic uranium dioxide</w:t>
      </w:r>
      <w:r w:rsidRPr="004B4DFE">
        <w:rPr>
          <w:rFonts w:eastAsia="Calibri"/>
        </w:rPr>
        <w:t xml:space="preserve"> is negligible.</w:t>
      </w:r>
    </w:p>
    <w:p w14:paraId="5F3F4CA1" w14:textId="77777777" w:rsidR="004B4DFE" w:rsidRPr="004B4DFE" w:rsidRDefault="004B4DFE" w:rsidP="00970F4B">
      <w:pPr>
        <w:pStyle w:val="TSBullet1Square"/>
        <w:rPr>
          <w:rFonts w:eastAsia="Calibri"/>
        </w:rPr>
      </w:pPr>
      <w:r w:rsidRPr="00DB4353">
        <w:rPr>
          <w:rFonts w:eastAsia="Calibri"/>
          <w:b/>
        </w:rPr>
        <w:t>Molten core – concrete interactions, producing hydrogen and carbon monoxide.</w:t>
      </w:r>
      <w:r w:rsidR="000F538B">
        <w:rPr>
          <w:rFonts w:eastAsia="Calibri"/>
        </w:rPr>
        <w:t xml:space="preserve"> In a severe accident in a L</w:t>
      </w:r>
      <w:r w:rsidRPr="004B4DFE">
        <w:rPr>
          <w:rFonts w:eastAsia="Calibri"/>
        </w:rPr>
        <w:t>WR, molten core debris in contact with concrete will produce combustible gases either through direct chemical reaction or through thermal degradation. Such sources may become s</w:t>
      </w:r>
      <w:r w:rsidR="000F538B">
        <w:rPr>
          <w:rFonts w:eastAsia="Calibri"/>
        </w:rPr>
        <w:t>ignificant for the most severe L</w:t>
      </w:r>
      <w:r w:rsidRPr="004B4DFE">
        <w:rPr>
          <w:rFonts w:eastAsia="Calibri"/>
        </w:rPr>
        <w:t>WR accidents, particularly in the longer term.</w:t>
      </w:r>
    </w:p>
    <w:p w14:paraId="5F3F4CA2" w14:textId="77777777" w:rsidR="004B4DFE" w:rsidRPr="004B4DFE" w:rsidRDefault="004B4DFE" w:rsidP="004B4DFE">
      <w:pPr>
        <w:rPr>
          <w:rFonts w:eastAsia="Calibri" w:cs="Arial"/>
          <w:szCs w:val="22"/>
        </w:rPr>
      </w:pPr>
    </w:p>
    <w:p w14:paraId="5F3F4CA3" w14:textId="77777777" w:rsidR="004B4DFE" w:rsidRPr="004B4DFE" w:rsidRDefault="004B4DFE">
      <w:pPr>
        <w:pStyle w:val="TSApp4ParaNum"/>
      </w:pPr>
      <w:r w:rsidRPr="004B4DFE">
        <w:t xml:space="preserve">In addition to the origin of combustible gases, the rate and timings of release </w:t>
      </w:r>
      <w:r w:rsidR="00973B43">
        <w:t>are</w:t>
      </w:r>
      <w:r w:rsidR="00973B43" w:rsidRPr="004B4DFE">
        <w:t xml:space="preserve"> </w:t>
      </w:r>
      <w:r w:rsidRPr="004B4DFE">
        <w:t xml:space="preserve">important in determining any potential consequences. These are often chemically driven. Any assumptions used in determining these parameters could be important, </w:t>
      </w:r>
      <w:r w:rsidRPr="00841CC7">
        <w:t>particularly at higher temperatures where rates are higher but also uncertainties are greater. In such cases the expectations of the relevant SAPs should be considered, including EKP.1, EHA.13 and ECH.1.</w:t>
      </w:r>
    </w:p>
    <w:p w14:paraId="5F3F4CA4" w14:textId="77777777" w:rsidR="004B4DFE" w:rsidRPr="004B4DFE" w:rsidRDefault="004B4DFE" w:rsidP="00970F4B">
      <w:pPr>
        <w:pStyle w:val="TSHeadingLevel2"/>
        <w:rPr>
          <w:rFonts w:eastAsia="Calibri"/>
        </w:rPr>
      </w:pPr>
      <w:r w:rsidRPr="004B4DFE">
        <w:rPr>
          <w:rFonts w:eastAsia="Calibri"/>
        </w:rPr>
        <w:t>Combustible Gas Distribution</w:t>
      </w:r>
    </w:p>
    <w:p w14:paraId="5F3F4CA5" w14:textId="77777777" w:rsidR="004B4DFE" w:rsidRPr="004B4DFE" w:rsidRDefault="004B4DFE">
      <w:pPr>
        <w:pStyle w:val="TSApp4ParaNum"/>
      </w:pPr>
      <w:r w:rsidRPr="004B4DFE">
        <w:t>Combustible gas mixtures can vary from fully homogeneous fuel-oxidant mixtures to inhomogeneous clouds. The combustion behaviour in the former case is relatively easy to predict. However, such situations seldom arise, particularly during accidents where a combustible gas is often released in some manner and mixes with air or other gases and the latter case results. Understanding the mixing and distribution of combustible gases is part of determining the potential consequences, including how this distribution evolves and changes over time.</w:t>
      </w:r>
    </w:p>
    <w:p w14:paraId="5F3F4CA6" w14:textId="73591713" w:rsidR="004B4DFE" w:rsidRPr="004B4DFE" w:rsidRDefault="004B4DFE">
      <w:pPr>
        <w:pStyle w:val="TSApp4ParaNum"/>
      </w:pPr>
      <w:r w:rsidRPr="004B4DFE">
        <w:t xml:space="preserve">To do this the form of the combustible gas release is </w:t>
      </w:r>
      <w:r w:rsidR="003F2790" w:rsidRPr="004B4DFE">
        <w:t>important and</w:t>
      </w:r>
      <w:r w:rsidRPr="004B4DFE">
        <w:t xml:space="preserve"> can be broadly categorised as either a jet (</w:t>
      </w:r>
      <w:r w:rsidR="00E1197D">
        <w:t>i.e.</w:t>
      </w:r>
      <w:r w:rsidR="00E54AEE">
        <w:t xml:space="preserve"> through a nozzle), </w:t>
      </w:r>
      <w:r w:rsidRPr="004B4DFE">
        <w:t>or diffuse release (</w:t>
      </w:r>
      <w:r w:rsidR="00E1197D">
        <w:t>i.e.</w:t>
      </w:r>
      <w:r w:rsidR="00E54AEE">
        <w:t xml:space="preserve"> an evaporating pool). These </w:t>
      </w:r>
      <w:r w:rsidRPr="004B4DFE">
        <w:t>have very different characteristics:</w:t>
      </w:r>
    </w:p>
    <w:p w14:paraId="5F3F4CA7" w14:textId="77777777" w:rsidR="004B4DFE" w:rsidRPr="004B4DFE" w:rsidRDefault="004B4DFE" w:rsidP="00970F4B">
      <w:pPr>
        <w:pStyle w:val="TSBullet1Square"/>
        <w:rPr>
          <w:rFonts w:eastAsia="Calibri"/>
        </w:rPr>
      </w:pPr>
      <w:r w:rsidRPr="004B4DFE">
        <w:rPr>
          <w:rFonts w:eastAsia="Calibri"/>
        </w:rPr>
        <w:t>A jet release has a high momentum and establishes a strong flow field due to additional air entrainment and zones may be generated where the gas concentration can reach a combustible level, particularly within building or confined spaces where large combustible clouds can be generated. Conversely such releases into a confined space may lead to more homogenous mixtures (in the absence of ignition sources), given the intense mixing effects.</w:t>
      </w:r>
    </w:p>
    <w:p w14:paraId="5F3F4CA8" w14:textId="77777777" w:rsidR="004B4DFE" w:rsidRPr="004B4DFE" w:rsidRDefault="004B4DFE" w:rsidP="00970F4B">
      <w:pPr>
        <w:pStyle w:val="TSBullet1Square"/>
        <w:rPr>
          <w:rFonts w:eastAsia="Calibri"/>
        </w:rPr>
      </w:pPr>
      <w:r w:rsidRPr="004B4DFE">
        <w:rPr>
          <w:rFonts w:eastAsia="Calibri"/>
        </w:rPr>
        <w:t>A diffuse release source is much gentler and slower</w:t>
      </w:r>
      <w:r w:rsidR="00973B43">
        <w:rPr>
          <w:rFonts w:eastAsia="Calibri"/>
        </w:rPr>
        <w:t>,</w:t>
      </w:r>
      <w:r w:rsidRPr="004B4DFE">
        <w:rPr>
          <w:rFonts w:eastAsia="Calibri"/>
        </w:rPr>
        <w:t xml:space="preserve"> and wind forces and buoyancy will control the dispersion process. If the diffuse gas is notably denser or lighter, a stratified layer of combustible gas may be formed, leading to a very inhomogeneous mixture, even within the cloud itself.</w:t>
      </w:r>
    </w:p>
    <w:p w14:paraId="5F3F4CA9" w14:textId="77777777" w:rsidR="004B4DFE" w:rsidRPr="004B4DFE" w:rsidRDefault="004B4DFE" w:rsidP="004B4DFE">
      <w:pPr>
        <w:rPr>
          <w:rFonts w:eastAsia="Calibri" w:cs="Arial"/>
          <w:szCs w:val="22"/>
        </w:rPr>
      </w:pPr>
    </w:p>
    <w:p w14:paraId="5F3F4CAA" w14:textId="77777777" w:rsidR="004B4DFE" w:rsidRPr="004B4DFE" w:rsidRDefault="00E54AEE">
      <w:pPr>
        <w:pStyle w:val="TSApp4ParaNum"/>
      </w:pPr>
      <w:r>
        <w:t xml:space="preserve">If the gas cloud </w:t>
      </w:r>
      <w:r w:rsidR="004B4DFE" w:rsidRPr="004B4DFE">
        <w:t>formed from the</w:t>
      </w:r>
      <w:r>
        <w:t xml:space="preserve"> release</w:t>
      </w:r>
      <w:r w:rsidR="004B4DFE" w:rsidRPr="004B4DFE">
        <w:t xml:space="preserve"> is not</w:t>
      </w:r>
      <w:r>
        <w:t xml:space="preserve"> within the flammability limits, </w:t>
      </w:r>
      <w:r w:rsidR="004B4DFE" w:rsidRPr="004B4DFE">
        <w:t xml:space="preserve">or if the ignition source is lacking, the gas cloud may be diluted and disappear. Ignition may occur immediately or may be delayed, all depending on the circumstances. In </w:t>
      </w:r>
      <w:r>
        <w:t xml:space="preserve">the </w:t>
      </w:r>
      <w:r w:rsidR="004B4DFE" w:rsidRPr="004B4DFE">
        <w:t>case of an immediate ignition (</w:t>
      </w:r>
      <w:r w:rsidR="00E1197D">
        <w:t>i.e.</w:t>
      </w:r>
      <w:r w:rsidR="004B4DFE" w:rsidRPr="004B4DFE">
        <w:t xml:space="preserve"> before mixing of the </w:t>
      </w:r>
      <w:r>
        <w:t xml:space="preserve">fuel and oxidiser has occurred), </w:t>
      </w:r>
      <w:r w:rsidR="004B4DFE" w:rsidRPr="004B4DFE">
        <w:t>a fire will occur (</w:t>
      </w:r>
      <w:r w:rsidR="00E1197D">
        <w:t>i.e.</w:t>
      </w:r>
      <w:r w:rsidR="004B4DFE" w:rsidRPr="004B4DFE">
        <w:t xml:space="preserve"> a diffusion flame). Generally, the most dangerous situations occur if a large combustible premixed fuel-air cloud is formed and ignites. </w:t>
      </w:r>
    </w:p>
    <w:p w14:paraId="5F3F4CAB" w14:textId="3BD737DA" w:rsidR="004B4DFE" w:rsidRPr="004B4DFE" w:rsidRDefault="004B4DFE">
      <w:pPr>
        <w:pStyle w:val="TSApp4ParaNum"/>
      </w:pPr>
      <w:r w:rsidRPr="004B4DFE">
        <w:t>Understanding the mixing behaviour of gases in such situations is t</w:t>
      </w:r>
      <w:r w:rsidR="00E54AEE">
        <w:t>herefore an important aspect of</w:t>
      </w:r>
      <w:r w:rsidRPr="004B4DFE">
        <w:t xml:space="preserve"> being able to predict the likely consequences of any subsequent combustion event. More general information on combustible gas behaviour can be found in [</w:t>
      </w:r>
      <w:r w:rsidR="000303DA">
        <w:rPr>
          <w:rStyle w:val="EndnoteReference"/>
        </w:rPr>
        <w:endnoteReference w:id="37"/>
      </w:r>
      <w:r w:rsidRPr="004B4DFE">
        <w:t>].</w:t>
      </w:r>
    </w:p>
    <w:p w14:paraId="5F3F4CAC" w14:textId="77777777" w:rsidR="004B4DFE" w:rsidRPr="004B4DFE" w:rsidRDefault="004B4DFE" w:rsidP="00970F4B">
      <w:pPr>
        <w:pStyle w:val="TSHeadingLevel2"/>
        <w:rPr>
          <w:rFonts w:eastAsia="Calibri"/>
        </w:rPr>
      </w:pPr>
      <w:r w:rsidRPr="004B4DFE">
        <w:rPr>
          <w:rFonts w:eastAsia="Calibri"/>
        </w:rPr>
        <w:t>Relevant Combustion Phenomena</w:t>
      </w:r>
    </w:p>
    <w:p w14:paraId="5F3F4CAD" w14:textId="4A867B17" w:rsidR="004B4DFE" w:rsidRPr="004B4DFE" w:rsidRDefault="004B4DFE">
      <w:pPr>
        <w:pStyle w:val="TSApp4ParaNum"/>
      </w:pPr>
      <w:r w:rsidRPr="004B4DFE">
        <w:t xml:space="preserve">How the combustion proceeds </w:t>
      </w:r>
      <w:r w:rsidR="008B166E">
        <w:t>will</w:t>
      </w:r>
      <w:r w:rsidRPr="004B4DFE">
        <w:t xml:space="preserve"> directly affect the consequences. When </w:t>
      </w:r>
      <w:r w:rsidR="00E54AEE">
        <w:t xml:space="preserve">a combustible gas ignites, </w:t>
      </w:r>
      <w:r w:rsidRPr="004B4DFE">
        <w:t xml:space="preserve">the flame can propagate in two different modes through the flammable parts of the cloud. </w:t>
      </w:r>
      <w:r w:rsidR="00E54AEE">
        <w:t xml:space="preserve">From the point of view of nuclear safety, the </w:t>
      </w:r>
      <w:r w:rsidRPr="004B4DFE">
        <w:t>combustion re</w:t>
      </w:r>
      <w:r w:rsidR="00E54AEE">
        <w:t xml:space="preserve">gimes </w:t>
      </w:r>
      <w:r w:rsidRPr="004B4DFE">
        <w:t xml:space="preserve">can be broadly </w:t>
      </w:r>
      <w:r w:rsidR="0044738A">
        <w:t xml:space="preserve">classified as deflagrations or </w:t>
      </w:r>
      <w:r w:rsidRPr="004B4DFE">
        <w:t xml:space="preserve">detonations: </w:t>
      </w:r>
    </w:p>
    <w:p w14:paraId="5F3F4CAE" w14:textId="2D87BFCB" w:rsidR="004B4DFE" w:rsidRPr="004B4DFE" w:rsidRDefault="004B4DFE" w:rsidP="00970F4B">
      <w:pPr>
        <w:pStyle w:val="TSBullet1Square"/>
        <w:rPr>
          <w:rFonts w:eastAsia="Calibri"/>
        </w:rPr>
      </w:pPr>
      <w:r w:rsidRPr="00DB4353">
        <w:rPr>
          <w:rFonts w:eastAsia="Calibri"/>
          <w:b/>
        </w:rPr>
        <w:t>Deflagration</w:t>
      </w:r>
      <w:r w:rsidR="00E54AEE">
        <w:rPr>
          <w:rFonts w:eastAsia="Calibri"/>
        </w:rPr>
        <w:t xml:space="preserve"> – t</w:t>
      </w:r>
      <w:r w:rsidR="008F4E4C">
        <w:rPr>
          <w:rFonts w:eastAsia="Calibri"/>
        </w:rPr>
        <w:t>his is the most ‘common’</w:t>
      </w:r>
      <w:r w:rsidRPr="004B4DFE">
        <w:rPr>
          <w:rFonts w:eastAsia="Calibri"/>
        </w:rPr>
        <w:t xml:space="preserve"> type of combustion. In a deflagration the flame propagates at subsonic speed relative to the unburned gas. For a fuel-air cloud (ignited by a spark) the flame will normally start out as a slow laminar flame. If the cloud is truly unconfined and unobstructed the flame is not likely to accelerate </w:t>
      </w:r>
      <w:r w:rsidR="008B50CE">
        <w:rPr>
          <w:rFonts w:eastAsia="Calibri"/>
        </w:rPr>
        <w:t>significantly</w:t>
      </w:r>
      <w:r w:rsidRPr="004B4DFE">
        <w:rPr>
          <w:rFonts w:eastAsia="Calibri"/>
        </w:rPr>
        <w:t xml:space="preserve">, and the resultant pressure </w:t>
      </w:r>
      <w:r w:rsidR="0096337D">
        <w:rPr>
          <w:rFonts w:eastAsia="Calibri"/>
        </w:rPr>
        <w:t>may</w:t>
      </w:r>
      <w:r w:rsidR="0096337D" w:rsidRPr="004B4DFE">
        <w:rPr>
          <w:rFonts w:eastAsia="Calibri"/>
        </w:rPr>
        <w:t xml:space="preserve"> </w:t>
      </w:r>
      <w:r w:rsidRPr="004B4DFE">
        <w:rPr>
          <w:rFonts w:eastAsia="Calibri"/>
        </w:rPr>
        <w:t>be negligible. However, fast deflagrations</w:t>
      </w:r>
      <w:r w:rsidR="008B50CE">
        <w:rPr>
          <w:rFonts w:eastAsia="Calibri"/>
        </w:rPr>
        <w:t>,</w:t>
      </w:r>
      <w:r w:rsidRPr="004B4DFE">
        <w:rPr>
          <w:rFonts w:eastAsia="Calibri"/>
        </w:rPr>
        <w:t xml:space="preserve"> and even slow deflagrations in a closed vessel</w:t>
      </w:r>
      <w:r w:rsidR="008B50CE">
        <w:rPr>
          <w:rFonts w:eastAsia="Calibri"/>
        </w:rPr>
        <w:t>,</w:t>
      </w:r>
      <w:r w:rsidRPr="004B4DFE">
        <w:rPr>
          <w:rFonts w:eastAsia="Calibri"/>
        </w:rPr>
        <w:t xml:space="preserve"> can generate appreciable pressures. Deflagrations are therefore not necessarily benign</w:t>
      </w:r>
      <w:r w:rsidR="00EF5381">
        <w:rPr>
          <w:rFonts w:eastAsia="Calibri"/>
        </w:rPr>
        <w:t>,</w:t>
      </w:r>
      <w:r w:rsidRPr="004B4DFE">
        <w:rPr>
          <w:rFonts w:eastAsia="Calibri"/>
        </w:rPr>
        <w:t xml:space="preserve"> as the flame speed</w:t>
      </w:r>
      <w:r w:rsidR="008B50CE">
        <w:rPr>
          <w:rFonts w:eastAsia="Calibri"/>
        </w:rPr>
        <w:t xml:space="preserve">, </w:t>
      </w:r>
      <w:r w:rsidR="00CE0A96">
        <w:rPr>
          <w:rFonts w:eastAsia="Calibri"/>
        </w:rPr>
        <w:t>therefore</w:t>
      </w:r>
      <w:r w:rsidR="004A227F">
        <w:rPr>
          <w:rFonts w:eastAsia="Calibri"/>
        </w:rPr>
        <w:t xml:space="preserve"> the </w:t>
      </w:r>
      <w:r w:rsidR="0096337D">
        <w:rPr>
          <w:rFonts w:eastAsia="Calibri"/>
        </w:rPr>
        <w:t xml:space="preserve">degree of </w:t>
      </w:r>
      <w:r w:rsidR="008B50CE">
        <w:rPr>
          <w:rFonts w:eastAsia="Calibri"/>
        </w:rPr>
        <w:t>confinement</w:t>
      </w:r>
      <w:r w:rsidRPr="004B4DFE">
        <w:rPr>
          <w:rFonts w:eastAsia="Calibri"/>
        </w:rPr>
        <w:t xml:space="preserve"> and geometry become important.</w:t>
      </w:r>
    </w:p>
    <w:p w14:paraId="5F3F4CAF" w14:textId="77777777" w:rsidR="004B4DFE" w:rsidRPr="004B4DFE" w:rsidRDefault="004B4DFE" w:rsidP="00970F4B">
      <w:pPr>
        <w:pStyle w:val="TSBullet1Square"/>
        <w:rPr>
          <w:rFonts w:eastAsia="Calibri"/>
        </w:rPr>
      </w:pPr>
      <w:r w:rsidRPr="00DB4353">
        <w:rPr>
          <w:rFonts w:eastAsia="Calibri"/>
          <w:b/>
        </w:rPr>
        <w:t>Detonation</w:t>
      </w:r>
      <w:r w:rsidR="00E54AEE">
        <w:rPr>
          <w:rFonts w:eastAsia="Calibri"/>
        </w:rPr>
        <w:t xml:space="preserve"> - a</w:t>
      </w:r>
      <w:r w:rsidRPr="004B4DFE">
        <w:rPr>
          <w:rFonts w:eastAsia="Calibri"/>
        </w:rPr>
        <w:t xml:space="preserve"> detonation wave is a supersonic (relative to the speed of sound in the unburned gas ahead of the wave) combustion wave. The shock wave and the combustion wave are in this case coupled. High ignition energies are commonly required to directly initiate detonations, although the energy is minimised close to stoichiometry. In a typical fuel-air detonation </w:t>
      </w:r>
      <w:r w:rsidR="008B50CE">
        <w:rPr>
          <w:rFonts w:eastAsia="Calibri"/>
        </w:rPr>
        <w:t xml:space="preserve">the shock </w:t>
      </w:r>
      <w:r w:rsidRPr="004B4DFE">
        <w:rPr>
          <w:rFonts w:eastAsia="Calibri"/>
        </w:rPr>
        <w:t xml:space="preserve">wave </w:t>
      </w:r>
      <w:r w:rsidR="008B50CE">
        <w:rPr>
          <w:rFonts w:eastAsia="Calibri"/>
        </w:rPr>
        <w:t>may</w:t>
      </w:r>
      <w:r w:rsidR="008B50CE" w:rsidRPr="004B4DFE">
        <w:rPr>
          <w:rFonts w:eastAsia="Calibri"/>
        </w:rPr>
        <w:t xml:space="preserve"> </w:t>
      </w:r>
      <w:r w:rsidRPr="004B4DFE">
        <w:rPr>
          <w:rFonts w:eastAsia="Calibri"/>
        </w:rPr>
        <w:t xml:space="preserve">propagate at </w:t>
      </w:r>
      <w:r w:rsidR="008B50CE">
        <w:rPr>
          <w:rFonts w:eastAsia="Calibri"/>
        </w:rPr>
        <w:t>thousands of</w:t>
      </w:r>
      <w:r w:rsidRPr="004B4DFE">
        <w:rPr>
          <w:rFonts w:eastAsia="Calibri"/>
        </w:rPr>
        <w:t xml:space="preserve"> m s</w:t>
      </w:r>
      <w:r w:rsidRPr="004B4DFE">
        <w:rPr>
          <w:rFonts w:eastAsia="Calibri"/>
          <w:vertAlign w:val="superscript"/>
        </w:rPr>
        <w:t>-1</w:t>
      </w:r>
      <w:r w:rsidR="008B50CE">
        <w:rPr>
          <w:rFonts w:eastAsia="Calibri"/>
        </w:rPr>
        <w:t>, generating very significant peak pressures</w:t>
      </w:r>
      <w:r w:rsidRPr="004B4DFE">
        <w:rPr>
          <w:rFonts w:eastAsia="Calibri"/>
        </w:rPr>
        <w:t xml:space="preserve">. </w:t>
      </w:r>
      <w:r w:rsidR="008B50CE">
        <w:rPr>
          <w:rFonts w:eastAsia="Calibri"/>
        </w:rPr>
        <w:t xml:space="preserve"> Detonation</w:t>
      </w:r>
      <w:r w:rsidRPr="004B4DFE">
        <w:rPr>
          <w:rFonts w:eastAsia="Calibri"/>
        </w:rPr>
        <w:t xml:space="preserve"> events are therefore often the most damaging.</w:t>
      </w:r>
    </w:p>
    <w:p w14:paraId="5F3F4CB0" w14:textId="77777777" w:rsidR="004B4DFE" w:rsidRPr="004B4DFE" w:rsidRDefault="004B4DFE" w:rsidP="004B4DFE">
      <w:pPr>
        <w:rPr>
          <w:rFonts w:eastAsia="Calibri" w:cs="Arial"/>
          <w:szCs w:val="22"/>
        </w:rPr>
      </w:pPr>
    </w:p>
    <w:p w14:paraId="5F3F4CB1" w14:textId="0CE00296" w:rsidR="004B4DFE" w:rsidRPr="004B4DFE" w:rsidRDefault="00E55D16">
      <w:pPr>
        <w:pStyle w:val="TSApp4ParaNum"/>
      </w:pPr>
      <w:r>
        <w:t>In</w:t>
      </w:r>
      <w:r w:rsidRPr="004B4DFE">
        <w:t xml:space="preserve"> </w:t>
      </w:r>
      <w:r w:rsidR="004B4DFE" w:rsidRPr="004B4DFE">
        <w:t xml:space="preserve">certain circumstances, it is possible for a deflagration to accelerate to such an extent that it turns into a detonation. In a building or within process equipment, the flame may accelerate </w:t>
      </w:r>
      <w:r w:rsidR="008B50CE">
        <w:t>significantly</w:t>
      </w:r>
      <w:r w:rsidR="004B4DFE" w:rsidRPr="004B4DFE">
        <w:t xml:space="preserve">. </w:t>
      </w:r>
      <w:r w:rsidR="008B50CE">
        <w:t>As the</w:t>
      </w:r>
      <w:r w:rsidR="004B4DFE" w:rsidRPr="004B4DFE">
        <w:t xml:space="preserve"> gas </w:t>
      </w:r>
      <w:r w:rsidR="008B50CE">
        <w:t xml:space="preserve">undergoes combustion </w:t>
      </w:r>
      <w:r w:rsidR="004B4DFE" w:rsidRPr="004B4DFE">
        <w:t xml:space="preserve">the temperature will </w:t>
      </w:r>
      <w:r w:rsidR="00AF5B08" w:rsidRPr="004B4DFE">
        <w:t>increase,</w:t>
      </w:r>
      <w:r w:rsidR="004B4DFE" w:rsidRPr="004B4DFE">
        <w:t xml:space="preserve"> and the gas will </w:t>
      </w:r>
      <w:r w:rsidR="004B4DFE" w:rsidRPr="00780C63">
        <w:t>expand.</w:t>
      </w:r>
      <w:r w:rsidR="00AF78D0" w:rsidRPr="00780C63">
        <w:t xml:space="preserve"> </w:t>
      </w:r>
      <w:r w:rsidR="0004534B" w:rsidRPr="00780C63">
        <w:t>The</w:t>
      </w:r>
      <w:r w:rsidR="008B50CE">
        <w:t xml:space="preserve"> u</w:t>
      </w:r>
      <w:r w:rsidR="004B4DFE" w:rsidRPr="004B4DFE">
        <w:t xml:space="preserve">nburned gas is therefore </w:t>
      </w:r>
      <w:r w:rsidR="008B50CE">
        <w:t xml:space="preserve">compressed and </w:t>
      </w:r>
      <w:r w:rsidR="004B4DFE" w:rsidRPr="004B4DFE">
        <w:t xml:space="preserve">pushed ahead of the flame </w:t>
      </w:r>
      <w:r w:rsidR="008B50CE">
        <w:t xml:space="preserve">front </w:t>
      </w:r>
      <w:r w:rsidR="004B4DFE" w:rsidRPr="004B4DFE">
        <w:t xml:space="preserve">and a turbulent condition is generated. When the flame propagates into a turbulent flow, the effective burning rate </w:t>
      </w:r>
      <w:r w:rsidR="0096337D">
        <w:t>may</w:t>
      </w:r>
      <w:r w:rsidR="0096337D" w:rsidRPr="004B4DFE">
        <w:t xml:space="preserve"> </w:t>
      </w:r>
      <w:r w:rsidR="004B4DFE" w:rsidRPr="004B4DFE">
        <w:t xml:space="preserve">increase </w:t>
      </w:r>
      <w:r w:rsidR="0096337D">
        <w:t>causing</w:t>
      </w:r>
      <w:r w:rsidR="0096337D" w:rsidRPr="004B4DFE">
        <w:t xml:space="preserve"> </w:t>
      </w:r>
      <w:r w:rsidR="004B4DFE" w:rsidRPr="004B4DFE">
        <w:t xml:space="preserve">the flow velocity and turbulence ahead of the flame </w:t>
      </w:r>
      <w:r w:rsidR="0096337D">
        <w:t xml:space="preserve">to </w:t>
      </w:r>
      <w:r w:rsidR="004B4DFE" w:rsidRPr="004B4DFE">
        <w:t>increase further. This strong positive feedback mechanism causes further flame acceleration and high pressures</w:t>
      </w:r>
      <w:r w:rsidR="0096337D">
        <w:t>,</w:t>
      </w:r>
      <w:r w:rsidR="004B4DFE" w:rsidRPr="004B4DFE">
        <w:t xml:space="preserve"> and in some cases transition to detona</w:t>
      </w:r>
      <w:r w:rsidR="008F4E4C">
        <w:t>tion. This process is known as deflagration to detonation t</w:t>
      </w:r>
      <w:r w:rsidR="004B4DFE" w:rsidRPr="004B4DFE">
        <w:t>ransition (DDT) and is one of the most difficult aspects to predict.</w:t>
      </w:r>
    </w:p>
    <w:p w14:paraId="5F3F4CB2" w14:textId="77777777" w:rsidR="004B4DFE" w:rsidRPr="004B4DFE" w:rsidRDefault="004B4DFE">
      <w:pPr>
        <w:pStyle w:val="TSApp4ParaNum"/>
      </w:pPr>
      <w:r w:rsidRPr="004B4DFE">
        <w:t>Diffusion flames are a special case of combustions which are stabilised at the source of a jet of fuel into oxidant (or vice-versa). They are unique in terms of accident analysis since they do not lead to significant pressure loadings (spatially non-uniform), but can affect equipment survivability due to high, localized heat fluxes.</w:t>
      </w:r>
    </w:p>
    <w:p w14:paraId="5F3F4CB3" w14:textId="77777777" w:rsidR="004B4DFE" w:rsidRPr="004B4DFE" w:rsidRDefault="004B4DFE" w:rsidP="00970F4B">
      <w:pPr>
        <w:pStyle w:val="TSHeadingLevel2"/>
        <w:rPr>
          <w:rFonts w:eastAsia="Calibri"/>
        </w:rPr>
      </w:pPr>
      <w:r w:rsidRPr="004B4DFE">
        <w:rPr>
          <w:rFonts w:eastAsia="Calibri"/>
        </w:rPr>
        <w:t>Consequences of Combustion</w:t>
      </w:r>
    </w:p>
    <w:p w14:paraId="5F3F4CB4" w14:textId="77777777" w:rsidR="00207E75" w:rsidRDefault="00207E75">
      <w:pPr>
        <w:pStyle w:val="TSApp4ParaNum"/>
      </w:pPr>
      <w:r>
        <w:t>As stated in the main body of the relevant sections of this TAG, the chemistry inspector should be aware that the task of assessing the adequacy of a nuclear safety case with respect to the consequences of combustion is predom</w:t>
      </w:r>
      <w:r w:rsidR="00E54AEE">
        <w:t>inately a matter for other ONR s</w:t>
      </w:r>
      <w:r>
        <w:t>pecialisms, namely</w:t>
      </w:r>
      <w:r w:rsidR="00E54AEE">
        <w:t xml:space="preserve"> </w:t>
      </w:r>
      <w:r>
        <w:t xml:space="preserve"> internal hazards and/or fault studies etc</w:t>
      </w:r>
      <w:r w:rsidR="00EF5381">
        <w:t>.</w:t>
      </w:r>
      <w:r>
        <w:t xml:space="preserve">; chemistry may provide an input into the overall assessment. </w:t>
      </w:r>
    </w:p>
    <w:p w14:paraId="5F3F4CB5" w14:textId="77777777" w:rsidR="004B4DFE" w:rsidRPr="004B4DFE" w:rsidRDefault="004B4DFE">
      <w:pPr>
        <w:pStyle w:val="TSApp4ParaNum"/>
      </w:pPr>
      <w:r w:rsidRPr="004B4DFE">
        <w:t xml:space="preserve">Estimating the consequences of a given gas combustion is often not a simple task as it can depend on </w:t>
      </w:r>
      <w:r w:rsidR="00E55D16">
        <w:t>numerous</w:t>
      </w:r>
      <w:r w:rsidR="00E55D16" w:rsidRPr="004B4DFE">
        <w:t xml:space="preserve"> </w:t>
      </w:r>
      <w:r w:rsidRPr="004B4DFE">
        <w:t>factors, many of which can have a large effect on the results, including:</w:t>
      </w:r>
    </w:p>
    <w:p w14:paraId="5F3F4CB6" w14:textId="77777777" w:rsidR="004B4DFE" w:rsidRPr="004B4DFE" w:rsidRDefault="004B4DFE" w:rsidP="00970F4B">
      <w:pPr>
        <w:pStyle w:val="TSBullet1Square"/>
        <w:rPr>
          <w:rFonts w:eastAsia="Calibri"/>
        </w:rPr>
      </w:pPr>
      <w:r w:rsidRPr="004B4DFE">
        <w:rPr>
          <w:rFonts w:eastAsia="Calibri"/>
        </w:rPr>
        <w:t>type of fuel a</w:t>
      </w:r>
      <w:r w:rsidR="008F4E4C">
        <w:rPr>
          <w:rFonts w:eastAsia="Calibri"/>
        </w:rPr>
        <w:t>nd oxidiser</w:t>
      </w:r>
      <w:r w:rsidR="001D6E16">
        <w:rPr>
          <w:rFonts w:eastAsia="Calibri"/>
        </w:rPr>
        <w:t>;</w:t>
      </w:r>
    </w:p>
    <w:p w14:paraId="5F3F4CB7" w14:textId="77777777" w:rsidR="004B4DFE" w:rsidRPr="004B4DFE" w:rsidRDefault="004B4DFE" w:rsidP="00970F4B">
      <w:pPr>
        <w:pStyle w:val="TSBullet1Square"/>
        <w:rPr>
          <w:rFonts w:eastAsia="Calibri"/>
        </w:rPr>
      </w:pPr>
      <w:r w:rsidRPr="004B4DFE">
        <w:rPr>
          <w:rFonts w:eastAsia="Calibri"/>
        </w:rPr>
        <w:t>size and fuel concent</w:t>
      </w:r>
      <w:r w:rsidR="008F4E4C">
        <w:rPr>
          <w:rFonts w:eastAsia="Calibri"/>
        </w:rPr>
        <w:t>ration of the combustible cloud</w:t>
      </w:r>
      <w:r w:rsidR="001D6E16">
        <w:rPr>
          <w:rFonts w:eastAsia="Calibri"/>
        </w:rPr>
        <w:t>;</w:t>
      </w:r>
    </w:p>
    <w:p w14:paraId="5F3F4CB8" w14:textId="77777777" w:rsidR="004B4DFE" w:rsidRPr="004B4DFE" w:rsidRDefault="008F4E4C" w:rsidP="00970F4B">
      <w:pPr>
        <w:pStyle w:val="TSBullet1Square"/>
        <w:rPr>
          <w:rFonts w:eastAsia="Calibri"/>
        </w:rPr>
      </w:pPr>
      <w:r>
        <w:rPr>
          <w:rFonts w:eastAsia="Calibri"/>
        </w:rPr>
        <w:t>location of ignition point</w:t>
      </w:r>
      <w:r w:rsidR="001D6E16">
        <w:rPr>
          <w:rFonts w:eastAsia="Calibri"/>
        </w:rPr>
        <w:t>;</w:t>
      </w:r>
    </w:p>
    <w:p w14:paraId="5F3F4CB9" w14:textId="77777777" w:rsidR="004B4DFE" w:rsidRPr="004B4DFE" w:rsidRDefault="008F4E4C" w:rsidP="00970F4B">
      <w:pPr>
        <w:pStyle w:val="TSBullet1Square"/>
        <w:rPr>
          <w:rFonts w:eastAsia="Calibri"/>
        </w:rPr>
      </w:pPr>
      <w:r>
        <w:rPr>
          <w:rFonts w:eastAsia="Calibri"/>
        </w:rPr>
        <w:t>strength of ignition source</w:t>
      </w:r>
      <w:r w:rsidR="001D6E16">
        <w:rPr>
          <w:rFonts w:eastAsia="Calibri"/>
        </w:rPr>
        <w:t>;</w:t>
      </w:r>
    </w:p>
    <w:p w14:paraId="5F3F4CBA" w14:textId="77777777" w:rsidR="004B4DFE" w:rsidRPr="004B4DFE" w:rsidRDefault="004B4DFE" w:rsidP="00970F4B">
      <w:pPr>
        <w:pStyle w:val="TSBullet1Square"/>
        <w:rPr>
          <w:rFonts w:eastAsia="Calibri"/>
        </w:rPr>
      </w:pPr>
      <w:r w:rsidRPr="004B4DFE">
        <w:rPr>
          <w:rFonts w:eastAsia="Calibri"/>
        </w:rPr>
        <w:t>size, l</w:t>
      </w:r>
      <w:r w:rsidR="008F4E4C">
        <w:rPr>
          <w:rFonts w:eastAsia="Calibri"/>
        </w:rPr>
        <w:t>ocation and type of vent areas</w:t>
      </w:r>
      <w:r w:rsidR="001D6E16">
        <w:rPr>
          <w:rFonts w:eastAsia="Calibri"/>
        </w:rPr>
        <w:t>;</w:t>
      </w:r>
    </w:p>
    <w:p w14:paraId="5F3F4CBB" w14:textId="77777777" w:rsidR="004B4DFE" w:rsidRPr="004B4DFE" w:rsidRDefault="004B4DFE" w:rsidP="00970F4B">
      <w:pPr>
        <w:pStyle w:val="TSBullet1Square"/>
        <w:rPr>
          <w:rFonts w:eastAsia="Calibri"/>
        </w:rPr>
      </w:pPr>
      <w:r w:rsidRPr="004B4DFE">
        <w:rPr>
          <w:rFonts w:eastAsia="Calibri"/>
        </w:rPr>
        <w:t xml:space="preserve">location and size of structural elements and equipment; and </w:t>
      </w:r>
    </w:p>
    <w:p w14:paraId="5F3F4CBC" w14:textId="77777777" w:rsidR="004B4DFE" w:rsidRPr="004B4DFE" w:rsidRDefault="008F4E4C" w:rsidP="00970F4B">
      <w:pPr>
        <w:pStyle w:val="TSBullet1Square"/>
        <w:rPr>
          <w:rFonts w:eastAsia="Calibri"/>
        </w:rPr>
      </w:pPr>
      <w:r>
        <w:rPr>
          <w:rFonts w:eastAsia="Calibri"/>
        </w:rPr>
        <w:t>mitigation schemes</w:t>
      </w:r>
      <w:r w:rsidR="001D6E16">
        <w:rPr>
          <w:rFonts w:eastAsia="Calibri"/>
        </w:rPr>
        <w:t>.</w:t>
      </w:r>
    </w:p>
    <w:p w14:paraId="5F3F4CBD" w14:textId="77777777" w:rsidR="004B4DFE" w:rsidRPr="004B4DFE" w:rsidRDefault="004B4DFE" w:rsidP="004B4DFE">
      <w:pPr>
        <w:rPr>
          <w:rFonts w:eastAsia="Calibri" w:cs="Arial"/>
          <w:szCs w:val="22"/>
        </w:rPr>
      </w:pPr>
    </w:p>
    <w:p w14:paraId="5F3F4CBE" w14:textId="54EA7358" w:rsidR="004B4DFE" w:rsidRPr="004B4DFE" w:rsidRDefault="004B4DFE">
      <w:pPr>
        <w:pStyle w:val="TSApp4ParaNum"/>
      </w:pPr>
      <w:r w:rsidRPr="004B4DFE">
        <w:t xml:space="preserve">However, once it is established </w:t>
      </w:r>
      <w:r w:rsidR="00E55D16">
        <w:t>that</w:t>
      </w:r>
      <w:r w:rsidR="00E55D16" w:rsidRPr="004B4DFE">
        <w:t xml:space="preserve"> </w:t>
      </w:r>
      <w:r w:rsidRPr="004B4DFE">
        <w:t xml:space="preserve">a given mixture is in the flammable region, the question then becomes how fast the resultant combustion is and does it have the potential to accelerate or even detonate. </w:t>
      </w:r>
      <w:r w:rsidR="00212BFC" w:rsidRPr="004B4DFE">
        <w:t>Thus,</w:t>
      </w:r>
      <w:r w:rsidRPr="004B4DFE">
        <w:t xml:space="preserve"> there are three basic steps for identifying the combustion regime [</w:t>
      </w:r>
      <w:r w:rsidR="000303DA">
        <w:rPr>
          <w:rStyle w:val="EndnoteReference"/>
        </w:rPr>
        <w:endnoteReference w:id="38"/>
      </w:r>
      <w:r w:rsidRPr="004B4DFE">
        <w:t>], which in turn will determine the potential consequences:</w:t>
      </w:r>
    </w:p>
    <w:p w14:paraId="5F3F4CBF" w14:textId="77777777" w:rsidR="004B4DFE" w:rsidRPr="004B4DFE" w:rsidRDefault="004B4DFE" w:rsidP="00DB4353">
      <w:pPr>
        <w:pStyle w:val="TSBullet1Square"/>
        <w:numPr>
          <w:ilvl w:val="0"/>
          <w:numId w:val="38"/>
        </w:numPr>
        <w:tabs>
          <w:tab w:val="clear" w:pos="-31680"/>
        </w:tabs>
      </w:pPr>
      <w:r w:rsidRPr="004B4DFE">
        <w:t xml:space="preserve">Determine the flammability of the mixture (flammability criterion). The location of a given combustible gas mixture on the Shapiro ternary diagram (Figure </w:t>
      </w:r>
      <w:r w:rsidR="00AD6E71">
        <w:t>A4.3</w:t>
      </w:r>
      <w:r w:rsidRPr="004B4DFE">
        <w:t>) is a simple measure of determining whether a given gas mixture is flammable or even potentially detonable. The latter mode is less well defined in this approach, as there is some effect of scale on determining this boundary. In this diagram, the flammability and detonation zones are, respectively, delimited by the exterior (blue) and interior (red) curves.</w:t>
      </w:r>
    </w:p>
    <w:p w14:paraId="5F3F4CC0" w14:textId="77777777" w:rsidR="004B4DFE" w:rsidRPr="004B4DFE" w:rsidRDefault="004B4DFE" w:rsidP="004B4DFE">
      <w:pPr>
        <w:rPr>
          <w:rFonts w:eastAsia="Calibri" w:cs="Arial"/>
          <w:szCs w:val="22"/>
        </w:rPr>
      </w:pPr>
    </w:p>
    <w:p w14:paraId="5F3F4CC1" w14:textId="77777777" w:rsidR="004B4DFE" w:rsidRPr="004B4DFE" w:rsidRDefault="00064A4A" w:rsidP="00D30758">
      <w:pPr>
        <w:ind w:left="1418"/>
        <w:jc w:val="center"/>
        <w:rPr>
          <w:rFonts w:eastAsia="Calibri" w:cs="Arial"/>
          <w:szCs w:val="22"/>
        </w:rPr>
      </w:pPr>
      <w:r>
        <w:rPr>
          <w:rFonts w:eastAsia="Calibri" w:cs="Arial"/>
          <w:noProof/>
          <w:szCs w:val="22"/>
          <w:lang w:eastAsia="en-GB"/>
        </w:rPr>
        <w:drawing>
          <wp:inline distT="0" distB="0" distL="0" distR="0" wp14:anchorId="5F3F4D01" wp14:editId="5F3F4D02">
            <wp:extent cx="3706495" cy="3093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6495" cy="3093085"/>
                    </a:xfrm>
                    <a:prstGeom prst="rect">
                      <a:avLst/>
                    </a:prstGeom>
                    <a:noFill/>
                    <a:ln>
                      <a:noFill/>
                    </a:ln>
                  </pic:spPr>
                </pic:pic>
              </a:graphicData>
            </a:graphic>
          </wp:inline>
        </w:drawing>
      </w:r>
    </w:p>
    <w:p w14:paraId="5F3F4CC2" w14:textId="77777777" w:rsidR="004B4DFE" w:rsidRPr="004B4DFE" w:rsidRDefault="004B4DFE" w:rsidP="004B4DFE">
      <w:pPr>
        <w:rPr>
          <w:rFonts w:eastAsia="Calibri" w:cs="Arial"/>
          <w:szCs w:val="22"/>
        </w:rPr>
      </w:pPr>
    </w:p>
    <w:p w14:paraId="5F3F4CC3" w14:textId="77777777" w:rsidR="004B4DFE" w:rsidRPr="00DB4353" w:rsidRDefault="004B4DFE" w:rsidP="00DB4353">
      <w:pPr>
        <w:ind w:left="1418"/>
        <w:jc w:val="center"/>
        <w:rPr>
          <w:rFonts w:eastAsia="Calibri" w:cs="Arial"/>
          <w:sz w:val="20"/>
          <w:szCs w:val="22"/>
        </w:rPr>
      </w:pPr>
      <w:r w:rsidRPr="00DB4353">
        <w:rPr>
          <w:rFonts w:eastAsia="Calibri" w:cs="Arial"/>
          <w:b/>
          <w:sz w:val="20"/>
          <w:szCs w:val="22"/>
        </w:rPr>
        <w:t xml:space="preserve">Figure </w:t>
      </w:r>
      <w:r w:rsidR="008F4E4C">
        <w:rPr>
          <w:rFonts w:eastAsia="Calibri" w:cs="Arial"/>
          <w:b/>
          <w:sz w:val="20"/>
          <w:szCs w:val="22"/>
        </w:rPr>
        <w:t>A</w:t>
      </w:r>
      <w:r w:rsidR="009C42DB" w:rsidRPr="00DB4353">
        <w:rPr>
          <w:rFonts w:eastAsia="Calibri" w:cs="Arial"/>
          <w:b/>
          <w:sz w:val="20"/>
          <w:szCs w:val="22"/>
        </w:rPr>
        <w:t>4.3</w:t>
      </w:r>
      <w:r w:rsidRPr="00DB4353">
        <w:rPr>
          <w:rFonts w:eastAsia="Calibri" w:cs="Arial"/>
          <w:b/>
          <w:sz w:val="20"/>
          <w:szCs w:val="22"/>
        </w:rPr>
        <w:t>:</w:t>
      </w:r>
      <w:r w:rsidRPr="00DB4353">
        <w:rPr>
          <w:rFonts w:eastAsia="Calibri" w:cs="Arial"/>
          <w:sz w:val="20"/>
          <w:szCs w:val="22"/>
        </w:rPr>
        <w:t xml:space="preserve"> Typical Shapiro ternary diagram for hydrogen-air-steam</w:t>
      </w:r>
    </w:p>
    <w:p w14:paraId="5F3F4CC4" w14:textId="77777777" w:rsidR="004B4DFE" w:rsidRPr="004B4DFE" w:rsidRDefault="004B4DFE" w:rsidP="004B4DFE">
      <w:pPr>
        <w:rPr>
          <w:rFonts w:eastAsia="Calibri" w:cs="Arial"/>
          <w:szCs w:val="22"/>
        </w:rPr>
      </w:pPr>
    </w:p>
    <w:p w14:paraId="5F3F4CC5" w14:textId="77777777" w:rsidR="004B4DFE" w:rsidRDefault="00534129" w:rsidP="00DB4353">
      <w:pPr>
        <w:ind w:left="1440"/>
      </w:pPr>
      <w:r>
        <w:t xml:space="preserve">Figure </w:t>
      </w:r>
      <w:r w:rsidR="008F4E4C">
        <w:t>A</w:t>
      </w:r>
      <w:r>
        <w:t>4.3</w:t>
      </w:r>
      <w:r w:rsidRPr="004B4DFE">
        <w:t xml:space="preserve"> </w:t>
      </w:r>
      <w:r w:rsidR="004B4DFE" w:rsidRPr="004B4DFE">
        <w:t xml:space="preserve">shows that below around 4% vol. and above 75% vol. hydrogen the mixtures are not flammable, no matter what proportions of steam or air are also present. In between these boundaries the mixture could be non-flammable, flammable or even detonable dependent upon the other components present. For example, air-hydrogen mixtures above 4% vol. will combust provided they are not </w:t>
      </w:r>
      <w:proofErr w:type="spellStart"/>
      <w:r w:rsidR="004B4DFE" w:rsidRPr="004B4DFE">
        <w:t>inerted</w:t>
      </w:r>
      <w:proofErr w:type="spellEnd"/>
      <w:r w:rsidR="004B4DFE" w:rsidRPr="004B4DFE">
        <w:t xml:space="preserve"> by steam and are mixed with sufficient oxygen, but not completely. Above 8% vol. combustion will be complete. Above 10% vol. there is the possibility that the combustion can accelerate and become a detonation. Above 16% vol. direct detonation is possible, given a sufficient energy input. The Shapiro diagram also demonstrates the important effect of steam on </w:t>
      </w:r>
      <w:proofErr w:type="spellStart"/>
      <w:r w:rsidR="004B4DFE" w:rsidRPr="004B4DFE">
        <w:t>inerting</w:t>
      </w:r>
      <w:proofErr w:type="spellEnd"/>
      <w:r w:rsidR="004B4DFE" w:rsidRPr="004B4DFE">
        <w:t xml:space="preserve"> what would otherwise be a flammable mixture. The determination of where a given gas mixture resides in such diagrams is therefore an important indicator for the potential hazards that are possible.</w:t>
      </w:r>
    </w:p>
    <w:p w14:paraId="5F3F4CC6" w14:textId="77777777" w:rsidR="00D30758" w:rsidRPr="004B4DFE" w:rsidRDefault="00D30758">
      <w:pPr>
        <w:ind w:left="1440"/>
      </w:pPr>
    </w:p>
    <w:p w14:paraId="5F3F4CC7" w14:textId="77777777" w:rsidR="004B4DFE" w:rsidRDefault="004B4DFE" w:rsidP="00DB4353">
      <w:pPr>
        <w:pStyle w:val="ListParagraph"/>
        <w:numPr>
          <w:ilvl w:val="0"/>
          <w:numId w:val="38"/>
        </w:numPr>
        <w:tabs>
          <w:tab w:val="clear" w:pos="-31680"/>
        </w:tabs>
        <w:rPr>
          <w:rFonts w:eastAsia="Calibri" w:cs="Arial"/>
          <w:szCs w:val="22"/>
        </w:rPr>
      </w:pPr>
      <w:r w:rsidRPr="00DB4353">
        <w:rPr>
          <w:rFonts w:ascii="Arial" w:eastAsia="Calibri" w:hAnsi="Arial" w:cs="Arial"/>
          <w:sz w:val="22"/>
          <w:szCs w:val="22"/>
        </w:rPr>
        <w:t xml:space="preserve">Determine the possibility of flame acceleration. </w:t>
      </w:r>
    </w:p>
    <w:p w14:paraId="5F3F4CC8" w14:textId="77777777" w:rsidR="00D30758" w:rsidRPr="00D30758" w:rsidRDefault="00D30758" w:rsidP="00DB4353">
      <w:pPr>
        <w:rPr>
          <w:rFonts w:eastAsia="Calibri"/>
        </w:rPr>
      </w:pPr>
    </w:p>
    <w:p w14:paraId="5F3F4CC9" w14:textId="77777777" w:rsidR="004B4DFE" w:rsidRPr="00CE4FA7" w:rsidRDefault="004B4DFE" w:rsidP="00DB4353">
      <w:pPr>
        <w:pStyle w:val="ListParagraph"/>
        <w:numPr>
          <w:ilvl w:val="0"/>
          <w:numId w:val="38"/>
        </w:numPr>
        <w:tabs>
          <w:tab w:val="clear" w:pos="-31680"/>
        </w:tabs>
        <w:rPr>
          <w:rFonts w:eastAsia="Calibri" w:cs="Arial"/>
          <w:szCs w:val="22"/>
        </w:rPr>
      </w:pPr>
      <w:r w:rsidRPr="00DB4353">
        <w:rPr>
          <w:rFonts w:ascii="Arial" w:eastAsia="Calibri" w:hAnsi="Arial" w:cs="Arial"/>
          <w:sz w:val="22"/>
          <w:szCs w:val="22"/>
        </w:rPr>
        <w:t xml:space="preserve">Determine the possibility of DDT. </w:t>
      </w:r>
    </w:p>
    <w:p w14:paraId="5F3F4CCA" w14:textId="77777777" w:rsidR="004B4DFE" w:rsidRPr="004B4DFE" w:rsidRDefault="004B4DFE" w:rsidP="004B4DFE">
      <w:pPr>
        <w:rPr>
          <w:rFonts w:eastAsia="Calibri" w:cs="Arial"/>
          <w:szCs w:val="22"/>
        </w:rPr>
      </w:pPr>
    </w:p>
    <w:p w14:paraId="5F3F4CCB" w14:textId="77777777" w:rsidR="004B4DFE" w:rsidRPr="004B4DFE" w:rsidRDefault="004B4DFE" w:rsidP="00DB4353">
      <w:pPr>
        <w:pStyle w:val="TSApp4ParaNum"/>
      </w:pPr>
      <w:r w:rsidRPr="004B4DFE">
        <w:t>Importantly, these last two can be established based on criteria which are conservative prerequisites based on experimental results, that is, it is unlikely that flame acceleration or DDT would occur without fulfilling these criteria (</w:t>
      </w:r>
      <w:r w:rsidR="00E1197D">
        <w:t>i.e.</w:t>
      </w:r>
      <w:r w:rsidRPr="004B4DFE">
        <w:t xml:space="preserve"> they are useful at predicting when flame acceleration or DDT will not occur rather than when it will).</w:t>
      </w:r>
    </w:p>
    <w:p w14:paraId="5F3F4CCC" w14:textId="77777777" w:rsidR="004B4DFE" w:rsidRPr="004B4DFE" w:rsidRDefault="004B4DFE">
      <w:pPr>
        <w:pStyle w:val="TSApp4ParaNum"/>
      </w:pPr>
      <w:r w:rsidRPr="004B4DFE">
        <w:t>Ultimately, the consequences of such combustions can all be related back to the increase in temperature and pressure that results from the reaction. The strength and form of these can impact on structures, systems and components important to safety. These can only be described in general terms here as they are very much sequence and plant design related:</w:t>
      </w:r>
    </w:p>
    <w:p w14:paraId="5F3F4CCD" w14:textId="77777777" w:rsidR="004B4DFE" w:rsidRPr="004B4DFE" w:rsidRDefault="004B4DFE" w:rsidP="0096453C">
      <w:pPr>
        <w:pStyle w:val="TSBullet1Square"/>
        <w:rPr>
          <w:rFonts w:eastAsia="Calibri"/>
        </w:rPr>
      </w:pPr>
      <w:r w:rsidRPr="004B4DFE">
        <w:rPr>
          <w:rFonts w:eastAsia="Calibri"/>
        </w:rPr>
        <w:t>The pressure generated by the combustion depends on how fast the flame propagates and how the pressure can expand away from the gas cloud. For slow deflagrations pressure can be considered to be uniform in the region involved in the combustion and the rate of pressure rise will be quite slow and the pressure loading can be considered to be approximately static</w:t>
      </w:r>
      <w:r w:rsidR="00B30F30">
        <w:rPr>
          <w:rFonts w:eastAsia="Calibri"/>
        </w:rPr>
        <w:t>,</w:t>
      </w:r>
      <w:r w:rsidRPr="004B4DFE">
        <w:rPr>
          <w:rFonts w:eastAsia="Calibri"/>
        </w:rPr>
        <w:t xml:space="preserve"> </w:t>
      </w:r>
      <w:r w:rsidR="00B30F30">
        <w:rPr>
          <w:rFonts w:eastAsia="Calibri"/>
        </w:rPr>
        <w:t>a</w:t>
      </w:r>
      <w:r w:rsidRPr="004B4DFE">
        <w:rPr>
          <w:rFonts w:eastAsia="Calibri"/>
        </w:rPr>
        <w:t xml:space="preserve">ssuming </w:t>
      </w:r>
      <w:r w:rsidR="008F4E4C">
        <w:rPr>
          <w:rFonts w:eastAsia="Calibri"/>
        </w:rPr>
        <w:t>adiabatic isochoric c</w:t>
      </w:r>
      <w:r w:rsidRPr="004B4DFE">
        <w:rPr>
          <w:rFonts w:eastAsia="Calibri"/>
        </w:rPr>
        <w:t>ompl</w:t>
      </w:r>
      <w:r w:rsidR="008F4E4C">
        <w:rPr>
          <w:rFonts w:eastAsia="Calibri"/>
        </w:rPr>
        <w:t>ete c</w:t>
      </w:r>
      <w:r w:rsidRPr="004B4DFE">
        <w:rPr>
          <w:rFonts w:eastAsia="Calibri"/>
        </w:rPr>
        <w:t>ombustion (AICC) will bound pressure loads from such deflagrations in closed volumes. For very fast deflagrations and for detonations, pressure and shock waves can generate dynamic loadings, and the AICC pressure is no longer bounding. Diffusion flames create almost no pressure.</w:t>
      </w:r>
    </w:p>
    <w:p w14:paraId="5F3F4CCE" w14:textId="77777777" w:rsidR="004B4DFE" w:rsidRDefault="004B4DFE" w:rsidP="0096453C">
      <w:pPr>
        <w:pStyle w:val="TSBullet1Square"/>
        <w:rPr>
          <w:rFonts w:eastAsia="Calibri"/>
        </w:rPr>
      </w:pPr>
      <w:r w:rsidRPr="004B4DFE">
        <w:rPr>
          <w:rFonts w:eastAsia="Calibri"/>
        </w:rPr>
        <w:t>Temperature increases can be accurately determined provided the rate of combustion is known (although this in itself may not be straightforward). In general deflagration and detonation temperature increases are modest in terms of impact on other structures, given the volumes and heat transfer mechanisms involved but transient temperatures can be significant. Diffusion flames are a special case given the localised and sustained nature of the heat transfer and can impact on close equipment.</w:t>
      </w:r>
    </w:p>
    <w:p w14:paraId="5F3F4CCF" w14:textId="77777777" w:rsidR="0096453C" w:rsidRPr="0096453C" w:rsidRDefault="0096453C" w:rsidP="0096453C">
      <w:pPr>
        <w:rPr>
          <w:rFonts w:eastAsia="Calibri"/>
        </w:rPr>
      </w:pPr>
    </w:p>
    <w:p w14:paraId="5F3F4CD0" w14:textId="4157D827" w:rsidR="0096337D" w:rsidRPr="001D6E16" w:rsidRDefault="004B4DFE" w:rsidP="001D6E16">
      <w:pPr>
        <w:pStyle w:val="TSApp4ParaNum"/>
        <w:rPr>
          <w:u w:val="single"/>
        </w:rPr>
      </w:pPr>
      <w:r w:rsidRPr="004B4DFE">
        <w:t>More information can be found in</w:t>
      </w:r>
      <w:r w:rsidR="00DF5B92">
        <w:t xml:space="preserve"> </w:t>
      </w:r>
      <w:r w:rsidR="003A4C21">
        <w:t>[</w:t>
      </w:r>
      <w:r w:rsidR="00B30018">
        <w:t>36</w:t>
      </w:r>
      <w:r w:rsidR="003A4C21">
        <w:t>]</w:t>
      </w:r>
      <w:r w:rsidR="00DF5B92">
        <w:t>.</w:t>
      </w:r>
    </w:p>
    <w:p w14:paraId="5F3F4CD1" w14:textId="77777777" w:rsidR="004B4DFE" w:rsidRPr="004B4DFE" w:rsidRDefault="004B4DFE" w:rsidP="0096453C">
      <w:pPr>
        <w:pStyle w:val="TSHeadingLevel2"/>
        <w:rPr>
          <w:rFonts w:eastAsia="Calibri"/>
        </w:rPr>
      </w:pPr>
      <w:r w:rsidRPr="004B4DFE">
        <w:rPr>
          <w:rFonts w:eastAsia="Calibri"/>
        </w:rPr>
        <w:t>Detection and Measurement of Combustible Gases</w:t>
      </w:r>
    </w:p>
    <w:p w14:paraId="5F3F4CD2" w14:textId="620C1A32" w:rsidR="004B4DFE" w:rsidRPr="004B4DFE" w:rsidRDefault="004B4DFE">
      <w:pPr>
        <w:pStyle w:val="TSApp4ParaNum"/>
      </w:pPr>
      <w:r w:rsidRPr="004B4DFE">
        <w:t>Management of a combustible gas hazard may necessitate the need to detect or measure the concentration of combustible gases, firstly as a means of ensuring combustible conditions are not generated, and secondly to monitor the progression of an accident to ensure timely and appropriate corrective action is taken. This can take the form of sampling systems or direct sensors. Further information is provided in [</w:t>
      </w:r>
      <w:r w:rsidR="008E36C6">
        <w:rPr>
          <w:rStyle w:val="EndnoteReference"/>
        </w:rPr>
        <w:endnoteReference w:id="39"/>
      </w:r>
      <w:r w:rsidR="003D6E87">
        <w:t>]</w:t>
      </w:r>
      <w:r w:rsidRPr="004B4DFE">
        <w:t>. Consideration should therefore be given to the need and means of detecting or measuring combustible gases.</w:t>
      </w:r>
      <w:r w:rsidR="00B81C3D">
        <w:t xml:space="preserve"> This requirement is further outlined in SAP ECH.4.</w:t>
      </w:r>
    </w:p>
    <w:p w14:paraId="5F3F4CD3" w14:textId="77777777" w:rsidR="004B4DFE" w:rsidRPr="004B4DFE" w:rsidRDefault="004B4DFE" w:rsidP="0096453C">
      <w:pPr>
        <w:pStyle w:val="TSHeadingLevel2"/>
        <w:rPr>
          <w:rFonts w:eastAsia="Calibri"/>
        </w:rPr>
      </w:pPr>
      <w:r w:rsidRPr="004B4DFE">
        <w:rPr>
          <w:rFonts w:eastAsia="Calibri"/>
        </w:rPr>
        <w:t>Mitigation of Combustible Gases</w:t>
      </w:r>
    </w:p>
    <w:p w14:paraId="5F3F4CD4" w14:textId="49D9BB84" w:rsidR="004B4DFE" w:rsidRPr="004B4DFE" w:rsidRDefault="004B4DFE">
      <w:pPr>
        <w:pStyle w:val="TSApp4ParaNum"/>
      </w:pPr>
      <w:r w:rsidRPr="004B4DFE">
        <w:t>If possible</w:t>
      </w:r>
      <w:r w:rsidR="00E54AEE">
        <w:t>,</w:t>
      </w:r>
      <w:r w:rsidRPr="004B4DFE">
        <w:t xml:space="preserve"> the use or generation of combustible gases should be avoided, as per SAP EKP.1. If this is not possible then the use, storage or generation should be minimised, controlled and appropriate</w:t>
      </w:r>
      <w:r w:rsidR="00E54AEE">
        <w:t xml:space="preserve">ly located, </w:t>
      </w:r>
      <w:r w:rsidRPr="004B4DFE">
        <w:t>as per SAP EHA.13. In practical terms the control of combustible gas hazards is usually achieved by applying sufficient natural or mechanical ventilation to limit the concentration of combustible gases to a maximum level of 25% of</w:t>
      </w:r>
      <w:r w:rsidR="008F4E4C">
        <w:t xml:space="preserve"> their LFL, </w:t>
      </w:r>
      <w:r w:rsidR="00E40797">
        <w:t xml:space="preserve">or in some cases, 50% of their LFL, </w:t>
      </w:r>
      <w:r w:rsidR="008F4E4C">
        <w:t xml:space="preserve">as per the DSEAR </w:t>
      </w:r>
      <w:proofErr w:type="spellStart"/>
      <w:r w:rsidR="008F4E4C">
        <w:t>ACo</w:t>
      </w:r>
      <w:r w:rsidRPr="004B4DFE">
        <w:t>P</w:t>
      </w:r>
      <w:proofErr w:type="spellEnd"/>
      <w:r w:rsidRPr="004B4DFE">
        <w:t xml:space="preserve"> [</w:t>
      </w:r>
      <w:r w:rsidR="008E36C6">
        <w:rPr>
          <w:rStyle w:val="EndnoteReference"/>
        </w:rPr>
        <w:endnoteReference w:id="40"/>
      </w:r>
      <w:r w:rsidRPr="00DB4353">
        <w:t>].</w:t>
      </w:r>
    </w:p>
    <w:p w14:paraId="5F3F4CD5" w14:textId="77777777" w:rsidR="004B4DFE" w:rsidRPr="004B4DFE" w:rsidRDefault="004B4DFE">
      <w:pPr>
        <w:pStyle w:val="TSApp4ParaNum"/>
      </w:pPr>
      <w:r w:rsidRPr="004B4DFE">
        <w:t>If the possibility of combustion cannot be excluded, including during accident conditions, appropriate mitigation measures need to be considered. There are a number of mitigation options available, the adoption of which will depend on the nature and potential severity of the hazard. Such measures include the following, either in isolation or combination, which are discussed briefly below:</w:t>
      </w:r>
    </w:p>
    <w:p w14:paraId="5F3F4CD6" w14:textId="77777777" w:rsidR="004B4DFE" w:rsidRPr="004B4DFE" w:rsidRDefault="004B4DFE" w:rsidP="0096453C">
      <w:pPr>
        <w:pStyle w:val="TSBullet1Square"/>
        <w:rPr>
          <w:rFonts w:eastAsia="Calibri"/>
        </w:rPr>
      </w:pPr>
      <w:r w:rsidRPr="00DB4353">
        <w:rPr>
          <w:rFonts w:eastAsia="Calibri"/>
          <w:b/>
        </w:rPr>
        <w:t>Mixing and dilution</w:t>
      </w:r>
      <w:r w:rsidRPr="004B4DFE">
        <w:rPr>
          <w:rFonts w:eastAsia="Calibri"/>
        </w:rPr>
        <w:t xml:space="preserve"> – mixing (and hence dilution) can prevent the generation of combustible mixtures. This can include both passive (</w:t>
      </w:r>
      <w:r w:rsidR="00E1197D">
        <w:rPr>
          <w:rFonts w:eastAsia="Calibri"/>
        </w:rPr>
        <w:t>e.g.</w:t>
      </w:r>
      <w:r w:rsidRPr="004B4DFE">
        <w:rPr>
          <w:rFonts w:eastAsia="Calibri"/>
        </w:rPr>
        <w:t xml:space="preserve"> jet releases) and active mixing (</w:t>
      </w:r>
      <w:r w:rsidR="00E1197D">
        <w:rPr>
          <w:rFonts w:eastAsia="Calibri"/>
        </w:rPr>
        <w:t>e.g.</w:t>
      </w:r>
      <w:r w:rsidRPr="004B4DFE">
        <w:rPr>
          <w:rFonts w:eastAsia="Calibri"/>
        </w:rPr>
        <w:t xml:space="preserve"> fans). Active mixing may also be induced by devices not </w:t>
      </w:r>
      <w:r w:rsidR="00FB17CA" w:rsidRPr="004B4DFE">
        <w:rPr>
          <w:rFonts w:eastAsia="Calibri"/>
        </w:rPr>
        <w:t>specific</w:t>
      </w:r>
      <w:r w:rsidRPr="004B4DFE">
        <w:rPr>
          <w:rFonts w:eastAsia="Calibri"/>
        </w:rPr>
        <w:t xml:space="preserve"> to this purpose</w:t>
      </w:r>
      <w:r w:rsidR="00E54AEE">
        <w:rPr>
          <w:rFonts w:eastAsia="Calibri"/>
        </w:rPr>
        <w:t>, for example spray systems in L</w:t>
      </w:r>
      <w:r w:rsidRPr="004B4DFE">
        <w:rPr>
          <w:rFonts w:eastAsia="Calibri"/>
        </w:rPr>
        <w:t xml:space="preserve">WRs. Mixing may also be initiated by addition of inert gas, though not in sufficient quantities to affect </w:t>
      </w:r>
      <w:proofErr w:type="spellStart"/>
      <w:r w:rsidRPr="004B4DFE">
        <w:rPr>
          <w:rFonts w:eastAsia="Calibri"/>
        </w:rPr>
        <w:t>inertion</w:t>
      </w:r>
      <w:proofErr w:type="spellEnd"/>
      <w:r w:rsidRPr="004B4DFE">
        <w:rPr>
          <w:rFonts w:eastAsia="Calibri"/>
        </w:rPr>
        <w:t xml:space="preserve"> but rather to disperse a localised cloud.</w:t>
      </w:r>
    </w:p>
    <w:p w14:paraId="5F3F4CD7" w14:textId="0BD7E57A" w:rsidR="004B4DFE" w:rsidRPr="004B4DFE" w:rsidRDefault="004B4DFE" w:rsidP="0096453C">
      <w:pPr>
        <w:pStyle w:val="TSBullet1Square"/>
        <w:rPr>
          <w:rFonts w:eastAsia="Calibri"/>
        </w:rPr>
      </w:pPr>
      <w:proofErr w:type="spellStart"/>
      <w:r w:rsidRPr="00DB4353">
        <w:rPr>
          <w:rFonts w:eastAsia="Calibri"/>
          <w:b/>
        </w:rPr>
        <w:t>Inerting</w:t>
      </w:r>
      <w:proofErr w:type="spellEnd"/>
      <w:r w:rsidRPr="004B4DFE">
        <w:rPr>
          <w:rFonts w:eastAsia="Calibri"/>
        </w:rPr>
        <w:t xml:space="preserve"> – </w:t>
      </w:r>
      <w:proofErr w:type="spellStart"/>
      <w:r w:rsidRPr="004B4DFE">
        <w:rPr>
          <w:rFonts w:eastAsia="Calibri"/>
        </w:rPr>
        <w:t>inerting</w:t>
      </w:r>
      <w:proofErr w:type="spellEnd"/>
      <w:r w:rsidRPr="004B4DFE">
        <w:rPr>
          <w:rFonts w:eastAsia="Calibri"/>
        </w:rPr>
        <w:t xml:space="preserve"> schemes control combustion by limiting the supply of oxid</w:t>
      </w:r>
      <w:r w:rsidR="00E54AEE">
        <w:rPr>
          <w:rFonts w:eastAsia="Calibri"/>
        </w:rPr>
        <w:t xml:space="preserve">ant, usually by adding </w:t>
      </w:r>
      <w:r w:rsidRPr="004B4DFE">
        <w:rPr>
          <w:rFonts w:eastAsia="Calibri"/>
        </w:rPr>
        <w:t xml:space="preserve">inert </w:t>
      </w:r>
      <w:r w:rsidR="00754D72" w:rsidRPr="004B4DFE">
        <w:rPr>
          <w:rFonts w:eastAsia="Calibri"/>
        </w:rPr>
        <w:t>o</w:t>
      </w:r>
      <w:r w:rsidR="00754D72">
        <w:rPr>
          <w:rFonts w:eastAsia="Calibri"/>
        </w:rPr>
        <w:t>r</w:t>
      </w:r>
      <w:r w:rsidR="00754D72" w:rsidRPr="004B4DFE">
        <w:rPr>
          <w:rFonts w:eastAsia="Calibri"/>
        </w:rPr>
        <w:t xml:space="preserve"> combustion</w:t>
      </w:r>
      <w:r w:rsidR="00754D72">
        <w:rPr>
          <w:rFonts w:eastAsia="Calibri"/>
        </w:rPr>
        <w:t xml:space="preserve"> </w:t>
      </w:r>
      <w:r w:rsidRPr="004B4DFE">
        <w:rPr>
          <w:rFonts w:eastAsia="Calibri"/>
        </w:rPr>
        <w:t>s</w:t>
      </w:r>
      <w:r w:rsidR="00E54AEE">
        <w:rPr>
          <w:rFonts w:eastAsia="Calibri"/>
        </w:rPr>
        <w:t xml:space="preserve">uppressing gases. This </w:t>
      </w:r>
      <w:r w:rsidR="00D25FC2">
        <w:rPr>
          <w:rFonts w:eastAsia="Calibri"/>
        </w:rPr>
        <w:t>includes</w:t>
      </w:r>
      <w:r w:rsidR="00E54AEE">
        <w:rPr>
          <w:rFonts w:eastAsia="Calibri"/>
        </w:rPr>
        <w:t xml:space="preserve"> </w:t>
      </w:r>
      <w:r w:rsidRPr="004B4DFE">
        <w:rPr>
          <w:rFonts w:eastAsia="Calibri"/>
        </w:rPr>
        <w:t>pre-</w:t>
      </w:r>
      <w:proofErr w:type="spellStart"/>
      <w:r w:rsidRPr="004B4DFE">
        <w:rPr>
          <w:rFonts w:eastAsia="Calibri"/>
        </w:rPr>
        <w:t>inerting</w:t>
      </w:r>
      <w:proofErr w:type="spellEnd"/>
      <w:r w:rsidRPr="004B4DFE">
        <w:rPr>
          <w:rFonts w:eastAsia="Calibri"/>
        </w:rPr>
        <w:t>, post-</w:t>
      </w:r>
      <w:proofErr w:type="spellStart"/>
      <w:r w:rsidRPr="004B4DFE">
        <w:rPr>
          <w:rFonts w:eastAsia="Calibri"/>
        </w:rPr>
        <w:t>inerting</w:t>
      </w:r>
      <w:proofErr w:type="spellEnd"/>
      <w:r w:rsidRPr="004B4DFE">
        <w:rPr>
          <w:rFonts w:eastAsia="Calibri"/>
        </w:rPr>
        <w:t xml:space="preserve"> and partial</w:t>
      </w:r>
      <w:r w:rsidR="009109EA">
        <w:rPr>
          <w:rFonts w:eastAsia="Calibri"/>
        </w:rPr>
        <w:t>-</w:t>
      </w:r>
      <w:proofErr w:type="spellStart"/>
      <w:r w:rsidRPr="004B4DFE">
        <w:rPr>
          <w:rFonts w:eastAsia="Calibri"/>
        </w:rPr>
        <w:t>inerting</w:t>
      </w:r>
      <w:proofErr w:type="spellEnd"/>
      <w:r w:rsidRPr="004B4DFE">
        <w:rPr>
          <w:rFonts w:eastAsia="Calibri"/>
        </w:rPr>
        <w:t xml:space="preserve">. </w:t>
      </w:r>
      <w:proofErr w:type="spellStart"/>
      <w:r w:rsidRPr="004B4DFE">
        <w:rPr>
          <w:rFonts w:eastAsia="Calibri"/>
        </w:rPr>
        <w:t>Inerting</w:t>
      </w:r>
      <w:proofErr w:type="spellEnd"/>
      <w:r w:rsidRPr="004B4DFE">
        <w:rPr>
          <w:rFonts w:eastAsia="Calibri"/>
        </w:rPr>
        <w:t xml:space="preserve"> may also occur as</w:t>
      </w:r>
      <w:r w:rsidR="00E54AEE">
        <w:rPr>
          <w:rFonts w:eastAsia="Calibri"/>
        </w:rPr>
        <w:t xml:space="preserve"> part of an accident sequence. For example, </w:t>
      </w:r>
      <w:r w:rsidRPr="004B4DFE">
        <w:rPr>
          <w:rFonts w:eastAsia="Calibri"/>
        </w:rPr>
        <w:t>if large quantities of steam are released before or alongside the combustible gas.</w:t>
      </w:r>
    </w:p>
    <w:p w14:paraId="5F3F4CD8" w14:textId="77777777" w:rsidR="004B4DFE" w:rsidRPr="004B4DFE" w:rsidRDefault="004B4DFE" w:rsidP="0096453C">
      <w:pPr>
        <w:pStyle w:val="TSBullet1Square"/>
        <w:rPr>
          <w:rFonts w:eastAsia="Calibri"/>
        </w:rPr>
      </w:pPr>
      <w:r w:rsidRPr="00DB4353">
        <w:rPr>
          <w:rFonts w:eastAsia="Calibri"/>
          <w:b/>
        </w:rPr>
        <w:t>Venting</w:t>
      </w:r>
      <w:r w:rsidRPr="004B4DFE">
        <w:rPr>
          <w:rFonts w:eastAsia="Calibri"/>
        </w:rPr>
        <w:t xml:space="preserve"> –venting schemes tend not to be for combustible gas control, but pressure relief, but do represent an effective means of removing combustible gases from a given volume. Consideration does need to be given to the resultant gas concentrations in the downstream environment (for example a non-combustible mixture that is vented may no longer be so).</w:t>
      </w:r>
    </w:p>
    <w:p w14:paraId="5F3F4CD9" w14:textId="77777777" w:rsidR="004B4DFE" w:rsidRPr="004B4DFE" w:rsidRDefault="004B4DFE" w:rsidP="0096453C">
      <w:pPr>
        <w:pStyle w:val="TSBullet1Square"/>
        <w:rPr>
          <w:rFonts w:eastAsia="Calibri"/>
        </w:rPr>
      </w:pPr>
      <w:r w:rsidRPr="00DB4353">
        <w:rPr>
          <w:rFonts w:eastAsia="Calibri"/>
          <w:b/>
        </w:rPr>
        <w:t>Recombination</w:t>
      </w:r>
      <w:r w:rsidRPr="004B4DFE">
        <w:rPr>
          <w:rFonts w:eastAsia="Calibri"/>
        </w:rPr>
        <w:t xml:space="preserve"> – both thermal and catalytic recombination of hydrogen and oxygen is possible. The advantage of this approach is that such devices can be passive and can remove combustible gases over a wide range of gas compositions, including levels below the LFL. The disadvantage is that they may have side-effects such as </w:t>
      </w:r>
      <w:r w:rsidR="00E54AEE">
        <w:rPr>
          <w:rFonts w:eastAsia="Calibri"/>
        </w:rPr>
        <w:t>acting as ignition sources. C</w:t>
      </w:r>
      <w:r w:rsidRPr="004B4DFE">
        <w:rPr>
          <w:rFonts w:eastAsia="Calibri"/>
        </w:rPr>
        <w:t>areful consideration needs</w:t>
      </w:r>
      <w:r w:rsidR="00E54AEE">
        <w:rPr>
          <w:rFonts w:eastAsia="Calibri"/>
        </w:rPr>
        <w:t xml:space="preserve"> to be given to factors such as: </w:t>
      </w:r>
      <w:r w:rsidRPr="004B4DFE">
        <w:rPr>
          <w:rFonts w:eastAsia="Calibri"/>
        </w:rPr>
        <w:t xml:space="preserve">efficiency, capacity, location, poisoning and side-reactions. </w:t>
      </w:r>
    </w:p>
    <w:p w14:paraId="5F3F4CDA" w14:textId="77777777" w:rsidR="004B4DFE" w:rsidRPr="004B4DFE" w:rsidRDefault="004B4DFE" w:rsidP="0096453C">
      <w:pPr>
        <w:pStyle w:val="TSBullet1Square"/>
        <w:rPr>
          <w:rFonts w:eastAsia="Calibri"/>
        </w:rPr>
      </w:pPr>
      <w:r w:rsidRPr="00DB4353">
        <w:rPr>
          <w:rFonts w:eastAsia="Calibri"/>
          <w:b/>
        </w:rPr>
        <w:t>Deliberate ignition</w:t>
      </w:r>
      <w:r w:rsidRPr="004B4DFE">
        <w:rPr>
          <w:rFonts w:eastAsia="Calibri"/>
        </w:rPr>
        <w:t xml:space="preserve"> – such schemes initiate combustion at levels as close to the LFL as possible, thus avoiding the potential </w:t>
      </w:r>
      <w:r w:rsidR="00E54AEE">
        <w:rPr>
          <w:rFonts w:eastAsia="Calibri"/>
        </w:rPr>
        <w:t xml:space="preserve">for </w:t>
      </w:r>
      <w:r w:rsidRPr="004B4DFE">
        <w:rPr>
          <w:rFonts w:eastAsia="Calibri"/>
        </w:rPr>
        <w:t xml:space="preserve">more damaging modes of </w:t>
      </w:r>
      <w:r w:rsidR="00E54AEE">
        <w:rPr>
          <w:rFonts w:eastAsia="Calibri"/>
        </w:rPr>
        <w:t xml:space="preserve">combustion. As with recombiners, </w:t>
      </w:r>
      <w:r w:rsidRPr="004B4DFE">
        <w:rPr>
          <w:rFonts w:eastAsia="Calibri"/>
        </w:rPr>
        <w:t>the</w:t>
      </w:r>
      <w:r w:rsidR="00FC099B">
        <w:rPr>
          <w:rFonts w:eastAsia="Calibri"/>
        </w:rPr>
        <w:t>:</w:t>
      </w:r>
      <w:r w:rsidRPr="004B4DFE">
        <w:rPr>
          <w:rFonts w:eastAsia="Calibri"/>
        </w:rPr>
        <w:t xml:space="preserve"> location, number and side-effects of deliberate ignition systems </w:t>
      </w:r>
      <w:r w:rsidR="00FC099B">
        <w:rPr>
          <w:rFonts w:eastAsia="Calibri"/>
        </w:rPr>
        <w:t>need to be carefully considered, as do</w:t>
      </w:r>
      <w:r w:rsidRPr="004B4DFE">
        <w:rPr>
          <w:rFonts w:eastAsia="Calibri"/>
        </w:rPr>
        <w:t xml:space="preserve"> the supplies needed to operate them.</w:t>
      </w:r>
    </w:p>
    <w:p w14:paraId="5F3F4CDB" w14:textId="77777777" w:rsidR="004B4DFE" w:rsidRPr="004B4DFE" w:rsidRDefault="004B4DFE" w:rsidP="0096453C">
      <w:pPr>
        <w:pStyle w:val="TSBullet1Square"/>
        <w:rPr>
          <w:rFonts w:eastAsia="Calibri"/>
        </w:rPr>
      </w:pPr>
      <w:r w:rsidRPr="00DB4353">
        <w:rPr>
          <w:rFonts w:eastAsia="Calibri"/>
          <w:b/>
        </w:rPr>
        <w:t>Water fogs and foams</w:t>
      </w:r>
      <w:r w:rsidRPr="004B4DFE">
        <w:rPr>
          <w:rFonts w:eastAsia="Calibri"/>
        </w:rPr>
        <w:t xml:space="preserve"> – such systems do not stop combustion occurring but can be beneficial in reducing the pressure and temperature transients, mainly via cooling of the atmosphere. The effect of such systems on other </w:t>
      </w:r>
      <w:r w:rsidR="00754D72">
        <w:rPr>
          <w:rFonts w:eastAsia="Calibri"/>
        </w:rPr>
        <w:t>aspects</w:t>
      </w:r>
      <w:r w:rsidRPr="004B4DFE">
        <w:rPr>
          <w:rFonts w:eastAsia="Calibri"/>
        </w:rPr>
        <w:t>, such as flame acceleration, is less clear.</w:t>
      </w:r>
    </w:p>
    <w:p w14:paraId="5F3F4CDC" w14:textId="77777777" w:rsidR="004B4DFE" w:rsidRPr="004B4DFE" w:rsidRDefault="004B4DFE" w:rsidP="004B4DFE">
      <w:pPr>
        <w:rPr>
          <w:rFonts w:eastAsia="Calibri" w:cs="Arial"/>
          <w:szCs w:val="22"/>
        </w:rPr>
      </w:pPr>
    </w:p>
    <w:p w14:paraId="5F3F4CDD" w14:textId="77777777" w:rsidR="0096337D" w:rsidRPr="001D6E16" w:rsidRDefault="004B4DFE" w:rsidP="001D6E16">
      <w:pPr>
        <w:pStyle w:val="TSApp4ParaNum"/>
      </w:pPr>
      <w:r w:rsidRPr="004B4DFE">
        <w:t xml:space="preserve">Clearly each of these brings its own potential benefits </w:t>
      </w:r>
      <w:r w:rsidR="00FC099B">
        <w:t>and/or detriments. T</w:t>
      </w:r>
      <w:r w:rsidRPr="004B4DFE">
        <w:t xml:space="preserve">hese should be </w:t>
      </w:r>
      <w:r w:rsidR="00FC099B">
        <w:t xml:space="preserve">appropriately </w:t>
      </w:r>
      <w:r w:rsidRPr="004B4DFE">
        <w:t xml:space="preserve">considered in order to select an overall </w:t>
      </w:r>
      <w:r w:rsidR="00776CFC">
        <w:t>“</w:t>
      </w:r>
      <w:r w:rsidRPr="004B4DFE">
        <w:t>ALARP solution</w:t>
      </w:r>
      <w:r w:rsidR="00776CFC">
        <w:t>”</w:t>
      </w:r>
      <w:r w:rsidRPr="004B4DFE">
        <w:t>.</w:t>
      </w:r>
    </w:p>
    <w:p w14:paraId="5F3F4CDE" w14:textId="77777777" w:rsidR="004B4DFE" w:rsidRPr="004B4DFE" w:rsidRDefault="004B4DFE" w:rsidP="0096453C">
      <w:pPr>
        <w:pStyle w:val="TSHeadingLevel2"/>
        <w:rPr>
          <w:rFonts w:eastAsia="Calibri"/>
        </w:rPr>
      </w:pPr>
      <w:r w:rsidRPr="004B4DFE">
        <w:rPr>
          <w:rFonts w:eastAsia="Calibri"/>
        </w:rPr>
        <w:t xml:space="preserve">Prediction of Combustion Events </w:t>
      </w:r>
    </w:p>
    <w:p w14:paraId="5F3F4CDF" w14:textId="1A1461DA" w:rsidR="004B4DFE" w:rsidRPr="004B4DFE" w:rsidRDefault="004B4DFE" w:rsidP="00081224">
      <w:pPr>
        <w:pStyle w:val="TSApp4ParaNum"/>
      </w:pPr>
      <w:r w:rsidRPr="004B4DFE">
        <w:t xml:space="preserve">In order to predict combustion </w:t>
      </w:r>
      <w:r w:rsidR="00887296" w:rsidRPr="004B4DFE">
        <w:t>events,</w:t>
      </w:r>
      <w:r w:rsidRPr="004B4DFE">
        <w:t xml:space="preserve"> it is often necessary to use computer codes to model the various steps described above. </w:t>
      </w:r>
      <w:r w:rsidR="00081224">
        <w:t xml:space="preserve">Reference </w:t>
      </w:r>
      <w:r w:rsidRPr="004B4DFE">
        <w:t>[</w:t>
      </w:r>
      <w:r w:rsidR="0083398D">
        <w:t>37</w:t>
      </w:r>
      <w:r w:rsidRPr="004B4DFE">
        <w:t xml:space="preserve">] suggests an overall </w:t>
      </w:r>
      <w:r w:rsidR="00081224">
        <w:t>‘</w:t>
      </w:r>
      <w:r w:rsidRPr="004B4DFE">
        <w:rPr>
          <w:i/>
          <w:iCs/>
        </w:rPr>
        <w:t>roadmap</w:t>
      </w:r>
      <w:r w:rsidR="00081224">
        <w:t>’</w:t>
      </w:r>
      <w:r w:rsidR="00081224" w:rsidRPr="004B4DFE">
        <w:t xml:space="preserve"> </w:t>
      </w:r>
      <w:r w:rsidRPr="004B4DFE">
        <w:t xml:space="preserve">for evaluating the combustion risks to a given plant. This roadmap consists on several distinct sequential steps. Clearly not all of these would be relevant to every possible situation and the approach adopted needs to be proportional. These include: </w:t>
      </w:r>
    </w:p>
    <w:p w14:paraId="5F3F4CE0" w14:textId="77777777" w:rsidR="004B4DFE" w:rsidRPr="004B4DFE" w:rsidRDefault="004B4DFE" w:rsidP="0096453C">
      <w:pPr>
        <w:pStyle w:val="TSBullet1Square"/>
        <w:rPr>
          <w:rFonts w:eastAsia="Calibri"/>
        </w:rPr>
      </w:pPr>
      <w:r w:rsidRPr="004B4DFE">
        <w:rPr>
          <w:rFonts w:eastAsia="Calibri"/>
        </w:rPr>
        <w:t>Definition of a set of accident sequences of relevance to the nuclear plant design</w:t>
      </w:r>
      <w:r w:rsidR="00081224">
        <w:rPr>
          <w:rFonts w:eastAsia="Calibri"/>
        </w:rPr>
        <w:t>.</w:t>
      </w:r>
      <w:r w:rsidRPr="004B4DFE">
        <w:rPr>
          <w:rFonts w:eastAsia="Calibri"/>
        </w:rPr>
        <w:t xml:space="preserve"> </w:t>
      </w:r>
    </w:p>
    <w:p w14:paraId="5F3F4CE1" w14:textId="77777777" w:rsidR="004B4DFE" w:rsidRPr="004B4DFE" w:rsidRDefault="004B4DFE" w:rsidP="0096453C">
      <w:pPr>
        <w:pStyle w:val="TSBullet1Square"/>
        <w:rPr>
          <w:rFonts w:eastAsia="Calibri"/>
        </w:rPr>
      </w:pPr>
      <w:r w:rsidRPr="004B4DFE">
        <w:rPr>
          <w:rFonts w:eastAsia="Calibri"/>
        </w:rPr>
        <w:t>Evaluation of the combustible gas and other release source terms for the postulated accident and release scenarios</w:t>
      </w:r>
      <w:r w:rsidR="00081224">
        <w:rPr>
          <w:rFonts w:eastAsia="Calibri"/>
        </w:rPr>
        <w:t>.</w:t>
      </w:r>
      <w:r w:rsidRPr="004B4DFE">
        <w:rPr>
          <w:rFonts w:eastAsia="Calibri"/>
        </w:rPr>
        <w:t xml:space="preserve"> </w:t>
      </w:r>
    </w:p>
    <w:p w14:paraId="5F3F4CE2" w14:textId="77777777" w:rsidR="004B4DFE" w:rsidRPr="004B4DFE" w:rsidRDefault="004B4DFE" w:rsidP="0096453C">
      <w:pPr>
        <w:pStyle w:val="TSBullet1Square"/>
        <w:rPr>
          <w:rFonts w:eastAsia="Calibri"/>
        </w:rPr>
      </w:pPr>
      <w:r w:rsidRPr="004B4DFE">
        <w:rPr>
          <w:rFonts w:eastAsia="Calibri"/>
        </w:rPr>
        <w:t>Evaluation of the gas distribution and mixing, on the basis of the defined source terms, including consideration of any mitigation measures</w:t>
      </w:r>
      <w:r w:rsidR="00081224">
        <w:rPr>
          <w:rFonts w:eastAsia="Calibri"/>
        </w:rPr>
        <w:t>.</w:t>
      </w:r>
      <w:r w:rsidRPr="004B4DFE">
        <w:rPr>
          <w:rFonts w:eastAsia="Calibri"/>
        </w:rPr>
        <w:t xml:space="preserve"> </w:t>
      </w:r>
    </w:p>
    <w:p w14:paraId="5F3F4CE3" w14:textId="77777777" w:rsidR="004B4DFE" w:rsidRPr="004B4DFE" w:rsidRDefault="004B4DFE" w:rsidP="0096453C">
      <w:pPr>
        <w:pStyle w:val="TSBullet1Square"/>
        <w:rPr>
          <w:rFonts w:eastAsia="Calibri"/>
        </w:rPr>
      </w:pPr>
      <w:r w:rsidRPr="004B4DFE">
        <w:rPr>
          <w:rFonts w:eastAsia="Calibri"/>
        </w:rPr>
        <w:t>Evaluation of the flammability of the mixture in each area and application of flame acceleration and DDT criteria for a quantitative measure of the possibility of these events</w:t>
      </w:r>
      <w:r w:rsidR="00081224">
        <w:rPr>
          <w:rFonts w:eastAsia="Calibri"/>
        </w:rPr>
        <w:t>.</w:t>
      </w:r>
      <w:r w:rsidRPr="004B4DFE">
        <w:rPr>
          <w:rFonts w:eastAsia="Calibri"/>
        </w:rPr>
        <w:t xml:space="preserve"> </w:t>
      </w:r>
    </w:p>
    <w:p w14:paraId="5F3F4CE4" w14:textId="1AFAB6F3" w:rsidR="004B4DFE" w:rsidRPr="004B4DFE" w:rsidRDefault="004B4DFE" w:rsidP="0096453C">
      <w:pPr>
        <w:pStyle w:val="TSBullet1Square"/>
        <w:rPr>
          <w:rFonts w:eastAsia="Calibri"/>
        </w:rPr>
      </w:pPr>
      <w:r w:rsidRPr="004B4DFE">
        <w:rPr>
          <w:rFonts w:eastAsia="Calibri"/>
        </w:rPr>
        <w:t xml:space="preserve">In some </w:t>
      </w:r>
      <w:r w:rsidR="00887296" w:rsidRPr="004B4DFE">
        <w:rPr>
          <w:rFonts w:eastAsia="Calibri"/>
        </w:rPr>
        <w:t>cases,</w:t>
      </w:r>
      <w:r w:rsidRPr="004B4DFE">
        <w:rPr>
          <w:rFonts w:eastAsia="Calibri"/>
        </w:rPr>
        <w:t xml:space="preserve"> and despite the use of mitigation techniques, a risk for flame acceleration or DDT may still exist during some part of the transient considered. In those cases, a more detailed investigation with dedicated simulations of flames or detonations may be needed</w:t>
      </w:r>
      <w:r w:rsidR="00081224">
        <w:rPr>
          <w:rFonts w:eastAsia="Calibri"/>
        </w:rPr>
        <w:t>.</w:t>
      </w:r>
      <w:r w:rsidRPr="004B4DFE">
        <w:rPr>
          <w:rFonts w:eastAsia="Calibri"/>
        </w:rPr>
        <w:t xml:space="preserve"> </w:t>
      </w:r>
    </w:p>
    <w:p w14:paraId="5F3F4CE5" w14:textId="77777777" w:rsidR="004B4DFE" w:rsidRPr="004B4DFE" w:rsidRDefault="004B4DFE" w:rsidP="0096453C">
      <w:pPr>
        <w:pStyle w:val="TSBullet1Square"/>
        <w:rPr>
          <w:rFonts w:eastAsia="Calibri"/>
        </w:rPr>
      </w:pPr>
      <w:r w:rsidRPr="004B4DFE">
        <w:rPr>
          <w:rFonts w:eastAsia="Calibri"/>
        </w:rPr>
        <w:t>Determination of the thermal and mechanical loads of the combustion processes (slow deflagration, fast deflagration or detonation) on relevant structures, systems or components</w:t>
      </w:r>
      <w:r w:rsidR="00081224">
        <w:rPr>
          <w:rFonts w:eastAsia="Calibri"/>
        </w:rPr>
        <w:t>.</w:t>
      </w:r>
      <w:r w:rsidRPr="004B4DFE">
        <w:rPr>
          <w:rFonts w:eastAsia="Calibri"/>
        </w:rPr>
        <w:t xml:space="preserve"> </w:t>
      </w:r>
    </w:p>
    <w:p w14:paraId="5F3F4CE6" w14:textId="77777777" w:rsidR="004B4DFE" w:rsidRPr="004B4DFE" w:rsidRDefault="004B4DFE" w:rsidP="0096453C">
      <w:pPr>
        <w:pStyle w:val="TSBullet1Square"/>
        <w:rPr>
          <w:rFonts w:eastAsia="Calibri"/>
        </w:rPr>
      </w:pPr>
      <w:r w:rsidRPr="004B4DFE">
        <w:rPr>
          <w:rFonts w:eastAsia="Calibri"/>
        </w:rPr>
        <w:t xml:space="preserve">Finally, evaluation of the consequences on the basis of the results of the previous steps. If fast combustion modes cannot be excluded despite the risk mitigation system present, a detailed investigation of the structural response is needed, along with further consideration of any additional measures which reduce the risks to ALARP. </w:t>
      </w:r>
    </w:p>
    <w:p w14:paraId="5F3F4CE7" w14:textId="77777777" w:rsidR="004B4DFE" w:rsidRPr="004B4DFE" w:rsidRDefault="004B4DFE" w:rsidP="004B4DFE">
      <w:pPr>
        <w:autoSpaceDE w:val="0"/>
        <w:autoSpaceDN w:val="0"/>
        <w:adjustRightInd w:val="0"/>
        <w:rPr>
          <w:rFonts w:eastAsia="Calibri" w:cs="Arial"/>
          <w:color w:val="000000"/>
          <w:szCs w:val="22"/>
        </w:rPr>
      </w:pPr>
    </w:p>
    <w:p w14:paraId="5F3F4CE8" w14:textId="53C1D46F" w:rsidR="004872B6" w:rsidRPr="004B4DFE" w:rsidRDefault="004B4DFE" w:rsidP="001D6E16">
      <w:pPr>
        <w:pStyle w:val="TSApp4ParaNum"/>
      </w:pPr>
      <w:r w:rsidRPr="004B4DFE">
        <w:t xml:space="preserve">In order to cover these different </w:t>
      </w:r>
      <w:r w:rsidR="00C10D14" w:rsidRPr="004B4DFE">
        <w:t>requirements,</w:t>
      </w:r>
      <w:r w:rsidRPr="004B4DFE">
        <w:t xml:space="preserve"> it is often necessary to use different analysis codes. Large scale effects over the long timescales of accident sequences a</w:t>
      </w:r>
      <w:r w:rsidR="008F4E4C">
        <w:t>re better suited to simplified lumped p</w:t>
      </w:r>
      <w:r w:rsidR="00FC099B">
        <w:t xml:space="preserve">arameter (LP) codes. Conversely, </w:t>
      </w:r>
      <w:r w:rsidRPr="004B4DFE">
        <w:t>these do not offer the required accuracy to analyse the phenomena which occur on small time and spatial scale</w:t>
      </w:r>
      <w:r w:rsidR="00FC099B">
        <w:t>s</w:t>
      </w:r>
      <w:r w:rsidRPr="004B4DFE">
        <w:t>, such as local stratificati</w:t>
      </w:r>
      <w:r w:rsidR="00FC099B">
        <w:t xml:space="preserve">ons and fast combustions. These </w:t>
      </w:r>
      <w:r w:rsidRPr="004B4DFE">
        <w:t xml:space="preserve">can be simulated in </w:t>
      </w:r>
      <w:r w:rsidR="008F4E4C">
        <w:t>detail by more sophisticated computational fluid d</w:t>
      </w:r>
      <w:r w:rsidRPr="004B4DFE">
        <w:t xml:space="preserve">ynamics (CFD) codes. This in itself requires careful consideration, in particular the expectations given in </w:t>
      </w:r>
      <w:r w:rsidR="00E21062" w:rsidRPr="004B4DFE">
        <w:t>TAG</w:t>
      </w:r>
      <w:r w:rsidR="00DF5B92">
        <w:t>-</w:t>
      </w:r>
      <w:r w:rsidRPr="004B4DFE">
        <w:t>42 [</w:t>
      </w:r>
      <w:r w:rsidR="003B11BB">
        <w:rPr>
          <w:rStyle w:val="EndnoteReference"/>
        </w:rPr>
        <w:endnoteReference w:id="41"/>
      </w:r>
      <w:r w:rsidRPr="002F15FF">
        <w:t>]</w:t>
      </w:r>
      <w:r w:rsidRPr="004B4DFE">
        <w:t xml:space="preserve"> and exemplified in [</w:t>
      </w:r>
      <w:r w:rsidR="001B1FD2">
        <w:t>36</w:t>
      </w:r>
      <w:r w:rsidR="002F15FF">
        <w:t>]</w:t>
      </w:r>
      <w:r w:rsidRPr="004B4DFE">
        <w:t xml:space="preserve"> and </w:t>
      </w:r>
      <w:r w:rsidR="002F15FF">
        <w:t>[</w:t>
      </w:r>
      <w:r w:rsidR="003B11BB">
        <w:rPr>
          <w:rStyle w:val="EndnoteReference"/>
        </w:rPr>
        <w:endnoteReference w:id="42"/>
      </w:r>
      <w:r w:rsidRPr="004B4DFE">
        <w:t>]</w:t>
      </w:r>
      <w:r w:rsidR="00FC099B">
        <w:t xml:space="preserve"> are particularly pertinent</w:t>
      </w:r>
      <w:r w:rsidRPr="004B4DFE">
        <w:t>. From a chemistry perspective</w:t>
      </w:r>
      <w:r w:rsidR="00FC099B">
        <w:t>,</w:t>
      </w:r>
      <w:r w:rsidRPr="004B4DFE">
        <w:t xml:space="preserve"> it is important that the exp</w:t>
      </w:r>
      <w:r w:rsidR="00FC099B">
        <w:t xml:space="preserve">ectations of SAP AV.2 are met. Namely, that chemical processes are appropriately and adequately </w:t>
      </w:r>
      <w:r w:rsidRPr="004B4DFE">
        <w:t>represe</w:t>
      </w:r>
      <w:r w:rsidR="00FC099B">
        <w:t>nted by such codes, models and methods</w:t>
      </w:r>
      <w:r w:rsidRPr="004B4DFE">
        <w:t>.</w:t>
      </w:r>
    </w:p>
    <w:p w14:paraId="5F3F4CFC" w14:textId="11990DDD" w:rsidR="00DE7C1E" w:rsidRPr="00720269" w:rsidRDefault="004B4DFE">
      <w:pPr>
        <w:pStyle w:val="EndnoteText"/>
        <w:ind w:left="709" w:hanging="709"/>
        <w:rPr>
          <w:b/>
          <w:lang w:val="fr-FR"/>
        </w:rPr>
      </w:pPr>
      <w:r w:rsidRPr="00FC099B">
        <w:rPr>
          <w:rFonts w:eastAsia="Calibri" w:cs="Arial"/>
          <w:b/>
          <w:sz w:val="22"/>
          <w:szCs w:val="22"/>
          <w:u w:val="single"/>
        </w:rPr>
        <w:t>References</w:t>
      </w:r>
    </w:p>
    <w:sectPr w:rsidR="00DE7C1E" w:rsidRPr="00720269" w:rsidSect="00D215BD">
      <w:endnotePr>
        <w:numFmt w:val="decimal"/>
      </w:endnotePr>
      <w:pgSz w:w="11906" w:h="16838" w:code="9"/>
      <w:pgMar w:top="1134"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003C" w14:textId="77777777" w:rsidR="00E30B91" w:rsidRPr="00B37DA5" w:rsidRDefault="00E30B91" w:rsidP="00B37DA5">
      <w:pPr>
        <w:pStyle w:val="Footer"/>
      </w:pPr>
    </w:p>
  </w:endnote>
  <w:endnote w:type="continuationSeparator" w:id="0">
    <w:p w14:paraId="68C15ADD" w14:textId="77777777" w:rsidR="00E30B91" w:rsidRDefault="00E30B91">
      <w:r>
        <w:continuationSeparator/>
      </w:r>
    </w:p>
  </w:endnote>
  <w:endnote w:type="continuationNotice" w:id="1">
    <w:p w14:paraId="7506E613" w14:textId="77777777" w:rsidR="00E30B91" w:rsidRDefault="00E30B91"/>
  </w:endnote>
  <w:endnote w:id="2">
    <w:p w14:paraId="5F3F4D19" w14:textId="1D1ABAB2" w:rsidR="00A858F4" w:rsidRPr="00825513" w:rsidRDefault="00A858F4" w:rsidP="00B37DA5">
      <w:pPr>
        <w:pStyle w:val="ONRNormal"/>
        <w:ind w:left="720" w:hanging="720"/>
        <w:rPr>
          <w:i/>
          <w:iCs/>
          <w:sz w:val="20"/>
          <w:szCs w:val="20"/>
        </w:rPr>
      </w:pPr>
      <w:r w:rsidRPr="00825513">
        <w:rPr>
          <w:rStyle w:val="EndnoteReference"/>
          <w:sz w:val="20"/>
          <w:szCs w:val="20"/>
        </w:rPr>
        <w:endnoteRef/>
      </w:r>
      <w:r w:rsidRPr="00825513">
        <w:rPr>
          <w:sz w:val="20"/>
          <w:szCs w:val="20"/>
        </w:rPr>
        <w:t xml:space="preserve"> </w:t>
      </w:r>
      <w:r w:rsidRPr="00825513">
        <w:rPr>
          <w:sz w:val="20"/>
          <w:szCs w:val="20"/>
        </w:rPr>
        <w:tab/>
      </w:r>
      <w:r w:rsidRPr="00825513">
        <w:rPr>
          <w:iCs/>
          <w:sz w:val="20"/>
          <w:szCs w:val="20"/>
        </w:rPr>
        <w:t xml:space="preserve">Safety Assessment Principles for Nuclear Facilities. 2014 Edition Revision </w:t>
      </w:r>
      <w:r>
        <w:rPr>
          <w:iCs/>
          <w:sz w:val="20"/>
          <w:szCs w:val="20"/>
        </w:rPr>
        <w:t>1</w:t>
      </w:r>
      <w:r w:rsidRPr="00825513">
        <w:rPr>
          <w:iCs/>
          <w:sz w:val="20"/>
          <w:szCs w:val="20"/>
        </w:rPr>
        <w:t xml:space="preserve">. ONR. </w:t>
      </w:r>
      <w:r>
        <w:rPr>
          <w:iCs/>
          <w:sz w:val="20"/>
          <w:szCs w:val="20"/>
        </w:rPr>
        <w:t>January 2020</w:t>
      </w:r>
      <w:r w:rsidRPr="00825513">
        <w:rPr>
          <w:iCs/>
          <w:sz w:val="20"/>
          <w:szCs w:val="20"/>
        </w:rPr>
        <w:t xml:space="preserve">. </w:t>
      </w:r>
      <w:hyperlink r:id="rId1" w:history="1">
        <w:r w:rsidRPr="00825513">
          <w:rPr>
            <w:rStyle w:val="Hyperlink"/>
            <w:iCs/>
            <w:sz w:val="20"/>
            <w:szCs w:val="20"/>
          </w:rPr>
          <w:t>http://www.onr.org.uk/saps/saps2014.pdf</w:t>
        </w:r>
      </w:hyperlink>
      <w:r w:rsidRPr="00825513">
        <w:rPr>
          <w:iCs/>
          <w:color w:val="0000FF"/>
          <w:sz w:val="20"/>
          <w:szCs w:val="20"/>
        </w:rPr>
        <w:t>.</w:t>
      </w:r>
      <w:r w:rsidRPr="00825513">
        <w:rPr>
          <w:i/>
          <w:iCs/>
          <w:color w:val="0000FF"/>
          <w:sz w:val="20"/>
          <w:szCs w:val="20"/>
        </w:rPr>
        <w:t xml:space="preserve"> </w:t>
      </w:r>
    </w:p>
    <w:p w14:paraId="5F3F4D1A" w14:textId="77777777" w:rsidR="00A858F4" w:rsidRPr="00825513" w:rsidRDefault="00A858F4">
      <w:pPr>
        <w:pStyle w:val="EndnoteText"/>
      </w:pPr>
    </w:p>
  </w:endnote>
  <w:endnote w:id="3">
    <w:p w14:paraId="5F3F4D1B" w14:textId="77777777" w:rsidR="00A858F4" w:rsidRPr="00825513" w:rsidRDefault="00A858F4" w:rsidP="00CF0564">
      <w:pPr>
        <w:pStyle w:val="EndnoteText"/>
        <w:ind w:left="709" w:hanging="709"/>
      </w:pPr>
      <w:r w:rsidRPr="00825513">
        <w:rPr>
          <w:rStyle w:val="EndnoteReference"/>
        </w:rPr>
        <w:endnoteRef/>
      </w:r>
      <w:r w:rsidRPr="00825513">
        <w:t xml:space="preserve"> </w:t>
      </w:r>
      <w:r w:rsidRPr="00825513">
        <w:tab/>
        <w:t xml:space="preserve">ONR How2 Business Management System. Purpose and Scope of Permissioning.  </w:t>
      </w:r>
      <w:hyperlink r:id="rId2" w:history="1">
        <w:r w:rsidRPr="00D671EA">
          <w:rPr>
            <w:rStyle w:val="Hyperlink"/>
          </w:rPr>
          <w:t>http://www.onr.org.uk/operational/assessment/index.htm</w:t>
        </w:r>
      </w:hyperlink>
    </w:p>
    <w:p w14:paraId="5F3F4D1C" w14:textId="77777777" w:rsidR="00A858F4" w:rsidRPr="00825513" w:rsidRDefault="00A858F4" w:rsidP="00CF0564">
      <w:pPr>
        <w:pStyle w:val="EndnoteText"/>
        <w:ind w:left="709" w:hanging="709"/>
      </w:pPr>
    </w:p>
  </w:endnote>
  <w:endnote w:id="4">
    <w:p w14:paraId="5F3F4D1D" w14:textId="2E0D684F" w:rsidR="00A858F4" w:rsidRDefault="00A858F4" w:rsidP="00825513">
      <w:pPr>
        <w:pStyle w:val="EndnoteText"/>
        <w:ind w:left="709" w:hanging="709"/>
        <w:rPr>
          <w:rStyle w:val="Hyperlink"/>
        </w:rPr>
      </w:pPr>
      <w:r w:rsidRPr="00825513">
        <w:rPr>
          <w:rStyle w:val="EndnoteReference"/>
        </w:rPr>
        <w:endnoteRef/>
      </w:r>
      <w:r w:rsidRPr="00825513">
        <w:t xml:space="preserve"> </w:t>
      </w:r>
      <w:r w:rsidRPr="00825513">
        <w:tab/>
        <w:t>ONR How2 Business Management System. Chemistry of Operating Civil Nuclear Rea</w:t>
      </w:r>
      <w:r>
        <w:t>ctors. NS-TAST-GD-088 Revision 3. ONR. January 2019</w:t>
      </w:r>
      <w:r w:rsidRPr="00825513">
        <w:t xml:space="preserve">. </w:t>
      </w:r>
      <w:hyperlink r:id="rId3" w:history="1">
        <w:r w:rsidRPr="00825513">
          <w:rPr>
            <w:rStyle w:val="Hyperlink"/>
          </w:rPr>
          <w:t>http://www.onr.org.uk/operational/tech_asst_guides/</w:t>
        </w:r>
      </w:hyperlink>
    </w:p>
    <w:p w14:paraId="5F3F4D1E" w14:textId="77777777" w:rsidR="00A858F4" w:rsidRDefault="00A858F4" w:rsidP="00825513">
      <w:pPr>
        <w:pStyle w:val="EndnoteText"/>
        <w:ind w:left="709" w:hanging="709"/>
      </w:pPr>
    </w:p>
  </w:endnote>
  <w:endnote w:id="5">
    <w:p w14:paraId="5F3F4D1F" w14:textId="77777777" w:rsidR="00A858F4" w:rsidRDefault="00A858F4" w:rsidP="00DB4353">
      <w:pPr>
        <w:pStyle w:val="EndnoteText"/>
        <w:ind w:left="709" w:hanging="709"/>
      </w:pPr>
      <w:r>
        <w:rPr>
          <w:rStyle w:val="EndnoteReference"/>
        </w:rPr>
        <w:endnoteRef/>
      </w:r>
      <w:r>
        <w:t xml:space="preserve"> </w:t>
      </w:r>
      <w:r>
        <w:tab/>
        <w:t>Licence Condition H</w:t>
      </w:r>
      <w:r w:rsidRPr="00004826">
        <w:t>andbook. Office for N</w:t>
      </w:r>
      <w:r>
        <w:t>uclear Regulation. February 2017.</w:t>
      </w:r>
      <w:r w:rsidRPr="00004826">
        <w:t xml:space="preserve"> </w:t>
      </w:r>
      <w:hyperlink r:id="rId4" w:history="1">
        <w:r w:rsidRPr="004A3A8F">
          <w:rPr>
            <w:rStyle w:val="Hyperlink"/>
          </w:rPr>
          <w:t>http://www.onr.org.uk/silicon.pdf</w:t>
        </w:r>
      </w:hyperlink>
    </w:p>
    <w:p w14:paraId="5F3F4D20" w14:textId="77777777" w:rsidR="00A858F4" w:rsidRDefault="00A858F4" w:rsidP="00DB4353">
      <w:pPr>
        <w:pStyle w:val="EndnoteText"/>
        <w:ind w:left="709" w:hanging="709"/>
      </w:pPr>
    </w:p>
  </w:endnote>
  <w:endnote w:id="6">
    <w:p w14:paraId="5F3F4D21" w14:textId="5D429B71" w:rsidR="00A858F4" w:rsidRDefault="00A858F4" w:rsidP="00DB4353">
      <w:pPr>
        <w:pStyle w:val="EndnoteText"/>
        <w:ind w:left="709" w:hanging="709"/>
      </w:pPr>
      <w:r>
        <w:rPr>
          <w:rStyle w:val="EndnoteReference"/>
        </w:rPr>
        <w:endnoteRef/>
      </w:r>
      <w:r>
        <w:t xml:space="preserve"> </w:t>
      </w:r>
      <w:r>
        <w:tab/>
      </w:r>
      <w:r w:rsidRPr="00577F92">
        <w:t xml:space="preserve">ONR How2 Business Management System. </w:t>
      </w:r>
      <w:r>
        <w:t>G</w:t>
      </w:r>
      <w:r w:rsidRPr="00577F92">
        <w:t xml:space="preserve">uidance on the </w:t>
      </w:r>
      <w:r>
        <w:t>D</w:t>
      </w:r>
      <w:r w:rsidRPr="00577F92">
        <w:t>emonstration of ALARP (</w:t>
      </w:r>
      <w:r>
        <w:t>A</w:t>
      </w:r>
      <w:r w:rsidRPr="00577F92">
        <w:t xml:space="preserve">s </w:t>
      </w:r>
      <w:r>
        <w:t>L</w:t>
      </w:r>
      <w:r w:rsidRPr="00577F92">
        <w:t xml:space="preserve">ow </w:t>
      </w:r>
      <w:r>
        <w:t>A</w:t>
      </w:r>
      <w:r w:rsidRPr="00577F92">
        <w:t xml:space="preserve">s </w:t>
      </w:r>
      <w:r>
        <w:t>R</w:t>
      </w:r>
      <w:r w:rsidRPr="00577F92">
        <w:t xml:space="preserve">easonably </w:t>
      </w:r>
      <w:r>
        <w:t>P</w:t>
      </w:r>
      <w:r w:rsidRPr="00577F92">
        <w:t>racticable). NS-TAST-GD-0</w:t>
      </w:r>
      <w:r>
        <w:t>05 Revision 10. ONR. December 2019</w:t>
      </w:r>
      <w:r w:rsidRPr="00577F92">
        <w:t xml:space="preserve">. </w:t>
      </w:r>
      <w:hyperlink r:id="rId5" w:history="1">
        <w:r w:rsidRPr="004A3A8F">
          <w:rPr>
            <w:rStyle w:val="Hyperlink"/>
          </w:rPr>
          <w:t>http://www.onr.org.uk/operational/tech_asst_guides/</w:t>
        </w:r>
      </w:hyperlink>
    </w:p>
    <w:p w14:paraId="5F3F4D22" w14:textId="77777777" w:rsidR="00A858F4" w:rsidRDefault="00A858F4" w:rsidP="00DB4353">
      <w:pPr>
        <w:pStyle w:val="EndnoteText"/>
        <w:ind w:left="709" w:hanging="709"/>
      </w:pPr>
    </w:p>
  </w:endnote>
  <w:endnote w:id="7">
    <w:p w14:paraId="5F3F4D23" w14:textId="3C0F99D9" w:rsidR="00A858F4" w:rsidRPr="00DB4353" w:rsidRDefault="00A858F4" w:rsidP="00DB4353">
      <w:pPr>
        <w:pStyle w:val="EndnoteText"/>
        <w:ind w:left="709" w:hanging="709"/>
        <w:rPr>
          <w:rStyle w:val="Hyperlink"/>
          <w:color w:val="auto"/>
          <w:u w:val="none"/>
        </w:rPr>
      </w:pPr>
      <w:r w:rsidRPr="00D52DD1">
        <w:rPr>
          <w:rStyle w:val="EndnoteReference"/>
        </w:rPr>
        <w:endnoteRef/>
      </w:r>
      <w:r w:rsidRPr="00D52DD1">
        <w:t xml:space="preserve"> </w:t>
      </w:r>
      <w:r>
        <w:tab/>
      </w:r>
      <w:r w:rsidRPr="00DB4353">
        <w:rPr>
          <w:rStyle w:val="TSExampleText"/>
          <w:i w:val="0"/>
          <w:iCs w:val="0"/>
          <w:color w:val="auto"/>
        </w:rPr>
        <w:t xml:space="preserve">Western European Nuclear Regulators Association.  Reactor Harmonization Working Group.  </w:t>
      </w:r>
      <w:r w:rsidRPr="000729D2">
        <w:rPr>
          <w:rStyle w:val="TSExampleText"/>
          <w:i w:val="0"/>
          <w:iCs w:val="0"/>
          <w:color w:val="auto"/>
        </w:rPr>
        <w:t>WENRA Safety Reference Level</w:t>
      </w:r>
      <w:r>
        <w:rPr>
          <w:rStyle w:val="TSExampleText"/>
          <w:i w:val="0"/>
          <w:iCs w:val="0"/>
          <w:color w:val="auto"/>
        </w:rPr>
        <w:t>s</w:t>
      </w:r>
      <w:r w:rsidRPr="000729D2">
        <w:rPr>
          <w:rStyle w:val="TSExampleText"/>
          <w:i w:val="0"/>
          <w:iCs w:val="0"/>
          <w:color w:val="auto"/>
        </w:rPr>
        <w:t xml:space="preserve"> for Existing Reactors</w:t>
      </w:r>
      <w:r>
        <w:rPr>
          <w:rStyle w:val="TSExampleText"/>
          <w:i w:val="0"/>
          <w:iCs w:val="0"/>
          <w:color w:val="auto"/>
        </w:rPr>
        <w:t xml:space="preserve">, </w:t>
      </w:r>
      <w:r w:rsidRPr="000729D2">
        <w:rPr>
          <w:rStyle w:val="TSExampleText"/>
          <w:i w:val="0"/>
          <w:iCs w:val="0"/>
          <w:color w:val="auto"/>
        </w:rPr>
        <w:t>September 2014</w:t>
      </w:r>
      <w:r w:rsidRPr="00DB4353">
        <w:rPr>
          <w:rStyle w:val="TSExampleText"/>
          <w:i w:val="0"/>
          <w:iCs w:val="0"/>
          <w:color w:val="auto"/>
        </w:rPr>
        <w:t>.</w:t>
      </w:r>
    </w:p>
    <w:p w14:paraId="5F3F4D24" w14:textId="77777777" w:rsidR="00A858F4" w:rsidRPr="00D52DD1" w:rsidRDefault="00A858F4" w:rsidP="00DB4353">
      <w:pPr>
        <w:pStyle w:val="EndnoteText"/>
        <w:ind w:left="709" w:hanging="709"/>
      </w:pPr>
    </w:p>
  </w:endnote>
  <w:endnote w:id="8">
    <w:p w14:paraId="5F3F4D25" w14:textId="77777777" w:rsidR="00A858F4" w:rsidRDefault="00A858F4" w:rsidP="00DB4353">
      <w:pPr>
        <w:pStyle w:val="EndnoteText"/>
        <w:ind w:left="709" w:hanging="709"/>
      </w:pPr>
      <w:r w:rsidRPr="00D52DD1">
        <w:rPr>
          <w:rStyle w:val="EndnoteReference"/>
        </w:rPr>
        <w:endnoteRef/>
      </w:r>
      <w:r w:rsidRPr="00D52DD1">
        <w:t xml:space="preserve"> </w:t>
      </w:r>
      <w:r>
        <w:tab/>
      </w:r>
      <w:r w:rsidRPr="00D52DD1">
        <w:t xml:space="preserve">Western European Nuclear Regulators Association. Working Group on Waste and Decommissioning.  WENRA Decommissioning Safety Reference Levels. WENRA. </w:t>
      </w:r>
      <w:r>
        <w:t>April 2015</w:t>
      </w:r>
      <w:r w:rsidRPr="00D52DD1">
        <w:t xml:space="preserve">. </w:t>
      </w:r>
      <w:hyperlink r:id="rId6" w:history="1">
        <w:r w:rsidRPr="00DB4353">
          <w:rPr>
            <w:rStyle w:val="Hyperlink"/>
          </w:rPr>
          <w:t>http://www.wenra.org/harmonisation/working-group-waste-and-decommissioning/</w:t>
        </w:r>
      </w:hyperlink>
    </w:p>
    <w:p w14:paraId="5F3F4D26" w14:textId="77777777" w:rsidR="00A858F4" w:rsidRPr="00D52DD1" w:rsidRDefault="00A858F4" w:rsidP="00DB4353">
      <w:pPr>
        <w:pStyle w:val="EndnoteText"/>
        <w:ind w:left="709" w:hanging="709"/>
      </w:pPr>
    </w:p>
  </w:endnote>
  <w:endnote w:id="9">
    <w:p w14:paraId="5F3F4D27" w14:textId="061549D6" w:rsidR="00A858F4" w:rsidRPr="002C239D" w:rsidRDefault="00A858F4" w:rsidP="002C239D">
      <w:pPr>
        <w:pStyle w:val="EndnoteText"/>
        <w:ind w:left="709" w:hanging="709"/>
        <w:rPr>
          <w:rStyle w:val="Hyperlink"/>
          <w:color w:val="auto"/>
          <w:u w:val="none"/>
        </w:rPr>
      </w:pPr>
      <w:r w:rsidRPr="00D52DD1">
        <w:rPr>
          <w:rStyle w:val="EndnoteReference"/>
        </w:rPr>
        <w:endnoteRef/>
      </w:r>
      <w:r w:rsidRPr="00D52DD1">
        <w:t xml:space="preserve"> </w:t>
      </w:r>
      <w:r>
        <w:tab/>
      </w:r>
      <w:r w:rsidRPr="00DB4353">
        <w:rPr>
          <w:rStyle w:val="TSExampleText"/>
          <w:i w:val="0"/>
          <w:iCs w:val="0"/>
          <w:color w:val="auto"/>
        </w:rPr>
        <w:t xml:space="preserve">Western European Nuclear Regulators Association. Working Group on Waste and Decommissioning.  WENRA Waste and Spent Fuel Storage Safety Reference Levels. WENRA. April 2014. </w:t>
      </w:r>
    </w:p>
    <w:p w14:paraId="5F3F4D28" w14:textId="77777777" w:rsidR="00A858F4" w:rsidRPr="00D52DD1" w:rsidRDefault="00A858F4" w:rsidP="00DB4353">
      <w:pPr>
        <w:pStyle w:val="EndnoteText"/>
        <w:ind w:left="709" w:hanging="709"/>
      </w:pPr>
    </w:p>
  </w:endnote>
  <w:endnote w:id="10">
    <w:p w14:paraId="5F3F4D29" w14:textId="77777777" w:rsidR="00A858F4" w:rsidRDefault="00A858F4" w:rsidP="00DB4353">
      <w:pPr>
        <w:pStyle w:val="EndnoteText"/>
        <w:ind w:left="709" w:hanging="709"/>
      </w:pPr>
      <w:r>
        <w:rPr>
          <w:rStyle w:val="EndnoteReference"/>
        </w:rPr>
        <w:endnoteRef/>
      </w:r>
      <w:r>
        <w:t xml:space="preserve"> </w:t>
      </w:r>
      <w:r>
        <w:tab/>
      </w:r>
      <w:r w:rsidRPr="007F0826">
        <w:t xml:space="preserve">IAEA Safety Standards, Safety of Nuclear Fuel Cycle Facilities, Safety Requirements No. NS-R-5 Revision 1, IAEA, 2014. </w:t>
      </w:r>
      <w:hyperlink r:id="rId7" w:history="1">
        <w:r w:rsidRPr="004A3A8F">
          <w:rPr>
            <w:rStyle w:val="Hyperlink"/>
          </w:rPr>
          <w:t>http://www-pub.iaea.org/books/IAEABooks/10708/Safety-of-Nuclear-Fuel-Cycle-Facilities</w:t>
        </w:r>
      </w:hyperlink>
    </w:p>
    <w:p w14:paraId="5F3F4D2A" w14:textId="77777777" w:rsidR="00A858F4" w:rsidRDefault="00A858F4" w:rsidP="00DB4353">
      <w:pPr>
        <w:pStyle w:val="EndnoteText"/>
        <w:ind w:left="709" w:hanging="709"/>
      </w:pPr>
    </w:p>
  </w:endnote>
  <w:endnote w:id="11">
    <w:p w14:paraId="5F3F4D2B" w14:textId="77777777" w:rsidR="00A858F4" w:rsidRDefault="00A858F4" w:rsidP="007F0826">
      <w:pPr>
        <w:pStyle w:val="EndnoteText"/>
        <w:ind w:left="709" w:hanging="709"/>
      </w:pPr>
      <w:r>
        <w:rPr>
          <w:rStyle w:val="EndnoteReference"/>
        </w:rPr>
        <w:endnoteRef/>
      </w:r>
      <w:r>
        <w:t xml:space="preserve"> </w:t>
      </w:r>
      <w:r>
        <w:tab/>
      </w:r>
      <w:r w:rsidRPr="007F0826">
        <w:t xml:space="preserve">IAEA Safety Standards, The Safety Case and Safety Assessment for the Predisposal Management of Radioactive Waste, General Safety Guide No. GSG-3, IAEA, 2013. </w:t>
      </w:r>
      <w:hyperlink r:id="rId8" w:history="1">
        <w:r w:rsidRPr="004A3A8F">
          <w:rPr>
            <w:rStyle w:val="Hyperlink"/>
          </w:rPr>
          <w:t>http://www-pub.iaea.org/books/IAEABooks/8882/The-Safety-Case-and-Safety-Assessment-for-the-Predisposal-Management-of-Radioactive-Waste</w:t>
        </w:r>
      </w:hyperlink>
    </w:p>
    <w:p w14:paraId="5F3F4D2C" w14:textId="77777777" w:rsidR="00A858F4" w:rsidRDefault="00A858F4" w:rsidP="007F0826">
      <w:pPr>
        <w:pStyle w:val="EndnoteText"/>
        <w:ind w:left="709" w:hanging="709"/>
      </w:pPr>
    </w:p>
  </w:endnote>
  <w:endnote w:id="12">
    <w:p w14:paraId="3B3A13D2" w14:textId="401FB7CD" w:rsidR="00A858F4" w:rsidRDefault="00A858F4" w:rsidP="003121F5">
      <w:pPr>
        <w:pStyle w:val="EndnoteText"/>
        <w:ind w:left="709" w:hanging="709"/>
      </w:pPr>
      <w:r>
        <w:rPr>
          <w:rStyle w:val="EndnoteReference"/>
        </w:rPr>
        <w:endnoteRef/>
      </w:r>
      <w:r>
        <w:t xml:space="preserve"> </w:t>
      </w:r>
      <w:r>
        <w:tab/>
        <w:t xml:space="preserve">IAEA Safety Standards, Chemistry Programme for Water Cooled Nuclear Power Plants, Specific Safety Guide No. SSG-13, IAEA, January 2011. </w:t>
      </w:r>
      <w:hyperlink r:id="rId9" w:history="1">
        <w:r w:rsidRPr="00303103">
          <w:rPr>
            <w:rStyle w:val="Hyperlink"/>
          </w:rPr>
          <w:t>https://www-pub.iaea.org/MTCD/Publications/PDF/Pub1469_web.pdf</w:t>
        </w:r>
      </w:hyperlink>
      <w:r>
        <w:t xml:space="preserve"> </w:t>
      </w:r>
    </w:p>
    <w:p w14:paraId="1BDB1242" w14:textId="77777777" w:rsidR="00A858F4" w:rsidRDefault="00A858F4">
      <w:pPr>
        <w:pStyle w:val="EndnoteText"/>
      </w:pPr>
    </w:p>
  </w:endnote>
  <w:endnote w:id="13">
    <w:p w14:paraId="5F3F4D2D" w14:textId="1EC6DCAE" w:rsidR="00A858F4" w:rsidRDefault="00A858F4" w:rsidP="007A7108">
      <w:pPr>
        <w:pStyle w:val="EndnoteText"/>
        <w:ind w:left="709" w:hanging="709"/>
      </w:pPr>
      <w:r>
        <w:rPr>
          <w:rStyle w:val="EndnoteReference"/>
        </w:rPr>
        <w:endnoteRef/>
      </w:r>
      <w:r>
        <w:t xml:space="preserve"> </w:t>
      </w:r>
      <w:r>
        <w:tab/>
      </w:r>
      <w:r w:rsidRPr="007F0826">
        <w:t xml:space="preserve">IAEA Safety Standards, Safety of Conversion Facilities and Uranium Enrichment Facilities, Specific Safety Guide No. SSG-5, IAEA, May 2010. </w:t>
      </w:r>
      <w:hyperlink r:id="rId10" w:history="1">
        <w:r w:rsidRPr="004A3A8F">
          <w:rPr>
            <w:rStyle w:val="Hyperlink"/>
          </w:rPr>
          <w:t>http://www-pub.iaea.org/MTCD/publications/PDF/Pub1404_web.pdf</w:t>
        </w:r>
      </w:hyperlink>
    </w:p>
    <w:p w14:paraId="5F3F4D2E" w14:textId="77777777" w:rsidR="00A858F4" w:rsidRDefault="00A858F4" w:rsidP="007F0826">
      <w:pPr>
        <w:pStyle w:val="EndnoteText"/>
        <w:ind w:left="709" w:hanging="709"/>
      </w:pPr>
    </w:p>
  </w:endnote>
  <w:endnote w:id="14">
    <w:p w14:paraId="5F3F4D2F" w14:textId="77777777" w:rsidR="00A858F4" w:rsidRDefault="00A858F4" w:rsidP="007F0826">
      <w:pPr>
        <w:pStyle w:val="EndnoteText"/>
        <w:ind w:left="709" w:hanging="709"/>
      </w:pPr>
      <w:r>
        <w:rPr>
          <w:rStyle w:val="EndnoteReference"/>
        </w:rPr>
        <w:endnoteRef/>
      </w:r>
      <w:r>
        <w:t xml:space="preserve"> </w:t>
      </w:r>
      <w:r>
        <w:tab/>
      </w:r>
      <w:r w:rsidRPr="007F0826">
        <w:t xml:space="preserve">IAEA Safety Standards, Safety of Uranium Fuel Fabrication Facilities, Specific Safety Guide No. SSG-6, IAEA, 2010. </w:t>
      </w:r>
      <w:hyperlink r:id="rId11" w:history="1">
        <w:r w:rsidRPr="004A3A8F">
          <w:rPr>
            <w:rStyle w:val="Hyperlink"/>
          </w:rPr>
          <w:t>http://www-pub.iaea.org/books/IAEABooks/8106/Safety-of-Uranium-Fuel-Fabrication-Facilities-Specific-Safety-Guide</w:t>
        </w:r>
      </w:hyperlink>
    </w:p>
    <w:p w14:paraId="5F3F4D30" w14:textId="77777777" w:rsidR="00A858F4" w:rsidRDefault="00A858F4" w:rsidP="007F0826">
      <w:pPr>
        <w:pStyle w:val="EndnoteText"/>
        <w:ind w:left="709" w:hanging="709"/>
      </w:pPr>
    </w:p>
  </w:endnote>
  <w:endnote w:id="15">
    <w:p w14:paraId="5F3F4D31" w14:textId="77777777" w:rsidR="00A858F4" w:rsidRDefault="00A858F4" w:rsidP="007F0826">
      <w:pPr>
        <w:pStyle w:val="EndnoteText"/>
        <w:ind w:left="709" w:hanging="709"/>
      </w:pPr>
      <w:r>
        <w:rPr>
          <w:rStyle w:val="EndnoteReference"/>
        </w:rPr>
        <w:endnoteRef/>
      </w:r>
      <w:r>
        <w:t xml:space="preserve"> </w:t>
      </w:r>
      <w:r>
        <w:tab/>
      </w:r>
      <w:r w:rsidRPr="007F0826">
        <w:t xml:space="preserve">IAEA Safety Standards, Safety of Uranium and Plutonium Mixed Oxide Fuel Fabrication Facilities, Specific Safety Guide No. SSG-7, IAEA, 2010. </w:t>
      </w:r>
      <w:hyperlink r:id="rId12" w:history="1">
        <w:r w:rsidRPr="004A3A8F">
          <w:rPr>
            <w:rStyle w:val="Hyperlink"/>
          </w:rPr>
          <w:t>http://www-pub.iaea.org/books/IAEABooks/8105/Safety-of-Uranium-and-Plutonium-Mixed-Oxide-Fuel-Fabrication-Facilities-Specific-Safety-Guide</w:t>
        </w:r>
      </w:hyperlink>
    </w:p>
    <w:p w14:paraId="5F3F4D32" w14:textId="77777777" w:rsidR="00A858F4" w:rsidRDefault="00A858F4" w:rsidP="007F0826">
      <w:pPr>
        <w:pStyle w:val="EndnoteText"/>
        <w:ind w:left="709" w:hanging="709"/>
      </w:pPr>
    </w:p>
  </w:endnote>
  <w:endnote w:id="16">
    <w:p w14:paraId="5F3F4D33" w14:textId="77777777" w:rsidR="00A858F4" w:rsidRDefault="00A858F4" w:rsidP="007F0826">
      <w:pPr>
        <w:pStyle w:val="EndnoteText"/>
        <w:ind w:left="709" w:hanging="709"/>
      </w:pPr>
      <w:r>
        <w:rPr>
          <w:rStyle w:val="EndnoteReference"/>
        </w:rPr>
        <w:endnoteRef/>
      </w:r>
      <w:r>
        <w:t xml:space="preserve"> </w:t>
      </w:r>
      <w:r>
        <w:tab/>
      </w:r>
      <w:r w:rsidRPr="007F0826">
        <w:t xml:space="preserve">IAEA Safety Standards, Storage of Spent Nuclear Fuel, Specific Safety Guide No. SSG-15, IAEA, 2012. </w:t>
      </w:r>
      <w:hyperlink r:id="rId13" w:history="1">
        <w:r w:rsidRPr="004A3A8F">
          <w:rPr>
            <w:rStyle w:val="Hyperlink"/>
          </w:rPr>
          <w:t>http://www-pub.iaea.org/books/IAEABooks/8532/Storage-of-Spent-Nuclear-Fuel</w:t>
        </w:r>
      </w:hyperlink>
    </w:p>
    <w:p w14:paraId="5F3F4D34" w14:textId="77777777" w:rsidR="00A858F4" w:rsidRDefault="00A858F4" w:rsidP="007F0826">
      <w:pPr>
        <w:pStyle w:val="EndnoteText"/>
        <w:ind w:left="709" w:hanging="709"/>
      </w:pPr>
    </w:p>
  </w:endnote>
  <w:endnote w:id="17">
    <w:p w14:paraId="5F3F4D35" w14:textId="77777777" w:rsidR="00A858F4" w:rsidRDefault="00A858F4" w:rsidP="007F0826">
      <w:pPr>
        <w:pStyle w:val="EndnoteText"/>
        <w:ind w:left="709" w:hanging="709"/>
      </w:pPr>
      <w:r>
        <w:rPr>
          <w:rStyle w:val="EndnoteReference"/>
        </w:rPr>
        <w:endnoteRef/>
      </w:r>
      <w:r>
        <w:t xml:space="preserve"> </w:t>
      </w:r>
      <w:r>
        <w:tab/>
      </w:r>
      <w:r w:rsidRPr="007F0826">
        <w:t xml:space="preserve">IAEA Safety Standards Series, Decommissioning of Nuclear Fuel Cycle Facilities, Safety Guide No. WS-G-2.4, IAEA, 2001. </w:t>
      </w:r>
      <w:hyperlink r:id="rId14" w:history="1">
        <w:r w:rsidRPr="004A3A8F">
          <w:rPr>
            <w:rStyle w:val="Hyperlink"/>
          </w:rPr>
          <w:t>http://www-pub.iaea.org/MTCD/publications/PDF/Pub1110_web.pdf</w:t>
        </w:r>
      </w:hyperlink>
    </w:p>
    <w:p w14:paraId="5F3F4D36" w14:textId="77777777" w:rsidR="00A858F4" w:rsidRDefault="00A858F4" w:rsidP="007F0826">
      <w:pPr>
        <w:pStyle w:val="EndnoteText"/>
        <w:ind w:left="709" w:hanging="709"/>
      </w:pPr>
    </w:p>
  </w:endnote>
  <w:endnote w:id="18">
    <w:p w14:paraId="5F3F4D37" w14:textId="77777777" w:rsidR="00A858F4" w:rsidRDefault="00A858F4" w:rsidP="007F0826">
      <w:pPr>
        <w:pStyle w:val="EndnoteText"/>
        <w:ind w:left="709" w:hanging="709"/>
      </w:pPr>
      <w:r>
        <w:rPr>
          <w:rStyle w:val="EndnoteReference"/>
        </w:rPr>
        <w:endnoteRef/>
      </w:r>
      <w:r>
        <w:t xml:space="preserve"> </w:t>
      </w:r>
      <w:r>
        <w:tab/>
      </w:r>
      <w:r w:rsidRPr="007F0826">
        <w:t xml:space="preserve">IAEA Safety Standards Series, Design of Fuel Handling and Storage Systems for Nuclear Power Plants, Safety Guide No. NS-G-1.4, IAEA, 2003. </w:t>
      </w:r>
      <w:hyperlink r:id="rId15" w:history="1">
        <w:r w:rsidRPr="004A3A8F">
          <w:rPr>
            <w:rStyle w:val="Hyperlink"/>
          </w:rPr>
          <w:t>http://www-pub.iaea.org/MTCD/publications/PDF/Pub1156_web.pdf</w:t>
        </w:r>
      </w:hyperlink>
    </w:p>
    <w:p w14:paraId="5F3F4D38" w14:textId="77777777" w:rsidR="00A858F4" w:rsidRDefault="00A858F4" w:rsidP="007F0826">
      <w:pPr>
        <w:pStyle w:val="EndnoteText"/>
        <w:ind w:left="709" w:hanging="709"/>
      </w:pPr>
    </w:p>
  </w:endnote>
  <w:endnote w:id="19">
    <w:p w14:paraId="5F3F4D39" w14:textId="77777777" w:rsidR="00A858F4" w:rsidRDefault="00A858F4" w:rsidP="00DB4353">
      <w:pPr>
        <w:pStyle w:val="EndnoteText"/>
        <w:ind w:left="709" w:hanging="709"/>
      </w:pPr>
      <w:r>
        <w:rPr>
          <w:rStyle w:val="EndnoteReference"/>
        </w:rPr>
        <w:endnoteRef/>
      </w:r>
      <w:r>
        <w:t xml:space="preserve"> </w:t>
      </w:r>
      <w:r>
        <w:tab/>
      </w:r>
      <w:r w:rsidRPr="00CF1744">
        <w:t xml:space="preserve">IAEA Safety Report Series No. 56, Approaches and Tools for Severe Accident Analysis for Nuclear Power Plants, IAEA, 2008. </w:t>
      </w:r>
      <w:hyperlink r:id="rId16" w:history="1">
        <w:r w:rsidRPr="004A3A8F">
          <w:rPr>
            <w:rStyle w:val="Hyperlink"/>
          </w:rPr>
          <w:t>http://www-pub.iaea.org/MTCD/publications/PDF/Pub1327_web.pdf</w:t>
        </w:r>
      </w:hyperlink>
    </w:p>
    <w:p w14:paraId="5F3F4D3A" w14:textId="77777777" w:rsidR="00A858F4" w:rsidRDefault="00A858F4" w:rsidP="00DB4353">
      <w:pPr>
        <w:pStyle w:val="EndnoteText"/>
        <w:ind w:left="709" w:hanging="709"/>
      </w:pPr>
    </w:p>
  </w:endnote>
  <w:endnote w:id="20">
    <w:p w14:paraId="5F3F4D3B" w14:textId="41B3B631" w:rsidR="00A858F4" w:rsidRDefault="00A858F4" w:rsidP="00053EE9">
      <w:pPr>
        <w:pStyle w:val="EndnoteText"/>
        <w:ind w:left="709" w:hanging="709"/>
        <w:rPr>
          <w:rStyle w:val="Hyperlink"/>
        </w:rPr>
      </w:pPr>
      <w:r>
        <w:rPr>
          <w:rStyle w:val="EndnoteReference"/>
        </w:rPr>
        <w:endnoteRef/>
      </w:r>
      <w:r>
        <w:t xml:space="preserve"> </w:t>
      </w:r>
      <w:r>
        <w:tab/>
      </w:r>
      <w:r w:rsidRPr="00825513">
        <w:t xml:space="preserve">ONR How2 Business Management System. </w:t>
      </w:r>
      <w:r>
        <w:t>Limits and Conditions for Nuclear Safety (Operating Rules)</w:t>
      </w:r>
      <w:r w:rsidRPr="00825513">
        <w:t>. NS-TAST-GD-0</w:t>
      </w:r>
      <w:r>
        <w:t>35</w:t>
      </w:r>
      <w:r w:rsidRPr="00825513">
        <w:t xml:space="preserve"> Revision</w:t>
      </w:r>
      <w:r>
        <w:t xml:space="preserve"> 6</w:t>
      </w:r>
      <w:r w:rsidRPr="00825513">
        <w:t xml:space="preserve">. ONR. </w:t>
      </w:r>
      <w:r>
        <w:t>March 2018</w:t>
      </w:r>
      <w:r w:rsidRPr="00825513">
        <w:t xml:space="preserve">. </w:t>
      </w:r>
      <w:hyperlink r:id="rId17" w:history="1">
        <w:r w:rsidRPr="00825513">
          <w:rPr>
            <w:rStyle w:val="Hyperlink"/>
          </w:rPr>
          <w:t>http://www.onr.org.uk/operational/tech_asst_guides/</w:t>
        </w:r>
      </w:hyperlink>
    </w:p>
    <w:p w14:paraId="5F3F4D3C" w14:textId="77777777" w:rsidR="00A858F4" w:rsidRDefault="00A858F4">
      <w:pPr>
        <w:pStyle w:val="EndnoteText"/>
      </w:pPr>
    </w:p>
  </w:endnote>
  <w:endnote w:id="21">
    <w:p w14:paraId="657D5ED7" w14:textId="380D93A5" w:rsidR="00A858F4" w:rsidRDefault="00A858F4" w:rsidP="00CD76D4">
      <w:pPr>
        <w:pStyle w:val="EndnoteText"/>
        <w:ind w:left="709" w:hanging="709"/>
        <w:rPr>
          <w:rStyle w:val="Hyperlink"/>
        </w:rPr>
      </w:pPr>
      <w:r>
        <w:rPr>
          <w:rStyle w:val="EndnoteReference"/>
        </w:rPr>
        <w:endnoteRef/>
      </w:r>
      <w:r>
        <w:t xml:space="preserve"> </w:t>
      </w:r>
      <w:r>
        <w:tab/>
        <w:t xml:space="preserve">ONR How2 Business Management System. Validation of Computer Codes and Calculation Methods. NS-TAST-GD-042 Revision 5. ONR. March 2019. </w:t>
      </w:r>
      <w:hyperlink r:id="rId18" w:history="1">
        <w:r w:rsidRPr="00825513">
          <w:rPr>
            <w:rStyle w:val="Hyperlink"/>
          </w:rPr>
          <w:t>http://www.onr.org.uk/operational/tech_asst_guides/</w:t>
        </w:r>
      </w:hyperlink>
    </w:p>
    <w:p w14:paraId="4FABD7CA" w14:textId="77777777" w:rsidR="00A858F4" w:rsidRDefault="00A858F4">
      <w:pPr>
        <w:pStyle w:val="EndnoteText"/>
      </w:pPr>
    </w:p>
  </w:endnote>
  <w:endnote w:id="22">
    <w:p w14:paraId="5F3F4D3D" w14:textId="7CFCE679" w:rsidR="00A858F4" w:rsidRDefault="00A858F4" w:rsidP="005642A9">
      <w:pPr>
        <w:pStyle w:val="EndnoteText"/>
        <w:ind w:left="709" w:hanging="709"/>
        <w:rPr>
          <w:rStyle w:val="Hyperlink"/>
        </w:rPr>
      </w:pPr>
      <w:r>
        <w:rPr>
          <w:rStyle w:val="EndnoteReference"/>
        </w:rPr>
        <w:endnoteRef/>
      </w:r>
      <w:r>
        <w:t xml:space="preserve"> </w:t>
      </w:r>
      <w:r>
        <w:tab/>
      </w:r>
      <w:r w:rsidRPr="00825513">
        <w:t>ONR H</w:t>
      </w:r>
      <w:r>
        <w:t>ow2 Business Management System. Integrity of Metal Components and Structures</w:t>
      </w:r>
      <w:r w:rsidRPr="00825513">
        <w:t>. NS-</w:t>
      </w:r>
      <w:r>
        <w:t xml:space="preserve">  </w:t>
      </w:r>
      <w:r w:rsidRPr="00825513">
        <w:t>TAST-GD-0</w:t>
      </w:r>
      <w:r>
        <w:t>16</w:t>
      </w:r>
      <w:r w:rsidRPr="00825513">
        <w:t xml:space="preserve"> Revision</w:t>
      </w:r>
      <w:r>
        <w:t xml:space="preserve"> 7</w:t>
      </w:r>
      <w:r w:rsidRPr="00825513">
        <w:t xml:space="preserve">. ONR. </w:t>
      </w:r>
      <w:r>
        <w:t>April 2020</w:t>
      </w:r>
      <w:r w:rsidRPr="00825513">
        <w:t xml:space="preserve">. </w:t>
      </w:r>
      <w:hyperlink r:id="rId19" w:history="1">
        <w:r w:rsidRPr="00825513">
          <w:rPr>
            <w:rStyle w:val="Hyperlink"/>
          </w:rPr>
          <w:t>http://www.onr.org.uk/operational/tech_asst_guides/</w:t>
        </w:r>
      </w:hyperlink>
      <w:r>
        <w:rPr>
          <w:rStyle w:val="Hyperlink"/>
        </w:rPr>
        <w:t xml:space="preserve"> </w:t>
      </w:r>
    </w:p>
    <w:p w14:paraId="5F3F4D3E" w14:textId="77777777" w:rsidR="00A858F4" w:rsidRDefault="00A858F4">
      <w:pPr>
        <w:pStyle w:val="EndnoteText"/>
      </w:pPr>
    </w:p>
  </w:endnote>
  <w:endnote w:id="23">
    <w:p w14:paraId="5F3F4D3F" w14:textId="77777777" w:rsidR="00A858F4" w:rsidRDefault="00A858F4" w:rsidP="00D420F5">
      <w:pPr>
        <w:pStyle w:val="EndnoteText"/>
        <w:ind w:left="709" w:hanging="709"/>
      </w:pPr>
      <w:r>
        <w:rPr>
          <w:rStyle w:val="EndnoteReference"/>
        </w:rPr>
        <w:endnoteRef/>
      </w:r>
      <w:r>
        <w:t xml:space="preserve"> </w:t>
      </w:r>
      <w:r>
        <w:tab/>
        <w:t>The Management of Higher Activity Radioactive Waste on Nuclear Licenced Sites.</w:t>
      </w:r>
      <w:r w:rsidRPr="009677DA">
        <w:t xml:space="preserve"> ONR, EA</w:t>
      </w:r>
      <w:r>
        <w:t xml:space="preserve">, </w:t>
      </w:r>
      <w:r w:rsidRPr="009677DA">
        <w:t>SEPA</w:t>
      </w:r>
      <w:r>
        <w:t xml:space="preserve"> and NRW, February </w:t>
      </w:r>
      <w:r w:rsidRPr="009677DA">
        <w:t>201</w:t>
      </w:r>
      <w:r>
        <w:t>5</w:t>
      </w:r>
      <w:r w:rsidRPr="009677DA">
        <w:t xml:space="preserve">.  </w:t>
      </w:r>
      <w:hyperlink r:id="rId20" w:history="1">
        <w:r w:rsidRPr="00D35FD8">
          <w:rPr>
            <w:rStyle w:val="Hyperlink"/>
          </w:rPr>
          <w:t>http://www.onr.org.uk/wastemanage.htm</w:t>
        </w:r>
      </w:hyperlink>
    </w:p>
    <w:p w14:paraId="5F3F4D40" w14:textId="77777777" w:rsidR="00A858F4" w:rsidRDefault="00A858F4" w:rsidP="00D420F5">
      <w:pPr>
        <w:pStyle w:val="EndnoteText"/>
        <w:ind w:left="709" w:hanging="709"/>
      </w:pPr>
    </w:p>
  </w:endnote>
  <w:endnote w:id="24">
    <w:p w14:paraId="5F3F4D41" w14:textId="6A37A4DE" w:rsidR="00A858F4" w:rsidRDefault="00A858F4" w:rsidP="00D420F5">
      <w:pPr>
        <w:pStyle w:val="EndnoteText"/>
        <w:ind w:left="709" w:hanging="709"/>
      </w:pPr>
      <w:r>
        <w:rPr>
          <w:rStyle w:val="EndnoteReference"/>
        </w:rPr>
        <w:endnoteRef/>
      </w:r>
      <w:r>
        <w:t xml:space="preserve"> </w:t>
      </w:r>
      <w:r>
        <w:tab/>
      </w:r>
      <w:r w:rsidRPr="00295CE2">
        <w:t>ONR How2 Business Management System. Management of Radioactive Materials and Rad</w:t>
      </w:r>
      <w:r>
        <w:t>ioactive Waste on Nuclear Licenc</w:t>
      </w:r>
      <w:r w:rsidRPr="00295CE2">
        <w:t xml:space="preserve">ed </w:t>
      </w:r>
      <w:r>
        <w:t>Sites. NS-TAST-GD-024 Revision 6. ONR.</w:t>
      </w:r>
      <w:r w:rsidRPr="00295CE2">
        <w:t xml:space="preserve"> </w:t>
      </w:r>
      <w:r>
        <w:t>September 2019</w:t>
      </w:r>
      <w:r w:rsidRPr="00295CE2">
        <w:t xml:space="preserve">. </w:t>
      </w:r>
      <w:hyperlink r:id="rId21" w:history="1">
        <w:r w:rsidRPr="00D35FD8">
          <w:rPr>
            <w:rStyle w:val="Hyperlink"/>
          </w:rPr>
          <w:t>http://www.onr.org.uk/operational/tech_asst_guides/</w:t>
        </w:r>
      </w:hyperlink>
    </w:p>
    <w:p w14:paraId="5F3F4D43" w14:textId="77777777" w:rsidR="00A858F4" w:rsidRDefault="00A858F4" w:rsidP="00D420F5">
      <w:pPr>
        <w:pStyle w:val="EndnoteText"/>
      </w:pPr>
    </w:p>
  </w:endnote>
  <w:endnote w:id="25">
    <w:p w14:paraId="40B95D5B" w14:textId="23CA6F97" w:rsidR="00A858F4" w:rsidRDefault="00A858F4" w:rsidP="00046F2D">
      <w:pPr>
        <w:pStyle w:val="EndnoteText"/>
        <w:ind w:left="709" w:hanging="709"/>
      </w:pPr>
      <w:r>
        <w:rPr>
          <w:rStyle w:val="EndnoteReference"/>
        </w:rPr>
        <w:endnoteRef/>
      </w:r>
      <w:r>
        <w:t xml:space="preserve"> </w:t>
      </w:r>
      <w:r>
        <w:tab/>
        <w:t xml:space="preserve">ONR How2 Business Management System. Control of Processes Involving Nuclear Matter. NS-TAST-GD-023 Revision 6. ONR. August 2019. </w:t>
      </w:r>
      <w:hyperlink r:id="rId22" w:history="1">
        <w:r w:rsidRPr="00D35FD8">
          <w:rPr>
            <w:rStyle w:val="Hyperlink"/>
          </w:rPr>
          <w:t>http://www.onr.org.uk/operational/tech_asst_guides/</w:t>
        </w:r>
      </w:hyperlink>
    </w:p>
  </w:endnote>
  <w:endnote w:id="26">
    <w:p w14:paraId="5F3F4D44" w14:textId="77777777" w:rsidR="00A858F4" w:rsidRDefault="00A858F4" w:rsidP="00AA132F">
      <w:pPr>
        <w:pStyle w:val="EndnoteText"/>
        <w:ind w:left="709" w:hanging="709"/>
      </w:pPr>
      <w:r>
        <w:rPr>
          <w:rStyle w:val="EndnoteReference"/>
        </w:rPr>
        <w:endnoteRef/>
      </w:r>
      <w:r>
        <w:t xml:space="preserve"> </w:t>
      </w:r>
      <w:r>
        <w:tab/>
        <w:t>U.S. Nuclear Regulatory Commission, Reactor Safety Study: An Assessment of Accident Risks in U.S. Commercial Nuclear Power Plants, WASH-1400, NUREG-75/014, US NRC, 1975.</w:t>
      </w:r>
    </w:p>
    <w:p w14:paraId="5F3F4D45" w14:textId="77777777" w:rsidR="00A858F4" w:rsidRDefault="0052667E" w:rsidP="00AA132F">
      <w:pPr>
        <w:pStyle w:val="EndnoteText"/>
        <w:ind w:left="709"/>
      </w:pPr>
      <w:hyperlink r:id="rId23" w:history="1">
        <w:r w:rsidR="00A858F4" w:rsidRPr="00744A15">
          <w:rPr>
            <w:rStyle w:val="Hyperlink"/>
          </w:rPr>
          <w:t>http://www.nrc.gov/reading-rm/doc-collections/nuregs/staff/sr75-014/</w:t>
        </w:r>
      </w:hyperlink>
    </w:p>
    <w:p w14:paraId="5F3F4D46" w14:textId="77777777" w:rsidR="00A858F4" w:rsidRDefault="00A858F4">
      <w:pPr>
        <w:pStyle w:val="EndnoteText"/>
      </w:pPr>
    </w:p>
  </w:endnote>
  <w:endnote w:id="27">
    <w:p w14:paraId="5F3F4D47" w14:textId="77777777" w:rsidR="00A858F4" w:rsidRDefault="00A858F4" w:rsidP="00AA132F">
      <w:pPr>
        <w:pStyle w:val="EndnoteText"/>
        <w:ind w:left="709" w:hanging="709"/>
      </w:pPr>
      <w:r>
        <w:rPr>
          <w:rStyle w:val="EndnoteReference"/>
        </w:rPr>
        <w:endnoteRef/>
      </w:r>
      <w:r>
        <w:t xml:space="preserve"> </w:t>
      </w:r>
      <w:r>
        <w:tab/>
        <w:t>U.S. Nuclear Regulatory Commission, Accident Source Terms for Light-Water Nuclear Power Plants, NUREG-1465, US NRC, 1995.</w:t>
      </w:r>
    </w:p>
    <w:p w14:paraId="5F3F4D48" w14:textId="77777777" w:rsidR="00A858F4" w:rsidRDefault="0052667E" w:rsidP="00AA132F">
      <w:pPr>
        <w:pStyle w:val="EndnoteText"/>
        <w:ind w:left="709"/>
      </w:pPr>
      <w:hyperlink r:id="rId24" w:history="1">
        <w:r w:rsidR="00A858F4" w:rsidRPr="00744A15">
          <w:rPr>
            <w:rStyle w:val="Hyperlink"/>
          </w:rPr>
          <w:t>http://www.nrc.gov/reading-rm/doc-collections/nuregs/staff/sr1465/</w:t>
        </w:r>
      </w:hyperlink>
    </w:p>
    <w:p w14:paraId="5F3F4D49" w14:textId="77777777" w:rsidR="00A858F4" w:rsidRDefault="00A858F4">
      <w:pPr>
        <w:pStyle w:val="EndnoteText"/>
      </w:pPr>
    </w:p>
  </w:endnote>
  <w:endnote w:id="28">
    <w:p w14:paraId="5F3F4D4A" w14:textId="77777777" w:rsidR="00A858F4" w:rsidRDefault="00A858F4" w:rsidP="00AA132F">
      <w:pPr>
        <w:pStyle w:val="EndnoteText"/>
        <w:ind w:left="709" w:hanging="709"/>
      </w:pPr>
      <w:r>
        <w:rPr>
          <w:rStyle w:val="EndnoteReference"/>
        </w:rPr>
        <w:endnoteRef/>
      </w:r>
      <w:r>
        <w:t xml:space="preserve"> </w:t>
      </w:r>
      <w:r>
        <w:tab/>
        <w:t>IAEA Safety Reports Series No.56</w:t>
      </w:r>
      <w:r w:rsidRPr="007F0826">
        <w:t>,</w:t>
      </w:r>
      <w:r>
        <w:t xml:space="preserve"> Approaches and Tools for Severe Accident Analysis for Nuclear Power Plants, IAEA, 2008.</w:t>
      </w:r>
    </w:p>
    <w:p w14:paraId="5F3F4D4B" w14:textId="77777777" w:rsidR="00A858F4" w:rsidRDefault="0052667E" w:rsidP="00AA132F">
      <w:pPr>
        <w:pStyle w:val="EndnoteText"/>
        <w:ind w:left="709"/>
      </w:pPr>
      <w:hyperlink r:id="rId25" w:history="1">
        <w:r w:rsidR="00A858F4" w:rsidRPr="00744A15">
          <w:rPr>
            <w:rStyle w:val="Hyperlink"/>
          </w:rPr>
          <w:t>http://www-pub.iaea.org/MTCD/publications/PDF/Pub1327_web.pdf</w:t>
        </w:r>
      </w:hyperlink>
    </w:p>
    <w:p w14:paraId="5F3F4D4C" w14:textId="77777777" w:rsidR="00A858F4" w:rsidRDefault="00A858F4">
      <w:pPr>
        <w:pStyle w:val="EndnoteText"/>
      </w:pPr>
    </w:p>
  </w:endnote>
  <w:endnote w:id="29">
    <w:p w14:paraId="5F3F4D4D" w14:textId="77777777" w:rsidR="00A858F4" w:rsidRDefault="00A858F4" w:rsidP="002F38AC">
      <w:pPr>
        <w:pStyle w:val="EndnoteText"/>
        <w:ind w:left="709" w:hanging="709"/>
      </w:pPr>
      <w:r>
        <w:rPr>
          <w:rStyle w:val="EndnoteReference"/>
        </w:rPr>
        <w:endnoteRef/>
      </w:r>
      <w:r>
        <w:t xml:space="preserve"> </w:t>
      </w:r>
      <w:r>
        <w:tab/>
        <w:t>Nuclear Energy Agency Committee on the Nuclear Safety of Nuclear Installations, State of the Art Report on Iodine Chemistry, NEA/CSNI/R(2007)1, NEA, 2007.</w:t>
      </w:r>
    </w:p>
    <w:p w14:paraId="5F3F4D4E" w14:textId="77777777" w:rsidR="00A858F4" w:rsidRDefault="0052667E" w:rsidP="00345F0C">
      <w:pPr>
        <w:pStyle w:val="EndnoteText"/>
        <w:ind w:left="709"/>
      </w:pPr>
      <w:hyperlink r:id="rId26" w:history="1">
        <w:r w:rsidR="00A858F4" w:rsidRPr="00744A15">
          <w:rPr>
            <w:rStyle w:val="Hyperlink"/>
          </w:rPr>
          <w:t>https://www.oecd-nea.org/nsd/docs/2007/csni-r2007-1.pdf</w:t>
        </w:r>
      </w:hyperlink>
    </w:p>
    <w:p w14:paraId="5F3F4D4F" w14:textId="77777777" w:rsidR="00A858F4" w:rsidRDefault="00A858F4" w:rsidP="002F38AC">
      <w:pPr>
        <w:pStyle w:val="EndnoteText"/>
        <w:ind w:left="709" w:hanging="709"/>
      </w:pPr>
    </w:p>
  </w:endnote>
  <w:endnote w:id="30">
    <w:p w14:paraId="5F3F4D50" w14:textId="77777777" w:rsidR="00A858F4" w:rsidRDefault="00A858F4" w:rsidP="002F38AC">
      <w:pPr>
        <w:pStyle w:val="EndnoteText"/>
        <w:ind w:left="709" w:hanging="709"/>
      </w:pPr>
      <w:r>
        <w:rPr>
          <w:rStyle w:val="EndnoteReference"/>
        </w:rPr>
        <w:endnoteRef/>
      </w:r>
      <w:r>
        <w:t xml:space="preserve"> </w:t>
      </w:r>
      <w:r>
        <w:tab/>
        <w:t>Nuclear Plant Chemistry Conference 2014, Iodine Chemistry in Nuclear Reactor Accident Conditions: Recent Studies and Hypotheses, Paper 10100, NNL et al., Sapporo, 2014.</w:t>
      </w:r>
    </w:p>
    <w:p w14:paraId="5F3F4D51" w14:textId="77777777" w:rsidR="00A858F4" w:rsidRDefault="0052667E" w:rsidP="00345F0C">
      <w:pPr>
        <w:pStyle w:val="EndnoteText"/>
        <w:ind w:left="709"/>
      </w:pPr>
      <w:hyperlink r:id="rId27" w:history="1">
        <w:r w:rsidR="00A858F4" w:rsidRPr="00744A15">
          <w:rPr>
            <w:rStyle w:val="Hyperlink"/>
          </w:rPr>
          <w:t>http://toc.proceedings.com/26868webtoc.pdf</w:t>
        </w:r>
      </w:hyperlink>
    </w:p>
    <w:p w14:paraId="5F3F4D52" w14:textId="77777777" w:rsidR="00A858F4" w:rsidRDefault="00A858F4" w:rsidP="00345F0C">
      <w:pPr>
        <w:pStyle w:val="EndnoteText"/>
      </w:pPr>
    </w:p>
  </w:endnote>
  <w:endnote w:id="31">
    <w:p w14:paraId="44191D2F" w14:textId="0F69F877" w:rsidR="00A858F4" w:rsidRPr="001135CD" w:rsidRDefault="00A858F4" w:rsidP="000B26B3">
      <w:pPr>
        <w:pStyle w:val="EndnoteText"/>
        <w:ind w:left="709" w:hanging="709"/>
      </w:pPr>
      <w:r>
        <w:rPr>
          <w:rStyle w:val="EndnoteReference"/>
        </w:rPr>
        <w:endnoteRef/>
      </w:r>
      <w:r>
        <w:t>.</w:t>
      </w:r>
      <w:r>
        <w:tab/>
      </w:r>
      <w:r w:rsidRPr="00F91BCC">
        <w:t>Chemistry Programme for Water Cooled Nuclear Power Plants, Specific Safety Guide No. SSG-13, IAEA, 2011</w:t>
      </w:r>
      <w:r>
        <w:t xml:space="preserve">, </w:t>
      </w:r>
      <w:hyperlink r:id="rId28" w:history="1">
        <w:r w:rsidRPr="001135CD">
          <w:rPr>
            <w:rStyle w:val="Hyperlink"/>
            <w:rFonts w:cs="Arial"/>
            <w:szCs w:val="22"/>
          </w:rPr>
          <w:t>https://www-pub.iaea.org/MTCD/Publications/PDF/Pub1469_web.pdf</w:t>
        </w:r>
      </w:hyperlink>
      <w:r w:rsidRPr="00F91BCC">
        <w:rPr>
          <w:rFonts w:cs="Arial"/>
          <w:szCs w:val="22"/>
        </w:rPr>
        <w:t xml:space="preserve"> </w:t>
      </w:r>
    </w:p>
    <w:p w14:paraId="56E523CC" w14:textId="128179D4" w:rsidR="00A858F4" w:rsidRDefault="00A858F4">
      <w:pPr>
        <w:pStyle w:val="EndnoteText"/>
      </w:pPr>
    </w:p>
  </w:endnote>
  <w:endnote w:id="32">
    <w:p w14:paraId="2CBC43AE" w14:textId="04DC3856" w:rsidR="00A858F4" w:rsidRDefault="00A858F4" w:rsidP="000B26B3">
      <w:pPr>
        <w:pStyle w:val="EndnoteText"/>
        <w:ind w:left="709" w:hanging="709"/>
      </w:pPr>
      <w:r>
        <w:rPr>
          <w:rStyle w:val="EndnoteReference"/>
        </w:rPr>
        <w:endnoteRef/>
      </w:r>
      <w:r>
        <w:t>.</w:t>
      </w:r>
      <w:r>
        <w:tab/>
        <w:t xml:space="preserve">Data Processing Technologies and Diagnostics for Water Chemistry and Corrosion Control in Nuclear Power Plants, TECDOC-1505, 2006, </w:t>
      </w:r>
    </w:p>
    <w:p w14:paraId="4D7D41E0" w14:textId="0ED06321" w:rsidR="00A858F4" w:rsidRDefault="0052667E" w:rsidP="000B26B3">
      <w:pPr>
        <w:pStyle w:val="EndnoteText"/>
        <w:ind w:firstLine="709"/>
      </w:pPr>
      <w:hyperlink r:id="rId29" w:history="1">
        <w:r w:rsidR="00A858F4" w:rsidRPr="005C4CF1">
          <w:rPr>
            <w:rStyle w:val="Hyperlink"/>
          </w:rPr>
          <w:t>https://www-pub.iaea.org/MTCD/Publications/PDF/te_1505_web.pdf</w:t>
        </w:r>
      </w:hyperlink>
    </w:p>
    <w:p w14:paraId="59551C25" w14:textId="77777777" w:rsidR="00A858F4" w:rsidRDefault="00A858F4" w:rsidP="008B4575">
      <w:pPr>
        <w:pStyle w:val="EndnoteText"/>
      </w:pPr>
    </w:p>
  </w:endnote>
  <w:endnote w:id="33">
    <w:p w14:paraId="27BAEA89" w14:textId="6F6DA0B2" w:rsidR="00A858F4" w:rsidRDefault="00A858F4" w:rsidP="00FB50F8">
      <w:pPr>
        <w:pStyle w:val="EndnoteText"/>
      </w:pPr>
      <w:r>
        <w:rPr>
          <w:rStyle w:val="EndnoteReference"/>
        </w:rPr>
        <w:endnoteRef/>
      </w:r>
      <w:r>
        <w:t xml:space="preserve">. </w:t>
      </w:r>
      <w:r>
        <w:tab/>
      </w:r>
      <w:r w:rsidRPr="00D6419D">
        <w:t>Guideline Manual on Instrumentation and Control, EPRI, 1987, CS-5164</w:t>
      </w:r>
    </w:p>
    <w:p w14:paraId="48C45EF6" w14:textId="77777777" w:rsidR="00A858F4" w:rsidRDefault="00A858F4" w:rsidP="00FB50F8">
      <w:pPr>
        <w:pStyle w:val="EndnoteText"/>
      </w:pPr>
    </w:p>
  </w:endnote>
  <w:endnote w:id="34">
    <w:p w14:paraId="63FE0AAC" w14:textId="6949B56A" w:rsidR="00A858F4" w:rsidRDefault="00A858F4" w:rsidP="000B26B3">
      <w:pPr>
        <w:pStyle w:val="EndnoteText"/>
        <w:ind w:left="720" w:hanging="720"/>
      </w:pPr>
      <w:r>
        <w:rPr>
          <w:rStyle w:val="EndnoteReference"/>
        </w:rPr>
        <w:endnoteRef/>
      </w:r>
      <w:r>
        <w:t>.</w:t>
      </w:r>
      <w:r>
        <w:tab/>
      </w:r>
      <w:r w:rsidRPr="00FB50F8">
        <w:t xml:space="preserve">ASTM D3864-12, Standard Guide for On-Line Monitoring Systems for Water Analysis, ASTM International, West Conshohocken, PA, 2012, </w:t>
      </w:r>
      <w:hyperlink r:id="rId30" w:history="1">
        <w:r w:rsidRPr="005C4CF1">
          <w:rPr>
            <w:rStyle w:val="Hyperlink"/>
          </w:rPr>
          <w:t>www.astm.org</w:t>
        </w:r>
      </w:hyperlink>
      <w:r>
        <w:t xml:space="preserve"> </w:t>
      </w:r>
    </w:p>
    <w:p w14:paraId="4DAA47B6" w14:textId="77777777" w:rsidR="00A858F4" w:rsidRDefault="00A858F4">
      <w:pPr>
        <w:pStyle w:val="EndnoteText"/>
      </w:pPr>
    </w:p>
  </w:endnote>
  <w:endnote w:id="35">
    <w:p w14:paraId="38DA7D90" w14:textId="331B90C3" w:rsidR="00A858F4" w:rsidRDefault="00A858F4" w:rsidP="000B26B3">
      <w:pPr>
        <w:pStyle w:val="EndnoteText"/>
        <w:ind w:left="720" w:hanging="720"/>
      </w:pPr>
      <w:r>
        <w:rPr>
          <w:rStyle w:val="EndnoteReference"/>
        </w:rPr>
        <w:endnoteRef/>
      </w:r>
      <w:r>
        <w:t>.</w:t>
      </w:r>
      <w:r>
        <w:tab/>
      </w:r>
      <w:r w:rsidRPr="00D6419D">
        <w:t xml:space="preserve">ASTM D5540-13, Standard Practice for Flow Control and Temperature Control for On-Line Water Sampling and Analysis, ASTM International, West Conshohocken, PA, 2013, </w:t>
      </w:r>
      <w:hyperlink r:id="rId31" w:history="1">
        <w:r w:rsidRPr="005C4CF1">
          <w:rPr>
            <w:rStyle w:val="Hyperlink"/>
          </w:rPr>
          <w:t>www.astm.org</w:t>
        </w:r>
      </w:hyperlink>
      <w:r>
        <w:t xml:space="preserve"> </w:t>
      </w:r>
    </w:p>
  </w:endnote>
  <w:endnote w:id="36">
    <w:p w14:paraId="1F3B16C6" w14:textId="5F62AAEE" w:rsidR="00A858F4" w:rsidRDefault="00A858F4" w:rsidP="000B26B3">
      <w:pPr>
        <w:pStyle w:val="EndnoteText"/>
        <w:ind w:left="720" w:hanging="720"/>
      </w:pPr>
      <w:r>
        <w:rPr>
          <w:rStyle w:val="EndnoteReference"/>
        </w:rPr>
        <w:endnoteRef/>
      </w:r>
      <w:r>
        <w:t>.</w:t>
      </w:r>
      <w:r>
        <w:tab/>
      </w:r>
      <w:r w:rsidRPr="00D606A3">
        <w:t>Flammability characteristics of combustible gases and vapours, U.S. Dept. of the Interior, Bureau of Mines, 1965.</w:t>
      </w:r>
      <w:r>
        <w:t xml:space="preserve"> </w:t>
      </w:r>
      <w:r w:rsidRPr="00621EFC">
        <w:rPr>
          <w:rStyle w:val="Hyperlink"/>
        </w:rPr>
        <w:t>https://shepherd.caltech.edu/EDL/PublicResources/flammability/USBM-627_30MB.pdf</w:t>
      </w:r>
    </w:p>
    <w:p w14:paraId="5B466BD4" w14:textId="77777777" w:rsidR="00A858F4" w:rsidRDefault="00A858F4">
      <w:pPr>
        <w:pStyle w:val="EndnoteText"/>
      </w:pPr>
    </w:p>
  </w:endnote>
  <w:endnote w:id="37">
    <w:p w14:paraId="68F58746" w14:textId="7E6F0711" w:rsidR="00A858F4" w:rsidRDefault="00A858F4" w:rsidP="006960CC">
      <w:pPr>
        <w:pStyle w:val="EndnoteText"/>
        <w:ind w:left="720" w:hanging="720"/>
      </w:pPr>
      <w:r>
        <w:rPr>
          <w:rStyle w:val="EndnoteReference"/>
        </w:rPr>
        <w:endnoteRef/>
      </w:r>
      <w:r>
        <w:t>.</w:t>
      </w:r>
      <w:r>
        <w:tab/>
      </w:r>
      <w:r w:rsidRPr="006C683C">
        <w:t xml:space="preserve">GEXCON Gas Explosion Handbook. </w:t>
      </w:r>
      <w:hyperlink r:id="rId32" w:history="1">
        <w:r w:rsidRPr="005C4CF1">
          <w:rPr>
            <w:rStyle w:val="Hyperlink"/>
          </w:rPr>
          <w:t>https://www.gexcon.com/wp-content/uploads/2020/08/Gas-Explosion-Handbook-1992-version-new-front-page-2019.pdf</w:t>
        </w:r>
      </w:hyperlink>
      <w:r>
        <w:t xml:space="preserve"> </w:t>
      </w:r>
    </w:p>
    <w:p w14:paraId="54AD79CA" w14:textId="77777777" w:rsidR="00A858F4" w:rsidRDefault="00A858F4">
      <w:pPr>
        <w:pStyle w:val="EndnoteText"/>
      </w:pPr>
    </w:p>
  </w:endnote>
  <w:endnote w:id="38">
    <w:p w14:paraId="1D82B7FC" w14:textId="3179BD19" w:rsidR="00A858F4" w:rsidRDefault="00A858F4" w:rsidP="006960CC">
      <w:pPr>
        <w:pStyle w:val="EndnoteText"/>
        <w:ind w:left="720" w:hanging="720"/>
      </w:pPr>
      <w:r>
        <w:rPr>
          <w:rStyle w:val="EndnoteReference"/>
        </w:rPr>
        <w:endnoteRef/>
      </w:r>
      <w:r>
        <w:t>.</w:t>
      </w:r>
      <w:r>
        <w:tab/>
        <w:t xml:space="preserve">Flame Acceleration and Deflagration-to-Detonation Transition in Nuclear Safety, NEA/CSNI/R(2000)7, OECD Nuclear Energy Agency, 2000. </w:t>
      </w:r>
    </w:p>
    <w:p w14:paraId="2B9E54F5" w14:textId="1B4801EC" w:rsidR="00A858F4" w:rsidRDefault="0052667E" w:rsidP="006960CC">
      <w:pPr>
        <w:pStyle w:val="EndnoteText"/>
        <w:ind w:firstLine="720"/>
      </w:pPr>
      <w:hyperlink r:id="rId33" w:history="1">
        <w:r w:rsidR="00A858F4" w:rsidRPr="005C4CF1">
          <w:rPr>
            <w:rStyle w:val="Hyperlink"/>
          </w:rPr>
          <w:t>https://www.oecd-nea.org/nsd/docs/2000/csni-r2000-7.pdf</w:t>
        </w:r>
      </w:hyperlink>
      <w:r w:rsidR="00A858F4">
        <w:t xml:space="preserve"> </w:t>
      </w:r>
    </w:p>
    <w:p w14:paraId="01C7FAED" w14:textId="77777777" w:rsidR="00A858F4" w:rsidRDefault="00A858F4">
      <w:pPr>
        <w:pStyle w:val="EndnoteText"/>
      </w:pPr>
    </w:p>
  </w:endnote>
  <w:endnote w:id="39">
    <w:p w14:paraId="1CC81881" w14:textId="75255372" w:rsidR="00A858F4" w:rsidRDefault="00A858F4" w:rsidP="006960CC">
      <w:pPr>
        <w:pStyle w:val="EndnoteText"/>
        <w:ind w:left="720" w:hanging="720"/>
      </w:pPr>
      <w:r>
        <w:rPr>
          <w:rStyle w:val="EndnoteReference"/>
        </w:rPr>
        <w:endnoteRef/>
      </w:r>
      <w:r>
        <w:t>.</w:t>
      </w:r>
      <w:r>
        <w:tab/>
      </w:r>
      <w:r w:rsidRPr="006C683C">
        <w:t>Hydrogen in Water Cooled Nuclear Power Reactors, Report EUR 14037, Commission of the European Communities – Nuclear Science and Technology, 1992.</w:t>
      </w:r>
    </w:p>
    <w:p w14:paraId="13E7FF99" w14:textId="77777777" w:rsidR="00A858F4" w:rsidRDefault="00A858F4">
      <w:pPr>
        <w:pStyle w:val="EndnoteText"/>
      </w:pPr>
    </w:p>
  </w:endnote>
  <w:endnote w:id="40">
    <w:p w14:paraId="439D9D0D" w14:textId="5F4FC764" w:rsidR="00A858F4" w:rsidRDefault="00A858F4" w:rsidP="006960CC">
      <w:pPr>
        <w:pStyle w:val="EndnoteText"/>
        <w:ind w:left="720" w:hanging="720"/>
      </w:pPr>
      <w:r>
        <w:rPr>
          <w:rStyle w:val="EndnoteReference"/>
        </w:rPr>
        <w:endnoteRef/>
      </w:r>
      <w:r>
        <w:t>.</w:t>
      </w:r>
      <w:r>
        <w:tab/>
        <w:t xml:space="preserve">Dangerous Substances and Explosive Atmospheres Regulations 2002. Approved Code of Practice and guidance, HSE 2013. </w:t>
      </w:r>
    </w:p>
    <w:p w14:paraId="202D315C" w14:textId="19B54061" w:rsidR="00A858F4" w:rsidRDefault="0052667E" w:rsidP="006960CC">
      <w:pPr>
        <w:pStyle w:val="EndnoteText"/>
        <w:ind w:firstLine="720"/>
      </w:pPr>
      <w:hyperlink r:id="rId34" w:history="1">
        <w:r w:rsidR="00A858F4" w:rsidRPr="005C4CF1">
          <w:rPr>
            <w:rStyle w:val="Hyperlink"/>
          </w:rPr>
          <w:t>http://www.hse.gov.uk/pUbns/priced/l138.pdf</w:t>
        </w:r>
      </w:hyperlink>
      <w:r w:rsidR="00A858F4">
        <w:t xml:space="preserve"> </w:t>
      </w:r>
    </w:p>
    <w:p w14:paraId="622F0488" w14:textId="77777777" w:rsidR="00A858F4" w:rsidRDefault="00A858F4">
      <w:pPr>
        <w:pStyle w:val="EndnoteText"/>
      </w:pPr>
    </w:p>
  </w:endnote>
  <w:endnote w:id="41">
    <w:p w14:paraId="7296EF92" w14:textId="59737BE3" w:rsidR="00A858F4" w:rsidRDefault="00A858F4" w:rsidP="006960CC">
      <w:pPr>
        <w:pStyle w:val="EndnoteText"/>
        <w:ind w:left="720" w:hanging="720"/>
      </w:pPr>
      <w:r>
        <w:rPr>
          <w:rStyle w:val="EndnoteReference"/>
        </w:rPr>
        <w:endnoteRef/>
      </w:r>
      <w:r>
        <w:t xml:space="preserve">. </w:t>
      </w:r>
      <w:r>
        <w:tab/>
        <w:t>ONR How2 Business Management System. Validation of Computer Codes and Calculation Methods, NS-TAST-GD-042 Revision 25, ONR 2019.</w:t>
      </w:r>
    </w:p>
    <w:p w14:paraId="14190D31" w14:textId="35487EBD" w:rsidR="00A858F4" w:rsidRDefault="0052667E" w:rsidP="006960CC">
      <w:pPr>
        <w:pStyle w:val="EndnoteText"/>
        <w:ind w:firstLine="720"/>
      </w:pPr>
      <w:hyperlink r:id="rId35" w:history="1">
        <w:r w:rsidR="00A858F4" w:rsidRPr="005C4CF1">
          <w:rPr>
            <w:rStyle w:val="Hyperlink"/>
          </w:rPr>
          <w:t>http://www.onr.org.uk/operational/tech_asst_guides/ns-tast-gd-042.pdf</w:t>
        </w:r>
      </w:hyperlink>
    </w:p>
    <w:p w14:paraId="619FDCF0" w14:textId="77777777" w:rsidR="00A858F4" w:rsidRDefault="00A858F4" w:rsidP="003B11BB">
      <w:pPr>
        <w:pStyle w:val="EndnoteText"/>
      </w:pPr>
    </w:p>
  </w:endnote>
  <w:endnote w:id="42">
    <w:p w14:paraId="1CC52A29" w14:textId="77777777" w:rsidR="00A858F4" w:rsidRDefault="00A858F4" w:rsidP="00097440">
      <w:pPr>
        <w:pStyle w:val="EndnoteText"/>
        <w:ind w:left="720" w:hanging="720"/>
      </w:pPr>
      <w:r>
        <w:rPr>
          <w:rStyle w:val="EndnoteReference"/>
        </w:rPr>
        <w:endnoteRef/>
      </w:r>
      <w:r>
        <w:t xml:space="preserve">. </w:t>
      </w:r>
      <w:r>
        <w:tab/>
      </w:r>
      <w:r w:rsidRPr="006C683C">
        <w:t xml:space="preserve">Status Report on Hydrogen Management and Related Computer Codes, NEA/CSNI/R(2014)8, OECD Nuclear Energy Agency, 2014. </w:t>
      </w:r>
    </w:p>
    <w:p w14:paraId="579EDA05" w14:textId="3A8FC2D1" w:rsidR="00A858F4" w:rsidRDefault="0052667E" w:rsidP="006960CC">
      <w:pPr>
        <w:pStyle w:val="EndnoteText"/>
        <w:ind w:left="720"/>
      </w:pPr>
      <w:hyperlink r:id="rId36" w:history="1">
        <w:r w:rsidR="00A858F4" w:rsidRPr="005C4CF1">
          <w:rPr>
            <w:rStyle w:val="Hyperlink"/>
          </w:rPr>
          <w:t>https://www.oecd-nea.org/nsd/docs/2014/csni-r2014-8.pdf</w:t>
        </w:r>
      </w:hyperlink>
      <w:r w:rsidR="00A858F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5BDC" w14:textId="77777777" w:rsidR="00DE57BD" w:rsidRDefault="00DE5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D0C" w14:textId="77777777" w:rsidR="00A858F4" w:rsidRPr="003A608F" w:rsidRDefault="00A858F4" w:rsidP="00487A22">
    <w:pPr>
      <w:pStyle w:val="Footer"/>
      <w:tabs>
        <w:tab w:val="clear" w:pos="4153"/>
        <w:tab w:val="clear" w:pos="8306"/>
        <w:tab w:val="right" w:pos="9214"/>
      </w:tabs>
      <w:rPr>
        <w:color w:val="006D68"/>
        <w:sz w:val="14"/>
        <w:szCs w:val="14"/>
      </w:rPr>
    </w:pPr>
    <w:r w:rsidRPr="003A608F">
      <w:rPr>
        <w:color w:val="006D68"/>
        <w:sz w:val="14"/>
        <w:szCs w:val="14"/>
      </w:rPr>
      <w:t>NS-TAST-GD-089</w:t>
    </w:r>
  </w:p>
  <w:p w14:paraId="5F3F4D0D" w14:textId="3BADBF8F" w:rsidR="00A858F4" w:rsidRPr="00487A22" w:rsidRDefault="00A858F4" w:rsidP="00487A22">
    <w:pPr>
      <w:pStyle w:val="Footer"/>
      <w:tabs>
        <w:tab w:val="clear" w:pos="4153"/>
        <w:tab w:val="clear" w:pos="8306"/>
        <w:tab w:val="right" w:pos="9214"/>
      </w:tabs>
      <w:rPr>
        <w:b/>
        <w:color w:val="006D68"/>
        <w:sz w:val="14"/>
        <w:szCs w:val="14"/>
      </w:rPr>
    </w:pPr>
    <w:r w:rsidRPr="00366DAE">
      <w:rPr>
        <w:color w:val="006D68"/>
        <w:sz w:val="14"/>
        <w:szCs w:val="14"/>
      </w:rPr>
      <w:t>Ref:</w:t>
    </w:r>
    <w:r w:rsidR="00535D98">
      <w:rPr>
        <w:color w:val="006D68"/>
        <w:sz w:val="14"/>
        <w:szCs w:val="14"/>
      </w:rPr>
      <w:t xml:space="preserve"> 2021/3872</w:t>
    </w: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Pr>
        <w:b/>
        <w:noProof/>
        <w:color w:val="006D68"/>
        <w:sz w:val="14"/>
        <w:szCs w:val="14"/>
      </w:rPr>
      <w:t>4</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Pr>
        <w:b/>
        <w:noProof/>
        <w:color w:val="006D68"/>
        <w:sz w:val="14"/>
        <w:szCs w:val="14"/>
      </w:rPr>
      <w:t>50</w:t>
    </w:r>
    <w:r w:rsidRPr="00487A22">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D16" w14:textId="77777777" w:rsidR="00A858F4" w:rsidRPr="00B56CCE" w:rsidRDefault="00A858F4" w:rsidP="00B56CCE">
    <w:pPr>
      <w:pStyle w:val="Footer"/>
      <w:tabs>
        <w:tab w:val="clear" w:pos="4153"/>
        <w:tab w:val="clear" w:pos="8306"/>
        <w:tab w:val="right" w:pos="9214"/>
      </w:tabs>
      <w:rPr>
        <w:b/>
        <w:color w:val="006D68"/>
        <w:sz w:val="14"/>
        <w:szCs w:val="14"/>
      </w:rPr>
    </w:pP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noProof/>
        <w:color w:val="006D68"/>
        <w:sz w:val="14"/>
        <w:szCs w:val="14"/>
      </w:rPr>
      <w:t>42</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noProof/>
        <w:color w:val="006D68"/>
        <w:sz w:val="14"/>
        <w:szCs w:val="14"/>
      </w:rPr>
      <w:t>50</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F126" w14:textId="77777777" w:rsidR="00E30B91" w:rsidRDefault="00E30B91">
      <w:r>
        <w:separator/>
      </w:r>
    </w:p>
  </w:footnote>
  <w:footnote w:type="continuationSeparator" w:id="0">
    <w:p w14:paraId="2220E020" w14:textId="77777777" w:rsidR="00E30B91" w:rsidRDefault="00E30B91">
      <w:r>
        <w:continuationSeparator/>
      </w:r>
    </w:p>
  </w:footnote>
  <w:footnote w:type="continuationNotice" w:id="1">
    <w:p w14:paraId="3AF7144C" w14:textId="77777777" w:rsidR="00E30B91" w:rsidRDefault="00E30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B0D" w14:textId="77777777" w:rsidR="00DE57BD" w:rsidRDefault="00DE5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D08" w14:textId="77777777" w:rsidR="00A858F4" w:rsidRDefault="00A858F4">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p w14:paraId="5F3F4D09" w14:textId="77777777" w:rsidR="00A858F4" w:rsidRDefault="00A858F4">
    <w:pPr>
      <w:pStyle w:val="Header"/>
      <w:rPr>
        <w:b/>
        <w:color w:val="006D68"/>
        <w:sz w:val="14"/>
        <w:szCs w:val="14"/>
      </w:rPr>
    </w:pPr>
  </w:p>
  <w:p w14:paraId="5F3F4D0A" w14:textId="77777777" w:rsidR="00A858F4" w:rsidRDefault="00A858F4">
    <w:pPr>
      <w:pStyle w:val="Header"/>
      <w:rPr>
        <w:b/>
        <w:color w:val="006D68"/>
        <w:sz w:val="14"/>
        <w:szCs w:val="14"/>
      </w:rPr>
    </w:pPr>
  </w:p>
  <w:p w14:paraId="5F3F4D0B" w14:textId="77777777" w:rsidR="00A858F4" w:rsidRPr="00CA3B14" w:rsidRDefault="00A858F4" w:rsidP="00CA3B14">
    <w:pPr>
      <w:pStyle w:val="Header"/>
      <w:spacing w:after="240"/>
      <w:jc w:val="center"/>
      <w:rPr>
        <w:b/>
        <w:color w:val="006D68"/>
        <w:sz w:val="2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D0E" w14:textId="77777777" w:rsidR="00A858F4" w:rsidRDefault="00A858F4" w:rsidP="00CA3B14">
    <w:pPr>
      <w:pStyle w:val="Header"/>
      <w:rPr>
        <w:b/>
        <w:color w:val="006D68"/>
        <w:sz w:val="14"/>
        <w:szCs w:val="14"/>
      </w:rPr>
    </w:pPr>
    <w:r w:rsidRPr="00CA3B14">
      <w:rPr>
        <w:b/>
        <w:color w:val="006D68"/>
        <w:sz w:val="14"/>
        <w:szCs w:val="14"/>
      </w:rPr>
      <w:t xml:space="preserve"> </w:t>
    </w:r>
    <w:r w:rsidRPr="00B56CCE">
      <w:rPr>
        <w:b/>
        <w:color w:val="006D68"/>
        <w:sz w:val="14"/>
        <w:szCs w:val="14"/>
      </w:rPr>
      <w:t xml:space="preserve">Title of </w:t>
    </w:r>
    <w:r>
      <w:rPr>
        <w:b/>
        <w:color w:val="006D68"/>
        <w:sz w:val="14"/>
        <w:szCs w:val="14"/>
      </w:rPr>
      <w:t>document</w:t>
    </w:r>
  </w:p>
  <w:p w14:paraId="5F3F4D0F" w14:textId="77777777" w:rsidR="00A858F4" w:rsidRDefault="00A858F4" w:rsidP="00CA3B14">
    <w:pPr>
      <w:pStyle w:val="Header"/>
      <w:rPr>
        <w:b/>
        <w:color w:val="006D68"/>
        <w:sz w:val="14"/>
        <w:szCs w:val="14"/>
      </w:rPr>
    </w:pPr>
  </w:p>
  <w:p w14:paraId="5F3F4D10" w14:textId="77777777" w:rsidR="00A858F4" w:rsidRDefault="00A858F4" w:rsidP="00CA3B14">
    <w:pPr>
      <w:pStyle w:val="Header"/>
      <w:rPr>
        <w:b/>
        <w:color w:val="006D68"/>
        <w:sz w:val="14"/>
        <w:szCs w:val="14"/>
      </w:rPr>
    </w:pPr>
  </w:p>
  <w:p w14:paraId="5F3F4D11" w14:textId="77777777" w:rsidR="00A858F4" w:rsidRDefault="00A858F4" w:rsidP="00CA3B14">
    <w:pPr>
      <w:pStyle w:val="Header"/>
      <w:rPr>
        <w:b/>
        <w:color w:val="006D68"/>
        <w:sz w:val="14"/>
        <w:szCs w:val="14"/>
      </w:rPr>
    </w:pPr>
  </w:p>
  <w:p w14:paraId="5F3F4D12" w14:textId="77777777" w:rsidR="00A858F4" w:rsidRDefault="00A858F4" w:rsidP="00CA3B14">
    <w:pPr>
      <w:pStyle w:val="Header"/>
      <w:rPr>
        <w:b/>
        <w:color w:val="006D68"/>
        <w:sz w:val="14"/>
        <w:szCs w:val="14"/>
      </w:rPr>
    </w:pPr>
  </w:p>
  <w:p w14:paraId="5F3F4D13" w14:textId="77777777" w:rsidR="00A858F4" w:rsidRDefault="00A858F4" w:rsidP="00CA3B14">
    <w:pPr>
      <w:pStyle w:val="Header"/>
      <w:rPr>
        <w:b/>
        <w:color w:val="006D68"/>
        <w:sz w:val="14"/>
        <w:szCs w:val="14"/>
      </w:rPr>
    </w:pPr>
  </w:p>
  <w:p w14:paraId="5F3F4D14" w14:textId="77777777" w:rsidR="00A858F4" w:rsidRDefault="00A858F4" w:rsidP="00CA3B14">
    <w:pPr>
      <w:pStyle w:val="Header"/>
      <w:rPr>
        <w:b/>
        <w:color w:val="006D68"/>
        <w:sz w:val="14"/>
        <w:szCs w:val="14"/>
      </w:rPr>
    </w:pPr>
  </w:p>
  <w:p w14:paraId="5F3F4D15" w14:textId="77777777" w:rsidR="00A858F4" w:rsidRPr="00D55197" w:rsidRDefault="00A858F4" w:rsidP="00CA3B14">
    <w:pPr>
      <w:pStyle w:val="Header"/>
      <w:jc w:val="center"/>
      <w:rPr>
        <w:b/>
        <w:color w:val="006D68"/>
        <w:sz w:val="14"/>
        <w:szCs w:val="14"/>
      </w:rPr>
    </w:pPr>
    <w:r>
      <w:rPr>
        <w:b/>
        <w:noProof/>
        <w:color w:val="006D68"/>
        <w:sz w:val="24"/>
        <w:szCs w:val="14"/>
        <w:lang w:eastAsia="en-GB"/>
      </w:rPr>
      <w:drawing>
        <wp:anchor distT="288290" distB="0" distL="288290" distR="114300" simplePos="0" relativeHeight="251657216" behindDoc="0" locked="0" layoutInCell="1" allowOverlap="0" wp14:anchorId="5F3F4D17" wp14:editId="5F3F4D18">
          <wp:simplePos x="0" y="0"/>
          <wp:positionH relativeFrom="page">
            <wp:posOffset>288290</wp:posOffset>
          </wp:positionH>
          <wp:positionV relativeFrom="page">
            <wp:posOffset>252095</wp:posOffset>
          </wp:positionV>
          <wp:extent cx="6572250" cy="619125"/>
          <wp:effectExtent l="0" t="0" r="0" b="0"/>
          <wp:wrapNone/>
          <wp:docPr id="5" name="Picture 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C4CCE96"/>
    <w:lvl w:ilvl="0">
      <w:start w:val="1"/>
      <w:numFmt w:val="decimal"/>
      <w:pStyle w:val="ListNumber4"/>
      <w:lvlText w:val="%1."/>
      <w:lvlJc w:val="left"/>
      <w:pPr>
        <w:tabs>
          <w:tab w:val="num" w:pos="1209"/>
        </w:tabs>
        <w:ind w:left="1209" w:hanging="360"/>
      </w:pPr>
    </w:lvl>
  </w:abstractNum>
  <w:abstractNum w:abstractNumId="1" w15:restartNumberingAfterBreak="0">
    <w:nsid w:val="058D3355"/>
    <w:multiLevelType w:val="hybridMultilevel"/>
    <w:tmpl w:val="4D3A0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61AF1"/>
    <w:multiLevelType w:val="hybridMultilevel"/>
    <w:tmpl w:val="A632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E3C2E"/>
    <w:multiLevelType w:val="hybridMultilevel"/>
    <w:tmpl w:val="DEBC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5772C"/>
    <w:multiLevelType w:val="multilevel"/>
    <w:tmpl w:val="78421BAA"/>
    <w:lvl w:ilvl="0">
      <w:start w:val="1"/>
      <w:numFmt w:val="decimal"/>
      <w:lvlText w:val="%1."/>
      <w:lvlJc w:val="left"/>
      <w:pPr>
        <w:tabs>
          <w:tab w:val="num" w:pos="-31680"/>
        </w:tabs>
        <w:ind w:left="862"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165E98"/>
    <w:multiLevelType w:val="hybridMultilevel"/>
    <w:tmpl w:val="6742E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7D7E8C"/>
    <w:multiLevelType w:val="hybridMultilevel"/>
    <w:tmpl w:val="2A96152A"/>
    <w:lvl w:ilvl="0" w:tplc="BAEA18F2">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73ED7"/>
    <w:multiLevelType w:val="hybridMultilevel"/>
    <w:tmpl w:val="0462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30801"/>
    <w:multiLevelType w:val="hybridMultilevel"/>
    <w:tmpl w:val="7810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C301BDA"/>
    <w:multiLevelType w:val="hybridMultilevel"/>
    <w:tmpl w:val="1EAAB2D4"/>
    <w:lvl w:ilvl="0" w:tplc="558AE65C">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26981"/>
    <w:multiLevelType w:val="hybridMultilevel"/>
    <w:tmpl w:val="F63854EE"/>
    <w:lvl w:ilvl="0" w:tplc="BAEA18F2">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06A39"/>
    <w:multiLevelType w:val="multilevel"/>
    <w:tmpl w:val="78421BAA"/>
    <w:lvl w:ilvl="0">
      <w:start w:val="1"/>
      <w:numFmt w:val="decimal"/>
      <w:pStyle w:val="TSHeadingLevel1Numbered"/>
      <w:lvlText w:val="%1."/>
      <w:lvlJc w:val="left"/>
      <w:pPr>
        <w:tabs>
          <w:tab w:val="num" w:pos="-31680"/>
        </w:tabs>
        <w:ind w:left="862" w:hanging="720"/>
      </w:pPr>
      <w:rPr>
        <w:rFonts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297C2FD8"/>
    <w:multiLevelType w:val="multilevel"/>
    <w:tmpl w:val="17661E46"/>
    <w:lvl w:ilvl="0">
      <w:start w:val="1"/>
      <w:numFmt w:val="decimal"/>
      <w:pStyle w:val="TSApp3ParaNum"/>
      <w:lvlText w:val="A3.%1"/>
      <w:lvlJc w:val="left"/>
      <w:pPr>
        <w:tabs>
          <w:tab w:val="num" w:pos="1134"/>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1678AC"/>
    <w:multiLevelType w:val="hybridMultilevel"/>
    <w:tmpl w:val="3C20F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D2E76"/>
    <w:multiLevelType w:val="hybridMultilevel"/>
    <w:tmpl w:val="63042CCE"/>
    <w:lvl w:ilvl="0" w:tplc="6352A1E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355C4166"/>
    <w:multiLevelType w:val="hybridMultilevel"/>
    <w:tmpl w:val="6F686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F12043"/>
    <w:multiLevelType w:val="multilevel"/>
    <w:tmpl w:val="FF4C976E"/>
    <w:lvl w:ilvl="0">
      <w:start w:val="1"/>
      <w:numFmt w:val="decimal"/>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BF02CC"/>
    <w:multiLevelType w:val="hybridMultilevel"/>
    <w:tmpl w:val="69DA591A"/>
    <w:lvl w:ilvl="0" w:tplc="7CC29F1C">
      <w:start w:val="1"/>
      <w:numFmt w:val="bullet"/>
      <w:pStyle w:val="ONRSquareBullet1"/>
      <w:lvlText w:val=""/>
      <w:lvlJc w:val="left"/>
      <w:pPr>
        <w:tabs>
          <w:tab w:val="num" w:pos="1287"/>
        </w:tabs>
        <w:ind w:left="1287" w:hanging="567"/>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309"/>
        </w:tabs>
        <w:ind w:left="1309" w:hanging="360"/>
      </w:pPr>
      <w:rPr>
        <w:rFonts w:ascii="Courier New" w:hAnsi="Courier New" w:cs="Courier New" w:hint="default"/>
      </w:rPr>
    </w:lvl>
    <w:lvl w:ilvl="2" w:tplc="08090005">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cs="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cs="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20" w15:restartNumberingAfterBreak="0">
    <w:nsid w:val="37FEC8A6"/>
    <w:multiLevelType w:val="hybridMultilevel"/>
    <w:tmpl w:val="1DFDF597"/>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15:restartNumberingAfterBreak="0">
    <w:nsid w:val="39953A23"/>
    <w:multiLevelType w:val="multilevel"/>
    <w:tmpl w:val="7F66F2EA"/>
    <w:lvl w:ilvl="0">
      <w:start w:val="1"/>
      <w:numFmt w:val="decimal"/>
      <w:pStyle w:val="TSApp4ParaNum"/>
      <w:lvlText w:val="A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D367ED0"/>
    <w:multiLevelType w:val="hybridMultilevel"/>
    <w:tmpl w:val="69DE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D4073"/>
    <w:multiLevelType w:val="hybridMultilevel"/>
    <w:tmpl w:val="7292B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3000B64"/>
    <w:multiLevelType w:val="hybridMultilevel"/>
    <w:tmpl w:val="37227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3F010D6"/>
    <w:multiLevelType w:val="multilevel"/>
    <w:tmpl w:val="9E300FE0"/>
    <w:lvl w:ilvl="0">
      <w:start w:val="1"/>
      <w:numFmt w:val="decimal"/>
      <w:pStyle w:val="TSApp2ParaNum"/>
      <w:lvlText w:val="A2.%1"/>
      <w:lvlJc w:val="left"/>
      <w:pPr>
        <w:tabs>
          <w:tab w:val="num" w:pos="1134"/>
        </w:tabs>
        <w:ind w:left="720" w:hanging="720"/>
      </w:pPr>
      <w:rPr>
        <w:rFonts w:ascii="Arial" w:hAnsi="Arial" w:hint="default"/>
        <w:b w:val="0"/>
        <w:i w:val="0"/>
        <w:sz w:val="22"/>
      </w:rPr>
    </w:lvl>
    <w:lvl w:ilvl="1">
      <w:start w:val="1"/>
      <w:numFmt w:val="decimal"/>
      <w:lvlText w:val="%1.%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6" w15:restartNumberingAfterBreak="0">
    <w:nsid w:val="44047E17"/>
    <w:multiLevelType w:val="multilevel"/>
    <w:tmpl w:val="17661E46"/>
    <w:lvl w:ilvl="0">
      <w:start w:val="1"/>
      <w:numFmt w:val="decimal"/>
      <w:lvlText w:val="A3.%1"/>
      <w:lvlJc w:val="left"/>
      <w:pPr>
        <w:tabs>
          <w:tab w:val="num" w:pos="1134"/>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4DA2078"/>
    <w:multiLevelType w:val="hybridMultilevel"/>
    <w:tmpl w:val="85FEC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D55701B"/>
    <w:multiLevelType w:val="hybridMultilevel"/>
    <w:tmpl w:val="F1EA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844D91"/>
    <w:multiLevelType w:val="hybridMultilevel"/>
    <w:tmpl w:val="16FC4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3B7A79"/>
    <w:multiLevelType w:val="multilevel"/>
    <w:tmpl w:val="10BC4DE4"/>
    <w:lvl w:ilvl="0">
      <w:start w:val="1"/>
      <w:numFmt w:val="decimal"/>
      <w:pStyle w:val="NumberedHeading"/>
      <w:lvlText w:val="%1."/>
      <w:lvlJc w:val="left"/>
      <w:pPr>
        <w:tabs>
          <w:tab w:val="num" w:pos="-31680"/>
        </w:tabs>
        <w:ind w:left="720" w:hanging="720"/>
      </w:pPr>
      <w:rPr>
        <w:rFonts w:hint="default"/>
      </w:rPr>
    </w:lvl>
    <w:lvl w:ilvl="1">
      <w:start w:val="1"/>
      <w:numFmt w:val="decimal"/>
      <w:pStyle w:val="NumberedParagraph"/>
      <w:lvlText w:val="%1.%2."/>
      <w:lvlJc w:val="left"/>
      <w:pPr>
        <w:tabs>
          <w:tab w:val="num" w:pos="-3168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57109A7"/>
    <w:multiLevelType w:val="hybridMultilevel"/>
    <w:tmpl w:val="04D2476A"/>
    <w:lvl w:ilvl="0" w:tplc="BAEA18F2">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6F320E"/>
    <w:multiLevelType w:val="hybridMultilevel"/>
    <w:tmpl w:val="0FE4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EA4163"/>
    <w:multiLevelType w:val="multilevel"/>
    <w:tmpl w:val="0052A05C"/>
    <w:lvl w:ilvl="0">
      <w:start w:val="1"/>
      <w:numFmt w:val="decimal"/>
      <w:lvlText w:val="APPENDIX %1."/>
      <w:lvlJc w:val="left"/>
      <w:pPr>
        <w:ind w:left="360" w:hanging="360"/>
      </w:pPr>
      <w:rPr>
        <w:rFonts w:ascii="Arial Bold" w:hAnsi="Arial Bold"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7E1455"/>
    <w:multiLevelType w:val="hybridMultilevel"/>
    <w:tmpl w:val="86D05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CE2AB7"/>
    <w:multiLevelType w:val="hybridMultilevel"/>
    <w:tmpl w:val="11007DB8"/>
    <w:lvl w:ilvl="0" w:tplc="6FD001C4">
      <w:start w:val="1"/>
      <w:numFmt w:val="decimal"/>
      <w:lvlText w:val="%1)"/>
      <w:lvlJc w:val="left"/>
      <w:pPr>
        <w:tabs>
          <w:tab w:val="num" w:pos="-31680"/>
        </w:tabs>
        <w:ind w:left="1440" w:hanging="720"/>
      </w:pPr>
      <w:rPr>
        <w:rFonts w:hint="default"/>
        <w:b w:val="0"/>
        <w:i w:val="0"/>
        <w:color w:val="333333"/>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11"/>
  </w:num>
  <w:num w:numId="4">
    <w:abstractNumId w:val="30"/>
  </w:num>
  <w:num w:numId="5">
    <w:abstractNumId w:val="19"/>
  </w:num>
  <w:num w:numId="6">
    <w:abstractNumId w:val="13"/>
    <w:lvlOverride w:ilvl="0">
      <w:startOverride w:val="5"/>
    </w:lvlOverride>
    <w:lvlOverride w:ilvl="1">
      <w:startOverride w:val="2"/>
    </w:lvlOverride>
  </w:num>
  <w:num w:numId="7">
    <w:abstractNumId w:val="0"/>
  </w:num>
  <w:num w:numId="8">
    <w:abstractNumId w:val="9"/>
  </w:num>
  <w:num w:numId="9">
    <w:abstractNumId w:val="28"/>
  </w:num>
  <w:num w:numId="10">
    <w:abstractNumId w:val="8"/>
  </w:num>
  <w:num w:numId="11">
    <w:abstractNumId w:val="22"/>
  </w:num>
  <w:num w:numId="12">
    <w:abstractNumId w:val="3"/>
  </w:num>
  <w:num w:numId="13">
    <w:abstractNumId w:val="7"/>
  </w:num>
  <w:num w:numId="14">
    <w:abstractNumId w:val="2"/>
  </w:num>
  <w:num w:numId="15">
    <w:abstractNumId w:val="32"/>
  </w:num>
  <w:num w:numId="16">
    <w:abstractNumId w:val="17"/>
  </w:num>
  <w:num w:numId="17">
    <w:abstractNumId w:val="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
  </w:num>
  <w:num w:numId="21">
    <w:abstractNumId w:val="34"/>
  </w:num>
  <w:num w:numId="22">
    <w:abstractNumId w:val="23"/>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27"/>
  </w:num>
  <w:num w:numId="25">
    <w:abstractNumId w:val="1"/>
  </w:num>
  <w:num w:numId="26">
    <w:abstractNumId w:val="1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3"/>
  </w:num>
  <w:num w:numId="32">
    <w:abstractNumId w:val="18"/>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1"/>
  </w:num>
  <w:num w:numId="37">
    <w:abstractNumId w:val="26"/>
  </w:num>
  <w:num w:numId="38">
    <w:abstractNumId w:val="35"/>
  </w:num>
  <w:num w:numId="39">
    <w:abstractNumId w:val="16"/>
  </w:num>
  <w:num w:numId="40">
    <w:abstractNumId w:val="13"/>
    <w:lvlOverride w:ilvl="0">
      <w:startOverride w:val="5"/>
    </w:lvlOverride>
    <w:lvlOverride w:ilvl="1">
      <w:startOverride w:val="3"/>
    </w:lvlOverride>
  </w:num>
  <w:num w:numId="41">
    <w:abstractNumId w:val="13"/>
    <w:lvlOverride w:ilvl="0">
      <w:startOverride w:val="5"/>
    </w:lvlOverride>
    <w:lvlOverride w:ilvl="1">
      <w:startOverride w:val="4"/>
    </w:lvlOverride>
  </w:num>
  <w:num w:numId="42">
    <w:abstractNumId w:val="3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9"/>
  </w:num>
  <w:num w:numId="46">
    <w:abstractNumId w:val="12"/>
  </w:num>
  <w:num w:numId="47">
    <w:abstractNumId w:val="36"/>
  </w:num>
  <w:num w:numId="48">
    <w:abstractNumId w:val="36"/>
  </w:num>
  <w:num w:numId="49">
    <w:abstractNumId w:val="36"/>
  </w:num>
  <w:num w:numId="50">
    <w:abstractNumId w:val="15"/>
  </w:num>
  <w:num w:numId="51">
    <w:abstractNumId w:val="13"/>
  </w:num>
  <w:num w:numId="52">
    <w:abstractNumId w:val="36"/>
  </w:num>
  <w:num w:numId="53">
    <w:abstractNumId w:val="36"/>
  </w:num>
  <w:num w:numId="54">
    <w:abstractNumId w:val="6"/>
  </w:num>
  <w:num w:numId="55">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23DB"/>
    <w:rsid w:val="0000259F"/>
    <w:rsid w:val="00004826"/>
    <w:rsid w:val="00004884"/>
    <w:rsid w:val="00004916"/>
    <w:rsid w:val="000068CD"/>
    <w:rsid w:val="00010FB5"/>
    <w:rsid w:val="000115DE"/>
    <w:rsid w:val="00014F98"/>
    <w:rsid w:val="00016DFC"/>
    <w:rsid w:val="00017424"/>
    <w:rsid w:val="000210C0"/>
    <w:rsid w:val="00022815"/>
    <w:rsid w:val="0002372F"/>
    <w:rsid w:val="00023FA1"/>
    <w:rsid w:val="00024D25"/>
    <w:rsid w:val="00024F30"/>
    <w:rsid w:val="00026608"/>
    <w:rsid w:val="00026FB7"/>
    <w:rsid w:val="0002758C"/>
    <w:rsid w:val="0002792E"/>
    <w:rsid w:val="000303DA"/>
    <w:rsid w:val="00030D3C"/>
    <w:rsid w:val="000312D3"/>
    <w:rsid w:val="00031BC3"/>
    <w:rsid w:val="000330CD"/>
    <w:rsid w:val="00033620"/>
    <w:rsid w:val="00033B95"/>
    <w:rsid w:val="000353F6"/>
    <w:rsid w:val="00035FDF"/>
    <w:rsid w:val="00035FFF"/>
    <w:rsid w:val="00037379"/>
    <w:rsid w:val="00037758"/>
    <w:rsid w:val="00037A2C"/>
    <w:rsid w:val="00037B17"/>
    <w:rsid w:val="00042CAE"/>
    <w:rsid w:val="000434FC"/>
    <w:rsid w:val="00044433"/>
    <w:rsid w:val="00044D75"/>
    <w:rsid w:val="00044DCC"/>
    <w:rsid w:val="0004534B"/>
    <w:rsid w:val="00045958"/>
    <w:rsid w:val="000468A4"/>
    <w:rsid w:val="00046F2D"/>
    <w:rsid w:val="00046F67"/>
    <w:rsid w:val="000527D3"/>
    <w:rsid w:val="00052B6D"/>
    <w:rsid w:val="00053AF0"/>
    <w:rsid w:val="00053EE9"/>
    <w:rsid w:val="000547F6"/>
    <w:rsid w:val="00055A32"/>
    <w:rsid w:val="0005713D"/>
    <w:rsid w:val="0005776D"/>
    <w:rsid w:val="00064A4A"/>
    <w:rsid w:val="00064B11"/>
    <w:rsid w:val="0006788E"/>
    <w:rsid w:val="0007005A"/>
    <w:rsid w:val="000715BD"/>
    <w:rsid w:val="0007177F"/>
    <w:rsid w:val="000729D2"/>
    <w:rsid w:val="0007410C"/>
    <w:rsid w:val="0007763A"/>
    <w:rsid w:val="0008027D"/>
    <w:rsid w:val="00080864"/>
    <w:rsid w:val="0008091D"/>
    <w:rsid w:val="00081224"/>
    <w:rsid w:val="00081B65"/>
    <w:rsid w:val="00082E0C"/>
    <w:rsid w:val="0008442B"/>
    <w:rsid w:val="00084766"/>
    <w:rsid w:val="0008630B"/>
    <w:rsid w:val="00086855"/>
    <w:rsid w:val="000925D2"/>
    <w:rsid w:val="000933FD"/>
    <w:rsid w:val="00093499"/>
    <w:rsid w:val="00093A0F"/>
    <w:rsid w:val="00095278"/>
    <w:rsid w:val="00096769"/>
    <w:rsid w:val="00096F71"/>
    <w:rsid w:val="00097440"/>
    <w:rsid w:val="000977C1"/>
    <w:rsid w:val="00097B10"/>
    <w:rsid w:val="00097D0D"/>
    <w:rsid w:val="00097EC9"/>
    <w:rsid w:val="000A4963"/>
    <w:rsid w:val="000A6DBC"/>
    <w:rsid w:val="000A7439"/>
    <w:rsid w:val="000B17BB"/>
    <w:rsid w:val="000B1826"/>
    <w:rsid w:val="000B2222"/>
    <w:rsid w:val="000B26B3"/>
    <w:rsid w:val="000B4E40"/>
    <w:rsid w:val="000B5607"/>
    <w:rsid w:val="000B5B56"/>
    <w:rsid w:val="000B7215"/>
    <w:rsid w:val="000C192E"/>
    <w:rsid w:val="000C2F89"/>
    <w:rsid w:val="000C5CF8"/>
    <w:rsid w:val="000C5E0E"/>
    <w:rsid w:val="000D0B85"/>
    <w:rsid w:val="000D1CDD"/>
    <w:rsid w:val="000D338B"/>
    <w:rsid w:val="000D3AE8"/>
    <w:rsid w:val="000D40BC"/>
    <w:rsid w:val="000D4A42"/>
    <w:rsid w:val="000D5303"/>
    <w:rsid w:val="000D587E"/>
    <w:rsid w:val="000D6244"/>
    <w:rsid w:val="000E1E9E"/>
    <w:rsid w:val="000E391B"/>
    <w:rsid w:val="000E58DC"/>
    <w:rsid w:val="000E67CD"/>
    <w:rsid w:val="000E6949"/>
    <w:rsid w:val="000E6DD2"/>
    <w:rsid w:val="000E7C9F"/>
    <w:rsid w:val="000F0555"/>
    <w:rsid w:val="000F3065"/>
    <w:rsid w:val="000F39D5"/>
    <w:rsid w:val="000F49CE"/>
    <w:rsid w:val="000F538B"/>
    <w:rsid w:val="000F67F5"/>
    <w:rsid w:val="000F7624"/>
    <w:rsid w:val="000F7F20"/>
    <w:rsid w:val="0010011C"/>
    <w:rsid w:val="001021A9"/>
    <w:rsid w:val="00102E88"/>
    <w:rsid w:val="00102F2F"/>
    <w:rsid w:val="001071B7"/>
    <w:rsid w:val="00107B1B"/>
    <w:rsid w:val="00107BFD"/>
    <w:rsid w:val="00112973"/>
    <w:rsid w:val="001135CD"/>
    <w:rsid w:val="00113BB8"/>
    <w:rsid w:val="001169E5"/>
    <w:rsid w:val="00117173"/>
    <w:rsid w:val="0011783B"/>
    <w:rsid w:val="00117C09"/>
    <w:rsid w:val="00120ED8"/>
    <w:rsid w:val="00121C8F"/>
    <w:rsid w:val="00122B31"/>
    <w:rsid w:val="00123145"/>
    <w:rsid w:val="0012485C"/>
    <w:rsid w:val="001252CF"/>
    <w:rsid w:val="00126278"/>
    <w:rsid w:val="00126407"/>
    <w:rsid w:val="00126D7C"/>
    <w:rsid w:val="00131ECC"/>
    <w:rsid w:val="00132B87"/>
    <w:rsid w:val="00133CC6"/>
    <w:rsid w:val="00134435"/>
    <w:rsid w:val="00134D49"/>
    <w:rsid w:val="00135E93"/>
    <w:rsid w:val="00140D86"/>
    <w:rsid w:val="00142D8A"/>
    <w:rsid w:val="00143049"/>
    <w:rsid w:val="00146C58"/>
    <w:rsid w:val="00150882"/>
    <w:rsid w:val="00150F28"/>
    <w:rsid w:val="001513EF"/>
    <w:rsid w:val="00152262"/>
    <w:rsid w:val="00154150"/>
    <w:rsid w:val="001551C8"/>
    <w:rsid w:val="00155597"/>
    <w:rsid w:val="00156557"/>
    <w:rsid w:val="00157BE2"/>
    <w:rsid w:val="00160F32"/>
    <w:rsid w:val="0016132F"/>
    <w:rsid w:val="00161DA2"/>
    <w:rsid w:val="001622CD"/>
    <w:rsid w:val="001622F4"/>
    <w:rsid w:val="0016297D"/>
    <w:rsid w:val="00162E69"/>
    <w:rsid w:val="00162F8D"/>
    <w:rsid w:val="00163EA7"/>
    <w:rsid w:val="00164F4F"/>
    <w:rsid w:val="0016781D"/>
    <w:rsid w:val="00167E43"/>
    <w:rsid w:val="001700B0"/>
    <w:rsid w:val="001704E9"/>
    <w:rsid w:val="00170AC5"/>
    <w:rsid w:val="00170D89"/>
    <w:rsid w:val="0017373E"/>
    <w:rsid w:val="00174E2F"/>
    <w:rsid w:val="00176D6E"/>
    <w:rsid w:val="001806CF"/>
    <w:rsid w:val="0018102A"/>
    <w:rsid w:val="0018344D"/>
    <w:rsid w:val="00185FC5"/>
    <w:rsid w:val="00187064"/>
    <w:rsid w:val="00187A0C"/>
    <w:rsid w:val="00190189"/>
    <w:rsid w:val="00191121"/>
    <w:rsid w:val="001920BD"/>
    <w:rsid w:val="0019611B"/>
    <w:rsid w:val="001963F8"/>
    <w:rsid w:val="00197922"/>
    <w:rsid w:val="001A0133"/>
    <w:rsid w:val="001A0C5F"/>
    <w:rsid w:val="001A1A02"/>
    <w:rsid w:val="001A6A5F"/>
    <w:rsid w:val="001A72D8"/>
    <w:rsid w:val="001B1FD2"/>
    <w:rsid w:val="001B59CC"/>
    <w:rsid w:val="001B64E3"/>
    <w:rsid w:val="001B7796"/>
    <w:rsid w:val="001C0F6E"/>
    <w:rsid w:val="001C1265"/>
    <w:rsid w:val="001C1ADF"/>
    <w:rsid w:val="001C1D97"/>
    <w:rsid w:val="001C217E"/>
    <w:rsid w:val="001C2729"/>
    <w:rsid w:val="001C2E94"/>
    <w:rsid w:val="001C2F99"/>
    <w:rsid w:val="001C306B"/>
    <w:rsid w:val="001C3DB8"/>
    <w:rsid w:val="001C4488"/>
    <w:rsid w:val="001C6A6B"/>
    <w:rsid w:val="001C7A9C"/>
    <w:rsid w:val="001D0677"/>
    <w:rsid w:val="001D3376"/>
    <w:rsid w:val="001D396E"/>
    <w:rsid w:val="001D3D6C"/>
    <w:rsid w:val="001D4FCB"/>
    <w:rsid w:val="001D6E16"/>
    <w:rsid w:val="001D6E45"/>
    <w:rsid w:val="001D78A1"/>
    <w:rsid w:val="001E01CE"/>
    <w:rsid w:val="001E0E65"/>
    <w:rsid w:val="001E12D1"/>
    <w:rsid w:val="001E217B"/>
    <w:rsid w:val="001E2501"/>
    <w:rsid w:val="001E2887"/>
    <w:rsid w:val="001E3265"/>
    <w:rsid w:val="001E3EA1"/>
    <w:rsid w:val="001E4B64"/>
    <w:rsid w:val="001E4CDC"/>
    <w:rsid w:val="001E592A"/>
    <w:rsid w:val="001E7482"/>
    <w:rsid w:val="001F3790"/>
    <w:rsid w:val="001F381E"/>
    <w:rsid w:val="001F3918"/>
    <w:rsid w:val="001F4360"/>
    <w:rsid w:val="001F5EF9"/>
    <w:rsid w:val="001F7E58"/>
    <w:rsid w:val="00200CB7"/>
    <w:rsid w:val="00201E1B"/>
    <w:rsid w:val="00202CEC"/>
    <w:rsid w:val="002053D7"/>
    <w:rsid w:val="00205D14"/>
    <w:rsid w:val="002069AE"/>
    <w:rsid w:val="00207B18"/>
    <w:rsid w:val="00207E75"/>
    <w:rsid w:val="0021074A"/>
    <w:rsid w:val="00212132"/>
    <w:rsid w:val="00212BFC"/>
    <w:rsid w:val="002136BC"/>
    <w:rsid w:val="00216018"/>
    <w:rsid w:val="002165F4"/>
    <w:rsid w:val="00216F12"/>
    <w:rsid w:val="00220281"/>
    <w:rsid w:val="0022078C"/>
    <w:rsid w:val="00221B61"/>
    <w:rsid w:val="002226D7"/>
    <w:rsid w:val="002228D5"/>
    <w:rsid w:val="00223A4F"/>
    <w:rsid w:val="00223F16"/>
    <w:rsid w:val="00224656"/>
    <w:rsid w:val="00225296"/>
    <w:rsid w:val="00225566"/>
    <w:rsid w:val="002257D4"/>
    <w:rsid w:val="00226AB6"/>
    <w:rsid w:val="00226BC6"/>
    <w:rsid w:val="00227A59"/>
    <w:rsid w:val="00231274"/>
    <w:rsid w:val="00231EA9"/>
    <w:rsid w:val="0023353D"/>
    <w:rsid w:val="00234DD9"/>
    <w:rsid w:val="00235628"/>
    <w:rsid w:val="00235B96"/>
    <w:rsid w:val="00235FD5"/>
    <w:rsid w:val="00236292"/>
    <w:rsid w:val="00236FD5"/>
    <w:rsid w:val="002377A3"/>
    <w:rsid w:val="00243785"/>
    <w:rsid w:val="00245447"/>
    <w:rsid w:val="00245DD1"/>
    <w:rsid w:val="0024773A"/>
    <w:rsid w:val="002478F5"/>
    <w:rsid w:val="00247E55"/>
    <w:rsid w:val="00251747"/>
    <w:rsid w:val="00253ECF"/>
    <w:rsid w:val="00254B37"/>
    <w:rsid w:val="00255794"/>
    <w:rsid w:val="00255AF3"/>
    <w:rsid w:val="00255BA5"/>
    <w:rsid w:val="0025786A"/>
    <w:rsid w:val="00261B1F"/>
    <w:rsid w:val="002633A7"/>
    <w:rsid w:val="002662C6"/>
    <w:rsid w:val="00267403"/>
    <w:rsid w:val="00267BDF"/>
    <w:rsid w:val="0027237D"/>
    <w:rsid w:val="00273E0D"/>
    <w:rsid w:val="002740F2"/>
    <w:rsid w:val="00275745"/>
    <w:rsid w:val="002765A4"/>
    <w:rsid w:val="002776D1"/>
    <w:rsid w:val="0028011F"/>
    <w:rsid w:val="0028356A"/>
    <w:rsid w:val="00283AE5"/>
    <w:rsid w:val="002857CD"/>
    <w:rsid w:val="00286E0A"/>
    <w:rsid w:val="00287228"/>
    <w:rsid w:val="002915E3"/>
    <w:rsid w:val="00291AA7"/>
    <w:rsid w:val="002931DE"/>
    <w:rsid w:val="0029524B"/>
    <w:rsid w:val="00295CE2"/>
    <w:rsid w:val="00297401"/>
    <w:rsid w:val="002A06BC"/>
    <w:rsid w:val="002A352F"/>
    <w:rsid w:val="002A56DB"/>
    <w:rsid w:val="002A59A7"/>
    <w:rsid w:val="002A6417"/>
    <w:rsid w:val="002A6F30"/>
    <w:rsid w:val="002A7B14"/>
    <w:rsid w:val="002B1157"/>
    <w:rsid w:val="002B1577"/>
    <w:rsid w:val="002B1B51"/>
    <w:rsid w:val="002B207C"/>
    <w:rsid w:val="002C0208"/>
    <w:rsid w:val="002C1ED2"/>
    <w:rsid w:val="002C239D"/>
    <w:rsid w:val="002C25E8"/>
    <w:rsid w:val="002C4E89"/>
    <w:rsid w:val="002C5E66"/>
    <w:rsid w:val="002C77A4"/>
    <w:rsid w:val="002D0F36"/>
    <w:rsid w:val="002D1088"/>
    <w:rsid w:val="002D10F4"/>
    <w:rsid w:val="002D176B"/>
    <w:rsid w:val="002D300E"/>
    <w:rsid w:val="002D4DC2"/>
    <w:rsid w:val="002D533A"/>
    <w:rsid w:val="002D5B18"/>
    <w:rsid w:val="002D63D7"/>
    <w:rsid w:val="002D6DC2"/>
    <w:rsid w:val="002D71BC"/>
    <w:rsid w:val="002D7CDD"/>
    <w:rsid w:val="002E16EE"/>
    <w:rsid w:val="002E1FB3"/>
    <w:rsid w:val="002E2C41"/>
    <w:rsid w:val="002E2D52"/>
    <w:rsid w:val="002E428E"/>
    <w:rsid w:val="002E5EDF"/>
    <w:rsid w:val="002F0060"/>
    <w:rsid w:val="002F15FF"/>
    <w:rsid w:val="002F16A2"/>
    <w:rsid w:val="002F2289"/>
    <w:rsid w:val="002F38AC"/>
    <w:rsid w:val="002F41AA"/>
    <w:rsid w:val="002F51B0"/>
    <w:rsid w:val="002F5951"/>
    <w:rsid w:val="002F7503"/>
    <w:rsid w:val="00301094"/>
    <w:rsid w:val="003018BC"/>
    <w:rsid w:val="003019E5"/>
    <w:rsid w:val="00302360"/>
    <w:rsid w:val="00307899"/>
    <w:rsid w:val="003101D1"/>
    <w:rsid w:val="00310A52"/>
    <w:rsid w:val="003121F5"/>
    <w:rsid w:val="003126C4"/>
    <w:rsid w:val="0031291A"/>
    <w:rsid w:val="00315A2E"/>
    <w:rsid w:val="0031706E"/>
    <w:rsid w:val="00317F9E"/>
    <w:rsid w:val="00321B0C"/>
    <w:rsid w:val="00324C46"/>
    <w:rsid w:val="003251B5"/>
    <w:rsid w:val="00325394"/>
    <w:rsid w:val="00327AD1"/>
    <w:rsid w:val="00330715"/>
    <w:rsid w:val="00330AE5"/>
    <w:rsid w:val="0033265A"/>
    <w:rsid w:val="00334761"/>
    <w:rsid w:val="00334D23"/>
    <w:rsid w:val="00334E3B"/>
    <w:rsid w:val="003375C8"/>
    <w:rsid w:val="003410C5"/>
    <w:rsid w:val="00342869"/>
    <w:rsid w:val="00342879"/>
    <w:rsid w:val="003446B5"/>
    <w:rsid w:val="00344E20"/>
    <w:rsid w:val="0034572C"/>
    <w:rsid w:val="00345F0C"/>
    <w:rsid w:val="0034660F"/>
    <w:rsid w:val="00350EBC"/>
    <w:rsid w:val="00351427"/>
    <w:rsid w:val="00352AE2"/>
    <w:rsid w:val="00353252"/>
    <w:rsid w:val="0035530A"/>
    <w:rsid w:val="0035540B"/>
    <w:rsid w:val="00355C8A"/>
    <w:rsid w:val="0036015C"/>
    <w:rsid w:val="003603BF"/>
    <w:rsid w:val="0036094C"/>
    <w:rsid w:val="003648F2"/>
    <w:rsid w:val="00364BDC"/>
    <w:rsid w:val="00365376"/>
    <w:rsid w:val="003667C4"/>
    <w:rsid w:val="003669B5"/>
    <w:rsid w:val="00366DAE"/>
    <w:rsid w:val="00366EC5"/>
    <w:rsid w:val="003727F3"/>
    <w:rsid w:val="00373E71"/>
    <w:rsid w:val="0037443A"/>
    <w:rsid w:val="00377183"/>
    <w:rsid w:val="00382584"/>
    <w:rsid w:val="00383F83"/>
    <w:rsid w:val="00384AB8"/>
    <w:rsid w:val="00390368"/>
    <w:rsid w:val="0039047E"/>
    <w:rsid w:val="00392B79"/>
    <w:rsid w:val="00394D98"/>
    <w:rsid w:val="003A0CCE"/>
    <w:rsid w:val="003A1236"/>
    <w:rsid w:val="003A1D95"/>
    <w:rsid w:val="003A34A8"/>
    <w:rsid w:val="003A3FD8"/>
    <w:rsid w:val="003A4C21"/>
    <w:rsid w:val="003A608F"/>
    <w:rsid w:val="003A61AF"/>
    <w:rsid w:val="003A6CD0"/>
    <w:rsid w:val="003A7607"/>
    <w:rsid w:val="003A7CC7"/>
    <w:rsid w:val="003B07BE"/>
    <w:rsid w:val="003B0ABE"/>
    <w:rsid w:val="003B11BB"/>
    <w:rsid w:val="003B1A84"/>
    <w:rsid w:val="003B1BC9"/>
    <w:rsid w:val="003B1DE1"/>
    <w:rsid w:val="003B2508"/>
    <w:rsid w:val="003B424F"/>
    <w:rsid w:val="003B6699"/>
    <w:rsid w:val="003B6ED6"/>
    <w:rsid w:val="003C22A0"/>
    <w:rsid w:val="003C316C"/>
    <w:rsid w:val="003C32EC"/>
    <w:rsid w:val="003C49E1"/>
    <w:rsid w:val="003D005E"/>
    <w:rsid w:val="003D0E82"/>
    <w:rsid w:val="003D1B31"/>
    <w:rsid w:val="003D3131"/>
    <w:rsid w:val="003D43FD"/>
    <w:rsid w:val="003D6E87"/>
    <w:rsid w:val="003E036A"/>
    <w:rsid w:val="003E1811"/>
    <w:rsid w:val="003E2CA6"/>
    <w:rsid w:val="003E33F3"/>
    <w:rsid w:val="003E3943"/>
    <w:rsid w:val="003E5783"/>
    <w:rsid w:val="003E6252"/>
    <w:rsid w:val="003E65A2"/>
    <w:rsid w:val="003F05DF"/>
    <w:rsid w:val="003F2790"/>
    <w:rsid w:val="003F4BEC"/>
    <w:rsid w:val="003F4C17"/>
    <w:rsid w:val="003F508A"/>
    <w:rsid w:val="003F7931"/>
    <w:rsid w:val="003F7C8E"/>
    <w:rsid w:val="00401222"/>
    <w:rsid w:val="00402D1C"/>
    <w:rsid w:val="004049A0"/>
    <w:rsid w:val="004049B6"/>
    <w:rsid w:val="004049F7"/>
    <w:rsid w:val="00410B62"/>
    <w:rsid w:val="00410DDB"/>
    <w:rsid w:val="004112FE"/>
    <w:rsid w:val="004116B6"/>
    <w:rsid w:val="0041360D"/>
    <w:rsid w:val="00414C3F"/>
    <w:rsid w:val="00416EB0"/>
    <w:rsid w:val="004177B9"/>
    <w:rsid w:val="00420918"/>
    <w:rsid w:val="004222E9"/>
    <w:rsid w:val="00423239"/>
    <w:rsid w:val="004234EB"/>
    <w:rsid w:val="00423B82"/>
    <w:rsid w:val="0042409D"/>
    <w:rsid w:val="004240DE"/>
    <w:rsid w:val="00426C94"/>
    <w:rsid w:val="004301CB"/>
    <w:rsid w:val="00436775"/>
    <w:rsid w:val="00436E97"/>
    <w:rsid w:val="004377CA"/>
    <w:rsid w:val="00441207"/>
    <w:rsid w:val="00444549"/>
    <w:rsid w:val="004451B6"/>
    <w:rsid w:val="00445A71"/>
    <w:rsid w:val="00447210"/>
    <w:rsid w:val="0044738A"/>
    <w:rsid w:val="00450345"/>
    <w:rsid w:val="00450DAA"/>
    <w:rsid w:val="004515F0"/>
    <w:rsid w:val="00451A9F"/>
    <w:rsid w:val="00455338"/>
    <w:rsid w:val="00455AC7"/>
    <w:rsid w:val="004560F0"/>
    <w:rsid w:val="004600FC"/>
    <w:rsid w:val="004617D9"/>
    <w:rsid w:val="0046616C"/>
    <w:rsid w:val="00466DDC"/>
    <w:rsid w:val="0046747A"/>
    <w:rsid w:val="004702AE"/>
    <w:rsid w:val="00470F28"/>
    <w:rsid w:val="00472AEE"/>
    <w:rsid w:val="004750A2"/>
    <w:rsid w:val="00477AFA"/>
    <w:rsid w:val="00477B0F"/>
    <w:rsid w:val="00477E1B"/>
    <w:rsid w:val="0048231F"/>
    <w:rsid w:val="00484361"/>
    <w:rsid w:val="00484402"/>
    <w:rsid w:val="004872B6"/>
    <w:rsid w:val="00487A22"/>
    <w:rsid w:val="00487FA4"/>
    <w:rsid w:val="00491854"/>
    <w:rsid w:val="00491C9F"/>
    <w:rsid w:val="00492598"/>
    <w:rsid w:val="00493A55"/>
    <w:rsid w:val="00493BFE"/>
    <w:rsid w:val="00497C71"/>
    <w:rsid w:val="004A042F"/>
    <w:rsid w:val="004A218E"/>
    <w:rsid w:val="004A227F"/>
    <w:rsid w:val="004A2B79"/>
    <w:rsid w:val="004A2F8E"/>
    <w:rsid w:val="004A3765"/>
    <w:rsid w:val="004A4BF9"/>
    <w:rsid w:val="004A5286"/>
    <w:rsid w:val="004A7B1B"/>
    <w:rsid w:val="004B136E"/>
    <w:rsid w:val="004B2FDB"/>
    <w:rsid w:val="004B3558"/>
    <w:rsid w:val="004B4DFE"/>
    <w:rsid w:val="004B723E"/>
    <w:rsid w:val="004C01DF"/>
    <w:rsid w:val="004C103F"/>
    <w:rsid w:val="004C1616"/>
    <w:rsid w:val="004C2A36"/>
    <w:rsid w:val="004C309C"/>
    <w:rsid w:val="004C3AAB"/>
    <w:rsid w:val="004C5116"/>
    <w:rsid w:val="004C5A91"/>
    <w:rsid w:val="004C720A"/>
    <w:rsid w:val="004D06AA"/>
    <w:rsid w:val="004D15A6"/>
    <w:rsid w:val="004D1D33"/>
    <w:rsid w:val="004D25AC"/>
    <w:rsid w:val="004D2F83"/>
    <w:rsid w:val="004D3C75"/>
    <w:rsid w:val="004D7D5F"/>
    <w:rsid w:val="004E0654"/>
    <w:rsid w:val="004E1D9E"/>
    <w:rsid w:val="004E2164"/>
    <w:rsid w:val="004E3D3E"/>
    <w:rsid w:val="004E4994"/>
    <w:rsid w:val="004E49A5"/>
    <w:rsid w:val="004E6E77"/>
    <w:rsid w:val="004E75BB"/>
    <w:rsid w:val="004E7A77"/>
    <w:rsid w:val="004F184D"/>
    <w:rsid w:val="004F24BC"/>
    <w:rsid w:val="004F31DB"/>
    <w:rsid w:val="00501654"/>
    <w:rsid w:val="00503111"/>
    <w:rsid w:val="00504C48"/>
    <w:rsid w:val="0051061C"/>
    <w:rsid w:val="00513348"/>
    <w:rsid w:val="00514536"/>
    <w:rsid w:val="00515007"/>
    <w:rsid w:val="005159EB"/>
    <w:rsid w:val="0051662A"/>
    <w:rsid w:val="00517B2B"/>
    <w:rsid w:val="005219C3"/>
    <w:rsid w:val="00521FD8"/>
    <w:rsid w:val="00523A0C"/>
    <w:rsid w:val="00523E08"/>
    <w:rsid w:val="0052401E"/>
    <w:rsid w:val="00524306"/>
    <w:rsid w:val="005243D3"/>
    <w:rsid w:val="0052619B"/>
    <w:rsid w:val="0052667E"/>
    <w:rsid w:val="00526929"/>
    <w:rsid w:val="005307DF"/>
    <w:rsid w:val="00530C09"/>
    <w:rsid w:val="00531068"/>
    <w:rsid w:val="005322E6"/>
    <w:rsid w:val="00532D01"/>
    <w:rsid w:val="00532F8E"/>
    <w:rsid w:val="00533390"/>
    <w:rsid w:val="00534129"/>
    <w:rsid w:val="00534C4D"/>
    <w:rsid w:val="00534D58"/>
    <w:rsid w:val="00535D98"/>
    <w:rsid w:val="00537529"/>
    <w:rsid w:val="00537AAA"/>
    <w:rsid w:val="005401FF"/>
    <w:rsid w:val="005414A9"/>
    <w:rsid w:val="005414DE"/>
    <w:rsid w:val="0054258D"/>
    <w:rsid w:val="00543B38"/>
    <w:rsid w:val="005471C3"/>
    <w:rsid w:val="00547C95"/>
    <w:rsid w:val="00547EAF"/>
    <w:rsid w:val="00551121"/>
    <w:rsid w:val="005521BF"/>
    <w:rsid w:val="00552A32"/>
    <w:rsid w:val="00553359"/>
    <w:rsid w:val="005536B9"/>
    <w:rsid w:val="005540E8"/>
    <w:rsid w:val="00554AF0"/>
    <w:rsid w:val="005562FA"/>
    <w:rsid w:val="00560665"/>
    <w:rsid w:val="00560E2F"/>
    <w:rsid w:val="00562F2F"/>
    <w:rsid w:val="005642A9"/>
    <w:rsid w:val="0056503F"/>
    <w:rsid w:val="005651EC"/>
    <w:rsid w:val="00565CCC"/>
    <w:rsid w:val="0056686F"/>
    <w:rsid w:val="00567E8D"/>
    <w:rsid w:val="00570598"/>
    <w:rsid w:val="00571731"/>
    <w:rsid w:val="00571DC0"/>
    <w:rsid w:val="00574AEF"/>
    <w:rsid w:val="00574D29"/>
    <w:rsid w:val="0057609C"/>
    <w:rsid w:val="00576234"/>
    <w:rsid w:val="005777D2"/>
    <w:rsid w:val="00577F92"/>
    <w:rsid w:val="00580B47"/>
    <w:rsid w:val="00580BFA"/>
    <w:rsid w:val="005812AB"/>
    <w:rsid w:val="00581802"/>
    <w:rsid w:val="00581D54"/>
    <w:rsid w:val="00582452"/>
    <w:rsid w:val="00582CC3"/>
    <w:rsid w:val="00584792"/>
    <w:rsid w:val="00584E57"/>
    <w:rsid w:val="00585C5E"/>
    <w:rsid w:val="005865BD"/>
    <w:rsid w:val="00591713"/>
    <w:rsid w:val="005939A6"/>
    <w:rsid w:val="00593FA7"/>
    <w:rsid w:val="0059463D"/>
    <w:rsid w:val="00595F5A"/>
    <w:rsid w:val="005A0101"/>
    <w:rsid w:val="005A1570"/>
    <w:rsid w:val="005A246A"/>
    <w:rsid w:val="005A2CBF"/>
    <w:rsid w:val="005A5046"/>
    <w:rsid w:val="005A5A87"/>
    <w:rsid w:val="005A66EB"/>
    <w:rsid w:val="005A7C78"/>
    <w:rsid w:val="005A7EB3"/>
    <w:rsid w:val="005B09C1"/>
    <w:rsid w:val="005B0AA8"/>
    <w:rsid w:val="005B6FCF"/>
    <w:rsid w:val="005C052D"/>
    <w:rsid w:val="005C16F6"/>
    <w:rsid w:val="005C2D80"/>
    <w:rsid w:val="005C3A04"/>
    <w:rsid w:val="005C44FE"/>
    <w:rsid w:val="005C4526"/>
    <w:rsid w:val="005C521D"/>
    <w:rsid w:val="005C57D4"/>
    <w:rsid w:val="005C615B"/>
    <w:rsid w:val="005D2E5C"/>
    <w:rsid w:val="005D3096"/>
    <w:rsid w:val="005D3DF2"/>
    <w:rsid w:val="005D5734"/>
    <w:rsid w:val="005E05DB"/>
    <w:rsid w:val="005E237B"/>
    <w:rsid w:val="005E3630"/>
    <w:rsid w:val="005E626A"/>
    <w:rsid w:val="005E74E8"/>
    <w:rsid w:val="005E75D6"/>
    <w:rsid w:val="005F0B3F"/>
    <w:rsid w:val="005F0CF8"/>
    <w:rsid w:val="005F1FFF"/>
    <w:rsid w:val="005F273B"/>
    <w:rsid w:val="005F7561"/>
    <w:rsid w:val="00603E33"/>
    <w:rsid w:val="00604473"/>
    <w:rsid w:val="00604F23"/>
    <w:rsid w:val="006061E1"/>
    <w:rsid w:val="00606AE3"/>
    <w:rsid w:val="0060787C"/>
    <w:rsid w:val="00611CC3"/>
    <w:rsid w:val="00612DF0"/>
    <w:rsid w:val="006147E4"/>
    <w:rsid w:val="006157E9"/>
    <w:rsid w:val="00615956"/>
    <w:rsid w:val="00620335"/>
    <w:rsid w:val="00621BB7"/>
    <w:rsid w:val="00621EFC"/>
    <w:rsid w:val="0062539A"/>
    <w:rsid w:val="006253DE"/>
    <w:rsid w:val="00625C4C"/>
    <w:rsid w:val="0063348D"/>
    <w:rsid w:val="00633C63"/>
    <w:rsid w:val="00640375"/>
    <w:rsid w:val="00640DDC"/>
    <w:rsid w:val="006414D2"/>
    <w:rsid w:val="00645545"/>
    <w:rsid w:val="006456C4"/>
    <w:rsid w:val="00646A55"/>
    <w:rsid w:val="006500A0"/>
    <w:rsid w:val="00651837"/>
    <w:rsid w:val="00651FE4"/>
    <w:rsid w:val="0065445C"/>
    <w:rsid w:val="0065560F"/>
    <w:rsid w:val="0065572A"/>
    <w:rsid w:val="0065666D"/>
    <w:rsid w:val="006567B2"/>
    <w:rsid w:val="00656BB8"/>
    <w:rsid w:val="0066344A"/>
    <w:rsid w:val="006643A3"/>
    <w:rsid w:val="006661E6"/>
    <w:rsid w:val="00667359"/>
    <w:rsid w:val="006700C2"/>
    <w:rsid w:val="00670E7A"/>
    <w:rsid w:val="00671D06"/>
    <w:rsid w:val="00672277"/>
    <w:rsid w:val="006746EF"/>
    <w:rsid w:val="006758DA"/>
    <w:rsid w:val="00675EAD"/>
    <w:rsid w:val="00675FE9"/>
    <w:rsid w:val="0067788E"/>
    <w:rsid w:val="00677BE5"/>
    <w:rsid w:val="00677D52"/>
    <w:rsid w:val="00686815"/>
    <w:rsid w:val="00686F5B"/>
    <w:rsid w:val="00687324"/>
    <w:rsid w:val="00692563"/>
    <w:rsid w:val="006960CC"/>
    <w:rsid w:val="006A2091"/>
    <w:rsid w:val="006A2A66"/>
    <w:rsid w:val="006A35D0"/>
    <w:rsid w:val="006A45B8"/>
    <w:rsid w:val="006A4CF4"/>
    <w:rsid w:val="006A54A3"/>
    <w:rsid w:val="006A5FFB"/>
    <w:rsid w:val="006B0515"/>
    <w:rsid w:val="006B1BFA"/>
    <w:rsid w:val="006B2DA6"/>
    <w:rsid w:val="006B2F0C"/>
    <w:rsid w:val="006B36D0"/>
    <w:rsid w:val="006B69FB"/>
    <w:rsid w:val="006C0258"/>
    <w:rsid w:val="006C06D5"/>
    <w:rsid w:val="006C3815"/>
    <w:rsid w:val="006C519A"/>
    <w:rsid w:val="006C5F36"/>
    <w:rsid w:val="006C6745"/>
    <w:rsid w:val="006C683C"/>
    <w:rsid w:val="006C6DFA"/>
    <w:rsid w:val="006D13E5"/>
    <w:rsid w:val="006D196C"/>
    <w:rsid w:val="006D1A3E"/>
    <w:rsid w:val="006D1B9A"/>
    <w:rsid w:val="006D27D1"/>
    <w:rsid w:val="006D3F12"/>
    <w:rsid w:val="006D3F6E"/>
    <w:rsid w:val="006D4F61"/>
    <w:rsid w:val="006D60EF"/>
    <w:rsid w:val="006D774A"/>
    <w:rsid w:val="006D7D7A"/>
    <w:rsid w:val="006D7DE8"/>
    <w:rsid w:val="006E4244"/>
    <w:rsid w:val="006E4A31"/>
    <w:rsid w:val="006E4AB3"/>
    <w:rsid w:val="006E4C3B"/>
    <w:rsid w:val="006F0CFC"/>
    <w:rsid w:val="006F0E61"/>
    <w:rsid w:val="006F1199"/>
    <w:rsid w:val="006F1B5E"/>
    <w:rsid w:val="006F37B3"/>
    <w:rsid w:val="006F4F7A"/>
    <w:rsid w:val="006F781B"/>
    <w:rsid w:val="006F784C"/>
    <w:rsid w:val="00700F2F"/>
    <w:rsid w:val="00703597"/>
    <w:rsid w:val="00707475"/>
    <w:rsid w:val="00707A85"/>
    <w:rsid w:val="00707BDB"/>
    <w:rsid w:val="00712053"/>
    <w:rsid w:val="007142B5"/>
    <w:rsid w:val="00715C62"/>
    <w:rsid w:val="00716E3A"/>
    <w:rsid w:val="00720269"/>
    <w:rsid w:val="00720CE0"/>
    <w:rsid w:val="00721CAD"/>
    <w:rsid w:val="00723421"/>
    <w:rsid w:val="007241B5"/>
    <w:rsid w:val="00726055"/>
    <w:rsid w:val="0072664D"/>
    <w:rsid w:val="007302D6"/>
    <w:rsid w:val="007308A6"/>
    <w:rsid w:val="00730F75"/>
    <w:rsid w:val="00731131"/>
    <w:rsid w:val="00732950"/>
    <w:rsid w:val="00732E7C"/>
    <w:rsid w:val="00733117"/>
    <w:rsid w:val="00733905"/>
    <w:rsid w:val="00734146"/>
    <w:rsid w:val="00734197"/>
    <w:rsid w:val="00734983"/>
    <w:rsid w:val="0073508D"/>
    <w:rsid w:val="0073603D"/>
    <w:rsid w:val="00736AC0"/>
    <w:rsid w:val="0073762A"/>
    <w:rsid w:val="0073794D"/>
    <w:rsid w:val="00742DE2"/>
    <w:rsid w:val="007438DE"/>
    <w:rsid w:val="00747FEE"/>
    <w:rsid w:val="0075138C"/>
    <w:rsid w:val="00754533"/>
    <w:rsid w:val="00754D72"/>
    <w:rsid w:val="007558F1"/>
    <w:rsid w:val="00755E9C"/>
    <w:rsid w:val="00755F56"/>
    <w:rsid w:val="0075660D"/>
    <w:rsid w:val="007569A5"/>
    <w:rsid w:val="007569CF"/>
    <w:rsid w:val="00756F7C"/>
    <w:rsid w:val="00757F87"/>
    <w:rsid w:val="00761425"/>
    <w:rsid w:val="0076219F"/>
    <w:rsid w:val="007675E3"/>
    <w:rsid w:val="00767A1E"/>
    <w:rsid w:val="0077667C"/>
    <w:rsid w:val="00776856"/>
    <w:rsid w:val="00776CFC"/>
    <w:rsid w:val="00777C80"/>
    <w:rsid w:val="00780C63"/>
    <w:rsid w:val="00783888"/>
    <w:rsid w:val="00784594"/>
    <w:rsid w:val="00785087"/>
    <w:rsid w:val="00786083"/>
    <w:rsid w:val="0079627F"/>
    <w:rsid w:val="007A2FBF"/>
    <w:rsid w:val="007A3989"/>
    <w:rsid w:val="007A585C"/>
    <w:rsid w:val="007A6D91"/>
    <w:rsid w:val="007A7108"/>
    <w:rsid w:val="007A7513"/>
    <w:rsid w:val="007A7F02"/>
    <w:rsid w:val="007B1097"/>
    <w:rsid w:val="007B21BC"/>
    <w:rsid w:val="007B31BF"/>
    <w:rsid w:val="007B4EE0"/>
    <w:rsid w:val="007B7A10"/>
    <w:rsid w:val="007C02E1"/>
    <w:rsid w:val="007C033A"/>
    <w:rsid w:val="007C1252"/>
    <w:rsid w:val="007C350D"/>
    <w:rsid w:val="007C5E7B"/>
    <w:rsid w:val="007D28DC"/>
    <w:rsid w:val="007D67E0"/>
    <w:rsid w:val="007D7D06"/>
    <w:rsid w:val="007E08A0"/>
    <w:rsid w:val="007E23E7"/>
    <w:rsid w:val="007E6E95"/>
    <w:rsid w:val="007E7796"/>
    <w:rsid w:val="007E787C"/>
    <w:rsid w:val="007F0826"/>
    <w:rsid w:val="007F10C3"/>
    <w:rsid w:val="007F173D"/>
    <w:rsid w:val="007F3160"/>
    <w:rsid w:val="007F35FC"/>
    <w:rsid w:val="007F435A"/>
    <w:rsid w:val="007F5ABD"/>
    <w:rsid w:val="007F629D"/>
    <w:rsid w:val="007F7246"/>
    <w:rsid w:val="00801DB9"/>
    <w:rsid w:val="008021E3"/>
    <w:rsid w:val="00802228"/>
    <w:rsid w:val="008027A8"/>
    <w:rsid w:val="00802D3D"/>
    <w:rsid w:val="00803475"/>
    <w:rsid w:val="008069AA"/>
    <w:rsid w:val="008078C1"/>
    <w:rsid w:val="008105DF"/>
    <w:rsid w:val="00814D20"/>
    <w:rsid w:val="00815B5B"/>
    <w:rsid w:val="00816371"/>
    <w:rsid w:val="00816F2B"/>
    <w:rsid w:val="00820C99"/>
    <w:rsid w:val="00821205"/>
    <w:rsid w:val="00822099"/>
    <w:rsid w:val="00822C8D"/>
    <w:rsid w:val="0082419A"/>
    <w:rsid w:val="00825513"/>
    <w:rsid w:val="00825F84"/>
    <w:rsid w:val="00826108"/>
    <w:rsid w:val="008270C6"/>
    <w:rsid w:val="00827590"/>
    <w:rsid w:val="00831F35"/>
    <w:rsid w:val="0083288D"/>
    <w:rsid w:val="00832927"/>
    <w:rsid w:val="0083398D"/>
    <w:rsid w:val="00833BD4"/>
    <w:rsid w:val="00835589"/>
    <w:rsid w:val="00835BAB"/>
    <w:rsid w:val="00841CC7"/>
    <w:rsid w:val="00842E53"/>
    <w:rsid w:val="00844BF7"/>
    <w:rsid w:val="0084526F"/>
    <w:rsid w:val="008454D5"/>
    <w:rsid w:val="00850814"/>
    <w:rsid w:val="008511F1"/>
    <w:rsid w:val="008512F8"/>
    <w:rsid w:val="00851C90"/>
    <w:rsid w:val="0085259A"/>
    <w:rsid w:val="00856398"/>
    <w:rsid w:val="00856D5F"/>
    <w:rsid w:val="00860FDB"/>
    <w:rsid w:val="0086491D"/>
    <w:rsid w:val="00866C71"/>
    <w:rsid w:val="008705A0"/>
    <w:rsid w:val="00870C18"/>
    <w:rsid w:val="0087111E"/>
    <w:rsid w:val="00872B10"/>
    <w:rsid w:val="008735E7"/>
    <w:rsid w:val="008748DD"/>
    <w:rsid w:val="00875109"/>
    <w:rsid w:val="00876BB4"/>
    <w:rsid w:val="00880098"/>
    <w:rsid w:val="0088074A"/>
    <w:rsid w:val="0088366F"/>
    <w:rsid w:val="00884A6F"/>
    <w:rsid w:val="008865BE"/>
    <w:rsid w:val="00886667"/>
    <w:rsid w:val="00886799"/>
    <w:rsid w:val="00886EAD"/>
    <w:rsid w:val="00886F07"/>
    <w:rsid w:val="00887296"/>
    <w:rsid w:val="00887AAF"/>
    <w:rsid w:val="00891423"/>
    <w:rsid w:val="008925E9"/>
    <w:rsid w:val="00893BB8"/>
    <w:rsid w:val="00894E40"/>
    <w:rsid w:val="00894F05"/>
    <w:rsid w:val="00895894"/>
    <w:rsid w:val="00895D4E"/>
    <w:rsid w:val="0089774C"/>
    <w:rsid w:val="008A2026"/>
    <w:rsid w:val="008A2C4E"/>
    <w:rsid w:val="008A5C73"/>
    <w:rsid w:val="008A5F1F"/>
    <w:rsid w:val="008A7BDD"/>
    <w:rsid w:val="008B0D84"/>
    <w:rsid w:val="008B166E"/>
    <w:rsid w:val="008B4575"/>
    <w:rsid w:val="008B50CE"/>
    <w:rsid w:val="008C0E72"/>
    <w:rsid w:val="008C56E4"/>
    <w:rsid w:val="008C6F42"/>
    <w:rsid w:val="008C7AED"/>
    <w:rsid w:val="008D0CB8"/>
    <w:rsid w:val="008D1F7B"/>
    <w:rsid w:val="008D44AC"/>
    <w:rsid w:val="008D4E4D"/>
    <w:rsid w:val="008D70C3"/>
    <w:rsid w:val="008D71E9"/>
    <w:rsid w:val="008E0BFA"/>
    <w:rsid w:val="008E1811"/>
    <w:rsid w:val="008E36C6"/>
    <w:rsid w:val="008E432A"/>
    <w:rsid w:val="008E4388"/>
    <w:rsid w:val="008E52A5"/>
    <w:rsid w:val="008E67CB"/>
    <w:rsid w:val="008E7248"/>
    <w:rsid w:val="008F396B"/>
    <w:rsid w:val="008F4E4C"/>
    <w:rsid w:val="008F5F2F"/>
    <w:rsid w:val="008F68C4"/>
    <w:rsid w:val="008F6A78"/>
    <w:rsid w:val="00900D38"/>
    <w:rsid w:val="0090399A"/>
    <w:rsid w:val="0091041C"/>
    <w:rsid w:val="009109EA"/>
    <w:rsid w:val="00910CF0"/>
    <w:rsid w:val="00910DD6"/>
    <w:rsid w:val="0091209F"/>
    <w:rsid w:val="0091378D"/>
    <w:rsid w:val="009140C5"/>
    <w:rsid w:val="00914B71"/>
    <w:rsid w:val="0092010B"/>
    <w:rsid w:val="009203B8"/>
    <w:rsid w:val="00921D3A"/>
    <w:rsid w:val="0092264D"/>
    <w:rsid w:val="0092363D"/>
    <w:rsid w:val="009236BF"/>
    <w:rsid w:val="00923AA9"/>
    <w:rsid w:val="00924078"/>
    <w:rsid w:val="00926FC3"/>
    <w:rsid w:val="009311F2"/>
    <w:rsid w:val="00931A53"/>
    <w:rsid w:val="00931B1E"/>
    <w:rsid w:val="00932851"/>
    <w:rsid w:val="00932A2B"/>
    <w:rsid w:val="00933745"/>
    <w:rsid w:val="009347E5"/>
    <w:rsid w:val="00935EC1"/>
    <w:rsid w:val="00936CAF"/>
    <w:rsid w:val="00940FF6"/>
    <w:rsid w:val="0094637C"/>
    <w:rsid w:val="00947847"/>
    <w:rsid w:val="00950A37"/>
    <w:rsid w:val="00951AC6"/>
    <w:rsid w:val="0095207D"/>
    <w:rsid w:val="0095210F"/>
    <w:rsid w:val="00952913"/>
    <w:rsid w:val="00954B82"/>
    <w:rsid w:val="00955B3D"/>
    <w:rsid w:val="009603F4"/>
    <w:rsid w:val="009630BA"/>
    <w:rsid w:val="0096337D"/>
    <w:rsid w:val="00963588"/>
    <w:rsid w:val="009641DD"/>
    <w:rsid w:val="0096453C"/>
    <w:rsid w:val="00964968"/>
    <w:rsid w:val="009652E6"/>
    <w:rsid w:val="00967636"/>
    <w:rsid w:val="009677DA"/>
    <w:rsid w:val="0097027D"/>
    <w:rsid w:val="00970F4B"/>
    <w:rsid w:val="00973669"/>
    <w:rsid w:val="00973B43"/>
    <w:rsid w:val="00976EBD"/>
    <w:rsid w:val="00977CEB"/>
    <w:rsid w:val="00980C32"/>
    <w:rsid w:val="00981951"/>
    <w:rsid w:val="00985589"/>
    <w:rsid w:val="00985A1B"/>
    <w:rsid w:val="009877F0"/>
    <w:rsid w:val="00987AA6"/>
    <w:rsid w:val="00993BC9"/>
    <w:rsid w:val="00994EA3"/>
    <w:rsid w:val="00995AD1"/>
    <w:rsid w:val="00996367"/>
    <w:rsid w:val="009966DE"/>
    <w:rsid w:val="009A101B"/>
    <w:rsid w:val="009A28A1"/>
    <w:rsid w:val="009A2BD8"/>
    <w:rsid w:val="009A473F"/>
    <w:rsid w:val="009A4854"/>
    <w:rsid w:val="009A5E01"/>
    <w:rsid w:val="009B0494"/>
    <w:rsid w:val="009B15DC"/>
    <w:rsid w:val="009B28C4"/>
    <w:rsid w:val="009B5159"/>
    <w:rsid w:val="009B588A"/>
    <w:rsid w:val="009B6544"/>
    <w:rsid w:val="009B70A1"/>
    <w:rsid w:val="009B79AE"/>
    <w:rsid w:val="009B7B53"/>
    <w:rsid w:val="009C0E91"/>
    <w:rsid w:val="009C30CF"/>
    <w:rsid w:val="009C38D5"/>
    <w:rsid w:val="009C3C7F"/>
    <w:rsid w:val="009C42DB"/>
    <w:rsid w:val="009C51EC"/>
    <w:rsid w:val="009C6D83"/>
    <w:rsid w:val="009D30D5"/>
    <w:rsid w:val="009D36B5"/>
    <w:rsid w:val="009D39C2"/>
    <w:rsid w:val="009D3CD0"/>
    <w:rsid w:val="009D5043"/>
    <w:rsid w:val="009D681B"/>
    <w:rsid w:val="009D7A5C"/>
    <w:rsid w:val="009E3932"/>
    <w:rsid w:val="009E3C48"/>
    <w:rsid w:val="009E4531"/>
    <w:rsid w:val="009E4532"/>
    <w:rsid w:val="009E5A56"/>
    <w:rsid w:val="009E72C5"/>
    <w:rsid w:val="009F0396"/>
    <w:rsid w:val="009F174B"/>
    <w:rsid w:val="009F1B6F"/>
    <w:rsid w:val="009F352C"/>
    <w:rsid w:val="009F3D22"/>
    <w:rsid w:val="009F4C9C"/>
    <w:rsid w:val="009F6658"/>
    <w:rsid w:val="009F6D63"/>
    <w:rsid w:val="00A00533"/>
    <w:rsid w:val="00A02276"/>
    <w:rsid w:val="00A05FEB"/>
    <w:rsid w:val="00A0662C"/>
    <w:rsid w:val="00A07639"/>
    <w:rsid w:val="00A07847"/>
    <w:rsid w:val="00A07AE8"/>
    <w:rsid w:val="00A11A70"/>
    <w:rsid w:val="00A1206C"/>
    <w:rsid w:val="00A12B32"/>
    <w:rsid w:val="00A16EDA"/>
    <w:rsid w:val="00A176DF"/>
    <w:rsid w:val="00A17A1C"/>
    <w:rsid w:val="00A17B5F"/>
    <w:rsid w:val="00A20877"/>
    <w:rsid w:val="00A209D2"/>
    <w:rsid w:val="00A20A0D"/>
    <w:rsid w:val="00A21C2B"/>
    <w:rsid w:val="00A2525E"/>
    <w:rsid w:val="00A25751"/>
    <w:rsid w:val="00A26BC9"/>
    <w:rsid w:val="00A300C5"/>
    <w:rsid w:val="00A30101"/>
    <w:rsid w:val="00A31044"/>
    <w:rsid w:val="00A31558"/>
    <w:rsid w:val="00A3347B"/>
    <w:rsid w:val="00A3498F"/>
    <w:rsid w:val="00A36D78"/>
    <w:rsid w:val="00A3702D"/>
    <w:rsid w:val="00A371B3"/>
    <w:rsid w:val="00A40099"/>
    <w:rsid w:val="00A405EC"/>
    <w:rsid w:val="00A40740"/>
    <w:rsid w:val="00A4135C"/>
    <w:rsid w:val="00A41B2D"/>
    <w:rsid w:val="00A41B8D"/>
    <w:rsid w:val="00A41FDA"/>
    <w:rsid w:val="00A427F4"/>
    <w:rsid w:val="00A434D1"/>
    <w:rsid w:val="00A43567"/>
    <w:rsid w:val="00A442D1"/>
    <w:rsid w:val="00A444CC"/>
    <w:rsid w:val="00A4614B"/>
    <w:rsid w:val="00A469C5"/>
    <w:rsid w:val="00A47F8A"/>
    <w:rsid w:val="00A5026B"/>
    <w:rsid w:val="00A5036D"/>
    <w:rsid w:val="00A507B0"/>
    <w:rsid w:val="00A51D6E"/>
    <w:rsid w:val="00A528E9"/>
    <w:rsid w:val="00A551A5"/>
    <w:rsid w:val="00A6039A"/>
    <w:rsid w:val="00A60A5A"/>
    <w:rsid w:val="00A62FB2"/>
    <w:rsid w:val="00A63C7C"/>
    <w:rsid w:val="00A65F65"/>
    <w:rsid w:val="00A67272"/>
    <w:rsid w:val="00A71136"/>
    <w:rsid w:val="00A728B6"/>
    <w:rsid w:val="00A733E9"/>
    <w:rsid w:val="00A76439"/>
    <w:rsid w:val="00A76BBE"/>
    <w:rsid w:val="00A76D6B"/>
    <w:rsid w:val="00A8002E"/>
    <w:rsid w:val="00A806BF"/>
    <w:rsid w:val="00A8131D"/>
    <w:rsid w:val="00A813A3"/>
    <w:rsid w:val="00A81C37"/>
    <w:rsid w:val="00A82A56"/>
    <w:rsid w:val="00A83621"/>
    <w:rsid w:val="00A840CE"/>
    <w:rsid w:val="00A8430E"/>
    <w:rsid w:val="00A8549F"/>
    <w:rsid w:val="00A854AB"/>
    <w:rsid w:val="00A85515"/>
    <w:rsid w:val="00A858F4"/>
    <w:rsid w:val="00A85F8F"/>
    <w:rsid w:val="00A864D4"/>
    <w:rsid w:val="00A87C21"/>
    <w:rsid w:val="00A91281"/>
    <w:rsid w:val="00A91654"/>
    <w:rsid w:val="00A91B8C"/>
    <w:rsid w:val="00A91DF2"/>
    <w:rsid w:val="00A92C3E"/>
    <w:rsid w:val="00A92DE7"/>
    <w:rsid w:val="00A93753"/>
    <w:rsid w:val="00A94FB0"/>
    <w:rsid w:val="00A971F1"/>
    <w:rsid w:val="00A97454"/>
    <w:rsid w:val="00A978BB"/>
    <w:rsid w:val="00AA08D8"/>
    <w:rsid w:val="00AA0B76"/>
    <w:rsid w:val="00AA132F"/>
    <w:rsid w:val="00AA28CA"/>
    <w:rsid w:val="00AA402F"/>
    <w:rsid w:val="00AA54BF"/>
    <w:rsid w:val="00AA5F9B"/>
    <w:rsid w:val="00AA6339"/>
    <w:rsid w:val="00AA65E8"/>
    <w:rsid w:val="00AA661E"/>
    <w:rsid w:val="00AA7FD4"/>
    <w:rsid w:val="00AB062A"/>
    <w:rsid w:val="00AB1C6C"/>
    <w:rsid w:val="00AB2BB0"/>
    <w:rsid w:val="00AB367B"/>
    <w:rsid w:val="00AB53DF"/>
    <w:rsid w:val="00AB607A"/>
    <w:rsid w:val="00AB60EA"/>
    <w:rsid w:val="00AB63D6"/>
    <w:rsid w:val="00AB7647"/>
    <w:rsid w:val="00AC08A3"/>
    <w:rsid w:val="00AC103A"/>
    <w:rsid w:val="00AC118E"/>
    <w:rsid w:val="00AC33DB"/>
    <w:rsid w:val="00AC49D3"/>
    <w:rsid w:val="00AC7944"/>
    <w:rsid w:val="00AD071D"/>
    <w:rsid w:val="00AD2A2B"/>
    <w:rsid w:val="00AD3C7B"/>
    <w:rsid w:val="00AD5635"/>
    <w:rsid w:val="00AD5F18"/>
    <w:rsid w:val="00AD6AB9"/>
    <w:rsid w:val="00AD6E71"/>
    <w:rsid w:val="00AD74BC"/>
    <w:rsid w:val="00AE098C"/>
    <w:rsid w:val="00AE1DE5"/>
    <w:rsid w:val="00AE3E63"/>
    <w:rsid w:val="00AE40A2"/>
    <w:rsid w:val="00AE4836"/>
    <w:rsid w:val="00AE609B"/>
    <w:rsid w:val="00AE6388"/>
    <w:rsid w:val="00AE6C93"/>
    <w:rsid w:val="00AE7E82"/>
    <w:rsid w:val="00AF0458"/>
    <w:rsid w:val="00AF0C48"/>
    <w:rsid w:val="00AF14F9"/>
    <w:rsid w:val="00AF2049"/>
    <w:rsid w:val="00AF3D23"/>
    <w:rsid w:val="00AF45C1"/>
    <w:rsid w:val="00AF4FFE"/>
    <w:rsid w:val="00AF5B08"/>
    <w:rsid w:val="00AF68F9"/>
    <w:rsid w:val="00AF78D0"/>
    <w:rsid w:val="00AF7B82"/>
    <w:rsid w:val="00B00C25"/>
    <w:rsid w:val="00B02AE5"/>
    <w:rsid w:val="00B03937"/>
    <w:rsid w:val="00B046D5"/>
    <w:rsid w:val="00B06080"/>
    <w:rsid w:val="00B06216"/>
    <w:rsid w:val="00B063CF"/>
    <w:rsid w:val="00B0741B"/>
    <w:rsid w:val="00B0775C"/>
    <w:rsid w:val="00B20BD0"/>
    <w:rsid w:val="00B21A77"/>
    <w:rsid w:val="00B21ADC"/>
    <w:rsid w:val="00B21FC3"/>
    <w:rsid w:val="00B22229"/>
    <w:rsid w:val="00B23037"/>
    <w:rsid w:val="00B25F56"/>
    <w:rsid w:val="00B27A2F"/>
    <w:rsid w:val="00B30018"/>
    <w:rsid w:val="00B301C8"/>
    <w:rsid w:val="00B30F30"/>
    <w:rsid w:val="00B312B8"/>
    <w:rsid w:val="00B331A6"/>
    <w:rsid w:val="00B34285"/>
    <w:rsid w:val="00B35EE0"/>
    <w:rsid w:val="00B36A6E"/>
    <w:rsid w:val="00B377E4"/>
    <w:rsid w:val="00B37AF0"/>
    <w:rsid w:val="00B37DA5"/>
    <w:rsid w:val="00B40942"/>
    <w:rsid w:val="00B43C54"/>
    <w:rsid w:val="00B445E7"/>
    <w:rsid w:val="00B45B06"/>
    <w:rsid w:val="00B4661E"/>
    <w:rsid w:val="00B46AC2"/>
    <w:rsid w:val="00B46F4D"/>
    <w:rsid w:val="00B473DE"/>
    <w:rsid w:val="00B504F7"/>
    <w:rsid w:val="00B5125E"/>
    <w:rsid w:val="00B52CC8"/>
    <w:rsid w:val="00B53847"/>
    <w:rsid w:val="00B53E33"/>
    <w:rsid w:val="00B54B43"/>
    <w:rsid w:val="00B54B54"/>
    <w:rsid w:val="00B55488"/>
    <w:rsid w:val="00B564A7"/>
    <w:rsid w:val="00B56748"/>
    <w:rsid w:val="00B56CCE"/>
    <w:rsid w:val="00B578E1"/>
    <w:rsid w:val="00B60BD7"/>
    <w:rsid w:val="00B624E0"/>
    <w:rsid w:val="00B66991"/>
    <w:rsid w:val="00B71C82"/>
    <w:rsid w:val="00B733E7"/>
    <w:rsid w:val="00B746B3"/>
    <w:rsid w:val="00B7740A"/>
    <w:rsid w:val="00B8029B"/>
    <w:rsid w:val="00B81B18"/>
    <w:rsid w:val="00B81C3D"/>
    <w:rsid w:val="00B81D9C"/>
    <w:rsid w:val="00B82140"/>
    <w:rsid w:val="00B842F4"/>
    <w:rsid w:val="00B84D77"/>
    <w:rsid w:val="00B854E3"/>
    <w:rsid w:val="00B85AC7"/>
    <w:rsid w:val="00B907F5"/>
    <w:rsid w:val="00B90D48"/>
    <w:rsid w:val="00B91638"/>
    <w:rsid w:val="00B91A0F"/>
    <w:rsid w:val="00B91B1A"/>
    <w:rsid w:val="00B92614"/>
    <w:rsid w:val="00B961FA"/>
    <w:rsid w:val="00B9695E"/>
    <w:rsid w:val="00B9716F"/>
    <w:rsid w:val="00B979C3"/>
    <w:rsid w:val="00B979E4"/>
    <w:rsid w:val="00B97AD1"/>
    <w:rsid w:val="00BA0FCB"/>
    <w:rsid w:val="00BA1810"/>
    <w:rsid w:val="00BA1DBD"/>
    <w:rsid w:val="00BA1F9D"/>
    <w:rsid w:val="00BA3BF5"/>
    <w:rsid w:val="00BA4516"/>
    <w:rsid w:val="00BA5B75"/>
    <w:rsid w:val="00BA77EA"/>
    <w:rsid w:val="00BA7BCA"/>
    <w:rsid w:val="00BB06C6"/>
    <w:rsid w:val="00BB381A"/>
    <w:rsid w:val="00BB3EE7"/>
    <w:rsid w:val="00BB4601"/>
    <w:rsid w:val="00BB47C8"/>
    <w:rsid w:val="00BB77BC"/>
    <w:rsid w:val="00BC08BB"/>
    <w:rsid w:val="00BC145A"/>
    <w:rsid w:val="00BC1EA5"/>
    <w:rsid w:val="00BC482D"/>
    <w:rsid w:val="00BC4D88"/>
    <w:rsid w:val="00BC5039"/>
    <w:rsid w:val="00BC52B0"/>
    <w:rsid w:val="00BC6205"/>
    <w:rsid w:val="00BC630F"/>
    <w:rsid w:val="00BC7C4B"/>
    <w:rsid w:val="00BD08AC"/>
    <w:rsid w:val="00BD0ECB"/>
    <w:rsid w:val="00BD2B33"/>
    <w:rsid w:val="00BD6D4C"/>
    <w:rsid w:val="00BE0B18"/>
    <w:rsid w:val="00BE460A"/>
    <w:rsid w:val="00BE4CCC"/>
    <w:rsid w:val="00BE5E39"/>
    <w:rsid w:val="00BE6005"/>
    <w:rsid w:val="00BE7A25"/>
    <w:rsid w:val="00BF0DF9"/>
    <w:rsid w:val="00BF107B"/>
    <w:rsid w:val="00BF2BC0"/>
    <w:rsid w:val="00BF4733"/>
    <w:rsid w:val="00BF50E7"/>
    <w:rsid w:val="00BF586F"/>
    <w:rsid w:val="00BF6FA8"/>
    <w:rsid w:val="00C00C77"/>
    <w:rsid w:val="00C01B4B"/>
    <w:rsid w:val="00C028F4"/>
    <w:rsid w:val="00C0349B"/>
    <w:rsid w:val="00C041BD"/>
    <w:rsid w:val="00C04BD6"/>
    <w:rsid w:val="00C059AE"/>
    <w:rsid w:val="00C06392"/>
    <w:rsid w:val="00C06908"/>
    <w:rsid w:val="00C06C47"/>
    <w:rsid w:val="00C07CC0"/>
    <w:rsid w:val="00C10D14"/>
    <w:rsid w:val="00C11755"/>
    <w:rsid w:val="00C1242D"/>
    <w:rsid w:val="00C131AF"/>
    <w:rsid w:val="00C13538"/>
    <w:rsid w:val="00C13A95"/>
    <w:rsid w:val="00C14FF0"/>
    <w:rsid w:val="00C157E9"/>
    <w:rsid w:val="00C1652C"/>
    <w:rsid w:val="00C20E78"/>
    <w:rsid w:val="00C21DAA"/>
    <w:rsid w:val="00C23519"/>
    <w:rsid w:val="00C25583"/>
    <w:rsid w:val="00C2652B"/>
    <w:rsid w:val="00C30C3B"/>
    <w:rsid w:val="00C35561"/>
    <w:rsid w:val="00C36187"/>
    <w:rsid w:val="00C368B7"/>
    <w:rsid w:val="00C3716A"/>
    <w:rsid w:val="00C37A3F"/>
    <w:rsid w:val="00C422D9"/>
    <w:rsid w:val="00C427AF"/>
    <w:rsid w:val="00C44B99"/>
    <w:rsid w:val="00C47F84"/>
    <w:rsid w:val="00C509C0"/>
    <w:rsid w:val="00C51E6D"/>
    <w:rsid w:val="00C52747"/>
    <w:rsid w:val="00C52D3F"/>
    <w:rsid w:val="00C53F6D"/>
    <w:rsid w:val="00C551F8"/>
    <w:rsid w:val="00C55ED2"/>
    <w:rsid w:val="00C5612B"/>
    <w:rsid w:val="00C56DBA"/>
    <w:rsid w:val="00C57D4D"/>
    <w:rsid w:val="00C60D7D"/>
    <w:rsid w:val="00C64199"/>
    <w:rsid w:val="00C66BCC"/>
    <w:rsid w:val="00C67026"/>
    <w:rsid w:val="00C67278"/>
    <w:rsid w:val="00C700EE"/>
    <w:rsid w:val="00C718A2"/>
    <w:rsid w:val="00C75298"/>
    <w:rsid w:val="00C75661"/>
    <w:rsid w:val="00C75A1C"/>
    <w:rsid w:val="00C822B9"/>
    <w:rsid w:val="00C82A19"/>
    <w:rsid w:val="00C83420"/>
    <w:rsid w:val="00C84026"/>
    <w:rsid w:val="00C84352"/>
    <w:rsid w:val="00C87DDA"/>
    <w:rsid w:val="00C87FEB"/>
    <w:rsid w:val="00C90E10"/>
    <w:rsid w:val="00C92C35"/>
    <w:rsid w:val="00C9494D"/>
    <w:rsid w:val="00C966D1"/>
    <w:rsid w:val="00C97AF6"/>
    <w:rsid w:val="00C97D75"/>
    <w:rsid w:val="00CA10D0"/>
    <w:rsid w:val="00CA284A"/>
    <w:rsid w:val="00CA3B14"/>
    <w:rsid w:val="00CA3ED2"/>
    <w:rsid w:val="00CA48A7"/>
    <w:rsid w:val="00CA5794"/>
    <w:rsid w:val="00CB0486"/>
    <w:rsid w:val="00CB181B"/>
    <w:rsid w:val="00CB27F7"/>
    <w:rsid w:val="00CB28AB"/>
    <w:rsid w:val="00CB2E9A"/>
    <w:rsid w:val="00CB3503"/>
    <w:rsid w:val="00CB4A40"/>
    <w:rsid w:val="00CB50F9"/>
    <w:rsid w:val="00CB7D96"/>
    <w:rsid w:val="00CB7DCA"/>
    <w:rsid w:val="00CC0D54"/>
    <w:rsid w:val="00CC19B8"/>
    <w:rsid w:val="00CC37B9"/>
    <w:rsid w:val="00CC4004"/>
    <w:rsid w:val="00CC63E6"/>
    <w:rsid w:val="00CC7C9F"/>
    <w:rsid w:val="00CD13AD"/>
    <w:rsid w:val="00CD18F9"/>
    <w:rsid w:val="00CD1A87"/>
    <w:rsid w:val="00CD2685"/>
    <w:rsid w:val="00CD473A"/>
    <w:rsid w:val="00CD5285"/>
    <w:rsid w:val="00CD540E"/>
    <w:rsid w:val="00CD7197"/>
    <w:rsid w:val="00CD76D4"/>
    <w:rsid w:val="00CD78B5"/>
    <w:rsid w:val="00CE0A96"/>
    <w:rsid w:val="00CE0E57"/>
    <w:rsid w:val="00CE2B5C"/>
    <w:rsid w:val="00CE30AB"/>
    <w:rsid w:val="00CE4FA7"/>
    <w:rsid w:val="00CE5958"/>
    <w:rsid w:val="00CE6571"/>
    <w:rsid w:val="00CE6972"/>
    <w:rsid w:val="00CE6C28"/>
    <w:rsid w:val="00CE73F8"/>
    <w:rsid w:val="00CE7A1C"/>
    <w:rsid w:val="00CF0564"/>
    <w:rsid w:val="00CF0853"/>
    <w:rsid w:val="00CF0B8E"/>
    <w:rsid w:val="00CF1744"/>
    <w:rsid w:val="00CF2599"/>
    <w:rsid w:val="00CF35D0"/>
    <w:rsid w:val="00CF49F1"/>
    <w:rsid w:val="00CF737A"/>
    <w:rsid w:val="00CF7587"/>
    <w:rsid w:val="00D0085F"/>
    <w:rsid w:val="00D01E17"/>
    <w:rsid w:val="00D01F0C"/>
    <w:rsid w:val="00D0366E"/>
    <w:rsid w:val="00D055BF"/>
    <w:rsid w:val="00D071FA"/>
    <w:rsid w:val="00D07C19"/>
    <w:rsid w:val="00D07E40"/>
    <w:rsid w:val="00D1061B"/>
    <w:rsid w:val="00D11109"/>
    <w:rsid w:val="00D12E80"/>
    <w:rsid w:val="00D14798"/>
    <w:rsid w:val="00D14CBD"/>
    <w:rsid w:val="00D15EAC"/>
    <w:rsid w:val="00D16D7A"/>
    <w:rsid w:val="00D17DFD"/>
    <w:rsid w:val="00D20D5A"/>
    <w:rsid w:val="00D215BD"/>
    <w:rsid w:val="00D21709"/>
    <w:rsid w:val="00D223DB"/>
    <w:rsid w:val="00D22BA4"/>
    <w:rsid w:val="00D23A79"/>
    <w:rsid w:val="00D25FC2"/>
    <w:rsid w:val="00D2689A"/>
    <w:rsid w:val="00D2729B"/>
    <w:rsid w:val="00D272C6"/>
    <w:rsid w:val="00D3061A"/>
    <w:rsid w:val="00D30758"/>
    <w:rsid w:val="00D31007"/>
    <w:rsid w:val="00D32E61"/>
    <w:rsid w:val="00D338BD"/>
    <w:rsid w:val="00D3434E"/>
    <w:rsid w:val="00D348EF"/>
    <w:rsid w:val="00D34AAE"/>
    <w:rsid w:val="00D36CEE"/>
    <w:rsid w:val="00D37BAD"/>
    <w:rsid w:val="00D420F5"/>
    <w:rsid w:val="00D42AC2"/>
    <w:rsid w:val="00D440D0"/>
    <w:rsid w:val="00D4565D"/>
    <w:rsid w:val="00D5043E"/>
    <w:rsid w:val="00D50B61"/>
    <w:rsid w:val="00D5208C"/>
    <w:rsid w:val="00D52C6E"/>
    <w:rsid w:val="00D52DD1"/>
    <w:rsid w:val="00D54FDD"/>
    <w:rsid w:val="00D55117"/>
    <w:rsid w:val="00D55197"/>
    <w:rsid w:val="00D55869"/>
    <w:rsid w:val="00D60024"/>
    <w:rsid w:val="00D606A3"/>
    <w:rsid w:val="00D60B5F"/>
    <w:rsid w:val="00D614D1"/>
    <w:rsid w:val="00D61A78"/>
    <w:rsid w:val="00D62DF5"/>
    <w:rsid w:val="00D63E63"/>
    <w:rsid w:val="00D6419D"/>
    <w:rsid w:val="00D671EA"/>
    <w:rsid w:val="00D6769D"/>
    <w:rsid w:val="00D70529"/>
    <w:rsid w:val="00D70670"/>
    <w:rsid w:val="00D70A28"/>
    <w:rsid w:val="00D73692"/>
    <w:rsid w:val="00D73F16"/>
    <w:rsid w:val="00D74390"/>
    <w:rsid w:val="00D74DDD"/>
    <w:rsid w:val="00D75EA7"/>
    <w:rsid w:val="00D761C0"/>
    <w:rsid w:val="00D7747E"/>
    <w:rsid w:val="00D805C5"/>
    <w:rsid w:val="00D8241D"/>
    <w:rsid w:val="00D8303C"/>
    <w:rsid w:val="00D85CD2"/>
    <w:rsid w:val="00D85D55"/>
    <w:rsid w:val="00D8682D"/>
    <w:rsid w:val="00D86B9D"/>
    <w:rsid w:val="00D87C78"/>
    <w:rsid w:val="00D90239"/>
    <w:rsid w:val="00D94683"/>
    <w:rsid w:val="00D97399"/>
    <w:rsid w:val="00DA3777"/>
    <w:rsid w:val="00DA39EF"/>
    <w:rsid w:val="00DA3BBE"/>
    <w:rsid w:val="00DA48CB"/>
    <w:rsid w:val="00DB0F15"/>
    <w:rsid w:val="00DB4353"/>
    <w:rsid w:val="00DB45B3"/>
    <w:rsid w:val="00DB4861"/>
    <w:rsid w:val="00DB66C9"/>
    <w:rsid w:val="00DB68D7"/>
    <w:rsid w:val="00DC15C1"/>
    <w:rsid w:val="00DC3241"/>
    <w:rsid w:val="00DC442F"/>
    <w:rsid w:val="00DC5A3C"/>
    <w:rsid w:val="00DC6611"/>
    <w:rsid w:val="00DC72B2"/>
    <w:rsid w:val="00DD0694"/>
    <w:rsid w:val="00DD1F34"/>
    <w:rsid w:val="00DD62B8"/>
    <w:rsid w:val="00DD69FB"/>
    <w:rsid w:val="00DE013A"/>
    <w:rsid w:val="00DE0476"/>
    <w:rsid w:val="00DE13B2"/>
    <w:rsid w:val="00DE151D"/>
    <w:rsid w:val="00DE2E1A"/>
    <w:rsid w:val="00DE30C1"/>
    <w:rsid w:val="00DE32DD"/>
    <w:rsid w:val="00DE4417"/>
    <w:rsid w:val="00DE480C"/>
    <w:rsid w:val="00DE5176"/>
    <w:rsid w:val="00DE5446"/>
    <w:rsid w:val="00DE57BD"/>
    <w:rsid w:val="00DE6D78"/>
    <w:rsid w:val="00DE7C1E"/>
    <w:rsid w:val="00DF12B7"/>
    <w:rsid w:val="00DF264A"/>
    <w:rsid w:val="00DF2790"/>
    <w:rsid w:val="00DF3697"/>
    <w:rsid w:val="00DF3AA0"/>
    <w:rsid w:val="00DF3D8D"/>
    <w:rsid w:val="00DF5B92"/>
    <w:rsid w:val="00DF6D45"/>
    <w:rsid w:val="00DF6F6E"/>
    <w:rsid w:val="00DF7AF3"/>
    <w:rsid w:val="00E0045C"/>
    <w:rsid w:val="00E02D72"/>
    <w:rsid w:val="00E02FFB"/>
    <w:rsid w:val="00E030B4"/>
    <w:rsid w:val="00E035C3"/>
    <w:rsid w:val="00E03A9F"/>
    <w:rsid w:val="00E05490"/>
    <w:rsid w:val="00E0701A"/>
    <w:rsid w:val="00E0755F"/>
    <w:rsid w:val="00E07771"/>
    <w:rsid w:val="00E07D2B"/>
    <w:rsid w:val="00E1172C"/>
    <w:rsid w:val="00E1197D"/>
    <w:rsid w:val="00E11D54"/>
    <w:rsid w:val="00E11EE6"/>
    <w:rsid w:val="00E12A39"/>
    <w:rsid w:val="00E136DE"/>
    <w:rsid w:val="00E14450"/>
    <w:rsid w:val="00E15C8C"/>
    <w:rsid w:val="00E15F31"/>
    <w:rsid w:val="00E20168"/>
    <w:rsid w:val="00E21062"/>
    <w:rsid w:val="00E221AE"/>
    <w:rsid w:val="00E22D06"/>
    <w:rsid w:val="00E235EC"/>
    <w:rsid w:val="00E24ACA"/>
    <w:rsid w:val="00E258A0"/>
    <w:rsid w:val="00E25996"/>
    <w:rsid w:val="00E303D2"/>
    <w:rsid w:val="00E30B91"/>
    <w:rsid w:val="00E31BBB"/>
    <w:rsid w:val="00E32E8F"/>
    <w:rsid w:val="00E33436"/>
    <w:rsid w:val="00E346A0"/>
    <w:rsid w:val="00E3473F"/>
    <w:rsid w:val="00E34B72"/>
    <w:rsid w:val="00E40797"/>
    <w:rsid w:val="00E43B0D"/>
    <w:rsid w:val="00E44F94"/>
    <w:rsid w:val="00E466FB"/>
    <w:rsid w:val="00E50E52"/>
    <w:rsid w:val="00E5163C"/>
    <w:rsid w:val="00E518ED"/>
    <w:rsid w:val="00E52CCC"/>
    <w:rsid w:val="00E54AEE"/>
    <w:rsid w:val="00E55D16"/>
    <w:rsid w:val="00E56D7C"/>
    <w:rsid w:val="00E61A14"/>
    <w:rsid w:val="00E62749"/>
    <w:rsid w:val="00E62C72"/>
    <w:rsid w:val="00E6321F"/>
    <w:rsid w:val="00E63A54"/>
    <w:rsid w:val="00E65354"/>
    <w:rsid w:val="00E725BB"/>
    <w:rsid w:val="00E741A9"/>
    <w:rsid w:val="00E7425A"/>
    <w:rsid w:val="00E77890"/>
    <w:rsid w:val="00E845B5"/>
    <w:rsid w:val="00E84E95"/>
    <w:rsid w:val="00E85AAE"/>
    <w:rsid w:val="00E8606E"/>
    <w:rsid w:val="00E87C8C"/>
    <w:rsid w:val="00E91581"/>
    <w:rsid w:val="00E924F6"/>
    <w:rsid w:val="00E95AF5"/>
    <w:rsid w:val="00E95EE3"/>
    <w:rsid w:val="00EA0148"/>
    <w:rsid w:val="00EA0695"/>
    <w:rsid w:val="00EA1A2B"/>
    <w:rsid w:val="00EA1BDF"/>
    <w:rsid w:val="00EA216F"/>
    <w:rsid w:val="00EA39A7"/>
    <w:rsid w:val="00EA5376"/>
    <w:rsid w:val="00EA5EB4"/>
    <w:rsid w:val="00EA732E"/>
    <w:rsid w:val="00EA75AB"/>
    <w:rsid w:val="00EB1604"/>
    <w:rsid w:val="00EB1EAD"/>
    <w:rsid w:val="00EB5AA5"/>
    <w:rsid w:val="00EB6721"/>
    <w:rsid w:val="00EB737D"/>
    <w:rsid w:val="00EB7589"/>
    <w:rsid w:val="00EC17FC"/>
    <w:rsid w:val="00EC1C42"/>
    <w:rsid w:val="00EC1D26"/>
    <w:rsid w:val="00EC29D3"/>
    <w:rsid w:val="00EC32F0"/>
    <w:rsid w:val="00EC5751"/>
    <w:rsid w:val="00EC5FBF"/>
    <w:rsid w:val="00EC6F2A"/>
    <w:rsid w:val="00EC77F2"/>
    <w:rsid w:val="00ED16FE"/>
    <w:rsid w:val="00ED23B2"/>
    <w:rsid w:val="00ED2BB5"/>
    <w:rsid w:val="00ED2DA0"/>
    <w:rsid w:val="00ED5F2B"/>
    <w:rsid w:val="00EE0A31"/>
    <w:rsid w:val="00EE2005"/>
    <w:rsid w:val="00EE6A6C"/>
    <w:rsid w:val="00EF0702"/>
    <w:rsid w:val="00EF16F8"/>
    <w:rsid w:val="00EF286E"/>
    <w:rsid w:val="00EF4BE2"/>
    <w:rsid w:val="00EF5168"/>
    <w:rsid w:val="00EF5381"/>
    <w:rsid w:val="00F00062"/>
    <w:rsid w:val="00F031AC"/>
    <w:rsid w:val="00F06E31"/>
    <w:rsid w:val="00F06E46"/>
    <w:rsid w:val="00F11B0E"/>
    <w:rsid w:val="00F12F32"/>
    <w:rsid w:val="00F1500E"/>
    <w:rsid w:val="00F15920"/>
    <w:rsid w:val="00F1592E"/>
    <w:rsid w:val="00F15AB2"/>
    <w:rsid w:val="00F15DEB"/>
    <w:rsid w:val="00F16B8F"/>
    <w:rsid w:val="00F16EEC"/>
    <w:rsid w:val="00F20336"/>
    <w:rsid w:val="00F22E9D"/>
    <w:rsid w:val="00F23BB2"/>
    <w:rsid w:val="00F23DBA"/>
    <w:rsid w:val="00F25C03"/>
    <w:rsid w:val="00F26ADE"/>
    <w:rsid w:val="00F301F4"/>
    <w:rsid w:val="00F312A8"/>
    <w:rsid w:val="00F31F8B"/>
    <w:rsid w:val="00F345BF"/>
    <w:rsid w:val="00F34F57"/>
    <w:rsid w:val="00F36F53"/>
    <w:rsid w:val="00F40090"/>
    <w:rsid w:val="00F42D66"/>
    <w:rsid w:val="00F433D0"/>
    <w:rsid w:val="00F439A6"/>
    <w:rsid w:val="00F43C90"/>
    <w:rsid w:val="00F44A1B"/>
    <w:rsid w:val="00F514BC"/>
    <w:rsid w:val="00F516C0"/>
    <w:rsid w:val="00F51D6B"/>
    <w:rsid w:val="00F547FF"/>
    <w:rsid w:val="00F5750A"/>
    <w:rsid w:val="00F5783C"/>
    <w:rsid w:val="00F608A7"/>
    <w:rsid w:val="00F6306E"/>
    <w:rsid w:val="00F63D99"/>
    <w:rsid w:val="00F6436D"/>
    <w:rsid w:val="00F64E65"/>
    <w:rsid w:val="00F65FBB"/>
    <w:rsid w:val="00F67611"/>
    <w:rsid w:val="00F7233B"/>
    <w:rsid w:val="00F73183"/>
    <w:rsid w:val="00F80818"/>
    <w:rsid w:val="00F80D60"/>
    <w:rsid w:val="00F82932"/>
    <w:rsid w:val="00F831F9"/>
    <w:rsid w:val="00F833C4"/>
    <w:rsid w:val="00F84C4F"/>
    <w:rsid w:val="00F8737F"/>
    <w:rsid w:val="00F9223D"/>
    <w:rsid w:val="00F92CE7"/>
    <w:rsid w:val="00F9493D"/>
    <w:rsid w:val="00F95808"/>
    <w:rsid w:val="00F96DFE"/>
    <w:rsid w:val="00F97279"/>
    <w:rsid w:val="00F97CFE"/>
    <w:rsid w:val="00F97D97"/>
    <w:rsid w:val="00FA1786"/>
    <w:rsid w:val="00FA3616"/>
    <w:rsid w:val="00FA3AA3"/>
    <w:rsid w:val="00FA4F26"/>
    <w:rsid w:val="00FA4F7D"/>
    <w:rsid w:val="00FA60AB"/>
    <w:rsid w:val="00FA6477"/>
    <w:rsid w:val="00FA6722"/>
    <w:rsid w:val="00FA75F0"/>
    <w:rsid w:val="00FA7D70"/>
    <w:rsid w:val="00FB0CAA"/>
    <w:rsid w:val="00FB17CA"/>
    <w:rsid w:val="00FB4059"/>
    <w:rsid w:val="00FB40BD"/>
    <w:rsid w:val="00FB42B1"/>
    <w:rsid w:val="00FB4844"/>
    <w:rsid w:val="00FB50F8"/>
    <w:rsid w:val="00FB61DA"/>
    <w:rsid w:val="00FB7F93"/>
    <w:rsid w:val="00FC099B"/>
    <w:rsid w:val="00FC4A4A"/>
    <w:rsid w:val="00FC5495"/>
    <w:rsid w:val="00FC6D3C"/>
    <w:rsid w:val="00FD0C4A"/>
    <w:rsid w:val="00FD22FE"/>
    <w:rsid w:val="00FD328D"/>
    <w:rsid w:val="00FD349E"/>
    <w:rsid w:val="00FD4028"/>
    <w:rsid w:val="00FD4E19"/>
    <w:rsid w:val="00FE218F"/>
    <w:rsid w:val="00FE2325"/>
    <w:rsid w:val="00FE23C4"/>
    <w:rsid w:val="00FE313E"/>
    <w:rsid w:val="00FE3EB3"/>
    <w:rsid w:val="00FE42F8"/>
    <w:rsid w:val="00FE54BE"/>
    <w:rsid w:val="00FE579F"/>
    <w:rsid w:val="00FE5CBA"/>
    <w:rsid w:val="00FE5F68"/>
    <w:rsid w:val="00FF1AFB"/>
    <w:rsid w:val="00FF2856"/>
    <w:rsid w:val="00FF327B"/>
    <w:rsid w:val="00FF3AF6"/>
    <w:rsid w:val="00FF3BF0"/>
    <w:rsid w:val="00FF48B7"/>
    <w:rsid w:val="00FF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F495B"/>
  <w15:docId w15:val="{9095D876-E5DD-422D-A727-BBAEC61F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F89"/>
    <w:rPr>
      <w:rFonts w:ascii="Arial" w:hAnsi="Arial"/>
      <w:sz w:val="22"/>
      <w:szCs w:val="24"/>
      <w:lang w:eastAsia="en-US"/>
    </w:rPr>
  </w:style>
  <w:style w:type="paragraph" w:styleId="Heading1">
    <w:name w:val="heading 1"/>
    <w:aliases w:val="Centre"/>
    <w:basedOn w:val="Normal"/>
    <w:next w:val="Normal"/>
    <w:link w:val="Heading1Char"/>
    <w:uiPriority w:val="9"/>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qFormat/>
    <w:rsid w:val="00B02AE5"/>
    <w:pPr>
      <w:numPr>
        <w:ilvl w:val="4"/>
        <w:numId w:val="1"/>
      </w:numPr>
      <w:spacing w:before="240" w:after="60"/>
      <w:outlineLvl w:val="4"/>
    </w:pPr>
    <w:rPr>
      <w:b/>
      <w:bCs/>
      <w:i/>
      <w:iCs/>
      <w:sz w:val="26"/>
      <w:szCs w:val="26"/>
    </w:rPr>
  </w:style>
  <w:style w:type="paragraph" w:styleId="Heading6">
    <w:name w:val="heading 6"/>
    <w:basedOn w:val="Normal"/>
    <w:next w:val="Normal"/>
    <w:uiPriority w:val="9"/>
    <w:qFormat/>
    <w:rsid w:val="00B02AE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uiPriority w:val="9"/>
    <w:qFormat/>
    <w:rsid w:val="00B02AE5"/>
    <w:pPr>
      <w:numPr>
        <w:ilvl w:val="6"/>
        <w:numId w:val="1"/>
      </w:numPr>
      <w:spacing w:before="240" w:after="60"/>
      <w:outlineLvl w:val="6"/>
    </w:pPr>
    <w:rPr>
      <w:rFonts w:ascii="Times New Roman" w:hAnsi="Times New Roman"/>
      <w:sz w:val="24"/>
    </w:rPr>
  </w:style>
  <w:style w:type="paragraph" w:styleId="Heading8">
    <w:name w:val="heading 8"/>
    <w:basedOn w:val="Normal"/>
    <w:next w:val="Normal"/>
    <w:uiPriority w:val="9"/>
    <w:qFormat/>
    <w:rsid w:val="00B02AE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uiPriority w:val="9"/>
    <w:qFormat/>
    <w:rsid w:val="00B02AE5"/>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Level1Numbered">
    <w:name w:val="TS Heading Level 1 Numbered"/>
    <w:basedOn w:val="Normal"/>
    <w:link w:val="TSHeadingLevel1NumberedChar"/>
    <w:qFormat/>
    <w:rsid w:val="0002758C"/>
    <w:pPr>
      <w:keepNext/>
      <w:numPr>
        <w:numId w:val="1"/>
      </w:numPr>
      <w:spacing w:after="220"/>
      <w:ind w:left="709"/>
    </w:pPr>
    <w:rPr>
      <w:rFonts w:ascii="Arial Bold" w:hAnsi="Arial Bold"/>
      <w:b/>
      <w:caps/>
    </w:rPr>
  </w:style>
  <w:style w:type="paragraph" w:customStyle="1" w:styleId="TSHeadingNumbered11">
    <w:name w:val="TS Heading Numbered 1.1"/>
    <w:basedOn w:val="TSHeadingLevel1Numbered"/>
    <w:link w:val="TSHeadingNumbered11Char"/>
    <w:rsid w:val="00CB2E9A"/>
    <w:pPr>
      <w:keepNext w:val="0"/>
      <w:numPr>
        <w:ilvl w:val="1"/>
      </w:numPr>
    </w:pPr>
    <w:rPr>
      <w:caps w:val="0"/>
    </w:rPr>
  </w:style>
  <w:style w:type="paragraph" w:customStyle="1" w:styleId="TSHeadingNumbered111">
    <w:name w:val="TS Heading Numbered 1.1.1"/>
    <w:basedOn w:val="TSHeadingLevel1Numbered"/>
    <w:rsid w:val="00A864D4"/>
    <w:pPr>
      <w:numPr>
        <w:numId w:val="0"/>
      </w:numPr>
    </w:pPr>
    <w:rPr>
      <w:rFonts w:ascii="Arial" w:hAnsi="Arial" w:cs="Arial"/>
      <w:b w:val="0"/>
      <w:i/>
      <w:caps w:val="0"/>
    </w:rPr>
  </w:style>
  <w:style w:type="paragraph" w:customStyle="1" w:styleId="TSHeadingNumbered1111">
    <w:name w:val="TS Heading Numbered 1.1.1.1"/>
    <w:basedOn w:val="TSHeadingLevel1Numbered"/>
    <w:rsid w:val="00B02AE5"/>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link w:val="TSNumberedParagraph11Char"/>
    <w:qFormat/>
    <w:rsid w:val="00A864D4"/>
    <w:rPr>
      <w:rFonts w:ascii="Arial" w:hAnsi="Arial"/>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3D6E87"/>
    <w:pPr>
      <w:tabs>
        <w:tab w:val="left" w:pos="360"/>
        <w:tab w:val="right" w:leader="dot" w:pos="9180"/>
      </w:tabs>
      <w:spacing w:after="120"/>
      <w:ind w:left="357" w:hanging="357"/>
    </w:pPr>
    <w:rPr>
      <w:noProof/>
    </w:rPr>
  </w:style>
  <w:style w:type="paragraph" w:customStyle="1" w:styleId="TSBullet1Square">
    <w:name w:val="TS Bullet 1 Square"/>
    <w:basedOn w:val="Normal"/>
    <w:next w:val="Normal"/>
    <w:link w:val="TSBullet1SquareChar"/>
    <w:qFormat/>
    <w:rsid w:val="002A59A7"/>
    <w:pPr>
      <w:numPr>
        <w:numId w:val="2"/>
      </w:numPr>
    </w:pPr>
  </w:style>
  <w:style w:type="paragraph" w:customStyle="1" w:styleId="TSBullet2Circle">
    <w:name w:val="TS Bullet 2 Circle"/>
    <w:basedOn w:val="TSBullet1Square"/>
    <w:qFormat/>
    <w:rsid w:val="00B504F7"/>
    <w:pPr>
      <w:numPr>
        <w:numId w:val="3"/>
      </w:numPr>
    </w:pPr>
  </w:style>
  <w:style w:type="character" w:styleId="FollowedHyperlink">
    <w:name w:val="FollowedHyperlink"/>
    <w:rsid w:val="006061E1"/>
    <w:rPr>
      <w:color w:val="800080"/>
      <w:u w:val="single"/>
    </w:rPr>
  </w:style>
  <w:style w:type="paragraph" w:customStyle="1" w:styleId="NumberedHeading">
    <w:name w:val="Numbered Heading"/>
    <w:basedOn w:val="Normal"/>
    <w:rsid w:val="006F781B"/>
    <w:pPr>
      <w:keepNext/>
      <w:numPr>
        <w:numId w:val="4"/>
      </w:numPr>
      <w:overflowPunct w:val="0"/>
      <w:autoSpaceDE w:val="0"/>
      <w:autoSpaceDN w:val="0"/>
      <w:adjustRightInd w:val="0"/>
      <w:spacing w:after="240"/>
      <w:textAlignment w:val="baseline"/>
    </w:pPr>
    <w:rPr>
      <w:rFonts w:ascii="Arial Bold" w:hAnsi="Arial Bold" w:cs="Arial"/>
      <w:b/>
      <w:bCs/>
      <w:caps/>
      <w:color w:val="000000"/>
      <w:szCs w:val="20"/>
    </w:rPr>
  </w:style>
  <w:style w:type="paragraph" w:customStyle="1" w:styleId="NumberedParagraph">
    <w:name w:val="Numbered Paragraph"/>
    <w:basedOn w:val="Normal"/>
    <w:rsid w:val="006F781B"/>
    <w:pPr>
      <w:numPr>
        <w:ilvl w:val="1"/>
        <w:numId w:val="4"/>
      </w:numPr>
      <w:spacing w:after="240"/>
      <w:jc w:val="both"/>
    </w:pPr>
    <w:rPr>
      <w:rFonts w:cs="Arial"/>
      <w:szCs w:val="22"/>
    </w:rPr>
  </w:style>
  <w:style w:type="paragraph" w:customStyle="1" w:styleId="ONRNumberedParagraph1">
    <w:name w:val="ONR Numbered Paragraph 1"/>
    <w:basedOn w:val="Normal"/>
    <w:link w:val="ONRNumberedParagraph1CharChar"/>
    <w:rsid w:val="006F781B"/>
    <w:pPr>
      <w:tabs>
        <w:tab w:val="left" w:pos="880"/>
      </w:tabs>
      <w:spacing w:after="120"/>
    </w:pPr>
    <w:rPr>
      <w:rFonts w:cs="Arial"/>
      <w:szCs w:val="22"/>
      <w:lang w:eastAsia="en-GB"/>
    </w:rPr>
  </w:style>
  <w:style w:type="character" w:customStyle="1" w:styleId="ONRNumberedParagraph1CharChar">
    <w:name w:val="ONR Numbered Paragraph 1 Char Char"/>
    <w:link w:val="ONRNumberedParagraph1"/>
    <w:rsid w:val="006F781B"/>
    <w:rPr>
      <w:rFonts w:ascii="Arial" w:hAnsi="Arial" w:cs="Arial"/>
      <w:sz w:val="22"/>
      <w:szCs w:val="22"/>
      <w:lang w:val="en-GB" w:eastAsia="en-GB" w:bidi="ar-SA"/>
    </w:rPr>
  </w:style>
  <w:style w:type="paragraph" w:customStyle="1" w:styleId="ONRSquareBullet1">
    <w:name w:val="ONR Square Bullet 1"/>
    <w:basedOn w:val="Normal"/>
    <w:rsid w:val="006F781B"/>
    <w:pPr>
      <w:numPr>
        <w:numId w:val="5"/>
      </w:numPr>
      <w:spacing w:after="120"/>
    </w:pPr>
    <w:rPr>
      <w:rFonts w:cs="Arial"/>
      <w:szCs w:val="22"/>
    </w:rPr>
  </w:style>
  <w:style w:type="paragraph" w:customStyle="1" w:styleId="normal1">
    <w:name w:val="normal+1"/>
    <w:basedOn w:val="Normal"/>
    <w:next w:val="Normal"/>
    <w:rsid w:val="006C5F36"/>
    <w:pPr>
      <w:autoSpaceDE w:val="0"/>
      <w:autoSpaceDN w:val="0"/>
      <w:adjustRightInd w:val="0"/>
    </w:pPr>
    <w:rPr>
      <w:sz w:val="24"/>
      <w:lang w:eastAsia="en-GB"/>
    </w:rPr>
  </w:style>
  <w:style w:type="paragraph" w:customStyle="1" w:styleId="Principle1">
    <w:name w:val="Principle+1"/>
    <w:basedOn w:val="Normal"/>
    <w:next w:val="Normal"/>
    <w:rsid w:val="006C5F36"/>
    <w:pPr>
      <w:autoSpaceDE w:val="0"/>
      <w:autoSpaceDN w:val="0"/>
      <w:adjustRightInd w:val="0"/>
    </w:pPr>
    <w:rPr>
      <w:sz w:val="24"/>
      <w:lang w:eastAsia="en-GB"/>
    </w:rPr>
  </w:style>
  <w:style w:type="paragraph" w:styleId="BalloonText">
    <w:name w:val="Balloon Text"/>
    <w:basedOn w:val="Normal"/>
    <w:semiHidden/>
    <w:rsid w:val="006C5F36"/>
    <w:rPr>
      <w:rFonts w:ascii="Tahoma" w:hAnsi="Tahoma" w:cs="Tahoma"/>
      <w:sz w:val="16"/>
      <w:szCs w:val="16"/>
    </w:rPr>
  </w:style>
  <w:style w:type="character" w:styleId="CommentReference">
    <w:name w:val="annotation reference"/>
    <w:semiHidden/>
    <w:rsid w:val="00C551F8"/>
    <w:rPr>
      <w:sz w:val="16"/>
      <w:szCs w:val="16"/>
    </w:rPr>
  </w:style>
  <w:style w:type="paragraph" w:styleId="CommentText">
    <w:name w:val="annotation text"/>
    <w:basedOn w:val="Normal"/>
    <w:semiHidden/>
    <w:rsid w:val="00C551F8"/>
    <w:rPr>
      <w:sz w:val="20"/>
      <w:szCs w:val="20"/>
    </w:rPr>
  </w:style>
  <w:style w:type="paragraph" w:styleId="CommentSubject">
    <w:name w:val="annotation subject"/>
    <w:basedOn w:val="CommentText"/>
    <w:next w:val="CommentText"/>
    <w:semiHidden/>
    <w:rsid w:val="00C551F8"/>
    <w:rPr>
      <w:b/>
      <w:bCs/>
    </w:rPr>
  </w:style>
  <w:style w:type="paragraph" w:styleId="ListNumber4">
    <w:name w:val="List Number 4"/>
    <w:basedOn w:val="Normal"/>
    <w:rsid w:val="00AA0B76"/>
    <w:pPr>
      <w:numPr>
        <w:numId w:val="7"/>
      </w:numPr>
      <w:spacing w:after="120"/>
    </w:pPr>
    <w:rPr>
      <w:rFonts w:cs="Arial"/>
      <w:szCs w:val="22"/>
    </w:rPr>
  </w:style>
  <w:style w:type="paragraph" w:styleId="ListParagraph">
    <w:name w:val="List Paragraph"/>
    <w:basedOn w:val="Normal"/>
    <w:link w:val="ListParagraphChar"/>
    <w:uiPriority w:val="34"/>
    <w:qFormat/>
    <w:rsid w:val="00B03937"/>
    <w:pPr>
      <w:ind w:left="720"/>
      <w:contextualSpacing/>
    </w:pPr>
    <w:rPr>
      <w:rFonts w:ascii="Times New Roman" w:hAnsi="Times New Roman"/>
      <w:sz w:val="24"/>
    </w:rPr>
  </w:style>
  <w:style w:type="paragraph" w:customStyle="1" w:styleId="TSNumberedParagraph1">
    <w:name w:val="TS Numbered Paragraph 1"/>
    <w:basedOn w:val="Normal"/>
    <w:uiPriority w:val="99"/>
    <w:rsid w:val="00A81C37"/>
    <w:pPr>
      <w:numPr>
        <w:numId w:val="8"/>
      </w:numPr>
      <w:spacing w:after="220"/>
    </w:pPr>
  </w:style>
  <w:style w:type="paragraph" w:styleId="BodyText3">
    <w:name w:val="Body Text 3"/>
    <w:basedOn w:val="Normal"/>
    <w:link w:val="BodyText3Char"/>
    <w:uiPriority w:val="99"/>
    <w:rsid w:val="00A81C37"/>
    <w:pPr>
      <w:spacing w:after="120"/>
      <w:jc w:val="both"/>
    </w:pPr>
    <w:rPr>
      <w:rFonts w:cs="Arial"/>
      <w:sz w:val="16"/>
      <w:szCs w:val="16"/>
    </w:rPr>
  </w:style>
  <w:style w:type="character" w:customStyle="1" w:styleId="BodyText3Char">
    <w:name w:val="Body Text 3 Char"/>
    <w:link w:val="BodyText3"/>
    <w:uiPriority w:val="99"/>
    <w:rsid w:val="00A81C37"/>
    <w:rPr>
      <w:rFonts w:ascii="Arial" w:hAnsi="Arial" w:cs="Arial"/>
      <w:sz w:val="16"/>
      <w:szCs w:val="16"/>
      <w:lang w:eastAsia="en-US"/>
    </w:rPr>
  </w:style>
  <w:style w:type="character" w:customStyle="1" w:styleId="TSBullet1SquareChar">
    <w:name w:val="TS Bullet 1 Square Char"/>
    <w:link w:val="TSBullet1Square"/>
    <w:locked/>
    <w:rsid w:val="002A59A7"/>
    <w:rPr>
      <w:rFonts w:ascii="Arial" w:hAnsi="Arial"/>
      <w:sz w:val="22"/>
      <w:szCs w:val="24"/>
      <w:lang w:eastAsia="en-US"/>
    </w:rPr>
  </w:style>
  <w:style w:type="character" w:customStyle="1" w:styleId="ONRNormalChar">
    <w:name w:val="ONR Normal Char"/>
    <w:link w:val="ONRNormal"/>
    <w:rsid w:val="00A971F1"/>
    <w:rPr>
      <w:rFonts w:ascii="Arial" w:hAnsi="Arial" w:cs="Arial"/>
      <w:sz w:val="22"/>
      <w:szCs w:val="22"/>
      <w:lang w:eastAsia="en-US"/>
    </w:rPr>
  </w:style>
  <w:style w:type="paragraph" w:customStyle="1" w:styleId="ONRNormal">
    <w:name w:val="ONR Normal"/>
    <w:link w:val="ONRNormalChar"/>
    <w:rsid w:val="00A971F1"/>
    <w:pPr>
      <w:spacing w:after="120"/>
    </w:pPr>
    <w:rPr>
      <w:rFonts w:ascii="Arial" w:hAnsi="Arial" w:cs="Arial"/>
      <w:sz w:val="22"/>
      <w:szCs w:val="22"/>
      <w:lang w:eastAsia="en-US"/>
    </w:rPr>
  </w:style>
  <w:style w:type="paragraph" w:styleId="TOC2">
    <w:name w:val="toc 2"/>
    <w:basedOn w:val="Normal"/>
    <w:next w:val="Normal"/>
    <w:autoRedefine/>
    <w:uiPriority w:val="39"/>
    <w:rsid w:val="00187064"/>
    <w:pPr>
      <w:ind w:left="220"/>
    </w:pPr>
  </w:style>
  <w:style w:type="paragraph" w:styleId="Bibliography">
    <w:name w:val="Bibliography"/>
    <w:basedOn w:val="Normal"/>
    <w:next w:val="Normal"/>
    <w:uiPriority w:val="37"/>
    <w:unhideWhenUsed/>
    <w:rsid w:val="00821205"/>
  </w:style>
  <w:style w:type="paragraph" w:styleId="EndnoteText">
    <w:name w:val="endnote text"/>
    <w:basedOn w:val="Normal"/>
    <w:link w:val="EndnoteTextChar"/>
    <w:rsid w:val="00B37DA5"/>
    <w:rPr>
      <w:sz w:val="20"/>
      <w:szCs w:val="20"/>
    </w:rPr>
  </w:style>
  <w:style w:type="character" w:customStyle="1" w:styleId="EndnoteTextChar">
    <w:name w:val="Endnote Text Char"/>
    <w:basedOn w:val="DefaultParagraphFont"/>
    <w:link w:val="EndnoteText"/>
    <w:rsid w:val="00B37DA5"/>
    <w:rPr>
      <w:rFonts w:ascii="Arial" w:hAnsi="Arial"/>
      <w:lang w:eastAsia="en-US"/>
    </w:rPr>
  </w:style>
  <w:style w:type="character" w:styleId="EndnoteReference">
    <w:name w:val="endnote reference"/>
    <w:basedOn w:val="DefaultParagraphFont"/>
    <w:rsid w:val="00FE2325"/>
    <w:rPr>
      <w:vertAlign w:val="baseline"/>
    </w:rPr>
  </w:style>
  <w:style w:type="paragraph" w:customStyle="1" w:styleId="TSHeadingLevel2">
    <w:name w:val="TS Heading Level 2"/>
    <w:basedOn w:val="TSHeadingNumbered11"/>
    <w:link w:val="TSHeadingLevel2Char"/>
    <w:qFormat/>
    <w:rsid w:val="00410B62"/>
    <w:pPr>
      <w:keepNext/>
      <w:numPr>
        <w:ilvl w:val="0"/>
        <w:numId w:val="0"/>
      </w:numPr>
      <w:ind w:left="720"/>
    </w:pPr>
  </w:style>
  <w:style w:type="paragraph" w:customStyle="1" w:styleId="TSAppendixHeader">
    <w:name w:val="TS Appendix Header"/>
    <w:basedOn w:val="Normal"/>
    <w:next w:val="Normal"/>
    <w:link w:val="TSAppendixHeaderChar"/>
    <w:qFormat/>
    <w:rsid w:val="001A0C5F"/>
    <w:pPr>
      <w:spacing w:after="220"/>
      <w:ind w:left="1559" w:hanging="1559"/>
    </w:pPr>
    <w:rPr>
      <w:b/>
      <w:szCs w:val="22"/>
    </w:rPr>
  </w:style>
  <w:style w:type="character" w:customStyle="1" w:styleId="TSHeadingLevel1NumberedChar">
    <w:name w:val="TS Heading Level 1 Numbered Char"/>
    <w:basedOn w:val="DefaultParagraphFont"/>
    <w:link w:val="TSHeadingLevel1Numbered"/>
    <w:rsid w:val="0002758C"/>
    <w:rPr>
      <w:rFonts w:ascii="Arial Bold" w:hAnsi="Arial Bold"/>
      <w:b/>
      <w:caps/>
      <w:sz w:val="22"/>
      <w:szCs w:val="24"/>
      <w:lang w:eastAsia="en-US"/>
    </w:rPr>
  </w:style>
  <w:style w:type="character" w:customStyle="1" w:styleId="TSHeadingNumbered11Char">
    <w:name w:val="TS Heading Numbered 1.1 Char"/>
    <w:basedOn w:val="TSHeadingLevel1NumberedChar"/>
    <w:link w:val="TSHeadingNumbered11"/>
    <w:rsid w:val="009C30CF"/>
    <w:rPr>
      <w:rFonts w:ascii="Arial Bold" w:hAnsi="Arial Bold"/>
      <w:b/>
      <w:caps w:val="0"/>
      <w:sz w:val="22"/>
      <w:szCs w:val="24"/>
      <w:lang w:eastAsia="en-US"/>
    </w:rPr>
  </w:style>
  <w:style w:type="character" w:customStyle="1" w:styleId="TSHeadingLevel2Char">
    <w:name w:val="TS Heading Level 2 Char"/>
    <w:basedOn w:val="TSHeadingNumbered11Char"/>
    <w:link w:val="TSHeadingLevel2"/>
    <w:rsid w:val="00410B62"/>
    <w:rPr>
      <w:rFonts w:ascii="Arial Bold" w:hAnsi="Arial Bold"/>
      <w:b/>
      <w:caps w:val="0"/>
      <w:sz w:val="22"/>
      <w:szCs w:val="24"/>
      <w:lang w:eastAsia="en-US"/>
    </w:rPr>
  </w:style>
  <w:style w:type="character" w:customStyle="1" w:styleId="TSNumberedParagraph11Char">
    <w:name w:val="TS Numbered Paragraph 1.1 Char"/>
    <w:basedOn w:val="TSHeadingNumbered11Char"/>
    <w:link w:val="TSNumberedParagraph11"/>
    <w:rsid w:val="007B21BC"/>
    <w:rPr>
      <w:rFonts w:ascii="Arial" w:hAnsi="Arial"/>
      <w:b w:val="0"/>
      <w:caps w:val="0"/>
      <w:sz w:val="22"/>
      <w:szCs w:val="24"/>
      <w:lang w:eastAsia="en-US"/>
    </w:rPr>
  </w:style>
  <w:style w:type="paragraph" w:customStyle="1" w:styleId="TSApp2ParaNum">
    <w:name w:val="TS App2 Para Num"/>
    <w:basedOn w:val="ListParagraph"/>
    <w:link w:val="TSApp2ParaNumChar"/>
    <w:qFormat/>
    <w:rsid w:val="0036015C"/>
    <w:pPr>
      <w:numPr>
        <w:numId w:val="33"/>
      </w:numPr>
      <w:spacing w:after="220"/>
      <w:contextualSpacing w:val="0"/>
    </w:pPr>
    <w:rPr>
      <w:rFonts w:ascii="Arial" w:hAnsi="Arial" w:cs="Arial"/>
      <w:sz w:val="22"/>
      <w:szCs w:val="22"/>
    </w:rPr>
  </w:style>
  <w:style w:type="character" w:customStyle="1" w:styleId="TSAppendixHeaderChar">
    <w:name w:val="TS Appendix Header Char"/>
    <w:basedOn w:val="DefaultParagraphFont"/>
    <w:link w:val="TSAppendixHeader"/>
    <w:rsid w:val="001A0C5F"/>
    <w:rPr>
      <w:rFonts w:ascii="Arial" w:hAnsi="Arial"/>
      <w:b/>
      <w:sz w:val="22"/>
      <w:szCs w:val="22"/>
      <w:lang w:eastAsia="en-US"/>
    </w:rPr>
  </w:style>
  <w:style w:type="paragraph" w:customStyle="1" w:styleId="TSApp3ParaNum">
    <w:name w:val="TS App3 Para Num"/>
    <w:basedOn w:val="ListParagraph"/>
    <w:link w:val="TSApp3ParaNumChar"/>
    <w:qFormat/>
    <w:rsid w:val="00455AC7"/>
    <w:pPr>
      <w:numPr>
        <w:numId w:val="35"/>
      </w:numPr>
      <w:spacing w:after="220"/>
      <w:contextualSpacing w:val="0"/>
    </w:pPr>
    <w:rPr>
      <w:rFonts w:ascii="Arial" w:hAnsi="Arial" w:cs="Arial"/>
      <w:sz w:val="22"/>
      <w:szCs w:val="22"/>
    </w:rPr>
  </w:style>
  <w:style w:type="character" w:customStyle="1" w:styleId="ListParagraphChar">
    <w:name w:val="List Paragraph Char"/>
    <w:basedOn w:val="DefaultParagraphFont"/>
    <w:link w:val="ListParagraph"/>
    <w:uiPriority w:val="34"/>
    <w:rsid w:val="000C2F89"/>
    <w:rPr>
      <w:sz w:val="24"/>
      <w:szCs w:val="24"/>
      <w:lang w:eastAsia="en-US"/>
    </w:rPr>
  </w:style>
  <w:style w:type="character" w:customStyle="1" w:styleId="TSApp2ParaNumChar">
    <w:name w:val="TS App2 Para Num Char"/>
    <w:basedOn w:val="ListParagraphChar"/>
    <w:link w:val="TSApp2ParaNum"/>
    <w:rsid w:val="0036015C"/>
    <w:rPr>
      <w:rFonts w:ascii="Arial" w:hAnsi="Arial" w:cs="Arial"/>
      <w:sz w:val="22"/>
      <w:szCs w:val="22"/>
      <w:lang w:eastAsia="en-US"/>
    </w:rPr>
  </w:style>
  <w:style w:type="paragraph" w:customStyle="1" w:styleId="TSApp4ParaNum">
    <w:name w:val="TS App 4 Para Num"/>
    <w:basedOn w:val="ListParagraph"/>
    <w:link w:val="TSApp4ParaNumChar"/>
    <w:qFormat/>
    <w:rsid w:val="006E4244"/>
    <w:pPr>
      <w:numPr>
        <w:numId w:val="36"/>
      </w:numPr>
      <w:spacing w:after="220"/>
      <w:ind w:left="709" w:hanging="709"/>
      <w:contextualSpacing w:val="0"/>
    </w:pPr>
    <w:rPr>
      <w:rFonts w:ascii="Arial" w:eastAsia="Calibri" w:hAnsi="Arial" w:cs="Arial"/>
      <w:sz w:val="22"/>
      <w:szCs w:val="22"/>
    </w:rPr>
  </w:style>
  <w:style w:type="character" w:customStyle="1" w:styleId="TSApp3ParaNumChar">
    <w:name w:val="TS App3 Para Num Char"/>
    <w:basedOn w:val="ListParagraphChar"/>
    <w:link w:val="TSApp3ParaNum"/>
    <w:rsid w:val="00455AC7"/>
    <w:rPr>
      <w:rFonts w:ascii="Arial" w:hAnsi="Arial" w:cs="Arial"/>
      <w:sz w:val="22"/>
      <w:szCs w:val="22"/>
      <w:lang w:eastAsia="en-US"/>
    </w:rPr>
  </w:style>
  <w:style w:type="character" w:customStyle="1" w:styleId="TSApp4ParaNumChar">
    <w:name w:val="TS App 4 Para Num Char"/>
    <w:basedOn w:val="ListParagraphChar"/>
    <w:link w:val="TSApp4ParaNum"/>
    <w:rsid w:val="006E4244"/>
    <w:rPr>
      <w:rFonts w:ascii="Arial" w:eastAsia="Calibri" w:hAnsi="Arial" w:cs="Arial"/>
      <w:sz w:val="22"/>
      <w:szCs w:val="22"/>
      <w:lang w:eastAsia="en-US"/>
    </w:rPr>
  </w:style>
  <w:style w:type="paragraph" w:customStyle="1" w:styleId="TSHeadingLevel3">
    <w:name w:val="TS Heading Level 3"/>
    <w:basedOn w:val="TSApp2ParaNum"/>
    <w:link w:val="TSHeadingLevel3Char"/>
    <w:qFormat/>
    <w:rsid w:val="007F629D"/>
    <w:pPr>
      <w:numPr>
        <w:numId w:val="0"/>
      </w:numPr>
      <w:ind w:left="709"/>
    </w:pPr>
    <w:rPr>
      <w:i/>
    </w:rPr>
  </w:style>
  <w:style w:type="character" w:customStyle="1" w:styleId="TSHeadingLevel3Char">
    <w:name w:val="TS Heading Level 3 Char"/>
    <w:basedOn w:val="TSApp2ParaNumChar"/>
    <w:link w:val="TSHeadingLevel3"/>
    <w:rsid w:val="007F629D"/>
    <w:rPr>
      <w:rFonts w:ascii="Arial" w:hAnsi="Arial" w:cs="Arial"/>
      <w:i/>
      <w:sz w:val="22"/>
      <w:szCs w:val="22"/>
      <w:lang w:eastAsia="en-US"/>
    </w:rPr>
  </w:style>
  <w:style w:type="character" w:customStyle="1" w:styleId="Heading1Char">
    <w:name w:val="Heading 1 Char"/>
    <w:aliases w:val="Centre Char"/>
    <w:basedOn w:val="DefaultParagraphFont"/>
    <w:link w:val="Heading1"/>
    <w:uiPriority w:val="9"/>
    <w:rsid w:val="00CE4FA7"/>
    <w:rPr>
      <w:rFonts w:ascii="Arial" w:hAnsi="Arial" w:cs="Arial"/>
      <w:b/>
      <w:bCs/>
      <w:caps/>
      <w:kern w:val="32"/>
      <w:sz w:val="28"/>
      <w:szCs w:val="32"/>
      <w:lang w:eastAsia="en-US"/>
    </w:rPr>
  </w:style>
  <w:style w:type="character" w:styleId="UnresolvedMention">
    <w:name w:val="Unresolved Mention"/>
    <w:basedOn w:val="DefaultParagraphFont"/>
    <w:uiPriority w:val="99"/>
    <w:semiHidden/>
    <w:unhideWhenUsed/>
    <w:rsid w:val="00AC7944"/>
    <w:rPr>
      <w:color w:val="605E5C"/>
      <w:shd w:val="clear" w:color="auto" w:fill="E1DFDD"/>
    </w:rPr>
  </w:style>
  <w:style w:type="paragraph" w:styleId="Revision">
    <w:name w:val="Revision"/>
    <w:hidden/>
    <w:uiPriority w:val="99"/>
    <w:semiHidden/>
    <w:rsid w:val="004301C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01707">
      <w:bodyDiv w:val="1"/>
      <w:marLeft w:val="0"/>
      <w:marRight w:val="0"/>
      <w:marTop w:val="0"/>
      <w:marBottom w:val="0"/>
      <w:divBdr>
        <w:top w:val="none" w:sz="0" w:space="0" w:color="auto"/>
        <w:left w:val="none" w:sz="0" w:space="0" w:color="auto"/>
        <w:bottom w:val="none" w:sz="0" w:space="0" w:color="auto"/>
        <w:right w:val="none" w:sz="0" w:space="0" w:color="auto"/>
      </w:divBdr>
    </w:div>
    <w:div w:id="7924817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881">
          <w:marLeft w:val="0"/>
          <w:marRight w:val="0"/>
          <w:marTop w:val="0"/>
          <w:marBottom w:val="0"/>
          <w:divBdr>
            <w:top w:val="none" w:sz="0" w:space="0" w:color="auto"/>
            <w:left w:val="none" w:sz="0" w:space="0" w:color="auto"/>
            <w:bottom w:val="none" w:sz="0" w:space="0" w:color="auto"/>
            <w:right w:val="none" w:sz="0" w:space="0" w:color="auto"/>
          </w:divBdr>
        </w:div>
      </w:divsChild>
    </w:div>
    <w:div w:id="945841980">
      <w:bodyDiv w:val="1"/>
      <w:marLeft w:val="0"/>
      <w:marRight w:val="0"/>
      <w:marTop w:val="0"/>
      <w:marBottom w:val="0"/>
      <w:divBdr>
        <w:top w:val="none" w:sz="0" w:space="0" w:color="auto"/>
        <w:left w:val="none" w:sz="0" w:space="0" w:color="auto"/>
        <w:bottom w:val="none" w:sz="0" w:space="0" w:color="auto"/>
        <w:right w:val="none" w:sz="0" w:space="0" w:color="auto"/>
      </w:divBdr>
    </w:div>
    <w:div w:id="1062369332">
      <w:bodyDiv w:val="1"/>
      <w:marLeft w:val="0"/>
      <w:marRight w:val="0"/>
      <w:marTop w:val="0"/>
      <w:marBottom w:val="0"/>
      <w:divBdr>
        <w:top w:val="none" w:sz="0" w:space="0" w:color="auto"/>
        <w:left w:val="none" w:sz="0" w:space="0" w:color="auto"/>
        <w:bottom w:val="none" w:sz="0" w:space="0" w:color="auto"/>
        <w:right w:val="none" w:sz="0" w:space="0" w:color="auto"/>
      </w:divBdr>
    </w:div>
    <w:div w:id="1124813235">
      <w:bodyDiv w:val="1"/>
      <w:marLeft w:val="0"/>
      <w:marRight w:val="0"/>
      <w:marTop w:val="0"/>
      <w:marBottom w:val="0"/>
      <w:divBdr>
        <w:top w:val="none" w:sz="0" w:space="0" w:color="auto"/>
        <w:left w:val="none" w:sz="0" w:space="0" w:color="auto"/>
        <w:bottom w:val="none" w:sz="0" w:space="0" w:color="auto"/>
        <w:right w:val="none" w:sz="0" w:space="0" w:color="auto"/>
      </w:divBdr>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1222786174">
      <w:bodyDiv w:val="1"/>
      <w:marLeft w:val="0"/>
      <w:marRight w:val="0"/>
      <w:marTop w:val="0"/>
      <w:marBottom w:val="0"/>
      <w:divBdr>
        <w:top w:val="none" w:sz="0" w:space="0" w:color="auto"/>
        <w:left w:val="none" w:sz="0" w:space="0" w:color="auto"/>
        <w:bottom w:val="none" w:sz="0" w:space="0" w:color="auto"/>
        <w:right w:val="none" w:sz="0" w:space="0" w:color="auto"/>
      </w:divBdr>
      <w:divsChild>
        <w:div w:id="625500806">
          <w:marLeft w:val="0"/>
          <w:marRight w:val="0"/>
          <w:marTop w:val="180"/>
          <w:marBottom w:val="150"/>
          <w:divBdr>
            <w:top w:val="none" w:sz="0" w:space="0" w:color="auto"/>
            <w:left w:val="none" w:sz="0" w:space="0" w:color="auto"/>
            <w:bottom w:val="none" w:sz="0" w:space="0" w:color="auto"/>
            <w:right w:val="none" w:sz="0" w:space="0" w:color="auto"/>
          </w:divBdr>
          <w:divsChild>
            <w:div w:id="18540282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onr.org.uk/copyrigh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www-pub.iaea.org/books/IAEABooks/8532/Storage-of-Spent-Nuclear-Fuel" TargetMode="External"/><Relationship Id="rId18" Type="http://schemas.openxmlformats.org/officeDocument/2006/relationships/hyperlink" Target="http://www.onr.org.uk/operational/tech_asst_guides/" TargetMode="External"/><Relationship Id="rId26" Type="http://schemas.openxmlformats.org/officeDocument/2006/relationships/hyperlink" Target="https://www.oecd-nea.org/nsd/docs/2007/csni-r2007-1.pdf" TargetMode="External"/><Relationship Id="rId3" Type="http://schemas.openxmlformats.org/officeDocument/2006/relationships/hyperlink" Target="http://www.onr.org.uk/operational/tech_asst_guides/" TargetMode="External"/><Relationship Id="rId21" Type="http://schemas.openxmlformats.org/officeDocument/2006/relationships/hyperlink" Target="http://www.onr.org.uk/operational/tech_asst_guides/" TargetMode="External"/><Relationship Id="rId34" Type="http://schemas.openxmlformats.org/officeDocument/2006/relationships/hyperlink" Target="http://www.hse.gov.uk/pUbns/priced/l138.pdf" TargetMode="External"/><Relationship Id="rId7" Type="http://schemas.openxmlformats.org/officeDocument/2006/relationships/hyperlink" Target="http://www-pub.iaea.org/books/IAEABooks/10708/Safety-of-Nuclear-Fuel-Cycle-Facilities" TargetMode="External"/><Relationship Id="rId12" Type="http://schemas.openxmlformats.org/officeDocument/2006/relationships/hyperlink" Target="http://www-pub.iaea.org/books/IAEABooks/8105/Safety-of-Uranium-and-Plutonium-Mixed-Oxide-Fuel-Fabrication-Facilities-Specific-Safety-Guide" TargetMode="External"/><Relationship Id="rId17" Type="http://schemas.openxmlformats.org/officeDocument/2006/relationships/hyperlink" Target="http://www.onr.org.uk/operational/tech_asst_guides/" TargetMode="External"/><Relationship Id="rId25" Type="http://schemas.openxmlformats.org/officeDocument/2006/relationships/hyperlink" Target="http://www-pub.iaea.org/MTCD/publications/PDF/Pub1327_web.pdf" TargetMode="External"/><Relationship Id="rId33" Type="http://schemas.openxmlformats.org/officeDocument/2006/relationships/hyperlink" Target="https://www.oecd-nea.org/nsd/docs/2000/csni-r2000-7.pdf" TargetMode="External"/><Relationship Id="rId2" Type="http://schemas.openxmlformats.org/officeDocument/2006/relationships/hyperlink" Target="http://www.onr.org.uk/operational/assessment/index.htm" TargetMode="External"/><Relationship Id="rId16" Type="http://schemas.openxmlformats.org/officeDocument/2006/relationships/hyperlink" Target="http://www-pub.iaea.org/MTCD/publications/PDF/Pub1327_web.pdf" TargetMode="External"/><Relationship Id="rId20" Type="http://schemas.openxmlformats.org/officeDocument/2006/relationships/hyperlink" Target="http://www.onr.org.uk/wastemanage.htm" TargetMode="External"/><Relationship Id="rId29" Type="http://schemas.openxmlformats.org/officeDocument/2006/relationships/hyperlink" Target="https://www-pub.iaea.org/MTCD/Publications/PDF/te_1505_web.pdf" TargetMode="External"/><Relationship Id="rId1" Type="http://schemas.openxmlformats.org/officeDocument/2006/relationships/hyperlink" Target="http://www.onr.org.uk/saps/saps2014.pdf" TargetMode="External"/><Relationship Id="rId6" Type="http://schemas.openxmlformats.org/officeDocument/2006/relationships/hyperlink" Target="http://www.wenra.org/harmonisation/working-group-waste-and-decommissioning/" TargetMode="External"/><Relationship Id="rId11" Type="http://schemas.openxmlformats.org/officeDocument/2006/relationships/hyperlink" Target="http://www-pub.iaea.org/books/IAEABooks/8106/Safety-of-Uranium-Fuel-Fabrication-Facilities-Specific-Safety-Guide" TargetMode="External"/><Relationship Id="rId24" Type="http://schemas.openxmlformats.org/officeDocument/2006/relationships/hyperlink" Target="http://www.nrc.gov/reading-rm/doc-collections/nuregs/staff/sr1465/" TargetMode="External"/><Relationship Id="rId32" Type="http://schemas.openxmlformats.org/officeDocument/2006/relationships/hyperlink" Target="https://www.gexcon.com/wp-content/uploads/2020/08/Gas-Explosion-Handbook-1992-version-new-front-page-2019.pdf" TargetMode="External"/><Relationship Id="rId5" Type="http://schemas.openxmlformats.org/officeDocument/2006/relationships/hyperlink" Target="http://www.onr.org.uk/operational/tech_asst_guides/" TargetMode="External"/><Relationship Id="rId15" Type="http://schemas.openxmlformats.org/officeDocument/2006/relationships/hyperlink" Target="http://www-pub.iaea.org/MTCD/publications/PDF/Pub1156_web.pdf" TargetMode="External"/><Relationship Id="rId23" Type="http://schemas.openxmlformats.org/officeDocument/2006/relationships/hyperlink" Target="http://www.nrc.gov/reading-rm/doc-collections/nuregs/staff/sr75-014/" TargetMode="External"/><Relationship Id="rId28" Type="http://schemas.openxmlformats.org/officeDocument/2006/relationships/hyperlink" Target="https://www-pub.iaea.org/MTCD/Publications/PDF/Pub1469_web.pdf" TargetMode="External"/><Relationship Id="rId36" Type="http://schemas.openxmlformats.org/officeDocument/2006/relationships/hyperlink" Target="https://www.oecd-nea.org/nsd/docs/2014/csni-r2014-8.pdf" TargetMode="External"/><Relationship Id="rId10" Type="http://schemas.openxmlformats.org/officeDocument/2006/relationships/hyperlink" Target="http://www-pub.iaea.org/MTCD/publications/PDF/Pub1404_web.pdf" TargetMode="External"/><Relationship Id="rId19" Type="http://schemas.openxmlformats.org/officeDocument/2006/relationships/hyperlink" Target="http://www.onr.org.uk/operational/tech_asst_guides/" TargetMode="External"/><Relationship Id="rId31" Type="http://schemas.openxmlformats.org/officeDocument/2006/relationships/hyperlink" Target="http://www.astm.org" TargetMode="External"/><Relationship Id="rId4" Type="http://schemas.openxmlformats.org/officeDocument/2006/relationships/hyperlink" Target="http://www.onr.org.uk/silicon.pdf" TargetMode="External"/><Relationship Id="rId9" Type="http://schemas.openxmlformats.org/officeDocument/2006/relationships/hyperlink" Target="https://www-pub.iaea.org/MTCD/Publications/PDF/Pub1469_web.pdf" TargetMode="External"/><Relationship Id="rId14" Type="http://schemas.openxmlformats.org/officeDocument/2006/relationships/hyperlink" Target="http://www-pub.iaea.org/MTCD/publications/PDF/Pub1110_web.pdf" TargetMode="External"/><Relationship Id="rId22" Type="http://schemas.openxmlformats.org/officeDocument/2006/relationships/hyperlink" Target="http://www.onr.org.uk/operational/tech_asst_guides/" TargetMode="External"/><Relationship Id="rId27" Type="http://schemas.openxmlformats.org/officeDocument/2006/relationships/hyperlink" Target="http://toc.proceedings.com/26868webtoc.pdf" TargetMode="External"/><Relationship Id="rId30" Type="http://schemas.openxmlformats.org/officeDocument/2006/relationships/hyperlink" Target="http://www.astm.org" TargetMode="External"/><Relationship Id="rId35" Type="http://schemas.openxmlformats.org/officeDocument/2006/relationships/hyperlink" Target="http://www.onr.org.uk/operational/tech_asst_guides/ns-tast-gd-042.pdf" TargetMode="External"/><Relationship Id="rId8" Type="http://schemas.openxmlformats.org/officeDocument/2006/relationships/hyperlink" Target="http://www-pub.iaea.org/books/IAEABooks/8882/The-Safety-Case-and-Safety-Assessment-for-the-Predisposal-Management-of-Radioactive-Was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2006">
  <b:Source>
    <b:Tag>SAPs</b:Tag>
    <b:SourceType>Report</b:SourceType>
    <b:Guid>{E9B614F2-990A-4983-911E-8AE3DE784A0A}</b:Guid>
    <b:Author>
      <b:Author>
        <b:Corporate>Office for Nuclear Regulation</b:Corporate>
      </b:Author>
    </b:Author>
    <b:Title>Safety Assessment Principles for Nuclear Facilities, Revision 0</b:Title>
    <b:Year>2014</b:Year>
    <b:RefOrder>1</b:RefOrder>
  </b:Source>
  <b:Source>
    <b:Tag>USD65</b:Tag>
    <b:SourceType>Report</b:SourceType>
    <b:Guid>{95608E3F-1C9A-4CCF-AABE-48DF3D93A5A9}</b:Guid>
    <b:Title>Flammability characteristics of combustible gases and vapors</b:Title>
    <b:Year>1965</b:Year>
    <b:Author>
      <b:Author>
        <b:Corporate>U.S. Dept. of the Interior, Bureau of Mines</b:Corporate>
      </b:Author>
    </b:Author>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9" ma:contentTypeDescription="Create a new document." ma:contentTypeScope="" ma:versionID="197ef0cefd6f5b0c34307e738b88cc4f">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5fb20b593ac2e620388b9dbf66723edd" ns1:_="" ns3:_="">
    <xsd:import namespace="http://schemas.microsoft.com/sharepoint/v3"/>
    <xsd:import namespace="e7136045-8404-4488-8b75-837c2c7b996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1C608-8605-489C-AA49-14812B7A3E4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DCDCC64-5571-4862-84D4-CA3FD1B2195C}">
  <ds:schemaRefs>
    <ds:schemaRef ds:uri="http://schemas.openxmlformats.org/officeDocument/2006/bibliography"/>
  </ds:schemaRefs>
</ds:datastoreItem>
</file>

<file path=customXml/itemProps3.xml><?xml version="1.0" encoding="utf-8"?>
<ds:datastoreItem xmlns:ds="http://schemas.openxmlformats.org/officeDocument/2006/customXml" ds:itemID="{534BDC53-983C-4E28-A188-F1348BC8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F3788-8061-413D-9366-ADB141703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20499</Words>
  <Characters>116850</Characters>
  <Application>Microsoft Office Word</Application>
  <DocSecurity>4</DocSecurity>
  <Lines>973</Lines>
  <Paragraphs>274</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137075</CharactersWithSpaces>
  <SharedDoc>false</SharedDoc>
  <HLinks>
    <vt:vector size="228" baseType="variant">
      <vt:variant>
        <vt:i4>5832787</vt:i4>
      </vt:variant>
      <vt:variant>
        <vt:i4>162</vt:i4>
      </vt:variant>
      <vt:variant>
        <vt:i4>0</vt:i4>
      </vt:variant>
      <vt:variant>
        <vt:i4>5</vt:i4>
      </vt:variant>
      <vt:variant>
        <vt:lpwstr>http://www.gexcon.com/article/handbook-chapter-1</vt:lpwstr>
      </vt:variant>
      <vt:variant>
        <vt:lpwstr/>
      </vt:variant>
      <vt:variant>
        <vt:i4>1114115</vt:i4>
      </vt:variant>
      <vt:variant>
        <vt:i4>159</vt:i4>
      </vt:variant>
      <vt:variant>
        <vt:i4>0</vt:i4>
      </vt:variant>
      <vt:variant>
        <vt:i4>5</vt:i4>
      </vt:variant>
      <vt:variant>
        <vt:lpwstr>http://www.onr.org.uk/operational/tech_asst_guides/</vt:lpwstr>
      </vt:variant>
      <vt:variant>
        <vt:lpwstr/>
      </vt:variant>
      <vt:variant>
        <vt:i4>1114115</vt:i4>
      </vt:variant>
      <vt:variant>
        <vt:i4>156</vt:i4>
      </vt:variant>
      <vt:variant>
        <vt:i4>0</vt:i4>
      </vt:variant>
      <vt:variant>
        <vt:i4>5</vt:i4>
      </vt:variant>
      <vt:variant>
        <vt:lpwstr>http://www.onr.org.uk/operational/tech_asst_guides/</vt:lpwstr>
      </vt:variant>
      <vt:variant>
        <vt:lpwstr/>
      </vt:variant>
      <vt:variant>
        <vt:i4>5177419</vt:i4>
      </vt:variant>
      <vt:variant>
        <vt:i4>153</vt:i4>
      </vt:variant>
      <vt:variant>
        <vt:i4>0</vt:i4>
      </vt:variant>
      <vt:variant>
        <vt:i4>5</vt:i4>
      </vt:variant>
      <vt:variant>
        <vt:lpwstr>http://www.onr.org.uk/wastemanage.htm</vt:lpwstr>
      </vt:variant>
      <vt:variant>
        <vt:lpwstr/>
      </vt:variant>
      <vt:variant>
        <vt:i4>2687062</vt:i4>
      </vt:variant>
      <vt:variant>
        <vt:i4>150</vt:i4>
      </vt:variant>
      <vt:variant>
        <vt:i4>0</vt:i4>
      </vt:variant>
      <vt:variant>
        <vt:i4>5</vt:i4>
      </vt:variant>
      <vt:variant>
        <vt:lpwstr>http://www-pub.iaea.org/MTCD/publications/PDF/Pub1327_web.pdf</vt:lpwstr>
      </vt:variant>
      <vt:variant>
        <vt:lpwstr/>
      </vt:variant>
      <vt:variant>
        <vt:i4>3014741</vt:i4>
      </vt:variant>
      <vt:variant>
        <vt:i4>147</vt:i4>
      </vt:variant>
      <vt:variant>
        <vt:i4>0</vt:i4>
      </vt:variant>
      <vt:variant>
        <vt:i4>5</vt:i4>
      </vt:variant>
      <vt:variant>
        <vt:lpwstr>http://www-pub.iaea.org/MTCD/publications/PDF/Pub1156_web.pdf</vt:lpwstr>
      </vt:variant>
      <vt:variant>
        <vt:lpwstr/>
      </vt:variant>
      <vt:variant>
        <vt:i4>2752595</vt:i4>
      </vt:variant>
      <vt:variant>
        <vt:i4>144</vt:i4>
      </vt:variant>
      <vt:variant>
        <vt:i4>0</vt:i4>
      </vt:variant>
      <vt:variant>
        <vt:i4>5</vt:i4>
      </vt:variant>
      <vt:variant>
        <vt:lpwstr>http://www-pub.iaea.org/MTCD/publications/PDF/Pub1110_web.pdf</vt:lpwstr>
      </vt:variant>
      <vt:variant>
        <vt:lpwstr/>
      </vt:variant>
      <vt:variant>
        <vt:i4>6553721</vt:i4>
      </vt:variant>
      <vt:variant>
        <vt:i4>141</vt:i4>
      </vt:variant>
      <vt:variant>
        <vt:i4>0</vt:i4>
      </vt:variant>
      <vt:variant>
        <vt:i4>5</vt:i4>
      </vt:variant>
      <vt:variant>
        <vt:lpwstr>http://www-pub.iaea.org/books/IAEABooks/8532/Storage-of-Spent-Nuclear-Fuel</vt:lpwstr>
      </vt:variant>
      <vt:variant>
        <vt:lpwstr/>
      </vt:variant>
      <vt:variant>
        <vt:i4>4128801</vt:i4>
      </vt:variant>
      <vt:variant>
        <vt:i4>138</vt:i4>
      </vt:variant>
      <vt:variant>
        <vt:i4>0</vt:i4>
      </vt:variant>
      <vt:variant>
        <vt:i4>5</vt:i4>
      </vt:variant>
      <vt:variant>
        <vt:lpwstr>http://www-pub.iaea.org/books/IAEABooks/8105/Safety-of-Uranium-and-Plutonium-Mixed-Oxide-Fuel-Fabrication-Facilities-Specific-Safety-Guide</vt:lpwstr>
      </vt:variant>
      <vt:variant>
        <vt:lpwstr/>
      </vt:variant>
      <vt:variant>
        <vt:i4>4522076</vt:i4>
      </vt:variant>
      <vt:variant>
        <vt:i4>135</vt:i4>
      </vt:variant>
      <vt:variant>
        <vt:i4>0</vt:i4>
      </vt:variant>
      <vt:variant>
        <vt:i4>5</vt:i4>
      </vt:variant>
      <vt:variant>
        <vt:lpwstr>http://www-pub.iaea.org/books/IAEABooks/8106/Safety-of-Uranium-Fuel-Fabrication-Facilities-Specific-Safety-Guide</vt:lpwstr>
      </vt:variant>
      <vt:variant>
        <vt:lpwstr/>
      </vt:variant>
      <vt:variant>
        <vt:i4>2818130</vt:i4>
      </vt:variant>
      <vt:variant>
        <vt:i4>132</vt:i4>
      </vt:variant>
      <vt:variant>
        <vt:i4>0</vt:i4>
      </vt:variant>
      <vt:variant>
        <vt:i4>5</vt:i4>
      </vt:variant>
      <vt:variant>
        <vt:lpwstr>http://www-pub.iaea.org/MTCD/publications/PDF/Pub1404_web.pdf</vt:lpwstr>
      </vt:variant>
      <vt:variant>
        <vt:lpwstr/>
      </vt:variant>
      <vt:variant>
        <vt:i4>6619251</vt:i4>
      </vt:variant>
      <vt:variant>
        <vt:i4>129</vt:i4>
      </vt:variant>
      <vt:variant>
        <vt:i4>0</vt:i4>
      </vt:variant>
      <vt:variant>
        <vt:i4>5</vt:i4>
      </vt:variant>
      <vt:variant>
        <vt:lpwstr>http://www-pub.iaea.org/books/IAEABooks/8882/The-Safety-Case-and-Safety-Assessment-for-the-Predisposal-Management-of-Radioactive-Waste</vt:lpwstr>
      </vt:variant>
      <vt:variant>
        <vt:lpwstr/>
      </vt:variant>
      <vt:variant>
        <vt:i4>458780</vt:i4>
      </vt:variant>
      <vt:variant>
        <vt:i4>126</vt:i4>
      </vt:variant>
      <vt:variant>
        <vt:i4>0</vt:i4>
      </vt:variant>
      <vt:variant>
        <vt:i4>5</vt:i4>
      </vt:variant>
      <vt:variant>
        <vt:lpwstr>http://www-pub.iaea.org/books/IAEABooks/10708/Safety-of-Nuclear-Fuel-Cycle-Facilities</vt:lpwstr>
      </vt:variant>
      <vt:variant>
        <vt:lpwstr/>
      </vt:variant>
      <vt:variant>
        <vt:i4>2556026</vt:i4>
      </vt:variant>
      <vt:variant>
        <vt:i4>123</vt:i4>
      </vt:variant>
      <vt:variant>
        <vt:i4>0</vt:i4>
      </vt:variant>
      <vt:variant>
        <vt:i4>5</vt:i4>
      </vt:variant>
      <vt:variant>
        <vt:lpwstr>http://www.wenra.org/harmonisation/working-group-waste-and-decommissioning/</vt:lpwstr>
      </vt:variant>
      <vt:variant>
        <vt:lpwstr/>
      </vt:variant>
      <vt:variant>
        <vt:i4>2556026</vt:i4>
      </vt:variant>
      <vt:variant>
        <vt:i4>120</vt:i4>
      </vt:variant>
      <vt:variant>
        <vt:i4>0</vt:i4>
      </vt:variant>
      <vt:variant>
        <vt:i4>5</vt:i4>
      </vt:variant>
      <vt:variant>
        <vt:lpwstr>http://www.wenra.org/harmonisation/working-group-waste-and-decommissioning/</vt:lpwstr>
      </vt:variant>
      <vt:variant>
        <vt:lpwstr/>
      </vt:variant>
      <vt:variant>
        <vt:i4>5963803</vt:i4>
      </vt:variant>
      <vt:variant>
        <vt:i4>117</vt:i4>
      </vt:variant>
      <vt:variant>
        <vt:i4>0</vt:i4>
      </vt:variant>
      <vt:variant>
        <vt:i4>5</vt:i4>
      </vt:variant>
      <vt:variant>
        <vt:lpwstr>http://www.wenra.org/</vt:lpwstr>
      </vt:variant>
      <vt:variant>
        <vt:lpwstr/>
      </vt:variant>
      <vt:variant>
        <vt:i4>1114115</vt:i4>
      </vt:variant>
      <vt:variant>
        <vt:i4>114</vt:i4>
      </vt:variant>
      <vt:variant>
        <vt:i4>0</vt:i4>
      </vt:variant>
      <vt:variant>
        <vt:i4>5</vt:i4>
      </vt:variant>
      <vt:variant>
        <vt:lpwstr>http://www.onr.org.uk/operational/tech_asst_guides/</vt:lpwstr>
      </vt:variant>
      <vt:variant>
        <vt:lpwstr/>
      </vt:variant>
      <vt:variant>
        <vt:i4>4259909</vt:i4>
      </vt:variant>
      <vt:variant>
        <vt:i4>111</vt:i4>
      </vt:variant>
      <vt:variant>
        <vt:i4>0</vt:i4>
      </vt:variant>
      <vt:variant>
        <vt:i4>5</vt:i4>
      </vt:variant>
      <vt:variant>
        <vt:lpwstr>http://www.onr.org.uk/silicon.pdf</vt:lpwstr>
      </vt:variant>
      <vt:variant>
        <vt:lpwstr/>
      </vt:variant>
      <vt:variant>
        <vt:i4>1114115</vt:i4>
      </vt:variant>
      <vt:variant>
        <vt:i4>108</vt:i4>
      </vt:variant>
      <vt:variant>
        <vt:i4>0</vt:i4>
      </vt:variant>
      <vt:variant>
        <vt:i4>5</vt:i4>
      </vt:variant>
      <vt:variant>
        <vt:lpwstr>http://www.onr.org.uk/operational/tech_asst_guides/</vt:lpwstr>
      </vt:variant>
      <vt:variant>
        <vt:lpwstr/>
      </vt:variant>
      <vt:variant>
        <vt:i4>6881313</vt:i4>
      </vt:variant>
      <vt:variant>
        <vt:i4>105</vt:i4>
      </vt:variant>
      <vt:variant>
        <vt:i4>0</vt:i4>
      </vt:variant>
      <vt:variant>
        <vt:i4>5</vt:i4>
      </vt:variant>
      <vt:variant>
        <vt:lpwstr>http://www.hse.gov.uk/nuclear/operational/assessment/index.htm</vt:lpwstr>
      </vt:variant>
      <vt:variant>
        <vt:lpwstr/>
      </vt:variant>
      <vt:variant>
        <vt:i4>3932269</vt:i4>
      </vt:variant>
      <vt:variant>
        <vt:i4>102</vt:i4>
      </vt:variant>
      <vt:variant>
        <vt:i4>0</vt:i4>
      </vt:variant>
      <vt:variant>
        <vt:i4>5</vt:i4>
      </vt:variant>
      <vt:variant>
        <vt:lpwstr>http://www.onr.org.uk/saps/saps2014.pdf</vt:lpwstr>
      </vt:variant>
      <vt:variant>
        <vt:lpwstr/>
      </vt:variant>
      <vt:variant>
        <vt:i4>7536673</vt:i4>
      </vt:variant>
      <vt:variant>
        <vt:i4>99</vt:i4>
      </vt:variant>
      <vt:variant>
        <vt:i4>0</vt:i4>
      </vt:variant>
      <vt:variant>
        <vt:i4>5</vt:i4>
      </vt:variant>
      <vt:variant>
        <vt:lpwstr>http://www.onr.org.uk/copyright</vt:lpwstr>
      </vt:variant>
      <vt:variant>
        <vt:lpwstr/>
      </vt:variant>
      <vt:variant>
        <vt:i4>1376307</vt:i4>
      </vt:variant>
      <vt:variant>
        <vt:i4>92</vt:i4>
      </vt:variant>
      <vt:variant>
        <vt:i4>0</vt:i4>
      </vt:variant>
      <vt:variant>
        <vt:i4>5</vt:i4>
      </vt:variant>
      <vt:variant>
        <vt:lpwstr/>
      </vt:variant>
      <vt:variant>
        <vt:lpwstr>_Toc446505160</vt:lpwstr>
      </vt:variant>
      <vt:variant>
        <vt:i4>1441843</vt:i4>
      </vt:variant>
      <vt:variant>
        <vt:i4>86</vt:i4>
      </vt:variant>
      <vt:variant>
        <vt:i4>0</vt:i4>
      </vt:variant>
      <vt:variant>
        <vt:i4>5</vt:i4>
      </vt:variant>
      <vt:variant>
        <vt:lpwstr/>
      </vt:variant>
      <vt:variant>
        <vt:lpwstr>_Toc446505159</vt:lpwstr>
      </vt:variant>
      <vt:variant>
        <vt:i4>1441843</vt:i4>
      </vt:variant>
      <vt:variant>
        <vt:i4>80</vt:i4>
      </vt:variant>
      <vt:variant>
        <vt:i4>0</vt:i4>
      </vt:variant>
      <vt:variant>
        <vt:i4>5</vt:i4>
      </vt:variant>
      <vt:variant>
        <vt:lpwstr/>
      </vt:variant>
      <vt:variant>
        <vt:lpwstr>_Toc446505158</vt:lpwstr>
      </vt:variant>
      <vt:variant>
        <vt:i4>1441843</vt:i4>
      </vt:variant>
      <vt:variant>
        <vt:i4>74</vt:i4>
      </vt:variant>
      <vt:variant>
        <vt:i4>0</vt:i4>
      </vt:variant>
      <vt:variant>
        <vt:i4>5</vt:i4>
      </vt:variant>
      <vt:variant>
        <vt:lpwstr/>
      </vt:variant>
      <vt:variant>
        <vt:lpwstr>_Toc446505157</vt:lpwstr>
      </vt:variant>
      <vt:variant>
        <vt:i4>1441843</vt:i4>
      </vt:variant>
      <vt:variant>
        <vt:i4>68</vt:i4>
      </vt:variant>
      <vt:variant>
        <vt:i4>0</vt:i4>
      </vt:variant>
      <vt:variant>
        <vt:i4>5</vt:i4>
      </vt:variant>
      <vt:variant>
        <vt:lpwstr/>
      </vt:variant>
      <vt:variant>
        <vt:lpwstr>_Toc446505156</vt:lpwstr>
      </vt:variant>
      <vt:variant>
        <vt:i4>1441843</vt:i4>
      </vt:variant>
      <vt:variant>
        <vt:i4>62</vt:i4>
      </vt:variant>
      <vt:variant>
        <vt:i4>0</vt:i4>
      </vt:variant>
      <vt:variant>
        <vt:i4>5</vt:i4>
      </vt:variant>
      <vt:variant>
        <vt:lpwstr/>
      </vt:variant>
      <vt:variant>
        <vt:lpwstr>_Toc446505155</vt:lpwstr>
      </vt:variant>
      <vt:variant>
        <vt:i4>1441843</vt:i4>
      </vt:variant>
      <vt:variant>
        <vt:i4>56</vt:i4>
      </vt:variant>
      <vt:variant>
        <vt:i4>0</vt:i4>
      </vt:variant>
      <vt:variant>
        <vt:i4>5</vt:i4>
      </vt:variant>
      <vt:variant>
        <vt:lpwstr/>
      </vt:variant>
      <vt:variant>
        <vt:lpwstr>_Toc446505154</vt:lpwstr>
      </vt:variant>
      <vt:variant>
        <vt:i4>1441843</vt:i4>
      </vt:variant>
      <vt:variant>
        <vt:i4>50</vt:i4>
      </vt:variant>
      <vt:variant>
        <vt:i4>0</vt:i4>
      </vt:variant>
      <vt:variant>
        <vt:i4>5</vt:i4>
      </vt:variant>
      <vt:variant>
        <vt:lpwstr/>
      </vt:variant>
      <vt:variant>
        <vt:lpwstr>_Toc446505153</vt:lpwstr>
      </vt:variant>
      <vt:variant>
        <vt:i4>1441843</vt:i4>
      </vt:variant>
      <vt:variant>
        <vt:i4>44</vt:i4>
      </vt:variant>
      <vt:variant>
        <vt:i4>0</vt:i4>
      </vt:variant>
      <vt:variant>
        <vt:i4>5</vt:i4>
      </vt:variant>
      <vt:variant>
        <vt:lpwstr/>
      </vt:variant>
      <vt:variant>
        <vt:lpwstr>_Toc446505152</vt:lpwstr>
      </vt:variant>
      <vt:variant>
        <vt:i4>1441843</vt:i4>
      </vt:variant>
      <vt:variant>
        <vt:i4>38</vt:i4>
      </vt:variant>
      <vt:variant>
        <vt:i4>0</vt:i4>
      </vt:variant>
      <vt:variant>
        <vt:i4>5</vt:i4>
      </vt:variant>
      <vt:variant>
        <vt:lpwstr/>
      </vt:variant>
      <vt:variant>
        <vt:lpwstr>_Toc446505151</vt:lpwstr>
      </vt:variant>
      <vt:variant>
        <vt:i4>1441843</vt:i4>
      </vt:variant>
      <vt:variant>
        <vt:i4>32</vt:i4>
      </vt:variant>
      <vt:variant>
        <vt:i4>0</vt:i4>
      </vt:variant>
      <vt:variant>
        <vt:i4>5</vt:i4>
      </vt:variant>
      <vt:variant>
        <vt:lpwstr/>
      </vt:variant>
      <vt:variant>
        <vt:lpwstr>_Toc446505150</vt:lpwstr>
      </vt:variant>
      <vt:variant>
        <vt:i4>1507379</vt:i4>
      </vt:variant>
      <vt:variant>
        <vt:i4>26</vt:i4>
      </vt:variant>
      <vt:variant>
        <vt:i4>0</vt:i4>
      </vt:variant>
      <vt:variant>
        <vt:i4>5</vt:i4>
      </vt:variant>
      <vt:variant>
        <vt:lpwstr/>
      </vt:variant>
      <vt:variant>
        <vt:lpwstr>_Toc446505149</vt:lpwstr>
      </vt:variant>
      <vt:variant>
        <vt:i4>1507379</vt:i4>
      </vt:variant>
      <vt:variant>
        <vt:i4>20</vt:i4>
      </vt:variant>
      <vt:variant>
        <vt:i4>0</vt:i4>
      </vt:variant>
      <vt:variant>
        <vt:i4>5</vt:i4>
      </vt:variant>
      <vt:variant>
        <vt:lpwstr/>
      </vt:variant>
      <vt:variant>
        <vt:lpwstr>_Toc446505148</vt:lpwstr>
      </vt:variant>
      <vt:variant>
        <vt:i4>1507379</vt:i4>
      </vt:variant>
      <vt:variant>
        <vt:i4>14</vt:i4>
      </vt:variant>
      <vt:variant>
        <vt:i4>0</vt:i4>
      </vt:variant>
      <vt:variant>
        <vt:i4>5</vt:i4>
      </vt:variant>
      <vt:variant>
        <vt:lpwstr/>
      </vt:variant>
      <vt:variant>
        <vt:lpwstr>_Toc446505147</vt:lpwstr>
      </vt:variant>
      <vt:variant>
        <vt:i4>1507379</vt:i4>
      </vt:variant>
      <vt:variant>
        <vt:i4>8</vt:i4>
      </vt:variant>
      <vt:variant>
        <vt:i4>0</vt:i4>
      </vt:variant>
      <vt:variant>
        <vt:i4>5</vt:i4>
      </vt:variant>
      <vt:variant>
        <vt:lpwstr/>
      </vt:variant>
      <vt:variant>
        <vt:lpwstr>_Toc446505146</vt:lpwstr>
      </vt:variant>
      <vt:variant>
        <vt:i4>1507379</vt:i4>
      </vt:variant>
      <vt:variant>
        <vt:i4>2</vt:i4>
      </vt:variant>
      <vt:variant>
        <vt:i4>0</vt:i4>
      </vt:variant>
      <vt:variant>
        <vt:i4>5</vt:i4>
      </vt:variant>
      <vt:variant>
        <vt:lpwstr/>
      </vt:variant>
      <vt:variant>
        <vt:lpwstr>_Toc446505145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2018-02-20T15:58:00Z</cp:lastPrinted>
  <dcterms:created xsi:type="dcterms:W3CDTF">2022-12-22T08:20:00Z</dcterms:created>
  <dcterms:modified xsi:type="dcterms:W3CDTF">2022-12-22T08:20:00Z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2022-12-02T08:31:41Z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aec919ef-cbc4-484c-ab00-82f75ddd339d</vt:lpwstr>
  </property>
  <property fmtid="{D5CDD505-2E9C-101B-9397-08002B2CF9AE}" pid="10" name="MSIP_Label_9e5e003a-90eb-47c9-a506-ad47e7a0b281_ContentBits">
    <vt:lpwstr>0</vt:lpwstr>
  </property>
</Properties>
</file>