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F89702A" w:rsidR="00D0226A" w:rsidRPr="001E03E1" w:rsidRDefault="00BC5FD0" w:rsidP="001E03E1">
            <w:pPr>
              <w:pStyle w:val="CoverTitle"/>
              <w:rPr>
                <w:szCs w:val="90"/>
              </w:rPr>
            </w:pPr>
            <w:sdt>
              <w:sdtPr>
                <w:rPr>
                  <w:sz w:val="72"/>
                  <w:szCs w:val="72"/>
                </w:rPr>
                <w:id w:val="1228188510"/>
                <w:placeholder>
                  <w:docPart w:val="DefaultPlaceholder_-1854013440"/>
                </w:placeholder>
              </w:sdtPr>
              <w:sdtEndPr>
                <w:rPr>
                  <w:sz w:val="144"/>
                  <w:szCs w:val="144"/>
                </w:rPr>
              </w:sdtEndPr>
              <w:sdtContent>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10363" w:rsidRPr="00DD6F26">
                      <w:rPr>
                        <w:sz w:val="72"/>
                        <w:szCs w:val="72"/>
                      </w:rPr>
                      <w:t>Function and Content of the Nuclear Baseline</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004C16" w:rsidRDefault="00004C16" w:rsidP="00004C16">
      <w:pPr>
        <w:rPr>
          <w:color w:val="005F63"/>
          <w:sz w:val="36"/>
          <w:szCs w:val="36"/>
        </w:rPr>
      </w:pPr>
      <w:r w:rsidRPr="00004C16">
        <w:rPr>
          <w:color w:val="005F63"/>
          <w:sz w:val="36"/>
          <w:szCs w:val="36"/>
        </w:rPr>
        <w:lastRenderedPageBreak/>
        <w:t xml:space="preserve">ONR </w:t>
      </w:r>
      <w:r w:rsidR="000950B3">
        <w:rPr>
          <w:color w:val="005F63"/>
          <w:sz w:val="36"/>
          <w:szCs w:val="36"/>
        </w:rPr>
        <w:t>Technical Assessment Guide</w:t>
      </w:r>
      <w:r w:rsidR="007C0AD9">
        <w:rPr>
          <w:color w:val="005F63"/>
          <w:sz w:val="36"/>
          <w:szCs w:val="36"/>
        </w:rPr>
        <w:t xml:space="preserve"> (TAG)</w:t>
      </w:r>
    </w:p>
    <w:p w14:paraId="297D790E" w14:textId="427AF8FF" w:rsidR="00004C16" w:rsidRPr="00F63AA5" w:rsidRDefault="00BC5FD0" w:rsidP="00004C16">
      <w:pPr>
        <w:rPr>
          <w:sz w:val="18"/>
          <w:szCs w:val="16"/>
        </w:rPr>
      </w:pP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rPr>
        </w:sdtEndPr>
        <w:sdtContent>
          <w:r w:rsidR="00510363">
            <w:rPr>
              <w:rStyle w:val="Style2"/>
              <w:sz w:val="36"/>
              <w:szCs w:val="16"/>
            </w:rPr>
            <w:t>Function and Content of the Nuclear Baseline</w:t>
          </w:r>
        </w:sdtContent>
      </w:sdt>
    </w:p>
    <w:p w14:paraId="61A25C0F" w14:textId="77777777" w:rsidR="00004C16" w:rsidRDefault="00004C16" w:rsidP="00004C16">
      <w:pPr>
        <w:rPr>
          <w:sz w:val="28"/>
          <w:szCs w:val="28"/>
        </w:rPr>
      </w:pPr>
    </w:p>
    <w:p w14:paraId="4C7A948F" w14:textId="78E1CB3D" w:rsidR="00245A0D" w:rsidRPr="00004C16" w:rsidRDefault="00245A0D" w:rsidP="00245A0D">
      <w:pPr>
        <w:rPr>
          <w:sz w:val="28"/>
          <w:szCs w:val="28"/>
        </w:rPr>
      </w:pPr>
      <w:r w:rsidRPr="00004C16">
        <w:rPr>
          <w:sz w:val="28"/>
          <w:szCs w:val="28"/>
        </w:rPr>
        <w:t>Authored by</w:t>
      </w:r>
      <w:r w:rsidR="00CE1DB2">
        <w:rPr>
          <w:sz w:val="28"/>
          <w:szCs w:val="28"/>
        </w:rPr>
        <w:t>:</w:t>
      </w:r>
      <w:r w:rsidR="004E6BAC">
        <w:rPr>
          <w:sz w:val="28"/>
          <w:szCs w:val="28"/>
        </w:rPr>
        <w:t xml:space="preserve"> Nuclear Inspector</w:t>
      </w:r>
    </w:p>
    <w:p w14:paraId="15A21CF3" w14:textId="4E3A8639" w:rsidR="00245A0D" w:rsidRDefault="00245A0D" w:rsidP="00245A0D">
      <w:pPr>
        <w:rPr>
          <w:sz w:val="28"/>
          <w:szCs w:val="28"/>
        </w:rPr>
      </w:pPr>
      <w:r w:rsidRPr="00004C16">
        <w:rPr>
          <w:sz w:val="28"/>
          <w:szCs w:val="28"/>
        </w:rPr>
        <w:t>Approved by</w:t>
      </w:r>
      <w:r w:rsidR="00CE1DB2">
        <w:rPr>
          <w:sz w:val="28"/>
          <w:szCs w:val="28"/>
        </w:rPr>
        <w:t>:</w:t>
      </w:r>
      <w:r w:rsidR="004E6BAC">
        <w:rPr>
          <w:sz w:val="28"/>
          <w:szCs w:val="28"/>
        </w:rPr>
        <w:t xml:space="preserve"> PL – Human and Organisational Capability</w:t>
      </w:r>
    </w:p>
    <w:p w14:paraId="29270FF3" w14:textId="38B78102" w:rsidR="00CE1DB2" w:rsidRDefault="00CE1DB2" w:rsidP="00245A0D">
      <w:pPr>
        <w:rPr>
          <w:sz w:val="28"/>
          <w:szCs w:val="28"/>
        </w:rPr>
      </w:pPr>
      <w:r>
        <w:rPr>
          <w:sz w:val="28"/>
          <w:szCs w:val="28"/>
        </w:rPr>
        <w:t>Professional Lead:</w:t>
      </w:r>
      <w:r w:rsidR="009C23C8">
        <w:rPr>
          <w:sz w:val="28"/>
          <w:szCs w:val="28"/>
        </w:rPr>
        <w:t xml:space="preserve"> </w:t>
      </w:r>
      <w:r w:rsidR="004E6BAC">
        <w:rPr>
          <w:sz w:val="28"/>
          <w:szCs w:val="28"/>
        </w:rPr>
        <w:t>Human and Organisational Capability</w:t>
      </w:r>
    </w:p>
    <w:p w14:paraId="3ADDCB72" w14:textId="77777777" w:rsidR="000950B3" w:rsidRPr="00004C16" w:rsidRDefault="000950B3" w:rsidP="00004C16">
      <w:pPr>
        <w:rPr>
          <w:sz w:val="28"/>
          <w:szCs w:val="28"/>
        </w:rPr>
      </w:pPr>
    </w:p>
    <w:p w14:paraId="247E3769" w14:textId="690A2952" w:rsid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21BA6">
            <w:rPr>
              <w:sz w:val="28"/>
              <w:szCs w:val="28"/>
            </w:rPr>
            <w:t>5</w:t>
          </w:r>
        </w:sdtContent>
      </w:sdt>
    </w:p>
    <w:p w14:paraId="19206F45" w14:textId="63A46550" w:rsidR="00004C16" w:rsidRDefault="00004C16" w:rsidP="00004C16">
      <w:pPr>
        <w:rPr>
          <w:sz w:val="28"/>
          <w:szCs w:val="28"/>
        </w:rPr>
      </w:pPr>
      <w:r w:rsidRPr="00004C16">
        <w:rPr>
          <w:sz w:val="28"/>
          <w:szCs w:val="28"/>
        </w:rPr>
        <w:t xml:space="preserve">Publication Date: </w:t>
      </w:r>
      <w:r w:rsidR="00F21BA6">
        <w:rPr>
          <w:sz w:val="28"/>
          <w:szCs w:val="28"/>
        </w:rPr>
        <w:t>Jul</w:t>
      </w:r>
      <w:r w:rsidR="00510363">
        <w:rPr>
          <w:sz w:val="28"/>
          <w:szCs w:val="28"/>
        </w:rPr>
        <w:t>-2</w:t>
      </w:r>
      <w:r w:rsidR="00EA104F">
        <w:rPr>
          <w:sz w:val="28"/>
          <w:szCs w:val="28"/>
        </w:rPr>
        <w:t>02</w:t>
      </w:r>
      <w:r w:rsidR="00F21BA6">
        <w:rPr>
          <w:sz w:val="28"/>
          <w:szCs w:val="28"/>
        </w:rPr>
        <w:t>3</w:t>
      </w:r>
    </w:p>
    <w:p w14:paraId="06A6B3A5" w14:textId="228D671E" w:rsidR="00E57DB9" w:rsidRDefault="00E57DB9" w:rsidP="00E57DB9">
      <w:pPr>
        <w:rPr>
          <w:sz w:val="28"/>
          <w:szCs w:val="28"/>
        </w:rPr>
      </w:pPr>
      <w:r>
        <w:rPr>
          <w:sz w:val="28"/>
          <w:szCs w:val="28"/>
        </w:rPr>
        <w:t>Next Major Review Date:</w:t>
      </w:r>
      <w:r w:rsidR="00AE4F54">
        <w:rPr>
          <w:sz w:val="28"/>
          <w:szCs w:val="28"/>
        </w:rPr>
        <w:t xml:space="preserve"> </w:t>
      </w:r>
      <w:r w:rsidR="00510363">
        <w:rPr>
          <w:sz w:val="28"/>
          <w:szCs w:val="28"/>
        </w:rPr>
        <w:t>Jul-</w:t>
      </w:r>
      <w:r w:rsidR="004D4875">
        <w:rPr>
          <w:sz w:val="28"/>
          <w:szCs w:val="28"/>
        </w:rPr>
        <w:t>2</w:t>
      </w:r>
      <w:r w:rsidR="00EA104F">
        <w:rPr>
          <w:sz w:val="28"/>
          <w:szCs w:val="28"/>
        </w:rPr>
        <w:t>02</w:t>
      </w:r>
      <w:r w:rsidR="00F21BA6">
        <w:rPr>
          <w:sz w:val="28"/>
          <w:szCs w:val="28"/>
        </w:rPr>
        <w:t>8</w:t>
      </w:r>
    </w:p>
    <w:p w14:paraId="6DA341A1" w14:textId="169C298B" w:rsidR="00347CA8" w:rsidRPr="00004C16" w:rsidRDefault="00347CA8" w:rsidP="00E57DB9">
      <w:pPr>
        <w:rPr>
          <w:sz w:val="28"/>
          <w:szCs w:val="28"/>
        </w:rPr>
      </w:pPr>
      <w:r>
        <w:rPr>
          <w:sz w:val="28"/>
          <w:szCs w:val="28"/>
        </w:rPr>
        <w:t xml:space="preserve">Doc. Ref.: </w:t>
      </w:r>
      <w:r w:rsidR="004D4875">
        <w:rPr>
          <w:sz w:val="28"/>
          <w:szCs w:val="28"/>
        </w:rPr>
        <w:t>NS-TAST-GD-065</w:t>
      </w:r>
      <w:r w:rsidR="004D4875" w:rsidRPr="00004C16">
        <w:rPr>
          <w:sz w:val="28"/>
          <w:szCs w:val="28"/>
        </w:rPr>
        <w:t xml:space="preserve"> </w:t>
      </w:r>
    </w:p>
    <w:p w14:paraId="55057C62" w14:textId="118350F8" w:rsidR="00004C16" w:rsidRPr="00004C16" w:rsidRDefault="00004C16" w:rsidP="00004C16">
      <w:pPr>
        <w:rPr>
          <w:sz w:val="28"/>
          <w:szCs w:val="28"/>
        </w:rPr>
      </w:pPr>
      <w:r w:rsidRPr="00004C16">
        <w:rPr>
          <w:sz w:val="28"/>
          <w:szCs w:val="28"/>
        </w:rPr>
        <w:t xml:space="preserve">Record Ref. No.: </w:t>
      </w:r>
      <w:r w:rsidR="004D4875">
        <w:rPr>
          <w:sz w:val="28"/>
          <w:szCs w:val="28"/>
        </w:rPr>
        <w:t>2020/265829</w:t>
      </w:r>
      <w:r w:rsidR="004D4875" w:rsidRPr="00004C16">
        <w:rPr>
          <w:sz w:val="28"/>
          <w:szCs w:val="28"/>
        </w:rPr>
        <w:t xml:space="preserve"> </w:t>
      </w:r>
    </w:p>
    <w:p w14:paraId="39BC0EA4" w14:textId="77777777" w:rsidR="00420A11" w:rsidRDefault="00420A11" w:rsidP="00323E71"/>
    <w:p w14:paraId="1921DBD9" w14:textId="096DB37D" w:rsidR="00CE1DB2" w:rsidRDefault="00CE1DB2" w:rsidP="00EA104F">
      <w:pPr>
        <w:pStyle w:val="Caption"/>
      </w:pPr>
      <w:r>
        <w:t xml:space="preserve">Table </w:t>
      </w:r>
      <w:r w:rsidR="00BC5FD0">
        <w:fldChar w:fldCharType="begin"/>
      </w:r>
      <w:r w:rsidR="00BC5FD0">
        <w:instrText xml:space="preserve"> SEQ Table \* ARABIC </w:instrText>
      </w:r>
      <w:r w:rsidR="00BC5FD0">
        <w:fldChar w:fldCharType="separate"/>
      </w:r>
      <w:r w:rsidR="00D96BE4">
        <w:rPr>
          <w:noProof/>
        </w:rPr>
        <w:t>1</w:t>
      </w:r>
      <w:r w:rsidR="00BC5FD0">
        <w:rPr>
          <w:noProof/>
        </w:rPr>
        <w:fldChar w:fldCharType="end"/>
      </w:r>
      <w:r>
        <w:t>: Revision commentary</w:t>
      </w:r>
    </w:p>
    <w:tbl>
      <w:tblPr>
        <w:tblStyle w:val="ONRTable1"/>
        <w:tblW w:w="0" w:type="auto"/>
        <w:tblInd w:w="10" w:type="dxa"/>
        <w:tblLook w:val="04A0" w:firstRow="1" w:lastRow="0" w:firstColumn="1" w:lastColumn="0" w:noHBand="0" w:noVBand="1"/>
      </w:tblPr>
      <w:tblGrid>
        <w:gridCol w:w="1480"/>
        <w:gridCol w:w="7536"/>
      </w:tblGrid>
      <w:tr w:rsidR="00595C8C" w:rsidRPr="00EA104F" w14:paraId="116B87DF" w14:textId="77777777" w:rsidTr="004D4875">
        <w:trPr>
          <w:cnfStyle w:val="100000000000" w:firstRow="1" w:lastRow="0" w:firstColumn="0" w:lastColumn="0" w:oddVBand="0" w:evenVBand="0" w:oddHBand="0" w:evenHBand="0" w:firstRowFirstColumn="0" w:firstRowLastColumn="0" w:lastRowFirstColumn="0" w:lastRowLastColumn="0"/>
        </w:trPr>
        <w:tc>
          <w:tcPr>
            <w:tcW w:w="1550" w:type="dxa"/>
          </w:tcPr>
          <w:p w14:paraId="72366D01" w14:textId="5285E8FF" w:rsidR="00595C8C" w:rsidRPr="00EA104F" w:rsidRDefault="00595C8C" w:rsidP="00595C8C">
            <w:pPr>
              <w:spacing w:before="60" w:after="60"/>
            </w:pPr>
            <w:r w:rsidRPr="00EA104F">
              <w:t>Issue</w:t>
            </w:r>
            <w:r w:rsidR="004E3932" w:rsidRPr="00EA104F">
              <w:t xml:space="preserve"> No.</w:t>
            </w:r>
          </w:p>
        </w:tc>
        <w:tc>
          <w:tcPr>
            <w:tcW w:w="8186" w:type="dxa"/>
          </w:tcPr>
          <w:p w14:paraId="2D00C3FD" w14:textId="26176D05" w:rsidR="00595C8C" w:rsidRPr="00EA104F" w:rsidRDefault="00595C8C" w:rsidP="00595C8C">
            <w:pPr>
              <w:spacing w:before="60" w:after="60"/>
            </w:pPr>
            <w:r w:rsidRPr="00EA104F">
              <w:t>Description of Update(s)</w:t>
            </w:r>
          </w:p>
        </w:tc>
      </w:tr>
      <w:tr w:rsidR="00595C8C" w14:paraId="0B4E4E42" w14:textId="77777777" w:rsidTr="004D4875">
        <w:tc>
          <w:tcPr>
            <w:tcW w:w="1550" w:type="dxa"/>
          </w:tcPr>
          <w:p w14:paraId="65482A03" w14:textId="75C5E4E0" w:rsidR="00595C8C" w:rsidRDefault="004D4875" w:rsidP="00EA104F">
            <w:pPr>
              <w:spacing w:after="0"/>
            </w:pPr>
            <w:r>
              <w:t>3</w:t>
            </w:r>
          </w:p>
        </w:tc>
        <w:tc>
          <w:tcPr>
            <w:tcW w:w="8186" w:type="dxa"/>
          </w:tcPr>
          <w:p w14:paraId="1C80912E" w14:textId="134B7403" w:rsidR="00595C8C" w:rsidRDefault="004D4875" w:rsidP="00EA104F">
            <w:pPr>
              <w:spacing w:after="0"/>
            </w:pPr>
            <w:r>
              <w:t>Fit for purpose review and update</w:t>
            </w:r>
          </w:p>
        </w:tc>
      </w:tr>
      <w:tr w:rsidR="004D4875" w14:paraId="57938710" w14:textId="77777777" w:rsidTr="004D4875">
        <w:tc>
          <w:tcPr>
            <w:tcW w:w="1550" w:type="dxa"/>
          </w:tcPr>
          <w:p w14:paraId="6039622B" w14:textId="51B155AA" w:rsidR="004D4875" w:rsidRDefault="004D4875" w:rsidP="00EA104F">
            <w:pPr>
              <w:spacing w:after="0"/>
            </w:pPr>
            <w:r>
              <w:t>4</w:t>
            </w:r>
          </w:p>
        </w:tc>
        <w:tc>
          <w:tcPr>
            <w:tcW w:w="8186" w:type="dxa"/>
          </w:tcPr>
          <w:p w14:paraId="1477EB88" w14:textId="5E2775EB" w:rsidR="004D4875" w:rsidRDefault="004D4875" w:rsidP="00EA104F">
            <w:pPr>
              <w:spacing w:after="0"/>
            </w:pPr>
            <w:r>
              <w:t>Periodic review of content</w:t>
            </w:r>
          </w:p>
        </w:tc>
      </w:tr>
      <w:tr w:rsidR="004D4875" w14:paraId="6E9BA7D7" w14:textId="77777777" w:rsidTr="004D4875">
        <w:tc>
          <w:tcPr>
            <w:tcW w:w="1550" w:type="dxa"/>
          </w:tcPr>
          <w:p w14:paraId="66C4C411" w14:textId="1383E672" w:rsidR="004D4875" w:rsidRDefault="004D4875" w:rsidP="00EA104F">
            <w:pPr>
              <w:spacing w:after="0"/>
            </w:pPr>
            <w:r>
              <w:t>4.1</w:t>
            </w:r>
          </w:p>
        </w:tc>
        <w:tc>
          <w:tcPr>
            <w:tcW w:w="8186" w:type="dxa"/>
          </w:tcPr>
          <w:p w14:paraId="25A2B8E3" w14:textId="6F423BB0" w:rsidR="004D4875" w:rsidRDefault="004D4875" w:rsidP="00EA104F">
            <w:pPr>
              <w:spacing w:after="0"/>
            </w:pPr>
            <w:r>
              <w:t>Minor update to revise next major review date to align with the review of NS-TAST-GD-048</w:t>
            </w:r>
            <w:r w:rsidR="0028775F">
              <w:t xml:space="preserve"> and bring content into the new TAG template.</w:t>
            </w:r>
          </w:p>
        </w:tc>
      </w:tr>
      <w:tr w:rsidR="00F21BA6" w14:paraId="358DC7D4" w14:textId="77777777" w:rsidTr="004D4875">
        <w:tc>
          <w:tcPr>
            <w:tcW w:w="1550" w:type="dxa"/>
          </w:tcPr>
          <w:p w14:paraId="60588A3E" w14:textId="104C02C9" w:rsidR="00F21BA6" w:rsidRDefault="00F21BA6" w:rsidP="00EA104F">
            <w:pPr>
              <w:spacing w:after="0"/>
            </w:pPr>
            <w:r>
              <w:t>5</w:t>
            </w:r>
          </w:p>
        </w:tc>
        <w:tc>
          <w:tcPr>
            <w:tcW w:w="8186" w:type="dxa"/>
          </w:tcPr>
          <w:p w14:paraId="3FBC4AC9" w14:textId="17EDD3C6" w:rsidR="00F21BA6" w:rsidRPr="007A52F1" w:rsidRDefault="00F21BA6" w:rsidP="00EA104F">
            <w:pPr>
              <w:spacing w:after="0"/>
            </w:pPr>
            <w:r w:rsidRPr="00633E07">
              <w:t xml:space="preserve">Fit for purpose review. Update of </w:t>
            </w:r>
            <w:r w:rsidR="000F43F2">
              <w:t>r</w:t>
            </w:r>
            <w:r w:rsidR="007A52F1" w:rsidRPr="00633E07">
              <w:t>elationship to Safety Assessment Principles, WENRA Reference Levels, and IAEA Safety Standards and Guides</w:t>
            </w:r>
            <w:r w:rsidR="007A52F1" w:rsidRPr="007A52F1">
              <w:t xml:space="preserve"> and </w:t>
            </w:r>
            <w:r w:rsidR="000F43F2">
              <w:t>r</w:t>
            </w:r>
            <w:r w:rsidR="007A52F1" w:rsidRPr="007A52F1">
              <w:t>eferences</w:t>
            </w:r>
            <w:r w:rsidR="00EA104F">
              <w:t>.</w:t>
            </w:r>
          </w:p>
        </w:tc>
      </w:tr>
    </w:tbl>
    <w:p w14:paraId="1FDB4B56" w14:textId="6C10B266" w:rsidR="00595C8C" w:rsidRDefault="00595C8C" w:rsidP="00323E71">
      <w:pPr>
        <w:sectPr w:rsidR="00595C8C" w:rsidSect="00EA104F">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8C6A16A" w14:textId="0F81CABF" w:rsidR="00EA104F" w:rsidRDefault="00EA104F">
      <w:pPr>
        <w:pStyle w:val="TOC1"/>
        <w:tabs>
          <w:tab w:val="left" w:pos="720"/>
        </w:tabs>
        <w:rPr>
          <w:rFonts w:asciiTheme="minorHAnsi" w:eastAsiaTheme="minorEastAsia" w:hAnsiTheme="minorHAnsi" w:cstheme="minorBidi"/>
          <w:sz w:val="22"/>
          <w:lang w:eastAsia="en-GB" w:bidi="ar-SA"/>
        </w:rPr>
      </w:pPr>
      <w:r>
        <w:fldChar w:fldCharType="begin"/>
      </w:r>
      <w:r>
        <w:instrText xml:space="preserve"> TOC \o "1-1" \h \z \u </w:instrText>
      </w:r>
      <w:r>
        <w:fldChar w:fldCharType="separate"/>
      </w:r>
      <w:hyperlink w:anchor="_Toc139873414" w:history="1">
        <w:r w:rsidRPr="00917E66">
          <w:rPr>
            <w:rStyle w:val="Hyperlink"/>
          </w:rPr>
          <w:t>1.</w:t>
        </w:r>
        <w:r>
          <w:rPr>
            <w:rFonts w:asciiTheme="minorHAnsi" w:eastAsiaTheme="minorEastAsia" w:hAnsiTheme="minorHAnsi" w:cstheme="minorBidi"/>
            <w:sz w:val="22"/>
            <w:lang w:eastAsia="en-GB" w:bidi="ar-SA"/>
          </w:rPr>
          <w:tab/>
        </w:r>
        <w:r w:rsidRPr="00917E66">
          <w:rPr>
            <w:rStyle w:val="Hyperlink"/>
          </w:rPr>
          <w:t>Introduction</w:t>
        </w:r>
        <w:r>
          <w:rPr>
            <w:webHidden/>
          </w:rPr>
          <w:tab/>
        </w:r>
        <w:r>
          <w:rPr>
            <w:webHidden/>
          </w:rPr>
          <w:fldChar w:fldCharType="begin"/>
        </w:r>
        <w:r>
          <w:rPr>
            <w:webHidden/>
          </w:rPr>
          <w:instrText xml:space="preserve"> PAGEREF _Toc139873414 \h </w:instrText>
        </w:r>
        <w:r>
          <w:rPr>
            <w:webHidden/>
          </w:rPr>
        </w:r>
        <w:r>
          <w:rPr>
            <w:webHidden/>
          </w:rPr>
          <w:fldChar w:fldCharType="separate"/>
        </w:r>
        <w:r>
          <w:rPr>
            <w:webHidden/>
          </w:rPr>
          <w:t>4</w:t>
        </w:r>
        <w:r>
          <w:rPr>
            <w:webHidden/>
          </w:rPr>
          <w:fldChar w:fldCharType="end"/>
        </w:r>
      </w:hyperlink>
    </w:p>
    <w:p w14:paraId="572B348D" w14:textId="596DFB9C" w:rsidR="00EA104F" w:rsidRDefault="00BC5FD0">
      <w:pPr>
        <w:pStyle w:val="TOC1"/>
        <w:tabs>
          <w:tab w:val="left" w:pos="720"/>
        </w:tabs>
        <w:rPr>
          <w:rFonts w:asciiTheme="minorHAnsi" w:eastAsiaTheme="minorEastAsia" w:hAnsiTheme="minorHAnsi" w:cstheme="minorBidi"/>
          <w:sz w:val="22"/>
          <w:lang w:eastAsia="en-GB" w:bidi="ar-SA"/>
        </w:rPr>
      </w:pPr>
      <w:hyperlink w:anchor="_Toc139873415" w:history="1">
        <w:r w:rsidR="00EA104F" w:rsidRPr="00917E66">
          <w:rPr>
            <w:rStyle w:val="Hyperlink"/>
          </w:rPr>
          <w:t>2.</w:t>
        </w:r>
        <w:r w:rsidR="00EA104F">
          <w:rPr>
            <w:rFonts w:asciiTheme="minorHAnsi" w:eastAsiaTheme="minorEastAsia" w:hAnsiTheme="minorHAnsi" w:cstheme="minorBidi"/>
            <w:sz w:val="22"/>
            <w:lang w:eastAsia="en-GB" w:bidi="ar-SA"/>
          </w:rPr>
          <w:tab/>
        </w:r>
        <w:r w:rsidR="00EA104F" w:rsidRPr="00917E66">
          <w:rPr>
            <w:rStyle w:val="Hyperlink"/>
          </w:rPr>
          <w:t>Purpose and Scope</w:t>
        </w:r>
        <w:r w:rsidR="00EA104F">
          <w:rPr>
            <w:webHidden/>
          </w:rPr>
          <w:tab/>
        </w:r>
        <w:r w:rsidR="00EA104F">
          <w:rPr>
            <w:webHidden/>
          </w:rPr>
          <w:fldChar w:fldCharType="begin"/>
        </w:r>
        <w:r w:rsidR="00EA104F">
          <w:rPr>
            <w:webHidden/>
          </w:rPr>
          <w:instrText xml:space="preserve"> PAGEREF _Toc139873415 \h </w:instrText>
        </w:r>
        <w:r w:rsidR="00EA104F">
          <w:rPr>
            <w:webHidden/>
          </w:rPr>
        </w:r>
        <w:r w:rsidR="00EA104F">
          <w:rPr>
            <w:webHidden/>
          </w:rPr>
          <w:fldChar w:fldCharType="separate"/>
        </w:r>
        <w:r w:rsidR="00EA104F">
          <w:rPr>
            <w:webHidden/>
          </w:rPr>
          <w:t>5</w:t>
        </w:r>
        <w:r w:rsidR="00EA104F">
          <w:rPr>
            <w:webHidden/>
          </w:rPr>
          <w:fldChar w:fldCharType="end"/>
        </w:r>
      </w:hyperlink>
    </w:p>
    <w:p w14:paraId="2F8BE548" w14:textId="42FDB231" w:rsidR="00EA104F" w:rsidRDefault="00BC5FD0">
      <w:pPr>
        <w:pStyle w:val="TOC1"/>
        <w:tabs>
          <w:tab w:val="left" w:pos="720"/>
        </w:tabs>
        <w:rPr>
          <w:rFonts w:asciiTheme="minorHAnsi" w:eastAsiaTheme="minorEastAsia" w:hAnsiTheme="minorHAnsi" w:cstheme="minorBidi"/>
          <w:sz w:val="22"/>
          <w:lang w:eastAsia="en-GB" w:bidi="ar-SA"/>
        </w:rPr>
      </w:pPr>
      <w:hyperlink w:anchor="_Toc139873416" w:history="1">
        <w:r w:rsidR="00EA104F" w:rsidRPr="00917E66">
          <w:rPr>
            <w:rStyle w:val="Hyperlink"/>
          </w:rPr>
          <w:t>3.</w:t>
        </w:r>
        <w:r w:rsidR="00EA104F">
          <w:rPr>
            <w:rFonts w:asciiTheme="minorHAnsi" w:eastAsiaTheme="minorEastAsia" w:hAnsiTheme="minorHAnsi" w:cstheme="minorBidi"/>
            <w:sz w:val="22"/>
            <w:lang w:eastAsia="en-GB" w:bidi="ar-SA"/>
          </w:rPr>
          <w:tab/>
        </w:r>
        <w:r w:rsidR="00EA104F" w:rsidRPr="00917E66">
          <w:rPr>
            <w:rStyle w:val="Hyperlink"/>
          </w:rPr>
          <w:t>Relationship to Licence and other Relevant Legislation</w:t>
        </w:r>
        <w:r w:rsidR="00EA104F">
          <w:rPr>
            <w:webHidden/>
          </w:rPr>
          <w:tab/>
        </w:r>
        <w:r w:rsidR="00EA104F">
          <w:rPr>
            <w:webHidden/>
          </w:rPr>
          <w:fldChar w:fldCharType="begin"/>
        </w:r>
        <w:r w:rsidR="00EA104F">
          <w:rPr>
            <w:webHidden/>
          </w:rPr>
          <w:instrText xml:space="preserve"> PAGEREF _Toc139873416 \h </w:instrText>
        </w:r>
        <w:r w:rsidR="00EA104F">
          <w:rPr>
            <w:webHidden/>
          </w:rPr>
        </w:r>
        <w:r w:rsidR="00EA104F">
          <w:rPr>
            <w:webHidden/>
          </w:rPr>
          <w:fldChar w:fldCharType="separate"/>
        </w:r>
        <w:r w:rsidR="00EA104F">
          <w:rPr>
            <w:webHidden/>
          </w:rPr>
          <w:t>7</w:t>
        </w:r>
        <w:r w:rsidR="00EA104F">
          <w:rPr>
            <w:webHidden/>
          </w:rPr>
          <w:fldChar w:fldCharType="end"/>
        </w:r>
      </w:hyperlink>
    </w:p>
    <w:p w14:paraId="24E7CFC1" w14:textId="179EDC3B" w:rsidR="00EA104F" w:rsidRDefault="00BC5FD0">
      <w:pPr>
        <w:pStyle w:val="TOC1"/>
        <w:tabs>
          <w:tab w:val="left" w:pos="720"/>
        </w:tabs>
        <w:rPr>
          <w:rFonts w:asciiTheme="minorHAnsi" w:eastAsiaTheme="minorEastAsia" w:hAnsiTheme="minorHAnsi" w:cstheme="minorBidi"/>
          <w:sz w:val="22"/>
          <w:lang w:eastAsia="en-GB" w:bidi="ar-SA"/>
        </w:rPr>
      </w:pPr>
      <w:hyperlink w:anchor="_Toc139873417" w:history="1">
        <w:r w:rsidR="00EA104F" w:rsidRPr="00917E66">
          <w:rPr>
            <w:rStyle w:val="Hyperlink"/>
          </w:rPr>
          <w:t>4.</w:t>
        </w:r>
        <w:r w:rsidR="00EA104F">
          <w:rPr>
            <w:rFonts w:asciiTheme="minorHAnsi" w:eastAsiaTheme="minorEastAsia" w:hAnsiTheme="minorHAnsi" w:cstheme="minorBidi"/>
            <w:sz w:val="22"/>
            <w:lang w:eastAsia="en-GB" w:bidi="ar-SA"/>
          </w:rPr>
          <w:tab/>
        </w:r>
        <w:r w:rsidR="00EA104F" w:rsidRPr="00917E66">
          <w:rPr>
            <w:rStyle w:val="Hyperlink"/>
          </w:rPr>
          <w:t>Relationship to Safety Assessment Principles, WENRA Reference Levels, and IAEA Safety Standards and Guides</w:t>
        </w:r>
        <w:r w:rsidR="00EA104F">
          <w:rPr>
            <w:webHidden/>
          </w:rPr>
          <w:tab/>
        </w:r>
        <w:r w:rsidR="00EA104F">
          <w:rPr>
            <w:webHidden/>
          </w:rPr>
          <w:fldChar w:fldCharType="begin"/>
        </w:r>
        <w:r w:rsidR="00EA104F">
          <w:rPr>
            <w:webHidden/>
          </w:rPr>
          <w:instrText xml:space="preserve"> PAGEREF _Toc139873417 \h </w:instrText>
        </w:r>
        <w:r w:rsidR="00EA104F">
          <w:rPr>
            <w:webHidden/>
          </w:rPr>
        </w:r>
        <w:r w:rsidR="00EA104F">
          <w:rPr>
            <w:webHidden/>
          </w:rPr>
          <w:fldChar w:fldCharType="separate"/>
        </w:r>
        <w:r w:rsidR="00EA104F">
          <w:rPr>
            <w:webHidden/>
          </w:rPr>
          <w:t>9</w:t>
        </w:r>
        <w:r w:rsidR="00EA104F">
          <w:rPr>
            <w:webHidden/>
          </w:rPr>
          <w:fldChar w:fldCharType="end"/>
        </w:r>
      </w:hyperlink>
    </w:p>
    <w:p w14:paraId="6C19D55C" w14:textId="6C2D5BFC" w:rsidR="00EA104F" w:rsidRDefault="00BC5FD0">
      <w:pPr>
        <w:pStyle w:val="TOC1"/>
        <w:tabs>
          <w:tab w:val="left" w:pos="720"/>
        </w:tabs>
        <w:rPr>
          <w:rFonts w:asciiTheme="minorHAnsi" w:eastAsiaTheme="minorEastAsia" w:hAnsiTheme="minorHAnsi" w:cstheme="minorBidi"/>
          <w:sz w:val="22"/>
          <w:lang w:eastAsia="en-GB" w:bidi="ar-SA"/>
        </w:rPr>
      </w:pPr>
      <w:hyperlink w:anchor="_Toc139873418" w:history="1">
        <w:r w:rsidR="00EA104F" w:rsidRPr="00917E66">
          <w:rPr>
            <w:rStyle w:val="Hyperlink"/>
          </w:rPr>
          <w:t>5.</w:t>
        </w:r>
        <w:r w:rsidR="00EA104F">
          <w:rPr>
            <w:rFonts w:asciiTheme="minorHAnsi" w:eastAsiaTheme="minorEastAsia" w:hAnsiTheme="minorHAnsi" w:cstheme="minorBidi"/>
            <w:sz w:val="22"/>
            <w:lang w:eastAsia="en-GB" w:bidi="ar-SA"/>
          </w:rPr>
          <w:tab/>
        </w:r>
        <w:r w:rsidR="00EA104F" w:rsidRPr="00917E66">
          <w:rPr>
            <w:rStyle w:val="Hyperlink"/>
          </w:rPr>
          <w:t>Advice to Inspectors</w:t>
        </w:r>
        <w:r w:rsidR="00EA104F">
          <w:rPr>
            <w:webHidden/>
          </w:rPr>
          <w:tab/>
        </w:r>
        <w:r w:rsidR="00EA104F">
          <w:rPr>
            <w:webHidden/>
          </w:rPr>
          <w:fldChar w:fldCharType="begin"/>
        </w:r>
        <w:r w:rsidR="00EA104F">
          <w:rPr>
            <w:webHidden/>
          </w:rPr>
          <w:instrText xml:space="preserve"> PAGEREF _Toc139873418 \h </w:instrText>
        </w:r>
        <w:r w:rsidR="00EA104F">
          <w:rPr>
            <w:webHidden/>
          </w:rPr>
        </w:r>
        <w:r w:rsidR="00EA104F">
          <w:rPr>
            <w:webHidden/>
          </w:rPr>
          <w:fldChar w:fldCharType="separate"/>
        </w:r>
        <w:r w:rsidR="00EA104F">
          <w:rPr>
            <w:webHidden/>
          </w:rPr>
          <w:t>15</w:t>
        </w:r>
        <w:r w:rsidR="00EA104F">
          <w:rPr>
            <w:webHidden/>
          </w:rPr>
          <w:fldChar w:fldCharType="end"/>
        </w:r>
      </w:hyperlink>
    </w:p>
    <w:p w14:paraId="361B17BE" w14:textId="019877C0" w:rsidR="00EA104F" w:rsidRDefault="00BC5FD0">
      <w:pPr>
        <w:pStyle w:val="TOC1"/>
        <w:rPr>
          <w:rFonts w:asciiTheme="minorHAnsi" w:eastAsiaTheme="minorEastAsia" w:hAnsiTheme="minorHAnsi" w:cstheme="minorBidi"/>
          <w:sz w:val="22"/>
          <w:lang w:eastAsia="en-GB" w:bidi="ar-SA"/>
        </w:rPr>
      </w:pPr>
      <w:hyperlink w:anchor="_Toc139873419" w:history="1">
        <w:r w:rsidR="00EA104F" w:rsidRPr="00917E66">
          <w:rPr>
            <w:rStyle w:val="Hyperlink"/>
          </w:rPr>
          <w:t>References</w:t>
        </w:r>
        <w:r w:rsidR="00EA104F">
          <w:rPr>
            <w:webHidden/>
          </w:rPr>
          <w:tab/>
        </w:r>
        <w:r w:rsidR="00EA104F">
          <w:rPr>
            <w:webHidden/>
          </w:rPr>
          <w:fldChar w:fldCharType="begin"/>
        </w:r>
        <w:r w:rsidR="00EA104F">
          <w:rPr>
            <w:webHidden/>
          </w:rPr>
          <w:instrText xml:space="preserve"> PAGEREF _Toc139873419 \h </w:instrText>
        </w:r>
        <w:r w:rsidR="00EA104F">
          <w:rPr>
            <w:webHidden/>
          </w:rPr>
        </w:r>
        <w:r w:rsidR="00EA104F">
          <w:rPr>
            <w:webHidden/>
          </w:rPr>
          <w:fldChar w:fldCharType="separate"/>
        </w:r>
        <w:r w:rsidR="00EA104F">
          <w:rPr>
            <w:webHidden/>
          </w:rPr>
          <w:t>31</w:t>
        </w:r>
        <w:r w:rsidR="00EA104F">
          <w:rPr>
            <w:webHidden/>
          </w:rPr>
          <w:fldChar w:fldCharType="end"/>
        </w:r>
      </w:hyperlink>
    </w:p>
    <w:p w14:paraId="486AAE76" w14:textId="4A12A3E3" w:rsidR="00EA104F" w:rsidRDefault="00BC5FD0">
      <w:pPr>
        <w:pStyle w:val="TOC1"/>
        <w:rPr>
          <w:rFonts w:asciiTheme="minorHAnsi" w:eastAsiaTheme="minorEastAsia" w:hAnsiTheme="minorHAnsi" w:cstheme="minorBidi"/>
          <w:sz w:val="22"/>
          <w:lang w:eastAsia="en-GB" w:bidi="ar-SA"/>
        </w:rPr>
      </w:pPr>
      <w:hyperlink w:anchor="_Toc139873420" w:history="1">
        <w:r w:rsidR="00EA104F" w:rsidRPr="00917E66">
          <w:rPr>
            <w:rStyle w:val="Hyperlink"/>
          </w:rPr>
          <w:t>Glossary and Abbreviations</w:t>
        </w:r>
        <w:r w:rsidR="00EA104F">
          <w:rPr>
            <w:webHidden/>
          </w:rPr>
          <w:tab/>
        </w:r>
        <w:r w:rsidR="00EA104F">
          <w:rPr>
            <w:webHidden/>
          </w:rPr>
          <w:fldChar w:fldCharType="begin"/>
        </w:r>
        <w:r w:rsidR="00EA104F">
          <w:rPr>
            <w:webHidden/>
          </w:rPr>
          <w:instrText xml:space="preserve"> PAGEREF _Toc139873420 \h </w:instrText>
        </w:r>
        <w:r w:rsidR="00EA104F">
          <w:rPr>
            <w:webHidden/>
          </w:rPr>
        </w:r>
        <w:r w:rsidR="00EA104F">
          <w:rPr>
            <w:webHidden/>
          </w:rPr>
          <w:fldChar w:fldCharType="separate"/>
        </w:r>
        <w:r w:rsidR="00EA104F">
          <w:rPr>
            <w:webHidden/>
          </w:rPr>
          <w:t>32</w:t>
        </w:r>
        <w:r w:rsidR="00EA104F">
          <w:rPr>
            <w:webHidden/>
          </w:rPr>
          <w:fldChar w:fldCharType="end"/>
        </w:r>
      </w:hyperlink>
    </w:p>
    <w:p w14:paraId="0CC4B54A" w14:textId="3FB3C7EC" w:rsidR="00267815" w:rsidRDefault="00EA104F"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EA104F">
          <w:headerReference w:type="even" r:id="rId17"/>
          <w:headerReference w:type="default" r:id="rId18"/>
          <w:footerReference w:type="even" r:id="rId19"/>
          <w:footerReference w:type="default" r:id="rId20"/>
          <w:pgSz w:w="11906" w:h="16838" w:code="9"/>
          <w:pgMar w:top="1440" w:right="1440" w:bottom="1440" w:left="1440" w:header="397" w:footer="397" w:gutter="0"/>
          <w:cols w:space="312"/>
          <w:docGrid w:linePitch="360"/>
        </w:sectPr>
      </w:pPr>
    </w:p>
    <w:p w14:paraId="43A875A4" w14:textId="5DEDA49A" w:rsidR="008D49A5" w:rsidRDefault="008D49A5" w:rsidP="00E90780">
      <w:pPr>
        <w:pStyle w:val="Heading1"/>
        <w:numPr>
          <w:ilvl w:val="0"/>
          <w:numId w:val="25"/>
        </w:numPr>
        <w:ind w:left="851" w:hanging="851"/>
      </w:pPr>
      <w:bookmarkStart w:id="1" w:name="_Toc139873414"/>
      <w:bookmarkEnd w:id="0"/>
      <w:r w:rsidRPr="00E90780">
        <w:lastRenderedPageBreak/>
        <w:t>Introduction</w:t>
      </w:r>
      <w:bookmarkEnd w:id="1"/>
    </w:p>
    <w:p w14:paraId="56D71E00" w14:textId="78511C37" w:rsidR="000950B3" w:rsidRDefault="000950B3" w:rsidP="00EA104F">
      <w:pPr>
        <w:pStyle w:val="F9-Paragraph"/>
      </w:pPr>
      <w:bookmarkStart w:id="2" w:name="_Hlk64448648"/>
      <w:r w:rsidRPr="00712FD1">
        <w:t xml:space="preserve">ONR has established its </w:t>
      </w:r>
      <w:hyperlink r:id="rId21" w:history="1">
        <w:r w:rsidRPr="00EA104F">
          <w:rPr>
            <w:rStyle w:val="Hyperlink"/>
            <w:color w:val="0070C0"/>
          </w:rPr>
          <w:t>Safety Assessment Principles</w:t>
        </w:r>
      </w:hyperlink>
      <w:r w:rsidRPr="00F21BA6">
        <w:t xml:space="preserve"> </w:t>
      </w:r>
      <w:r w:rsidRPr="00712FD1">
        <w:t xml:space="preserve">(SAPs) </w:t>
      </w:r>
      <w:r>
        <w:t>(</w:t>
      </w:r>
      <w:r w:rsidR="00D00802">
        <w:t>R</w:t>
      </w:r>
      <w:r w:rsidR="00F56152">
        <w:t xml:space="preserve">ef. </w:t>
      </w:r>
      <w:sdt>
        <w:sdtPr>
          <w:id w:val="-1891410551"/>
          <w:citation/>
        </w:sdtPr>
        <w:sdtEndPr/>
        <w:sdtContent>
          <w:r>
            <w:fldChar w:fldCharType="begin"/>
          </w:r>
          <w:r>
            <w:instrText xml:space="preserve"> CITATION ONR2013 \l 2057 </w:instrText>
          </w:r>
          <w:r>
            <w:fldChar w:fldCharType="separate"/>
          </w:r>
          <w:r w:rsidR="00FD7BB0">
            <w:rPr>
              <w:noProof/>
            </w:rPr>
            <w:t>[1]</w:t>
          </w:r>
          <w:r>
            <w:fldChar w:fldCharType="end"/>
          </w:r>
        </w:sdtContent>
      </w:sdt>
      <w:r>
        <w:t xml:space="preserve">) </w:t>
      </w:r>
      <w:r w:rsidRPr="00712FD1">
        <w:t>which apply to the assessment by ONR specialist inspectors of safety cases for nuclear facilities that may be operated by potential licensees, existing licensees, or other duty-holders.</w:t>
      </w:r>
      <w:r>
        <w:t xml:space="preserve"> </w:t>
      </w:r>
      <w:r w:rsidRPr="00712FD1">
        <w:t>The principles presented in the SAPs are supported by a suite of guides to further assist ONR’s inspectors in their technical assessment work in support of making regulatory judgements and decisions. This technical assessment guide (TAG) is one of these guides.</w:t>
      </w:r>
    </w:p>
    <w:p w14:paraId="2CD6D527" w14:textId="77777777" w:rsidR="002F487C" w:rsidRPr="00712FD1" w:rsidRDefault="002F487C" w:rsidP="00EA104F">
      <w:pPr>
        <w:pStyle w:val="F9-Paragraph"/>
        <w:numPr>
          <w:ilvl w:val="0"/>
          <w:numId w:val="0"/>
        </w:numPr>
        <w:ind w:left="851"/>
      </w:pPr>
    </w:p>
    <w:bookmarkEnd w:id="2"/>
    <w:p w14:paraId="5A4A167D" w14:textId="77777777" w:rsidR="004B1C61" w:rsidRDefault="004B1C61" w:rsidP="00E90780">
      <w:pPr>
        <w:pStyle w:val="Heading1"/>
        <w:sectPr w:rsidR="004B1C61" w:rsidSect="00EA104F">
          <w:headerReference w:type="even" r:id="rId22"/>
          <w:headerReference w:type="default" r:id="rId23"/>
          <w:footerReference w:type="even" r:id="rId24"/>
          <w:pgSz w:w="11906" w:h="16838" w:code="9"/>
          <w:pgMar w:top="1440" w:right="1440" w:bottom="1440" w:left="1440" w:header="397" w:footer="397" w:gutter="0"/>
          <w:cols w:space="312"/>
          <w:docGrid w:linePitch="360"/>
        </w:sectPr>
      </w:pPr>
    </w:p>
    <w:p w14:paraId="05AAE39A" w14:textId="20BA220B" w:rsidR="008D49A5" w:rsidRDefault="000950B3" w:rsidP="00E90780">
      <w:pPr>
        <w:pStyle w:val="Heading1"/>
      </w:pPr>
      <w:bookmarkStart w:id="3" w:name="_Toc139873415"/>
      <w:r>
        <w:lastRenderedPageBreak/>
        <w:t>Purpose and Scope</w:t>
      </w:r>
      <w:bookmarkEnd w:id="3"/>
    </w:p>
    <w:p w14:paraId="31A21788" w14:textId="4E90365E" w:rsidR="003F151B" w:rsidRPr="00EA104F" w:rsidRDefault="003F151B" w:rsidP="00EA104F">
      <w:pPr>
        <w:pStyle w:val="F9-Paragraph"/>
      </w:pPr>
      <w:r w:rsidRPr="00EA104F">
        <w:t>The Nuclear Baseline (NB) is the means by which the licensee demonstrates that its organisational structure, staffing and competencies are, and remain, suitable and sufficient to manage nuclear safety throughout the full range of the licensee’s business. It also provides the foundation from which organisational changes can be assessed in accordance with the licensee’s arrangements made under Licence Condition (LC) 36.</w:t>
      </w:r>
    </w:p>
    <w:p w14:paraId="4F1E6FF7" w14:textId="2A0AD1FE" w:rsidR="00370B6B" w:rsidRDefault="004B1C61" w:rsidP="00EA104F">
      <w:pPr>
        <w:pStyle w:val="F9-Paragraph"/>
      </w:pPr>
      <w:r w:rsidRPr="000C7D11">
        <w:t xml:space="preserve">This TAG sets out ONR’s expectations for existing and prospective licensees’ development and maintenance of their </w:t>
      </w:r>
      <w:r w:rsidR="00970ED9">
        <w:t>NBs</w:t>
      </w:r>
      <w:r w:rsidRPr="000C7D11">
        <w:t>.</w:t>
      </w:r>
      <w:r w:rsidR="002A18AA">
        <w:t xml:space="preserve"> </w:t>
      </w:r>
      <w:r w:rsidR="00A96A8D">
        <w:t xml:space="preserve">It should be </w:t>
      </w:r>
      <w:r w:rsidR="00A96A8D" w:rsidRPr="00F75C4C">
        <w:t>read in conjunction with</w:t>
      </w:r>
      <w:r w:rsidR="00A96A8D">
        <w:t xml:space="preserve"> ONR’s </w:t>
      </w:r>
      <w:r w:rsidR="00EA104F">
        <w:t xml:space="preserve">Technical </w:t>
      </w:r>
      <w:r w:rsidR="00A96A8D">
        <w:t>Inspection Guide</w:t>
      </w:r>
      <w:r w:rsidR="00EA104F">
        <w:t>, ‘</w:t>
      </w:r>
      <w:r w:rsidR="00A96A8D">
        <w:rPr>
          <w:noProof/>
        </w:rPr>
        <w:t>LC36 - Organisational Capability</w:t>
      </w:r>
      <w:r w:rsidR="00EA104F">
        <w:rPr>
          <w:noProof/>
        </w:rPr>
        <w:t>’</w:t>
      </w:r>
      <w:r w:rsidR="00A96A8D">
        <w:t xml:space="preserve"> (</w:t>
      </w:r>
      <w:r w:rsidR="00A96A8D" w:rsidRPr="00F75C4C">
        <w:t xml:space="preserve">Ref. </w:t>
      </w:r>
      <w:sdt>
        <w:sdtPr>
          <w:id w:val="292954603"/>
          <w:citation/>
        </w:sdtPr>
        <w:sdtEndPr/>
        <w:sdtContent>
          <w:r w:rsidR="00A96A8D" w:rsidRPr="00F75C4C">
            <w:fldChar w:fldCharType="begin"/>
          </w:r>
          <w:r w:rsidR="00A96A8D">
            <w:instrText xml:space="preserve">CITATION ONR205 \l 2057 </w:instrText>
          </w:r>
          <w:r w:rsidR="00A96A8D" w:rsidRPr="00F75C4C">
            <w:fldChar w:fldCharType="separate"/>
          </w:r>
          <w:r w:rsidR="00FD7BB0">
            <w:rPr>
              <w:noProof/>
            </w:rPr>
            <w:t>[2]</w:t>
          </w:r>
          <w:r w:rsidR="00A96A8D" w:rsidRPr="00F75C4C">
            <w:fldChar w:fldCharType="end"/>
          </w:r>
        </w:sdtContent>
      </w:sdt>
      <w:r w:rsidR="00A96A8D">
        <w:t>)</w:t>
      </w:r>
    </w:p>
    <w:p w14:paraId="5787A495" w14:textId="6E638FB3" w:rsidR="00370B6B" w:rsidRPr="00980A2D" w:rsidRDefault="00370B6B" w:rsidP="00EA104F">
      <w:pPr>
        <w:pStyle w:val="F9-Paragraph"/>
        <w:rPr>
          <w:lang w:val="en"/>
        </w:rPr>
      </w:pPr>
      <w:r w:rsidRPr="00980A2D">
        <w:rPr>
          <w:lang w:val="en"/>
        </w:rPr>
        <w:t xml:space="preserve">The nuclear industry </w:t>
      </w:r>
      <w:hyperlink r:id="rId25" w:history="1">
        <w:r w:rsidRPr="00EA104F">
          <w:rPr>
            <w:rStyle w:val="Hyperlink"/>
            <w:lang w:val="en"/>
          </w:rPr>
          <w:t>Safety Directors’ Forum</w:t>
        </w:r>
      </w:hyperlink>
      <w:r w:rsidRPr="00980A2D">
        <w:rPr>
          <w:lang w:val="en"/>
        </w:rPr>
        <w:t xml:space="preserve"> </w:t>
      </w:r>
      <w:r w:rsidR="001833F1">
        <w:rPr>
          <w:lang w:val="en"/>
        </w:rPr>
        <w:t xml:space="preserve">(Ref. </w:t>
      </w:r>
      <w:sdt>
        <w:sdtPr>
          <w:rPr>
            <w:lang w:val="en"/>
          </w:rPr>
          <w:id w:val="-85085699"/>
          <w:citation/>
        </w:sdtPr>
        <w:sdtEndPr/>
        <w:sdtContent>
          <w:r w:rsidR="00CF6E74">
            <w:rPr>
              <w:lang w:val="en"/>
            </w:rPr>
            <w:fldChar w:fldCharType="begin"/>
          </w:r>
          <w:r w:rsidR="00CF6E74">
            <w:instrText xml:space="preserve"> CITATION GPG \l 2057 </w:instrText>
          </w:r>
          <w:r w:rsidR="00CF6E74">
            <w:rPr>
              <w:lang w:val="en"/>
            </w:rPr>
            <w:fldChar w:fldCharType="separate"/>
          </w:r>
          <w:r w:rsidR="00FD7BB0">
            <w:rPr>
              <w:noProof/>
            </w:rPr>
            <w:t>[3]</w:t>
          </w:r>
          <w:r w:rsidR="00CF6E74">
            <w:rPr>
              <w:lang w:val="en"/>
            </w:rPr>
            <w:fldChar w:fldCharType="end"/>
          </w:r>
        </w:sdtContent>
      </w:sdt>
      <w:r w:rsidR="00CF6E74">
        <w:rPr>
          <w:lang w:val="en"/>
        </w:rPr>
        <w:t xml:space="preserve">) </w:t>
      </w:r>
      <w:r w:rsidRPr="00980A2D">
        <w:rPr>
          <w:lang w:val="en"/>
        </w:rPr>
        <w:t>has also published a guide</w:t>
      </w:r>
      <w:r w:rsidR="00D96BE4" w:rsidRPr="00980A2D">
        <w:rPr>
          <w:lang w:val="en"/>
        </w:rPr>
        <w:t xml:space="preserve"> directly </w:t>
      </w:r>
      <w:r w:rsidRPr="00980A2D">
        <w:rPr>
          <w:lang w:val="en"/>
        </w:rPr>
        <w:t xml:space="preserve">relevant to </w:t>
      </w:r>
      <w:r w:rsidR="00D96BE4" w:rsidRPr="00980A2D">
        <w:rPr>
          <w:lang w:val="en"/>
        </w:rPr>
        <w:t>the nuclear baseline</w:t>
      </w:r>
      <w:r w:rsidRPr="00F21BA6">
        <w:rPr>
          <w:lang w:val="en"/>
        </w:rPr>
        <w:t>.</w:t>
      </w:r>
      <w:r w:rsidR="00EA104F">
        <w:rPr>
          <w:lang w:val="en"/>
        </w:rPr>
        <w:t xml:space="preserve"> </w:t>
      </w:r>
    </w:p>
    <w:p w14:paraId="3E6CE64E" w14:textId="5CEBC02E" w:rsidR="004B1C61" w:rsidRDefault="004B1C61" w:rsidP="00EA104F">
      <w:pPr>
        <w:pStyle w:val="F9-Paragraph"/>
        <w:rPr>
          <w:lang w:val="en"/>
        </w:rPr>
      </w:pPr>
      <w:r w:rsidRPr="000C7D11">
        <w:rPr>
          <w:lang w:val="en"/>
        </w:rPr>
        <w:t>The following definitions are applicable to this assessment guide:</w:t>
      </w:r>
    </w:p>
    <w:p w14:paraId="5B388FC8" w14:textId="30147913" w:rsidR="00D96BE4" w:rsidRPr="00EA104F" w:rsidRDefault="00D96BE4" w:rsidP="00EA104F">
      <w:pPr>
        <w:pStyle w:val="Caption"/>
      </w:pPr>
      <w:r w:rsidRPr="00EA104F">
        <w:t xml:space="preserve">Table </w:t>
      </w:r>
      <w:fldSimple w:instr=" SEQ Table \* ARABIC ">
        <w:r w:rsidRPr="00EA104F">
          <w:t>2</w:t>
        </w:r>
      </w:fldSimple>
      <w:r w:rsidRPr="00EA104F">
        <w:t xml:space="preserve"> - Table of Definitions</w:t>
      </w:r>
    </w:p>
    <w:tbl>
      <w:tblPr>
        <w:tblStyle w:val="ONRTable1"/>
        <w:tblW w:w="5000" w:type="pct"/>
        <w:tblInd w:w="5" w:type="dxa"/>
        <w:tblLook w:val="04A0" w:firstRow="1" w:lastRow="0" w:firstColumn="1" w:lastColumn="0" w:noHBand="0" w:noVBand="1"/>
      </w:tblPr>
      <w:tblGrid>
        <w:gridCol w:w="2043"/>
        <w:gridCol w:w="6983"/>
      </w:tblGrid>
      <w:tr w:rsidR="00EA104F" w:rsidRPr="00EA104F" w14:paraId="526305CB" w14:textId="77777777" w:rsidTr="00EA104F">
        <w:trPr>
          <w:cnfStyle w:val="100000000000" w:firstRow="1" w:lastRow="0" w:firstColumn="0" w:lastColumn="0" w:oddVBand="0" w:evenVBand="0" w:oddHBand="0" w:evenHBand="0" w:firstRowFirstColumn="0" w:firstRowLastColumn="0" w:lastRowFirstColumn="0" w:lastRowLastColumn="0"/>
          <w:cantSplit/>
          <w:tblHeader/>
        </w:trPr>
        <w:tc>
          <w:tcPr>
            <w:tcW w:w="1132" w:type="pct"/>
          </w:tcPr>
          <w:p w14:paraId="7D11CB8D" w14:textId="77777777" w:rsidR="00D96BE4" w:rsidRPr="00EA104F" w:rsidRDefault="00D96BE4" w:rsidP="00D824F9">
            <w:pPr>
              <w:spacing w:before="60" w:after="60" w:line="240" w:lineRule="auto"/>
              <w:rPr>
                <w:b w:val="0"/>
                <w:bCs/>
                <w:szCs w:val="24"/>
              </w:rPr>
            </w:pPr>
            <w:r w:rsidRPr="00EA104F">
              <w:rPr>
                <w:bCs/>
                <w:szCs w:val="24"/>
              </w:rPr>
              <w:t>Term/ Acronym</w:t>
            </w:r>
          </w:p>
        </w:tc>
        <w:tc>
          <w:tcPr>
            <w:tcW w:w="3868" w:type="pct"/>
          </w:tcPr>
          <w:p w14:paraId="2EBAE153" w14:textId="77777777" w:rsidR="00D96BE4" w:rsidRPr="00EA104F" w:rsidRDefault="00D96BE4" w:rsidP="00D824F9">
            <w:pPr>
              <w:spacing w:before="60" w:after="60" w:line="240" w:lineRule="auto"/>
              <w:rPr>
                <w:b w:val="0"/>
                <w:bCs/>
                <w:szCs w:val="24"/>
              </w:rPr>
            </w:pPr>
            <w:r w:rsidRPr="00EA104F">
              <w:rPr>
                <w:bCs/>
                <w:szCs w:val="24"/>
              </w:rPr>
              <w:t>Description</w:t>
            </w:r>
          </w:p>
        </w:tc>
      </w:tr>
      <w:tr w:rsidR="00D96BE4" w:rsidRPr="00461F4B" w14:paraId="27431337" w14:textId="77777777" w:rsidTr="00EA104F">
        <w:trPr>
          <w:cantSplit/>
        </w:trPr>
        <w:tc>
          <w:tcPr>
            <w:tcW w:w="1132" w:type="pct"/>
          </w:tcPr>
          <w:p w14:paraId="7FAFC028" w14:textId="77777777" w:rsidR="00D96BE4" w:rsidRPr="00EA104F" w:rsidRDefault="00D96BE4" w:rsidP="00D824F9">
            <w:pPr>
              <w:spacing w:before="60" w:after="60" w:line="240" w:lineRule="auto"/>
              <w:rPr>
                <w:bCs/>
                <w:sz w:val="22"/>
              </w:rPr>
            </w:pPr>
            <w:r w:rsidRPr="00EA104F">
              <w:rPr>
                <w:bCs/>
                <w:sz w:val="22"/>
              </w:rPr>
              <w:t>Contractor</w:t>
            </w:r>
          </w:p>
        </w:tc>
        <w:tc>
          <w:tcPr>
            <w:tcW w:w="3868" w:type="pct"/>
          </w:tcPr>
          <w:p w14:paraId="146BC7A7" w14:textId="77777777" w:rsidR="00D96BE4" w:rsidRPr="00EA104F" w:rsidRDefault="00D96BE4" w:rsidP="00980A2D">
            <w:pPr>
              <w:pStyle w:val="Bullet"/>
              <w:numPr>
                <w:ilvl w:val="0"/>
                <w:numId w:val="0"/>
              </w:numPr>
              <w:spacing w:before="60" w:after="60"/>
              <w:rPr>
                <w:sz w:val="22"/>
                <w:szCs w:val="22"/>
              </w:rPr>
            </w:pPr>
            <w:r w:rsidRPr="00EA104F">
              <w:rPr>
                <w:noProof/>
                <w:sz w:val="22"/>
                <w:szCs w:val="22"/>
              </w:rPr>
              <w:t>Any organisation or individual person that provides a service for a licensee under a legally binding contract that is not in the licensee’s direct employment or formally seconded to the licensee from the licensee’s parent company. This definition also includes divisions or functions of the parent company organisation appointed by the licensee organisation to provide specific services e.g. Architect Engineer or Responsible Designer services.</w:t>
            </w:r>
          </w:p>
          <w:p w14:paraId="05D714BC" w14:textId="77777777" w:rsidR="00D96BE4" w:rsidRPr="00EA104F" w:rsidRDefault="00D96BE4" w:rsidP="00980A2D">
            <w:pPr>
              <w:pStyle w:val="Bullet"/>
              <w:numPr>
                <w:ilvl w:val="0"/>
                <w:numId w:val="0"/>
              </w:numPr>
              <w:spacing w:before="60" w:after="60"/>
              <w:rPr>
                <w:sz w:val="22"/>
                <w:szCs w:val="22"/>
              </w:rPr>
            </w:pPr>
            <w:r w:rsidRPr="00EA104F">
              <w:rPr>
                <w:noProof/>
                <w:sz w:val="22"/>
                <w:szCs w:val="22"/>
              </w:rPr>
              <w:t>The definition excludes individual contractors or members of contractor organisations which the licensee is able to demonstrate as being fully embedded in the licensee organisation to the point that they can be regarded as employees for health and safety law purposes, and ‘secondees’ from a parent company or parent body organisation.</w:t>
            </w:r>
          </w:p>
        </w:tc>
      </w:tr>
      <w:tr w:rsidR="00D96BE4" w:rsidRPr="00461F4B" w:rsidDel="004D7DEF" w14:paraId="79C061A7" w14:textId="77777777" w:rsidTr="00EA104F">
        <w:trPr>
          <w:cantSplit/>
        </w:trPr>
        <w:tc>
          <w:tcPr>
            <w:tcW w:w="1132" w:type="pct"/>
          </w:tcPr>
          <w:p w14:paraId="5344F12F" w14:textId="77777777" w:rsidR="00D96BE4" w:rsidRPr="00EA104F" w:rsidRDefault="00D96BE4" w:rsidP="00D824F9">
            <w:pPr>
              <w:spacing w:before="60" w:after="60" w:line="240" w:lineRule="auto"/>
              <w:rPr>
                <w:bCs/>
                <w:sz w:val="22"/>
              </w:rPr>
            </w:pPr>
            <w:r w:rsidRPr="00EA104F">
              <w:rPr>
                <w:bCs/>
                <w:sz w:val="22"/>
              </w:rPr>
              <w:t>Core Safety Capability</w:t>
            </w:r>
          </w:p>
        </w:tc>
        <w:tc>
          <w:tcPr>
            <w:tcW w:w="3868" w:type="pct"/>
          </w:tcPr>
          <w:p w14:paraId="16E56780" w14:textId="77777777" w:rsidR="00D96BE4" w:rsidRPr="00EA104F" w:rsidDel="004D7DEF" w:rsidRDefault="00D96BE4" w:rsidP="00980A2D">
            <w:pPr>
              <w:spacing w:before="60" w:after="60" w:line="240" w:lineRule="auto"/>
              <w:rPr>
                <w:sz w:val="22"/>
              </w:rPr>
            </w:pPr>
            <w:r w:rsidRPr="00EA104F">
              <w:rPr>
                <w:bCs/>
                <w:sz w:val="22"/>
              </w:rPr>
              <w:t>The competencies, functional specialisms and resources that the licensee should maintain within its own organisation to be able to maintain control and oversight of safety at all times. This core safety capability will include technical, operational and managerial elements.</w:t>
            </w:r>
          </w:p>
        </w:tc>
      </w:tr>
      <w:tr w:rsidR="00D96BE4" w:rsidRPr="00461F4B" w14:paraId="4B53AB96" w14:textId="77777777" w:rsidTr="00EA104F">
        <w:trPr>
          <w:cantSplit/>
        </w:trPr>
        <w:tc>
          <w:tcPr>
            <w:tcW w:w="1132" w:type="pct"/>
          </w:tcPr>
          <w:p w14:paraId="04295E2A" w14:textId="77777777" w:rsidR="00D96BE4" w:rsidRPr="00EA104F" w:rsidRDefault="00D96BE4" w:rsidP="00D824F9">
            <w:pPr>
              <w:spacing w:before="60" w:after="60" w:line="240" w:lineRule="auto"/>
              <w:rPr>
                <w:bCs/>
                <w:sz w:val="22"/>
              </w:rPr>
            </w:pPr>
            <w:r w:rsidRPr="00EA104F">
              <w:rPr>
                <w:bCs/>
                <w:sz w:val="22"/>
              </w:rPr>
              <w:lastRenderedPageBreak/>
              <w:t>Intelligent Customer</w:t>
            </w:r>
          </w:p>
        </w:tc>
        <w:tc>
          <w:tcPr>
            <w:tcW w:w="3868" w:type="pct"/>
          </w:tcPr>
          <w:p w14:paraId="420E27CE" w14:textId="77777777" w:rsidR="00D96BE4" w:rsidRPr="00EA104F" w:rsidRDefault="00D96BE4" w:rsidP="00980A2D">
            <w:pPr>
              <w:spacing w:before="60" w:after="60" w:line="240" w:lineRule="auto"/>
              <w:rPr>
                <w:sz w:val="22"/>
              </w:rPr>
            </w:pPr>
            <w:r w:rsidRPr="00EA104F">
              <w:rPr>
                <w:bCs/>
                <w:sz w:val="22"/>
              </w:rPr>
              <w:t>ONR’s Safety Assessment Principles (SAPs) [1] define Intelligent Customer (IC) as:</w:t>
            </w:r>
          </w:p>
          <w:p w14:paraId="3419ECAB" w14:textId="77777777" w:rsidR="00D96BE4" w:rsidRPr="00EA104F" w:rsidRDefault="00D96BE4" w:rsidP="00D824F9">
            <w:pPr>
              <w:pStyle w:val="Bulletlist1"/>
              <w:numPr>
                <w:ilvl w:val="0"/>
                <w:numId w:val="0"/>
              </w:numPr>
              <w:ind w:left="382"/>
              <w:rPr>
                <w:sz w:val="22"/>
              </w:rPr>
            </w:pPr>
            <w:r w:rsidRPr="00EA104F">
              <w:rPr>
                <w:sz w:val="22"/>
              </w:rPr>
              <w:t>“The capability of an organisation to understand where and when work is needed; specify what needs to be done; understand and set suitable standards; supervise and control the work; and review, evaluate and accept the work carried out on its behalf”</w:t>
            </w:r>
          </w:p>
          <w:p w14:paraId="61992600" w14:textId="77777777" w:rsidR="00D96BE4" w:rsidRPr="00EA104F" w:rsidRDefault="00D96BE4" w:rsidP="00980A2D">
            <w:pPr>
              <w:spacing w:before="60" w:after="60" w:line="240" w:lineRule="auto"/>
              <w:rPr>
                <w:sz w:val="22"/>
              </w:rPr>
            </w:pPr>
            <w:r w:rsidRPr="00EA104F">
              <w:rPr>
                <w:bCs/>
                <w:sz w:val="22"/>
              </w:rPr>
              <w:t>The concept of intelligent customer relates to the attributes of an organisation rather than the capabilities of individual post holders. The term ‘intelligent customer’ encompasses the IAEA expression ‘informed customer’.</w:t>
            </w:r>
          </w:p>
        </w:tc>
      </w:tr>
      <w:tr w:rsidR="00D96BE4" w:rsidRPr="00461F4B" w14:paraId="21F1E6AD" w14:textId="77777777" w:rsidTr="00EA104F">
        <w:trPr>
          <w:cantSplit/>
        </w:trPr>
        <w:tc>
          <w:tcPr>
            <w:tcW w:w="1132" w:type="pct"/>
          </w:tcPr>
          <w:p w14:paraId="63EA6E4F" w14:textId="77777777" w:rsidR="00D96BE4" w:rsidRPr="00EA104F" w:rsidRDefault="00D96BE4" w:rsidP="00D824F9">
            <w:pPr>
              <w:spacing w:before="60" w:after="60" w:line="240" w:lineRule="auto"/>
              <w:rPr>
                <w:bCs/>
                <w:sz w:val="22"/>
              </w:rPr>
            </w:pPr>
            <w:r w:rsidRPr="00EA104F">
              <w:rPr>
                <w:bCs/>
                <w:sz w:val="22"/>
              </w:rPr>
              <w:t>Nuclear Baseline</w:t>
            </w:r>
          </w:p>
        </w:tc>
        <w:tc>
          <w:tcPr>
            <w:tcW w:w="3868" w:type="pct"/>
          </w:tcPr>
          <w:p w14:paraId="3396BE37" w14:textId="77777777" w:rsidR="00D96BE4" w:rsidRPr="00EA104F" w:rsidRDefault="00D96BE4" w:rsidP="00980A2D">
            <w:pPr>
              <w:spacing w:before="60" w:after="60" w:line="240" w:lineRule="auto"/>
              <w:rPr>
                <w:sz w:val="22"/>
              </w:rPr>
            </w:pPr>
            <w:r w:rsidRPr="00EA104F">
              <w:rPr>
                <w:bCs/>
                <w:sz w:val="22"/>
              </w:rPr>
              <w:t>Defines the organisational structures (shape and size) and resourcing to ensure an appropriate number of Suitably Qualified and Experienced Persons (SQEPs) are in place to remain in control of activities that could impact on nuclear safety under all foreseeable circumstances throughout the lifecycle of the facility.</w:t>
            </w:r>
          </w:p>
          <w:p w14:paraId="390C24F0" w14:textId="77777777" w:rsidR="00D96BE4" w:rsidRPr="00EA104F" w:rsidRDefault="00D96BE4" w:rsidP="00980A2D">
            <w:pPr>
              <w:spacing w:before="60" w:after="60" w:line="240" w:lineRule="auto"/>
              <w:rPr>
                <w:sz w:val="22"/>
              </w:rPr>
            </w:pPr>
            <w:r w:rsidRPr="00EA104F">
              <w:rPr>
                <w:bCs/>
                <w:sz w:val="22"/>
              </w:rPr>
              <w:t>The Nuclear Baseline should contain all posts / roles that could have a direct or indirect impact on nuclear safety, both immediate and latent.</w:t>
            </w:r>
          </w:p>
        </w:tc>
      </w:tr>
      <w:tr w:rsidR="00D96BE4" w:rsidRPr="00461F4B" w14:paraId="2AF39954" w14:textId="77777777" w:rsidTr="00EA104F">
        <w:trPr>
          <w:cantSplit/>
        </w:trPr>
        <w:tc>
          <w:tcPr>
            <w:tcW w:w="1132" w:type="pct"/>
          </w:tcPr>
          <w:p w14:paraId="08289C89" w14:textId="77777777" w:rsidR="00D96BE4" w:rsidRPr="00EA104F" w:rsidRDefault="00D96BE4" w:rsidP="00D824F9">
            <w:pPr>
              <w:spacing w:before="60" w:after="60" w:line="240" w:lineRule="auto"/>
              <w:rPr>
                <w:bCs/>
                <w:sz w:val="22"/>
              </w:rPr>
            </w:pPr>
            <w:r w:rsidRPr="00EA104F">
              <w:rPr>
                <w:bCs/>
                <w:sz w:val="22"/>
              </w:rPr>
              <w:t>Organisational Capability</w:t>
            </w:r>
          </w:p>
        </w:tc>
        <w:tc>
          <w:tcPr>
            <w:tcW w:w="3868" w:type="pct"/>
          </w:tcPr>
          <w:p w14:paraId="1909E06E" w14:textId="77777777" w:rsidR="00D96BE4" w:rsidRPr="00EA104F" w:rsidRDefault="00D96BE4" w:rsidP="00980A2D">
            <w:pPr>
              <w:spacing w:before="60" w:after="60" w:line="240" w:lineRule="auto"/>
              <w:rPr>
                <w:sz w:val="22"/>
              </w:rPr>
            </w:pPr>
            <w:r w:rsidRPr="00EA104F">
              <w:rPr>
                <w:bCs/>
                <w:sz w:val="22"/>
              </w:rPr>
              <w:t>The concept of organisational capability relates to the combination of organisational structures (shape and size), functional specialisms, competence (both individual and collective) and resource capacity to conduct defined activities. Organisational capability is defined in the context of multiple factors including the operating lifecycle stage of the facility.</w:t>
            </w:r>
          </w:p>
        </w:tc>
      </w:tr>
      <w:tr w:rsidR="00D96BE4" w:rsidRPr="00461F4B" w14:paraId="4D818C3C" w14:textId="77777777" w:rsidTr="00EA104F">
        <w:trPr>
          <w:cantSplit/>
        </w:trPr>
        <w:tc>
          <w:tcPr>
            <w:tcW w:w="1132" w:type="pct"/>
          </w:tcPr>
          <w:p w14:paraId="6F5B4D1D" w14:textId="77777777" w:rsidR="00D96BE4" w:rsidRPr="00EA104F" w:rsidRDefault="00D96BE4" w:rsidP="00D824F9">
            <w:pPr>
              <w:spacing w:before="60" w:after="60" w:line="240" w:lineRule="auto"/>
              <w:rPr>
                <w:bCs/>
                <w:sz w:val="22"/>
              </w:rPr>
            </w:pPr>
            <w:r w:rsidRPr="00EA104F">
              <w:rPr>
                <w:bCs/>
                <w:sz w:val="22"/>
              </w:rPr>
              <w:t>Post (Job)</w:t>
            </w:r>
          </w:p>
        </w:tc>
        <w:tc>
          <w:tcPr>
            <w:tcW w:w="3868" w:type="pct"/>
          </w:tcPr>
          <w:p w14:paraId="1CAA54BD" w14:textId="77777777" w:rsidR="00D96BE4" w:rsidRPr="00EA104F" w:rsidRDefault="00D96BE4" w:rsidP="00980A2D">
            <w:pPr>
              <w:spacing w:before="60" w:after="60" w:line="240" w:lineRule="auto"/>
              <w:rPr>
                <w:sz w:val="22"/>
              </w:rPr>
            </w:pPr>
            <w:r w:rsidRPr="00EA104F">
              <w:rPr>
                <w:bCs/>
                <w:sz w:val="22"/>
              </w:rPr>
              <w:t>A position identified on an organisational structure</w:t>
            </w:r>
          </w:p>
        </w:tc>
      </w:tr>
      <w:tr w:rsidR="00D96BE4" w:rsidRPr="00461F4B" w14:paraId="1809107F" w14:textId="77777777" w:rsidTr="00EA104F">
        <w:trPr>
          <w:cantSplit/>
        </w:trPr>
        <w:tc>
          <w:tcPr>
            <w:tcW w:w="1132" w:type="pct"/>
          </w:tcPr>
          <w:p w14:paraId="7DEDAEC3" w14:textId="77777777" w:rsidR="00D96BE4" w:rsidRPr="00EA104F" w:rsidRDefault="00D96BE4" w:rsidP="00D824F9">
            <w:pPr>
              <w:spacing w:before="60" w:after="60" w:line="240" w:lineRule="auto"/>
              <w:rPr>
                <w:bCs/>
                <w:sz w:val="22"/>
              </w:rPr>
            </w:pPr>
            <w:r w:rsidRPr="00EA104F">
              <w:rPr>
                <w:bCs/>
                <w:sz w:val="22"/>
              </w:rPr>
              <w:t>Role</w:t>
            </w:r>
          </w:p>
        </w:tc>
        <w:tc>
          <w:tcPr>
            <w:tcW w:w="3868" w:type="pct"/>
          </w:tcPr>
          <w:p w14:paraId="22566E4C" w14:textId="77777777" w:rsidR="00D96BE4" w:rsidRPr="00EA104F" w:rsidRDefault="00D96BE4" w:rsidP="00980A2D">
            <w:pPr>
              <w:spacing w:before="60" w:after="60" w:line="240" w:lineRule="auto"/>
              <w:rPr>
                <w:sz w:val="22"/>
              </w:rPr>
            </w:pPr>
            <w:r w:rsidRPr="00EA104F">
              <w:rPr>
                <w:bCs/>
                <w:sz w:val="22"/>
              </w:rPr>
              <w:t xml:space="preserve">A specific work activity/ responsibility </w:t>
            </w:r>
          </w:p>
          <w:p w14:paraId="68D20C09" w14:textId="1E368CAA" w:rsidR="00D96BE4" w:rsidRPr="00EA104F" w:rsidRDefault="00D96BE4" w:rsidP="00980A2D">
            <w:pPr>
              <w:pStyle w:val="Bulletlist1"/>
              <w:numPr>
                <w:ilvl w:val="0"/>
                <w:numId w:val="0"/>
              </w:numPr>
              <w:spacing w:before="0"/>
              <w:rPr>
                <w:sz w:val="22"/>
              </w:rPr>
            </w:pPr>
            <w:r w:rsidRPr="00EA104F">
              <w:rPr>
                <w:sz w:val="22"/>
              </w:rPr>
              <w:t>Note:</w:t>
            </w:r>
            <w:r w:rsidR="00EA104F" w:rsidRPr="00EA104F">
              <w:rPr>
                <w:sz w:val="22"/>
              </w:rPr>
              <w:t xml:space="preserve"> </w:t>
            </w:r>
          </w:p>
          <w:p w14:paraId="5D249879" w14:textId="77777777" w:rsidR="00D96BE4" w:rsidRPr="00EA104F" w:rsidRDefault="00D96BE4" w:rsidP="00980A2D">
            <w:pPr>
              <w:pStyle w:val="Bulletlist1"/>
              <w:numPr>
                <w:ilvl w:val="0"/>
                <w:numId w:val="39"/>
              </w:numPr>
              <w:spacing w:before="0"/>
              <w:rPr>
                <w:sz w:val="22"/>
              </w:rPr>
            </w:pPr>
            <w:r w:rsidRPr="00EA104F">
              <w:rPr>
                <w:sz w:val="22"/>
              </w:rPr>
              <w:t>Licensees may choose to break down a post into constituent roles which are assigned to that post profile/ job description</w:t>
            </w:r>
          </w:p>
          <w:p w14:paraId="5FFA46AD" w14:textId="77777777" w:rsidR="00D96BE4" w:rsidRPr="00EA104F" w:rsidRDefault="00D96BE4" w:rsidP="00980A2D">
            <w:pPr>
              <w:pStyle w:val="Bulletlist1"/>
              <w:numPr>
                <w:ilvl w:val="0"/>
                <w:numId w:val="0"/>
              </w:numPr>
              <w:spacing w:before="0"/>
              <w:ind w:left="720"/>
              <w:rPr>
                <w:sz w:val="22"/>
              </w:rPr>
            </w:pPr>
            <w:r w:rsidRPr="00EA104F">
              <w:rPr>
                <w:sz w:val="22"/>
              </w:rPr>
              <w:t>Or</w:t>
            </w:r>
          </w:p>
          <w:p w14:paraId="1F764A32" w14:textId="77777777" w:rsidR="00D96BE4" w:rsidRPr="00EA104F" w:rsidRDefault="00D96BE4" w:rsidP="00980A2D">
            <w:pPr>
              <w:pStyle w:val="Bulletlist1"/>
              <w:numPr>
                <w:ilvl w:val="0"/>
                <w:numId w:val="39"/>
              </w:numPr>
              <w:spacing w:before="0"/>
              <w:rPr>
                <w:sz w:val="22"/>
              </w:rPr>
            </w:pPr>
            <w:r w:rsidRPr="00EA104F">
              <w:rPr>
                <w:sz w:val="22"/>
              </w:rPr>
              <w:t xml:space="preserve">Limit roles to additional activities/ responsibilities assigned to an individual </w:t>
            </w:r>
          </w:p>
        </w:tc>
      </w:tr>
    </w:tbl>
    <w:p w14:paraId="163D5626" w14:textId="77777777" w:rsidR="00D96BE4" w:rsidRPr="000C7D11" w:rsidRDefault="00D96BE4" w:rsidP="00EA104F">
      <w:pPr>
        <w:pStyle w:val="F9-Paragraph"/>
        <w:numPr>
          <w:ilvl w:val="0"/>
          <w:numId w:val="0"/>
        </w:numPr>
        <w:ind w:left="360"/>
        <w:rPr>
          <w:lang w:val="en"/>
        </w:rPr>
      </w:pPr>
    </w:p>
    <w:p w14:paraId="3A0A8599" w14:textId="5210CC00" w:rsidR="003F151B" w:rsidRDefault="003F151B" w:rsidP="00EA104F">
      <w:pPr>
        <w:pStyle w:val="F9-Paragraph"/>
        <w:numPr>
          <w:ilvl w:val="0"/>
          <w:numId w:val="0"/>
        </w:numPr>
        <w:ind w:left="851"/>
        <w:sectPr w:rsidR="003F151B" w:rsidSect="00EA104F">
          <w:pgSz w:w="11906" w:h="16838" w:code="9"/>
          <w:pgMar w:top="1440" w:right="1440" w:bottom="1440" w:left="1440" w:header="397" w:footer="397" w:gutter="0"/>
          <w:cols w:space="312"/>
          <w:docGrid w:linePitch="360"/>
        </w:sectPr>
      </w:pPr>
    </w:p>
    <w:p w14:paraId="6E712D03" w14:textId="6FF89773" w:rsidR="009E0E52" w:rsidRDefault="000950B3" w:rsidP="00E90780">
      <w:pPr>
        <w:pStyle w:val="Heading1"/>
      </w:pPr>
      <w:bookmarkStart w:id="4" w:name="_Toc139873416"/>
      <w:r>
        <w:lastRenderedPageBreak/>
        <w:t>Relationship to Licence and other Relevant Legislation</w:t>
      </w:r>
      <w:bookmarkEnd w:id="4"/>
      <w:r>
        <w:t xml:space="preserve"> </w:t>
      </w:r>
    </w:p>
    <w:p w14:paraId="790CFA85" w14:textId="058AB962" w:rsidR="00F36BF0" w:rsidRPr="00EA104F" w:rsidRDefault="00386E05" w:rsidP="00EA104F">
      <w:pPr>
        <w:pStyle w:val="Heading2"/>
      </w:pPr>
      <w:r w:rsidRPr="00EA104F">
        <w:t>The Management of Health and Safety at Work Regulations</w:t>
      </w:r>
    </w:p>
    <w:p w14:paraId="365C00F8" w14:textId="01B5F067" w:rsidR="00BF613F" w:rsidRPr="006A56B8" w:rsidRDefault="000E185D" w:rsidP="00EA104F">
      <w:pPr>
        <w:pStyle w:val="Bulletlist1"/>
      </w:pPr>
      <w:r w:rsidRPr="00980A2D">
        <w:t xml:space="preserve">Health and Safety Arrangements - </w:t>
      </w:r>
      <w:r w:rsidR="00BF613F" w:rsidRPr="006A56B8">
        <w:t>Regulation 5 requires employers to have arrangements as appropriate</w:t>
      </w:r>
      <w:r w:rsidR="00600C8E" w:rsidRPr="00600C8E">
        <w:t xml:space="preserve">, having regard to the nature of activities and the size of the undertaking, </w:t>
      </w:r>
      <w:r w:rsidR="00BF613F" w:rsidRPr="006A56B8">
        <w:t>for the effective planning, organisation, control, monitoring and review of the preventive and protective measures;</w:t>
      </w:r>
      <w:r w:rsidR="00042A7A">
        <w:t xml:space="preserve"> </w:t>
      </w:r>
    </w:p>
    <w:p w14:paraId="029E0B5B" w14:textId="3BD45B36" w:rsidR="00BF613F" w:rsidRDefault="000E185D" w:rsidP="00EA104F">
      <w:pPr>
        <w:pStyle w:val="Bulletlist1"/>
      </w:pPr>
      <w:r w:rsidRPr="00980A2D">
        <w:t xml:space="preserve">Health and Safety Assistance - </w:t>
      </w:r>
      <w:r w:rsidR="00BF613F" w:rsidRPr="006A56B8">
        <w:t xml:space="preserve">Regulation 7 requires an employer to appoint </w:t>
      </w:r>
      <w:r w:rsidR="00FB171F">
        <w:t xml:space="preserve">one or more </w:t>
      </w:r>
      <w:r w:rsidR="00BF613F" w:rsidRPr="006A56B8">
        <w:t>competent persons to assist him in undertaking the measures he needs to comply with the requirements and prohibitions imposed on him</w:t>
      </w:r>
      <w:r w:rsidR="00570BE0" w:rsidRPr="00570BE0">
        <w:t>, ensuring that the number of persons, the time available to them and the means at their disposal are adequate for the size of the task and associated risk</w:t>
      </w:r>
      <w:r w:rsidR="00AC006B">
        <w:t>; and</w:t>
      </w:r>
    </w:p>
    <w:p w14:paraId="1C32D526" w14:textId="5CBBFE82" w:rsidR="000E185D" w:rsidRDefault="000E185D" w:rsidP="00EA104F">
      <w:pPr>
        <w:pStyle w:val="Bulletlist1"/>
      </w:pPr>
      <w:r w:rsidRPr="001C139F">
        <w:t xml:space="preserve">Capabilities and </w:t>
      </w:r>
      <w:r>
        <w:t>T</w:t>
      </w:r>
      <w:r w:rsidRPr="001C139F">
        <w:t xml:space="preserve">raining - Regulation 13 requires </w:t>
      </w:r>
      <w:r w:rsidR="00FB171F">
        <w:t xml:space="preserve">an </w:t>
      </w:r>
      <w:r w:rsidRPr="001C139F">
        <w:t>employer to ensure his employees are provided with adequate health and safety training</w:t>
      </w:r>
      <w:r w:rsidRPr="00EC62FA">
        <w:t>.</w:t>
      </w:r>
    </w:p>
    <w:p w14:paraId="0ED62257" w14:textId="77777777" w:rsidR="00BF613F" w:rsidRPr="000C7D11" w:rsidRDefault="00BF613F" w:rsidP="00EA104F">
      <w:pPr>
        <w:pStyle w:val="Heading2"/>
        <w:rPr>
          <w:lang w:val="en"/>
        </w:rPr>
      </w:pPr>
      <w:r w:rsidRPr="000C7D11">
        <w:rPr>
          <w:lang w:val="en"/>
        </w:rPr>
        <w:t>Nuclear Site Licence Conditions</w:t>
      </w:r>
    </w:p>
    <w:p w14:paraId="47F013A2" w14:textId="106F40D1" w:rsidR="00BF613F" w:rsidRPr="00FB3B9E" w:rsidRDefault="00BF613F" w:rsidP="00BF613F">
      <w:pPr>
        <w:pStyle w:val="Bulletlist1"/>
        <w:rPr>
          <w:lang w:val="en"/>
        </w:rPr>
      </w:pPr>
      <w:r w:rsidRPr="00544C16">
        <w:rPr>
          <w:b/>
        </w:rPr>
        <w:t>LC 6 – Documents, Records, Authorities and Certificates</w:t>
      </w:r>
      <w:r w:rsidRPr="006A56B8">
        <w:t>.</w:t>
      </w:r>
      <w:r w:rsidR="002A18AA">
        <w:t xml:space="preserve"> </w:t>
      </w:r>
      <w:r w:rsidRPr="006A56B8">
        <w:t xml:space="preserve">The licensee shall make adequate records to demonstrate compliance with any of the conditions attached to the nuclear site </w:t>
      </w:r>
      <w:r>
        <w:t>licence.</w:t>
      </w:r>
      <w:r w:rsidR="002A18AA">
        <w:t xml:space="preserve"> </w:t>
      </w:r>
      <w:r>
        <w:t xml:space="preserve">The NB should be regarded as an important record to demonstrate that the </w:t>
      </w:r>
      <w:r w:rsidRPr="00E151C8">
        <w:t>licensee</w:t>
      </w:r>
      <w:r>
        <w:t xml:space="preserve">’s </w:t>
      </w:r>
      <w:r w:rsidRPr="00E151C8">
        <w:t xml:space="preserve">organisational structure, staffing and competencies are, and </w:t>
      </w:r>
      <w:r>
        <w:t xml:space="preserve">will </w:t>
      </w:r>
      <w:r w:rsidRPr="00E151C8">
        <w:t>remain, suitable and sufficient to manage nuclear safety throughout the full range of the licensee’s business</w:t>
      </w:r>
      <w:r>
        <w:t>.</w:t>
      </w:r>
    </w:p>
    <w:p w14:paraId="602E1840" w14:textId="6F83DFBF" w:rsidR="00BF613F" w:rsidRDefault="00BF613F" w:rsidP="00BF613F">
      <w:pPr>
        <w:pStyle w:val="Bulletlist1"/>
      </w:pPr>
      <w:r w:rsidRPr="00544C16">
        <w:rPr>
          <w:b/>
        </w:rPr>
        <w:t>LC 10 – Training</w:t>
      </w:r>
      <w:r w:rsidRPr="006A56B8">
        <w:t>.</w:t>
      </w:r>
      <w:r w:rsidR="002A18AA">
        <w:t xml:space="preserve"> </w:t>
      </w:r>
      <w:r w:rsidRPr="006A56B8">
        <w:t>The licensee shall make and implement adequate arrangements for suitable training of all those on site who have responsibility for any operations which may affect safety.</w:t>
      </w:r>
      <w:r w:rsidR="002A18AA">
        <w:t xml:space="preserve"> </w:t>
      </w:r>
      <w:r>
        <w:t xml:space="preserve">Staff fulfilling </w:t>
      </w:r>
      <w:r w:rsidR="00970ED9">
        <w:t>NB</w:t>
      </w:r>
      <w:r>
        <w:t xml:space="preserve"> roles,</w:t>
      </w:r>
      <w:r w:rsidRPr="006A56B8">
        <w:t xml:space="preserve"> as roles which may affect safety, </w:t>
      </w:r>
      <w:r w:rsidR="005C4182">
        <w:t>shall</w:t>
      </w:r>
      <w:r w:rsidRPr="006A56B8">
        <w:t xml:space="preserve"> be suitably trained to fulfil those roles.</w:t>
      </w:r>
    </w:p>
    <w:p w14:paraId="63652664" w14:textId="312B8704" w:rsidR="00BF613F" w:rsidRDefault="00BF613F" w:rsidP="00BF613F">
      <w:pPr>
        <w:pStyle w:val="Bulletlist1"/>
      </w:pPr>
      <w:r w:rsidRPr="00544C16">
        <w:rPr>
          <w:b/>
        </w:rPr>
        <w:t>LC 12 – Duly Authorised and Other Suitably Qualified and Experienced Persons</w:t>
      </w:r>
      <w:r w:rsidRPr="006A56B8">
        <w:t>.</w:t>
      </w:r>
      <w:r w:rsidR="002A18AA">
        <w:t xml:space="preserve"> </w:t>
      </w:r>
      <w:r w:rsidRPr="006A56B8">
        <w:t>The licensee shall make and implement adequate arrangements to ensure that only suitably qualified and experienced persons perform any duties which may affect the safety of operations on the site.</w:t>
      </w:r>
      <w:r w:rsidR="002A18AA">
        <w:t xml:space="preserve"> </w:t>
      </w:r>
      <w:r w:rsidRPr="006A56B8">
        <w:t>Persons</w:t>
      </w:r>
      <w:r>
        <w:t xml:space="preserve"> fulfilling Design Authority or</w:t>
      </w:r>
      <w:r w:rsidRPr="006A56B8">
        <w:t xml:space="preserve"> Responsible Designer role</w:t>
      </w:r>
      <w:r>
        <w:t>s</w:t>
      </w:r>
      <w:r w:rsidRPr="006A56B8">
        <w:t xml:space="preserve">, as roles which may affect the safety of </w:t>
      </w:r>
      <w:r w:rsidRPr="006A56B8">
        <w:lastRenderedPageBreak/>
        <w:t xml:space="preserve">operations, </w:t>
      </w:r>
      <w:r w:rsidR="00F015EF">
        <w:t>shall</w:t>
      </w:r>
      <w:r w:rsidRPr="006A56B8">
        <w:t xml:space="preserve"> be suitably qualified and experienced to fulfil those roles.</w:t>
      </w:r>
    </w:p>
    <w:p w14:paraId="4844E8BF" w14:textId="77777777" w:rsidR="000E185D" w:rsidRDefault="000E185D" w:rsidP="00BF613F">
      <w:pPr>
        <w:pStyle w:val="Bulletlist1"/>
      </w:pPr>
      <w:r w:rsidRPr="001C139F">
        <w:rPr>
          <w:rFonts w:cs="Times New Roman"/>
          <w:b/>
        </w:rPr>
        <w:t>LC 17 – Management Systems</w:t>
      </w:r>
      <w:r w:rsidRPr="001C139F">
        <w:t xml:space="preserve">. The licensee shall establish and implement adequate quality management arrangements in respect of all matters which may affect safety. </w:t>
      </w:r>
    </w:p>
    <w:p w14:paraId="3A7EADAF" w14:textId="04799B3B" w:rsidR="00BF613F" w:rsidRPr="00FB3B9E" w:rsidRDefault="00BF613F" w:rsidP="00BF613F">
      <w:pPr>
        <w:pStyle w:val="Bulletlist1"/>
      </w:pPr>
      <w:r w:rsidRPr="00544C16">
        <w:rPr>
          <w:b/>
        </w:rPr>
        <w:t xml:space="preserve">LC 36 – Organisational </w:t>
      </w:r>
      <w:r>
        <w:rPr>
          <w:b/>
        </w:rPr>
        <w:t>Capability</w:t>
      </w:r>
      <w:r w:rsidRPr="006A56B8">
        <w:t>.</w:t>
      </w:r>
      <w:r w:rsidR="002A18AA">
        <w:t xml:space="preserve"> </w:t>
      </w:r>
      <w:r>
        <w:t>The licensee shall provide and maintain adequate human resources to ensure the safe operation of the licensed site.</w:t>
      </w:r>
      <w:r w:rsidR="002A18AA">
        <w:t xml:space="preserve"> </w:t>
      </w:r>
      <w:r w:rsidRPr="006A56B8">
        <w:t xml:space="preserve">The licensee shall </w:t>
      </w:r>
      <w:r>
        <w:t xml:space="preserve">also </w:t>
      </w:r>
      <w:r w:rsidRPr="006A56B8">
        <w:t>make and implement adequate arrangements to control any change to its organisational structure or resources</w:t>
      </w:r>
      <w:r>
        <w:t xml:space="preserve"> which may affect safety.</w:t>
      </w:r>
      <w:r w:rsidR="002A18AA">
        <w:t xml:space="preserve"> </w:t>
      </w:r>
      <w:r>
        <w:t>The Design A</w:t>
      </w:r>
      <w:r w:rsidRPr="006A56B8">
        <w:t>uthority</w:t>
      </w:r>
      <w:r w:rsidR="00265442">
        <w:t xml:space="preserve"> (DA)</w:t>
      </w:r>
      <w:r w:rsidRPr="006A56B8">
        <w:t xml:space="preserve"> </w:t>
      </w:r>
      <w:r>
        <w:t xml:space="preserve">and Intelligent Customer </w:t>
      </w:r>
      <w:r w:rsidR="00265442">
        <w:t xml:space="preserve">(IC) </w:t>
      </w:r>
      <w:r w:rsidRPr="006A56B8">
        <w:t xml:space="preserve">capability should be an integral part of a licensee’s </w:t>
      </w:r>
      <w:r w:rsidR="00970ED9">
        <w:t>NB</w:t>
      </w:r>
      <w:r w:rsidRPr="006A56B8">
        <w:t xml:space="preserve"> and any changes to that capability should be assessed for safety significance.</w:t>
      </w:r>
    </w:p>
    <w:p w14:paraId="61743AA0" w14:textId="6764E216" w:rsidR="00BF613F" w:rsidRPr="00BF613F" w:rsidRDefault="00BF613F" w:rsidP="00BF613F">
      <w:pPr>
        <w:sectPr w:rsidR="00BF613F" w:rsidRPr="00BF613F" w:rsidSect="00EA104F">
          <w:pgSz w:w="11906" w:h="16838" w:code="9"/>
          <w:pgMar w:top="1440" w:right="1440" w:bottom="1440" w:left="1440" w:header="397" w:footer="397" w:gutter="0"/>
          <w:cols w:space="312"/>
          <w:docGrid w:linePitch="360"/>
        </w:sectPr>
      </w:pPr>
    </w:p>
    <w:p w14:paraId="219A98D5" w14:textId="2B54B0D3" w:rsidR="00140E1C" w:rsidRDefault="000950B3" w:rsidP="00E90780">
      <w:pPr>
        <w:pStyle w:val="Heading1"/>
      </w:pPr>
      <w:bookmarkStart w:id="5" w:name="_Toc139873417"/>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5"/>
    </w:p>
    <w:p w14:paraId="4F10BA76" w14:textId="51B320BF" w:rsidR="0068548A" w:rsidRPr="000C7D11" w:rsidRDefault="0068548A" w:rsidP="00EA104F">
      <w:pPr>
        <w:pStyle w:val="Heading2"/>
        <w:rPr>
          <w:lang w:val="en" w:eastAsia="en-GB"/>
        </w:rPr>
      </w:pPr>
      <w:r w:rsidRPr="000C7D11">
        <w:rPr>
          <w:lang w:val="en" w:eastAsia="en-GB"/>
        </w:rPr>
        <w:t>Safety Assessment Principles</w:t>
      </w:r>
    </w:p>
    <w:p w14:paraId="4FCE1E9A" w14:textId="3749E4B5" w:rsidR="0068548A" w:rsidRPr="000C7D11" w:rsidRDefault="0068548A" w:rsidP="00EA104F">
      <w:pPr>
        <w:pStyle w:val="F9-Paragraph"/>
      </w:pPr>
      <w:r w:rsidRPr="000C7D11">
        <w:t>The Safety Assessment Principles for Nuclear Facilities</w:t>
      </w:r>
      <w:r w:rsidR="00EA104F">
        <w:t xml:space="preserve"> (Ref.</w:t>
      </w:r>
      <w:r w:rsidRPr="000C7D11">
        <w:t xml:space="preserve"> </w:t>
      </w:r>
      <w:sdt>
        <w:sdtPr>
          <w:id w:val="-1769384372"/>
          <w:citation/>
        </w:sdtPr>
        <w:sdtEndPr/>
        <w:sdtContent>
          <w:r w:rsidR="00265442">
            <w:fldChar w:fldCharType="begin"/>
          </w:r>
          <w:r w:rsidR="00265442">
            <w:instrText xml:space="preserve"> CITATION ONR2013 \l 2057 </w:instrText>
          </w:r>
          <w:r w:rsidR="00265442">
            <w:fldChar w:fldCharType="separate"/>
          </w:r>
          <w:r w:rsidR="00FD7BB0">
            <w:rPr>
              <w:noProof/>
            </w:rPr>
            <w:t>[1]</w:t>
          </w:r>
          <w:r w:rsidR="00265442">
            <w:fldChar w:fldCharType="end"/>
          </w:r>
        </w:sdtContent>
      </w:sdt>
      <w:r w:rsidR="00EA104F">
        <w:t>)</w:t>
      </w:r>
      <w:r w:rsidRPr="000C7D11">
        <w:t xml:space="preserve"> provide a framework to guide regulatory decision making in the nuclear permissioning process.</w:t>
      </w:r>
      <w:r w:rsidR="002A18AA">
        <w:t xml:space="preserve"> </w:t>
      </w:r>
      <w:r w:rsidRPr="000C7D11">
        <w:t>It is supported by TAGs which further aid the decision-making process.</w:t>
      </w:r>
      <w:r w:rsidR="002A18AA">
        <w:t xml:space="preserve"> </w:t>
      </w:r>
      <w:r w:rsidRPr="000C7D11">
        <w:t xml:space="preserve">The following principles are of </w:t>
      </w:r>
      <w:r w:rsidR="000E185D" w:rsidRPr="000C7D11">
        <w:t>relevance</w:t>
      </w:r>
      <w:r w:rsidRPr="000C7D11">
        <w:t xml:space="preserve"> to this </w:t>
      </w:r>
      <w:r w:rsidR="008B0F9E">
        <w:t>TAG</w:t>
      </w:r>
      <w:r w:rsidRPr="000C7D11">
        <w:t>:</w:t>
      </w:r>
    </w:p>
    <w:p w14:paraId="3178DCB4" w14:textId="10710E58" w:rsidR="0068548A" w:rsidRDefault="0068548A" w:rsidP="0068548A">
      <w:pPr>
        <w:pStyle w:val="Bulletlist1"/>
      </w:pPr>
      <w:r w:rsidRPr="000334FD">
        <w:t xml:space="preserve">MS.1. </w:t>
      </w:r>
      <w:r w:rsidR="00EE351C" w:rsidRPr="000334FD">
        <w:t xml:space="preserve">- </w:t>
      </w:r>
      <w:r w:rsidRPr="000334FD">
        <w:t>Leadership</w:t>
      </w:r>
      <w:r>
        <w:t>.</w:t>
      </w:r>
      <w:r w:rsidR="002A18AA">
        <w:t xml:space="preserve"> </w:t>
      </w:r>
      <w:r>
        <w:t>Identifies the need for directors, managers and leaders to focus the organisation on achieving and sustaining high standards of safety and on delivering the characteristics of a high reliability organisation.</w:t>
      </w:r>
    </w:p>
    <w:p w14:paraId="04B7A84E" w14:textId="771E5834" w:rsidR="0068548A" w:rsidRDefault="0068548A" w:rsidP="0068548A">
      <w:pPr>
        <w:pStyle w:val="Bulletlist1"/>
      </w:pPr>
      <w:r w:rsidRPr="000334FD">
        <w:t>MS.2.</w:t>
      </w:r>
      <w:r w:rsidR="00EE351C" w:rsidRPr="000334FD">
        <w:t xml:space="preserve"> -</w:t>
      </w:r>
      <w:r w:rsidRPr="000334FD">
        <w:t xml:space="preserve"> Capable Organisation.</w:t>
      </w:r>
      <w:r w:rsidR="002A18AA">
        <w:t xml:space="preserve"> </w:t>
      </w:r>
      <w:r w:rsidRPr="006A56B8">
        <w:t>Identifies the need for an organisation to have the capability to secure and maintain the safety of its undertakings;</w:t>
      </w:r>
    </w:p>
    <w:p w14:paraId="14C073AF" w14:textId="2FCC01C4" w:rsidR="0068548A" w:rsidRPr="006A56B8" w:rsidRDefault="0068548A" w:rsidP="0068548A">
      <w:pPr>
        <w:pStyle w:val="Bulletlist1"/>
      </w:pPr>
      <w:r w:rsidRPr="000334FD">
        <w:t xml:space="preserve">MS.3. </w:t>
      </w:r>
      <w:r w:rsidR="00A96A8D" w:rsidRPr="000334FD">
        <w:t xml:space="preserve">- </w:t>
      </w:r>
      <w:r w:rsidRPr="000334FD">
        <w:t>Decision Making.</w:t>
      </w:r>
      <w:r w:rsidR="002A18AA">
        <w:t xml:space="preserve"> </w:t>
      </w:r>
      <w:r w:rsidRPr="006A56B8">
        <w:t xml:space="preserve">Identifies the need for decisions at all levels that affect safety to be </w:t>
      </w:r>
      <w:r>
        <w:t xml:space="preserve">informed, </w:t>
      </w:r>
      <w:r w:rsidRPr="006A56B8">
        <w:t>rational, objective, transparent and prudent;</w:t>
      </w:r>
    </w:p>
    <w:p w14:paraId="3622AEA8" w14:textId="079D8211" w:rsidR="0068548A" w:rsidRDefault="0068548A" w:rsidP="0068548A">
      <w:pPr>
        <w:pStyle w:val="Bulletlist1"/>
      </w:pPr>
      <w:r w:rsidRPr="000334FD">
        <w:t xml:space="preserve">MS.4. </w:t>
      </w:r>
      <w:r w:rsidR="00A96A8D" w:rsidRPr="000334FD">
        <w:t xml:space="preserve">- </w:t>
      </w:r>
      <w:r w:rsidRPr="000334FD">
        <w:t>Learning.</w:t>
      </w:r>
      <w:r w:rsidR="002A18AA">
        <w:t xml:space="preserve"> </w:t>
      </w:r>
      <w:r w:rsidRPr="006A56B8">
        <w:t xml:space="preserve">Identifies the need for lessons learned from internal and external sources to continually improve leadership, organisational capability, </w:t>
      </w:r>
      <w:r>
        <w:t xml:space="preserve">the management system, </w:t>
      </w:r>
      <w:r w:rsidRPr="006A56B8">
        <w:t>safety decision making and safety performance.</w:t>
      </w:r>
    </w:p>
    <w:p w14:paraId="47E07FA7" w14:textId="2B8FB4F6" w:rsidR="000E185D" w:rsidRPr="006B2D17" w:rsidRDefault="000E185D" w:rsidP="000E185D">
      <w:pPr>
        <w:pStyle w:val="Bulletlist1"/>
      </w:pPr>
      <w:r w:rsidRPr="006774B9">
        <w:rPr>
          <w:bCs w:val="0"/>
        </w:rPr>
        <w:t>EHF.5. – Task Analysis</w:t>
      </w:r>
      <w:r w:rsidRPr="000334FD">
        <w:rPr>
          <w:bCs w:val="0"/>
        </w:rPr>
        <w:t>.</w:t>
      </w:r>
      <w:r w:rsidR="00EA104F">
        <w:t xml:space="preserve"> </w:t>
      </w:r>
      <w:r>
        <w:t>Identifies the need to conduct p</w:t>
      </w:r>
      <w:r w:rsidRPr="006B2D17">
        <w:t>roportionate analysis of all tasks important to safety to justify the effective delivery of the safety functions to which they contribute.</w:t>
      </w:r>
      <w:r w:rsidR="00EA104F">
        <w:t xml:space="preserve"> </w:t>
      </w:r>
      <w:r>
        <w:t xml:space="preserve">The analysis </w:t>
      </w:r>
      <w:r w:rsidRPr="006B2D17">
        <w:t>should be applied to all actions</w:t>
      </w:r>
      <w:r>
        <w:t xml:space="preserve"> identified as impacting safety</w:t>
      </w:r>
      <w:r w:rsidRPr="006B2D17">
        <w:t xml:space="preserve"> and </w:t>
      </w:r>
      <w:r>
        <w:t xml:space="preserve">the administrative </w:t>
      </w:r>
      <w:r w:rsidRPr="006B2D17">
        <w:t>controls</w:t>
      </w:r>
      <w:r>
        <w:t xml:space="preserve"> needed to remain within operating rules for normal operation or return back to normal operations.</w:t>
      </w:r>
      <w:r w:rsidR="00EA104F">
        <w:t xml:space="preserve"> </w:t>
      </w:r>
      <w:r w:rsidRPr="006B2D17">
        <w:t>The workload of personnel required to undertake these actions and controls should be analysed and demonstrated to be reasonably achievable.</w:t>
      </w:r>
      <w:r w:rsidR="00EA104F">
        <w:t xml:space="preserve"> </w:t>
      </w:r>
      <w:r>
        <w:t xml:space="preserve">The analysis should help </w:t>
      </w:r>
      <w:r w:rsidRPr="006B2D17">
        <w:t>define operator roles and responsibilities, staffing levels, personnel competence and training needs</w:t>
      </w:r>
      <w:r>
        <w:t xml:space="preserve"> and</w:t>
      </w:r>
      <w:r w:rsidRPr="006B2D17">
        <w:t xml:space="preserve"> communication networks</w:t>
      </w:r>
      <w:r>
        <w:t>.</w:t>
      </w:r>
      <w:r w:rsidR="00EA104F">
        <w:t xml:space="preserve"> </w:t>
      </w:r>
      <w:r>
        <w:t>The workload of personnel and its impact on the effective completion of tasks important to safety should be reviewed in periodic safety reviews and as part of emergency demonstration exercises.</w:t>
      </w:r>
    </w:p>
    <w:p w14:paraId="0A8DFC18" w14:textId="70B6C396" w:rsidR="000E185D" w:rsidRPr="006B2D17" w:rsidRDefault="000E185D" w:rsidP="000E185D">
      <w:pPr>
        <w:pStyle w:val="Bulletlist1"/>
      </w:pPr>
      <w:r w:rsidRPr="006774B9">
        <w:rPr>
          <w:bCs w:val="0"/>
        </w:rPr>
        <w:lastRenderedPageBreak/>
        <w:t>EHF.11. – Staffing Levels</w:t>
      </w:r>
      <w:r w:rsidRPr="000334FD">
        <w:rPr>
          <w:bCs w:val="0"/>
        </w:rPr>
        <w:t>.</w:t>
      </w:r>
      <w:r w:rsidR="00EA104F">
        <w:t xml:space="preserve"> </w:t>
      </w:r>
      <w:r w:rsidRPr="00D824F9">
        <w:t>Specifies that t</w:t>
      </w:r>
      <w:r w:rsidRPr="00F912F7">
        <w:t>here</w:t>
      </w:r>
      <w:r w:rsidRPr="006B2D17">
        <w:t xml:space="preserve"> should be sufficient competent personnel available to operate the facility in all operational states.</w:t>
      </w:r>
      <w:r>
        <w:t xml:space="preserve"> </w:t>
      </w:r>
    </w:p>
    <w:p w14:paraId="040CD0B5" w14:textId="28D7C713" w:rsidR="000E185D" w:rsidRPr="006B2D17" w:rsidRDefault="000E185D" w:rsidP="000E185D">
      <w:pPr>
        <w:pStyle w:val="Bulletlist1"/>
      </w:pPr>
      <w:r w:rsidRPr="006774B9">
        <w:rPr>
          <w:bCs w:val="0"/>
        </w:rPr>
        <w:t>DC.7. – Decommissioning Organisation.</w:t>
      </w:r>
      <w:r w:rsidR="00EA104F">
        <w:rPr>
          <w:b/>
        </w:rPr>
        <w:t xml:space="preserve"> </w:t>
      </w:r>
      <w:r>
        <w:t xml:space="preserve">Identifies that the </w:t>
      </w:r>
      <w:r w:rsidRPr="006B2D17">
        <w:t xml:space="preserve">safety case should demonstrate an appropriate management organisation, and adequate personnel resources, to ensure that decommissioning can be completed safely. The continued suitability of these should be demonstrated through an organisation and staffing baseline. </w:t>
      </w:r>
      <w:r w:rsidR="00EA104F">
        <w:br/>
      </w:r>
      <w:r w:rsidRPr="006B2D17">
        <w:t>The design of the organisational structure will depend upon the activities to be carried out and will need to be determined on a case-by-case basis</w:t>
      </w:r>
      <w:r>
        <w:t>.</w:t>
      </w:r>
      <w:r w:rsidRPr="006B2D17">
        <w:t xml:space="preserve"> </w:t>
      </w:r>
    </w:p>
    <w:p w14:paraId="2AF9A22D" w14:textId="641E1EE3" w:rsidR="000E185D" w:rsidRPr="00D824F9" w:rsidRDefault="000E185D" w:rsidP="000E185D">
      <w:pPr>
        <w:pStyle w:val="Bulletlist1"/>
      </w:pPr>
      <w:r w:rsidRPr="006774B9">
        <w:rPr>
          <w:bCs w:val="0"/>
        </w:rPr>
        <w:t xml:space="preserve">AM.1. </w:t>
      </w:r>
      <w:r w:rsidR="00A96A8D" w:rsidRPr="006774B9">
        <w:rPr>
          <w:bCs w:val="0"/>
        </w:rPr>
        <w:t xml:space="preserve">- </w:t>
      </w:r>
      <w:r w:rsidRPr="006774B9">
        <w:rPr>
          <w:bCs w:val="0"/>
        </w:rPr>
        <w:t>Planning and Preparedness</w:t>
      </w:r>
      <w:r w:rsidRPr="000334FD">
        <w:rPr>
          <w:bCs w:val="0"/>
        </w:rPr>
        <w:t>.</w:t>
      </w:r>
      <w:r w:rsidR="00EA104F">
        <w:t xml:space="preserve"> </w:t>
      </w:r>
      <w:r>
        <w:t xml:space="preserve">Specifies that </w:t>
      </w:r>
      <w:bookmarkStart w:id="6" w:name="_WENRA_Safety_Reference"/>
      <w:bookmarkEnd w:id="6"/>
      <w:r>
        <w:t>the accident management strategy should identify the number of operators and other site staff needed to address different types of accidents and the skills that they need.</w:t>
      </w:r>
    </w:p>
    <w:p w14:paraId="6B9331B4" w14:textId="084C6162" w:rsidR="0068548A" w:rsidRPr="000C7D11" w:rsidRDefault="0068548A" w:rsidP="00EA104F">
      <w:pPr>
        <w:pStyle w:val="Heading2"/>
      </w:pPr>
      <w:r w:rsidRPr="000C7D11">
        <w:t>Technical Assessment Guides</w:t>
      </w:r>
    </w:p>
    <w:p w14:paraId="08E6BBF5" w14:textId="42F717A2" w:rsidR="0068548A" w:rsidRPr="000C7D11" w:rsidRDefault="0068548A" w:rsidP="00EA104F">
      <w:pPr>
        <w:pStyle w:val="F9-Paragraph"/>
      </w:pPr>
      <w:r w:rsidRPr="000C7D11">
        <w:t xml:space="preserve">The following </w:t>
      </w:r>
      <w:r w:rsidR="008B0F9E">
        <w:t>TAGs</w:t>
      </w:r>
      <w:r w:rsidRPr="000C7D11">
        <w:t xml:space="preserve"> are applicable to this TAG:</w:t>
      </w:r>
    </w:p>
    <w:p w14:paraId="0DEB5FD9" w14:textId="6564FF05" w:rsidR="00542940" w:rsidRPr="00F21BA6" w:rsidRDefault="00542940" w:rsidP="0068548A">
      <w:pPr>
        <w:pStyle w:val="Bulletlist1"/>
      </w:pPr>
      <w:r w:rsidRPr="006774B9">
        <w:rPr>
          <w:bCs w:val="0"/>
        </w:rPr>
        <w:t>NS-TAST-GD-027 – Training and Assuring Personnel Competence</w:t>
      </w:r>
      <w:r w:rsidRPr="006774B9">
        <w:t xml:space="preserve"> (</w:t>
      </w:r>
      <w:r w:rsidR="00EE351C" w:rsidRPr="006774B9">
        <w:t>R</w:t>
      </w:r>
      <w:r w:rsidRPr="006774B9">
        <w:t xml:space="preserve">ef. </w:t>
      </w:r>
      <w:sdt>
        <w:sdtPr>
          <w:rPr>
            <w:bCs w:val="0"/>
          </w:rPr>
          <w:id w:val="-1230001183"/>
          <w:citation/>
        </w:sdtPr>
        <w:sdtEndPr/>
        <w:sdtContent>
          <w:r w:rsidRPr="006774B9">
            <w:fldChar w:fldCharType="begin"/>
          </w:r>
          <w:r w:rsidR="00EE351C" w:rsidRPr="00EE351C">
            <w:instrText xml:space="preserve">CITATION ONR51 \l 2057 </w:instrText>
          </w:r>
          <w:r w:rsidRPr="006774B9">
            <w:fldChar w:fldCharType="separate"/>
          </w:r>
          <w:r w:rsidR="00FD7BB0" w:rsidRPr="00FD7BB0">
            <w:t>[4]</w:t>
          </w:r>
          <w:r w:rsidRPr="006774B9">
            <w:fldChar w:fldCharType="end"/>
          </w:r>
        </w:sdtContent>
      </w:sdt>
      <w:r w:rsidRPr="006774B9">
        <w:t>) – sets out how the licensee demonstrates that it has a systematic approach to both the identification and delivery of personnel competence and its training processes.</w:t>
      </w:r>
      <w:r w:rsidR="00EA104F">
        <w:t xml:space="preserve"> </w:t>
      </w:r>
      <w:r w:rsidRPr="006774B9">
        <w:t xml:space="preserve">Additionally, it outlines ONR’s expectations for the licensee’s arrangements for assuring personnel competence. </w:t>
      </w:r>
    </w:p>
    <w:p w14:paraId="2C00D59E" w14:textId="56FFBAED" w:rsidR="0068548A" w:rsidRDefault="0068548A" w:rsidP="0068548A">
      <w:pPr>
        <w:pStyle w:val="Bulletlist1"/>
      </w:pPr>
      <w:r>
        <w:t>NS-</w:t>
      </w:r>
      <w:r w:rsidRPr="007D306B">
        <w:t>TAST</w:t>
      </w:r>
      <w:r>
        <w:t>-GD-</w:t>
      </w:r>
      <w:r w:rsidRPr="007D306B">
        <w:t>048 – Organisational Capability</w:t>
      </w:r>
      <w:r>
        <w:t xml:space="preserve"> </w:t>
      </w:r>
      <w:r w:rsidRPr="00A96A8D">
        <w:t>(</w:t>
      </w:r>
      <w:r w:rsidR="00EE351C" w:rsidRPr="006774B9">
        <w:t>R</w:t>
      </w:r>
      <w:r w:rsidRPr="00A96A8D">
        <w:t xml:space="preserve">ef. </w:t>
      </w:r>
      <w:sdt>
        <w:sdtPr>
          <w:id w:val="1931075535"/>
          <w:citation/>
        </w:sdtPr>
        <w:sdtEndPr/>
        <w:sdtContent>
          <w:r w:rsidRPr="00A96A8D">
            <w:fldChar w:fldCharType="begin"/>
          </w:r>
          <w:r w:rsidR="00EE351C" w:rsidRPr="006774B9">
            <w:instrText xml:space="preserve">CITATION ONR48 \l 2057 </w:instrText>
          </w:r>
          <w:r w:rsidRPr="00A96A8D">
            <w:fldChar w:fldCharType="separate"/>
          </w:r>
          <w:r w:rsidR="00FD7BB0" w:rsidRPr="00FD7BB0">
            <w:t>[5]</w:t>
          </w:r>
          <w:r w:rsidRPr="00A96A8D">
            <w:fldChar w:fldCharType="end"/>
          </w:r>
        </w:sdtContent>
      </w:sdt>
      <w:r w:rsidRPr="00A96A8D">
        <w:t>)</w:t>
      </w:r>
      <w:r>
        <w:t xml:space="preserve"> - sets out the broad principles which underpin ONR’s expectations of a licensee’s arrangements to provide and maintain adequate financial and human resources and to control changes to its organisation structure or resources which may affect safety.</w:t>
      </w:r>
    </w:p>
    <w:p w14:paraId="73B87298" w14:textId="4864E0D9" w:rsidR="0068548A" w:rsidRDefault="0068548A" w:rsidP="0068548A">
      <w:pPr>
        <w:pStyle w:val="Bulletlist1"/>
      </w:pPr>
      <w:r>
        <w:t>NS-</w:t>
      </w:r>
      <w:r w:rsidRPr="007D306B">
        <w:t>TAST</w:t>
      </w:r>
      <w:r>
        <w:t>-GD-0</w:t>
      </w:r>
      <w:r w:rsidRPr="007D306B">
        <w:t xml:space="preserve">49 – Licensee Core </w:t>
      </w:r>
      <w:r w:rsidR="00402B70">
        <w:t xml:space="preserve">Safety </w:t>
      </w:r>
      <w:r w:rsidRPr="007D306B">
        <w:t>and Intelligent Customer Capabilities</w:t>
      </w:r>
      <w:r>
        <w:t xml:space="preserve"> </w:t>
      </w:r>
      <w:r w:rsidRPr="00A96A8D">
        <w:t>(</w:t>
      </w:r>
      <w:r w:rsidR="00A96A8D" w:rsidRPr="006774B9">
        <w:t>R</w:t>
      </w:r>
      <w:r w:rsidRPr="00A96A8D">
        <w:t xml:space="preserve">ef. </w:t>
      </w:r>
      <w:sdt>
        <w:sdtPr>
          <w:id w:val="2004082214"/>
          <w:citation/>
        </w:sdtPr>
        <w:sdtEndPr/>
        <w:sdtContent>
          <w:r w:rsidRPr="00A96A8D">
            <w:fldChar w:fldCharType="begin"/>
          </w:r>
          <w:r w:rsidR="006A70F9" w:rsidRPr="006774B9">
            <w:instrText xml:space="preserve">CITATION ONR49 \l 2057 </w:instrText>
          </w:r>
          <w:r w:rsidRPr="00A96A8D">
            <w:fldChar w:fldCharType="separate"/>
          </w:r>
          <w:r w:rsidR="00FD7BB0" w:rsidRPr="00FD7BB0">
            <w:t>[6]</w:t>
          </w:r>
          <w:r w:rsidRPr="00A96A8D">
            <w:fldChar w:fldCharType="end"/>
          </w:r>
        </w:sdtContent>
      </w:sdt>
      <w:r w:rsidRPr="00A96A8D">
        <w:t>)</w:t>
      </w:r>
      <w:r>
        <w:t xml:space="preserve"> - s</w:t>
      </w:r>
      <w:r w:rsidRPr="006A56B8">
        <w:t xml:space="preserve">ets out some broad principles which underpin </w:t>
      </w:r>
      <w:r>
        <w:t>ONR</w:t>
      </w:r>
      <w:r w:rsidRPr="006A56B8">
        <w:t>’s expectations of a licensee’s arrangements for the use of contractors and for retaining control of nuclear safety.</w:t>
      </w:r>
    </w:p>
    <w:p w14:paraId="7D2F7F6D" w14:textId="5FA5A35D" w:rsidR="00542940" w:rsidRPr="00F409F6" w:rsidRDefault="00542940" w:rsidP="00542940">
      <w:pPr>
        <w:pStyle w:val="Bulletlist1"/>
      </w:pPr>
      <w:r w:rsidRPr="00542940">
        <w:rPr>
          <w:szCs w:val="24"/>
        </w:rPr>
        <w:t xml:space="preserve">NS-TAST-GD-061 - Staffing Levels and Task Organisation </w:t>
      </w:r>
      <w:r w:rsidRPr="00A96A8D">
        <w:rPr>
          <w:szCs w:val="24"/>
        </w:rPr>
        <w:t>(Ref.</w:t>
      </w:r>
      <w:sdt>
        <w:sdtPr>
          <w:rPr>
            <w:szCs w:val="24"/>
          </w:rPr>
          <w:id w:val="561370976"/>
          <w:citation/>
        </w:sdtPr>
        <w:sdtEndPr/>
        <w:sdtContent>
          <w:r w:rsidR="00A96A8D" w:rsidRPr="006774B9">
            <w:rPr>
              <w:szCs w:val="24"/>
            </w:rPr>
            <w:fldChar w:fldCharType="begin"/>
          </w:r>
          <w:r w:rsidR="00A96A8D" w:rsidRPr="006774B9">
            <w:rPr>
              <w:szCs w:val="24"/>
            </w:rPr>
            <w:instrText xml:space="preserve"> CITATION ONR61 \l 2057 </w:instrText>
          </w:r>
          <w:r w:rsidR="00A96A8D" w:rsidRPr="006774B9">
            <w:rPr>
              <w:szCs w:val="24"/>
            </w:rPr>
            <w:fldChar w:fldCharType="separate"/>
          </w:r>
          <w:r w:rsidR="00FD7BB0">
            <w:rPr>
              <w:szCs w:val="24"/>
            </w:rPr>
            <w:t xml:space="preserve"> </w:t>
          </w:r>
          <w:r w:rsidR="00FD7BB0" w:rsidRPr="00FD7BB0">
            <w:rPr>
              <w:szCs w:val="24"/>
            </w:rPr>
            <w:t>[7]</w:t>
          </w:r>
          <w:r w:rsidR="00A96A8D" w:rsidRPr="006774B9">
            <w:rPr>
              <w:szCs w:val="24"/>
            </w:rPr>
            <w:fldChar w:fldCharType="end"/>
          </w:r>
        </w:sdtContent>
      </w:sdt>
      <w:r w:rsidRPr="00A96A8D">
        <w:rPr>
          <w:szCs w:val="24"/>
        </w:rPr>
        <w:t>)</w:t>
      </w:r>
      <w:r w:rsidRPr="00542940">
        <w:rPr>
          <w:szCs w:val="24"/>
        </w:rPr>
        <w:t xml:space="preserve"> – </w:t>
      </w:r>
      <w:r w:rsidRPr="00D824F9">
        <w:t>provides detailed guidance to support the assessment of the approaches and methods used by applicants and licensees to derive, validate and monitor staffing arrangements; and to specify task organisation, in particular, the design of shift work systems and team design.</w:t>
      </w:r>
    </w:p>
    <w:p w14:paraId="5B939A23" w14:textId="3D903562" w:rsidR="0068548A" w:rsidRPr="00A96A8D" w:rsidRDefault="0068548A" w:rsidP="005139DC">
      <w:pPr>
        <w:pStyle w:val="Bulletlist1"/>
      </w:pPr>
      <w:r>
        <w:t>NS-</w:t>
      </w:r>
      <w:r w:rsidRPr="007D306B">
        <w:t>TAST</w:t>
      </w:r>
      <w:r>
        <w:t>-GD-</w:t>
      </w:r>
      <w:r w:rsidRPr="007D306B">
        <w:t>072 – Function and Content of a Safety Management Prospectus</w:t>
      </w:r>
      <w:r>
        <w:t xml:space="preserve"> </w:t>
      </w:r>
      <w:r w:rsidRPr="00A96A8D">
        <w:t>(</w:t>
      </w:r>
      <w:r w:rsidR="00A96A8D" w:rsidRPr="006774B9">
        <w:t>R</w:t>
      </w:r>
      <w:r w:rsidRPr="00A96A8D">
        <w:t>ef</w:t>
      </w:r>
      <w:r w:rsidR="00265442" w:rsidRPr="00A96A8D">
        <w:t>.</w:t>
      </w:r>
      <w:r w:rsidRPr="00A96A8D">
        <w:t xml:space="preserve"> </w:t>
      </w:r>
      <w:sdt>
        <w:sdtPr>
          <w:id w:val="1454897482"/>
          <w:citation/>
        </w:sdtPr>
        <w:sdtEndPr/>
        <w:sdtContent>
          <w:r w:rsidRPr="00A96A8D">
            <w:fldChar w:fldCharType="begin"/>
          </w:r>
          <w:r w:rsidRPr="00A96A8D">
            <w:instrText xml:space="preserve"> CITATION ONR282 \l 2057 </w:instrText>
          </w:r>
          <w:r w:rsidRPr="00A96A8D">
            <w:fldChar w:fldCharType="separate"/>
          </w:r>
          <w:r w:rsidR="00FD7BB0" w:rsidRPr="00FD7BB0">
            <w:t>[8]</w:t>
          </w:r>
          <w:r w:rsidRPr="00A96A8D">
            <w:fldChar w:fldCharType="end"/>
          </w:r>
        </w:sdtContent>
      </w:sdt>
      <w:r w:rsidRPr="00A96A8D">
        <w:t xml:space="preserve">) - Element 7 of this TAG expects a licensee to </w:t>
      </w:r>
      <w:r w:rsidRPr="00A96A8D">
        <w:lastRenderedPageBreak/>
        <w:t>understand its processes and plant, and to ensure that knowledge is captured and managed.</w:t>
      </w:r>
    </w:p>
    <w:p w14:paraId="6A22D3E8" w14:textId="24D411ED" w:rsidR="00542940" w:rsidRPr="00D824F9" w:rsidRDefault="00542940" w:rsidP="00542940">
      <w:pPr>
        <w:pStyle w:val="Bulletlist1"/>
      </w:pPr>
      <w:r w:rsidRPr="00A96A8D">
        <w:rPr>
          <w:bCs w:val="0"/>
        </w:rPr>
        <w:t xml:space="preserve">NS-TAST-GD-077 – Supply Chain Management Arrangements for the Procurement of Nulcear Safety Related Items or Services </w:t>
      </w:r>
      <w:r w:rsidRPr="006774B9">
        <w:rPr>
          <w:bCs w:val="0"/>
        </w:rPr>
        <w:t>(</w:t>
      </w:r>
      <w:r w:rsidR="00A96A8D" w:rsidRPr="006774B9">
        <w:rPr>
          <w:bCs w:val="0"/>
        </w:rPr>
        <w:t>R</w:t>
      </w:r>
      <w:r w:rsidRPr="006774B9">
        <w:rPr>
          <w:bCs w:val="0"/>
        </w:rPr>
        <w:t xml:space="preserve">ef. </w:t>
      </w:r>
      <w:sdt>
        <w:sdtPr>
          <w:rPr>
            <w:bCs w:val="0"/>
          </w:rPr>
          <w:id w:val="1951503641"/>
          <w:citation/>
        </w:sdtPr>
        <w:sdtEndPr/>
        <w:sdtContent>
          <w:r w:rsidR="00A96A8D" w:rsidRPr="006774B9">
            <w:rPr>
              <w:bCs w:val="0"/>
            </w:rPr>
            <w:fldChar w:fldCharType="begin"/>
          </w:r>
          <w:r w:rsidR="00A96A8D" w:rsidRPr="006774B9">
            <w:rPr>
              <w:bCs w:val="0"/>
            </w:rPr>
            <w:instrText xml:space="preserve"> CITATION ONR77 \l 2057 </w:instrText>
          </w:r>
          <w:r w:rsidR="00A96A8D" w:rsidRPr="006774B9">
            <w:rPr>
              <w:bCs w:val="0"/>
            </w:rPr>
            <w:fldChar w:fldCharType="separate"/>
          </w:r>
          <w:r w:rsidR="00FD7BB0" w:rsidRPr="00FD7BB0">
            <w:t>[9]</w:t>
          </w:r>
          <w:r w:rsidR="00A96A8D" w:rsidRPr="006774B9">
            <w:rPr>
              <w:bCs w:val="0"/>
            </w:rPr>
            <w:fldChar w:fldCharType="end"/>
          </w:r>
        </w:sdtContent>
      </w:sdt>
      <w:r w:rsidRPr="006774B9">
        <w:rPr>
          <w:bCs w:val="0"/>
        </w:rPr>
        <w:t>)</w:t>
      </w:r>
      <w:r>
        <w:t xml:space="preserve"> – specifies that the </w:t>
      </w:r>
      <w:r w:rsidR="00204836">
        <w:t>l</w:t>
      </w:r>
      <w:r w:rsidRPr="00F409F6">
        <w:t>icensee should maintain an ‘Intelligent Customer’ capability for all work carried out on its behalf by suppliers that may impact upon nuclear safety</w:t>
      </w:r>
    </w:p>
    <w:p w14:paraId="6764898A" w14:textId="76C0677E" w:rsidR="0068548A" w:rsidRDefault="0068548A" w:rsidP="0068548A">
      <w:pPr>
        <w:pStyle w:val="Bulletlist1"/>
      </w:pPr>
      <w:r>
        <w:t xml:space="preserve">NS-TAST-GD-079 – Licensee Design Authority </w:t>
      </w:r>
      <w:r w:rsidRPr="00A96A8D">
        <w:t>Capability (</w:t>
      </w:r>
      <w:r w:rsidR="00A96A8D" w:rsidRPr="006774B9">
        <w:t>R</w:t>
      </w:r>
      <w:r w:rsidRPr="00A96A8D">
        <w:t xml:space="preserve">ef. </w:t>
      </w:r>
      <w:sdt>
        <w:sdtPr>
          <w:id w:val="-1083213986"/>
          <w:citation/>
        </w:sdtPr>
        <w:sdtEndPr/>
        <w:sdtContent>
          <w:r w:rsidRPr="00A96A8D">
            <w:fldChar w:fldCharType="begin"/>
          </w:r>
          <w:r w:rsidRPr="00A96A8D">
            <w:instrText xml:space="preserve"> CITATION ONR102 \l 2057 </w:instrText>
          </w:r>
          <w:r w:rsidRPr="00A96A8D">
            <w:fldChar w:fldCharType="separate"/>
          </w:r>
          <w:r w:rsidR="00FD7BB0" w:rsidRPr="00FD7BB0">
            <w:t>[10]</w:t>
          </w:r>
          <w:r w:rsidRPr="00A96A8D">
            <w:fldChar w:fldCharType="end"/>
          </w:r>
        </w:sdtContent>
      </w:sdt>
      <w:r w:rsidRPr="00A96A8D">
        <w:t>)</w:t>
      </w:r>
      <w:r>
        <w:t xml:space="preserve"> - sets out the broad principles which underpin ONR’s expectations of a licensee’s arrangements to provide and maintain an adequate Design Authority </w:t>
      </w:r>
      <w:r w:rsidR="00200C22">
        <w:t xml:space="preserve">(DA) </w:t>
      </w:r>
      <w:r>
        <w:t>capability.</w:t>
      </w:r>
    </w:p>
    <w:p w14:paraId="762963EB" w14:textId="3C887CD4" w:rsidR="005334D1" w:rsidRDefault="005334D1" w:rsidP="0068548A">
      <w:pPr>
        <w:pStyle w:val="Bulletlist1"/>
      </w:pPr>
      <w:r w:rsidRPr="005334D1">
        <w:rPr>
          <w:bCs w:val="0"/>
        </w:rPr>
        <w:t>NS-TAST-GD-080 – Nuclear Safety Advice and Independent Challenge</w:t>
      </w:r>
      <w:r>
        <w:rPr>
          <w:b/>
        </w:rPr>
        <w:t xml:space="preserve"> </w:t>
      </w:r>
      <w:r w:rsidRPr="006774B9">
        <w:t>(</w:t>
      </w:r>
      <w:r w:rsidR="00A96A8D" w:rsidRPr="006774B9">
        <w:t>R</w:t>
      </w:r>
      <w:r w:rsidRPr="006774B9">
        <w:t xml:space="preserve">ef. </w:t>
      </w:r>
      <w:sdt>
        <w:sdtPr>
          <w:id w:val="1984271635"/>
          <w:citation/>
        </w:sdtPr>
        <w:sdtEndPr/>
        <w:sdtContent>
          <w:r w:rsidR="00A96A8D" w:rsidRPr="006774B9">
            <w:fldChar w:fldCharType="begin"/>
          </w:r>
          <w:r w:rsidR="00A96A8D" w:rsidRPr="006774B9">
            <w:instrText xml:space="preserve"> CITATION ONR80 \l 2057 </w:instrText>
          </w:r>
          <w:r w:rsidR="00A96A8D" w:rsidRPr="006774B9">
            <w:fldChar w:fldCharType="separate"/>
          </w:r>
          <w:r w:rsidR="00FD7BB0" w:rsidRPr="00FD7BB0">
            <w:t>[11]</w:t>
          </w:r>
          <w:r w:rsidR="00A96A8D" w:rsidRPr="006774B9">
            <w:fldChar w:fldCharType="end"/>
          </w:r>
        </w:sdtContent>
      </w:sdt>
      <w:r w:rsidRPr="006774B9">
        <w:t>)</w:t>
      </w:r>
      <w:r>
        <w:t xml:space="preserve"> – provides guidance to support the assessmnet of the adequacy of organisational capability for nuclear safety advice and independent challenge.</w:t>
      </w:r>
    </w:p>
    <w:p w14:paraId="16FD5764" w14:textId="35AF8028" w:rsidR="0068548A" w:rsidRPr="000C7D11" w:rsidRDefault="0068548A" w:rsidP="00EA104F">
      <w:pPr>
        <w:pStyle w:val="Heading2"/>
      </w:pPr>
      <w:r w:rsidRPr="000C7D11">
        <w:t xml:space="preserve">Licensing of Nuclear Installations </w:t>
      </w:r>
    </w:p>
    <w:p w14:paraId="100E4C28" w14:textId="2ACF7923" w:rsidR="0068548A" w:rsidRPr="000C7D11" w:rsidRDefault="00265442" w:rsidP="00EA104F">
      <w:pPr>
        <w:pStyle w:val="F9-Paragraph"/>
        <w:rPr>
          <w:lang w:val="en"/>
        </w:rPr>
      </w:pPr>
      <w:r>
        <w:rPr>
          <w:lang w:val="en"/>
        </w:rPr>
        <w:t xml:space="preserve">ONRs </w:t>
      </w:r>
      <w:r w:rsidR="0068548A" w:rsidRPr="000C7D11">
        <w:rPr>
          <w:lang w:val="en"/>
        </w:rPr>
        <w:t>‘Licensing Nuclear Installations’</w:t>
      </w:r>
      <w:r w:rsidR="0068548A">
        <w:rPr>
          <w:lang w:val="en"/>
        </w:rPr>
        <w:t xml:space="preserve"> (</w:t>
      </w:r>
      <w:r w:rsidR="00A96A8D">
        <w:rPr>
          <w:lang w:val="en"/>
        </w:rPr>
        <w:t>R</w:t>
      </w:r>
      <w:r w:rsidR="0068548A">
        <w:rPr>
          <w:lang w:val="en"/>
        </w:rPr>
        <w:t xml:space="preserve">ef. </w:t>
      </w:r>
      <w:sdt>
        <w:sdtPr>
          <w:rPr>
            <w:lang w:val="en"/>
          </w:rPr>
          <w:id w:val="409670587"/>
          <w:citation/>
        </w:sdtPr>
        <w:sdtEndPr/>
        <w:sdtContent>
          <w:r w:rsidR="0068548A">
            <w:rPr>
              <w:lang w:val="en"/>
            </w:rPr>
            <w:fldChar w:fldCharType="begin"/>
          </w:r>
          <w:r w:rsidR="0068548A">
            <w:instrText xml:space="preserve"> CITATION ONR92 \l 2057 </w:instrText>
          </w:r>
          <w:r w:rsidR="0068548A">
            <w:rPr>
              <w:lang w:val="en"/>
            </w:rPr>
            <w:fldChar w:fldCharType="separate"/>
          </w:r>
          <w:r w:rsidR="00FD7BB0">
            <w:rPr>
              <w:noProof/>
            </w:rPr>
            <w:t>[12]</w:t>
          </w:r>
          <w:r w:rsidR="0068548A">
            <w:rPr>
              <w:lang w:val="en"/>
            </w:rPr>
            <w:fldChar w:fldCharType="end"/>
          </w:r>
        </w:sdtContent>
      </w:sdt>
      <w:r w:rsidR="0068548A">
        <w:rPr>
          <w:lang w:val="en"/>
        </w:rPr>
        <w:t>)</w:t>
      </w:r>
      <w:r w:rsidR="0068548A" w:rsidRPr="000C7D11">
        <w:rPr>
          <w:lang w:val="en"/>
        </w:rPr>
        <w:t xml:space="preserve"> sets out ONRs expectations of a licensee’s </w:t>
      </w:r>
      <w:r w:rsidR="00970ED9">
        <w:rPr>
          <w:lang w:val="en"/>
        </w:rPr>
        <w:t>NB</w:t>
      </w:r>
      <w:r w:rsidR="0068548A" w:rsidRPr="000C7D11">
        <w:rPr>
          <w:lang w:val="en"/>
        </w:rPr>
        <w:t xml:space="preserve"> as a demonstration that the licensee has suitable and sufficient organisation</w:t>
      </w:r>
      <w:r w:rsidR="005334D1">
        <w:rPr>
          <w:lang w:val="en"/>
        </w:rPr>
        <w:t>al</w:t>
      </w:r>
      <w:r w:rsidR="0068548A" w:rsidRPr="000C7D11">
        <w:rPr>
          <w:lang w:val="en"/>
        </w:rPr>
        <w:t xml:space="preserve"> structures, staffing and competences in place to effectively and reliably carry out those activities which could impact on nuclear safety.</w:t>
      </w:r>
    </w:p>
    <w:p w14:paraId="0F8C502F" w14:textId="7BA5F3E4" w:rsidR="0068548A" w:rsidRPr="000C7D11" w:rsidRDefault="0068548A" w:rsidP="00EA104F">
      <w:pPr>
        <w:pStyle w:val="F9-Paragraph"/>
        <w:rPr>
          <w:lang w:val="en"/>
        </w:rPr>
      </w:pPr>
      <w:r w:rsidRPr="000C7D11">
        <w:rPr>
          <w:lang w:val="en"/>
        </w:rPr>
        <w:t>It also sets out ONR’s expectation that the organisation</w:t>
      </w:r>
      <w:r w:rsidR="005334D1">
        <w:rPr>
          <w:lang w:val="en"/>
        </w:rPr>
        <w:t>al</w:t>
      </w:r>
      <w:r w:rsidRPr="000C7D11">
        <w:rPr>
          <w:lang w:val="en"/>
        </w:rPr>
        <w:t xml:space="preserve"> and management structure</w:t>
      </w:r>
      <w:r w:rsidR="005334D1">
        <w:rPr>
          <w:lang w:val="en"/>
        </w:rPr>
        <w:t>s</w:t>
      </w:r>
      <w:r w:rsidRPr="000C7D11">
        <w:rPr>
          <w:lang w:val="en"/>
        </w:rPr>
        <w:t xml:space="preserve"> set out in the </w:t>
      </w:r>
      <w:r w:rsidR="00970ED9">
        <w:rPr>
          <w:lang w:val="en"/>
        </w:rPr>
        <w:t>NB</w:t>
      </w:r>
      <w:r w:rsidRPr="000C7D11">
        <w:rPr>
          <w:lang w:val="en"/>
        </w:rPr>
        <w:t xml:space="preserve"> will not be static and that </w:t>
      </w:r>
      <w:r w:rsidR="005334D1">
        <w:rPr>
          <w:lang w:val="en"/>
        </w:rPr>
        <w:t>they</w:t>
      </w:r>
      <w:r w:rsidR="005334D1" w:rsidRPr="000C7D11">
        <w:rPr>
          <w:lang w:val="en"/>
        </w:rPr>
        <w:t xml:space="preserve"> </w:t>
      </w:r>
      <w:r w:rsidRPr="000C7D11">
        <w:rPr>
          <w:lang w:val="en"/>
        </w:rPr>
        <w:t>should evolve as the licensee’s organisation develops.</w:t>
      </w:r>
    </w:p>
    <w:p w14:paraId="14ECD0A7" w14:textId="77777777" w:rsidR="0068548A" w:rsidRPr="000C7D11" w:rsidRDefault="0068548A" w:rsidP="00EA104F">
      <w:pPr>
        <w:pStyle w:val="Heading2"/>
        <w:rPr>
          <w:lang w:val="en"/>
        </w:rPr>
      </w:pPr>
      <w:r w:rsidRPr="000C7D11">
        <w:rPr>
          <w:lang w:val="en"/>
        </w:rPr>
        <w:t>WENRA Reactor Safety Reference Levels</w:t>
      </w:r>
    </w:p>
    <w:p w14:paraId="22737BD2" w14:textId="5441CD28" w:rsidR="005334D1" w:rsidRPr="006774B9" w:rsidRDefault="005334D1" w:rsidP="00EA104F">
      <w:pPr>
        <w:pStyle w:val="F9-Paragraph"/>
        <w:rPr>
          <w:lang w:val="en"/>
        </w:rPr>
      </w:pPr>
      <w:r w:rsidRPr="006774B9">
        <w:rPr>
          <w:lang w:val="en"/>
        </w:rPr>
        <w:t>The objective of the Western European Nuclear Regulators Association (WENRA) is to develop a common approach to nuclear safety in Europe by comparing national approaches to the application of IAEA safety standards.</w:t>
      </w:r>
      <w:r w:rsidR="00EA104F">
        <w:rPr>
          <w:lang w:val="en"/>
        </w:rPr>
        <w:t xml:space="preserve"> </w:t>
      </w:r>
      <w:r w:rsidRPr="006774B9">
        <w:rPr>
          <w:lang w:val="en"/>
        </w:rPr>
        <w:t>The Reactor Harmonisation Working Group Report –WENRA Safety Reference Levels for Existing Reactors 2020, represents good practices in the WENRA member states.</w:t>
      </w:r>
      <w:r w:rsidR="00EA104F">
        <w:rPr>
          <w:lang w:val="en"/>
        </w:rPr>
        <w:t xml:space="preserve"> </w:t>
      </w:r>
    </w:p>
    <w:p w14:paraId="2EE11EF6" w14:textId="5C1FA22F" w:rsidR="005334D1" w:rsidRDefault="0068548A" w:rsidP="00EA104F">
      <w:pPr>
        <w:pStyle w:val="F9-Paragraph"/>
      </w:pPr>
      <w:r w:rsidRPr="000C7D11">
        <w:t xml:space="preserve">This TAG is consistent with the WENRA Safety Reference Levels for Existing Reactors </w:t>
      </w:r>
      <w:r w:rsidR="00530FC7" w:rsidRPr="000334FD">
        <w:t>(</w:t>
      </w:r>
      <w:r w:rsidR="000334FD" w:rsidRPr="006774B9">
        <w:t>R</w:t>
      </w:r>
      <w:r w:rsidR="00530FC7" w:rsidRPr="000334FD">
        <w:t xml:space="preserve">ef. </w:t>
      </w:r>
      <w:sdt>
        <w:sdtPr>
          <w:id w:val="416375304"/>
          <w:citation/>
        </w:sdtPr>
        <w:sdtEndPr/>
        <w:sdtContent>
          <w:r w:rsidR="00530FC7" w:rsidRPr="000334FD">
            <w:fldChar w:fldCharType="begin"/>
          </w:r>
          <w:r w:rsidR="00530FC7" w:rsidRPr="000334FD">
            <w:instrText xml:space="preserve"> CITATION WEN \l 2057 </w:instrText>
          </w:r>
          <w:r w:rsidR="00530FC7" w:rsidRPr="000334FD">
            <w:fldChar w:fldCharType="separate"/>
          </w:r>
          <w:r w:rsidR="00FD7BB0">
            <w:rPr>
              <w:noProof/>
            </w:rPr>
            <w:t>[13]</w:t>
          </w:r>
          <w:r w:rsidR="00530FC7" w:rsidRPr="000334FD">
            <w:fldChar w:fldCharType="end"/>
          </w:r>
        </w:sdtContent>
      </w:sdt>
      <w:r w:rsidR="00530FC7" w:rsidRPr="000334FD">
        <w:t>)</w:t>
      </w:r>
      <w:r w:rsidRPr="000334FD">
        <w:t>.</w:t>
      </w:r>
      <w:r w:rsidR="002A18AA">
        <w:t xml:space="preserve"> </w:t>
      </w:r>
      <w:r w:rsidR="005334D1">
        <w:t>The Issues of relevance to this TAG are:</w:t>
      </w:r>
    </w:p>
    <w:p w14:paraId="29BF388F" w14:textId="77777777" w:rsidR="00530FC7" w:rsidRDefault="0068548A" w:rsidP="0068548A">
      <w:pPr>
        <w:pStyle w:val="Bulletlist1"/>
      </w:pPr>
      <w:r w:rsidRPr="005E444D">
        <w:t xml:space="preserve">Para </w:t>
      </w:r>
      <w:r>
        <w:t>B</w:t>
      </w:r>
      <w:r w:rsidRPr="005E444D">
        <w:t>1.1 addresses a justified organisation</w:t>
      </w:r>
      <w:r w:rsidR="00530FC7">
        <w:t>:</w:t>
      </w:r>
    </w:p>
    <w:p w14:paraId="04276786" w14:textId="78713305" w:rsidR="0068548A" w:rsidRPr="00EA104F" w:rsidRDefault="0068548A" w:rsidP="00EA104F">
      <w:pPr>
        <w:pStyle w:val="QuoteText"/>
      </w:pPr>
      <w:r w:rsidRPr="00EA104F">
        <w:t>“The organisational structure for safe and reliable operation of the plant, and for ensuring an appropriate response in emergencies, shall be justified and documented.”</w:t>
      </w:r>
    </w:p>
    <w:p w14:paraId="1C1BF4C8" w14:textId="77777777" w:rsidR="00530FC7" w:rsidRDefault="0068548A" w:rsidP="0068548A">
      <w:pPr>
        <w:pStyle w:val="Bulletlist1"/>
      </w:pPr>
      <w:r w:rsidRPr="005E444D">
        <w:lastRenderedPageBreak/>
        <w:t xml:space="preserve">Para </w:t>
      </w:r>
      <w:r>
        <w:t>B</w:t>
      </w:r>
      <w:r w:rsidRPr="005E444D">
        <w:t>1.2</w:t>
      </w:r>
      <w:r>
        <w:t xml:space="preserve"> </w:t>
      </w:r>
      <w:r w:rsidRPr="005E444D">
        <w:t xml:space="preserve">requires management of change: </w:t>
      </w:r>
    </w:p>
    <w:p w14:paraId="76BB3207" w14:textId="16D8F42C" w:rsidR="0068548A" w:rsidRDefault="0068548A" w:rsidP="00EA104F">
      <w:pPr>
        <w:pStyle w:val="QuoteText"/>
      </w:pPr>
      <w:r w:rsidRPr="005E444D">
        <w:t xml:space="preserve">“The adequacy of the organisational structure, for its purposes according to </w:t>
      </w:r>
      <w:r>
        <w:t>B</w:t>
      </w:r>
      <w:r w:rsidRPr="005E444D">
        <w:t>1.1, shall be assessed when organisational changes are made which might be significant for safety.”</w:t>
      </w:r>
    </w:p>
    <w:p w14:paraId="338C28BF" w14:textId="77777777" w:rsidR="00AA4482" w:rsidRDefault="0068548A" w:rsidP="0068548A">
      <w:pPr>
        <w:pStyle w:val="Bulletlist1"/>
      </w:pPr>
      <w:r w:rsidRPr="005E444D">
        <w:t xml:space="preserve">Para </w:t>
      </w:r>
      <w:r>
        <w:t>B</w:t>
      </w:r>
      <w:r w:rsidRPr="005E444D">
        <w:t xml:space="preserve">3.1 states that </w:t>
      </w:r>
      <w:r>
        <w:t xml:space="preserve">a </w:t>
      </w:r>
      <w:r w:rsidRPr="005E444D">
        <w:t>resource assessment for the organisational structure is needed</w:t>
      </w:r>
      <w:r w:rsidR="00AA4482">
        <w:t>:</w:t>
      </w:r>
    </w:p>
    <w:p w14:paraId="78818A6B" w14:textId="0BA10BCA" w:rsidR="00AA4482" w:rsidRDefault="0068548A" w:rsidP="00EA104F">
      <w:pPr>
        <w:pStyle w:val="QuoteText"/>
      </w:pPr>
      <w:r w:rsidRPr="005E444D">
        <w:t>“The required number of staff for safe operation, and their competence, shall be analysed in a systematic and documented way”.</w:t>
      </w:r>
    </w:p>
    <w:p w14:paraId="6147C24C" w14:textId="69BEC32D" w:rsidR="00AA4482" w:rsidRDefault="0068548A" w:rsidP="0068548A">
      <w:pPr>
        <w:pStyle w:val="Bulletlist1"/>
      </w:pPr>
      <w:r>
        <w:t>Para B3.5</w:t>
      </w:r>
      <w:r w:rsidRPr="005E444D">
        <w:t xml:space="preserve"> addresses employee/</w:t>
      </w:r>
      <w:r w:rsidR="005334D1">
        <w:t xml:space="preserve"> </w:t>
      </w:r>
      <w:r w:rsidRPr="005E444D">
        <w:t xml:space="preserve">contractor resource balance: </w:t>
      </w:r>
    </w:p>
    <w:p w14:paraId="404C0AFF" w14:textId="2025B2C4" w:rsidR="0068548A" w:rsidRPr="005E444D" w:rsidRDefault="0068548A" w:rsidP="00EA104F">
      <w:pPr>
        <w:pStyle w:val="QuoteText"/>
      </w:pPr>
      <w:r w:rsidRPr="005E444D">
        <w:t>“The licensee shall always have in house, sufficient competent staff to understand the licensing basis of the plant (</w:t>
      </w:r>
      <w:proofErr w:type="gramStart"/>
      <w:r w:rsidRPr="005E444D">
        <w:t>e.g.</w:t>
      </w:r>
      <w:proofErr w:type="gramEnd"/>
      <w:r w:rsidRPr="005E444D">
        <w:t xml:space="preserve"> Safety Analysis Report or Safety Case and other documents based thereon), as well as to understand the actual design and operation of the plant in all plant states”.</w:t>
      </w:r>
    </w:p>
    <w:p w14:paraId="79BA52F5" w14:textId="4CC7F8C2" w:rsidR="00AA4482" w:rsidRDefault="0068548A" w:rsidP="0068548A">
      <w:pPr>
        <w:pStyle w:val="Bulletlist1"/>
      </w:pPr>
      <w:r w:rsidRPr="005E444D">
        <w:t xml:space="preserve">Para </w:t>
      </w:r>
      <w:r>
        <w:t>B</w:t>
      </w:r>
      <w:r w:rsidRPr="005E444D">
        <w:t xml:space="preserve">3.6 addresses the </w:t>
      </w:r>
      <w:r w:rsidR="005334D1">
        <w:t>intelligent customer (</w:t>
      </w:r>
      <w:r w:rsidR="00F132DC">
        <w:t>IC</w:t>
      </w:r>
      <w:r w:rsidR="005334D1">
        <w:t>)</w:t>
      </w:r>
      <w:r w:rsidRPr="005E444D">
        <w:t xml:space="preserve"> role: </w:t>
      </w:r>
    </w:p>
    <w:p w14:paraId="404EA836" w14:textId="1CA825AE" w:rsidR="0068548A" w:rsidRDefault="0068548A" w:rsidP="00EA104F">
      <w:pPr>
        <w:pStyle w:val="QuoteText"/>
      </w:pPr>
      <w:r w:rsidRPr="005E444D">
        <w:t>“The licensee shall maintain, in house, sufficient and competent staff and resources to specify, set standards</w:t>
      </w:r>
      <w:r>
        <w:t>,</w:t>
      </w:r>
      <w:r w:rsidRPr="005E444D">
        <w:t xml:space="preserve"> manage and evaluate safety work carried out by contractors”.</w:t>
      </w:r>
    </w:p>
    <w:p w14:paraId="5560789D" w14:textId="77777777" w:rsidR="00F21BA6" w:rsidRPr="00F409F6" w:rsidRDefault="00F21BA6" w:rsidP="00F21BA6">
      <w:pPr>
        <w:pStyle w:val="Bulletlist1"/>
      </w:pPr>
      <w:r w:rsidRPr="00F409F6">
        <w:t>Para C3.1 requires an integrated management system:</w:t>
      </w:r>
    </w:p>
    <w:p w14:paraId="710000F7" w14:textId="19B0B6E2" w:rsidR="00F21BA6" w:rsidRPr="006774B9" w:rsidRDefault="00F21BA6" w:rsidP="00EA104F">
      <w:pPr>
        <w:pStyle w:val="QuoteText"/>
      </w:pPr>
      <w:r w:rsidRPr="006774B9">
        <w:t>“The main aim of the integrated management system shall be to achieve and enhance nuclear safety.</w:t>
      </w:r>
      <w:r w:rsidR="00EA104F">
        <w:t xml:space="preserve"> </w:t>
      </w:r>
      <w:r w:rsidRPr="006774B9">
        <w:t>Other demands on the licensee and the licensee’s management system shall be considered in unison with nuclear safety, in order to help preclude their possible negative impact on nuclear safety.”</w:t>
      </w:r>
    </w:p>
    <w:p w14:paraId="2497F5B6" w14:textId="342FE1CE" w:rsidR="0068548A" w:rsidRPr="000C7D11" w:rsidRDefault="0068548A" w:rsidP="00EA104F">
      <w:pPr>
        <w:pStyle w:val="Heading2"/>
      </w:pPr>
      <w:r w:rsidRPr="000C7D11">
        <w:t>IAEA Safety Standards</w:t>
      </w:r>
    </w:p>
    <w:p w14:paraId="74BA15A4" w14:textId="78FCFD24" w:rsidR="0068548A" w:rsidRPr="000C7D11" w:rsidRDefault="0068548A" w:rsidP="00EA104F">
      <w:pPr>
        <w:pStyle w:val="F9-Paragraph"/>
      </w:pPr>
      <w:r w:rsidRPr="000C7D11">
        <w:t>The IAEA Safety Standards (Requirements and Guides) are the benchmark for the SAPs and are recognised by ONR as relevant good practice.</w:t>
      </w:r>
      <w:r w:rsidR="002A18AA">
        <w:t xml:space="preserve"> </w:t>
      </w:r>
      <w:r w:rsidR="00EA104F">
        <w:br/>
      </w:r>
      <w:r w:rsidRPr="007A52F1">
        <w:t xml:space="preserve">They </w:t>
      </w:r>
      <w:r w:rsidRPr="000C7D11">
        <w:t xml:space="preserve">should therefore be consulted, where relevant, by the </w:t>
      </w:r>
      <w:r w:rsidR="009348C8">
        <w:t>i</w:t>
      </w:r>
      <w:r w:rsidRPr="000C7D11">
        <w:t>nspector.</w:t>
      </w:r>
      <w:r w:rsidR="002A18AA">
        <w:t xml:space="preserve"> </w:t>
      </w:r>
    </w:p>
    <w:p w14:paraId="01041C82" w14:textId="77777777" w:rsidR="00EA104F" w:rsidRDefault="00EA104F" w:rsidP="00EA104F">
      <w:pPr>
        <w:pStyle w:val="F9-Paragraph"/>
        <w:sectPr w:rsidR="00EA104F" w:rsidSect="00EA104F">
          <w:pgSz w:w="11906" w:h="16838" w:code="9"/>
          <w:pgMar w:top="1440" w:right="1440" w:bottom="1440" w:left="1440" w:header="397" w:footer="397" w:gutter="0"/>
          <w:cols w:space="312"/>
          <w:docGrid w:linePitch="360"/>
        </w:sectPr>
      </w:pPr>
    </w:p>
    <w:p w14:paraId="21DD1C35" w14:textId="77777777" w:rsidR="0068548A" w:rsidRPr="000C7D11" w:rsidRDefault="0068548A" w:rsidP="00EA104F">
      <w:pPr>
        <w:pStyle w:val="F9-Paragraph"/>
      </w:pPr>
      <w:r w:rsidRPr="000C7D11">
        <w:lastRenderedPageBreak/>
        <w:t>Fundamental Safety Principle Number 1 states:</w:t>
      </w:r>
    </w:p>
    <w:p w14:paraId="3A8FD8D3" w14:textId="7B6F3E69" w:rsidR="0068548A" w:rsidRPr="000C7D11" w:rsidRDefault="0068548A" w:rsidP="00EA104F">
      <w:pPr>
        <w:pStyle w:val="QuoteText"/>
      </w:pPr>
      <w:r>
        <w:t>“</w:t>
      </w:r>
      <w:r w:rsidRPr="000C7D11">
        <w:t>The prime responsibility for safety must rest with the person or organization responsible for facilities and activities that give rise to radiation risks.</w:t>
      </w:r>
      <w:r>
        <w:t>”</w:t>
      </w:r>
    </w:p>
    <w:p w14:paraId="3B7DD9A4" w14:textId="77777777" w:rsidR="0068548A" w:rsidRPr="000C7D11" w:rsidRDefault="0068548A" w:rsidP="00EA104F">
      <w:pPr>
        <w:pStyle w:val="F9-Paragraph"/>
      </w:pPr>
      <w:r w:rsidRPr="000C7D11">
        <w:t>This principle cites the responsibility of the licensee for safety throughout the lifecycle of a facility or activity. It affirms the licensee’s responsibility for establishing and maintaining the right skills and competences.</w:t>
      </w:r>
    </w:p>
    <w:p w14:paraId="66132AE3" w14:textId="2970E621" w:rsidR="0068548A" w:rsidRPr="000C7D11" w:rsidRDefault="0068548A" w:rsidP="00EA104F">
      <w:pPr>
        <w:pStyle w:val="F9-Paragraph"/>
      </w:pPr>
      <w:r w:rsidRPr="000C7D11">
        <w:t>In addition, IAEA Safety Guide NS-G-2.4</w:t>
      </w:r>
      <w:r w:rsidR="00BD0A18">
        <w:t xml:space="preserve"> (</w:t>
      </w:r>
      <w:r w:rsidR="000334FD">
        <w:t>R</w:t>
      </w:r>
      <w:r w:rsidR="00BD0A18">
        <w:t xml:space="preserve">ef. </w:t>
      </w:r>
      <w:sdt>
        <w:sdtPr>
          <w:id w:val="19294223"/>
          <w:citation/>
        </w:sdtPr>
        <w:sdtEndPr/>
        <w:sdtContent>
          <w:r w:rsidR="00BD0A18">
            <w:fldChar w:fldCharType="begin"/>
          </w:r>
          <w:r w:rsidR="00BD0A18">
            <w:instrText xml:space="preserve"> CITATION IAEdf \l 2057 </w:instrText>
          </w:r>
          <w:r w:rsidR="00BD0A18">
            <w:fldChar w:fldCharType="separate"/>
          </w:r>
          <w:r w:rsidR="00FD7BB0">
            <w:rPr>
              <w:noProof/>
            </w:rPr>
            <w:t>[14]</w:t>
          </w:r>
          <w:r w:rsidR="00BD0A18">
            <w:fldChar w:fldCharType="end"/>
          </w:r>
        </w:sdtContent>
      </w:sdt>
      <w:r w:rsidR="00BD0A18">
        <w:t>)</w:t>
      </w:r>
      <w:r w:rsidRPr="000C7D11">
        <w:t xml:space="preserve"> includes some elements that are embodied in the </w:t>
      </w:r>
      <w:r w:rsidR="00970ED9">
        <w:t xml:space="preserve">NB </w:t>
      </w:r>
      <w:r w:rsidRPr="000C7D11">
        <w:t>or Safety Management Prospectus</w:t>
      </w:r>
      <w:r w:rsidR="00970ED9">
        <w:t xml:space="preserve"> (SMP)</w:t>
      </w:r>
      <w:r w:rsidRPr="000C7D11">
        <w:t xml:space="preserve"> as a means of justifying and describing the organisation.</w:t>
      </w:r>
    </w:p>
    <w:p w14:paraId="2A117D13" w14:textId="77777777" w:rsidR="007A52F1" w:rsidRPr="006774B9" w:rsidRDefault="007A52F1" w:rsidP="00EA104F">
      <w:pPr>
        <w:pStyle w:val="F9-Paragraph"/>
      </w:pPr>
      <w:r w:rsidRPr="006774B9">
        <w:t>IAEA documents of relevance include:</w:t>
      </w:r>
    </w:p>
    <w:p w14:paraId="7BF81CDD" w14:textId="3803A91A" w:rsidR="007A52F1" w:rsidRPr="000334FD" w:rsidRDefault="007A52F1" w:rsidP="007A52F1">
      <w:pPr>
        <w:pStyle w:val="Bulletlist1"/>
      </w:pPr>
      <w:r w:rsidRPr="00850B03">
        <w:t xml:space="preserve">Specific Safety Guide SSG-72 – The Operating Organisation for Nuclear Power Plants </w:t>
      </w:r>
      <w:r w:rsidRPr="006774B9">
        <w:t>(</w:t>
      </w:r>
      <w:r w:rsidR="000334FD" w:rsidRPr="006774B9">
        <w:t>R</w:t>
      </w:r>
      <w:r w:rsidRPr="006774B9">
        <w:t xml:space="preserve">ef. </w:t>
      </w:r>
      <w:sdt>
        <w:sdtPr>
          <w:id w:val="-1063796156"/>
          <w:citation/>
        </w:sdtPr>
        <w:sdtEndPr/>
        <w:sdtContent>
          <w:r w:rsidRPr="006774B9">
            <w:fldChar w:fldCharType="begin"/>
          </w:r>
          <w:r w:rsidR="000334FD" w:rsidRPr="006774B9">
            <w:instrText xml:space="preserve">CITATION IAE072 \l 2057 </w:instrText>
          </w:r>
          <w:r w:rsidRPr="006774B9">
            <w:fldChar w:fldCharType="separate"/>
          </w:r>
          <w:r w:rsidR="00FD7BB0" w:rsidRPr="00FD7BB0">
            <w:t>[15]</w:t>
          </w:r>
          <w:r w:rsidRPr="006774B9">
            <w:fldChar w:fldCharType="end"/>
          </w:r>
        </w:sdtContent>
      </w:sdt>
      <w:r w:rsidRPr="006774B9">
        <w:t>)</w:t>
      </w:r>
    </w:p>
    <w:p w14:paraId="787837C1" w14:textId="3E20AFFD" w:rsidR="007A52F1" w:rsidRPr="00850B03" w:rsidRDefault="007A52F1" w:rsidP="007A52F1">
      <w:pPr>
        <w:pStyle w:val="Bulletlist1"/>
      </w:pPr>
      <w:r w:rsidRPr="00850B03">
        <w:t xml:space="preserve">Specific Safety Requirements SSR-2/2 – Safety of Nuclear Power Plants: Commissioning and </w:t>
      </w:r>
      <w:r w:rsidRPr="000334FD">
        <w:t xml:space="preserve">Operation </w:t>
      </w:r>
      <w:r w:rsidRPr="006774B9">
        <w:t>(</w:t>
      </w:r>
      <w:r w:rsidR="000334FD" w:rsidRPr="006774B9">
        <w:t>R</w:t>
      </w:r>
      <w:r w:rsidRPr="006774B9">
        <w:t xml:space="preserve">ef. </w:t>
      </w:r>
      <w:sdt>
        <w:sdtPr>
          <w:id w:val="1488123913"/>
          <w:citation/>
        </w:sdtPr>
        <w:sdtEndPr/>
        <w:sdtContent>
          <w:r w:rsidRPr="006774B9">
            <w:fldChar w:fldCharType="begin"/>
          </w:r>
          <w:r w:rsidR="000334FD" w:rsidRPr="006774B9">
            <w:instrText xml:space="preserve">CITATION IAE022 \l 2057 </w:instrText>
          </w:r>
          <w:r w:rsidRPr="006774B9">
            <w:fldChar w:fldCharType="separate"/>
          </w:r>
          <w:r w:rsidR="00FD7BB0" w:rsidRPr="00FD7BB0">
            <w:t>[16]</w:t>
          </w:r>
          <w:r w:rsidRPr="006774B9">
            <w:fldChar w:fldCharType="end"/>
          </w:r>
        </w:sdtContent>
      </w:sdt>
      <w:r w:rsidRPr="006774B9">
        <w:t>)</w:t>
      </w:r>
    </w:p>
    <w:p w14:paraId="36FFCF7D" w14:textId="172B1B09" w:rsidR="007A52F1" w:rsidRPr="000334FD" w:rsidRDefault="007A52F1" w:rsidP="007A52F1">
      <w:pPr>
        <w:pStyle w:val="Bulletlist1"/>
      </w:pPr>
      <w:r w:rsidRPr="00D824F9">
        <w:t>General Safety Requirements GSR Part 2 - Leadership and Management for Safety</w:t>
      </w:r>
      <w:r w:rsidRPr="00F409F6">
        <w:t xml:space="preserve"> </w:t>
      </w:r>
      <w:r w:rsidRPr="006774B9">
        <w:t>(</w:t>
      </w:r>
      <w:r w:rsidR="000334FD" w:rsidRPr="006774B9">
        <w:t>Ref.</w:t>
      </w:r>
      <w:sdt>
        <w:sdtPr>
          <w:id w:val="-223597088"/>
          <w:citation/>
        </w:sdtPr>
        <w:sdtEndPr/>
        <w:sdtContent>
          <w:r w:rsidR="000334FD" w:rsidRPr="006774B9">
            <w:fldChar w:fldCharType="begin"/>
          </w:r>
          <w:r w:rsidR="000334FD" w:rsidRPr="006774B9">
            <w:instrText xml:space="preserve"> CITATION IAE16 \l 2057 </w:instrText>
          </w:r>
          <w:r w:rsidR="000334FD" w:rsidRPr="006774B9">
            <w:fldChar w:fldCharType="separate"/>
          </w:r>
          <w:r w:rsidR="00FD7BB0">
            <w:t xml:space="preserve"> </w:t>
          </w:r>
          <w:r w:rsidR="00FD7BB0" w:rsidRPr="00FD7BB0">
            <w:t>[17]</w:t>
          </w:r>
          <w:r w:rsidR="000334FD" w:rsidRPr="006774B9">
            <w:fldChar w:fldCharType="end"/>
          </w:r>
        </w:sdtContent>
      </w:sdt>
      <w:r w:rsidRPr="006774B9">
        <w:t>)</w:t>
      </w:r>
    </w:p>
    <w:p w14:paraId="44DF4713" w14:textId="07E26855" w:rsidR="007A52F1" w:rsidRDefault="007A52F1" w:rsidP="007A52F1">
      <w:pPr>
        <w:pStyle w:val="Bulletlist1"/>
      </w:pPr>
      <w:r>
        <w:t>Nuclear Safety Guide NS-G-2.4 - The Operating Organization for Nuclear Power Plants”.</w:t>
      </w:r>
    </w:p>
    <w:p w14:paraId="21824F1D" w14:textId="2B1C811D" w:rsidR="007A52F1" w:rsidRPr="000334FD" w:rsidRDefault="007A52F1" w:rsidP="007A52F1">
      <w:pPr>
        <w:pStyle w:val="Bulletlist1"/>
      </w:pPr>
      <w:r w:rsidRPr="00F409F6">
        <w:t xml:space="preserve">General Safety Guide GS-G-3.1 – Application of the Management System for Facilities and </w:t>
      </w:r>
      <w:r w:rsidRPr="000334FD">
        <w:t xml:space="preserve">Activities </w:t>
      </w:r>
      <w:r w:rsidRPr="006774B9">
        <w:t>(</w:t>
      </w:r>
      <w:r w:rsidR="000334FD" w:rsidRPr="006774B9">
        <w:t>Re</w:t>
      </w:r>
      <w:r w:rsidRPr="006774B9">
        <w:t xml:space="preserve">f. </w:t>
      </w:r>
      <w:sdt>
        <w:sdtPr>
          <w:id w:val="204912875"/>
          <w:citation/>
        </w:sdtPr>
        <w:sdtEndPr/>
        <w:sdtContent>
          <w:r w:rsidRPr="006774B9">
            <w:fldChar w:fldCharType="begin"/>
          </w:r>
          <w:r w:rsidR="000334FD" w:rsidRPr="006774B9">
            <w:instrText xml:space="preserve">CITATION IAE062 \l 2057 </w:instrText>
          </w:r>
          <w:r w:rsidRPr="006774B9">
            <w:fldChar w:fldCharType="separate"/>
          </w:r>
          <w:r w:rsidR="00FD7BB0" w:rsidRPr="00FD7BB0">
            <w:t>[18]</w:t>
          </w:r>
          <w:r w:rsidRPr="006774B9">
            <w:fldChar w:fldCharType="end"/>
          </w:r>
        </w:sdtContent>
      </w:sdt>
      <w:r w:rsidRPr="006774B9">
        <w:t>)</w:t>
      </w:r>
    </w:p>
    <w:p w14:paraId="1F21D198" w14:textId="1047CC63" w:rsidR="007A52F1" w:rsidRPr="000334FD" w:rsidRDefault="007A52F1" w:rsidP="007A52F1">
      <w:pPr>
        <w:pStyle w:val="Bulletlist1"/>
      </w:pPr>
      <w:r w:rsidRPr="00850B03">
        <w:t xml:space="preserve">General Safety Guide </w:t>
      </w:r>
      <w:r w:rsidRPr="00F409F6">
        <w:t xml:space="preserve">GS-G-3.5 - The Management System for Nuclear Installations </w:t>
      </w:r>
      <w:r w:rsidRPr="006774B9">
        <w:t>(</w:t>
      </w:r>
      <w:r w:rsidR="000334FD" w:rsidRPr="006774B9">
        <w:t>R</w:t>
      </w:r>
      <w:r w:rsidRPr="006774B9">
        <w:t xml:space="preserve">ef. </w:t>
      </w:r>
      <w:sdt>
        <w:sdtPr>
          <w:id w:val="-1230070530"/>
          <w:citation/>
        </w:sdtPr>
        <w:sdtEndPr/>
        <w:sdtContent>
          <w:r w:rsidRPr="006774B9">
            <w:fldChar w:fldCharType="begin"/>
          </w:r>
          <w:r w:rsidR="000334FD" w:rsidRPr="006774B9">
            <w:instrText xml:space="preserve">CITATION IAE091 \l 2057 </w:instrText>
          </w:r>
          <w:r w:rsidRPr="006774B9">
            <w:fldChar w:fldCharType="separate"/>
          </w:r>
          <w:r w:rsidR="00FD7BB0" w:rsidRPr="00FD7BB0">
            <w:t>[19]</w:t>
          </w:r>
          <w:r w:rsidRPr="006774B9">
            <w:fldChar w:fldCharType="end"/>
          </w:r>
        </w:sdtContent>
      </w:sdt>
      <w:r w:rsidRPr="006774B9">
        <w:t>)</w:t>
      </w:r>
    </w:p>
    <w:p w14:paraId="6F7287B0" w14:textId="74BAEC06" w:rsidR="007A52F1" w:rsidRPr="006774B9" w:rsidRDefault="007A52F1" w:rsidP="00EA104F">
      <w:pPr>
        <w:pStyle w:val="F9-Paragraph"/>
      </w:pPr>
      <w:r w:rsidRPr="00386745">
        <w:t xml:space="preserve">SSG-72 </w:t>
      </w:r>
      <w:r>
        <w:t xml:space="preserve">and </w:t>
      </w:r>
      <w:r w:rsidRPr="006774B9">
        <w:t>SSR-2/2 include key elements of the management system and the structure of the operating organisation that are embodied in the nuclear baseline or Safety Management Prospectus (SMP):</w:t>
      </w:r>
    </w:p>
    <w:p w14:paraId="17CC521E" w14:textId="77777777" w:rsidR="007A52F1" w:rsidRPr="00BC4573" w:rsidRDefault="007A52F1" w:rsidP="007A52F1">
      <w:pPr>
        <w:pStyle w:val="Bulletlist1"/>
      </w:pPr>
      <w:r w:rsidRPr="00BC4573">
        <w:t xml:space="preserve">Requirement 3 of the SSR 2/2 – Structure and functions of the operating organization states: </w:t>
      </w:r>
    </w:p>
    <w:p w14:paraId="14770106" w14:textId="77777777" w:rsidR="007A52F1" w:rsidRPr="006774B9" w:rsidRDefault="007A52F1" w:rsidP="00EA104F">
      <w:pPr>
        <w:pStyle w:val="QuoteText"/>
      </w:pPr>
      <w:r w:rsidRPr="006774B9">
        <w:t xml:space="preserve">“The structure of the operating organization and the functions, roles and responsibilities of its personnel shall be established and documented.” </w:t>
      </w:r>
    </w:p>
    <w:p w14:paraId="346EF888" w14:textId="77777777" w:rsidR="007A52F1" w:rsidRPr="00BC4573" w:rsidRDefault="007A52F1" w:rsidP="007A52F1">
      <w:pPr>
        <w:pStyle w:val="Bulletlist1"/>
      </w:pPr>
      <w:r w:rsidRPr="00BC4573">
        <w:t>SSR 2/2, Para 3.8 considers responsibilities, authority and lines of communication for the safe operation of the plant:</w:t>
      </w:r>
    </w:p>
    <w:p w14:paraId="20413979" w14:textId="77777777" w:rsidR="007A52F1" w:rsidRPr="006774B9" w:rsidRDefault="007A52F1" w:rsidP="00EA104F">
      <w:pPr>
        <w:pStyle w:val="QuoteText"/>
      </w:pPr>
      <w:r w:rsidRPr="006774B9">
        <w:lastRenderedPageBreak/>
        <w:t>“Functional responsibilities, lines of authority, and lines of internal and external communication for the safe operation of a plant in all operational states and in accident conditions shall be clearly specified in writing.”</w:t>
      </w:r>
    </w:p>
    <w:p w14:paraId="0146960D" w14:textId="77777777" w:rsidR="007A52F1" w:rsidRPr="00BC4573" w:rsidRDefault="007A52F1" w:rsidP="007A52F1">
      <w:pPr>
        <w:pStyle w:val="Bulletlist1"/>
      </w:pPr>
      <w:r w:rsidRPr="00BC4573">
        <w:t>SSR 2/2, Para 3.9 considers the organisational structure and organisational change:</w:t>
      </w:r>
    </w:p>
    <w:p w14:paraId="0BF721F4" w14:textId="77777777" w:rsidR="007A52F1" w:rsidRPr="006774B9" w:rsidRDefault="007A52F1" w:rsidP="00EA104F">
      <w:pPr>
        <w:pStyle w:val="QuoteText"/>
      </w:pPr>
      <w:r w:rsidRPr="006774B9">
        <w:t xml:space="preserve">“The structure of the operating organization shall be specified so that all roles that are critical for safe operation are specified and described. Proposed organizational changes to the structure and associated arrangements, which might be of importance to safety, shall be analysed in advance by the operating organization.” </w:t>
      </w:r>
    </w:p>
    <w:p w14:paraId="22DE4E15" w14:textId="3192D09A" w:rsidR="007A52F1" w:rsidRPr="006774B9" w:rsidRDefault="007A52F1" w:rsidP="00EA104F">
      <w:pPr>
        <w:pStyle w:val="F9-Paragraph"/>
      </w:pPr>
      <w:r w:rsidRPr="006774B9">
        <w:t>GSR Part 2 defines the requirements for establishing, assessing, sustaining and continuously improving leadership and management for safety in organisations.</w:t>
      </w:r>
      <w:r w:rsidR="00EA104F">
        <w:t xml:space="preserve"> </w:t>
      </w:r>
      <w:r w:rsidRPr="006774B9">
        <w:t>Requirement 9 focuses on provision of resources and requirement 12 focuses on fostering a culture for safety.</w:t>
      </w:r>
      <w:r w:rsidR="00EA104F">
        <w:t xml:space="preserve"> </w:t>
      </w:r>
    </w:p>
    <w:p w14:paraId="456642B3" w14:textId="77777777" w:rsidR="007A52F1" w:rsidRPr="00BC4573" w:rsidRDefault="007A52F1" w:rsidP="007A52F1">
      <w:pPr>
        <w:pStyle w:val="Bulletlist1"/>
      </w:pPr>
      <w:r w:rsidRPr="00BC4573">
        <w:t>The GSR Part 2 requires that:</w:t>
      </w:r>
    </w:p>
    <w:p w14:paraId="7F199EA8" w14:textId="77777777" w:rsidR="007A52F1" w:rsidRPr="006774B9" w:rsidRDefault="007A52F1" w:rsidP="00EA104F">
      <w:pPr>
        <w:pStyle w:val="QuoteText"/>
      </w:pPr>
      <w:r w:rsidRPr="006774B9">
        <w:t>“Provision is made in the management system to identify any changes (including organisational changes) that could have significant implications for safety and to ensure that they are appropriately analysed.”</w:t>
      </w:r>
    </w:p>
    <w:p w14:paraId="14E8A272" w14:textId="77777777" w:rsidR="007A52F1" w:rsidRPr="006774B9" w:rsidRDefault="007A52F1" w:rsidP="00EA104F">
      <w:pPr>
        <w:pStyle w:val="QuoteText"/>
      </w:pPr>
      <w:r w:rsidRPr="006774B9">
        <w:t>“Planned reviews of the management system take account of changes in the organisation.”</w:t>
      </w:r>
    </w:p>
    <w:p w14:paraId="6CC32A87" w14:textId="77777777" w:rsidR="007A52F1" w:rsidRPr="006774B9" w:rsidRDefault="007A52F1" w:rsidP="00EA104F">
      <w:pPr>
        <w:pStyle w:val="F9-Paragraph"/>
      </w:pPr>
      <w:r w:rsidRPr="006774B9">
        <w:t>GS-G-3.1 and GS-G-3.5 provide generic guidance to aid in establishing, implementing, assessing and continually improving a management system.</w:t>
      </w:r>
    </w:p>
    <w:p w14:paraId="5C9FA9A4" w14:textId="41BCCEF9" w:rsidR="007A52F1" w:rsidRDefault="007A52F1" w:rsidP="00EA104F">
      <w:pPr>
        <w:pStyle w:val="F9-Paragraph"/>
        <w:numPr>
          <w:ilvl w:val="0"/>
          <w:numId w:val="0"/>
        </w:numPr>
        <w:ind w:left="360"/>
        <w:sectPr w:rsidR="007A52F1" w:rsidSect="00EA104F">
          <w:pgSz w:w="11906" w:h="16838" w:code="9"/>
          <w:pgMar w:top="1440" w:right="1440" w:bottom="1440" w:left="1440" w:header="397" w:footer="397" w:gutter="0"/>
          <w:cols w:space="312"/>
          <w:docGrid w:linePitch="360"/>
        </w:sectPr>
      </w:pPr>
    </w:p>
    <w:p w14:paraId="5255232C" w14:textId="0B114371" w:rsidR="00F7687C" w:rsidRDefault="00F7687C" w:rsidP="00E90780">
      <w:pPr>
        <w:pStyle w:val="Heading1"/>
      </w:pPr>
      <w:bookmarkStart w:id="7" w:name="_Toc139873418"/>
      <w:r>
        <w:lastRenderedPageBreak/>
        <w:t>Advice to Inspectors</w:t>
      </w:r>
      <w:bookmarkEnd w:id="7"/>
    </w:p>
    <w:p w14:paraId="300ED4C9" w14:textId="77777777" w:rsidR="00D76467" w:rsidRPr="00D76467" w:rsidRDefault="00D76467" w:rsidP="00EA104F">
      <w:pPr>
        <w:pStyle w:val="Heading2"/>
      </w:pPr>
      <w:r w:rsidRPr="00D76467">
        <w:rPr>
          <w:lang w:val="en" w:eastAsia="en-GB"/>
        </w:rPr>
        <w:t>Purpose of a Nuclear Baseline</w:t>
      </w:r>
    </w:p>
    <w:p w14:paraId="0FB51ACA" w14:textId="67715A86" w:rsidR="00D76467" w:rsidRPr="000C7D11" w:rsidRDefault="00D76467" w:rsidP="00EA104F">
      <w:pPr>
        <w:pStyle w:val="F9-Paragraph"/>
      </w:pPr>
      <w:r w:rsidRPr="000C7D11">
        <w:t>The principal purpose of the NB is to provide a demonstration that the licensee has suitable and sufficient organisational structures, staffing and competences in place to effectively and reliably carry out those activities which could impact on nuclear safety.</w:t>
      </w:r>
      <w:r w:rsidR="002A18AA">
        <w:t xml:space="preserve"> </w:t>
      </w:r>
    </w:p>
    <w:p w14:paraId="31D16D1C" w14:textId="74ECA05A" w:rsidR="00D76467" w:rsidRPr="000C7D11" w:rsidRDefault="00D76467" w:rsidP="00EA104F">
      <w:pPr>
        <w:pStyle w:val="F9-Paragraph"/>
      </w:pPr>
      <w:r w:rsidRPr="000C7D11">
        <w:t xml:space="preserve">The licensee needs to show that it </w:t>
      </w:r>
      <w:r w:rsidR="0099340F" w:rsidRPr="000C7D11">
        <w:t>can</w:t>
      </w:r>
      <w:r w:rsidRPr="000C7D11">
        <w:t xml:space="preserve"> maintain nuclear safety, remain in control of activities that could impact on nuclear safety under all foreseeable circumstances throughout the life cycle of the facility, and remain legally compliant.</w:t>
      </w:r>
      <w:r w:rsidR="002A18AA">
        <w:t xml:space="preserve"> </w:t>
      </w:r>
      <w:r w:rsidRPr="000C7D11">
        <w:t xml:space="preserve">This should not be a significant additional burden to the licensee, </w:t>
      </w:r>
      <w:r w:rsidR="0099340F" w:rsidRPr="000C7D11">
        <w:t>since</w:t>
      </w:r>
      <w:r w:rsidRPr="000C7D11">
        <w:t xml:space="preserve"> any organisation needs to know what resources, competencies and processes it needs to have in place to operate its business. </w:t>
      </w:r>
    </w:p>
    <w:p w14:paraId="4A5387B7" w14:textId="77777777" w:rsidR="00D76467" w:rsidRPr="000C7D11" w:rsidRDefault="00D76467" w:rsidP="00EA104F">
      <w:pPr>
        <w:pStyle w:val="F9-Paragraph"/>
      </w:pPr>
      <w:r w:rsidRPr="000C7D11">
        <w:t xml:space="preserve">A second, important purpose is to provide a clear description of the currently intended staffing levels as a reference point or ‘baseline’ against which the licensee can assess the potential impact upon nuclear safety of proposed organisational changes. </w:t>
      </w:r>
    </w:p>
    <w:p w14:paraId="018A4855" w14:textId="7CBC7B89" w:rsidR="00D76467" w:rsidRPr="000C7D11" w:rsidRDefault="00D76467" w:rsidP="00EA104F">
      <w:pPr>
        <w:pStyle w:val="F9-Paragraph"/>
      </w:pPr>
      <w:r w:rsidRPr="000C7D11">
        <w:t xml:space="preserve">In preparing its NB, the licensee should therefore consider all activities which have the potential to impact upon nuclear safety, </w:t>
      </w:r>
      <w:r w:rsidR="00C26F95" w:rsidRPr="000C7D11">
        <w:t>i.e.,</w:t>
      </w:r>
      <w:r w:rsidRPr="000C7D11">
        <w:t xml:space="preserve"> those activities with a positive impact and those which, if inadequately conceived or executed, could lead to an immediate or latent (direct but not immediate) detriment to nuclear safety. </w:t>
      </w:r>
      <w:r w:rsidR="00C26F95">
        <w:br/>
      </w:r>
      <w:r w:rsidRPr="000C7D11">
        <w:t xml:space="preserve">This includes, for example, the governance of nuclear safety, </w:t>
      </w:r>
      <w:r w:rsidR="00164B32">
        <w:t>Intelligent Customer (IC)</w:t>
      </w:r>
      <w:r w:rsidRPr="000C7D11">
        <w:t xml:space="preserve"> capability and drafting of safety related documents, as well as frontline work. </w:t>
      </w:r>
      <w:r w:rsidR="00164B32">
        <w:br/>
      </w:r>
      <w:r w:rsidRPr="000C7D11">
        <w:t>It should also include roles which have a positive contribution to nuclear safety.</w:t>
      </w:r>
    </w:p>
    <w:p w14:paraId="310597FB" w14:textId="23BCF25D" w:rsidR="00D76467" w:rsidRPr="000C7D11" w:rsidRDefault="00D76467" w:rsidP="00EA104F">
      <w:pPr>
        <w:pStyle w:val="F9-Paragraph"/>
      </w:pPr>
      <w:r w:rsidRPr="000C7D11">
        <w:t>The licensee should be able to show that it understands the nuclear safety roles that need to be delivered, and that these roles will be carried out by suitable and sufficient competent resource.</w:t>
      </w:r>
      <w:r w:rsidR="002A18AA">
        <w:t xml:space="preserve"> </w:t>
      </w:r>
      <w:r w:rsidRPr="000C7D11">
        <w:t>It is not sufficient just to show that all roles are ‘covered’, but that those individuals in post can realistically carry these roles out to the required standard and capacity.</w:t>
      </w:r>
    </w:p>
    <w:p w14:paraId="3EA44D61" w14:textId="77777777" w:rsidR="00D76467" w:rsidRPr="000C7D11" w:rsidRDefault="00D76467" w:rsidP="00EA104F">
      <w:pPr>
        <w:pStyle w:val="F9-Paragraph"/>
      </w:pPr>
      <w:r w:rsidRPr="000C7D11">
        <w:t>Licensees may derive their NBs in different ways, but there are some broad principles which underpin ONR’s expectations of a licensee’s NB in the following sections of this TAG.</w:t>
      </w:r>
    </w:p>
    <w:p w14:paraId="4039555F" w14:textId="77777777" w:rsidR="00D76467" w:rsidRPr="000C7D11" w:rsidRDefault="00D76467" w:rsidP="00EA104F">
      <w:pPr>
        <w:pStyle w:val="Heading2"/>
        <w:rPr>
          <w:lang w:val="en" w:eastAsia="en-GB"/>
        </w:rPr>
      </w:pPr>
      <w:r w:rsidRPr="000C7D11">
        <w:rPr>
          <w:lang w:val="en" w:eastAsia="en-GB"/>
        </w:rPr>
        <w:t>Nuclear Baseline Principles</w:t>
      </w:r>
      <w:r w:rsidRPr="000C7D11">
        <w:rPr>
          <w:lang w:eastAsia="en-GB"/>
        </w:rPr>
        <w:t xml:space="preserve"> </w:t>
      </w:r>
    </w:p>
    <w:p w14:paraId="478EBB55" w14:textId="0DD34B67" w:rsidR="00A51B76" w:rsidRPr="00A51B76" w:rsidRDefault="00D76467" w:rsidP="0099340F">
      <w:pPr>
        <w:pStyle w:val="NumList1"/>
      </w:pPr>
      <w:r w:rsidRPr="000C7D11">
        <w:t>The NB should consider the delivery and oversight of all activities</w:t>
      </w:r>
      <w:r w:rsidRPr="000C7D11">
        <w:rPr>
          <w:color w:val="FF0000"/>
        </w:rPr>
        <w:t xml:space="preserve"> </w:t>
      </w:r>
      <w:r w:rsidRPr="000C7D11">
        <w:t>which have the potential to impact upon nuclear safety. This includes activities with a positive impact and those which, if inadequately conceived or executed, could lead to an immediate or latent detriment to nuclear safety;</w:t>
      </w:r>
    </w:p>
    <w:p w14:paraId="71223B6E" w14:textId="399DB550" w:rsidR="00A51B76" w:rsidRPr="0099340F" w:rsidRDefault="00D76467" w:rsidP="0099340F">
      <w:pPr>
        <w:pStyle w:val="NumList1"/>
      </w:pPr>
      <w:r w:rsidRPr="00A51B76">
        <w:lastRenderedPageBreak/>
        <w:t>The NB should address the requirements of steady state conditions, periods of change and potential emergency situations at the current phase of the licensed facility’s life cycle;</w:t>
      </w:r>
    </w:p>
    <w:p w14:paraId="1D6668FA" w14:textId="5CB6630C" w:rsidR="00D76467" w:rsidRPr="000C7D11" w:rsidRDefault="00D76467" w:rsidP="0099340F">
      <w:pPr>
        <w:pStyle w:val="NumList1"/>
      </w:pPr>
      <w:r w:rsidRPr="000C7D11">
        <w:t>The NB should demonstrate that the licensee’s organisation has sufficient staff and competencies to discharge its responsibilities for delivery and oversight of nuclear safety under the nuclear site licence;</w:t>
      </w:r>
    </w:p>
    <w:p w14:paraId="7CD5F344" w14:textId="6571D79B" w:rsidR="00D76467" w:rsidRPr="000C7D11" w:rsidDel="00A51B76" w:rsidRDefault="00D76467" w:rsidP="0099340F">
      <w:pPr>
        <w:pStyle w:val="NumList1"/>
      </w:pPr>
      <w:r w:rsidRPr="000C7D11" w:rsidDel="00A51B76">
        <w:t xml:space="preserve">The licensee must demonstrate that it remains in control of nuclear safety. </w:t>
      </w:r>
      <w:r w:rsidR="00EF2E5C" w:rsidDel="00A51B76">
        <w:br/>
      </w:r>
      <w:r w:rsidRPr="000C7D11" w:rsidDel="00A51B76">
        <w:t xml:space="preserve">The governance of nuclear safety and </w:t>
      </w:r>
      <w:r w:rsidR="00EF2E5C" w:rsidDel="00A51B76">
        <w:t>IC</w:t>
      </w:r>
      <w:r w:rsidRPr="000C7D11" w:rsidDel="00A51B76">
        <w:t xml:space="preserve"> capability are an intrinsic part of this demonstration;</w:t>
      </w:r>
    </w:p>
    <w:p w14:paraId="36E27D9A" w14:textId="04A0D53A" w:rsidR="00D76467" w:rsidRPr="000C7D11" w:rsidRDefault="00D76467" w:rsidP="0099340F">
      <w:pPr>
        <w:pStyle w:val="NumList1"/>
      </w:pPr>
      <w:r w:rsidRPr="000C7D11">
        <w:t xml:space="preserve">Contract staff should appear as part of the NB resource when they are embedded within the licensee’s organisation or meet the criteria for holding </w:t>
      </w:r>
      <w:r w:rsidR="00EF2E5C">
        <w:t>IC</w:t>
      </w:r>
      <w:r w:rsidRPr="000C7D11">
        <w:t xml:space="preserve"> roles on behalf of the licensee;</w:t>
      </w:r>
    </w:p>
    <w:p w14:paraId="2D1582D0" w14:textId="0369BF65" w:rsidR="00676F7A" w:rsidRPr="0099340F" w:rsidRDefault="00D76467" w:rsidP="0099340F">
      <w:pPr>
        <w:pStyle w:val="NumList1"/>
      </w:pPr>
      <w:r w:rsidRPr="000C7D11">
        <w:t xml:space="preserve">The licensee should have arrangements in place to manage contract staff who do not meet the criteria for inclusion in the NB, and in these cases the NB should include those employees who discharge the associated </w:t>
      </w:r>
      <w:r w:rsidR="000C7C8D">
        <w:t>IC</w:t>
      </w:r>
      <w:r w:rsidRPr="000C7D11">
        <w:t xml:space="preserve"> functions; </w:t>
      </w:r>
    </w:p>
    <w:p w14:paraId="5B2D4997" w14:textId="0C7CE1FC" w:rsidR="00D76467" w:rsidRPr="00A366E4" w:rsidRDefault="00D76467" w:rsidP="0099340F">
      <w:pPr>
        <w:pStyle w:val="NumList1"/>
      </w:pPr>
      <w:r w:rsidRPr="00A366E4">
        <w:t xml:space="preserve">Licensees should develop a set of </w:t>
      </w:r>
      <w:r w:rsidR="00EF2E5C" w:rsidRPr="00A366E4">
        <w:t>i</w:t>
      </w:r>
      <w:r w:rsidRPr="00A366E4">
        <w:t>ndicators that provide evidence that the NB has the right organisation, staffing levels and competences and that it is being managed effectively;</w:t>
      </w:r>
    </w:p>
    <w:p w14:paraId="736D0C6E" w14:textId="46A65760" w:rsidR="00D76467" w:rsidRPr="00A366E4" w:rsidDel="00676F7A" w:rsidRDefault="00331DE7" w:rsidP="0099340F">
      <w:pPr>
        <w:pStyle w:val="NumList1"/>
      </w:pPr>
      <w:r w:rsidRPr="00A366E4" w:rsidDel="00676F7A">
        <w:t>T</w:t>
      </w:r>
      <w:r w:rsidR="00D76467" w:rsidRPr="00A366E4" w:rsidDel="00676F7A">
        <w:t>he Licensee should have in place a process through which the NB is derived and managed;</w:t>
      </w:r>
      <w:r w:rsidR="000C7C8D" w:rsidRPr="00A366E4" w:rsidDel="00676F7A">
        <w:t xml:space="preserve"> and,</w:t>
      </w:r>
    </w:p>
    <w:p w14:paraId="3982CB5A" w14:textId="65EBEB29" w:rsidR="00D76467" w:rsidRPr="00A366E4" w:rsidRDefault="00D76467" w:rsidP="0099340F">
      <w:pPr>
        <w:pStyle w:val="NumList1"/>
      </w:pPr>
      <w:r w:rsidRPr="00A366E4">
        <w:t>The NB should be maintained as a living document and provide an accurate, current reference point against which nuclear safety implications of proposed modifications to staffing levels/structures, workloads, and changed competence requirements can be assessed, in accordance with the licensee’s arrangements made under LC 36.</w:t>
      </w:r>
    </w:p>
    <w:p w14:paraId="69C00B0B" w14:textId="77777777" w:rsidR="00D76467" w:rsidRPr="000C7D11" w:rsidRDefault="00D76467" w:rsidP="00EA104F">
      <w:pPr>
        <w:pStyle w:val="Heading2"/>
      </w:pPr>
      <w:r w:rsidRPr="000C7D11">
        <w:t>Nuclear Baseline Methodology</w:t>
      </w:r>
    </w:p>
    <w:p w14:paraId="07748C8D" w14:textId="2547DF19" w:rsidR="00D76467" w:rsidRPr="00EA104F" w:rsidRDefault="00D76467" w:rsidP="00EA104F">
      <w:pPr>
        <w:pStyle w:val="Heading3"/>
      </w:pPr>
      <w:r w:rsidRPr="00EA104F">
        <w:t>Principles 1 and 2</w:t>
      </w:r>
    </w:p>
    <w:p w14:paraId="6C7A3AE2" w14:textId="0694358C" w:rsidR="00D76467" w:rsidRPr="000C7D11" w:rsidRDefault="00D76467" w:rsidP="00EA104F">
      <w:pPr>
        <w:pStyle w:val="F9-Paragraph"/>
      </w:pPr>
      <w:r w:rsidRPr="000C7D11">
        <w:t>The NB should be an evidence-based demonstration that the licensee has an organisational structure, staffing levels and competencies in place that enable it to maintain, and remain in control of, nuclear safety throughout the full range of activities for which it is licensed.</w:t>
      </w:r>
      <w:r w:rsidR="002A18AA">
        <w:t xml:space="preserve"> </w:t>
      </w:r>
    </w:p>
    <w:p w14:paraId="2831E9F0" w14:textId="3EDFB764" w:rsidR="00D76467" w:rsidRPr="000C7D11" w:rsidRDefault="00D76467" w:rsidP="00EA104F">
      <w:pPr>
        <w:pStyle w:val="F9-Paragraph"/>
      </w:pPr>
      <w:r w:rsidRPr="000C7D11">
        <w:t xml:space="preserve">This includes all activities with a positive impact and those which, if inadequately conceived or executed, could lead to an immediate or latent (direct but not immediate) detriment to nuclear safety, including showing that all the safety related roles set out in the </w:t>
      </w:r>
      <w:r w:rsidR="00EF2E5C">
        <w:t>SMP</w:t>
      </w:r>
      <w:r w:rsidRPr="000C7D11">
        <w:t xml:space="preserve"> are adequately populated.</w:t>
      </w:r>
      <w:r w:rsidR="002A18AA">
        <w:t xml:space="preserve"> </w:t>
      </w:r>
    </w:p>
    <w:p w14:paraId="1DE85D27" w14:textId="591BC525" w:rsidR="00D76467" w:rsidRPr="000C7D11" w:rsidRDefault="00D76467" w:rsidP="00EA104F">
      <w:pPr>
        <w:pStyle w:val="F9-Paragraph"/>
      </w:pPr>
      <w:r w:rsidRPr="000C7D11">
        <w:t xml:space="preserve">The NB should not be restricted to those roles set out in the site’s minimum staffing arrangements nor those which the licensee has identified as being </w:t>
      </w:r>
      <w:r w:rsidRPr="000C7D11">
        <w:lastRenderedPageBreak/>
        <w:t>necessary to maintain the facility in a quiescent shutdown state.</w:t>
      </w:r>
      <w:r w:rsidR="000C7C8D">
        <w:t xml:space="preserve"> </w:t>
      </w:r>
      <w:r w:rsidRPr="000C7D11">
        <w:t>It should reflect the roles needed to carry out the full range of activities for which the site is licensed, including normal operations, decommissioning projects, maintenance, examination and testing, emergency response etc.</w:t>
      </w:r>
      <w:r w:rsidR="000C7C8D">
        <w:t xml:space="preserve"> </w:t>
      </w:r>
      <w:r w:rsidRPr="000C7D11">
        <w:t xml:space="preserve">The governance of nuclear safety, </w:t>
      </w:r>
      <w:r w:rsidR="002A18AA">
        <w:t>IC</w:t>
      </w:r>
      <w:r w:rsidRPr="000C7D11">
        <w:t xml:space="preserve"> and Design Authority </w:t>
      </w:r>
      <w:r w:rsidR="00642C6D">
        <w:t xml:space="preserve">(DA) </w:t>
      </w:r>
      <w:r w:rsidRPr="000C7D11">
        <w:t xml:space="preserve">capabilities are an intrinsic part of this demonstration. </w:t>
      </w:r>
    </w:p>
    <w:p w14:paraId="764A6726" w14:textId="58D79F5E" w:rsidR="00D76467" w:rsidRPr="000C7D11" w:rsidRDefault="00D76467" w:rsidP="00EA104F">
      <w:pPr>
        <w:pStyle w:val="F9-Paragraph"/>
      </w:pPr>
      <w:r w:rsidRPr="000C7D11">
        <w:t>The licensee should put in place processes through which it identifies the roles that should be included in the NB.</w:t>
      </w:r>
      <w:r w:rsidR="002A18AA">
        <w:t xml:space="preserve"> </w:t>
      </w:r>
      <w:r w:rsidRPr="000C7D11">
        <w:t>These processes should be such that they provide for the identification of roles which are related to nuclear safety and licence condition compliance.</w:t>
      </w:r>
      <w:r w:rsidR="002A18AA">
        <w:t xml:space="preserve"> </w:t>
      </w:r>
      <w:r w:rsidRPr="000C7D11">
        <w:t>For example, they should include roles which involve:</w:t>
      </w:r>
    </w:p>
    <w:p w14:paraId="1F640FAC" w14:textId="09A17799" w:rsidR="00D76467" w:rsidRDefault="00D76467" w:rsidP="00EB7219">
      <w:pPr>
        <w:pStyle w:val="Bulletlist1"/>
      </w:pPr>
      <w:r>
        <w:t>Carrying out or supporting o</w:t>
      </w:r>
      <w:r w:rsidRPr="005E444D">
        <w:t>perations as defined in</w:t>
      </w:r>
      <w:r>
        <w:t xml:space="preserve"> the Nuclear Site Licence (LC 1);</w:t>
      </w:r>
    </w:p>
    <w:p w14:paraId="5CB9FE7E" w14:textId="2CC215B8" w:rsidR="00D76467" w:rsidRDefault="00D76467" w:rsidP="00EB7219">
      <w:pPr>
        <w:pStyle w:val="Bulletlist1"/>
      </w:pPr>
      <w:r w:rsidRPr="005E444D">
        <w:t>The design and manufacture of nuclear safety related plant and equipment</w:t>
      </w:r>
      <w:r>
        <w:t>;</w:t>
      </w:r>
    </w:p>
    <w:p w14:paraId="66650CC6" w14:textId="03109596" w:rsidR="00D76467" w:rsidRDefault="00D76467" w:rsidP="00EB7219">
      <w:pPr>
        <w:pStyle w:val="Bulletlist1"/>
      </w:pPr>
      <w:r w:rsidRPr="005E444D">
        <w:t>The management, control and supervision of processes and people which maintain licence compliance</w:t>
      </w:r>
      <w:r>
        <w:t>;</w:t>
      </w:r>
    </w:p>
    <w:p w14:paraId="4DA80270" w14:textId="52F0CFF6" w:rsidR="00D76467" w:rsidRDefault="00D76467" w:rsidP="00EB7219">
      <w:pPr>
        <w:pStyle w:val="Bulletlist1"/>
      </w:pPr>
      <w:r>
        <w:t>C</w:t>
      </w:r>
      <w:r w:rsidRPr="005E444D">
        <w:t>ontributing to the preparation of the nuclear safety case and advising on modern safety standards, including Design Authority responsibilities</w:t>
      </w:r>
      <w:r>
        <w:t>;</w:t>
      </w:r>
    </w:p>
    <w:p w14:paraId="41725BDA" w14:textId="51D517ED" w:rsidR="00D76467" w:rsidRDefault="00D76467" w:rsidP="00EB7219">
      <w:pPr>
        <w:pStyle w:val="Bulletlist1"/>
      </w:pPr>
      <w:r>
        <w:t>R</w:t>
      </w:r>
      <w:r w:rsidRPr="005E444D">
        <w:t>esponding to nuclear incidents and emergencies</w:t>
      </w:r>
      <w:r>
        <w:t>;</w:t>
      </w:r>
    </w:p>
    <w:p w14:paraId="5B3A99E1" w14:textId="6547DBF1" w:rsidR="00D76467" w:rsidRDefault="00D76467" w:rsidP="00EB7219">
      <w:pPr>
        <w:pStyle w:val="Bulletlist1"/>
      </w:pPr>
      <w:r>
        <w:t>Roles carried out by manpower substitutes or agency supplied workers that can impact on nuclear safety;</w:t>
      </w:r>
    </w:p>
    <w:p w14:paraId="722E24DA" w14:textId="3CDF3FFE" w:rsidR="00D76467" w:rsidRDefault="00D76467" w:rsidP="00EB7219">
      <w:pPr>
        <w:pStyle w:val="Bulletlist1"/>
      </w:pPr>
      <w:r>
        <w:t xml:space="preserve">Control and supervision of contractors involved in project based work that can impact on nuclear safety; </w:t>
      </w:r>
    </w:p>
    <w:p w14:paraId="6F48B069" w14:textId="29EC59A3" w:rsidR="00D76467" w:rsidRDefault="00D76467" w:rsidP="00EB7219">
      <w:pPr>
        <w:pStyle w:val="Bulletlist1"/>
      </w:pPr>
      <w:r>
        <w:t xml:space="preserve">Oversight of tenant organisations carrying out licensable activities; </w:t>
      </w:r>
    </w:p>
    <w:p w14:paraId="52A497AA" w14:textId="4FA4142C" w:rsidR="00D76467" w:rsidRPr="005E444D" w:rsidRDefault="00D76467" w:rsidP="00EB7219">
      <w:pPr>
        <w:pStyle w:val="Bulletlist1"/>
      </w:pPr>
      <w:r>
        <w:t>Governance arrangements for the oversight of nuclear safety.</w:t>
      </w:r>
    </w:p>
    <w:p w14:paraId="0F5B47C7" w14:textId="34D09C39" w:rsidR="00D76467" w:rsidRPr="000C7D11" w:rsidRDefault="00D76467" w:rsidP="00EA104F">
      <w:pPr>
        <w:pStyle w:val="F9-Paragraph"/>
      </w:pPr>
      <w:r w:rsidRPr="000C7D11">
        <w:t xml:space="preserve">Roles that should be included in the NB should not be hierarchically determined </w:t>
      </w:r>
      <w:r w:rsidR="00662099" w:rsidRPr="000C7D11">
        <w:t>i.e.,</w:t>
      </w:r>
      <w:r w:rsidRPr="000C7D11">
        <w:t xml:space="preserve"> they should not purely </w:t>
      </w:r>
      <w:r w:rsidR="0099340F" w:rsidRPr="000C7D11">
        <w:t>reflect</w:t>
      </w:r>
      <w:r w:rsidRPr="000C7D11">
        <w:t xml:space="preserve"> their responsibilities for making managerial or supervisory decisions; the NB should include all those roles which have the potential to impact upon nuclear safety, both positively and negatively.</w:t>
      </w:r>
      <w:r w:rsidR="002A18AA">
        <w:t xml:space="preserve"> </w:t>
      </w:r>
    </w:p>
    <w:p w14:paraId="3BDD49CD" w14:textId="77B51E9A" w:rsidR="00D76467" w:rsidRPr="000C7D11" w:rsidRDefault="00D76467" w:rsidP="00EA104F">
      <w:pPr>
        <w:pStyle w:val="F9-Paragraph"/>
      </w:pPr>
      <w:r w:rsidRPr="000C7D11">
        <w:t xml:space="preserve">It is not appropriate simply to take a managerial position, such as supervisors, as the </w:t>
      </w:r>
      <w:r w:rsidR="00662099" w:rsidRPr="000C7D11">
        <w:t>cut-off</w:t>
      </w:r>
      <w:r w:rsidRPr="000C7D11">
        <w:t xml:space="preserve"> point beneath which others do not appear in the baseline.</w:t>
      </w:r>
      <w:r w:rsidR="002A18AA">
        <w:t xml:space="preserve"> </w:t>
      </w:r>
      <w:r w:rsidRPr="000C7D11">
        <w:t>People beneath this managerial level may carry out work which has the potential to impact on nuclear safety for example control room staff, craftsmen working on systems/components important to nuclear safety, maintainers of nuclear plant, safety case authors, independent peer assessors etc.</w:t>
      </w:r>
      <w:r w:rsidR="002A18AA">
        <w:t xml:space="preserve"> </w:t>
      </w:r>
    </w:p>
    <w:p w14:paraId="33651344" w14:textId="479BC8BB" w:rsidR="00D76467" w:rsidRPr="000C7D11" w:rsidRDefault="00D76467" w:rsidP="00EA104F">
      <w:pPr>
        <w:pStyle w:val="F9-Paragraph"/>
      </w:pPr>
      <w:r w:rsidRPr="000C7D11">
        <w:lastRenderedPageBreak/>
        <w:t>The NB should include roles carried out off-site, such as at corporate headquarters, as well as those on the licensed site.</w:t>
      </w:r>
      <w:r w:rsidR="002A18AA">
        <w:t xml:space="preserve"> </w:t>
      </w:r>
    </w:p>
    <w:p w14:paraId="47A0F0B8" w14:textId="780B470D" w:rsidR="00D76467" w:rsidRPr="000C7D11" w:rsidRDefault="00D76467" w:rsidP="00EA104F">
      <w:pPr>
        <w:pStyle w:val="F9-Paragraph"/>
      </w:pPr>
      <w:r w:rsidRPr="000C7D11">
        <w:t>The NB should identify the licensee’s organisation down to the level where no impact on nuclear safety is observed.</w:t>
      </w:r>
      <w:r w:rsidR="002A18AA">
        <w:t xml:space="preserve"> </w:t>
      </w:r>
      <w:r w:rsidRPr="000C7D11">
        <w:t>Drilling down through the organisation until the point at which no further impact on nuclear safety is observed means the NB will have the right depth.</w:t>
      </w:r>
      <w:r w:rsidR="002A18AA">
        <w:t xml:space="preserve"> </w:t>
      </w:r>
      <w:r w:rsidRPr="000C7D11">
        <w:t>For example, maintenance staff may include those working in different areas including electrical, mechanical, C&amp;I etc.</w:t>
      </w:r>
      <w:r w:rsidR="002A18AA">
        <w:t xml:space="preserve"> </w:t>
      </w:r>
    </w:p>
    <w:p w14:paraId="043F9498" w14:textId="66DBC071" w:rsidR="00D76467" w:rsidRPr="000C7D11" w:rsidRDefault="00D76467" w:rsidP="00EA104F">
      <w:pPr>
        <w:pStyle w:val="F9-Paragraph"/>
      </w:pPr>
      <w:r w:rsidRPr="000C7D11">
        <w:t xml:space="preserve">The NB should identify the staffing levels and competencies needed in each of these </w:t>
      </w:r>
      <w:r w:rsidR="000A219B" w:rsidRPr="000C7D11">
        <w:t>areas but</w:t>
      </w:r>
      <w:r w:rsidRPr="000C7D11">
        <w:t xml:space="preserve"> need not further distinguish between groups of individuals who carry out the same roles. </w:t>
      </w:r>
    </w:p>
    <w:p w14:paraId="16344537" w14:textId="77777777" w:rsidR="00D76467" w:rsidRPr="000C7D11" w:rsidRDefault="00D76467" w:rsidP="00EA104F">
      <w:pPr>
        <w:pStyle w:val="F9-Paragraph"/>
      </w:pPr>
      <w:r w:rsidRPr="000C7D11">
        <w:t>Although the licensee may also extend the concept of the NB to manage other parts of its business such as its environmental, conventional safety and commercial activities, these are outside the scope of the NB for ONR’s nuclear regulatory purposes.</w:t>
      </w:r>
    </w:p>
    <w:p w14:paraId="6E501915" w14:textId="4206168A" w:rsidR="00D76467" w:rsidRPr="000C7D11" w:rsidRDefault="00D76467" w:rsidP="00EA104F">
      <w:pPr>
        <w:pStyle w:val="F9-Paragraph"/>
      </w:pPr>
      <w:r w:rsidRPr="000C7D11">
        <w:t xml:space="preserve">The Inspector should consider </w:t>
      </w:r>
      <w:r w:rsidR="0099340F" w:rsidRPr="000C7D11">
        <w:t>whether</w:t>
      </w:r>
      <w:r w:rsidRPr="000C7D11">
        <w:t>:</w:t>
      </w:r>
    </w:p>
    <w:p w14:paraId="11DF2D1F" w14:textId="77777777" w:rsidR="00D76467" w:rsidRDefault="00D76467" w:rsidP="0099340F">
      <w:pPr>
        <w:pStyle w:val="Bulletlist1"/>
      </w:pPr>
      <w:r>
        <w:t>T</w:t>
      </w:r>
      <w:r w:rsidRPr="005E444D">
        <w:t xml:space="preserve">he licensee </w:t>
      </w:r>
      <w:r>
        <w:t xml:space="preserve">has </w:t>
      </w:r>
      <w:r w:rsidRPr="005E444D">
        <w:t>defined the criteria used to identify roles that should be i</w:t>
      </w:r>
      <w:r>
        <w:t>ncluded in the NB;</w:t>
      </w:r>
    </w:p>
    <w:p w14:paraId="39D2C6B8" w14:textId="77777777" w:rsidR="00D76467" w:rsidRDefault="00D76467" w:rsidP="0099340F">
      <w:pPr>
        <w:pStyle w:val="Bulletlist1"/>
      </w:pPr>
      <w:r>
        <w:t>The</w:t>
      </w:r>
      <w:r w:rsidRPr="005E444D">
        <w:t xml:space="preserve"> criteria include all roles that involve the discharge of duties which, if inadequately conceived or executed, could lead to an immediate or latent </w:t>
      </w:r>
      <w:r>
        <w:t>effect both positive and negative</w:t>
      </w:r>
      <w:r w:rsidRPr="005E444D">
        <w:t xml:space="preserve"> to nuclear safety, including the delivery and oversight of the full range of activities, projects or operations that have this potential,</w:t>
      </w:r>
      <w:r>
        <w:t xml:space="preserve"> whether directly or indirectly; </w:t>
      </w:r>
    </w:p>
    <w:p w14:paraId="661E4D1E" w14:textId="31C22206" w:rsidR="00D76467" w:rsidRDefault="00D76467" w:rsidP="0099340F">
      <w:pPr>
        <w:pStyle w:val="Bulletlist1"/>
      </w:pPr>
      <w:r>
        <w:t>It is</w:t>
      </w:r>
      <w:r w:rsidRPr="005E444D">
        <w:t xml:space="preserve"> clear to wh</w:t>
      </w:r>
      <w:r>
        <w:t>om the responsibilities of the nuclear site l</w:t>
      </w:r>
      <w:r w:rsidRPr="005E444D">
        <w:t xml:space="preserve">icence, and other key nuclear safety requirements including legal issues </w:t>
      </w:r>
      <w:r>
        <w:t>such as the IRRs, are allocated.</w:t>
      </w:r>
      <w:r w:rsidR="002A18AA">
        <w:t xml:space="preserve"> </w:t>
      </w:r>
      <w:r w:rsidRPr="005E444D">
        <w:t>This could include responsibility matrices, organisational charts, role profiles etc. and/or explicit lin</w:t>
      </w:r>
      <w:r>
        <w:t>ks to the Safety Management Prospectus;</w:t>
      </w:r>
    </w:p>
    <w:p w14:paraId="338174A8" w14:textId="77777777" w:rsidR="00D76467" w:rsidRDefault="00D76467" w:rsidP="0099340F">
      <w:pPr>
        <w:pStyle w:val="Bulletlist1"/>
      </w:pPr>
      <w:r>
        <w:t>The NB</w:t>
      </w:r>
      <w:r w:rsidRPr="005E444D">
        <w:t xml:space="preserve"> reflect</w:t>
      </w:r>
      <w:r>
        <w:t>s</w:t>
      </w:r>
      <w:r w:rsidRPr="005E444D">
        <w:t xml:space="preserve"> the organisational structure detaile</w:t>
      </w:r>
      <w:r>
        <w:t>d in the Safety Management Prospectus;</w:t>
      </w:r>
    </w:p>
    <w:p w14:paraId="08651512" w14:textId="77777777" w:rsidR="00D76467" w:rsidRDefault="00D76467" w:rsidP="0099340F">
      <w:pPr>
        <w:pStyle w:val="Bulletlist1"/>
      </w:pPr>
      <w:r>
        <w:t>The NB</w:t>
      </w:r>
      <w:r w:rsidRPr="005E444D">
        <w:t xml:space="preserve"> consider</w:t>
      </w:r>
      <w:r>
        <w:t>s</w:t>
      </w:r>
      <w:r w:rsidRPr="005E444D">
        <w:t xml:space="preserve"> relevant off-site activities, including corporate functions,</w:t>
      </w:r>
      <w:r>
        <w:t xml:space="preserve"> as well as on-site activities;</w:t>
      </w:r>
    </w:p>
    <w:p w14:paraId="28E60452" w14:textId="77777777" w:rsidR="00D76467" w:rsidRDefault="00D76467" w:rsidP="0099340F">
      <w:pPr>
        <w:pStyle w:val="Bulletlist1"/>
      </w:pPr>
      <w:r>
        <w:t>The NB</w:t>
      </w:r>
      <w:r w:rsidRPr="005E444D">
        <w:t xml:space="preserve"> break</w:t>
      </w:r>
      <w:r>
        <w:t>s</w:t>
      </w:r>
      <w:r w:rsidRPr="005E444D">
        <w:t xml:space="preserve"> down the organisation into nuclear safety roles to a point at which further re</w:t>
      </w:r>
      <w:r>
        <w:t>-description does not add value.</w:t>
      </w:r>
    </w:p>
    <w:p w14:paraId="1B407AC9" w14:textId="51CECB2E" w:rsidR="00D76467" w:rsidRPr="008B704E" w:rsidRDefault="00EB7219" w:rsidP="00EA104F">
      <w:pPr>
        <w:pStyle w:val="Heading3"/>
      </w:pPr>
      <w:r w:rsidRPr="008B704E">
        <w:t>Principle 3 -</w:t>
      </w:r>
      <w:r w:rsidR="008B704E" w:rsidRPr="008B704E">
        <w:t xml:space="preserve"> </w:t>
      </w:r>
      <w:r w:rsidR="00D76467" w:rsidRPr="008B704E">
        <w:t>Nuclear Baseline Resource Level and Competence</w:t>
      </w:r>
    </w:p>
    <w:p w14:paraId="64D45BAD" w14:textId="74B967F0" w:rsidR="00D76467" w:rsidRPr="000C7D11" w:rsidRDefault="00D76467" w:rsidP="00EA104F">
      <w:pPr>
        <w:pStyle w:val="Heading4"/>
      </w:pPr>
      <w:r w:rsidRPr="000C7D11">
        <w:t>Resource Level</w:t>
      </w:r>
    </w:p>
    <w:p w14:paraId="41CDFB13" w14:textId="77777777" w:rsidR="00D76467" w:rsidRPr="000C7D11" w:rsidRDefault="00D76467" w:rsidP="00EA104F">
      <w:pPr>
        <w:pStyle w:val="F9-Paragraph"/>
      </w:pPr>
      <w:r w:rsidRPr="000C7D11">
        <w:t xml:space="preserve">The NB should include either a description, with rationale, of the staffing levels that the licensee needs to carry out roles that have the potential to </w:t>
      </w:r>
      <w:r w:rsidRPr="000C7D11">
        <w:lastRenderedPageBreak/>
        <w:t>impact on nuclear safety, and how this compares to actual staff in post which may be higher, or a description of the levels of staff currently in post with an explanation as to how this is known to be adequate.</w:t>
      </w:r>
    </w:p>
    <w:p w14:paraId="1625F214" w14:textId="69006188" w:rsidR="00D76467" w:rsidRPr="000C7D11" w:rsidRDefault="00D76467" w:rsidP="00EA104F">
      <w:pPr>
        <w:pStyle w:val="F9-Paragraph"/>
      </w:pPr>
      <w:r w:rsidRPr="000C7D11">
        <w:t xml:space="preserve">For existing, </w:t>
      </w:r>
      <w:r w:rsidR="00C26F95" w:rsidRPr="000C7D11">
        <w:t>well-established</w:t>
      </w:r>
      <w:r w:rsidRPr="000C7D11">
        <w:t xml:space="preserve"> organisations this may be simple evidence of adequate operational and safety performance at the stated staffing </w:t>
      </w:r>
      <w:r w:rsidR="00662099" w:rsidRPr="000C7D11">
        <w:t>levels but</w:t>
      </w:r>
      <w:r w:rsidRPr="000C7D11">
        <w:t xml:space="preserve"> should not merely be a statement of the status quo presented without suitable evidence as to why this is considered adequate. Nor should the NB be just the level of resource to maintain the licensed site in a non-operational </w:t>
      </w:r>
      <w:r w:rsidR="00662099" w:rsidRPr="000C7D11">
        <w:t>state unless</w:t>
      </w:r>
      <w:r w:rsidRPr="000C7D11">
        <w:t xml:space="preserve"> that is the licensee’s purpose.</w:t>
      </w:r>
    </w:p>
    <w:p w14:paraId="48C4AB81" w14:textId="7E9B922F" w:rsidR="00D76467" w:rsidRPr="000C7D11" w:rsidRDefault="00D76467" w:rsidP="00EA104F">
      <w:pPr>
        <w:pStyle w:val="F9-Paragraph"/>
      </w:pPr>
      <w:r w:rsidRPr="000C7D11">
        <w:t>The licensee should set out the number of individuals which it needs within its organisation to discharge the nuclear safety roles identified through application of Principles 1 and 2.</w:t>
      </w:r>
      <w:r w:rsidR="002A18AA">
        <w:t xml:space="preserve"> </w:t>
      </w:r>
      <w:r w:rsidRPr="000C7D11">
        <w:t xml:space="preserve">It should be noted that one post-holder may carry out </w:t>
      </w:r>
      <w:r w:rsidR="0099340F" w:rsidRPr="000C7D11">
        <w:t>several</w:t>
      </w:r>
      <w:r w:rsidRPr="000C7D11">
        <w:t xml:space="preserve"> roles, so there is unlikely to be a one-to-one relationship between roles and posts.</w:t>
      </w:r>
      <w:r w:rsidR="007A5ECB">
        <w:t xml:space="preserve"> </w:t>
      </w:r>
      <w:r w:rsidRPr="000C7D11">
        <w:t>The licensee should then set out the number of individuals which it has in place to carry out these roles.</w:t>
      </w:r>
      <w:r w:rsidR="002A18AA">
        <w:t xml:space="preserve"> </w:t>
      </w:r>
      <w:r w:rsidRPr="000C7D11">
        <w:t>The licensee should be able to show that the roles are all covered and that the post holder(s) has sufficient resource available to meet the demands of these roles.</w:t>
      </w:r>
    </w:p>
    <w:p w14:paraId="3BF43D38" w14:textId="630E8043" w:rsidR="00D76467" w:rsidRPr="000C7D11" w:rsidRDefault="00D76467" w:rsidP="00EA104F">
      <w:pPr>
        <w:pStyle w:val="F9-Paragraph"/>
      </w:pPr>
      <w:r w:rsidRPr="000C7D11">
        <w:t xml:space="preserve">If actual resource levels fall beneath those identified as necessary in the NB </w:t>
      </w:r>
      <w:r w:rsidR="00662099">
        <w:br/>
      </w:r>
      <w:r w:rsidR="00662099" w:rsidRPr="000C7D11">
        <w:t>i.e.,</w:t>
      </w:r>
      <w:r w:rsidRPr="000C7D11">
        <w:t xml:space="preserve"> there are gaps between the numbers of staff needed and the numbers in post, nuclear safety may be affected.</w:t>
      </w:r>
      <w:r w:rsidR="002A18AA">
        <w:t xml:space="preserve"> </w:t>
      </w:r>
      <w:r w:rsidRPr="000C7D11">
        <w:t xml:space="preserve">The licensee should be able to show that it understands where such gaps exist and that it has contingency measures in place to address the potential consequences of any </w:t>
      </w:r>
      <w:r w:rsidR="00662099" w:rsidRPr="000C7D11">
        <w:t>shortfall and</w:t>
      </w:r>
      <w:r w:rsidRPr="000C7D11">
        <w:t xml:space="preserve"> plans to fill the gaps.</w:t>
      </w:r>
      <w:r w:rsidR="002A18AA">
        <w:t xml:space="preserve"> </w:t>
      </w:r>
      <w:r w:rsidRPr="000C7D11">
        <w:t>These plans may involve recruitment or redeployment of staff, reducing or delaying work, or the use of contract resource.</w:t>
      </w:r>
    </w:p>
    <w:p w14:paraId="23DD6084" w14:textId="77777777" w:rsidR="00D76467" w:rsidRPr="000C7D11" w:rsidRDefault="00D76467" w:rsidP="00EA104F">
      <w:pPr>
        <w:pStyle w:val="F9-Paragraph"/>
      </w:pPr>
      <w:r w:rsidRPr="000C7D11">
        <w:t>There may be risks to nuclear safety if demands increase without an adequate increase in staffing. There should be arrangements in place to identify and deal with this potential too.</w:t>
      </w:r>
    </w:p>
    <w:p w14:paraId="7ECC7341" w14:textId="3143FE0D" w:rsidR="00D76467" w:rsidRPr="000C7D11" w:rsidRDefault="00D76467" w:rsidP="00EA104F">
      <w:pPr>
        <w:pStyle w:val="F9-Paragraph"/>
      </w:pPr>
      <w:r w:rsidRPr="000C7D11">
        <w:t xml:space="preserve">Where contract support is used, this must be overseen by a competent Intelligent Customer capability. The alternative option of addressing resource gaps through reprioritisation of the work programme </w:t>
      </w:r>
      <w:r w:rsidR="0099340F" w:rsidRPr="000C7D11">
        <w:t>based on</w:t>
      </w:r>
      <w:r w:rsidRPr="000C7D11">
        <w:t xml:space="preserve"> nuclear safety should also be explicitly defined.</w:t>
      </w:r>
    </w:p>
    <w:p w14:paraId="046E7383" w14:textId="01B65264" w:rsidR="00D76467" w:rsidRPr="000C7D11" w:rsidRDefault="00D76467" w:rsidP="00EA104F">
      <w:pPr>
        <w:pStyle w:val="F9-Paragraph"/>
      </w:pPr>
      <w:r w:rsidRPr="000C7D11">
        <w:t xml:space="preserve">The Inspector should consider </w:t>
      </w:r>
      <w:r w:rsidR="0099340F" w:rsidRPr="000C7D11">
        <w:t>whether</w:t>
      </w:r>
      <w:r w:rsidRPr="000C7D11">
        <w:t xml:space="preserve"> the licensee:</w:t>
      </w:r>
    </w:p>
    <w:p w14:paraId="1C521579" w14:textId="77777777" w:rsidR="00D76467" w:rsidRDefault="00D76467" w:rsidP="008B704E">
      <w:pPr>
        <w:pStyle w:val="Bulletlist1"/>
      </w:pPr>
      <w:r>
        <w:t xml:space="preserve">Has </w:t>
      </w:r>
      <w:r w:rsidRPr="005E444D">
        <w:t>defined, and given a clear rationale for, the number of individuals required for each N</w:t>
      </w:r>
      <w:r>
        <w:t>B post/role, for example</w:t>
      </w:r>
      <w:r w:rsidRPr="005E444D">
        <w:t xml:space="preserve"> does the rationale reflect the full breadt</w:t>
      </w:r>
      <w:r>
        <w:t>h of the licensee’s activities and d</w:t>
      </w:r>
      <w:r w:rsidRPr="005E444D">
        <w:t xml:space="preserve">oes it take consideration of </w:t>
      </w:r>
      <w:r>
        <w:t>the licensee’s work programmes;</w:t>
      </w:r>
      <w:r w:rsidRPr="005E444D">
        <w:t xml:space="preserve"> </w:t>
      </w:r>
    </w:p>
    <w:p w14:paraId="140E953B" w14:textId="77777777" w:rsidR="00D76467" w:rsidRDefault="00D76467" w:rsidP="008B704E">
      <w:pPr>
        <w:pStyle w:val="Bulletlist1"/>
      </w:pPr>
      <w:r>
        <w:t>Has</w:t>
      </w:r>
      <w:r w:rsidRPr="005E444D">
        <w:t xml:space="preserve"> a process in place to monitor the adequacy of its resourc</w:t>
      </w:r>
      <w:r>
        <w:t>e levels;</w:t>
      </w:r>
    </w:p>
    <w:p w14:paraId="0E7FBCD9" w14:textId="77777777" w:rsidR="00D76467" w:rsidRDefault="00D76467" w:rsidP="008B704E">
      <w:pPr>
        <w:pStyle w:val="Bulletlist1"/>
      </w:pPr>
      <w:r>
        <w:t xml:space="preserve">Is </w:t>
      </w:r>
      <w:r w:rsidRPr="005E444D">
        <w:t>able to demonstrate that it understands where and why its staffing levels fall short of the levels identified as being necessary to maintain nuclear safety, and can it justify carrying out its activities during</w:t>
      </w:r>
      <w:r>
        <w:t xml:space="preserve"> with such a shortfall in place;</w:t>
      </w:r>
    </w:p>
    <w:p w14:paraId="557C7E16" w14:textId="77777777" w:rsidR="00D76467" w:rsidRDefault="00D76467" w:rsidP="008B704E">
      <w:pPr>
        <w:pStyle w:val="Bulletlist1"/>
      </w:pPr>
      <w:r>
        <w:lastRenderedPageBreak/>
        <w:t xml:space="preserve">Has put </w:t>
      </w:r>
      <w:r w:rsidRPr="005E444D">
        <w:t xml:space="preserve">measures </w:t>
      </w:r>
      <w:r>
        <w:t xml:space="preserve">in place </w:t>
      </w:r>
      <w:r w:rsidRPr="005E444D">
        <w:t>to address an</w:t>
      </w:r>
      <w:r>
        <w:t>y shortfalls in resource levels;</w:t>
      </w:r>
    </w:p>
    <w:p w14:paraId="23FE071B" w14:textId="77777777" w:rsidR="00D76467" w:rsidRDefault="00D76467" w:rsidP="008B704E">
      <w:pPr>
        <w:pStyle w:val="Bulletlist1"/>
      </w:pPr>
      <w:r>
        <w:t>Has management of change a</w:t>
      </w:r>
      <w:r w:rsidRPr="005E444D">
        <w:t xml:space="preserve">rrangements </w:t>
      </w:r>
      <w:r>
        <w:t xml:space="preserve">which </w:t>
      </w:r>
      <w:r w:rsidRPr="005E444D">
        <w:t xml:space="preserve">include a consideration of the impact on changes in resource levels or levels of demand on </w:t>
      </w:r>
      <w:r>
        <w:t>staff as part of the assessment;</w:t>
      </w:r>
    </w:p>
    <w:p w14:paraId="63636CF9" w14:textId="77777777" w:rsidR="00D76467" w:rsidRDefault="00D76467" w:rsidP="008B704E">
      <w:pPr>
        <w:pStyle w:val="Bulletlist1"/>
      </w:pPr>
      <w:r>
        <w:t xml:space="preserve">Has </w:t>
      </w:r>
      <w:r w:rsidRPr="005E444D">
        <w:t xml:space="preserve">a contingency plan </w:t>
      </w:r>
      <w:r>
        <w:t xml:space="preserve">in place </w:t>
      </w:r>
      <w:r w:rsidRPr="005E444D">
        <w:t>t</w:t>
      </w:r>
      <w:r>
        <w:t>o deal with resource shortfalls.</w:t>
      </w:r>
    </w:p>
    <w:p w14:paraId="7858884F" w14:textId="77777777" w:rsidR="00D76467" w:rsidRPr="000C7D11" w:rsidRDefault="00D76467" w:rsidP="00EA104F">
      <w:pPr>
        <w:pStyle w:val="Heading4"/>
      </w:pPr>
      <w:r w:rsidRPr="000C7D11">
        <w:t>Competence</w:t>
      </w:r>
    </w:p>
    <w:p w14:paraId="77724890" w14:textId="377094AD" w:rsidR="00D76467" w:rsidRPr="000C7D11" w:rsidRDefault="00D76467" w:rsidP="00EA104F">
      <w:pPr>
        <w:pStyle w:val="F9-Paragraph"/>
      </w:pPr>
      <w:r w:rsidRPr="000C7D11">
        <w:t>LC 12 requires each person who carries out activities which may affect the safety of operations on a nuclear site to be a suitably qualified and experienced person (SQEP).</w:t>
      </w:r>
      <w:r w:rsidR="002A18AA">
        <w:t xml:space="preserve"> </w:t>
      </w:r>
      <w:r w:rsidRPr="000C7D11">
        <w:t>This extends to and includes Director/Board level.</w:t>
      </w:r>
      <w:r w:rsidR="002A18AA">
        <w:t xml:space="preserve"> </w:t>
      </w:r>
      <w:r w:rsidRPr="000C7D11">
        <w:t>For some roles it may also be necessary to designate persons who control and supervise operations which may affect safety as Duly Authorised Persons (DAPs).</w:t>
      </w:r>
      <w:r w:rsidR="002A18AA">
        <w:t xml:space="preserve"> </w:t>
      </w:r>
      <w:r w:rsidRPr="000C7D11">
        <w:t>The licensee should have a competence framework to control, develop and maintain competence.</w:t>
      </w:r>
      <w:r w:rsidR="002A18AA">
        <w:t xml:space="preserve"> </w:t>
      </w:r>
    </w:p>
    <w:p w14:paraId="7656C4E7" w14:textId="486F08F3" w:rsidR="00D76467" w:rsidRPr="000C7D11" w:rsidRDefault="00D76467" w:rsidP="00EA104F">
      <w:pPr>
        <w:pStyle w:val="F9-Paragraph"/>
      </w:pPr>
      <w:r w:rsidRPr="000C7D11">
        <w:t>The NB should demonstrate that the licensee understands its competence needs, and that its staff are competent to discharge roles that impact upon nuclear safety, it is expected that reference will be made to the licensee’s competence management system to support the NB.</w:t>
      </w:r>
      <w:r w:rsidR="002A18AA">
        <w:t xml:space="preserve"> </w:t>
      </w:r>
      <w:r w:rsidRPr="000C7D11">
        <w:t>The licensee should be able to extract information which provides it with corporate assurance that its staff are competent to fulfil the nuclear safety roles that they take on.</w:t>
      </w:r>
    </w:p>
    <w:p w14:paraId="79CCD736" w14:textId="1A809F74" w:rsidR="00D76467" w:rsidRPr="000C7D11" w:rsidRDefault="00D76467" w:rsidP="00EA104F">
      <w:pPr>
        <w:pStyle w:val="F9-Paragraph"/>
      </w:pPr>
      <w:r w:rsidRPr="000C7D11">
        <w:t>The responsibilities of the roles that a person undertakes determine whether the role is part of the NB not the attributes of the post/role holder him/herself. If any of the responsibilities held by individual role holders can affect, have oversight or control nuclear safety then they should be included in the NB.</w:t>
      </w:r>
      <w:r w:rsidR="002A18AA">
        <w:t xml:space="preserve"> </w:t>
      </w:r>
      <w:r w:rsidRPr="000C7D11">
        <w:t>Whilst the NB should have explicit links to the licensee’s competence assurance records, for example a ‘SQEP register’ or similar, it does not have to replicate them.</w:t>
      </w:r>
    </w:p>
    <w:p w14:paraId="42693837" w14:textId="77777777" w:rsidR="00D76467" w:rsidRPr="000C7D11" w:rsidRDefault="00D76467" w:rsidP="00EA104F">
      <w:pPr>
        <w:pStyle w:val="F9-Paragraph"/>
      </w:pPr>
      <w:r w:rsidRPr="000C7D11">
        <w:t xml:space="preserve">The licensee should ensure that there is an audit trail for competence requirements for NB roles and evidence that individuals in NB roles meet the required standard. </w:t>
      </w:r>
    </w:p>
    <w:p w14:paraId="599E6AB9" w14:textId="4967AC70" w:rsidR="00D76467" w:rsidRPr="000C7D11" w:rsidRDefault="00D76467" w:rsidP="00EA104F">
      <w:pPr>
        <w:pStyle w:val="F9-Paragraph"/>
      </w:pPr>
      <w:r w:rsidRPr="000C7D11">
        <w:t>The licensee should be able to identify and maintain the core capability that it needs to maintain effective management for nuclear safety.</w:t>
      </w:r>
      <w:r w:rsidR="002A18AA">
        <w:t xml:space="preserve"> </w:t>
      </w:r>
      <w:r w:rsidRPr="000C7D11">
        <w:t>ONR expects the licensee to, within its own organisation, have sufficient competent persons to be able to maintain control and oversight of safety at all times.</w:t>
      </w:r>
      <w:r w:rsidR="002A18AA">
        <w:t xml:space="preserve"> </w:t>
      </w:r>
    </w:p>
    <w:p w14:paraId="2D7125C2" w14:textId="2E60C27B" w:rsidR="00D76467" w:rsidRPr="000C7D11" w:rsidRDefault="00D76467" w:rsidP="00EA104F">
      <w:pPr>
        <w:pStyle w:val="F9-Paragraph"/>
      </w:pPr>
      <w:r w:rsidRPr="000C7D11">
        <w:t xml:space="preserve">This core </w:t>
      </w:r>
      <w:r w:rsidR="00FD7BB0">
        <w:t xml:space="preserve">safety </w:t>
      </w:r>
      <w:r w:rsidRPr="000C7D11">
        <w:t>capability will include technical (</w:t>
      </w:r>
      <w:r w:rsidR="00642C6D" w:rsidRPr="000C7D11">
        <w:t>e.g.,</w:t>
      </w:r>
      <w:r w:rsidRPr="000C7D11">
        <w:t xml:space="preserve"> design authority, engineering, safety case capability), operational and managerial elements.</w:t>
      </w:r>
      <w:r w:rsidR="002A18AA">
        <w:t xml:space="preserve"> </w:t>
      </w:r>
      <w:r w:rsidRPr="000C7D11">
        <w:t xml:space="preserve">Together they combine to ensure that the safety case for the installation is understood and maintained, and that the site, and plants or projects are operated in accordance with the safety case and the conditions of the nuclear site licence </w:t>
      </w:r>
      <w:r w:rsidR="00642C6D">
        <w:t xml:space="preserve">(refer to </w:t>
      </w:r>
      <w:r w:rsidR="000334FD">
        <w:t>R</w:t>
      </w:r>
      <w:r w:rsidR="00642C6D">
        <w:t xml:space="preserve">ef. </w:t>
      </w:r>
      <w:sdt>
        <w:sdtPr>
          <w:id w:val="1088654632"/>
          <w:citation/>
        </w:sdtPr>
        <w:sdtEndPr/>
        <w:sdtContent>
          <w:r w:rsidR="00642C6D">
            <w:fldChar w:fldCharType="begin"/>
          </w:r>
          <w:r w:rsidR="006A70F9">
            <w:instrText xml:space="preserve">CITATION ONR49 \l 2057 </w:instrText>
          </w:r>
          <w:r w:rsidR="00642C6D">
            <w:fldChar w:fldCharType="separate"/>
          </w:r>
          <w:r w:rsidR="00FD7BB0">
            <w:rPr>
              <w:noProof/>
            </w:rPr>
            <w:t>[6]</w:t>
          </w:r>
          <w:r w:rsidR="00642C6D">
            <w:fldChar w:fldCharType="end"/>
          </w:r>
        </w:sdtContent>
      </w:sdt>
      <w:r w:rsidR="00642C6D">
        <w:t>)</w:t>
      </w:r>
      <w:r w:rsidRPr="000C7D11">
        <w:t>.</w:t>
      </w:r>
    </w:p>
    <w:p w14:paraId="68C24230" w14:textId="77777777" w:rsidR="00D76467" w:rsidRPr="000C7D11" w:rsidRDefault="00D76467" w:rsidP="00EA104F">
      <w:pPr>
        <w:pStyle w:val="F9-Paragraph"/>
      </w:pPr>
      <w:r w:rsidRPr="000C7D11">
        <w:t>The NB should include a vulnerability assessment which addresses competence aspects.</w:t>
      </w:r>
    </w:p>
    <w:p w14:paraId="7F722CE9" w14:textId="133AAACF" w:rsidR="00D76467" w:rsidRPr="000C7D11" w:rsidRDefault="00D76467" w:rsidP="00EA104F">
      <w:pPr>
        <w:pStyle w:val="F9-Paragraph"/>
      </w:pPr>
      <w:r w:rsidRPr="000C7D11">
        <w:lastRenderedPageBreak/>
        <w:t xml:space="preserve">The Inspector should consider </w:t>
      </w:r>
      <w:r w:rsidR="0099340F" w:rsidRPr="000C7D11">
        <w:t>whether</w:t>
      </w:r>
      <w:r w:rsidRPr="000C7D11">
        <w:t>:</w:t>
      </w:r>
    </w:p>
    <w:p w14:paraId="5A31E20D" w14:textId="2B69499F" w:rsidR="00D76467" w:rsidRPr="005E444D" w:rsidRDefault="00D76467" w:rsidP="008B704E">
      <w:pPr>
        <w:pStyle w:val="Bulletlist1"/>
      </w:pPr>
      <w:bookmarkStart w:id="8" w:name="_4.2.4__Nuclear"/>
      <w:bookmarkEnd w:id="8"/>
      <w:r>
        <w:t>T</w:t>
      </w:r>
      <w:r w:rsidRPr="005E444D">
        <w:t xml:space="preserve">he </w:t>
      </w:r>
      <w:r w:rsidR="00642C6D">
        <w:t>NB</w:t>
      </w:r>
      <w:r w:rsidRPr="005E444D">
        <w:t xml:space="preserve"> (either directly or through reference to related documentation) provide</w:t>
      </w:r>
      <w:r>
        <w:t>s</w:t>
      </w:r>
      <w:r w:rsidRPr="005E444D">
        <w:t xml:space="preserve"> evidence that the competence needs of </w:t>
      </w:r>
      <w:r w:rsidR="00642C6D">
        <w:t>NB</w:t>
      </w:r>
      <w:r>
        <w:t xml:space="preserve"> roles have been identified;</w:t>
      </w:r>
    </w:p>
    <w:p w14:paraId="46B9ECDB" w14:textId="2E4FCB2A" w:rsidR="00D76467" w:rsidRDefault="00D76467" w:rsidP="008B704E">
      <w:pPr>
        <w:pStyle w:val="Bulletlist1"/>
      </w:pPr>
      <w:r>
        <w:t>T</w:t>
      </w:r>
      <w:r w:rsidRPr="005E444D">
        <w:t xml:space="preserve">he </w:t>
      </w:r>
      <w:r w:rsidR="00642C6D">
        <w:t>NB</w:t>
      </w:r>
      <w:r w:rsidR="00642C6D" w:rsidRPr="005E444D">
        <w:t xml:space="preserve"> </w:t>
      </w:r>
      <w:r w:rsidRPr="005E444D">
        <w:t>(either directly or through reference to related documentation) provide</w:t>
      </w:r>
      <w:r>
        <w:t>s</w:t>
      </w:r>
      <w:r w:rsidRPr="005E444D">
        <w:t xml:space="preserve"> evidence that persons carrying out </w:t>
      </w:r>
      <w:r w:rsidR="00642C6D">
        <w:t>NB</w:t>
      </w:r>
      <w:r w:rsidR="00642C6D" w:rsidRPr="005E444D">
        <w:t xml:space="preserve"> </w:t>
      </w:r>
      <w:r w:rsidRPr="005E444D">
        <w:t>roles meet the competence r</w:t>
      </w:r>
      <w:r>
        <w:t>equirements to hold those roles;</w:t>
      </w:r>
    </w:p>
    <w:p w14:paraId="65C0691E" w14:textId="0247D8ED" w:rsidR="00D76467" w:rsidRDefault="00D76467" w:rsidP="008B704E">
      <w:pPr>
        <w:pStyle w:val="Bulletlist1"/>
      </w:pPr>
      <w:r>
        <w:t>The licensee has</w:t>
      </w:r>
      <w:r w:rsidRPr="005E444D">
        <w:t xml:space="preserve"> a mechanism for addressing gaps in competence in existing the </w:t>
      </w:r>
      <w:r w:rsidR="00642C6D">
        <w:t>NB</w:t>
      </w:r>
      <w:r w:rsidR="00642C6D" w:rsidRPr="005E444D">
        <w:t xml:space="preserve"> </w:t>
      </w:r>
      <w:r w:rsidRPr="005E444D">
        <w:t>organisation and futu</w:t>
      </w:r>
      <w:r>
        <w:t>re needs in succession planning;</w:t>
      </w:r>
    </w:p>
    <w:p w14:paraId="218DA2C1" w14:textId="26786F6C" w:rsidR="00D76467" w:rsidRPr="005E444D" w:rsidRDefault="00D76467" w:rsidP="008B704E">
      <w:pPr>
        <w:pStyle w:val="Bulletlist1"/>
      </w:pPr>
      <w:r>
        <w:t>The licensee has put</w:t>
      </w:r>
      <w:r w:rsidRPr="00A66734">
        <w:t xml:space="preserve"> in place and implement</w:t>
      </w:r>
      <w:r>
        <w:t>ed</w:t>
      </w:r>
      <w:r w:rsidRPr="00A66734">
        <w:t xml:space="preserve"> a process to identify all </w:t>
      </w:r>
      <w:r>
        <w:t xml:space="preserve">the </w:t>
      </w:r>
      <w:r w:rsidRPr="00A66734">
        <w:t xml:space="preserve">core competencies it requires, as set out in the </w:t>
      </w:r>
      <w:r w:rsidR="00642C6D">
        <w:t>SMP</w:t>
      </w:r>
      <w:r>
        <w:t>,</w:t>
      </w:r>
      <w:r w:rsidRPr="00A66734">
        <w:t xml:space="preserve"> and captured </w:t>
      </w:r>
      <w:r>
        <w:t xml:space="preserve">them in the </w:t>
      </w:r>
      <w:r w:rsidR="00642C6D">
        <w:t>NB</w:t>
      </w:r>
      <w:r>
        <w:t>.</w:t>
      </w:r>
    </w:p>
    <w:p w14:paraId="70A42541" w14:textId="7E98C386" w:rsidR="00D76467" w:rsidRPr="000C7D11" w:rsidRDefault="00D76467" w:rsidP="00EA104F">
      <w:pPr>
        <w:pStyle w:val="Heading3"/>
      </w:pPr>
      <w:r w:rsidRPr="000C7D11">
        <w:t>Principle 4</w:t>
      </w:r>
      <w:r w:rsidR="008B704E">
        <w:t xml:space="preserve"> - </w:t>
      </w:r>
      <w:r w:rsidRPr="000C7D11">
        <w:t>Nuclear Safety Governance, Design Authority and Intelligent Customer capabilities</w:t>
      </w:r>
    </w:p>
    <w:p w14:paraId="0AEE9970" w14:textId="4E3011EA" w:rsidR="00D76467" w:rsidRPr="000C7D11" w:rsidRDefault="00D76467" w:rsidP="00EA104F">
      <w:pPr>
        <w:pStyle w:val="F9-Paragraph"/>
      </w:pPr>
      <w:r w:rsidRPr="000C7D11">
        <w:t>Under UK legislation the holder of a nuclear site licence is responsible for nuclear safety on the Licensed Site.</w:t>
      </w:r>
      <w:r w:rsidR="002A18AA">
        <w:t xml:space="preserve"> </w:t>
      </w:r>
      <w:r w:rsidRPr="000C7D11">
        <w:t xml:space="preserve">Additionally, under Sections 2 and 3 of the Health and Safety at Work Act 1974, the employer is responsible for the health and safety of its employees and others who may be affected by its activities. This overarching requirement is built into the SAPs in Fundamental Principle 1 as follows: </w:t>
      </w:r>
    </w:p>
    <w:p w14:paraId="7E81047F" w14:textId="4137DE1F" w:rsidR="00D76467" w:rsidRPr="000C7D11" w:rsidRDefault="00642C6D" w:rsidP="00EA104F">
      <w:pPr>
        <w:pStyle w:val="QuoteText"/>
      </w:pPr>
      <w:r>
        <w:t>“</w:t>
      </w:r>
      <w:r w:rsidR="00D76467" w:rsidRPr="000C7D11">
        <w:t>The prime responsibility for safety must rest with the person or organisation responsible for the facilities and activities that give rise to radiation risks.</w:t>
      </w:r>
      <w:r>
        <w:t>”</w:t>
      </w:r>
    </w:p>
    <w:p w14:paraId="36967FC9" w14:textId="3568C745" w:rsidR="00D76467" w:rsidRPr="000C7D11" w:rsidRDefault="00D76467" w:rsidP="00EA104F">
      <w:pPr>
        <w:pStyle w:val="F9-Paragraph"/>
      </w:pPr>
      <w:r w:rsidRPr="000C7D11">
        <w:t>Nuclear safety governance relates to the competence, arrangements and practices that determine whether the organisation is in control of the nuclear safety of its business in a clear line down from the corporate body that holds the licence.</w:t>
      </w:r>
      <w:r w:rsidR="002A18AA">
        <w:t xml:space="preserve"> </w:t>
      </w:r>
      <w:r w:rsidR="00642C6D">
        <w:br/>
      </w:r>
      <w:r w:rsidRPr="000C7D11">
        <w:t xml:space="preserve">Both the </w:t>
      </w:r>
      <w:r w:rsidR="00642C6D">
        <w:t>SMP</w:t>
      </w:r>
      <w:r w:rsidRPr="000C7D11">
        <w:t xml:space="preserve"> and the NB have roles to play in demonstrating the organisation’s nuclear safety governance capability. </w:t>
      </w:r>
    </w:p>
    <w:p w14:paraId="46B12167" w14:textId="58FE9AE3" w:rsidR="00D76467" w:rsidRPr="000C7D11" w:rsidRDefault="00D76467" w:rsidP="00EA104F">
      <w:pPr>
        <w:pStyle w:val="F9-Paragraph"/>
      </w:pPr>
      <w:r w:rsidRPr="000C7D11">
        <w:t xml:space="preserve">The </w:t>
      </w:r>
      <w:r w:rsidR="00642C6D">
        <w:t>SMP</w:t>
      </w:r>
      <w:r w:rsidRPr="000C7D11">
        <w:t xml:space="preserve"> should describe the process in place to ensure that the organisation has the capability to be in control of </w:t>
      </w:r>
      <w:r w:rsidR="000A219B" w:rsidRPr="000C7D11">
        <w:t>day-to-day</w:t>
      </w:r>
      <w:r w:rsidRPr="000C7D11">
        <w:t xml:space="preserve"> operations and governance of the licensed site. The NB should refer to the statements made in the </w:t>
      </w:r>
      <w:r w:rsidR="00642C6D">
        <w:t>SMP</w:t>
      </w:r>
      <w:r w:rsidRPr="000C7D11">
        <w:t xml:space="preserve"> and demonstrate that relevant roles are properly </w:t>
      </w:r>
      <w:r w:rsidR="000A219B" w:rsidRPr="000C7D11">
        <w:t>identified and</w:t>
      </w:r>
      <w:r w:rsidRPr="000C7D11">
        <w:t xml:space="preserve"> resourced with competent persons. The Health and Safety at Work Act</w:t>
      </w:r>
      <w:r w:rsidR="00C143DE">
        <w:t xml:space="preserve"> 1974</w:t>
      </w:r>
      <w:r w:rsidRPr="000C7D11">
        <w:t xml:space="preserve">, and </w:t>
      </w:r>
      <w:r w:rsidR="00C143DE">
        <w:br/>
        <w:t>T</w:t>
      </w:r>
      <w:r w:rsidRPr="000C7D11">
        <w:t xml:space="preserve">he Management of Health and Safety at Work Regulations </w:t>
      </w:r>
      <w:r w:rsidR="00C143DE">
        <w:t xml:space="preserve">1999 </w:t>
      </w:r>
      <w:r w:rsidRPr="000C7D11">
        <w:t>also require adequate organisational arrangement for implementing policy and preventive and protective measures.</w:t>
      </w:r>
    </w:p>
    <w:p w14:paraId="145B4F07" w14:textId="386A6933" w:rsidR="00D76467" w:rsidRPr="000C7D11" w:rsidRDefault="00D76467" w:rsidP="00EA104F">
      <w:pPr>
        <w:pStyle w:val="F9-Paragraph"/>
      </w:pPr>
      <w:r w:rsidRPr="000C7D11">
        <w:t xml:space="preserve">Where a licensee draws on contract staff to supplement its core </w:t>
      </w:r>
      <w:r w:rsidR="002021CF">
        <w:t xml:space="preserve">safety </w:t>
      </w:r>
      <w:r w:rsidRPr="000C7D11">
        <w:t xml:space="preserve">capability it must ensure that the balance of employees and contract staff </w:t>
      </w:r>
      <w:r w:rsidRPr="000C7D11">
        <w:lastRenderedPageBreak/>
        <w:t>does not impede the licensee’s ability to discharge its governance responsibilities.</w:t>
      </w:r>
    </w:p>
    <w:p w14:paraId="0DF37485" w14:textId="4CB78BC2" w:rsidR="00D76467" w:rsidRPr="000C7D11" w:rsidRDefault="00D76467" w:rsidP="00EA104F">
      <w:pPr>
        <w:pStyle w:val="F9-Paragraph"/>
      </w:pPr>
      <w:r w:rsidRPr="000C7D11">
        <w:t xml:space="preserve">The Inspector should consider </w:t>
      </w:r>
      <w:r w:rsidR="0099340F" w:rsidRPr="000C7D11">
        <w:t>whether</w:t>
      </w:r>
      <w:r w:rsidRPr="000C7D11">
        <w:t>:</w:t>
      </w:r>
    </w:p>
    <w:p w14:paraId="4FC9D5E7" w14:textId="55413704" w:rsidR="00D76467" w:rsidRPr="005E444D" w:rsidRDefault="00D76467" w:rsidP="000A219B">
      <w:pPr>
        <w:pStyle w:val="Bulletlist1"/>
      </w:pPr>
      <w:r>
        <w:t>T</w:t>
      </w:r>
      <w:r w:rsidRPr="005E444D">
        <w:t xml:space="preserve">hose roles which </w:t>
      </w:r>
      <w:r>
        <w:t>have n</w:t>
      </w:r>
      <w:r w:rsidRPr="005E444D">
        <w:t>uclear</w:t>
      </w:r>
      <w:r>
        <w:t xml:space="preserve"> safety g</w:t>
      </w:r>
      <w:r w:rsidRPr="005E444D">
        <w:t xml:space="preserve">overnance responsibilities </w:t>
      </w:r>
      <w:r>
        <w:t xml:space="preserve">have been </w:t>
      </w:r>
      <w:r w:rsidRPr="005E444D">
        <w:t>clearly identifie</w:t>
      </w:r>
      <w:r>
        <w:t>d in the NB</w:t>
      </w:r>
      <w:r w:rsidR="00642C6D">
        <w:t>.</w:t>
      </w:r>
    </w:p>
    <w:p w14:paraId="0D1FD29E" w14:textId="1A07BA8A" w:rsidR="00D76467" w:rsidRDefault="00D76467" w:rsidP="000A219B">
      <w:pPr>
        <w:pStyle w:val="Bulletlist1"/>
      </w:pPr>
      <w:r>
        <w:t>T</w:t>
      </w:r>
      <w:r w:rsidRPr="005E444D">
        <w:t xml:space="preserve">here </w:t>
      </w:r>
      <w:r>
        <w:t xml:space="preserve">are </w:t>
      </w:r>
      <w:r w:rsidRPr="005E444D">
        <w:t>mechanisms for determining those roles contributing to nuclear safety governance tha</w:t>
      </w:r>
      <w:r>
        <w:t>t may be held by contract staff</w:t>
      </w:r>
      <w:r w:rsidR="00642C6D">
        <w:t>.</w:t>
      </w:r>
    </w:p>
    <w:p w14:paraId="18DFA6C1" w14:textId="67B8F9C7" w:rsidR="00D76467" w:rsidRDefault="00D76467" w:rsidP="000A219B">
      <w:pPr>
        <w:pStyle w:val="Bulletlist1"/>
      </w:pPr>
      <w:r>
        <w:t>S</w:t>
      </w:r>
      <w:r w:rsidRPr="005E444D">
        <w:t>uccessio</w:t>
      </w:r>
      <w:r>
        <w:t>n planning and resource strategies</w:t>
      </w:r>
      <w:r w:rsidRPr="005E444D">
        <w:t xml:space="preserve"> take account of the nuclear safety governance</w:t>
      </w:r>
      <w:r>
        <w:t>, DA and IC capabilities</w:t>
      </w:r>
      <w:r w:rsidR="00642C6D">
        <w:t>.</w:t>
      </w:r>
    </w:p>
    <w:p w14:paraId="570D0C29" w14:textId="79ADC091" w:rsidR="00D76467" w:rsidRDefault="00D76467" w:rsidP="000A219B">
      <w:pPr>
        <w:pStyle w:val="Bulletlist1"/>
      </w:pPr>
      <w:r>
        <w:t>T</w:t>
      </w:r>
      <w:r w:rsidRPr="005E444D">
        <w:t>he NB and supporting documentation demonstrate that there are enough direct employees of the Licensee to retain the nuclear safety governance capability at the right level without degradation as describ</w:t>
      </w:r>
      <w:r>
        <w:t xml:space="preserve">ed in the </w:t>
      </w:r>
      <w:r w:rsidR="00642C6D">
        <w:t>SMP.</w:t>
      </w:r>
    </w:p>
    <w:p w14:paraId="2A9856C4" w14:textId="77777777" w:rsidR="00D76467" w:rsidRPr="000C7D11" w:rsidRDefault="00D76467" w:rsidP="00EA104F">
      <w:pPr>
        <w:pStyle w:val="F9-Paragraph"/>
      </w:pPr>
      <w:r w:rsidRPr="000C7D11">
        <w:t xml:space="preserve">The Licensee is responsible for demonstrating, through the NB, that it has enough people with the right competences to discharge its legal duties. Where this involves the support of others outside its own organisation then the licensee must demonstrate that it is and remains an IC for these skills and services. </w:t>
      </w:r>
    </w:p>
    <w:p w14:paraId="314556D3" w14:textId="38797309" w:rsidR="00D76467" w:rsidRPr="000C7D11" w:rsidRDefault="00D76467" w:rsidP="00EA104F">
      <w:pPr>
        <w:pStyle w:val="F9-Paragraph"/>
      </w:pPr>
      <w:r w:rsidRPr="000C7D11">
        <w:t>Licensees should assess the roles in the NB which undertake an IC or DA function in line with their policy for IC, DA and staffing as described in the Safety Management Prospectus.</w:t>
      </w:r>
      <w:r w:rsidR="002A18AA">
        <w:t xml:space="preserve"> </w:t>
      </w:r>
      <w:r w:rsidR="00642C6D">
        <w:t xml:space="preserve">Ref. </w:t>
      </w:r>
      <w:sdt>
        <w:sdtPr>
          <w:id w:val="-1679118921"/>
          <w:citation/>
        </w:sdtPr>
        <w:sdtEndPr/>
        <w:sdtContent>
          <w:r w:rsidR="00642C6D">
            <w:fldChar w:fldCharType="begin"/>
          </w:r>
          <w:r w:rsidR="006A70F9">
            <w:instrText xml:space="preserve">CITATION ONR49 \l 2057 </w:instrText>
          </w:r>
          <w:r w:rsidR="00642C6D">
            <w:fldChar w:fldCharType="separate"/>
          </w:r>
          <w:r w:rsidR="00FD7BB0">
            <w:rPr>
              <w:noProof/>
            </w:rPr>
            <w:t>[6]</w:t>
          </w:r>
          <w:r w:rsidR="00642C6D">
            <w:fldChar w:fldCharType="end"/>
          </w:r>
        </w:sdtContent>
      </w:sdt>
      <w:r w:rsidRPr="000C7D11">
        <w:t xml:space="preserve"> defines the characteristics and breadth of the IC concept and should be referred to in assessing whether the licensee has an effective IC organisation.</w:t>
      </w:r>
      <w:r w:rsidR="002A18AA">
        <w:t xml:space="preserve"> </w:t>
      </w:r>
      <w:r w:rsidR="00642C6D">
        <w:t xml:space="preserve">Ref. </w:t>
      </w:r>
      <w:sdt>
        <w:sdtPr>
          <w:id w:val="1024129429"/>
          <w:citation/>
        </w:sdtPr>
        <w:sdtEndPr/>
        <w:sdtContent>
          <w:r w:rsidR="00642C6D">
            <w:fldChar w:fldCharType="begin"/>
          </w:r>
          <w:r w:rsidR="00642C6D">
            <w:instrText xml:space="preserve"> CITATION ONR102 \l 2057 </w:instrText>
          </w:r>
          <w:r w:rsidR="00642C6D">
            <w:fldChar w:fldCharType="separate"/>
          </w:r>
          <w:r w:rsidR="00FD7BB0">
            <w:rPr>
              <w:noProof/>
            </w:rPr>
            <w:t>[10]</w:t>
          </w:r>
          <w:r w:rsidR="00642C6D">
            <w:fldChar w:fldCharType="end"/>
          </w:r>
        </w:sdtContent>
      </w:sdt>
      <w:r w:rsidRPr="000C7D11">
        <w:t xml:space="preserve"> defines the principles for a licensee’s DA capability and should be referred to when undertaking assessments of a licensee’s DA capability.</w:t>
      </w:r>
    </w:p>
    <w:p w14:paraId="4C20AA47" w14:textId="77777777" w:rsidR="00D76467" w:rsidRPr="000C7D11" w:rsidRDefault="00D76467" w:rsidP="00EA104F">
      <w:pPr>
        <w:pStyle w:val="F9-Paragraph"/>
      </w:pPr>
      <w:r w:rsidRPr="000C7D11">
        <w:t>The licensee should ensure that the breadth and depth of NB assessment includes identification of IC and DA roles providing oversight of contract staff.</w:t>
      </w:r>
    </w:p>
    <w:p w14:paraId="1C314687" w14:textId="77777777" w:rsidR="00D76467" w:rsidRPr="000C7D11" w:rsidRDefault="00D76467" w:rsidP="00EA104F">
      <w:pPr>
        <w:pStyle w:val="F9-Paragraph"/>
      </w:pPr>
      <w:r w:rsidRPr="000C7D11">
        <w:t xml:space="preserve">The licensee should ensure that the process for the management of change includes an assessment of implications for delivery of the IC and DA capability. </w:t>
      </w:r>
    </w:p>
    <w:p w14:paraId="296B6FA1" w14:textId="5A5CD249" w:rsidR="00D76467" w:rsidRPr="000C7D11" w:rsidRDefault="00D76467" w:rsidP="00EA104F">
      <w:pPr>
        <w:pStyle w:val="F9-Paragraph"/>
      </w:pPr>
      <w:r w:rsidRPr="000C7D11">
        <w:t xml:space="preserve">The Inspector should consider </w:t>
      </w:r>
      <w:r w:rsidR="0099340F" w:rsidRPr="000C7D11">
        <w:t>whether</w:t>
      </w:r>
      <w:r w:rsidRPr="000C7D11">
        <w:t>:</w:t>
      </w:r>
    </w:p>
    <w:p w14:paraId="19A62B03" w14:textId="7E0BC0BD" w:rsidR="00D76467" w:rsidRDefault="00D76467" w:rsidP="000A219B">
      <w:pPr>
        <w:pStyle w:val="Bulletlist1"/>
      </w:pPr>
      <w:r>
        <w:t>The Nuclear Baseline identifies</w:t>
      </w:r>
      <w:r w:rsidRPr="005E444D">
        <w:t xml:space="preserve"> the IC </w:t>
      </w:r>
      <w:r>
        <w:t xml:space="preserve">and DA </w:t>
      </w:r>
      <w:r w:rsidRPr="005E444D">
        <w:t>capability across the breadth</w:t>
      </w:r>
      <w:r>
        <w:t xml:space="preserve"> of the organisation’s business</w:t>
      </w:r>
      <w:r w:rsidR="00642C6D">
        <w:t>.</w:t>
      </w:r>
    </w:p>
    <w:p w14:paraId="16CCDC6C" w14:textId="0D2C814D" w:rsidR="00D76467" w:rsidRDefault="00D76467" w:rsidP="000A219B">
      <w:pPr>
        <w:pStyle w:val="Bulletlist1"/>
      </w:pPr>
      <w:r>
        <w:t>T</w:t>
      </w:r>
      <w:r w:rsidRPr="005E444D">
        <w:t xml:space="preserve">he IC </w:t>
      </w:r>
      <w:r>
        <w:t xml:space="preserve">and DA </w:t>
      </w:r>
      <w:r w:rsidRPr="005E444D">
        <w:t>roles identified match the</w:t>
      </w:r>
      <w:r>
        <w:t xml:space="preserve"> interfaces described in the Safety Management Prospectus</w:t>
      </w:r>
      <w:r w:rsidR="00642C6D">
        <w:t>.</w:t>
      </w:r>
    </w:p>
    <w:p w14:paraId="4C30D5E7" w14:textId="7FB275E4" w:rsidR="00D76467" w:rsidRDefault="00D76467" w:rsidP="000A219B">
      <w:pPr>
        <w:pStyle w:val="Bulletlist1"/>
      </w:pPr>
      <w:r>
        <w:t>T</w:t>
      </w:r>
      <w:r w:rsidRPr="005E444D">
        <w:t xml:space="preserve">he IC </w:t>
      </w:r>
      <w:r>
        <w:t xml:space="preserve">and DA </w:t>
      </w:r>
      <w:r w:rsidRPr="005E444D">
        <w:t xml:space="preserve">roles </w:t>
      </w:r>
      <w:r>
        <w:t xml:space="preserve">are </w:t>
      </w:r>
      <w:r w:rsidRPr="005E444D">
        <w:t>included in the s</w:t>
      </w:r>
      <w:r>
        <w:t>uccession planning arrangements</w:t>
      </w:r>
      <w:r w:rsidR="00642C6D">
        <w:t>.</w:t>
      </w:r>
    </w:p>
    <w:p w14:paraId="088AE161" w14:textId="4F9622B8" w:rsidR="00D76467" w:rsidRDefault="00D76467" w:rsidP="000A219B">
      <w:pPr>
        <w:pStyle w:val="Bulletlist1"/>
      </w:pPr>
      <w:r>
        <w:lastRenderedPageBreak/>
        <w:t>T</w:t>
      </w:r>
      <w:r w:rsidRPr="005E444D">
        <w:t xml:space="preserve">he </w:t>
      </w:r>
      <w:r w:rsidR="00642C6D">
        <w:t>NB and</w:t>
      </w:r>
      <w:r w:rsidRPr="005E444D">
        <w:t xml:space="preserve"> supporting documentation demonstrate that ther</w:t>
      </w:r>
      <w:r>
        <w:t>e are enough licensee employees in the l</w:t>
      </w:r>
      <w:r w:rsidRPr="005E444D">
        <w:t xml:space="preserve">icensee </w:t>
      </w:r>
      <w:r>
        <w:t xml:space="preserve">organisation </w:t>
      </w:r>
      <w:r w:rsidRPr="005E444D">
        <w:t xml:space="preserve">to retain the IC </w:t>
      </w:r>
      <w:r>
        <w:t xml:space="preserve">and DA </w:t>
      </w:r>
      <w:r w:rsidRPr="005E444D">
        <w:t xml:space="preserve">capability at the </w:t>
      </w:r>
      <w:r>
        <w:t>right level without degradation.</w:t>
      </w:r>
      <w:r w:rsidR="002A18AA">
        <w:t xml:space="preserve"> </w:t>
      </w:r>
      <w:bookmarkStart w:id="9" w:name="_4.2.5__The"/>
      <w:bookmarkEnd w:id="9"/>
    </w:p>
    <w:p w14:paraId="52F4ED46" w14:textId="3DAABA03" w:rsidR="00D76467" w:rsidRPr="000C7D11" w:rsidRDefault="00D76467" w:rsidP="00EA104F">
      <w:pPr>
        <w:pStyle w:val="Heading4"/>
      </w:pPr>
      <w:r w:rsidRPr="000C7D11">
        <w:t>The Nuclear Baseline and Contract Staff</w:t>
      </w:r>
    </w:p>
    <w:p w14:paraId="35690EB5" w14:textId="35FC2944" w:rsidR="00D76467" w:rsidRPr="000C7D11" w:rsidRDefault="00D76467" w:rsidP="00EA104F">
      <w:pPr>
        <w:pStyle w:val="F9-Paragraph"/>
      </w:pPr>
      <w:r w:rsidRPr="000C7D11">
        <w:t xml:space="preserve">Licensees may choose to call upon the support of staff outside their own organisation for </w:t>
      </w:r>
      <w:r w:rsidR="0099340F" w:rsidRPr="000C7D11">
        <w:t>several</w:t>
      </w:r>
      <w:r w:rsidRPr="000C7D11">
        <w:t xml:space="preserve"> reasons including:</w:t>
      </w:r>
    </w:p>
    <w:p w14:paraId="1A661285" w14:textId="77777777" w:rsidR="00D76467" w:rsidRPr="005E444D" w:rsidRDefault="00D76467" w:rsidP="00C26F95">
      <w:pPr>
        <w:pStyle w:val="Bulletlist1"/>
      </w:pPr>
      <w:r w:rsidRPr="005E444D">
        <w:t>To supplement their own organisational capability in response to planned changes in workload</w:t>
      </w:r>
    </w:p>
    <w:p w14:paraId="58E126D8" w14:textId="77777777" w:rsidR="00D76467" w:rsidRPr="005E444D" w:rsidRDefault="00D76467" w:rsidP="00C26F95">
      <w:pPr>
        <w:pStyle w:val="Bulletlist1"/>
      </w:pPr>
      <w:r w:rsidRPr="005E444D">
        <w:t>To carry out specific projects</w:t>
      </w:r>
    </w:p>
    <w:p w14:paraId="509C24F4" w14:textId="77777777" w:rsidR="00D76467" w:rsidRPr="005E444D" w:rsidRDefault="00D76467" w:rsidP="00C26F95">
      <w:pPr>
        <w:pStyle w:val="Bulletlist1"/>
      </w:pPr>
      <w:r w:rsidRPr="005E444D">
        <w:t>Through partnership arrangements</w:t>
      </w:r>
    </w:p>
    <w:p w14:paraId="1142817B" w14:textId="77777777" w:rsidR="00D76467" w:rsidRPr="005E444D" w:rsidRDefault="00D76467" w:rsidP="00C26F95">
      <w:pPr>
        <w:pStyle w:val="Bulletlist1"/>
      </w:pPr>
      <w:r w:rsidRPr="005E444D">
        <w:t>To supplement in-house capability for scarce skills.</w:t>
      </w:r>
    </w:p>
    <w:p w14:paraId="3F6E012F" w14:textId="7E77275B" w:rsidR="00D76467" w:rsidRPr="000C7D11" w:rsidRDefault="00D76467" w:rsidP="00EA104F">
      <w:pPr>
        <w:pStyle w:val="F9-Paragraph"/>
      </w:pPr>
      <w:r w:rsidRPr="000C7D11">
        <w:t xml:space="preserve">In determining whether it is appropriate to utilise contractor resource, licensees should ensure the </w:t>
      </w:r>
      <w:r w:rsidR="00642C6D" w:rsidRPr="000C7D11">
        <w:t>decision-making</w:t>
      </w:r>
      <w:r w:rsidRPr="000C7D11">
        <w:t xml:space="preserve"> process includes a review of the impact on the NB.</w:t>
      </w:r>
      <w:r w:rsidR="002A18AA">
        <w:t xml:space="preserve"> </w:t>
      </w:r>
      <w:r w:rsidRPr="000C7D11">
        <w:t xml:space="preserve">This should include the effect on core </w:t>
      </w:r>
      <w:r w:rsidR="00722271">
        <w:t xml:space="preserve">safety </w:t>
      </w:r>
      <w:r w:rsidRPr="000C7D11">
        <w:t>capability to deliver licence condition compliance.</w:t>
      </w:r>
      <w:r w:rsidR="002A18AA">
        <w:t xml:space="preserve"> </w:t>
      </w:r>
    </w:p>
    <w:p w14:paraId="7A303612" w14:textId="77777777" w:rsidR="00D76467" w:rsidRPr="000C7D11" w:rsidRDefault="00D76467" w:rsidP="00EA104F">
      <w:pPr>
        <w:pStyle w:val="F9-Paragraph"/>
      </w:pPr>
      <w:r w:rsidRPr="000C7D11">
        <w:t>It should also address the potential for creating an organisation where the balance of roles held by employees and contract staff places an unacceptable risk on the licensee’s ability to discharge its IC responsibilities and maintain nuclear safety governance.</w:t>
      </w:r>
    </w:p>
    <w:p w14:paraId="2697541D" w14:textId="15C661C0" w:rsidR="00D76467" w:rsidRPr="000C7D11" w:rsidRDefault="00D76467" w:rsidP="00EA104F">
      <w:pPr>
        <w:pStyle w:val="F9-Paragraph"/>
      </w:pPr>
      <w:r w:rsidRPr="000C7D11">
        <w:t>Where contractors are used, and their activities have the potential to impact on nuclear safety, they should be considered as part of the NB.</w:t>
      </w:r>
      <w:r w:rsidR="002A18AA">
        <w:t xml:space="preserve"> </w:t>
      </w:r>
      <w:r w:rsidR="00EA104F">
        <w:br/>
      </w:r>
      <w:r w:rsidRPr="000C7D11">
        <w:t>ONR recognises that including all such contractors within the NB could make the NB difficult to manage and maintain and potentially compromise its effectiveness.</w:t>
      </w:r>
      <w:r w:rsidR="002A18AA">
        <w:t xml:space="preserve"> </w:t>
      </w:r>
      <w:r w:rsidRPr="000C7D11">
        <w:t xml:space="preserve">ONR will therefore adopt a pragmatic approach to the treatment of contractors </w:t>
      </w:r>
      <w:r w:rsidR="0099340F" w:rsidRPr="000C7D11">
        <w:t>regarding</w:t>
      </w:r>
      <w:r w:rsidRPr="000C7D11">
        <w:t xml:space="preserve"> the NB.</w:t>
      </w:r>
      <w:r w:rsidR="002A18AA">
        <w:t xml:space="preserve"> </w:t>
      </w:r>
    </w:p>
    <w:p w14:paraId="1682B4E1" w14:textId="6435E53D" w:rsidR="00D76467" w:rsidRPr="000C7D11" w:rsidRDefault="00D76467" w:rsidP="00EA104F">
      <w:pPr>
        <w:pStyle w:val="F9-Paragraph"/>
      </w:pPr>
      <w:r w:rsidRPr="000C7D11">
        <w:t xml:space="preserve">This position is set out in the following two </w:t>
      </w:r>
      <w:r w:rsidR="00642C6D">
        <w:t>sub-</w:t>
      </w:r>
      <w:r w:rsidRPr="000C7D11">
        <w:t>sections.</w:t>
      </w:r>
      <w:bookmarkStart w:id="10" w:name="_4.2.5.1__Contract"/>
      <w:bookmarkEnd w:id="10"/>
    </w:p>
    <w:p w14:paraId="2F61D522" w14:textId="11B07AD7" w:rsidR="00D76467" w:rsidRPr="00C26F95" w:rsidRDefault="00C26F95" w:rsidP="00EA104F">
      <w:pPr>
        <w:pStyle w:val="Heading3"/>
      </w:pPr>
      <w:r w:rsidRPr="000C7D11">
        <w:t>Principle 5</w:t>
      </w:r>
      <w:r>
        <w:t xml:space="preserve"> - </w:t>
      </w:r>
      <w:r w:rsidR="00D76467" w:rsidRPr="00C26F95">
        <w:t>Contract Staff within the scope of the Nuclear Baseline</w:t>
      </w:r>
    </w:p>
    <w:p w14:paraId="0FDAFFB2" w14:textId="0400E9F9" w:rsidR="00D76467" w:rsidRPr="000C7D11" w:rsidRDefault="00D76467" w:rsidP="00EA104F">
      <w:pPr>
        <w:pStyle w:val="F9-Paragraph"/>
      </w:pPr>
      <w:r w:rsidRPr="000C7D11">
        <w:t xml:space="preserve">Contract staff should, for example, appear as part of the NB resource when the conditions of their employment are such that they meet the criteria set out in </w:t>
      </w:r>
      <w:r w:rsidR="000334FD">
        <w:t>R</w:t>
      </w:r>
      <w:r w:rsidR="00642C6D">
        <w:t xml:space="preserve">ef. </w:t>
      </w:r>
      <w:sdt>
        <w:sdtPr>
          <w:id w:val="-1252591684"/>
          <w:citation/>
        </w:sdtPr>
        <w:sdtEndPr/>
        <w:sdtContent>
          <w:r w:rsidR="00642C6D">
            <w:fldChar w:fldCharType="begin"/>
          </w:r>
          <w:r w:rsidR="006A70F9">
            <w:instrText xml:space="preserve">CITATION ONR49 \l 2057 </w:instrText>
          </w:r>
          <w:r w:rsidR="00642C6D">
            <w:fldChar w:fldCharType="separate"/>
          </w:r>
          <w:r w:rsidR="00FD7BB0">
            <w:rPr>
              <w:noProof/>
            </w:rPr>
            <w:t>[6]</w:t>
          </w:r>
          <w:r w:rsidR="00642C6D">
            <w:fldChar w:fldCharType="end"/>
          </w:r>
        </w:sdtContent>
      </w:sdt>
      <w:r w:rsidRPr="000C7D11">
        <w:t xml:space="preserve"> for working as an IC on the licensee’s behalf.</w:t>
      </w:r>
      <w:r w:rsidR="002A18AA">
        <w:t xml:space="preserve"> </w:t>
      </w:r>
      <w:r w:rsidRPr="000C7D11">
        <w:t>Such contractors may have continuing roles within the licensee’s organisational structure and, for practical purposes, can be regarded as part of the licensee’s staff complement.</w:t>
      </w:r>
      <w:r w:rsidR="002A18AA">
        <w:t xml:space="preserve"> </w:t>
      </w:r>
    </w:p>
    <w:p w14:paraId="5F9011D3" w14:textId="28B0D611" w:rsidR="00D76467" w:rsidRPr="000C7D11" w:rsidRDefault="00D76467" w:rsidP="00EA104F">
      <w:pPr>
        <w:pStyle w:val="F9-Paragraph"/>
      </w:pPr>
      <w:r w:rsidRPr="000C7D11">
        <w:t>The licensee should be able to demonstrate that these individuals are subject to the licensee’s processes for competence assurance, line management, discipline, succession planning etc.</w:t>
      </w:r>
      <w:r w:rsidR="002A18AA">
        <w:t xml:space="preserve"> </w:t>
      </w:r>
    </w:p>
    <w:p w14:paraId="3508B467" w14:textId="77777777" w:rsidR="00D76467" w:rsidRPr="000C7D11" w:rsidRDefault="00D76467" w:rsidP="00EA104F">
      <w:pPr>
        <w:pStyle w:val="F9-Paragraph"/>
      </w:pPr>
      <w:r w:rsidRPr="000C7D11">
        <w:lastRenderedPageBreak/>
        <w:t>The NB should identify where NB roles are held by contractors in order for it to show that it understands where it is vulnerable to loss of contract resource, and to demonstrate that the balance of staff-contractors is suitable.</w:t>
      </w:r>
    </w:p>
    <w:p w14:paraId="29FDAAB6" w14:textId="5E9C7B3F" w:rsidR="00D76467" w:rsidRPr="000C7D11" w:rsidRDefault="00D76467" w:rsidP="00EA104F">
      <w:pPr>
        <w:pStyle w:val="F9-Paragraph"/>
      </w:pPr>
      <w:r w:rsidRPr="000C7D11">
        <w:t xml:space="preserve">The Inspector should consider </w:t>
      </w:r>
      <w:r w:rsidR="0099340F" w:rsidRPr="000C7D11">
        <w:t>whether</w:t>
      </w:r>
    </w:p>
    <w:p w14:paraId="038AD30D" w14:textId="0B546045" w:rsidR="00D76467" w:rsidRDefault="00D76467" w:rsidP="00C26F95">
      <w:pPr>
        <w:pStyle w:val="Bulletlist1"/>
      </w:pPr>
      <w:r>
        <w:t>T</w:t>
      </w:r>
      <w:r w:rsidRPr="005E444D">
        <w:t xml:space="preserve">he licensee </w:t>
      </w:r>
      <w:r>
        <w:t xml:space="preserve">has </w:t>
      </w:r>
      <w:r w:rsidRPr="005E444D">
        <w:t>include</w:t>
      </w:r>
      <w:r>
        <w:t>d</w:t>
      </w:r>
      <w:r w:rsidRPr="005E444D">
        <w:t xml:space="preserve"> within its NB those contractors who are embedded within its organisation and who carry out necessary func</w:t>
      </w:r>
      <w:r>
        <w:t>tions of the licensees’ behalf</w:t>
      </w:r>
      <w:r w:rsidR="00642C6D">
        <w:t>.</w:t>
      </w:r>
    </w:p>
    <w:p w14:paraId="7FCF3F68" w14:textId="5CA701A1" w:rsidR="00D76467" w:rsidRDefault="00D76467" w:rsidP="00C26F95">
      <w:pPr>
        <w:pStyle w:val="Bulletlist1"/>
      </w:pPr>
      <w:r>
        <w:t xml:space="preserve">The </w:t>
      </w:r>
      <w:r w:rsidR="00642C6D">
        <w:t>NB</w:t>
      </w:r>
      <w:r>
        <w:t xml:space="preserve"> identifies</w:t>
      </w:r>
      <w:r w:rsidRPr="005E444D">
        <w:t xml:space="preserve"> which nuclear safety roles are held by s</w:t>
      </w:r>
      <w:r>
        <w:t>uch contractors</w:t>
      </w:r>
      <w:r w:rsidR="00642C6D">
        <w:t>.</w:t>
      </w:r>
    </w:p>
    <w:p w14:paraId="4CC086FF" w14:textId="477147F2" w:rsidR="00D76467" w:rsidRDefault="00D76467" w:rsidP="00C26F95">
      <w:pPr>
        <w:pStyle w:val="Bulletlist1"/>
      </w:pPr>
      <w:r>
        <w:t>T</w:t>
      </w:r>
      <w:r w:rsidRPr="005E444D">
        <w:t xml:space="preserve">he number of baseline roles held by </w:t>
      </w:r>
      <w:r w:rsidR="00C26F95" w:rsidRPr="005E444D">
        <w:t>non-licensee</w:t>
      </w:r>
      <w:r w:rsidRPr="005E444D">
        <w:t xml:space="preserve"> staff kept under review and managed so</w:t>
      </w:r>
      <w:r>
        <w:t xml:space="preserve"> that the profile is acceptable</w:t>
      </w:r>
      <w:r w:rsidR="00642C6D">
        <w:t>.</w:t>
      </w:r>
    </w:p>
    <w:p w14:paraId="1107B530" w14:textId="0959401E" w:rsidR="00D76467" w:rsidRDefault="00D76467" w:rsidP="00C26F95">
      <w:pPr>
        <w:pStyle w:val="Bulletlist1"/>
      </w:pPr>
      <w:r>
        <w:t>T</w:t>
      </w:r>
      <w:r w:rsidRPr="005E444D">
        <w:t xml:space="preserve">he licensee </w:t>
      </w:r>
      <w:r>
        <w:t xml:space="preserve">has </w:t>
      </w:r>
      <w:r w:rsidRPr="005E444D">
        <w:t xml:space="preserve">included succession planning and vulnerability analysis for </w:t>
      </w:r>
      <w:r w:rsidR="00642C6D">
        <w:t xml:space="preserve">NB </w:t>
      </w:r>
      <w:r w:rsidRPr="005E444D">
        <w:t>roles held by contr</w:t>
      </w:r>
      <w:r>
        <w:t>act staff.</w:t>
      </w:r>
      <w:bookmarkStart w:id="11" w:name="_4.2.5.2__Contract"/>
      <w:bookmarkEnd w:id="11"/>
    </w:p>
    <w:p w14:paraId="6FBEB007" w14:textId="76088E9B" w:rsidR="00D76467" w:rsidRPr="000C7D11" w:rsidRDefault="00C26F95" w:rsidP="00EA104F">
      <w:pPr>
        <w:pStyle w:val="Heading3"/>
      </w:pPr>
      <w:r>
        <w:t xml:space="preserve">Principle 6 - </w:t>
      </w:r>
      <w:r w:rsidR="00D76467" w:rsidRPr="000C7D11">
        <w:t>Contract Staff outside the scope of the Nuclear Baseline</w:t>
      </w:r>
    </w:p>
    <w:p w14:paraId="6BA4746A" w14:textId="5F585066" w:rsidR="00D76467" w:rsidRPr="000C7D11" w:rsidRDefault="00D76467" w:rsidP="00EA104F">
      <w:pPr>
        <w:pStyle w:val="F9-Paragraph"/>
      </w:pPr>
      <w:r w:rsidRPr="000C7D11">
        <w:t>The licensee may make use of contractors who do not meet the criteria for inclusion within the NB for example contractors utilised on a project basis, and this is likely to be the case for most contractors.</w:t>
      </w:r>
      <w:r w:rsidR="002A18AA">
        <w:t xml:space="preserve"> </w:t>
      </w:r>
    </w:p>
    <w:p w14:paraId="1F12F0E9" w14:textId="34310125" w:rsidR="00D76467" w:rsidRPr="000C7D11" w:rsidRDefault="00D76467" w:rsidP="00EA104F">
      <w:pPr>
        <w:pStyle w:val="F9-Paragraph"/>
      </w:pPr>
      <w:r w:rsidRPr="000C7D11">
        <w:t xml:space="preserve">In such cases, it is expected that the contractors will be managed using robust project management arrangements through which the licensee will ensure that the work of the contractors is properly specified, that arrangements to manage the contract are in place, that the contractor uses </w:t>
      </w:r>
      <w:r w:rsidR="0099340F" w:rsidRPr="000C7D11">
        <w:t>enough</w:t>
      </w:r>
      <w:r w:rsidRPr="000C7D11">
        <w:t xml:space="preserve"> competent people to carry out the work, and that the contractors’ work is subject to appropriate levels and forms of scrutiny and supervision.</w:t>
      </w:r>
      <w:r w:rsidR="002A18AA">
        <w:t xml:space="preserve"> </w:t>
      </w:r>
    </w:p>
    <w:p w14:paraId="34B0CB6D" w14:textId="77777777" w:rsidR="00D76467" w:rsidRPr="000C7D11" w:rsidRDefault="00D76467" w:rsidP="00EA104F">
      <w:pPr>
        <w:pStyle w:val="F9-Paragraph"/>
      </w:pPr>
      <w:r w:rsidRPr="000C7D11">
        <w:t>The project management arrangements, and their application, should provide a demonstration that work which could impact upon nuclear safety is properly organised and resourced by competent persons, as per the expectations of NB roles.</w:t>
      </w:r>
    </w:p>
    <w:p w14:paraId="7D78D196" w14:textId="5705B970" w:rsidR="00D76467" w:rsidRPr="000C7D11" w:rsidRDefault="00D76467" w:rsidP="00EA104F">
      <w:pPr>
        <w:pStyle w:val="F9-Paragraph"/>
      </w:pPr>
      <w:r w:rsidRPr="000C7D11">
        <w:t>The NB should include those roles which are in place to manage contractors and to provide the licensee’s IC, DA and oversight functions.</w:t>
      </w:r>
      <w:r w:rsidR="002A18AA">
        <w:t xml:space="preserve"> </w:t>
      </w:r>
      <w:r w:rsidRPr="000C7D11">
        <w:t xml:space="preserve">The licensee should </w:t>
      </w:r>
      <w:r w:rsidR="0099340F" w:rsidRPr="000C7D11">
        <w:t>refer</w:t>
      </w:r>
      <w:r w:rsidRPr="000C7D11">
        <w:t xml:space="preserve"> to the activities that are carried out by contractors outside the NB, and to the project management arrangements that ensure that the expectations of the NB are met.</w:t>
      </w:r>
    </w:p>
    <w:p w14:paraId="1F0D6227" w14:textId="11A7E517" w:rsidR="00D76467" w:rsidRPr="000C7D11" w:rsidRDefault="00D76467" w:rsidP="00EA104F">
      <w:pPr>
        <w:pStyle w:val="F9-Paragraph"/>
      </w:pPr>
      <w:r w:rsidRPr="000C7D11">
        <w:t xml:space="preserve">The Inspector should consider </w:t>
      </w:r>
      <w:r w:rsidR="0099340F" w:rsidRPr="000C7D11">
        <w:t>whether</w:t>
      </w:r>
      <w:r w:rsidRPr="000C7D11">
        <w:t>:</w:t>
      </w:r>
    </w:p>
    <w:p w14:paraId="5F7B32FB" w14:textId="1BEDEA05" w:rsidR="00D76467" w:rsidRDefault="00D76467" w:rsidP="00C26F95">
      <w:pPr>
        <w:pStyle w:val="Bulletlist1"/>
      </w:pPr>
      <w:r>
        <w:t>T</w:t>
      </w:r>
      <w:r w:rsidRPr="005E444D">
        <w:t xml:space="preserve">he licensee </w:t>
      </w:r>
      <w:r>
        <w:t xml:space="preserve">has </w:t>
      </w:r>
      <w:r w:rsidRPr="005E444D">
        <w:t xml:space="preserve">identified those activities performed by contractors </w:t>
      </w:r>
      <w:r>
        <w:t>which are outside</w:t>
      </w:r>
      <w:r w:rsidRPr="005E444D">
        <w:t xml:space="preserve"> the criteria for inclusion in the NB which have the potentia</w:t>
      </w:r>
      <w:r>
        <w:t>l to impact upon nuclear safety</w:t>
      </w:r>
      <w:r w:rsidR="00CA6851">
        <w:t>.</w:t>
      </w:r>
    </w:p>
    <w:p w14:paraId="145FA599" w14:textId="19701AD7" w:rsidR="00D76467" w:rsidRDefault="00D76467" w:rsidP="00C26F95">
      <w:pPr>
        <w:pStyle w:val="Bulletlist1"/>
      </w:pPr>
      <w:r>
        <w:lastRenderedPageBreak/>
        <w:t>T</w:t>
      </w:r>
      <w:r w:rsidRPr="005E444D">
        <w:t xml:space="preserve">here </w:t>
      </w:r>
      <w:r>
        <w:t xml:space="preserve">are </w:t>
      </w:r>
      <w:r w:rsidRPr="005E444D">
        <w:t>project management arrangements in place for such contracts which demonstrate that the key principles of the NB are met – i.e., that work is adequately organised, resourced and</w:t>
      </w:r>
      <w:r>
        <w:t xml:space="preserve"> controlled by competent people</w:t>
      </w:r>
      <w:r w:rsidR="00CA6851">
        <w:t>.</w:t>
      </w:r>
    </w:p>
    <w:p w14:paraId="34608CF7" w14:textId="4A4D2F1E" w:rsidR="00D76467" w:rsidRDefault="00D76467" w:rsidP="00C26F95">
      <w:pPr>
        <w:pStyle w:val="Bulletlist1"/>
      </w:pPr>
      <w:r>
        <w:t>T</w:t>
      </w:r>
      <w:r w:rsidRPr="005E444D">
        <w:t>he NB include</w:t>
      </w:r>
      <w:r>
        <w:t>s those IC</w:t>
      </w:r>
      <w:r w:rsidRPr="005E444D">
        <w:t xml:space="preserve"> </w:t>
      </w:r>
      <w:r>
        <w:t xml:space="preserve">and control and supervision </w:t>
      </w:r>
      <w:r w:rsidRPr="005E444D">
        <w:t>roles which provide the oversight of contractors carrying out work which has the potent</w:t>
      </w:r>
      <w:r>
        <w:t>ial to impact on nuclear safety</w:t>
      </w:r>
      <w:r w:rsidR="00CA6851">
        <w:t>.</w:t>
      </w:r>
    </w:p>
    <w:p w14:paraId="770CA3EA" w14:textId="77777777" w:rsidR="00D76467" w:rsidRDefault="00D76467" w:rsidP="00C26F95">
      <w:pPr>
        <w:pStyle w:val="Bulletlist1"/>
      </w:pPr>
      <w:r>
        <w:t>T</w:t>
      </w:r>
      <w:r w:rsidRPr="005E444D">
        <w:t xml:space="preserve">he licensee </w:t>
      </w:r>
      <w:r>
        <w:t xml:space="preserve">can </w:t>
      </w:r>
      <w:r w:rsidRPr="005E444D">
        <w:t>demonstrate that t</w:t>
      </w:r>
      <w:r>
        <w:t>he range of IC</w:t>
      </w:r>
      <w:r w:rsidRPr="005E444D">
        <w:t xml:space="preserve"> roles is suitable and sufficient to cover the breadth</w:t>
      </w:r>
      <w:r>
        <w:t xml:space="preserve"> of the contractors’ activities.</w:t>
      </w:r>
      <w:bookmarkStart w:id="12" w:name="_4.2.6__Justification"/>
      <w:bookmarkEnd w:id="12"/>
    </w:p>
    <w:p w14:paraId="3AF92D16" w14:textId="141231D0" w:rsidR="00D76467" w:rsidRPr="000C7D11" w:rsidRDefault="00C26F95" w:rsidP="00EA104F">
      <w:pPr>
        <w:pStyle w:val="Heading3"/>
      </w:pPr>
      <w:r>
        <w:t xml:space="preserve">Principle 7 - </w:t>
      </w:r>
      <w:r w:rsidR="00D76467" w:rsidRPr="000C7D11">
        <w:t>Justification of the Nuclear Baseline</w:t>
      </w:r>
    </w:p>
    <w:p w14:paraId="0443802F" w14:textId="77777777" w:rsidR="00D76467" w:rsidRPr="000C7D11" w:rsidRDefault="00D76467" w:rsidP="00EA104F">
      <w:pPr>
        <w:pStyle w:val="Heading4"/>
      </w:pPr>
      <w:r w:rsidRPr="000C7D11">
        <w:t>Nuclear Baseline Indicators</w:t>
      </w:r>
    </w:p>
    <w:p w14:paraId="6781C168" w14:textId="77777777" w:rsidR="00D76467" w:rsidRPr="000C7D11" w:rsidRDefault="00D76467" w:rsidP="00EA104F">
      <w:pPr>
        <w:pStyle w:val="F9-Paragraph"/>
      </w:pPr>
      <w:r w:rsidRPr="000C7D11">
        <w:t>The NB should demonstrate that the licensee’s organisation and its staffing levels and competencies enable it to discharge its nuclear safety responsibilities.</w:t>
      </w:r>
    </w:p>
    <w:p w14:paraId="77E5B23B" w14:textId="74210207" w:rsidR="00D76467" w:rsidRPr="000C7D11" w:rsidRDefault="00D76467" w:rsidP="00EA104F">
      <w:pPr>
        <w:pStyle w:val="F9-Paragraph"/>
      </w:pPr>
      <w:r w:rsidRPr="000C7D11">
        <w:t>ONR does not expect detailed task analysis to underpin the resource/competence allocation for all activities within the scope of the NB because this would not be practicable (although task analysis may be expected to understand and support some actions claimed within the safety case).</w:t>
      </w:r>
      <w:r w:rsidR="002A18AA">
        <w:t xml:space="preserve"> </w:t>
      </w:r>
      <w:r w:rsidRPr="000C7D11">
        <w:t xml:space="preserve">ONR places greater emphasis on the use of meaningful performance indicators to monitor the health of the licensee’s organisation, staffing levels and competence. </w:t>
      </w:r>
    </w:p>
    <w:p w14:paraId="41F38083" w14:textId="3CDA789C" w:rsidR="00D76467" w:rsidRPr="000C7D11" w:rsidRDefault="00D76467" w:rsidP="00EA104F">
      <w:pPr>
        <w:pStyle w:val="F9-Paragraph"/>
      </w:pPr>
      <w:r w:rsidRPr="000C7D11">
        <w:t>Performance indicators should provide reassurance that nuclear safety roles are being delivered effectively. The indicators should include leading measures of performance prior to potential failure. They should address aspects such as quality and timeliness of work activities that could impact on nuclear safety.</w:t>
      </w:r>
      <w:r w:rsidR="002A18AA">
        <w:t xml:space="preserve"> </w:t>
      </w:r>
      <w:r w:rsidRPr="000C7D11">
        <w:t xml:space="preserve">It is acceptable for the licensee to use some lagging measures as retrospective learning </w:t>
      </w:r>
      <w:r w:rsidR="00CA6851" w:rsidRPr="000C7D11">
        <w:t>tools,</w:t>
      </w:r>
      <w:r w:rsidRPr="000C7D11">
        <w:t xml:space="preserve"> but these should be in addition to leading indicators.</w:t>
      </w:r>
      <w:r w:rsidR="002A18AA">
        <w:t xml:space="preserve"> </w:t>
      </w:r>
      <w:r w:rsidRPr="000C7D11">
        <w:t>Indicators can also be used to monitor vulnerabilities identified in the NB.</w:t>
      </w:r>
    </w:p>
    <w:p w14:paraId="3595FDD4" w14:textId="7DAE5840" w:rsidR="00D76467" w:rsidRPr="000C7D11" w:rsidRDefault="00D76467" w:rsidP="00EA104F">
      <w:pPr>
        <w:pStyle w:val="F9-Paragraph"/>
      </w:pPr>
      <w:r w:rsidRPr="000C7D11">
        <w:t>In determining appropriate</w:t>
      </w:r>
      <w:r w:rsidR="00CA6851">
        <w:t xml:space="preserve"> i</w:t>
      </w:r>
      <w:r w:rsidRPr="000C7D11">
        <w:t>ndicators, licensees should consider the likely outcomes of both positive and inadequate delivery of nuclear safety functions.</w:t>
      </w:r>
      <w:r w:rsidR="002A18AA">
        <w:t xml:space="preserve"> </w:t>
      </w:r>
      <w:r w:rsidRPr="000C7D11">
        <w:t xml:space="preserve">Whilst the exact nature of the indicators and the types of data available will vary from licensee to licensee the broad areas for performance measurement are likely to remain the same. For </w:t>
      </w:r>
      <w:r w:rsidR="00C26F95" w:rsidRPr="000C7D11">
        <w:t>example,</w:t>
      </w:r>
      <w:r w:rsidRPr="000C7D11">
        <w:t xml:space="preserve"> measures of:</w:t>
      </w:r>
    </w:p>
    <w:p w14:paraId="5637787E" w14:textId="7136C692" w:rsidR="00D76467" w:rsidRDefault="00D76467" w:rsidP="00C26F95">
      <w:pPr>
        <w:pStyle w:val="Bulletlist1"/>
      </w:pPr>
      <w:r w:rsidRPr="005E444D">
        <w:t>Backlog of work, in</w:t>
      </w:r>
      <w:r>
        <w:t>cluding maintenance activities</w:t>
      </w:r>
    </w:p>
    <w:p w14:paraId="291668BE" w14:textId="77777777" w:rsidR="00D76467" w:rsidRDefault="00D76467" w:rsidP="00C26F95">
      <w:pPr>
        <w:pStyle w:val="Bulletlist1"/>
      </w:pPr>
      <w:r>
        <w:t>Excessive hours</w:t>
      </w:r>
    </w:p>
    <w:p w14:paraId="5BBD1B3C" w14:textId="2451CD1E" w:rsidR="00D76467" w:rsidRPr="005E444D" w:rsidRDefault="00D76467" w:rsidP="00C26F95">
      <w:pPr>
        <w:pStyle w:val="Bulletlist1"/>
      </w:pPr>
      <w:r>
        <w:t>Quality of work output</w:t>
      </w:r>
    </w:p>
    <w:p w14:paraId="00CAC151" w14:textId="76A0B0E7" w:rsidR="00D76467" w:rsidRPr="000C7D11" w:rsidRDefault="00D76467" w:rsidP="00EA104F">
      <w:pPr>
        <w:pStyle w:val="F9-Paragraph"/>
      </w:pPr>
      <w:r w:rsidRPr="000C7D11">
        <w:t>This type of information may already be gathered by the licensee in order that it can understand how well its business activities are being delivered.</w:t>
      </w:r>
      <w:r w:rsidR="002A18AA">
        <w:t xml:space="preserve"> </w:t>
      </w:r>
      <w:r w:rsidR="00EA104F">
        <w:br/>
      </w:r>
      <w:r w:rsidRPr="000C7D11">
        <w:lastRenderedPageBreak/>
        <w:t xml:space="preserve">In such circumstances, the NB may therefore provide a draw upon the way in which the information is collected and used to provide confidence that nuclear safety activities are adequately organised and resourced with competent people. </w:t>
      </w:r>
    </w:p>
    <w:p w14:paraId="7D66DED8" w14:textId="77777777" w:rsidR="00D76467" w:rsidRPr="000C7D11" w:rsidRDefault="00D76467" w:rsidP="00EA104F">
      <w:pPr>
        <w:pStyle w:val="F9-Paragraph"/>
      </w:pPr>
      <w:r w:rsidRPr="000C7D11">
        <w:t>The licensee’s indicators should address the following aspects:</w:t>
      </w:r>
    </w:p>
    <w:p w14:paraId="6E7FFAEE" w14:textId="77777777" w:rsidR="00D76467" w:rsidRDefault="00D76467" w:rsidP="00C26F95">
      <w:pPr>
        <w:pStyle w:val="Bulletlist1"/>
      </w:pPr>
      <w:r w:rsidRPr="00294FAD">
        <w:rPr>
          <w:b/>
        </w:rPr>
        <w:t>Complement</w:t>
      </w:r>
      <w:r w:rsidRPr="005E444D">
        <w:t xml:space="preserve"> – to show that the organisation has enough resource, at the right ti</w:t>
      </w:r>
      <w:r>
        <w:t>me and that the NB</w:t>
      </w:r>
      <w:r w:rsidRPr="005E444D">
        <w:t xml:space="preserve"> resource level is in line with programme need, for example demonstration that individuals are not overloaded</w:t>
      </w:r>
      <w:r>
        <w:t>;</w:t>
      </w:r>
    </w:p>
    <w:p w14:paraId="3ECA6895" w14:textId="77777777" w:rsidR="00D76467" w:rsidRPr="005E444D" w:rsidRDefault="00D76467" w:rsidP="00C26F95">
      <w:pPr>
        <w:pStyle w:val="Bulletlist1"/>
      </w:pPr>
      <w:r w:rsidRPr="00294FAD">
        <w:rPr>
          <w:b/>
        </w:rPr>
        <w:t>Competence</w:t>
      </w:r>
      <w:r w:rsidRPr="005E444D">
        <w:t xml:space="preserve"> – to show that it has the right skills and competences to match the need</w:t>
      </w:r>
      <w:r>
        <w:t>;</w:t>
      </w:r>
    </w:p>
    <w:p w14:paraId="761AFA29" w14:textId="77777777" w:rsidR="00D76467" w:rsidRPr="005E444D" w:rsidRDefault="00D76467" w:rsidP="00C26F95">
      <w:pPr>
        <w:pStyle w:val="Bulletlist1"/>
      </w:pPr>
      <w:r w:rsidRPr="00294FAD">
        <w:rPr>
          <w:b/>
        </w:rPr>
        <w:t>Nuclear Safety Achievement</w:t>
      </w:r>
      <w:r w:rsidRPr="005E444D">
        <w:t xml:space="preserve"> – t</w:t>
      </w:r>
      <w:r>
        <w:t>o show that the NB</w:t>
      </w:r>
      <w:r w:rsidRPr="005E444D">
        <w:t xml:space="preserve"> achieves the goal of maintaining nuclear safety</w:t>
      </w:r>
      <w:r>
        <w:t>.</w:t>
      </w:r>
    </w:p>
    <w:p w14:paraId="03FBF587" w14:textId="710C704E" w:rsidR="00D76467" w:rsidRPr="000C7D11" w:rsidRDefault="00D76467" w:rsidP="00EA104F">
      <w:pPr>
        <w:pStyle w:val="F9-Paragraph"/>
      </w:pPr>
      <w:r w:rsidRPr="000C7D11">
        <w:t xml:space="preserve">The Inspector should consider </w:t>
      </w:r>
      <w:r w:rsidR="0099340F" w:rsidRPr="000C7D11">
        <w:t>whether</w:t>
      </w:r>
      <w:r w:rsidRPr="000C7D11">
        <w:t>:</w:t>
      </w:r>
    </w:p>
    <w:p w14:paraId="7406EE9E" w14:textId="5336B9EC" w:rsidR="00D76467" w:rsidRDefault="00D76467" w:rsidP="00C26F95">
      <w:pPr>
        <w:pStyle w:val="Bulletlist1"/>
      </w:pPr>
      <w:r>
        <w:t>T</w:t>
      </w:r>
      <w:r w:rsidRPr="005E444D">
        <w:t>he adequacy of the NB demonstrably supported by evidence rather than an assumption that the c</w:t>
      </w:r>
      <w:r>
        <w:t>urrent organisation is adequate</w:t>
      </w:r>
      <w:r w:rsidR="00C832B4">
        <w:t>.</w:t>
      </w:r>
    </w:p>
    <w:p w14:paraId="48FD148A" w14:textId="6646419E" w:rsidR="00D76467" w:rsidRDefault="00D76467" w:rsidP="00C26F95">
      <w:pPr>
        <w:pStyle w:val="Bulletlist1"/>
      </w:pPr>
      <w:r>
        <w:t>T</w:t>
      </w:r>
      <w:r w:rsidRPr="005E444D">
        <w:t xml:space="preserve">he licensee </w:t>
      </w:r>
      <w:r>
        <w:t xml:space="preserve">has </w:t>
      </w:r>
      <w:r w:rsidRPr="005E444D">
        <w:t>established a set of indicators that demonstrate the adequacy of its organisation, resource and competence to carry out those activities which have the potent</w:t>
      </w:r>
      <w:r>
        <w:t>ial to impact on nuclear safety</w:t>
      </w:r>
      <w:r w:rsidR="00C832B4">
        <w:t>.</w:t>
      </w:r>
    </w:p>
    <w:p w14:paraId="3009D6C3" w14:textId="0FE6AEAD" w:rsidR="00D76467" w:rsidRDefault="00D76467" w:rsidP="00C26F95">
      <w:pPr>
        <w:pStyle w:val="Bulletlist1"/>
      </w:pPr>
      <w:r>
        <w:t>The licensee has established a process for monitoring the NB indicators at a suitable frequency and ensuring action is taken when appropriate</w:t>
      </w:r>
      <w:r w:rsidR="00C832B4">
        <w:t>.</w:t>
      </w:r>
    </w:p>
    <w:p w14:paraId="0480CE83" w14:textId="52EE635F" w:rsidR="00D76467" w:rsidRDefault="00D76467" w:rsidP="00C26F95">
      <w:pPr>
        <w:pStyle w:val="Bulletlist1"/>
      </w:pPr>
      <w:r>
        <w:t>The</w:t>
      </w:r>
      <w:r w:rsidRPr="005E444D">
        <w:t xml:space="preserve"> indicators </w:t>
      </w:r>
      <w:r>
        <w:t xml:space="preserve">are </w:t>
      </w:r>
      <w:r w:rsidRPr="005E444D">
        <w:t>being used to inform judgements on</w:t>
      </w:r>
      <w:r>
        <w:t xml:space="preserve"> the organisation’s capability</w:t>
      </w:r>
      <w:r w:rsidR="00C832B4">
        <w:t>.</w:t>
      </w:r>
    </w:p>
    <w:p w14:paraId="5C7F18A2" w14:textId="74832FD4" w:rsidR="00D76467" w:rsidRDefault="00D76467" w:rsidP="00C26F95">
      <w:pPr>
        <w:pStyle w:val="Bulletlist1"/>
      </w:pPr>
      <w:r>
        <w:t>T</w:t>
      </w:r>
      <w:r w:rsidRPr="005E444D">
        <w:t xml:space="preserve">here </w:t>
      </w:r>
      <w:r>
        <w:t xml:space="preserve">is </w:t>
      </w:r>
      <w:r w:rsidRPr="005E444D">
        <w:t xml:space="preserve">an appropriate emphasis on </w:t>
      </w:r>
      <w:r>
        <w:t>leading measures of performance</w:t>
      </w:r>
      <w:r w:rsidR="00C832B4">
        <w:t>.</w:t>
      </w:r>
    </w:p>
    <w:p w14:paraId="12E0DCAA" w14:textId="77777777" w:rsidR="00D76467" w:rsidRDefault="00D76467" w:rsidP="00C26F95">
      <w:pPr>
        <w:pStyle w:val="Bulletlist1"/>
      </w:pPr>
      <w:r>
        <w:t>T</w:t>
      </w:r>
      <w:r w:rsidRPr="005E444D">
        <w:t>he indicators provide a basis for confidence that the licensee’s organisation, staffing levels and competencies are suitable and sufficient to effectively deliver nuclear safety</w:t>
      </w:r>
      <w:bookmarkStart w:id="13" w:name="_4.2.6.2__Vulnerability"/>
      <w:bookmarkEnd w:id="13"/>
      <w:r>
        <w:t>.</w:t>
      </w:r>
    </w:p>
    <w:p w14:paraId="577E291E" w14:textId="77777777" w:rsidR="00D76467" w:rsidRPr="000C7D11" w:rsidRDefault="00D76467" w:rsidP="00EA104F">
      <w:pPr>
        <w:pStyle w:val="Heading4"/>
      </w:pPr>
      <w:r w:rsidRPr="000C7D11">
        <w:t>Vulnerability Analysis</w:t>
      </w:r>
    </w:p>
    <w:p w14:paraId="1DFC490E" w14:textId="0381EEA1" w:rsidR="00D76467" w:rsidRPr="000C7D11" w:rsidRDefault="00D76467" w:rsidP="00EA104F">
      <w:pPr>
        <w:pStyle w:val="F9-Paragraph"/>
      </w:pPr>
      <w:r w:rsidRPr="000C7D11">
        <w:t>The licensee should undertake some form of analysis to assess the vulnerability of its resource and competence profile. This should identify where it may be vulnerable due to a potential shortage of competent resource such as singleton roles, where staff hold multiple and potentially conflicting roles or where NB roles are held by contractors etc.</w:t>
      </w:r>
      <w:r w:rsidR="002A18AA">
        <w:t xml:space="preserve"> </w:t>
      </w:r>
      <w:r w:rsidRPr="000C7D11">
        <w:t xml:space="preserve">ONR expects the licensee to take account of its demographics in this assessment, such that the implications of impending retirements are considered. </w:t>
      </w:r>
    </w:p>
    <w:p w14:paraId="728B59CD" w14:textId="77777777" w:rsidR="00D76467" w:rsidRPr="000C7D11" w:rsidRDefault="00D76467" w:rsidP="00EA104F">
      <w:pPr>
        <w:pStyle w:val="F9-Paragraph"/>
      </w:pPr>
      <w:r w:rsidRPr="000C7D11">
        <w:lastRenderedPageBreak/>
        <w:t>The licensee should be able to show that, where vulnerabilities are identified, it has succession plans and, where appropriate, contingency arrangements, in place.</w:t>
      </w:r>
    </w:p>
    <w:p w14:paraId="670104C2" w14:textId="053D4F15" w:rsidR="00D76467" w:rsidRPr="000C7D11" w:rsidRDefault="00D76467" w:rsidP="00EA104F">
      <w:pPr>
        <w:pStyle w:val="F9-Paragraph"/>
      </w:pPr>
      <w:r w:rsidRPr="000C7D11">
        <w:t xml:space="preserve">The Inspector should consider </w:t>
      </w:r>
      <w:r w:rsidR="0099340F" w:rsidRPr="000C7D11">
        <w:t>whether</w:t>
      </w:r>
      <w:r w:rsidRPr="000C7D11">
        <w:t>:</w:t>
      </w:r>
    </w:p>
    <w:p w14:paraId="2D2066E9" w14:textId="020DD357" w:rsidR="00D76467" w:rsidRDefault="00D76467" w:rsidP="00C26F95">
      <w:pPr>
        <w:pStyle w:val="Bulletlist1"/>
      </w:pPr>
      <w:r>
        <w:t>T</w:t>
      </w:r>
      <w:r w:rsidRPr="005E444D">
        <w:t xml:space="preserve">he licensee </w:t>
      </w:r>
      <w:r>
        <w:t xml:space="preserve">has </w:t>
      </w:r>
      <w:r w:rsidRPr="005E444D">
        <w:t xml:space="preserve">undertaken some form of vulnerability analysis </w:t>
      </w:r>
      <w:r>
        <w:t>of the resource profile</w:t>
      </w:r>
      <w:r w:rsidR="00C832B4">
        <w:t>.</w:t>
      </w:r>
    </w:p>
    <w:p w14:paraId="4F18C9B7" w14:textId="04B76432" w:rsidR="00D76467" w:rsidRDefault="00D76467" w:rsidP="00C26F95">
      <w:pPr>
        <w:pStyle w:val="Bulletlist1"/>
      </w:pPr>
      <w:r>
        <w:t>The vulnerability analysis has</w:t>
      </w:r>
      <w:r w:rsidRPr="005E444D">
        <w:t xml:space="preserve"> identified where the licensee is vulnerable to loss of role-holders with nuclear safety respons</w:t>
      </w:r>
      <w:r>
        <w:t>ibilities, such as singletons</w:t>
      </w:r>
      <w:r w:rsidR="00C832B4">
        <w:t>.</w:t>
      </w:r>
    </w:p>
    <w:p w14:paraId="04FF5FDB" w14:textId="634AB892" w:rsidR="00D76467" w:rsidRDefault="00D76467" w:rsidP="00C26F95">
      <w:pPr>
        <w:pStyle w:val="Bulletlist1"/>
      </w:pPr>
      <w:r>
        <w:t>C</w:t>
      </w:r>
      <w:r w:rsidRPr="005E444D">
        <w:t xml:space="preserve">ontingency arrangements </w:t>
      </w:r>
      <w:r>
        <w:t xml:space="preserve">have been put </w:t>
      </w:r>
      <w:r w:rsidRPr="005E444D">
        <w:t xml:space="preserve">in place </w:t>
      </w:r>
      <w:r>
        <w:t>w</w:t>
      </w:r>
      <w:r w:rsidRPr="005E444D">
        <w:t>here vulnerabilities have been identified are successi</w:t>
      </w:r>
      <w:r>
        <w:t>on plans and, where appropriate</w:t>
      </w:r>
      <w:r w:rsidR="00C832B4">
        <w:t>.</w:t>
      </w:r>
    </w:p>
    <w:p w14:paraId="540CF706" w14:textId="77777777" w:rsidR="00D76467" w:rsidRDefault="00D76467" w:rsidP="00C26F95">
      <w:pPr>
        <w:pStyle w:val="Bulletlist1"/>
      </w:pPr>
      <w:r>
        <w:t>A forward action programme exists where mitigating actions have been identified.</w:t>
      </w:r>
      <w:bookmarkStart w:id="14" w:name="_4.2.7__The"/>
      <w:bookmarkEnd w:id="14"/>
    </w:p>
    <w:p w14:paraId="106D904D" w14:textId="7DCAB7DE" w:rsidR="00D76467" w:rsidRPr="000C7D11" w:rsidRDefault="00C26F95" w:rsidP="00EA104F">
      <w:pPr>
        <w:pStyle w:val="Heading3"/>
      </w:pPr>
      <w:r>
        <w:t xml:space="preserve">Principle 8 - </w:t>
      </w:r>
      <w:r w:rsidR="00D76467" w:rsidRPr="000C7D11">
        <w:t>The Nuclear Baseline Process</w:t>
      </w:r>
    </w:p>
    <w:p w14:paraId="7A348448" w14:textId="7E4040EC" w:rsidR="00D76467" w:rsidRPr="000C7D11" w:rsidRDefault="00D76467" w:rsidP="00EA104F">
      <w:pPr>
        <w:pStyle w:val="F9-Paragraph"/>
      </w:pPr>
      <w:r w:rsidRPr="000C7D11">
        <w:t>The licensee should be able clearly to demonstrate that it has arrangements in place to derive and maintain an organisation, staffing levels and competences which enable it to understand, deliver and oversee activities which have the potential to impact on nuclear safety.</w:t>
      </w:r>
      <w:r w:rsidR="002A18AA">
        <w:t xml:space="preserve"> </w:t>
      </w:r>
      <w:r w:rsidRPr="000C7D11">
        <w:t>The arrangements should show:</w:t>
      </w:r>
    </w:p>
    <w:p w14:paraId="4BC3AD93" w14:textId="77777777" w:rsidR="00D76467" w:rsidRDefault="00D76467" w:rsidP="00C26F95">
      <w:pPr>
        <w:pStyle w:val="Bulletlist1"/>
      </w:pPr>
      <w:r>
        <w:t>Ho</w:t>
      </w:r>
      <w:r w:rsidRPr="005E444D">
        <w:t>w the licensee determines the nuclear safety functions that it needs to discharge</w:t>
      </w:r>
      <w:r>
        <w:t>;</w:t>
      </w:r>
    </w:p>
    <w:p w14:paraId="2CE6BE24" w14:textId="77777777" w:rsidR="00D76467" w:rsidRDefault="00D76467" w:rsidP="00C26F95">
      <w:pPr>
        <w:pStyle w:val="Bulletlist1"/>
      </w:pPr>
      <w:r>
        <w:t>H</w:t>
      </w:r>
      <w:r w:rsidRPr="005E444D">
        <w:t>ow the licensee identifies the staffing levels and competencies required to deliver these nuclear safety functions</w:t>
      </w:r>
    </w:p>
    <w:p w14:paraId="2B192779" w14:textId="77777777" w:rsidR="00D76467" w:rsidRDefault="00D76467" w:rsidP="00C26F95">
      <w:pPr>
        <w:pStyle w:val="Bulletlist1"/>
      </w:pPr>
      <w:r>
        <w:t>T</w:t>
      </w:r>
      <w:r w:rsidRPr="005E444D">
        <w:t>hat the licensee’s organisation, staffing levels and competencies are adequate to meet these needs. This should include sufficient resource to work safely and to deliver an appropriate work programme</w:t>
      </w:r>
    </w:p>
    <w:p w14:paraId="7F0C0FDD" w14:textId="77777777" w:rsidR="00D76467" w:rsidRDefault="00D76467" w:rsidP="00C26F95">
      <w:pPr>
        <w:pStyle w:val="Bulletlist1"/>
      </w:pPr>
      <w:r>
        <w:t>T</w:t>
      </w:r>
      <w:r w:rsidRPr="005E444D">
        <w:t>hat the licensee maintain</w:t>
      </w:r>
      <w:r>
        <w:t>s effective IC</w:t>
      </w:r>
      <w:r w:rsidRPr="005E444D">
        <w:t xml:space="preserve"> and supervisory capabilities to oversee the work of contractors</w:t>
      </w:r>
    </w:p>
    <w:p w14:paraId="0CC9995C" w14:textId="77777777" w:rsidR="00D76467" w:rsidRDefault="00D76467" w:rsidP="00C26F95">
      <w:pPr>
        <w:pStyle w:val="Bulletlist1"/>
      </w:pPr>
      <w:r>
        <w:t>T</w:t>
      </w:r>
      <w:r w:rsidRPr="005E444D">
        <w:t>hat an appropriate vulnerability analysis is carried out which highlights where the licensee is vulnerable to loss of resource or capability – for example, where it relies upon singleton expertise or a limited pool of in</w:t>
      </w:r>
      <w:r>
        <w:t>-house or contract resource.</w:t>
      </w:r>
    </w:p>
    <w:p w14:paraId="2D0D0C81" w14:textId="77777777" w:rsidR="00D76467" w:rsidRPr="005E444D" w:rsidRDefault="00D76467" w:rsidP="00C26F95">
      <w:pPr>
        <w:pStyle w:val="Bulletlist1"/>
      </w:pPr>
      <w:r>
        <w:t>T</w:t>
      </w:r>
      <w:r w:rsidRPr="005E444D">
        <w:t>hat succession plans are put in place where appropriate.</w:t>
      </w:r>
    </w:p>
    <w:p w14:paraId="68A57F89" w14:textId="24045070" w:rsidR="00D76467" w:rsidRPr="000C7D11" w:rsidRDefault="00D76467" w:rsidP="00EA104F">
      <w:pPr>
        <w:pStyle w:val="F9-Paragraph"/>
      </w:pPr>
      <w:r w:rsidRPr="000C7D11">
        <w:t>Where the NB addresses the above elements, it is likely to draw upon current processes within the wider business management system such as competence management, project management and resource planning.</w:t>
      </w:r>
      <w:r w:rsidR="002A18AA">
        <w:t xml:space="preserve"> </w:t>
      </w:r>
      <w:r w:rsidR="00EA104F">
        <w:br/>
      </w:r>
      <w:r w:rsidRPr="000C7D11">
        <w:t>The NB may therefore not exist as a single stand-alone document.</w:t>
      </w:r>
      <w:r w:rsidR="002A18AA">
        <w:t xml:space="preserve"> </w:t>
      </w:r>
    </w:p>
    <w:p w14:paraId="301AA055" w14:textId="1C0F9E17" w:rsidR="00D76467" w:rsidRPr="000C7D11" w:rsidRDefault="00D76467" w:rsidP="00EA104F">
      <w:pPr>
        <w:pStyle w:val="F9-Paragraph"/>
      </w:pPr>
      <w:r w:rsidRPr="000C7D11">
        <w:lastRenderedPageBreak/>
        <w:t>The NB is likely to include statements setting out the elements of the NB and showing how these elements are addressed.</w:t>
      </w:r>
      <w:r w:rsidR="002A18AA">
        <w:t xml:space="preserve"> </w:t>
      </w:r>
      <w:r w:rsidRPr="000C7D11">
        <w:t xml:space="preserve">This might include references to the application of </w:t>
      </w:r>
      <w:r w:rsidR="0099340F" w:rsidRPr="000C7D11">
        <w:t>several</w:t>
      </w:r>
      <w:r w:rsidRPr="000C7D11">
        <w:t xml:space="preserve"> business processes which can be drawn upon to demonstrate how the expectations of the NB are being delivered.</w:t>
      </w:r>
      <w:r w:rsidR="002A18AA">
        <w:t xml:space="preserve"> </w:t>
      </w:r>
    </w:p>
    <w:p w14:paraId="0885B67F" w14:textId="5FFB9C67" w:rsidR="00D76467" w:rsidRPr="000C7D11" w:rsidRDefault="00D76467" w:rsidP="00EA104F">
      <w:pPr>
        <w:pStyle w:val="F9-Paragraph"/>
      </w:pPr>
      <w:r w:rsidRPr="000C7D11">
        <w:t>The NB should draw together the findings of these processes in order that an overview of the licensee’s organisational adequacy can be established. This should include plans to address gaps and weaknesses where they are identified.</w:t>
      </w:r>
      <w:r w:rsidR="002A18AA">
        <w:t xml:space="preserve"> </w:t>
      </w:r>
    </w:p>
    <w:p w14:paraId="0CB6E2E8" w14:textId="77777777" w:rsidR="00D76467" w:rsidRPr="000C7D11" w:rsidRDefault="00D76467" w:rsidP="00EA104F">
      <w:pPr>
        <w:pStyle w:val="F9-Paragraph"/>
      </w:pPr>
      <w:r w:rsidRPr="000C7D11">
        <w:t xml:space="preserve">ONR expects that the licensee’s HR, project planning and other processes to explicitly identify NB roles in order that they are clearly understood and that proposals to change them are flagged up for consideration as part of the licensee’s LC 36 arrangements. </w:t>
      </w:r>
    </w:p>
    <w:p w14:paraId="5F2B9DAB" w14:textId="77777777" w:rsidR="00D76467" w:rsidRPr="000C7D11" w:rsidRDefault="00D76467" w:rsidP="00EA104F">
      <w:pPr>
        <w:pStyle w:val="F9-Paragraph"/>
      </w:pPr>
      <w:r w:rsidRPr="000C7D11">
        <w:t>ONR expects that the licensee will have in place corporate processes to make its senior management aware of the status of the NB in order that they are able to take steps to ensure that the organisation is suitably structured and resourced to deliver continued nuclear safety.</w:t>
      </w:r>
    </w:p>
    <w:p w14:paraId="274C9C96" w14:textId="0DAF956E" w:rsidR="00D76467" w:rsidRPr="000C7D11" w:rsidRDefault="00D76467" w:rsidP="00EA104F">
      <w:pPr>
        <w:pStyle w:val="F9-Paragraph"/>
      </w:pPr>
      <w:r w:rsidRPr="000C7D11">
        <w:t xml:space="preserve">Where a Licensee has projects and programmes </w:t>
      </w:r>
      <w:r w:rsidR="00164B32" w:rsidRPr="000C7D11">
        <w:t>e.g.,</w:t>
      </w:r>
      <w:r w:rsidRPr="000C7D11">
        <w:t xml:space="preserve"> new nuclear build, which require changing staffing levels, competencies and organisational structures, ONR recognises that a single, fixed, NB may not be suitable.</w:t>
      </w:r>
      <w:r w:rsidR="002A18AA">
        <w:t xml:space="preserve"> </w:t>
      </w:r>
      <w:r w:rsidR="00EA104F">
        <w:br/>
      </w:r>
      <w:r w:rsidRPr="000C7D11">
        <w:t>In such circumstances, ONR would expect the licensee to acknowledge the need to link its work programme with its staffing levels and competence needs at each stage such that a valid NB is available to underpin its work at any time.</w:t>
      </w:r>
      <w:r w:rsidR="002A18AA">
        <w:t xml:space="preserve"> </w:t>
      </w:r>
    </w:p>
    <w:p w14:paraId="411FFCCF" w14:textId="048BA30E" w:rsidR="00D76467" w:rsidRPr="000C7D11" w:rsidRDefault="00D76467" w:rsidP="00EA104F">
      <w:pPr>
        <w:pStyle w:val="F9-Paragraph"/>
      </w:pPr>
      <w:r w:rsidRPr="000C7D11">
        <w:t xml:space="preserve">Prior to starting a new phase in the work </w:t>
      </w:r>
      <w:r w:rsidR="00164B32" w:rsidRPr="000C7D11">
        <w:t>programme,</w:t>
      </w:r>
      <w:r w:rsidRPr="000C7D11">
        <w:t xml:space="preserve"> it may be appropriate to have ‘hold points’ to confirm that suitable and sufficient skills and competences are in place for the tasks ahead.</w:t>
      </w:r>
      <w:r w:rsidR="002A18AA">
        <w:t xml:space="preserve"> </w:t>
      </w:r>
      <w:r w:rsidRPr="000C7D11">
        <w:t>This could be achieved through an overall NB assessment for all stages, linked to any project manpower plans, or through a series of phased NB’s reflecting changes to structures, resources and competencies managed through the licensee’s LC 36 arrangements.</w:t>
      </w:r>
      <w:r w:rsidR="002A18AA">
        <w:t xml:space="preserve"> </w:t>
      </w:r>
      <w:r w:rsidRPr="000C7D11">
        <w:t>This type of logic could be applied as part of the work approval arrangements to instances where there is a potential change in the NB organisation, resource or competence needs.</w:t>
      </w:r>
    </w:p>
    <w:p w14:paraId="033274A2" w14:textId="1E309A72" w:rsidR="00D76467" w:rsidRPr="000C7D11" w:rsidRDefault="00D76467" w:rsidP="00EA104F">
      <w:pPr>
        <w:pStyle w:val="F9-Paragraph"/>
      </w:pPr>
      <w:r w:rsidRPr="000C7D11">
        <w:t xml:space="preserve">The Inspector should consider </w:t>
      </w:r>
      <w:r w:rsidR="0099340F" w:rsidRPr="000C7D11">
        <w:t>whether</w:t>
      </w:r>
      <w:r w:rsidRPr="000C7D11">
        <w:t>:</w:t>
      </w:r>
    </w:p>
    <w:p w14:paraId="41B11FC0" w14:textId="366C71A4" w:rsidR="00D76467" w:rsidRDefault="00D76467" w:rsidP="00C26F95">
      <w:pPr>
        <w:pStyle w:val="Bulletlist1"/>
      </w:pPr>
      <w:r>
        <w:t>The licensee has</w:t>
      </w:r>
      <w:r w:rsidRPr="005E444D">
        <w:t xml:space="preserve"> adequate arrangements for defining,</w:t>
      </w:r>
      <w:r>
        <w:t xml:space="preserve"> producing and maintaining a NB</w:t>
      </w:r>
    </w:p>
    <w:p w14:paraId="431BEBBC" w14:textId="2060E1F1" w:rsidR="00D76467" w:rsidRDefault="00D76467" w:rsidP="00C26F95">
      <w:pPr>
        <w:pStyle w:val="Bulletlist1"/>
      </w:pPr>
      <w:r>
        <w:t>T</w:t>
      </w:r>
      <w:r w:rsidRPr="005E444D">
        <w:t>he NB clearly describe</w:t>
      </w:r>
      <w:r>
        <w:t>s</w:t>
      </w:r>
      <w:r w:rsidRPr="005E444D">
        <w:t xml:space="preserve"> the philosophy and methodology for how it is const</w:t>
      </w:r>
      <w:r>
        <w:t>ructed and how assessments regarding</w:t>
      </w:r>
      <w:r w:rsidRPr="005E444D">
        <w:t xml:space="preserve"> the need for nuclear safety roles, and the adequacy of </w:t>
      </w:r>
      <w:r>
        <w:t>their delivery, are carried out</w:t>
      </w:r>
      <w:r w:rsidR="00237683">
        <w:t>.</w:t>
      </w:r>
    </w:p>
    <w:p w14:paraId="212F53C1" w14:textId="36AE4950" w:rsidR="00D76467" w:rsidRDefault="00D76467" w:rsidP="00C26F95">
      <w:pPr>
        <w:pStyle w:val="Bulletlist1"/>
      </w:pPr>
      <w:r>
        <w:t>The licensee has a process for keeping the baseline up to date and undertaking period reviews</w:t>
      </w:r>
      <w:r w:rsidR="00237683">
        <w:t>.</w:t>
      </w:r>
    </w:p>
    <w:p w14:paraId="2FACDF64" w14:textId="3262795D" w:rsidR="00D76467" w:rsidRDefault="00D76467" w:rsidP="00C26F95">
      <w:pPr>
        <w:pStyle w:val="Bulletlist1"/>
      </w:pPr>
      <w:r>
        <w:lastRenderedPageBreak/>
        <w:t>The NB provides</w:t>
      </w:r>
      <w:r w:rsidRPr="005E444D">
        <w:t xml:space="preserve"> a ‘route map’ </w:t>
      </w:r>
      <w:r>
        <w:t xml:space="preserve">to </w:t>
      </w:r>
      <w:r w:rsidRPr="005E444D">
        <w:t>show</w:t>
      </w:r>
      <w:r>
        <w:t xml:space="preserve"> those parts of the licensee’s management s</w:t>
      </w:r>
      <w:r w:rsidRPr="005E444D">
        <w:t>ystem which are re</w:t>
      </w:r>
      <w:r>
        <w:t>ferenced by the NB</w:t>
      </w:r>
      <w:r w:rsidR="00237683">
        <w:t>.</w:t>
      </w:r>
    </w:p>
    <w:p w14:paraId="1602D5B9" w14:textId="72E6A523" w:rsidR="00D76467" w:rsidRDefault="00D76467" w:rsidP="00C26F95">
      <w:pPr>
        <w:pStyle w:val="Bulletlist1"/>
      </w:pPr>
      <w:r>
        <w:t>T</w:t>
      </w:r>
      <w:r w:rsidRPr="005E444D">
        <w:t>he NB enable</w:t>
      </w:r>
      <w:r>
        <w:t>s</w:t>
      </w:r>
      <w:r w:rsidRPr="005E444D">
        <w:t xml:space="preserve"> conclusions to be drawn from the</w:t>
      </w:r>
      <w:r>
        <w:t xml:space="preserve"> referenced business processes regarding the condition</w:t>
      </w:r>
      <w:r w:rsidRPr="005E444D">
        <w:t xml:space="preserve"> and adequacy of the </w:t>
      </w:r>
      <w:r>
        <w:t>elements identified in this TAG</w:t>
      </w:r>
      <w:r w:rsidR="00237683">
        <w:t>.</w:t>
      </w:r>
    </w:p>
    <w:p w14:paraId="05CDDE3F" w14:textId="3DD3943A" w:rsidR="00D76467" w:rsidRDefault="00D76467" w:rsidP="00C26F95">
      <w:pPr>
        <w:pStyle w:val="Bulletlist1"/>
      </w:pPr>
      <w:r>
        <w:t xml:space="preserve">The licensee’s management system </w:t>
      </w:r>
      <w:r w:rsidRPr="005E444D">
        <w:t>processes ens</w:t>
      </w:r>
      <w:r>
        <w:t>ure that the its</w:t>
      </w:r>
      <w:r w:rsidRPr="005E444D">
        <w:t xml:space="preserve"> senior management are aware of the status of the NB in order that they can continue to ensure that the organisation is suitably structured and resourced to deliver continued nuclear safety</w:t>
      </w:r>
      <w:r w:rsidR="00237683">
        <w:t>.</w:t>
      </w:r>
    </w:p>
    <w:p w14:paraId="45D3C7AA" w14:textId="50522D46" w:rsidR="00D76467" w:rsidRDefault="00D76467" w:rsidP="00C26F95">
      <w:pPr>
        <w:pStyle w:val="Bulletlist1"/>
      </w:pPr>
      <w:r w:rsidRPr="005E444D">
        <w:t xml:space="preserve">NB roles </w:t>
      </w:r>
      <w:r>
        <w:t xml:space="preserve">have been </w:t>
      </w:r>
      <w:r w:rsidRPr="005E444D">
        <w:t xml:space="preserve">explicitly identified so that they are clearly understood, and that proposals to change NB roles are </w:t>
      </w:r>
      <w:r>
        <w:t xml:space="preserve">being </w:t>
      </w:r>
      <w:r w:rsidRPr="005E444D">
        <w:t>considered under t</w:t>
      </w:r>
      <w:r>
        <w:t>he licensee’s LC 36 arrangements</w:t>
      </w:r>
      <w:r w:rsidR="00237683">
        <w:t>.</w:t>
      </w:r>
    </w:p>
    <w:p w14:paraId="689FA81C" w14:textId="77777777" w:rsidR="00D76467" w:rsidRDefault="00D76467" w:rsidP="00C26F95">
      <w:pPr>
        <w:pStyle w:val="Bulletlist1"/>
      </w:pPr>
      <w:r>
        <w:t>T</w:t>
      </w:r>
      <w:r w:rsidRPr="005E444D">
        <w:t xml:space="preserve">here </w:t>
      </w:r>
      <w:r>
        <w:t xml:space="preserve">is </w:t>
      </w:r>
      <w:r w:rsidRPr="005E444D">
        <w:t>ev</w:t>
      </w:r>
      <w:r>
        <w:t>idence that the NB</w:t>
      </w:r>
      <w:r w:rsidRPr="005E444D">
        <w:t xml:space="preserve"> has been integrated into</w:t>
      </w:r>
      <w:r>
        <w:t xml:space="preserve"> the licensee’s management system.</w:t>
      </w:r>
      <w:bookmarkStart w:id="15" w:name="_4.2.8__A"/>
      <w:bookmarkEnd w:id="15"/>
    </w:p>
    <w:p w14:paraId="500134D4" w14:textId="7C1113F3" w:rsidR="00D76467" w:rsidRPr="00C26F95" w:rsidRDefault="00C26F95" w:rsidP="00EA104F">
      <w:pPr>
        <w:pStyle w:val="Heading3"/>
      </w:pPr>
      <w:r w:rsidRPr="000C7D11">
        <w:t>Principle 9</w:t>
      </w:r>
      <w:r>
        <w:t xml:space="preserve"> - </w:t>
      </w:r>
      <w:r w:rsidR="00D76467" w:rsidRPr="00C26F95">
        <w:t>Living Baseline</w:t>
      </w:r>
    </w:p>
    <w:p w14:paraId="04DF3079" w14:textId="548EAA5C" w:rsidR="00D76467" w:rsidRPr="000C7D11" w:rsidRDefault="00D76467" w:rsidP="00EA104F">
      <w:pPr>
        <w:pStyle w:val="F9-Paragraph"/>
      </w:pPr>
      <w:r w:rsidRPr="000C7D11">
        <w:t>The Nuclear Baseline should be updated as changes are made to the organisational structure, staffing levels and competence requirements using the licensee’s arrangements for management of change under LC</w:t>
      </w:r>
      <w:r w:rsidR="00237683">
        <w:t xml:space="preserve"> </w:t>
      </w:r>
      <w:r w:rsidRPr="000C7D11">
        <w:t>36.</w:t>
      </w:r>
      <w:r w:rsidR="002A18AA">
        <w:t xml:space="preserve"> </w:t>
      </w:r>
      <w:r w:rsidR="00EA104F">
        <w:br/>
      </w:r>
      <w:r w:rsidRPr="000C7D11">
        <w:t>Where the licensee uses a database as part of its position management system, changes to the NB may be made concurrent with organisational changes such that the NB remains live.</w:t>
      </w:r>
      <w:r w:rsidR="002A18AA">
        <w:t xml:space="preserve"> </w:t>
      </w:r>
      <w:r w:rsidRPr="000C7D11">
        <w:t>In other circumstances, the licensee should put in place a process periodically to review and consolidate changes to the NB – for example, on an annual basis, and generally no less than that unless the company has seen very few or no changes.</w:t>
      </w:r>
      <w:r w:rsidR="002A18AA">
        <w:t xml:space="preserve"> </w:t>
      </w:r>
      <w:r w:rsidRPr="000C7D11">
        <w:t>In this way, the NB continues to reflect the state of the licensee’s organisation.</w:t>
      </w:r>
      <w:r w:rsidR="002A18AA">
        <w:t xml:space="preserve"> </w:t>
      </w:r>
    </w:p>
    <w:p w14:paraId="015355C5" w14:textId="77777777" w:rsidR="00D76467" w:rsidRPr="000C7D11" w:rsidRDefault="00D76467" w:rsidP="00EA104F">
      <w:pPr>
        <w:pStyle w:val="F9-Paragraph"/>
      </w:pPr>
      <w:r w:rsidRPr="000C7D11">
        <w:t xml:space="preserve">Licensees should ensure that their management systems ensure that the Baseline is referred to and if necessary reviewed when considering changes brought about by factors such as: </w:t>
      </w:r>
    </w:p>
    <w:p w14:paraId="750E28CD" w14:textId="37C5B334" w:rsidR="00D76467" w:rsidRDefault="00D76467" w:rsidP="00C26F95">
      <w:pPr>
        <w:pStyle w:val="Bulletlist1"/>
      </w:pPr>
      <w:r w:rsidRPr="005E444D">
        <w:t>Applications for a new licence or change in parent body organisation</w:t>
      </w:r>
      <w:r w:rsidR="00237683">
        <w:t>.</w:t>
      </w:r>
    </w:p>
    <w:p w14:paraId="3B403031" w14:textId="10CC286E" w:rsidR="00D76467" w:rsidRDefault="00D76467" w:rsidP="00C26F95">
      <w:pPr>
        <w:pStyle w:val="Bulletlist1"/>
      </w:pPr>
      <w:r w:rsidRPr="005E444D">
        <w:t>Step changes in project requirements as projects move from one part of the programme to the next</w:t>
      </w:r>
      <w:r>
        <w:t xml:space="preserve"> or change in lifecycle</w:t>
      </w:r>
      <w:r w:rsidR="00237683">
        <w:t>.</w:t>
      </w:r>
    </w:p>
    <w:p w14:paraId="2885A696" w14:textId="35E3FCDF" w:rsidR="00D76467" w:rsidRDefault="00D76467" w:rsidP="00C26F95">
      <w:pPr>
        <w:pStyle w:val="Bulletlist1"/>
      </w:pPr>
      <w:r w:rsidRPr="005E444D">
        <w:t>Proposed staffing change, for example the use of contract support in Nuclear Baseline roles previously held by licensee employee</w:t>
      </w:r>
      <w:r w:rsidR="00237683">
        <w:t>s.</w:t>
      </w:r>
    </w:p>
    <w:p w14:paraId="2A5499B7" w14:textId="7AF95134" w:rsidR="00D76467" w:rsidRDefault="00D76467" w:rsidP="00C26F95">
      <w:pPr>
        <w:pStyle w:val="Bulletlist1"/>
      </w:pPr>
      <w:r w:rsidRPr="005E444D">
        <w:t>Changes in the scope of work</w:t>
      </w:r>
      <w:r w:rsidR="00237683">
        <w:t>.</w:t>
      </w:r>
    </w:p>
    <w:p w14:paraId="0A99D76D" w14:textId="164D96E2" w:rsidR="00D76467" w:rsidRDefault="00D76467" w:rsidP="00C26F95">
      <w:pPr>
        <w:pStyle w:val="Bulletlist1"/>
      </w:pPr>
      <w:r w:rsidRPr="005E444D">
        <w:t>Changes in the competence of baseline post holders or training and competence needs of the role</w:t>
      </w:r>
      <w:r w:rsidR="00237683">
        <w:t>.</w:t>
      </w:r>
    </w:p>
    <w:p w14:paraId="4AEA312F" w14:textId="77777777" w:rsidR="00D76467" w:rsidRPr="005E444D" w:rsidRDefault="00D76467" w:rsidP="00C26F95">
      <w:pPr>
        <w:pStyle w:val="Bulletlist1"/>
      </w:pPr>
      <w:r w:rsidRPr="005E444D">
        <w:t>Cumulative effects of low category changes.</w:t>
      </w:r>
    </w:p>
    <w:p w14:paraId="156DC7F2" w14:textId="27DDAE14" w:rsidR="00D76467" w:rsidRPr="000C7D11" w:rsidRDefault="00D76467" w:rsidP="00EA104F">
      <w:pPr>
        <w:pStyle w:val="F9-Paragraph"/>
      </w:pPr>
      <w:r w:rsidRPr="000C7D11">
        <w:lastRenderedPageBreak/>
        <w:t>It should be noted that replacing one post holder with another post holder who meets the competence criteria need not constitute a trigger for the application of LC36 arrangements, and consequent NB review except in the case where the replacement is a contractor.</w:t>
      </w:r>
      <w:r w:rsidR="002A18AA">
        <w:t xml:space="preserve"> </w:t>
      </w:r>
    </w:p>
    <w:p w14:paraId="2F9C49A9" w14:textId="0E6A8013" w:rsidR="00D76467" w:rsidRPr="000C7D11" w:rsidRDefault="00D76467" w:rsidP="00EA104F">
      <w:pPr>
        <w:pStyle w:val="F9-Paragraph"/>
      </w:pPr>
      <w:r w:rsidRPr="000C7D11">
        <w:t>Direct like-for-like replacement should be addressed though the arrangements made under LC 12.</w:t>
      </w:r>
      <w:r w:rsidR="002A18AA">
        <w:t xml:space="preserve"> </w:t>
      </w:r>
      <w:r w:rsidRPr="000C7D11">
        <w:t>Licensees can use their LC 36 arrangements as a flexible risk assessment tool for major staffing changes such as change in Parent Body Organisation arising from a competition process.</w:t>
      </w:r>
    </w:p>
    <w:p w14:paraId="19C29B75" w14:textId="77777777" w:rsidR="00D76467" w:rsidRPr="000C7D11" w:rsidRDefault="00D76467" w:rsidP="00EA104F">
      <w:pPr>
        <w:pStyle w:val="F9-Paragraph"/>
      </w:pPr>
      <w:r w:rsidRPr="000C7D11">
        <w:t>Licensees should ensure that NB improvement actions are included in work plans to address gaps in capability and deliver the NB to meet future needs.</w:t>
      </w:r>
    </w:p>
    <w:p w14:paraId="59D2A0C8" w14:textId="49A1C2D5" w:rsidR="00D76467" w:rsidRPr="000C7D11" w:rsidRDefault="00D76467" w:rsidP="00EA104F">
      <w:pPr>
        <w:pStyle w:val="F9-Paragraph"/>
      </w:pPr>
      <w:r w:rsidRPr="000C7D11">
        <w:t xml:space="preserve">The Inspector should consider </w:t>
      </w:r>
      <w:r w:rsidR="0099340F" w:rsidRPr="000C7D11">
        <w:t>whether</w:t>
      </w:r>
      <w:r w:rsidRPr="000C7D11">
        <w:t>:</w:t>
      </w:r>
    </w:p>
    <w:p w14:paraId="006F0B3A" w14:textId="1BB1F61E" w:rsidR="00D76467" w:rsidRDefault="00D76467" w:rsidP="00C26F95">
      <w:pPr>
        <w:pStyle w:val="Bulletlist1"/>
      </w:pPr>
      <w:r>
        <w:t>T</w:t>
      </w:r>
      <w:r w:rsidRPr="005E444D">
        <w:t xml:space="preserve">he licensee have a process in place to assure the continued currency, and periodic </w:t>
      </w:r>
      <w:r>
        <w:t>review, of the NB</w:t>
      </w:r>
      <w:r w:rsidR="00237683">
        <w:t>.</w:t>
      </w:r>
    </w:p>
    <w:p w14:paraId="3F0E5922" w14:textId="55E84D88" w:rsidR="00D76467" w:rsidRDefault="00D76467" w:rsidP="00C26F95">
      <w:pPr>
        <w:pStyle w:val="Bulletlist1"/>
      </w:pPr>
      <w:r>
        <w:t>T</w:t>
      </w:r>
      <w:r w:rsidRPr="005E444D">
        <w:t xml:space="preserve">here </w:t>
      </w:r>
      <w:r>
        <w:t xml:space="preserve">is </w:t>
      </w:r>
      <w:r w:rsidRPr="005E444D">
        <w:t>ev</w:t>
      </w:r>
      <w:r>
        <w:t>idence that the NB</w:t>
      </w:r>
      <w:r w:rsidRPr="005E444D">
        <w:t xml:space="preserve"> is maintained and up to date refl</w:t>
      </w:r>
      <w:r>
        <w:t>ecting the current organisation</w:t>
      </w:r>
      <w:r w:rsidR="00237683">
        <w:t>.</w:t>
      </w:r>
    </w:p>
    <w:p w14:paraId="247E3583" w14:textId="4B730EB5" w:rsidR="00D76467" w:rsidRDefault="00D76467" w:rsidP="00C26F95">
      <w:pPr>
        <w:pStyle w:val="Bulletlist1"/>
      </w:pPr>
      <w:r>
        <w:t>T</w:t>
      </w:r>
      <w:r w:rsidRPr="005E444D">
        <w:t>he</w:t>
      </w:r>
      <w:r>
        <w:t>re are triggers for NB</w:t>
      </w:r>
      <w:r w:rsidRPr="005E444D">
        <w:t xml:space="preserve"> review part of the licensee’</w:t>
      </w:r>
      <w:r>
        <w:t>s management of change process</w:t>
      </w:r>
      <w:r w:rsidR="00237683">
        <w:t>.</w:t>
      </w:r>
    </w:p>
    <w:p w14:paraId="18D79E76" w14:textId="06E3BC0F" w:rsidR="00D76467" w:rsidRDefault="00D76467" w:rsidP="00C26F95">
      <w:pPr>
        <w:pStyle w:val="Bulletlist1"/>
      </w:pPr>
      <w:r>
        <w:t>The licensee has</w:t>
      </w:r>
      <w:r w:rsidRPr="005E444D">
        <w:t xml:space="preserve"> arrangements to confirm tha</w:t>
      </w:r>
      <w:r>
        <w:t>t the NB</w:t>
      </w:r>
      <w:r w:rsidRPr="005E444D">
        <w:t xml:space="preserve"> needs are met prior to starting a new phase with differing</w:t>
      </w:r>
      <w:r>
        <w:t xml:space="preserve"> NB requirements</w:t>
      </w:r>
      <w:r w:rsidR="00237683">
        <w:t>.</w:t>
      </w:r>
    </w:p>
    <w:p w14:paraId="22E6CD5D" w14:textId="77777777" w:rsidR="00D76467" w:rsidRPr="005E444D" w:rsidRDefault="00D76467" w:rsidP="00C26F95">
      <w:pPr>
        <w:pStyle w:val="Bulletlist1"/>
      </w:pPr>
      <w:r>
        <w:t>T</w:t>
      </w:r>
      <w:r w:rsidRPr="005E444D">
        <w:t>he NB provide</w:t>
      </w:r>
      <w:r>
        <w:t>s</w:t>
      </w:r>
      <w:r w:rsidRPr="005E444D">
        <w:t xml:space="preserve"> an appropriate reference point for the licensee’s management of change arrangements made under LC</w:t>
      </w:r>
      <w:r>
        <w:t xml:space="preserve"> </w:t>
      </w:r>
      <w:r w:rsidRPr="005E444D">
        <w:t>36</w:t>
      </w:r>
      <w:bookmarkStart w:id="16" w:name="_5__References"/>
      <w:bookmarkEnd w:id="16"/>
      <w:r>
        <w:t>.</w:t>
      </w:r>
    </w:p>
    <w:p w14:paraId="08F0172B" w14:textId="6464B56E" w:rsidR="00D76467" w:rsidRDefault="00D76467" w:rsidP="00EA104F">
      <w:pPr>
        <w:pStyle w:val="F9-Paragraph"/>
        <w:sectPr w:rsidR="00D76467" w:rsidSect="00EA104F">
          <w:pgSz w:w="11906" w:h="16838" w:code="9"/>
          <w:pgMar w:top="1440" w:right="1440" w:bottom="1440" w:left="1440" w:header="397" w:footer="397" w:gutter="0"/>
          <w:cols w:space="312"/>
          <w:docGrid w:linePitch="360"/>
        </w:sectPr>
      </w:pPr>
    </w:p>
    <w:bookmarkStart w:id="17" w:name="_Toc139873419" w:displacedByCustomXml="next"/>
    <w:sdt>
      <w:sdtPr>
        <w:rPr>
          <w:color w:val="auto"/>
          <w:sz w:val="24"/>
        </w:rPr>
        <w:id w:val="-284124854"/>
        <w:docPartObj>
          <w:docPartGallery w:val="Bibliographies"/>
          <w:docPartUnique/>
        </w:docPartObj>
      </w:sdtPr>
      <w:sdtEndPr/>
      <w:sdtContent>
        <w:p w14:paraId="04BBBDD0" w14:textId="55494929" w:rsidR="00F7687C" w:rsidRDefault="00F7687C" w:rsidP="00904152">
          <w:pPr>
            <w:pStyle w:val="Heading1"/>
            <w:numPr>
              <w:ilvl w:val="0"/>
              <w:numId w:val="0"/>
            </w:numPr>
          </w:pPr>
          <w:r>
            <w:t>References</w:t>
          </w:r>
          <w:bookmarkEnd w:id="17"/>
        </w:p>
        <w:sdt>
          <w:sdtPr>
            <w:id w:val="700524479"/>
            <w:bibliography/>
          </w:sdtPr>
          <w:sdtEndPr/>
          <w:sdtContent>
            <w:p w14:paraId="2DC8E124" w14:textId="77777777" w:rsidR="00FD7BB0" w:rsidRDefault="00D92074" w:rsidP="00EE35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FD7BB0" w14:paraId="51A747D8" w14:textId="77777777">
                <w:trPr>
                  <w:divId w:val="252125227"/>
                  <w:tblCellSpacing w:w="15" w:type="dxa"/>
                </w:trPr>
                <w:tc>
                  <w:tcPr>
                    <w:tcW w:w="50" w:type="pct"/>
                    <w:hideMark/>
                  </w:tcPr>
                  <w:p w14:paraId="178A1181" w14:textId="13BBFC40" w:rsidR="00FD7BB0" w:rsidRDefault="00FD7BB0">
                    <w:pPr>
                      <w:pStyle w:val="Bibliography"/>
                      <w:rPr>
                        <w:noProof/>
                        <w:szCs w:val="24"/>
                      </w:rPr>
                    </w:pPr>
                    <w:r>
                      <w:rPr>
                        <w:noProof/>
                      </w:rPr>
                      <w:t xml:space="preserve">[1] </w:t>
                    </w:r>
                  </w:p>
                </w:tc>
                <w:tc>
                  <w:tcPr>
                    <w:tcW w:w="0" w:type="auto"/>
                    <w:hideMark/>
                  </w:tcPr>
                  <w:p w14:paraId="26CE412E" w14:textId="77777777" w:rsidR="00FD7BB0" w:rsidRDefault="00FD7BB0">
                    <w:pPr>
                      <w:pStyle w:val="Bibliography"/>
                      <w:rPr>
                        <w:noProof/>
                      </w:rPr>
                    </w:pPr>
                    <w:r>
                      <w:rPr>
                        <w:noProof/>
                      </w:rPr>
                      <w:t>ONR, “Safety Assessment Principles (SAPs) for Nuclear Facilities - 2014 Edition (Revision 1),” 2020.</w:t>
                    </w:r>
                  </w:p>
                </w:tc>
              </w:tr>
              <w:tr w:rsidR="00FD7BB0" w14:paraId="5BC8C806" w14:textId="77777777">
                <w:trPr>
                  <w:divId w:val="252125227"/>
                  <w:tblCellSpacing w:w="15" w:type="dxa"/>
                </w:trPr>
                <w:tc>
                  <w:tcPr>
                    <w:tcW w:w="50" w:type="pct"/>
                    <w:hideMark/>
                  </w:tcPr>
                  <w:p w14:paraId="197C03E9" w14:textId="77777777" w:rsidR="00FD7BB0" w:rsidRDefault="00FD7BB0">
                    <w:pPr>
                      <w:pStyle w:val="Bibliography"/>
                      <w:rPr>
                        <w:noProof/>
                      </w:rPr>
                    </w:pPr>
                    <w:r>
                      <w:rPr>
                        <w:noProof/>
                      </w:rPr>
                      <w:t xml:space="preserve">[2] </w:t>
                    </w:r>
                  </w:p>
                </w:tc>
                <w:tc>
                  <w:tcPr>
                    <w:tcW w:w="0" w:type="auto"/>
                    <w:hideMark/>
                  </w:tcPr>
                  <w:p w14:paraId="45AEBE56" w14:textId="77777777" w:rsidR="00FD7BB0" w:rsidRDefault="00FD7BB0">
                    <w:pPr>
                      <w:pStyle w:val="Bibliography"/>
                      <w:rPr>
                        <w:noProof/>
                      </w:rPr>
                    </w:pPr>
                    <w:r>
                      <w:rPr>
                        <w:noProof/>
                      </w:rPr>
                      <w:t>ONR, “NS-INSP-GD-036 - LC36 - Organisational Capability”.</w:t>
                    </w:r>
                  </w:p>
                </w:tc>
              </w:tr>
              <w:tr w:rsidR="00FD7BB0" w14:paraId="197D2065" w14:textId="77777777">
                <w:trPr>
                  <w:divId w:val="252125227"/>
                  <w:tblCellSpacing w:w="15" w:type="dxa"/>
                </w:trPr>
                <w:tc>
                  <w:tcPr>
                    <w:tcW w:w="50" w:type="pct"/>
                    <w:hideMark/>
                  </w:tcPr>
                  <w:p w14:paraId="40AE85C4" w14:textId="77777777" w:rsidR="00FD7BB0" w:rsidRDefault="00FD7BB0">
                    <w:pPr>
                      <w:pStyle w:val="Bibliography"/>
                      <w:rPr>
                        <w:noProof/>
                      </w:rPr>
                    </w:pPr>
                    <w:r>
                      <w:rPr>
                        <w:noProof/>
                      </w:rPr>
                      <w:t xml:space="preserve">[3] </w:t>
                    </w:r>
                  </w:p>
                </w:tc>
                <w:tc>
                  <w:tcPr>
                    <w:tcW w:w="0" w:type="auto"/>
                    <w:hideMark/>
                  </w:tcPr>
                  <w:p w14:paraId="024E8626" w14:textId="77777777" w:rsidR="00FD7BB0" w:rsidRDefault="00FD7BB0">
                    <w:pPr>
                      <w:pStyle w:val="Bibliography"/>
                      <w:rPr>
                        <w:noProof/>
                      </w:rPr>
                    </w:pPr>
                    <w:r>
                      <w:rPr>
                        <w:noProof/>
                      </w:rPr>
                      <w:t xml:space="preserve">Safety Directors Forum, Nuclear Baseline and Management of Organisational Change - A Good Practice Guide, 2017. </w:t>
                    </w:r>
                  </w:p>
                </w:tc>
              </w:tr>
              <w:tr w:rsidR="00FD7BB0" w14:paraId="15A427DE" w14:textId="77777777">
                <w:trPr>
                  <w:divId w:val="252125227"/>
                  <w:tblCellSpacing w:w="15" w:type="dxa"/>
                </w:trPr>
                <w:tc>
                  <w:tcPr>
                    <w:tcW w:w="50" w:type="pct"/>
                    <w:hideMark/>
                  </w:tcPr>
                  <w:p w14:paraId="70508C32" w14:textId="77777777" w:rsidR="00FD7BB0" w:rsidRDefault="00FD7BB0">
                    <w:pPr>
                      <w:pStyle w:val="Bibliography"/>
                      <w:rPr>
                        <w:noProof/>
                      </w:rPr>
                    </w:pPr>
                    <w:r>
                      <w:rPr>
                        <w:noProof/>
                      </w:rPr>
                      <w:t xml:space="preserve">[4] </w:t>
                    </w:r>
                  </w:p>
                </w:tc>
                <w:tc>
                  <w:tcPr>
                    <w:tcW w:w="0" w:type="auto"/>
                    <w:hideMark/>
                  </w:tcPr>
                  <w:p w14:paraId="5D1F5246" w14:textId="77777777" w:rsidR="00FD7BB0" w:rsidRDefault="00FD7BB0">
                    <w:pPr>
                      <w:pStyle w:val="Bibliography"/>
                      <w:rPr>
                        <w:noProof/>
                      </w:rPr>
                    </w:pPr>
                    <w:r>
                      <w:rPr>
                        <w:noProof/>
                      </w:rPr>
                      <w:t>ONR, “NS-TAST-GD-027 - Training and Assuring Personnel Competence”.</w:t>
                    </w:r>
                  </w:p>
                </w:tc>
              </w:tr>
              <w:tr w:rsidR="00FD7BB0" w14:paraId="467A5BCB" w14:textId="77777777">
                <w:trPr>
                  <w:divId w:val="252125227"/>
                  <w:tblCellSpacing w:w="15" w:type="dxa"/>
                </w:trPr>
                <w:tc>
                  <w:tcPr>
                    <w:tcW w:w="50" w:type="pct"/>
                    <w:hideMark/>
                  </w:tcPr>
                  <w:p w14:paraId="559A1A5B" w14:textId="77777777" w:rsidR="00FD7BB0" w:rsidRDefault="00FD7BB0">
                    <w:pPr>
                      <w:pStyle w:val="Bibliography"/>
                      <w:rPr>
                        <w:noProof/>
                      </w:rPr>
                    </w:pPr>
                    <w:r>
                      <w:rPr>
                        <w:noProof/>
                      </w:rPr>
                      <w:t xml:space="preserve">[5] </w:t>
                    </w:r>
                  </w:p>
                </w:tc>
                <w:tc>
                  <w:tcPr>
                    <w:tcW w:w="0" w:type="auto"/>
                    <w:hideMark/>
                  </w:tcPr>
                  <w:p w14:paraId="13F2036E" w14:textId="77777777" w:rsidR="00FD7BB0" w:rsidRDefault="00FD7BB0">
                    <w:pPr>
                      <w:pStyle w:val="Bibliography"/>
                      <w:rPr>
                        <w:noProof/>
                      </w:rPr>
                    </w:pPr>
                    <w:r>
                      <w:rPr>
                        <w:noProof/>
                      </w:rPr>
                      <w:t xml:space="preserve">ONR, NS-TAST-GD-048 – Organisational Capability. </w:t>
                    </w:r>
                  </w:p>
                </w:tc>
              </w:tr>
              <w:tr w:rsidR="00FD7BB0" w14:paraId="37DD6594" w14:textId="77777777">
                <w:trPr>
                  <w:divId w:val="252125227"/>
                  <w:tblCellSpacing w:w="15" w:type="dxa"/>
                </w:trPr>
                <w:tc>
                  <w:tcPr>
                    <w:tcW w:w="50" w:type="pct"/>
                    <w:hideMark/>
                  </w:tcPr>
                  <w:p w14:paraId="5F204380" w14:textId="77777777" w:rsidR="00FD7BB0" w:rsidRDefault="00FD7BB0">
                    <w:pPr>
                      <w:pStyle w:val="Bibliography"/>
                      <w:rPr>
                        <w:noProof/>
                      </w:rPr>
                    </w:pPr>
                    <w:r>
                      <w:rPr>
                        <w:noProof/>
                      </w:rPr>
                      <w:t xml:space="preserve">[6] </w:t>
                    </w:r>
                  </w:p>
                </w:tc>
                <w:tc>
                  <w:tcPr>
                    <w:tcW w:w="0" w:type="auto"/>
                    <w:hideMark/>
                  </w:tcPr>
                  <w:p w14:paraId="73CA6DA6" w14:textId="77777777" w:rsidR="00FD7BB0" w:rsidRDefault="00FD7BB0">
                    <w:pPr>
                      <w:pStyle w:val="Bibliography"/>
                      <w:rPr>
                        <w:noProof/>
                      </w:rPr>
                    </w:pPr>
                    <w:r>
                      <w:rPr>
                        <w:noProof/>
                      </w:rPr>
                      <w:t>ONR, “NS-TAST-GD-049 - Licensee Use of Contractors and Intelligent Customer Capability”.</w:t>
                    </w:r>
                  </w:p>
                </w:tc>
              </w:tr>
              <w:tr w:rsidR="00FD7BB0" w14:paraId="338F3F18" w14:textId="77777777">
                <w:trPr>
                  <w:divId w:val="252125227"/>
                  <w:tblCellSpacing w:w="15" w:type="dxa"/>
                </w:trPr>
                <w:tc>
                  <w:tcPr>
                    <w:tcW w:w="50" w:type="pct"/>
                    <w:hideMark/>
                  </w:tcPr>
                  <w:p w14:paraId="438EA460" w14:textId="77777777" w:rsidR="00FD7BB0" w:rsidRDefault="00FD7BB0">
                    <w:pPr>
                      <w:pStyle w:val="Bibliography"/>
                      <w:rPr>
                        <w:noProof/>
                      </w:rPr>
                    </w:pPr>
                    <w:r>
                      <w:rPr>
                        <w:noProof/>
                      </w:rPr>
                      <w:t xml:space="preserve">[7] </w:t>
                    </w:r>
                  </w:p>
                </w:tc>
                <w:tc>
                  <w:tcPr>
                    <w:tcW w:w="0" w:type="auto"/>
                    <w:hideMark/>
                  </w:tcPr>
                  <w:p w14:paraId="5244C6E6" w14:textId="77777777" w:rsidR="00FD7BB0" w:rsidRDefault="00FD7BB0">
                    <w:pPr>
                      <w:pStyle w:val="Bibliography"/>
                      <w:rPr>
                        <w:noProof/>
                      </w:rPr>
                    </w:pPr>
                    <w:r>
                      <w:rPr>
                        <w:noProof/>
                      </w:rPr>
                      <w:t xml:space="preserve">ONR, NS-TAST-GD-061 - Staffing Levels and Task Organisation. </w:t>
                    </w:r>
                  </w:p>
                </w:tc>
              </w:tr>
              <w:tr w:rsidR="00FD7BB0" w14:paraId="308E1FC3" w14:textId="77777777">
                <w:trPr>
                  <w:divId w:val="252125227"/>
                  <w:tblCellSpacing w:w="15" w:type="dxa"/>
                </w:trPr>
                <w:tc>
                  <w:tcPr>
                    <w:tcW w:w="50" w:type="pct"/>
                    <w:hideMark/>
                  </w:tcPr>
                  <w:p w14:paraId="197457E2" w14:textId="77777777" w:rsidR="00FD7BB0" w:rsidRDefault="00FD7BB0">
                    <w:pPr>
                      <w:pStyle w:val="Bibliography"/>
                      <w:rPr>
                        <w:noProof/>
                      </w:rPr>
                    </w:pPr>
                    <w:r>
                      <w:rPr>
                        <w:noProof/>
                      </w:rPr>
                      <w:t xml:space="preserve">[8] </w:t>
                    </w:r>
                  </w:p>
                </w:tc>
                <w:tc>
                  <w:tcPr>
                    <w:tcW w:w="0" w:type="auto"/>
                    <w:hideMark/>
                  </w:tcPr>
                  <w:p w14:paraId="1F5C3C9D" w14:textId="77777777" w:rsidR="00FD7BB0" w:rsidRDefault="00FD7BB0">
                    <w:pPr>
                      <w:pStyle w:val="Bibliography"/>
                      <w:rPr>
                        <w:noProof/>
                      </w:rPr>
                    </w:pPr>
                    <w:r>
                      <w:rPr>
                        <w:noProof/>
                      </w:rPr>
                      <w:t>ONR, “NS-TAST-GD-072 – Function and Content of a Safety Management Prospectus”.</w:t>
                    </w:r>
                  </w:p>
                </w:tc>
              </w:tr>
              <w:tr w:rsidR="00FD7BB0" w14:paraId="1778487E" w14:textId="77777777">
                <w:trPr>
                  <w:divId w:val="252125227"/>
                  <w:tblCellSpacing w:w="15" w:type="dxa"/>
                </w:trPr>
                <w:tc>
                  <w:tcPr>
                    <w:tcW w:w="50" w:type="pct"/>
                    <w:hideMark/>
                  </w:tcPr>
                  <w:p w14:paraId="576555AE" w14:textId="77777777" w:rsidR="00FD7BB0" w:rsidRDefault="00FD7BB0">
                    <w:pPr>
                      <w:pStyle w:val="Bibliography"/>
                      <w:rPr>
                        <w:noProof/>
                      </w:rPr>
                    </w:pPr>
                    <w:r>
                      <w:rPr>
                        <w:noProof/>
                      </w:rPr>
                      <w:t xml:space="preserve">[9] </w:t>
                    </w:r>
                  </w:p>
                </w:tc>
                <w:tc>
                  <w:tcPr>
                    <w:tcW w:w="0" w:type="auto"/>
                    <w:hideMark/>
                  </w:tcPr>
                  <w:p w14:paraId="6594C5E1" w14:textId="77777777" w:rsidR="00FD7BB0" w:rsidRDefault="00FD7BB0">
                    <w:pPr>
                      <w:pStyle w:val="Bibliography"/>
                      <w:rPr>
                        <w:noProof/>
                      </w:rPr>
                    </w:pPr>
                    <w:r>
                      <w:rPr>
                        <w:noProof/>
                      </w:rPr>
                      <w:t xml:space="preserve">ONR, NS-TAST-GD-077 – Supply Chain Management Arrangements for the Procurement of Nulcear Safety Related Items or Services. </w:t>
                    </w:r>
                  </w:p>
                </w:tc>
              </w:tr>
              <w:tr w:rsidR="00FD7BB0" w14:paraId="1B5C0F2B" w14:textId="77777777">
                <w:trPr>
                  <w:divId w:val="252125227"/>
                  <w:tblCellSpacing w:w="15" w:type="dxa"/>
                </w:trPr>
                <w:tc>
                  <w:tcPr>
                    <w:tcW w:w="50" w:type="pct"/>
                    <w:hideMark/>
                  </w:tcPr>
                  <w:p w14:paraId="7C81D7FF" w14:textId="77777777" w:rsidR="00FD7BB0" w:rsidRDefault="00FD7BB0">
                    <w:pPr>
                      <w:pStyle w:val="Bibliography"/>
                      <w:rPr>
                        <w:noProof/>
                      </w:rPr>
                    </w:pPr>
                    <w:r>
                      <w:rPr>
                        <w:noProof/>
                      </w:rPr>
                      <w:t xml:space="preserve">[10] </w:t>
                    </w:r>
                  </w:p>
                </w:tc>
                <w:tc>
                  <w:tcPr>
                    <w:tcW w:w="0" w:type="auto"/>
                    <w:hideMark/>
                  </w:tcPr>
                  <w:p w14:paraId="1C4843C1" w14:textId="77777777" w:rsidR="00FD7BB0" w:rsidRDefault="00FD7BB0">
                    <w:pPr>
                      <w:pStyle w:val="Bibliography"/>
                      <w:rPr>
                        <w:noProof/>
                      </w:rPr>
                    </w:pPr>
                    <w:r>
                      <w:rPr>
                        <w:noProof/>
                      </w:rPr>
                      <w:t>ONR, “NS-TAST-GD-079 - Licensee Design Authority Capability”.</w:t>
                    </w:r>
                  </w:p>
                </w:tc>
              </w:tr>
              <w:tr w:rsidR="00FD7BB0" w14:paraId="43DAC70F" w14:textId="77777777">
                <w:trPr>
                  <w:divId w:val="252125227"/>
                  <w:tblCellSpacing w:w="15" w:type="dxa"/>
                </w:trPr>
                <w:tc>
                  <w:tcPr>
                    <w:tcW w:w="50" w:type="pct"/>
                    <w:hideMark/>
                  </w:tcPr>
                  <w:p w14:paraId="35BEA61C" w14:textId="77777777" w:rsidR="00FD7BB0" w:rsidRDefault="00FD7BB0">
                    <w:pPr>
                      <w:pStyle w:val="Bibliography"/>
                      <w:rPr>
                        <w:noProof/>
                      </w:rPr>
                    </w:pPr>
                    <w:r>
                      <w:rPr>
                        <w:noProof/>
                      </w:rPr>
                      <w:t xml:space="preserve">[11] </w:t>
                    </w:r>
                  </w:p>
                </w:tc>
                <w:tc>
                  <w:tcPr>
                    <w:tcW w:w="0" w:type="auto"/>
                    <w:hideMark/>
                  </w:tcPr>
                  <w:p w14:paraId="6DF75091" w14:textId="77777777" w:rsidR="00FD7BB0" w:rsidRDefault="00FD7BB0">
                    <w:pPr>
                      <w:pStyle w:val="Bibliography"/>
                      <w:rPr>
                        <w:noProof/>
                      </w:rPr>
                    </w:pPr>
                    <w:r>
                      <w:rPr>
                        <w:noProof/>
                      </w:rPr>
                      <w:t xml:space="preserve">ONR, NS-TAST-GD-080 – Nuclear Safety Advice and Independent Challenge. </w:t>
                    </w:r>
                  </w:p>
                </w:tc>
              </w:tr>
              <w:tr w:rsidR="00FD7BB0" w14:paraId="3331FFA8" w14:textId="77777777">
                <w:trPr>
                  <w:divId w:val="252125227"/>
                  <w:tblCellSpacing w:w="15" w:type="dxa"/>
                </w:trPr>
                <w:tc>
                  <w:tcPr>
                    <w:tcW w:w="50" w:type="pct"/>
                    <w:hideMark/>
                  </w:tcPr>
                  <w:p w14:paraId="3B135202" w14:textId="77777777" w:rsidR="00FD7BB0" w:rsidRDefault="00FD7BB0">
                    <w:pPr>
                      <w:pStyle w:val="Bibliography"/>
                      <w:rPr>
                        <w:noProof/>
                      </w:rPr>
                    </w:pPr>
                    <w:r>
                      <w:rPr>
                        <w:noProof/>
                      </w:rPr>
                      <w:t xml:space="preserve">[12] </w:t>
                    </w:r>
                  </w:p>
                </w:tc>
                <w:tc>
                  <w:tcPr>
                    <w:tcW w:w="0" w:type="auto"/>
                    <w:hideMark/>
                  </w:tcPr>
                  <w:p w14:paraId="6F3DDC1C" w14:textId="77777777" w:rsidR="00FD7BB0" w:rsidRDefault="00FD7BB0">
                    <w:pPr>
                      <w:pStyle w:val="Bibliography"/>
                      <w:rPr>
                        <w:noProof/>
                      </w:rPr>
                    </w:pPr>
                    <w:r>
                      <w:rPr>
                        <w:noProof/>
                      </w:rPr>
                      <w:t>ONR, “Licensing Nuclear Installations”.</w:t>
                    </w:r>
                  </w:p>
                </w:tc>
              </w:tr>
              <w:tr w:rsidR="00FD7BB0" w14:paraId="2D10CA3C" w14:textId="77777777">
                <w:trPr>
                  <w:divId w:val="252125227"/>
                  <w:tblCellSpacing w:w="15" w:type="dxa"/>
                </w:trPr>
                <w:tc>
                  <w:tcPr>
                    <w:tcW w:w="50" w:type="pct"/>
                    <w:hideMark/>
                  </w:tcPr>
                  <w:p w14:paraId="20298FA6" w14:textId="77777777" w:rsidR="00FD7BB0" w:rsidRDefault="00FD7BB0">
                    <w:pPr>
                      <w:pStyle w:val="Bibliography"/>
                      <w:rPr>
                        <w:noProof/>
                      </w:rPr>
                    </w:pPr>
                    <w:r>
                      <w:rPr>
                        <w:noProof/>
                      </w:rPr>
                      <w:t xml:space="preserve">[13] </w:t>
                    </w:r>
                  </w:p>
                </w:tc>
                <w:tc>
                  <w:tcPr>
                    <w:tcW w:w="0" w:type="auto"/>
                    <w:hideMark/>
                  </w:tcPr>
                  <w:p w14:paraId="75788EF2" w14:textId="77777777" w:rsidR="00FD7BB0" w:rsidRDefault="00FD7BB0">
                    <w:pPr>
                      <w:pStyle w:val="Bibliography"/>
                      <w:rPr>
                        <w:noProof/>
                      </w:rPr>
                    </w:pPr>
                    <w:r>
                      <w:rPr>
                        <w:noProof/>
                      </w:rPr>
                      <w:t>WENRA, “WENRA Safety Reference Levels for Existing Reactors,” 2020.</w:t>
                    </w:r>
                  </w:p>
                </w:tc>
              </w:tr>
              <w:tr w:rsidR="00FD7BB0" w14:paraId="43B6ED3D" w14:textId="77777777">
                <w:trPr>
                  <w:divId w:val="252125227"/>
                  <w:tblCellSpacing w:w="15" w:type="dxa"/>
                </w:trPr>
                <w:tc>
                  <w:tcPr>
                    <w:tcW w:w="50" w:type="pct"/>
                    <w:hideMark/>
                  </w:tcPr>
                  <w:p w14:paraId="782B1E0F" w14:textId="77777777" w:rsidR="00FD7BB0" w:rsidRDefault="00FD7BB0">
                    <w:pPr>
                      <w:pStyle w:val="Bibliography"/>
                      <w:rPr>
                        <w:noProof/>
                      </w:rPr>
                    </w:pPr>
                    <w:r>
                      <w:rPr>
                        <w:noProof/>
                      </w:rPr>
                      <w:t xml:space="preserve">[14] </w:t>
                    </w:r>
                  </w:p>
                </w:tc>
                <w:tc>
                  <w:tcPr>
                    <w:tcW w:w="0" w:type="auto"/>
                    <w:hideMark/>
                  </w:tcPr>
                  <w:p w14:paraId="292D237B" w14:textId="77777777" w:rsidR="00FD7BB0" w:rsidRDefault="00FD7BB0">
                    <w:pPr>
                      <w:pStyle w:val="Bibliography"/>
                      <w:rPr>
                        <w:noProof/>
                      </w:rPr>
                    </w:pPr>
                    <w:r>
                      <w:rPr>
                        <w:noProof/>
                      </w:rPr>
                      <w:t>IAEA, “IAEA Safety Standards Series No. NS-G-2.4 - The Operating Organization for Nuclear Power Plants”.</w:t>
                    </w:r>
                  </w:p>
                </w:tc>
              </w:tr>
              <w:tr w:rsidR="00FD7BB0" w14:paraId="5F1677BE" w14:textId="77777777">
                <w:trPr>
                  <w:divId w:val="252125227"/>
                  <w:tblCellSpacing w:w="15" w:type="dxa"/>
                </w:trPr>
                <w:tc>
                  <w:tcPr>
                    <w:tcW w:w="50" w:type="pct"/>
                    <w:hideMark/>
                  </w:tcPr>
                  <w:p w14:paraId="5BB828E8" w14:textId="77777777" w:rsidR="00FD7BB0" w:rsidRDefault="00FD7BB0">
                    <w:pPr>
                      <w:pStyle w:val="Bibliography"/>
                      <w:rPr>
                        <w:noProof/>
                      </w:rPr>
                    </w:pPr>
                    <w:r>
                      <w:rPr>
                        <w:noProof/>
                      </w:rPr>
                      <w:t xml:space="preserve">[15] </w:t>
                    </w:r>
                  </w:p>
                </w:tc>
                <w:tc>
                  <w:tcPr>
                    <w:tcW w:w="0" w:type="auto"/>
                    <w:hideMark/>
                  </w:tcPr>
                  <w:p w14:paraId="43062DC3" w14:textId="77777777" w:rsidR="00FD7BB0" w:rsidRDefault="00FD7BB0">
                    <w:pPr>
                      <w:pStyle w:val="Bibliography"/>
                      <w:rPr>
                        <w:noProof/>
                      </w:rPr>
                    </w:pPr>
                    <w:r>
                      <w:rPr>
                        <w:noProof/>
                      </w:rPr>
                      <w:t xml:space="preserve">IAEA, Specific Safety Guide SSG-72 – The Operating Organisation for Nuclear Power Plants. </w:t>
                    </w:r>
                  </w:p>
                </w:tc>
              </w:tr>
              <w:tr w:rsidR="00FD7BB0" w14:paraId="3125B6CC" w14:textId="77777777">
                <w:trPr>
                  <w:divId w:val="252125227"/>
                  <w:tblCellSpacing w:w="15" w:type="dxa"/>
                </w:trPr>
                <w:tc>
                  <w:tcPr>
                    <w:tcW w:w="50" w:type="pct"/>
                    <w:hideMark/>
                  </w:tcPr>
                  <w:p w14:paraId="7BFC8F0F" w14:textId="77777777" w:rsidR="00FD7BB0" w:rsidRDefault="00FD7BB0">
                    <w:pPr>
                      <w:pStyle w:val="Bibliography"/>
                      <w:rPr>
                        <w:noProof/>
                      </w:rPr>
                    </w:pPr>
                    <w:r>
                      <w:rPr>
                        <w:noProof/>
                      </w:rPr>
                      <w:t xml:space="preserve">[16] </w:t>
                    </w:r>
                  </w:p>
                </w:tc>
                <w:tc>
                  <w:tcPr>
                    <w:tcW w:w="0" w:type="auto"/>
                    <w:hideMark/>
                  </w:tcPr>
                  <w:p w14:paraId="230926E4" w14:textId="77777777" w:rsidR="00FD7BB0" w:rsidRDefault="00FD7BB0">
                    <w:pPr>
                      <w:pStyle w:val="Bibliography"/>
                      <w:rPr>
                        <w:noProof/>
                      </w:rPr>
                    </w:pPr>
                    <w:r>
                      <w:rPr>
                        <w:noProof/>
                      </w:rPr>
                      <w:t xml:space="preserve">IAEA, Specific Safety Requirements SSR-2/2 – Safety of Nuclear Power Plants: Commissioning and Operation. </w:t>
                    </w:r>
                  </w:p>
                </w:tc>
              </w:tr>
              <w:tr w:rsidR="00FD7BB0" w14:paraId="348C6583" w14:textId="77777777">
                <w:trPr>
                  <w:divId w:val="252125227"/>
                  <w:tblCellSpacing w:w="15" w:type="dxa"/>
                </w:trPr>
                <w:tc>
                  <w:tcPr>
                    <w:tcW w:w="50" w:type="pct"/>
                    <w:hideMark/>
                  </w:tcPr>
                  <w:p w14:paraId="0EE26BE8" w14:textId="77777777" w:rsidR="00FD7BB0" w:rsidRDefault="00FD7BB0">
                    <w:pPr>
                      <w:pStyle w:val="Bibliography"/>
                      <w:rPr>
                        <w:noProof/>
                      </w:rPr>
                    </w:pPr>
                    <w:r>
                      <w:rPr>
                        <w:noProof/>
                      </w:rPr>
                      <w:lastRenderedPageBreak/>
                      <w:t xml:space="preserve">[17] </w:t>
                    </w:r>
                  </w:p>
                </w:tc>
                <w:tc>
                  <w:tcPr>
                    <w:tcW w:w="0" w:type="auto"/>
                    <w:hideMark/>
                  </w:tcPr>
                  <w:p w14:paraId="1F5254D0" w14:textId="77777777" w:rsidR="00FD7BB0" w:rsidRDefault="00FD7BB0">
                    <w:pPr>
                      <w:pStyle w:val="Bibliography"/>
                      <w:rPr>
                        <w:noProof/>
                      </w:rPr>
                    </w:pPr>
                    <w:r>
                      <w:rPr>
                        <w:noProof/>
                      </w:rPr>
                      <w:t>IAEA, “GSR Part 2 - Leadership and Management for Safety,” International Atomic Energy Agency (IAEA), Vienna, 2016.</w:t>
                    </w:r>
                  </w:p>
                </w:tc>
              </w:tr>
              <w:tr w:rsidR="00FD7BB0" w14:paraId="105F517D" w14:textId="77777777">
                <w:trPr>
                  <w:divId w:val="252125227"/>
                  <w:tblCellSpacing w:w="15" w:type="dxa"/>
                </w:trPr>
                <w:tc>
                  <w:tcPr>
                    <w:tcW w:w="50" w:type="pct"/>
                    <w:hideMark/>
                  </w:tcPr>
                  <w:p w14:paraId="091F240A" w14:textId="77777777" w:rsidR="00FD7BB0" w:rsidRDefault="00FD7BB0">
                    <w:pPr>
                      <w:pStyle w:val="Bibliography"/>
                      <w:rPr>
                        <w:noProof/>
                      </w:rPr>
                    </w:pPr>
                    <w:r>
                      <w:rPr>
                        <w:noProof/>
                      </w:rPr>
                      <w:t xml:space="preserve">[18] </w:t>
                    </w:r>
                  </w:p>
                </w:tc>
                <w:tc>
                  <w:tcPr>
                    <w:tcW w:w="0" w:type="auto"/>
                    <w:hideMark/>
                  </w:tcPr>
                  <w:p w14:paraId="0AB6581F" w14:textId="77777777" w:rsidR="00FD7BB0" w:rsidRDefault="00FD7BB0">
                    <w:pPr>
                      <w:pStyle w:val="Bibliography"/>
                      <w:rPr>
                        <w:noProof/>
                      </w:rPr>
                    </w:pPr>
                    <w:r>
                      <w:rPr>
                        <w:noProof/>
                      </w:rPr>
                      <w:t>IAEA, “IAEA Safety Standards Series No. GS-G-3.1 - Application of the Management System for Facilities and Activities,” 2006.</w:t>
                    </w:r>
                  </w:p>
                </w:tc>
              </w:tr>
              <w:tr w:rsidR="00FD7BB0" w14:paraId="27DF9952" w14:textId="77777777">
                <w:trPr>
                  <w:divId w:val="252125227"/>
                  <w:tblCellSpacing w:w="15" w:type="dxa"/>
                </w:trPr>
                <w:tc>
                  <w:tcPr>
                    <w:tcW w:w="50" w:type="pct"/>
                    <w:hideMark/>
                  </w:tcPr>
                  <w:p w14:paraId="33C5F30A" w14:textId="77777777" w:rsidR="00FD7BB0" w:rsidRDefault="00FD7BB0">
                    <w:pPr>
                      <w:pStyle w:val="Bibliography"/>
                      <w:rPr>
                        <w:noProof/>
                      </w:rPr>
                    </w:pPr>
                    <w:r>
                      <w:rPr>
                        <w:noProof/>
                      </w:rPr>
                      <w:t xml:space="preserve">[19] </w:t>
                    </w:r>
                  </w:p>
                </w:tc>
                <w:tc>
                  <w:tcPr>
                    <w:tcW w:w="0" w:type="auto"/>
                    <w:hideMark/>
                  </w:tcPr>
                  <w:p w14:paraId="4C099D2D" w14:textId="77777777" w:rsidR="00FD7BB0" w:rsidRDefault="00FD7BB0">
                    <w:pPr>
                      <w:pStyle w:val="Bibliography"/>
                      <w:rPr>
                        <w:noProof/>
                      </w:rPr>
                    </w:pPr>
                    <w:r>
                      <w:rPr>
                        <w:noProof/>
                      </w:rPr>
                      <w:t>IAEA, “IAEA Safety Standards Series No. GS-G-3.5 - The Management System for Nuclear Installations,” 2009.</w:t>
                    </w:r>
                  </w:p>
                </w:tc>
              </w:tr>
            </w:tbl>
            <w:p w14:paraId="4809ADB0" w14:textId="77777777" w:rsidR="00FD7BB0" w:rsidRDefault="00FD7BB0">
              <w:pPr>
                <w:divId w:val="252125227"/>
                <w:rPr>
                  <w:rFonts w:eastAsia="Times New Roman"/>
                  <w:noProof/>
                </w:rPr>
              </w:pPr>
            </w:p>
            <w:p w14:paraId="316D8711" w14:textId="5DBC40CA" w:rsidR="00F7687C" w:rsidRDefault="00D92074" w:rsidP="00D92074">
              <w:r>
                <w:fldChar w:fldCharType="end"/>
              </w:r>
            </w:p>
          </w:sdtContent>
        </w:sdt>
      </w:sdtContent>
    </w:sdt>
    <w:p w14:paraId="4323F5E0" w14:textId="5E23822E" w:rsidR="00F7687C" w:rsidRPr="003B4701" w:rsidRDefault="00F7687C" w:rsidP="00904152">
      <w:pPr>
        <w:pStyle w:val="Heading1"/>
        <w:numPr>
          <w:ilvl w:val="0"/>
          <w:numId w:val="0"/>
        </w:numPr>
        <w:ind w:left="851" w:hanging="851"/>
      </w:pPr>
      <w:bookmarkStart w:id="18" w:name="_Toc89268373"/>
      <w:bookmarkStart w:id="19" w:name="_Toc139873420"/>
      <w:r w:rsidRPr="003B4701">
        <w:t>Glossary and Abbreviations</w:t>
      </w:r>
      <w:bookmarkEnd w:id="18"/>
      <w:bookmarkEnd w:id="19"/>
    </w:p>
    <w:p w14:paraId="510CFF5E" w14:textId="77777777" w:rsidR="002E5C25" w:rsidRPr="0003328B" w:rsidRDefault="002E5C25" w:rsidP="002E5C25">
      <w:pPr>
        <w:tabs>
          <w:tab w:val="left" w:pos="1440"/>
        </w:tabs>
        <w:spacing w:line="240" w:lineRule="auto"/>
        <w:contextualSpacing/>
      </w:pPr>
      <w:r w:rsidRPr="0003328B">
        <w:t>IAEA</w:t>
      </w:r>
      <w:r w:rsidRPr="0003328B">
        <w:tab/>
        <w:t>International Atomic Energy Agency</w:t>
      </w:r>
    </w:p>
    <w:p w14:paraId="48293147" w14:textId="27748647" w:rsidR="00EF2E5C" w:rsidRDefault="00EF2E5C" w:rsidP="00F7687C">
      <w:pPr>
        <w:tabs>
          <w:tab w:val="left" w:pos="1440"/>
        </w:tabs>
        <w:spacing w:line="240" w:lineRule="auto"/>
        <w:contextualSpacing/>
      </w:pPr>
      <w:r>
        <w:t>IC</w:t>
      </w:r>
      <w:r>
        <w:tab/>
        <w:t>Intelligent Customer</w:t>
      </w:r>
    </w:p>
    <w:p w14:paraId="37B282FE" w14:textId="55BD750E" w:rsidR="00164B32" w:rsidRDefault="00164B32" w:rsidP="00164B32">
      <w:pPr>
        <w:tabs>
          <w:tab w:val="left" w:pos="1440"/>
        </w:tabs>
        <w:spacing w:line="240" w:lineRule="auto"/>
        <w:contextualSpacing/>
      </w:pPr>
      <w:r>
        <w:t>NB</w:t>
      </w:r>
      <w:r>
        <w:tab/>
        <w:t>Nuclear Baseline</w:t>
      </w:r>
    </w:p>
    <w:p w14:paraId="3BF59356" w14:textId="77777777" w:rsidR="00164B32" w:rsidRPr="0003328B" w:rsidRDefault="00164B32" w:rsidP="00164B32">
      <w:pPr>
        <w:tabs>
          <w:tab w:val="left" w:pos="1440"/>
        </w:tabs>
        <w:spacing w:line="240" w:lineRule="auto"/>
        <w:contextualSpacing/>
      </w:pPr>
      <w:r w:rsidRPr="0003328B">
        <w:t>SAP</w:t>
      </w:r>
      <w:r w:rsidRPr="0003328B">
        <w:tab/>
        <w:t xml:space="preserve">Safety Assessment Principle(s) </w:t>
      </w:r>
    </w:p>
    <w:p w14:paraId="3C50166E" w14:textId="53A3E6E1" w:rsidR="00EF2E5C" w:rsidRDefault="00EF2E5C" w:rsidP="00F7687C">
      <w:pPr>
        <w:tabs>
          <w:tab w:val="left" w:pos="1440"/>
        </w:tabs>
        <w:spacing w:line="240" w:lineRule="auto"/>
        <w:contextualSpacing/>
      </w:pPr>
      <w:r>
        <w:t>SMP</w:t>
      </w:r>
      <w:r>
        <w:tab/>
        <w:t xml:space="preserve">Safety Management </w:t>
      </w:r>
      <w:r w:rsidR="00F44465">
        <w:t>Prospectus</w:t>
      </w:r>
    </w:p>
    <w:p w14:paraId="73C2D6E2" w14:textId="77777777" w:rsidR="00F7687C" w:rsidRPr="0003328B" w:rsidRDefault="00F7687C" w:rsidP="00F7687C">
      <w:pPr>
        <w:tabs>
          <w:tab w:val="left" w:pos="1440"/>
        </w:tabs>
        <w:spacing w:line="240" w:lineRule="auto"/>
        <w:contextualSpacing/>
      </w:pPr>
      <w:r w:rsidRPr="0003328B">
        <w:t>TAG</w:t>
      </w:r>
      <w:r w:rsidRPr="0003328B">
        <w:tab/>
        <w:t>Technical Assessment Guide(s)</w:t>
      </w:r>
    </w:p>
    <w:p w14:paraId="14BAA3E0" w14:textId="26866E5D" w:rsidR="00F7687C" w:rsidRDefault="00F7687C" w:rsidP="00F7687C">
      <w:pPr>
        <w:tabs>
          <w:tab w:val="left" w:pos="1440"/>
        </w:tabs>
        <w:spacing w:line="240" w:lineRule="auto"/>
        <w:contextualSpacing/>
      </w:pPr>
      <w:r w:rsidRPr="0003328B">
        <w:t>WENRA</w:t>
      </w:r>
      <w:r w:rsidRPr="0003328B">
        <w:tab/>
        <w:t>Western European Nuclear Regulators’ Association</w:t>
      </w:r>
    </w:p>
    <w:sectPr w:rsidR="00F7687C" w:rsidSect="00EA104F">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34772" w14:textId="77777777" w:rsidR="008E643D" w:rsidRDefault="008E643D" w:rsidP="007D199A">
      <w:pPr>
        <w:spacing w:after="0"/>
      </w:pPr>
      <w:r>
        <w:separator/>
      </w:r>
    </w:p>
    <w:p w14:paraId="75889CE1" w14:textId="77777777" w:rsidR="008E643D" w:rsidRDefault="008E643D"/>
    <w:p w14:paraId="14F753FC" w14:textId="77777777" w:rsidR="008E643D" w:rsidRDefault="008E643D"/>
  </w:endnote>
  <w:endnote w:type="continuationSeparator" w:id="0">
    <w:p w14:paraId="76199720" w14:textId="77777777" w:rsidR="008E643D" w:rsidRDefault="008E643D" w:rsidP="007D199A">
      <w:pPr>
        <w:spacing w:after="0"/>
      </w:pPr>
      <w:r>
        <w:continuationSeparator/>
      </w:r>
    </w:p>
    <w:p w14:paraId="4EC7900C" w14:textId="77777777" w:rsidR="008E643D" w:rsidRDefault="008E643D"/>
    <w:p w14:paraId="58EE0C14" w14:textId="77777777" w:rsidR="008E643D" w:rsidRDefault="008E64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CBB26" w14:textId="77777777" w:rsidR="00EA104F" w:rsidRDefault="00EA10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A9414C5"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4D82" w14:textId="77777777" w:rsidR="00EA104F" w:rsidRDefault="00EA104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72F77D68" w:rsidR="00CE6198" w:rsidRPr="00EA104F" w:rsidRDefault="00EA104F" w:rsidP="00EA104F">
    <w:pPr>
      <w:pStyle w:val="Footer"/>
      <w:rPr>
        <w:rStyle w:val="PageNumber"/>
        <w:color w:val="22413A"/>
        <w:sz w:val="24"/>
      </w:rPr>
    </w:pPr>
    <w:r w:rsidRPr="00EA104F">
      <w:rPr>
        <w:rStyle w:val="PageNumber"/>
        <w:color w:val="22413A"/>
        <w:sz w:val="24"/>
      </w:rPr>
      <w:t xml:space="preserve">Page | </w:t>
    </w:r>
    <w:r w:rsidRPr="00EA104F">
      <w:rPr>
        <w:rStyle w:val="PageNumber"/>
        <w:color w:val="22413A"/>
        <w:sz w:val="24"/>
      </w:rPr>
      <w:fldChar w:fldCharType="begin"/>
    </w:r>
    <w:r w:rsidRPr="00EA104F">
      <w:rPr>
        <w:rStyle w:val="PageNumber"/>
        <w:color w:val="22413A"/>
        <w:sz w:val="24"/>
      </w:rPr>
      <w:instrText xml:space="preserve"> PAGE   \* MERGEFORMAT </w:instrText>
    </w:r>
    <w:r w:rsidRPr="00EA104F">
      <w:rPr>
        <w:rStyle w:val="PageNumber"/>
        <w:color w:val="22413A"/>
        <w:sz w:val="24"/>
      </w:rPr>
      <w:fldChar w:fldCharType="separate"/>
    </w:r>
    <w:r w:rsidRPr="00EA104F">
      <w:rPr>
        <w:rStyle w:val="PageNumber"/>
        <w:noProof/>
        <w:color w:val="22413A"/>
        <w:sz w:val="24"/>
      </w:rPr>
      <w:t>1</w:t>
    </w:r>
    <w:r w:rsidRPr="00EA104F">
      <w:rPr>
        <w:rStyle w:val="PageNumber"/>
        <w:noProof/>
        <w:color w:val="22413A"/>
        <w:sz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3E718" w14:textId="77777777" w:rsidR="008E643D" w:rsidRPr="005E0344" w:rsidRDefault="008E643D" w:rsidP="005E0344">
      <w:pPr>
        <w:spacing w:after="120"/>
        <w:rPr>
          <w:color w:val="000000" w:themeColor="text2"/>
        </w:rPr>
      </w:pPr>
      <w:r w:rsidRPr="005E0344">
        <w:rPr>
          <w:color w:val="000000" w:themeColor="text2"/>
        </w:rPr>
        <w:separator/>
      </w:r>
    </w:p>
    <w:p w14:paraId="0F25504C" w14:textId="77777777" w:rsidR="008E643D" w:rsidRDefault="008E643D"/>
  </w:footnote>
  <w:footnote w:type="continuationSeparator" w:id="0">
    <w:p w14:paraId="2A3F5E81" w14:textId="77777777" w:rsidR="008E643D" w:rsidRPr="005E0344" w:rsidRDefault="008E643D" w:rsidP="0090581D">
      <w:pPr>
        <w:spacing w:after="120"/>
        <w:rPr>
          <w:color w:val="000000" w:themeColor="text2"/>
        </w:rPr>
      </w:pPr>
      <w:r w:rsidRPr="005E0344">
        <w:rPr>
          <w:color w:val="000000" w:themeColor="text2"/>
        </w:rPr>
        <w:continuationSeparator/>
      </w:r>
    </w:p>
    <w:p w14:paraId="5C195381" w14:textId="77777777" w:rsidR="008E643D" w:rsidRDefault="008E643D"/>
    <w:p w14:paraId="52A55122" w14:textId="77777777" w:rsidR="008E643D" w:rsidRDefault="008E643D"/>
  </w:footnote>
  <w:footnote w:type="continuationNotice" w:id="1">
    <w:p w14:paraId="786F7FDE" w14:textId="77777777" w:rsidR="008E643D" w:rsidRDefault="008E643D">
      <w:pPr>
        <w:spacing w:after="0"/>
      </w:pPr>
    </w:p>
    <w:p w14:paraId="68896BBF" w14:textId="77777777" w:rsidR="008E643D" w:rsidRDefault="008E643D"/>
    <w:p w14:paraId="7AF76137" w14:textId="77777777" w:rsidR="008E643D" w:rsidRDefault="008E64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4DC9" w14:textId="77777777" w:rsidR="00EA104F" w:rsidRDefault="00EA10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32BA4" w14:textId="77777777" w:rsidR="00EA104F" w:rsidRDefault="00EA10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3278134" w:rsidR="00177666" w:rsidRPr="00046936" w:rsidRDefault="00BC5FD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510363">
          <w:rPr>
            <w:sz w:val="20"/>
            <w:szCs w:val="24"/>
          </w:rPr>
          <w:t>Function and Content of the Nuclear Baseline</w:t>
        </w:r>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21BA6">
          <w:rPr>
            <w:sz w:val="20"/>
            <w:szCs w:val="24"/>
          </w:rPr>
          <w:t>5</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D642F"/>
    <w:multiLevelType w:val="hybridMultilevel"/>
    <w:tmpl w:val="57EEA28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1"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2" w15:restartNumberingAfterBreak="0">
    <w:nsid w:val="1112025F"/>
    <w:multiLevelType w:val="hybridMultilevel"/>
    <w:tmpl w:val="6A248368"/>
    <w:lvl w:ilvl="0" w:tplc="08090017">
      <w:start w:val="1"/>
      <w:numFmt w:val="lowerLetter"/>
      <w:lvlText w:val="%1)"/>
      <w:lvlJc w:val="left"/>
      <w:pPr>
        <w:ind w:left="1074" w:hanging="360"/>
      </w:pPr>
      <w:rPr>
        <w:rFonts w:hint="default"/>
      </w:rPr>
    </w:lvl>
    <w:lvl w:ilvl="1" w:tplc="08090003">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3" w15:restartNumberingAfterBreak="0">
    <w:nsid w:val="12D47383"/>
    <w:multiLevelType w:val="hybridMultilevel"/>
    <w:tmpl w:val="86B8B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7787C27"/>
    <w:multiLevelType w:val="hybridMultilevel"/>
    <w:tmpl w:val="8628132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19C601A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5431D9"/>
    <w:multiLevelType w:val="hybridMultilevel"/>
    <w:tmpl w:val="C114C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6BF02CC"/>
    <w:multiLevelType w:val="hybridMultilevel"/>
    <w:tmpl w:val="F9468378"/>
    <w:lvl w:ilvl="0" w:tplc="F7DC465C">
      <w:start w:val="1"/>
      <w:numFmt w:val="bullet"/>
      <w:pStyle w:val="ONRSquareBullet1"/>
      <w:lvlText w:val=""/>
      <w:lvlJc w:val="left"/>
      <w:pPr>
        <w:tabs>
          <w:tab w:val="num" w:pos="1418"/>
        </w:tabs>
        <w:ind w:left="1418" w:hanging="567"/>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0502AE"/>
    <w:multiLevelType w:val="hybridMultilevel"/>
    <w:tmpl w:val="5726E7DC"/>
    <w:lvl w:ilvl="0" w:tplc="08090001">
      <w:start w:val="1"/>
      <w:numFmt w:val="bullet"/>
      <w:lvlText w:val=""/>
      <w:lvlJc w:val="left"/>
      <w:pPr>
        <w:ind w:left="1222" w:hanging="360"/>
      </w:pPr>
      <w:rPr>
        <w:rFonts w:ascii="Symbol" w:hAnsi="Symbol" w:hint="default"/>
      </w:rPr>
    </w:lvl>
    <w:lvl w:ilvl="1" w:tplc="08090003">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2" w15:restartNumberingAfterBreak="0">
    <w:nsid w:val="379E6390"/>
    <w:multiLevelType w:val="hybridMultilevel"/>
    <w:tmpl w:val="D8222D0A"/>
    <w:lvl w:ilvl="0" w:tplc="50844E68">
      <w:start w:val="1"/>
      <w:numFmt w:val="bullet"/>
      <w:pStyle w:val="Bullet"/>
      <w:lvlText w:val=""/>
      <w:lvlJc w:val="left"/>
      <w:pPr>
        <w:ind w:left="720" w:hanging="360"/>
      </w:pPr>
      <w:rPr>
        <w:rFonts w:ascii="Wingdings" w:hAnsi="Wingdings" w:hint="default"/>
        <w:color w:val="006D6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131EFE"/>
    <w:multiLevelType w:val="multilevel"/>
    <w:tmpl w:val="1298B756"/>
    <w:lvl w:ilvl="0">
      <w:start w:val="1"/>
      <w:numFmt w:val="decimal"/>
      <w:pStyle w:val="Number"/>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5)"/>
      <w:lvlJc w:val="left"/>
      <w:pPr>
        <w:tabs>
          <w:tab w:val="num" w:pos="-31680"/>
        </w:tabs>
        <w:ind w:left="1440" w:hanging="720"/>
      </w:pPr>
      <w:rPr>
        <w:rFonts w:hint="default"/>
      </w:rPr>
    </w:lvl>
    <w:lvl w:ilvl="5">
      <w:start w:val="1"/>
      <w:numFmt w:val="lowerRoman"/>
      <w:lvlText w:val="(%6)"/>
      <w:lvlJc w:val="left"/>
      <w:pPr>
        <w:tabs>
          <w:tab w:val="num" w:pos="-31680"/>
        </w:tabs>
        <w:ind w:left="2160" w:hanging="720"/>
      </w:pPr>
      <w:rPr>
        <w:rFonts w:hint="default"/>
      </w:rPr>
    </w:lvl>
    <w:lvl w:ilvl="6">
      <w:start w:val="1"/>
      <w:numFmt w:val="bullet"/>
      <w:lvlText w:val=""/>
      <w:lvlJc w:val="left"/>
      <w:pPr>
        <w:tabs>
          <w:tab w:val="num" w:pos="720"/>
        </w:tabs>
        <w:ind w:left="720" w:hanging="720"/>
      </w:pPr>
      <w:rPr>
        <w:rFonts w:ascii="Symbol" w:hAnsi="Symbol" w:hint="default"/>
        <w:sz w:val="24"/>
      </w:rPr>
    </w:lvl>
    <w:lvl w:ilvl="7">
      <w:start w:val="1"/>
      <w:numFmt w:val="bullet"/>
      <w:lvlText w:val=""/>
      <w:lvlJc w:val="left"/>
      <w:pPr>
        <w:tabs>
          <w:tab w:val="num" w:pos="1440"/>
        </w:tabs>
        <w:ind w:left="1440" w:hanging="720"/>
      </w:pPr>
      <w:rPr>
        <w:rFonts w:ascii="Symbol" w:hAnsi="Symbol" w:hint="default"/>
        <w:sz w:val="28"/>
      </w:rPr>
    </w:lvl>
    <w:lvl w:ilvl="8">
      <w:start w:val="1"/>
      <w:numFmt w:val="bullet"/>
      <w:lvlText w:val=""/>
      <w:lvlJc w:val="left"/>
      <w:pPr>
        <w:tabs>
          <w:tab w:val="num" w:pos="2041"/>
        </w:tabs>
        <w:ind w:left="2041" w:hanging="601"/>
      </w:pPr>
      <w:rPr>
        <w:rFonts w:ascii="Symbol" w:hAnsi="Symbol" w:hint="default"/>
        <w:sz w:val="28"/>
      </w:rPr>
    </w:lvl>
  </w:abstractNum>
  <w:abstractNum w:abstractNumId="2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7F1946"/>
    <w:multiLevelType w:val="hybridMultilevel"/>
    <w:tmpl w:val="DF36BEB0"/>
    <w:lvl w:ilvl="0" w:tplc="87D22AB6">
      <w:start w:val="4"/>
      <w:numFmt w:val="bullet"/>
      <w:lvlText w:val="-"/>
      <w:lvlJc w:val="left"/>
      <w:pPr>
        <w:ind w:left="429" w:hanging="360"/>
      </w:pPr>
      <w:rPr>
        <w:rFonts w:ascii="Arial" w:eastAsia="Calibri" w:hAnsi="Arial" w:cs="Arial" w:hint="default"/>
      </w:rPr>
    </w:lvl>
    <w:lvl w:ilvl="1" w:tplc="08090003" w:tentative="1">
      <w:start w:val="1"/>
      <w:numFmt w:val="bullet"/>
      <w:lvlText w:val="o"/>
      <w:lvlJc w:val="left"/>
      <w:pPr>
        <w:ind w:left="1149" w:hanging="360"/>
      </w:pPr>
      <w:rPr>
        <w:rFonts w:ascii="Courier New" w:hAnsi="Courier New" w:cs="Courier New" w:hint="default"/>
      </w:rPr>
    </w:lvl>
    <w:lvl w:ilvl="2" w:tplc="08090005" w:tentative="1">
      <w:start w:val="1"/>
      <w:numFmt w:val="bullet"/>
      <w:lvlText w:val=""/>
      <w:lvlJc w:val="left"/>
      <w:pPr>
        <w:ind w:left="1869" w:hanging="360"/>
      </w:pPr>
      <w:rPr>
        <w:rFonts w:ascii="Wingdings" w:hAnsi="Wingdings" w:hint="default"/>
      </w:rPr>
    </w:lvl>
    <w:lvl w:ilvl="3" w:tplc="08090001" w:tentative="1">
      <w:start w:val="1"/>
      <w:numFmt w:val="bullet"/>
      <w:lvlText w:val=""/>
      <w:lvlJc w:val="left"/>
      <w:pPr>
        <w:ind w:left="2589" w:hanging="360"/>
      </w:pPr>
      <w:rPr>
        <w:rFonts w:ascii="Symbol" w:hAnsi="Symbol" w:hint="default"/>
      </w:rPr>
    </w:lvl>
    <w:lvl w:ilvl="4" w:tplc="08090003" w:tentative="1">
      <w:start w:val="1"/>
      <w:numFmt w:val="bullet"/>
      <w:lvlText w:val="o"/>
      <w:lvlJc w:val="left"/>
      <w:pPr>
        <w:ind w:left="3309" w:hanging="360"/>
      </w:pPr>
      <w:rPr>
        <w:rFonts w:ascii="Courier New" w:hAnsi="Courier New" w:cs="Courier New" w:hint="default"/>
      </w:rPr>
    </w:lvl>
    <w:lvl w:ilvl="5" w:tplc="08090005" w:tentative="1">
      <w:start w:val="1"/>
      <w:numFmt w:val="bullet"/>
      <w:lvlText w:val=""/>
      <w:lvlJc w:val="left"/>
      <w:pPr>
        <w:ind w:left="4029" w:hanging="360"/>
      </w:pPr>
      <w:rPr>
        <w:rFonts w:ascii="Wingdings" w:hAnsi="Wingdings" w:hint="default"/>
      </w:rPr>
    </w:lvl>
    <w:lvl w:ilvl="6" w:tplc="08090001" w:tentative="1">
      <w:start w:val="1"/>
      <w:numFmt w:val="bullet"/>
      <w:lvlText w:val=""/>
      <w:lvlJc w:val="left"/>
      <w:pPr>
        <w:ind w:left="4749" w:hanging="360"/>
      </w:pPr>
      <w:rPr>
        <w:rFonts w:ascii="Symbol" w:hAnsi="Symbol" w:hint="default"/>
      </w:rPr>
    </w:lvl>
    <w:lvl w:ilvl="7" w:tplc="08090003" w:tentative="1">
      <w:start w:val="1"/>
      <w:numFmt w:val="bullet"/>
      <w:lvlText w:val="o"/>
      <w:lvlJc w:val="left"/>
      <w:pPr>
        <w:ind w:left="5469" w:hanging="360"/>
      </w:pPr>
      <w:rPr>
        <w:rFonts w:ascii="Courier New" w:hAnsi="Courier New" w:cs="Courier New" w:hint="default"/>
      </w:rPr>
    </w:lvl>
    <w:lvl w:ilvl="8" w:tplc="08090005" w:tentative="1">
      <w:start w:val="1"/>
      <w:numFmt w:val="bullet"/>
      <w:lvlText w:val=""/>
      <w:lvlJc w:val="left"/>
      <w:pPr>
        <w:ind w:left="6189" w:hanging="360"/>
      </w:pPr>
      <w:rPr>
        <w:rFonts w:ascii="Wingdings" w:hAnsi="Wingdings" w:hint="default"/>
      </w:rPr>
    </w:lvl>
  </w:abstractNum>
  <w:abstractNum w:abstractNumId="26" w15:restartNumberingAfterBreak="0">
    <w:nsid w:val="498A7684"/>
    <w:multiLevelType w:val="hybridMultilevel"/>
    <w:tmpl w:val="F3DAB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991300"/>
    <w:multiLevelType w:val="hybridMultilevel"/>
    <w:tmpl w:val="17FC9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957587"/>
    <w:multiLevelType w:val="multilevel"/>
    <w:tmpl w:val="42D8E400"/>
    <w:lvl w:ilvl="0">
      <w:start w:val="1"/>
      <w:numFmt w:val="decimal"/>
      <w:pStyle w:val="Heading1"/>
      <w:lvlText w:val="%1."/>
      <w:lvlJc w:val="left"/>
      <w:pPr>
        <w:ind w:left="360" w:hanging="360"/>
      </w:pPr>
    </w:lvl>
    <w:lvl w:ilvl="1">
      <w:start w:val="1"/>
      <w:numFmt w:val="decimal"/>
      <w:pStyle w:val="Heading2"/>
      <w:lvlText w:val="%1.%2."/>
      <w:lvlJc w:val="left"/>
      <w:pPr>
        <w:ind w:left="1000"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565110"/>
    <w:multiLevelType w:val="hybridMultilevel"/>
    <w:tmpl w:val="544EB120"/>
    <w:lvl w:ilvl="0" w:tplc="FFFFFFFF">
      <w:start w:val="1"/>
      <w:numFmt w:val="bullet"/>
      <w:lvlText w:val=""/>
      <w:lvlJc w:val="left"/>
      <w:pPr>
        <w:ind w:left="360" w:hanging="360"/>
      </w:pPr>
      <w:rPr>
        <w:rFonts w:ascii="Symbol" w:hAnsi="Symbol" w:hint="default"/>
        <w:strike w:val="0"/>
        <w:dstrike w:val="0"/>
        <w:color w:val="07716C" w:themeColor="accent1"/>
        <w:sz w:val="24"/>
      </w:rPr>
    </w:lvl>
    <w:lvl w:ilvl="1" w:tplc="08090001">
      <w:start w:val="1"/>
      <w:numFmt w:val="bullet"/>
      <w:lvlText w:val=""/>
      <w:lvlJc w:val="left"/>
      <w:pPr>
        <w:ind w:left="1636"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18A0F99"/>
    <w:multiLevelType w:val="multilevel"/>
    <w:tmpl w:val="08FAD9F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447535"/>
    <w:multiLevelType w:val="multilevel"/>
    <w:tmpl w:val="6A88620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2057124575">
    <w:abstractNumId w:val="9"/>
  </w:num>
  <w:num w:numId="2" w16cid:durableId="1064992268">
    <w:abstractNumId w:val="7"/>
  </w:num>
  <w:num w:numId="3" w16cid:durableId="280579997">
    <w:abstractNumId w:val="6"/>
  </w:num>
  <w:num w:numId="4" w16cid:durableId="974028058">
    <w:abstractNumId w:val="5"/>
  </w:num>
  <w:num w:numId="5" w16cid:durableId="1180578911">
    <w:abstractNumId w:val="4"/>
  </w:num>
  <w:num w:numId="6" w16cid:durableId="918054177">
    <w:abstractNumId w:val="8"/>
  </w:num>
  <w:num w:numId="7" w16cid:durableId="813526770">
    <w:abstractNumId w:val="3"/>
  </w:num>
  <w:num w:numId="8" w16cid:durableId="158355488">
    <w:abstractNumId w:val="2"/>
  </w:num>
  <w:num w:numId="9" w16cid:durableId="593325157">
    <w:abstractNumId w:val="1"/>
  </w:num>
  <w:num w:numId="10" w16cid:durableId="1341859788">
    <w:abstractNumId w:val="0"/>
  </w:num>
  <w:num w:numId="11" w16cid:durableId="1981838590">
    <w:abstractNumId w:val="14"/>
  </w:num>
  <w:num w:numId="12" w16cid:durableId="854536813">
    <w:abstractNumId w:val="32"/>
  </w:num>
  <w:num w:numId="13" w16cid:durableId="2100442874">
    <w:abstractNumId w:val="24"/>
  </w:num>
  <w:num w:numId="14" w16cid:durableId="1596012680">
    <w:abstractNumId w:val="17"/>
  </w:num>
  <w:num w:numId="15" w16cid:durableId="487942321">
    <w:abstractNumId w:val="32"/>
    <w:lvlOverride w:ilvl="0">
      <w:startOverride w:val="1"/>
    </w:lvlOverride>
  </w:num>
  <w:num w:numId="16" w16cid:durableId="1725831699">
    <w:abstractNumId w:val="24"/>
    <w:lvlOverride w:ilvl="0">
      <w:startOverride w:val="1"/>
    </w:lvlOverride>
  </w:num>
  <w:num w:numId="17" w16cid:durableId="1500198291">
    <w:abstractNumId w:val="17"/>
    <w:lvlOverride w:ilvl="0">
      <w:startOverride w:val="1"/>
    </w:lvlOverride>
  </w:num>
  <w:num w:numId="18" w16cid:durableId="1617643251">
    <w:abstractNumId w:val="31"/>
  </w:num>
  <w:num w:numId="19" w16cid:durableId="1971014473">
    <w:abstractNumId w:val="29"/>
  </w:num>
  <w:num w:numId="20" w16cid:durableId="1831479258">
    <w:abstractNumId w:val="16"/>
  </w:num>
  <w:num w:numId="21" w16cid:durableId="1426338703">
    <w:abstractNumId w:val="33"/>
  </w:num>
  <w:num w:numId="22" w16cid:durableId="2142920325">
    <w:abstractNumId w:val="28"/>
  </w:num>
  <w:num w:numId="23" w16cid:durableId="14239930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99243274">
    <w:abstractNumId w:val="28"/>
  </w:num>
  <w:num w:numId="25" w16cid:durableId="18535660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16402874">
    <w:abstractNumId w:val="34"/>
  </w:num>
  <w:num w:numId="27" w16cid:durableId="991324817">
    <w:abstractNumId w:val="12"/>
  </w:num>
  <w:num w:numId="28" w16cid:durableId="1937707027">
    <w:abstractNumId w:val="11"/>
  </w:num>
  <w:num w:numId="29" w16cid:durableId="6368797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75385152">
    <w:abstractNumId w:val="27"/>
  </w:num>
  <w:num w:numId="31" w16cid:durableId="14680879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04196548">
    <w:abstractNumId w:val="19"/>
  </w:num>
  <w:num w:numId="33" w16cid:durableId="1057779501">
    <w:abstractNumId w:val="20"/>
  </w:num>
  <w:num w:numId="34" w16cid:durableId="573011518">
    <w:abstractNumId w:val="25"/>
  </w:num>
  <w:num w:numId="35" w16cid:durableId="132697939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25924772">
    <w:abstractNumId w:val="33"/>
  </w:num>
  <w:num w:numId="37" w16cid:durableId="1143891737">
    <w:abstractNumId w:val="22"/>
  </w:num>
  <w:num w:numId="38" w16cid:durableId="1757480940">
    <w:abstractNumId w:val="30"/>
  </w:num>
  <w:num w:numId="39" w16cid:durableId="599529911">
    <w:abstractNumId w:val="18"/>
  </w:num>
  <w:num w:numId="40" w16cid:durableId="78211431">
    <w:abstractNumId w:val="22"/>
  </w:num>
  <w:num w:numId="41" w16cid:durableId="1483545419">
    <w:abstractNumId w:val="33"/>
  </w:num>
  <w:num w:numId="42" w16cid:durableId="1263681760">
    <w:abstractNumId w:val="23"/>
  </w:num>
  <w:num w:numId="43" w16cid:durableId="896361154">
    <w:abstractNumId w:val="33"/>
  </w:num>
  <w:num w:numId="44" w16cid:durableId="694425037">
    <w:abstractNumId w:val="21"/>
  </w:num>
  <w:num w:numId="45" w16cid:durableId="1954314174">
    <w:abstractNumId w:val="15"/>
  </w:num>
  <w:num w:numId="46" w16cid:durableId="103815163">
    <w:abstractNumId w:val="11"/>
  </w:num>
  <w:num w:numId="47" w16cid:durableId="321129868">
    <w:abstractNumId w:val="11"/>
  </w:num>
  <w:num w:numId="48" w16cid:durableId="1794326902">
    <w:abstractNumId w:val="11"/>
  </w:num>
  <w:num w:numId="49" w16cid:durableId="1748186234">
    <w:abstractNumId w:val="11"/>
  </w:num>
  <w:num w:numId="50" w16cid:durableId="269893508">
    <w:abstractNumId w:val="11"/>
  </w:num>
  <w:num w:numId="51" w16cid:durableId="1153138014">
    <w:abstractNumId w:val="11"/>
  </w:num>
  <w:num w:numId="52" w16cid:durableId="1994215843">
    <w:abstractNumId w:val="11"/>
  </w:num>
  <w:num w:numId="53" w16cid:durableId="2014449178">
    <w:abstractNumId w:val="28"/>
  </w:num>
  <w:num w:numId="54" w16cid:durableId="264457696">
    <w:abstractNumId w:val="28"/>
  </w:num>
  <w:num w:numId="55" w16cid:durableId="417092750">
    <w:abstractNumId w:val="28"/>
  </w:num>
  <w:num w:numId="56" w16cid:durableId="961884860">
    <w:abstractNumId w:val="11"/>
  </w:num>
  <w:num w:numId="57" w16cid:durableId="1894079060">
    <w:abstractNumId w:val="10"/>
  </w:num>
  <w:num w:numId="58" w16cid:durableId="1122185922">
    <w:abstractNumId w:val="11"/>
  </w:num>
  <w:num w:numId="59" w16cid:durableId="11301008">
    <w:abstractNumId w:val="11"/>
  </w:num>
  <w:num w:numId="60" w16cid:durableId="517738530">
    <w:abstractNumId w:val="11"/>
  </w:num>
  <w:num w:numId="61" w16cid:durableId="1839881129">
    <w:abstractNumId w:val="28"/>
  </w:num>
  <w:num w:numId="62" w16cid:durableId="547647542">
    <w:abstractNumId w:val="28"/>
  </w:num>
  <w:num w:numId="63" w16cid:durableId="2125150628">
    <w:abstractNumId w:val="28"/>
  </w:num>
  <w:num w:numId="64" w16cid:durableId="801729378">
    <w:abstractNumId w:val="33"/>
  </w:num>
  <w:num w:numId="65" w16cid:durableId="1008949592">
    <w:abstractNumId w:val="33"/>
  </w:num>
  <w:num w:numId="66" w16cid:durableId="1585871133">
    <w:abstractNumId w:val="33"/>
  </w:num>
  <w:num w:numId="67" w16cid:durableId="1547065248">
    <w:abstractNumId w:val="33"/>
  </w:num>
  <w:num w:numId="68" w16cid:durableId="73010771">
    <w:abstractNumId w:val="33"/>
  </w:num>
  <w:num w:numId="69" w16cid:durableId="602570287">
    <w:abstractNumId w:val="33"/>
  </w:num>
  <w:num w:numId="70" w16cid:durableId="1438253550">
    <w:abstractNumId w:val="26"/>
  </w:num>
  <w:num w:numId="71" w16cid:durableId="1420910952">
    <w:abstractNumId w:val="1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32C9"/>
    <w:rsid w:val="00004C16"/>
    <w:rsid w:val="00011177"/>
    <w:rsid w:val="00014814"/>
    <w:rsid w:val="00024522"/>
    <w:rsid w:val="00024B2E"/>
    <w:rsid w:val="00027F4F"/>
    <w:rsid w:val="00030430"/>
    <w:rsid w:val="0003078E"/>
    <w:rsid w:val="00031B89"/>
    <w:rsid w:val="000334FD"/>
    <w:rsid w:val="0003693D"/>
    <w:rsid w:val="00037EE2"/>
    <w:rsid w:val="00042A7A"/>
    <w:rsid w:val="0004440F"/>
    <w:rsid w:val="00046936"/>
    <w:rsid w:val="00052C8A"/>
    <w:rsid w:val="000548C8"/>
    <w:rsid w:val="00055898"/>
    <w:rsid w:val="00075605"/>
    <w:rsid w:val="00075C66"/>
    <w:rsid w:val="00081114"/>
    <w:rsid w:val="00082879"/>
    <w:rsid w:val="000851F8"/>
    <w:rsid w:val="00091EEA"/>
    <w:rsid w:val="000950B3"/>
    <w:rsid w:val="000A219B"/>
    <w:rsid w:val="000A51C3"/>
    <w:rsid w:val="000C2DDC"/>
    <w:rsid w:val="000C7C8D"/>
    <w:rsid w:val="000D2FD4"/>
    <w:rsid w:val="000E185D"/>
    <w:rsid w:val="000E41CE"/>
    <w:rsid w:val="000F1B7B"/>
    <w:rsid w:val="000F2ED4"/>
    <w:rsid w:val="000F3932"/>
    <w:rsid w:val="000F43F2"/>
    <w:rsid w:val="001028E8"/>
    <w:rsid w:val="00122A6F"/>
    <w:rsid w:val="00122FCC"/>
    <w:rsid w:val="00123578"/>
    <w:rsid w:val="00126752"/>
    <w:rsid w:val="00130B30"/>
    <w:rsid w:val="001321E2"/>
    <w:rsid w:val="0013329F"/>
    <w:rsid w:val="00140E1C"/>
    <w:rsid w:val="001447A9"/>
    <w:rsid w:val="00147AE4"/>
    <w:rsid w:val="0015407B"/>
    <w:rsid w:val="001571E5"/>
    <w:rsid w:val="00164B32"/>
    <w:rsid w:val="001659ED"/>
    <w:rsid w:val="00177051"/>
    <w:rsid w:val="00177666"/>
    <w:rsid w:val="001833F1"/>
    <w:rsid w:val="001849CA"/>
    <w:rsid w:val="00185410"/>
    <w:rsid w:val="00190759"/>
    <w:rsid w:val="00192352"/>
    <w:rsid w:val="001A0905"/>
    <w:rsid w:val="001C0124"/>
    <w:rsid w:val="001C4D63"/>
    <w:rsid w:val="001D0DE0"/>
    <w:rsid w:val="001D5AFF"/>
    <w:rsid w:val="001D74B4"/>
    <w:rsid w:val="001E03E1"/>
    <w:rsid w:val="001F059F"/>
    <w:rsid w:val="00200811"/>
    <w:rsid w:val="00200C22"/>
    <w:rsid w:val="00200CA1"/>
    <w:rsid w:val="002021CF"/>
    <w:rsid w:val="00204836"/>
    <w:rsid w:val="0021338D"/>
    <w:rsid w:val="00214D43"/>
    <w:rsid w:val="00221ED0"/>
    <w:rsid w:val="002238B4"/>
    <w:rsid w:val="002306D8"/>
    <w:rsid w:val="002319AB"/>
    <w:rsid w:val="002319AC"/>
    <w:rsid w:val="00234342"/>
    <w:rsid w:val="00237683"/>
    <w:rsid w:val="0024040D"/>
    <w:rsid w:val="00245A0D"/>
    <w:rsid w:val="00255FA3"/>
    <w:rsid w:val="00257288"/>
    <w:rsid w:val="00261FB6"/>
    <w:rsid w:val="002629F8"/>
    <w:rsid w:val="00263396"/>
    <w:rsid w:val="00265442"/>
    <w:rsid w:val="002659FA"/>
    <w:rsid w:val="00267815"/>
    <w:rsid w:val="002733ED"/>
    <w:rsid w:val="00280DDF"/>
    <w:rsid w:val="00283FEB"/>
    <w:rsid w:val="0028775F"/>
    <w:rsid w:val="002917FF"/>
    <w:rsid w:val="00292ADF"/>
    <w:rsid w:val="002A0DEC"/>
    <w:rsid w:val="002A18AA"/>
    <w:rsid w:val="002A3116"/>
    <w:rsid w:val="002B1C53"/>
    <w:rsid w:val="002E0BE4"/>
    <w:rsid w:val="002E2F0E"/>
    <w:rsid w:val="002E3B58"/>
    <w:rsid w:val="002E3E8A"/>
    <w:rsid w:val="002E5C25"/>
    <w:rsid w:val="002E6A6A"/>
    <w:rsid w:val="002F3397"/>
    <w:rsid w:val="002F487C"/>
    <w:rsid w:val="0030380D"/>
    <w:rsid w:val="003040C8"/>
    <w:rsid w:val="00312411"/>
    <w:rsid w:val="00323E71"/>
    <w:rsid w:val="00331DE7"/>
    <w:rsid w:val="00346C8E"/>
    <w:rsid w:val="00347CA8"/>
    <w:rsid w:val="00357A80"/>
    <w:rsid w:val="00367BD5"/>
    <w:rsid w:val="00370B6B"/>
    <w:rsid w:val="0037176F"/>
    <w:rsid w:val="00386E05"/>
    <w:rsid w:val="00390327"/>
    <w:rsid w:val="00393B78"/>
    <w:rsid w:val="003970B0"/>
    <w:rsid w:val="003A01E9"/>
    <w:rsid w:val="003C0306"/>
    <w:rsid w:val="003C0DD8"/>
    <w:rsid w:val="003C114C"/>
    <w:rsid w:val="003C465D"/>
    <w:rsid w:val="003D495D"/>
    <w:rsid w:val="003E098E"/>
    <w:rsid w:val="003E2F1A"/>
    <w:rsid w:val="003E2FAE"/>
    <w:rsid w:val="003E3E9F"/>
    <w:rsid w:val="003F151B"/>
    <w:rsid w:val="00402B70"/>
    <w:rsid w:val="00404B0C"/>
    <w:rsid w:val="00405E9C"/>
    <w:rsid w:val="00407CF7"/>
    <w:rsid w:val="00415ED6"/>
    <w:rsid w:val="00417CAF"/>
    <w:rsid w:val="00420A11"/>
    <w:rsid w:val="00422265"/>
    <w:rsid w:val="004373A7"/>
    <w:rsid w:val="00437D94"/>
    <w:rsid w:val="0044030C"/>
    <w:rsid w:val="00461F4B"/>
    <w:rsid w:val="004638C7"/>
    <w:rsid w:val="004648A4"/>
    <w:rsid w:val="00471380"/>
    <w:rsid w:val="00494F0D"/>
    <w:rsid w:val="00496BFD"/>
    <w:rsid w:val="004A3DF2"/>
    <w:rsid w:val="004B1C61"/>
    <w:rsid w:val="004C361D"/>
    <w:rsid w:val="004C4891"/>
    <w:rsid w:val="004D2C89"/>
    <w:rsid w:val="004D4875"/>
    <w:rsid w:val="004E3932"/>
    <w:rsid w:val="004E6BAC"/>
    <w:rsid w:val="004F1E79"/>
    <w:rsid w:val="004F3FD9"/>
    <w:rsid w:val="004F5F33"/>
    <w:rsid w:val="0050103A"/>
    <w:rsid w:val="00510363"/>
    <w:rsid w:val="00511B0F"/>
    <w:rsid w:val="00530FC7"/>
    <w:rsid w:val="005334D1"/>
    <w:rsid w:val="00536721"/>
    <w:rsid w:val="005408BB"/>
    <w:rsid w:val="00542940"/>
    <w:rsid w:val="005504C2"/>
    <w:rsid w:val="0055388E"/>
    <w:rsid w:val="00570BE0"/>
    <w:rsid w:val="005754AE"/>
    <w:rsid w:val="00577FB5"/>
    <w:rsid w:val="005852D1"/>
    <w:rsid w:val="00587A22"/>
    <w:rsid w:val="00587E35"/>
    <w:rsid w:val="00590AC6"/>
    <w:rsid w:val="0059299D"/>
    <w:rsid w:val="00595C8C"/>
    <w:rsid w:val="00597747"/>
    <w:rsid w:val="005A4CDD"/>
    <w:rsid w:val="005B57E4"/>
    <w:rsid w:val="005B5ABD"/>
    <w:rsid w:val="005B5DD1"/>
    <w:rsid w:val="005B7798"/>
    <w:rsid w:val="005B7FC8"/>
    <w:rsid w:val="005C140A"/>
    <w:rsid w:val="005C4182"/>
    <w:rsid w:val="005C6763"/>
    <w:rsid w:val="005D3164"/>
    <w:rsid w:val="005E0344"/>
    <w:rsid w:val="005E17B4"/>
    <w:rsid w:val="005E211F"/>
    <w:rsid w:val="005E440B"/>
    <w:rsid w:val="005F2C85"/>
    <w:rsid w:val="00600C8E"/>
    <w:rsid w:val="00605ADB"/>
    <w:rsid w:val="00611C9F"/>
    <w:rsid w:val="00621BF6"/>
    <w:rsid w:val="00627555"/>
    <w:rsid w:val="00627B76"/>
    <w:rsid w:val="006316C4"/>
    <w:rsid w:val="006322A0"/>
    <w:rsid w:val="00633E07"/>
    <w:rsid w:val="006361FD"/>
    <w:rsid w:val="00637B24"/>
    <w:rsid w:val="0064226F"/>
    <w:rsid w:val="00642C6D"/>
    <w:rsid w:val="00653298"/>
    <w:rsid w:val="00662099"/>
    <w:rsid w:val="00663A7C"/>
    <w:rsid w:val="00667DF2"/>
    <w:rsid w:val="00670DF1"/>
    <w:rsid w:val="00671345"/>
    <w:rsid w:val="00672726"/>
    <w:rsid w:val="00672A9B"/>
    <w:rsid w:val="00674646"/>
    <w:rsid w:val="00675884"/>
    <w:rsid w:val="00676F7A"/>
    <w:rsid w:val="006774B9"/>
    <w:rsid w:val="0068548A"/>
    <w:rsid w:val="00687956"/>
    <w:rsid w:val="00696EE0"/>
    <w:rsid w:val="00697980"/>
    <w:rsid w:val="006A19EF"/>
    <w:rsid w:val="006A43D5"/>
    <w:rsid w:val="006A525B"/>
    <w:rsid w:val="006A70F9"/>
    <w:rsid w:val="006C045F"/>
    <w:rsid w:val="006C4196"/>
    <w:rsid w:val="006C63B0"/>
    <w:rsid w:val="006C76A2"/>
    <w:rsid w:val="006C792E"/>
    <w:rsid w:val="006D116C"/>
    <w:rsid w:val="006E200C"/>
    <w:rsid w:val="006E22C1"/>
    <w:rsid w:val="006E7C42"/>
    <w:rsid w:val="006F168A"/>
    <w:rsid w:val="006F5076"/>
    <w:rsid w:val="006F6009"/>
    <w:rsid w:val="0070321D"/>
    <w:rsid w:val="007068BA"/>
    <w:rsid w:val="00716AB1"/>
    <w:rsid w:val="00721D63"/>
    <w:rsid w:val="00722271"/>
    <w:rsid w:val="00732C7B"/>
    <w:rsid w:val="00734D2B"/>
    <w:rsid w:val="00737705"/>
    <w:rsid w:val="007405B2"/>
    <w:rsid w:val="007408D4"/>
    <w:rsid w:val="007420AC"/>
    <w:rsid w:val="00742617"/>
    <w:rsid w:val="00773A85"/>
    <w:rsid w:val="00783AFA"/>
    <w:rsid w:val="00785427"/>
    <w:rsid w:val="00790540"/>
    <w:rsid w:val="007968CA"/>
    <w:rsid w:val="007A43FF"/>
    <w:rsid w:val="007A52F1"/>
    <w:rsid w:val="007A5ECB"/>
    <w:rsid w:val="007B3918"/>
    <w:rsid w:val="007C09A9"/>
    <w:rsid w:val="007C0AD9"/>
    <w:rsid w:val="007C3C1D"/>
    <w:rsid w:val="007D199A"/>
    <w:rsid w:val="007D2EBE"/>
    <w:rsid w:val="007E1C07"/>
    <w:rsid w:val="007F24B6"/>
    <w:rsid w:val="007F2A70"/>
    <w:rsid w:val="007F5EFE"/>
    <w:rsid w:val="00803D94"/>
    <w:rsid w:val="00806D68"/>
    <w:rsid w:val="008229BA"/>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0F9E"/>
    <w:rsid w:val="008B1519"/>
    <w:rsid w:val="008B69E3"/>
    <w:rsid w:val="008B704E"/>
    <w:rsid w:val="008B7BCC"/>
    <w:rsid w:val="008C50C3"/>
    <w:rsid w:val="008C7094"/>
    <w:rsid w:val="008D2B97"/>
    <w:rsid w:val="008D49A5"/>
    <w:rsid w:val="008D54BE"/>
    <w:rsid w:val="008D6C81"/>
    <w:rsid w:val="008E643D"/>
    <w:rsid w:val="008E6CF0"/>
    <w:rsid w:val="008F1439"/>
    <w:rsid w:val="008F660E"/>
    <w:rsid w:val="008F7051"/>
    <w:rsid w:val="008F75EF"/>
    <w:rsid w:val="009033A9"/>
    <w:rsid w:val="00904152"/>
    <w:rsid w:val="0090581D"/>
    <w:rsid w:val="0091439C"/>
    <w:rsid w:val="00920572"/>
    <w:rsid w:val="00920BF2"/>
    <w:rsid w:val="00926DE4"/>
    <w:rsid w:val="009348C8"/>
    <w:rsid w:val="009349A9"/>
    <w:rsid w:val="00936C52"/>
    <w:rsid w:val="0095489B"/>
    <w:rsid w:val="00966FB9"/>
    <w:rsid w:val="009671CD"/>
    <w:rsid w:val="00970ED9"/>
    <w:rsid w:val="009751A9"/>
    <w:rsid w:val="00980A2D"/>
    <w:rsid w:val="00980F9C"/>
    <w:rsid w:val="0098632B"/>
    <w:rsid w:val="0099340F"/>
    <w:rsid w:val="00997BFB"/>
    <w:rsid w:val="009A7348"/>
    <w:rsid w:val="009B462C"/>
    <w:rsid w:val="009C15F3"/>
    <w:rsid w:val="009C23C8"/>
    <w:rsid w:val="009E07C2"/>
    <w:rsid w:val="009E0E52"/>
    <w:rsid w:val="009F72F9"/>
    <w:rsid w:val="00A00205"/>
    <w:rsid w:val="00A00AF0"/>
    <w:rsid w:val="00A14B5A"/>
    <w:rsid w:val="00A3567F"/>
    <w:rsid w:val="00A366E4"/>
    <w:rsid w:val="00A37698"/>
    <w:rsid w:val="00A41ED3"/>
    <w:rsid w:val="00A45C8E"/>
    <w:rsid w:val="00A51B76"/>
    <w:rsid w:val="00A56C01"/>
    <w:rsid w:val="00A81D82"/>
    <w:rsid w:val="00A93E33"/>
    <w:rsid w:val="00A96A8D"/>
    <w:rsid w:val="00AA4482"/>
    <w:rsid w:val="00AB4683"/>
    <w:rsid w:val="00AB6970"/>
    <w:rsid w:val="00AC006B"/>
    <w:rsid w:val="00AC1939"/>
    <w:rsid w:val="00AC4514"/>
    <w:rsid w:val="00AC543A"/>
    <w:rsid w:val="00AC7C05"/>
    <w:rsid w:val="00AD167C"/>
    <w:rsid w:val="00AD17C7"/>
    <w:rsid w:val="00AD4041"/>
    <w:rsid w:val="00AD78FC"/>
    <w:rsid w:val="00AE302B"/>
    <w:rsid w:val="00AE4F54"/>
    <w:rsid w:val="00AF31F0"/>
    <w:rsid w:val="00B22E19"/>
    <w:rsid w:val="00B259DF"/>
    <w:rsid w:val="00B2611E"/>
    <w:rsid w:val="00B32C2F"/>
    <w:rsid w:val="00B44B1F"/>
    <w:rsid w:val="00B50450"/>
    <w:rsid w:val="00B64141"/>
    <w:rsid w:val="00B64E72"/>
    <w:rsid w:val="00B73194"/>
    <w:rsid w:val="00B77913"/>
    <w:rsid w:val="00B824FB"/>
    <w:rsid w:val="00B82646"/>
    <w:rsid w:val="00B92E1A"/>
    <w:rsid w:val="00B936E1"/>
    <w:rsid w:val="00B97359"/>
    <w:rsid w:val="00B97A8F"/>
    <w:rsid w:val="00BA4E58"/>
    <w:rsid w:val="00BA7074"/>
    <w:rsid w:val="00BB5EBA"/>
    <w:rsid w:val="00BB7829"/>
    <w:rsid w:val="00BC4573"/>
    <w:rsid w:val="00BC5FD0"/>
    <w:rsid w:val="00BD0A18"/>
    <w:rsid w:val="00BD1457"/>
    <w:rsid w:val="00BE2AD9"/>
    <w:rsid w:val="00BE2B2C"/>
    <w:rsid w:val="00BF27FE"/>
    <w:rsid w:val="00BF4526"/>
    <w:rsid w:val="00BF613F"/>
    <w:rsid w:val="00C043B3"/>
    <w:rsid w:val="00C079AB"/>
    <w:rsid w:val="00C10E61"/>
    <w:rsid w:val="00C143DE"/>
    <w:rsid w:val="00C14787"/>
    <w:rsid w:val="00C1596D"/>
    <w:rsid w:val="00C15B8D"/>
    <w:rsid w:val="00C17010"/>
    <w:rsid w:val="00C20562"/>
    <w:rsid w:val="00C215C3"/>
    <w:rsid w:val="00C23A96"/>
    <w:rsid w:val="00C249C6"/>
    <w:rsid w:val="00C26F95"/>
    <w:rsid w:val="00C32CC1"/>
    <w:rsid w:val="00C35D86"/>
    <w:rsid w:val="00C426EC"/>
    <w:rsid w:val="00C47BE7"/>
    <w:rsid w:val="00C53B86"/>
    <w:rsid w:val="00C6483C"/>
    <w:rsid w:val="00C64AE9"/>
    <w:rsid w:val="00C70CFF"/>
    <w:rsid w:val="00C718FE"/>
    <w:rsid w:val="00C731FE"/>
    <w:rsid w:val="00C832B4"/>
    <w:rsid w:val="00C8773D"/>
    <w:rsid w:val="00C87ABB"/>
    <w:rsid w:val="00C91831"/>
    <w:rsid w:val="00C953DF"/>
    <w:rsid w:val="00CA2905"/>
    <w:rsid w:val="00CA6851"/>
    <w:rsid w:val="00CA7B44"/>
    <w:rsid w:val="00CC6861"/>
    <w:rsid w:val="00CD48E3"/>
    <w:rsid w:val="00CE1DB2"/>
    <w:rsid w:val="00CE2709"/>
    <w:rsid w:val="00CE2D64"/>
    <w:rsid w:val="00CE6198"/>
    <w:rsid w:val="00CF6230"/>
    <w:rsid w:val="00CF6E74"/>
    <w:rsid w:val="00D00802"/>
    <w:rsid w:val="00D017FC"/>
    <w:rsid w:val="00D0226A"/>
    <w:rsid w:val="00D1256B"/>
    <w:rsid w:val="00D13147"/>
    <w:rsid w:val="00D5715A"/>
    <w:rsid w:val="00D71687"/>
    <w:rsid w:val="00D74813"/>
    <w:rsid w:val="00D76467"/>
    <w:rsid w:val="00D92074"/>
    <w:rsid w:val="00D96BE4"/>
    <w:rsid w:val="00DA30BC"/>
    <w:rsid w:val="00DA4F72"/>
    <w:rsid w:val="00DA69C2"/>
    <w:rsid w:val="00DA6D70"/>
    <w:rsid w:val="00DB6050"/>
    <w:rsid w:val="00DC2C34"/>
    <w:rsid w:val="00DC4909"/>
    <w:rsid w:val="00DD51E6"/>
    <w:rsid w:val="00DD6F26"/>
    <w:rsid w:val="00DE2C87"/>
    <w:rsid w:val="00DE459A"/>
    <w:rsid w:val="00DF27DA"/>
    <w:rsid w:val="00DF4DBE"/>
    <w:rsid w:val="00DF6658"/>
    <w:rsid w:val="00E01077"/>
    <w:rsid w:val="00E221DC"/>
    <w:rsid w:val="00E33834"/>
    <w:rsid w:val="00E34607"/>
    <w:rsid w:val="00E40820"/>
    <w:rsid w:val="00E4658F"/>
    <w:rsid w:val="00E50459"/>
    <w:rsid w:val="00E54A67"/>
    <w:rsid w:val="00E57DB9"/>
    <w:rsid w:val="00E61C0D"/>
    <w:rsid w:val="00E63EB4"/>
    <w:rsid w:val="00E64912"/>
    <w:rsid w:val="00E66160"/>
    <w:rsid w:val="00E67022"/>
    <w:rsid w:val="00E71329"/>
    <w:rsid w:val="00E8363B"/>
    <w:rsid w:val="00E84966"/>
    <w:rsid w:val="00E90780"/>
    <w:rsid w:val="00E92383"/>
    <w:rsid w:val="00E9489D"/>
    <w:rsid w:val="00EA104F"/>
    <w:rsid w:val="00EA1B3A"/>
    <w:rsid w:val="00EA2109"/>
    <w:rsid w:val="00EB2427"/>
    <w:rsid w:val="00EB7219"/>
    <w:rsid w:val="00EC0B96"/>
    <w:rsid w:val="00ED14B5"/>
    <w:rsid w:val="00ED4D4E"/>
    <w:rsid w:val="00EE0C77"/>
    <w:rsid w:val="00EE351C"/>
    <w:rsid w:val="00EE4E54"/>
    <w:rsid w:val="00EF2E5C"/>
    <w:rsid w:val="00F015EF"/>
    <w:rsid w:val="00F132DC"/>
    <w:rsid w:val="00F21BA6"/>
    <w:rsid w:val="00F36BF0"/>
    <w:rsid w:val="00F436BB"/>
    <w:rsid w:val="00F44465"/>
    <w:rsid w:val="00F44BEF"/>
    <w:rsid w:val="00F47145"/>
    <w:rsid w:val="00F545BF"/>
    <w:rsid w:val="00F56152"/>
    <w:rsid w:val="00F61B86"/>
    <w:rsid w:val="00F62211"/>
    <w:rsid w:val="00F63AA5"/>
    <w:rsid w:val="00F71B56"/>
    <w:rsid w:val="00F7687C"/>
    <w:rsid w:val="00F832C8"/>
    <w:rsid w:val="00F86C26"/>
    <w:rsid w:val="00F873B3"/>
    <w:rsid w:val="00FA42B9"/>
    <w:rsid w:val="00FA755A"/>
    <w:rsid w:val="00FB171F"/>
    <w:rsid w:val="00FB2B0F"/>
    <w:rsid w:val="00FB4F6B"/>
    <w:rsid w:val="00FB5FE1"/>
    <w:rsid w:val="00FC0E8D"/>
    <w:rsid w:val="00FC46EF"/>
    <w:rsid w:val="00FD31B3"/>
    <w:rsid w:val="00FD418B"/>
    <w:rsid w:val="00FD4204"/>
    <w:rsid w:val="00FD7BB0"/>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E90780"/>
    <w:pPr>
      <w:keepNext/>
      <w:numPr>
        <w:numId w:val="22"/>
      </w:numPr>
      <w:spacing w:before="240"/>
      <w:ind w:left="851" w:hanging="851"/>
      <w:outlineLvl w:val="0"/>
    </w:pPr>
    <w:rPr>
      <w:color w:val="22413A"/>
      <w:sz w:val="48"/>
    </w:rPr>
  </w:style>
  <w:style w:type="paragraph" w:styleId="Heading2">
    <w:name w:val="heading 2"/>
    <w:basedOn w:val="Heading1"/>
    <w:next w:val="Normal"/>
    <w:link w:val="Heading2Char"/>
    <w:qFormat/>
    <w:rsid w:val="00EA104F"/>
    <w:pPr>
      <w:numPr>
        <w:ilvl w:val="1"/>
      </w:numPr>
      <w:ind w:left="851" w:hanging="851"/>
      <w:outlineLvl w:val="1"/>
    </w:pPr>
    <w:rPr>
      <w:sz w:val="36"/>
    </w:rPr>
  </w:style>
  <w:style w:type="paragraph" w:styleId="Heading3">
    <w:name w:val="heading 3"/>
    <w:basedOn w:val="Heading1"/>
    <w:next w:val="Normal"/>
    <w:link w:val="Heading3Char"/>
    <w:qFormat/>
    <w:rsid w:val="00EA104F"/>
    <w:pPr>
      <w:numPr>
        <w:ilvl w:val="2"/>
      </w:numPr>
      <w:ind w:left="851" w:hanging="851"/>
      <w:outlineLvl w:val="2"/>
    </w:pPr>
    <w:rPr>
      <w:sz w:val="28"/>
      <w:szCs w:val="12"/>
      <w:lang w:val="en" w:eastAsia="en-GB"/>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4B1C61"/>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4B1C61"/>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4B1C61"/>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EA104F"/>
    <w:rPr>
      <w:rFonts w:ascii="Arial" w:hAnsi="Arial"/>
      <w:color w:val="22413A"/>
      <w:sz w:val="36"/>
      <w:szCs w:val="22"/>
      <w:lang w:eastAsia="en-US" w:bidi="he-IL"/>
    </w:rPr>
  </w:style>
  <w:style w:type="character" w:customStyle="1" w:styleId="Heading3Char">
    <w:name w:val="Heading 3 Char"/>
    <w:link w:val="Heading3"/>
    <w:rsid w:val="00EA104F"/>
    <w:rPr>
      <w:rFonts w:ascii="Arial" w:hAnsi="Arial"/>
      <w:color w:val="22413A"/>
      <w:sz w:val="28"/>
      <w:szCs w:val="12"/>
      <w:lang w:val="en"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E9078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2"/>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EA104F"/>
    <w:pPr>
      <w:pBdr>
        <w:top w:val="single" w:sz="4" w:space="6" w:color="22413A"/>
        <w:bottom w:val="single" w:sz="4" w:space="6" w:color="22413A"/>
      </w:pBdr>
      <w:spacing w:before="240"/>
      <w:ind w:left="1418"/>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0A51C3"/>
    <w:pPr>
      <w:numPr>
        <w:numId w:val="28"/>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EA104F"/>
    <w:pPr>
      <w:spacing w:before="240" w:after="12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EA104F"/>
    <w:pPr>
      <w:numPr>
        <w:numId w:val="21"/>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EA104F"/>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26"/>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character" w:customStyle="1" w:styleId="Heading7Char">
    <w:name w:val="Heading 7 Char"/>
    <w:basedOn w:val="DefaultParagraphFont"/>
    <w:link w:val="Heading7"/>
    <w:rsid w:val="004B1C61"/>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4B1C61"/>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4B1C61"/>
    <w:rPr>
      <w:rFonts w:ascii="Arial" w:eastAsia="Times New Roman" w:hAnsi="Arial"/>
      <w:sz w:val="22"/>
      <w:szCs w:val="22"/>
      <w:lang w:eastAsia="en-US"/>
    </w:rPr>
  </w:style>
  <w:style w:type="paragraph" w:customStyle="1" w:styleId="TSHeadingNumbered1">
    <w:name w:val="TS Heading Numbered 1"/>
    <w:basedOn w:val="Normal"/>
    <w:rsid w:val="004B1C61"/>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4B1C61"/>
  </w:style>
  <w:style w:type="paragraph" w:customStyle="1" w:styleId="TSHeadingNumbered111">
    <w:name w:val="TS Heading Numbered 1.1.1"/>
    <w:basedOn w:val="TSHeadingNumbered1"/>
    <w:rsid w:val="004B1C61"/>
  </w:style>
  <w:style w:type="paragraph" w:customStyle="1" w:styleId="TSHeadingNumbered1111">
    <w:name w:val="TS Heading Numbered 1.1.1.1"/>
    <w:basedOn w:val="TSHeadingNumbered1"/>
    <w:rsid w:val="004B1C61"/>
  </w:style>
  <w:style w:type="paragraph" w:customStyle="1" w:styleId="TSNumberedParagraph11">
    <w:name w:val="TS Numbered Paragraph 1.1"/>
    <w:basedOn w:val="TSHeadingNumbered11"/>
    <w:rsid w:val="004B1C61"/>
    <w:pPr>
      <w:numPr>
        <w:ilvl w:val="1"/>
      </w:numPr>
      <w:tabs>
        <w:tab w:val="num" w:pos="-31680"/>
      </w:tabs>
      <w:ind w:left="720" w:hanging="720"/>
    </w:pPr>
    <w:rPr>
      <w:rFonts w:ascii="Arial" w:hAnsi="Arial"/>
      <w:b w:val="0"/>
      <w:caps w:val="0"/>
    </w:rPr>
  </w:style>
  <w:style w:type="paragraph" w:styleId="NormalWeb">
    <w:name w:val="Normal (Web)"/>
    <w:basedOn w:val="Normal"/>
    <w:rsid w:val="004B1C61"/>
    <w:pPr>
      <w:spacing w:after="120" w:line="240" w:lineRule="auto"/>
    </w:pPr>
    <w:rPr>
      <w:rFonts w:eastAsia="Times New Roman"/>
      <w:sz w:val="22"/>
      <w:lang w:bidi="ar-SA"/>
    </w:rPr>
  </w:style>
  <w:style w:type="paragraph" w:customStyle="1" w:styleId="ONRSquareBullet1">
    <w:name w:val="ONR Square Bullet 1"/>
    <w:basedOn w:val="Normal"/>
    <w:rsid w:val="004B1C61"/>
    <w:pPr>
      <w:numPr>
        <w:numId w:val="33"/>
      </w:numPr>
      <w:spacing w:after="120" w:line="240" w:lineRule="auto"/>
    </w:pPr>
    <w:rPr>
      <w:rFonts w:eastAsia="Times New Roman"/>
      <w:sz w:val="22"/>
      <w:lang w:bidi="ar-SA"/>
    </w:rPr>
  </w:style>
  <w:style w:type="paragraph" w:styleId="Revision">
    <w:name w:val="Revision"/>
    <w:hidden/>
    <w:uiPriority w:val="99"/>
    <w:semiHidden/>
    <w:rsid w:val="00D00802"/>
    <w:rPr>
      <w:rFonts w:ascii="Arial" w:hAnsi="Arial"/>
      <w:sz w:val="24"/>
      <w:szCs w:val="22"/>
      <w:lang w:eastAsia="en-US" w:bidi="he-IL"/>
    </w:rPr>
  </w:style>
  <w:style w:type="paragraph" w:customStyle="1" w:styleId="Bullet">
    <w:name w:val="Bullet"/>
    <w:basedOn w:val="Normal"/>
    <w:link w:val="BulletChar"/>
    <w:qFormat/>
    <w:rsid w:val="00D96BE4"/>
    <w:pPr>
      <w:numPr>
        <w:numId w:val="37"/>
      </w:numPr>
      <w:spacing w:before="120" w:after="120" w:line="240" w:lineRule="auto"/>
    </w:pPr>
    <w:rPr>
      <w:rFonts w:eastAsia="Times New Roman" w:cs="Times New Roman"/>
      <w:szCs w:val="28"/>
      <w:lang w:bidi="ar-SA"/>
    </w:rPr>
  </w:style>
  <w:style w:type="character" w:customStyle="1" w:styleId="BulletChar">
    <w:name w:val="Bullet Char"/>
    <w:basedOn w:val="DefaultParagraphFont"/>
    <w:link w:val="Bullet"/>
    <w:rsid w:val="00D96BE4"/>
    <w:rPr>
      <w:rFonts w:ascii="Arial" w:eastAsia="Times New Roman" w:hAnsi="Arial" w:cs="Times New Roman"/>
      <w:sz w:val="24"/>
      <w:szCs w:val="28"/>
      <w:lang w:eastAsia="en-US"/>
    </w:rPr>
  </w:style>
  <w:style w:type="paragraph" w:customStyle="1" w:styleId="Number">
    <w:name w:val="Number"/>
    <w:basedOn w:val="Normal"/>
    <w:rsid w:val="00B22E19"/>
    <w:pPr>
      <w:numPr>
        <w:numId w:val="42"/>
      </w:numPr>
      <w:spacing w:after="220" w:line="240" w:lineRule="auto"/>
    </w:pPr>
    <w:rPr>
      <w:rFonts w:eastAsia="Times New Roman" w:cs="Times New Roman"/>
      <w:sz w:val="22"/>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718">
      <w:bodyDiv w:val="1"/>
      <w:marLeft w:val="0"/>
      <w:marRight w:val="0"/>
      <w:marTop w:val="0"/>
      <w:marBottom w:val="0"/>
      <w:divBdr>
        <w:top w:val="none" w:sz="0" w:space="0" w:color="auto"/>
        <w:left w:val="none" w:sz="0" w:space="0" w:color="auto"/>
        <w:bottom w:val="none" w:sz="0" w:space="0" w:color="auto"/>
        <w:right w:val="none" w:sz="0" w:space="0" w:color="auto"/>
      </w:divBdr>
    </w:div>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6031775">
      <w:bodyDiv w:val="1"/>
      <w:marLeft w:val="0"/>
      <w:marRight w:val="0"/>
      <w:marTop w:val="0"/>
      <w:marBottom w:val="0"/>
      <w:divBdr>
        <w:top w:val="none" w:sz="0" w:space="0" w:color="auto"/>
        <w:left w:val="none" w:sz="0" w:space="0" w:color="auto"/>
        <w:bottom w:val="none" w:sz="0" w:space="0" w:color="auto"/>
        <w:right w:val="none" w:sz="0" w:space="0" w:color="auto"/>
      </w:divBdr>
    </w:div>
    <w:div w:id="8987585">
      <w:bodyDiv w:val="1"/>
      <w:marLeft w:val="0"/>
      <w:marRight w:val="0"/>
      <w:marTop w:val="0"/>
      <w:marBottom w:val="0"/>
      <w:divBdr>
        <w:top w:val="none" w:sz="0" w:space="0" w:color="auto"/>
        <w:left w:val="none" w:sz="0" w:space="0" w:color="auto"/>
        <w:bottom w:val="none" w:sz="0" w:space="0" w:color="auto"/>
        <w:right w:val="none" w:sz="0" w:space="0" w:color="auto"/>
      </w:divBdr>
    </w:div>
    <w:div w:id="14163790">
      <w:bodyDiv w:val="1"/>
      <w:marLeft w:val="0"/>
      <w:marRight w:val="0"/>
      <w:marTop w:val="0"/>
      <w:marBottom w:val="0"/>
      <w:divBdr>
        <w:top w:val="none" w:sz="0" w:space="0" w:color="auto"/>
        <w:left w:val="none" w:sz="0" w:space="0" w:color="auto"/>
        <w:bottom w:val="none" w:sz="0" w:space="0" w:color="auto"/>
        <w:right w:val="none" w:sz="0" w:space="0" w:color="auto"/>
      </w:divBdr>
    </w:div>
    <w:div w:id="14774256">
      <w:bodyDiv w:val="1"/>
      <w:marLeft w:val="0"/>
      <w:marRight w:val="0"/>
      <w:marTop w:val="0"/>
      <w:marBottom w:val="0"/>
      <w:divBdr>
        <w:top w:val="none" w:sz="0" w:space="0" w:color="auto"/>
        <w:left w:val="none" w:sz="0" w:space="0" w:color="auto"/>
        <w:bottom w:val="none" w:sz="0" w:space="0" w:color="auto"/>
        <w:right w:val="none" w:sz="0" w:space="0" w:color="auto"/>
      </w:divBdr>
    </w:div>
    <w:div w:id="23097531">
      <w:bodyDiv w:val="1"/>
      <w:marLeft w:val="0"/>
      <w:marRight w:val="0"/>
      <w:marTop w:val="0"/>
      <w:marBottom w:val="0"/>
      <w:divBdr>
        <w:top w:val="none" w:sz="0" w:space="0" w:color="auto"/>
        <w:left w:val="none" w:sz="0" w:space="0" w:color="auto"/>
        <w:bottom w:val="none" w:sz="0" w:space="0" w:color="auto"/>
        <w:right w:val="none" w:sz="0" w:space="0" w:color="auto"/>
      </w:divBdr>
    </w:div>
    <w:div w:id="25253065">
      <w:bodyDiv w:val="1"/>
      <w:marLeft w:val="0"/>
      <w:marRight w:val="0"/>
      <w:marTop w:val="0"/>
      <w:marBottom w:val="0"/>
      <w:divBdr>
        <w:top w:val="none" w:sz="0" w:space="0" w:color="auto"/>
        <w:left w:val="none" w:sz="0" w:space="0" w:color="auto"/>
        <w:bottom w:val="none" w:sz="0" w:space="0" w:color="auto"/>
        <w:right w:val="none" w:sz="0" w:space="0" w:color="auto"/>
      </w:divBdr>
    </w:div>
    <w:div w:id="26611067">
      <w:bodyDiv w:val="1"/>
      <w:marLeft w:val="0"/>
      <w:marRight w:val="0"/>
      <w:marTop w:val="0"/>
      <w:marBottom w:val="0"/>
      <w:divBdr>
        <w:top w:val="none" w:sz="0" w:space="0" w:color="auto"/>
        <w:left w:val="none" w:sz="0" w:space="0" w:color="auto"/>
        <w:bottom w:val="none" w:sz="0" w:space="0" w:color="auto"/>
        <w:right w:val="none" w:sz="0" w:space="0" w:color="auto"/>
      </w:divBdr>
    </w:div>
    <w:div w:id="27804191">
      <w:bodyDiv w:val="1"/>
      <w:marLeft w:val="0"/>
      <w:marRight w:val="0"/>
      <w:marTop w:val="0"/>
      <w:marBottom w:val="0"/>
      <w:divBdr>
        <w:top w:val="none" w:sz="0" w:space="0" w:color="auto"/>
        <w:left w:val="none" w:sz="0" w:space="0" w:color="auto"/>
        <w:bottom w:val="none" w:sz="0" w:space="0" w:color="auto"/>
        <w:right w:val="none" w:sz="0" w:space="0" w:color="auto"/>
      </w:divBdr>
    </w:div>
    <w:div w:id="59989422">
      <w:bodyDiv w:val="1"/>
      <w:marLeft w:val="0"/>
      <w:marRight w:val="0"/>
      <w:marTop w:val="0"/>
      <w:marBottom w:val="0"/>
      <w:divBdr>
        <w:top w:val="none" w:sz="0" w:space="0" w:color="auto"/>
        <w:left w:val="none" w:sz="0" w:space="0" w:color="auto"/>
        <w:bottom w:val="none" w:sz="0" w:space="0" w:color="auto"/>
        <w:right w:val="none" w:sz="0" w:space="0" w:color="auto"/>
      </w:divBdr>
    </w:div>
    <w:div w:id="60301092">
      <w:bodyDiv w:val="1"/>
      <w:marLeft w:val="0"/>
      <w:marRight w:val="0"/>
      <w:marTop w:val="0"/>
      <w:marBottom w:val="0"/>
      <w:divBdr>
        <w:top w:val="none" w:sz="0" w:space="0" w:color="auto"/>
        <w:left w:val="none" w:sz="0" w:space="0" w:color="auto"/>
        <w:bottom w:val="none" w:sz="0" w:space="0" w:color="auto"/>
        <w:right w:val="none" w:sz="0" w:space="0" w:color="auto"/>
      </w:divBdr>
    </w:div>
    <w:div w:id="61149094">
      <w:bodyDiv w:val="1"/>
      <w:marLeft w:val="0"/>
      <w:marRight w:val="0"/>
      <w:marTop w:val="0"/>
      <w:marBottom w:val="0"/>
      <w:divBdr>
        <w:top w:val="none" w:sz="0" w:space="0" w:color="auto"/>
        <w:left w:val="none" w:sz="0" w:space="0" w:color="auto"/>
        <w:bottom w:val="none" w:sz="0" w:space="0" w:color="auto"/>
        <w:right w:val="none" w:sz="0" w:space="0" w:color="auto"/>
      </w:divBdr>
    </w:div>
    <w:div w:id="61487800">
      <w:bodyDiv w:val="1"/>
      <w:marLeft w:val="0"/>
      <w:marRight w:val="0"/>
      <w:marTop w:val="0"/>
      <w:marBottom w:val="0"/>
      <w:divBdr>
        <w:top w:val="none" w:sz="0" w:space="0" w:color="auto"/>
        <w:left w:val="none" w:sz="0" w:space="0" w:color="auto"/>
        <w:bottom w:val="none" w:sz="0" w:space="0" w:color="auto"/>
        <w:right w:val="none" w:sz="0" w:space="0" w:color="auto"/>
      </w:divBdr>
    </w:div>
    <w:div w:id="66270127">
      <w:bodyDiv w:val="1"/>
      <w:marLeft w:val="0"/>
      <w:marRight w:val="0"/>
      <w:marTop w:val="0"/>
      <w:marBottom w:val="0"/>
      <w:divBdr>
        <w:top w:val="none" w:sz="0" w:space="0" w:color="auto"/>
        <w:left w:val="none" w:sz="0" w:space="0" w:color="auto"/>
        <w:bottom w:val="none" w:sz="0" w:space="0" w:color="auto"/>
        <w:right w:val="none" w:sz="0" w:space="0" w:color="auto"/>
      </w:divBdr>
    </w:div>
    <w:div w:id="66613489">
      <w:bodyDiv w:val="1"/>
      <w:marLeft w:val="0"/>
      <w:marRight w:val="0"/>
      <w:marTop w:val="0"/>
      <w:marBottom w:val="0"/>
      <w:divBdr>
        <w:top w:val="none" w:sz="0" w:space="0" w:color="auto"/>
        <w:left w:val="none" w:sz="0" w:space="0" w:color="auto"/>
        <w:bottom w:val="none" w:sz="0" w:space="0" w:color="auto"/>
        <w:right w:val="none" w:sz="0" w:space="0" w:color="auto"/>
      </w:divBdr>
    </w:div>
    <w:div w:id="84156631">
      <w:bodyDiv w:val="1"/>
      <w:marLeft w:val="0"/>
      <w:marRight w:val="0"/>
      <w:marTop w:val="0"/>
      <w:marBottom w:val="0"/>
      <w:divBdr>
        <w:top w:val="none" w:sz="0" w:space="0" w:color="auto"/>
        <w:left w:val="none" w:sz="0" w:space="0" w:color="auto"/>
        <w:bottom w:val="none" w:sz="0" w:space="0" w:color="auto"/>
        <w:right w:val="none" w:sz="0" w:space="0" w:color="auto"/>
      </w:divBdr>
    </w:div>
    <w:div w:id="85197611">
      <w:bodyDiv w:val="1"/>
      <w:marLeft w:val="0"/>
      <w:marRight w:val="0"/>
      <w:marTop w:val="0"/>
      <w:marBottom w:val="0"/>
      <w:divBdr>
        <w:top w:val="none" w:sz="0" w:space="0" w:color="auto"/>
        <w:left w:val="none" w:sz="0" w:space="0" w:color="auto"/>
        <w:bottom w:val="none" w:sz="0" w:space="0" w:color="auto"/>
        <w:right w:val="none" w:sz="0" w:space="0" w:color="auto"/>
      </w:divBdr>
    </w:div>
    <w:div w:id="85463050">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4206978">
      <w:bodyDiv w:val="1"/>
      <w:marLeft w:val="0"/>
      <w:marRight w:val="0"/>
      <w:marTop w:val="0"/>
      <w:marBottom w:val="0"/>
      <w:divBdr>
        <w:top w:val="none" w:sz="0" w:space="0" w:color="auto"/>
        <w:left w:val="none" w:sz="0" w:space="0" w:color="auto"/>
        <w:bottom w:val="none" w:sz="0" w:space="0" w:color="auto"/>
        <w:right w:val="none" w:sz="0" w:space="0" w:color="auto"/>
      </w:divBdr>
    </w:div>
    <w:div w:id="95684974">
      <w:bodyDiv w:val="1"/>
      <w:marLeft w:val="0"/>
      <w:marRight w:val="0"/>
      <w:marTop w:val="0"/>
      <w:marBottom w:val="0"/>
      <w:divBdr>
        <w:top w:val="none" w:sz="0" w:space="0" w:color="auto"/>
        <w:left w:val="none" w:sz="0" w:space="0" w:color="auto"/>
        <w:bottom w:val="none" w:sz="0" w:space="0" w:color="auto"/>
        <w:right w:val="none" w:sz="0" w:space="0" w:color="auto"/>
      </w:divBdr>
    </w:div>
    <w:div w:id="104737346">
      <w:bodyDiv w:val="1"/>
      <w:marLeft w:val="0"/>
      <w:marRight w:val="0"/>
      <w:marTop w:val="0"/>
      <w:marBottom w:val="0"/>
      <w:divBdr>
        <w:top w:val="none" w:sz="0" w:space="0" w:color="auto"/>
        <w:left w:val="none" w:sz="0" w:space="0" w:color="auto"/>
        <w:bottom w:val="none" w:sz="0" w:space="0" w:color="auto"/>
        <w:right w:val="none" w:sz="0" w:space="0" w:color="auto"/>
      </w:divBdr>
    </w:div>
    <w:div w:id="109083828">
      <w:bodyDiv w:val="1"/>
      <w:marLeft w:val="0"/>
      <w:marRight w:val="0"/>
      <w:marTop w:val="0"/>
      <w:marBottom w:val="0"/>
      <w:divBdr>
        <w:top w:val="none" w:sz="0" w:space="0" w:color="auto"/>
        <w:left w:val="none" w:sz="0" w:space="0" w:color="auto"/>
        <w:bottom w:val="none" w:sz="0" w:space="0" w:color="auto"/>
        <w:right w:val="none" w:sz="0" w:space="0" w:color="auto"/>
      </w:divBdr>
    </w:div>
    <w:div w:id="110369346">
      <w:bodyDiv w:val="1"/>
      <w:marLeft w:val="0"/>
      <w:marRight w:val="0"/>
      <w:marTop w:val="0"/>
      <w:marBottom w:val="0"/>
      <w:divBdr>
        <w:top w:val="none" w:sz="0" w:space="0" w:color="auto"/>
        <w:left w:val="none" w:sz="0" w:space="0" w:color="auto"/>
        <w:bottom w:val="none" w:sz="0" w:space="0" w:color="auto"/>
        <w:right w:val="none" w:sz="0" w:space="0" w:color="auto"/>
      </w:divBdr>
    </w:div>
    <w:div w:id="116486716">
      <w:bodyDiv w:val="1"/>
      <w:marLeft w:val="0"/>
      <w:marRight w:val="0"/>
      <w:marTop w:val="0"/>
      <w:marBottom w:val="0"/>
      <w:divBdr>
        <w:top w:val="none" w:sz="0" w:space="0" w:color="auto"/>
        <w:left w:val="none" w:sz="0" w:space="0" w:color="auto"/>
        <w:bottom w:val="none" w:sz="0" w:space="0" w:color="auto"/>
        <w:right w:val="none" w:sz="0" w:space="0" w:color="auto"/>
      </w:divBdr>
    </w:div>
    <w:div w:id="122576576">
      <w:bodyDiv w:val="1"/>
      <w:marLeft w:val="0"/>
      <w:marRight w:val="0"/>
      <w:marTop w:val="0"/>
      <w:marBottom w:val="0"/>
      <w:divBdr>
        <w:top w:val="none" w:sz="0" w:space="0" w:color="auto"/>
        <w:left w:val="none" w:sz="0" w:space="0" w:color="auto"/>
        <w:bottom w:val="none" w:sz="0" w:space="0" w:color="auto"/>
        <w:right w:val="none" w:sz="0" w:space="0" w:color="auto"/>
      </w:divBdr>
    </w:div>
    <w:div w:id="125896289">
      <w:bodyDiv w:val="1"/>
      <w:marLeft w:val="0"/>
      <w:marRight w:val="0"/>
      <w:marTop w:val="0"/>
      <w:marBottom w:val="0"/>
      <w:divBdr>
        <w:top w:val="none" w:sz="0" w:space="0" w:color="auto"/>
        <w:left w:val="none" w:sz="0" w:space="0" w:color="auto"/>
        <w:bottom w:val="none" w:sz="0" w:space="0" w:color="auto"/>
        <w:right w:val="none" w:sz="0" w:space="0" w:color="auto"/>
      </w:divBdr>
    </w:div>
    <w:div w:id="128792812">
      <w:bodyDiv w:val="1"/>
      <w:marLeft w:val="0"/>
      <w:marRight w:val="0"/>
      <w:marTop w:val="0"/>
      <w:marBottom w:val="0"/>
      <w:divBdr>
        <w:top w:val="none" w:sz="0" w:space="0" w:color="auto"/>
        <w:left w:val="none" w:sz="0" w:space="0" w:color="auto"/>
        <w:bottom w:val="none" w:sz="0" w:space="0" w:color="auto"/>
        <w:right w:val="none" w:sz="0" w:space="0" w:color="auto"/>
      </w:divBdr>
    </w:div>
    <w:div w:id="139422052">
      <w:bodyDiv w:val="1"/>
      <w:marLeft w:val="0"/>
      <w:marRight w:val="0"/>
      <w:marTop w:val="0"/>
      <w:marBottom w:val="0"/>
      <w:divBdr>
        <w:top w:val="none" w:sz="0" w:space="0" w:color="auto"/>
        <w:left w:val="none" w:sz="0" w:space="0" w:color="auto"/>
        <w:bottom w:val="none" w:sz="0" w:space="0" w:color="auto"/>
        <w:right w:val="none" w:sz="0" w:space="0" w:color="auto"/>
      </w:divBdr>
    </w:div>
    <w:div w:id="139422055">
      <w:bodyDiv w:val="1"/>
      <w:marLeft w:val="0"/>
      <w:marRight w:val="0"/>
      <w:marTop w:val="0"/>
      <w:marBottom w:val="0"/>
      <w:divBdr>
        <w:top w:val="none" w:sz="0" w:space="0" w:color="auto"/>
        <w:left w:val="none" w:sz="0" w:space="0" w:color="auto"/>
        <w:bottom w:val="none" w:sz="0" w:space="0" w:color="auto"/>
        <w:right w:val="none" w:sz="0" w:space="0" w:color="auto"/>
      </w:divBdr>
    </w:div>
    <w:div w:id="158424198">
      <w:bodyDiv w:val="1"/>
      <w:marLeft w:val="0"/>
      <w:marRight w:val="0"/>
      <w:marTop w:val="0"/>
      <w:marBottom w:val="0"/>
      <w:divBdr>
        <w:top w:val="none" w:sz="0" w:space="0" w:color="auto"/>
        <w:left w:val="none" w:sz="0" w:space="0" w:color="auto"/>
        <w:bottom w:val="none" w:sz="0" w:space="0" w:color="auto"/>
        <w:right w:val="none" w:sz="0" w:space="0" w:color="auto"/>
      </w:divBdr>
    </w:div>
    <w:div w:id="159274807">
      <w:bodyDiv w:val="1"/>
      <w:marLeft w:val="0"/>
      <w:marRight w:val="0"/>
      <w:marTop w:val="0"/>
      <w:marBottom w:val="0"/>
      <w:divBdr>
        <w:top w:val="none" w:sz="0" w:space="0" w:color="auto"/>
        <w:left w:val="none" w:sz="0" w:space="0" w:color="auto"/>
        <w:bottom w:val="none" w:sz="0" w:space="0" w:color="auto"/>
        <w:right w:val="none" w:sz="0" w:space="0" w:color="auto"/>
      </w:divBdr>
    </w:div>
    <w:div w:id="167909674">
      <w:bodyDiv w:val="1"/>
      <w:marLeft w:val="0"/>
      <w:marRight w:val="0"/>
      <w:marTop w:val="0"/>
      <w:marBottom w:val="0"/>
      <w:divBdr>
        <w:top w:val="none" w:sz="0" w:space="0" w:color="auto"/>
        <w:left w:val="none" w:sz="0" w:space="0" w:color="auto"/>
        <w:bottom w:val="none" w:sz="0" w:space="0" w:color="auto"/>
        <w:right w:val="none" w:sz="0" w:space="0" w:color="auto"/>
      </w:divBdr>
    </w:div>
    <w:div w:id="172839263">
      <w:bodyDiv w:val="1"/>
      <w:marLeft w:val="0"/>
      <w:marRight w:val="0"/>
      <w:marTop w:val="0"/>
      <w:marBottom w:val="0"/>
      <w:divBdr>
        <w:top w:val="none" w:sz="0" w:space="0" w:color="auto"/>
        <w:left w:val="none" w:sz="0" w:space="0" w:color="auto"/>
        <w:bottom w:val="none" w:sz="0" w:space="0" w:color="auto"/>
        <w:right w:val="none" w:sz="0" w:space="0" w:color="auto"/>
      </w:divBdr>
    </w:div>
    <w:div w:id="178007922">
      <w:bodyDiv w:val="1"/>
      <w:marLeft w:val="0"/>
      <w:marRight w:val="0"/>
      <w:marTop w:val="0"/>
      <w:marBottom w:val="0"/>
      <w:divBdr>
        <w:top w:val="none" w:sz="0" w:space="0" w:color="auto"/>
        <w:left w:val="none" w:sz="0" w:space="0" w:color="auto"/>
        <w:bottom w:val="none" w:sz="0" w:space="0" w:color="auto"/>
        <w:right w:val="none" w:sz="0" w:space="0" w:color="auto"/>
      </w:divBdr>
    </w:div>
    <w:div w:id="180511948">
      <w:bodyDiv w:val="1"/>
      <w:marLeft w:val="0"/>
      <w:marRight w:val="0"/>
      <w:marTop w:val="0"/>
      <w:marBottom w:val="0"/>
      <w:divBdr>
        <w:top w:val="none" w:sz="0" w:space="0" w:color="auto"/>
        <w:left w:val="none" w:sz="0" w:space="0" w:color="auto"/>
        <w:bottom w:val="none" w:sz="0" w:space="0" w:color="auto"/>
        <w:right w:val="none" w:sz="0" w:space="0" w:color="auto"/>
      </w:divBdr>
    </w:div>
    <w:div w:id="186606833">
      <w:bodyDiv w:val="1"/>
      <w:marLeft w:val="0"/>
      <w:marRight w:val="0"/>
      <w:marTop w:val="0"/>
      <w:marBottom w:val="0"/>
      <w:divBdr>
        <w:top w:val="none" w:sz="0" w:space="0" w:color="auto"/>
        <w:left w:val="none" w:sz="0" w:space="0" w:color="auto"/>
        <w:bottom w:val="none" w:sz="0" w:space="0" w:color="auto"/>
        <w:right w:val="none" w:sz="0" w:space="0" w:color="auto"/>
      </w:divBdr>
    </w:div>
    <w:div w:id="198321437">
      <w:bodyDiv w:val="1"/>
      <w:marLeft w:val="0"/>
      <w:marRight w:val="0"/>
      <w:marTop w:val="0"/>
      <w:marBottom w:val="0"/>
      <w:divBdr>
        <w:top w:val="none" w:sz="0" w:space="0" w:color="auto"/>
        <w:left w:val="none" w:sz="0" w:space="0" w:color="auto"/>
        <w:bottom w:val="none" w:sz="0" w:space="0" w:color="auto"/>
        <w:right w:val="none" w:sz="0" w:space="0" w:color="auto"/>
      </w:divBdr>
    </w:div>
    <w:div w:id="198517239">
      <w:bodyDiv w:val="1"/>
      <w:marLeft w:val="0"/>
      <w:marRight w:val="0"/>
      <w:marTop w:val="0"/>
      <w:marBottom w:val="0"/>
      <w:divBdr>
        <w:top w:val="none" w:sz="0" w:space="0" w:color="auto"/>
        <w:left w:val="none" w:sz="0" w:space="0" w:color="auto"/>
        <w:bottom w:val="none" w:sz="0" w:space="0" w:color="auto"/>
        <w:right w:val="none" w:sz="0" w:space="0" w:color="auto"/>
      </w:divBdr>
    </w:div>
    <w:div w:id="20048191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7956032">
      <w:bodyDiv w:val="1"/>
      <w:marLeft w:val="0"/>
      <w:marRight w:val="0"/>
      <w:marTop w:val="0"/>
      <w:marBottom w:val="0"/>
      <w:divBdr>
        <w:top w:val="none" w:sz="0" w:space="0" w:color="auto"/>
        <w:left w:val="none" w:sz="0" w:space="0" w:color="auto"/>
        <w:bottom w:val="none" w:sz="0" w:space="0" w:color="auto"/>
        <w:right w:val="none" w:sz="0" w:space="0" w:color="auto"/>
      </w:divBdr>
    </w:div>
    <w:div w:id="211036505">
      <w:bodyDiv w:val="1"/>
      <w:marLeft w:val="0"/>
      <w:marRight w:val="0"/>
      <w:marTop w:val="0"/>
      <w:marBottom w:val="0"/>
      <w:divBdr>
        <w:top w:val="none" w:sz="0" w:space="0" w:color="auto"/>
        <w:left w:val="none" w:sz="0" w:space="0" w:color="auto"/>
        <w:bottom w:val="none" w:sz="0" w:space="0" w:color="auto"/>
        <w:right w:val="none" w:sz="0" w:space="0" w:color="auto"/>
      </w:divBdr>
    </w:div>
    <w:div w:id="220410243">
      <w:bodyDiv w:val="1"/>
      <w:marLeft w:val="0"/>
      <w:marRight w:val="0"/>
      <w:marTop w:val="0"/>
      <w:marBottom w:val="0"/>
      <w:divBdr>
        <w:top w:val="none" w:sz="0" w:space="0" w:color="auto"/>
        <w:left w:val="none" w:sz="0" w:space="0" w:color="auto"/>
        <w:bottom w:val="none" w:sz="0" w:space="0" w:color="auto"/>
        <w:right w:val="none" w:sz="0" w:space="0" w:color="auto"/>
      </w:divBdr>
    </w:div>
    <w:div w:id="230433605">
      <w:bodyDiv w:val="1"/>
      <w:marLeft w:val="0"/>
      <w:marRight w:val="0"/>
      <w:marTop w:val="0"/>
      <w:marBottom w:val="0"/>
      <w:divBdr>
        <w:top w:val="none" w:sz="0" w:space="0" w:color="auto"/>
        <w:left w:val="none" w:sz="0" w:space="0" w:color="auto"/>
        <w:bottom w:val="none" w:sz="0" w:space="0" w:color="auto"/>
        <w:right w:val="none" w:sz="0" w:space="0" w:color="auto"/>
      </w:divBdr>
    </w:div>
    <w:div w:id="234704284">
      <w:bodyDiv w:val="1"/>
      <w:marLeft w:val="0"/>
      <w:marRight w:val="0"/>
      <w:marTop w:val="0"/>
      <w:marBottom w:val="0"/>
      <w:divBdr>
        <w:top w:val="none" w:sz="0" w:space="0" w:color="auto"/>
        <w:left w:val="none" w:sz="0" w:space="0" w:color="auto"/>
        <w:bottom w:val="none" w:sz="0" w:space="0" w:color="auto"/>
        <w:right w:val="none" w:sz="0" w:space="0" w:color="auto"/>
      </w:divBdr>
    </w:div>
    <w:div w:id="242222517">
      <w:bodyDiv w:val="1"/>
      <w:marLeft w:val="0"/>
      <w:marRight w:val="0"/>
      <w:marTop w:val="0"/>
      <w:marBottom w:val="0"/>
      <w:divBdr>
        <w:top w:val="none" w:sz="0" w:space="0" w:color="auto"/>
        <w:left w:val="none" w:sz="0" w:space="0" w:color="auto"/>
        <w:bottom w:val="none" w:sz="0" w:space="0" w:color="auto"/>
        <w:right w:val="none" w:sz="0" w:space="0" w:color="auto"/>
      </w:divBdr>
    </w:div>
    <w:div w:id="242376751">
      <w:bodyDiv w:val="1"/>
      <w:marLeft w:val="0"/>
      <w:marRight w:val="0"/>
      <w:marTop w:val="0"/>
      <w:marBottom w:val="0"/>
      <w:divBdr>
        <w:top w:val="none" w:sz="0" w:space="0" w:color="auto"/>
        <w:left w:val="none" w:sz="0" w:space="0" w:color="auto"/>
        <w:bottom w:val="none" w:sz="0" w:space="0" w:color="auto"/>
        <w:right w:val="none" w:sz="0" w:space="0" w:color="auto"/>
      </w:divBdr>
    </w:div>
    <w:div w:id="248200589">
      <w:bodyDiv w:val="1"/>
      <w:marLeft w:val="0"/>
      <w:marRight w:val="0"/>
      <w:marTop w:val="0"/>
      <w:marBottom w:val="0"/>
      <w:divBdr>
        <w:top w:val="none" w:sz="0" w:space="0" w:color="auto"/>
        <w:left w:val="none" w:sz="0" w:space="0" w:color="auto"/>
        <w:bottom w:val="none" w:sz="0" w:space="0" w:color="auto"/>
        <w:right w:val="none" w:sz="0" w:space="0" w:color="auto"/>
      </w:divBdr>
    </w:div>
    <w:div w:id="252125227">
      <w:bodyDiv w:val="1"/>
      <w:marLeft w:val="0"/>
      <w:marRight w:val="0"/>
      <w:marTop w:val="0"/>
      <w:marBottom w:val="0"/>
      <w:divBdr>
        <w:top w:val="none" w:sz="0" w:space="0" w:color="auto"/>
        <w:left w:val="none" w:sz="0" w:space="0" w:color="auto"/>
        <w:bottom w:val="none" w:sz="0" w:space="0" w:color="auto"/>
        <w:right w:val="none" w:sz="0" w:space="0" w:color="auto"/>
      </w:divBdr>
    </w:div>
    <w:div w:id="258803774">
      <w:bodyDiv w:val="1"/>
      <w:marLeft w:val="0"/>
      <w:marRight w:val="0"/>
      <w:marTop w:val="0"/>
      <w:marBottom w:val="0"/>
      <w:divBdr>
        <w:top w:val="none" w:sz="0" w:space="0" w:color="auto"/>
        <w:left w:val="none" w:sz="0" w:space="0" w:color="auto"/>
        <w:bottom w:val="none" w:sz="0" w:space="0" w:color="auto"/>
        <w:right w:val="none" w:sz="0" w:space="0" w:color="auto"/>
      </w:divBdr>
    </w:div>
    <w:div w:id="260379200">
      <w:bodyDiv w:val="1"/>
      <w:marLeft w:val="0"/>
      <w:marRight w:val="0"/>
      <w:marTop w:val="0"/>
      <w:marBottom w:val="0"/>
      <w:divBdr>
        <w:top w:val="none" w:sz="0" w:space="0" w:color="auto"/>
        <w:left w:val="none" w:sz="0" w:space="0" w:color="auto"/>
        <w:bottom w:val="none" w:sz="0" w:space="0" w:color="auto"/>
        <w:right w:val="none" w:sz="0" w:space="0" w:color="auto"/>
      </w:divBdr>
    </w:div>
    <w:div w:id="260455418">
      <w:bodyDiv w:val="1"/>
      <w:marLeft w:val="0"/>
      <w:marRight w:val="0"/>
      <w:marTop w:val="0"/>
      <w:marBottom w:val="0"/>
      <w:divBdr>
        <w:top w:val="none" w:sz="0" w:space="0" w:color="auto"/>
        <w:left w:val="none" w:sz="0" w:space="0" w:color="auto"/>
        <w:bottom w:val="none" w:sz="0" w:space="0" w:color="auto"/>
        <w:right w:val="none" w:sz="0" w:space="0" w:color="auto"/>
      </w:divBdr>
    </w:div>
    <w:div w:id="276300407">
      <w:bodyDiv w:val="1"/>
      <w:marLeft w:val="0"/>
      <w:marRight w:val="0"/>
      <w:marTop w:val="0"/>
      <w:marBottom w:val="0"/>
      <w:divBdr>
        <w:top w:val="none" w:sz="0" w:space="0" w:color="auto"/>
        <w:left w:val="none" w:sz="0" w:space="0" w:color="auto"/>
        <w:bottom w:val="none" w:sz="0" w:space="0" w:color="auto"/>
        <w:right w:val="none" w:sz="0" w:space="0" w:color="auto"/>
      </w:divBdr>
    </w:div>
    <w:div w:id="285507288">
      <w:bodyDiv w:val="1"/>
      <w:marLeft w:val="0"/>
      <w:marRight w:val="0"/>
      <w:marTop w:val="0"/>
      <w:marBottom w:val="0"/>
      <w:divBdr>
        <w:top w:val="none" w:sz="0" w:space="0" w:color="auto"/>
        <w:left w:val="none" w:sz="0" w:space="0" w:color="auto"/>
        <w:bottom w:val="none" w:sz="0" w:space="0" w:color="auto"/>
        <w:right w:val="none" w:sz="0" w:space="0" w:color="auto"/>
      </w:divBdr>
    </w:div>
    <w:div w:id="290719622">
      <w:bodyDiv w:val="1"/>
      <w:marLeft w:val="0"/>
      <w:marRight w:val="0"/>
      <w:marTop w:val="0"/>
      <w:marBottom w:val="0"/>
      <w:divBdr>
        <w:top w:val="none" w:sz="0" w:space="0" w:color="auto"/>
        <w:left w:val="none" w:sz="0" w:space="0" w:color="auto"/>
        <w:bottom w:val="none" w:sz="0" w:space="0" w:color="auto"/>
        <w:right w:val="none" w:sz="0" w:space="0" w:color="auto"/>
      </w:divBdr>
    </w:div>
    <w:div w:id="293757697">
      <w:bodyDiv w:val="1"/>
      <w:marLeft w:val="0"/>
      <w:marRight w:val="0"/>
      <w:marTop w:val="0"/>
      <w:marBottom w:val="0"/>
      <w:divBdr>
        <w:top w:val="none" w:sz="0" w:space="0" w:color="auto"/>
        <w:left w:val="none" w:sz="0" w:space="0" w:color="auto"/>
        <w:bottom w:val="none" w:sz="0" w:space="0" w:color="auto"/>
        <w:right w:val="none" w:sz="0" w:space="0" w:color="auto"/>
      </w:divBdr>
    </w:div>
    <w:div w:id="303046261">
      <w:bodyDiv w:val="1"/>
      <w:marLeft w:val="0"/>
      <w:marRight w:val="0"/>
      <w:marTop w:val="0"/>
      <w:marBottom w:val="0"/>
      <w:divBdr>
        <w:top w:val="none" w:sz="0" w:space="0" w:color="auto"/>
        <w:left w:val="none" w:sz="0" w:space="0" w:color="auto"/>
        <w:bottom w:val="none" w:sz="0" w:space="0" w:color="auto"/>
        <w:right w:val="none" w:sz="0" w:space="0" w:color="auto"/>
      </w:divBdr>
    </w:div>
    <w:div w:id="306130003">
      <w:bodyDiv w:val="1"/>
      <w:marLeft w:val="0"/>
      <w:marRight w:val="0"/>
      <w:marTop w:val="0"/>
      <w:marBottom w:val="0"/>
      <w:divBdr>
        <w:top w:val="none" w:sz="0" w:space="0" w:color="auto"/>
        <w:left w:val="none" w:sz="0" w:space="0" w:color="auto"/>
        <w:bottom w:val="none" w:sz="0" w:space="0" w:color="auto"/>
        <w:right w:val="none" w:sz="0" w:space="0" w:color="auto"/>
      </w:divBdr>
    </w:div>
    <w:div w:id="319162235">
      <w:bodyDiv w:val="1"/>
      <w:marLeft w:val="0"/>
      <w:marRight w:val="0"/>
      <w:marTop w:val="0"/>
      <w:marBottom w:val="0"/>
      <w:divBdr>
        <w:top w:val="none" w:sz="0" w:space="0" w:color="auto"/>
        <w:left w:val="none" w:sz="0" w:space="0" w:color="auto"/>
        <w:bottom w:val="none" w:sz="0" w:space="0" w:color="auto"/>
        <w:right w:val="none" w:sz="0" w:space="0" w:color="auto"/>
      </w:divBdr>
    </w:div>
    <w:div w:id="322701824">
      <w:bodyDiv w:val="1"/>
      <w:marLeft w:val="0"/>
      <w:marRight w:val="0"/>
      <w:marTop w:val="0"/>
      <w:marBottom w:val="0"/>
      <w:divBdr>
        <w:top w:val="none" w:sz="0" w:space="0" w:color="auto"/>
        <w:left w:val="none" w:sz="0" w:space="0" w:color="auto"/>
        <w:bottom w:val="none" w:sz="0" w:space="0" w:color="auto"/>
        <w:right w:val="none" w:sz="0" w:space="0" w:color="auto"/>
      </w:divBdr>
    </w:div>
    <w:div w:id="326635455">
      <w:bodyDiv w:val="1"/>
      <w:marLeft w:val="0"/>
      <w:marRight w:val="0"/>
      <w:marTop w:val="0"/>
      <w:marBottom w:val="0"/>
      <w:divBdr>
        <w:top w:val="none" w:sz="0" w:space="0" w:color="auto"/>
        <w:left w:val="none" w:sz="0" w:space="0" w:color="auto"/>
        <w:bottom w:val="none" w:sz="0" w:space="0" w:color="auto"/>
        <w:right w:val="none" w:sz="0" w:space="0" w:color="auto"/>
      </w:divBdr>
    </w:div>
    <w:div w:id="327252931">
      <w:bodyDiv w:val="1"/>
      <w:marLeft w:val="0"/>
      <w:marRight w:val="0"/>
      <w:marTop w:val="0"/>
      <w:marBottom w:val="0"/>
      <w:divBdr>
        <w:top w:val="none" w:sz="0" w:space="0" w:color="auto"/>
        <w:left w:val="none" w:sz="0" w:space="0" w:color="auto"/>
        <w:bottom w:val="none" w:sz="0" w:space="0" w:color="auto"/>
        <w:right w:val="none" w:sz="0" w:space="0" w:color="auto"/>
      </w:divBdr>
    </w:div>
    <w:div w:id="332101411">
      <w:bodyDiv w:val="1"/>
      <w:marLeft w:val="0"/>
      <w:marRight w:val="0"/>
      <w:marTop w:val="0"/>
      <w:marBottom w:val="0"/>
      <w:divBdr>
        <w:top w:val="none" w:sz="0" w:space="0" w:color="auto"/>
        <w:left w:val="none" w:sz="0" w:space="0" w:color="auto"/>
        <w:bottom w:val="none" w:sz="0" w:space="0" w:color="auto"/>
        <w:right w:val="none" w:sz="0" w:space="0" w:color="auto"/>
      </w:divBdr>
    </w:div>
    <w:div w:id="333463182">
      <w:bodyDiv w:val="1"/>
      <w:marLeft w:val="0"/>
      <w:marRight w:val="0"/>
      <w:marTop w:val="0"/>
      <w:marBottom w:val="0"/>
      <w:divBdr>
        <w:top w:val="none" w:sz="0" w:space="0" w:color="auto"/>
        <w:left w:val="none" w:sz="0" w:space="0" w:color="auto"/>
        <w:bottom w:val="none" w:sz="0" w:space="0" w:color="auto"/>
        <w:right w:val="none" w:sz="0" w:space="0" w:color="auto"/>
      </w:divBdr>
    </w:div>
    <w:div w:id="33423610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7735463">
      <w:bodyDiv w:val="1"/>
      <w:marLeft w:val="0"/>
      <w:marRight w:val="0"/>
      <w:marTop w:val="0"/>
      <w:marBottom w:val="0"/>
      <w:divBdr>
        <w:top w:val="none" w:sz="0" w:space="0" w:color="auto"/>
        <w:left w:val="none" w:sz="0" w:space="0" w:color="auto"/>
        <w:bottom w:val="none" w:sz="0" w:space="0" w:color="auto"/>
        <w:right w:val="none" w:sz="0" w:space="0" w:color="auto"/>
      </w:divBdr>
    </w:div>
    <w:div w:id="343436883">
      <w:bodyDiv w:val="1"/>
      <w:marLeft w:val="0"/>
      <w:marRight w:val="0"/>
      <w:marTop w:val="0"/>
      <w:marBottom w:val="0"/>
      <w:divBdr>
        <w:top w:val="none" w:sz="0" w:space="0" w:color="auto"/>
        <w:left w:val="none" w:sz="0" w:space="0" w:color="auto"/>
        <w:bottom w:val="none" w:sz="0" w:space="0" w:color="auto"/>
        <w:right w:val="none" w:sz="0" w:space="0" w:color="auto"/>
      </w:divBdr>
    </w:div>
    <w:div w:id="345329155">
      <w:bodyDiv w:val="1"/>
      <w:marLeft w:val="0"/>
      <w:marRight w:val="0"/>
      <w:marTop w:val="0"/>
      <w:marBottom w:val="0"/>
      <w:divBdr>
        <w:top w:val="none" w:sz="0" w:space="0" w:color="auto"/>
        <w:left w:val="none" w:sz="0" w:space="0" w:color="auto"/>
        <w:bottom w:val="none" w:sz="0" w:space="0" w:color="auto"/>
        <w:right w:val="none" w:sz="0" w:space="0" w:color="auto"/>
      </w:divBdr>
    </w:div>
    <w:div w:id="347831394">
      <w:bodyDiv w:val="1"/>
      <w:marLeft w:val="0"/>
      <w:marRight w:val="0"/>
      <w:marTop w:val="0"/>
      <w:marBottom w:val="0"/>
      <w:divBdr>
        <w:top w:val="none" w:sz="0" w:space="0" w:color="auto"/>
        <w:left w:val="none" w:sz="0" w:space="0" w:color="auto"/>
        <w:bottom w:val="none" w:sz="0" w:space="0" w:color="auto"/>
        <w:right w:val="none" w:sz="0" w:space="0" w:color="auto"/>
      </w:divBdr>
    </w:div>
    <w:div w:id="348528064">
      <w:bodyDiv w:val="1"/>
      <w:marLeft w:val="0"/>
      <w:marRight w:val="0"/>
      <w:marTop w:val="0"/>
      <w:marBottom w:val="0"/>
      <w:divBdr>
        <w:top w:val="none" w:sz="0" w:space="0" w:color="auto"/>
        <w:left w:val="none" w:sz="0" w:space="0" w:color="auto"/>
        <w:bottom w:val="none" w:sz="0" w:space="0" w:color="auto"/>
        <w:right w:val="none" w:sz="0" w:space="0" w:color="auto"/>
      </w:divBdr>
    </w:div>
    <w:div w:id="351340857">
      <w:bodyDiv w:val="1"/>
      <w:marLeft w:val="0"/>
      <w:marRight w:val="0"/>
      <w:marTop w:val="0"/>
      <w:marBottom w:val="0"/>
      <w:divBdr>
        <w:top w:val="none" w:sz="0" w:space="0" w:color="auto"/>
        <w:left w:val="none" w:sz="0" w:space="0" w:color="auto"/>
        <w:bottom w:val="none" w:sz="0" w:space="0" w:color="auto"/>
        <w:right w:val="none" w:sz="0" w:space="0" w:color="auto"/>
      </w:divBdr>
    </w:div>
    <w:div w:id="356779624">
      <w:bodyDiv w:val="1"/>
      <w:marLeft w:val="0"/>
      <w:marRight w:val="0"/>
      <w:marTop w:val="0"/>
      <w:marBottom w:val="0"/>
      <w:divBdr>
        <w:top w:val="none" w:sz="0" w:space="0" w:color="auto"/>
        <w:left w:val="none" w:sz="0" w:space="0" w:color="auto"/>
        <w:bottom w:val="none" w:sz="0" w:space="0" w:color="auto"/>
        <w:right w:val="none" w:sz="0" w:space="0" w:color="auto"/>
      </w:divBdr>
    </w:div>
    <w:div w:id="362248946">
      <w:bodyDiv w:val="1"/>
      <w:marLeft w:val="0"/>
      <w:marRight w:val="0"/>
      <w:marTop w:val="0"/>
      <w:marBottom w:val="0"/>
      <w:divBdr>
        <w:top w:val="none" w:sz="0" w:space="0" w:color="auto"/>
        <w:left w:val="none" w:sz="0" w:space="0" w:color="auto"/>
        <w:bottom w:val="none" w:sz="0" w:space="0" w:color="auto"/>
        <w:right w:val="none" w:sz="0" w:space="0" w:color="auto"/>
      </w:divBdr>
    </w:div>
    <w:div w:id="370616507">
      <w:bodyDiv w:val="1"/>
      <w:marLeft w:val="0"/>
      <w:marRight w:val="0"/>
      <w:marTop w:val="0"/>
      <w:marBottom w:val="0"/>
      <w:divBdr>
        <w:top w:val="none" w:sz="0" w:space="0" w:color="auto"/>
        <w:left w:val="none" w:sz="0" w:space="0" w:color="auto"/>
        <w:bottom w:val="none" w:sz="0" w:space="0" w:color="auto"/>
        <w:right w:val="none" w:sz="0" w:space="0" w:color="auto"/>
      </w:divBdr>
    </w:div>
    <w:div w:id="371343529">
      <w:bodyDiv w:val="1"/>
      <w:marLeft w:val="0"/>
      <w:marRight w:val="0"/>
      <w:marTop w:val="0"/>
      <w:marBottom w:val="0"/>
      <w:divBdr>
        <w:top w:val="none" w:sz="0" w:space="0" w:color="auto"/>
        <w:left w:val="none" w:sz="0" w:space="0" w:color="auto"/>
        <w:bottom w:val="none" w:sz="0" w:space="0" w:color="auto"/>
        <w:right w:val="none" w:sz="0" w:space="0" w:color="auto"/>
      </w:divBdr>
    </w:div>
    <w:div w:id="376516416">
      <w:bodyDiv w:val="1"/>
      <w:marLeft w:val="0"/>
      <w:marRight w:val="0"/>
      <w:marTop w:val="0"/>
      <w:marBottom w:val="0"/>
      <w:divBdr>
        <w:top w:val="none" w:sz="0" w:space="0" w:color="auto"/>
        <w:left w:val="none" w:sz="0" w:space="0" w:color="auto"/>
        <w:bottom w:val="none" w:sz="0" w:space="0" w:color="auto"/>
        <w:right w:val="none" w:sz="0" w:space="0" w:color="auto"/>
      </w:divBdr>
    </w:div>
    <w:div w:id="389765033">
      <w:bodyDiv w:val="1"/>
      <w:marLeft w:val="0"/>
      <w:marRight w:val="0"/>
      <w:marTop w:val="0"/>
      <w:marBottom w:val="0"/>
      <w:divBdr>
        <w:top w:val="none" w:sz="0" w:space="0" w:color="auto"/>
        <w:left w:val="none" w:sz="0" w:space="0" w:color="auto"/>
        <w:bottom w:val="none" w:sz="0" w:space="0" w:color="auto"/>
        <w:right w:val="none" w:sz="0" w:space="0" w:color="auto"/>
      </w:divBdr>
    </w:div>
    <w:div w:id="390037269">
      <w:bodyDiv w:val="1"/>
      <w:marLeft w:val="0"/>
      <w:marRight w:val="0"/>
      <w:marTop w:val="0"/>
      <w:marBottom w:val="0"/>
      <w:divBdr>
        <w:top w:val="none" w:sz="0" w:space="0" w:color="auto"/>
        <w:left w:val="none" w:sz="0" w:space="0" w:color="auto"/>
        <w:bottom w:val="none" w:sz="0" w:space="0" w:color="auto"/>
        <w:right w:val="none" w:sz="0" w:space="0" w:color="auto"/>
      </w:divBdr>
    </w:div>
    <w:div w:id="400182424">
      <w:bodyDiv w:val="1"/>
      <w:marLeft w:val="0"/>
      <w:marRight w:val="0"/>
      <w:marTop w:val="0"/>
      <w:marBottom w:val="0"/>
      <w:divBdr>
        <w:top w:val="none" w:sz="0" w:space="0" w:color="auto"/>
        <w:left w:val="none" w:sz="0" w:space="0" w:color="auto"/>
        <w:bottom w:val="none" w:sz="0" w:space="0" w:color="auto"/>
        <w:right w:val="none" w:sz="0" w:space="0" w:color="auto"/>
      </w:divBdr>
    </w:div>
    <w:div w:id="405030479">
      <w:bodyDiv w:val="1"/>
      <w:marLeft w:val="0"/>
      <w:marRight w:val="0"/>
      <w:marTop w:val="0"/>
      <w:marBottom w:val="0"/>
      <w:divBdr>
        <w:top w:val="none" w:sz="0" w:space="0" w:color="auto"/>
        <w:left w:val="none" w:sz="0" w:space="0" w:color="auto"/>
        <w:bottom w:val="none" w:sz="0" w:space="0" w:color="auto"/>
        <w:right w:val="none" w:sz="0" w:space="0" w:color="auto"/>
      </w:divBdr>
    </w:div>
    <w:div w:id="420873974">
      <w:bodyDiv w:val="1"/>
      <w:marLeft w:val="0"/>
      <w:marRight w:val="0"/>
      <w:marTop w:val="0"/>
      <w:marBottom w:val="0"/>
      <w:divBdr>
        <w:top w:val="none" w:sz="0" w:space="0" w:color="auto"/>
        <w:left w:val="none" w:sz="0" w:space="0" w:color="auto"/>
        <w:bottom w:val="none" w:sz="0" w:space="0" w:color="auto"/>
        <w:right w:val="none" w:sz="0" w:space="0" w:color="auto"/>
      </w:divBdr>
    </w:div>
    <w:div w:id="430857392">
      <w:bodyDiv w:val="1"/>
      <w:marLeft w:val="0"/>
      <w:marRight w:val="0"/>
      <w:marTop w:val="0"/>
      <w:marBottom w:val="0"/>
      <w:divBdr>
        <w:top w:val="none" w:sz="0" w:space="0" w:color="auto"/>
        <w:left w:val="none" w:sz="0" w:space="0" w:color="auto"/>
        <w:bottom w:val="none" w:sz="0" w:space="0" w:color="auto"/>
        <w:right w:val="none" w:sz="0" w:space="0" w:color="auto"/>
      </w:divBdr>
    </w:div>
    <w:div w:id="43452001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0633296">
      <w:bodyDiv w:val="1"/>
      <w:marLeft w:val="0"/>
      <w:marRight w:val="0"/>
      <w:marTop w:val="0"/>
      <w:marBottom w:val="0"/>
      <w:divBdr>
        <w:top w:val="none" w:sz="0" w:space="0" w:color="auto"/>
        <w:left w:val="none" w:sz="0" w:space="0" w:color="auto"/>
        <w:bottom w:val="none" w:sz="0" w:space="0" w:color="auto"/>
        <w:right w:val="none" w:sz="0" w:space="0" w:color="auto"/>
      </w:divBdr>
    </w:div>
    <w:div w:id="454300400">
      <w:bodyDiv w:val="1"/>
      <w:marLeft w:val="0"/>
      <w:marRight w:val="0"/>
      <w:marTop w:val="0"/>
      <w:marBottom w:val="0"/>
      <w:divBdr>
        <w:top w:val="none" w:sz="0" w:space="0" w:color="auto"/>
        <w:left w:val="none" w:sz="0" w:space="0" w:color="auto"/>
        <w:bottom w:val="none" w:sz="0" w:space="0" w:color="auto"/>
        <w:right w:val="none" w:sz="0" w:space="0" w:color="auto"/>
      </w:divBdr>
    </w:div>
    <w:div w:id="45517855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73061154">
      <w:bodyDiv w:val="1"/>
      <w:marLeft w:val="0"/>
      <w:marRight w:val="0"/>
      <w:marTop w:val="0"/>
      <w:marBottom w:val="0"/>
      <w:divBdr>
        <w:top w:val="none" w:sz="0" w:space="0" w:color="auto"/>
        <w:left w:val="none" w:sz="0" w:space="0" w:color="auto"/>
        <w:bottom w:val="none" w:sz="0" w:space="0" w:color="auto"/>
        <w:right w:val="none" w:sz="0" w:space="0" w:color="auto"/>
      </w:divBdr>
    </w:div>
    <w:div w:id="474445522">
      <w:bodyDiv w:val="1"/>
      <w:marLeft w:val="0"/>
      <w:marRight w:val="0"/>
      <w:marTop w:val="0"/>
      <w:marBottom w:val="0"/>
      <w:divBdr>
        <w:top w:val="none" w:sz="0" w:space="0" w:color="auto"/>
        <w:left w:val="none" w:sz="0" w:space="0" w:color="auto"/>
        <w:bottom w:val="none" w:sz="0" w:space="0" w:color="auto"/>
        <w:right w:val="none" w:sz="0" w:space="0" w:color="auto"/>
      </w:divBdr>
    </w:div>
    <w:div w:id="474640037">
      <w:bodyDiv w:val="1"/>
      <w:marLeft w:val="0"/>
      <w:marRight w:val="0"/>
      <w:marTop w:val="0"/>
      <w:marBottom w:val="0"/>
      <w:divBdr>
        <w:top w:val="none" w:sz="0" w:space="0" w:color="auto"/>
        <w:left w:val="none" w:sz="0" w:space="0" w:color="auto"/>
        <w:bottom w:val="none" w:sz="0" w:space="0" w:color="auto"/>
        <w:right w:val="none" w:sz="0" w:space="0" w:color="auto"/>
      </w:divBdr>
    </w:div>
    <w:div w:id="476536354">
      <w:bodyDiv w:val="1"/>
      <w:marLeft w:val="0"/>
      <w:marRight w:val="0"/>
      <w:marTop w:val="0"/>
      <w:marBottom w:val="0"/>
      <w:divBdr>
        <w:top w:val="none" w:sz="0" w:space="0" w:color="auto"/>
        <w:left w:val="none" w:sz="0" w:space="0" w:color="auto"/>
        <w:bottom w:val="none" w:sz="0" w:space="0" w:color="auto"/>
        <w:right w:val="none" w:sz="0" w:space="0" w:color="auto"/>
      </w:divBdr>
    </w:div>
    <w:div w:id="478838752">
      <w:bodyDiv w:val="1"/>
      <w:marLeft w:val="0"/>
      <w:marRight w:val="0"/>
      <w:marTop w:val="0"/>
      <w:marBottom w:val="0"/>
      <w:divBdr>
        <w:top w:val="none" w:sz="0" w:space="0" w:color="auto"/>
        <w:left w:val="none" w:sz="0" w:space="0" w:color="auto"/>
        <w:bottom w:val="none" w:sz="0" w:space="0" w:color="auto"/>
        <w:right w:val="none" w:sz="0" w:space="0" w:color="auto"/>
      </w:divBdr>
    </w:div>
    <w:div w:id="479423986">
      <w:bodyDiv w:val="1"/>
      <w:marLeft w:val="0"/>
      <w:marRight w:val="0"/>
      <w:marTop w:val="0"/>
      <w:marBottom w:val="0"/>
      <w:divBdr>
        <w:top w:val="none" w:sz="0" w:space="0" w:color="auto"/>
        <w:left w:val="none" w:sz="0" w:space="0" w:color="auto"/>
        <w:bottom w:val="none" w:sz="0" w:space="0" w:color="auto"/>
        <w:right w:val="none" w:sz="0" w:space="0" w:color="auto"/>
      </w:divBdr>
    </w:div>
    <w:div w:id="480003766">
      <w:bodyDiv w:val="1"/>
      <w:marLeft w:val="0"/>
      <w:marRight w:val="0"/>
      <w:marTop w:val="0"/>
      <w:marBottom w:val="0"/>
      <w:divBdr>
        <w:top w:val="none" w:sz="0" w:space="0" w:color="auto"/>
        <w:left w:val="none" w:sz="0" w:space="0" w:color="auto"/>
        <w:bottom w:val="none" w:sz="0" w:space="0" w:color="auto"/>
        <w:right w:val="none" w:sz="0" w:space="0" w:color="auto"/>
      </w:divBdr>
    </w:div>
    <w:div w:id="481889194">
      <w:bodyDiv w:val="1"/>
      <w:marLeft w:val="0"/>
      <w:marRight w:val="0"/>
      <w:marTop w:val="0"/>
      <w:marBottom w:val="0"/>
      <w:divBdr>
        <w:top w:val="none" w:sz="0" w:space="0" w:color="auto"/>
        <w:left w:val="none" w:sz="0" w:space="0" w:color="auto"/>
        <w:bottom w:val="none" w:sz="0" w:space="0" w:color="auto"/>
        <w:right w:val="none" w:sz="0" w:space="0" w:color="auto"/>
      </w:divBdr>
    </w:div>
    <w:div w:id="482889190">
      <w:bodyDiv w:val="1"/>
      <w:marLeft w:val="0"/>
      <w:marRight w:val="0"/>
      <w:marTop w:val="0"/>
      <w:marBottom w:val="0"/>
      <w:divBdr>
        <w:top w:val="none" w:sz="0" w:space="0" w:color="auto"/>
        <w:left w:val="none" w:sz="0" w:space="0" w:color="auto"/>
        <w:bottom w:val="none" w:sz="0" w:space="0" w:color="auto"/>
        <w:right w:val="none" w:sz="0" w:space="0" w:color="auto"/>
      </w:divBdr>
    </w:div>
    <w:div w:id="488981186">
      <w:bodyDiv w:val="1"/>
      <w:marLeft w:val="0"/>
      <w:marRight w:val="0"/>
      <w:marTop w:val="0"/>
      <w:marBottom w:val="0"/>
      <w:divBdr>
        <w:top w:val="none" w:sz="0" w:space="0" w:color="auto"/>
        <w:left w:val="none" w:sz="0" w:space="0" w:color="auto"/>
        <w:bottom w:val="none" w:sz="0" w:space="0" w:color="auto"/>
        <w:right w:val="none" w:sz="0" w:space="0" w:color="auto"/>
      </w:divBdr>
    </w:div>
    <w:div w:id="489299125">
      <w:bodyDiv w:val="1"/>
      <w:marLeft w:val="0"/>
      <w:marRight w:val="0"/>
      <w:marTop w:val="0"/>
      <w:marBottom w:val="0"/>
      <w:divBdr>
        <w:top w:val="none" w:sz="0" w:space="0" w:color="auto"/>
        <w:left w:val="none" w:sz="0" w:space="0" w:color="auto"/>
        <w:bottom w:val="none" w:sz="0" w:space="0" w:color="auto"/>
        <w:right w:val="none" w:sz="0" w:space="0" w:color="auto"/>
      </w:divBdr>
    </w:div>
    <w:div w:id="497697802">
      <w:bodyDiv w:val="1"/>
      <w:marLeft w:val="0"/>
      <w:marRight w:val="0"/>
      <w:marTop w:val="0"/>
      <w:marBottom w:val="0"/>
      <w:divBdr>
        <w:top w:val="none" w:sz="0" w:space="0" w:color="auto"/>
        <w:left w:val="none" w:sz="0" w:space="0" w:color="auto"/>
        <w:bottom w:val="none" w:sz="0" w:space="0" w:color="auto"/>
        <w:right w:val="none" w:sz="0" w:space="0" w:color="auto"/>
      </w:divBdr>
    </w:div>
    <w:div w:id="503936873">
      <w:bodyDiv w:val="1"/>
      <w:marLeft w:val="0"/>
      <w:marRight w:val="0"/>
      <w:marTop w:val="0"/>
      <w:marBottom w:val="0"/>
      <w:divBdr>
        <w:top w:val="none" w:sz="0" w:space="0" w:color="auto"/>
        <w:left w:val="none" w:sz="0" w:space="0" w:color="auto"/>
        <w:bottom w:val="none" w:sz="0" w:space="0" w:color="auto"/>
        <w:right w:val="none" w:sz="0" w:space="0" w:color="auto"/>
      </w:divBdr>
    </w:div>
    <w:div w:id="511459001">
      <w:bodyDiv w:val="1"/>
      <w:marLeft w:val="0"/>
      <w:marRight w:val="0"/>
      <w:marTop w:val="0"/>
      <w:marBottom w:val="0"/>
      <w:divBdr>
        <w:top w:val="none" w:sz="0" w:space="0" w:color="auto"/>
        <w:left w:val="none" w:sz="0" w:space="0" w:color="auto"/>
        <w:bottom w:val="none" w:sz="0" w:space="0" w:color="auto"/>
        <w:right w:val="none" w:sz="0" w:space="0" w:color="auto"/>
      </w:divBdr>
    </w:div>
    <w:div w:id="512107976">
      <w:bodyDiv w:val="1"/>
      <w:marLeft w:val="0"/>
      <w:marRight w:val="0"/>
      <w:marTop w:val="0"/>
      <w:marBottom w:val="0"/>
      <w:divBdr>
        <w:top w:val="none" w:sz="0" w:space="0" w:color="auto"/>
        <w:left w:val="none" w:sz="0" w:space="0" w:color="auto"/>
        <w:bottom w:val="none" w:sz="0" w:space="0" w:color="auto"/>
        <w:right w:val="none" w:sz="0" w:space="0" w:color="auto"/>
      </w:divBdr>
    </w:div>
    <w:div w:id="528568924">
      <w:bodyDiv w:val="1"/>
      <w:marLeft w:val="0"/>
      <w:marRight w:val="0"/>
      <w:marTop w:val="0"/>
      <w:marBottom w:val="0"/>
      <w:divBdr>
        <w:top w:val="none" w:sz="0" w:space="0" w:color="auto"/>
        <w:left w:val="none" w:sz="0" w:space="0" w:color="auto"/>
        <w:bottom w:val="none" w:sz="0" w:space="0" w:color="auto"/>
        <w:right w:val="none" w:sz="0" w:space="0" w:color="auto"/>
      </w:divBdr>
    </w:div>
    <w:div w:id="531651772">
      <w:bodyDiv w:val="1"/>
      <w:marLeft w:val="0"/>
      <w:marRight w:val="0"/>
      <w:marTop w:val="0"/>
      <w:marBottom w:val="0"/>
      <w:divBdr>
        <w:top w:val="none" w:sz="0" w:space="0" w:color="auto"/>
        <w:left w:val="none" w:sz="0" w:space="0" w:color="auto"/>
        <w:bottom w:val="none" w:sz="0" w:space="0" w:color="auto"/>
        <w:right w:val="none" w:sz="0" w:space="0" w:color="auto"/>
      </w:divBdr>
    </w:div>
    <w:div w:id="532041715">
      <w:bodyDiv w:val="1"/>
      <w:marLeft w:val="0"/>
      <w:marRight w:val="0"/>
      <w:marTop w:val="0"/>
      <w:marBottom w:val="0"/>
      <w:divBdr>
        <w:top w:val="none" w:sz="0" w:space="0" w:color="auto"/>
        <w:left w:val="none" w:sz="0" w:space="0" w:color="auto"/>
        <w:bottom w:val="none" w:sz="0" w:space="0" w:color="auto"/>
        <w:right w:val="none" w:sz="0" w:space="0" w:color="auto"/>
      </w:divBdr>
    </w:div>
    <w:div w:id="53369211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388400">
      <w:bodyDiv w:val="1"/>
      <w:marLeft w:val="0"/>
      <w:marRight w:val="0"/>
      <w:marTop w:val="0"/>
      <w:marBottom w:val="0"/>
      <w:divBdr>
        <w:top w:val="none" w:sz="0" w:space="0" w:color="auto"/>
        <w:left w:val="none" w:sz="0" w:space="0" w:color="auto"/>
        <w:bottom w:val="none" w:sz="0" w:space="0" w:color="auto"/>
        <w:right w:val="none" w:sz="0" w:space="0" w:color="auto"/>
      </w:divBdr>
    </w:div>
    <w:div w:id="535655506">
      <w:bodyDiv w:val="1"/>
      <w:marLeft w:val="0"/>
      <w:marRight w:val="0"/>
      <w:marTop w:val="0"/>
      <w:marBottom w:val="0"/>
      <w:divBdr>
        <w:top w:val="none" w:sz="0" w:space="0" w:color="auto"/>
        <w:left w:val="none" w:sz="0" w:space="0" w:color="auto"/>
        <w:bottom w:val="none" w:sz="0" w:space="0" w:color="auto"/>
        <w:right w:val="none" w:sz="0" w:space="0" w:color="auto"/>
      </w:divBdr>
    </w:div>
    <w:div w:id="536167636">
      <w:bodyDiv w:val="1"/>
      <w:marLeft w:val="0"/>
      <w:marRight w:val="0"/>
      <w:marTop w:val="0"/>
      <w:marBottom w:val="0"/>
      <w:divBdr>
        <w:top w:val="none" w:sz="0" w:space="0" w:color="auto"/>
        <w:left w:val="none" w:sz="0" w:space="0" w:color="auto"/>
        <w:bottom w:val="none" w:sz="0" w:space="0" w:color="auto"/>
        <w:right w:val="none" w:sz="0" w:space="0" w:color="auto"/>
      </w:divBdr>
    </w:div>
    <w:div w:id="543712609">
      <w:bodyDiv w:val="1"/>
      <w:marLeft w:val="0"/>
      <w:marRight w:val="0"/>
      <w:marTop w:val="0"/>
      <w:marBottom w:val="0"/>
      <w:divBdr>
        <w:top w:val="none" w:sz="0" w:space="0" w:color="auto"/>
        <w:left w:val="none" w:sz="0" w:space="0" w:color="auto"/>
        <w:bottom w:val="none" w:sz="0" w:space="0" w:color="auto"/>
        <w:right w:val="none" w:sz="0" w:space="0" w:color="auto"/>
      </w:divBdr>
    </w:div>
    <w:div w:id="552081126">
      <w:bodyDiv w:val="1"/>
      <w:marLeft w:val="0"/>
      <w:marRight w:val="0"/>
      <w:marTop w:val="0"/>
      <w:marBottom w:val="0"/>
      <w:divBdr>
        <w:top w:val="none" w:sz="0" w:space="0" w:color="auto"/>
        <w:left w:val="none" w:sz="0" w:space="0" w:color="auto"/>
        <w:bottom w:val="none" w:sz="0" w:space="0" w:color="auto"/>
        <w:right w:val="none" w:sz="0" w:space="0" w:color="auto"/>
      </w:divBdr>
    </w:div>
    <w:div w:id="556432075">
      <w:bodyDiv w:val="1"/>
      <w:marLeft w:val="0"/>
      <w:marRight w:val="0"/>
      <w:marTop w:val="0"/>
      <w:marBottom w:val="0"/>
      <w:divBdr>
        <w:top w:val="none" w:sz="0" w:space="0" w:color="auto"/>
        <w:left w:val="none" w:sz="0" w:space="0" w:color="auto"/>
        <w:bottom w:val="none" w:sz="0" w:space="0" w:color="auto"/>
        <w:right w:val="none" w:sz="0" w:space="0" w:color="auto"/>
      </w:divBdr>
    </w:div>
    <w:div w:id="556742288">
      <w:bodyDiv w:val="1"/>
      <w:marLeft w:val="0"/>
      <w:marRight w:val="0"/>
      <w:marTop w:val="0"/>
      <w:marBottom w:val="0"/>
      <w:divBdr>
        <w:top w:val="none" w:sz="0" w:space="0" w:color="auto"/>
        <w:left w:val="none" w:sz="0" w:space="0" w:color="auto"/>
        <w:bottom w:val="none" w:sz="0" w:space="0" w:color="auto"/>
        <w:right w:val="none" w:sz="0" w:space="0" w:color="auto"/>
      </w:divBdr>
    </w:div>
    <w:div w:id="561185358">
      <w:bodyDiv w:val="1"/>
      <w:marLeft w:val="0"/>
      <w:marRight w:val="0"/>
      <w:marTop w:val="0"/>
      <w:marBottom w:val="0"/>
      <w:divBdr>
        <w:top w:val="none" w:sz="0" w:space="0" w:color="auto"/>
        <w:left w:val="none" w:sz="0" w:space="0" w:color="auto"/>
        <w:bottom w:val="none" w:sz="0" w:space="0" w:color="auto"/>
        <w:right w:val="none" w:sz="0" w:space="0" w:color="auto"/>
      </w:divBdr>
    </w:div>
    <w:div w:id="566763657">
      <w:bodyDiv w:val="1"/>
      <w:marLeft w:val="0"/>
      <w:marRight w:val="0"/>
      <w:marTop w:val="0"/>
      <w:marBottom w:val="0"/>
      <w:divBdr>
        <w:top w:val="none" w:sz="0" w:space="0" w:color="auto"/>
        <w:left w:val="none" w:sz="0" w:space="0" w:color="auto"/>
        <w:bottom w:val="none" w:sz="0" w:space="0" w:color="auto"/>
        <w:right w:val="none" w:sz="0" w:space="0" w:color="auto"/>
      </w:divBdr>
    </w:div>
    <w:div w:id="569343636">
      <w:bodyDiv w:val="1"/>
      <w:marLeft w:val="0"/>
      <w:marRight w:val="0"/>
      <w:marTop w:val="0"/>
      <w:marBottom w:val="0"/>
      <w:divBdr>
        <w:top w:val="none" w:sz="0" w:space="0" w:color="auto"/>
        <w:left w:val="none" w:sz="0" w:space="0" w:color="auto"/>
        <w:bottom w:val="none" w:sz="0" w:space="0" w:color="auto"/>
        <w:right w:val="none" w:sz="0" w:space="0" w:color="auto"/>
      </w:divBdr>
    </w:div>
    <w:div w:id="570432176">
      <w:bodyDiv w:val="1"/>
      <w:marLeft w:val="0"/>
      <w:marRight w:val="0"/>
      <w:marTop w:val="0"/>
      <w:marBottom w:val="0"/>
      <w:divBdr>
        <w:top w:val="none" w:sz="0" w:space="0" w:color="auto"/>
        <w:left w:val="none" w:sz="0" w:space="0" w:color="auto"/>
        <w:bottom w:val="none" w:sz="0" w:space="0" w:color="auto"/>
        <w:right w:val="none" w:sz="0" w:space="0" w:color="auto"/>
      </w:divBdr>
    </w:div>
    <w:div w:id="606155875">
      <w:bodyDiv w:val="1"/>
      <w:marLeft w:val="0"/>
      <w:marRight w:val="0"/>
      <w:marTop w:val="0"/>
      <w:marBottom w:val="0"/>
      <w:divBdr>
        <w:top w:val="none" w:sz="0" w:space="0" w:color="auto"/>
        <w:left w:val="none" w:sz="0" w:space="0" w:color="auto"/>
        <w:bottom w:val="none" w:sz="0" w:space="0" w:color="auto"/>
        <w:right w:val="none" w:sz="0" w:space="0" w:color="auto"/>
      </w:divBdr>
    </w:div>
    <w:div w:id="607126753">
      <w:bodyDiv w:val="1"/>
      <w:marLeft w:val="0"/>
      <w:marRight w:val="0"/>
      <w:marTop w:val="0"/>
      <w:marBottom w:val="0"/>
      <w:divBdr>
        <w:top w:val="none" w:sz="0" w:space="0" w:color="auto"/>
        <w:left w:val="none" w:sz="0" w:space="0" w:color="auto"/>
        <w:bottom w:val="none" w:sz="0" w:space="0" w:color="auto"/>
        <w:right w:val="none" w:sz="0" w:space="0" w:color="auto"/>
      </w:divBdr>
    </w:div>
    <w:div w:id="607616574">
      <w:bodyDiv w:val="1"/>
      <w:marLeft w:val="0"/>
      <w:marRight w:val="0"/>
      <w:marTop w:val="0"/>
      <w:marBottom w:val="0"/>
      <w:divBdr>
        <w:top w:val="none" w:sz="0" w:space="0" w:color="auto"/>
        <w:left w:val="none" w:sz="0" w:space="0" w:color="auto"/>
        <w:bottom w:val="none" w:sz="0" w:space="0" w:color="auto"/>
        <w:right w:val="none" w:sz="0" w:space="0" w:color="auto"/>
      </w:divBdr>
    </w:div>
    <w:div w:id="614824840">
      <w:bodyDiv w:val="1"/>
      <w:marLeft w:val="0"/>
      <w:marRight w:val="0"/>
      <w:marTop w:val="0"/>
      <w:marBottom w:val="0"/>
      <w:divBdr>
        <w:top w:val="none" w:sz="0" w:space="0" w:color="auto"/>
        <w:left w:val="none" w:sz="0" w:space="0" w:color="auto"/>
        <w:bottom w:val="none" w:sz="0" w:space="0" w:color="auto"/>
        <w:right w:val="none" w:sz="0" w:space="0" w:color="auto"/>
      </w:divBdr>
    </w:div>
    <w:div w:id="625237993">
      <w:bodyDiv w:val="1"/>
      <w:marLeft w:val="0"/>
      <w:marRight w:val="0"/>
      <w:marTop w:val="0"/>
      <w:marBottom w:val="0"/>
      <w:divBdr>
        <w:top w:val="none" w:sz="0" w:space="0" w:color="auto"/>
        <w:left w:val="none" w:sz="0" w:space="0" w:color="auto"/>
        <w:bottom w:val="none" w:sz="0" w:space="0" w:color="auto"/>
        <w:right w:val="none" w:sz="0" w:space="0" w:color="auto"/>
      </w:divBdr>
    </w:div>
    <w:div w:id="657266012">
      <w:bodyDiv w:val="1"/>
      <w:marLeft w:val="0"/>
      <w:marRight w:val="0"/>
      <w:marTop w:val="0"/>
      <w:marBottom w:val="0"/>
      <w:divBdr>
        <w:top w:val="none" w:sz="0" w:space="0" w:color="auto"/>
        <w:left w:val="none" w:sz="0" w:space="0" w:color="auto"/>
        <w:bottom w:val="none" w:sz="0" w:space="0" w:color="auto"/>
        <w:right w:val="none" w:sz="0" w:space="0" w:color="auto"/>
      </w:divBdr>
    </w:div>
    <w:div w:id="662781275">
      <w:bodyDiv w:val="1"/>
      <w:marLeft w:val="0"/>
      <w:marRight w:val="0"/>
      <w:marTop w:val="0"/>
      <w:marBottom w:val="0"/>
      <w:divBdr>
        <w:top w:val="none" w:sz="0" w:space="0" w:color="auto"/>
        <w:left w:val="none" w:sz="0" w:space="0" w:color="auto"/>
        <w:bottom w:val="none" w:sz="0" w:space="0" w:color="auto"/>
        <w:right w:val="none" w:sz="0" w:space="0" w:color="auto"/>
      </w:divBdr>
    </w:div>
    <w:div w:id="665134023">
      <w:bodyDiv w:val="1"/>
      <w:marLeft w:val="0"/>
      <w:marRight w:val="0"/>
      <w:marTop w:val="0"/>
      <w:marBottom w:val="0"/>
      <w:divBdr>
        <w:top w:val="none" w:sz="0" w:space="0" w:color="auto"/>
        <w:left w:val="none" w:sz="0" w:space="0" w:color="auto"/>
        <w:bottom w:val="none" w:sz="0" w:space="0" w:color="auto"/>
        <w:right w:val="none" w:sz="0" w:space="0" w:color="auto"/>
      </w:divBdr>
    </w:div>
    <w:div w:id="665745730">
      <w:bodyDiv w:val="1"/>
      <w:marLeft w:val="0"/>
      <w:marRight w:val="0"/>
      <w:marTop w:val="0"/>
      <w:marBottom w:val="0"/>
      <w:divBdr>
        <w:top w:val="none" w:sz="0" w:space="0" w:color="auto"/>
        <w:left w:val="none" w:sz="0" w:space="0" w:color="auto"/>
        <w:bottom w:val="none" w:sz="0" w:space="0" w:color="auto"/>
        <w:right w:val="none" w:sz="0" w:space="0" w:color="auto"/>
      </w:divBdr>
    </w:div>
    <w:div w:id="668749765">
      <w:bodyDiv w:val="1"/>
      <w:marLeft w:val="0"/>
      <w:marRight w:val="0"/>
      <w:marTop w:val="0"/>
      <w:marBottom w:val="0"/>
      <w:divBdr>
        <w:top w:val="none" w:sz="0" w:space="0" w:color="auto"/>
        <w:left w:val="none" w:sz="0" w:space="0" w:color="auto"/>
        <w:bottom w:val="none" w:sz="0" w:space="0" w:color="auto"/>
        <w:right w:val="none" w:sz="0" w:space="0" w:color="auto"/>
      </w:divBdr>
    </w:div>
    <w:div w:id="681318897">
      <w:bodyDiv w:val="1"/>
      <w:marLeft w:val="0"/>
      <w:marRight w:val="0"/>
      <w:marTop w:val="0"/>
      <w:marBottom w:val="0"/>
      <w:divBdr>
        <w:top w:val="none" w:sz="0" w:space="0" w:color="auto"/>
        <w:left w:val="none" w:sz="0" w:space="0" w:color="auto"/>
        <w:bottom w:val="none" w:sz="0" w:space="0" w:color="auto"/>
        <w:right w:val="none" w:sz="0" w:space="0" w:color="auto"/>
      </w:divBdr>
    </w:div>
    <w:div w:id="682325269">
      <w:bodyDiv w:val="1"/>
      <w:marLeft w:val="0"/>
      <w:marRight w:val="0"/>
      <w:marTop w:val="0"/>
      <w:marBottom w:val="0"/>
      <w:divBdr>
        <w:top w:val="none" w:sz="0" w:space="0" w:color="auto"/>
        <w:left w:val="none" w:sz="0" w:space="0" w:color="auto"/>
        <w:bottom w:val="none" w:sz="0" w:space="0" w:color="auto"/>
        <w:right w:val="none" w:sz="0" w:space="0" w:color="auto"/>
      </w:divBdr>
    </w:div>
    <w:div w:id="683551154">
      <w:bodyDiv w:val="1"/>
      <w:marLeft w:val="0"/>
      <w:marRight w:val="0"/>
      <w:marTop w:val="0"/>
      <w:marBottom w:val="0"/>
      <w:divBdr>
        <w:top w:val="none" w:sz="0" w:space="0" w:color="auto"/>
        <w:left w:val="none" w:sz="0" w:space="0" w:color="auto"/>
        <w:bottom w:val="none" w:sz="0" w:space="0" w:color="auto"/>
        <w:right w:val="none" w:sz="0" w:space="0" w:color="auto"/>
      </w:divBdr>
    </w:div>
    <w:div w:id="692413800">
      <w:bodyDiv w:val="1"/>
      <w:marLeft w:val="0"/>
      <w:marRight w:val="0"/>
      <w:marTop w:val="0"/>
      <w:marBottom w:val="0"/>
      <w:divBdr>
        <w:top w:val="none" w:sz="0" w:space="0" w:color="auto"/>
        <w:left w:val="none" w:sz="0" w:space="0" w:color="auto"/>
        <w:bottom w:val="none" w:sz="0" w:space="0" w:color="auto"/>
        <w:right w:val="none" w:sz="0" w:space="0" w:color="auto"/>
      </w:divBdr>
    </w:div>
    <w:div w:id="706492105">
      <w:bodyDiv w:val="1"/>
      <w:marLeft w:val="0"/>
      <w:marRight w:val="0"/>
      <w:marTop w:val="0"/>
      <w:marBottom w:val="0"/>
      <w:divBdr>
        <w:top w:val="none" w:sz="0" w:space="0" w:color="auto"/>
        <w:left w:val="none" w:sz="0" w:space="0" w:color="auto"/>
        <w:bottom w:val="none" w:sz="0" w:space="0" w:color="auto"/>
        <w:right w:val="none" w:sz="0" w:space="0" w:color="auto"/>
      </w:divBdr>
    </w:div>
    <w:div w:id="710959161">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7415121">
      <w:bodyDiv w:val="1"/>
      <w:marLeft w:val="0"/>
      <w:marRight w:val="0"/>
      <w:marTop w:val="0"/>
      <w:marBottom w:val="0"/>
      <w:divBdr>
        <w:top w:val="none" w:sz="0" w:space="0" w:color="auto"/>
        <w:left w:val="none" w:sz="0" w:space="0" w:color="auto"/>
        <w:bottom w:val="none" w:sz="0" w:space="0" w:color="auto"/>
        <w:right w:val="none" w:sz="0" w:space="0" w:color="auto"/>
      </w:divBdr>
    </w:div>
    <w:div w:id="730881675">
      <w:bodyDiv w:val="1"/>
      <w:marLeft w:val="0"/>
      <w:marRight w:val="0"/>
      <w:marTop w:val="0"/>
      <w:marBottom w:val="0"/>
      <w:divBdr>
        <w:top w:val="none" w:sz="0" w:space="0" w:color="auto"/>
        <w:left w:val="none" w:sz="0" w:space="0" w:color="auto"/>
        <w:bottom w:val="none" w:sz="0" w:space="0" w:color="auto"/>
        <w:right w:val="none" w:sz="0" w:space="0" w:color="auto"/>
      </w:divBdr>
    </w:div>
    <w:div w:id="732004202">
      <w:bodyDiv w:val="1"/>
      <w:marLeft w:val="0"/>
      <w:marRight w:val="0"/>
      <w:marTop w:val="0"/>
      <w:marBottom w:val="0"/>
      <w:divBdr>
        <w:top w:val="none" w:sz="0" w:space="0" w:color="auto"/>
        <w:left w:val="none" w:sz="0" w:space="0" w:color="auto"/>
        <w:bottom w:val="none" w:sz="0" w:space="0" w:color="auto"/>
        <w:right w:val="none" w:sz="0" w:space="0" w:color="auto"/>
      </w:divBdr>
    </w:div>
    <w:div w:id="733282947">
      <w:bodyDiv w:val="1"/>
      <w:marLeft w:val="0"/>
      <w:marRight w:val="0"/>
      <w:marTop w:val="0"/>
      <w:marBottom w:val="0"/>
      <w:divBdr>
        <w:top w:val="none" w:sz="0" w:space="0" w:color="auto"/>
        <w:left w:val="none" w:sz="0" w:space="0" w:color="auto"/>
        <w:bottom w:val="none" w:sz="0" w:space="0" w:color="auto"/>
        <w:right w:val="none" w:sz="0" w:space="0" w:color="auto"/>
      </w:divBdr>
    </w:div>
    <w:div w:id="737365760">
      <w:bodyDiv w:val="1"/>
      <w:marLeft w:val="0"/>
      <w:marRight w:val="0"/>
      <w:marTop w:val="0"/>
      <w:marBottom w:val="0"/>
      <w:divBdr>
        <w:top w:val="none" w:sz="0" w:space="0" w:color="auto"/>
        <w:left w:val="none" w:sz="0" w:space="0" w:color="auto"/>
        <w:bottom w:val="none" w:sz="0" w:space="0" w:color="auto"/>
        <w:right w:val="none" w:sz="0" w:space="0" w:color="auto"/>
      </w:divBdr>
    </w:div>
    <w:div w:id="741682172">
      <w:bodyDiv w:val="1"/>
      <w:marLeft w:val="0"/>
      <w:marRight w:val="0"/>
      <w:marTop w:val="0"/>
      <w:marBottom w:val="0"/>
      <w:divBdr>
        <w:top w:val="none" w:sz="0" w:space="0" w:color="auto"/>
        <w:left w:val="none" w:sz="0" w:space="0" w:color="auto"/>
        <w:bottom w:val="none" w:sz="0" w:space="0" w:color="auto"/>
        <w:right w:val="none" w:sz="0" w:space="0" w:color="auto"/>
      </w:divBdr>
    </w:div>
    <w:div w:id="752043438">
      <w:bodyDiv w:val="1"/>
      <w:marLeft w:val="0"/>
      <w:marRight w:val="0"/>
      <w:marTop w:val="0"/>
      <w:marBottom w:val="0"/>
      <w:divBdr>
        <w:top w:val="none" w:sz="0" w:space="0" w:color="auto"/>
        <w:left w:val="none" w:sz="0" w:space="0" w:color="auto"/>
        <w:bottom w:val="none" w:sz="0" w:space="0" w:color="auto"/>
        <w:right w:val="none" w:sz="0" w:space="0" w:color="auto"/>
      </w:divBdr>
    </w:div>
    <w:div w:id="757167306">
      <w:bodyDiv w:val="1"/>
      <w:marLeft w:val="0"/>
      <w:marRight w:val="0"/>
      <w:marTop w:val="0"/>
      <w:marBottom w:val="0"/>
      <w:divBdr>
        <w:top w:val="none" w:sz="0" w:space="0" w:color="auto"/>
        <w:left w:val="none" w:sz="0" w:space="0" w:color="auto"/>
        <w:bottom w:val="none" w:sz="0" w:space="0" w:color="auto"/>
        <w:right w:val="none" w:sz="0" w:space="0" w:color="auto"/>
      </w:divBdr>
    </w:div>
    <w:div w:id="762343418">
      <w:bodyDiv w:val="1"/>
      <w:marLeft w:val="0"/>
      <w:marRight w:val="0"/>
      <w:marTop w:val="0"/>
      <w:marBottom w:val="0"/>
      <w:divBdr>
        <w:top w:val="none" w:sz="0" w:space="0" w:color="auto"/>
        <w:left w:val="none" w:sz="0" w:space="0" w:color="auto"/>
        <w:bottom w:val="none" w:sz="0" w:space="0" w:color="auto"/>
        <w:right w:val="none" w:sz="0" w:space="0" w:color="auto"/>
      </w:divBdr>
    </w:div>
    <w:div w:id="765998457">
      <w:bodyDiv w:val="1"/>
      <w:marLeft w:val="0"/>
      <w:marRight w:val="0"/>
      <w:marTop w:val="0"/>
      <w:marBottom w:val="0"/>
      <w:divBdr>
        <w:top w:val="none" w:sz="0" w:space="0" w:color="auto"/>
        <w:left w:val="none" w:sz="0" w:space="0" w:color="auto"/>
        <w:bottom w:val="none" w:sz="0" w:space="0" w:color="auto"/>
        <w:right w:val="none" w:sz="0" w:space="0" w:color="auto"/>
      </w:divBdr>
    </w:div>
    <w:div w:id="769206656">
      <w:bodyDiv w:val="1"/>
      <w:marLeft w:val="0"/>
      <w:marRight w:val="0"/>
      <w:marTop w:val="0"/>
      <w:marBottom w:val="0"/>
      <w:divBdr>
        <w:top w:val="none" w:sz="0" w:space="0" w:color="auto"/>
        <w:left w:val="none" w:sz="0" w:space="0" w:color="auto"/>
        <w:bottom w:val="none" w:sz="0" w:space="0" w:color="auto"/>
        <w:right w:val="none" w:sz="0" w:space="0" w:color="auto"/>
      </w:divBdr>
    </w:div>
    <w:div w:id="770321670">
      <w:bodyDiv w:val="1"/>
      <w:marLeft w:val="0"/>
      <w:marRight w:val="0"/>
      <w:marTop w:val="0"/>
      <w:marBottom w:val="0"/>
      <w:divBdr>
        <w:top w:val="none" w:sz="0" w:space="0" w:color="auto"/>
        <w:left w:val="none" w:sz="0" w:space="0" w:color="auto"/>
        <w:bottom w:val="none" w:sz="0" w:space="0" w:color="auto"/>
        <w:right w:val="none" w:sz="0" w:space="0" w:color="auto"/>
      </w:divBdr>
    </w:div>
    <w:div w:id="786774341">
      <w:bodyDiv w:val="1"/>
      <w:marLeft w:val="0"/>
      <w:marRight w:val="0"/>
      <w:marTop w:val="0"/>
      <w:marBottom w:val="0"/>
      <w:divBdr>
        <w:top w:val="none" w:sz="0" w:space="0" w:color="auto"/>
        <w:left w:val="none" w:sz="0" w:space="0" w:color="auto"/>
        <w:bottom w:val="none" w:sz="0" w:space="0" w:color="auto"/>
        <w:right w:val="none" w:sz="0" w:space="0" w:color="auto"/>
      </w:divBdr>
    </w:div>
    <w:div w:id="796143216">
      <w:bodyDiv w:val="1"/>
      <w:marLeft w:val="0"/>
      <w:marRight w:val="0"/>
      <w:marTop w:val="0"/>
      <w:marBottom w:val="0"/>
      <w:divBdr>
        <w:top w:val="none" w:sz="0" w:space="0" w:color="auto"/>
        <w:left w:val="none" w:sz="0" w:space="0" w:color="auto"/>
        <w:bottom w:val="none" w:sz="0" w:space="0" w:color="auto"/>
        <w:right w:val="none" w:sz="0" w:space="0" w:color="auto"/>
      </w:divBdr>
    </w:div>
    <w:div w:id="801382633">
      <w:bodyDiv w:val="1"/>
      <w:marLeft w:val="0"/>
      <w:marRight w:val="0"/>
      <w:marTop w:val="0"/>
      <w:marBottom w:val="0"/>
      <w:divBdr>
        <w:top w:val="none" w:sz="0" w:space="0" w:color="auto"/>
        <w:left w:val="none" w:sz="0" w:space="0" w:color="auto"/>
        <w:bottom w:val="none" w:sz="0" w:space="0" w:color="auto"/>
        <w:right w:val="none" w:sz="0" w:space="0" w:color="auto"/>
      </w:divBdr>
    </w:div>
    <w:div w:id="804548519">
      <w:bodyDiv w:val="1"/>
      <w:marLeft w:val="0"/>
      <w:marRight w:val="0"/>
      <w:marTop w:val="0"/>
      <w:marBottom w:val="0"/>
      <w:divBdr>
        <w:top w:val="none" w:sz="0" w:space="0" w:color="auto"/>
        <w:left w:val="none" w:sz="0" w:space="0" w:color="auto"/>
        <w:bottom w:val="none" w:sz="0" w:space="0" w:color="auto"/>
        <w:right w:val="none" w:sz="0" w:space="0" w:color="auto"/>
      </w:divBdr>
    </w:div>
    <w:div w:id="810251852">
      <w:bodyDiv w:val="1"/>
      <w:marLeft w:val="0"/>
      <w:marRight w:val="0"/>
      <w:marTop w:val="0"/>
      <w:marBottom w:val="0"/>
      <w:divBdr>
        <w:top w:val="none" w:sz="0" w:space="0" w:color="auto"/>
        <w:left w:val="none" w:sz="0" w:space="0" w:color="auto"/>
        <w:bottom w:val="none" w:sz="0" w:space="0" w:color="auto"/>
        <w:right w:val="none" w:sz="0" w:space="0" w:color="auto"/>
      </w:divBdr>
    </w:div>
    <w:div w:id="815800261">
      <w:bodyDiv w:val="1"/>
      <w:marLeft w:val="0"/>
      <w:marRight w:val="0"/>
      <w:marTop w:val="0"/>
      <w:marBottom w:val="0"/>
      <w:divBdr>
        <w:top w:val="none" w:sz="0" w:space="0" w:color="auto"/>
        <w:left w:val="none" w:sz="0" w:space="0" w:color="auto"/>
        <w:bottom w:val="none" w:sz="0" w:space="0" w:color="auto"/>
        <w:right w:val="none" w:sz="0" w:space="0" w:color="auto"/>
      </w:divBdr>
    </w:div>
    <w:div w:id="818107681">
      <w:bodyDiv w:val="1"/>
      <w:marLeft w:val="0"/>
      <w:marRight w:val="0"/>
      <w:marTop w:val="0"/>
      <w:marBottom w:val="0"/>
      <w:divBdr>
        <w:top w:val="none" w:sz="0" w:space="0" w:color="auto"/>
        <w:left w:val="none" w:sz="0" w:space="0" w:color="auto"/>
        <w:bottom w:val="none" w:sz="0" w:space="0" w:color="auto"/>
        <w:right w:val="none" w:sz="0" w:space="0" w:color="auto"/>
      </w:divBdr>
    </w:div>
    <w:div w:id="832112689">
      <w:bodyDiv w:val="1"/>
      <w:marLeft w:val="0"/>
      <w:marRight w:val="0"/>
      <w:marTop w:val="0"/>
      <w:marBottom w:val="0"/>
      <w:divBdr>
        <w:top w:val="none" w:sz="0" w:space="0" w:color="auto"/>
        <w:left w:val="none" w:sz="0" w:space="0" w:color="auto"/>
        <w:bottom w:val="none" w:sz="0" w:space="0" w:color="auto"/>
        <w:right w:val="none" w:sz="0" w:space="0" w:color="auto"/>
      </w:divBdr>
    </w:div>
    <w:div w:id="841549943">
      <w:bodyDiv w:val="1"/>
      <w:marLeft w:val="0"/>
      <w:marRight w:val="0"/>
      <w:marTop w:val="0"/>
      <w:marBottom w:val="0"/>
      <w:divBdr>
        <w:top w:val="none" w:sz="0" w:space="0" w:color="auto"/>
        <w:left w:val="none" w:sz="0" w:space="0" w:color="auto"/>
        <w:bottom w:val="none" w:sz="0" w:space="0" w:color="auto"/>
        <w:right w:val="none" w:sz="0" w:space="0" w:color="auto"/>
      </w:divBdr>
    </w:div>
    <w:div w:id="860585695">
      <w:bodyDiv w:val="1"/>
      <w:marLeft w:val="0"/>
      <w:marRight w:val="0"/>
      <w:marTop w:val="0"/>
      <w:marBottom w:val="0"/>
      <w:divBdr>
        <w:top w:val="none" w:sz="0" w:space="0" w:color="auto"/>
        <w:left w:val="none" w:sz="0" w:space="0" w:color="auto"/>
        <w:bottom w:val="none" w:sz="0" w:space="0" w:color="auto"/>
        <w:right w:val="none" w:sz="0" w:space="0" w:color="auto"/>
      </w:divBdr>
    </w:div>
    <w:div w:id="863716482">
      <w:bodyDiv w:val="1"/>
      <w:marLeft w:val="0"/>
      <w:marRight w:val="0"/>
      <w:marTop w:val="0"/>
      <w:marBottom w:val="0"/>
      <w:divBdr>
        <w:top w:val="none" w:sz="0" w:space="0" w:color="auto"/>
        <w:left w:val="none" w:sz="0" w:space="0" w:color="auto"/>
        <w:bottom w:val="none" w:sz="0" w:space="0" w:color="auto"/>
        <w:right w:val="none" w:sz="0" w:space="0" w:color="auto"/>
      </w:divBdr>
    </w:div>
    <w:div w:id="864633993">
      <w:bodyDiv w:val="1"/>
      <w:marLeft w:val="0"/>
      <w:marRight w:val="0"/>
      <w:marTop w:val="0"/>
      <w:marBottom w:val="0"/>
      <w:divBdr>
        <w:top w:val="none" w:sz="0" w:space="0" w:color="auto"/>
        <w:left w:val="none" w:sz="0" w:space="0" w:color="auto"/>
        <w:bottom w:val="none" w:sz="0" w:space="0" w:color="auto"/>
        <w:right w:val="none" w:sz="0" w:space="0" w:color="auto"/>
      </w:divBdr>
    </w:div>
    <w:div w:id="864754175">
      <w:bodyDiv w:val="1"/>
      <w:marLeft w:val="0"/>
      <w:marRight w:val="0"/>
      <w:marTop w:val="0"/>
      <w:marBottom w:val="0"/>
      <w:divBdr>
        <w:top w:val="none" w:sz="0" w:space="0" w:color="auto"/>
        <w:left w:val="none" w:sz="0" w:space="0" w:color="auto"/>
        <w:bottom w:val="none" w:sz="0" w:space="0" w:color="auto"/>
        <w:right w:val="none" w:sz="0" w:space="0" w:color="auto"/>
      </w:divBdr>
    </w:div>
    <w:div w:id="866024202">
      <w:bodyDiv w:val="1"/>
      <w:marLeft w:val="0"/>
      <w:marRight w:val="0"/>
      <w:marTop w:val="0"/>
      <w:marBottom w:val="0"/>
      <w:divBdr>
        <w:top w:val="none" w:sz="0" w:space="0" w:color="auto"/>
        <w:left w:val="none" w:sz="0" w:space="0" w:color="auto"/>
        <w:bottom w:val="none" w:sz="0" w:space="0" w:color="auto"/>
        <w:right w:val="none" w:sz="0" w:space="0" w:color="auto"/>
      </w:divBdr>
    </w:div>
    <w:div w:id="866525152">
      <w:bodyDiv w:val="1"/>
      <w:marLeft w:val="0"/>
      <w:marRight w:val="0"/>
      <w:marTop w:val="0"/>
      <w:marBottom w:val="0"/>
      <w:divBdr>
        <w:top w:val="none" w:sz="0" w:space="0" w:color="auto"/>
        <w:left w:val="none" w:sz="0" w:space="0" w:color="auto"/>
        <w:bottom w:val="none" w:sz="0" w:space="0" w:color="auto"/>
        <w:right w:val="none" w:sz="0" w:space="0" w:color="auto"/>
      </w:divBdr>
    </w:div>
    <w:div w:id="873348294">
      <w:bodyDiv w:val="1"/>
      <w:marLeft w:val="0"/>
      <w:marRight w:val="0"/>
      <w:marTop w:val="0"/>
      <w:marBottom w:val="0"/>
      <w:divBdr>
        <w:top w:val="none" w:sz="0" w:space="0" w:color="auto"/>
        <w:left w:val="none" w:sz="0" w:space="0" w:color="auto"/>
        <w:bottom w:val="none" w:sz="0" w:space="0" w:color="auto"/>
        <w:right w:val="none" w:sz="0" w:space="0" w:color="auto"/>
      </w:divBdr>
    </w:div>
    <w:div w:id="888347588">
      <w:bodyDiv w:val="1"/>
      <w:marLeft w:val="0"/>
      <w:marRight w:val="0"/>
      <w:marTop w:val="0"/>
      <w:marBottom w:val="0"/>
      <w:divBdr>
        <w:top w:val="none" w:sz="0" w:space="0" w:color="auto"/>
        <w:left w:val="none" w:sz="0" w:space="0" w:color="auto"/>
        <w:bottom w:val="none" w:sz="0" w:space="0" w:color="auto"/>
        <w:right w:val="none" w:sz="0" w:space="0" w:color="auto"/>
      </w:divBdr>
    </w:div>
    <w:div w:id="896162869">
      <w:bodyDiv w:val="1"/>
      <w:marLeft w:val="0"/>
      <w:marRight w:val="0"/>
      <w:marTop w:val="0"/>
      <w:marBottom w:val="0"/>
      <w:divBdr>
        <w:top w:val="none" w:sz="0" w:space="0" w:color="auto"/>
        <w:left w:val="none" w:sz="0" w:space="0" w:color="auto"/>
        <w:bottom w:val="none" w:sz="0" w:space="0" w:color="auto"/>
        <w:right w:val="none" w:sz="0" w:space="0" w:color="auto"/>
      </w:divBdr>
    </w:div>
    <w:div w:id="896204959">
      <w:bodyDiv w:val="1"/>
      <w:marLeft w:val="0"/>
      <w:marRight w:val="0"/>
      <w:marTop w:val="0"/>
      <w:marBottom w:val="0"/>
      <w:divBdr>
        <w:top w:val="none" w:sz="0" w:space="0" w:color="auto"/>
        <w:left w:val="none" w:sz="0" w:space="0" w:color="auto"/>
        <w:bottom w:val="none" w:sz="0" w:space="0" w:color="auto"/>
        <w:right w:val="none" w:sz="0" w:space="0" w:color="auto"/>
      </w:divBdr>
    </w:div>
    <w:div w:id="897517939">
      <w:bodyDiv w:val="1"/>
      <w:marLeft w:val="0"/>
      <w:marRight w:val="0"/>
      <w:marTop w:val="0"/>
      <w:marBottom w:val="0"/>
      <w:divBdr>
        <w:top w:val="none" w:sz="0" w:space="0" w:color="auto"/>
        <w:left w:val="none" w:sz="0" w:space="0" w:color="auto"/>
        <w:bottom w:val="none" w:sz="0" w:space="0" w:color="auto"/>
        <w:right w:val="none" w:sz="0" w:space="0" w:color="auto"/>
      </w:divBdr>
    </w:div>
    <w:div w:id="901256830">
      <w:bodyDiv w:val="1"/>
      <w:marLeft w:val="0"/>
      <w:marRight w:val="0"/>
      <w:marTop w:val="0"/>
      <w:marBottom w:val="0"/>
      <w:divBdr>
        <w:top w:val="none" w:sz="0" w:space="0" w:color="auto"/>
        <w:left w:val="none" w:sz="0" w:space="0" w:color="auto"/>
        <w:bottom w:val="none" w:sz="0" w:space="0" w:color="auto"/>
        <w:right w:val="none" w:sz="0" w:space="0" w:color="auto"/>
      </w:divBdr>
    </w:div>
    <w:div w:id="914629341">
      <w:bodyDiv w:val="1"/>
      <w:marLeft w:val="0"/>
      <w:marRight w:val="0"/>
      <w:marTop w:val="0"/>
      <w:marBottom w:val="0"/>
      <w:divBdr>
        <w:top w:val="none" w:sz="0" w:space="0" w:color="auto"/>
        <w:left w:val="none" w:sz="0" w:space="0" w:color="auto"/>
        <w:bottom w:val="none" w:sz="0" w:space="0" w:color="auto"/>
        <w:right w:val="none" w:sz="0" w:space="0" w:color="auto"/>
      </w:divBdr>
    </w:div>
    <w:div w:id="918632399">
      <w:bodyDiv w:val="1"/>
      <w:marLeft w:val="0"/>
      <w:marRight w:val="0"/>
      <w:marTop w:val="0"/>
      <w:marBottom w:val="0"/>
      <w:divBdr>
        <w:top w:val="none" w:sz="0" w:space="0" w:color="auto"/>
        <w:left w:val="none" w:sz="0" w:space="0" w:color="auto"/>
        <w:bottom w:val="none" w:sz="0" w:space="0" w:color="auto"/>
        <w:right w:val="none" w:sz="0" w:space="0" w:color="auto"/>
      </w:divBdr>
    </w:div>
    <w:div w:id="923562779">
      <w:bodyDiv w:val="1"/>
      <w:marLeft w:val="0"/>
      <w:marRight w:val="0"/>
      <w:marTop w:val="0"/>
      <w:marBottom w:val="0"/>
      <w:divBdr>
        <w:top w:val="none" w:sz="0" w:space="0" w:color="auto"/>
        <w:left w:val="none" w:sz="0" w:space="0" w:color="auto"/>
        <w:bottom w:val="none" w:sz="0" w:space="0" w:color="auto"/>
        <w:right w:val="none" w:sz="0" w:space="0" w:color="auto"/>
      </w:divBdr>
    </w:div>
    <w:div w:id="931278881">
      <w:bodyDiv w:val="1"/>
      <w:marLeft w:val="0"/>
      <w:marRight w:val="0"/>
      <w:marTop w:val="0"/>
      <w:marBottom w:val="0"/>
      <w:divBdr>
        <w:top w:val="none" w:sz="0" w:space="0" w:color="auto"/>
        <w:left w:val="none" w:sz="0" w:space="0" w:color="auto"/>
        <w:bottom w:val="none" w:sz="0" w:space="0" w:color="auto"/>
        <w:right w:val="none" w:sz="0" w:space="0" w:color="auto"/>
      </w:divBdr>
    </w:div>
    <w:div w:id="931594952">
      <w:bodyDiv w:val="1"/>
      <w:marLeft w:val="0"/>
      <w:marRight w:val="0"/>
      <w:marTop w:val="0"/>
      <w:marBottom w:val="0"/>
      <w:divBdr>
        <w:top w:val="none" w:sz="0" w:space="0" w:color="auto"/>
        <w:left w:val="none" w:sz="0" w:space="0" w:color="auto"/>
        <w:bottom w:val="none" w:sz="0" w:space="0" w:color="auto"/>
        <w:right w:val="none" w:sz="0" w:space="0" w:color="auto"/>
      </w:divBdr>
    </w:div>
    <w:div w:id="935485094">
      <w:bodyDiv w:val="1"/>
      <w:marLeft w:val="0"/>
      <w:marRight w:val="0"/>
      <w:marTop w:val="0"/>
      <w:marBottom w:val="0"/>
      <w:divBdr>
        <w:top w:val="none" w:sz="0" w:space="0" w:color="auto"/>
        <w:left w:val="none" w:sz="0" w:space="0" w:color="auto"/>
        <w:bottom w:val="none" w:sz="0" w:space="0" w:color="auto"/>
        <w:right w:val="none" w:sz="0" w:space="0" w:color="auto"/>
      </w:divBdr>
    </w:div>
    <w:div w:id="936250245">
      <w:bodyDiv w:val="1"/>
      <w:marLeft w:val="0"/>
      <w:marRight w:val="0"/>
      <w:marTop w:val="0"/>
      <w:marBottom w:val="0"/>
      <w:divBdr>
        <w:top w:val="none" w:sz="0" w:space="0" w:color="auto"/>
        <w:left w:val="none" w:sz="0" w:space="0" w:color="auto"/>
        <w:bottom w:val="none" w:sz="0" w:space="0" w:color="auto"/>
        <w:right w:val="none" w:sz="0" w:space="0" w:color="auto"/>
      </w:divBdr>
    </w:div>
    <w:div w:id="938488662">
      <w:bodyDiv w:val="1"/>
      <w:marLeft w:val="0"/>
      <w:marRight w:val="0"/>
      <w:marTop w:val="0"/>
      <w:marBottom w:val="0"/>
      <w:divBdr>
        <w:top w:val="none" w:sz="0" w:space="0" w:color="auto"/>
        <w:left w:val="none" w:sz="0" w:space="0" w:color="auto"/>
        <w:bottom w:val="none" w:sz="0" w:space="0" w:color="auto"/>
        <w:right w:val="none" w:sz="0" w:space="0" w:color="auto"/>
      </w:divBdr>
    </w:div>
    <w:div w:id="939412861">
      <w:bodyDiv w:val="1"/>
      <w:marLeft w:val="0"/>
      <w:marRight w:val="0"/>
      <w:marTop w:val="0"/>
      <w:marBottom w:val="0"/>
      <w:divBdr>
        <w:top w:val="none" w:sz="0" w:space="0" w:color="auto"/>
        <w:left w:val="none" w:sz="0" w:space="0" w:color="auto"/>
        <w:bottom w:val="none" w:sz="0" w:space="0" w:color="auto"/>
        <w:right w:val="none" w:sz="0" w:space="0" w:color="auto"/>
      </w:divBdr>
    </w:div>
    <w:div w:id="940335411">
      <w:bodyDiv w:val="1"/>
      <w:marLeft w:val="0"/>
      <w:marRight w:val="0"/>
      <w:marTop w:val="0"/>
      <w:marBottom w:val="0"/>
      <w:divBdr>
        <w:top w:val="none" w:sz="0" w:space="0" w:color="auto"/>
        <w:left w:val="none" w:sz="0" w:space="0" w:color="auto"/>
        <w:bottom w:val="none" w:sz="0" w:space="0" w:color="auto"/>
        <w:right w:val="none" w:sz="0" w:space="0" w:color="auto"/>
      </w:divBdr>
    </w:div>
    <w:div w:id="947738974">
      <w:bodyDiv w:val="1"/>
      <w:marLeft w:val="0"/>
      <w:marRight w:val="0"/>
      <w:marTop w:val="0"/>
      <w:marBottom w:val="0"/>
      <w:divBdr>
        <w:top w:val="none" w:sz="0" w:space="0" w:color="auto"/>
        <w:left w:val="none" w:sz="0" w:space="0" w:color="auto"/>
        <w:bottom w:val="none" w:sz="0" w:space="0" w:color="auto"/>
        <w:right w:val="none" w:sz="0" w:space="0" w:color="auto"/>
      </w:divBdr>
    </w:div>
    <w:div w:id="956529171">
      <w:bodyDiv w:val="1"/>
      <w:marLeft w:val="0"/>
      <w:marRight w:val="0"/>
      <w:marTop w:val="0"/>
      <w:marBottom w:val="0"/>
      <w:divBdr>
        <w:top w:val="none" w:sz="0" w:space="0" w:color="auto"/>
        <w:left w:val="none" w:sz="0" w:space="0" w:color="auto"/>
        <w:bottom w:val="none" w:sz="0" w:space="0" w:color="auto"/>
        <w:right w:val="none" w:sz="0" w:space="0" w:color="auto"/>
      </w:divBdr>
    </w:div>
    <w:div w:id="959650557">
      <w:bodyDiv w:val="1"/>
      <w:marLeft w:val="0"/>
      <w:marRight w:val="0"/>
      <w:marTop w:val="0"/>
      <w:marBottom w:val="0"/>
      <w:divBdr>
        <w:top w:val="none" w:sz="0" w:space="0" w:color="auto"/>
        <w:left w:val="none" w:sz="0" w:space="0" w:color="auto"/>
        <w:bottom w:val="none" w:sz="0" w:space="0" w:color="auto"/>
        <w:right w:val="none" w:sz="0" w:space="0" w:color="auto"/>
      </w:divBdr>
    </w:div>
    <w:div w:id="967861688">
      <w:bodyDiv w:val="1"/>
      <w:marLeft w:val="0"/>
      <w:marRight w:val="0"/>
      <w:marTop w:val="0"/>
      <w:marBottom w:val="0"/>
      <w:divBdr>
        <w:top w:val="none" w:sz="0" w:space="0" w:color="auto"/>
        <w:left w:val="none" w:sz="0" w:space="0" w:color="auto"/>
        <w:bottom w:val="none" w:sz="0" w:space="0" w:color="auto"/>
        <w:right w:val="none" w:sz="0" w:space="0" w:color="auto"/>
      </w:divBdr>
    </w:div>
    <w:div w:id="97144438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23269">
      <w:bodyDiv w:val="1"/>
      <w:marLeft w:val="0"/>
      <w:marRight w:val="0"/>
      <w:marTop w:val="0"/>
      <w:marBottom w:val="0"/>
      <w:divBdr>
        <w:top w:val="none" w:sz="0" w:space="0" w:color="auto"/>
        <w:left w:val="none" w:sz="0" w:space="0" w:color="auto"/>
        <w:bottom w:val="none" w:sz="0" w:space="0" w:color="auto"/>
        <w:right w:val="none" w:sz="0" w:space="0" w:color="auto"/>
      </w:divBdr>
    </w:div>
    <w:div w:id="974258331">
      <w:bodyDiv w:val="1"/>
      <w:marLeft w:val="0"/>
      <w:marRight w:val="0"/>
      <w:marTop w:val="0"/>
      <w:marBottom w:val="0"/>
      <w:divBdr>
        <w:top w:val="none" w:sz="0" w:space="0" w:color="auto"/>
        <w:left w:val="none" w:sz="0" w:space="0" w:color="auto"/>
        <w:bottom w:val="none" w:sz="0" w:space="0" w:color="auto"/>
        <w:right w:val="none" w:sz="0" w:space="0" w:color="auto"/>
      </w:divBdr>
    </w:div>
    <w:div w:id="977876946">
      <w:bodyDiv w:val="1"/>
      <w:marLeft w:val="0"/>
      <w:marRight w:val="0"/>
      <w:marTop w:val="0"/>
      <w:marBottom w:val="0"/>
      <w:divBdr>
        <w:top w:val="none" w:sz="0" w:space="0" w:color="auto"/>
        <w:left w:val="none" w:sz="0" w:space="0" w:color="auto"/>
        <w:bottom w:val="none" w:sz="0" w:space="0" w:color="auto"/>
        <w:right w:val="none" w:sz="0" w:space="0" w:color="auto"/>
      </w:divBdr>
    </w:div>
    <w:div w:id="982005382">
      <w:bodyDiv w:val="1"/>
      <w:marLeft w:val="0"/>
      <w:marRight w:val="0"/>
      <w:marTop w:val="0"/>
      <w:marBottom w:val="0"/>
      <w:divBdr>
        <w:top w:val="none" w:sz="0" w:space="0" w:color="auto"/>
        <w:left w:val="none" w:sz="0" w:space="0" w:color="auto"/>
        <w:bottom w:val="none" w:sz="0" w:space="0" w:color="auto"/>
        <w:right w:val="none" w:sz="0" w:space="0" w:color="auto"/>
      </w:divBdr>
    </w:div>
    <w:div w:id="986133232">
      <w:bodyDiv w:val="1"/>
      <w:marLeft w:val="0"/>
      <w:marRight w:val="0"/>
      <w:marTop w:val="0"/>
      <w:marBottom w:val="0"/>
      <w:divBdr>
        <w:top w:val="none" w:sz="0" w:space="0" w:color="auto"/>
        <w:left w:val="none" w:sz="0" w:space="0" w:color="auto"/>
        <w:bottom w:val="none" w:sz="0" w:space="0" w:color="auto"/>
        <w:right w:val="none" w:sz="0" w:space="0" w:color="auto"/>
      </w:divBdr>
    </w:div>
    <w:div w:id="991831507">
      <w:bodyDiv w:val="1"/>
      <w:marLeft w:val="0"/>
      <w:marRight w:val="0"/>
      <w:marTop w:val="0"/>
      <w:marBottom w:val="0"/>
      <w:divBdr>
        <w:top w:val="none" w:sz="0" w:space="0" w:color="auto"/>
        <w:left w:val="none" w:sz="0" w:space="0" w:color="auto"/>
        <w:bottom w:val="none" w:sz="0" w:space="0" w:color="auto"/>
        <w:right w:val="none" w:sz="0" w:space="0" w:color="auto"/>
      </w:divBdr>
    </w:div>
    <w:div w:id="992177196">
      <w:bodyDiv w:val="1"/>
      <w:marLeft w:val="0"/>
      <w:marRight w:val="0"/>
      <w:marTop w:val="0"/>
      <w:marBottom w:val="0"/>
      <w:divBdr>
        <w:top w:val="none" w:sz="0" w:space="0" w:color="auto"/>
        <w:left w:val="none" w:sz="0" w:space="0" w:color="auto"/>
        <w:bottom w:val="none" w:sz="0" w:space="0" w:color="auto"/>
        <w:right w:val="none" w:sz="0" w:space="0" w:color="auto"/>
      </w:divBdr>
    </w:div>
    <w:div w:id="997684601">
      <w:bodyDiv w:val="1"/>
      <w:marLeft w:val="0"/>
      <w:marRight w:val="0"/>
      <w:marTop w:val="0"/>
      <w:marBottom w:val="0"/>
      <w:divBdr>
        <w:top w:val="none" w:sz="0" w:space="0" w:color="auto"/>
        <w:left w:val="none" w:sz="0" w:space="0" w:color="auto"/>
        <w:bottom w:val="none" w:sz="0" w:space="0" w:color="auto"/>
        <w:right w:val="none" w:sz="0" w:space="0" w:color="auto"/>
      </w:divBdr>
    </w:div>
    <w:div w:id="997806079">
      <w:bodyDiv w:val="1"/>
      <w:marLeft w:val="0"/>
      <w:marRight w:val="0"/>
      <w:marTop w:val="0"/>
      <w:marBottom w:val="0"/>
      <w:divBdr>
        <w:top w:val="none" w:sz="0" w:space="0" w:color="auto"/>
        <w:left w:val="none" w:sz="0" w:space="0" w:color="auto"/>
        <w:bottom w:val="none" w:sz="0" w:space="0" w:color="auto"/>
        <w:right w:val="none" w:sz="0" w:space="0" w:color="auto"/>
      </w:divBdr>
    </w:div>
    <w:div w:id="1012341497">
      <w:bodyDiv w:val="1"/>
      <w:marLeft w:val="0"/>
      <w:marRight w:val="0"/>
      <w:marTop w:val="0"/>
      <w:marBottom w:val="0"/>
      <w:divBdr>
        <w:top w:val="none" w:sz="0" w:space="0" w:color="auto"/>
        <w:left w:val="none" w:sz="0" w:space="0" w:color="auto"/>
        <w:bottom w:val="none" w:sz="0" w:space="0" w:color="auto"/>
        <w:right w:val="none" w:sz="0" w:space="0" w:color="auto"/>
      </w:divBdr>
    </w:div>
    <w:div w:id="1030454400">
      <w:bodyDiv w:val="1"/>
      <w:marLeft w:val="0"/>
      <w:marRight w:val="0"/>
      <w:marTop w:val="0"/>
      <w:marBottom w:val="0"/>
      <w:divBdr>
        <w:top w:val="none" w:sz="0" w:space="0" w:color="auto"/>
        <w:left w:val="none" w:sz="0" w:space="0" w:color="auto"/>
        <w:bottom w:val="none" w:sz="0" w:space="0" w:color="auto"/>
        <w:right w:val="none" w:sz="0" w:space="0" w:color="auto"/>
      </w:divBdr>
    </w:div>
    <w:div w:id="1033649642">
      <w:bodyDiv w:val="1"/>
      <w:marLeft w:val="0"/>
      <w:marRight w:val="0"/>
      <w:marTop w:val="0"/>
      <w:marBottom w:val="0"/>
      <w:divBdr>
        <w:top w:val="none" w:sz="0" w:space="0" w:color="auto"/>
        <w:left w:val="none" w:sz="0" w:space="0" w:color="auto"/>
        <w:bottom w:val="none" w:sz="0" w:space="0" w:color="auto"/>
        <w:right w:val="none" w:sz="0" w:space="0" w:color="auto"/>
      </w:divBdr>
    </w:div>
    <w:div w:id="1040009450">
      <w:bodyDiv w:val="1"/>
      <w:marLeft w:val="0"/>
      <w:marRight w:val="0"/>
      <w:marTop w:val="0"/>
      <w:marBottom w:val="0"/>
      <w:divBdr>
        <w:top w:val="none" w:sz="0" w:space="0" w:color="auto"/>
        <w:left w:val="none" w:sz="0" w:space="0" w:color="auto"/>
        <w:bottom w:val="none" w:sz="0" w:space="0" w:color="auto"/>
        <w:right w:val="none" w:sz="0" w:space="0" w:color="auto"/>
      </w:divBdr>
    </w:div>
    <w:div w:id="1047997346">
      <w:bodyDiv w:val="1"/>
      <w:marLeft w:val="0"/>
      <w:marRight w:val="0"/>
      <w:marTop w:val="0"/>
      <w:marBottom w:val="0"/>
      <w:divBdr>
        <w:top w:val="none" w:sz="0" w:space="0" w:color="auto"/>
        <w:left w:val="none" w:sz="0" w:space="0" w:color="auto"/>
        <w:bottom w:val="none" w:sz="0" w:space="0" w:color="auto"/>
        <w:right w:val="none" w:sz="0" w:space="0" w:color="auto"/>
      </w:divBdr>
    </w:div>
    <w:div w:id="1054349639">
      <w:bodyDiv w:val="1"/>
      <w:marLeft w:val="0"/>
      <w:marRight w:val="0"/>
      <w:marTop w:val="0"/>
      <w:marBottom w:val="0"/>
      <w:divBdr>
        <w:top w:val="none" w:sz="0" w:space="0" w:color="auto"/>
        <w:left w:val="none" w:sz="0" w:space="0" w:color="auto"/>
        <w:bottom w:val="none" w:sz="0" w:space="0" w:color="auto"/>
        <w:right w:val="none" w:sz="0" w:space="0" w:color="auto"/>
      </w:divBdr>
    </w:div>
    <w:div w:id="1062868528">
      <w:bodyDiv w:val="1"/>
      <w:marLeft w:val="0"/>
      <w:marRight w:val="0"/>
      <w:marTop w:val="0"/>
      <w:marBottom w:val="0"/>
      <w:divBdr>
        <w:top w:val="none" w:sz="0" w:space="0" w:color="auto"/>
        <w:left w:val="none" w:sz="0" w:space="0" w:color="auto"/>
        <w:bottom w:val="none" w:sz="0" w:space="0" w:color="auto"/>
        <w:right w:val="none" w:sz="0" w:space="0" w:color="auto"/>
      </w:divBdr>
    </w:div>
    <w:div w:id="1075393703">
      <w:bodyDiv w:val="1"/>
      <w:marLeft w:val="0"/>
      <w:marRight w:val="0"/>
      <w:marTop w:val="0"/>
      <w:marBottom w:val="0"/>
      <w:divBdr>
        <w:top w:val="none" w:sz="0" w:space="0" w:color="auto"/>
        <w:left w:val="none" w:sz="0" w:space="0" w:color="auto"/>
        <w:bottom w:val="none" w:sz="0" w:space="0" w:color="auto"/>
        <w:right w:val="none" w:sz="0" w:space="0" w:color="auto"/>
      </w:divBdr>
    </w:div>
    <w:div w:id="1085801514">
      <w:bodyDiv w:val="1"/>
      <w:marLeft w:val="0"/>
      <w:marRight w:val="0"/>
      <w:marTop w:val="0"/>
      <w:marBottom w:val="0"/>
      <w:divBdr>
        <w:top w:val="none" w:sz="0" w:space="0" w:color="auto"/>
        <w:left w:val="none" w:sz="0" w:space="0" w:color="auto"/>
        <w:bottom w:val="none" w:sz="0" w:space="0" w:color="auto"/>
        <w:right w:val="none" w:sz="0" w:space="0" w:color="auto"/>
      </w:divBdr>
    </w:div>
    <w:div w:id="1086729345">
      <w:bodyDiv w:val="1"/>
      <w:marLeft w:val="0"/>
      <w:marRight w:val="0"/>
      <w:marTop w:val="0"/>
      <w:marBottom w:val="0"/>
      <w:divBdr>
        <w:top w:val="none" w:sz="0" w:space="0" w:color="auto"/>
        <w:left w:val="none" w:sz="0" w:space="0" w:color="auto"/>
        <w:bottom w:val="none" w:sz="0" w:space="0" w:color="auto"/>
        <w:right w:val="none" w:sz="0" w:space="0" w:color="auto"/>
      </w:divBdr>
    </w:div>
    <w:div w:id="1092623296">
      <w:bodyDiv w:val="1"/>
      <w:marLeft w:val="0"/>
      <w:marRight w:val="0"/>
      <w:marTop w:val="0"/>
      <w:marBottom w:val="0"/>
      <w:divBdr>
        <w:top w:val="none" w:sz="0" w:space="0" w:color="auto"/>
        <w:left w:val="none" w:sz="0" w:space="0" w:color="auto"/>
        <w:bottom w:val="none" w:sz="0" w:space="0" w:color="auto"/>
        <w:right w:val="none" w:sz="0" w:space="0" w:color="auto"/>
      </w:divBdr>
    </w:div>
    <w:div w:id="1103456671">
      <w:bodyDiv w:val="1"/>
      <w:marLeft w:val="0"/>
      <w:marRight w:val="0"/>
      <w:marTop w:val="0"/>
      <w:marBottom w:val="0"/>
      <w:divBdr>
        <w:top w:val="none" w:sz="0" w:space="0" w:color="auto"/>
        <w:left w:val="none" w:sz="0" w:space="0" w:color="auto"/>
        <w:bottom w:val="none" w:sz="0" w:space="0" w:color="auto"/>
        <w:right w:val="none" w:sz="0" w:space="0" w:color="auto"/>
      </w:divBdr>
    </w:div>
    <w:div w:id="1112557966">
      <w:bodyDiv w:val="1"/>
      <w:marLeft w:val="0"/>
      <w:marRight w:val="0"/>
      <w:marTop w:val="0"/>
      <w:marBottom w:val="0"/>
      <w:divBdr>
        <w:top w:val="none" w:sz="0" w:space="0" w:color="auto"/>
        <w:left w:val="none" w:sz="0" w:space="0" w:color="auto"/>
        <w:bottom w:val="none" w:sz="0" w:space="0" w:color="auto"/>
        <w:right w:val="none" w:sz="0" w:space="0" w:color="auto"/>
      </w:divBdr>
    </w:div>
    <w:div w:id="1117682164">
      <w:bodyDiv w:val="1"/>
      <w:marLeft w:val="0"/>
      <w:marRight w:val="0"/>
      <w:marTop w:val="0"/>
      <w:marBottom w:val="0"/>
      <w:divBdr>
        <w:top w:val="none" w:sz="0" w:space="0" w:color="auto"/>
        <w:left w:val="none" w:sz="0" w:space="0" w:color="auto"/>
        <w:bottom w:val="none" w:sz="0" w:space="0" w:color="auto"/>
        <w:right w:val="none" w:sz="0" w:space="0" w:color="auto"/>
      </w:divBdr>
    </w:div>
    <w:div w:id="1120799791">
      <w:bodyDiv w:val="1"/>
      <w:marLeft w:val="0"/>
      <w:marRight w:val="0"/>
      <w:marTop w:val="0"/>
      <w:marBottom w:val="0"/>
      <w:divBdr>
        <w:top w:val="none" w:sz="0" w:space="0" w:color="auto"/>
        <w:left w:val="none" w:sz="0" w:space="0" w:color="auto"/>
        <w:bottom w:val="none" w:sz="0" w:space="0" w:color="auto"/>
        <w:right w:val="none" w:sz="0" w:space="0" w:color="auto"/>
      </w:divBdr>
    </w:div>
    <w:div w:id="1127551716">
      <w:bodyDiv w:val="1"/>
      <w:marLeft w:val="0"/>
      <w:marRight w:val="0"/>
      <w:marTop w:val="0"/>
      <w:marBottom w:val="0"/>
      <w:divBdr>
        <w:top w:val="none" w:sz="0" w:space="0" w:color="auto"/>
        <w:left w:val="none" w:sz="0" w:space="0" w:color="auto"/>
        <w:bottom w:val="none" w:sz="0" w:space="0" w:color="auto"/>
        <w:right w:val="none" w:sz="0" w:space="0" w:color="auto"/>
      </w:divBdr>
    </w:div>
    <w:div w:id="112828188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5466234">
      <w:bodyDiv w:val="1"/>
      <w:marLeft w:val="0"/>
      <w:marRight w:val="0"/>
      <w:marTop w:val="0"/>
      <w:marBottom w:val="0"/>
      <w:divBdr>
        <w:top w:val="none" w:sz="0" w:space="0" w:color="auto"/>
        <w:left w:val="none" w:sz="0" w:space="0" w:color="auto"/>
        <w:bottom w:val="none" w:sz="0" w:space="0" w:color="auto"/>
        <w:right w:val="none" w:sz="0" w:space="0" w:color="auto"/>
      </w:divBdr>
    </w:div>
    <w:div w:id="1151755980">
      <w:bodyDiv w:val="1"/>
      <w:marLeft w:val="0"/>
      <w:marRight w:val="0"/>
      <w:marTop w:val="0"/>
      <w:marBottom w:val="0"/>
      <w:divBdr>
        <w:top w:val="none" w:sz="0" w:space="0" w:color="auto"/>
        <w:left w:val="none" w:sz="0" w:space="0" w:color="auto"/>
        <w:bottom w:val="none" w:sz="0" w:space="0" w:color="auto"/>
        <w:right w:val="none" w:sz="0" w:space="0" w:color="auto"/>
      </w:divBdr>
    </w:div>
    <w:div w:id="1155881241">
      <w:bodyDiv w:val="1"/>
      <w:marLeft w:val="0"/>
      <w:marRight w:val="0"/>
      <w:marTop w:val="0"/>
      <w:marBottom w:val="0"/>
      <w:divBdr>
        <w:top w:val="none" w:sz="0" w:space="0" w:color="auto"/>
        <w:left w:val="none" w:sz="0" w:space="0" w:color="auto"/>
        <w:bottom w:val="none" w:sz="0" w:space="0" w:color="auto"/>
        <w:right w:val="none" w:sz="0" w:space="0" w:color="auto"/>
      </w:divBdr>
    </w:div>
    <w:div w:id="1160850154">
      <w:bodyDiv w:val="1"/>
      <w:marLeft w:val="0"/>
      <w:marRight w:val="0"/>
      <w:marTop w:val="0"/>
      <w:marBottom w:val="0"/>
      <w:divBdr>
        <w:top w:val="none" w:sz="0" w:space="0" w:color="auto"/>
        <w:left w:val="none" w:sz="0" w:space="0" w:color="auto"/>
        <w:bottom w:val="none" w:sz="0" w:space="0" w:color="auto"/>
        <w:right w:val="none" w:sz="0" w:space="0" w:color="auto"/>
      </w:divBdr>
    </w:div>
    <w:div w:id="1161694046">
      <w:bodyDiv w:val="1"/>
      <w:marLeft w:val="0"/>
      <w:marRight w:val="0"/>
      <w:marTop w:val="0"/>
      <w:marBottom w:val="0"/>
      <w:divBdr>
        <w:top w:val="none" w:sz="0" w:space="0" w:color="auto"/>
        <w:left w:val="none" w:sz="0" w:space="0" w:color="auto"/>
        <w:bottom w:val="none" w:sz="0" w:space="0" w:color="auto"/>
        <w:right w:val="none" w:sz="0" w:space="0" w:color="auto"/>
      </w:divBdr>
    </w:div>
    <w:div w:id="1163199717">
      <w:bodyDiv w:val="1"/>
      <w:marLeft w:val="0"/>
      <w:marRight w:val="0"/>
      <w:marTop w:val="0"/>
      <w:marBottom w:val="0"/>
      <w:divBdr>
        <w:top w:val="none" w:sz="0" w:space="0" w:color="auto"/>
        <w:left w:val="none" w:sz="0" w:space="0" w:color="auto"/>
        <w:bottom w:val="none" w:sz="0" w:space="0" w:color="auto"/>
        <w:right w:val="none" w:sz="0" w:space="0" w:color="auto"/>
      </w:divBdr>
    </w:div>
    <w:div w:id="1167793522">
      <w:bodyDiv w:val="1"/>
      <w:marLeft w:val="0"/>
      <w:marRight w:val="0"/>
      <w:marTop w:val="0"/>
      <w:marBottom w:val="0"/>
      <w:divBdr>
        <w:top w:val="none" w:sz="0" w:space="0" w:color="auto"/>
        <w:left w:val="none" w:sz="0" w:space="0" w:color="auto"/>
        <w:bottom w:val="none" w:sz="0" w:space="0" w:color="auto"/>
        <w:right w:val="none" w:sz="0" w:space="0" w:color="auto"/>
      </w:divBdr>
    </w:div>
    <w:div w:id="1168902081">
      <w:bodyDiv w:val="1"/>
      <w:marLeft w:val="0"/>
      <w:marRight w:val="0"/>
      <w:marTop w:val="0"/>
      <w:marBottom w:val="0"/>
      <w:divBdr>
        <w:top w:val="none" w:sz="0" w:space="0" w:color="auto"/>
        <w:left w:val="none" w:sz="0" w:space="0" w:color="auto"/>
        <w:bottom w:val="none" w:sz="0" w:space="0" w:color="auto"/>
        <w:right w:val="none" w:sz="0" w:space="0" w:color="auto"/>
      </w:divBdr>
    </w:div>
    <w:div w:id="1180201168">
      <w:bodyDiv w:val="1"/>
      <w:marLeft w:val="0"/>
      <w:marRight w:val="0"/>
      <w:marTop w:val="0"/>
      <w:marBottom w:val="0"/>
      <w:divBdr>
        <w:top w:val="none" w:sz="0" w:space="0" w:color="auto"/>
        <w:left w:val="none" w:sz="0" w:space="0" w:color="auto"/>
        <w:bottom w:val="none" w:sz="0" w:space="0" w:color="auto"/>
        <w:right w:val="none" w:sz="0" w:space="0" w:color="auto"/>
      </w:divBdr>
    </w:div>
    <w:div w:id="1180777839">
      <w:bodyDiv w:val="1"/>
      <w:marLeft w:val="0"/>
      <w:marRight w:val="0"/>
      <w:marTop w:val="0"/>
      <w:marBottom w:val="0"/>
      <w:divBdr>
        <w:top w:val="none" w:sz="0" w:space="0" w:color="auto"/>
        <w:left w:val="none" w:sz="0" w:space="0" w:color="auto"/>
        <w:bottom w:val="none" w:sz="0" w:space="0" w:color="auto"/>
        <w:right w:val="none" w:sz="0" w:space="0" w:color="auto"/>
      </w:divBdr>
    </w:div>
    <w:div w:id="1182933235">
      <w:bodyDiv w:val="1"/>
      <w:marLeft w:val="0"/>
      <w:marRight w:val="0"/>
      <w:marTop w:val="0"/>
      <w:marBottom w:val="0"/>
      <w:divBdr>
        <w:top w:val="none" w:sz="0" w:space="0" w:color="auto"/>
        <w:left w:val="none" w:sz="0" w:space="0" w:color="auto"/>
        <w:bottom w:val="none" w:sz="0" w:space="0" w:color="auto"/>
        <w:right w:val="none" w:sz="0" w:space="0" w:color="auto"/>
      </w:divBdr>
    </w:div>
    <w:div w:id="1186869286">
      <w:bodyDiv w:val="1"/>
      <w:marLeft w:val="0"/>
      <w:marRight w:val="0"/>
      <w:marTop w:val="0"/>
      <w:marBottom w:val="0"/>
      <w:divBdr>
        <w:top w:val="none" w:sz="0" w:space="0" w:color="auto"/>
        <w:left w:val="none" w:sz="0" w:space="0" w:color="auto"/>
        <w:bottom w:val="none" w:sz="0" w:space="0" w:color="auto"/>
        <w:right w:val="none" w:sz="0" w:space="0" w:color="auto"/>
      </w:divBdr>
    </w:div>
    <w:div w:id="1196233231">
      <w:bodyDiv w:val="1"/>
      <w:marLeft w:val="0"/>
      <w:marRight w:val="0"/>
      <w:marTop w:val="0"/>
      <w:marBottom w:val="0"/>
      <w:divBdr>
        <w:top w:val="none" w:sz="0" w:space="0" w:color="auto"/>
        <w:left w:val="none" w:sz="0" w:space="0" w:color="auto"/>
        <w:bottom w:val="none" w:sz="0" w:space="0" w:color="auto"/>
        <w:right w:val="none" w:sz="0" w:space="0" w:color="auto"/>
      </w:divBdr>
    </w:div>
    <w:div w:id="1197817198">
      <w:bodyDiv w:val="1"/>
      <w:marLeft w:val="0"/>
      <w:marRight w:val="0"/>
      <w:marTop w:val="0"/>
      <w:marBottom w:val="0"/>
      <w:divBdr>
        <w:top w:val="none" w:sz="0" w:space="0" w:color="auto"/>
        <w:left w:val="none" w:sz="0" w:space="0" w:color="auto"/>
        <w:bottom w:val="none" w:sz="0" w:space="0" w:color="auto"/>
        <w:right w:val="none" w:sz="0" w:space="0" w:color="auto"/>
      </w:divBdr>
    </w:div>
    <w:div w:id="1203398807">
      <w:bodyDiv w:val="1"/>
      <w:marLeft w:val="0"/>
      <w:marRight w:val="0"/>
      <w:marTop w:val="0"/>
      <w:marBottom w:val="0"/>
      <w:divBdr>
        <w:top w:val="none" w:sz="0" w:space="0" w:color="auto"/>
        <w:left w:val="none" w:sz="0" w:space="0" w:color="auto"/>
        <w:bottom w:val="none" w:sz="0" w:space="0" w:color="auto"/>
        <w:right w:val="none" w:sz="0" w:space="0" w:color="auto"/>
      </w:divBdr>
    </w:div>
    <w:div w:id="1203592062">
      <w:bodyDiv w:val="1"/>
      <w:marLeft w:val="0"/>
      <w:marRight w:val="0"/>
      <w:marTop w:val="0"/>
      <w:marBottom w:val="0"/>
      <w:divBdr>
        <w:top w:val="none" w:sz="0" w:space="0" w:color="auto"/>
        <w:left w:val="none" w:sz="0" w:space="0" w:color="auto"/>
        <w:bottom w:val="none" w:sz="0" w:space="0" w:color="auto"/>
        <w:right w:val="none" w:sz="0" w:space="0" w:color="auto"/>
      </w:divBdr>
    </w:div>
    <w:div w:id="1222129777">
      <w:bodyDiv w:val="1"/>
      <w:marLeft w:val="0"/>
      <w:marRight w:val="0"/>
      <w:marTop w:val="0"/>
      <w:marBottom w:val="0"/>
      <w:divBdr>
        <w:top w:val="none" w:sz="0" w:space="0" w:color="auto"/>
        <w:left w:val="none" w:sz="0" w:space="0" w:color="auto"/>
        <w:bottom w:val="none" w:sz="0" w:space="0" w:color="auto"/>
        <w:right w:val="none" w:sz="0" w:space="0" w:color="auto"/>
      </w:divBdr>
    </w:div>
    <w:div w:id="1226454064">
      <w:bodyDiv w:val="1"/>
      <w:marLeft w:val="0"/>
      <w:marRight w:val="0"/>
      <w:marTop w:val="0"/>
      <w:marBottom w:val="0"/>
      <w:divBdr>
        <w:top w:val="none" w:sz="0" w:space="0" w:color="auto"/>
        <w:left w:val="none" w:sz="0" w:space="0" w:color="auto"/>
        <w:bottom w:val="none" w:sz="0" w:space="0" w:color="auto"/>
        <w:right w:val="none" w:sz="0" w:space="0" w:color="auto"/>
      </w:divBdr>
    </w:div>
    <w:div w:id="1231498626">
      <w:bodyDiv w:val="1"/>
      <w:marLeft w:val="0"/>
      <w:marRight w:val="0"/>
      <w:marTop w:val="0"/>
      <w:marBottom w:val="0"/>
      <w:divBdr>
        <w:top w:val="none" w:sz="0" w:space="0" w:color="auto"/>
        <w:left w:val="none" w:sz="0" w:space="0" w:color="auto"/>
        <w:bottom w:val="none" w:sz="0" w:space="0" w:color="auto"/>
        <w:right w:val="none" w:sz="0" w:space="0" w:color="auto"/>
      </w:divBdr>
    </w:div>
    <w:div w:id="1237324110">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2058755">
      <w:bodyDiv w:val="1"/>
      <w:marLeft w:val="0"/>
      <w:marRight w:val="0"/>
      <w:marTop w:val="0"/>
      <w:marBottom w:val="0"/>
      <w:divBdr>
        <w:top w:val="none" w:sz="0" w:space="0" w:color="auto"/>
        <w:left w:val="none" w:sz="0" w:space="0" w:color="auto"/>
        <w:bottom w:val="none" w:sz="0" w:space="0" w:color="auto"/>
        <w:right w:val="none" w:sz="0" w:space="0" w:color="auto"/>
      </w:divBdr>
    </w:div>
    <w:div w:id="1262449179">
      <w:bodyDiv w:val="1"/>
      <w:marLeft w:val="0"/>
      <w:marRight w:val="0"/>
      <w:marTop w:val="0"/>
      <w:marBottom w:val="0"/>
      <w:divBdr>
        <w:top w:val="none" w:sz="0" w:space="0" w:color="auto"/>
        <w:left w:val="none" w:sz="0" w:space="0" w:color="auto"/>
        <w:bottom w:val="none" w:sz="0" w:space="0" w:color="auto"/>
        <w:right w:val="none" w:sz="0" w:space="0" w:color="auto"/>
      </w:divBdr>
    </w:div>
    <w:div w:id="1263805843">
      <w:bodyDiv w:val="1"/>
      <w:marLeft w:val="0"/>
      <w:marRight w:val="0"/>
      <w:marTop w:val="0"/>
      <w:marBottom w:val="0"/>
      <w:divBdr>
        <w:top w:val="none" w:sz="0" w:space="0" w:color="auto"/>
        <w:left w:val="none" w:sz="0" w:space="0" w:color="auto"/>
        <w:bottom w:val="none" w:sz="0" w:space="0" w:color="auto"/>
        <w:right w:val="none" w:sz="0" w:space="0" w:color="auto"/>
      </w:divBdr>
    </w:div>
    <w:div w:id="1264194228">
      <w:bodyDiv w:val="1"/>
      <w:marLeft w:val="0"/>
      <w:marRight w:val="0"/>
      <w:marTop w:val="0"/>
      <w:marBottom w:val="0"/>
      <w:divBdr>
        <w:top w:val="none" w:sz="0" w:space="0" w:color="auto"/>
        <w:left w:val="none" w:sz="0" w:space="0" w:color="auto"/>
        <w:bottom w:val="none" w:sz="0" w:space="0" w:color="auto"/>
        <w:right w:val="none" w:sz="0" w:space="0" w:color="auto"/>
      </w:divBdr>
    </w:div>
    <w:div w:id="1266310018">
      <w:bodyDiv w:val="1"/>
      <w:marLeft w:val="0"/>
      <w:marRight w:val="0"/>
      <w:marTop w:val="0"/>
      <w:marBottom w:val="0"/>
      <w:divBdr>
        <w:top w:val="none" w:sz="0" w:space="0" w:color="auto"/>
        <w:left w:val="none" w:sz="0" w:space="0" w:color="auto"/>
        <w:bottom w:val="none" w:sz="0" w:space="0" w:color="auto"/>
        <w:right w:val="none" w:sz="0" w:space="0" w:color="auto"/>
      </w:divBdr>
    </w:div>
    <w:div w:id="1272319777">
      <w:bodyDiv w:val="1"/>
      <w:marLeft w:val="0"/>
      <w:marRight w:val="0"/>
      <w:marTop w:val="0"/>
      <w:marBottom w:val="0"/>
      <w:divBdr>
        <w:top w:val="none" w:sz="0" w:space="0" w:color="auto"/>
        <w:left w:val="none" w:sz="0" w:space="0" w:color="auto"/>
        <w:bottom w:val="none" w:sz="0" w:space="0" w:color="auto"/>
        <w:right w:val="none" w:sz="0" w:space="0" w:color="auto"/>
      </w:divBdr>
    </w:div>
    <w:div w:id="1273628014">
      <w:bodyDiv w:val="1"/>
      <w:marLeft w:val="0"/>
      <w:marRight w:val="0"/>
      <w:marTop w:val="0"/>
      <w:marBottom w:val="0"/>
      <w:divBdr>
        <w:top w:val="none" w:sz="0" w:space="0" w:color="auto"/>
        <w:left w:val="none" w:sz="0" w:space="0" w:color="auto"/>
        <w:bottom w:val="none" w:sz="0" w:space="0" w:color="auto"/>
        <w:right w:val="none" w:sz="0" w:space="0" w:color="auto"/>
      </w:divBdr>
    </w:div>
    <w:div w:id="1274823494">
      <w:bodyDiv w:val="1"/>
      <w:marLeft w:val="0"/>
      <w:marRight w:val="0"/>
      <w:marTop w:val="0"/>
      <w:marBottom w:val="0"/>
      <w:divBdr>
        <w:top w:val="none" w:sz="0" w:space="0" w:color="auto"/>
        <w:left w:val="none" w:sz="0" w:space="0" w:color="auto"/>
        <w:bottom w:val="none" w:sz="0" w:space="0" w:color="auto"/>
        <w:right w:val="none" w:sz="0" w:space="0" w:color="auto"/>
      </w:divBdr>
    </w:div>
    <w:div w:id="1275140424">
      <w:bodyDiv w:val="1"/>
      <w:marLeft w:val="0"/>
      <w:marRight w:val="0"/>
      <w:marTop w:val="0"/>
      <w:marBottom w:val="0"/>
      <w:divBdr>
        <w:top w:val="none" w:sz="0" w:space="0" w:color="auto"/>
        <w:left w:val="none" w:sz="0" w:space="0" w:color="auto"/>
        <w:bottom w:val="none" w:sz="0" w:space="0" w:color="auto"/>
        <w:right w:val="none" w:sz="0" w:space="0" w:color="auto"/>
      </w:divBdr>
    </w:div>
    <w:div w:id="1275937922">
      <w:bodyDiv w:val="1"/>
      <w:marLeft w:val="0"/>
      <w:marRight w:val="0"/>
      <w:marTop w:val="0"/>
      <w:marBottom w:val="0"/>
      <w:divBdr>
        <w:top w:val="none" w:sz="0" w:space="0" w:color="auto"/>
        <w:left w:val="none" w:sz="0" w:space="0" w:color="auto"/>
        <w:bottom w:val="none" w:sz="0" w:space="0" w:color="auto"/>
        <w:right w:val="none" w:sz="0" w:space="0" w:color="auto"/>
      </w:divBdr>
    </w:div>
    <w:div w:id="1281261221">
      <w:bodyDiv w:val="1"/>
      <w:marLeft w:val="0"/>
      <w:marRight w:val="0"/>
      <w:marTop w:val="0"/>
      <w:marBottom w:val="0"/>
      <w:divBdr>
        <w:top w:val="none" w:sz="0" w:space="0" w:color="auto"/>
        <w:left w:val="none" w:sz="0" w:space="0" w:color="auto"/>
        <w:bottom w:val="none" w:sz="0" w:space="0" w:color="auto"/>
        <w:right w:val="none" w:sz="0" w:space="0" w:color="auto"/>
      </w:divBdr>
    </w:div>
    <w:div w:id="1282225180">
      <w:bodyDiv w:val="1"/>
      <w:marLeft w:val="0"/>
      <w:marRight w:val="0"/>
      <w:marTop w:val="0"/>
      <w:marBottom w:val="0"/>
      <w:divBdr>
        <w:top w:val="none" w:sz="0" w:space="0" w:color="auto"/>
        <w:left w:val="none" w:sz="0" w:space="0" w:color="auto"/>
        <w:bottom w:val="none" w:sz="0" w:space="0" w:color="auto"/>
        <w:right w:val="none" w:sz="0" w:space="0" w:color="auto"/>
      </w:divBdr>
    </w:div>
    <w:div w:id="1282803142">
      <w:bodyDiv w:val="1"/>
      <w:marLeft w:val="0"/>
      <w:marRight w:val="0"/>
      <w:marTop w:val="0"/>
      <w:marBottom w:val="0"/>
      <w:divBdr>
        <w:top w:val="none" w:sz="0" w:space="0" w:color="auto"/>
        <w:left w:val="none" w:sz="0" w:space="0" w:color="auto"/>
        <w:bottom w:val="none" w:sz="0" w:space="0" w:color="auto"/>
        <w:right w:val="none" w:sz="0" w:space="0" w:color="auto"/>
      </w:divBdr>
    </w:div>
    <w:div w:id="1291982196">
      <w:bodyDiv w:val="1"/>
      <w:marLeft w:val="0"/>
      <w:marRight w:val="0"/>
      <w:marTop w:val="0"/>
      <w:marBottom w:val="0"/>
      <w:divBdr>
        <w:top w:val="none" w:sz="0" w:space="0" w:color="auto"/>
        <w:left w:val="none" w:sz="0" w:space="0" w:color="auto"/>
        <w:bottom w:val="none" w:sz="0" w:space="0" w:color="auto"/>
        <w:right w:val="none" w:sz="0" w:space="0" w:color="auto"/>
      </w:divBdr>
    </w:div>
    <w:div w:id="1296060767">
      <w:bodyDiv w:val="1"/>
      <w:marLeft w:val="0"/>
      <w:marRight w:val="0"/>
      <w:marTop w:val="0"/>
      <w:marBottom w:val="0"/>
      <w:divBdr>
        <w:top w:val="none" w:sz="0" w:space="0" w:color="auto"/>
        <w:left w:val="none" w:sz="0" w:space="0" w:color="auto"/>
        <w:bottom w:val="none" w:sz="0" w:space="0" w:color="auto"/>
        <w:right w:val="none" w:sz="0" w:space="0" w:color="auto"/>
      </w:divBdr>
    </w:div>
    <w:div w:id="1302998505">
      <w:bodyDiv w:val="1"/>
      <w:marLeft w:val="0"/>
      <w:marRight w:val="0"/>
      <w:marTop w:val="0"/>
      <w:marBottom w:val="0"/>
      <w:divBdr>
        <w:top w:val="none" w:sz="0" w:space="0" w:color="auto"/>
        <w:left w:val="none" w:sz="0" w:space="0" w:color="auto"/>
        <w:bottom w:val="none" w:sz="0" w:space="0" w:color="auto"/>
        <w:right w:val="none" w:sz="0" w:space="0" w:color="auto"/>
      </w:divBdr>
    </w:div>
    <w:div w:id="1305618782">
      <w:bodyDiv w:val="1"/>
      <w:marLeft w:val="0"/>
      <w:marRight w:val="0"/>
      <w:marTop w:val="0"/>
      <w:marBottom w:val="0"/>
      <w:divBdr>
        <w:top w:val="none" w:sz="0" w:space="0" w:color="auto"/>
        <w:left w:val="none" w:sz="0" w:space="0" w:color="auto"/>
        <w:bottom w:val="none" w:sz="0" w:space="0" w:color="auto"/>
        <w:right w:val="none" w:sz="0" w:space="0" w:color="auto"/>
      </w:divBdr>
    </w:div>
    <w:div w:id="1306354206">
      <w:bodyDiv w:val="1"/>
      <w:marLeft w:val="0"/>
      <w:marRight w:val="0"/>
      <w:marTop w:val="0"/>
      <w:marBottom w:val="0"/>
      <w:divBdr>
        <w:top w:val="none" w:sz="0" w:space="0" w:color="auto"/>
        <w:left w:val="none" w:sz="0" w:space="0" w:color="auto"/>
        <w:bottom w:val="none" w:sz="0" w:space="0" w:color="auto"/>
        <w:right w:val="none" w:sz="0" w:space="0" w:color="auto"/>
      </w:divBdr>
    </w:div>
    <w:div w:id="1313946623">
      <w:bodyDiv w:val="1"/>
      <w:marLeft w:val="0"/>
      <w:marRight w:val="0"/>
      <w:marTop w:val="0"/>
      <w:marBottom w:val="0"/>
      <w:divBdr>
        <w:top w:val="none" w:sz="0" w:space="0" w:color="auto"/>
        <w:left w:val="none" w:sz="0" w:space="0" w:color="auto"/>
        <w:bottom w:val="none" w:sz="0" w:space="0" w:color="auto"/>
        <w:right w:val="none" w:sz="0" w:space="0" w:color="auto"/>
      </w:divBdr>
    </w:div>
    <w:div w:id="1318537843">
      <w:bodyDiv w:val="1"/>
      <w:marLeft w:val="0"/>
      <w:marRight w:val="0"/>
      <w:marTop w:val="0"/>
      <w:marBottom w:val="0"/>
      <w:divBdr>
        <w:top w:val="none" w:sz="0" w:space="0" w:color="auto"/>
        <w:left w:val="none" w:sz="0" w:space="0" w:color="auto"/>
        <w:bottom w:val="none" w:sz="0" w:space="0" w:color="auto"/>
        <w:right w:val="none" w:sz="0" w:space="0" w:color="auto"/>
      </w:divBdr>
    </w:div>
    <w:div w:id="1330983372">
      <w:bodyDiv w:val="1"/>
      <w:marLeft w:val="0"/>
      <w:marRight w:val="0"/>
      <w:marTop w:val="0"/>
      <w:marBottom w:val="0"/>
      <w:divBdr>
        <w:top w:val="none" w:sz="0" w:space="0" w:color="auto"/>
        <w:left w:val="none" w:sz="0" w:space="0" w:color="auto"/>
        <w:bottom w:val="none" w:sz="0" w:space="0" w:color="auto"/>
        <w:right w:val="none" w:sz="0" w:space="0" w:color="auto"/>
      </w:divBdr>
    </w:div>
    <w:div w:id="1338650180">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6715390">
      <w:bodyDiv w:val="1"/>
      <w:marLeft w:val="0"/>
      <w:marRight w:val="0"/>
      <w:marTop w:val="0"/>
      <w:marBottom w:val="0"/>
      <w:divBdr>
        <w:top w:val="none" w:sz="0" w:space="0" w:color="auto"/>
        <w:left w:val="none" w:sz="0" w:space="0" w:color="auto"/>
        <w:bottom w:val="none" w:sz="0" w:space="0" w:color="auto"/>
        <w:right w:val="none" w:sz="0" w:space="0" w:color="auto"/>
      </w:divBdr>
    </w:div>
    <w:div w:id="1351833594">
      <w:bodyDiv w:val="1"/>
      <w:marLeft w:val="0"/>
      <w:marRight w:val="0"/>
      <w:marTop w:val="0"/>
      <w:marBottom w:val="0"/>
      <w:divBdr>
        <w:top w:val="none" w:sz="0" w:space="0" w:color="auto"/>
        <w:left w:val="none" w:sz="0" w:space="0" w:color="auto"/>
        <w:bottom w:val="none" w:sz="0" w:space="0" w:color="auto"/>
        <w:right w:val="none" w:sz="0" w:space="0" w:color="auto"/>
      </w:divBdr>
    </w:div>
    <w:div w:id="1353725138">
      <w:bodyDiv w:val="1"/>
      <w:marLeft w:val="0"/>
      <w:marRight w:val="0"/>
      <w:marTop w:val="0"/>
      <w:marBottom w:val="0"/>
      <w:divBdr>
        <w:top w:val="none" w:sz="0" w:space="0" w:color="auto"/>
        <w:left w:val="none" w:sz="0" w:space="0" w:color="auto"/>
        <w:bottom w:val="none" w:sz="0" w:space="0" w:color="auto"/>
        <w:right w:val="none" w:sz="0" w:space="0" w:color="auto"/>
      </w:divBdr>
    </w:div>
    <w:div w:id="1357267675">
      <w:bodyDiv w:val="1"/>
      <w:marLeft w:val="0"/>
      <w:marRight w:val="0"/>
      <w:marTop w:val="0"/>
      <w:marBottom w:val="0"/>
      <w:divBdr>
        <w:top w:val="none" w:sz="0" w:space="0" w:color="auto"/>
        <w:left w:val="none" w:sz="0" w:space="0" w:color="auto"/>
        <w:bottom w:val="none" w:sz="0" w:space="0" w:color="auto"/>
        <w:right w:val="none" w:sz="0" w:space="0" w:color="auto"/>
      </w:divBdr>
    </w:div>
    <w:div w:id="1368797243">
      <w:bodyDiv w:val="1"/>
      <w:marLeft w:val="0"/>
      <w:marRight w:val="0"/>
      <w:marTop w:val="0"/>
      <w:marBottom w:val="0"/>
      <w:divBdr>
        <w:top w:val="none" w:sz="0" w:space="0" w:color="auto"/>
        <w:left w:val="none" w:sz="0" w:space="0" w:color="auto"/>
        <w:bottom w:val="none" w:sz="0" w:space="0" w:color="auto"/>
        <w:right w:val="none" w:sz="0" w:space="0" w:color="auto"/>
      </w:divBdr>
    </w:div>
    <w:div w:id="1369985820">
      <w:bodyDiv w:val="1"/>
      <w:marLeft w:val="0"/>
      <w:marRight w:val="0"/>
      <w:marTop w:val="0"/>
      <w:marBottom w:val="0"/>
      <w:divBdr>
        <w:top w:val="none" w:sz="0" w:space="0" w:color="auto"/>
        <w:left w:val="none" w:sz="0" w:space="0" w:color="auto"/>
        <w:bottom w:val="none" w:sz="0" w:space="0" w:color="auto"/>
        <w:right w:val="none" w:sz="0" w:space="0" w:color="auto"/>
      </w:divBdr>
    </w:div>
    <w:div w:id="1374160319">
      <w:bodyDiv w:val="1"/>
      <w:marLeft w:val="0"/>
      <w:marRight w:val="0"/>
      <w:marTop w:val="0"/>
      <w:marBottom w:val="0"/>
      <w:divBdr>
        <w:top w:val="none" w:sz="0" w:space="0" w:color="auto"/>
        <w:left w:val="none" w:sz="0" w:space="0" w:color="auto"/>
        <w:bottom w:val="none" w:sz="0" w:space="0" w:color="auto"/>
        <w:right w:val="none" w:sz="0" w:space="0" w:color="auto"/>
      </w:divBdr>
    </w:div>
    <w:div w:id="1376660574">
      <w:bodyDiv w:val="1"/>
      <w:marLeft w:val="0"/>
      <w:marRight w:val="0"/>
      <w:marTop w:val="0"/>
      <w:marBottom w:val="0"/>
      <w:divBdr>
        <w:top w:val="none" w:sz="0" w:space="0" w:color="auto"/>
        <w:left w:val="none" w:sz="0" w:space="0" w:color="auto"/>
        <w:bottom w:val="none" w:sz="0" w:space="0" w:color="auto"/>
        <w:right w:val="none" w:sz="0" w:space="0" w:color="auto"/>
      </w:divBdr>
    </w:div>
    <w:div w:id="1393499700">
      <w:bodyDiv w:val="1"/>
      <w:marLeft w:val="0"/>
      <w:marRight w:val="0"/>
      <w:marTop w:val="0"/>
      <w:marBottom w:val="0"/>
      <w:divBdr>
        <w:top w:val="none" w:sz="0" w:space="0" w:color="auto"/>
        <w:left w:val="none" w:sz="0" w:space="0" w:color="auto"/>
        <w:bottom w:val="none" w:sz="0" w:space="0" w:color="auto"/>
        <w:right w:val="none" w:sz="0" w:space="0" w:color="auto"/>
      </w:divBdr>
    </w:div>
    <w:div w:id="1395933568">
      <w:bodyDiv w:val="1"/>
      <w:marLeft w:val="0"/>
      <w:marRight w:val="0"/>
      <w:marTop w:val="0"/>
      <w:marBottom w:val="0"/>
      <w:divBdr>
        <w:top w:val="none" w:sz="0" w:space="0" w:color="auto"/>
        <w:left w:val="none" w:sz="0" w:space="0" w:color="auto"/>
        <w:bottom w:val="none" w:sz="0" w:space="0" w:color="auto"/>
        <w:right w:val="none" w:sz="0" w:space="0" w:color="auto"/>
      </w:divBdr>
    </w:div>
    <w:div w:id="140387359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886258">
      <w:bodyDiv w:val="1"/>
      <w:marLeft w:val="0"/>
      <w:marRight w:val="0"/>
      <w:marTop w:val="0"/>
      <w:marBottom w:val="0"/>
      <w:divBdr>
        <w:top w:val="none" w:sz="0" w:space="0" w:color="auto"/>
        <w:left w:val="none" w:sz="0" w:space="0" w:color="auto"/>
        <w:bottom w:val="none" w:sz="0" w:space="0" w:color="auto"/>
        <w:right w:val="none" w:sz="0" w:space="0" w:color="auto"/>
      </w:divBdr>
    </w:div>
    <w:div w:id="1411343072">
      <w:bodyDiv w:val="1"/>
      <w:marLeft w:val="0"/>
      <w:marRight w:val="0"/>
      <w:marTop w:val="0"/>
      <w:marBottom w:val="0"/>
      <w:divBdr>
        <w:top w:val="none" w:sz="0" w:space="0" w:color="auto"/>
        <w:left w:val="none" w:sz="0" w:space="0" w:color="auto"/>
        <w:bottom w:val="none" w:sz="0" w:space="0" w:color="auto"/>
        <w:right w:val="none" w:sz="0" w:space="0" w:color="auto"/>
      </w:divBdr>
    </w:div>
    <w:div w:id="1412044120">
      <w:bodyDiv w:val="1"/>
      <w:marLeft w:val="0"/>
      <w:marRight w:val="0"/>
      <w:marTop w:val="0"/>
      <w:marBottom w:val="0"/>
      <w:divBdr>
        <w:top w:val="none" w:sz="0" w:space="0" w:color="auto"/>
        <w:left w:val="none" w:sz="0" w:space="0" w:color="auto"/>
        <w:bottom w:val="none" w:sz="0" w:space="0" w:color="auto"/>
        <w:right w:val="none" w:sz="0" w:space="0" w:color="auto"/>
      </w:divBdr>
    </w:div>
    <w:div w:id="1414007448">
      <w:bodyDiv w:val="1"/>
      <w:marLeft w:val="0"/>
      <w:marRight w:val="0"/>
      <w:marTop w:val="0"/>
      <w:marBottom w:val="0"/>
      <w:divBdr>
        <w:top w:val="none" w:sz="0" w:space="0" w:color="auto"/>
        <w:left w:val="none" w:sz="0" w:space="0" w:color="auto"/>
        <w:bottom w:val="none" w:sz="0" w:space="0" w:color="auto"/>
        <w:right w:val="none" w:sz="0" w:space="0" w:color="auto"/>
      </w:divBdr>
    </w:div>
    <w:div w:id="1415055982">
      <w:bodyDiv w:val="1"/>
      <w:marLeft w:val="0"/>
      <w:marRight w:val="0"/>
      <w:marTop w:val="0"/>
      <w:marBottom w:val="0"/>
      <w:divBdr>
        <w:top w:val="none" w:sz="0" w:space="0" w:color="auto"/>
        <w:left w:val="none" w:sz="0" w:space="0" w:color="auto"/>
        <w:bottom w:val="none" w:sz="0" w:space="0" w:color="auto"/>
        <w:right w:val="none" w:sz="0" w:space="0" w:color="auto"/>
      </w:divBdr>
    </w:div>
    <w:div w:id="1430393021">
      <w:bodyDiv w:val="1"/>
      <w:marLeft w:val="0"/>
      <w:marRight w:val="0"/>
      <w:marTop w:val="0"/>
      <w:marBottom w:val="0"/>
      <w:divBdr>
        <w:top w:val="none" w:sz="0" w:space="0" w:color="auto"/>
        <w:left w:val="none" w:sz="0" w:space="0" w:color="auto"/>
        <w:bottom w:val="none" w:sz="0" w:space="0" w:color="auto"/>
        <w:right w:val="none" w:sz="0" w:space="0" w:color="auto"/>
      </w:divBdr>
    </w:div>
    <w:div w:id="143205138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5421027">
      <w:bodyDiv w:val="1"/>
      <w:marLeft w:val="0"/>
      <w:marRight w:val="0"/>
      <w:marTop w:val="0"/>
      <w:marBottom w:val="0"/>
      <w:divBdr>
        <w:top w:val="none" w:sz="0" w:space="0" w:color="auto"/>
        <w:left w:val="none" w:sz="0" w:space="0" w:color="auto"/>
        <w:bottom w:val="none" w:sz="0" w:space="0" w:color="auto"/>
        <w:right w:val="none" w:sz="0" w:space="0" w:color="auto"/>
      </w:divBdr>
    </w:div>
    <w:div w:id="1445728315">
      <w:bodyDiv w:val="1"/>
      <w:marLeft w:val="0"/>
      <w:marRight w:val="0"/>
      <w:marTop w:val="0"/>
      <w:marBottom w:val="0"/>
      <w:divBdr>
        <w:top w:val="none" w:sz="0" w:space="0" w:color="auto"/>
        <w:left w:val="none" w:sz="0" w:space="0" w:color="auto"/>
        <w:bottom w:val="none" w:sz="0" w:space="0" w:color="auto"/>
        <w:right w:val="none" w:sz="0" w:space="0" w:color="auto"/>
      </w:divBdr>
    </w:div>
    <w:div w:id="1459639373">
      <w:bodyDiv w:val="1"/>
      <w:marLeft w:val="0"/>
      <w:marRight w:val="0"/>
      <w:marTop w:val="0"/>
      <w:marBottom w:val="0"/>
      <w:divBdr>
        <w:top w:val="none" w:sz="0" w:space="0" w:color="auto"/>
        <w:left w:val="none" w:sz="0" w:space="0" w:color="auto"/>
        <w:bottom w:val="none" w:sz="0" w:space="0" w:color="auto"/>
        <w:right w:val="none" w:sz="0" w:space="0" w:color="auto"/>
      </w:divBdr>
    </w:div>
    <w:div w:id="1461846914">
      <w:bodyDiv w:val="1"/>
      <w:marLeft w:val="0"/>
      <w:marRight w:val="0"/>
      <w:marTop w:val="0"/>
      <w:marBottom w:val="0"/>
      <w:divBdr>
        <w:top w:val="none" w:sz="0" w:space="0" w:color="auto"/>
        <w:left w:val="none" w:sz="0" w:space="0" w:color="auto"/>
        <w:bottom w:val="none" w:sz="0" w:space="0" w:color="auto"/>
        <w:right w:val="none" w:sz="0" w:space="0" w:color="auto"/>
      </w:divBdr>
    </w:div>
    <w:div w:id="1473979306">
      <w:bodyDiv w:val="1"/>
      <w:marLeft w:val="0"/>
      <w:marRight w:val="0"/>
      <w:marTop w:val="0"/>
      <w:marBottom w:val="0"/>
      <w:divBdr>
        <w:top w:val="none" w:sz="0" w:space="0" w:color="auto"/>
        <w:left w:val="none" w:sz="0" w:space="0" w:color="auto"/>
        <w:bottom w:val="none" w:sz="0" w:space="0" w:color="auto"/>
        <w:right w:val="none" w:sz="0" w:space="0" w:color="auto"/>
      </w:divBdr>
    </w:div>
    <w:div w:id="1489252162">
      <w:bodyDiv w:val="1"/>
      <w:marLeft w:val="0"/>
      <w:marRight w:val="0"/>
      <w:marTop w:val="0"/>
      <w:marBottom w:val="0"/>
      <w:divBdr>
        <w:top w:val="none" w:sz="0" w:space="0" w:color="auto"/>
        <w:left w:val="none" w:sz="0" w:space="0" w:color="auto"/>
        <w:bottom w:val="none" w:sz="0" w:space="0" w:color="auto"/>
        <w:right w:val="none" w:sz="0" w:space="0" w:color="auto"/>
      </w:divBdr>
    </w:div>
    <w:div w:id="1495418338">
      <w:bodyDiv w:val="1"/>
      <w:marLeft w:val="0"/>
      <w:marRight w:val="0"/>
      <w:marTop w:val="0"/>
      <w:marBottom w:val="0"/>
      <w:divBdr>
        <w:top w:val="none" w:sz="0" w:space="0" w:color="auto"/>
        <w:left w:val="none" w:sz="0" w:space="0" w:color="auto"/>
        <w:bottom w:val="none" w:sz="0" w:space="0" w:color="auto"/>
        <w:right w:val="none" w:sz="0" w:space="0" w:color="auto"/>
      </w:divBdr>
    </w:div>
    <w:div w:id="1503935658">
      <w:bodyDiv w:val="1"/>
      <w:marLeft w:val="0"/>
      <w:marRight w:val="0"/>
      <w:marTop w:val="0"/>
      <w:marBottom w:val="0"/>
      <w:divBdr>
        <w:top w:val="none" w:sz="0" w:space="0" w:color="auto"/>
        <w:left w:val="none" w:sz="0" w:space="0" w:color="auto"/>
        <w:bottom w:val="none" w:sz="0" w:space="0" w:color="auto"/>
        <w:right w:val="none" w:sz="0" w:space="0" w:color="auto"/>
      </w:divBdr>
    </w:div>
    <w:div w:id="1517692076">
      <w:bodyDiv w:val="1"/>
      <w:marLeft w:val="0"/>
      <w:marRight w:val="0"/>
      <w:marTop w:val="0"/>
      <w:marBottom w:val="0"/>
      <w:divBdr>
        <w:top w:val="none" w:sz="0" w:space="0" w:color="auto"/>
        <w:left w:val="none" w:sz="0" w:space="0" w:color="auto"/>
        <w:bottom w:val="none" w:sz="0" w:space="0" w:color="auto"/>
        <w:right w:val="none" w:sz="0" w:space="0" w:color="auto"/>
      </w:divBdr>
    </w:div>
    <w:div w:id="1522548238">
      <w:bodyDiv w:val="1"/>
      <w:marLeft w:val="0"/>
      <w:marRight w:val="0"/>
      <w:marTop w:val="0"/>
      <w:marBottom w:val="0"/>
      <w:divBdr>
        <w:top w:val="none" w:sz="0" w:space="0" w:color="auto"/>
        <w:left w:val="none" w:sz="0" w:space="0" w:color="auto"/>
        <w:bottom w:val="none" w:sz="0" w:space="0" w:color="auto"/>
        <w:right w:val="none" w:sz="0" w:space="0" w:color="auto"/>
      </w:divBdr>
    </w:div>
    <w:div w:id="1525747623">
      <w:bodyDiv w:val="1"/>
      <w:marLeft w:val="0"/>
      <w:marRight w:val="0"/>
      <w:marTop w:val="0"/>
      <w:marBottom w:val="0"/>
      <w:divBdr>
        <w:top w:val="none" w:sz="0" w:space="0" w:color="auto"/>
        <w:left w:val="none" w:sz="0" w:space="0" w:color="auto"/>
        <w:bottom w:val="none" w:sz="0" w:space="0" w:color="auto"/>
        <w:right w:val="none" w:sz="0" w:space="0" w:color="auto"/>
      </w:divBdr>
    </w:div>
    <w:div w:id="1530073006">
      <w:bodyDiv w:val="1"/>
      <w:marLeft w:val="0"/>
      <w:marRight w:val="0"/>
      <w:marTop w:val="0"/>
      <w:marBottom w:val="0"/>
      <w:divBdr>
        <w:top w:val="none" w:sz="0" w:space="0" w:color="auto"/>
        <w:left w:val="none" w:sz="0" w:space="0" w:color="auto"/>
        <w:bottom w:val="none" w:sz="0" w:space="0" w:color="auto"/>
        <w:right w:val="none" w:sz="0" w:space="0" w:color="auto"/>
      </w:divBdr>
    </w:div>
    <w:div w:id="1540631763">
      <w:bodyDiv w:val="1"/>
      <w:marLeft w:val="0"/>
      <w:marRight w:val="0"/>
      <w:marTop w:val="0"/>
      <w:marBottom w:val="0"/>
      <w:divBdr>
        <w:top w:val="none" w:sz="0" w:space="0" w:color="auto"/>
        <w:left w:val="none" w:sz="0" w:space="0" w:color="auto"/>
        <w:bottom w:val="none" w:sz="0" w:space="0" w:color="auto"/>
        <w:right w:val="none" w:sz="0" w:space="0" w:color="auto"/>
      </w:divBdr>
    </w:div>
    <w:div w:id="1542589260">
      <w:bodyDiv w:val="1"/>
      <w:marLeft w:val="0"/>
      <w:marRight w:val="0"/>
      <w:marTop w:val="0"/>
      <w:marBottom w:val="0"/>
      <w:divBdr>
        <w:top w:val="none" w:sz="0" w:space="0" w:color="auto"/>
        <w:left w:val="none" w:sz="0" w:space="0" w:color="auto"/>
        <w:bottom w:val="none" w:sz="0" w:space="0" w:color="auto"/>
        <w:right w:val="none" w:sz="0" w:space="0" w:color="auto"/>
      </w:divBdr>
    </w:div>
    <w:div w:id="1550723081">
      <w:bodyDiv w:val="1"/>
      <w:marLeft w:val="0"/>
      <w:marRight w:val="0"/>
      <w:marTop w:val="0"/>
      <w:marBottom w:val="0"/>
      <w:divBdr>
        <w:top w:val="none" w:sz="0" w:space="0" w:color="auto"/>
        <w:left w:val="none" w:sz="0" w:space="0" w:color="auto"/>
        <w:bottom w:val="none" w:sz="0" w:space="0" w:color="auto"/>
        <w:right w:val="none" w:sz="0" w:space="0" w:color="auto"/>
      </w:divBdr>
    </w:div>
    <w:div w:id="1560825631">
      <w:bodyDiv w:val="1"/>
      <w:marLeft w:val="0"/>
      <w:marRight w:val="0"/>
      <w:marTop w:val="0"/>
      <w:marBottom w:val="0"/>
      <w:divBdr>
        <w:top w:val="none" w:sz="0" w:space="0" w:color="auto"/>
        <w:left w:val="none" w:sz="0" w:space="0" w:color="auto"/>
        <w:bottom w:val="none" w:sz="0" w:space="0" w:color="auto"/>
        <w:right w:val="none" w:sz="0" w:space="0" w:color="auto"/>
      </w:divBdr>
    </w:div>
    <w:div w:id="1561670070">
      <w:bodyDiv w:val="1"/>
      <w:marLeft w:val="0"/>
      <w:marRight w:val="0"/>
      <w:marTop w:val="0"/>
      <w:marBottom w:val="0"/>
      <w:divBdr>
        <w:top w:val="none" w:sz="0" w:space="0" w:color="auto"/>
        <w:left w:val="none" w:sz="0" w:space="0" w:color="auto"/>
        <w:bottom w:val="none" w:sz="0" w:space="0" w:color="auto"/>
        <w:right w:val="none" w:sz="0" w:space="0" w:color="auto"/>
      </w:divBdr>
    </w:div>
    <w:div w:id="1562014432">
      <w:bodyDiv w:val="1"/>
      <w:marLeft w:val="0"/>
      <w:marRight w:val="0"/>
      <w:marTop w:val="0"/>
      <w:marBottom w:val="0"/>
      <w:divBdr>
        <w:top w:val="none" w:sz="0" w:space="0" w:color="auto"/>
        <w:left w:val="none" w:sz="0" w:space="0" w:color="auto"/>
        <w:bottom w:val="none" w:sz="0" w:space="0" w:color="auto"/>
        <w:right w:val="none" w:sz="0" w:space="0" w:color="auto"/>
      </w:divBdr>
    </w:div>
    <w:div w:id="1562248175">
      <w:bodyDiv w:val="1"/>
      <w:marLeft w:val="0"/>
      <w:marRight w:val="0"/>
      <w:marTop w:val="0"/>
      <w:marBottom w:val="0"/>
      <w:divBdr>
        <w:top w:val="none" w:sz="0" w:space="0" w:color="auto"/>
        <w:left w:val="none" w:sz="0" w:space="0" w:color="auto"/>
        <w:bottom w:val="none" w:sz="0" w:space="0" w:color="auto"/>
        <w:right w:val="none" w:sz="0" w:space="0" w:color="auto"/>
      </w:divBdr>
    </w:div>
    <w:div w:id="1563708592">
      <w:bodyDiv w:val="1"/>
      <w:marLeft w:val="0"/>
      <w:marRight w:val="0"/>
      <w:marTop w:val="0"/>
      <w:marBottom w:val="0"/>
      <w:divBdr>
        <w:top w:val="none" w:sz="0" w:space="0" w:color="auto"/>
        <w:left w:val="none" w:sz="0" w:space="0" w:color="auto"/>
        <w:bottom w:val="none" w:sz="0" w:space="0" w:color="auto"/>
        <w:right w:val="none" w:sz="0" w:space="0" w:color="auto"/>
      </w:divBdr>
    </w:div>
    <w:div w:id="1574849935">
      <w:bodyDiv w:val="1"/>
      <w:marLeft w:val="0"/>
      <w:marRight w:val="0"/>
      <w:marTop w:val="0"/>
      <w:marBottom w:val="0"/>
      <w:divBdr>
        <w:top w:val="none" w:sz="0" w:space="0" w:color="auto"/>
        <w:left w:val="none" w:sz="0" w:space="0" w:color="auto"/>
        <w:bottom w:val="none" w:sz="0" w:space="0" w:color="auto"/>
        <w:right w:val="none" w:sz="0" w:space="0" w:color="auto"/>
      </w:divBdr>
    </w:div>
    <w:div w:id="1589536462">
      <w:bodyDiv w:val="1"/>
      <w:marLeft w:val="0"/>
      <w:marRight w:val="0"/>
      <w:marTop w:val="0"/>
      <w:marBottom w:val="0"/>
      <w:divBdr>
        <w:top w:val="none" w:sz="0" w:space="0" w:color="auto"/>
        <w:left w:val="none" w:sz="0" w:space="0" w:color="auto"/>
        <w:bottom w:val="none" w:sz="0" w:space="0" w:color="auto"/>
        <w:right w:val="none" w:sz="0" w:space="0" w:color="auto"/>
      </w:divBdr>
    </w:div>
    <w:div w:id="1600404413">
      <w:bodyDiv w:val="1"/>
      <w:marLeft w:val="0"/>
      <w:marRight w:val="0"/>
      <w:marTop w:val="0"/>
      <w:marBottom w:val="0"/>
      <w:divBdr>
        <w:top w:val="none" w:sz="0" w:space="0" w:color="auto"/>
        <w:left w:val="none" w:sz="0" w:space="0" w:color="auto"/>
        <w:bottom w:val="none" w:sz="0" w:space="0" w:color="auto"/>
        <w:right w:val="none" w:sz="0" w:space="0" w:color="auto"/>
      </w:divBdr>
    </w:div>
    <w:div w:id="1601335962">
      <w:bodyDiv w:val="1"/>
      <w:marLeft w:val="0"/>
      <w:marRight w:val="0"/>
      <w:marTop w:val="0"/>
      <w:marBottom w:val="0"/>
      <w:divBdr>
        <w:top w:val="none" w:sz="0" w:space="0" w:color="auto"/>
        <w:left w:val="none" w:sz="0" w:space="0" w:color="auto"/>
        <w:bottom w:val="none" w:sz="0" w:space="0" w:color="auto"/>
        <w:right w:val="none" w:sz="0" w:space="0" w:color="auto"/>
      </w:divBdr>
    </w:div>
    <w:div w:id="1602106848">
      <w:bodyDiv w:val="1"/>
      <w:marLeft w:val="0"/>
      <w:marRight w:val="0"/>
      <w:marTop w:val="0"/>
      <w:marBottom w:val="0"/>
      <w:divBdr>
        <w:top w:val="none" w:sz="0" w:space="0" w:color="auto"/>
        <w:left w:val="none" w:sz="0" w:space="0" w:color="auto"/>
        <w:bottom w:val="none" w:sz="0" w:space="0" w:color="auto"/>
        <w:right w:val="none" w:sz="0" w:space="0" w:color="auto"/>
      </w:divBdr>
    </w:div>
    <w:div w:id="1612198892">
      <w:bodyDiv w:val="1"/>
      <w:marLeft w:val="0"/>
      <w:marRight w:val="0"/>
      <w:marTop w:val="0"/>
      <w:marBottom w:val="0"/>
      <w:divBdr>
        <w:top w:val="none" w:sz="0" w:space="0" w:color="auto"/>
        <w:left w:val="none" w:sz="0" w:space="0" w:color="auto"/>
        <w:bottom w:val="none" w:sz="0" w:space="0" w:color="auto"/>
        <w:right w:val="none" w:sz="0" w:space="0" w:color="auto"/>
      </w:divBdr>
    </w:div>
    <w:div w:id="1612663447">
      <w:bodyDiv w:val="1"/>
      <w:marLeft w:val="0"/>
      <w:marRight w:val="0"/>
      <w:marTop w:val="0"/>
      <w:marBottom w:val="0"/>
      <w:divBdr>
        <w:top w:val="none" w:sz="0" w:space="0" w:color="auto"/>
        <w:left w:val="none" w:sz="0" w:space="0" w:color="auto"/>
        <w:bottom w:val="none" w:sz="0" w:space="0" w:color="auto"/>
        <w:right w:val="none" w:sz="0" w:space="0" w:color="auto"/>
      </w:divBdr>
    </w:div>
    <w:div w:id="1613898159">
      <w:bodyDiv w:val="1"/>
      <w:marLeft w:val="0"/>
      <w:marRight w:val="0"/>
      <w:marTop w:val="0"/>
      <w:marBottom w:val="0"/>
      <w:divBdr>
        <w:top w:val="none" w:sz="0" w:space="0" w:color="auto"/>
        <w:left w:val="none" w:sz="0" w:space="0" w:color="auto"/>
        <w:bottom w:val="none" w:sz="0" w:space="0" w:color="auto"/>
        <w:right w:val="none" w:sz="0" w:space="0" w:color="auto"/>
      </w:divBdr>
    </w:div>
    <w:div w:id="1622419303">
      <w:bodyDiv w:val="1"/>
      <w:marLeft w:val="0"/>
      <w:marRight w:val="0"/>
      <w:marTop w:val="0"/>
      <w:marBottom w:val="0"/>
      <w:divBdr>
        <w:top w:val="none" w:sz="0" w:space="0" w:color="auto"/>
        <w:left w:val="none" w:sz="0" w:space="0" w:color="auto"/>
        <w:bottom w:val="none" w:sz="0" w:space="0" w:color="auto"/>
        <w:right w:val="none" w:sz="0" w:space="0" w:color="auto"/>
      </w:divBdr>
    </w:div>
    <w:div w:id="1623921430">
      <w:bodyDiv w:val="1"/>
      <w:marLeft w:val="0"/>
      <w:marRight w:val="0"/>
      <w:marTop w:val="0"/>
      <w:marBottom w:val="0"/>
      <w:divBdr>
        <w:top w:val="none" w:sz="0" w:space="0" w:color="auto"/>
        <w:left w:val="none" w:sz="0" w:space="0" w:color="auto"/>
        <w:bottom w:val="none" w:sz="0" w:space="0" w:color="auto"/>
        <w:right w:val="none" w:sz="0" w:space="0" w:color="auto"/>
      </w:divBdr>
    </w:div>
    <w:div w:id="162453670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928131">
      <w:bodyDiv w:val="1"/>
      <w:marLeft w:val="0"/>
      <w:marRight w:val="0"/>
      <w:marTop w:val="0"/>
      <w:marBottom w:val="0"/>
      <w:divBdr>
        <w:top w:val="none" w:sz="0" w:space="0" w:color="auto"/>
        <w:left w:val="none" w:sz="0" w:space="0" w:color="auto"/>
        <w:bottom w:val="none" w:sz="0" w:space="0" w:color="auto"/>
        <w:right w:val="none" w:sz="0" w:space="0" w:color="auto"/>
      </w:divBdr>
    </w:div>
    <w:div w:id="1639186466">
      <w:bodyDiv w:val="1"/>
      <w:marLeft w:val="0"/>
      <w:marRight w:val="0"/>
      <w:marTop w:val="0"/>
      <w:marBottom w:val="0"/>
      <w:divBdr>
        <w:top w:val="none" w:sz="0" w:space="0" w:color="auto"/>
        <w:left w:val="none" w:sz="0" w:space="0" w:color="auto"/>
        <w:bottom w:val="none" w:sz="0" w:space="0" w:color="auto"/>
        <w:right w:val="none" w:sz="0" w:space="0" w:color="auto"/>
      </w:divBdr>
    </w:div>
    <w:div w:id="1650590519">
      <w:bodyDiv w:val="1"/>
      <w:marLeft w:val="0"/>
      <w:marRight w:val="0"/>
      <w:marTop w:val="0"/>
      <w:marBottom w:val="0"/>
      <w:divBdr>
        <w:top w:val="none" w:sz="0" w:space="0" w:color="auto"/>
        <w:left w:val="none" w:sz="0" w:space="0" w:color="auto"/>
        <w:bottom w:val="none" w:sz="0" w:space="0" w:color="auto"/>
        <w:right w:val="none" w:sz="0" w:space="0" w:color="auto"/>
      </w:divBdr>
    </w:div>
    <w:div w:id="1653483700">
      <w:bodyDiv w:val="1"/>
      <w:marLeft w:val="0"/>
      <w:marRight w:val="0"/>
      <w:marTop w:val="0"/>
      <w:marBottom w:val="0"/>
      <w:divBdr>
        <w:top w:val="none" w:sz="0" w:space="0" w:color="auto"/>
        <w:left w:val="none" w:sz="0" w:space="0" w:color="auto"/>
        <w:bottom w:val="none" w:sz="0" w:space="0" w:color="auto"/>
        <w:right w:val="none" w:sz="0" w:space="0" w:color="auto"/>
      </w:divBdr>
    </w:div>
    <w:div w:id="1666274276">
      <w:bodyDiv w:val="1"/>
      <w:marLeft w:val="0"/>
      <w:marRight w:val="0"/>
      <w:marTop w:val="0"/>
      <w:marBottom w:val="0"/>
      <w:divBdr>
        <w:top w:val="none" w:sz="0" w:space="0" w:color="auto"/>
        <w:left w:val="none" w:sz="0" w:space="0" w:color="auto"/>
        <w:bottom w:val="none" w:sz="0" w:space="0" w:color="auto"/>
        <w:right w:val="none" w:sz="0" w:space="0" w:color="auto"/>
      </w:divBdr>
    </w:div>
    <w:div w:id="1666471106">
      <w:bodyDiv w:val="1"/>
      <w:marLeft w:val="0"/>
      <w:marRight w:val="0"/>
      <w:marTop w:val="0"/>
      <w:marBottom w:val="0"/>
      <w:divBdr>
        <w:top w:val="none" w:sz="0" w:space="0" w:color="auto"/>
        <w:left w:val="none" w:sz="0" w:space="0" w:color="auto"/>
        <w:bottom w:val="none" w:sz="0" w:space="0" w:color="auto"/>
        <w:right w:val="none" w:sz="0" w:space="0" w:color="auto"/>
      </w:divBdr>
    </w:div>
    <w:div w:id="1668097215">
      <w:bodyDiv w:val="1"/>
      <w:marLeft w:val="0"/>
      <w:marRight w:val="0"/>
      <w:marTop w:val="0"/>
      <w:marBottom w:val="0"/>
      <w:divBdr>
        <w:top w:val="none" w:sz="0" w:space="0" w:color="auto"/>
        <w:left w:val="none" w:sz="0" w:space="0" w:color="auto"/>
        <w:bottom w:val="none" w:sz="0" w:space="0" w:color="auto"/>
        <w:right w:val="none" w:sz="0" w:space="0" w:color="auto"/>
      </w:divBdr>
    </w:div>
    <w:div w:id="1672561450">
      <w:bodyDiv w:val="1"/>
      <w:marLeft w:val="0"/>
      <w:marRight w:val="0"/>
      <w:marTop w:val="0"/>
      <w:marBottom w:val="0"/>
      <w:divBdr>
        <w:top w:val="none" w:sz="0" w:space="0" w:color="auto"/>
        <w:left w:val="none" w:sz="0" w:space="0" w:color="auto"/>
        <w:bottom w:val="none" w:sz="0" w:space="0" w:color="auto"/>
        <w:right w:val="none" w:sz="0" w:space="0" w:color="auto"/>
      </w:divBdr>
    </w:div>
    <w:div w:id="1677731124">
      <w:bodyDiv w:val="1"/>
      <w:marLeft w:val="0"/>
      <w:marRight w:val="0"/>
      <w:marTop w:val="0"/>
      <w:marBottom w:val="0"/>
      <w:divBdr>
        <w:top w:val="none" w:sz="0" w:space="0" w:color="auto"/>
        <w:left w:val="none" w:sz="0" w:space="0" w:color="auto"/>
        <w:bottom w:val="none" w:sz="0" w:space="0" w:color="auto"/>
        <w:right w:val="none" w:sz="0" w:space="0" w:color="auto"/>
      </w:divBdr>
    </w:div>
    <w:div w:id="1683432331">
      <w:bodyDiv w:val="1"/>
      <w:marLeft w:val="0"/>
      <w:marRight w:val="0"/>
      <w:marTop w:val="0"/>
      <w:marBottom w:val="0"/>
      <w:divBdr>
        <w:top w:val="none" w:sz="0" w:space="0" w:color="auto"/>
        <w:left w:val="none" w:sz="0" w:space="0" w:color="auto"/>
        <w:bottom w:val="none" w:sz="0" w:space="0" w:color="auto"/>
        <w:right w:val="none" w:sz="0" w:space="0" w:color="auto"/>
      </w:divBdr>
    </w:div>
    <w:div w:id="1687752569">
      <w:bodyDiv w:val="1"/>
      <w:marLeft w:val="0"/>
      <w:marRight w:val="0"/>
      <w:marTop w:val="0"/>
      <w:marBottom w:val="0"/>
      <w:divBdr>
        <w:top w:val="none" w:sz="0" w:space="0" w:color="auto"/>
        <w:left w:val="none" w:sz="0" w:space="0" w:color="auto"/>
        <w:bottom w:val="none" w:sz="0" w:space="0" w:color="auto"/>
        <w:right w:val="none" w:sz="0" w:space="0" w:color="auto"/>
      </w:divBdr>
    </w:div>
    <w:div w:id="1693648214">
      <w:bodyDiv w:val="1"/>
      <w:marLeft w:val="0"/>
      <w:marRight w:val="0"/>
      <w:marTop w:val="0"/>
      <w:marBottom w:val="0"/>
      <w:divBdr>
        <w:top w:val="none" w:sz="0" w:space="0" w:color="auto"/>
        <w:left w:val="none" w:sz="0" w:space="0" w:color="auto"/>
        <w:bottom w:val="none" w:sz="0" w:space="0" w:color="auto"/>
        <w:right w:val="none" w:sz="0" w:space="0" w:color="auto"/>
      </w:divBdr>
    </w:div>
    <w:div w:id="1693918845">
      <w:bodyDiv w:val="1"/>
      <w:marLeft w:val="0"/>
      <w:marRight w:val="0"/>
      <w:marTop w:val="0"/>
      <w:marBottom w:val="0"/>
      <w:divBdr>
        <w:top w:val="none" w:sz="0" w:space="0" w:color="auto"/>
        <w:left w:val="none" w:sz="0" w:space="0" w:color="auto"/>
        <w:bottom w:val="none" w:sz="0" w:space="0" w:color="auto"/>
        <w:right w:val="none" w:sz="0" w:space="0" w:color="auto"/>
      </w:divBdr>
    </w:div>
    <w:div w:id="1698315238">
      <w:bodyDiv w:val="1"/>
      <w:marLeft w:val="0"/>
      <w:marRight w:val="0"/>
      <w:marTop w:val="0"/>
      <w:marBottom w:val="0"/>
      <w:divBdr>
        <w:top w:val="none" w:sz="0" w:space="0" w:color="auto"/>
        <w:left w:val="none" w:sz="0" w:space="0" w:color="auto"/>
        <w:bottom w:val="none" w:sz="0" w:space="0" w:color="auto"/>
        <w:right w:val="none" w:sz="0" w:space="0" w:color="auto"/>
      </w:divBdr>
    </w:div>
    <w:div w:id="1703897281">
      <w:bodyDiv w:val="1"/>
      <w:marLeft w:val="0"/>
      <w:marRight w:val="0"/>
      <w:marTop w:val="0"/>
      <w:marBottom w:val="0"/>
      <w:divBdr>
        <w:top w:val="none" w:sz="0" w:space="0" w:color="auto"/>
        <w:left w:val="none" w:sz="0" w:space="0" w:color="auto"/>
        <w:bottom w:val="none" w:sz="0" w:space="0" w:color="auto"/>
        <w:right w:val="none" w:sz="0" w:space="0" w:color="auto"/>
      </w:divBdr>
    </w:div>
    <w:div w:id="1704479020">
      <w:bodyDiv w:val="1"/>
      <w:marLeft w:val="0"/>
      <w:marRight w:val="0"/>
      <w:marTop w:val="0"/>
      <w:marBottom w:val="0"/>
      <w:divBdr>
        <w:top w:val="none" w:sz="0" w:space="0" w:color="auto"/>
        <w:left w:val="none" w:sz="0" w:space="0" w:color="auto"/>
        <w:bottom w:val="none" w:sz="0" w:space="0" w:color="auto"/>
        <w:right w:val="none" w:sz="0" w:space="0" w:color="auto"/>
      </w:divBdr>
    </w:div>
    <w:div w:id="1714576442">
      <w:bodyDiv w:val="1"/>
      <w:marLeft w:val="0"/>
      <w:marRight w:val="0"/>
      <w:marTop w:val="0"/>
      <w:marBottom w:val="0"/>
      <w:divBdr>
        <w:top w:val="none" w:sz="0" w:space="0" w:color="auto"/>
        <w:left w:val="none" w:sz="0" w:space="0" w:color="auto"/>
        <w:bottom w:val="none" w:sz="0" w:space="0" w:color="auto"/>
        <w:right w:val="none" w:sz="0" w:space="0" w:color="auto"/>
      </w:divBdr>
    </w:div>
    <w:div w:id="1720738205">
      <w:bodyDiv w:val="1"/>
      <w:marLeft w:val="0"/>
      <w:marRight w:val="0"/>
      <w:marTop w:val="0"/>
      <w:marBottom w:val="0"/>
      <w:divBdr>
        <w:top w:val="none" w:sz="0" w:space="0" w:color="auto"/>
        <w:left w:val="none" w:sz="0" w:space="0" w:color="auto"/>
        <w:bottom w:val="none" w:sz="0" w:space="0" w:color="auto"/>
        <w:right w:val="none" w:sz="0" w:space="0" w:color="auto"/>
      </w:divBdr>
    </w:div>
    <w:div w:id="1730416834">
      <w:bodyDiv w:val="1"/>
      <w:marLeft w:val="0"/>
      <w:marRight w:val="0"/>
      <w:marTop w:val="0"/>
      <w:marBottom w:val="0"/>
      <w:divBdr>
        <w:top w:val="none" w:sz="0" w:space="0" w:color="auto"/>
        <w:left w:val="none" w:sz="0" w:space="0" w:color="auto"/>
        <w:bottom w:val="none" w:sz="0" w:space="0" w:color="auto"/>
        <w:right w:val="none" w:sz="0" w:space="0" w:color="auto"/>
      </w:divBdr>
    </w:div>
    <w:div w:id="1741369612">
      <w:bodyDiv w:val="1"/>
      <w:marLeft w:val="0"/>
      <w:marRight w:val="0"/>
      <w:marTop w:val="0"/>
      <w:marBottom w:val="0"/>
      <w:divBdr>
        <w:top w:val="none" w:sz="0" w:space="0" w:color="auto"/>
        <w:left w:val="none" w:sz="0" w:space="0" w:color="auto"/>
        <w:bottom w:val="none" w:sz="0" w:space="0" w:color="auto"/>
        <w:right w:val="none" w:sz="0" w:space="0" w:color="auto"/>
      </w:divBdr>
    </w:div>
    <w:div w:id="1745104213">
      <w:bodyDiv w:val="1"/>
      <w:marLeft w:val="0"/>
      <w:marRight w:val="0"/>
      <w:marTop w:val="0"/>
      <w:marBottom w:val="0"/>
      <w:divBdr>
        <w:top w:val="none" w:sz="0" w:space="0" w:color="auto"/>
        <w:left w:val="none" w:sz="0" w:space="0" w:color="auto"/>
        <w:bottom w:val="none" w:sz="0" w:space="0" w:color="auto"/>
        <w:right w:val="none" w:sz="0" w:space="0" w:color="auto"/>
      </w:divBdr>
    </w:div>
    <w:div w:id="1748528804">
      <w:bodyDiv w:val="1"/>
      <w:marLeft w:val="0"/>
      <w:marRight w:val="0"/>
      <w:marTop w:val="0"/>
      <w:marBottom w:val="0"/>
      <w:divBdr>
        <w:top w:val="none" w:sz="0" w:space="0" w:color="auto"/>
        <w:left w:val="none" w:sz="0" w:space="0" w:color="auto"/>
        <w:bottom w:val="none" w:sz="0" w:space="0" w:color="auto"/>
        <w:right w:val="none" w:sz="0" w:space="0" w:color="auto"/>
      </w:divBdr>
    </w:div>
    <w:div w:id="1756706886">
      <w:bodyDiv w:val="1"/>
      <w:marLeft w:val="0"/>
      <w:marRight w:val="0"/>
      <w:marTop w:val="0"/>
      <w:marBottom w:val="0"/>
      <w:divBdr>
        <w:top w:val="none" w:sz="0" w:space="0" w:color="auto"/>
        <w:left w:val="none" w:sz="0" w:space="0" w:color="auto"/>
        <w:bottom w:val="none" w:sz="0" w:space="0" w:color="auto"/>
        <w:right w:val="none" w:sz="0" w:space="0" w:color="auto"/>
      </w:divBdr>
    </w:div>
    <w:div w:id="1760173482">
      <w:bodyDiv w:val="1"/>
      <w:marLeft w:val="0"/>
      <w:marRight w:val="0"/>
      <w:marTop w:val="0"/>
      <w:marBottom w:val="0"/>
      <w:divBdr>
        <w:top w:val="none" w:sz="0" w:space="0" w:color="auto"/>
        <w:left w:val="none" w:sz="0" w:space="0" w:color="auto"/>
        <w:bottom w:val="none" w:sz="0" w:space="0" w:color="auto"/>
        <w:right w:val="none" w:sz="0" w:space="0" w:color="auto"/>
      </w:divBdr>
    </w:div>
    <w:div w:id="1776904275">
      <w:bodyDiv w:val="1"/>
      <w:marLeft w:val="0"/>
      <w:marRight w:val="0"/>
      <w:marTop w:val="0"/>
      <w:marBottom w:val="0"/>
      <w:divBdr>
        <w:top w:val="none" w:sz="0" w:space="0" w:color="auto"/>
        <w:left w:val="none" w:sz="0" w:space="0" w:color="auto"/>
        <w:bottom w:val="none" w:sz="0" w:space="0" w:color="auto"/>
        <w:right w:val="none" w:sz="0" w:space="0" w:color="auto"/>
      </w:divBdr>
    </w:div>
    <w:div w:id="1784422926">
      <w:bodyDiv w:val="1"/>
      <w:marLeft w:val="0"/>
      <w:marRight w:val="0"/>
      <w:marTop w:val="0"/>
      <w:marBottom w:val="0"/>
      <w:divBdr>
        <w:top w:val="none" w:sz="0" w:space="0" w:color="auto"/>
        <w:left w:val="none" w:sz="0" w:space="0" w:color="auto"/>
        <w:bottom w:val="none" w:sz="0" w:space="0" w:color="auto"/>
        <w:right w:val="none" w:sz="0" w:space="0" w:color="auto"/>
      </w:divBdr>
    </w:div>
    <w:div w:id="1787920022">
      <w:bodyDiv w:val="1"/>
      <w:marLeft w:val="0"/>
      <w:marRight w:val="0"/>
      <w:marTop w:val="0"/>
      <w:marBottom w:val="0"/>
      <w:divBdr>
        <w:top w:val="none" w:sz="0" w:space="0" w:color="auto"/>
        <w:left w:val="none" w:sz="0" w:space="0" w:color="auto"/>
        <w:bottom w:val="none" w:sz="0" w:space="0" w:color="auto"/>
        <w:right w:val="none" w:sz="0" w:space="0" w:color="auto"/>
      </w:divBdr>
    </w:div>
    <w:div w:id="1795052578">
      <w:bodyDiv w:val="1"/>
      <w:marLeft w:val="0"/>
      <w:marRight w:val="0"/>
      <w:marTop w:val="0"/>
      <w:marBottom w:val="0"/>
      <w:divBdr>
        <w:top w:val="none" w:sz="0" w:space="0" w:color="auto"/>
        <w:left w:val="none" w:sz="0" w:space="0" w:color="auto"/>
        <w:bottom w:val="none" w:sz="0" w:space="0" w:color="auto"/>
        <w:right w:val="none" w:sz="0" w:space="0" w:color="auto"/>
      </w:divBdr>
    </w:div>
    <w:div w:id="179601783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541321">
      <w:bodyDiv w:val="1"/>
      <w:marLeft w:val="0"/>
      <w:marRight w:val="0"/>
      <w:marTop w:val="0"/>
      <w:marBottom w:val="0"/>
      <w:divBdr>
        <w:top w:val="none" w:sz="0" w:space="0" w:color="auto"/>
        <w:left w:val="none" w:sz="0" w:space="0" w:color="auto"/>
        <w:bottom w:val="none" w:sz="0" w:space="0" w:color="auto"/>
        <w:right w:val="none" w:sz="0" w:space="0" w:color="auto"/>
      </w:divBdr>
    </w:div>
    <w:div w:id="1807384061">
      <w:bodyDiv w:val="1"/>
      <w:marLeft w:val="0"/>
      <w:marRight w:val="0"/>
      <w:marTop w:val="0"/>
      <w:marBottom w:val="0"/>
      <w:divBdr>
        <w:top w:val="none" w:sz="0" w:space="0" w:color="auto"/>
        <w:left w:val="none" w:sz="0" w:space="0" w:color="auto"/>
        <w:bottom w:val="none" w:sz="0" w:space="0" w:color="auto"/>
        <w:right w:val="none" w:sz="0" w:space="0" w:color="auto"/>
      </w:divBdr>
    </w:div>
    <w:div w:id="1810585007">
      <w:bodyDiv w:val="1"/>
      <w:marLeft w:val="0"/>
      <w:marRight w:val="0"/>
      <w:marTop w:val="0"/>
      <w:marBottom w:val="0"/>
      <w:divBdr>
        <w:top w:val="none" w:sz="0" w:space="0" w:color="auto"/>
        <w:left w:val="none" w:sz="0" w:space="0" w:color="auto"/>
        <w:bottom w:val="none" w:sz="0" w:space="0" w:color="auto"/>
        <w:right w:val="none" w:sz="0" w:space="0" w:color="auto"/>
      </w:divBdr>
    </w:div>
    <w:div w:id="1814254361">
      <w:bodyDiv w:val="1"/>
      <w:marLeft w:val="0"/>
      <w:marRight w:val="0"/>
      <w:marTop w:val="0"/>
      <w:marBottom w:val="0"/>
      <w:divBdr>
        <w:top w:val="none" w:sz="0" w:space="0" w:color="auto"/>
        <w:left w:val="none" w:sz="0" w:space="0" w:color="auto"/>
        <w:bottom w:val="none" w:sz="0" w:space="0" w:color="auto"/>
        <w:right w:val="none" w:sz="0" w:space="0" w:color="auto"/>
      </w:divBdr>
    </w:div>
    <w:div w:id="181791032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1967815">
      <w:bodyDiv w:val="1"/>
      <w:marLeft w:val="0"/>
      <w:marRight w:val="0"/>
      <w:marTop w:val="0"/>
      <w:marBottom w:val="0"/>
      <w:divBdr>
        <w:top w:val="none" w:sz="0" w:space="0" w:color="auto"/>
        <w:left w:val="none" w:sz="0" w:space="0" w:color="auto"/>
        <w:bottom w:val="none" w:sz="0" w:space="0" w:color="auto"/>
        <w:right w:val="none" w:sz="0" w:space="0" w:color="auto"/>
      </w:divBdr>
    </w:div>
    <w:div w:id="1842744122">
      <w:bodyDiv w:val="1"/>
      <w:marLeft w:val="0"/>
      <w:marRight w:val="0"/>
      <w:marTop w:val="0"/>
      <w:marBottom w:val="0"/>
      <w:divBdr>
        <w:top w:val="none" w:sz="0" w:space="0" w:color="auto"/>
        <w:left w:val="none" w:sz="0" w:space="0" w:color="auto"/>
        <w:bottom w:val="none" w:sz="0" w:space="0" w:color="auto"/>
        <w:right w:val="none" w:sz="0" w:space="0" w:color="auto"/>
      </w:divBdr>
    </w:div>
    <w:div w:id="1846824276">
      <w:bodyDiv w:val="1"/>
      <w:marLeft w:val="0"/>
      <w:marRight w:val="0"/>
      <w:marTop w:val="0"/>
      <w:marBottom w:val="0"/>
      <w:divBdr>
        <w:top w:val="none" w:sz="0" w:space="0" w:color="auto"/>
        <w:left w:val="none" w:sz="0" w:space="0" w:color="auto"/>
        <w:bottom w:val="none" w:sz="0" w:space="0" w:color="auto"/>
        <w:right w:val="none" w:sz="0" w:space="0" w:color="auto"/>
      </w:divBdr>
    </w:div>
    <w:div w:id="1849061260">
      <w:bodyDiv w:val="1"/>
      <w:marLeft w:val="0"/>
      <w:marRight w:val="0"/>
      <w:marTop w:val="0"/>
      <w:marBottom w:val="0"/>
      <w:divBdr>
        <w:top w:val="none" w:sz="0" w:space="0" w:color="auto"/>
        <w:left w:val="none" w:sz="0" w:space="0" w:color="auto"/>
        <w:bottom w:val="none" w:sz="0" w:space="0" w:color="auto"/>
        <w:right w:val="none" w:sz="0" w:space="0" w:color="auto"/>
      </w:divBdr>
    </w:div>
    <w:div w:id="1852333407">
      <w:bodyDiv w:val="1"/>
      <w:marLeft w:val="0"/>
      <w:marRight w:val="0"/>
      <w:marTop w:val="0"/>
      <w:marBottom w:val="0"/>
      <w:divBdr>
        <w:top w:val="none" w:sz="0" w:space="0" w:color="auto"/>
        <w:left w:val="none" w:sz="0" w:space="0" w:color="auto"/>
        <w:bottom w:val="none" w:sz="0" w:space="0" w:color="auto"/>
        <w:right w:val="none" w:sz="0" w:space="0" w:color="auto"/>
      </w:divBdr>
    </w:div>
    <w:div w:id="1854302798">
      <w:bodyDiv w:val="1"/>
      <w:marLeft w:val="0"/>
      <w:marRight w:val="0"/>
      <w:marTop w:val="0"/>
      <w:marBottom w:val="0"/>
      <w:divBdr>
        <w:top w:val="none" w:sz="0" w:space="0" w:color="auto"/>
        <w:left w:val="none" w:sz="0" w:space="0" w:color="auto"/>
        <w:bottom w:val="none" w:sz="0" w:space="0" w:color="auto"/>
        <w:right w:val="none" w:sz="0" w:space="0" w:color="auto"/>
      </w:divBdr>
    </w:div>
    <w:div w:id="1863930638">
      <w:bodyDiv w:val="1"/>
      <w:marLeft w:val="0"/>
      <w:marRight w:val="0"/>
      <w:marTop w:val="0"/>
      <w:marBottom w:val="0"/>
      <w:divBdr>
        <w:top w:val="none" w:sz="0" w:space="0" w:color="auto"/>
        <w:left w:val="none" w:sz="0" w:space="0" w:color="auto"/>
        <w:bottom w:val="none" w:sz="0" w:space="0" w:color="auto"/>
        <w:right w:val="none" w:sz="0" w:space="0" w:color="auto"/>
      </w:divBdr>
    </w:div>
    <w:div w:id="1868978510">
      <w:bodyDiv w:val="1"/>
      <w:marLeft w:val="0"/>
      <w:marRight w:val="0"/>
      <w:marTop w:val="0"/>
      <w:marBottom w:val="0"/>
      <w:divBdr>
        <w:top w:val="none" w:sz="0" w:space="0" w:color="auto"/>
        <w:left w:val="none" w:sz="0" w:space="0" w:color="auto"/>
        <w:bottom w:val="none" w:sz="0" w:space="0" w:color="auto"/>
        <w:right w:val="none" w:sz="0" w:space="0" w:color="auto"/>
      </w:divBdr>
    </w:div>
    <w:div w:id="1873957382">
      <w:bodyDiv w:val="1"/>
      <w:marLeft w:val="0"/>
      <w:marRight w:val="0"/>
      <w:marTop w:val="0"/>
      <w:marBottom w:val="0"/>
      <w:divBdr>
        <w:top w:val="none" w:sz="0" w:space="0" w:color="auto"/>
        <w:left w:val="none" w:sz="0" w:space="0" w:color="auto"/>
        <w:bottom w:val="none" w:sz="0" w:space="0" w:color="auto"/>
        <w:right w:val="none" w:sz="0" w:space="0" w:color="auto"/>
      </w:divBdr>
    </w:div>
    <w:div w:id="1882355345">
      <w:bodyDiv w:val="1"/>
      <w:marLeft w:val="0"/>
      <w:marRight w:val="0"/>
      <w:marTop w:val="0"/>
      <w:marBottom w:val="0"/>
      <w:divBdr>
        <w:top w:val="none" w:sz="0" w:space="0" w:color="auto"/>
        <w:left w:val="none" w:sz="0" w:space="0" w:color="auto"/>
        <w:bottom w:val="none" w:sz="0" w:space="0" w:color="auto"/>
        <w:right w:val="none" w:sz="0" w:space="0" w:color="auto"/>
      </w:divBdr>
    </w:div>
    <w:div w:id="1883013070">
      <w:bodyDiv w:val="1"/>
      <w:marLeft w:val="0"/>
      <w:marRight w:val="0"/>
      <w:marTop w:val="0"/>
      <w:marBottom w:val="0"/>
      <w:divBdr>
        <w:top w:val="none" w:sz="0" w:space="0" w:color="auto"/>
        <w:left w:val="none" w:sz="0" w:space="0" w:color="auto"/>
        <w:bottom w:val="none" w:sz="0" w:space="0" w:color="auto"/>
        <w:right w:val="none" w:sz="0" w:space="0" w:color="auto"/>
      </w:divBdr>
    </w:div>
    <w:div w:id="1883904044">
      <w:bodyDiv w:val="1"/>
      <w:marLeft w:val="0"/>
      <w:marRight w:val="0"/>
      <w:marTop w:val="0"/>
      <w:marBottom w:val="0"/>
      <w:divBdr>
        <w:top w:val="none" w:sz="0" w:space="0" w:color="auto"/>
        <w:left w:val="none" w:sz="0" w:space="0" w:color="auto"/>
        <w:bottom w:val="none" w:sz="0" w:space="0" w:color="auto"/>
        <w:right w:val="none" w:sz="0" w:space="0" w:color="auto"/>
      </w:divBdr>
    </w:div>
    <w:div w:id="1897156064">
      <w:bodyDiv w:val="1"/>
      <w:marLeft w:val="0"/>
      <w:marRight w:val="0"/>
      <w:marTop w:val="0"/>
      <w:marBottom w:val="0"/>
      <w:divBdr>
        <w:top w:val="none" w:sz="0" w:space="0" w:color="auto"/>
        <w:left w:val="none" w:sz="0" w:space="0" w:color="auto"/>
        <w:bottom w:val="none" w:sz="0" w:space="0" w:color="auto"/>
        <w:right w:val="none" w:sz="0" w:space="0" w:color="auto"/>
      </w:divBdr>
    </w:div>
    <w:div w:id="1906144080">
      <w:bodyDiv w:val="1"/>
      <w:marLeft w:val="0"/>
      <w:marRight w:val="0"/>
      <w:marTop w:val="0"/>
      <w:marBottom w:val="0"/>
      <w:divBdr>
        <w:top w:val="none" w:sz="0" w:space="0" w:color="auto"/>
        <w:left w:val="none" w:sz="0" w:space="0" w:color="auto"/>
        <w:bottom w:val="none" w:sz="0" w:space="0" w:color="auto"/>
        <w:right w:val="none" w:sz="0" w:space="0" w:color="auto"/>
      </w:divBdr>
    </w:div>
    <w:div w:id="1909341856">
      <w:bodyDiv w:val="1"/>
      <w:marLeft w:val="0"/>
      <w:marRight w:val="0"/>
      <w:marTop w:val="0"/>
      <w:marBottom w:val="0"/>
      <w:divBdr>
        <w:top w:val="none" w:sz="0" w:space="0" w:color="auto"/>
        <w:left w:val="none" w:sz="0" w:space="0" w:color="auto"/>
        <w:bottom w:val="none" w:sz="0" w:space="0" w:color="auto"/>
        <w:right w:val="none" w:sz="0" w:space="0" w:color="auto"/>
      </w:divBdr>
    </w:div>
    <w:div w:id="1917595445">
      <w:bodyDiv w:val="1"/>
      <w:marLeft w:val="0"/>
      <w:marRight w:val="0"/>
      <w:marTop w:val="0"/>
      <w:marBottom w:val="0"/>
      <w:divBdr>
        <w:top w:val="none" w:sz="0" w:space="0" w:color="auto"/>
        <w:left w:val="none" w:sz="0" w:space="0" w:color="auto"/>
        <w:bottom w:val="none" w:sz="0" w:space="0" w:color="auto"/>
        <w:right w:val="none" w:sz="0" w:space="0" w:color="auto"/>
      </w:divBdr>
    </w:div>
    <w:div w:id="1923029091">
      <w:bodyDiv w:val="1"/>
      <w:marLeft w:val="0"/>
      <w:marRight w:val="0"/>
      <w:marTop w:val="0"/>
      <w:marBottom w:val="0"/>
      <w:divBdr>
        <w:top w:val="none" w:sz="0" w:space="0" w:color="auto"/>
        <w:left w:val="none" w:sz="0" w:space="0" w:color="auto"/>
        <w:bottom w:val="none" w:sz="0" w:space="0" w:color="auto"/>
        <w:right w:val="none" w:sz="0" w:space="0" w:color="auto"/>
      </w:divBdr>
    </w:div>
    <w:div w:id="1932083982">
      <w:bodyDiv w:val="1"/>
      <w:marLeft w:val="0"/>
      <w:marRight w:val="0"/>
      <w:marTop w:val="0"/>
      <w:marBottom w:val="0"/>
      <w:divBdr>
        <w:top w:val="none" w:sz="0" w:space="0" w:color="auto"/>
        <w:left w:val="none" w:sz="0" w:space="0" w:color="auto"/>
        <w:bottom w:val="none" w:sz="0" w:space="0" w:color="auto"/>
        <w:right w:val="none" w:sz="0" w:space="0" w:color="auto"/>
      </w:divBdr>
    </w:div>
    <w:div w:id="1943491105">
      <w:bodyDiv w:val="1"/>
      <w:marLeft w:val="0"/>
      <w:marRight w:val="0"/>
      <w:marTop w:val="0"/>
      <w:marBottom w:val="0"/>
      <w:divBdr>
        <w:top w:val="none" w:sz="0" w:space="0" w:color="auto"/>
        <w:left w:val="none" w:sz="0" w:space="0" w:color="auto"/>
        <w:bottom w:val="none" w:sz="0" w:space="0" w:color="auto"/>
        <w:right w:val="none" w:sz="0" w:space="0" w:color="auto"/>
      </w:divBdr>
    </w:div>
    <w:div w:id="1946234157">
      <w:bodyDiv w:val="1"/>
      <w:marLeft w:val="0"/>
      <w:marRight w:val="0"/>
      <w:marTop w:val="0"/>
      <w:marBottom w:val="0"/>
      <w:divBdr>
        <w:top w:val="none" w:sz="0" w:space="0" w:color="auto"/>
        <w:left w:val="none" w:sz="0" w:space="0" w:color="auto"/>
        <w:bottom w:val="none" w:sz="0" w:space="0" w:color="auto"/>
        <w:right w:val="none" w:sz="0" w:space="0" w:color="auto"/>
      </w:divBdr>
    </w:div>
    <w:div w:id="1966735744">
      <w:bodyDiv w:val="1"/>
      <w:marLeft w:val="0"/>
      <w:marRight w:val="0"/>
      <w:marTop w:val="0"/>
      <w:marBottom w:val="0"/>
      <w:divBdr>
        <w:top w:val="none" w:sz="0" w:space="0" w:color="auto"/>
        <w:left w:val="none" w:sz="0" w:space="0" w:color="auto"/>
        <w:bottom w:val="none" w:sz="0" w:space="0" w:color="auto"/>
        <w:right w:val="none" w:sz="0" w:space="0" w:color="auto"/>
      </w:divBdr>
    </w:div>
    <w:div w:id="1967081158">
      <w:bodyDiv w:val="1"/>
      <w:marLeft w:val="0"/>
      <w:marRight w:val="0"/>
      <w:marTop w:val="0"/>
      <w:marBottom w:val="0"/>
      <w:divBdr>
        <w:top w:val="none" w:sz="0" w:space="0" w:color="auto"/>
        <w:left w:val="none" w:sz="0" w:space="0" w:color="auto"/>
        <w:bottom w:val="none" w:sz="0" w:space="0" w:color="auto"/>
        <w:right w:val="none" w:sz="0" w:space="0" w:color="auto"/>
      </w:divBdr>
    </w:div>
    <w:div w:id="1971083169">
      <w:bodyDiv w:val="1"/>
      <w:marLeft w:val="0"/>
      <w:marRight w:val="0"/>
      <w:marTop w:val="0"/>
      <w:marBottom w:val="0"/>
      <w:divBdr>
        <w:top w:val="none" w:sz="0" w:space="0" w:color="auto"/>
        <w:left w:val="none" w:sz="0" w:space="0" w:color="auto"/>
        <w:bottom w:val="none" w:sz="0" w:space="0" w:color="auto"/>
        <w:right w:val="none" w:sz="0" w:space="0" w:color="auto"/>
      </w:divBdr>
    </w:div>
    <w:div w:id="1980265577">
      <w:bodyDiv w:val="1"/>
      <w:marLeft w:val="0"/>
      <w:marRight w:val="0"/>
      <w:marTop w:val="0"/>
      <w:marBottom w:val="0"/>
      <w:divBdr>
        <w:top w:val="none" w:sz="0" w:space="0" w:color="auto"/>
        <w:left w:val="none" w:sz="0" w:space="0" w:color="auto"/>
        <w:bottom w:val="none" w:sz="0" w:space="0" w:color="auto"/>
        <w:right w:val="none" w:sz="0" w:space="0" w:color="auto"/>
      </w:divBdr>
    </w:div>
    <w:div w:id="1981567779">
      <w:bodyDiv w:val="1"/>
      <w:marLeft w:val="0"/>
      <w:marRight w:val="0"/>
      <w:marTop w:val="0"/>
      <w:marBottom w:val="0"/>
      <w:divBdr>
        <w:top w:val="none" w:sz="0" w:space="0" w:color="auto"/>
        <w:left w:val="none" w:sz="0" w:space="0" w:color="auto"/>
        <w:bottom w:val="none" w:sz="0" w:space="0" w:color="auto"/>
        <w:right w:val="none" w:sz="0" w:space="0" w:color="auto"/>
      </w:divBdr>
    </w:div>
    <w:div w:id="1983919791">
      <w:bodyDiv w:val="1"/>
      <w:marLeft w:val="0"/>
      <w:marRight w:val="0"/>
      <w:marTop w:val="0"/>
      <w:marBottom w:val="0"/>
      <w:divBdr>
        <w:top w:val="none" w:sz="0" w:space="0" w:color="auto"/>
        <w:left w:val="none" w:sz="0" w:space="0" w:color="auto"/>
        <w:bottom w:val="none" w:sz="0" w:space="0" w:color="auto"/>
        <w:right w:val="none" w:sz="0" w:space="0" w:color="auto"/>
      </w:divBdr>
    </w:div>
    <w:div w:id="2005819535">
      <w:bodyDiv w:val="1"/>
      <w:marLeft w:val="0"/>
      <w:marRight w:val="0"/>
      <w:marTop w:val="0"/>
      <w:marBottom w:val="0"/>
      <w:divBdr>
        <w:top w:val="none" w:sz="0" w:space="0" w:color="auto"/>
        <w:left w:val="none" w:sz="0" w:space="0" w:color="auto"/>
        <w:bottom w:val="none" w:sz="0" w:space="0" w:color="auto"/>
        <w:right w:val="none" w:sz="0" w:space="0" w:color="auto"/>
      </w:divBdr>
    </w:div>
    <w:div w:id="2014532026">
      <w:bodyDiv w:val="1"/>
      <w:marLeft w:val="0"/>
      <w:marRight w:val="0"/>
      <w:marTop w:val="0"/>
      <w:marBottom w:val="0"/>
      <w:divBdr>
        <w:top w:val="none" w:sz="0" w:space="0" w:color="auto"/>
        <w:left w:val="none" w:sz="0" w:space="0" w:color="auto"/>
        <w:bottom w:val="none" w:sz="0" w:space="0" w:color="auto"/>
        <w:right w:val="none" w:sz="0" w:space="0" w:color="auto"/>
      </w:divBdr>
    </w:div>
    <w:div w:id="2014603973">
      <w:bodyDiv w:val="1"/>
      <w:marLeft w:val="0"/>
      <w:marRight w:val="0"/>
      <w:marTop w:val="0"/>
      <w:marBottom w:val="0"/>
      <w:divBdr>
        <w:top w:val="none" w:sz="0" w:space="0" w:color="auto"/>
        <w:left w:val="none" w:sz="0" w:space="0" w:color="auto"/>
        <w:bottom w:val="none" w:sz="0" w:space="0" w:color="auto"/>
        <w:right w:val="none" w:sz="0" w:space="0" w:color="auto"/>
      </w:divBdr>
    </w:div>
    <w:div w:id="2014801478">
      <w:bodyDiv w:val="1"/>
      <w:marLeft w:val="0"/>
      <w:marRight w:val="0"/>
      <w:marTop w:val="0"/>
      <w:marBottom w:val="0"/>
      <w:divBdr>
        <w:top w:val="none" w:sz="0" w:space="0" w:color="auto"/>
        <w:left w:val="none" w:sz="0" w:space="0" w:color="auto"/>
        <w:bottom w:val="none" w:sz="0" w:space="0" w:color="auto"/>
        <w:right w:val="none" w:sz="0" w:space="0" w:color="auto"/>
      </w:divBdr>
    </w:div>
    <w:div w:id="2018455129">
      <w:bodyDiv w:val="1"/>
      <w:marLeft w:val="0"/>
      <w:marRight w:val="0"/>
      <w:marTop w:val="0"/>
      <w:marBottom w:val="0"/>
      <w:divBdr>
        <w:top w:val="none" w:sz="0" w:space="0" w:color="auto"/>
        <w:left w:val="none" w:sz="0" w:space="0" w:color="auto"/>
        <w:bottom w:val="none" w:sz="0" w:space="0" w:color="auto"/>
        <w:right w:val="none" w:sz="0" w:space="0" w:color="auto"/>
      </w:divBdr>
    </w:div>
    <w:div w:id="2020354877">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0332918">
      <w:bodyDiv w:val="1"/>
      <w:marLeft w:val="0"/>
      <w:marRight w:val="0"/>
      <w:marTop w:val="0"/>
      <w:marBottom w:val="0"/>
      <w:divBdr>
        <w:top w:val="none" w:sz="0" w:space="0" w:color="auto"/>
        <w:left w:val="none" w:sz="0" w:space="0" w:color="auto"/>
        <w:bottom w:val="none" w:sz="0" w:space="0" w:color="auto"/>
        <w:right w:val="none" w:sz="0" w:space="0" w:color="auto"/>
      </w:divBdr>
    </w:div>
    <w:div w:id="2031101425">
      <w:bodyDiv w:val="1"/>
      <w:marLeft w:val="0"/>
      <w:marRight w:val="0"/>
      <w:marTop w:val="0"/>
      <w:marBottom w:val="0"/>
      <w:divBdr>
        <w:top w:val="none" w:sz="0" w:space="0" w:color="auto"/>
        <w:left w:val="none" w:sz="0" w:space="0" w:color="auto"/>
        <w:bottom w:val="none" w:sz="0" w:space="0" w:color="auto"/>
        <w:right w:val="none" w:sz="0" w:space="0" w:color="auto"/>
      </w:divBdr>
    </w:div>
    <w:div w:id="2033872988">
      <w:bodyDiv w:val="1"/>
      <w:marLeft w:val="0"/>
      <w:marRight w:val="0"/>
      <w:marTop w:val="0"/>
      <w:marBottom w:val="0"/>
      <w:divBdr>
        <w:top w:val="none" w:sz="0" w:space="0" w:color="auto"/>
        <w:left w:val="none" w:sz="0" w:space="0" w:color="auto"/>
        <w:bottom w:val="none" w:sz="0" w:space="0" w:color="auto"/>
        <w:right w:val="none" w:sz="0" w:space="0" w:color="auto"/>
      </w:divBdr>
    </w:div>
    <w:div w:id="2034305553">
      <w:bodyDiv w:val="1"/>
      <w:marLeft w:val="0"/>
      <w:marRight w:val="0"/>
      <w:marTop w:val="0"/>
      <w:marBottom w:val="0"/>
      <w:divBdr>
        <w:top w:val="none" w:sz="0" w:space="0" w:color="auto"/>
        <w:left w:val="none" w:sz="0" w:space="0" w:color="auto"/>
        <w:bottom w:val="none" w:sz="0" w:space="0" w:color="auto"/>
        <w:right w:val="none" w:sz="0" w:space="0" w:color="auto"/>
      </w:divBdr>
    </w:div>
    <w:div w:id="2037727606">
      <w:bodyDiv w:val="1"/>
      <w:marLeft w:val="0"/>
      <w:marRight w:val="0"/>
      <w:marTop w:val="0"/>
      <w:marBottom w:val="0"/>
      <w:divBdr>
        <w:top w:val="none" w:sz="0" w:space="0" w:color="auto"/>
        <w:left w:val="none" w:sz="0" w:space="0" w:color="auto"/>
        <w:bottom w:val="none" w:sz="0" w:space="0" w:color="auto"/>
        <w:right w:val="none" w:sz="0" w:space="0" w:color="auto"/>
      </w:divBdr>
    </w:div>
    <w:div w:id="2038846940">
      <w:bodyDiv w:val="1"/>
      <w:marLeft w:val="0"/>
      <w:marRight w:val="0"/>
      <w:marTop w:val="0"/>
      <w:marBottom w:val="0"/>
      <w:divBdr>
        <w:top w:val="none" w:sz="0" w:space="0" w:color="auto"/>
        <w:left w:val="none" w:sz="0" w:space="0" w:color="auto"/>
        <w:bottom w:val="none" w:sz="0" w:space="0" w:color="auto"/>
        <w:right w:val="none" w:sz="0" w:space="0" w:color="auto"/>
      </w:divBdr>
    </w:div>
    <w:div w:id="2040887274">
      <w:bodyDiv w:val="1"/>
      <w:marLeft w:val="0"/>
      <w:marRight w:val="0"/>
      <w:marTop w:val="0"/>
      <w:marBottom w:val="0"/>
      <w:divBdr>
        <w:top w:val="none" w:sz="0" w:space="0" w:color="auto"/>
        <w:left w:val="none" w:sz="0" w:space="0" w:color="auto"/>
        <w:bottom w:val="none" w:sz="0" w:space="0" w:color="auto"/>
        <w:right w:val="none" w:sz="0" w:space="0" w:color="auto"/>
      </w:divBdr>
    </w:div>
    <w:div w:id="2072192427">
      <w:bodyDiv w:val="1"/>
      <w:marLeft w:val="0"/>
      <w:marRight w:val="0"/>
      <w:marTop w:val="0"/>
      <w:marBottom w:val="0"/>
      <w:divBdr>
        <w:top w:val="none" w:sz="0" w:space="0" w:color="auto"/>
        <w:left w:val="none" w:sz="0" w:space="0" w:color="auto"/>
        <w:bottom w:val="none" w:sz="0" w:space="0" w:color="auto"/>
        <w:right w:val="none" w:sz="0" w:space="0" w:color="auto"/>
      </w:divBdr>
    </w:div>
    <w:div w:id="2072725957">
      <w:bodyDiv w:val="1"/>
      <w:marLeft w:val="0"/>
      <w:marRight w:val="0"/>
      <w:marTop w:val="0"/>
      <w:marBottom w:val="0"/>
      <w:divBdr>
        <w:top w:val="none" w:sz="0" w:space="0" w:color="auto"/>
        <w:left w:val="none" w:sz="0" w:space="0" w:color="auto"/>
        <w:bottom w:val="none" w:sz="0" w:space="0" w:color="auto"/>
        <w:right w:val="none" w:sz="0" w:space="0" w:color="auto"/>
      </w:divBdr>
    </w:div>
    <w:div w:id="207862534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8363815">
      <w:bodyDiv w:val="1"/>
      <w:marLeft w:val="0"/>
      <w:marRight w:val="0"/>
      <w:marTop w:val="0"/>
      <w:marBottom w:val="0"/>
      <w:divBdr>
        <w:top w:val="none" w:sz="0" w:space="0" w:color="auto"/>
        <w:left w:val="none" w:sz="0" w:space="0" w:color="auto"/>
        <w:bottom w:val="none" w:sz="0" w:space="0" w:color="auto"/>
        <w:right w:val="none" w:sz="0" w:space="0" w:color="auto"/>
      </w:divBdr>
    </w:div>
    <w:div w:id="2101440332">
      <w:bodyDiv w:val="1"/>
      <w:marLeft w:val="0"/>
      <w:marRight w:val="0"/>
      <w:marTop w:val="0"/>
      <w:marBottom w:val="0"/>
      <w:divBdr>
        <w:top w:val="none" w:sz="0" w:space="0" w:color="auto"/>
        <w:left w:val="none" w:sz="0" w:space="0" w:color="auto"/>
        <w:bottom w:val="none" w:sz="0" w:space="0" w:color="auto"/>
        <w:right w:val="none" w:sz="0" w:space="0" w:color="auto"/>
      </w:divBdr>
    </w:div>
    <w:div w:id="2103795738">
      <w:bodyDiv w:val="1"/>
      <w:marLeft w:val="0"/>
      <w:marRight w:val="0"/>
      <w:marTop w:val="0"/>
      <w:marBottom w:val="0"/>
      <w:divBdr>
        <w:top w:val="none" w:sz="0" w:space="0" w:color="auto"/>
        <w:left w:val="none" w:sz="0" w:space="0" w:color="auto"/>
        <w:bottom w:val="none" w:sz="0" w:space="0" w:color="auto"/>
        <w:right w:val="none" w:sz="0" w:space="0" w:color="auto"/>
      </w:divBdr>
    </w:div>
    <w:div w:id="210692168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7014946">
      <w:bodyDiv w:val="1"/>
      <w:marLeft w:val="0"/>
      <w:marRight w:val="0"/>
      <w:marTop w:val="0"/>
      <w:marBottom w:val="0"/>
      <w:divBdr>
        <w:top w:val="none" w:sz="0" w:space="0" w:color="auto"/>
        <w:left w:val="none" w:sz="0" w:space="0" w:color="auto"/>
        <w:bottom w:val="none" w:sz="0" w:space="0" w:color="auto"/>
        <w:right w:val="none" w:sz="0" w:space="0" w:color="auto"/>
      </w:divBdr>
    </w:div>
    <w:div w:id="2118868077">
      <w:bodyDiv w:val="1"/>
      <w:marLeft w:val="0"/>
      <w:marRight w:val="0"/>
      <w:marTop w:val="0"/>
      <w:marBottom w:val="0"/>
      <w:divBdr>
        <w:top w:val="none" w:sz="0" w:space="0" w:color="auto"/>
        <w:left w:val="none" w:sz="0" w:space="0" w:color="auto"/>
        <w:bottom w:val="none" w:sz="0" w:space="0" w:color="auto"/>
        <w:right w:val="none" w:sz="0" w:space="0" w:color="auto"/>
      </w:divBdr>
    </w:div>
    <w:div w:id="2126650757">
      <w:bodyDiv w:val="1"/>
      <w:marLeft w:val="0"/>
      <w:marRight w:val="0"/>
      <w:marTop w:val="0"/>
      <w:marBottom w:val="0"/>
      <w:divBdr>
        <w:top w:val="none" w:sz="0" w:space="0" w:color="auto"/>
        <w:left w:val="none" w:sz="0" w:space="0" w:color="auto"/>
        <w:bottom w:val="none" w:sz="0" w:space="0" w:color="auto"/>
        <w:right w:val="none" w:sz="0" w:space="0" w:color="auto"/>
      </w:divBdr>
    </w:div>
    <w:div w:id="2135901161">
      <w:bodyDiv w:val="1"/>
      <w:marLeft w:val="0"/>
      <w:marRight w:val="0"/>
      <w:marTop w:val="0"/>
      <w:marBottom w:val="0"/>
      <w:divBdr>
        <w:top w:val="none" w:sz="0" w:space="0" w:color="auto"/>
        <w:left w:val="none" w:sz="0" w:space="0" w:color="auto"/>
        <w:bottom w:val="none" w:sz="0" w:space="0" w:color="auto"/>
        <w:right w:val="none" w:sz="0" w:space="0" w:color="auto"/>
      </w:divBdr>
    </w:div>
    <w:div w:id="2146387058">
      <w:bodyDiv w:val="1"/>
      <w:marLeft w:val="0"/>
      <w:marRight w:val="0"/>
      <w:marTop w:val="0"/>
      <w:marBottom w:val="0"/>
      <w:divBdr>
        <w:top w:val="none" w:sz="0" w:space="0" w:color="auto"/>
        <w:left w:val="none" w:sz="0" w:space="0" w:color="auto"/>
        <w:bottom w:val="none" w:sz="0" w:space="0" w:color="auto"/>
        <w:right w:val="none" w:sz="0" w:space="0" w:color="auto"/>
      </w:divBdr>
    </w:div>
    <w:div w:id="214646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http://www.onr.org.uk/saps/saps2014.pdf"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nuclearinst.com/Safety-Directors-Forum"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oter" Target="footer5.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1D29FA"/>
    <w:rsid w:val="001F1380"/>
    <w:rsid w:val="0024543A"/>
    <w:rsid w:val="002550FD"/>
    <w:rsid w:val="002D2CD1"/>
    <w:rsid w:val="00350199"/>
    <w:rsid w:val="003F7E8A"/>
    <w:rsid w:val="00514ECB"/>
    <w:rsid w:val="006E7712"/>
    <w:rsid w:val="007154C5"/>
    <w:rsid w:val="00780C80"/>
    <w:rsid w:val="00835E07"/>
    <w:rsid w:val="00CA10A9"/>
    <w:rsid w:val="00CD10A9"/>
    <w:rsid w:val="00D27FFB"/>
    <w:rsid w:val="00DB4022"/>
    <w:rsid w:val="00DD7BA4"/>
    <w:rsid w:val="00E24D23"/>
    <w:rsid w:val="00E318CE"/>
    <w:rsid w:val="00E44BA1"/>
    <w:rsid w:val="00E646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ONR282</b:Tag>
    <b:SourceType>ElectronicSource</b:SourceType>
    <b:Guid>{F148B17F-5F05-4811-B1E3-480D86B1AF08}</b:Guid>
    <b:Author>
      <b:Author>
        <b:Corporate>ONR</b:Corporate>
      </b:Author>
    </b:Author>
    <b:Title>NS-TAST-GD-072 – Function and Content of a Safety Management Prospectus </b:Title>
    <b:RefOrder>8</b:RefOrder>
  </b:Source>
  <b:Source>
    <b:Tag>ONR102</b:Tag>
    <b:SourceType>ElectronicSource</b:SourceType>
    <b:Guid>{1460D449-D8CF-454F-8B30-2681B833F7F1}</b:Guid>
    <b:Title>NS-TAST-GD-079 - Licensee Design Authority Capability</b:Title>
    <b:Author>
      <b:Author>
        <b:Corporate>ONR</b:Corporate>
      </b:Author>
    </b:Author>
    <b:RefOrder>10</b:RefOrder>
  </b:Source>
  <b:Source>
    <b:Tag>WEN</b:Tag>
    <b:SourceType>ElectronicSource</b:SourceType>
    <b:Guid>{382DFD4A-81A6-47D2-9E92-9CFFB345C59F}</b:Guid>
    <b:Author>
      <b:Author>
        <b:Corporate>WENRA</b:Corporate>
      </b:Author>
    </b:Author>
    <b:Title>WENRA Safety Reference Levels for Existing Reactors</b:Title>
    <b:URL>https://www.wenra.eu/sites/default/files/publications/wenra_safety_reference_level_for_existing_reactors_2020.pdf</b:URL>
    <b:Year>2020</b:Year>
    <b:RefOrder>13</b:RefOrder>
  </b:Source>
  <b:Source>
    <b:Tag>IAEdf</b:Tag>
    <b:SourceType>ElectronicSource</b:SourceType>
    <b:Guid>{E0D6A4A6-A56A-42F8-9560-0BC66A6C3FE4}</b:Guid>
    <b:Author>
      <b:Author>
        <b:Corporate>IAEA</b:Corporate>
      </b:Author>
    </b:Author>
    <b:Title>IAEA Safety Standards Series No. NS-G-2.4 - The Operating Organization for Nuclear Power Plants</b:Title>
    <b:RefOrder>14</b:RefOrder>
  </b:Source>
  <b:Source>
    <b:Tag>IAE062</b:Tag>
    <b:SourceType>ElectronicSource</b:SourceType>
    <b:Guid>{F1C0F61A-5FDC-4E0F-BDA4-75E5C35DD59B}</b:Guid>
    <b:Author>
      <b:Author>
        <b:Corporate>IAEA</b:Corporate>
      </b:Author>
    </b:Author>
    <b:Title>IAEA Safety Standards Series No. GS-G-3.1 - Application of the Management System for Facilities and Activities</b:Title>
    <b:Year>2006</b:Year>
    <b:RefOrder>18</b:RefOrder>
  </b:Source>
  <b:Source>
    <b:Tag>IAE091</b:Tag>
    <b:SourceType>ElectronicSource</b:SourceType>
    <b:Guid>{879B836D-0FF1-4C0F-8923-874AC8065B9C}</b:Guid>
    <b:Author>
      <b:Author>
        <b:Corporate>IAEA</b:Corporate>
      </b:Author>
    </b:Author>
    <b:Title>IAEA Safety Standards Series No. GS-G-3.5 - The Management System for Nuclear Installations</b:Title>
    <b:Year>2009</b:Year>
    <b:RefOrder>19</b:RefOrder>
  </b:Source>
  <b:Source>
    <b:Tag>IAE16</b:Tag>
    <b:SourceType>Report</b:SourceType>
    <b:Guid>{4E1C39F2-53AB-4CF9-A9A1-AB9DCCFE314A}</b:Guid>
    <b:Title>GSR Part 2 - Leadership and Management for Safety</b:Title>
    <b:Year>2016</b:Year>
    <b:Author>
      <b:Author>
        <b:Corporate>IAEA</b:Corporate>
      </b:Author>
    </b:Author>
    <b:Publisher>International Atomic Energy Agency (IAEA)</b:Publisher>
    <b:City>Vienna</b:City>
    <b:RefOrder>17</b:RefOrder>
  </b:Source>
  <b:Source>
    <b:Tag>ONR48</b:Tag>
    <b:SourceType>Book</b:SourceType>
    <b:Guid>{8EC24173-77A7-4C80-BBF4-1912F78EBAB6}</b:Guid>
    <b:Author>
      <b:Author>
        <b:Corporate>ONR</b:Corporate>
      </b:Author>
    </b:Author>
    <b:Title>NS-TAST-GD-048 – Organisational Capability </b:Title>
    <b:RefOrder>5</b:RefOrder>
  </b:Source>
  <b:Source>
    <b:Tag>ONR61</b:Tag>
    <b:SourceType>Book</b:SourceType>
    <b:Guid>{6B77AA98-60F0-445B-AC81-889074348545}</b:Guid>
    <b:Author>
      <b:Author>
        <b:Corporate>ONR</b:Corporate>
      </b:Author>
    </b:Author>
    <b:Title>NS-TAST-GD-061 - Staffing Levels and Task Organisation </b:Title>
    <b:RefOrder>7</b:RefOrder>
  </b:Source>
  <b:Source>
    <b:Tag>ONR49</b:Tag>
    <b:SourceType>Report</b:SourceType>
    <b:Guid>{3B9C9DF1-04A0-47B8-8AD2-2EFD33615B2B}</b:Guid>
    <b:Author>
      <b:Author>
        <b:Corporate>ONR</b:Corporate>
      </b:Author>
    </b:Author>
    <b:Title>NS-TAST-GD-049 - Licensee Use of Contractors and Intelligent Customer Capability</b:Title>
    <b:RefOrder>6</b:RefOrder>
  </b:Source>
  <b:Source>
    <b:Tag>ONR77</b:Tag>
    <b:SourceType>Book</b:SourceType>
    <b:Guid>{00A9B33C-DD27-4989-8543-BEABC4CFAF88}</b:Guid>
    <b:Author>
      <b:Author>
        <b:Corporate>ONR</b:Corporate>
      </b:Author>
    </b:Author>
    <b:Title>NS-TAST-GD-077 – Supply Chain Management Arrangements for the Procurement of Nulcear Safety Related Items or Services</b:Title>
    <b:RefOrder>9</b:RefOrder>
  </b:Source>
  <b:Source>
    <b:Tag>ONR80</b:Tag>
    <b:SourceType>Book</b:SourceType>
    <b:Guid>{8E197425-9BFD-47C1-B732-3789450620C5}</b:Guid>
    <b:Author>
      <b:Author>
        <b:Corporate>ONR</b:Corporate>
      </b:Author>
    </b:Author>
    <b:Title>NS-TAST-GD-080 – Nuclear Safety Advice and Independent Challenge </b:Title>
    <b:RefOrder>11</b:RefOrder>
  </b:Source>
  <b:Source>
    <b:Tag>IAE072</b:Tag>
    <b:SourceType>Book</b:SourceType>
    <b:Guid>{FAE6A5E7-1581-48A4-92A2-A7706143F529}</b:Guid>
    <b:Author>
      <b:Author>
        <b:Corporate>IAEA</b:Corporate>
      </b:Author>
    </b:Author>
    <b:Title>Specific Safety Guide SSG-72 – The Operating Organisation for Nuclear Power Plants </b:Title>
    <b:RefOrder>15</b:RefOrder>
  </b:Source>
  <b:Source>
    <b:Tag>IAE022</b:Tag>
    <b:SourceType>Book</b:SourceType>
    <b:Guid>{43DC9BBB-6321-4469-B01F-3608ECDFAB7E}</b:Guid>
    <b:Author>
      <b:Author>
        <b:Corporate>IAEA</b:Corporate>
      </b:Author>
    </b:Author>
    <b:Title>Specific Safety Requirements SSR-2/2 – Safety of Nuclear Power Plants: Commissioning and Operation </b:Title>
    <b:RefOrder>16</b:RefOrder>
  </b:Source>
  <b:Source>
    <b:Tag>ONR51</b:Tag>
    <b:SourceType>Report</b:SourceType>
    <b:Guid>{05D0278A-D510-43D3-B39E-AFC53E04699E}</b:Guid>
    <b:Author>
      <b:Author>
        <b:Corporate>ONR</b:Corporate>
      </b:Author>
    </b:Author>
    <b:Title>NS-TAST-GD-027 - Training and Assuring Personnel Competence</b:Title>
    <b:URL>https://how2.prod.onr.gov.uk/CtrlWebIsapi.dll/3720DCD193AF4B70AE8DDC37CBCF64F6.cwl?__id=webFile.save&amp;doc=6C6B3828E892499B8AB621AB65CAA28F&amp;dpt=1&amp;save=1</b:URL>
    <b:RefOrder>4</b:RefOrder>
  </b:Source>
  <b:Source>
    <b:Tag>ONR205</b:Tag>
    <b:SourceType>ElectronicSource</b:SourceType>
    <b:Guid>{9F84AA57-0664-4A95-A4CA-57131D5415DB}</b:Guid>
    <b:Title>NS-INSP-GD-036 - LC36 - Organisational Capability</b:Title>
    <b:Author>
      <b:Author>
        <b:Corporate>ONR</b:Corporate>
      </b:Author>
    </b:Author>
    <b:RefOrder>2</b:RefOrder>
  </b:Source>
  <b:Source>
    <b:Tag>ONR92</b:Tag>
    <b:SourceType>ElectronicSource</b:SourceType>
    <b:Guid>{F7F603C2-7497-4679-AB16-EF9B96819D7F}</b:Guid>
    <b:Author>
      <b:Author>
        <b:Corporate>ONR</b:Corporate>
      </b:Author>
    </b:Author>
    <b:Title>Licensing Nuclear Installations</b:Title>
    <b:RefOrder>12</b:RefOrder>
  </b:Source>
  <b:Source>
    <b:Tag>GPG</b:Tag>
    <b:SourceType>Book</b:SourceType>
    <b:Guid>{F2CE59A7-00F3-450B-8F04-32A9F1F20C26}</b:Guid>
    <b:Author>
      <b:Author>
        <b:Corporate>Safety Directors Forum</b:Corporate>
      </b:Author>
    </b:Author>
    <b:Title>Nuclear Baseline and Management of Organisational Change - A Good Practice Guide</b:Title>
    <b:Year>2017</b:Yea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4D0F87-5E58-4078-9A05-038F10614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32</Pages>
  <Words>8874</Words>
  <Characters>50588</Characters>
  <Application>Microsoft Office Word</Application>
  <DocSecurity>4</DocSecurity>
  <Lines>421</Lines>
  <Paragraphs>118</Paragraphs>
  <ScaleCrop>false</ScaleCrop>
  <HeadingPairs>
    <vt:vector size="2" baseType="variant">
      <vt:variant>
        <vt:lpstr>Title</vt:lpstr>
      </vt:variant>
      <vt:variant>
        <vt:i4>1</vt:i4>
      </vt:variant>
    </vt:vector>
  </HeadingPairs>
  <TitlesOfParts>
    <vt:vector size="1" baseType="lpstr">
      <vt:lpstr>Function and Content of the Nuclear Baseline</vt:lpstr>
    </vt:vector>
  </TitlesOfParts>
  <Manager>Office for Nuclear Regulation</Manager>
  <Company>Office for Nuclear Regulation</Company>
  <LinksUpToDate>false</LinksUpToDate>
  <CharactersWithSpaces>59344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 and Content of the Nuclear Baseline</dc:title>
  <dc:subject>[Subtitle or description]</dc:subject>
  <cp:keywords>[Key words separated by commas]</cp:keywords>
  <dc:description/>
  <cp:revision>2</cp:revision>
  <cp:lastPrinted>2016-11-28T11:35:00Z</cp:lastPrinted>
  <dcterms:created xsi:type="dcterms:W3CDTF">2023-07-10T10:52:00Z</dcterms:created>
  <dcterms:modified xsi:type="dcterms:W3CDTF">2023-07-10T10:52:00Z</dcterms:modified>
  <cp:contentStatus>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