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61F80DB" w:rsidR="00D0226A" w:rsidRPr="001E03E1" w:rsidRDefault="0000000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A09A2">
                      <w:rPr>
                        <w:sz w:val="52"/>
                        <w:szCs w:val="52"/>
                      </w:rPr>
                      <w:t>Safety Related Systems and Instrumentation</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4C91D47" w:rsidR="00004C16" w:rsidRPr="00F63AA5" w:rsidRDefault="0000000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AA09A2">
            <w:rPr>
              <w:rStyle w:val="Style2"/>
              <w:sz w:val="36"/>
              <w:szCs w:val="16"/>
            </w:rPr>
            <w:t>Safety Related Systems and Instrumentation</w:t>
          </w:r>
        </w:sdtContent>
      </w:sdt>
    </w:p>
    <w:p w14:paraId="61A25C0F" w14:textId="77777777" w:rsidR="00004C16" w:rsidRDefault="00004C16" w:rsidP="00004C16">
      <w:pPr>
        <w:rPr>
          <w:sz w:val="28"/>
          <w:szCs w:val="28"/>
        </w:rPr>
      </w:pPr>
    </w:p>
    <w:p w14:paraId="4C7A948F" w14:textId="7EC601C5"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611B86">
        <w:rPr>
          <w:sz w:val="28"/>
          <w:szCs w:val="28"/>
        </w:rPr>
        <w:t>Inspector</w:t>
      </w:r>
    </w:p>
    <w:p w14:paraId="15A21CF3" w14:textId="0D3ED2D0"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611B86">
        <w:rPr>
          <w:sz w:val="28"/>
          <w:szCs w:val="28"/>
        </w:rPr>
        <w:t>Professional Lead – E</w:t>
      </w:r>
      <w:r w:rsidR="00F35B59">
        <w:rPr>
          <w:sz w:val="28"/>
          <w:szCs w:val="28"/>
        </w:rPr>
        <w:t>C&amp;I</w:t>
      </w:r>
    </w:p>
    <w:p w14:paraId="29270FF3" w14:textId="3E2A2CEF" w:rsidR="00CE1DB2" w:rsidRDefault="00CE1DB2" w:rsidP="00245A0D">
      <w:pPr>
        <w:rPr>
          <w:sz w:val="28"/>
          <w:szCs w:val="28"/>
        </w:rPr>
      </w:pPr>
      <w:r>
        <w:rPr>
          <w:sz w:val="28"/>
          <w:szCs w:val="28"/>
        </w:rPr>
        <w:t xml:space="preserve">Professional Lead: </w:t>
      </w:r>
      <w:r w:rsidR="00F35B59">
        <w:rPr>
          <w:sz w:val="28"/>
          <w:szCs w:val="28"/>
        </w:rPr>
        <w:t>Professional Lead – EC&amp;I</w:t>
      </w:r>
    </w:p>
    <w:p w14:paraId="3ADDCB72" w14:textId="77777777" w:rsidR="000950B3" w:rsidRPr="00004C16" w:rsidRDefault="000950B3" w:rsidP="00004C16">
      <w:pPr>
        <w:rPr>
          <w:sz w:val="28"/>
          <w:szCs w:val="28"/>
        </w:rPr>
      </w:pPr>
    </w:p>
    <w:p w14:paraId="247E3769" w14:textId="0F98A403"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F35B59">
            <w:rPr>
              <w:sz w:val="28"/>
              <w:szCs w:val="28"/>
            </w:rPr>
            <w:t>7</w:t>
          </w:r>
        </w:sdtContent>
      </w:sdt>
    </w:p>
    <w:p w14:paraId="19206F45" w14:textId="53FDA208" w:rsidR="00004C16" w:rsidRDefault="00004C16" w:rsidP="00004C16">
      <w:pPr>
        <w:rPr>
          <w:sz w:val="28"/>
          <w:szCs w:val="28"/>
        </w:rPr>
      </w:pPr>
      <w:r w:rsidRPr="00004C16">
        <w:rPr>
          <w:sz w:val="28"/>
          <w:szCs w:val="28"/>
        </w:rPr>
        <w:t xml:space="preserve">Publication Date: </w:t>
      </w:r>
      <w:r w:rsidR="00F35B59">
        <w:rPr>
          <w:sz w:val="28"/>
          <w:szCs w:val="28"/>
        </w:rPr>
        <w:t>May-23</w:t>
      </w:r>
    </w:p>
    <w:p w14:paraId="06A6B3A5" w14:textId="192CC5D8" w:rsidR="00E57DB9" w:rsidRDefault="00E57DB9" w:rsidP="00E57DB9">
      <w:pPr>
        <w:rPr>
          <w:sz w:val="28"/>
          <w:szCs w:val="28"/>
        </w:rPr>
      </w:pPr>
      <w:r>
        <w:rPr>
          <w:sz w:val="28"/>
          <w:szCs w:val="28"/>
        </w:rPr>
        <w:t>Next Major Review Date:</w:t>
      </w:r>
      <w:r w:rsidR="00AE4F54">
        <w:rPr>
          <w:sz w:val="28"/>
          <w:szCs w:val="28"/>
        </w:rPr>
        <w:t xml:space="preserve"> </w:t>
      </w:r>
      <w:r w:rsidR="00F35B59">
        <w:rPr>
          <w:sz w:val="28"/>
          <w:szCs w:val="28"/>
        </w:rPr>
        <w:t>May-28</w:t>
      </w:r>
    </w:p>
    <w:p w14:paraId="6DA341A1" w14:textId="55883A3D" w:rsidR="00347CA8" w:rsidRPr="00004C16" w:rsidRDefault="00347CA8" w:rsidP="00E57DB9">
      <w:pPr>
        <w:rPr>
          <w:sz w:val="28"/>
          <w:szCs w:val="28"/>
        </w:rPr>
      </w:pPr>
      <w:r>
        <w:rPr>
          <w:sz w:val="28"/>
          <w:szCs w:val="28"/>
        </w:rPr>
        <w:t xml:space="preserve">Doc. Ref.: </w:t>
      </w:r>
      <w:r w:rsidR="00F35B59">
        <w:rPr>
          <w:sz w:val="28"/>
          <w:szCs w:val="28"/>
        </w:rPr>
        <w:t>NS-TAST-GD-03</w:t>
      </w:r>
      <w:r w:rsidR="001565DF">
        <w:rPr>
          <w:sz w:val="28"/>
          <w:szCs w:val="28"/>
        </w:rPr>
        <w:t>1</w:t>
      </w:r>
    </w:p>
    <w:p w14:paraId="55057C62" w14:textId="7AD0B7C4" w:rsidR="00004C16" w:rsidRPr="00004C16" w:rsidRDefault="00004C16" w:rsidP="00004C16">
      <w:pPr>
        <w:rPr>
          <w:sz w:val="28"/>
          <w:szCs w:val="28"/>
        </w:rPr>
      </w:pPr>
      <w:r w:rsidRPr="00004C16">
        <w:rPr>
          <w:sz w:val="28"/>
          <w:szCs w:val="28"/>
        </w:rPr>
        <w:t xml:space="preserve">Record Ref. No.: </w:t>
      </w:r>
      <w:r w:rsidR="001565DF" w:rsidRPr="001565DF">
        <w:rPr>
          <w:sz w:val="28"/>
          <w:szCs w:val="28"/>
        </w:rPr>
        <w:t>2020/261269</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F012F5" w14:paraId="427BCBE1" w14:textId="77777777" w:rsidTr="00E20B32">
        <w:tc>
          <w:tcPr>
            <w:tcW w:w="1550" w:type="dxa"/>
          </w:tcPr>
          <w:p w14:paraId="6EBC5664" w14:textId="22494737" w:rsidR="00F012F5" w:rsidRDefault="00F012F5" w:rsidP="00595C8C">
            <w:pPr>
              <w:spacing w:before="60" w:after="60"/>
            </w:pPr>
            <w:r>
              <w:t>6</w:t>
            </w:r>
          </w:p>
        </w:tc>
        <w:tc>
          <w:tcPr>
            <w:tcW w:w="7466" w:type="dxa"/>
          </w:tcPr>
          <w:p w14:paraId="4A4B36A2" w14:textId="4E0759F3" w:rsidR="00F012F5" w:rsidRDefault="00F012F5" w:rsidP="00595C8C">
            <w:pPr>
              <w:spacing w:before="60" w:after="60"/>
            </w:pPr>
            <w:r>
              <w:t>Minor update.</w:t>
            </w:r>
          </w:p>
        </w:tc>
      </w:tr>
      <w:tr w:rsidR="00595C8C" w14:paraId="0B4E4E42" w14:textId="77777777" w:rsidTr="00E20B32">
        <w:tc>
          <w:tcPr>
            <w:tcW w:w="1550" w:type="dxa"/>
          </w:tcPr>
          <w:p w14:paraId="65482A03" w14:textId="0B128F87" w:rsidR="00595C8C" w:rsidRDefault="00F012F5" w:rsidP="00595C8C">
            <w:pPr>
              <w:spacing w:before="60" w:after="60"/>
            </w:pPr>
            <w:r>
              <w:t>7</w:t>
            </w:r>
          </w:p>
        </w:tc>
        <w:tc>
          <w:tcPr>
            <w:tcW w:w="7466" w:type="dxa"/>
          </w:tcPr>
          <w:p w14:paraId="1C80912E" w14:textId="5885F471" w:rsidR="0064632D" w:rsidRDefault="0064632D" w:rsidP="00595C8C">
            <w:pPr>
              <w:spacing w:before="60" w:after="60"/>
            </w:pPr>
            <w:r w:rsidRPr="0064632D">
              <w:t>Editorial update</w:t>
            </w:r>
            <w:r>
              <w:t xml:space="preserve"> </w:t>
            </w:r>
            <w:r w:rsidRPr="0064632D">
              <w:t>to ensure references are correct, improve readability, and align</w:t>
            </w:r>
            <w:r>
              <w:t xml:space="preserve"> content</w:t>
            </w:r>
            <w:r w:rsidRPr="0064632D">
              <w:t xml:space="preserve"> with current SAPs text</w:t>
            </w:r>
            <w:r>
              <w:t>.</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EC6809F" w14:textId="1EBC8184" w:rsidR="003C4FCC"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4110813" w:history="1">
        <w:r w:rsidR="003C4FCC" w:rsidRPr="0037582B">
          <w:rPr>
            <w:rStyle w:val="Hyperlink"/>
          </w:rPr>
          <w:t>1.</w:t>
        </w:r>
        <w:r w:rsidR="003C4FCC">
          <w:rPr>
            <w:rFonts w:asciiTheme="minorHAnsi" w:eastAsiaTheme="minorEastAsia" w:hAnsiTheme="minorHAnsi" w:cstheme="minorBidi"/>
            <w:sz w:val="22"/>
            <w:lang w:eastAsia="en-GB" w:bidi="ar-SA"/>
          </w:rPr>
          <w:tab/>
        </w:r>
        <w:r w:rsidR="003C4FCC" w:rsidRPr="0037582B">
          <w:rPr>
            <w:rStyle w:val="Hyperlink"/>
          </w:rPr>
          <w:t>Introduction</w:t>
        </w:r>
        <w:r w:rsidR="003C4FCC">
          <w:rPr>
            <w:webHidden/>
          </w:rPr>
          <w:tab/>
        </w:r>
        <w:r w:rsidR="003C4FCC">
          <w:rPr>
            <w:webHidden/>
          </w:rPr>
          <w:fldChar w:fldCharType="begin"/>
        </w:r>
        <w:r w:rsidR="003C4FCC">
          <w:rPr>
            <w:webHidden/>
          </w:rPr>
          <w:instrText xml:space="preserve"> PAGEREF _Toc134110813 \h </w:instrText>
        </w:r>
        <w:r w:rsidR="003C4FCC">
          <w:rPr>
            <w:webHidden/>
          </w:rPr>
        </w:r>
        <w:r w:rsidR="003C4FCC">
          <w:rPr>
            <w:webHidden/>
          </w:rPr>
          <w:fldChar w:fldCharType="separate"/>
        </w:r>
        <w:r w:rsidR="003C4FCC">
          <w:rPr>
            <w:webHidden/>
          </w:rPr>
          <w:t>4</w:t>
        </w:r>
        <w:r w:rsidR="003C4FCC">
          <w:rPr>
            <w:webHidden/>
          </w:rPr>
          <w:fldChar w:fldCharType="end"/>
        </w:r>
      </w:hyperlink>
    </w:p>
    <w:p w14:paraId="10412F54" w14:textId="55D672F7" w:rsidR="003C4FCC" w:rsidRDefault="00000000">
      <w:pPr>
        <w:pStyle w:val="TOC1"/>
        <w:tabs>
          <w:tab w:val="left" w:pos="720"/>
        </w:tabs>
        <w:rPr>
          <w:rFonts w:asciiTheme="minorHAnsi" w:eastAsiaTheme="minorEastAsia" w:hAnsiTheme="minorHAnsi" w:cstheme="minorBidi"/>
          <w:sz w:val="22"/>
          <w:lang w:eastAsia="en-GB" w:bidi="ar-SA"/>
        </w:rPr>
      </w:pPr>
      <w:hyperlink w:anchor="_Toc134110814" w:history="1">
        <w:r w:rsidR="003C4FCC" w:rsidRPr="0037582B">
          <w:rPr>
            <w:rStyle w:val="Hyperlink"/>
          </w:rPr>
          <w:t>2.</w:t>
        </w:r>
        <w:r w:rsidR="003C4FCC">
          <w:rPr>
            <w:rFonts w:asciiTheme="minorHAnsi" w:eastAsiaTheme="minorEastAsia" w:hAnsiTheme="minorHAnsi" w:cstheme="minorBidi"/>
            <w:sz w:val="22"/>
            <w:lang w:eastAsia="en-GB" w:bidi="ar-SA"/>
          </w:rPr>
          <w:tab/>
        </w:r>
        <w:r w:rsidR="003C4FCC" w:rsidRPr="0037582B">
          <w:rPr>
            <w:rStyle w:val="Hyperlink"/>
          </w:rPr>
          <w:t>Purpose and Scope</w:t>
        </w:r>
        <w:r w:rsidR="003C4FCC">
          <w:rPr>
            <w:webHidden/>
          </w:rPr>
          <w:tab/>
        </w:r>
        <w:r w:rsidR="003C4FCC">
          <w:rPr>
            <w:webHidden/>
          </w:rPr>
          <w:fldChar w:fldCharType="begin"/>
        </w:r>
        <w:r w:rsidR="003C4FCC">
          <w:rPr>
            <w:webHidden/>
          </w:rPr>
          <w:instrText xml:space="preserve"> PAGEREF _Toc134110814 \h </w:instrText>
        </w:r>
        <w:r w:rsidR="003C4FCC">
          <w:rPr>
            <w:webHidden/>
          </w:rPr>
        </w:r>
        <w:r w:rsidR="003C4FCC">
          <w:rPr>
            <w:webHidden/>
          </w:rPr>
          <w:fldChar w:fldCharType="separate"/>
        </w:r>
        <w:r w:rsidR="003C4FCC">
          <w:rPr>
            <w:webHidden/>
          </w:rPr>
          <w:t>5</w:t>
        </w:r>
        <w:r w:rsidR="003C4FCC">
          <w:rPr>
            <w:webHidden/>
          </w:rPr>
          <w:fldChar w:fldCharType="end"/>
        </w:r>
      </w:hyperlink>
    </w:p>
    <w:p w14:paraId="2FC15BA5" w14:textId="439CA8FE" w:rsidR="003C4FCC" w:rsidRDefault="00000000">
      <w:pPr>
        <w:pStyle w:val="TOC1"/>
        <w:tabs>
          <w:tab w:val="left" w:pos="720"/>
        </w:tabs>
        <w:rPr>
          <w:rFonts w:asciiTheme="minorHAnsi" w:eastAsiaTheme="minorEastAsia" w:hAnsiTheme="minorHAnsi" w:cstheme="minorBidi"/>
          <w:sz w:val="22"/>
          <w:lang w:eastAsia="en-GB" w:bidi="ar-SA"/>
        </w:rPr>
      </w:pPr>
      <w:hyperlink w:anchor="_Toc134110815" w:history="1">
        <w:r w:rsidR="003C4FCC" w:rsidRPr="0037582B">
          <w:rPr>
            <w:rStyle w:val="Hyperlink"/>
          </w:rPr>
          <w:t>3.</w:t>
        </w:r>
        <w:r w:rsidR="003C4FCC">
          <w:rPr>
            <w:rFonts w:asciiTheme="minorHAnsi" w:eastAsiaTheme="minorEastAsia" w:hAnsiTheme="minorHAnsi" w:cstheme="minorBidi"/>
            <w:sz w:val="22"/>
            <w:lang w:eastAsia="en-GB" w:bidi="ar-SA"/>
          </w:rPr>
          <w:tab/>
        </w:r>
        <w:r w:rsidR="003C4FCC" w:rsidRPr="0037582B">
          <w:rPr>
            <w:rStyle w:val="Hyperlink"/>
          </w:rPr>
          <w:t>Relationship to Licence and other Relevant Legislation</w:t>
        </w:r>
        <w:r w:rsidR="003C4FCC">
          <w:rPr>
            <w:webHidden/>
          </w:rPr>
          <w:tab/>
        </w:r>
        <w:r w:rsidR="003C4FCC">
          <w:rPr>
            <w:webHidden/>
          </w:rPr>
          <w:fldChar w:fldCharType="begin"/>
        </w:r>
        <w:r w:rsidR="003C4FCC">
          <w:rPr>
            <w:webHidden/>
          </w:rPr>
          <w:instrText xml:space="preserve"> PAGEREF _Toc134110815 \h </w:instrText>
        </w:r>
        <w:r w:rsidR="003C4FCC">
          <w:rPr>
            <w:webHidden/>
          </w:rPr>
        </w:r>
        <w:r w:rsidR="003C4FCC">
          <w:rPr>
            <w:webHidden/>
          </w:rPr>
          <w:fldChar w:fldCharType="separate"/>
        </w:r>
        <w:r w:rsidR="003C4FCC">
          <w:rPr>
            <w:webHidden/>
          </w:rPr>
          <w:t>7</w:t>
        </w:r>
        <w:r w:rsidR="003C4FCC">
          <w:rPr>
            <w:webHidden/>
          </w:rPr>
          <w:fldChar w:fldCharType="end"/>
        </w:r>
      </w:hyperlink>
    </w:p>
    <w:p w14:paraId="27E59046" w14:textId="2F67EB32" w:rsidR="003C4FCC" w:rsidRDefault="00000000">
      <w:pPr>
        <w:pStyle w:val="TOC1"/>
        <w:tabs>
          <w:tab w:val="left" w:pos="720"/>
        </w:tabs>
        <w:rPr>
          <w:rFonts w:asciiTheme="minorHAnsi" w:eastAsiaTheme="minorEastAsia" w:hAnsiTheme="minorHAnsi" w:cstheme="minorBidi"/>
          <w:sz w:val="22"/>
          <w:lang w:eastAsia="en-GB" w:bidi="ar-SA"/>
        </w:rPr>
      </w:pPr>
      <w:hyperlink w:anchor="_Toc134110816" w:history="1">
        <w:r w:rsidR="003C4FCC" w:rsidRPr="0037582B">
          <w:rPr>
            <w:rStyle w:val="Hyperlink"/>
          </w:rPr>
          <w:t>4.</w:t>
        </w:r>
        <w:r w:rsidR="003C4FCC">
          <w:rPr>
            <w:rFonts w:asciiTheme="minorHAnsi" w:eastAsiaTheme="minorEastAsia" w:hAnsiTheme="minorHAnsi" w:cstheme="minorBidi"/>
            <w:sz w:val="22"/>
            <w:lang w:eastAsia="en-GB" w:bidi="ar-SA"/>
          </w:rPr>
          <w:tab/>
        </w:r>
        <w:r w:rsidR="003C4FCC" w:rsidRPr="0037582B">
          <w:rPr>
            <w:rStyle w:val="Hyperlink"/>
          </w:rPr>
          <w:t>Relationship to SAPs, WENRA Reference Levels, and IAEA Safety Standards and Guides</w:t>
        </w:r>
        <w:r w:rsidR="003C4FCC">
          <w:rPr>
            <w:webHidden/>
          </w:rPr>
          <w:tab/>
        </w:r>
        <w:r w:rsidR="003C4FCC">
          <w:rPr>
            <w:webHidden/>
          </w:rPr>
          <w:fldChar w:fldCharType="begin"/>
        </w:r>
        <w:r w:rsidR="003C4FCC">
          <w:rPr>
            <w:webHidden/>
          </w:rPr>
          <w:instrText xml:space="preserve"> PAGEREF _Toc134110816 \h </w:instrText>
        </w:r>
        <w:r w:rsidR="003C4FCC">
          <w:rPr>
            <w:webHidden/>
          </w:rPr>
        </w:r>
        <w:r w:rsidR="003C4FCC">
          <w:rPr>
            <w:webHidden/>
          </w:rPr>
          <w:fldChar w:fldCharType="separate"/>
        </w:r>
        <w:r w:rsidR="003C4FCC">
          <w:rPr>
            <w:webHidden/>
          </w:rPr>
          <w:t>8</w:t>
        </w:r>
        <w:r w:rsidR="003C4FCC">
          <w:rPr>
            <w:webHidden/>
          </w:rPr>
          <w:fldChar w:fldCharType="end"/>
        </w:r>
      </w:hyperlink>
    </w:p>
    <w:p w14:paraId="2CDCA446" w14:textId="21A244AB" w:rsidR="003C4FCC" w:rsidRDefault="00000000">
      <w:pPr>
        <w:pStyle w:val="TOC1"/>
        <w:tabs>
          <w:tab w:val="left" w:pos="720"/>
        </w:tabs>
        <w:rPr>
          <w:rFonts w:asciiTheme="minorHAnsi" w:eastAsiaTheme="minorEastAsia" w:hAnsiTheme="minorHAnsi" w:cstheme="minorBidi"/>
          <w:sz w:val="22"/>
          <w:lang w:eastAsia="en-GB" w:bidi="ar-SA"/>
        </w:rPr>
      </w:pPr>
      <w:hyperlink w:anchor="_Toc134110817" w:history="1">
        <w:r w:rsidR="003C4FCC" w:rsidRPr="0037582B">
          <w:rPr>
            <w:rStyle w:val="Hyperlink"/>
          </w:rPr>
          <w:t>5.</w:t>
        </w:r>
        <w:r w:rsidR="003C4FCC">
          <w:rPr>
            <w:rFonts w:asciiTheme="minorHAnsi" w:eastAsiaTheme="minorEastAsia" w:hAnsiTheme="minorHAnsi" w:cstheme="minorBidi"/>
            <w:sz w:val="22"/>
            <w:lang w:eastAsia="en-GB" w:bidi="ar-SA"/>
          </w:rPr>
          <w:tab/>
        </w:r>
        <w:r w:rsidR="003C4FCC" w:rsidRPr="0037582B">
          <w:rPr>
            <w:rStyle w:val="Hyperlink"/>
          </w:rPr>
          <w:t>Advice to Inspectors</w:t>
        </w:r>
        <w:r w:rsidR="003C4FCC">
          <w:rPr>
            <w:webHidden/>
          </w:rPr>
          <w:tab/>
        </w:r>
        <w:r w:rsidR="003C4FCC">
          <w:rPr>
            <w:webHidden/>
          </w:rPr>
          <w:fldChar w:fldCharType="begin"/>
        </w:r>
        <w:r w:rsidR="003C4FCC">
          <w:rPr>
            <w:webHidden/>
          </w:rPr>
          <w:instrText xml:space="preserve"> PAGEREF _Toc134110817 \h </w:instrText>
        </w:r>
        <w:r w:rsidR="003C4FCC">
          <w:rPr>
            <w:webHidden/>
          </w:rPr>
        </w:r>
        <w:r w:rsidR="003C4FCC">
          <w:rPr>
            <w:webHidden/>
          </w:rPr>
          <w:fldChar w:fldCharType="separate"/>
        </w:r>
        <w:r w:rsidR="003C4FCC">
          <w:rPr>
            <w:webHidden/>
          </w:rPr>
          <w:t>9</w:t>
        </w:r>
        <w:r w:rsidR="003C4FCC">
          <w:rPr>
            <w:webHidden/>
          </w:rPr>
          <w:fldChar w:fldCharType="end"/>
        </w:r>
      </w:hyperlink>
    </w:p>
    <w:p w14:paraId="2796D8EA" w14:textId="04618FFD" w:rsidR="003C4FCC" w:rsidRDefault="00000000">
      <w:pPr>
        <w:pStyle w:val="TOC1"/>
        <w:tabs>
          <w:tab w:val="left" w:pos="720"/>
        </w:tabs>
        <w:rPr>
          <w:rFonts w:asciiTheme="minorHAnsi" w:eastAsiaTheme="minorEastAsia" w:hAnsiTheme="minorHAnsi" w:cstheme="minorBidi"/>
          <w:sz w:val="22"/>
          <w:lang w:eastAsia="en-GB" w:bidi="ar-SA"/>
        </w:rPr>
      </w:pPr>
      <w:hyperlink w:anchor="_Toc134110818" w:history="1">
        <w:r w:rsidR="003C4FCC" w:rsidRPr="0037582B">
          <w:rPr>
            <w:rStyle w:val="Hyperlink"/>
          </w:rPr>
          <w:t>6.</w:t>
        </w:r>
        <w:r w:rsidR="003C4FCC">
          <w:rPr>
            <w:rFonts w:asciiTheme="minorHAnsi" w:eastAsiaTheme="minorEastAsia" w:hAnsiTheme="minorHAnsi" w:cstheme="minorBidi"/>
            <w:sz w:val="22"/>
            <w:lang w:eastAsia="en-GB" w:bidi="ar-SA"/>
          </w:rPr>
          <w:tab/>
        </w:r>
        <w:r w:rsidR="003C4FCC" w:rsidRPr="0037582B">
          <w:rPr>
            <w:rStyle w:val="Hyperlink"/>
          </w:rPr>
          <w:t>Functional Design Requirements – Basic Process or Plant Control, Communications and Services</w:t>
        </w:r>
        <w:r w:rsidR="003C4FCC">
          <w:rPr>
            <w:webHidden/>
          </w:rPr>
          <w:tab/>
        </w:r>
        <w:r w:rsidR="003C4FCC">
          <w:rPr>
            <w:webHidden/>
          </w:rPr>
          <w:fldChar w:fldCharType="begin"/>
        </w:r>
        <w:r w:rsidR="003C4FCC">
          <w:rPr>
            <w:webHidden/>
          </w:rPr>
          <w:instrText xml:space="preserve"> PAGEREF _Toc134110818 \h </w:instrText>
        </w:r>
        <w:r w:rsidR="003C4FCC">
          <w:rPr>
            <w:webHidden/>
          </w:rPr>
        </w:r>
        <w:r w:rsidR="003C4FCC">
          <w:rPr>
            <w:webHidden/>
          </w:rPr>
          <w:fldChar w:fldCharType="separate"/>
        </w:r>
        <w:r w:rsidR="003C4FCC">
          <w:rPr>
            <w:webHidden/>
          </w:rPr>
          <w:t>10</w:t>
        </w:r>
        <w:r w:rsidR="003C4FCC">
          <w:rPr>
            <w:webHidden/>
          </w:rPr>
          <w:fldChar w:fldCharType="end"/>
        </w:r>
      </w:hyperlink>
    </w:p>
    <w:p w14:paraId="610C476C" w14:textId="56D0CB32" w:rsidR="003C4FCC" w:rsidRDefault="00000000">
      <w:pPr>
        <w:pStyle w:val="TOC1"/>
        <w:tabs>
          <w:tab w:val="left" w:pos="720"/>
        </w:tabs>
        <w:rPr>
          <w:rFonts w:asciiTheme="minorHAnsi" w:eastAsiaTheme="minorEastAsia" w:hAnsiTheme="minorHAnsi" w:cstheme="minorBidi"/>
          <w:sz w:val="22"/>
          <w:lang w:eastAsia="en-GB" w:bidi="ar-SA"/>
        </w:rPr>
      </w:pPr>
      <w:hyperlink w:anchor="_Toc134110819" w:history="1">
        <w:r w:rsidR="003C4FCC" w:rsidRPr="0037582B">
          <w:rPr>
            <w:rStyle w:val="Hyperlink"/>
          </w:rPr>
          <w:t>7.</w:t>
        </w:r>
        <w:r w:rsidR="003C4FCC">
          <w:rPr>
            <w:rFonts w:asciiTheme="minorHAnsi" w:eastAsiaTheme="minorEastAsia" w:hAnsiTheme="minorHAnsi" w:cstheme="minorBidi"/>
            <w:sz w:val="22"/>
            <w:lang w:eastAsia="en-GB" w:bidi="ar-SA"/>
          </w:rPr>
          <w:tab/>
        </w:r>
        <w:r w:rsidR="003C4FCC" w:rsidRPr="0037582B">
          <w:rPr>
            <w:rStyle w:val="Hyperlink"/>
          </w:rPr>
          <w:t>Functional Design Requirements – Radiological Monitoring Including Criticality Incident Detection</w:t>
        </w:r>
        <w:r w:rsidR="003C4FCC">
          <w:rPr>
            <w:webHidden/>
          </w:rPr>
          <w:tab/>
        </w:r>
        <w:r w:rsidR="003C4FCC">
          <w:rPr>
            <w:webHidden/>
          </w:rPr>
          <w:fldChar w:fldCharType="begin"/>
        </w:r>
        <w:r w:rsidR="003C4FCC">
          <w:rPr>
            <w:webHidden/>
          </w:rPr>
          <w:instrText xml:space="preserve"> PAGEREF _Toc134110819 \h </w:instrText>
        </w:r>
        <w:r w:rsidR="003C4FCC">
          <w:rPr>
            <w:webHidden/>
          </w:rPr>
        </w:r>
        <w:r w:rsidR="003C4FCC">
          <w:rPr>
            <w:webHidden/>
          </w:rPr>
          <w:fldChar w:fldCharType="separate"/>
        </w:r>
        <w:r w:rsidR="003C4FCC">
          <w:rPr>
            <w:webHidden/>
          </w:rPr>
          <w:t>15</w:t>
        </w:r>
        <w:r w:rsidR="003C4FCC">
          <w:rPr>
            <w:webHidden/>
          </w:rPr>
          <w:fldChar w:fldCharType="end"/>
        </w:r>
      </w:hyperlink>
    </w:p>
    <w:p w14:paraId="2F1CDFD7" w14:textId="7A6027C4" w:rsidR="003C4FCC" w:rsidRDefault="00000000">
      <w:pPr>
        <w:pStyle w:val="TOC1"/>
        <w:tabs>
          <w:tab w:val="left" w:pos="720"/>
        </w:tabs>
        <w:rPr>
          <w:rFonts w:asciiTheme="minorHAnsi" w:eastAsiaTheme="minorEastAsia" w:hAnsiTheme="minorHAnsi" w:cstheme="minorBidi"/>
          <w:sz w:val="22"/>
          <w:lang w:eastAsia="en-GB" w:bidi="ar-SA"/>
        </w:rPr>
      </w:pPr>
      <w:hyperlink w:anchor="_Toc134110820" w:history="1">
        <w:r w:rsidR="003C4FCC" w:rsidRPr="0037582B">
          <w:rPr>
            <w:rStyle w:val="Hyperlink"/>
          </w:rPr>
          <w:t>8.</w:t>
        </w:r>
        <w:r w:rsidR="003C4FCC">
          <w:rPr>
            <w:rFonts w:asciiTheme="minorHAnsi" w:eastAsiaTheme="minorEastAsia" w:hAnsiTheme="minorHAnsi" w:cstheme="minorBidi"/>
            <w:sz w:val="22"/>
            <w:lang w:eastAsia="en-GB" w:bidi="ar-SA"/>
          </w:rPr>
          <w:tab/>
        </w:r>
        <w:r w:rsidR="003C4FCC" w:rsidRPr="0037582B">
          <w:rPr>
            <w:rStyle w:val="Hyperlink"/>
          </w:rPr>
          <w:t>Design for Reliability, Reliability Claims and Failure Modes</w:t>
        </w:r>
        <w:r w:rsidR="003C4FCC">
          <w:rPr>
            <w:webHidden/>
          </w:rPr>
          <w:tab/>
        </w:r>
        <w:r w:rsidR="003C4FCC">
          <w:rPr>
            <w:webHidden/>
          </w:rPr>
          <w:fldChar w:fldCharType="begin"/>
        </w:r>
        <w:r w:rsidR="003C4FCC">
          <w:rPr>
            <w:webHidden/>
          </w:rPr>
          <w:instrText xml:space="preserve"> PAGEREF _Toc134110820 \h </w:instrText>
        </w:r>
        <w:r w:rsidR="003C4FCC">
          <w:rPr>
            <w:webHidden/>
          </w:rPr>
        </w:r>
        <w:r w:rsidR="003C4FCC">
          <w:rPr>
            <w:webHidden/>
          </w:rPr>
          <w:fldChar w:fldCharType="separate"/>
        </w:r>
        <w:r w:rsidR="003C4FCC">
          <w:rPr>
            <w:webHidden/>
          </w:rPr>
          <w:t>17</w:t>
        </w:r>
        <w:r w:rsidR="003C4FCC">
          <w:rPr>
            <w:webHidden/>
          </w:rPr>
          <w:fldChar w:fldCharType="end"/>
        </w:r>
      </w:hyperlink>
    </w:p>
    <w:p w14:paraId="01C3FA46" w14:textId="1F929A73" w:rsidR="003C4FCC" w:rsidRDefault="00000000">
      <w:pPr>
        <w:pStyle w:val="TOC1"/>
        <w:tabs>
          <w:tab w:val="left" w:pos="720"/>
        </w:tabs>
        <w:rPr>
          <w:rFonts w:asciiTheme="minorHAnsi" w:eastAsiaTheme="minorEastAsia" w:hAnsiTheme="minorHAnsi" w:cstheme="minorBidi"/>
          <w:sz w:val="22"/>
          <w:lang w:eastAsia="en-GB" w:bidi="ar-SA"/>
        </w:rPr>
      </w:pPr>
      <w:hyperlink w:anchor="_Toc134110821" w:history="1">
        <w:r w:rsidR="003C4FCC" w:rsidRPr="0037582B">
          <w:rPr>
            <w:rStyle w:val="Hyperlink"/>
          </w:rPr>
          <w:t>9.</w:t>
        </w:r>
        <w:r w:rsidR="003C4FCC">
          <w:rPr>
            <w:rFonts w:asciiTheme="minorHAnsi" w:eastAsiaTheme="minorEastAsia" w:hAnsiTheme="minorHAnsi" w:cstheme="minorBidi"/>
            <w:sz w:val="22"/>
            <w:lang w:eastAsia="en-GB" w:bidi="ar-SA"/>
          </w:rPr>
          <w:tab/>
        </w:r>
        <w:r w:rsidR="003C4FCC" w:rsidRPr="0037582B">
          <w:rPr>
            <w:rStyle w:val="Hyperlink"/>
          </w:rPr>
          <w:t>Layout and Vulnerability to Internal/ External Hazards</w:t>
        </w:r>
        <w:r w:rsidR="003C4FCC">
          <w:rPr>
            <w:webHidden/>
          </w:rPr>
          <w:tab/>
        </w:r>
        <w:r w:rsidR="003C4FCC">
          <w:rPr>
            <w:webHidden/>
          </w:rPr>
          <w:fldChar w:fldCharType="begin"/>
        </w:r>
        <w:r w:rsidR="003C4FCC">
          <w:rPr>
            <w:webHidden/>
          </w:rPr>
          <w:instrText xml:space="preserve"> PAGEREF _Toc134110821 \h </w:instrText>
        </w:r>
        <w:r w:rsidR="003C4FCC">
          <w:rPr>
            <w:webHidden/>
          </w:rPr>
        </w:r>
        <w:r w:rsidR="003C4FCC">
          <w:rPr>
            <w:webHidden/>
          </w:rPr>
          <w:fldChar w:fldCharType="separate"/>
        </w:r>
        <w:r w:rsidR="003C4FCC">
          <w:rPr>
            <w:webHidden/>
          </w:rPr>
          <w:t>21</w:t>
        </w:r>
        <w:r w:rsidR="003C4FCC">
          <w:rPr>
            <w:webHidden/>
          </w:rPr>
          <w:fldChar w:fldCharType="end"/>
        </w:r>
      </w:hyperlink>
    </w:p>
    <w:p w14:paraId="566507A0" w14:textId="2632EFF7" w:rsidR="003C4FCC" w:rsidRDefault="00000000">
      <w:pPr>
        <w:pStyle w:val="TOC1"/>
        <w:tabs>
          <w:tab w:val="left" w:pos="720"/>
        </w:tabs>
        <w:rPr>
          <w:rFonts w:asciiTheme="minorHAnsi" w:eastAsiaTheme="minorEastAsia" w:hAnsiTheme="minorHAnsi" w:cstheme="minorBidi"/>
          <w:sz w:val="22"/>
          <w:lang w:eastAsia="en-GB" w:bidi="ar-SA"/>
        </w:rPr>
      </w:pPr>
      <w:hyperlink w:anchor="_Toc134110822" w:history="1">
        <w:r w:rsidR="003C4FCC" w:rsidRPr="0037582B">
          <w:rPr>
            <w:rStyle w:val="Hyperlink"/>
          </w:rPr>
          <w:t>10.</w:t>
        </w:r>
        <w:r w:rsidR="003C4FCC">
          <w:rPr>
            <w:rFonts w:asciiTheme="minorHAnsi" w:eastAsiaTheme="minorEastAsia" w:hAnsiTheme="minorHAnsi" w:cstheme="minorBidi"/>
            <w:sz w:val="22"/>
            <w:lang w:eastAsia="en-GB" w:bidi="ar-SA"/>
          </w:rPr>
          <w:tab/>
        </w:r>
        <w:r w:rsidR="003C4FCC" w:rsidRPr="0037582B">
          <w:rPr>
            <w:rStyle w:val="Hyperlink"/>
          </w:rPr>
          <w:t>Qualification, Type Testing and Standards</w:t>
        </w:r>
        <w:r w:rsidR="003C4FCC">
          <w:rPr>
            <w:webHidden/>
          </w:rPr>
          <w:tab/>
        </w:r>
        <w:r w:rsidR="003C4FCC">
          <w:rPr>
            <w:webHidden/>
          </w:rPr>
          <w:fldChar w:fldCharType="begin"/>
        </w:r>
        <w:r w:rsidR="003C4FCC">
          <w:rPr>
            <w:webHidden/>
          </w:rPr>
          <w:instrText xml:space="preserve"> PAGEREF _Toc134110822 \h </w:instrText>
        </w:r>
        <w:r w:rsidR="003C4FCC">
          <w:rPr>
            <w:webHidden/>
          </w:rPr>
        </w:r>
        <w:r w:rsidR="003C4FCC">
          <w:rPr>
            <w:webHidden/>
          </w:rPr>
          <w:fldChar w:fldCharType="separate"/>
        </w:r>
        <w:r w:rsidR="003C4FCC">
          <w:rPr>
            <w:webHidden/>
          </w:rPr>
          <w:t>23</w:t>
        </w:r>
        <w:r w:rsidR="003C4FCC">
          <w:rPr>
            <w:webHidden/>
          </w:rPr>
          <w:fldChar w:fldCharType="end"/>
        </w:r>
      </w:hyperlink>
    </w:p>
    <w:p w14:paraId="7CE267CE" w14:textId="07CEDD2A" w:rsidR="003C4FCC" w:rsidRDefault="00000000">
      <w:pPr>
        <w:pStyle w:val="TOC1"/>
        <w:tabs>
          <w:tab w:val="left" w:pos="720"/>
        </w:tabs>
        <w:rPr>
          <w:rFonts w:asciiTheme="minorHAnsi" w:eastAsiaTheme="minorEastAsia" w:hAnsiTheme="minorHAnsi" w:cstheme="minorBidi"/>
          <w:sz w:val="22"/>
          <w:lang w:eastAsia="en-GB" w:bidi="ar-SA"/>
        </w:rPr>
      </w:pPr>
      <w:hyperlink w:anchor="_Toc134110823" w:history="1">
        <w:r w:rsidR="003C4FCC" w:rsidRPr="0037582B">
          <w:rPr>
            <w:rStyle w:val="Hyperlink"/>
          </w:rPr>
          <w:t>11.</w:t>
        </w:r>
        <w:r w:rsidR="003C4FCC">
          <w:rPr>
            <w:rFonts w:asciiTheme="minorHAnsi" w:eastAsiaTheme="minorEastAsia" w:hAnsiTheme="minorHAnsi" w:cstheme="minorBidi"/>
            <w:sz w:val="22"/>
            <w:lang w:eastAsia="en-GB" w:bidi="ar-SA"/>
          </w:rPr>
          <w:tab/>
        </w:r>
        <w:r w:rsidR="003C4FCC" w:rsidRPr="0037582B">
          <w:rPr>
            <w:rStyle w:val="Hyperlink"/>
          </w:rPr>
          <w:t>In-service Examination, Inspection, Maintenance and Testing (EIM&amp;T), Life-limiting Features and Obsolescence</w:t>
        </w:r>
        <w:r w:rsidR="003C4FCC">
          <w:rPr>
            <w:webHidden/>
          </w:rPr>
          <w:tab/>
        </w:r>
        <w:r w:rsidR="003C4FCC">
          <w:rPr>
            <w:webHidden/>
          </w:rPr>
          <w:fldChar w:fldCharType="begin"/>
        </w:r>
        <w:r w:rsidR="003C4FCC">
          <w:rPr>
            <w:webHidden/>
          </w:rPr>
          <w:instrText xml:space="preserve"> PAGEREF _Toc134110823 \h </w:instrText>
        </w:r>
        <w:r w:rsidR="003C4FCC">
          <w:rPr>
            <w:webHidden/>
          </w:rPr>
        </w:r>
        <w:r w:rsidR="003C4FCC">
          <w:rPr>
            <w:webHidden/>
          </w:rPr>
          <w:fldChar w:fldCharType="separate"/>
        </w:r>
        <w:r w:rsidR="003C4FCC">
          <w:rPr>
            <w:webHidden/>
          </w:rPr>
          <w:t>26</w:t>
        </w:r>
        <w:r w:rsidR="003C4FCC">
          <w:rPr>
            <w:webHidden/>
          </w:rPr>
          <w:fldChar w:fldCharType="end"/>
        </w:r>
      </w:hyperlink>
    </w:p>
    <w:p w14:paraId="14B54326" w14:textId="30092D3D" w:rsidR="003C4FCC" w:rsidRDefault="00000000">
      <w:pPr>
        <w:pStyle w:val="TOC1"/>
        <w:rPr>
          <w:rFonts w:asciiTheme="minorHAnsi" w:eastAsiaTheme="minorEastAsia" w:hAnsiTheme="minorHAnsi" w:cstheme="minorBidi"/>
          <w:sz w:val="22"/>
          <w:lang w:eastAsia="en-GB" w:bidi="ar-SA"/>
        </w:rPr>
      </w:pPr>
      <w:hyperlink w:anchor="_Toc134110824" w:history="1">
        <w:r w:rsidR="003C4FCC" w:rsidRPr="0037582B">
          <w:rPr>
            <w:rStyle w:val="Hyperlink"/>
          </w:rPr>
          <w:t>References</w:t>
        </w:r>
        <w:r w:rsidR="003C4FCC">
          <w:rPr>
            <w:webHidden/>
          </w:rPr>
          <w:tab/>
        </w:r>
        <w:r w:rsidR="003C4FCC">
          <w:rPr>
            <w:webHidden/>
          </w:rPr>
          <w:fldChar w:fldCharType="begin"/>
        </w:r>
        <w:r w:rsidR="003C4FCC">
          <w:rPr>
            <w:webHidden/>
          </w:rPr>
          <w:instrText xml:space="preserve"> PAGEREF _Toc134110824 \h </w:instrText>
        </w:r>
        <w:r w:rsidR="003C4FCC">
          <w:rPr>
            <w:webHidden/>
          </w:rPr>
        </w:r>
        <w:r w:rsidR="003C4FCC">
          <w:rPr>
            <w:webHidden/>
          </w:rPr>
          <w:fldChar w:fldCharType="separate"/>
        </w:r>
        <w:r w:rsidR="003C4FCC">
          <w:rPr>
            <w:webHidden/>
          </w:rPr>
          <w:t>28</w:t>
        </w:r>
        <w:r w:rsidR="003C4FCC">
          <w:rPr>
            <w:webHidden/>
          </w:rPr>
          <w:fldChar w:fldCharType="end"/>
        </w:r>
      </w:hyperlink>
    </w:p>
    <w:p w14:paraId="08DDBF48" w14:textId="6FFE1889" w:rsidR="003C4FCC" w:rsidRDefault="00000000">
      <w:pPr>
        <w:pStyle w:val="TOC1"/>
        <w:rPr>
          <w:rFonts w:asciiTheme="minorHAnsi" w:eastAsiaTheme="minorEastAsia" w:hAnsiTheme="minorHAnsi" w:cstheme="minorBidi"/>
          <w:sz w:val="22"/>
          <w:lang w:eastAsia="en-GB" w:bidi="ar-SA"/>
        </w:rPr>
      </w:pPr>
      <w:hyperlink w:anchor="_Toc134110825" w:history="1">
        <w:r w:rsidR="003C4FCC" w:rsidRPr="0037582B">
          <w:rPr>
            <w:rStyle w:val="Hyperlink"/>
          </w:rPr>
          <w:t>Glossary and Abbreviations</w:t>
        </w:r>
        <w:r w:rsidR="003C4FCC">
          <w:rPr>
            <w:webHidden/>
          </w:rPr>
          <w:tab/>
        </w:r>
        <w:r w:rsidR="003C4FCC">
          <w:rPr>
            <w:webHidden/>
          </w:rPr>
          <w:fldChar w:fldCharType="begin"/>
        </w:r>
        <w:r w:rsidR="003C4FCC">
          <w:rPr>
            <w:webHidden/>
          </w:rPr>
          <w:instrText xml:space="preserve"> PAGEREF _Toc134110825 \h </w:instrText>
        </w:r>
        <w:r w:rsidR="003C4FCC">
          <w:rPr>
            <w:webHidden/>
          </w:rPr>
        </w:r>
        <w:r w:rsidR="003C4FCC">
          <w:rPr>
            <w:webHidden/>
          </w:rPr>
          <w:fldChar w:fldCharType="separate"/>
        </w:r>
        <w:r w:rsidR="003C4FCC">
          <w:rPr>
            <w:webHidden/>
          </w:rPr>
          <w:t>29</w:t>
        </w:r>
        <w:r w:rsidR="003C4FCC">
          <w:rPr>
            <w:webHidden/>
          </w:rPr>
          <w:fldChar w:fldCharType="end"/>
        </w:r>
      </w:hyperlink>
    </w:p>
    <w:p w14:paraId="3DFFE2A8" w14:textId="749B0E25" w:rsidR="003C4FCC" w:rsidRDefault="00000000">
      <w:pPr>
        <w:pStyle w:val="TOC1"/>
        <w:rPr>
          <w:rFonts w:asciiTheme="minorHAnsi" w:eastAsiaTheme="minorEastAsia" w:hAnsiTheme="minorHAnsi" w:cstheme="minorBidi"/>
          <w:sz w:val="22"/>
          <w:lang w:eastAsia="en-GB" w:bidi="ar-SA"/>
        </w:rPr>
      </w:pPr>
      <w:hyperlink w:anchor="_Toc134110826" w:history="1">
        <w:r w:rsidR="003C4FCC" w:rsidRPr="0037582B">
          <w:rPr>
            <w:rStyle w:val="Hyperlink"/>
          </w:rPr>
          <w:t>Appendix 1 - Computer (and other Complex or Novel Technology) System Failure Rates</w:t>
        </w:r>
        <w:r w:rsidR="003C4FCC">
          <w:rPr>
            <w:webHidden/>
          </w:rPr>
          <w:tab/>
        </w:r>
        <w:r w:rsidR="003C4FCC">
          <w:rPr>
            <w:webHidden/>
          </w:rPr>
          <w:fldChar w:fldCharType="begin"/>
        </w:r>
        <w:r w:rsidR="003C4FCC">
          <w:rPr>
            <w:webHidden/>
          </w:rPr>
          <w:instrText xml:space="preserve"> PAGEREF _Toc134110826 \h </w:instrText>
        </w:r>
        <w:r w:rsidR="003C4FCC">
          <w:rPr>
            <w:webHidden/>
          </w:rPr>
        </w:r>
        <w:r w:rsidR="003C4FCC">
          <w:rPr>
            <w:webHidden/>
          </w:rPr>
          <w:fldChar w:fldCharType="separate"/>
        </w:r>
        <w:r w:rsidR="003C4FCC">
          <w:rPr>
            <w:webHidden/>
          </w:rPr>
          <w:t>30</w:t>
        </w:r>
        <w:r w:rsidR="003C4FCC">
          <w:rPr>
            <w:webHidden/>
          </w:rPr>
          <w:fldChar w:fldCharType="end"/>
        </w:r>
      </w:hyperlink>
    </w:p>
    <w:p w14:paraId="0CC4B54A" w14:textId="1CA71509"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34110813"/>
      <w:bookmarkEnd w:id="0"/>
      <w:r w:rsidRPr="00E90780">
        <w:lastRenderedPageBreak/>
        <w:t>Introduction</w:t>
      </w:r>
      <w:bookmarkEnd w:id="1"/>
    </w:p>
    <w:p w14:paraId="56D71E00" w14:textId="3DC72572" w:rsidR="000950B3" w:rsidRDefault="000950B3" w:rsidP="000A51C3">
      <w:pPr>
        <w:pStyle w:val="F9-Paragraph"/>
        <w:numPr>
          <w:ilvl w:val="0"/>
          <w:numId w:val="29"/>
        </w:numPr>
        <w:ind w:left="851" w:hanging="851"/>
      </w:pPr>
      <w:bookmarkStart w:id="2" w:name="_Hlk64448648"/>
      <w:r w:rsidRPr="00712FD1">
        <w:t xml:space="preserve">ONR has established its </w:t>
      </w:r>
      <w:hyperlink r:id="rId21" w:history="1">
        <w:r w:rsidRPr="00F7687C">
          <w:rPr>
            <w:rStyle w:val="Hyperlink"/>
          </w:rPr>
          <w:t>Safety Assessment Principles</w:t>
        </w:r>
      </w:hyperlink>
      <w:r w:rsidRPr="00712FD1">
        <w:t xml:space="preserve"> (SAPs) </w:t>
      </w:r>
      <w:sdt>
        <w:sdtPr>
          <w:id w:val="-1891410551"/>
          <w:citation/>
        </w:sdtPr>
        <w:sdtContent>
          <w:r>
            <w:fldChar w:fldCharType="begin"/>
          </w:r>
          <w:r>
            <w:instrText xml:space="preserve"> CITATION ONR2013 \l 2057 </w:instrText>
          </w:r>
          <w:r>
            <w:fldChar w:fldCharType="separate"/>
          </w:r>
          <w:r w:rsidRPr="000A51C3">
            <w:rPr>
              <w:rFonts w:eastAsia="Calibri"/>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1BF46B7F" w14:textId="77777777" w:rsidR="0005604E" w:rsidRPr="00712FD1" w:rsidRDefault="0005604E" w:rsidP="0005604E">
      <w:pPr>
        <w:pStyle w:val="F9-Paragraph"/>
        <w:numPr>
          <w:ilvl w:val="0"/>
          <w:numId w:val="0"/>
        </w:numPr>
        <w:ind w:left="851"/>
      </w:pPr>
    </w:p>
    <w:bookmarkEnd w:id="2"/>
    <w:p w14:paraId="0544765F" w14:textId="77777777" w:rsidR="004C6007" w:rsidRDefault="004C6007" w:rsidP="00E90780">
      <w:pPr>
        <w:pStyle w:val="Heading1"/>
        <w:sectPr w:rsidR="004C6007" w:rsidSect="000B2BCD">
          <w:headerReference w:type="default" r:id="rId22"/>
          <w:footerReference w:type="default" r:id="rId23"/>
          <w:pgSz w:w="11906" w:h="16838" w:code="9"/>
          <w:pgMar w:top="1440" w:right="1440" w:bottom="1440" w:left="1440" w:header="397" w:footer="397" w:gutter="0"/>
          <w:cols w:space="312"/>
          <w:docGrid w:linePitch="360"/>
        </w:sectPr>
      </w:pPr>
    </w:p>
    <w:p w14:paraId="05AAE39A" w14:textId="6D4A609A" w:rsidR="008D49A5" w:rsidRDefault="000950B3" w:rsidP="00E90780">
      <w:pPr>
        <w:pStyle w:val="Heading1"/>
      </w:pPr>
      <w:bookmarkStart w:id="3" w:name="_Toc134110814"/>
      <w:r>
        <w:lastRenderedPageBreak/>
        <w:t>Purpose and Scope</w:t>
      </w:r>
      <w:bookmarkEnd w:id="3"/>
    </w:p>
    <w:p w14:paraId="2C8AB03D" w14:textId="62092114" w:rsidR="004C6007" w:rsidRPr="00B71547" w:rsidRDefault="004C6007" w:rsidP="004C6007">
      <w:pPr>
        <w:pStyle w:val="F9-Paragraph"/>
      </w:pPr>
      <w:r w:rsidRPr="00B71547">
        <w:t xml:space="preserve">ONR has the responsibility for regulating the safety of nuclear installations in Great Britain. The SAPs for Nuclear Facilities </w:t>
      </w:r>
      <w:sdt>
        <w:sdtPr>
          <w:id w:val="2141220293"/>
          <w:citation/>
        </w:sdtPr>
        <w:sdtContent>
          <w:r>
            <w:fldChar w:fldCharType="begin"/>
          </w:r>
          <w:r>
            <w:instrText xml:space="preserve"> CITATION ONR2013 \l 2057 </w:instrText>
          </w:r>
          <w:r>
            <w:fldChar w:fldCharType="separate"/>
          </w:r>
          <w:r>
            <w:rPr>
              <w:noProof/>
            </w:rPr>
            <w:t>[1]</w:t>
          </w:r>
          <w:r>
            <w:fldChar w:fldCharType="end"/>
          </w:r>
        </w:sdtContent>
      </w:sdt>
      <w:r w:rsidRPr="00B71547">
        <w:t xml:space="preserve"> provides a framework to guide regulatory decision-making in the nuclear permissioning process. </w:t>
      </w:r>
      <w:r>
        <w:br/>
      </w:r>
      <w:r w:rsidRPr="00B71547">
        <w:t xml:space="preserve">The SAPs are supported by </w:t>
      </w:r>
      <w:r>
        <w:t>TAGs</w:t>
      </w:r>
      <w:r w:rsidRPr="00B71547">
        <w:t xml:space="preserve"> which further aid the decision-making process.</w:t>
      </w:r>
    </w:p>
    <w:p w14:paraId="5F97EF59" w14:textId="77777777" w:rsidR="004C6007" w:rsidRDefault="004C6007" w:rsidP="004C6007">
      <w:pPr>
        <w:pStyle w:val="F9-Paragraph"/>
      </w:pPr>
      <w:r>
        <w:rPr>
          <w:color w:val="000000"/>
        </w:rPr>
        <w:t xml:space="preserve">This TAG </w:t>
      </w:r>
      <w:r w:rsidRPr="00E566ED">
        <w:rPr>
          <w:color w:val="000000"/>
        </w:rPr>
        <w:t>provide</w:t>
      </w:r>
      <w:r>
        <w:rPr>
          <w:color w:val="000000"/>
        </w:rPr>
        <w:t>s</w:t>
      </w:r>
      <w:r w:rsidRPr="00E566ED">
        <w:rPr>
          <w:color w:val="000000"/>
        </w:rPr>
        <w:t xml:space="preserve"> guidance to aid </w:t>
      </w:r>
      <w:r>
        <w:rPr>
          <w:color w:val="000000"/>
        </w:rPr>
        <w:t>I</w:t>
      </w:r>
      <w:r w:rsidRPr="00E566ED">
        <w:rPr>
          <w:color w:val="000000"/>
        </w:rPr>
        <w:t>nspectors in the interpretation and application of SAP</w:t>
      </w:r>
      <w:r>
        <w:rPr>
          <w:color w:val="000000"/>
        </w:rPr>
        <w:t>s related to</w:t>
      </w:r>
      <w:r>
        <w:t>, the assessment of nuclear licensees' safety submissions in the area of Safety Related Systems (SRS) and Safety Related Instrumentation (SRI). The broad class of systems that comprise SRS and SRI are defined and discussed. The close relationship between SRS, SRI and Safety Systems (SS) is explored, and the associated Safety Assessment Principles explained. As for all guidance, inspectors should use their judgment and discretion in the depth and scope to which they apply this guidance.</w:t>
      </w:r>
    </w:p>
    <w:p w14:paraId="62C60558" w14:textId="1110DEDD" w:rsidR="004C6007" w:rsidRDefault="004C6007" w:rsidP="004C6007">
      <w:pPr>
        <w:pStyle w:val="F9-Paragraph"/>
      </w:pPr>
      <w:r>
        <w:t>Nuclear facilities use a variety of systems concerned with safety. At the highest level of importance there are the safety systems. Safety systems are provided to detect potentially dangerous plant failures or conditions and to implement appropriate safety actions, i.e. they are systems that respond to a fault to prevent or mitigate a radiological consequence, and incorporate protection systems, safety actuation systems and the essential services that provide support. These systems generally contribute to levels 3 to 5 of a defence in depth concept (SAP para. 152</w:t>
      </w:r>
      <w:r w:rsidR="00AE3FCF">
        <w:t xml:space="preserve"> </w:t>
      </w:r>
      <w:sdt>
        <w:sdtPr>
          <w:id w:val="-1675953206"/>
          <w:citation/>
        </w:sdtPr>
        <w:sdtContent>
          <w:r w:rsidR="00AE3FCF">
            <w:fldChar w:fldCharType="begin"/>
          </w:r>
          <w:r w:rsidR="00AE3FCF">
            <w:instrText xml:space="preserve"> CITATION ONR2013 \l 2057 </w:instrText>
          </w:r>
          <w:r w:rsidR="00AE3FCF">
            <w:fldChar w:fldCharType="separate"/>
          </w:r>
          <w:r w:rsidR="00AE3FCF">
            <w:rPr>
              <w:noProof/>
            </w:rPr>
            <w:t>[1]</w:t>
          </w:r>
          <w:r w:rsidR="00AE3FCF">
            <w:fldChar w:fldCharType="end"/>
          </w:r>
        </w:sdtContent>
      </w:sdt>
      <w:r>
        <w:t>).</w:t>
      </w:r>
    </w:p>
    <w:p w14:paraId="61C7DCE7" w14:textId="461257A5" w:rsidR="004C6007" w:rsidRDefault="004C6007" w:rsidP="004C6007">
      <w:pPr>
        <w:pStyle w:val="F9-Paragraph"/>
      </w:pPr>
      <w:r>
        <w:t xml:space="preserve">Besides the safety systems identified above there are other systems, known as safety-related systems (SRS) that perform an operational </w:t>
      </w:r>
      <w:r w:rsidR="00944076">
        <w:t>function,</w:t>
      </w:r>
      <w:r>
        <w:t xml:space="preserve"> but which also provide a claimed safety benefit.</w:t>
      </w:r>
      <w:r w:rsidR="00944076">
        <w:t xml:space="preserve"> </w:t>
      </w:r>
      <w:r>
        <w:t>The control and instrumentation of safety-related systems (which includes the facility control system, indicating and recording instrumentation, alarm systems and communications systems) have a close relationship with safety systems (SAP para. 430</w:t>
      </w:r>
      <w:r w:rsidR="00AE3FCF">
        <w:t xml:space="preserve"> </w:t>
      </w:r>
      <w:sdt>
        <w:sdtPr>
          <w:id w:val="-1697384418"/>
          <w:citation/>
        </w:sdtPr>
        <w:sdtContent>
          <w:r w:rsidR="00AE3FCF">
            <w:fldChar w:fldCharType="begin"/>
          </w:r>
          <w:r w:rsidR="00AE3FCF">
            <w:instrText xml:space="preserve"> CITATION ONR2013 \l 2057 </w:instrText>
          </w:r>
          <w:r w:rsidR="00AE3FCF">
            <w:fldChar w:fldCharType="separate"/>
          </w:r>
          <w:r w:rsidR="00AE3FCF">
            <w:rPr>
              <w:noProof/>
            </w:rPr>
            <w:t>[1]</w:t>
          </w:r>
          <w:r w:rsidR="00AE3FCF">
            <w:fldChar w:fldCharType="end"/>
          </w:r>
        </w:sdtContent>
      </w:sdt>
      <w:r>
        <w:t>).</w:t>
      </w:r>
    </w:p>
    <w:p w14:paraId="4B728540" w14:textId="026E3EC9" w:rsidR="004C6007" w:rsidRDefault="004C6007" w:rsidP="004C6007">
      <w:pPr>
        <w:pStyle w:val="F9-Paragraph"/>
      </w:pPr>
      <w:r>
        <w:t xml:space="preserve">The prime purpose of SRIs may be plant operability (e.g. basic process or plant control systems) rather than safety, and where they are used to contribute to levels 1, 2, 4 and 5 of a defence in depth concept </w:t>
      </w:r>
      <w:r w:rsidR="00AE3FCF">
        <w:br/>
      </w:r>
      <w:r>
        <w:t>(SAP para. 152</w:t>
      </w:r>
      <w:r w:rsidR="00AE3FCF">
        <w:t xml:space="preserve"> </w:t>
      </w:r>
      <w:sdt>
        <w:sdtPr>
          <w:id w:val="913503113"/>
          <w:citation/>
        </w:sdtPr>
        <w:sdtContent>
          <w:r w:rsidR="00AE3FCF">
            <w:fldChar w:fldCharType="begin"/>
          </w:r>
          <w:r w:rsidR="00AE3FCF">
            <w:instrText xml:space="preserve"> CITATION ONR2013 \l 2057 </w:instrText>
          </w:r>
          <w:r w:rsidR="00AE3FCF">
            <w:fldChar w:fldCharType="separate"/>
          </w:r>
          <w:r w:rsidR="00AE3FCF">
            <w:rPr>
              <w:noProof/>
            </w:rPr>
            <w:t>[1]</w:t>
          </w:r>
          <w:r w:rsidR="00AE3FCF">
            <w:fldChar w:fldCharType="end"/>
          </w:r>
        </w:sdtContent>
      </w:sdt>
      <w:r>
        <w:t>) it should be justified. SRI is not normally</w:t>
      </w:r>
      <w:r w:rsidR="00944076">
        <w:t xml:space="preserve"> </w:t>
      </w:r>
      <w:r>
        <w:t xml:space="preserve">be used for level 3 of defence in depth as at this level safety systems should be used, as necessary, to act in response to a fault. </w:t>
      </w:r>
    </w:p>
    <w:p w14:paraId="036EC158" w14:textId="77777777" w:rsidR="004C6007" w:rsidRDefault="004C6007" w:rsidP="004C6007">
      <w:pPr>
        <w:pStyle w:val="F9-Paragraph"/>
      </w:pPr>
      <w:r>
        <w:t>The following example illustrates the difference between the instrumentation of a safety related system and that of a safety system:</w:t>
      </w:r>
    </w:p>
    <w:p w14:paraId="4AFBFF52" w14:textId="72C598D2" w:rsidR="004C6007" w:rsidRPr="00874613" w:rsidRDefault="004C6007" w:rsidP="00AE3FCF">
      <w:pPr>
        <w:pStyle w:val="Bulletlist1"/>
        <w:rPr>
          <w:b/>
          <w:caps/>
        </w:rPr>
      </w:pPr>
      <w:r w:rsidRPr="00874613">
        <w:t xml:space="preserve">An undesirable plant state is indicated by two alarms, a ‘High’ and a </w:t>
      </w:r>
      <w:r w:rsidR="00AE3FCF">
        <w:br/>
      </w:r>
      <w:r w:rsidRPr="00874613">
        <w:t>‘High</w:t>
      </w:r>
      <w:r w:rsidR="00AE3FCF">
        <w:t xml:space="preserve"> </w:t>
      </w:r>
      <w:r w:rsidRPr="00874613">
        <w:t xml:space="preserve">High’. If the first, ‘High’, alarm indicates an undesirable trend or a departure from a preferred level but one that is still within the normal operating envelope then it is a safety related system. Corrective action can be taken by the operator. If the second, ‘High High’, alarm indicates </w:t>
      </w:r>
      <w:r w:rsidRPr="00874613">
        <w:lastRenderedPageBreak/>
        <w:t>a fault causing the normal operating envelope to be breached requiring prompt corrective action this would be done automatically by a safety system with an alarm to the operator indicating the protective action taken.</w:t>
      </w:r>
    </w:p>
    <w:p w14:paraId="407EC907" w14:textId="56DF43C8" w:rsidR="004C6007" w:rsidRDefault="004C6007" w:rsidP="004C6007">
      <w:pPr>
        <w:pStyle w:val="F9-Paragraph"/>
      </w:pPr>
      <w:r>
        <w:t>It should be noted that the differentiation between SS and SRS is based on functionality and not safety integrity such that the designation of a system (</w:t>
      </w:r>
      <w:r w:rsidR="00AE3FCF">
        <w:t>i.e.</w:t>
      </w:r>
      <w:r>
        <w:t xml:space="preserve"> SS or SRS) depends solely upon what it does, and not upon what safety integrity it is required to achieve. SRI failures may also be the initiating faults of fault </w:t>
      </w:r>
      <w:r w:rsidRPr="009D7475">
        <w:t>sequences</w:t>
      </w:r>
      <w:r>
        <w:t xml:space="preserve">. </w:t>
      </w:r>
    </w:p>
    <w:p w14:paraId="5AF2DC05" w14:textId="356AF138" w:rsidR="004C6007" w:rsidRPr="009E6F8B" w:rsidRDefault="004C6007" w:rsidP="004C6007">
      <w:pPr>
        <w:pStyle w:val="F9-Paragraph"/>
      </w:pPr>
      <w:r>
        <w:t>This approach recognises that the safety integrity requirements of safety function delivered by either a safety system or safety related system depends upon the risk reduction required in respect of the scale of the hazard such that the greater the nuclear safety significance of the hazard, the higher the safety integrity requirement. This is reflected within the</w:t>
      </w:r>
      <w:r w:rsidRPr="00CD0EE8">
        <w:t xml:space="preserve"> categorisation</w:t>
      </w:r>
      <w:r>
        <w:t xml:space="preserve"> of safety functions (SAP principle ECS.1</w:t>
      </w:r>
      <w:r w:rsidR="00AE3FCF">
        <w:t xml:space="preserve"> </w:t>
      </w:r>
      <w:sdt>
        <w:sdtPr>
          <w:id w:val="797574749"/>
          <w:citation/>
        </w:sdtPr>
        <w:sdtContent>
          <w:r w:rsidR="00AE3FCF">
            <w:fldChar w:fldCharType="begin"/>
          </w:r>
          <w:r w:rsidR="00AE3FCF">
            <w:instrText xml:space="preserve"> CITATION ONR2013 \l 2057 </w:instrText>
          </w:r>
          <w:r w:rsidR="00AE3FCF">
            <w:fldChar w:fldCharType="separate"/>
          </w:r>
          <w:r w:rsidR="00AE3FCF">
            <w:rPr>
              <w:noProof/>
            </w:rPr>
            <w:t>[1]</w:t>
          </w:r>
          <w:r w:rsidR="00AE3FCF">
            <w:fldChar w:fldCharType="end"/>
          </w:r>
        </w:sdtContent>
      </w:sdt>
      <w:r>
        <w:t>), and classification of structures systems and components that deliver those functions (SAP principle ECS.2</w:t>
      </w:r>
      <w:r w:rsidR="00AE3FCF">
        <w:t xml:space="preserve"> </w:t>
      </w:r>
      <w:sdt>
        <w:sdtPr>
          <w:id w:val="-1932653801"/>
          <w:citation/>
        </w:sdtPr>
        <w:sdtContent>
          <w:r w:rsidR="00AE3FCF">
            <w:fldChar w:fldCharType="begin"/>
          </w:r>
          <w:r w:rsidR="00AE3FCF">
            <w:instrText xml:space="preserve"> CITATION ONR2013 \l 2057 </w:instrText>
          </w:r>
          <w:r w:rsidR="00AE3FCF">
            <w:fldChar w:fldCharType="separate"/>
          </w:r>
          <w:r w:rsidR="00AE3FCF">
            <w:rPr>
              <w:noProof/>
            </w:rPr>
            <w:t>[1]</w:t>
          </w:r>
          <w:r w:rsidR="00AE3FCF">
            <w:fldChar w:fldCharType="end"/>
          </w:r>
        </w:sdtContent>
      </w:sdt>
      <w:r>
        <w:t xml:space="preserve">). There is no explicit linkage between functionality and category </w:t>
      </w:r>
      <w:r w:rsidRPr="009E6F8B">
        <w:t xml:space="preserve">or class. </w:t>
      </w:r>
    </w:p>
    <w:p w14:paraId="31EF9AC9" w14:textId="77777777" w:rsidR="004C6007" w:rsidRPr="00506528" w:rsidRDefault="004C6007" w:rsidP="004C6007">
      <w:pPr>
        <w:pStyle w:val="F9-Paragraph"/>
      </w:pPr>
      <w:r w:rsidRPr="009E6F8B">
        <w:t>The term 'safety integrity' is used in preference to 'reliability', to indicate inherent robustness, systematic integrity and fault tolerance as well as hardware reliability. Reliability on its own relates to the rate of failure, which is dependent on the environment as well as on the system itself.</w:t>
      </w:r>
    </w:p>
    <w:p w14:paraId="3A0A8599" w14:textId="3F98D14E" w:rsidR="004C6007" w:rsidRDefault="004C6007" w:rsidP="00046936">
      <w:pPr>
        <w:pStyle w:val="F9-Paragraph"/>
        <w:sectPr w:rsidR="004C6007" w:rsidSect="000B2BCD">
          <w:pgSz w:w="11906" w:h="16838" w:code="9"/>
          <w:pgMar w:top="1440" w:right="1440" w:bottom="1440" w:left="1440" w:header="397" w:footer="397" w:gutter="0"/>
          <w:cols w:space="312"/>
          <w:docGrid w:linePitch="360"/>
        </w:sectPr>
      </w:pPr>
    </w:p>
    <w:p w14:paraId="6E712D03" w14:textId="3C3DAE84" w:rsidR="009E0E52" w:rsidRDefault="000950B3" w:rsidP="00E90780">
      <w:pPr>
        <w:pStyle w:val="Heading1"/>
      </w:pPr>
      <w:bookmarkStart w:id="4" w:name="_Toc134110815"/>
      <w:r>
        <w:lastRenderedPageBreak/>
        <w:t>Relationship to Licence and other Relevant Legislation</w:t>
      </w:r>
      <w:bookmarkEnd w:id="4"/>
      <w:r>
        <w:t xml:space="preserve"> </w:t>
      </w:r>
    </w:p>
    <w:p w14:paraId="501E3D30" w14:textId="4A21DA16" w:rsidR="003D28CA" w:rsidRDefault="003D28CA" w:rsidP="003D28CA">
      <w:pPr>
        <w:pStyle w:val="F9-Paragraph"/>
      </w:pPr>
      <w:r>
        <w:t xml:space="preserve">This guidance relates in particular to the following licence conditions </w:t>
      </w:r>
      <w:sdt>
        <w:sdtPr>
          <w:id w:val="-555468631"/>
          <w:citation/>
        </w:sdtPr>
        <w:sdtContent>
          <w:r>
            <w:fldChar w:fldCharType="begin"/>
          </w:r>
          <w:r>
            <w:instrText xml:space="preserve"> CITATION ONR46 \l 2057 </w:instrText>
          </w:r>
          <w:r>
            <w:fldChar w:fldCharType="separate"/>
          </w:r>
          <w:r>
            <w:rPr>
              <w:noProof/>
            </w:rPr>
            <w:t>[2]</w:t>
          </w:r>
          <w:r>
            <w:fldChar w:fldCharType="end"/>
          </w:r>
        </w:sdtContent>
      </w:sdt>
      <w:r>
        <w:t>;</w:t>
      </w:r>
    </w:p>
    <w:p w14:paraId="331E2810" w14:textId="77777777" w:rsidR="003D28CA" w:rsidRPr="00874613" w:rsidRDefault="003D28CA" w:rsidP="003D28CA">
      <w:pPr>
        <w:pStyle w:val="Bulletlist1"/>
        <w:rPr>
          <w:b/>
          <w:caps/>
        </w:rPr>
      </w:pPr>
      <w:r w:rsidRPr="00874613">
        <w:t>LC11 (</w:t>
      </w:r>
      <w:r>
        <w:t>E</w:t>
      </w:r>
      <w:r w:rsidRPr="00874613">
        <w:t xml:space="preserve">mergency arrangements), </w:t>
      </w:r>
    </w:p>
    <w:p w14:paraId="26F3CE8C" w14:textId="77777777" w:rsidR="003D28CA" w:rsidRPr="00874613" w:rsidRDefault="003D28CA" w:rsidP="003D28CA">
      <w:pPr>
        <w:pStyle w:val="Bulletlist1"/>
        <w:rPr>
          <w:b/>
          <w:caps/>
        </w:rPr>
      </w:pPr>
      <w:r w:rsidRPr="00874613">
        <w:t>LC14 (</w:t>
      </w:r>
      <w:r>
        <w:t>S</w:t>
      </w:r>
      <w:r w:rsidRPr="00874613">
        <w:t>afety documentation),</w:t>
      </w:r>
    </w:p>
    <w:p w14:paraId="72479770" w14:textId="77777777" w:rsidR="003D28CA" w:rsidRPr="00874613" w:rsidRDefault="003D28CA" w:rsidP="003D28CA">
      <w:pPr>
        <w:pStyle w:val="Bulletlist1"/>
        <w:rPr>
          <w:b/>
          <w:caps/>
        </w:rPr>
      </w:pPr>
      <w:r w:rsidRPr="00874613">
        <w:t>LC15 (</w:t>
      </w:r>
      <w:r>
        <w:t>P</w:t>
      </w:r>
      <w:r w:rsidRPr="00874613">
        <w:t>eriodic review),</w:t>
      </w:r>
    </w:p>
    <w:p w14:paraId="3F89A7F0" w14:textId="77777777" w:rsidR="003D28CA" w:rsidRPr="00874613" w:rsidRDefault="003D28CA" w:rsidP="003D28CA">
      <w:pPr>
        <w:pStyle w:val="Bulletlist1"/>
        <w:rPr>
          <w:b/>
          <w:caps/>
        </w:rPr>
      </w:pPr>
      <w:r w:rsidRPr="00874613">
        <w:t>LC17 (</w:t>
      </w:r>
      <w:r>
        <w:t>Management systems</w:t>
      </w:r>
      <w:r w:rsidRPr="00874613">
        <w:t>),</w:t>
      </w:r>
    </w:p>
    <w:p w14:paraId="1EFC6C98" w14:textId="77777777" w:rsidR="003D28CA" w:rsidRPr="00874613" w:rsidRDefault="003D28CA" w:rsidP="003D28CA">
      <w:pPr>
        <w:pStyle w:val="Bulletlist1"/>
        <w:rPr>
          <w:b/>
          <w:caps/>
        </w:rPr>
      </w:pPr>
      <w:r w:rsidRPr="00874613">
        <w:t>LC23 (</w:t>
      </w:r>
      <w:r>
        <w:t>O</w:t>
      </w:r>
      <w:r w:rsidRPr="00874613">
        <w:t>perating rules - limits and conditions in the interests of safety),</w:t>
      </w:r>
    </w:p>
    <w:p w14:paraId="54DEC4DB" w14:textId="77777777" w:rsidR="003D28CA" w:rsidRPr="00874613" w:rsidRDefault="003D28CA" w:rsidP="003D28CA">
      <w:pPr>
        <w:pStyle w:val="Bulletlist1"/>
        <w:rPr>
          <w:b/>
          <w:caps/>
        </w:rPr>
      </w:pPr>
      <w:r w:rsidRPr="00874613">
        <w:t>LC27 (</w:t>
      </w:r>
      <w:r>
        <w:t>S</w:t>
      </w:r>
      <w:r w:rsidRPr="00874613">
        <w:t>afety mechanisms, devices and circuits),</w:t>
      </w:r>
    </w:p>
    <w:p w14:paraId="0132E3E6" w14:textId="77777777" w:rsidR="003D28CA" w:rsidRDefault="003D28CA" w:rsidP="003D28CA">
      <w:pPr>
        <w:pStyle w:val="Bulletlist1"/>
        <w:rPr>
          <w:b/>
          <w:caps/>
        </w:rPr>
      </w:pPr>
      <w:r w:rsidRPr="00874613">
        <w:t>LC28 (</w:t>
      </w:r>
      <w:r>
        <w:t>E</w:t>
      </w:r>
      <w:r w:rsidRPr="00874613">
        <w:t>xamination, inspection, maintenance and testing),</w:t>
      </w:r>
    </w:p>
    <w:p w14:paraId="185D95F8" w14:textId="77777777" w:rsidR="003D28CA" w:rsidRPr="00737F72" w:rsidRDefault="003D28CA" w:rsidP="003D28CA">
      <w:pPr>
        <w:pStyle w:val="Bulletlist1"/>
        <w:rPr>
          <w:b/>
          <w:caps/>
        </w:rPr>
      </w:pPr>
      <w:r w:rsidRPr="00737F72">
        <w:t>LC34 (Leakage and escape of radioactive material and radioactive waste)</w:t>
      </w:r>
    </w:p>
    <w:p w14:paraId="61743AA0" w14:textId="6D37B92E" w:rsidR="003D28CA" w:rsidRPr="003D28CA" w:rsidRDefault="003D28CA" w:rsidP="003D28CA">
      <w:pPr>
        <w:sectPr w:rsidR="003D28CA" w:rsidRPr="003D28CA" w:rsidSect="000B2BCD">
          <w:pgSz w:w="11906" w:h="16838" w:code="9"/>
          <w:pgMar w:top="1440" w:right="1440" w:bottom="1440" w:left="1440" w:header="397" w:footer="397" w:gutter="0"/>
          <w:cols w:space="312"/>
          <w:docGrid w:linePitch="360"/>
        </w:sectPr>
      </w:pPr>
    </w:p>
    <w:p w14:paraId="219A98D5" w14:textId="4D896789" w:rsidR="00140E1C" w:rsidRDefault="000950B3" w:rsidP="00E90780">
      <w:pPr>
        <w:pStyle w:val="Heading1"/>
      </w:pPr>
      <w:bookmarkStart w:id="5" w:name="_Toc134110816"/>
      <w:r w:rsidRPr="000950B3">
        <w:lastRenderedPageBreak/>
        <w:t xml:space="preserve">Relationship to </w:t>
      </w:r>
      <w:r w:rsidR="00186973">
        <w:t>SAPs</w:t>
      </w:r>
      <w:r w:rsidRPr="000950B3">
        <w:t>, WENRA</w:t>
      </w:r>
      <w:r>
        <w:t xml:space="preserve"> </w:t>
      </w:r>
      <w:r w:rsidRPr="000950B3">
        <w:t>Reference Levels</w:t>
      </w:r>
      <w:r>
        <w:t xml:space="preserve">, </w:t>
      </w:r>
      <w:r w:rsidR="00F7687C">
        <w:t xml:space="preserve">and </w:t>
      </w:r>
      <w:r w:rsidRPr="000950B3">
        <w:t>IAEA Safety Standards</w:t>
      </w:r>
      <w:r w:rsidR="00F7687C">
        <w:t xml:space="preserve"> </w:t>
      </w:r>
      <w:r w:rsidR="00186973">
        <w:t>and Guides</w:t>
      </w:r>
      <w:bookmarkEnd w:id="5"/>
    </w:p>
    <w:p w14:paraId="16AE21CD" w14:textId="66CFD557" w:rsidR="00186973" w:rsidRDefault="00186973" w:rsidP="00186973">
      <w:pPr>
        <w:pStyle w:val="Heading2"/>
      </w:pPr>
      <w:r>
        <w:t>SAPs</w:t>
      </w:r>
    </w:p>
    <w:p w14:paraId="64184EAC" w14:textId="4A1E4726" w:rsidR="00F3075C" w:rsidRPr="00874613" w:rsidRDefault="00F3075C" w:rsidP="00F3075C">
      <w:pPr>
        <w:pStyle w:val="F9-Paragraph"/>
      </w:pPr>
      <w:r w:rsidRPr="00874613">
        <w:t xml:space="preserve">This guide identifies relevant SAPS and provides further explanation where appropriate. Functional and integrity requirements of safety related instrumentation arise both as direct and inferred requirements throughout the SAPs as well as in the specific engineering principles (ESR.1-10) and related paragraphs. This </w:t>
      </w:r>
      <w:r w:rsidR="00C7290E">
        <w:t>TAG</w:t>
      </w:r>
      <w:r w:rsidRPr="00874613">
        <w:t xml:space="preserve"> is based on the 20</w:t>
      </w:r>
      <w:r>
        <w:t xml:space="preserve">14 </w:t>
      </w:r>
      <w:r w:rsidR="003C4FCC">
        <w:t>e</w:t>
      </w:r>
      <w:r w:rsidRPr="00874613">
        <w:t xml:space="preserve">dition </w:t>
      </w:r>
      <w:r w:rsidR="003C4FCC">
        <w:t xml:space="preserve">of the </w:t>
      </w:r>
      <w:r w:rsidRPr="00874613">
        <w:t xml:space="preserve">SAPs </w:t>
      </w:r>
      <w:sdt>
        <w:sdtPr>
          <w:id w:val="2082951082"/>
          <w:citation/>
        </w:sdtPr>
        <w:sdtContent>
          <w:r w:rsidR="00C7290E">
            <w:fldChar w:fldCharType="begin"/>
          </w:r>
          <w:r w:rsidR="00C7290E">
            <w:instrText xml:space="preserve"> CITATION ONR2013 \l 2057 </w:instrText>
          </w:r>
          <w:r w:rsidR="00C7290E">
            <w:fldChar w:fldCharType="separate"/>
          </w:r>
          <w:r w:rsidR="00C7290E">
            <w:rPr>
              <w:noProof/>
            </w:rPr>
            <w:t>[1]</w:t>
          </w:r>
          <w:r w:rsidR="00C7290E">
            <w:fldChar w:fldCharType="end"/>
          </w:r>
        </w:sdtContent>
      </w:sdt>
      <w:r w:rsidRPr="00874613">
        <w:t>.</w:t>
      </w:r>
    </w:p>
    <w:p w14:paraId="138F17BF" w14:textId="77777777" w:rsidR="00F3075C" w:rsidRDefault="00F3075C" w:rsidP="00F3075C">
      <w:pPr>
        <w:pStyle w:val="F9-Paragraph"/>
      </w:pPr>
      <w:r w:rsidRPr="00874613">
        <w:t>The guidance has been arranged to cover the following topics</w:t>
      </w:r>
      <w:r>
        <w:t>:</w:t>
      </w:r>
    </w:p>
    <w:p w14:paraId="738EA624" w14:textId="77777777" w:rsidR="00F3075C" w:rsidRPr="00874613" w:rsidRDefault="00F3075C" w:rsidP="00F3075C">
      <w:pPr>
        <w:pStyle w:val="Bulletlist1"/>
        <w:rPr>
          <w:b/>
          <w:caps/>
        </w:rPr>
      </w:pPr>
      <w:r w:rsidRPr="00874613">
        <w:t>Functional design requirements – basic process control, communications and services</w:t>
      </w:r>
      <w:r>
        <w:t>;</w:t>
      </w:r>
    </w:p>
    <w:p w14:paraId="4288B647" w14:textId="77777777" w:rsidR="00F3075C" w:rsidRPr="00874613" w:rsidRDefault="00F3075C" w:rsidP="00F3075C">
      <w:pPr>
        <w:pStyle w:val="Bulletlist1"/>
        <w:rPr>
          <w:b/>
          <w:caps/>
        </w:rPr>
      </w:pPr>
      <w:r w:rsidRPr="00874613">
        <w:t>Functional design requirements – radiological monitoring and criticality incident detection</w:t>
      </w:r>
      <w:r>
        <w:t>;</w:t>
      </w:r>
    </w:p>
    <w:p w14:paraId="11C59DBC" w14:textId="77777777" w:rsidR="00F3075C" w:rsidRPr="00874613" w:rsidRDefault="00F3075C" w:rsidP="00F3075C">
      <w:pPr>
        <w:pStyle w:val="Bulletlist1"/>
        <w:rPr>
          <w:b/>
          <w:caps/>
        </w:rPr>
      </w:pPr>
      <w:r w:rsidRPr="00874613">
        <w:t>Design for reliability, reliability claims, and failure modes</w:t>
      </w:r>
      <w:r>
        <w:t>;</w:t>
      </w:r>
    </w:p>
    <w:p w14:paraId="6540E3E6" w14:textId="77777777" w:rsidR="00F3075C" w:rsidRPr="00874613" w:rsidRDefault="00F3075C" w:rsidP="00F3075C">
      <w:pPr>
        <w:pStyle w:val="Bulletlist1"/>
        <w:rPr>
          <w:b/>
          <w:caps/>
        </w:rPr>
      </w:pPr>
      <w:r w:rsidRPr="00874613">
        <w:t>Layout and vulnerability to internal/external hazards</w:t>
      </w:r>
      <w:r>
        <w:t>;</w:t>
      </w:r>
    </w:p>
    <w:p w14:paraId="0573EE03" w14:textId="77777777" w:rsidR="00F3075C" w:rsidRPr="00874613" w:rsidRDefault="00F3075C" w:rsidP="00F3075C">
      <w:pPr>
        <w:pStyle w:val="Bulletlist1"/>
        <w:rPr>
          <w:b/>
          <w:caps/>
        </w:rPr>
      </w:pPr>
      <w:r w:rsidRPr="00874613">
        <w:t>Qualification, type testing and standards</w:t>
      </w:r>
      <w:r>
        <w:t>; and</w:t>
      </w:r>
    </w:p>
    <w:p w14:paraId="4B7E9B71" w14:textId="77777777" w:rsidR="00F3075C" w:rsidRDefault="00F3075C" w:rsidP="00F3075C">
      <w:pPr>
        <w:pStyle w:val="Bulletlist1"/>
        <w:rPr>
          <w:b/>
          <w:caps/>
        </w:rPr>
      </w:pPr>
      <w:r w:rsidRPr="00874613">
        <w:t>In-service examination, inspectio</w:t>
      </w:r>
      <w:r>
        <w:t>n, maintenance and testing (EIM&amp;</w:t>
      </w:r>
      <w:r w:rsidRPr="00874613">
        <w:t>T), life limiting features and obsolescence</w:t>
      </w:r>
      <w:r>
        <w:t>.</w:t>
      </w:r>
    </w:p>
    <w:p w14:paraId="531E1A49" w14:textId="77777777" w:rsidR="00F3075C" w:rsidRDefault="00F3075C" w:rsidP="00F3075C">
      <w:pPr>
        <w:pStyle w:val="Heading2"/>
      </w:pPr>
      <w:r w:rsidRPr="000F1DAA">
        <w:t>WENRA Reactor Safety Reference Levels</w:t>
      </w:r>
    </w:p>
    <w:p w14:paraId="6001DF64" w14:textId="77777777" w:rsidR="00F3075C" w:rsidRPr="007A53F0" w:rsidRDefault="00F3075C" w:rsidP="00C7290E">
      <w:pPr>
        <w:pStyle w:val="F9-Paragraph"/>
      </w:pPr>
      <w:r w:rsidRPr="007A53F0">
        <w:t>The objective of The Western European Nuclear Regulators Association (WENRA) is to develop a common approach to nuclear safety in Europe by comparing national approaches to the application of International Atomic Energy Agency (IAEA) safety standards.</w:t>
      </w:r>
    </w:p>
    <w:p w14:paraId="42E3D98B" w14:textId="379D4E37" w:rsidR="00F3075C" w:rsidRPr="007A53F0" w:rsidRDefault="00F3075C" w:rsidP="00C7290E">
      <w:pPr>
        <w:pStyle w:val="F9-Paragraph"/>
      </w:pPr>
      <w:r w:rsidRPr="007A53F0">
        <w:t xml:space="preserve">The guidance in this TAG is consistent with the following harmonisation issues from the WENRA Reactor Safety Reference </w:t>
      </w:r>
      <w:r>
        <w:t>L</w:t>
      </w:r>
      <w:r w:rsidRPr="007A53F0">
        <w:t xml:space="preserve">evels </w:t>
      </w:r>
      <w:sdt>
        <w:sdtPr>
          <w:id w:val="-868449407"/>
          <w:citation/>
        </w:sdtPr>
        <w:sdtContent>
          <w:r w:rsidR="00C7290E">
            <w:fldChar w:fldCharType="begin"/>
          </w:r>
          <w:r w:rsidR="00C7290E">
            <w:instrText xml:space="preserve"> CITATION WEN \l 2057 </w:instrText>
          </w:r>
          <w:r w:rsidR="00C7290E">
            <w:fldChar w:fldCharType="separate"/>
          </w:r>
          <w:r w:rsidR="00C7290E">
            <w:rPr>
              <w:noProof/>
            </w:rPr>
            <w:t>[3]</w:t>
          </w:r>
          <w:r w:rsidR="00C7290E">
            <w:fldChar w:fldCharType="end"/>
          </w:r>
        </w:sdtContent>
      </w:sdt>
      <w:r w:rsidRPr="00401081">
        <w:t>,</w:t>
      </w:r>
      <w:r w:rsidRPr="007A53F0">
        <w:t xml:space="preserve"> which represent good practices in the WENRA member states, are relevant and should be taken into account by the inspector: </w:t>
      </w:r>
    </w:p>
    <w:p w14:paraId="3A1D77A6" w14:textId="77777777" w:rsidR="00F3075C" w:rsidRDefault="00F3075C" w:rsidP="00C7290E">
      <w:pPr>
        <w:pStyle w:val="Bulletlist1"/>
      </w:pPr>
      <w:r w:rsidRPr="00565F1F">
        <w:t xml:space="preserve">Issue </w:t>
      </w:r>
      <w:r>
        <w:t>G</w:t>
      </w:r>
      <w:r w:rsidRPr="00565F1F">
        <w:t xml:space="preserve">: </w:t>
      </w:r>
      <w:r>
        <w:t>Safety Classification of Structures, Systems and Components</w:t>
      </w:r>
      <w:r w:rsidRPr="00565F1F">
        <w:t>.</w:t>
      </w:r>
    </w:p>
    <w:p w14:paraId="4E38620A" w14:textId="77777777" w:rsidR="00186973" w:rsidRDefault="00186973" w:rsidP="00C7290E">
      <w:pPr>
        <w:pStyle w:val="Heading2"/>
        <w:sectPr w:rsidR="00186973" w:rsidSect="000B2BCD">
          <w:pgSz w:w="11906" w:h="16838" w:code="9"/>
          <w:pgMar w:top="1440" w:right="1440" w:bottom="1440" w:left="1440" w:header="397" w:footer="397" w:gutter="0"/>
          <w:cols w:space="312"/>
          <w:docGrid w:linePitch="360"/>
        </w:sectPr>
      </w:pPr>
    </w:p>
    <w:p w14:paraId="3938A274" w14:textId="4BFA5819" w:rsidR="00F3075C" w:rsidRDefault="00F3075C" w:rsidP="00C7290E">
      <w:pPr>
        <w:pStyle w:val="Heading2"/>
      </w:pPr>
      <w:r w:rsidRPr="000F1DAA">
        <w:lastRenderedPageBreak/>
        <w:t>IAEA Safety Standards</w:t>
      </w:r>
    </w:p>
    <w:p w14:paraId="0E00E459" w14:textId="77777777" w:rsidR="00F3075C" w:rsidRPr="002703CC" w:rsidRDefault="00F3075C" w:rsidP="00C7290E">
      <w:pPr>
        <w:pStyle w:val="F9-Paragraph"/>
      </w:pPr>
      <w:r w:rsidRPr="00216B81">
        <w:t>The guidance is also consistent with the following IAEA safety requirements and g</w:t>
      </w:r>
      <w:r w:rsidRPr="002703CC">
        <w:t>uidance:</w:t>
      </w:r>
    </w:p>
    <w:p w14:paraId="5344EE37" w14:textId="6C7F9D23" w:rsidR="00F3075C" w:rsidRDefault="00F3075C" w:rsidP="00C7290E">
      <w:pPr>
        <w:pStyle w:val="Bulletlist1"/>
      </w:pPr>
      <w:r>
        <w:t>SSG-39: Design of Instrumentation and Control Systems for Nuclear Power Plants</w:t>
      </w:r>
      <w:r w:rsidR="00186973">
        <w:t xml:space="preserve"> </w:t>
      </w:r>
      <w:sdt>
        <w:sdtPr>
          <w:id w:val="-1756428721"/>
          <w:citation/>
        </w:sdtPr>
        <w:sdtContent>
          <w:r w:rsidR="00186973">
            <w:fldChar w:fldCharType="begin"/>
          </w:r>
          <w:r w:rsidR="00186973">
            <w:instrText xml:space="preserve"> CITATION IAE169 \l 2057 </w:instrText>
          </w:r>
          <w:r w:rsidR="00186973">
            <w:fldChar w:fldCharType="separate"/>
          </w:r>
          <w:r w:rsidR="00186973" w:rsidRPr="00186973">
            <w:t>[4]</w:t>
          </w:r>
          <w:r w:rsidR="00186973">
            <w:fldChar w:fldCharType="end"/>
          </w:r>
        </w:sdtContent>
      </w:sdt>
      <w:r>
        <w:t>.</w:t>
      </w:r>
    </w:p>
    <w:p w14:paraId="6D561D74" w14:textId="3587486E" w:rsidR="00F3075C" w:rsidRDefault="00F3075C" w:rsidP="00C7290E">
      <w:pPr>
        <w:pStyle w:val="F9-Paragraph"/>
      </w:pPr>
      <w:r w:rsidRPr="007A53F0">
        <w:t xml:space="preserve">The IAEA Safety Standards (Requirements and Guides) were the benchmark for the revision of the SAPs </w:t>
      </w:r>
      <w:sdt>
        <w:sdtPr>
          <w:id w:val="-1369908296"/>
          <w:citation/>
        </w:sdtPr>
        <w:sdtContent>
          <w:r w:rsidR="00186973">
            <w:fldChar w:fldCharType="begin"/>
          </w:r>
          <w:r w:rsidR="00186973">
            <w:instrText xml:space="preserve"> CITATION ONR2013 \l 2057 </w:instrText>
          </w:r>
          <w:r w:rsidR="00186973">
            <w:fldChar w:fldCharType="separate"/>
          </w:r>
          <w:r w:rsidR="00186973">
            <w:rPr>
              <w:noProof/>
            </w:rPr>
            <w:t>[1]</w:t>
          </w:r>
          <w:r w:rsidR="00186973">
            <w:fldChar w:fldCharType="end"/>
          </w:r>
        </w:sdtContent>
      </w:sdt>
      <w:r w:rsidR="00186973">
        <w:t xml:space="preserve"> </w:t>
      </w:r>
      <w:r w:rsidRPr="007A53F0">
        <w:t>and are recognised by ONR as relevant good practice. They should therefore be consulted, where relevant, by the Inspector.</w:t>
      </w:r>
    </w:p>
    <w:p w14:paraId="21F272DD" w14:textId="77777777" w:rsidR="008967D3" w:rsidRPr="007A53F0" w:rsidRDefault="008967D3" w:rsidP="008967D3">
      <w:pPr>
        <w:pStyle w:val="F9-Paragraph"/>
        <w:numPr>
          <w:ilvl w:val="0"/>
          <w:numId w:val="0"/>
        </w:numPr>
        <w:ind w:left="851"/>
      </w:pPr>
    </w:p>
    <w:p w14:paraId="5255232C" w14:textId="0B114371" w:rsidR="00F7687C" w:rsidRDefault="00F7687C" w:rsidP="00E90780">
      <w:pPr>
        <w:pStyle w:val="Heading1"/>
      </w:pPr>
      <w:bookmarkStart w:id="6" w:name="_Toc134110817"/>
      <w:r>
        <w:t>Advice to Inspectors</w:t>
      </w:r>
      <w:bookmarkEnd w:id="6"/>
    </w:p>
    <w:p w14:paraId="6D3886E0" w14:textId="7446119A" w:rsidR="002552C8" w:rsidRDefault="002552C8" w:rsidP="002552C8">
      <w:pPr>
        <w:pStyle w:val="F9-Paragraph"/>
      </w:pPr>
      <w:r>
        <w:t>Advice to inspectors is included under each relevant SAP in the following sections.</w:t>
      </w:r>
    </w:p>
    <w:p w14:paraId="3F1E3DC7" w14:textId="771EEBFF" w:rsidR="002552C8" w:rsidRDefault="002552C8" w:rsidP="002552C8">
      <w:pPr>
        <w:pStyle w:val="F9-Paragraph"/>
        <w:numPr>
          <w:ilvl w:val="0"/>
          <w:numId w:val="0"/>
        </w:numPr>
        <w:ind w:left="851" w:hanging="851"/>
      </w:pPr>
    </w:p>
    <w:p w14:paraId="765373BF" w14:textId="77777777" w:rsidR="005E625A" w:rsidRDefault="005E625A" w:rsidP="005E625A">
      <w:pPr>
        <w:pStyle w:val="Heading1"/>
        <w:sectPr w:rsidR="005E625A" w:rsidSect="000B2BCD">
          <w:pgSz w:w="11906" w:h="16838" w:code="9"/>
          <w:pgMar w:top="1440" w:right="1440" w:bottom="1440" w:left="1440" w:header="397" w:footer="397" w:gutter="0"/>
          <w:cols w:space="312"/>
          <w:docGrid w:linePitch="360"/>
        </w:sectPr>
      </w:pPr>
      <w:bookmarkStart w:id="7" w:name="_Ref312143418"/>
      <w:bookmarkStart w:id="8" w:name="_Toc345418575"/>
      <w:bookmarkStart w:id="9" w:name="_Toc389815631"/>
    </w:p>
    <w:p w14:paraId="5CDBA6A9" w14:textId="1ACC9F32" w:rsidR="005E625A" w:rsidRDefault="005E625A" w:rsidP="005E625A">
      <w:pPr>
        <w:pStyle w:val="Heading1"/>
      </w:pPr>
      <w:bookmarkStart w:id="10" w:name="_Toc134110818"/>
      <w:r>
        <w:lastRenderedPageBreak/>
        <w:t xml:space="preserve">Functional Design Requirements </w:t>
      </w:r>
      <w:r>
        <w:rPr>
          <w:rFonts w:hint="eastAsia"/>
        </w:rPr>
        <w:t>–</w:t>
      </w:r>
      <w:r>
        <w:t xml:space="preserve"> Basic Process or Plant Control, Communications and Services</w:t>
      </w:r>
      <w:bookmarkEnd w:id="7"/>
      <w:bookmarkEnd w:id="8"/>
      <w:bookmarkEnd w:id="9"/>
      <w:bookmarkEnd w:id="10"/>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685"/>
        <w:gridCol w:w="3425"/>
        <w:gridCol w:w="1060"/>
      </w:tblGrid>
      <w:tr w:rsidR="009B220C" w:rsidRPr="009B220C" w14:paraId="5C4F856E" w14:textId="77777777" w:rsidTr="006713AC">
        <w:tc>
          <w:tcPr>
            <w:tcW w:w="2255" w:type="pct"/>
            <w:tcBorders>
              <w:top w:val="single" w:sz="4" w:space="0" w:color="auto"/>
              <w:left w:val="single" w:sz="4" w:space="0" w:color="auto"/>
              <w:bottom w:val="single" w:sz="4" w:space="0" w:color="auto"/>
              <w:right w:val="single" w:sz="4" w:space="0" w:color="auto"/>
            </w:tcBorders>
            <w:shd w:val="clear" w:color="auto" w:fill="FFCC99"/>
            <w:vAlign w:val="center"/>
          </w:tcPr>
          <w:p w14:paraId="719587AB" w14:textId="77777777" w:rsidR="005E625A" w:rsidRPr="009B220C" w:rsidRDefault="005E625A" w:rsidP="006713AC">
            <w:pPr>
              <w:keepNext/>
              <w:spacing w:after="0" w:line="240" w:lineRule="auto"/>
              <w:rPr>
                <w:b/>
                <w:bCs/>
                <w:szCs w:val="24"/>
              </w:rPr>
            </w:pPr>
            <w:r w:rsidRPr="009B220C">
              <w:rPr>
                <w:b/>
                <w:bCs/>
                <w:szCs w:val="24"/>
              </w:rPr>
              <w:t>Engineering principles: control and instrumentation of safety-related systems</w:t>
            </w:r>
          </w:p>
        </w:tc>
        <w:tc>
          <w:tcPr>
            <w:tcW w:w="2096" w:type="pct"/>
            <w:tcBorders>
              <w:top w:val="single" w:sz="4" w:space="0" w:color="auto"/>
              <w:left w:val="single" w:sz="4" w:space="0" w:color="auto"/>
              <w:bottom w:val="single" w:sz="4" w:space="0" w:color="auto"/>
              <w:right w:val="single" w:sz="4" w:space="0" w:color="auto"/>
            </w:tcBorders>
            <w:shd w:val="clear" w:color="auto" w:fill="FFCC99"/>
            <w:vAlign w:val="center"/>
          </w:tcPr>
          <w:p w14:paraId="1082A901" w14:textId="77777777" w:rsidR="005E625A" w:rsidRPr="009B220C" w:rsidRDefault="005E625A" w:rsidP="006713AC">
            <w:pPr>
              <w:keepNext/>
              <w:spacing w:after="0" w:line="240" w:lineRule="auto"/>
              <w:rPr>
                <w:szCs w:val="24"/>
              </w:rPr>
            </w:pPr>
            <w:r w:rsidRPr="009B220C">
              <w:rPr>
                <w:szCs w:val="24"/>
              </w:rPr>
              <w:t>Provision in control rooms and other locations</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7F9A44D4" w14:textId="77777777" w:rsidR="005E625A" w:rsidRPr="009B220C" w:rsidRDefault="005E625A" w:rsidP="006713AC">
            <w:pPr>
              <w:keepNext/>
              <w:spacing w:after="0" w:line="240" w:lineRule="auto"/>
              <w:jc w:val="center"/>
              <w:rPr>
                <w:szCs w:val="24"/>
              </w:rPr>
            </w:pPr>
            <w:r w:rsidRPr="009B220C">
              <w:rPr>
                <w:szCs w:val="24"/>
              </w:rPr>
              <w:t>ESR.1</w:t>
            </w:r>
          </w:p>
        </w:tc>
      </w:tr>
      <w:tr w:rsidR="009B220C" w:rsidRPr="009B220C" w14:paraId="3C5C3DC3" w14:textId="77777777" w:rsidTr="006713AC">
        <w:tc>
          <w:tcPr>
            <w:tcW w:w="5000" w:type="pct"/>
            <w:gridSpan w:val="3"/>
            <w:tcBorders>
              <w:top w:val="single" w:sz="4" w:space="0" w:color="auto"/>
              <w:left w:val="single" w:sz="4" w:space="0" w:color="auto"/>
              <w:bottom w:val="single" w:sz="4" w:space="0" w:color="auto"/>
              <w:right w:val="single" w:sz="4" w:space="0" w:color="auto"/>
            </w:tcBorders>
            <w:vAlign w:val="center"/>
          </w:tcPr>
          <w:p w14:paraId="71BEB615" w14:textId="77777777" w:rsidR="005E625A" w:rsidRPr="009B220C" w:rsidRDefault="005E625A" w:rsidP="006713AC">
            <w:pPr>
              <w:pStyle w:val="Principle"/>
              <w:rPr>
                <w:sz w:val="24"/>
                <w:lang w:val="en-US"/>
              </w:rPr>
            </w:pPr>
            <w:r w:rsidRPr="009B220C">
              <w:rPr>
                <w:sz w:val="24"/>
              </w:rPr>
              <w:t>Suitable and sufficient safety-related system control and instrumentation should be available to the facility operator in a central control room, and as necessary at appropriate secondary control or monitoring locations.</w:t>
            </w:r>
          </w:p>
        </w:tc>
      </w:tr>
    </w:tbl>
    <w:p w14:paraId="39034EB6" w14:textId="204860BE" w:rsidR="005E625A" w:rsidRPr="00EA41CF" w:rsidRDefault="005E625A" w:rsidP="005E625A">
      <w:pPr>
        <w:pStyle w:val="F9-Paragraph"/>
      </w:pPr>
      <w:bookmarkStart w:id="11" w:name="_Hlk133505978"/>
      <w:r w:rsidRPr="00EA41CF">
        <w:t>The systems should provide for control, monitoring and data recording in normal operations, fault conditions and severe accidents. The extent of these provisions should be consistent with the fault analysis and justified in the safety case</w:t>
      </w:r>
      <w:r w:rsidR="009B220C">
        <w:t xml:space="preserve"> </w:t>
      </w:r>
      <w:r w:rsidRPr="00EA41CF">
        <w:t>(SAP para. 778</w:t>
      </w:r>
      <w:r w:rsidR="009B220C">
        <w:t xml:space="preserve"> </w:t>
      </w:r>
      <w:sdt>
        <w:sdtPr>
          <w:id w:val="1181243493"/>
          <w:citation/>
        </w:sdtPr>
        <w:sdtContent>
          <w:r w:rsidR="009B220C">
            <w:fldChar w:fldCharType="begin"/>
          </w:r>
          <w:r w:rsidR="009B220C">
            <w:instrText xml:space="preserve"> CITATION ONR2013 \l 2057 </w:instrText>
          </w:r>
          <w:r w:rsidR="009B220C">
            <w:fldChar w:fldCharType="separate"/>
          </w:r>
          <w:r w:rsidR="009B220C">
            <w:rPr>
              <w:noProof/>
            </w:rPr>
            <w:t>[1]</w:t>
          </w:r>
          <w:r w:rsidR="009B220C">
            <w:fldChar w:fldCharType="end"/>
          </w:r>
        </w:sdtContent>
      </w:sdt>
      <w:r w:rsidRPr="00EA41CF">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685"/>
        <w:gridCol w:w="3423"/>
        <w:gridCol w:w="1062"/>
      </w:tblGrid>
      <w:tr w:rsidR="006713AC" w:rsidRPr="006713AC" w14:paraId="20D7715A" w14:textId="77777777" w:rsidTr="006713AC">
        <w:tc>
          <w:tcPr>
            <w:tcW w:w="2255" w:type="pct"/>
            <w:tcBorders>
              <w:top w:val="single" w:sz="4" w:space="0" w:color="auto"/>
              <w:left w:val="single" w:sz="4" w:space="0" w:color="auto"/>
              <w:bottom w:val="single" w:sz="4" w:space="0" w:color="auto"/>
              <w:right w:val="single" w:sz="4" w:space="0" w:color="auto"/>
            </w:tcBorders>
            <w:shd w:val="clear" w:color="auto" w:fill="FFCC99"/>
            <w:vAlign w:val="center"/>
          </w:tcPr>
          <w:bookmarkEnd w:id="11"/>
          <w:p w14:paraId="4EEF6A1E" w14:textId="77777777" w:rsidR="005E625A" w:rsidRPr="006713AC" w:rsidRDefault="005E625A" w:rsidP="006713AC">
            <w:pPr>
              <w:keepNext/>
              <w:spacing w:after="0" w:line="240" w:lineRule="auto"/>
              <w:rPr>
                <w:b/>
                <w:bCs/>
                <w:szCs w:val="24"/>
              </w:rPr>
            </w:pPr>
            <w:r w:rsidRPr="006713AC">
              <w:rPr>
                <w:b/>
                <w:bCs/>
                <w:szCs w:val="24"/>
              </w:rPr>
              <w:t>Engineering principles: safety systems</w:t>
            </w:r>
          </w:p>
        </w:tc>
        <w:tc>
          <w:tcPr>
            <w:tcW w:w="2095" w:type="pct"/>
            <w:tcBorders>
              <w:top w:val="single" w:sz="4" w:space="0" w:color="auto"/>
              <w:left w:val="single" w:sz="4" w:space="0" w:color="auto"/>
              <w:bottom w:val="single" w:sz="4" w:space="0" w:color="auto"/>
              <w:right w:val="single" w:sz="4" w:space="0" w:color="auto"/>
            </w:tcBorders>
            <w:shd w:val="clear" w:color="auto" w:fill="FFCC99"/>
            <w:vAlign w:val="center"/>
          </w:tcPr>
          <w:p w14:paraId="51C6DE1C" w14:textId="77777777" w:rsidR="005E625A" w:rsidRPr="006713AC" w:rsidRDefault="005E625A" w:rsidP="00AB3536">
            <w:pPr>
              <w:keepNext/>
              <w:spacing w:before="60" w:after="60"/>
              <w:rPr>
                <w:szCs w:val="24"/>
              </w:rPr>
            </w:pPr>
            <w:r w:rsidRPr="006713AC">
              <w:rPr>
                <w:szCs w:val="24"/>
              </w:rPr>
              <w:t>Monitoring of plant safety</w:t>
            </w:r>
          </w:p>
        </w:tc>
        <w:tc>
          <w:tcPr>
            <w:tcW w:w="650" w:type="pct"/>
            <w:tcBorders>
              <w:top w:val="single" w:sz="4" w:space="0" w:color="auto"/>
              <w:left w:val="single" w:sz="4" w:space="0" w:color="auto"/>
              <w:bottom w:val="single" w:sz="4" w:space="0" w:color="auto"/>
              <w:right w:val="single" w:sz="4" w:space="0" w:color="auto"/>
            </w:tcBorders>
            <w:shd w:val="clear" w:color="auto" w:fill="FFCC99"/>
            <w:vAlign w:val="center"/>
          </w:tcPr>
          <w:p w14:paraId="5543B083" w14:textId="77777777" w:rsidR="005E625A" w:rsidRPr="006713AC" w:rsidRDefault="005E625A" w:rsidP="00AB3536">
            <w:pPr>
              <w:keepNext/>
              <w:spacing w:before="60" w:after="60"/>
              <w:jc w:val="center"/>
              <w:rPr>
                <w:szCs w:val="24"/>
              </w:rPr>
            </w:pPr>
            <w:r w:rsidRPr="006713AC">
              <w:rPr>
                <w:szCs w:val="24"/>
              </w:rPr>
              <w:t>ESS.3</w:t>
            </w:r>
          </w:p>
        </w:tc>
      </w:tr>
      <w:tr w:rsidR="006713AC" w:rsidRPr="006713AC" w14:paraId="7E8704C3" w14:textId="77777777" w:rsidTr="006713AC">
        <w:tc>
          <w:tcPr>
            <w:tcW w:w="5000" w:type="pct"/>
            <w:gridSpan w:val="3"/>
            <w:tcBorders>
              <w:top w:val="single" w:sz="4" w:space="0" w:color="auto"/>
              <w:left w:val="single" w:sz="4" w:space="0" w:color="auto"/>
              <w:bottom w:val="single" w:sz="4" w:space="0" w:color="auto"/>
              <w:right w:val="single" w:sz="4" w:space="0" w:color="auto"/>
            </w:tcBorders>
            <w:vAlign w:val="center"/>
          </w:tcPr>
          <w:p w14:paraId="7E14C99A" w14:textId="0A2D9A3A" w:rsidR="005E625A" w:rsidRPr="006713AC" w:rsidRDefault="005E625A" w:rsidP="009B220C">
            <w:pPr>
              <w:keepNext/>
              <w:spacing w:after="0" w:line="240" w:lineRule="auto"/>
              <w:rPr>
                <w:szCs w:val="24"/>
              </w:rPr>
            </w:pPr>
            <w:r w:rsidRPr="006713AC">
              <w:rPr>
                <w:szCs w:val="24"/>
              </w:rPr>
              <w:t>Adequate provisions should be made to enable the monitoring of the facility state in relation</w:t>
            </w:r>
            <w:r w:rsidR="009B220C">
              <w:rPr>
                <w:szCs w:val="24"/>
              </w:rPr>
              <w:t xml:space="preserve"> </w:t>
            </w:r>
            <w:r w:rsidRPr="006713AC">
              <w:rPr>
                <w:szCs w:val="24"/>
              </w:rPr>
              <w:t>to safety and to enable the taking of any necessary safety actions during normal operational, fault, accident and severe accident conditions.</w:t>
            </w:r>
          </w:p>
        </w:tc>
      </w:tr>
    </w:tbl>
    <w:p w14:paraId="4204B765" w14:textId="77777777" w:rsidR="005E625A" w:rsidRDefault="005E625A" w:rsidP="005E625A">
      <w:pPr>
        <w:pStyle w:val="F9-Paragraph"/>
      </w:pPr>
      <w:r w:rsidRPr="00EA41CF">
        <w:t>Principle EHF.7 on user interfaces is also relevant to this principle.</w:t>
      </w:r>
    </w:p>
    <w:p w14:paraId="49FC7BF3" w14:textId="1ABA1DA4" w:rsidR="005E625A" w:rsidRPr="00ED5B07" w:rsidRDefault="005E625A" w:rsidP="005E625A">
      <w:pPr>
        <w:pStyle w:val="F9-Paragraph"/>
      </w:pPr>
      <w:r w:rsidRPr="00506528">
        <w:t xml:space="preserve">Monitoring provisions should be classified as safety or safety-related systems as appropriate and should be made in a central control location and at emergency locations (preferably a single location for a reactor) that will remain habitable during foreseeable facility or site emergencies </w:t>
      </w:r>
      <w:r w:rsidR="009B220C">
        <w:br/>
      </w:r>
      <w:r w:rsidRPr="00506528">
        <w:t>(SAP para. 400</w:t>
      </w:r>
      <w:r w:rsidR="009B220C">
        <w:t xml:space="preserve"> </w:t>
      </w:r>
      <w:sdt>
        <w:sdtPr>
          <w:id w:val="-1074892864"/>
          <w:citation/>
        </w:sdtPr>
        <w:sdtContent>
          <w:r w:rsidR="009B220C">
            <w:fldChar w:fldCharType="begin"/>
          </w:r>
          <w:r w:rsidR="009B220C">
            <w:instrText xml:space="preserve"> CITATION ONR2013 \l 2057 </w:instrText>
          </w:r>
          <w:r w:rsidR="009B220C">
            <w:fldChar w:fldCharType="separate"/>
          </w:r>
          <w:r w:rsidR="009B220C">
            <w:rPr>
              <w:noProof/>
            </w:rPr>
            <w:t>[1]</w:t>
          </w:r>
          <w:r w:rsidR="009B220C">
            <w:fldChar w:fldCharType="end"/>
          </w:r>
        </w:sdtContent>
      </w:sdt>
      <w:r w:rsidRPr="00506528">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221"/>
        <w:gridCol w:w="3779"/>
        <w:gridCol w:w="1170"/>
      </w:tblGrid>
      <w:tr w:rsidR="009B220C" w:rsidRPr="009B220C" w14:paraId="179B3F81" w14:textId="77777777" w:rsidTr="00D64229">
        <w:tc>
          <w:tcPr>
            <w:tcW w:w="1971" w:type="pct"/>
            <w:tcBorders>
              <w:top w:val="single" w:sz="4" w:space="0" w:color="auto"/>
              <w:left w:val="single" w:sz="4" w:space="0" w:color="auto"/>
              <w:bottom w:val="single" w:sz="4" w:space="0" w:color="auto"/>
              <w:right w:val="single" w:sz="4" w:space="0" w:color="auto"/>
            </w:tcBorders>
            <w:shd w:val="clear" w:color="auto" w:fill="FFCC99"/>
            <w:vAlign w:val="center"/>
          </w:tcPr>
          <w:p w14:paraId="762C0672" w14:textId="77777777" w:rsidR="005E625A" w:rsidRPr="009B220C" w:rsidRDefault="005E625A" w:rsidP="009B220C">
            <w:pPr>
              <w:keepNext/>
              <w:spacing w:after="0" w:line="240" w:lineRule="auto"/>
              <w:rPr>
                <w:b/>
                <w:bCs/>
                <w:szCs w:val="24"/>
              </w:rPr>
            </w:pPr>
            <w:r w:rsidRPr="009B220C">
              <w:rPr>
                <w:b/>
                <w:bCs/>
                <w:szCs w:val="24"/>
              </w:rPr>
              <w:t>Engineering principles: human factors</w:t>
            </w:r>
          </w:p>
        </w:tc>
        <w:tc>
          <w:tcPr>
            <w:tcW w:w="2313" w:type="pct"/>
            <w:tcBorders>
              <w:top w:val="single" w:sz="4" w:space="0" w:color="auto"/>
              <w:left w:val="single" w:sz="4" w:space="0" w:color="auto"/>
              <w:bottom w:val="single" w:sz="4" w:space="0" w:color="auto"/>
              <w:right w:val="single" w:sz="4" w:space="0" w:color="auto"/>
            </w:tcBorders>
            <w:shd w:val="clear" w:color="auto" w:fill="FFCC99"/>
            <w:vAlign w:val="center"/>
          </w:tcPr>
          <w:p w14:paraId="12003635" w14:textId="77777777" w:rsidR="005E625A" w:rsidRPr="009B220C" w:rsidRDefault="005E625A" w:rsidP="009B220C">
            <w:pPr>
              <w:keepNext/>
              <w:spacing w:after="0" w:line="240" w:lineRule="auto"/>
              <w:rPr>
                <w:szCs w:val="24"/>
              </w:rPr>
            </w:pPr>
            <w:r w:rsidRPr="009B220C">
              <w:rPr>
                <w:szCs w:val="24"/>
              </w:rPr>
              <w:t>User interfaces</w:t>
            </w:r>
          </w:p>
        </w:tc>
        <w:tc>
          <w:tcPr>
            <w:tcW w:w="716" w:type="pct"/>
            <w:tcBorders>
              <w:top w:val="single" w:sz="4" w:space="0" w:color="auto"/>
              <w:left w:val="single" w:sz="4" w:space="0" w:color="auto"/>
              <w:bottom w:val="single" w:sz="4" w:space="0" w:color="auto"/>
              <w:right w:val="single" w:sz="4" w:space="0" w:color="auto"/>
            </w:tcBorders>
            <w:shd w:val="clear" w:color="auto" w:fill="FFCC99"/>
            <w:vAlign w:val="center"/>
          </w:tcPr>
          <w:p w14:paraId="2D2C4D39" w14:textId="77777777" w:rsidR="005E625A" w:rsidRPr="009B220C" w:rsidRDefault="005E625A" w:rsidP="009B220C">
            <w:pPr>
              <w:keepNext/>
              <w:spacing w:after="0" w:line="240" w:lineRule="auto"/>
              <w:jc w:val="center"/>
              <w:rPr>
                <w:szCs w:val="24"/>
              </w:rPr>
            </w:pPr>
            <w:r w:rsidRPr="009B220C">
              <w:rPr>
                <w:szCs w:val="24"/>
              </w:rPr>
              <w:t>EHF.7</w:t>
            </w:r>
          </w:p>
        </w:tc>
      </w:tr>
      <w:tr w:rsidR="009B220C" w:rsidRPr="009B220C" w14:paraId="2D25CE07" w14:textId="77777777" w:rsidTr="00D64229">
        <w:tc>
          <w:tcPr>
            <w:tcW w:w="5000" w:type="pct"/>
            <w:gridSpan w:val="3"/>
            <w:tcBorders>
              <w:top w:val="single" w:sz="4" w:space="0" w:color="auto"/>
              <w:left w:val="single" w:sz="4" w:space="0" w:color="auto"/>
              <w:bottom w:val="single" w:sz="4" w:space="0" w:color="auto"/>
              <w:right w:val="single" w:sz="4" w:space="0" w:color="auto"/>
            </w:tcBorders>
            <w:vAlign w:val="center"/>
          </w:tcPr>
          <w:p w14:paraId="5E097DA3" w14:textId="254518FF" w:rsidR="005E625A" w:rsidRPr="009B220C" w:rsidRDefault="005E625A" w:rsidP="009B220C">
            <w:pPr>
              <w:keepNext/>
              <w:spacing w:after="0" w:line="240" w:lineRule="auto"/>
              <w:rPr>
                <w:szCs w:val="24"/>
              </w:rPr>
            </w:pPr>
            <w:r w:rsidRPr="009B220C">
              <w:rPr>
                <w:szCs w:val="24"/>
              </w:rPr>
              <w:t>Suitable and sufficient user interfaces should be provided at appropriate locations to provide</w:t>
            </w:r>
            <w:r w:rsidR="009B220C">
              <w:rPr>
                <w:szCs w:val="24"/>
              </w:rPr>
              <w:t xml:space="preserve"> </w:t>
            </w:r>
            <w:r w:rsidRPr="009B220C">
              <w:rPr>
                <w:szCs w:val="24"/>
              </w:rPr>
              <w:t>effective monitoring and control of the facility in normal operations, faults and accident conditions.</w:t>
            </w:r>
          </w:p>
        </w:tc>
      </w:tr>
    </w:tbl>
    <w:p w14:paraId="09DD9223" w14:textId="2F7385C7" w:rsidR="005E625A" w:rsidRDefault="005E625A" w:rsidP="005E625A">
      <w:pPr>
        <w:pStyle w:val="F9-Paragraph"/>
      </w:pPr>
      <w:r w:rsidRPr="00506528">
        <w:t>Appropriate locations include central control rooms, local plant control stations, locations where maintenance and/or testing is carried out and locations identified for monitoring or control within the facility’s emergency preparedness and response arrangements (e</w:t>
      </w:r>
      <w:r>
        <w:t xml:space="preserve">.g. </w:t>
      </w:r>
      <w:r w:rsidRPr="00506528">
        <w:t xml:space="preserve">site emergency control centres (SAP para. </w:t>
      </w:r>
      <w:r>
        <w:t xml:space="preserve">453 </w:t>
      </w:r>
      <w:sdt>
        <w:sdtPr>
          <w:id w:val="-2110645486"/>
          <w:citation/>
        </w:sdtPr>
        <w:sdtContent>
          <w:r>
            <w:fldChar w:fldCharType="begin"/>
          </w:r>
          <w:r>
            <w:instrText xml:space="preserve"> CITATION ONR2013 \l 2057 </w:instrText>
          </w:r>
          <w:r>
            <w:fldChar w:fldCharType="separate"/>
          </w:r>
          <w:r>
            <w:rPr>
              <w:noProof/>
            </w:rPr>
            <w:t>[1]</w:t>
          </w:r>
          <w:r>
            <w:fldChar w:fldCharType="end"/>
          </w:r>
        </w:sdtContent>
      </w:sdt>
      <w:r w:rsidRPr="00506528">
        <w:t xml:space="preserve">)). </w:t>
      </w:r>
    </w:p>
    <w:p w14:paraId="143BECFC" w14:textId="04E549F2" w:rsidR="005E625A" w:rsidRPr="00DD27B0" w:rsidRDefault="005E625A" w:rsidP="005E625A">
      <w:pPr>
        <w:pStyle w:val="F9-Paragraph"/>
      </w:pPr>
      <w:r w:rsidRPr="00506528">
        <w:t xml:space="preserve">User interfaces, which may be analogue or digital, include controls, indications, alarms, recording instruments, overview displays, mimics, communication equipment, computer-based procedures, computerised </w:t>
      </w:r>
      <w:r w:rsidRPr="00506528">
        <w:lastRenderedPageBreak/>
        <w:t>operator support systems, intelligent decision aids and reconfigurable displays and controls. Additionally, plant equipment such as valves, emergency supply connection points and similar plant and equipment may also be considered as user interfaces (SAP para. 454</w:t>
      </w:r>
      <w:r>
        <w:t xml:space="preserve"> </w:t>
      </w:r>
      <w:sdt>
        <w:sdtPr>
          <w:id w:val="1725180159"/>
          <w:citation/>
        </w:sdtPr>
        <w:sdtContent>
          <w:r>
            <w:fldChar w:fldCharType="begin"/>
          </w:r>
          <w:r>
            <w:instrText xml:space="preserve"> CITATION ONR2013 \l 2057 </w:instrText>
          </w:r>
          <w:r>
            <w:fldChar w:fldCharType="separate"/>
          </w:r>
          <w:r>
            <w:rPr>
              <w:noProof/>
            </w:rPr>
            <w:t>[1]</w:t>
          </w:r>
          <w:r>
            <w:fldChar w:fldCharType="end"/>
          </w:r>
        </w:sdtContent>
      </w:sdt>
      <w:r w:rsidRPr="00506528">
        <w:t>).</w:t>
      </w:r>
    </w:p>
    <w:p w14:paraId="59FF2FB9" w14:textId="4589E299" w:rsidR="005E625A" w:rsidRPr="00506528" w:rsidRDefault="005E625A" w:rsidP="005E625A">
      <w:pPr>
        <w:pStyle w:val="F9-Paragraph"/>
      </w:pPr>
      <w:r w:rsidRPr="00506528">
        <w:t>User interfaces (SAP para. 456</w:t>
      </w:r>
      <w:r>
        <w:t xml:space="preserve"> </w:t>
      </w:r>
      <w:sdt>
        <w:sdtPr>
          <w:id w:val="-1161227505"/>
          <w:citation/>
        </w:sdtPr>
        <w:sdtContent>
          <w:r>
            <w:fldChar w:fldCharType="begin"/>
          </w:r>
          <w:r>
            <w:instrText xml:space="preserve"> CITATION ONR2013 \l 2057 </w:instrText>
          </w:r>
          <w:r>
            <w:fldChar w:fldCharType="separate"/>
          </w:r>
          <w:r>
            <w:rPr>
              <w:noProof/>
            </w:rPr>
            <w:t>[1]</w:t>
          </w:r>
          <w:r>
            <w:fldChar w:fldCharType="end"/>
          </w:r>
        </w:sdtContent>
      </w:sdt>
      <w:r w:rsidRPr="00506528">
        <w:t>) should:</w:t>
      </w:r>
    </w:p>
    <w:p w14:paraId="2DD6C48B" w14:textId="77777777" w:rsidR="005E625A" w:rsidRPr="00506528" w:rsidRDefault="005E625A" w:rsidP="005E625A">
      <w:pPr>
        <w:pStyle w:val="Bulletlist1"/>
        <w:rPr>
          <w:b/>
          <w:caps/>
        </w:rPr>
      </w:pPr>
      <w:r w:rsidRPr="00506528">
        <w:t>provide sufficient, unambiguous information for the operator to maintain situational awareness in all operating modes and in fault and accident conditions (e.g. the behaviour and status of the automated plant control systems);</w:t>
      </w:r>
    </w:p>
    <w:p w14:paraId="233ED766" w14:textId="77777777" w:rsidR="005E625A" w:rsidRPr="00506528" w:rsidRDefault="005E625A" w:rsidP="005E625A">
      <w:pPr>
        <w:pStyle w:val="Bulletlist1"/>
      </w:pPr>
      <w:r w:rsidRPr="00506528">
        <w:t>provide a conspicuous early warning of any changes in parameters affecting safety;</w:t>
      </w:r>
    </w:p>
    <w:p w14:paraId="3CDA21CC" w14:textId="77777777" w:rsidR="005E625A" w:rsidRPr="00506528" w:rsidRDefault="005E625A" w:rsidP="005E625A">
      <w:pPr>
        <w:pStyle w:val="Bulletlist1"/>
        <w:rPr>
          <w:b/>
          <w:caps/>
        </w:rPr>
      </w:pPr>
      <w:r w:rsidRPr="00506528">
        <w:t>provide a means of signalling safety system challenges and of confirming that the safety system has initiated and achieved its safety functions;</w:t>
      </w:r>
    </w:p>
    <w:p w14:paraId="174F5C5D" w14:textId="77777777" w:rsidR="005E625A" w:rsidRPr="00506528" w:rsidRDefault="005E625A" w:rsidP="005E625A">
      <w:pPr>
        <w:pStyle w:val="Bulletlist1"/>
        <w:rPr>
          <w:b/>
          <w:caps/>
        </w:rPr>
      </w:pPr>
      <w:r w:rsidRPr="00506528">
        <w:t>support effective diagnosis of plant deviations;</w:t>
      </w:r>
    </w:p>
    <w:p w14:paraId="5A9719AD" w14:textId="77777777" w:rsidR="005E625A" w:rsidRPr="00506528" w:rsidRDefault="005E625A" w:rsidP="005E625A">
      <w:pPr>
        <w:pStyle w:val="Bulletlist1"/>
        <w:rPr>
          <w:b/>
          <w:caps/>
        </w:rPr>
      </w:pPr>
      <w:r w:rsidRPr="00506528">
        <w:t xml:space="preserve">enable the operator to determine and execute appropriate actions including those needed to overcome failures of automated safety systems or to reset a safety system after its operation; </w:t>
      </w:r>
    </w:p>
    <w:p w14:paraId="71C0DD08" w14:textId="77777777" w:rsidR="005E625A" w:rsidRPr="00506528" w:rsidRDefault="005E625A" w:rsidP="005E625A">
      <w:pPr>
        <w:pStyle w:val="Bulletlist1"/>
        <w:rPr>
          <w:b/>
          <w:caps/>
        </w:rPr>
      </w:pPr>
      <w:r w:rsidRPr="00506528">
        <w:t>support communication between personnel located in the same or different operating locations, including locations external to the facility or site; and</w:t>
      </w:r>
    </w:p>
    <w:p w14:paraId="0EEC7E49" w14:textId="37909298" w:rsidR="005E625A" w:rsidRPr="001A064B" w:rsidRDefault="005E625A" w:rsidP="005E625A">
      <w:pPr>
        <w:pStyle w:val="Bulletlist1"/>
        <w:rPr>
          <w:b/>
          <w:caps/>
        </w:rPr>
      </w:pPr>
      <w:r w:rsidRPr="00506528">
        <w:t>be clearly labelled (SAP para. 455</w:t>
      </w:r>
      <w:r>
        <w:t xml:space="preserve"> </w:t>
      </w:r>
      <w:sdt>
        <w:sdtPr>
          <w:id w:val="-1045747290"/>
          <w:citation/>
        </w:sdtPr>
        <w:sdtContent>
          <w:r>
            <w:fldChar w:fldCharType="begin"/>
          </w:r>
          <w:r>
            <w:instrText xml:space="preserve"> CITATION ONR2013 \l 2057 </w:instrText>
          </w:r>
          <w:r>
            <w:fldChar w:fldCharType="separate"/>
          </w:r>
          <w:r w:rsidRPr="005E625A">
            <w:t>[1]</w:t>
          </w:r>
          <w:r>
            <w:fldChar w:fldCharType="end"/>
          </w:r>
        </w:sdtContent>
      </w:sdt>
      <w:r w:rsidRPr="00506528">
        <w:t>).</w:t>
      </w:r>
    </w:p>
    <w:p w14:paraId="21B56C18" w14:textId="77777777" w:rsidR="005E625A" w:rsidRPr="007A53F0" w:rsidRDefault="005E625A" w:rsidP="00C07818">
      <w:pPr>
        <w:pStyle w:val="F9-Paragraph"/>
      </w:pPr>
      <w:r w:rsidRPr="007A53F0">
        <w:t>The aim here is to ensure that relevant information about a plant is brought together in a convenient location to provide operators with as complete a picture as possible of plant status and behaviour to facilitate decision making, and similarly to bring together appropriate means of control to allow quick and coordinated action in the interests of safety.</w:t>
      </w:r>
    </w:p>
    <w:p w14:paraId="4800A9B0" w14:textId="77777777" w:rsidR="005E625A" w:rsidRPr="007A53F0" w:rsidRDefault="005E625A" w:rsidP="00C07818">
      <w:pPr>
        <w:pStyle w:val="F9-Paragraph"/>
      </w:pPr>
      <w:r w:rsidRPr="007A53F0">
        <w:t>An emergency control/monitoring station should also be provided to permit safe control in the event of the central control room having to be evacuated.</w:t>
      </w:r>
    </w:p>
    <w:p w14:paraId="5C7A9E07" w14:textId="77777777" w:rsidR="005E625A" w:rsidRPr="007A53F0" w:rsidRDefault="005E625A" w:rsidP="00C07818">
      <w:pPr>
        <w:pStyle w:val="F9-Paragraph"/>
      </w:pPr>
      <w:r w:rsidRPr="007A53F0">
        <w:t>The provisioning should derive from a systematic analysis of the essential monitoring and control needed to achieve and maintain a safe plant.</w:t>
      </w:r>
    </w:p>
    <w:p w14:paraId="670D4B42" w14:textId="77777777" w:rsidR="005E625A" w:rsidRPr="007A53F0" w:rsidRDefault="005E625A" w:rsidP="00C07818">
      <w:pPr>
        <w:pStyle w:val="F9-Paragraph"/>
      </w:pPr>
      <w:r w:rsidRPr="007A53F0">
        <w:t>Where it is not possible to carry out certain plant controls from a central location (e.g. manually operated valves), then information relevant to the particular control should be available on the plant to assist the local operator.</w:t>
      </w:r>
    </w:p>
    <w:p w14:paraId="040CFF38" w14:textId="333FED98" w:rsidR="005E625A" w:rsidRPr="007A53F0" w:rsidRDefault="005E625A" w:rsidP="00C07818">
      <w:pPr>
        <w:pStyle w:val="F9-Paragraph"/>
      </w:pPr>
      <w:r w:rsidRPr="007A53F0">
        <w:t xml:space="preserve">Reference should also be made to the </w:t>
      </w:r>
      <w:r w:rsidR="00C07818">
        <w:t xml:space="preserve">TAG </w:t>
      </w:r>
      <w:r w:rsidRPr="007A53F0">
        <w:t xml:space="preserve">that deals with relevant human factors aspects, including </w:t>
      </w:r>
      <w:r>
        <w:t>the r</w:t>
      </w:r>
      <w:r w:rsidRPr="007A53F0">
        <w:t xml:space="preserve">ole of </w:t>
      </w:r>
      <w:r>
        <w:t>p</w:t>
      </w:r>
      <w:r w:rsidRPr="007A53F0">
        <w:t xml:space="preserve">ersonnel (including allocation of function between personnel and automatic systems); </w:t>
      </w:r>
      <w:r>
        <w:t>u</w:t>
      </w:r>
      <w:r w:rsidRPr="007A53F0">
        <w:t xml:space="preserve">ser </w:t>
      </w:r>
      <w:r>
        <w:t>i</w:t>
      </w:r>
      <w:r w:rsidRPr="007A53F0">
        <w:t xml:space="preserve">nterface; </w:t>
      </w:r>
      <w:r>
        <w:t>w</w:t>
      </w:r>
      <w:r w:rsidRPr="007A53F0">
        <w:t xml:space="preserve">orking </w:t>
      </w:r>
      <w:r>
        <w:t>e</w:t>
      </w:r>
      <w:r w:rsidRPr="007A53F0">
        <w:t xml:space="preserve">nvironment; and </w:t>
      </w:r>
      <w:r>
        <w:t>q</w:t>
      </w:r>
      <w:r w:rsidRPr="007A53F0">
        <w:t xml:space="preserve">uantitative </w:t>
      </w:r>
      <w:r>
        <w:t>h</w:t>
      </w:r>
      <w:r w:rsidRPr="007A53F0">
        <w:t xml:space="preserve">uman </w:t>
      </w:r>
      <w:r>
        <w:t>r</w:t>
      </w:r>
      <w:r w:rsidRPr="007A53F0">
        <w:t xml:space="preserve">eliability </w:t>
      </w:r>
      <w:r>
        <w:t>a</w:t>
      </w:r>
      <w:r w:rsidRPr="007A53F0">
        <w:t>ssessment</w:t>
      </w:r>
      <w:r w:rsidR="006713AC">
        <w:t xml:space="preserve"> </w:t>
      </w:r>
      <w:sdt>
        <w:sdtPr>
          <w:id w:val="-450009522"/>
          <w:citation/>
        </w:sdtPr>
        <w:sdtContent>
          <w:r w:rsidR="006713AC">
            <w:fldChar w:fldCharType="begin"/>
          </w:r>
          <w:r w:rsidR="006713AC">
            <w:instrText xml:space="preserve"> CITATION Placeholder1 \l 2057 </w:instrText>
          </w:r>
          <w:r w:rsidR="006713AC">
            <w:fldChar w:fldCharType="separate"/>
          </w:r>
          <w:r w:rsidR="006713AC">
            <w:rPr>
              <w:noProof/>
            </w:rPr>
            <w:t>[5]</w:t>
          </w:r>
          <w:r w:rsidR="006713AC">
            <w:fldChar w:fldCharType="end"/>
          </w:r>
        </w:sdtContent>
      </w:sdt>
      <w:r w:rsidRPr="007A53F0">
        <w:t>.</w:t>
      </w:r>
    </w:p>
    <w:p w14:paraId="01A7AB77" w14:textId="5FFC4B52" w:rsidR="005E625A" w:rsidRPr="001A064B" w:rsidRDefault="005E625A" w:rsidP="00C07818">
      <w:pPr>
        <w:pStyle w:val="F9-Paragraph"/>
      </w:pPr>
      <w:r w:rsidRPr="001A064B">
        <w:lastRenderedPageBreak/>
        <w:t xml:space="preserve">The accident management strategies should include provision of appropriately robust, suitable and sufficient instrumentation for monitoring the facility and site in accident conditions. The design and location of the in-situ instrumentation should be informed by severe accident analysis </w:t>
      </w:r>
      <w:r w:rsidR="00C07818">
        <w:br/>
      </w:r>
      <w:r w:rsidRPr="001A064B">
        <w:t>(SAP para. 778</w:t>
      </w:r>
      <w:r w:rsidR="00C07818">
        <w:t xml:space="preserve"> </w:t>
      </w:r>
      <w:sdt>
        <w:sdtPr>
          <w:id w:val="741372152"/>
          <w:citation/>
        </w:sdtPr>
        <w:sdtContent>
          <w:r w:rsidR="00C07818">
            <w:fldChar w:fldCharType="begin"/>
          </w:r>
          <w:r w:rsidR="00C07818">
            <w:instrText xml:space="preserve"> CITATION ONR2013 \l 2057 </w:instrText>
          </w:r>
          <w:r w:rsidR="00C07818">
            <w:fldChar w:fldCharType="separate"/>
          </w:r>
          <w:r w:rsidR="00C07818">
            <w:rPr>
              <w:noProof/>
            </w:rPr>
            <w:t>[1]</w:t>
          </w:r>
          <w:r w:rsidR="00C07818">
            <w:fldChar w:fldCharType="end"/>
          </w:r>
        </w:sdtContent>
      </w:sdt>
      <w:r w:rsidRPr="001A064B">
        <w:t xml:space="preserve">). Where additional hardware would facilitate accident management, this should be provided if reasonably practicable </w:t>
      </w:r>
      <w:r w:rsidR="00C07818">
        <w:br/>
      </w:r>
      <w:r w:rsidRPr="001A064B">
        <w:t>(SAP para. 779</w:t>
      </w:r>
      <w:r w:rsidR="00C07818">
        <w:t xml:space="preserve"> </w:t>
      </w:r>
      <w:sdt>
        <w:sdtPr>
          <w:id w:val="-1249192777"/>
          <w:citation/>
        </w:sdtPr>
        <w:sdtContent>
          <w:r w:rsidR="00C07818">
            <w:fldChar w:fldCharType="begin"/>
          </w:r>
          <w:r w:rsidR="00C07818">
            <w:instrText xml:space="preserve"> CITATION ONR2013 \l 2057 </w:instrText>
          </w:r>
          <w:r w:rsidR="00C07818">
            <w:fldChar w:fldCharType="separate"/>
          </w:r>
          <w:r w:rsidR="00C07818">
            <w:rPr>
              <w:noProof/>
            </w:rPr>
            <w:t>[1]</w:t>
          </w:r>
          <w:r w:rsidR="00C07818">
            <w:fldChar w:fldCharType="end"/>
          </w:r>
        </w:sdtContent>
      </w:sdt>
      <w:r w:rsidRPr="001A064B">
        <w:t>).</w:t>
      </w:r>
    </w:p>
    <w:p w14:paraId="1869967A" w14:textId="58EAC01C" w:rsidR="005E625A" w:rsidRDefault="005E625A" w:rsidP="00C07818">
      <w:pPr>
        <w:pStyle w:val="F9-Paragraph"/>
      </w:pPr>
      <w:r w:rsidRPr="007A53F0">
        <w:t xml:space="preserve">The reference to accident conditions is particularly relevant for </w:t>
      </w:r>
      <w:r>
        <w:t xml:space="preserve">systems and </w:t>
      </w:r>
      <w:r w:rsidRPr="007A53F0">
        <w:t xml:space="preserve">instrumentation </w:t>
      </w:r>
      <w:r>
        <w:t>specified to perform</w:t>
      </w:r>
      <w:r w:rsidRPr="007A53F0">
        <w:t xml:space="preserve"> post-accident monitoring or controlling </w:t>
      </w:r>
      <w:r>
        <w:t>functions</w:t>
      </w:r>
      <w:r w:rsidRPr="007A53F0">
        <w:t xml:space="preserve">. It is essential that such instruments are able to withstand without degradation of their essential functions the </w:t>
      </w:r>
      <w:r w:rsidR="00C07818" w:rsidRPr="007A53F0">
        <w:t>worst-case</w:t>
      </w:r>
      <w:r w:rsidRPr="007A53F0">
        <w:t xml:space="preserve"> conditions that the accident can cause. The extremes of environmental conditions under which </w:t>
      </w:r>
      <w:r>
        <w:t xml:space="preserve">claimed </w:t>
      </w:r>
      <w:r w:rsidRPr="007A53F0">
        <w:t>SR</w:t>
      </w:r>
      <w:r>
        <w:t>S</w:t>
      </w:r>
      <w:r w:rsidRPr="007A53F0">
        <w:t xml:space="preserve"> are required to operate reliably should be determined, and alarms or other indications provided to alert operators to their being approached and then exceeded.</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827"/>
        <w:gridCol w:w="3284"/>
        <w:gridCol w:w="1059"/>
      </w:tblGrid>
      <w:tr w:rsidR="009B220C" w:rsidRPr="009B220C" w14:paraId="46178C14" w14:textId="77777777" w:rsidTr="009B220C">
        <w:tc>
          <w:tcPr>
            <w:tcW w:w="2342" w:type="pct"/>
            <w:tcBorders>
              <w:top w:val="single" w:sz="4" w:space="0" w:color="auto"/>
              <w:left w:val="single" w:sz="4" w:space="0" w:color="auto"/>
              <w:bottom w:val="single" w:sz="4" w:space="0" w:color="auto"/>
              <w:right w:val="single" w:sz="4" w:space="0" w:color="auto"/>
            </w:tcBorders>
            <w:shd w:val="clear" w:color="auto" w:fill="FFCC99"/>
            <w:vAlign w:val="center"/>
          </w:tcPr>
          <w:p w14:paraId="04E70BD2" w14:textId="77777777" w:rsidR="005E625A" w:rsidRPr="009B220C" w:rsidRDefault="005E625A" w:rsidP="009B220C">
            <w:pPr>
              <w:keepNext/>
              <w:spacing w:after="0" w:line="240" w:lineRule="auto"/>
              <w:rPr>
                <w:b/>
                <w:bCs/>
                <w:szCs w:val="24"/>
              </w:rPr>
            </w:pPr>
            <w:r w:rsidRPr="009B220C">
              <w:rPr>
                <w:b/>
                <w:bCs/>
                <w:szCs w:val="24"/>
              </w:rPr>
              <w:t>Engineering principles: safety systems</w:t>
            </w:r>
          </w:p>
        </w:tc>
        <w:tc>
          <w:tcPr>
            <w:tcW w:w="2010" w:type="pct"/>
            <w:tcBorders>
              <w:top w:val="single" w:sz="4" w:space="0" w:color="auto"/>
              <w:left w:val="single" w:sz="4" w:space="0" w:color="auto"/>
              <w:bottom w:val="single" w:sz="4" w:space="0" w:color="auto"/>
              <w:right w:val="single" w:sz="4" w:space="0" w:color="auto"/>
            </w:tcBorders>
            <w:shd w:val="clear" w:color="auto" w:fill="FFCC99"/>
            <w:vAlign w:val="center"/>
          </w:tcPr>
          <w:p w14:paraId="2EBD1E37" w14:textId="77777777" w:rsidR="005E625A" w:rsidRPr="009B220C" w:rsidRDefault="005E625A" w:rsidP="009B220C">
            <w:pPr>
              <w:keepNext/>
              <w:spacing w:after="0" w:line="240" w:lineRule="auto"/>
              <w:rPr>
                <w:szCs w:val="24"/>
              </w:rPr>
            </w:pPr>
            <w:r w:rsidRPr="009B220C">
              <w:rPr>
                <w:szCs w:val="24"/>
              </w:rPr>
              <w:t>Demonstration of adequacy</w:t>
            </w:r>
          </w:p>
        </w:tc>
        <w:tc>
          <w:tcPr>
            <w:tcW w:w="648" w:type="pct"/>
            <w:tcBorders>
              <w:top w:val="single" w:sz="4" w:space="0" w:color="auto"/>
              <w:left w:val="single" w:sz="4" w:space="0" w:color="auto"/>
              <w:bottom w:val="single" w:sz="4" w:space="0" w:color="auto"/>
              <w:right w:val="single" w:sz="4" w:space="0" w:color="auto"/>
            </w:tcBorders>
            <w:shd w:val="clear" w:color="auto" w:fill="FFCC99"/>
            <w:vAlign w:val="center"/>
          </w:tcPr>
          <w:p w14:paraId="283CF88A" w14:textId="77777777" w:rsidR="005E625A" w:rsidRPr="009B220C" w:rsidRDefault="005E625A" w:rsidP="009B220C">
            <w:pPr>
              <w:keepNext/>
              <w:spacing w:after="0" w:line="240" w:lineRule="auto"/>
              <w:jc w:val="center"/>
              <w:rPr>
                <w:szCs w:val="24"/>
              </w:rPr>
            </w:pPr>
            <w:r w:rsidRPr="009B220C">
              <w:rPr>
                <w:szCs w:val="24"/>
              </w:rPr>
              <w:t>ESS.11</w:t>
            </w:r>
          </w:p>
        </w:tc>
      </w:tr>
      <w:tr w:rsidR="009B220C" w:rsidRPr="009B220C" w14:paraId="293C2A72" w14:textId="77777777" w:rsidTr="006713AC">
        <w:tc>
          <w:tcPr>
            <w:tcW w:w="5000" w:type="pct"/>
            <w:gridSpan w:val="3"/>
            <w:tcBorders>
              <w:top w:val="single" w:sz="4" w:space="0" w:color="auto"/>
              <w:left w:val="single" w:sz="4" w:space="0" w:color="auto"/>
              <w:bottom w:val="single" w:sz="4" w:space="0" w:color="auto"/>
              <w:right w:val="single" w:sz="4" w:space="0" w:color="auto"/>
            </w:tcBorders>
            <w:vAlign w:val="center"/>
          </w:tcPr>
          <w:p w14:paraId="1065B778" w14:textId="77777777" w:rsidR="005E625A" w:rsidRPr="009B220C" w:rsidRDefault="005E625A" w:rsidP="009B220C">
            <w:pPr>
              <w:pStyle w:val="Principle"/>
              <w:rPr>
                <w:sz w:val="24"/>
                <w:lang w:val="en-US"/>
              </w:rPr>
            </w:pPr>
            <w:r w:rsidRPr="009B220C">
              <w:rPr>
                <w:sz w:val="24"/>
              </w:rPr>
              <w:t>The adequacy of the system design to achieve its specified functions and reliabilities should be demonstrated for each safety system.</w:t>
            </w:r>
          </w:p>
        </w:tc>
      </w:tr>
    </w:tbl>
    <w:p w14:paraId="05EEF077" w14:textId="0CA5C1F5" w:rsidR="005E625A" w:rsidRPr="001A064B" w:rsidRDefault="005E625A" w:rsidP="009B220C">
      <w:pPr>
        <w:pStyle w:val="F9-Paragraph"/>
      </w:pPr>
      <w:r w:rsidRPr="001A064B">
        <w:t xml:space="preserve">Any safety-related systems that contribute towards reducing the risk from each initiating fault and/or the overall protection claim should be included in a ‘fault schedule’ (also known as a safety schedule or a fault and protection schedule) that links faults, fault sequences and safety measures. </w:t>
      </w:r>
      <w:r w:rsidR="009B220C">
        <w:br/>
      </w:r>
      <w:r w:rsidRPr="001A064B">
        <w:t>The schedule should include all relevant initiating faults with their frequencies and consequences (SAP para. 407</w:t>
      </w:r>
      <w:r w:rsidR="009B220C">
        <w:t xml:space="preserve"> </w:t>
      </w:r>
      <w:sdt>
        <w:sdtPr>
          <w:id w:val="-269005116"/>
          <w:citation/>
        </w:sdtPr>
        <w:sdtContent>
          <w:r w:rsidR="009B220C">
            <w:fldChar w:fldCharType="begin"/>
          </w:r>
          <w:r w:rsidR="009B220C">
            <w:instrText xml:space="preserve"> CITATION ONR2013 \l 2057 </w:instrText>
          </w:r>
          <w:r w:rsidR="009B220C">
            <w:fldChar w:fldCharType="separate"/>
          </w:r>
          <w:r w:rsidR="009B220C">
            <w:rPr>
              <w:noProof/>
            </w:rPr>
            <w:t>[1]</w:t>
          </w:r>
          <w:r w:rsidR="009B220C">
            <w:fldChar w:fldCharType="end"/>
          </w:r>
        </w:sdtContent>
      </w:sdt>
      <w:r w:rsidRPr="001A064B">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827"/>
        <w:gridCol w:w="3191"/>
        <w:gridCol w:w="1152"/>
      </w:tblGrid>
      <w:tr w:rsidR="005E625A" w:rsidRPr="009B220C" w14:paraId="2FA384C7" w14:textId="77777777" w:rsidTr="00D64229">
        <w:tc>
          <w:tcPr>
            <w:tcW w:w="2342" w:type="pct"/>
            <w:tcBorders>
              <w:top w:val="single" w:sz="4" w:space="0" w:color="auto"/>
              <w:left w:val="single" w:sz="4" w:space="0" w:color="auto"/>
              <w:bottom w:val="single" w:sz="4" w:space="0" w:color="auto"/>
              <w:right w:val="single" w:sz="4" w:space="0" w:color="auto"/>
            </w:tcBorders>
            <w:shd w:val="clear" w:color="auto" w:fill="FFCC99"/>
            <w:vAlign w:val="center"/>
          </w:tcPr>
          <w:p w14:paraId="3A8BAEF7" w14:textId="77777777" w:rsidR="005E625A" w:rsidRPr="009B220C" w:rsidRDefault="005E625A" w:rsidP="009B220C">
            <w:pPr>
              <w:keepNext/>
              <w:spacing w:after="0" w:line="240" w:lineRule="auto"/>
              <w:rPr>
                <w:b/>
                <w:bCs/>
                <w:szCs w:val="24"/>
              </w:rPr>
            </w:pPr>
            <w:r w:rsidRPr="009B220C">
              <w:rPr>
                <w:b/>
                <w:bCs/>
                <w:szCs w:val="24"/>
              </w:rPr>
              <w:t>Engineering principles: control and instrumentation of safety-related systems</w:t>
            </w:r>
          </w:p>
        </w:tc>
        <w:tc>
          <w:tcPr>
            <w:tcW w:w="1953" w:type="pct"/>
            <w:tcBorders>
              <w:top w:val="single" w:sz="4" w:space="0" w:color="auto"/>
              <w:left w:val="single" w:sz="4" w:space="0" w:color="auto"/>
              <w:bottom w:val="single" w:sz="4" w:space="0" w:color="auto"/>
              <w:right w:val="single" w:sz="4" w:space="0" w:color="auto"/>
            </w:tcBorders>
            <w:shd w:val="clear" w:color="auto" w:fill="FFCC99"/>
            <w:vAlign w:val="center"/>
          </w:tcPr>
          <w:p w14:paraId="1BC41A3E" w14:textId="77777777" w:rsidR="005E625A" w:rsidRPr="009B220C" w:rsidRDefault="005E625A" w:rsidP="009B220C">
            <w:pPr>
              <w:keepNext/>
              <w:spacing w:after="0" w:line="240" w:lineRule="auto"/>
              <w:rPr>
                <w:szCs w:val="24"/>
              </w:rPr>
            </w:pPr>
            <w:r w:rsidRPr="009B220C">
              <w:rPr>
                <w:szCs w:val="24"/>
              </w:rPr>
              <w:t>Performance requirements</w:t>
            </w:r>
          </w:p>
        </w:tc>
        <w:tc>
          <w:tcPr>
            <w:tcW w:w="705" w:type="pct"/>
            <w:tcBorders>
              <w:top w:val="single" w:sz="4" w:space="0" w:color="auto"/>
              <w:left w:val="single" w:sz="4" w:space="0" w:color="auto"/>
              <w:bottom w:val="single" w:sz="4" w:space="0" w:color="auto"/>
              <w:right w:val="single" w:sz="4" w:space="0" w:color="auto"/>
            </w:tcBorders>
            <w:shd w:val="clear" w:color="auto" w:fill="FFCC99"/>
            <w:vAlign w:val="center"/>
          </w:tcPr>
          <w:p w14:paraId="4D2F6E33" w14:textId="77777777" w:rsidR="005E625A" w:rsidRPr="009B220C" w:rsidRDefault="005E625A" w:rsidP="009B220C">
            <w:pPr>
              <w:keepNext/>
              <w:spacing w:after="0" w:line="240" w:lineRule="auto"/>
              <w:rPr>
                <w:szCs w:val="24"/>
              </w:rPr>
            </w:pPr>
            <w:r w:rsidRPr="009B220C">
              <w:rPr>
                <w:szCs w:val="24"/>
              </w:rPr>
              <w:t>ESR.2</w:t>
            </w:r>
          </w:p>
        </w:tc>
      </w:tr>
      <w:tr w:rsidR="005E625A" w:rsidRPr="009B220C" w14:paraId="6872E6BB" w14:textId="77777777" w:rsidTr="00D64229">
        <w:tc>
          <w:tcPr>
            <w:tcW w:w="5000" w:type="pct"/>
            <w:gridSpan w:val="3"/>
            <w:tcBorders>
              <w:top w:val="single" w:sz="4" w:space="0" w:color="auto"/>
              <w:left w:val="single" w:sz="4" w:space="0" w:color="auto"/>
              <w:bottom w:val="single" w:sz="4" w:space="0" w:color="auto"/>
              <w:right w:val="single" w:sz="4" w:space="0" w:color="auto"/>
            </w:tcBorders>
            <w:vAlign w:val="center"/>
          </w:tcPr>
          <w:p w14:paraId="2F298F80" w14:textId="77777777" w:rsidR="005E625A" w:rsidRPr="009B220C" w:rsidRDefault="005E625A" w:rsidP="009B220C">
            <w:pPr>
              <w:keepNext/>
              <w:spacing w:after="0" w:line="240" w:lineRule="auto"/>
              <w:rPr>
                <w:szCs w:val="24"/>
              </w:rPr>
            </w:pPr>
            <w:r w:rsidRPr="009B220C">
              <w:rPr>
                <w:szCs w:val="24"/>
              </w:rPr>
              <w:t>The reliability, accuracy, stability, response time, range and, where appropriate, the readability of instrumentation, should be adequate for it to deliver its safety functions.</w:t>
            </w:r>
          </w:p>
        </w:tc>
      </w:tr>
    </w:tbl>
    <w:p w14:paraId="7EF05F3F" w14:textId="77777777" w:rsidR="005E625A" w:rsidRDefault="005E625A" w:rsidP="009B220C">
      <w:pPr>
        <w:pStyle w:val="F9-Paragraph"/>
      </w:pPr>
      <w:r w:rsidRPr="0067137A">
        <w:t>The need for this SAP is largely self-evident. It serves to remind the assessor of the various characteristics of the instrumentation</w:t>
      </w:r>
      <w:r>
        <w:t xml:space="preserve"> of safety-related systems</w:t>
      </w:r>
      <w:r w:rsidRPr="0067137A">
        <w:t xml:space="preserve"> that need to be individually considered and questioned if necessary.</w:t>
      </w:r>
    </w:p>
    <w:p w14:paraId="7DA0D0ED" w14:textId="77777777" w:rsidR="008411D5" w:rsidRDefault="008411D5" w:rsidP="009B220C">
      <w:pPr>
        <w:keepNext/>
        <w:spacing w:after="0" w:line="240" w:lineRule="auto"/>
        <w:rPr>
          <w:b/>
          <w:bCs/>
          <w:szCs w:val="24"/>
        </w:rPr>
        <w:sectPr w:rsidR="008411D5" w:rsidSect="000B2BCD">
          <w:pgSz w:w="11906" w:h="16838" w:code="9"/>
          <w:pgMar w:top="1440" w:right="1440" w:bottom="1440" w:left="1440" w:header="397" w:footer="397" w:gutter="0"/>
          <w:cols w:space="312"/>
          <w:docGrid w:linePitch="360"/>
        </w:sectPr>
      </w:pP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827"/>
        <w:gridCol w:w="3191"/>
        <w:gridCol w:w="1152"/>
      </w:tblGrid>
      <w:tr w:rsidR="005E625A" w:rsidRPr="009B220C" w14:paraId="6A734328" w14:textId="77777777" w:rsidTr="00D64229">
        <w:tc>
          <w:tcPr>
            <w:tcW w:w="2342" w:type="pct"/>
            <w:tcBorders>
              <w:top w:val="single" w:sz="4" w:space="0" w:color="auto"/>
              <w:left w:val="single" w:sz="4" w:space="0" w:color="auto"/>
              <w:bottom w:val="single" w:sz="4" w:space="0" w:color="auto"/>
              <w:right w:val="single" w:sz="4" w:space="0" w:color="auto"/>
            </w:tcBorders>
            <w:shd w:val="clear" w:color="auto" w:fill="FFCC99"/>
            <w:vAlign w:val="center"/>
          </w:tcPr>
          <w:p w14:paraId="6682F489" w14:textId="77777777" w:rsidR="005E625A" w:rsidRPr="009B220C" w:rsidRDefault="005E625A" w:rsidP="009B220C">
            <w:pPr>
              <w:keepNext/>
              <w:spacing w:after="0" w:line="240" w:lineRule="auto"/>
              <w:rPr>
                <w:b/>
                <w:bCs/>
                <w:szCs w:val="24"/>
              </w:rPr>
            </w:pPr>
            <w:r w:rsidRPr="009B220C">
              <w:rPr>
                <w:b/>
                <w:bCs/>
                <w:szCs w:val="24"/>
              </w:rPr>
              <w:lastRenderedPageBreak/>
              <w:t>Engineering principles: control and instrumentation of safety-related systems</w:t>
            </w:r>
          </w:p>
        </w:tc>
        <w:tc>
          <w:tcPr>
            <w:tcW w:w="1953" w:type="pct"/>
            <w:tcBorders>
              <w:top w:val="single" w:sz="4" w:space="0" w:color="auto"/>
              <w:left w:val="single" w:sz="4" w:space="0" w:color="auto"/>
              <w:bottom w:val="single" w:sz="4" w:space="0" w:color="auto"/>
              <w:right w:val="single" w:sz="4" w:space="0" w:color="auto"/>
            </w:tcBorders>
            <w:shd w:val="clear" w:color="auto" w:fill="FFCC99"/>
            <w:vAlign w:val="center"/>
          </w:tcPr>
          <w:p w14:paraId="48EC2753" w14:textId="77777777" w:rsidR="005E625A" w:rsidRPr="009B220C" w:rsidRDefault="005E625A" w:rsidP="009B220C">
            <w:pPr>
              <w:keepNext/>
              <w:spacing w:after="0" w:line="240" w:lineRule="auto"/>
              <w:rPr>
                <w:szCs w:val="24"/>
              </w:rPr>
            </w:pPr>
            <w:r w:rsidRPr="009B220C">
              <w:rPr>
                <w:szCs w:val="24"/>
              </w:rPr>
              <w:t>Provision of controls</w:t>
            </w:r>
          </w:p>
        </w:tc>
        <w:tc>
          <w:tcPr>
            <w:tcW w:w="705" w:type="pct"/>
            <w:tcBorders>
              <w:top w:val="single" w:sz="4" w:space="0" w:color="auto"/>
              <w:left w:val="single" w:sz="4" w:space="0" w:color="auto"/>
              <w:bottom w:val="single" w:sz="4" w:space="0" w:color="auto"/>
              <w:right w:val="single" w:sz="4" w:space="0" w:color="auto"/>
            </w:tcBorders>
            <w:shd w:val="clear" w:color="auto" w:fill="FFCC99"/>
            <w:vAlign w:val="center"/>
          </w:tcPr>
          <w:p w14:paraId="26AD8926" w14:textId="77777777" w:rsidR="005E625A" w:rsidRPr="009B220C" w:rsidRDefault="005E625A" w:rsidP="009B220C">
            <w:pPr>
              <w:keepNext/>
              <w:spacing w:after="0" w:line="240" w:lineRule="auto"/>
              <w:rPr>
                <w:szCs w:val="24"/>
              </w:rPr>
            </w:pPr>
            <w:r w:rsidRPr="009B220C">
              <w:rPr>
                <w:szCs w:val="24"/>
              </w:rPr>
              <w:t>ESR.3</w:t>
            </w:r>
          </w:p>
        </w:tc>
      </w:tr>
      <w:tr w:rsidR="005E625A" w:rsidRPr="009B220C" w14:paraId="67813B1A" w14:textId="77777777" w:rsidTr="00D64229">
        <w:tc>
          <w:tcPr>
            <w:tcW w:w="5000" w:type="pct"/>
            <w:gridSpan w:val="3"/>
            <w:tcBorders>
              <w:top w:val="single" w:sz="4" w:space="0" w:color="auto"/>
              <w:left w:val="single" w:sz="4" w:space="0" w:color="auto"/>
              <w:bottom w:val="single" w:sz="4" w:space="0" w:color="auto"/>
              <w:right w:val="single" w:sz="4" w:space="0" w:color="auto"/>
            </w:tcBorders>
            <w:vAlign w:val="center"/>
          </w:tcPr>
          <w:p w14:paraId="62E432E4" w14:textId="77777777" w:rsidR="005E625A" w:rsidRPr="009B220C" w:rsidRDefault="005E625A" w:rsidP="009B220C">
            <w:pPr>
              <w:keepNext/>
              <w:spacing w:after="0" w:line="240" w:lineRule="auto"/>
              <w:rPr>
                <w:szCs w:val="24"/>
              </w:rPr>
            </w:pPr>
            <w:r w:rsidRPr="009B220C">
              <w:rPr>
                <w:szCs w:val="24"/>
              </w:rPr>
              <w:t>Adequate and reliable controls should be provided to maintain all safety-related plant parameters within their specified ranges (operating rules).</w:t>
            </w:r>
          </w:p>
        </w:tc>
      </w:tr>
    </w:tbl>
    <w:p w14:paraId="63C55253" w14:textId="77777777" w:rsidR="005E625A" w:rsidRDefault="005E625A" w:rsidP="008411D5">
      <w:pPr>
        <w:pStyle w:val="F9-Paragraph"/>
        <w:numPr>
          <w:ilvl w:val="0"/>
          <w:numId w:val="0"/>
        </w:numPr>
        <w:ind w:left="851"/>
      </w:pP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827"/>
        <w:gridCol w:w="3191"/>
        <w:gridCol w:w="1152"/>
      </w:tblGrid>
      <w:tr w:rsidR="005E625A" w:rsidRPr="008411D5" w14:paraId="23C31FC9" w14:textId="77777777" w:rsidTr="00D64229">
        <w:tc>
          <w:tcPr>
            <w:tcW w:w="2342" w:type="pct"/>
            <w:tcBorders>
              <w:top w:val="single" w:sz="4" w:space="0" w:color="auto"/>
              <w:left w:val="single" w:sz="4" w:space="0" w:color="auto"/>
              <w:bottom w:val="single" w:sz="4" w:space="0" w:color="auto"/>
              <w:right w:val="single" w:sz="4" w:space="0" w:color="auto"/>
            </w:tcBorders>
            <w:shd w:val="clear" w:color="auto" w:fill="FFCC99"/>
            <w:vAlign w:val="center"/>
          </w:tcPr>
          <w:p w14:paraId="23F419FD" w14:textId="77777777" w:rsidR="005E625A" w:rsidRPr="008411D5" w:rsidRDefault="005E625A" w:rsidP="008411D5">
            <w:pPr>
              <w:keepNext/>
              <w:spacing w:after="0" w:line="240" w:lineRule="auto"/>
              <w:rPr>
                <w:b/>
                <w:bCs/>
                <w:szCs w:val="24"/>
              </w:rPr>
            </w:pPr>
            <w:r w:rsidRPr="008411D5">
              <w:rPr>
                <w:b/>
                <w:bCs/>
                <w:szCs w:val="24"/>
              </w:rPr>
              <w:t>Engineering principles: control and instrumentation of safety-related systems</w:t>
            </w:r>
          </w:p>
        </w:tc>
        <w:tc>
          <w:tcPr>
            <w:tcW w:w="1953" w:type="pct"/>
            <w:tcBorders>
              <w:top w:val="single" w:sz="4" w:space="0" w:color="auto"/>
              <w:left w:val="single" w:sz="4" w:space="0" w:color="auto"/>
              <w:bottom w:val="single" w:sz="4" w:space="0" w:color="auto"/>
              <w:right w:val="single" w:sz="4" w:space="0" w:color="auto"/>
            </w:tcBorders>
            <w:shd w:val="clear" w:color="auto" w:fill="FFCC99"/>
            <w:vAlign w:val="center"/>
          </w:tcPr>
          <w:p w14:paraId="6695BE99" w14:textId="77777777" w:rsidR="005E625A" w:rsidRPr="008411D5" w:rsidRDefault="005E625A" w:rsidP="008411D5">
            <w:pPr>
              <w:keepNext/>
              <w:spacing w:after="0" w:line="240" w:lineRule="auto"/>
              <w:rPr>
                <w:szCs w:val="24"/>
              </w:rPr>
            </w:pPr>
            <w:r w:rsidRPr="008411D5">
              <w:rPr>
                <w:szCs w:val="24"/>
              </w:rPr>
              <w:t>Response of control systems to normal plant disturbances</w:t>
            </w:r>
          </w:p>
        </w:tc>
        <w:tc>
          <w:tcPr>
            <w:tcW w:w="705" w:type="pct"/>
            <w:tcBorders>
              <w:top w:val="single" w:sz="4" w:space="0" w:color="auto"/>
              <w:left w:val="single" w:sz="4" w:space="0" w:color="auto"/>
              <w:bottom w:val="single" w:sz="4" w:space="0" w:color="auto"/>
              <w:right w:val="single" w:sz="4" w:space="0" w:color="auto"/>
            </w:tcBorders>
            <w:shd w:val="clear" w:color="auto" w:fill="FFCC99"/>
            <w:vAlign w:val="center"/>
          </w:tcPr>
          <w:p w14:paraId="19BDDC8F" w14:textId="77777777" w:rsidR="005E625A" w:rsidRPr="008411D5" w:rsidRDefault="005E625A" w:rsidP="008411D5">
            <w:pPr>
              <w:keepNext/>
              <w:spacing w:after="0" w:line="240" w:lineRule="auto"/>
              <w:rPr>
                <w:szCs w:val="24"/>
              </w:rPr>
            </w:pPr>
            <w:r w:rsidRPr="008411D5">
              <w:rPr>
                <w:szCs w:val="24"/>
              </w:rPr>
              <w:t>ESR.9</w:t>
            </w:r>
          </w:p>
        </w:tc>
      </w:tr>
      <w:tr w:rsidR="005E625A" w:rsidRPr="008411D5" w14:paraId="1999E7AC" w14:textId="77777777" w:rsidTr="00D64229">
        <w:tc>
          <w:tcPr>
            <w:tcW w:w="5000" w:type="pct"/>
            <w:gridSpan w:val="3"/>
            <w:tcBorders>
              <w:top w:val="single" w:sz="4" w:space="0" w:color="auto"/>
              <w:left w:val="single" w:sz="4" w:space="0" w:color="auto"/>
              <w:bottom w:val="single" w:sz="4" w:space="0" w:color="auto"/>
              <w:right w:val="single" w:sz="4" w:space="0" w:color="auto"/>
            </w:tcBorders>
            <w:vAlign w:val="center"/>
          </w:tcPr>
          <w:p w14:paraId="0FA72097" w14:textId="77777777" w:rsidR="005E625A" w:rsidRPr="008411D5" w:rsidRDefault="005E625A" w:rsidP="008411D5">
            <w:pPr>
              <w:keepNext/>
              <w:spacing w:after="0" w:line="240" w:lineRule="auto"/>
              <w:rPr>
                <w:szCs w:val="24"/>
              </w:rPr>
            </w:pPr>
            <w:r w:rsidRPr="008411D5">
              <w:rPr>
                <w:szCs w:val="24"/>
              </w:rPr>
              <w:t>Control systems should respond in a timely, reliable and stable manner to normal plant disturbances without causing demands on safety systems.</w:t>
            </w:r>
          </w:p>
        </w:tc>
      </w:tr>
    </w:tbl>
    <w:p w14:paraId="41073D17" w14:textId="77777777" w:rsidR="005E625A" w:rsidRDefault="005E625A" w:rsidP="008411D5">
      <w:pPr>
        <w:pStyle w:val="F9-Paragraph"/>
      </w:pPr>
      <w:r w:rsidRPr="0067137A">
        <w:t>Although safety is primarily vested in safety systems the demand rate upon them nevertheless represents a direct contributor to the resulting accident frequency. The above two SAPs seek to restrict that demand frequency by ensuring that control systems are designed to cope reliably with normal disturbances without demanding safety system action.</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827"/>
        <w:gridCol w:w="3191"/>
        <w:gridCol w:w="1152"/>
      </w:tblGrid>
      <w:tr w:rsidR="005E625A" w:rsidRPr="008411D5" w14:paraId="17AA1DD7" w14:textId="77777777" w:rsidTr="00D64229">
        <w:tc>
          <w:tcPr>
            <w:tcW w:w="2342" w:type="pct"/>
            <w:tcBorders>
              <w:top w:val="single" w:sz="4" w:space="0" w:color="auto"/>
              <w:left w:val="single" w:sz="4" w:space="0" w:color="auto"/>
              <w:bottom w:val="single" w:sz="4" w:space="0" w:color="auto"/>
              <w:right w:val="single" w:sz="4" w:space="0" w:color="auto"/>
            </w:tcBorders>
            <w:shd w:val="clear" w:color="auto" w:fill="FFCC99"/>
            <w:vAlign w:val="center"/>
          </w:tcPr>
          <w:p w14:paraId="2DD71A72" w14:textId="77777777" w:rsidR="005E625A" w:rsidRPr="008411D5" w:rsidRDefault="005E625A" w:rsidP="008411D5">
            <w:pPr>
              <w:keepNext/>
              <w:spacing w:after="0" w:line="240" w:lineRule="auto"/>
              <w:rPr>
                <w:b/>
                <w:bCs/>
                <w:szCs w:val="24"/>
              </w:rPr>
            </w:pPr>
            <w:r w:rsidRPr="008411D5">
              <w:rPr>
                <w:b/>
                <w:bCs/>
                <w:szCs w:val="24"/>
              </w:rPr>
              <w:t>Engineering principles: control and instrumentation of safety-related systems</w:t>
            </w:r>
          </w:p>
        </w:tc>
        <w:tc>
          <w:tcPr>
            <w:tcW w:w="1953" w:type="pct"/>
            <w:tcBorders>
              <w:top w:val="single" w:sz="4" w:space="0" w:color="auto"/>
              <w:left w:val="single" w:sz="4" w:space="0" w:color="auto"/>
              <w:bottom w:val="single" w:sz="4" w:space="0" w:color="auto"/>
              <w:right w:val="single" w:sz="4" w:space="0" w:color="auto"/>
            </w:tcBorders>
            <w:shd w:val="clear" w:color="auto" w:fill="FFCC99"/>
            <w:vAlign w:val="center"/>
          </w:tcPr>
          <w:p w14:paraId="301E4B60" w14:textId="77777777" w:rsidR="005E625A" w:rsidRPr="008411D5" w:rsidRDefault="005E625A" w:rsidP="008411D5">
            <w:pPr>
              <w:keepNext/>
              <w:spacing w:after="0" w:line="240" w:lineRule="auto"/>
              <w:rPr>
                <w:szCs w:val="24"/>
              </w:rPr>
            </w:pPr>
            <w:r w:rsidRPr="008411D5">
              <w:rPr>
                <w:szCs w:val="24"/>
              </w:rPr>
              <w:t xml:space="preserve">Minimum operational equipment </w:t>
            </w:r>
          </w:p>
        </w:tc>
        <w:tc>
          <w:tcPr>
            <w:tcW w:w="705" w:type="pct"/>
            <w:tcBorders>
              <w:top w:val="single" w:sz="4" w:space="0" w:color="auto"/>
              <w:left w:val="single" w:sz="4" w:space="0" w:color="auto"/>
              <w:bottom w:val="single" w:sz="4" w:space="0" w:color="auto"/>
              <w:right w:val="single" w:sz="4" w:space="0" w:color="auto"/>
            </w:tcBorders>
            <w:shd w:val="clear" w:color="auto" w:fill="FFCC99"/>
            <w:vAlign w:val="center"/>
          </w:tcPr>
          <w:p w14:paraId="153E720D" w14:textId="77777777" w:rsidR="005E625A" w:rsidRPr="008411D5" w:rsidRDefault="005E625A" w:rsidP="008411D5">
            <w:pPr>
              <w:keepNext/>
              <w:spacing w:after="0" w:line="240" w:lineRule="auto"/>
              <w:rPr>
                <w:szCs w:val="24"/>
              </w:rPr>
            </w:pPr>
            <w:r w:rsidRPr="008411D5">
              <w:rPr>
                <w:szCs w:val="24"/>
              </w:rPr>
              <w:t>ESR.4</w:t>
            </w:r>
          </w:p>
        </w:tc>
      </w:tr>
      <w:tr w:rsidR="005E625A" w:rsidRPr="008411D5" w14:paraId="736D3404" w14:textId="77777777" w:rsidTr="00D64229">
        <w:tc>
          <w:tcPr>
            <w:tcW w:w="5000" w:type="pct"/>
            <w:gridSpan w:val="3"/>
            <w:tcBorders>
              <w:top w:val="single" w:sz="4" w:space="0" w:color="auto"/>
              <w:left w:val="single" w:sz="4" w:space="0" w:color="auto"/>
              <w:bottom w:val="single" w:sz="4" w:space="0" w:color="auto"/>
              <w:right w:val="single" w:sz="4" w:space="0" w:color="auto"/>
            </w:tcBorders>
            <w:vAlign w:val="center"/>
          </w:tcPr>
          <w:p w14:paraId="74476EA9" w14:textId="77777777" w:rsidR="005E625A" w:rsidRPr="008411D5" w:rsidRDefault="005E625A" w:rsidP="008411D5">
            <w:pPr>
              <w:keepNext/>
              <w:spacing w:after="0" w:line="240" w:lineRule="auto"/>
              <w:rPr>
                <w:szCs w:val="24"/>
              </w:rPr>
            </w:pPr>
            <w:r w:rsidRPr="008411D5">
              <w:rPr>
                <w:szCs w:val="24"/>
              </w:rPr>
              <w:t>The minimum control and instrumentation in each of the facility’s permitted operating modes should be specified (operating rules) and its adequacy substantiated.</w:t>
            </w:r>
          </w:p>
        </w:tc>
      </w:tr>
    </w:tbl>
    <w:p w14:paraId="7CEC0A6F" w14:textId="7385509B" w:rsidR="005E625A" w:rsidRDefault="005E625A" w:rsidP="008411D5">
      <w:pPr>
        <w:pStyle w:val="F9-Paragraph"/>
      </w:pPr>
      <w:r w:rsidRPr="0067137A">
        <w:t xml:space="preserve">Where safety depends upon information then the systems that provide that information should be </w:t>
      </w:r>
      <w:r w:rsidR="008411D5" w:rsidRPr="0067137A">
        <w:t>listed,</w:t>
      </w:r>
      <w:r w:rsidRPr="0067137A">
        <w:t xml:space="preserve"> and the licensee's arrangements shown to prohibit operation without an appropriate minimum set.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827"/>
        <w:gridCol w:w="3191"/>
        <w:gridCol w:w="1152"/>
      </w:tblGrid>
      <w:tr w:rsidR="005E625A" w:rsidRPr="008411D5" w14:paraId="1A0449C3" w14:textId="77777777" w:rsidTr="00D64229">
        <w:tc>
          <w:tcPr>
            <w:tcW w:w="2342" w:type="pct"/>
            <w:tcBorders>
              <w:top w:val="single" w:sz="4" w:space="0" w:color="auto"/>
              <w:left w:val="single" w:sz="4" w:space="0" w:color="auto"/>
              <w:bottom w:val="single" w:sz="4" w:space="0" w:color="auto"/>
              <w:right w:val="single" w:sz="4" w:space="0" w:color="auto"/>
            </w:tcBorders>
            <w:shd w:val="clear" w:color="auto" w:fill="FFCC99"/>
            <w:vAlign w:val="center"/>
          </w:tcPr>
          <w:p w14:paraId="065942F5" w14:textId="77777777" w:rsidR="005E625A" w:rsidRPr="008411D5" w:rsidRDefault="005E625A" w:rsidP="008411D5">
            <w:pPr>
              <w:keepNext/>
              <w:spacing w:after="0" w:line="240" w:lineRule="auto"/>
              <w:rPr>
                <w:b/>
                <w:bCs/>
                <w:szCs w:val="24"/>
              </w:rPr>
            </w:pPr>
            <w:r w:rsidRPr="008411D5">
              <w:rPr>
                <w:b/>
                <w:bCs/>
                <w:szCs w:val="24"/>
              </w:rPr>
              <w:t>Engineering principles: control and instrumentation of safety-related systems</w:t>
            </w:r>
          </w:p>
        </w:tc>
        <w:tc>
          <w:tcPr>
            <w:tcW w:w="1953" w:type="pct"/>
            <w:tcBorders>
              <w:top w:val="single" w:sz="4" w:space="0" w:color="auto"/>
              <w:left w:val="single" w:sz="4" w:space="0" w:color="auto"/>
              <w:bottom w:val="single" w:sz="4" w:space="0" w:color="auto"/>
              <w:right w:val="single" w:sz="4" w:space="0" w:color="auto"/>
            </w:tcBorders>
            <w:shd w:val="clear" w:color="auto" w:fill="FFCC99"/>
            <w:vAlign w:val="center"/>
          </w:tcPr>
          <w:p w14:paraId="296A6395" w14:textId="77777777" w:rsidR="005E625A" w:rsidRPr="008411D5" w:rsidRDefault="005E625A" w:rsidP="008411D5">
            <w:pPr>
              <w:keepNext/>
              <w:spacing w:after="0" w:line="240" w:lineRule="auto"/>
              <w:rPr>
                <w:szCs w:val="24"/>
              </w:rPr>
            </w:pPr>
            <w:r w:rsidRPr="008411D5">
              <w:rPr>
                <w:szCs w:val="24"/>
              </w:rPr>
              <w:t>Communications systems</w:t>
            </w:r>
          </w:p>
        </w:tc>
        <w:tc>
          <w:tcPr>
            <w:tcW w:w="705" w:type="pct"/>
            <w:tcBorders>
              <w:top w:val="single" w:sz="4" w:space="0" w:color="auto"/>
              <w:left w:val="single" w:sz="4" w:space="0" w:color="auto"/>
              <w:bottom w:val="single" w:sz="4" w:space="0" w:color="auto"/>
              <w:right w:val="single" w:sz="4" w:space="0" w:color="auto"/>
            </w:tcBorders>
            <w:shd w:val="clear" w:color="auto" w:fill="FFCC99"/>
            <w:vAlign w:val="center"/>
          </w:tcPr>
          <w:p w14:paraId="717B15E8" w14:textId="77777777" w:rsidR="005E625A" w:rsidRPr="008411D5" w:rsidRDefault="005E625A" w:rsidP="008411D5">
            <w:pPr>
              <w:keepNext/>
              <w:spacing w:after="0" w:line="240" w:lineRule="auto"/>
              <w:rPr>
                <w:szCs w:val="24"/>
              </w:rPr>
            </w:pPr>
            <w:r w:rsidRPr="008411D5">
              <w:rPr>
                <w:szCs w:val="24"/>
              </w:rPr>
              <w:t>ESR.7</w:t>
            </w:r>
          </w:p>
        </w:tc>
      </w:tr>
      <w:tr w:rsidR="005E625A" w:rsidRPr="008411D5" w14:paraId="43F69B8F" w14:textId="77777777" w:rsidTr="00D64229">
        <w:tc>
          <w:tcPr>
            <w:tcW w:w="5000" w:type="pct"/>
            <w:gridSpan w:val="3"/>
            <w:tcBorders>
              <w:top w:val="single" w:sz="4" w:space="0" w:color="auto"/>
              <w:left w:val="single" w:sz="4" w:space="0" w:color="auto"/>
              <w:bottom w:val="single" w:sz="4" w:space="0" w:color="auto"/>
              <w:right w:val="single" w:sz="4" w:space="0" w:color="auto"/>
            </w:tcBorders>
            <w:vAlign w:val="center"/>
          </w:tcPr>
          <w:p w14:paraId="318E87A5" w14:textId="77777777" w:rsidR="005E625A" w:rsidRPr="008411D5" w:rsidRDefault="005E625A" w:rsidP="008411D5">
            <w:pPr>
              <w:keepNext/>
              <w:spacing w:after="0" w:line="240" w:lineRule="auto"/>
              <w:rPr>
                <w:szCs w:val="24"/>
              </w:rPr>
            </w:pPr>
            <w:r w:rsidRPr="008411D5">
              <w:rPr>
                <w:szCs w:val="24"/>
              </w:rPr>
              <w:t>Adequate communications systems should be provided to enable information and instructions to be transmitted between locations on and, where necessary, off the site. The systems should provide robust means of communication during normal operations, fault conditions and severe accidents.</w:t>
            </w:r>
          </w:p>
        </w:tc>
      </w:tr>
    </w:tbl>
    <w:p w14:paraId="1F15169C" w14:textId="4AF9F86A" w:rsidR="005E625A" w:rsidRPr="001A064B" w:rsidRDefault="005E625A" w:rsidP="008411D5">
      <w:pPr>
        <w:pStyle w:val="F9-Paragraph"/>
      </w:pPr>
      <w:r w:rsidRPr="001A064B">
        <w:t xml:space="preserve">These communication systems should be designed to not have any adverse effect on safety systems, or other safety-related systems </w:t>
      </w:r>
      <w:r w:rsidR="008411D5">
        <w:br/>
      </w:r>
      <w:r w:rsidRPr="001A064B">
        <w:t>(SAP para. 434</w:t>
      </w:r>
      <w:r w:rsidR="008411D5">
        <w:t xml:space="preserve"> </w:t>
      </w:r>
      <w:sdt>
        <w:sdtPr>
          <w:id w:val="186185125"/>
          <w:citation/>
        </w:sdtPr>
        <w:sdtContent>
          <w:r w:rsidR="008411D5">
            <w:fldChar w:fldCharType="begin"/>
          </w:r>
          <w:r w:rsidR="008411D5">
            <w:instrText xml:space="preserve"> CITATION ONR2013 \l 2057 </w:instrText>
          </w:r>
          <w:r w:rsidR="008411D5">
            <w:fldChar w:fldCharType="separate"/>
          </w:r>
          <w:r w:rsidR="008411D5">
            <w:rPr>
              <w:noProof/>
            </w:rPr>
            <w:t>[1]</w:t>
          </w:r>
          <w:r w:rsidR="008411D5">
            <w:fldChar w:fldCharType="end"/>
          </w:r>
        </w:sdtContent>
      </w:sdt>
      <w:r w:rsidRPr="001A064B">
        <w:t>).</w:t>
      </w:r>
    </w:p>
    <w:p w14:paraId="07111CCB" w14:textId="41D4A8BC" w:rsidR="005E625A" w:rsidRPr="0067137A" w:rsidRDefault="005E625A" w:rsidP="008411D5">
      <w:pPr>
        <w:pStyle w:val="F9-Paragraph"/>
      </w:pPr>
      <w:r w:rsidRPr="0067137A">
        <w:t>It is impractical for all indications and controls to be centrally located for all possible circumstances, so communication systems are necessary linking the parties likely to be involved in maintaining safety.</w:t>
      </w:r>
      <w:r w:rsidR="00B470F3">
        <w:t xml:space="preserve"> </w:t>
      </w:r>
      <w:r w:rsidRPr="0067137A">
        <w:t>It should be ensured that the communication systems themselves cannot give rise to additional hazards, e.g. interference from mobile phones.</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969"/>
        <w:gridCol w:w="3049"/>
        <w:gridCol w:w="1152"/>
      </w:tblGrid>
      <w:tr w:rsidR="005E625A" w:rsidRPr="00B470F3" w14:paraId="5888E044" w14:textId="77777777" w:rsidTr="00D64229">
        <w:tc>
          <w:tcPr>
            <w:tcW w:w="2429" w:type="pct"/>
            <w:tcBorders>
              <w:top w:val="single" w:sz="4" w:space="0" w:color="auto"/>
              <w:left w:val="single" w:sz="4" w:space="0" w:color="auto"/>
              <w:bottom w:val="single" w:sz="4" w:space="0" w:color="auto"/>
              <w:right w:val="single" w:sz="4" w:space="0" w:color="auto"/>
            </w:tcBorders>
            <w:shd w:val="clear" w:color="auto" w:fill="FFCC99"/>
            <w:vAlign w:val="center"/>
          </w:tcPr>
          <w:p w14:paraId="368A3B1D" w14:textId="77777777" w:rsidR="005E625A" w:rsidRPr="00B470F3" w:rsidRDefault="005E625A" w:rsidP="00B470F3">
            <w:pPr>
              <w:keepNext/>
              <w:spacing w:after="0" w:line="240" w:lineRule="auto"/>
              <w:rPr>
                <w:b/>
                <w:bCs/>
                <w:szCs w:val="24"/>
              </w:rPr>
            </w:pPr>
            <w:r w:rsidRPr="00B470F3">
              <w:rPr>
                <w:b/>
                <w:bCs/>
                <w:szCs w:val="24"/>
              </w:rPr>
              <w:lastRenderedPageBreak/>
              <w:t>Engineering principles: control and instrumentation of safety-related systems</w:t>
            </w:r>
          </w:p>
        </w:tc>
        <w:tc>
          <w:tcPr>
            <w:tcW w:w="1866" w:type="pct"/>
            <w:tcBorders>
              <w:top w:val="single" w:sz="4" w:space="0" w:color="auto"/>
              <w:left w:val="single" w:sz="4" w:space="0" w:color="auto"/>
              <w:bottom w:val="single" w:sz="4" w:space="0" w:color="auto"/>
              <w:right w:val="single" w:sz="4" w:space="0" w:color="auto"/>
            </w:tcBorders>
            <w:shd w:val="clear" w:color="auto" w:fill="FFCC99"/>
            <w:vAlign w:val="center"/>
          </w:tcPr>
          <w:p w14:paraId="700A972E" w14:textId="77777777" w:rsidR="005E625A" w:rsidRPr="00B470F3" w:rsidRDefault="005E625A" w:rsidP="00B470F3">
            <w:pPr>
              <w:keepNext/>
              <w:spacing w:after="0" w:line="240" w:lineRule="auto"/>
              <w:rPr>
                <w:szCs w:val="24"/>
              </w:rPr>
            </w:pPr>
            <w:r w:rsidRPr="00B470F3">
              <w:rPr>
                <w:szCs w:val="24"/>
              </w:rPr>
              <w:t>Power supplies</w:t>
            </w:r>
          </w:p>
        </w:tc>
        <w:tc>
          <w:tcPr>
            <w:tcW w:w="705" w:type="pct"/>
            <w:tcBorders>
              <w:top w:val="single" w:sz="4" w:space="0" w:color="auto"/>
              <w:left w:val="single" w:sz="4" w:space="0" w:color="auto"/>
              <w:bottom w:val="single" w:sz="4" w:space="0" w:color="auto"/>
              <w:right w:val="single" w:sz="4" w:space="0" w:color="auto"/>
            </w:tcBorders>
            <w:shd w:val="clear" w:color="auto" w:fill="FFCC99"/>
            <w:vAlign w:val="center"/>
          </w:tcPr>
          <w:p w14:paraId="6156C322" w14:textId="77777777" w:rsidR="005E625A" w:rsidRPr="00B470F3" w:rsidRDefault="005E625A" w:rsidP="00B470F3">
            <w:pPr>
              <w:keepNext/>
              <w:spacing w:after="0" w:line="240" w:lineRule="auto"/>
              <w:rPr>
                <w:szCs w:val="24"/>
              </w:rPr>
            </w:pPr>
            <w:r w:rsidRPr="00B470F3">
              <w:rPr>
                <w:szCs w:val="24"/>
              </w:rPr>
              <w:t>ESR.6</w:t>
            </w:r>
          </w:p>
        </w:tc>
      </w:tr>
      <w:tr w:rsidR="005E625A" w:rsidRPr="00B470F3" w14:paraId="130A17AC" w14:textId="77777777" w:rsidTr="00D64229">
        <w:tc>
          <w:tcPr>
            <w:tcW w:w="5000" w:type="pct"/>
            <w:gridSpan w:val="3"/>
            <w:tcBorders>
              <w:top w:val="single" w:sz="4" w:space="0" w:color="auto"/>
              <w:left w:val="single" w:sz="4" w:space="0" w:color="auto"/>
              <w:bottom w:val="single" w:sz="4" w:space="0" w:color="auto"/>
              <w:right w:val="single" w:sz="4" w:space="0" w:color="auto"/>
            </w:tcBorders>
            <w:vAlign w:val="center"/>
          </w:tcPr>
          <w:p w14:paraId="161086A5" w14:textId="77777777" w:rsidR="005E625A" w:rsidRPr="00B470F3" w:rsidRDefault="005E625A" w:rsidP="00B470F3">
            <w:pPr>
              <w:keepNext/>
              <w:spacing w:after="0" w:line="240" w:lineRule="auto"/>
              <w:rPr>
                <w:szCs w:val="24"/>
              </w:rPr>
            </w:pPr>
            <w:r w:rsidRPr="00B470F3">
              <w:rPr>
                <w:szCs w:val="24"/>
              </w:rPr>
              <w:t>Safety-related system control and instrumentation should be operated from power supplies whose reliabilities and availabilities are consistent with the safety functions being performed.</w:t>
            </w:r>
          </w:p>
        </w:tc>
      </w:tr>
    </w:tbl>
    <w:p w14:paraId="4116645A" w14:textId="7A671299" w:rsidR="005E625A" w:rsidRPr="001A064B" w:rsidRDefault="005E625A" w:rsidP="008411D5">
      <w:pPr>
        <w:pStyle w:val="F9-Paragraph"/>
      </w:pPr>
      <w:r w:rsidRPr="001A064B">
        <w:t>In the case of monitoring, warning and communication functions, these supplies should be uninterruptible and independent of other safety-related systems (SAP para. 432</w:t>
      </w:r>
      <w:r w:rsidR="008411D5">
        <w:t xml:space="preserve"> </w:t>
      </w:r>
      <w:sdt>
        <w:sdtPr>
          <w:id w:val="-868985587"/>
          <w:citation/>
        </w:sdtPr>
        <w:sdtContent>
          <w:r w:rsidR="008411D5">
            <w:fldChar w:fldCharType="begin"/>
          </w:r>
          <w:r w:rsidR="008411D5">
            <w:instrText xml:space="preserve"> CITATION ONR2013 \l 2057 </w:instrText>
          </w:r>
          <w:r w:rsidR="008411D5">
            <w:fldChar w:fldCharType="separate"/>
          </w:r>
          <w:r w:rsidR="008411D5">
            <w:rPr>
              <w:noProof/>
            </w:rPr>
            <w:t>[1]</w:t>
          </w:r>
          <w:r w:rsidR="008411D5">
            <w:fldChar w:fldCharType="end"/>
          </w:r>
        </w:sdtContent>
      </w:sdt>
      <w:r w:rsidRPr="001A064B">
        <w:t>).</w:t>
      </w:r>
    </w:p>
    <w:p w14:paraId="1314B28E" w14:textId="77777777" w:rsidR="005E625A" w:rsidRPr="0067137A" w:rsidRDefault="005E625A" w:rsidP="008411D5">
      <w:pPr>
        <w:pStyle w:val="F9-Paragraph"/>
      </w:pPr>
      <w:r w:rsidRPr="0067137A">
        <w:t xml:space="preserve">The function of a </w:t>
      </w:r>
      <w:r>
        <w:t xml:space="preserve">safety-related </w:t>
      </w:r>
      <w:r w:rsidRPr="0067137A">
        <w:t xml:space="preserve">system should not be degraded by its power supply (or any other service). Those </w:t>
      </w:r>
      <w:r>
        <w:t xml:space="preserve">safety-related </w:t>
      </w:r>
      <w:r w:rsidRPr="0067137A">
        <w:t>systems whose correct functioning depends upon an uninterrupt</w:t>
      </w:r>
      <w:r>
        <w:t>ible</w:t>
      </w:r>
      <w:r w:rsidRPr="0067137A">
        <w:t xml:space="preserve"> power supply or other service should be identified and the supply provisions shown to be appropriate.</w:t>
      </w:r>
    </w:p>
    <w:p w14:paraId="1C12AD9B" w14:textId="1EAB5A23" w:rsidR="005E625A" w:rsidRPr="0067137A" w:rsidRDefault="005E625A" w:rsidP="008411D5">
      <w:pPr>
        <w:pStyle w:val="F9-Paragraph"/>
      </w:pPr>
      <w:r w:rsidRPr="0067137A">
        <w:t>Supplies to safety-related systems may also be provided from ‘essential services’.</w:t>
      </w:r>
      <w:r w:rsidR="00B470F3">
        <w:t xml:space="preserve"> </w:t>
      </w:r>
      <w:r w:rsidRPr="001A064B">
        <w:t>The services may include electricity, gas, water, compressed air, fuel and lubricants, and may need to satisfy two requirements.</w:t>
      </w:r>
      <w:r w:rsidR="00B470F3">
        <w:t xml:space="preserve"> </w:t>
      </w:r>
      <w:r w:rsidRPr="001A064B">
        <w:t>The first requirement is to provide a guaranteed, or non-interruptible short-term supply to ensure continuity until the long-term essential supply is established, and the second is to ensure that there is adequate capacity to supply the service until normal supplies can be restored (SAP para. 436</w:t>
      </w:r>
      <w:r w:rsidR="008411D5">
        <w:t xml:space="preserve"> </w:t>
      </w:r>
      <w:sdt>
        <w:sdtPr>
          <w:id w:val="-541285796"/>
          <w:citation/>
        </w:sdtPr>
        <w:sdtContent>
          <w:r w:rsidR="008411D5">
            <w:fldChar w:fldCharType="begin"/>
          </w:r>
          <w:r w:rsidR="008411D5">
            <w:instrText xml:space="preserve"> CITATION ONR2013 \l 2057 </w:instrText>
          </w:r>
          <w:r w:rsidR="008411D5">
            <w:fldChar w:fldCharType="separate"/>
          </w:r>
          <w:r w:rsidR="008411D5">
            <w:rPr>
              <w:noProof/>
            </w:rPr>
            <w:t>[1]</w:t>
          </w:r>
          <w:r w:rsidR="008411D5">
            <w:fldChar w:fldCharType="end"/>
          </w:r>
        </w:sdtContent>
      </w:sdt>
      <w:r w:rsidRPr="001A064B">
        <w:t>).</w:t>
      </w:r>
      <w:r w:rsidR="00B470F3">
        <w:t xml:space="preserve"> </w:t>
      </w:r>
    </w:p>
    <w:p w14:paraId="139AD9BF" w14:textId="77777777" w:rsidR="005E625A" w:rsidRDefault="005E625A" w:rsidP="008411D5">
      <w:pPr>
        <w:pStyle w:val="F9-Paragraph"/>
      </w:pPr>
      <w:r w:rsidRPr="0067137A">
        <w:t>Safety assessment principles EES</w:t>
      </w:r>
      <w:r>
        <w:t>.</w:t>
      </w:r>
      <w:r w:rsidRPr="0067137A">
        <w:t>1-9 relating to the capacity, duration, reliability and functional requirements for essential services apply and are additional to the safety system and safety-related instrumentation principles.</w:t>
      </w:r>
      <w:r>
        <w:t xml:space="preserve"> </w:t>
      </w:r>
    </w:p>
    <w:p w14:paraId="36A01DF9" w14:textId="6E6F9349" w:rsidR="005E625A" w:rsidRDefault="005E625A" w:rsidP="008411D5">
      <w:pPr>
        <w:pStyle w:val="F9-Paragraph"/>
      </w:pPr>
      <w:r w:rsidRPr="00DF3A75">
        <w:t xml:space="preserve">More detailed guidance is given in the </w:t>
      </w:r>
      <w:r w:rsidR="00B470F3">
        <w:t xml:space="preserve">TAG on essential services </w:t>
      </w:r>
      <w:sdt>
        <w:sdtPr>
          <w:id w:val="1043175155"/>
          <w:citation/>
        </w:sdtPr>
        <w:sdtContent>
          <w:r w:rsidR="00B470F3">
            <w:fldChar w:fldCharType="begin"/>
          </w:r>
          <w:r w:rsidR="00B470F3">
            <w:instrText xml:space="preserve"> CITATION ONR137 \l 2057 </w:instrText>
          </w:r>
          <w:r w:rsidR="00B470F3">
            <w:fldChar w:fldCharType="separate"/>
          </w:r>
          <w:r w:rsidR="00B470F3">
            <w:rPr>
              <w:noProof/>
            </w:rPr>
            <w:t>[6]</w:t>
          </w:r>
          <w:r w:rsidR="00B470F3">
            <w:fldChar w:fldCharType="end"/>
          </w:r>
        </w:sdtContent>
      </w:sdt>
      <w:r w:rsidRPr="00DF3A75">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827"/>
        <w:gridCol w:w="3191"/>
        <w:gridCol w:w="1152"/>
      </w:tblGrid>
      <w:tr w:rsidR="005E625A" w14:paraId="604FB86A" w14:textId="77777777" w:rsidTr="00D64229">
        <w:tc>
          <w:tcPr>
            <w:tcW w:w="2342" w:type="pct"/>
            <w:tcBorders>
              <w:top w:val="single" w:sz="4" w:space="0" w:color="auto"/>
              <w:left w:val="single" w:sz="4" w:space="0" w:color="auto"/>
              <w:bottom w:val="single" w:sz="4" w:space="0" w:color="auto"/>
              <w:right w:val="single" w:sz="4" w:space="0" w:color="auto"/>
            </w:tcBorders>
            <w:shd w:val="clear" w:color="auto" w:fill="FFCC99"/>
            <w:vAlign w:val="center"/>
          </w:tcPr>
          <w:p w14:paraId="37AAAC07" w14:textId="77777777" w:rsidR="005E625A" w:rsidRPr="00D64229" w:rsidRDefault="005E625A" w:rsidP="00D64229">
            <w:pPr>
              <w:keepNext/>
              <w:spacing w:after="0" w:line="240" w:lineRule="auto"/>
              <w:rPr>
                <w:b/>
                <w:bCs/>
                <w:szCs w:val="24"/>
              </w:rPr>
            </w:pPr>
            <w:r w:rsidRPr="00D64229">
              <w:rPr>
                <w:b/>
                <w:bCs/>
                <w:szCs w:val="24"/>
              </w:rPr>
              <w:t>Engineering principles: external and internal hazards</w:t>
            </w:r>
          </w:p>
        </w:tc>
        <w:tc>
          <w:tcPr>
            <w:tcW w:w="1953" w:type="pct"/>
            <w:tcBorders>
              <w:top w:val="single" w:sz="4" w:space="0" w:color="auto"/>
              <w:left w:val="single" w:sz="4" w:space="0" w:color="auto"/>
              <w:bottom w:val="single" w:sz="4" w:space="0" w:color="auto"/>
              <w:right w:val="single" w:sz="4" w:space="0" w:color="auto"/>
            </w:tcBorders>
            <w:shd w:val="clear" w:color="auto" w:fill="FFCC99"/>
            <w:vAlign w:val="center"/>
          </w:tcPr>
          <w:p w14:paraId="299668D4" w14:textId="77777777" w:rsidR="005E625A" w:rsidRPr="00D64229" w:rsidRDefault="005E625A" w:rsidP="00D64229">
            <w:pPr>
              <w:keepNext/>
              <w:spacing w:after="0" w:line="240" w:lineRule="auto"/>
              <w:rPr>
                <w:szCs w:val="24"/>
              </w:rPr>
            </w:pPr>
            <w:r w:rsidRPr="00D64229">
              <w:rPr>
                <w:szCs w:val="24"/>
              </w:rPr>
              <w:t>Fire detection and fighting</w:t>
            </w:r>
          </w:p>
        </w:tc>
        <w:tc>
          <w:tcPr>
            <w:tcW w:w="705" w:type="pct"/>
            <w:tcBorders>
              <w:top w:val="single" w:sz="4" w:space="0" w:color="auto"/>
              <w:left w:val="single" w:sz="4" w:space="0" w:color="auto"/>
              <w:bottom w:val="single" w:sz="4" w:space="0" w:color="auto"/>
              <w:right w:val="single" w:sz="4" w:space="0" w:color="auto"/>
            </w:tcBorders>
            <w:shd w:val="clear" w:color="auto" w:fill="FFCC99"/>
            <w:vAlign w:val="center"/>
          </w:tcPr>
          <w:p w14:paraId="0A405028" w14:textId="77777777" w:rsidR="005E625A" w:rsidRPr="00D64229" w:rsidRDefault="005E625A" w:rsidP="00D64229">
            <w:pPr>
              <w:keepNext/>
              <w:spacing w:after="0" w:line="240" w:lineRule="auto"/>
              <w:jc w:val="center"/>
              <w:rPr>
                <w:szCs w:val="24"/>
              </w:rPr>
            </w:pPr>
            <w:r w:rsidRPr="00D64229">
              <w:rPr>
                <w:szCs w:val="24"/>
              </w:rPr>
              <w:t>EHA.16</w:t>
            </w:r>
          </w:p>
        </w:tc>
      </w:tr>
      <w:tr w:rsidR="005E625A" w:rsidRPr="00D64229" w14:paraId="7CF86870" w14:textId="77777777" w:rsidTr="00D64229">
        <w:tc>
          <w:tcPr>
            <w:tcW w:w="5000" w:type="pct"/>
            <w:gridSpan w:val="3"/>
            <w:tcBorders>
              <w:top w:val="single" w:sz="4" w:space="0" w:color="auto"/>
              <w:left w:val="single" w:sz="4" w:space="0" w:color="auto"/>
              <w:bottom w:val="single" w:sz="4" w:space="0" w:color="auto"/>
              <w:right w:val="single" w:sz="4" w:space="0" w:color="auto"/>
            </w:tcBorders>
            <w:vAlign w:val="center"/>
          </w:tcPr>
          <w:p w14:paraId="6D62A8F3" w14:textId="77777777" w:rsidR="005E625A" w:rsidRPr="00D64229" w:rsidRDefault="005E625A" w:rsidP="00D64229">
            <w:pPr>
              <w:keepNext/>
              <w:spacing w:after="0" w:line="240" w:lineRule="auto"/>
              <w:rPr>
                <w:szCs w:val="24"/>
              </w:rPr>
            </w:pPr>
            <w:r w:rsidRPr="00D64229">
              <w:rPr>
                <w:szCs w:val="24"/>
              </w:rPr>
              <w:t>Fire detection and fire-fighting systems of a capacity and capability commensurate with the worst-case design basis scenarios should be provided.</w:t>
            </w:r>
          </w:p>
        </w:tc>
      </w:tr>
    </w:tbl>
    <w:p w14:paraId="7957B10B" w14:textId="77777777" w:rsidR="005E625A" w:rsidRPr="0067137A" w:rsidRDefault="005E625A" w:rsidP="00D64229">
      <w:pPr>
        <w:pStyle w:val="F9-Paragraph"/>
      </w:pPr>
      <w:r>
        <w:t>The systems referred to in EHA.16 should be designed and located so that any damage they may sustain, or their spurious operation, does not affect the safety of the facility.</w:t>
      </w:r>
    </w:p>
    <w:p w14:paraId="1F7AC9C2" w14:textId="77777777" w:rsidR="00D64229" w:rsidRDefault="00D64229" w:rsidP="005E625A">
      <w:pPr>
        <w:pStyle w:val="TSHeadingNumbered1"/>
        <w:numPr>
          <w:ilvl w:val="0"/>
          <w:numId w:val="36"/>
        </w:numPr>
        <w:jc w:val="both"/>
        <w:sectPr w:rsidR="00D64229" w:rsidSect="000B2BCD">
          <w:pgSz w:w="11906" w:h="16838" w:code="9"/>
          <w:pgMar w:top="1440" w:right="1440" w:bottom="1440" w:left="1440" w:header="397" w:footer="397" w:gutter="0"/>
          <w:cols w:space="312"/>
          <w:docGrid w:linePitch="360"/>
        </w:sectPr>
      </w:pPr>
      <w:bookmarkStart w:id="12" w:name="_Toc389815632"/>
    </w:p>
    <w:p w14:paraId="342FDE98" w14:textId="24B7FA02" w:rsidR="005E625A" w:rsidRDefault="00BA2A54" w:rsidP="00BA2A54">
      <w:pPr>
        <w:pStyle w:val="Heading1"/>
      </w:pPr>
      <w:bookmarkStart w:id="13" w:name="_Toc134110819"/>
      <w:r>
        <w:lastRenderedPageBreak/>
        <w:t>Functional Design Requirements – Radiological Monitoring Including Criticality Incident Detection</w:t>
      </w:r>
      <w:bookmarkEnd w:id="12"/>
      <w:bookmarkEnd w:id="13"/>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4112"/>
        <w:gridCol w:w="2998"/>
        <w:gridCol w:w="1060"/>
      </w:tblGrid>
      <w:tr w:rsidR="005E625A" w:rsidRPr="00BA2A54" w14:paraId="2F6C05DD" w14:textId="77777777" w:rsidTr="00BA2A54">
        <w:tc>
          <w:tcPr>
            <w:tcW w:w="2516" w:type="pct"/>
            <w:tcBorders>
              <w:top w:val="single" w:sz="4" w:space="0" w:color="auto"/>
              <w:left w:val="single" w:sz="4" w:space="0" w:color="auto"/>
              <w:bottom w:val="single" w:sz="4" w:space="0" w:color="auto"/>
              <w:right w:val="single" w:sz="4" w:space="0" w:color="auto"/>
            </w:tcBorders>
            <w:shd w:val="clear" w:color="auto" w:fill="FFCC99"/>
            <w:vAlign w:val="center"/>
          </w:tcPr>
          <w:p w14:paraId="2B7B40C4" w14:textId="77777777" w:rsidR="005E625A" w:rsidRPr="00BA2A54" w:rsidRDefault="005E625A" w:rsidP="00BA2A54">
            <w:pPr>
              <w:keepNext/>
              <w:spacing w:after="0" w:line="240" w:lineRule="auto"/>
              <w:rPr>
                <w:b/>
                <w:bCs/>
                <w:szCs w:val="24"/>
              </w:rPr>
            </w:pPr>
            <w:r w:rsidRPr="00BA2A54">
              <w:rPr>
                <w:b/>
                <w:bCs/>
                <w:szCs w:val="24"/>
              </w:rPr>
              <w:t>Engineering principles: control and instrumentation of safety-related systems</w:t>
            </w:r>
          </w:p>
        </w:tc>
        <w:tc>
          <w:tcPr>
            <w:tcW w:w="1835" w:type="pct"/>
            <w:tcBorders>
              <w:top w:val="single" w:sz="4" w:space="0" w:color="auto"/>
              <w:left w:val="single" w:sz="4" w:space="0" w:color="auto"/>
              <w:bottom w:val="single" w:sz="4" w:space="0" w:color="auto"/>
              <w:right w:val="single" w:sz="4" w:space="0" w:color="auto"/>
            </w:tcBorders>
            <w:shd w:val="clear" w:color="auto" w:fill="FFCC99"/>
            <w:vAlign w:val="center"/>
          </w:tcPr>
          <w:p w14:paraId="327066FC" w14:textId="77777777" w:rsidR="005E625A" w:rsidRPr="00BA2A54" w:rsidRDefault="005E625A" w:rsidP="00BA2A54">
            <w:pPr>
              <w:keepNext/>
              <w:spacing w:after="0" w:line="240" w:lineRule="auto"/>
              <w:rPr>
                <w:szCs w:val="24"/>
              </w:rPr>
            </w:pPr>
            <w:r w:rsidRPr="00BA2A54">
              <w:rPr>
                <w:szCs w:val="24"/>
              </w:rPr>
              <w:t>Monitoring of radioactive material</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1D2BABD7" w14:textId="77777777" w:rsidR="005E625A" w:rsidRPr="00BA2A54" w:rsidRDefault="005E625A" w:rsidP="00BA2A54">
            <w:pPr>
              <w:keepNext/>
              <w:spacing w:after="0" w:line="240" w:lineRule="auto"/>
              <w:rPr>
                <w:szCs w:val="24"/>
              </w:rPr>
            </w:pPr>
            <w:r w:rsidRPr="00BA2A54">
              <w:rPr>
                <w:szCs w:val="24"/>
              </w:rPr>
              <w:t>ESR.8</w:t>
            </w:r>
          </w:p>
        </w:tc>
      </w:tr>
      <w:tr w:rsidR="005E625A" w:rsidRPr="00BA2A54" w14:paraId="004FCDC1" w14:textId="77777777" w:rsidTr="00BA2A54">
        <w:tc>
          <w:tcPr>
            <w:tcW w:w="5000" w:type="pct"/>
            <w:gridSpan w:val="3"/>
            <w:tcBorders>
              <w:top w:val="single" w:sz="4" w:space="0" w:color="auto"/>
              <w:left w:val="single" w:sz="4" w:space="0" w:color="auto"/>
              <w:bottom w:val="single" w:sz="4" w:space="0" w:color="auto"/>
              <w:right w:val="single" w:sz="4" w:space="0" w:color="auto"/>
            </w:tcBorders>
            <w:vAlign w:val="center"/>
          </w:tcPr>
          <w:p w14:paraId="5E29AFF2" w14:textId="77777777" w:rsidR="005E625A" w:rsidRPr="00BA2A54" w:rsidRDefault="005E625A" w:rsidP="00BA2A54">
            <w:pPr>
              <w:keepNext/>
              <w:spacing w:after="0" w:line="240" w:lineRule="auto"/>
              <w:rPr>
                <w:szCs w:val="24"/>
              </w:rPr>
            </w:pPr>
            <w:r w:rsidRPr="00BA2A54">
              <w:rPr>
                <w:szCs w:val="24"/>
              </w:rPr>
              <w:t>Instrumentation should be provided to detect the leak or escape of radioactive material from its designated location and then to monitor its location and quantity.</w:t>
            </w:r>
          </w:p>
        </w:tc>
      </w:tr>
    </w:tbl>
    <w:p w14:paraId="10951BBD" w14:textId="77777777" w:rsidR="005E625A" w:rsidRDefault="005E625A" w:rsidP="00BA2A54">
      <w:pPr>
        <w:pStyle w:val="F9-Paragraph"/>
        <w:numPr>
          <w:ilvl w:val="0"/>
          <w:numId w:val="0"/>
        </w:numPr>
        <w:ind w:left="851"/>
      </w:pP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4111"/>
        <w:gridCol w:w="2997"/>
        <w:gridCol w:w="1062"/>
      </w:tblGrid>
      <w:tr w:rsidR="005E625A" w:rsidRPr="00BA2A54" w14:paraId="5CF400F9" w14:textId="77777777" w:rsidTr="00BA2A54">
        <w:tc>
          <w:tcPr>
            <w:tcW w:w="2516" w:type="pct"/>
            <w:tcBorders>
              <w:top w:val="single" w:sz="4" w:space="0" w:color="auto"/>
              <w:left w:val="single" w:sz="4" w:space="0" w:color="auto"/>
              <w:bottom w:val="single" w:sz="4" w:space="0" w:color="auto"/>
              <w:right w:val="single" w:sz="4" w:space="0" w:color="auto"/>
            </w:tcBorders>
            <w:shd w:val="clear" w:color="auto" w:fill="FFCC99"/>
            <w:vAlign w:val="center"/>
          </w:tcPr>
          <w:p w14:paraId="4355E519" w14:textId="77777777" w:rsidR="005E625A" w:rsidRPr="00BA2A54" w:rsidRDefault="005E625A" w:rsidP="00BA2A54">
            <w:pPr>
              <w:keepNext/>
              <w:spacing w:after="0" w:line="240" w:lineRule="auto"/>
              <w:rPr>
                <w:b/>
                <w:bCs/>
                <w:szCs w:val="24"/>
              </w:rPr>
            </w:pPr>
            <w:r w:rsidRPr="00BA2A54">
              <w:rPr>
                <w:b/>
                <w:bCs/>
                <w:szCs w:val="24"/>
              </w:rPr>
              <w:t>Engineering principles: containment and ventilation: containment monitoring</w:t>
            </w:r>
          </w:p>
        </w:tc>
        <w:tc>
          <w:tcPr>
            <w:tcW w:w="1834" w:type="pct"/>
            <w:tcBorders>
              <w:top w:val="single" w:sz="4" w:space="0" w:color="auto"/>
              <w:left w:val="single" w:sz="4" w:space="0" w:color="auto"/>
              <w:bottom w:val="single" w:sz="4" w:space="0" w:color="auto"/>
              <w:right w:val="single" w:sz="4" w:space="0" w:color="auto"/>
            </w:tcBorders>
            <w:shd w:val="clear" w:color="auto" w:fill="FFCC99"/>
            <w:vAlign w:val="center"/>
          </w:tcPr>
          <w:p w14:paraId="5142C435" w14:textId="77777777" w:rsidR="005E625A" w:rsidRPr="00BA2A54" w:rsidRDefault="005E625A" w:rsidP="00BA2A54">
            <w:pPr>
              <w:keepNext/>
              <w:spacing w:after="0" w:line="240" w:lineRule="auto"/>
              <w:rPr>
                <w:szCs w:val="24"/>
              </w:rPr>
            </w:pPr>
            <w:r w:rsidRPr="00BA2A54">
              <w:rPr>
                <w:szCs w:val="24"/>
              </w:rPr>
              <w:t>Leakage monitoring</w:t>
            </w:r>
          </w:p>
        </w:tc>
        <w:tc>
          <w:tcPr>
            <w:tcW w:w="650" w:type="pct"/>
            <w:tcBorders>
              <w:top w:val="single" w:sz="4" w:space="0" w:color="auto"/>
              <w:left w:val="single" w:sz="4" w:space="0" w:color="auto"/>
              <w:bottom w:val="single" w:sz="4" w:space="0" w:color="auto"/>
              <w:right w:val="single" w:sz="4" w:space="0" w:color="auto"/>
            </w:tcBorders>
            <w:shd w:val="clear" w:color="auto" w:fill="FFCC99"/>
            <w:vAlign w:val="center"/>
          </w:tcPr>
          <w:p w14:paraId="096E064A" w14:textId="77777777" w:rsidR="005E625A" w:rsidRPr="00BA2A54" w:rsidRDefault="005E625A" w:rsidP="00BA2A54">
            <w:pPr>
              <w:keepNext/>
              <w:spacing w:after="0" w:line="240" w:lineRule="auto"/>
              <w:rPr>
                <w:szCs w:val="24"/>
              </w:rPr>
            </w:pPr>
            <w:r w:rsidRPr="00BA2A54">
              <w:rPr>
                <w:szCs w:val="24"/>
              </w:rPr>
              <w:t>ECV.7</w:t>
            </w:r>
          </w:p>
        </w:tc>
      </w:tr>
      <w:tr w:rsidR="005E625A" w:rsidRPr="00BA2A54" w14:paraId="12040A8A" w14:textId="77777777" w:rsidTr="00BA2A54">
        <w:tc>
          <w:tcPr>
            <w:tcW w:w="5000" w:type="pct"/>
            <w:gridSpan w:val="3"/>
            <w:tcBorders>
              <w:top w:val="single" w:sz="4" w:space="0" w:color="auto"/>
              <w:left w:val="single" w:sz="4" w:space="0" w:color="auto"/>
              <w:bottom w:val="single" w:sz="4" w:space="0" w:color="auto"/>
              <w:right w:val="single" w:sz="4" w:space="0" w:color="auto"/>
            </w:tcBorders>
            <w:vAlign w:val="center"/>
          </w:tcPr>
          <w:p w14:paraId="17D64439" w14:textId="77777777" w:rsidR="005E625A" w:rsidRPr="00BA2A54" w:rsidRDefault="005E625A" w:rsidP="00BA2A54">
            <w:pPr>
              <w:keepNext/>
              <w:spacing w:after="0" w:line="240" w:lineRule="auto"/>
              <w:rPr>
                <w:szCs w:val="24"/>
              </w:rPr>
            </w:pPr>
            <w:r w:rsidRPr="00BA2A54">
              <w:rPr>
                <w:szCs w:val="24"/>
              </w:rPr>
              <w:t>Appropriate sampling and monitoring systems should be provided outside the containment to detect, locate, quantify and monitor for leakages or escapes of radioactive material from the containment boundaries.</w:t>
            </w:r>
          </w:p>
        </w:tc>
      </w:tr>
    </w:tbl>
    <w:p w14:paraId="002FD53F" w14:textId="48BF034B" w:rsidR="005E625A" w:rsidRPr="001A064B" w:rsidRDefault="005E625A" w:rsidP="00BA2A54">
      <w:pPr>
        <w:pStyle w:val="F9-Paragraph"/>
      </w:pPr>
      <w:r w:rsidRPr="001A064B">
        <w:t>Monitoring, recording and alarm systems should be used to report significant deviations from normal operating conditions as an aid to maintaining plant control and detecting leakage (SAP para. 477</w:t>
      </w:r>
      <w:r w:rsidR="00BA2A54">
        <w:t xml:space="preserve"> </w:t>
      </w:r>
      <w:sdt>
        <w:sdtPr>
          <w:id w:val="-1475672097"/>
          <w:citation/>
        </w:sdtPr>
        <w:sdtContent>
          <w:r w:rsidR="00BA2A54">
            <w:fldChar w:fldCharType="begin"/>
          </w:r>
          <w:r w:rsidR="00BA2A54">
            <w:instrText xml:space="preserve"> CITATION ONR2013 \l 2057 </w:instrText>
          </w:r>
          <w:r w:rsidR="00BA2A54">
            <w:fldChar w:fldCharType="separate"/>
          </w:r>
          <w:r w:rsidR="00BA2A54">
            <w:rPr>
              <w:noProof/>
            </w:rPr>
            <w:t>[1]</w:t>
          </w:r>
          <w:r w:rsidR="00BA2A54">
            <w:fldChar w:fldCharType="end"/>
          </w:r>
        </w:sdtContent>
      </w:sdt>
      <w:r w:rsidRPr="001A064B">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4112"/>
        <w:gridCol w:w="2998"/>
        <w:gridCol w:w="1060"/>
      </w:tblGrid>
      <w:tr w:rsidR="005E625A" w:rsidRPr="00BA2A54" w14:paraId="2CE6B834" w14:textId="77777777" w:rsidTr="00BA2A54">
        <w:tc>
          <w:tcPr>
            <w:tcW w:w="2516" w:type="pct"/>
            <w:tcBorders>
              <w:top w:val="single" w:sz="4" w:space="0" w:color="auto"/>
              <w:left w:val="single" w:sz="4" w:space="0" w:color="auto"/>
              <w:bottom w:val="single" w:sz="4" w:space="0" w:color="auto"/>
              <w:right w:val="single" w:sz="4" w:space="0" w:color="auto"/>
            </w:tcBorders>
            <w:shd w:val="clear" w:color="auto" w:fill="FFCC99"/>
            <w:vAlign w:val="center"/>
          </w:tcPr>
          <w:p w14:paraId="4614806B" w14:textId="77777777" w:rsidR="005E625A" w:rsidRPr="00BA2A54" w:rsidRDefault="005E625A" w:rsidP="00BA2A54">
            <w:pPr>
              <w:keepNext/>
              <w:spacing w:after="0" w:line="240" w:lineRule="auto"/>
              <w:rPr>
                <w:b/>
                <w:bCs/>
                <w:szCs w:val="24"/>
              </w:rPr>
            </w:pPr>
            <w:r w:rsidRPr="00BA2A54">
              <w:rPr>
                <w:b/>
                <w:bCs/>
                <w:szCs w:val="24"/>
              </w:rPr>
              <w:t>Engineering principles: containment and ventilation: containment monitoring</w:t>
            </w:r>
          </w:p>
        </w:tc>
        <w:tc>
          <w:tcPr>
            <w:tcW w:w="1835" w:type="pct"/>
            <w:tcBorders>
              <w:top w:val="single" w:sz="4" w:space="0" w:color="auto"/>
              <w:left w:val="single" w:sz="4" w:space="0" w:color="auto"/>
              <w:bottom w:val="single" w:sz="4" w:space="0" w:color="auto"/>
              <w:right w:val="single" w:sz="4" w:space="0" w:color="auto"/>
            </w:tcBorders>
            <w:shd w:val="clear" w:color="auto" w:fill="FFCC99"/>
            <w:vAlign w:val="center"/>
          </w:tcPr>
          <w:p w14:paraId="1B8F5AFF" w14:textId="77777777" w:rsidR="005E625A" w:rsidRPr="00BA2A54" w:rsidRDefault="005E625A" w:rsidP="00BA2A54">
            <w:pPr>
              <w:keepNext/>
              <w:spacing w:after="0" w:line="240" w:lineRule="auto"/>
              <w:rPr>
                <w:szCs w:val="24"/>
              </w:rPr>
            </w:pPr>
            <w:r w:rsidRPr="00BA2A54">
              <w:rPr>
                <w:szCs w:val="24"/>
              </w:rPr>
              <w:t>Monitoring devices</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65A2AD7E" w14:textId="77777777" w:rsidR="005E625A" w:rsidRPr="00BA2A54" w:rsidRDefault="005E625A" w:rsidP="00BA2A54">
            <w:pPr>
              <w:keepNext/>
              <w:spacing w:after="0" w:line="240" w:lineRule="auto"/>
              <w:rPr>
                <w:szCs w:val="24"/>
              </w:rPr>
            </w:pPr>
            <w:r w:rsidRPr="00BA2A54">
              <w:rPr>
                <w:szCs w:val="24"/>
              </w:rPr>
              <w:t>ECV.6</w:t>
            </w:r>
          </w:p>
        </w:tc>
      </w:tr>
      <w:tr w:rsidR="005E625A" w:rsidRPr="00BA2A54" w14:paraId="61609F35" w14:textId="77777777" w:rsidTr="00BA2A54">
        <w:tc>
          <w:tcPr>
            <w:tcW w:w="5000" w:type="pct"/>
            <w:gridSpan w:val="3"/>
            <w:tcBorders>
              <w:top w:val="single" w:sz="4" w:space="0" w:color="auto"/>
              <w:left w:val="single" w:sz="4" w:space="0" w:color="auto"/>
              <w:bottom w:val="single" w:sz="4" w:space="0" w:color="auto"/>
              <w:right w:val="single" w:sz="4" w:space="0" w:color="auto"/>
            </w:tcBorders>
            <w:vAlign w:val="center"/>
          </w:tcPr>
          <w:p w14:paraId="2A357F47" w14:textId="77777777" w:rsidR="005E625A" w:rsidRPr="00BA2A54" w:rsidRDefault="005E625A" w:rsidP="00BA2A54">
            <w:pPr>
              <w:keepNext/>
              <w:spacing w:after="0" w:line="240" w:lineRule="auto"/>
              <w:rPr>
                <w:szCs w:val="24"/>
              </w:rPr>
            </w:pPr>
            <w:r w:rsidRPr="00BA2A54">
              <w:rPr>
                <w:szCs w:val="24"/>
              </w:rPr>
              <w:t>Suitable and sufficient monitoring devices with alarms should be provided to detect and assess changes in the materials and substances held within the containment.</w:t>
            </w:r>
          </w:p>
        </w:tc>
      </w:tr>
    </w:tbl>
    <w:p w14:paraId="74EE6A25" w14:textId="51D6B991" w:rsidR="005E625A" w:rsidRPr="001A064B" w:rsidRDefault="005E625A" w:rsidP="00BA2A54">
      <w:pPr>
        <w:pStyle w:val="F9-Paragraph"/>
      </w:pPr>
      <w:r w:rsidRPr="001A064B">
        <w:t>The devices and alarms should monitor the physical and environmental conditions important to safety. These devices and alarms should ensure the timely detection, and aid assessment, of unplanned or uncontrolled changes in materials and substances held within the containment. Examples of these may include changes to the quantity, composition, characteristics of volume, radioactivity, fissile content, temperature, and pressure of materials and substances, as well as the presence of explosive mixtures, including gases and vapours that could challenge the containment boundary. Where appropriate the capability to sample the materials and substances should also be provided (SAP para. 469 ff. and SAP para. 530</w:t>
      </w:r>
      <w:r w:rsidR="00BA2A54">
        <w:t xml:space="preserve"> </w:t>
      </w:r>
      <w:sdt>
        <w:sdtPr>
          <w:id w:val="1398244568"/>
          <w:citation/>
        </w:sdtPr>
        <w:sdtContent>
          <w:r w:rsidR="00BA2A54">
            <w:fldChar w:fldCharType="begin"/>
          </w:r>
          <w:r w:rsidR="00BA2A54">
            <w:instrText xml:space="preserve"> CITATION ONR2013 \l 2057 </w:instrText>
          </w:r>
          <w:r w:rsidR="00BA2A54">
            <w:fldChar w:fldCharType="separate"/>
          </w:r>
          <w:r w:rsidR="00BA2A54">
            <w:rPr>
              <w:noProof/>
            </w:rPr>
            <w:t>[1]</w:t>
          </w:r>
          <w:r w:rsidR="00BA2A54">
            <w:fldChar w:fldCharType="end"/>
          </w:r>
        </w:sdtContent>
      </w:sdt>
      <w:r w:rsidRPr="001A064B">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610"/>
        <w:gridCol w:w="3500"/>
        <w:gridCol w:w="1060"/>
      </w:tblGrid>
      <w:tr w:rsidR="005E625A" w:rsidRPr="00BA2A54" w14:paraId="4AD83D40" w14:textId="77777777" w:rsidTr="00BA2A54">
        <w:tc>
          <w:tcPr>
            <w:tcW w:w="2209" w:type="pct"/>
            <w:tcBorders>
              <w:top w:val="single" w:sz="4" w:space="0" w:color="auto"/>
              <w:left w:val="single" w:sz="4" w:space="0" w:color="auto"/>
              <w:bottom w:val="single" w:sz="4" w:space="0" w:color="auto"/>
              <w:right w:val="single" w:sz="4" w:space="0" w:color="auto"/>
            </w:tcBorders>
            <w:shd w:val="clear" w:color="auto" w:fill="FFCC99"/>
            <w:vAlign w:val="center"/>
          </w:tcPr>
          <w:p w14:paraId="796AFAE9" w14:textId="77777777" w:rsidR="005E625A" w:rsidRPr="00BA2A54" w:rsidRDefault="005E625A" w:rsidP="00BA2A54">
            <w:pPr>
              <w:keepNext/>
              <w:spacing w:after="0" w:line="240" w:lineRule="auto"/>
              <w:rPr>
                <w:b/>
                <w:bCs/>
                <w:szCs w:val="24"/>
              </w:rPr>
            </w:pPr>
            <w:r w:rsidRPr="00BA2A54">
              <w:rPr>
                <w:b/>
                <w:bCs/>
                <w:szCs w:val="24"/>
              </w:rPr>
              <w:lastRenderedPageBreak/>
              <w:t>Radiation protection</w:t>
            </w:r>
          </w:p>
        </w:tc>
        <w:tc>
          <w:tcPr>
            <w:tcW w:w="2142" w:type="pct"/>
            <w:tcBorders>
              <w:top w:val="single" w:sz="4" w:space="0" w:color="auto"/>
              <w:left w:val="single" w:sz="4" w:space="0" w:color="auto"/>
              <w:bottom w:val="single" w:sz="4" w:space="0" w:color="auto"/>
              <w:right w:val="single" w:sz="4" w:space="0" w:color="auto"/>
            </w:tcBorders>
            <w:shd w:val="clear" w:color="auto" w:fill="FFCC99"/>
            <w:vAlign w:val="center"/>
          </w:tcPr>
          <w:p w14:paraId="1828A506" w14:textId="77777777" w:rsidR="005E625A" w:rsidRPr="00BA2A54" w:rsidRDefault="005E625A" w:rsidP="00BA2A54">
            <w:pPr>
              <w:keepNext/>
              <w:spacing w:after="0" w:line="240" w:lineRule="auto"/>
              <w:rPr>
                <w:szCs w:val="24"/>
              </w:rPr>
            </w:pPr>
            <w:r w:rsidRPr="00BA2A54">
              <w:rPr>
                <w:szCs w:val="24"/>
              </w:rPr>
              <w:t>Fault and accident conditions</w:t>
            </w:r>
          </w:p>
          <w:p w14:paraId="6A4F8BB4" w14:textId="77777777" w:rsidR="005E625A" w:rsidRPr="00BA2A54" w:rsidRDefault="005E625A" w:rsidP="00BA2A54">
            <w:pPr>
              <w:keepNext/>
              <w:spacing w:after="0" w:line="240" w:lineRule="auto"/>
              <w:rPr>
                <w:szCs w:val="24"/>
              </w:rPr>
            </w:pPr>
            <w:r w:rsidRPr="00BA2A54">
              <w:rPr>
                <w:szCs w:val="24"/>
              </w:rPr>
              <w:t>(Emergency Exposure Situations)</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08AF5EE5" w14:textId="77777777" w:rsidR="005E625A" w:rsidRPr="00BA2A54" w:rsidRDefault="005E625A" w:rsidP="00BA2A54">
            <w:pPr>
              <w:keepNext/>
              <w:spacing w:after="0" w:line="240" w:lineRule="auto"/>
              <w:rPr>
                <w:szCs w:val="24"/>
              </w:rPr>
            </w:pPr>
            <w:r w:rsidRPr="00BA2A54">
              <w:rPr>
                <w:szCs w:val="24"/>
              </w:rPr>
              <w:t>RP.2</w:t>
            </w:r>
          </w:p>
        </w:tc>
      </w:tr>
      <w:tr w:rsidR="005E625A" w:rsidRPr="00BA2A54" w14:paraId="31D9E105" w14:textId="77777777" w:rsidTr="00BA2A54">
        <w:tc>
          <w:tcPr>
            <w:tcW w:w="5000" w:type="pct"/>
            <w:gridSpan w:val="3"/>
            <w:tcBorders>
              <w:top w:val="single" w:sz="4" w:space="0" w:color="auto"/>
              <w:left w:val="single" w:sz="4" w:space="0" w:color="auto"/>
              <w:bottom w:val="single" w:sz="4" w:space="0" w:color="auto"/>
              <w:right w:val="single" w:sz="4" w:space="0" w:color="auto"/>
            </w:tcBorders>
            <w:vAlign w:val="center"/>
          </w:tcPr>
          <w:p w14:paraId="64B293B8" w14:textId="200AC6C7" w:rsidR="005E625A" w:rsidRPr="00BA2A54" w:rsidRDefault="005E625A" w:rsidP="00BA2A54">
            <w:pPr>
              <w:keepNext/>
              <w:spacing w:after="0" w:line="240" w:lineRule="auto"/>
              <w:rPr>
                <w:szCs w:val="24"/>
              </w:rPr>
            </w:pPr>
            <w:r w:rsidRPr="00BA2A54">
              <w:rPr>
                <w:szCs w:val="24"/>
              </w:rPr>
              <w:t xml:space="preserve">Adequate protection against exposure to radiation and radioactive contamination should be provided in those parts of the facility that will need to be accessed during faults or as part of accident management. </w:t>
            </w:r>
            <w:r w:rsidR="004A521F">
              <w:rPr>
                <w:szCs w:val="24"/>
              </w:rPr>
              <w:br/>
            </w:r>
            <w:r w:rsidRPr="00BA2A54">
              <w:rPr>
                <w:szCs w:val="24"/>
              </w:rPr>
              <w:t>This should include prevention or mitigation of accident consequences.</w:t>
            </w:r>
          </w:p>
        </w:tc>
      </w:tr>
    </w:tbl>
    <w:p w14:paraId="52AA94D0" w14:textId="118E6D7B" w:rsidR="005E625A" w:rsidRPr="001A064B" w:rsidRDefault="005E625A" w:rsidP="00BA2A54">
      <w:pPr>
        <w:pStyle w:val="F9-Paragraph"/>
      </w:pPr>
      <w:r w:rsidRPr="001A064B">
        <w:t>Effective systems should be provided under normal operation and fault conditions for monitoring ionising radiations in the facility to ensure that breakdowns in systems and controls, and long-term changes to radiological conditions, are detected (SAP para. 592</w:t>
      </w:r>
      <w:r w:rsidR="004A521F">
        <w:t xml:space="preserve"> </w:t>
      </w:r>
      <w:sdt>
        <w:sdtPr>
          <w:id w:val="1099843921"/>
          <w:citation/>
        </w:sdtPr>
        <w:sdtContent>
          <w:r w:rsidR="004A521F">
            <w:fldChar w:fldCharType="begin"/>
          </w:r>
          <w:r w:rsidR="004A521F">
            <w:instrText xml:space="preserve"> CITATION ONR2013 \l 2057 </w:instrText>
          </w:r>
          <w:r w:rsidR="004A521F">
            <w:fldChar w:fldCharType="separate"/>
          </w:r>
          <w:r w:rsidR="004A521F">
            <w:rPr>
              <w:noProof/>
            </w:rPr>
            <w:t>[1]</w:t>
          </w:r>
          <w:r w:rsidR="004A521F">
            <w:fldChar w:fldCharType="end"/>
          </w:r>
        </w:sdtContent>
      </w:sdt>
      <w:r w:rsidRPr="001A064B">
        <w:t>).</w:t>
      </w:r>
    </w:p>
    <w:p w14:paraId="751BDA1C" w14:textId="61D434E9" w:rsidR="005E625A" w:rsidRPr="001A064B" w:rsidRDefault="005E625A" w:rsidP="00BA2A54">
      <w:pPr>
        <w:pStyle w:val="F9-Paragraph"/>
      </w:pPr>
      <w:r w:rsidRPr="001A064B">
        <w:t>Instrumentation should be provided to give prompt, reliable and accurate indication of airborne activity and direct radiation, particularly in operating areas. These should be fitted with alarms to indicate any significant changes in levels necessitating prompt action.</w:t>
      </w:r>
      <w:r w:rsidR="00B470F3">
        <w:t xml:space="preserve"> </w:t>
      </w:r>
      <w:r w:rsidRPr="001A064B">
        <w:t>The design of this equipment should take into account the required reliability levels and the environmental conditions in which it will need to provide safety functions. Consideration should also be given to the provision of remote indication of radiological conditions following accident situations (SAP para. 593</w:t>
      </w:r>
      <w:r w:rsidR="004A521F">
        <w:t xml:space="preserve"> </w:t>
      </w:r>
      <w:sdt>
        <w:sdtPr>
          <w:id w:val="-2013681091"/>
          <w:citation/>
        </w:sdtPr>
        <w:sdtContent>
          <w:r w:rsidR="004A521F">
            <w:fldChar w:fldCharType="begin"/>
          </w:r>
          <w:r w:rsidR="004A521F">
            <w:instrText xml:space="preserve"> CITATION ONR2013 \l 2057 </w:instrText>
          </w:r>
          <w:r w:rsidR="004A521F">
            <w:fldChar w:fldCharType="separate"/>
          </w:r>
          <w:r w:rsidR="004A521F">
            <w:rPr>
              <w:noProof/>
            </w:rPr>
            <w:t>[1]</w:t>
          </w:r>
          <w:r w:rsidR="004A521F">
            <w:fldChar w:fldCharType="end"/>
          </w:r>
        </w:sdtContent>
      </w:sdt>
      <w:r w:rsidRPr="001A064B">
        <w:t>).</w:t>
      </w:r>
    </w:p>
    <w:p w14:paraId="488B4940" w14:textId="21B223EF" w:rsidR="005E625A" w:rsidRPr="001A064B" w:rsidRDefault="005E625A" w:rsidP="00BA2A54">
      <w:pPr>
        <w:pStyle w:val="F9-Paragraph"/>
      </w:pPr>
      <w:r w:rsidRPr="001A064B">
        <w:t xml:space="preserve">Adequate warning systems (though not necessarily a Criticality Incident Detection (CID) system) should be provided wherever fissile material is present, unless the safety case shows that no criticality excursion could give any individual a </w:t>
      </w:r>
      <w:r w:rsidR="004A521F" w:rsidRPr="001A064B">
        <w:t>whole-body</w:t>
      </w:r>
      <w:r w:rsidRPr="001A064B">
        <w:t xml:space="preserve"> dose exceeding the annual whole body dose limit, or that the predicted frequency is acceptably low. An estimate of the criticality consequences should inform the need for the installation of warning systems. Where suitably justified in the safety case, criticality warning systems may form part of a safety system, i.e. be linked directly to the safety measures designed to achieve the safe termination of a criticality incident (e.g. they may directly initiate boron injection) or else trigger an alarm as part of a safety related system (SAP para. 594</w:t>
      </w:r>
      <w:r w:rsidR="004A521F">
        <w:t xml:space="preserve"> </w:t>
      </w:r>
      <w:sdt>
        <w:sdtPr>
          <w:id w:val="-556942582"/>
          <w:citation/>
        </w:sdtPr>
        <w:sdtContent>
          <w:r w:rsidR="004A521F">
            <w:fldChar w:fldCharType="begin"/>
          </w:r>
          <w:r w:rsidR="004A521F">
            <w:instrText xml:space="preserve"> CITATION ONR2013 \l 2057 </w:instrText>
          </w:r>
          <w:r w:rsidR="004A521F">
            <w:fldChar w:fldCharType="separate"/>
          </w:r>
          <w:r w:rsidR="004A521F">
            <w:rPr>
              <w:noProof/>
            </w:rPr>
            <w:t>[1]</w:t>
          </w:r>
          <w:r w:rsidR="004A521F">
            <w:fldChar w:fldCharType="end"/>
          </w:r>
        </w:sdtContent>
      </w:sdt>
      <w:r w:rsidRPr="001A064B">
        <w:t>).</w:t>
      </w:r>
    </w:p>
    <w:p w14:paraId="2285F771" w14:textId="77777777" w:rsidR="005E625A" w:rsidRPr="00DF3A75" w:rsidRDefault="005E625A" w:rsidP="004A521F">
      <w:pPr>
        <w:pStyle w:val="F9-Paragraph"/>
      </w:pPr>
      <w:r w:rsidRPr="00DF3A75">
        <w:t xml:space="preserve">A CID system is strictly an alarm system and therefore is classified as </w:t>
      </w:r>
      <w:r>
        <w:t>SRS</w:t>
      </w:r>
      <w:r w:rsidRPr="00DF3A75">
        <w:t xml:space="preserve"> for the purposes of the application of safety assessment principles.</w:t>
      </w:r>
    </w:p>
    <w:p w14:paraId="08725FB4" w14:textId="77777777" w:rsidR="005E625A" w:rsidRPr="00DF3A75" w:rsidRDefault="005E625A" w:rsidP="004A521F">
      <w:pPr>
        <w:pStyle w:val="F9-Paragraph"/>
      </w:pPr>
      <w:r w:rsidRPr="00DF3A75">
        <w:t>The electrical power supply to the CID system should be capable of maintaining effective surveillance and support of its alarm operation for a period sufficient to ensure safety following loss of normal electrical supplies.</w:t>
      </w:r>
    </w:p>
    <w:p w14:paraId="26CE31F7" w14:textId="77777777" w:rsidR="005E625A" w:rsidRPr="00DF3A75" w:rsidRDefault="005E625A" w:rsidP="004A521F">
      <w:pPr>
        <w:pStyle w:val="F9-Paragraph"/>
      </w:pPr>
      <w:r w:rsidRPr="00DF3A75">
        <w:t>The reliability requirements of the CID system should be specified and justified. Reliability assessments should be provided which demonstrate that the system meets these requirements.</w:t>
      </w:r>
    </w:p>
    <w:p w14:paraId="65EC609D" w14:textId="4EDC4E7F" w:rsidR="005E625A" w:rsidRDefault="005E625A" w:rsidP="00F60BD9">
      <w:pPr>
        <w:pStyle w:val="F9-Paragraph"/>
      </w:pPr>
      <w:r w:rsidRPr="00DF3A75">
        <w:t xml:space="preserve">More detailed guidance is given in the </w:t>
      </w:r>
      <w:r w:rsidR="008F1207">
        <w:t xml:space="preserve">TAG on criticality warning systems </w:t>
      </w:r>
      <w:sdt>
        <w:sdtPr>
          <w:id w:val="7644015"/>
          <w:citation/>
        </w:sdtPr>
        <w:sdtContent>
          <w:r w:rsidR="008F1207">
            <w:fldChar w:fldCharType="begin"/>
          </w:r>
          <w:r w:rsidR="008F1207">
            <w:instrText xml:space="preserve"> CITATION ONR1 \l 2057 </w:instrText>
          </w:r>
          <w:r w:rsidR="008F1207">
            <w:fldChar w:fldCharType="separate"/>
          </w:r>
          <w:r w:rsidR="008F1207">
            <w:rPr>
              <w:noProof/>
            </w:rPr>
            <w:t>[7]</w:t>
          </w:r>
          <w:r w:rsidR="008F1207">
            <w:fldChar w:fldCharType="end"/>
          </w:r>
        </w:sdtContent>
      </w:sdt>
      <w:r w:rsidR="008F1207">
        <w:t>.</w:t>
      </w:r>
    </w:p>
    <w:p w14:paraId="7E715161" w14:textId="16C4B2EC" w:rsidR="005E625A" w:rsidRPr="00DF3A75" w:rsidRDefault="008F1207" w:rsidP="008F1207">
      <w:pPr>
        <w:pStyle w:val="Heading1"/>
      </w:pPr>
      <w:bookmarkStart w:id="14" w:name="_Toc389815633"/>
      <w:bookmarkStart w:id="15" w:name="_Toc134110820"/>
      <w:r>
        <w:lastRenderedPageBreak/>
        <w:t xml:space="preserve">Design for </w:t>
      </w:r>
      <w:r w:rsidR="00F43A4E">
        <w:t>Reliability, Reliability Claims and Failure Modes</w:t>
      </w:r>
      <w:bookmarkEnd w:id="14"/>
      <w:bookmarkEnd w:id="15"/>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370"/>
        <w:gridCol w:w="3740"/>
        <w:gridCol w:w="1060"/>
      </w:tblGrid>
      <w:tr w:rsidR="005E625A" w:rsidRPr="00F43A4E" w14:paraId="251D1E9D" w14:textId="77777777" w:rsidTr="00F43A4E">
        <w:tc>
          <w:tcPr>
            <w:tcW w:w="2062" w:type="pct"/>
            <w:tcBorders>
              <w:top w:val="single" w:sz="4" w:space="0" w:color="auto"/>
              <w:left w:val="single" w:sz="4" w:space="0" w:color="auto"/>
              <w:bottom w:val="single" w:sz="4" w:space="0" w:color="auto"/>
              <w:right w:val="single" w:sz="4" w:space="0" w:color="auto"/>
            </w:tcBorders>
            <w:shd w:val="clear" w:color="auto" w:fill="FFCC99"/>
            <w:vAlign w:val="center"/>
          </w:tcPr>
          <w:p w14:paraId="5C4BE162" w14:textId="77777777" w:rsidR="005E625A" w:rsidRPr="00F43A4E" w:rsidRDefault="005E625A" w:rsidP="00F43A4E">
            <w:pPr>
              <w:keepNext/>
              <w:spacing w:after="0" w:line="240" w:lineRule="auto"/>
              <w:rPr>
                <w:b/>
                <w:bCs/>
                <w:szCs w:val="24"/>
              </w:rPr>
            </w:pPr>
            <w:r w:rsidRPr="00F43A4E">
              <w:rPr>
                <w:b/>
                <w:bCs/>
                <w:szCs w:val="24"/>
              </w:rPr>
              <w:t>Engineering principles: reliability claims</w:t>
            </w:r>
          </w:p>
        </w:tc>
        <w:tc>
          <w:tcPr>
            <w:tcW w:w="2289" w:type="pct"/>
            <w:tcBorders>
              <w:top w:val="single" w:sz="4" w:space="0" w:color="auto"/>
              <w:left w:val="single" w:sz="4" w:space="0" w:color="auto"/>
              <w:bottom w:val="single" w:sz="4" w:space="0" w:color="auto"/>
              <w:right w:val="single" w:sz="4" w:space="0" w:color="auto"/>
            </w:tcBorders>
            <w:shd w:val="clear" w:color="auto" w:fill="FFCC99"/>
            <w:vAlign w:val="center"/>
          </w:tcPr>
          <w:p w14:paraId="66126336" w14:textId="77777777" w:rsidR="005E625A" w:rsidRPr="00F43A4E" w:rsidRDefault="005E625A" w:rsidP="00F43A4E">
            <w:pPr>
              <w:keepNext/>
              <w:spacing w:after="0" w:line="240" w:lineRule="auto"/>
              <w:rPr>
                <w:szCs w:val="24"/>
              </w:rPr>
            </w:pPr>
            <w:r w:rsidRPr="00F43A4E">
              <w:rPr>
                <w:szCs w:val="24"/>
              </w:rPr>
              <w:t>Measures to achieve reliability</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6A74FD0F" w14:textId="77777777" w:rsidR="005E625A" w:rsidRPr="00F43A4E" w:rsidRDefault="005E625A" w:rsidP="00F43A4E">
            <w:pPr>
              <w:keepNext/>
              <w:spacing w:after="0" w:line="240" w:lineRule="auto"/>
              <w:rPr>
                <w:szCs w:val="24"/>
              </w:rPr>
            </w:pPr>
            <w:r w:rsidRPr="00F43A4E">
              <w:rPr>
                <w:szCs w:val="24"/>
              </w:rPr>
              <w:t>ERL.2</w:t>
            </w:r>
          </w:p>
        </w:tc>
      </w:tr>
      <w:tr w:rsidR="005E625A" w:rsidRPr="00F43A4E" w14:paraId="5F7A55A5" w14:textId="77777777" w:rsidTr="00F43A4E">
        <w:tc>
          <w:tcPr>
            <w:tcW w:w="5000" w:type="pct"/>
            <w:gridSpan w:val="3"/>
            <w:tcBorders>
              <w:top w:val="single" w:sz="4" w:space="0" w:color="auto"/>
              <w:left w:val="single" w:sz="4" w:space="0" w:color="auto"/>
              <w:bottom w:val="single" w:sz="4" w:space="0" w:color="auto"/>
              <w:right w:val="single" w:sz="4" w:space="0" w:color="auto"/>
            </w:tcBorders>
            <w:vAlign w:val="center"/>
          </w:tcPr>
          <w:p w14:paraId="692C31AB" w14:textId="77777777" w:rsidR="005E625A" w:rsidRPr="00F43A4E" w:rsidRDefault="005E625A" w:rsidP="00F43A4E">
            <w:pPr>
              <w:keepNext/>
              <w:spacing w:after="0" w:line="240" w:lineRule="auto"/>
              <w:rPr>
                <w:szCs w:val="24"/>
              </w:rPr>
            </w:pPr>
            <w:r w:rsidRPr="00F43A4E">
              <w:rPr>
                <w:szCs w:val="24"/>
              </w:rPr>
              <w:t>The measures whereby the claimed reliability of systems and components will be achieved in practice should be stated.</w:t>
            </w:r>
          </w:p>
        </w:tc>
      </w:tr>
    </w:tbl>
    <w:p w14:paraId="40ACF498" w14:textId="7F381574" w:rsidR="005E625A" w:rsidRPr="001A064B" w:rsidRDefault="005E625A" w:rsidP="00F43A4E">
      <w:pPr>
        <w:pStyle w:val="F9-Paragraph"/>
      </w:pPr>
      <w:r w:rsidRPr="001A064B">
        <w:t>Engineered structures, systems and components should be designed to deliver their required safety functions with adequate reliability, according to the magnitude and frequency of the radiological hazard, and so provide confidence in the robustness of the overall design (SAP para. 178</w:t>
      </w:r>
      <w:r w:rsidR="00F43A4E">
        <w:t xml:space="preserve"> </w:t>
      </w:r>
      <w:sdt>
        <w:sdtPr>
          <w:id w:val="-991869509"/>
          <w:citation/>
        </w:sdtPr>
        <w:sdtContent>
          <w:r w:rsidR="00F43A4E">
            <w:fldChar w:fldCharType="begin"/>
          </w:r>
          <w:r w:rsidR="00F43A4E">
            <w:instrText xml:space="preserve"> CITATION ONR2013 \l 2057 </w:instrText>
          </w:r>
          <w:r w:rsidR="00F43A4E">
            <w:fldChar w:fldCharType="separate"/>
          </w:r>
          <w:r w:rsidR="00F43A4E">
            <w:rPr>
              <w:noProof/>
            </w:rPr>
            <w:t>[1]</w:t>
          </w:r>
          <w:r w:rsidR="00F43A4E">
            <w:fldChar w:fldCharType="end"/>
          </w:r>
        </w:sdtContent>
      </w:sdt>
      <w:r w:rsidRPr="001A064B">
        <w:t>).</w:t>
      </w:r>
    </w:p>
    <w:p w14:paraId="46303639" w14:textId="6094FDED" w:rsidR="005E625A" w:rsidRPr="001A064B" w:rsidRDefault="005E625A" w:rsidP="00F43A4E">
      <w:pPr>
        <w:pStyle w:val="F9-Paragraph"/>
      </w:pPr>
      <w:r w:rsidRPr="001A064B">
        <w:t>Evidence should be provided to demonstrate the adequacy of these measures. This should include a reliability analysis of both random and systematic failures. Assumptions made in the course of the reliability analysis should be justified (SAP para. 192</w:t>
      </w:r>
      <w:r w:rsidR="00F43A4E">
        <w:t xml:space="preserve"> </w:t>
      </w:r>
      <w:sdt>
        <w:sdtPr>
          <w:id w:val="311294480"/>
          <w:citation/>
        </w:sdtPr>
        <w:sdtContent>
          <w:r w:rsidR="00F43A4E">
            <w:fldChar w:fldCharType="begin"/>
          </w:r>
          <w:r w:rsidR="00F43A4E">
            <w:instrText xml:space="preserve"> CITATION ONR2013 \l 2057 </w:instrText>
          </w:r>
          <w:r w:rsidR="00F43A4E">
            <w:fldChar w:fldCharType="separate"/>
          </w:r>
          <w:r w:rsidR="00F43A4E">
            <w:rPr>
              <w:noProof/>
            </w:rPr>
            <w:t>[1]</w:t>
          </w:r>
          <w:r w:rsidR="00F43A4E">
            <w:fldChar w:fldCharType="end"/>
          </w:r>
        </w:sdtContent>
      </w:sdt>
      <w:r w:rsidRPr="001A064B">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260"/>
        <w:gridCol w:w="3897"/>
        <w:gridCol w:w="1013"/>
      </w:tblGrid>
      <w:tr w:rsidR="005E625A" w:rsidRPr="00F43A4E" w14:paraId="4A7F25E2" w14:textId="77777777" w:rsidTr="00F43A4E">
        <w:tc>
          <w:tcPr>
            <w:tcW w:w="1995" w:type="pct"/>
            <w:tcBorders>
              <w:top w:val="single" w:sz="4" w:space="0" w:color="auto"/>
              <w:left w:val="single" w:sz="4" w:space="0" w:color="auto"/>
              <w:bottom w:val="single" w:sz="4" w:space="0" w:color="auto"/>
              <w:right w:val="single" w:sz="4" w:space="0" w:color="auto"/>
            </w:tcBorders>
            <w:shd w:val="clear" w:color="auto" w:fill="FFCC99"/>
            <w:vAlign w:val="center"/>
          </w:tcPr>
          <w:p w14:paraId="429CFBBA" w14:textId="77777777" w:rsidR="005E625A" w:rsidRPr="00F43A4E" w:rsidRDefault="005E625A" w:rsidP="00F43A4E">
            <w:pPr>
              <w:keepNext/>
              <w:spacing w:after="0" w:line="240" w:lineRule="auto"/>
              <w:rPr>
                <w:b/>
                <w:bCs/>
                <w:szCs w:val="24"/>
              </w:rPr>
            </w:pPr>
            <w:r w:rsidRPr="00F43A4E">
              <w:rPr>
                <w:b/>
                <w:bCs/>
                <w:szCs w:val="24"/>
              </w:rPr>
              <w:t>Engineering principles: reliability claims</w:t>
            </w:r>
          </w:p>
        </w:tc>
        <w:tc>
          <w:tcPr>
            <w:tcW w:w="2385" w:type="pct"/>
            <w:tcBorders>
              <w:top w:val="single" w:sz="4" w:space="0" w:color="auto"/>
              <w:left w:val="single" w:sz="4" w:space="0" w:color="auto"/>
              <w:bottom w:val="single" w:sz="4" w:space="0" w:color="auto"/>
              <w:right w:val="single" w:sz="4" w:space="0" w:color="auto"/>
            </w:tcBorders>
            <w:shd w:val="clear" w:color="auto" w:fill="FFCC99"/>
            <w:vAlign w:val="center"/>
          </w:tcPr>
          <w:p w14:paraId="1B71F24D" w14:textId="77777777" w:rsidR="005E625A" w:rsidRPr="00F43A4E" w:rsidRDefault="005E625A" w:rsidP="00F43A4E">
            <w:pPr>
              <w:keepNext/>
              <w:spacing w:after="0" w:line="240" w:lineRule="auto"/>
              <w:rPr>
                <w:szCs w:val="24"/>
              </w:rPr>
            </w:pPr>
            <w:r w:rsidRPr="00F43A4E">
              <w:rPr>
                <w:szCs w:val="24"/>
              </w:rPr>
              <w:t>Form of claims</w:t>
            </w:r>
          </w:p>
        </w:tc>
        <w:tc>
          <w:tcPr>
            <w:tcW w:w="620" w:type="pct"/>
            <w:tcBorders>
              <w:top w:val="single" w:sz="4" w:space="0" w:color="auto"/>
              <w:left w:val="single" w:sz="4" w:space="0" w:color="auto"/>
              <w:bottom w:val="single" w:sz="4" w:space="0" w:color="auto"/>
              <w:right w:val="single" w:sz="4" w:space="0" w:color="auto"/>
            </w:tcBorders>
            <w:shd w:val="clear" w:color="auto" w:fill="FFCC99"/>
            <w:vAlign w:val="center"/>
          </w:tcPr>
          <w:p w14:paraId="7D6944BE" w14:textId="77777777" w:rsidR="005E625A" w:rsidRPr="00F43A4E" w:rsidRDefault="005E625A" w:rsidP="00F43A4E">
            <w:pPr>
              <w:keepNext/>
              <w:spacing w:after="0" w:line="240" w:lineRule="auto"/>
              <w:rPr>
                <w:szCs w:val="24"/>
              </w:rPr>
            </w:pPr>
            <w:r w:rsidRPr="00F43A4E">
              <w:rPr>
                <w:szCs w:val="24"/>
              </w:rPr>
              <w:t>ERL.1</w:t>
            </w:r>
          </w:p>
        </w:tc>
      </w:tr>
      <w:tr w:rsidR="005E625A" w:rsidRPr="00F43A4E" w14:paraId="616737FF" w14:textId="77777777" w:rsidTr="00F43A4E">
        <w:tc>
          <w:tcPr>
            <w:tcW w:w="5000" w:type="pct"/>
            <w:gridSpan w:val="3"/>
            <w:tcBorders>
              <w:top w:val="single" w:sz="4" w:space="0" w:color="auto"/>
              <w:left w:val="single" w:sz="4" w:space="0" w:color="auto"/>
              <w:bottom w:val="single" w:sz="4" w:space="0" w:color="auto"/>
              <w:right w:val="single" w:sz="4" w:space="0" w:color="auto"/>
            </w:tcBorders>
            <w:vAlign w:val="center"/>
          </w:tcPr>
          <w:p w14:paraId="0ADD287F" w14:textId="77777777" w:rsidR="005E625A" w:rsidRPr="00F43A4E" w:rsidRDefault="005E625A" w:rsidP="00F43A4E">
            <w:pPr>
              <w:keepNext/>
              <w:spacing w:after="0" w:line="240" w:lineRule="auto"/>
              <w:rPr>
                <w:szCs w:val="24"/>
              </w:rPr>
            </w:pPr>
            <w:r w:rsidRPr="00F43A4E">
              <w:rPr>
                <w:szCs w:val="24"/>
              </w:rPr>
              <w:t>The reliability claimed for any structure, system or component should take into account its novelty, experience relevant to its proposed environment, and the uncertainties in operating and fault conditions, physical data and design methods.</w:t>
            </w:r>
          </w:p>
        </w:tc>
      </w:tr>
    </w:tbl>
    <w:p w14:paraId="4B546F17" w14:textId="0F229D2C" w:rsidR="005E625A" w:rsidRPr="001A064B" w:rsidRDefault="005E625A" w:rsidP="00F43A4E">
      <w:pPr>
        <w:pStyle w:val="F9-Paragraph"/>
      </w:pPr>
      <w:r w:rsidRPr="001A064B">
        <w:t xml:space="preserve">Adequate reliability and availability should be demonstrated by suitable analysis and data. Where data is inadequate, appropriate measures should be taken to ensure that the onset of failures will be detected, and that the consequences of failure are minimised. Such measures may, for example, include planned replacement after a fixed lifetime or be achieved through a programme of examination, maintenance, inspection and/or testing </w:t>
      </w:r>
      <w:r w:rsidR="00F43A4E">
        <w:br/>
      </w:r>
      <w:r w:rsidRPr="001A064B">
        <w:t>(SAP paras. 190/193</w:t>
      </w:r>
      <w:r w:rsidR="00F43A4E">
        <w:t xml:space="preserve"> </w:t>
      </w:r>
      <w:sdt>
        <w:sdtPr>
          <w:id w:val="-258132491"/>
          <w:citation/>
        </w:sdtPr>
        <w:sdtContent>
          <w:r w:rsidR="00F43A4E">
            <w:fldChar w:fldCharType="begin"/>
          </w:r>
          <w:r w:rsidR="00F43A4E">
            <w:instrText xml:space="preserve"> CITATION ONR2013 \l 2057 </w:instrText>
          </w:r>
          <w:r w:rsidR="00F43A4E">
            <w:fldChar w:fldCharType="separate"/>
          </w:r>
          <w:r w:rsidR="00F43A4E">
            <w:rPr>
              <w:noProof/>
            </w:rPr>
            <w:t>[1]</w:t>
          </w:r>
          <w:r w:rsidR="00F43A4E">
            <w:fldChar w:fldCharType="end"/>
          </w:r>
        </w:sdtContent>
      </w:sdt>
      <w:r w:rsidRPr="001A064B">
        <w:t>).</w:t>
      </w:r>
    </w:p>
    <w:p w14:paraId="0136A63E" w14:textId="42F1E7EE" w:rsidR="005E625A" w:rsidRDefault="005E625A" w:rsidP="00F43A4E">
      <w:pPr>
        <w:pStyle w:val="F9-Paragraph"/>
      </w:pPr>
      <w:r w:rsidRPr="00DF3A75">
        <w:t>Novel forms or applications of SR</w:t>
      </w:r>
      <w:r>
        <w:t>I</w:t>
      </w:r>
      <w:r w:rsidRPr="00DF3A75">
        <w:t xml:space="preserve"> should be </w:t>
      </w:r>
      <w:r w:rsidR="00236B3B" w:rsidRPr="00DF3A75">
        <w:t>avoided,</w:t>
      </w:r>
      <w:r w:rsidRPr="00DF3A75">
        <w:t xml:space="preserve"> if at all </w:t>
      </w:r>
      <w:r w:rsidR="00F43A4E" w:rsidRPr="00DF3A75">
        <w:t>possible,</w:t>
      </w:r>
      <w:r w:rsidRPr="00DF3A75">
        <w:t xml:space="preserve"> because of the associated uncertainties in performance. Where novelty cannot be avoided</w:t>
      </w:r>
      <w:r>
        <w:t xml:space="preserve"> in an SRS</w:t>
      </w:r>
      <w:r w:rsidRPr="00DF3A75">
        <w:t xml:space="preserve"> however then the above caveats must be applied.</w:t>
      </w:r>
      <w:r w:rsidR="00B470F3">
        <w:t xml:space="preserve"> </w:t>
      </w:r>
      <w:r w:rsidR="00F43A4E">
        <w:t xml:space="preserve">Refer to </w:t>
      </w:r>
      <w:r>
        <w:t xml:space="preserve">paragraphs </w:t>
      </w:r>
      <w:r w:rsidR="00236B3B">
        <w:fldChar w:fldCharType="begin"/>
      </w:r>
      <w:r w:rsidR="00236B3B">
        <w:instrText xml:space="preserve"> REF _Ref134109463 \r \h </w:instrText>
      </w:r>
      <w:r w:rsidR="00236B3B">
        <w:fldChar w:fldCharType="separate"/>
      </w:r>
      <w:r w:rsidR="00236B3B">
        <w:t>57</w:t>
      </w:r>
      <w:r w:rsidR="00236B3B">
        <w:fldChar w:fldCharType="end"/>
      </w:r>
      <w:r w:rsidR="00236B3B">
        <w:t xml:space="preserve"> </w:t>
      </w:r>
      <w:r>
        <w:t xml:space="preserve">and </w:t>
      </w:r>
      <w:r w:rsidR="00236B3B">
        <w:fldChar w:fldCharType="begin"/>
      </w:r>
      <w:r w:rsidR="00236B3B">
        <w:instrText xml:space="preserve"> REF _Ref134109472 \r \h </w:instrText>
      </w:r>
      <w:r w:rsidR="00236B3B">
        <w:fldChar w:fldCharType="separate"/>
      </w:r>
      <w:r w:rsidR="00236B3B">
        <w:t>58</w:t>
      </w:r>
      <w:r w:rsidR="00236B3B">
        <w:fldChar w:fldCharType="end"/>
      </w:r>
      <w:r w:rsidR="00236B3B">
        <w:t xml:space="preserve"> </w:t>
      </w:r>
      <w:r>
        <w:t xml:space="preserve">of this guide and </w:t>
      </w:r>
      <w:r w:rsidRPr="00DF3A75">
        <w:t>ESR</w:t>
      </w:r>
      <w:r>
        <w:t>.</w:t>
      </w:r>
      <w:r w:rsidRPr="00DF3A75">
        <w:t xml:space="preserve">5 </w:t>
      </w:r>
      <w:r w:rsidRPr="00783624">
        <w:t xml:space="preserve">in </w:t>
      </w:r>
      <w:r w:rsidRPr="00DF3A75">
        <w:t>relation to computers and programmable devices.</w:t>
      </w:r>
    </w:p>
    <w:p w14:paraId="5B6856DB" w14:textId="26D05F61" w:rsidR="005E625A" w:rsidRPr="00DF3A75" w:rsidRDefault="005E625A" w:rsidP="00F60BD9">
      <w:pPr>
        <w:pStyle w:val="F9-Paragraph"/>
      </w:pPr>
      <w:bookmarkStart w:id="16" w:name="_Ref134109463"/>
      <w:r w:rsidRPr="001A064B">
        <w:t>For modern complex control systems, the avoidance of spurious operation cannot be guaranteed. Therefore major, spuriously initiated failures of control systems should be analysed as initiating faults in the fault analysis (SAP para. 431</w:t>
      </w:r>
      <w:r w:rsidR="00236B3B">
        <w:t xml:space="preserve"> </w:t>
      </w:r>
      <w:sdt>
        <w:sdtPr>
          <w:id w:val="-1761289013"/>
          <w:citation/>
        </w:sdtPr>
        <w:sdtContent>
          <w:r w:rsidR="00236B3B">
            <w:fldChar w:fldCharType="begin"/>
          </w:r>
          <w:r w:rsidR="00236B3B">
            <w:instrText xml:space="preserve"> CITATION ONR2013 \l 2057 </w:instrText>
          </w:r>
          <w:r w:rsidR="00236B3B">
            <w:fldChar w:fldCharType="separate"/>
          </w:r>
          <w:r w:rsidR="00236B3B">
            <w:rPr>
              <w:noProof/>
            </w:rPr>
            <w:t>[1]</w:t>
          </w:r>
          <w:r w:rsidR="00236B3B">
            <w:fldChar w:fldCharType="end"/>
          </w:r>
        </w:sdtContent>
      </w:sdt>
      <w:r w:rsidRPr="001A064B">
        <w:t>).</w:t>
      </w:r>
      <w:bookmarkEnd w:id="16"/>
      <w:r w:rsidRPr="001A064B">
        <w:t xml:space="preserve"> </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610"/>
        <w:gridCol w:w="3500"/>
        <w:gridCol w:w="1060"/>
      </w:tblGrid>
      <w:tr w:rsidR="005E625A" w14:paraId="6D38A4D3" w14:textId="77777777" w:rsidTr="00236B3B">
        <w:tc>
          <w:tcPr>
            <w:tcW w:w="2209" w:type="pct"/>
            <w:tcBorders>
              <w:top w:val="single" w:sz="4" w:space="0" w:color="auto"/>
              <w:left w:val="single" w:sz="4" w:space="0" w:color="auto"/>
              <w:bottom w:val="single" w:sz="4" w:space="0" w:color="auto"/>
              <w:right w:val="single" w:sz="4" w:space="0" w:color="auto"/>
            </w:tcBorders>
            <w:shd w:val="clear" w:color="auto" w:fill="FFCC99"/>
            <w:vAlign w:val="center"/>
          </w:tcPr>
          <w:p w14:paraId="4CD8E623" w14:textId="77777777" w:rsidR="005E625A" w:rsidRPr="00236B3B" w:rsidRDefault="005E625A" w:rsidP="00236B3B">
            <w:pPr>
              <w:keepNext/>
              <w:spacing w:after="0" w:line="240" w:lineRule="auto"/>
              <w:rPr>
                <w:b/>
                <w:bCs/>
                <w:szCs w:val="24"/>
              </w:rPr>
            </w:pPr>
            <w:r w:rsidRPr="00236B3B">
              <w:rPr>
                <w:b/>
                <w:bCs/>
                <w:szCs w:val="24"/>
              </w:rPr>
              <w:lastRenderedPageBreak/>
              <w:t>Engineering principles: reliability claims</w:t>
            </w:r>
          </w:p>
        </w:tc>
        <w:tc>
          <w:tcPr>
            <w:tcW w:w="2142" w:type="pct"/>
            <w:tcBorders>
              <w:top w:val="single" w:sz="4" w:space="0" w:color="auto"/>
              <w:left w:val="single" w:sz="4" w:space="0" w:color="auto"/>
              <w:bottom w:val="single" w:sz="4" w:space="0" w:color="auto"/>
              <w:right w:val="single" w:sz="4" w:space="0" w:color="auto"/>
            </w:tcBorders>
            <w:shd w:val="clear" w:color="auto" w:fill="FFCC99"/>
            <w:vAlign w:val="center"/>
          </w:tcPr>
          <w:p w14:paraId="3801B551" w14:textId="77777777" w:rsidR="005E625A" w:rsidRPr="00236B3B" w:rsidRDefault="005E625A" w:rsidP="00236B3B">
            <w:pPr>
              <w:keepNext/>
              <w:spacing w:after="0" w:line="240" w:lineRule="auto"/>
              <w:rPr>
                <w:szCs w:val="24"/>
              </w:rPr>
            </w:pPr>
            <w:r w:rsidRPr="00236B3B">
              <w:rPr>
                <w:szCs w:val="24"/>
              </w:rPr>
              <w:t>Margins of conservatism</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3495ADC8" w14:textId="77777777" w:rsidR="005E625A" w:rsidRPr="00236B3B" w:rsidRDefault="005E625A" w:rsidP="00236B3B">
            <w:pPr>
              <w:keepNext/>
              <w:spacing w:after="0" w:line="240" w:lineRule="auto"/>
              <w:jc w:val="center"/>
              <w:rPr>
                <w:szCs w:val="24"/>
              </w:rPr>
            </w:pPr>
            <w:r w:rsidRPr="00236B3B">
              <w:rPr>
                <w:szCs w:val="24"/>
              </w:rPr>
              <w:t>ERL.4</w:t>
            </w:r>
          </w:p>
        </w:tc>
      </w:tr>
      <w:tr w:rsidR="005E625A" w:rsidRPr="00236B3B" w14:paraId="06362666" w14:textId="77777777" w:rsidTr="00236B3B">
        <w:tc>
          <w:tcPr>
            <w:tcW w:w="5000" w:type="pct"/>
            <w:gridSpan w:val="3"/>
            <w:tcBorders>
              <w:top w:val="single" w:sz="4" w:space="0" w:color="auto"/>
              <w:left w:val="single" w:sz="4" w:space="0" w:color="auto"/>
              <w:bottom w:val="single" w:sz="4" w:space="0" w:color="auto"/>
              <w:right w:val="single" w:sz="4" w:space="0" w:color="auto"/>
            </w:tcBorders>
            <w:vAlign w:val="center"/>
          </w:tcPr>
          <w:p w14:paraId="31182452" w14:textId="77777777" w:rsidR="005E625A" w:rsidRPr="00236B3B" w:rsidRDefault="005E625A" w:rsidP="00236B3B">
            <w:pPr>
              <w:keepNext/>
              <w:spacing w:after="0" w:line="240" w:lineRule="auto"/>
              <w:rPr>
                <w:szCs w:val="24"/>
              </w:rPr>
            </w:pPr>
            <w:r w:rsidRPr="00236B3B">
              <w:rPr>
                <w:szCs w:val="24"/>
              </w:rPr>
              <w:t>Where safety-related systems and/or other means are claimed to reduce the frequency of a fault sequence, the safety case should include a margin of conservatism to allow for uncertainties.</w:t>
            </w:r>
          </w:p>
        </w:tc>
      </w:tr>
    </w:tbl>
    <w:p w14:paraId="5053F46E" w14:textId="75CF1971" w:rsidR="005E625A" w:rsidRPr="00DF3A75" w:rsidRDefault="005E625A" w:rsidP="00236B3B">
      <w:pPr>
        <w:pStyle w:val="F9-Paragraph"/>
      </w:pPr>
      <w:bookmarkStart w:id="17" w:name="_Ref134109472"/>
      <w:r w:rsidRPr="00DF3A75">
        <w:t>This addresses safety related systems that are involved in the initiating faults themselves, when two or more such systems act in combination with each other. ERL</w:t>
      </w:r>
      <w:r>
        <w:t>.</w:t>
      </w:r>
      <w:r w:rsidRPr="00DF3A75">
        <w:t xml:space="preserve">4 is an important principle for application in probabilistic analyses where licensees often seek to take credit for any mechanisms that can reduce the likelihood of a fault developing into an accident. </w:t>
      </w:r>
      <w:r w:rsidR="00236B3B">
        <w:br/>
      </w:r>
      <w:r w:rsidRPr="00DF3A75">
        <w:t>However</w:t>
      </w:r>
      <w:r>
        <w:t>,</w:t>
      </w:r>
      <w:r w:rsidRPr="00DF3A75">
        <w:t xml:space="preserve"> because of its nature</w:t>
      </w:r>
      <w:r>
        <w:t>,</w:t>
      </w:r>
      <w:r w:rsidRPr="00DF3A75">
        <w:t xml:space="preserve"> it is often the case that SRI is complex, interlinked with other systems, and less controlled with respect to availability than safety systems. Hence there are usually significant uncertainties involved in assigning appropriate numeric values for reliability. </w:t>
      </w:r>
      <w:r w:rsidR="00392299">
        <w:br/>
      </w:r>
      <w:r w:rsidRPr="00DF3A75">
        <w:t>Systems taking credit for multiple SR</w:t>
      </w:r>
      <w:r>
        <w:t>I</w:t>
      </w:r>
      <w:r w:rsidRPr="00DF3A75">
        <w:t>s would normally be subject to close scrutiny and require justification as to why SSs</w:t>
      </w:r>
      <w:r>
        <w:t xml:space="preserve"> or SRSs</w:t>
      </w:r>
      <w:r w:rsidRPr="00DF3A75">
        <w:t xml:space="preserve"> of appropriate reliability </w:t>
      </w:r>
      <w:r>
        <w:t xml:space="preserve">claims </w:t>
      </w:r>
      <w:r w:rsidRPr="00DF3A75">
        <w:t>are not provided. In fact unless the claim for all contributing elements of SRI taken together in a given fault sequence is clearly pessimistic, and not better than of the order of 1E-1 failures per year in total, the separate SRIs should be treated and assessed as such, e.g. explicit evidence sought with respect to their independence from other systems, from each other, their effectiveness in all the possible circumstances that might occur, their availability when needed, their standard of engineering, and their simplicity.</w:t>
      </w:r>
      <w:bookmarkEnd w:id="17"/>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610"/>
        <w:gridCol w:w="3500"/>
        <w:gridCol w:w="1060"/>
      </w:tblGrid>
      <w:tr w:rsidR="005E625A" w:rsidRPr="00236B3B" w14:paraId="7251A371" w14:textId="77777777" w:rsidTr="00236B3B">
        <w:tc>
          <w:tcPr>
            <w:tcW w:w="2209" w:type="pct"/>
            <w:tcBorders>
              <w:top w:val="single" w:sz="4" w:space="0" w:color="auto"/>
              <w:left w:val="single" w:sz="4" w:space="0" w:color="auto"/>
              <w:bottom w:val="single" w:sz="4" w:space="0" w:color="auto"/>
              <w:right w:val="single" w:sz="4" w:space="0" w:color="auto"/>
            </w:tcBorders>
            <w:shd w:val="clear" w:color="auto" w:fill="FFCC99"/>
            <w:vAlign w:val="center"/>
          </w:tcPr>
          <w:p w14:paraId="3FD50B1C" w14:textId="77777777" w:rsidR="005E625A" w:rsidRPr="00236B3B" w:rsidRDefault="005E625A" w:rsidP="00236B3B">
            <w:pPr>
              <w:keepNext/>
              <w:spacing w:after="0" w:line="240" w:lineRule="auto"/>
              <w:rPr>
                <w:b/>
                <w:bCs/>
                <w:szCs w:val="24"/>
              </w:rPr>
            </w:pPr>
            <w:r w:rsidRPr="00236B3B">
              <w:rPr>
                <w:b/>
                <w:bCs/>
                <w:szCs w:val="24"/>
              </w:rPr>
              <w:t>Engineering principles: design for reliability</w:t>
            </w:r>
          </w:p>
        </w:tc>
        <w:tc>
          <w:tcPr>
            <w:tcW w:w="2142" w:type="pct"/>
            <w:tcBorders>
              <w:top w:val="single" w:sz="4" w:space="0" w:color="auto"/>
              <w:left w:val="single" w:sz="4" w:space="0" w:color="auto"/>
              <w:bottom w:val="single" w:sz="4" w:space="0" w:color="auto"/>
              <w:right w:val="single" w:sz="4" w:space="0" w:color="auto"/>
            </w:tcBorders>
            <w:shd w:val="clear" w:color="auto" w:fill="FFCC99"/>
            <w:vAlign w:val="center"/>
          </w:tcPr>
          <w:p w14:paraId="6B180145" w14:textId="77777777" w:rsidR="005E625A" w:rsidRPr="00236B3B" w:rsidRDefault="005E625A" w:rsidP="00236B3B">
            <w:pPr>
              <w:keepNext/>
              <w:spacing w:after="0" w:line="240" w:lineRule="auto"/>
              <w:rPr>
                <w:szCs w:val="24"/>
              </w:rPr>
            </w:pPr>
            <w:r w:rsidRPr="00236B3B">
              <w:rPr>
                <w:szCs w:val="24"/>
              </w:rPr>
              <w:t>Common cause failure</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12F59494" w14:textId="77777777" w:rsidR="005E625A" w:rsidRPr="00236B3B" w:rsidRDefault="005E625A" w:rsidP="00236B3B">
            <w:pPr>
              <w:keepNext/>
              <w:spacing w:after="0" w:line="240" w:lineRule="auto"/>
              <w:rPr>
                <w:szCs w:val="24"/>
              </w:rPr>
            </w:pPr>
            <w:r w:rsidRPr="00236B3B">
              <w:rPr>
                <w:szCs w:val="24"/>
              </w:rPr>
              <w:t>EDR.3</w:t>
            </w:r>
          </w:p>
        </w:tc>
      </w:tr>
      <w:tr w:rsidR="005E625A" w:rsidRPr="00236B3B" w14:paraId="07962355" w14:textId="77777777" w:rsidTr="00236B3B">
        <w:tc>
          <w:tcPr>
            <w:tcW w:w="5000" w:type="pct"/>
            <w:gridSpan w:val="3"/>
            <w:tcBorders>
              <w:top w:val="single" w:sz="4" w:space="0" w:color="auto"/>
              <w:left w:val="single" w:sz="4" w:space="0" w:color="auto"/>
              <w:bottom w:val="single" w:sz="4" w:space="0" w:color="auto"/>
              <w:right w:val="single" w:sz="4" w:space="0" w:color="auto"/>
            </w:tcBorders>
            <w:vAlign w:val="center"/>
          </w:tcPr>
          <w:p w14:paraId="40F8104D" w14:textId="77777777" w:rsidR="005E625A" w:rsidRPr="00236B3B" w:rsidRDefault="005E625A" w:rsidP="00236B3B">
            <w:pPr>
              <w:keepNext/>
              <w:spacing w:after="0" w:line="240" w:lineRule="auto"/>
              <w:rPr>
                <w:szCs w:val="24"/>
              </w:rPr>
            </w:pPr>
            <w:r w:rsidRPr="00236B3B">
              <w:rPr>
                <w:szCs w:val="24"/>
              </w:rPr>
              <w:t>Common cause failure (CCF) should be addressed explicitly where a structure, system or component employs redundant or diverse components, measurements or actions to provide high reliability.</w:t>
            </w:r>
          </w:p>
        </w:tc>
      </w:tr>
    </w:tbl>
    <w:p w14:paraId="22B0CB3E" w14:textId="65E79C83" w:rsidR="005E625A" w:rsidRPr="001A064B" w:rsidRDefault="005E625A" w:rsidP="00392299">
      <w:pPr>
        <w:pStyle w:val="F9-Paragraph"/>
      </w:pPr>
      <w:r w:rsidRPr="001A064B">
        <w:t>Usually, safety-related systems tend to be more complex than safety systems and are typically designed to less rigorous standards.</w:t>
      </w:r>
      <w:r w:rsidR="00B470F3">
        <w:t xml:space="preserve"> </w:t>
      </w:r>
      <w:r w:rsidRPr="001A064B">
        <w:t>Hence special attention should be paid to potential common cause failures, uncertainties in assigned reliability values, availability, and measures to ensure that the system’s safety significance will continue to be recognised throughout its life.</w:t>
      </w:r>
      <w:r w:rsidR="00B470F3">
        <w:t xml:space="preserve"> </w:t>
      </w:r>
      <w:r w:rsidRPr="001A064B">
        <w:t>This is particularly important where claims are made on combinations of safety-related systems (SAP para. 195</w:t>
      </w:r>
      <w:r w:rsidR="00392299">
        <w:t xml:space="preserve"> </w:t>
      </w:r>
      <w:sdt>
        <w:sdtPr>
          <w:id w:val="1841347196"/>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1A064B">
        <w:t>).</w:t>
      </w:r>
    </w:p>
    <w:p w14:paraId="7371D20D" w14:textId="0FF2A8E1" w:rsidR="005E625A" w:rsidRPr="001A064B" w:rsidRDefault="005E625A" w:rsidP="00392299">
      <w:pPr>
        <w:pStyle w:val="F9-Paragraph"/>
      </w:pPr>
      <w:r w:rsidRPr="001A064B">
        <w:t>CCF claims should be substantiated. Where required reliabilities cannot be achieved due to CCF considerations, the safety function should be achieved taking account of the concepts of diversity and segregation, and by providing at least two independent safety measures (SAP para. 184/187</w:t>
      </w:r>
      <w:r w:rsidR="00392299">
        <w:t xml:space="preserve"> </w:t>
      </w:r>
      <w:sdt>
        <w:sdtPr>
          <w:id w:val="-1138886691"/>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1A064B">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431"/>
        <w:gridCol w:w="3693"/>
        <w:gridCol w:w="1046"/>
      </w:tblGrid>
      <w:tr w:rsidR="005E625A" w:rsidRPr="00392299" w14:paraId="78104C25" w14:textId="77777777" w:rsidTr="00392299">
        <w:tc>
          <w:tcPr>
            <w:tcW w:w="2100" w:type="pct"/>
            <w:tcBorders>
              <w:top w:val="single" w:sz="4" w:space="0" w:color="auto"/>
              <w:left w:val="single" w:sz="4" w:space="0" w:color="auto"/>
              <w:bottom w:val="single" w:sz="4" w:space="0" w:color="auto"/>
              <w:right w:val="single" w:sz="4" w:space="0" w:color="auto"/>
            </w:tcBorders>
            <w:shd w:val="clear" w:color="auto" w:fill="FFCC99"/>
            <w:vAlign w:val="center"/>
          </w:tcPr>
          <w:p w14:paraId="70943654" w14:textId="77777777" w:rsidR="005E625A" w:rsidRPr="00392299" w:rsidRDefault="005E625A" w:rsidP="00392299">
            <w:pPr>
              <w:keepNext/>
              <w:spacing w:after="0" w:line="240" w:lineRule="auto"/>
              <w:rPr>
                <w:b/>
                <w:bCs/>
                <w:szCs w:val="24"/>
              </w:rPr>
            </w:pPr>
            <w:r w:rsidRPr="00392299">
              <w:rPr>
                <w:b/>
                <w:bCs/>
                <w:szCs w:val="24"/>
              </w:rPr>
              <w:lastRenderedPageBreak/>
              <w:t>Engineering principles: design for reliability</w:t>
            </w:r>
          </w:p>
        </w:tc>
        <w:tc>
          <w:tcPr>
            <w:tcW w:w="2260" w:type="pct"/>
            <w:tcBorders>
              <w:top w:val="single" w:sz="4" w:space="0" w:color="auto"/>
              <w:left w:val="single" w:sz="4" w:space="0" w:color="auto"/>
              <w:bottom w:val="single" w:sz="4" w:space="0" w:color="auto"/>
              <w:right w:val="single" w:sz="4" w:space="0" w:color="auto"/>
            </w:tcBorders>
            <w:shd w:val="clear" w:color="auto" w:fill="FFCC99"/>
            <w:vAlign w:val="center"/>
          </w:tcPr>
          <w:p w14:paraId="00F52D3B" w14:textId="77777777" w:rsidR="005E625A" w:rsidRPr="00392299" w:rsidRDefault="005E625A" w:rsidP="00392299">
            <w:pPr>
              <w:keepNext/>
              <w:spacing w:after="0" w:line="240" w:lineRule="auto"/>
              <w:rPr>
                <w:szCs w:val="24"/>
              </w:rPr>
            </w:pPr>
            <w:r w:rsidRPr="00392299">
              <w:rPr>
                <w:szCs w:val="24"/>
              </w:rPr>
              <w:t>Redundancy, diversity and segregation</w:t>
            </w:r>
          </w:p>
        </w:tc>
        <w:tc>
          <w:tcPr>
            <w:tcW w:w="640" w:type="pct"/>
            <w:tcBorders>
              <w:top w:val="single" w:sz="4" w:space="0" w:color="auto"/>
              <w:left w:val="single" w:sz="4" w:space="0" w:color="auto"/>
              <w:bottom w:val="single" w:sz="4" w:space="0" w:color="auto"/>
              <w:right w:val="single" w:sz="4" w:space="0" w:color="auto"/>
            </w:tcBorders>
            <w:shd w:val="clear" w:color="auto" w:fill="FFCC99"/>
            <w:vAlign w:val="center"/>
          </w:tcPr>
          <w:p w14:paraId="58D4D586" w14:textId="77777777" w:rsidR="005E625A" w:rsidRPr="00392299" w:rsidRDefault="005E625A" w:rsidP="00392299">
            <w:pPr>
              <w:keepNext/>
              <w:spacing w:after="0" w:line="240" w:lineRule="auto"/>
              <w:rPr>
                <w:szCs w:val="24"/>
              </w:rPr>
            </w:pPr>
            <w:r w:rsidRPr="00392299">
              <w:rPr>
                <w:szCs w:val="24"/>
              </w:rPr>
              <w:t>EDR.2</w:t>
            </w:r>
          </w:p>
        </w:tc>
      </w:tr>
      <w:tr w:rsidR="005E625A" w:rsidRPr="00392299" w14:paraId="31EA5C95" w14:textId="77777777" w:rsidTr="00392299">
        <w:tc>
          <w:tcPr>
            <w:tcW w:w="5000" w:type="pct"/>
            <w:gridSpan w:val="3"/>
            <w:tcBorders>
              <w:top w:val="single" w:sz="4" w:space="0" w:color="auto"/>
              <w:left w:val="single" w:sz="4" w:space="0" w:color="auto"/>
              <w:bottom w:val="single" w:sz="4" w:space="0" w:color="auto"/>
              <w:right w:val="single" w:sz="4" w:space="0" w:color="auto"/>
            </w:tcBorders>
            <w:vAlign w:val="center"/>
          </w:tcPr>
          <w:p w14:paraId="24462446" w14:textId="77777777" w:rsidR="005E625A" w:rsidRPr="00392299" w:rsidRDefault="005E625A" w:rsidP="00392299">
            <w:pPr>
              <w:keepNext/>
              <w:spacing w:after="0" w:line="240" w:lineRule="auto"/>
              <w:rPr>
                <w:szCs w:val="24"/>
              </w:rPr>
            </w:pPr>
            <w:r w:rsidRPr="00392299">
              <w:rPr>
                <w:szCs w:val="24"/>
              </w:rPr>
              <w:t>Redundancy, diversity and segregation should be incorporated as appropriate within the designs of structures, systems and components.</w:t>
            </w:r>
          </w:p>
        </w:tc>
      </w:tr>
    </w:tbl>
    <w:p w14:paraId="0BA6A47C" w14:textId="5163796F" w:rsidR="005E625A" w:rsidRPr="00392299" w:rsidRDefault="005E625A" w:rsidP="00392299">
      <w:pPr>
        <w:pStyle w:val="F9-Paragraph"/>
      </w:pPr>
      <w:r w:rsidRPr="00FE4FF2">
        <w:t>It is normally expected that SRI will not be formally claimed in the safety case and, as such, should be typically characterized by a reliability of not better than 10</w:t>
      </w:r>
      <w:r w:rsidRPr="00FE4FF2">
        <w:rPr>
          <w:vertAlign w:val="superscript"/>
        </w:rPr>
        <w:t>-1</w:t>
      </w:r>
      <w:r w:rsidRPr="00FE4FF2">
        <w:t xml:space="preserve">/yr or its equivalent for </w:t>
      </w:r>
      <w:r w:rsidR="00392299" w:rsidRPr="00FE4FF2">
        <w:t>demand-based</w:t>
      </w:r>
      <w:r w:rsidRPr="00FE4FF2">
        <w:t xml:space="preserve"> modes.</w:t>
      </w:r>
      <w:r w:rsidR="00B470F3">
        <w:t xml:space="preserve"> </w:t>
      </w:r>
      <w:r w:rsidRPr="00FE4FF2">
        <w:t>Where SRS is claimed as a modest frequency reduction back-up to a Class 1 safety system covering a Category A Function then it should be demonstrably diverse from the Class 1 safety system for which back-up is required. Examples of diversity are different operating conditions, different working principles or different design teams, different sizes of equipment, different manufacturers, different components, and types of equipment that use different physical methods.</w:t>
      </w:r>
      <w:r w:rsidR="00B470F3">
        <w:t xml:space="preserve"> </w:t>
      </w:r>
      <w:r w:rsidRPr="00392299">
        <w:t>The design should also be tolerant of random failure occurring anywhere within the safety systems provided to secure each safety function (SAP para. 180</w:t>
      </w:r>
      <w:r w:rsidR="00392299">
        <w:t xml:space="preserve"> </w:t>
      </w:r>
      <w:sdt>
        <w:sdtPr>
          <w:id w:val="866635136"/>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392299">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545"/>
        <w:gridCol w:w="3565"/>
        <w:gridCol w:w="1060"/>
      </w:tblGrid>
      <w:tr w:rsidR="005E625A" w14:paraId="1BD78272" w14:textId="77777777" w:rsidTr="00392299">
        <w:tc>
          <w:tcPr>
            <w:tcW w:w="2169" w:type="pct"/>
            <w:tcBorders>
              <w:top w:val="single" w:sz="4" w:space="0" w:color="auto"/>
              <w:left w:val="single" w:sz="4" w:space="0" w:color="auto"/>
              <w:bottom w:val="single" w:sz="4" w:space="0" w:color="auto"/>
              <w:right w:val="single" w:sz="4" w:space="0" w:color="auto"/>
            </w:tcBorders>
            <w:shd w:val="clear" w:color="auto" w:fill="FFCC99"/>
            <w:vAlign w:val="center"/>
          </w:tcPr>
          <w:p w14:paraId="39C2B639" w14:textId="77777777" w:rsidR="005E625A" w:rsidRPr="00392299" w:rsidRDefault="005E625A" w:rsidP="00392299">
            <w:pPr>
              <w:keepNext/>
              <w:spacing w:after="0" w:line="240" w:lineRule="auto"/>
              <w:rPr>
                <w:b/>
                <w:bCs/>
                <w:szCs w:val="24"/>
              </w:rPr>
            </w:pPr>
            <w:r w:rsidRPr="00392299">
              <w:rPr>
                <w:b/>
                <w:bCs/>
                <w:szCs w:val="24"/>
              </w:rPr>
              <w:t>Engineering principles: control and instrumentation of safety-related systems</w:t>
            </w:r>
          </w:p>
        </w:tc>
        <w:tc>
          <w:tcPr>
            <w:tcW w:w="2182" w:type="pct"/>
            <w:tcBorders>
              <w:top w:val="single" w:sz="4" w:space="0" w:color="auto"/>
              <w:left w:val="single" w:sz="4" w:space="0" w:color="auto"/>
              <w:bottom w:val="single" w:sz="4" w:space="0" w:color="auto"/>
              <w:right w:val="single" w:sz="4" w:space="0" w:color="auto"/>
            </w:tcBorders>
            <w:shd w:val="clear" w:color="auto" w:fill="FFCC99"/>
            <w:vAlign w:val="center"/>
          </w:tcPr>
          <w:p w14:paraId="7DD573B5" w14:textId="77777777" w:rsidR="005E625A" w:rsidRPr="00392299" w:rsidRDefault="005E625A" w:rsidP="00392299">
            <w:pPr>
              <w:keepNext/>
              <w:spacing w:after="0" w:line="240" w:lineRule="auto"/>
              <w:rPr>
                <w:szCs w:val="24"/>
              </w:rPr>
            </w:pPr>
            <w:r w:rsidRPr="00392299">
              <w:rPr>
                <w:szCs w:val="24"/>
              </w:rPr>
              <w:t>Demands on safety systems in the event of control system faults</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00C4E024" w14:textId="77777777" w:rsidR="005E625A" w:rsidRPr="00392299" w:rsidRDefault="005E625A" w:rsidP="00392299">
            <w:pPr>
              <w:keepNext/>
              <w:spacing w:after="0" w:line="240" w:lineRule="auto"/>
              <w:jc w:val="center"/>
              <w:rPr>
                <w:szCs w:val="24"/>
              </w:rPr>
            </w:pPr>
            <w:r w:rsidRPr="00392299">
              <w:rPr>
                <w:szCs w:val="24"/>
              </w:rPr>
              <w:t>ESR.10</w:t>
            </w:r>
          </w:p>
        </w:tc>
      </w:tr>
      <w:tr w:rsidR="005E625A" w:rsidRPr="00392299" w14:paraId="5A43AF6F" w14:textId="77777777" w:rsidTr="00392299">
        <w:tc>
          <w:tcPr>
            <w:tcW w:w="5000" w:type="pct"/>
            <w:gridSpan w:val="3"/>
            <w:tcBorders>
              <w:top w:val="single" w:sz="4" w:space="0" w:color="auto"/>
              <w:left w:val="single" w:sz="4" w:space="0" w:color="auto"/>
              <w:bottom w:val="single" w:sz="4" w:space="0" w:color="auto"/>
              <w:right w:val="single" w:sz="4" w:space="0" w:color="auto"/>
            </w:tcBorders>
            <w:vAlign w:val="center"/>
          </w:tcPr>
          <w:p w14:paraId="35B42030" w14:textId="77777777" w:rsidR="005E625A" w:rsidRPr="00392299" w:rsidRDefault="005E625A" w:rsidP="00392299">
            <w:pPr>
              <w:keepNext/>
              <w:spacing w:after="0" w:line="240" w:lineRule="auto"/>
              <w:rPr>
                <w:szCs w:val="24"/>
              </w:rPr>
            </w:pPr>
            <w:r w:rsidRPr="00392299">
              <w:rPr>
                <w:szCs w:val="24"/>
              </w:rPr>
              <w:t>Faults in control systems and other safety-related instrumentation should not cause an excessive frequency of demands on safety systems or take any safety system beyond its capability limits.</w:t>
            </w:r>
          </w:p>
        </w:tc>
      </w:tr>
    </w:tbl>
    <w:p w14:paraId="3FA7D77D" w14:textId="4FF36162" w:rsidR="005E625A" w:rsidRPr="001A064B" w:rsidRDefault="005E625A" w:rsidP="00392299">
      <w:pPr>
        <w:pStyle w:val="F9-Paragraph"/>
      </w:pPr>
      <w:r w:rsidRPr="001A064B">
        <w:t>An analysis should be provided that identifies the foreseeable ways in which control system faults, including multiple spurious faults or failures on demand, could generate a demand on a safety system (SAP para 435</w:t>
      </w:r>
      <w:r w:rsidR="00392299">
        <w:t xml:space="preserve"> </w:t>
      </w:r>
      <w:sdt>
        <w:sdtPr>
          <w:id w:val="-668798576"/>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1A064B">
        <w:t xml:space="preserve">). </w:t>
      </w:r>
    </w:p>
    <w:p w14:paraId="2502A443" w14:textId="77777777" w:rsidR="005E625A" w:rsidRPr="00DF3A75" w:rsidRDefault="005E625A" w:rsidP="00392299">
      <w:pPr>
        <w:pStyle w:val="F9-Paragraph"/>
      </w:pPr>
      <w:r w:rsidRPr="00DF3A75">
        <w:t xml:space="preserve">This SAP recognises that control systems themselves represent a threat to safety by their potential for initiating </w:t>
      </w:r>
      <w:r>
        <w:t xml:space="preserve">potentially </w:t>
      </w:r>
      <w:r w:rsidRPr="00DF3A75">
        <w:t xml:space="preserve">dangerous </w:t>
      </w:r>
      <w:r>
        <w:t>events</w:t>
      </w:r>
      <w:r w:rsidRPr="00DF3A75">
        <w:t xml:space="preserve"> under fault conditions. The analysis referred to is necessary to identify such fault conditions so that they can be </w:t>
      </w:r>
      <w:r>
        <w:t xml:space="preserve">eliminated by </w:t>
      </w:r>
      <w:r w:rsidRPr="00DF3A75">
        <w:t xml:space="preserve">design where possible, the residual </w:t>
      </w:r>
      <w:r>
        <w:t>fault conditions</w:t>
      </w:r>
      <w:r w:rsidRPr="00DF3A75">
        <w:t xml:space="preserve"> shown not to be excessive, and potential combination effects of multiple control system faults shown not to defeat the plant safety systems.</w:t>
      </w:r>
    </w:p>
    <w:p w14:paraId="71646D9C" w14:textId="2D444A86" w:rsidR="005E625A" w:rsidRPr="006213CA" w:rsidRDefault="005E625A" w:rsidP="00392299">
      <w:pPr>
        <w:pStyle w:val="F9-Paragraph"/>
      </w:pPr>
      <w:r w:rsidRPr="006213CA">
        <w:t xml:space="preserve">Adequate physical separation and segregation, independence and isolation should be maintained so that no fault in the SRI might jeopardise the safe working of </w:t>
      </w:r>
      <w:r>
        <w:t xml:space="preserve">SSs </w:t>
      </w:r>
      <w:r w:rsidRPr="006213CA">
        <w:t>(SAP para. 413, 415</w:t>
      </w:r>
      <w:r w:rsidR="00392299">
        <w:t xml:space="preserve"> </w:t>
      </w:r>
      <w:sdt>
        <w:sdtPr>
          <w:id w:val="1785378885"/>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6213CA">
        <w:t>)</w:t>
      </w:r>
      <w:r>
        <w:t xml:space="preserve"> or SRSs</w:t>
      </w:r>
      <w:r w:rsidRPr="006213CA">
        <w:t>.</w:t>
      </w:r>
    </w:p>
    <w:p w14:paraId="34CE009E" w14:textId="5907FEBD" w:rsidR="005E625A" w:rsidRPr="006213CA" w:rsidRDefault="005E625A" w:rsidP="00392299">
      <w:pPr>
        <w:pStyle w:val="F9-Paragraph"/>
      </w:pPr>
      <w:bookmarkStart w:id="18" w:name="OLE_LINK1"/>
      <w:r w:rsidRPr="001A064B">
        <w:t xml:space="preserve">Appropriately designed interfaces should be provided between structures, systems and components of different classes to ensure that any failure in a </w:t>
      </w:r>
      <w:r w:rsidR="00392299" w:rsidRPr="001A064B">
        <w:t>lower-class</w:t>
      </w:r>
      <w:r w:rsidRPr="001A064B">
        <w:t xml:space="preserve"> item will not propagate to an item of a higher class.</w:t>
      </w:r>
      <w:r w:rsidR="00B470F3">
        <w:t xml:space="preserve"> </w:t>
      </w:r>
      <w:r w:rsidR="00392299">
        <w:br/>
      </w:r>
      <w:r w:rsidRPr="001A064B">
        <w:t>Equipment providing the function to prevent the propagation of failures should be assigned to the higher class (SAP para. 167</w:t>
      </w:r>
      <w:r w:rsidR="00392299">
        <w:t xml:space="preserve"> </w:t>
      </w:r>
      <w:sdt>
        <w:sdtPr>
          <w:id w:val="1171143426"/>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1A064B">
        <w:t>).</w:t>
      </w:r>
      <w:r w:rsidR="00B470F3">
        <w:t xml:space="preserve"> </w:t>
      </w:r>
      <w:r w:rsidRPr="006213CA">
        <w:t>It is important to note that this SAP does not only apply to hardware failures but also to the transmission of data and digital controls.</w:t>
      </w:r>
      <w:r w:rsidR="00B470F3">
        <w:t xml:space="preserve"> </w:t>
      </w:r>
      <w:r w:rsidR="00392299" w:rsidRPr="006213CA">
        <w:t>Generally,</w:t>
      </w:r>
      <w:r w:rsidRPr="006213CA">
        <w:t xml:space="preserve"> such communications </w:t>
      </w:r>
      <w:r w:rsidRPr="006213CA">
        <w:lastRenderedPageBreak/>
        <w:t>should be from the higher Class system to the lower Class with the reverse prohibited by the use of one way diodes or other isolation devices.</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610"/>
        <w:gridCol w:w="3500"/>
        <w:gridCol w:w="1060"/>
      </w:tblGrid>
      <w:tr w:rsidR="005E625A" w:rsidRPr="00392299" w14:paraId="1FDE7610" w14:textId="77777777" w:rsidTr="00392299">
        <w:tc>
          <w:tcPr>
            <w:tcW w:w="2209" w:type="pct"/>
            <w:tcBorders>
              <w:top w:val="single" w:sz="4" w:space="0" w:color="auto"/>
              <w:left w:val="single" w:sz="4" w:space="0" w:color="auto"/>
              <w:bottom w:val="single" w:sz="4" w:space="0" w:color="auto"/>
              <w:right w:val="single" w:sz="4" w:space="0" w:color="auto"/>
            </w:tcBorders>
            <w:shd w:val="clear" w:color="auto" w:fill="FFCC99"/>
            <w:vAlign w:val="center"/>
          </w:tcPr>
          <w:bookmarkEnd w:id="18"/>
          <w:p w14:paraId="5DFA8C7B" w14:textId="77777777" w:rsidR="005E625A" w:rsidRPr="00392299" w:rsidRDefault="005E625A" w:rsidP="00392299">
            <w:pPr>
              <w:keepNext/>
              <w:spacing w:after="0" w:line="240" w:lineRule="auto"/>
              <w:rPr>
                <w:b/>
                <w:bCs/>
                <w:szCs w:val="24"/>
              </w:rPr>
            </w:pPr>
            <w:r w:rsidRPr="00392299">
              <w:rPr>
                <w:b/>
                <w:bCs/>
                <w:szCs w:val="24"/>
              </w:rPr>
              <w:t>Engineering principles: design for reliability</w:t>
            </w:r>
          </w:p>
        </w:tc>
        <w:tc>
          <w:tcPr>
            <w:tcW w:w="2142" w:type="pct"/>
            <w:tcBorders>
              <w:top w:val="single" w:sz="4" w:space="0" w:color="auto"/>
              <w:left w:val="single" w:sz="4" w:space="0" w:color="auto"/>
              <w:bottom w:val="single" w:sz="4" w:space="0" w:color="auto"/>
              <w:right w:val="single" w:sz="4" w:space="0" w:color="auto"/>
            </w:tcBorders>
            <w:shd w:val="clear" w:color="auto" w:fill="FFCC99"/>
            <w:vAlign w:val="center"/>
          </w:tcPr>
          <w:p w14:paraId="6FEC37C7" w14:textId="77777777" w:rsidR="005E625A" w:rsidRPr="00392299" w:rsidRDefault="005E625A" w:rsidP="00392299">
            <w:pPr>
              <w:keepNext/>
              <w:spacing w:after="0" w:line="240" w:lineRule="auto"/>
              <w:rPr>
                <w:szCs w:val="24"/>
              </w:rPr>
            </w:pPr>
            <w:r w:rsidRPr="00392299">
              <w:rPr>
                <w:szCs w:val="24"/>
              </w:rPr>
              <w:t>Failure to safety</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5424B91D" w14:textId="77777777" w:rsidR="005E625A" w:rsidRPr="00392299" w:rsidRDefault="005E625A" w:rsidP="00392299">
            <w:pPr>
              <w:keepNext/>
              <w:spacing w:after="0" w:line="240" w:lineRule="auto"/>
              <w:rPr>
                <w:szCs w:val="24"/>
              </w:rPr>
            </w:pPr>
            <w:r w:rsidRPr="00392299">
              <w:rPr>
                <w:szCs w:val="24"/>
              </w:rPr>
              <w:t>EDR.1</w:t>
            </w:r>
          </w:p>
        </w:tc>
      </w:tr>
      <w:tr w:rsidR="005E625A" w:rsidRPr="00392299" w14:paraId="7C4EA9D1" w14:textId="77777777" w:rsidTr="00392299">
        <w:tc>
          <w:tcPr>
            <w:tcW w:w="5000" w:type="pct"/>
            <w:gridSpan w:val="3"/>
            <w:tcBorders>
              <w:top w:val="single" w:sz="4" w:space="0" w:color="auto"/>
              <w:left w:val="single" w:sz="4" w:space="0" w:color="auto"/>
              <w:bottom w:val="single" w:sz="4" w:space="0" w:color="auto"/>
              <w:right w:val="single" w:sz="4" w:space="0" w:color="auto"/>
            </w:tcBorders>
            <w:vAlign w:val="center"/>
          </w:tcPr>
          <w:p w14:paraId="34640633" w14:textId="77777777" w:rsidR="005E625A" w:rsidRPr="00392299" w:rsidRDefault="005E625A" w:rsidP="00392299">
            <w:pPr>
              <w:keepNext/>
              <w:spacing w:after="0" w:line="240" w:lineRule="auto"/>
              <w:rPr>
                <w:szCs w:val="24"/>
              </w:rPr>
            </w:pPr>
            <w:r w:rsidRPr="00392299">
              <w:rPr>
                <w:szCs w:val="24"/>
              </w:rPr>
              <w:t>Due account should be taken of the need for structures, systems and components to be designed to be inherently safe, or to fail in a safe manner, and potential failure modes should be identified, using a formal analysis where appropriate.</w:t>
            </w:r>
          </w:p>
        </w:tc>
      </w:tr>
    </w:tbl>
    <w:p w14:paraId="4FA33865" w14:textId="1C4DC781" w:rsidR="005E625A" w:rsidRPr="001A064B" w:rsidRDefault="005E625A" w:rsidP="00392299">
      <w:pPr>
        <w:pStyle w:val="F9-Paragraph"/>
      </w:pPr>
      <w:r w:rsidRPr="001A064B">
        <w:t>Ideally, the structures, systems and components should be fail-safe, i.e. they should have no unsafe failure modes (SAP para. 179</w:t>
      </w:r>
      <w:r w:rsidR="00392299">
        <w:t xml:space="preserve"> </w:t>
      </w:r>
      <w:sdt>
        <w:sdtPr>
          <w:id w:val="880909314"/>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1A064B">
        <w:t>).</w:t>
      </w:r>
    </w:p>
    <w:p w14:paraId="016CECEB" w14:textId="77777777" w:rsidR="00392299" w:rsidRDefault="00392299" w:rsidP="005E625A">
      <w:pPr>
        <w:pStyle w:val="TSHeadingNumbered1"/>
        <w:numPr>
          <w:ilvl w:val="0"/>
          <w:numId w:val="36"/>
        </w:numPr>
        <w:sectPr w:rsidR="00392299" w:rsidSect="000B2BCD">
          <w:pgSz w:w="11906" w:h="16838" w:code="9"/>
          <w:pgMar w:top="1440" w:right="1440" w:bottom="1440" w:left="1440" w:header="397" w:footer="397" w:gutter="0"/>
          <w:cols w:space="312"/>
          <w:docGrid w:linePitch="360"/>
        </w:sectPr>
      </w:pPr>
      <w:bookmarkStart w:id="19" w:name="_Toc389815634"/>
    </w:p>
    <w:p w14:paraId="43B7629E" w14:textId="4C71B4F8" w:rsidR="005E625A" w:rsidRPr="00392299" w:rsidRDefault="00392299" w:rsidP="00392299">
      <w:pPr>
        <w:pStyle w:val="Heading1"/>
      </w:pPr>
      <w:bookmarkStart w:id="20" w:name="_Toc134110821"/>
      <w:r>
        <w:lastRenderedPageBreak/>
        <w:t>L</w:t>
      </w:r>
      <w:r w:rsidR="005E625A">
        <w:t xml:space="preserve">ayout and </w:t>
      </w:r>
      <w:r>
        <w:t>V</w:t>
      </w:r>
      <w:r w:rsidR="005E625A">
        <w:t xml:space="preserve">ulnerability to </w:t>
      </w:r>
      <w:r>
        <w:t>I</w:t>
      </w:r>
      <w:r w:rsidR="005E625A">
        <w:t>nternal/</w:t>
      </w:r>
      <w:r>
        <w:t xml:space="preserve"> </w:t>
      </w:r>
      <w:r w:rsidRPr="00392299">
        <w:t>E</w:t>
      </w:r>
      <w:r w:rsidR="005E625A" w:rsidRPr="00392299">
        <w:t xml:space="preserve">xternal </w:t>
      </w:r>
      <w:r w:rsidRPr="00392299">
        <w:t>H</w:t>
      </w:r>
      <w:r w:rsidR="005E625A" w:rsidRPr="00392299">
        <w:t>azards</w:t>
      </w:r>
      <w:bookmarkEnd w:id="19"/>
      <w:bookmarkEnd w:id="20"/>
    </w:p>
    <w:tbl>
      <w:tblPr>
        <w:tblpPr w:leftFromText="180" w:rightFromText="180" w:vertAnchor="text" w:horzAnchor="margin" w:tblpX="846" w:tblpY="86"/>
        <w:tblW w:w="4531"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618"/>
        <w:gridCol w:w="3340"/>
        <w:gridCol w:w="1212"/>
      </w:tblGrid>
      <w:tr w:rsidR="005E625A" w14:paraId="1F2412F9" w14:textId="77777777" w:rsidTr="00392299">
        <w:tc>
          <w:tcPr>
            <w:tcW w:w="2214" w:type="pct"/>
            <w:tcBorders>
              <w:top w:val="single" w:sz="4" w:space="0" w:color="auto"/>
              <w:left w:val="single" w:sz="4" w:space="0" w:color="auto"/>
              <w:bottom w:val="single" w:sz="4" w:space="0" w:color="auto"/>
              <w:right w:val="single" w:sz="4" w:space="0" w:color="auto"/>
            </w:tcBorders>
            <w:shd w:val="clear" w:color="auto" w:fill="FFCC99"/>
            <w:vAlign w:val="center"/>
          </w:tcPr>
          <w:p w14:paraId="6D4F1EC3" w14:textId="77777777" w:rsidR="005E625A" w:rsidRPr="00392299" w:rsidRDefault="005E625A" w:rsidP="00392299">
            <w:pPr>
              <w:keepNext/>
              <w:spacing w:after="0" w:line="240" w:lineRule="auto"/>
              <w:rPr>
                <w:b/>
                <w:bCs/>
                <w:szCs w:val="24"/>
              </w:rPr>
            </w:pPr>
            <w:r w:rsidRPr="00392299">
              <w:rPr>
                <w:b/>
                <w:bCs/>
                <w:szCs w:val="24"/>
              </w:rPr>
              <w:t>Engineering principles: layout</w:t>
            </w:r>
          </w:p>
        </w:tc>
        <w:tc>
          <w:tcPr>
            <w:tcW w:w="2044" w:type="pct"/>
            <w:tcBorders>
              <w:top w:val="single" w:sz="4" w:space="0" w:color="auto"/>
              <w:left w:val="single" w:sz="4" w:space="0" w:color="auto"/>
              <w:bottom w:val="single" w:sz="4" w:space="0" w:color="auto"/>
              <w:right w:val="single" w:sz="4" w:space="0" w:color="auto"/>
            </w:tcBorders>
            <w:shd w:val="clear" w:color="auto" w:fill="FFCC99"/>
            <w:vAlign w:val="center"/>
          </w:tcPr>
          <w:p w14:paraId="0F5C171A" w14:textId="77777777" w:rsidR="005E625A" w:rsidRPr="00392299" w:rsidRDefault="005E625A" w:rsidP="00392299">
            <w:pPr>
              <w:keepNext/>
              <w:spacing w:after="0" w:line="240" w:lineRule="auto"/>
              <w:rPr>
                <w:szCs w:val="24"/>
              </w:rPr>
            </w:pPr>
            <w:r w:rsidRPr="00392299">
              <w:rPr>
                <w:szCs w:val="24"/>
              </w:rPr>
              <w:t>Access</w:t>
            </w:r>
          </w:p>
        </w:tc>
        <w:tc>
          <w:tcPr>
            <w:tcW w:w="742" w:type="pct"/>
            <w:tcBorders>
              <w:top w:val="single" w:sz="4" w:space="0" w:color="auto"/>
              <w:left w:val="single" w:sz="4" w:space="0" w:color="auto"/>
              <w:bottom w:val="single" w:sz="4" w:space="0" w:color="auto"/>
              <w:right w:val="single" w:sz="4" w:space="0" w:color="auto"/>
            </w:tcBorders>
            <w:shd w:val="clear" w:color="auto" w:fill="FFCC99"/>
            <w:vAlign w:val="center"/>
          </w:tcPr>
          <w:p w14:paraId="5AEF0873" w14:textId="77777777" w:rsidR="005E625A" w:rsidRPr="00392299" w:rsidRDefault="005E625A" w:rsidP="00392299">
            <w:pPr>
              <w:keepNext/>
              <w:spacing w:after="0" w:line="240" w:lineRule="auto"/>
              <w:jc w:val="center"/>
              <w:rPr>
                <w:szCs w:val="24"/>
              </w:rPr>
            </w:pPr>
            <w:r w:rsidRPr="00392299">
              <w:rPr>
                <w:szCs w:val="24"/>
              </w:rPr>
              <w:t>ELO.1</w:t>
            </w:r>
          </w:p>
        </w:tc>
      </w:tr>
      <w:tr w:rsidR="005E625A" w:rsidRPr="00392299" w14:paraId="6E9A36C4" w14:textId="77777777" w:rsidTr="00392299">
        <w:tc>
          <w:tcPr>
            <w:tcW w:w="5000" w:type="pct"/>
            <w:gridSpan w:val="3"/>
            <w:tcBorders>
              <w:top w:val="single" w:sz="4" w:space="0" w:color="auto"/>
              <w:left w:val="single" w:sz="4" w:space="0" w:color="auto"/>
              <w:bottom w:val="single" w:sz="4" w:space="0" w:color="auto"/>
              <w:right w:val="single" w:sz="4" w:space="0" w:color="auto"/>
            </w:tcBorders>
            <w:vAlign w:val="center"/>
          </w:tcPr>
          <w:p w14:paraId="45F8A336" w14:textId="77777777" w:rsidR="005E625A" w:rsidRPr="00392299" w:rsidRDefault="005E625A" w:rsidP="00392299">
            <w:pPr>
              <w:keepNext/>
              <w:spacing w:after="0" w:line="240" w:lineRule="auto"/>
              <w:rPr>
                <w:szCs w:val="24"/>
              </w:rPr>
            </w:pPr>
            <w:r w:rsidRPr="00392299">
              <w:rPr>
                <w:szCs w:val="24"/>
              </w:rPr>
              <w:t>The design and layout should facilitate access for necessary activities and minimise adverse interactions while not compromising security aspects.</w:t>
            </w:r>
          </w:p>
        </w:tc>
      </w:tr>
    </w:tbl>
    <w:p w14:paraId="392D247C" w14:textId="405221D3" w:rsidR="005E625A" w:rsidRDefault="005E625A" w:rsidP="00392299">
      <w:pPr>
        <w:pStyle w:val="F9-Paragraph"/>
        <w:numPr>
          <w:ilvl w:val="0"/>
          <w:numId w:val="0"/>
        </w:numPr>
      </w:pPr>
    </w:p>
    <w:p w14:paraId="29E874E5" w14:textId="77777777" w:rsidR="00392299" w:rsidRPr="004B2CB3" w:rsidRDefault="00392299" w:rsidP="00392299">
      <w:pPr>
        <w:pStyle w:val="F9-Paragraph"/>
        <w:numPr>
          <w:ilvl w:val="0"/>
          <w:numId w:val="0"/>
        </w:numPr>
      </w:pPr>
    </w:p>
    <w:p w14:paraId="643BBF7E" w14:textId="632E1EFC" w:rsidR="00392299" w:rsidRDefault="00392299" w:rsidP="00392299">
      <w:pPr>
        <w:pStyle w:val="F9-Paragraph"/>
        <w:numPr>
          <w:ilvl w:val="0"/>
          <w:numId w:val="0"/>
        </w:numPr>
        <w:ind w:left="851"/>
      </w:pPr>
    </w:p>
    <w:tbl>
      <w:tblPr>
        <w:tblpPr w:leftFromText="180" w:rightFromText="180" w:vertAnchor="text" w:horzAnchor="margin" w:tblpX="846" w:tblpY="86"/>
        <w:tblW w:w="4531"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618"/>
        <w:gridCol w:w="3340"/>
        <w:gridCol w:w="1212"/>
      </w:tblGrid>
      <w:tr w:rsidR="00392299" w14:paraId="7FCBBAD0" w14:textId="77777777" w:rsidTr="00392299">
        <w:tc>
          <w:tcPr>
            <w:tcW w:w="2214" w:type="pct"/>
            <w:tcBorders>
              <w:top w:val="single" w:sz="4" w:space="0" w:color="auto"/>
              <w:left w:val="single" w:sz="4" w:space="0" w:color="auto"/>
              <w:bottom w:val="single" w:sz="4" w:space="0" w:color="auto"/>
              <w:right w:val="single" w:sz="4" w:space="0" w:color="auto"/>
            </w:tcBorders>
            <w:shd w:val="clear" w:color="auto" w:fill="FFCC99"/>
            <w:vAlign w:val="center"/>
          </w:tcPr>
          <w:p w14:paraId="51279099" w14:textId="77777777" w:rsidR="00392299" w:rsidRPr="00392299" w:rsidRDefault="00392299" w:rsidP="00392299">
            <w:pPr>
              <w:keepNext/>
              <w:spacing w:after="0" w:line="240" w:lineRule="auto"/>
              <w:rPr>
                <w:b/>
                <w:bCs/>
                <w:szCs w:val="24"/>
              </w:rPr>
            </w:pPr>
            <w:r w:rsidRPr="00392299">
              <w:rPr>
                <w:b/>
                <w:bCs/>
                <w:szCs w:val="24"/>
              </w:rPr>
              <w:t>Engineering principles: layout</w:t>
            </w:r>
          </w:p>
        </w:tc>
        <w:tc>
          <w:tcPr>
            <w:tcW w:w="2044" w:type="pct"/>
            <w:tcBorders>
              <w:top w:val="single" w:sz="4" w:space="0" w:color="auto"/>
              <w:left w:val="single" w:sz="4" w:space="0" w:color="auto"/>
              <w:bottom w:val="single" w:sz="4" w:space="0" w:color="auto"/>
              <w:right w:val="single" w:sz="4" w:space="0" w:color="auto"/>
            </w:tcBorders>
            <w:shd w:val="clear" w:color="auto" w:fill="FFCC99"/>
            <w:vAlign w:val="center"/>
          </w:tcPr>
          <w:p w14:paraId="75E30DD4" w14:textId="77777777" w:rsidR="00392299" w:rsidRPr="00392299" w:rsidRDefault="00392299" w:rsidP="00392299">
            <w:pPr>
              <w:keepNext/>
              <w:spacing w:after="0" w:line="240" w:lineRule="auto"/>
              <w:rPr>
                <w:szCs w:val="24"/>
              </w:rPr>
            </w:pPr>
            <w:r w:rsidRPr="00392299">
              <w:rPr>
                <w:szCs w:val="24"/>
              </w:rPr>
              <w:t>Minimisation of the effects of incidents</w:t>
            </w:r>
          </w:p>
        </w:tc>
        <w:tc>
          <w:tcPr>
            <w:tcW w:w="742" w:type="pct"/>
            <w:tcBorders>
              <w:top w:val="single" w:sz="4" w:space="0" w:color="auto"/>
              <w:left w:val="single" w:sz="4" w:space="0" w:color="auto"/>
              <w:bottom w:val="single" w:sz="4" w:space="0" w:color="auto"/>
              <w:right w:val="single" w:sz="4" w:space="0" w:color="auto"/>
            </w:tcBorders>
            <w:shd w:val="clear" w:color="auto" w:fill="FFCC99"/>
            <w:vAlign w:val="center"/>
          </w:tcPr>
          <w:p w14:paraId="22966C76" w14:textId="77777777" w:rsidR="00392299" w:rsidRPr="00392299" w:rsidRDefault="00392299" w:rsidP="00392299">
            <w:pPr>
              <w:keepNext/>
              <w:spacing w:after="0" w:line="240" w:lineRule="auto"/>
              <w:jc w:val="center"/>
              <w:rPr>
                <w:szCs w:val="24"/>
              </w:rPr>
            </w:pPr>
            <w:r w:rsidRPr="00392299">
              <w:rPr>
                <w:szCs w:val="24"/>
              </w:rPr>
              <w:t>ELO.4</w:t>
            </w:r>
          </w:p>
        </w:tc>
      </w:tr>
      <w:tr w:rsidR="00392299" w14:paraId="0CC80693" w14:textId="77777777" w:rsidTr="00392299">
        <w:tc>
          <w:tcPr>
            <w:tcW w:w="5000" w:type="pct"/>
            <w:gridSpan w:val="3"/>
            <w:tcBorders>
              <w:top w:val="single" w:sz="4" w:space="0" w:color="auto"/>
              <w:left w:val="single" w:sz="4" w:space="0" w:color="auto"/>
              <w:bottom w:val="single" w:sz="4" w:space="0" w:color="auto"/>
              <w:right w:val="single" w:sz="4" w:space="0" w:color="auto"/>
            </w:tcBorders>
            <w:vAlign w:val="center"/>
          </w:tcPr>
          <w:p w14:paraId="45CAB67F" w14:textId="77777777" w:rsidR="00392299" w:rsidRPr="00392299" w:rsidRDefault="00392299" w:rsidP="00392299">
            <w:pPr>
              <w:keepNext/>
              <w:spacing w:after="0" w:line="240" w:lineRule="auto"/>
              <w:rPr>
                <w:szCs w:val="24"/>
              </w:rPr>
            </w:pPr>
            <w:r w:rsidRPr="00392299">
              <w:rPr>
                <w:szCs w:val="24"/>
              </w:rPr>
              <w:t>The design and layout of the site, its facilities (including enclosed plant), support facilities and services should be such that the effects of faults and accidents are minimised.</w:t>
            </w:r>
          </w:p>
        </w:tc>
      </w:tr>
    </w:tbl>
    <w:p w14:paraId="76C70313" w14:textId="2788E659" w:rsidR="005E625A" w:rsidRPr="004B2CB3" w:rsidRDefault="005E625A" w:rsidP="00392299">
      <w:pPr>
        <w:pStyle w:val="F9-Paragraph"/>
      </w:pPr>
      <w:r w:rsidRPr="004B2CB3">
        <w:t xml:space="preserve">The design and layout should minimise the effects of internal and external hazards and any interactions between a failed structure, system or component and other safety-related structures, systems or components. </w:t>
      </w:r>
      <w:r w:rsidR="00392299">
        <w:br/>
      </w:r>
      <w:r w:rsidRPr="004B2CB3">
        <w:t>It should facilitate access for operation, inspection, testing, maintenance, modification, repair, and event management, and minimise adverse interactions during operational or maintenance activities with other structures systems or components (SAP para</w:t>
      </w:r>
      <w:r>
        <w:t>s</w:t>
      </w:r>
      <w:r w:rsidRPr="004B2CB3">
        <w:t>. 2</w:t>
      </w:r>
      <w:r>
        <w:t>24 and 226</w:t>
      </w:r>
      <w:r w:rsidR="00392299">
        <w:t xml:space="preserve"> </w:t>
      </w:r>
      <w:sdt>
        <w:sdtPr>
          <w:id w:val="-850714574"/>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4B2CB3">
        <w:t>).</w:t>
      </w:r>
    </w:p>
    <w:p w14:paraId="4BCDD9C7" w14:textId="20E13190" w:rsidR="005E625A" w:rsidRPr="004B2CB3" w:rsidRDefault="005E625A" w:rsidP="00392299">
      <w:pPr>
        <w:pStyle w:val="F9-Paragraph"/>
      </w:pPr>
      <w:r w:rsidRPr="004B2CB3">
        <w:t xml:space="preserve">The need for adequate separation of SRI and their electrical and other service supplies from each other and from other systems and services should be considered to ensure avoidance of vulnerability to all the above sources of SRI failure. This should include </w:t>
      </w:r>
      <w:r w:rsidR="00392299">
        <w:t>three</w:t>
      </w:r>
      <w:r w:rsidRPr="004B2CB3">
        <w:t>-dimensional considerations, and also possible use of portable SRI equipment. Physical barriers may be an acceptable alternative to physical separation.</w:t>
      </w:r>
      <w:r>
        <w:t xml:space="preserve"> This is also an important consideration for SRSs.</w:t>
      </w:r>
    </w:p>
    <w:p w14:paraId="33287418" w14:textId="45CEF997" w:rsidR="005E625A" w:rsidRPr="004B2CB3" w:rsidRDefault="005E625A" w:rsidP="00392299">
      <w:pPr>
        <w:pStyle w:val="F9-Paragraph"/>
      </w:pPr>
      <w:r w:rsidRPr="004B2CB3">
        <w:t>The layout should provide an alternative means of access to facilities and control functions essential to safety that may require local manual intervention (SAP para. 2</w:t>
      </w:r>
      <w:r>
        <w:t>26(e)</w:t>
      </w:r>
      <w:r w:rsidR="00392299">
        <w:t xml:space="preserve"> </w:t>
      </w:r>
      <w:sdt>
        <w:sdtPr>
          <w:id w:val="197901491"/>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4B2CB3">
        <w:t>).</w:t>
      </w:r>
    </w:p>
    <w:p w14:paraId="31FA9D87" w14:textId="66552314" w:rsidR="005E625A" w:rsidRPr="004B2CB3" w:rsidRDefault="005E625A" w:rsidP="00392299">
      <w:pPr>
        <w:pStyle w:val="F9-Paragraph"/>
      </w:pPr>
      <w:r w:rsidRPr="004B2CB3">
        <w:t>Support services and facilities, including site communications, important to the safety should be designed and routed so that, in the event of an internal or external hazard or other incident, sufficient capability to perform their emergency functions will remain (SAP para. 2</w:t>
      </w:r>
      <w:r>
        <w:t>2</w:t>
      </w:r>
      <w:r w:rsidRPr="004B2CB3">
        <w:t>7</w:t>
      </w:r>
      <w:r w:rsidR="00392299">
        <w:t xml:space="preserve"> </w:t>
      </w:r>
      <w:sdt>
        <w:sdtPr>
          <w:id w:val="1542096224"/>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4B2CB3">
        <w:t>).</w:t>
      </w:r>
    </w:p>
    <w:p w14:paraId="767A1197" w14:textId="6D638A24" w:rsidR="005E625A" w:rsidRPr="004B2CB3" w:rsidRDefault="005E625A" w:rsidP="00392299">
      <w:pPr>
        <w:pStyle w:val="F9-Paragraph"/>
      </w:pPr>
      <w:r w:rsidRPr="004B2CB3">
        <w:t>The possible consequences on safety systems and other structures, systems and components important to safety of potential for fire initiation and growth should be assessed in a fire hazard analysis so as to determine the need for segregation and fire resistance (SAP para. 2</w:t>
      </w:r>
      <w:r>
        <w:t>7</w:t>
      </w:r>
      <w:r w:rsidRPr="004B2CB3">
        <w:t>3</w:t>
      </w:r>
      <w:r w:rsidR="00392299">
        <w:t xml:space="preserve"> </w:t>
      </w:r>
      <w:sdt>
        <w:sdtPr>
          <w:id w:val="1390068251"/>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4B2CB3">
        <w:t>).</w:t>
      </w:r>
    </w:p>
    <w:p w14:paraId="4401CDFC" w14:textId="34D874E7" w:rsidR="005E625A" w:rsidRPr="004B2CB3" w:rsidRDefault="005E625A" w:rsidP="00392299">
      <w:pPr>
        <w:pStyle w:val="F9-Paragraph"/>
      </w:pPr>
      <w:r w:rsidRPr="004B2CB3">
        <w:lastRenderedPageBreak/>
        <w:t>Structures, systems and components important to safety should be adequately protected against the effects of water (SAP para. 2</w:t>
      </w:r>
      <w:r>
        <w:t>72</w:t>
      </w:r>
      <w:r w:rsidR="00392299">
        <w:t xml:space="preserve"> </w:t>
      </w:r>
      <w:sdt>
        <w:sdtPr>
          <w:id w:val="-826900859"/>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4B2CB3">
        <w:t>).</w:t>
      </w:r>
    </w:p>
    <w:p w14:paraId="14480767" w14:textId="4537113B" w:rsidR="005E625A" w:rsidRPr="004B2CB3" w:rsidRDefault="005E625A" w:rsidP="00392299">
      <w:pPr>
        <w:pStyle w:val="F9-Paragraph"/>
      </w:pPr>
      <w:r w:rsidRPr="004B2CB3">
        <w:t xml:space="preserve">The effect of a seismic event on the safety of any system or service that may have a bearing on safety should also be taken into account </w:t>
      </w:r>
      <w:r w:rsidR="00392299">
        <w:br/>
      </w:r>
      <w:r w:rsidRPr="004B2CB3">
        <w:t>(SAP para. 2</w:t>
      </w:r>
      <w:r>
        <w:t>55</w:t>
      </w:r>
      <w:r w:rsidR="00392299">
        <w:t xml:space="preserve"> </w:t>
      </w:r>
      <w:sdt>
        <w:sdtPr>
          <w:id w:val="659734011"/>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4B2CB3">
        <w:t>).</w:t>
      </w:r>
    </w:p>
    <w:p w14:paraId="2A50BF81" w14:textId="76E5A987" w:rsidR="005E625A" w:rsidRDefault="005E625A" w:rsidP="00392299">
      <w:pPr>
        <w:pStyle w:val="F9-Paragraph"/>
      </w:pPr>
      <w:r w:rsidRPr="004B2CB3">
        <w:t xml:space="preserve">Nuclear facilities should withstand extreme weather conditions including abnormal wind loadings, </w:t>
      </w:r>
      <w:r w:rsidR="00392299" w:rsidRPr="004B2CB3">
        <w:t>windblown</w:t>
      </w:r>
      <w:r w:rsidRPr="004B2CB3">
        <w:t xml:space="preserve"> debris, precipitation, accumulated ice and snow deposits, lightning, extremes of high and low temperature, humidity and drought, that meet the design basis event criteria </w:t>
      </w:r>
      <w:r w:rsidR="00392299">
        <w:br/>
      </w:r>
      <w:r w:rsidRPr="004B2CB3">
        <w:t xml:space="preserve">(SAP EHA.11 </w:t>
      </w:r>
      <w:r w:rsidR="00392299">
        <w:t>and</w:t>
      </w:r>
      <w:r w:rsidRPr="004B2CB3">
        <w:t xml:space="preserve"> para. 2</w:t>
      </w:r>
      <w:r>
        <w:t>57/258</w:t>
      </w:r>
      <w:r w:rsidR="00392299">
        <w:t xml:space="preserve"> </w:t>
      </w:r>
      <w:sdt>
        <w:sdtPr>
          <w:id w:val="2130278297"/>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4B2CB3">
        <w:t>).</w:t>
      </w:r>
      <w:r w:rsidR="00B470F3">
        <w:t xml:space="preserve"> </w:t>
      </w:r>
      <w:r w:rsidR="00392299" w:rsidRPr="004B2CB3">
        <w:t>Generally,</w:t>
      </w:r>
      <w:r w:rsidRPr="004B2CB3">
        <w:t xml:space="preserve"> the facility’s structures and location of the equipment within the facility should provide adequate protection against such extreme events.</w:t>
      </w:r>
      <w:r w:rsidR="00B470F3">
        <w:t xml:space="preserve"> </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610"/>
        <w:gridCol w:w="3500"/>
        <w:gridCol w:w="1060"/>
      </w:tblGrid>
      <w:tr w:rsidR="005E625A" w14:paraId="16468906" w14:textId="77777777" w:rsidTr="00392299">
        <w:tc>
          <w:tcPr>
            <w:tcW w:w="2209" w:type="pct"/>
            <w:tcBorders>
              <w:top w:val="single" w:sz="4" w:space="0" w:color="auto"/>
              <w:left w:val="single" w:sz="4" w:space="0" w:color="auto"/>
              <w:bottom w:val="single" w:sz="4" w:space="0" w:color="auto"/>
              <w:right w:val="single" w:sz="4" w:space="0" w:color="auto"/>
            </w:tcBorders>
            <w:shd w:val="clear" w:color="auto" w:fill="FFCC99"/>
            <w:vAlign w:val="center"/>
          </w:tcPr>
          <w:p w14:paraId="110D5AFC" w14:textId="77777777" w:rsidR="005E625A" w:rsidRPr="00392299" w:rsidRDefault="005E625A" w:rsidP="00392299">
            <w:pPr>
              <w:keepNext/>
              <w:spacing w:after="0" w:line="240" w:lineRule="auto"/>
              <w:rPr>
                <w:b/>
                <w:bCs/>
                <w:szCs w:val="24"/>
              </w:rPr>
            </w:pPr>
            <w:r w:rsidRPr="00392299">
              <w:rPr>
                <w:b/>
                <w:bCs/>
                <w:szCs w:val="24"/>
              </w:rPr>
              <w:t>Engineering principles: maintenance, inspection and testing</w:t>
            </w:r>
          </w:p>
        </w:tc>
        <w:tc>
          <w:tcPr>
            <w:tcW w:w="2142" w:type="pct"/>
            <w:tcBorders>
              <w:top w:val="single" w:sz="4" w:space="0" w:color="auto"/>
              <w:left w:val="single" w:sz="4" w:space="0" w:color="auto"/>
              <w:bottom w:val="single" w:sz="4" w:space="0" w:color="auto"/>
              <w:right w:val="single" w:sz="4" w:space="0" w:color="auto"/>
            </w:tcBorders>
            <w:shd w:val="clear" w:color="auto" w:fill="FFCC99"/>
            <w:vAlign w:val="center"/>
          </w:tcPr>
          <w:p w14:paraId="486828B9" w14:textId="77777777" w:rsidR="005E625A" w:rsidRPr="00392299" w:rsidRDefault="005E625A" w:rsidP="00392299">
            <w:pPr>
              <w:keepNext/>
              <w:spacing w:after="0" w:line="240" w:lineRule="auto"/>
              <w:rPr>
                <w:szCs w:val="24"/>
              </w:rPr>
            </w:pPr>
            <w:r w:rsidRPr="00392299">
              <w:rPr>
                <w:szCs w:val="24"/>
              </w:rPr>
              <w:t>Continuing reliability following events</w:t>
            </w:r>
            <w:r w:rsidRPr="00392299" w:rsidDel="00AB2935">
              <w:rPr>
                <w:szCs w:val="24"/>
              </w:rPr>
              <w:t xml:space="preserve"> </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5EEF1D5E" w14:textId="77777777" w:rsidR="005E625A" w:rsidRPr="00392299" w:rsidRDefault="005E625A" w:rsidP="00392299">
            <w:pPr>
              <w:keepNext/>
              <w:spacing w:after="0" w:line="240" w:lineRule="auto"/>
              <w:jc w:val="center"/>
              <w:rPr>
                <w:szCs w:val="24"/>
              </w:rPr>
            </w:pPr>
            <w:r w:rsidRPr="00392299">
              <w:rPr>
                <w:szCs w:val="24"/>
              </w:rPr>
              <w:t>EMT.8</w:t>
            </w:r>
          </w:p>
        </w:tc>
      </w:tr>
      <w:tr w:rsidR="005E625A" w:rsidRPr="00392299" w14:paraId="3F1BD91F" w14:textId="77777777" w:rsidTr="00392299">
        <w:tc>
          <w:tcPr>
            <w:tcW w:w="5000" w:type="pct"/>
            <w:gridSpan w:val="3"/>
            <w:tcBorders>
              <w:top w:val="single" w:sz="4" w:space="0" w:color="auto"/>
              <w:left w:val="single" w:sz="4" w:space="0" w:color="auto"/>
              <w:bottom w:val="single" w:sz="4" w:space="0" w:color="auto"/>
              <w:right w:val="single" w:sz="4" w:space="0" w:color="auto"/>
            </w:tcBorders>
            <w:vAlign w:val="center"/>
          </w:tcPr>
          <w:p w14:paraId="2B0377E8" w14:textId="77777777" w:rsidR="005E625A" w:rsidRPr="00392299" w:rsidRDefault="005E625A" w:rsidP="00392299">
            <w:pPr>
              <w:keepNext/>
              <w:spacing w:after="0" w:line="240" w:lineRule="auto"/>
              <w:rPr>
                <w:szCs w:val="24"/>
              </w:rPr>
            </w:pPr>
            <w:r w:rsidRPr="00392299">
              <w:rPr>
                <w:szCs w:val="24"/>
              </w:rPr>
              <w:t>Structures, systems and components important to safety should be inspected and/or re-validated after any event that might have challenged their continuing reliability.</w:t>
            </w:r>
          </w:p>
        </w:tc>
      </w:tr>
    </w:tbl>
    <w:p w14:paraId="2A654BEF" w14:textId="77777777" w:rsidR="005E625A" w:rsidRDefault="005E625A" w:rsidP="00392299">
      <w:pPr>
        <w:pStyle w:val="F9-Paragraph"/>
        <w:numPr>
          <w:ilvl w:val="0"/>
          <w:numId w:val="0"/>
        </w:numPr>
        <w:ind w:left="851"/>
      </w:pP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332"/>
        <w:gridCol w:w="3699"/>
        <w:gridCol w:w="1139"/>
      </w:tblGrid>
      <w:tr w:rsidR="005E625A" w:rsidRPr="00392299" w14:paraId="2FA8BAB5" w14:textId="77777777" w:rsidTr="00392299">
        <w:tc>
          <w:tcPr>
            <w:tcW w:w="2039" w:type="pct"/>
            <w:tcBorders>
              <w:top w:val="single" w:sz="4" w:space="0" w:color="auto"/>
              <w:left w:val="single" w:sz="4" w:space="0" w:color="auto"/>
              <w:bottom w:val="single" w:sz="4" w:space="0" w:color="auto"/>
              <w:right w:val="single" w:sz="4" w:space="0" w:color="auto"/>
            </w:tcBorders>
            <w:shd w:val="clear" w:color="auto" w:fill="FFCC99"/>
            <w:vAlign w:val="center"/>
          </w:tcPr>
          <w:p w14:paraId="0B1EE938" w14:textId="77777777" w:rsidR="005E625A" w:rsidRPr="00392299" w:rsidRDefault="005E625A" w:rsidP="00392299">
            <w:pPr>
              <w:keepNext/>
              <w:spacing w:after="0" w:line="240" w:lineRule="auto"/>
              <w:rPr>
                <w:b/>
                <w:bCs/>
                <w:szCs w:val="24"/>
              </w:rPr>
            </w:pPr>
            <w:r w:rsidRPr="00392299">
              <w:rPr>
                <w:b/>
                <w:bCs/>
                <w:szCs w:val="24"/>
              </w:rPr>
              <w:t>Engineering principles: external and internal hazards</w:t>
            </w:r>
          </w:p>
        </w:tc>
        <w:tc>
          <w:tcPr>
            <w:tcW w:w="2264" w:type="pct"/>
            <w:tcBorders>
              <w:top w:val="single" w:sz="4" w:space="0" w:color="auto"/>
              <w:left w:val="single" w:sz="4" w:space="0" w:color="auto"/>
              <w:bottom w:val="single" w:sz="4" w:space="0" w:color="auto"/>
              <w:right w:val="single" w:sz="4" w:space="0" w:color="auto"/>
            </w:tcBorders>
            <w:shd w:val="clear" w:color="auto" w:fill="FFCC99"/>
            <w:vAlign w:val="center"/>
          </w:tcPr>
          <w:p w14:paraId="3BE5B135" w14:textId="77777777" w:rsidR="005E625A" w:rsidRPr="00392299" w:rsidRDefault="005E625A" w:rsidP="00392299">
            <w:pPr>
              <w:keepNext/>
              <w:spacing w:after="0" w:line="240" w:lineRule="auto"/>
              <w:rPr>
                <w:szCs w:val="24"/>
              </w:rPr>
            </w:pPr>
            <w:r w:rsidRPr="00392299">
              <w:rPr>
                <w:szCs w:val="24"/>
              </w:rPr>
              <w:t>Electromagnetic interference</w:t>
            </w:r>
          </w:p>
        </w:tc>
        <w:tc>
          <w:tcPr>
            <w:tcW w:w="696" w:type="pct"/>
            <w:tcBorders>
              <w:top w:val="single" w:sz="4" w:space="0" w:color="auto"/>
              <w:left w:val="single" w:sz="4" w:space="0" w:color="auto"/>
              <w:bottom w:val="single" w:sz="4" w:space="0" w:color="auto"/>
              <w:right w:val="single" w:sz="4" w:space="0" w:color="auto"/>
            </w:tcBorders>
            <w:shd w:val="clear" w:color="auto" w:fill="FFCC99"/>
            <w:vAlign w:val="center"/>
          </w:tcPr>
          <w:p w14:paraId="75CC0A01" w14:textId="77777777" w:rsidR="005E625A" w:rsidRPr="00392299" w:rsidRDefault="005E625A" w:rsidP="00392299">
            <w:pPr>
              <w:keepNext/>
              <w:spacing w:after="0" w:line="240" w:lineRule="auto"/>
              <w:rPr>
                <w:szCs w:val="24"/>
              </w:rPr>
            </w:pPr>
            <w:r w:rsidRPr="00392299">
              <w:rPr>
                <w:szCs w:val="24"/>
              </w:rPr>
              <w:t>EHA.10</w:t>
            </w:r>
          </w:p>
        </w:tc>
      </w:tr>
      <w:tr w:rsidR="005E625A" w:rsidRPr="00392299" w14:paraId="25BF4DB1" w14:textId="77777777" w:rsidTr="00392299">
        <w:tc>
          <w:tcPr>
            <w:tcW w:w="5000" w:type="pct"/>
            <w:gridSpan w:val="3"/>
            <w:tcBorders>
              <w:top w:val="single" w:sz="4" w:space="0" w:color="auto"/>
              <w:left w:val="single" w:sz="4" w:space="0" w:color="auto"/>
              <w:bottom w:val="single" w:sz="4" w:space="0" w:color="auto"/>
              <w:right w:val="single" w:sz="4" w:space="0" w:color="auto"/>
            </w:tcBorders>
            <w:vAlign w:val="center"/>
          </w:tcPr>
          <w:p w14:paraId="770F6C6B" w14:textId="77777777" w:rsidR="005E625A" w:rsidRPr="00392299" w:rsidRDefault="005E625A" w:rsidP="00392299">
            <w:pPr>
              <w:keepNext/>
              <w:spacing w:after="0" w:line="240" w:lineRule="auto"/>
              <w:rPr>
                <w:szCs w:val="24"/>
              </w:rPr>
            </w:pPr>
            <w:r w:rsidRPr="00392299">
              <w:rPr>
                <w:szCs w:val="24"/>
              </w:rPr>
              <w:t>The facility design should include preventative and/or protective measures against the effects of electromagnetic interference.</w:t>
            </w:r>
          </w:p>
        </w:tc>
      </w:tr>
    </w:tbl>
    <w:p w14:paraId="20D520F6" w14:textId="1DB3FD79" w:rsidR="005E625A" w:rsidRPr="001A064B" w:rsidRDefault="005E625A" w:rsidP="00392299">
      <w:pPr>
        <w:pStyle w:val="F9-Paragraph"/>
      </w:pPr>
      <w:r w:rsidRPr="001A064B">
        <w:t>An assessment should be made to determine whether any source of electromagnetic interference either on-site or off-site could cause malfunction in, or damage to, the facility’s systems and components, particularly instrumentation (SAP para. 256</w:t>
      </w:r>
      <w:r w:rsidR="00392299">
        <w:t xml:space="preserve"> </w:t>
      </w:r>
      <w:sdt>
        <w:sdtPr>
          <w:id w:val="-759214745"/>
          <w:citation/>
        </w:sdtPr>
        <w:sdtContent>
          <w:r w:rsidR="00392299">
            <w:fldChar w:fldCharType="begin"/>
          </w:r>
          <w:r w:rsidR="00392299">
            <w:instrText xml:space="preserve"> CITATION ONR2013 \l 2057 </w:instrText>
          </w:r>
          <w:r w:rsidR="00392299">
            <w:fldChar w:fldCharType="separate"/>
          </w:r>
          <w:r w:rsidR="00392299">
            <w:rPr>
              <w:noProof/>
            </w:rPr>
            <w:t>[1]</w:t>
          </w:r>
          <w:r w:rsidR="00392299">
            <w:fldChar w:fldCharType="end"/>
          </w:r>
        </w:sdtContent>
      </w:sdt>
      <w:r w:rsidRPr="001A064B">
        <w:t>) (</w:t>
      </w:r>
      <w:r w:rsidR="00392299">
        <w:t>refer to TAG on electromagnetic compatibility</w:t>
      </w:r>
      <w:r w:rsidRPr="001A064B">
        <w:t xml:space="preserve"> </w:t>
      </w:r>
      <w:sdt>
        <w:sdtPr>
          <w:id w:val="1604228019"/>
          <w:citation/>
        </w:sdtPr>
        <w:sdtContent>
          <w:r w:rsidR="0059328E">
            <w:fldChar w:fldCharType="begin"/>
          </w:r>
          <w:r w:rsidR="0059328E">
            <w:instrText xml:space="preserve"> CITATION ONR45 \l 2057 </w:instrText>
          </w:r>
          <w:r w:rsidR="0059328E">
            <w:fldChar w:fldCharType="separate"/>
          </w:r>
          <w:r w:rsidR="0059328E">
            <w:rPr>
              <w:noProof/>
            </w:rPr>
            <w:t>[8]</w:t>
          </w:r>
          <w:r w:rsidR="0059328E">
            <w:fldChar w:fldCharType="end"/>
          </w:r>
        </w:sdtContent>
      </w:sdt>
      <w:r w:rsidR="0059328E">
        <w:t xml:space="preserve"> </w:t>
      </w:r>
      <w:r w:rsidRPr="001A064B">
        <w:t>for detailed guidance on EMC).</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420"/>
        <w:gridCol w:w="3500"/>
        <w:gridCol w:w="1250"/>
      </w:tblGrid>
      <w:tr w:rsidR="005E625A" w14:paraId="259E0EAE" w14:textId="77777777" w:rsidTr="0059328E">
        <w:tc>
          <w:tcPr>
            <w:tcW w:w="2093" w:type="pct"/>
            <w:tcBorders>
              <w:top w:val="single" w:sz="4" w:space="0" w:color="auto"/>
              <w:left w:val="single" w:sz="4" w:space="0" w:color="auto"/>
              <w:bottom w:val="single" w:sz="4" w:space="0" w:color="auto"/>
              <w:right w:val="single" w:sz="4" w:space="0" w:color="auto"/>
            </w:tcBorders>
            <w:shd w:val="clear" w:color="auto" w:fill="FFCC99"/>
            <w:vAlign w:val="center"/>
          </w:tcPr>
          <w:p w14:paraId="2B5E4813" w14:textId="77777777" w:rsidR="005E625A" w:rsidRPr="0059328E" w:rsidRDefault="005E625A" w:rsidP="0059328E">
            <w:pPr>
              <w:keepNext/>
              <w:spacing w:after="0" w:line="240" w:lineRule="auto"/>
              <w:rPr>
                <w:b/>
                <w:bCs/>
                <w:szCs w:val="24"/>
              </w:rPr>
            </w:pPr>
            <w:r w:rsidRPr="0059328E">
              <w:rPr>
                <w:b/>
                <w:bCs/>
                <w:szCs w:val="24"/>
              </w:rPr>
              <w:t>Engineering principles: layout</w:t>
            </w:r>
          </w:p>
        </w:tc>
        <w:tc>
          <w:tcPr>
            <w:tcW w:w="2142" w:type="pct"/>
            <w:tcBorders>
              <w:top w:val="single" w:sz="4" w:space="0" w:color="auto"/>
              <w:left w:val="single" w:sz="4" w:space="0" w:color="auto"/>
              <w:bottom w:val="single" w:sz="4" w:space="0" w:color="auto"/>
              <w:right w:val="single" w:sz="4" w:space="0" w:color="auto"/>
            </w:tcBorders>
            <w:shd w:val="clear" w:color="auto" w:fill="FFCC99"/>
            <w:vAlign w:val="center"/>
          </w:tcPr>
          <w:p w14:paraId="5AFFB80C" w14:textId="77777777" w:rsidR="005E625A" w:rsidRPr="0059328E" w:rsidRDefault="005E625A" w:rsidP="0059328E">
            <w:pPr>
              <w:keepNext/>
              <w:spacing w:after="0" w:line="240" w:lineRule="auto"/>
              <w:rPr>
                <w:szCs w:val="24"/>
              </w:rPr>
            </w:pPr>
            <w:r w:rsidRPr="0059328E">
              <w:rPr>
                <w:szCs w:val="24"/>
              </w:rPr>
              <w:t>Unauthorised access</w:t>
            </w:r>
          </w:p>
        </w:tc>
        <w:tc>
          <w:tcPr>
            <w:tcW w:w="765" w:type="pct"/>
            <w:tcBorders>
              <w:top w:val="single" w:sz="4" w:space="0" w:color="auto"/>
              <w:left w:val="single" w:sz="4" w:space="0" w:color="auto"/>
              <w:bottom w:val="single" w:sz="4" w:space="0" w:color="auto"/>
              <w:right w:val="single" w:sz="4" w:space="0" w:color="auto"/>
            </w:tcBorders>
            <w:shd w:val="clear" w:color="auto" w:fill="FFCC99"/>
            <w:vAlign w:val="center"/>
          </w:tcPr>
          <w:p w14:paraId="1F449893" w14:textId="77777777" w:rsidR="005E625A" w:rsidRPr="0059328E" w:rsidRDefault="005E625A" w:rsidP="0059328E">
            <w:pPr>
              <w:keepNext/>
              <w:spacing w:after="0" w:line="240" w:lineRule="auto"/>
              <w:jc w:val="center"/>
              <w:rPr>
                <w:szCs w:val="24"/>
              </w:rPr>
            </w:pPr>
            <w:r w:rsidRPr="0059328E">
              <w:rPr>
                <w:szCs w:val="24"/>
              </w:rPr>
              <w:t>ELO.2</w:t>
            </w:r>
          </w:p>
        </w:tc>
      </w:tr>
      <w:tr w:rsidR="005E625A" w:rsidRPr="0059328E" w14:paraId="6612D1F8" w14:textId="77777777" w:rsidTr="0059328E">
        <w:tc>
          <w:tcPr>
            <w:tcW w:w="5000" w:type="pct"/>
            <w:gridSpan w:val="3"/>
            <w:tcBorders>
              <w:top w:val="single" w:sz="4" w:space="0" w:color="auto"/>
              <w:left w:val="single" w:sz="4" w:space="0" w:color="auto"/>
              <w:bottom w:val="single" w:sz="4" w:space="0" w:color="auto"/>
              <w:right w:val="single" w:sz="4" w:space="0" w:color="auto"/>
            </w:tcBorders>
            <w:vAlign w:val="center"/>
          </w:tcPr>
          <w:p w14:paraId="3BA5E36E" w14:textId="5E05A47F" w:rsidR="005E625A" w:rsidRPr="0059328E" w:rsidRDefault="005E625A" w:rsidP="0059328E">
            <w:pPr>
              <w:keepNext/>
              <w:spacing w:after="0" w:line="240" w:lineRule="auto"/>
              <w:rPr>
                <w:szCs w:val="24"/>
              </w:rPr>
            </w:pPr>
            <w:r w:rsidRPr="0059328E">
              <w:rPr>
                <w:szCs w:val="24"/>
              </w:rPr>
              <w:t>Unauthorised access to, or interference with, structures, systems or components or</w:t>
            </w:r>
            <w:r w:rsidR="00B470F3" w:rsidRPr="0059328E">
              <w:rPr>
                <w:szCs w:val="24"/>
              </w:rPr>
              <w:t xml:space="preserve"> </w:t>
            </w:r>
            <w:r w:rsidRPr="0059328E">
              <w:rPr>
                <w:szCs w:val="24"/>
              </w:rPr>
              <w:t>their reference data (including Building Information Modelling (BIM)) should be prevented.</w:t>
            </w:r>
          </w:p>
        </w:tc>
      </w:tr>
    </w:tbl>
    <w:p w14:paraId="3897BD76" w14:textId="77777777" w:rsidR="0059328E" w:rsidRDefault="0059328E" w:rsidP="005E625A">
      <w:pPr>
        <w:pStyle w:val="TSHeadingNumbered1"/>
        <w:numPr>
          <w:ilvl w:val="0"/>
          <w:numId w:val="36"/>
        </w:numPr>
        <w:rPr>
          <w:rFonts w:ascii="Arial" w:hAnsi="Arial"/>
        </w:rPr>
        <w:sectPr w:rsidR="0059328E" w:rsidSect="000B2BCD">
          <w:pgSz w:w="11906" w:h="16838" w:code="9"/>
          <w:pgMar w:top="1440" w:right="1440" w:bottom="1440" w:left="1440" w:header="397" w:footer="397" w:gutter="0"/>
          <w:cols w:space="312"/>
          <w:docGrid w:linePitch="360"/>
        </w:sectPr>
      </w:pPr>
      <w:bookmarkStart w:id="21" w:name="_Toc389815635"/>
    </w:p>
    <w:p w14:paraId="62B83D49" w14:textId="1D995852" w:rsidR="005E625A" w:rsidRDefault="005E625A" w:rsidP="0059328E">
      <w:pPr>
        <w:pStyle w:val="Heading1"/>
      </w:pPr>
      <w:bookmarkStart w:id="22" w:name="_Toc134110822"/>
      <w:r>
        <w:lastRenderedPageBreak/>
        <w:t xml:space="preserve">Qualification, </w:t>
      </w:r>
      <w:r w:rsidR="0059328E">
        <w:t>T</w:t>
      </w:r>
      <w:r>
        <w:t xml:space="preserve">ype </w:t>
      </w:r>
      <w:r w:rsidR="0059328E">
        <w:t>T</w:t>
      </w:r>
      <w:r>
        <w:t xml:space="preserve">esting and </w:t>
      </w:r>
      <w:r w:rsidR="0059328E">
        <w:t>S</w:t>
      </w:r>
      <w:r>
        <w:t>tandards</w:t>
      </w:r>
      <w:bookmarkEnd w:id="21"/>
      <w:bookmarkEnd w:id="22"/>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326"/>
        <w:gridCol w:w="3578"/>
        <w:gridCol w:w="1266"/>
      </w:tblGrid>
      <w:tr w:rsidR="005E625A" w:rsidRPr="0059328E" w14:paraId="5FC10354" w14:textId="77777777" w:rsidTr="0059328E">
        <w:tc>
          <w:tcPr>
            <w:tcW w:w="2035" w:type="pct"/>
            <w:tcBorders>
              <w:top w:val="single" w:sz="4" w:space="0" w:color="auto"/>
              <w:left w:val="single" w:sz="4" w:space="0" w:color="auto"/>
              <w:bottom w:val="single" w:sz="4" w:space="0" w:color="auto"/>
              <w:right w:val="single" w:sz="4" w:space="0" w:color="auto"/>
            </w:tcBorders>
            <w:shd w:val="clear" w:color="auto" w:fill="FFCC99"/>
            <w:vAlign w:val="center"/>
          </w:tcPr>
          <w:p w14:paraId="511401BE" w14:textId="77777777" w:rsidR="005E625A" w:rsidRPr="0059328E" w:rsidRDefault="005E625A" w:rsidP="0059328E">
            <w:pPr>
              <w:keepNext/>
              <w:spacing w:after="0" w:line="240" w:lineRule="auto"/>
              <w:rPr>
                <w:b/>
                <w:bCs/>
                <w:szCs w:val="24"/>
              </w:rPr>
            </w:pPr>
            <w:r w:rsidRPr="0059328E">
              <w:rPr>
                <w:b/>
                <w:bCs/>
                <w:szCs w:val="24"/>
              </w:rPr>
              <w:t>Engineering principles: equipment qualification</w:t>
            </w:r>
          </w:p>
        </w:tc>
        <w:tc>
          <w:tcPr>
            <w:tcW w:w="2190" w:type="pct"/>
            <w:tcBorders>
              <w:top w:val="single" w:sz="4" w:space="0" w:color="auto"/>
              <w:left w:val="single" w:sz="4" w:space="0" w:color="auto"/>
              <w:bottom w:val="single" w:sz="4" w:space="0" w:color="auto"/>
              <w:right w:val="single" w:sz="4" w:space="0" w:color="auto"/>
            </w:tcBorders>
            <w:shd w:val="clear" w:color="auto" w:fill="FFCC99"/>
            <w:vAlign w:val="center"/>
          </w:tcPr>
          <w:p w14:paraId="0793C944" w14:textId="77777777" w:rsidR="005E625A" w:rsidRPr="0059328E" w:rsidRDefault="005E625A" w:rsidP="0059328E">
            <w:pPr>
              <w:keepNext/>
              <w:spacing w:after="0" w:line="240" w:lineRule="auto"/>
              <w:rPr>
                <w:szCs w:val="24"/>
              </w:rPr>
            </w:pPr>
            <w:r w:rsidRPr="0059328E">
              <w:rPr>
                <w:szCs w:val="24"/>
              </w:rPr>
              <w:t>Qualification procedures</w:t>
            </w:r>
          </w:p>
        </w:tc>
        <w:tc>
          <w:tcPr>
            <w:tcW w:w="775" w:type="pct"/>
            <w:tcBorders>
              <w:top w:val="single" w:sz="4" w:space="0" w:color="auto"/>
              <w:left w:val="single" w:sz="4" w:space="0" w:color="auto"/>
              <w:bottom w:val="single" w:sz="4" w:space="0" w:color="auto"/>
              <w:right w:val="single" w:sz="4" w:space="0" w:color="auto"/>
            </w:tcBorders>
            <w:shd w:val="clear" w:color="auto" w:fill="FFCC99"/>
            <w:vAlign w:val="center"/>
          </w:tcPr>
          <w:p w14:paraId="4B9CF71D" w14:textId="77777777" w:rsidR="005E625A" w:rsidRPr="0059328E" w:rsidRDefault="005E625A" w:rsidP="0059328E">
            <w:pPr>
              <w:keepNext/>
              <w:spacing w:after="0" w:line="240" w:lineRule="auto"/>
              <w:rPr>
                <w:szCs w:val="24"/>
              </w:rPr>
            </w:pPr>
            <w:r w:rsidRPr="0059328E">
              <w:rPr>
                <w:szCs w:val="24"/>
              </w:rPr>
              <w:t>EQU.1</w:t>
            </w:r>
          </w:p>
        </w:tc>
      </w:tr>
      <w:tr w:rsidR="005E625A" w:rsidRPr="0059328E" w14:paraId="24C5FF37" w14:textId="77777777" w:rsidTr="0059328E">
        <w:tc>
          <w:tcPr>
            <w:tcW w:w="5000" w:type="pct"/>
            <w:gridSpan w:val="3"/>
            <w:tcBorders>
              <w:top w:val="single" w:sz="4" w:space="0" w:color="auto"/>
              <w:left w:val="single" w:sz="4" w:space="0" w:color="auto"/>
              <w:bottom w:val="single" w:sz="4" w:space="0" w:color="auto"/>
              <w:right w:val="single" w:sz="4" w:space="0" w:color="auto"/>
            </w:tcBorders>
            <w:vAlign w:val="center"/>
          </w:tcPr>
          <w:p w14:paraId="0AA987A8" w14:textId="77777777" w:rsidR="005E625A" w:rsidRPr="0059328E" w:rsidRDefault="005E625A" w:rsidP="0059328E">
            <w:pPr>
              <w:keepNext/>
              <w:spacing w:after="0" w:line="240" w:lineRule="auto"/>
              <w:rPr>
                <w:szCs w:val="24"/>
              </w:rPr>
            </w:pPr>
            <w:r w:rsidRPr="0059328E">
              <w:rPr>
                <w:szCs w:val="24"/>
              </w:rPr>
              <w:t>Qualification procedures should be in place to confirm that structures, systems and components will perform their allocated safety function(s) in all normal operational, fault and accident conditions identified in the safety case and for the duration of their operational lives.</w:t>
            </w:r>
          </w:p>
        </w:tc>
      </w:tr>
    </w:tbl>
    <w:p w14:paraId="5E6E3930" w14:textId="178A7D4F" w:rsidR="005E625A" w:rsidRPr="004B2CB3" w:rsidRDefault="005E625A" w:rsidP="0059328E">
      <w:pPr>
        <w:pStyle w:val="F9-Paragraph"/>
      </w:pPr>
      <w:r w:rsidRPr="001A064B">
        <w:t>The qualification procedures should provide</w:t>
      </w:r>
      <w:r w:rsidR="00B470F3">
        <w:t xml:space="preserve"> </w:t>
      </w:r>
      <w:r w:rsidRPr="001A064B">
        <w:t>a level of confidence commensurate with their safety classification</w:t>
      </w:r>
      <w:r w:rsidRPr="004B2CB3">
        <w:t xml:space="preserve"> (SAP para. 1</w:t>
      </w:r>
      <w:r>
        <w:t>74</w:t>
      </w:r>
      <w:r w:rsidR="00DE2D67">
        <w:t xml:space="preserve"> </w:t>
      </w:r>
      <w:sdt>
        <w:sdtPr>
          <w:id w:val="-1270458937"/>
          <w:citation/>
        </w:sdtPr>
        <w:sdtContent>
          <w:r w:rsidR="00DE2D67">
            <w:fldChar w:fldCharType="begin"/>
          </w:r>
          <w:r w:rsidR="00DE2D67">
            <w:instrText xml:space="preserve"> CITATION ONR2013 \l 2057 </w:instrText>
          </w:r>
          <w:r w:rsidR="00DE2D67">
            <w:fldChar w:fldCharType="separate"/>
          </w:r>
          <w:r w:rsidR="00DE2D67">
            <w:rPr>
              <w:noProof/>
            </w:rPr>
            <w:t>[1]</w:t>
          </w:r>
          <w:r w:rsidR="00DE2D67">
            <w:fldChar w:fldCharType="end"/>
          </w:r>
        </w:sdtContent>
      </w:sdt>
      <w:r w:rsidRPr="004B2CB3">
        <w:t>) and;</w:t>
      </w:r>
    </w:p>
    <w:p w14:paraId="4594CA77" w14:textId="18897C96" w:rsidR="005E625A" w:rsidRPr="00216B81" w:rsidRDefault="005E625A" w:rsidP="0059328E">
      <w:pPr>
        <w:pStyle w:val="Bulletlist1"/>
        <w:rPr>
          <w:b/>
          <w:caps/>
        </w:rPr>
      </w:pPr>
      <w:r w:rsidRPr="001A064B">
        <w:t>address operational, environmental, fault and accident conditions (including severe accidents)</w:t>
      </w:r>
      <w:r w:rsidRPr="00216B81">
        <w:t xml:space="preserve"> (SAP para. 1</w:t>
      </w:r>
      <w:r>
        <w:t>75</w:t>
      </w:r>
      <w:r w:rsidR="00DE2D67">
        <w:t xml:space="preserve"> </w:t>
      </w:r>
      <w:sdt>
        <w:sdtPr>
          <w:id w:val="-493110049"/>
          <w:citation/>
        </w:sdtPr>
        <w:sdtContent>
          <w:r w:rsidR="00DE2D67">
            <w:fldChar w:fldCharType="begin"/>
          </w:r>
          <w:r w:rsidR="00DE2D67">
            <w:instrText xml:space="preserve"> CITATION ONR2013 \l 2057 </w:instrText>
          </w:r>
          <w:r w:rsidR="00DE2D67">
            <w:fldChar w:fldCharType="separate"/>
          </w:r>
          <w:r w:rsidR="00DE2D67" w:rsidRPr="00DE2D67">
            <w:t>[1]</w:t>
          </w:r>
          <w:r w:rsidR="00DE2D67">
            <w:fldChar w:fldCharType="end"/>
          </w:r>
        </w:sdtContent>
      </w:sdt>
      <w:r w:rsidRPr="00216B81">
        <w:t>)</w:t>
      </w:r>
      <w:r w:rsidR="0059328E">
        <w:t>;</w:t>
      </w:r>
    </w:p>
    <w:p w14:paraId="782823E0" w14:textId="0499F099" w:rsidR="005E625A" w:rsidRPr="00216B81" w:rsidRDefault="005E625A" w:rsidP="0059328E">
      <w:pPr>
        <w:pStyle w:val="Bulletlist1"/>
        <w:rPr>
          <w:b/>
          <w:caps/>
        </w:rPr>
      </w:pPr>
      <w:r w:rsidRPr="001A064B">
        <w:t>include a physical demonstration that individual items can perform their safety function(s) under the required conditions, and within the time, substantiated in the facility’s safety case</w:t>
      </w:r>
      <w:r w:rsidRPr="00216B81">
        <w:t xml:space="preserve"> (SAP para. 1</w:t>
      </w:r>
      <w:r>
        <w:t>76</w:t>
      </w:r>
      <w:r w:rsidR="00DE2D67">
        <w:t xml:space="preserve"> </w:t>
      </w:r>
      <w:sdt>
        <w:sdtPr>
          <w:id w:val="1838264096"/>
          <w:citation/>
        </w:sdtPr>
        <w:sdtContent>
          <w:r w:rsidR="00DE2D67">
            <w:fldChar w:fldCharType="begin"/>
          </w:r>
          <w:r w:rsidR="00DE2D67">
            <w:instrText xml:space="preserve"> CITATION ONR2013 \l 2057 </w:instrText>
          </w:r>
          <w:r w:rsidR="00DE2D67">
            <w:fldChar w:fldCharType="separate"/>
          </w:r>
          <w:r w:rsidR="00DE2D67" w:rsidRPr="00DE2D67">
            <w:t>[1]</w:t>
          </w:r>
          <w:r w:rsidR="00DE2D67">
            <w:fldChar w:fldCharType="end"/>
          </w:r>
        </w:sdtContent>
      </w:sdt>
      <w:r w:rsidRPr="00216B81">
        <w:t>)</w:t>
      </w:r>
      <w:r w:rsidR="0059328E">
        <w:t>; and,</w:t>
      </w:r>
    </w:p>
    <w:p w14:paraId="36F530C0" w14:textId="43853236" w:rsidR="005E625A" w:rsidRPr="00216B81" w:rsidRDefault="005E625A" w:rsidP="0059328E">
      <w:pPr>
        <w:pStyle w:val="Bulletlist1"/>
        <w:rPr>
          <w:b/>
          <w:caps/>
        </w:rPr>
      </w:pPr>
      <w:r w:rsidRPr="001A064B">
        <w:t>ensure that adequate arrangements exist (Licence Condition 6</w:t>
      </w:r>
      <w:r w:rsidRPr="0059328E">
        <w:t>) for the recording and retrieval of lifetime data covering the item’s construction,</w:t>
      </w:r>
      <w:r w:rsidRPr="001A064B">
        <w:t xml:space="preserve"> manufacture, testing, inspection and maintenance to demonstrate that any assumptions made in the safety case remain valid throughout operational life</w:t>
      </w:r>
      <w:r w:rsidRPr="00216B81">
        <w:t xml:space="preserve"> (SAP para. 1</w:t>
      </w:r>
      <w:r>
        <w:t>77</w:t>
      </w:r>
      <w:r w:rsidR="00DE2D67">
        <w:t xml:space="preserve"> </w:t>
      </w:r>
      <w:sdt>
        <w:sdtPr>
          <w:id w:val="-2084058134"/>
          <w:citation/>
        </w:sdtPr>
        <w:sdtContent>
          <w:r w:rsidR="00DE2D67">
            <w:fldChar w:fldCharType="begin"/>
          </w:r>
          <w:r w:rsidR="00DE2D67">
            <w:instrText xml:space="preserve"> CITATION ONR2013 \l 2057 </w:instrText>
          </w:r>
          <w:r w:rsidR="00DE2D67">
            <w:fldChar w:fldCharType="separate"/>
          </w:r>
          <w:r w:rsidR="00DE2D67" w:rsidRPr="00DE2D67">
            <w:t>[1]</w:t>
          </w:r>
          <w:r w:rsidR="00DE2D67">
            <w:fldChar w:fldCharType="end"/>
          </w:r>
        </w:sdtContent>
      </w:sdt>
      <w:r w:rsidRPr="00216B81">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4394"/>
        <w:gridCol w:w="2716"/>
        <w:gridCol w:w="1060"/>
      </w:tblGrid>
      <w:tr w:rsidR="005E625A" w14:paraId="32C8E464" w14:textId="77777777" w:rsidTr="002C1C3E">
        <w:tc>
          <w:tcPr>
            <w:tcW w:w="2689" w:type="pct"/>
            <w:tcBorders>
              <w:top w:val="single" w:sz="4" w:space="0" w:color="auto"/>
              <w:left w:val="single" w:sz="4" w:space="0" w:color="auto"/>
              <w:bottom w:val="single" w:sz="4" w:space="0" w:color="auto"/>
              <w:right w:val="single" w:sz="4" w:space="0" w:color="auto"/>
            </w:tcBorders>
            <w:shd w:val="clear" w:color="auto" w:fill="FFCC99"/>
            <w:vAlign w:val="center"/>
          </w:tcPr>
          <w:p w14:paraId="775C10A3" w14:textId="77777777" w:rsidR="005E625A" w:rsidRPr="002C1C3E" w:rsidRDefault="005E625A" w:rsidP="002C1C3E">
            <w:pPr>
              <w:keepNext/>
              <w:spacing w:after="0" w:line="240" w:lineRule="auto"/>
              <w:rPr>
                <w:b/>
                <w:bCs/>
                <w:szCs w:val="24"/>
              </w:rPr>
            </w:pPr>
            <w:r w:rsidRPr="002C1C3E">
              <w:rPr>
                <w:b/>
                <w:bCs/>
                <w:szCs w:val="24"/>
              </w:rPr>
              <w:t>Engineering principles: maintenance, inspection and testing</w:t>
            </w:r>
          </w:p>
        </w:tc>
        <w:tc>
          <w:tcPr>
            <w:tcW w:w="1662" w:type="pct"/>
            <w:tcBorders>
              <w:top w:val="single" w:sz="4" w:space="0" w:color="auto"/>
              <w:left w:val="single" w:sz="4" w:space="0" w:color="auto"/>
              <w:bottom w:val="single" w:sz="4" w:space="0" w:color="auto"/>
              <w:right w:val="single" w:sz="4" w:space="0" w:color="auto"/>
            </w:tcBorders>
            <w:shd w:val="clear" w:color="auto" w:fill="FFCC99"/>
            <w:vAlign w:val="center"/>
          </w:tcPr>
          <w:p w14:paraId="21F723B8" w14:textId="77777777" w:rsidR="005E625A" w:rsidRPr="002C1C3E" w:rsidRDefault="005E625A" w:rsidP="002C1C3E">
            <w:pPr>
              <w:keepNext/>
              <w:spacing w:after="0" w:line="240" w:lineRule="auto"/>
              <w:rPr>
                <w:szCs w:val="24"/>
              </w:rPr>
            </w:pPr>
            <w:r w:rsidRPr="002C1C3E">
              <w:rPr>
                <w:szCs w:val="24"/>
              </w:rPr>
              <w:t>Validity of equipment qualification</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21220FE7" w14:textId="77777777" w:rsidR="005E625A" w:rsidRPr="002C1C3E" w:rsidRDefault="005E625A" w:rsidP="002C1C3E">
            <w:pPr>
              <w:keepNext/>
              <w:spacing w:after="0" w:line="240" w:lineRule="auto"/>
              <w:jc w:val="center"/>
              <w:rPr>
                <w:szCs w:val="24"/>
              </w:rPr>
            </w:pPr>
            <w:r w:rsidRPr="002C1C3E">
              <w:rPr>
                <w:szCs w:val="24"/>
              </w:rPr>
              <w:t>EMT.4</w:t>
            </w:r>
          </w:p>
        </w:tc>
      </w:tr>
      <w:tr w:rsidR="005E625A" w:rsidRPr="002C1C3E" w14:paraId="5E42F07C" w14:textId="77777777" w:rsidTr="002C1C3E">
        <w:tc>
          <w:tcPr>
            <w:tcW w:w="5000" w:type="pct"/>
            <w:gridSpan w:val="3"/>
            <w:tcBorders>
              <w:top w:val="single" w:sz="4" w:space="0" w:color="auto"/>
              <w:left w:val="single" w:sz="4" w:space="0" w:color="auto"/>
              <w:bottom w:val="single" w:sz="4" w:space="0" w:color="auto"/>
              <w:right w:val="single" w:sz="4" w:space="0" w:color="auto"/>
            </w:tcBorders>
            <w:vAlign w:val="center"/>
          </w:tcPr>
          <w:p w14:paraId="5FEE9124" w14:textId="77777777" w:rsidR="005E625A" w:rsidRPr="002C1C3E" w:rsidRDefault="005E625A" w:rsidP="002C1C3E">
            <w:pPr>
              <w:keepNext/>
              <w:spacing w:after="0" w:line="240" w:lineRule="auto"/>
              <w:rPr>
                <w:szCs w:val="24"/>
              </w:rPr>
            </w:pPr>
            <w:r w:rsidRPr="002C1C3E">
              <w:rPr>
                <w:szCs w:val="24"/>
              </w:rPr>
              <w:t>The continuing validity of equipment qualification of structures, systems and components important to safety should not be unacceptably degraded by any modification or by the carrying out of any maintenance, inspection or testing activity.</w:t>
            </w:r>
          </w:p>
        </w:tc>
      </w:tr>
    </w:tbl>
    <w:p w14:paraId="4910C027" w14:textId="77777777" w:rsidR="005E625A" w:rsidRDefault="005E625A" w:rsidP="002C1C3E">
      <w:pPr>
        <w:pStyle w:val="F9-Paragraph"/>
        <w:numPr>
          <w:ilvl w:val="0"/>
          <w:numId w:val="0"/>
        </w:numPr>
        <w:ind w:left="851"/>
      </w:pP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4536"/>
        <w:gridCol w:w="2574"/>
        <w:gridCol w:w="1060"/>
      </w:tblGrid>
      <w:tr w:rsidR="005E625A" w14:paraId="0BA8E2DC" w14:textId="77777777" w:rsidTr="002C1C3E">
        <w:tc>
          <w:tcPr>
            <w:tcW w:w="2776" w:type="pct"/>
            <w:tcBorders>
              <w:top w:val="single" w:sz="4" w:space="0" w:color="auto"/>
              <w:left w:val="single" w:sz="4" w:space="0" w:color="auto"/>
              <w:bottom w:val="single" w:sz="4" w:space="0" w:color="auto"/>
              <w:right w:val="single" w:sz="4" w:space="0" w:color="auto"/>
            </w:tcBorders>
            <w:shd w:val="clear" w:color="auto" w:fill="FFCC99"/>
            <w:vAlign w:val="center"/>
          </w:tcPr>
          <w:p w14:paraId="22A882B8" w14:textId="77777777" w:rsidR="005E625A" w:rsidRPr="002C1C3E" w:rsidRDefault="005E625A" w:rsidP="002C1C3E">
            <w:pPr>
              <w:keepNext/>
              <w:spacing w:after="0" w:line="240" w:lineRule="auto"/>
              <w:rPr>
                <w:b/>
                <w:bCs/>
                <w:szCs w:val="24"/>
              </w:rPr>
            </w:pPr>
            <w:r w:rsidRPr="002C1C3E">
              <w:rPr>
                <w:b/>
                <w:bCs/>
                <w:szCs w:val="24"/>
              </w:rPr>
              <w:t>Engineering principles: maintenance, inspection and testing</w:t>
            </w:r>
          </w:p>
        </w:tc>
        <w:tc>
          <w:tcPr>
            <w:tcW w:w="1575" w:type="pct"/>
            <w:tcBorders>
              <w:top w:val="single" w:sz="4" w:space="0" w:color="auto"/>
              <w:left w:val="single" w:sz="4" w:space="0" w:color="auto"/>
              <w:bottom w:val="single" w:sz="4" w:space="0" w:color="auto"/>
              <w:right w:val="single" w:sz="4" w:space="0" w:color="auto"/>
            </w:tcBorders>
            <w:shd w:val="clear" w:color="auto" w:fill="FFCC99"/>
            <w:vAlign w:val="center"/>
          </w:tcPr>
          <w:p w14:paraId="35AB8B8F" w14:textId="77777777" w:rsidR="005E625A" w:rsidRPr="002C1C3E" w:rsidRDefault="005E625A" w:rsidP="002C1C3E">
            <w:pPr>
              <w:keepNext/>
              <w:spacing w:after="0" w:line="240" w:lineRule="auto"/>
              <w:rPr>
                <w:szCs w:val="24"/>
              </w:rPr>
            </w:pPr>
            <w:r w:rsidRPr="002C1C3E">
              <w:rPr>
                <w:szCs w:val="24"/>
              </w:rPr>
              <w:t>Type-testing</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1115C811" w14:textId="77777777" w:rsidR="005E625A" w:rsidRPr="002C1C3E" w:rsidRDefault="005E625A" w:rsidP="002C1C3E">
            <w:pPr>
              <w:keepNext/>
              <w:spacing w:after="0" w:line="240" w:lineRule="auto"/>
              <w:jc w:val="center"/>
              <w:rPr>
                <w:szCs w:val="24"/>
              </w:rPr>
            </w:pPr>
            <w:r w:rsidRPr="002C1C3E">
              <w:rPr>
                <w:szCs w:val="24"/>
              </w:rPr>
              <w:t>EMT.3</w:t>
            </w:r>
          </w:p>
        </w:tc>
      </w:tr>
      <w:tr w:rsidR="005E625A" w:rsidRPr="002C1C3E" w14:paraId="377740FE" w14:textId="77777777" w:rsidTr="002C1C3E">
        <w:tc>
          <w:tcPr>
            <w:tcW w:w="5000" w:type="pct"/>
            <w:gridSpan w:val="3"/>
            <w:tcBorders>
              <w:top w:val="single" w:sz="4" w:space="0" w:color="auto"/>
              <w:left w:val="single" w:sz="4" w:space="0" w:color="auto"/>
              <w:bottom w:val="single" w:sz="4" w:space="0" w:color="auto"/>
              <w:right w:val="single" w:sz="4" w:space="0" w:color="auto"/>
            </w:tcBorders>
            <w:vAlign w:val="center"/>
          </w:tcPr>
          <w:p w14:paraId="6913CB9D" w14:textId="77777777" w:rsidR="005E625A" w:rsidRPr="002C1C3E" w:rsidRDefault="005E625A" w:rsidP="002C1C3E">
            <w:pPr>
              <w:keepNext/>
              <w:spacing w:after="0" w:line="240" w:lineRule="auto"/>
              <w:rPr>
                <w:szCs w:val="24"/>
              </w:rPr>
            </w:pPr>
            <w:r w:rsidRPr="002C1C3E">
              <w:rPr>
                <w:szCs w:val="24"/>
              </w:rPr>
              <w:t>Structures, systems and components important to safety should be type tested before they are installed to conditions equal to, at least, the most onerous for which they are designed.</w:t>
            </w:r>
          </w:p>
        </w:tc>
      </w:tr>
    </w:tbl>
    <w:p w14:paraId="6297C76C" w14:textId="6C506854" w:rsidR="005E625A" w:rsidRDefault="005E625A" w:rsidP="002C1C3E">
      <w:pPr>
        <w:pStyle w:val="F9-Paragraph"/>
      </w:pPr>
      <w:r w:rsidRPr="001A064B">
        <w:t xml:space="preserve">For components of particular concern and where it is not possible to confirm the ability to operate under the most onerous design conditions, </w:t>
      </w:r>
      <w:r w:rsidRPr="001A064B">
        <w:rPr>
          <w:lang w:eastAsia="en-GB"/>
        </w:rPr>
        <w:t>additional analysis should be carried out which utilises available test results and justifies the component’s performance and reliability</w:t>
      </w:r>
      <w:r w:rsidRPr="00401081">
        <w:rPr>
          <w:sz w:val="21"/>
          <w:szCs w:val="21"/>
          <w:lang w:eastAsia="en-GB"/>
        </w:rPr>
        <w:t xml:space="preserve"> </w:t>
      </w:r>
      <w:r>
        <w:t>(SAP para. 205</w:t>
      </w:r>
      <w:r w:rsidR="002C1C3E">
        <w:t xml:space="preserve"> </w:t>
      </w:r>
      <w:sdt>
        <w:sdtPr>
          <w:id w:val="2047637548"/>
          <w:citation/>
        </w:sdtPr>
        <w:sdtContent>
          <w:r w:rsidR="002C1C3E">
            <w:fldChar w:fldCharType="begin"/>
          </w:r>
          <w:r w:rsidR="002C1C3E">
            <w:instrText xml:space="preserve"> CITATION ONR2013 \l 2057 </w:instrText>
          </w:r>
          <w:r w:rsidR="002C1C3E">
            <w:fldChar w:fldCharType="separate"/>
          </w:r>
          <w:r w:rsidR="002C1C3E">
            <w:rPr>
              <w:noProof/>
            </w:rPr>
            <w:t>[1]</w:t>
          </w:r>
          <w:r w:rsidR="002C1C3E">
            <w:fldChar w:fldCharType="end"/>
          </w:r>
        </w:sdtContent>
      </w:sdt>
      <w:r>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969"/>
        <w:gridCol w:w="3141"/>
        <w:gridCol w:w="1060"/>
      </w:tblGrid>
      <w:tr w:rsidR="005E625A" w14:paraId="74E0F955" w14:textId="77777777" w:rsidTr="002C1C3E">
        <w:tc>
          <w:tcPr>
            <w:tcW w:w="2429" w:type="pct"/>
            <w:tcBorders>
              <w:top w:val="single" w:sz="4" w:space="0" w:color="auto"/>
              <w:left w:val="single" w:sz="4" w:space="0" w:color="auto"/>
              <w:bottom w:val="single" w:sz="4" w:space="0" w:color="auto"/>
              <w:right w:val="single" w:sz="4" w:space="0" w:color="auto"/>
            </w:tcBorders>
            <w:shd w:val="clear" w:color="auto" w:fill="FFCC99"/>
            <w:vAlign w:val="center"/>
          </w:tcPr>
          <w:p w14:paraId="73CA54AC" w14:textId="77777777" w:rsidR="005E625A" w:rsidRPr="002C1C3E" w:rsidRDefault="005E625A" w:rsidP="002C1C3E">
            <w:pPr>
              <w:keepNext/>
              <w:spacing w:after="0" w:line="240" w:lineRule="auto"/>
              <w:rPr>
                <w:b/>
                <w:bCs/>
                <w:szCs w:val="24"/>
              </w:rPr>
            </w:pPr>
            <w:r w:rsidRPr="002C1C3E">
              <w:rPr>
                <w:b/>
                <w:bCs/>
                <w:szCs w:val="24"/>
              </w:rPr>
              <w:lastRenderedPageBreak/>
              <w:t>Engineering principles: safety classification and standards</w:t>
            </w:r>
          </w:p>
        </w:tc>
        <w:tc>
          <w:tcPr>
            <w:tcW w:w="1922" w:type="pct"/>
            <w:tcBorders>
              <w:top w:val="single" w:sz="4" w:space="0" w:color="auto"/>
              <w:left w:val="single" w:sz="4" w:space="0" w:color="auto"/>
              <w:bottom w:val="single" w:sz="4" w:space="0" w:color="auto"/>
              <w:right w:val="single" w:sz="4" w:space="0" w:color="auto"/>
            </w:tcBorders>
            <w:shd w:val="clear" w:color="auto" w:fill="FFCC99"/>
            <w:vAlign w:val="center"/>
          </w:tcPr>
          <w:p w14:paraId="341F2D8A" w14:textId="77777777" w:rsidR="005E625A" w:rsidRPr="002C1C3E" w:rsidRDefault="005E625A" w:rsidP="002C1C3E">
            <w:pPr>
              <w:keepNext/>
              <w:spacing w:after="0" w:line="240" w:lineRule="auto"/>
              <w:rPr>
                <w:szCs w:val="24"/>
              </w:rPr>
            </w:pPr>
            <w:r w:rsidRPr="002C1C3E">
              <w:rPr>
                <w:szCs w:val="24"/>
              </w:rPr>
              <w:t>Codes and standards</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2B22E612" w14:textId="77777777" w:rsidR="005E625A" w:rsidRPr="002C1C3E" w:rsidRDefault="005E625A" w:rsidP="002C1C3E">
            <w:pPr>
              <w:keepNext/>
              <w:spacing w:after="0" w:line="240" w:lineRule="auto"/>
              <w:jc w:val="center"/>
              <w:rPr>
                <w:szCs w:val="24"/>
              </w:rPr>
            </w:pPr>
            <w:r w:rsidRPr="002C1C3E">
              <w:rPr>
                <w:szCs w:val="24"/>
              </w:rPr>
              <w:t>ECS.3</w:t>
            </w:r>
          </w:p>
        </w:tc>
      </w:tr>
      <w:tr w:rsidR="005E625A" w:rsidRPr="002C1C3E" w14:paraId="671E7653" w14:textId="77777777" w:rsidTr="002C1C3E">
        <w:tc>
          <w:tcPr>
            <w:tcW w:w="5000" w:type="pct"/>
            <w:gridSpan w:val="3"/>
            <w:tcBorders>
              <w:top w:val="single" w:sz="4" w:space="0" w:color="auto"/>
              <w:left w:val="single" w:sz="4" w:space="0" w:color="auto"/>
              <w:bottom w:val="single" w:sz="4" w:space="0" w:color="auto"/>
              <w:right w:val="single" w:sz="4" w:space="0" w:color="auto"/>
            </w:tcBorders>
            <w:vAlign w:val="center"/>
          </w:tcPr>
          <w:p w14:paraId="75CA25F1" w14:textId="77777777" w:rsidR="005E625A" w:rsidRPr="002C1C3E" w:rsidRDefault="005E625A" w:rsidP="002C1C3E">
            <w:pPr>
              <w:keepNext/>
              <w:spacing w:after="0" w:line="240" w:lineRule="auto"/>
              <w:rPr>
                <w:szCs w:val="24"/>
              </w:rPr>
            </w:pPr>
            <w:r w:rsidRPr="002C1C3E">
              <w:rPr>
                <w:szCs w:val="24"/>
              </w:rPr>
              <w:t>Structures, systems and components that are important to safety should be designed, manufactured, constructed, installed, commissioned, quality assured, maintained, tested and inspected to the appropriate codes and standards.</w:t>
            </w:r>
          </w:p>
        </w:tc>
      </w:tr>
    </w:tbl>
    <w:p w14:paraId="358E26ED" w14:textId="4FF68E5C" w:rsidR="005E625A" w:rsidRDefault="005E625A" w:rsidP="002C1C3E">
      <w:pPr>
        <w:pStyle w:val="F9-Paragraph"/>
      </w:pPr>
      <w:r>
        <w:t>The codes and standards should reflect the functional reliability requirements of the structures, systems and components and be commensurate with their safety classification as discussed in SAP para. 170-173 and SAPs ECS.4 and ECS.5 (SAP para. 169</w:t>
      </w:r>
      <w:r w:rsidR="002C1C3E">
        <w:t xml:space="preserve"> </w:t>
      </w:r>
      <w:sdt>
        <w:sdtPr>
          <w:id w:val="1361934501"/>
          <w:citation/>
        </w:sdtPr>
        <w:sdtContent>
          <w:r w:rsidR="002C1C3E">
            <w:fldChar w:fldCharType="begin"/>
          </w:r>
          <w:r w:rsidR="002C1C3E">
            <w:instrText xml:space="preserve"> CITATION ONR2013 \l 2057 </w:instrText>
          </w:r>
          <w:r w:rsidR="002C1C3E">
            <w:fldChar w:fldCharType="separate"/>
          </w:r>
          <w:r w:rsidR="002C1C3E">
            <w:rPr>
              <w:noProof/>
            </w:rPr>
            <w:t>[1]</w:t>
          </w:r>
          <w:r w:rsidR="002C1C3E">
            <w:fldChar w:fldCharType="end"/>
          </w:r>
        </w:sdtContent>
      </w:sdt>
      <w:r>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969"/>
        <w:gridCol w:w="3229"/>
        <w:gridCol w:w="972"/>
      </w:tblGrid>
      <w:tr w:rsidR="005E625A" w14:paraId="140A59B9" w14:textId="77777777" w:rsidTr="002C1C3E">
        <w:tc>
          <w:tcPr>
            <w:tcW w:w="2429" w:type="pct"/>
            <w:tcBorders>
              <w:top w:val="single" w:sz="4" w:space="0" w:color="auto"/>
              <w:left w:val="single" w:sz="4" w:space="0" w:color="auto"/>
              <w:bottom w:val="single" w:sz="4" w:space="0" w:color="auto"/>
              <w:right w:val="single" w:sz="4" w:space="0" w:color="auto"/>
            </w:tcBorders>
            <w:shd w:val="clear" w:color="auto" w:fill="FFCC99"/>
            <w:vAlign w:val="center"/>
          </w:tcPr>
          <w:p w14:paraId="29781529" w14:textId="77777777" w:rsidR="005E625A" w:rsidRPr="002C1C3E" w:rsidRDefault="005E625A" w:rsidP="002C1C3E">
            <w:pPr>
              <w:keepNext/>
              <w:spacing w:after="0" w:line="240" w:lineRule="auto"/>
              <w:rPr>
                <w:b/>
                <w:bCs/>
                <w:szCs w:val="24"/>
              </w:rPr>
            </w:pPr>
            <w:r w:rsidRPr="002C1C3E">
              <w:rPr>
                <w:b/>
                <w:bCs/>
                <w:szCs w:val="24"/>
              </w:rPr>
              <w:t>Engineering principles: control and instrumentation of safety-related systems</w:t>
            </w:r>
          </w:p>
        </w:tc>
        <w:tc>
          <w:tcPr>
            <w:tcW w:w="1976" w:type="pct"/>
            <w:tcBorders>
              <w:top w:val="single" w:sz="4" w:space="0" w:color="auto"/>
              <w:left w:val="single" w:sz="4" w:space="0" w:color="auto"/>
              <w:bottom w:val="single" w:sz="4" w:space="0" w:color="auto"/>
              <w:right w:val="single" w:sz="4" w:space="0" w:color="auto"/>
            </w:tcBorders>
            <w:shd w:val="clear" w:color="auto" w:fill="FFCC99"/>
            <w:vAlign w:val="center"/>
          </w:tcPr>
          <w:p w14:paraId="7ED08F2C" w14:textId="77777777" w:rsidR="005E625A" w:rsidRPr="002C1C3E" w:rsidRDefault="005E625A" w:rsidP="002C1C3E">
            <w:pPr>
              <w:keepNext/>
              <w:spacing w:after="0" w:line="240" w:lineRule="auto"/>
              <w:rPr>
                <w:szCs w:val="24"/>
              </w:rPr>
            </w:pPr>
            <w:r w:rsidRPr="002C1C3E">
              <w:rPr>
                <w:szCs w:val="24"/>
              </w:rPr>
              <w:t>Standards for equipment in safety-related systems</w:t>
            </w:r>
          </w:p>
        </w:tc>
        <w:tc>
          <w:tcPr>
            <w:tcW w:w="595" w:type="pct"/>
            <w:tcBorders>
              <w:top w:val="single" w:sz="4" w:space="0" w:color="auto"/>
              <w:left w:val="single" w:sz="4" w:space="0" w:color="auto"/>
              <w:bottom w:val="single" w:sz="4" w:space="0" w:color="auto"/>
              <w:right w:val="single" w:sz="4" w:space="0" w:color="auto"/>
            </w:tcBorders>
            <w:shd w:val="clear" w:color="auto" w:fill="FFCC99"/>
            <w:vAlign w:val="center"/>
          </w:tcPr>
          <w:p w14:paraId="22117D8D" w14:textId="77777777" w:rsidR="005E625A" w:rsidRPr="002C1C3E" w:rsidRDefault="005E625A" w:rsidP="002C1C3E">
            <w:pPr>
              <w:keepNext/>
              <w:spacing w:after="0" w:line="240" w:lineRule="auto"/>
              <w:jc w:val="center"/>
              <w:rPr>
                <w:szCs w:val="24"/>
              </w:rPr>
            </w:pPr>
            <w:r w:rsidRPr="002C1C3E">
              <w:rPr>
                <w:szCs w:val="24"/>
              </w:rPr>
              <w:t>ESR.5</w:t>
            </w:r>
          </w:p>
        </w:tc>
      </w:tr>
      <w:tr w:rsidR="005E625A" w:rsidRPr="002C1C3E" w14:paraId="43D7D886" w14:textId="77777777" w:rsidTr="002C1C3E">
        <w:tc>
          <w:tcPr>
            <w:tcW w:w="5000" w:type="pct"/>
            <w:gridSpan w:val="3"/>
            <w:tcBorders>
              <w:top w:val="single" w:sz="4" w:space="0" w:color="auto"/>
              <w:left w:val="single" w:sz="4" w:space="0" w:color="auto"/>
              <w:bottom w:val="single" w:sz="4" w:space="0" w:color="auto"/>
              <w:right w:val="single" w:sz="4" w:space="0" w:color="auto"/>
            </w:tcBorders>
            <w:vAlign w:val="center"/>
          </w:tcPr>
          <w:p w14:paraId="6C20DD54" w14:textId="77777777" w:rsidR="005E625A" w:rsidRPr="002C1C3E" w:rsidRDefault="005E625A" w:rsidP="002C1C3E">
            <w:pPr>
              <w:keepNext/>
              <w:spacing w:after="0" w:line="240" w:lineRule="auto"/>
              <w:rPr>
                <w:szCs w:val="24"/>
              </w:rPr>
            </w:pPr>
            <w:r w:rsidRPr="002C1C3E">
              <w:rPr>
                <w:szCs w:val="24"/>
              </w:rPr>
              <w:t>Where computers or programmable devices are used in safety-related systems, evidence should be provided that the hardware and software are designed, manufactured and installed to appropriate standards.</w:t>
            </w:r>
          </w:p>
        </w:tc>
      </w:tr>
    </w:tbl>
    <w:p w14:paraId="226136B6" w14:textId="1362E92E" w:rsidR="005E625A" w:rsidRPr="00216B81" w:rsidRDefault="005E625A" w:rsidP="002C1C3E">
      <w:pPr>
        <w:pStyle w:val="F9-Paragraph"/>
      </w:pPr>
      <w:bookmarkStart w:id="23" w:name="_Ref391379350"/>
      <w:r w:rsidRPr="00216B81">
        <w:t>Hardware and software must be subjected to the same standards as other systems commensurate with the level of safety dependence placed upon them</w:t>
      </w:r>
      <w:r>
        <w:t>. B</w:t>
      </w:r>
      <w:r w:rsidRPr="00216B81">
        <w:t xml:space="preserve">ecause of the </w:t>
      </w:r>
      <w:r>
        <w:t xml:space="preserve">uncertainties substantiating </w:t>
      </w:r>
      <w:r w:rsidR="002C1C3E">
        <w:t>computer-based</w:t>
      </w:r>
      <w:r>
        <w:t xml:space="preserve"> systems</w:t>
      </w:r>
      <w:r w:rsidRPr="00216B81">
        <w:t xml:space="preserve">, conservative limits </w:t>
      </w:r>
      <w:r>
        <w:t>should be</w:t>
      </w:r>
      <w:r w:rsidRPr="00216B81">
        <w:t xml:space="preserve"> set on the integrity ranges considered claimable from the various standards of the software production process. </w:t>
      </w:r>
      <w:r w:rsidR="002C1C3E">
        <w:t>Refer to</w:t>
      </w:r>
      <w:r w:rsidRPr="004A3056">
        <w:t xml:space="preserve"> Appendix 1 for a more detailed discussion of computer and other complex and novel technology failure rates</w:t>
      </w:r>
      <w:r w:rsidR="00291103">
        <w:t xml:space="preserve">. Further </w:t>
      </w:r>
      <w:r w:rsidRPr="004A3056">
        <w:t xml:space="preserve">assessment </w:t>
      </w:r>
      <w:r w:rsidR="00291103">
        <w:t>guidance on</w:t>
      </w:r>
      <w:r w:rsidRPr="004A3056">
        <w:t xml:space="preserve"> computer system requirements is provided </w:t>
      </w:r>
      <w:r w:rsidR="00291103">
        <w:t xml:space="preserve">in </w:t>
      </w:r>
      <w:sdt>
        <w:sdtPr>
          <w:id w:val="473491924"/>
          <w:citation/>
        </w:sdtPr>
        <w:sdtContent>
          <w:r w:rsidR="00291103">
            <w:fldChar w:fldCharType="begin"/>
          </w:r>
          <w:r w:rsidR="00291103">
            <w:instrText xml:space="preserve"> CITATION ONR141 \l 2057 </w:instrText>
          </w:r>
          <w:r w:rsidR="00291103">
            <w:fldChar w:fldCharType="separate"/>
          </w:r>
          <w:r w:rsidR="00291103">
            <w:rPr>
              <w:noProof/>
            </w:rPr>
            <w:t>[9]</w:t>
          </w:r>
          <w:r w:rsidR="00291103">
            <w:fldChar w:fldCharType="end"/>
          </w:r>
        </w:sdtContent>
      </w:sdt>
      <w:r w:rsidRPr="004A3056">
        <w:t>.</w:t>
      </w:r>
      <w:bookmarkEnd w:id="23"/>
    </w:p>
    <w:p w14:paraId="789088B1" w14:textId="38932CFF" w:rsidR="005E625A" w:rsidRPr="00216B81" w:rsidRDefault="005E625A" w:rsidP="00F60BD9">
      <w:pPr>
        <w:pStyle w:val="F9-Paragraph"/>
      </w:pPr>
      <w:r w:rsidRPr="001A064B">
        <w:t xml:space="preserve">Evidence should be provided to demonstrate the adequacy of any measures required to achieve reliability claims. This should include a reliability analysis of both random and systematic failures. Assumptions made in the course of the reliability analysis should be justified </w:t>
      </w:r>
      <w:r w:rsidRPr="00216B81">
        <w:t>(SAP para. 1</w:t>
      </w:r>
      <w:r>
        <w:t>92</w:t>
      </w:r>
      <w:r w:rsidR="00291103">
        <w:t xml:space="preserve"> </w:t>
      </w:r>
      <w:sdt>
        <w:sdtPr>
          <w:id w:val="295576766"/>
          <w:citation/>
        </w:sdtPr>
        <w:sdtContent>
          <w:r w:rsidR="00291103">
            <w:fldChar w:fldCharType="begin"/>
          </w:r>
          <w:r w:rsidR="00291103">
            <w:instrText xml:space="preserve"> CITATION ONR2013 \l 2057 </w:instrText>
          </w:r>
          <w:r w:rsidR="00291103">
            <w:fldChar w:fldCharType="separate"/>
          </w:r>
          <w:r w:rsidR="00291103">
            <w:rPr>
              <w:noProof/>
            </w:rPr>
            <w:t>[1]</w:t>
          </w:r>
          <w:r w:rsidR="00291103">
            <w:fldChar w:fldCharType="end"/>
          </w:r>
        </w:sdtContent>
      </w:sdt>
      <w:r w:rsidRPr="00216B81">
        <w:t>)</w:t>
      </w:r>
      <w:r w:rsidR="00F60BD9">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5670"/>
        <w:gridCol w:w="1440"/>
        <w:gridCol w:w="1060"/>
      </w:tblGrid>
      <w:tr w:rsidR="005E625A" w14:paraId="6309A15D" w14:textId="77777777" w:rsidTr="00291103">
        <w:tc>
          <w:tcPr>
            <w:tcW w:w="3470" w:type="pct"/>
            <w:tcBorders>
              <w:top w:val="single" w:sz="4" w:space="0" w:color="auto"/>
              <w:left w:val="single" w:sz="4" w:space="0" w:color="auto"/>
              <w:bottom w:val="single" w:sz="4" w:space="0" w:color="auto"/>
              <w:right w:val="single" w:sz="4" w:space="0" w:color="auto"/>
            </w:tcBorders>
            <w:shd w:val="clear" w:color="auto" w:fill="FFCC99"/>
            <w:vAlign w:val="center"/>
          </w:tcPr>
          <w:p w14:paraId="5BD8F2B3" w14:textId="77777777" w:rsidR="005E625A" w:rsidRPr="00291103" w:rsidRDefault="005E625A" w:rsidP="00291103">
            <w:pPr>
              <w:keepNext/>
              <w:spacing w:after="0" w:line="240" w:lineRule="auto"/>
              <w:rPr>
                <w:b/>
                <w:bCs/>
                <w:szCs w:val="24"/>
              </w:rPr>
            </w:pPr>
            <w:r w:rsidRPr="00291103">
              <w:rPr>
                <w:b/>
                <w:bCs/>
                <w:szCs w:val="24"/>
              </w:rPr>
              <w:t>Engineering principles: integrity of metal components and structures: highest reliability components and structures</w:t>
            </w:r>
          </w:p>
        </w:tc>
        <w:tc>
          <w:tcPr>
            <w:tcW w:w="881" w:type="pct"/>
            <w:tcBorders>
              <w:top w:val="single" w:sz="4" w:space="0" w:color="auto"/>
              <w:left w:val="single" w:sz="4" w:space="0" w:color="auto"/>
              <w:bottom w:val="single" w:sz="4" w:space="0" w:color="auto"/>
              <w:right w:val="single" w:sz="4" w:space="0" w:color="auto"/>
            </w:tcBorders>
            <w:shd w:val="clear" w:color="auto" w:fill="FFCC99"/>
            <w:vAlign w:val="center"/>
          </w:tcPr>
          <w:p w14:paraId="2CE3955F" w14:textId="77777777" w:rsidR="005E625A" w:rsidRPr="00291103" w:rsidRDefault="005E625A" w:rsidP="00291103">
            <w:pPr>
              <w:keepNext/>
              <w:spacing w:after="0" w:line="240" w:lineRule="auto"/>
              <w:rPr>
                <w:szCs w:val="24"/>
              </w:rPr>
            </w:pPr>
            <w:r w:rsidRPr="00291103">
              <w:rPr>
                <w:szCs w:val="24"/>
              </w:rPr>
              <w:t>Evidence</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31E616E8" w14:textId="77777777" w:rsidR="005E625A" w:rsidRPr="00291103" w:rsidRDefault="005E625A" w:rsidP="00291103">
            <w:pPr>
              <w:keepNext/>
              <w:spacing w:after="0" w:line="240" w:lineRule="auto"/>
              <w:jc w:val="center"/>
              <w:rPr>
                <w:szCs w:val="24"/>
              </w:rPr>
            </w:pPr>
            <w:r w:rsidRPr="00291103">
              <w:rPr>
                <w:szCs w:val="24"/>
              </w:rPr>
              <w:t>EMC.3</w:t>
            </w:r>
          </w:p>
        </w:tc>
      </w:tr>
      <w:tr w:rsidR="005E625A" w:rsidRPr="00291103" w14:paraId="6E04F88F" w14:textId="77777777" w:rsidTr="00291103">
        <w:tc>
          <w:tcPr>
            <w:tcW w:w="5000" w:type="pct"/>
            <w:gridSpan w:val="3"/>
            <w:tcBorders>
              <w:top w:val="single" w:sz="4" w:space="0" w:color="auto"/>
              <w:left w:val="single" w:sz="4" w:space="0" w:color="auto"/>
              <w:bottom w:val="single" w:sz="4" w:space="0" w:color="auto"/>
              <w:right w:val="single" w:sz="4" w:space="0" w:color="auto"/>
            </w:tcBorders>
            <w:vAlign w:val="center"/>
          </w:tcPr>
          <w:p w14:paraId="038059E2" w14:textId="77777777" w:rsidR="005E625A" w:rsidRPr="00291103" w:rsidRDefault="005E625A" w:rsidP="00291103">
            <w:pPr>
              <w:keepNext/>
              <w:spacing w:after="0" w:line="240" w:lineRule="auto"/>
              <w:rPr>
                <w:szCs w:val="24"/>
              </w:rPr>
            </w:pPr>
            <w:r w:rsidRPr="00291103">
              <w:rPr>
                <w:szCs w:val="24"/>
              </w:rPr>
              <w:t>Evidence should be provided to demonstrate that the necessary level of integrity has been achieved for the most demanding situations identified in the safety case.</w:t>
            </w:r>
          </w:p>
        </w:tc>
      </w:tr>
    </w:tbl>
    <w:p w14:paraId="245820FD" w14:textId="6DCAA19E" w:rsidR="005E625A" w:rsidRDefault="005E625A" w:rsidP="00291103">
      <w:pPr>
        <w:pStyle w:val="F9-Paragraph"/>
      </w:pPr>
      <w:r w:rsidRPr="001A064B">
        <w:t>A minor failure in a component or structure that forms a principal role in ensuring nuclear safety should not lead to significant radiological hazard</w:t>
      </w:r>
      <w:r>
        <w:t xml:space="preserve"> (SAP para. 294</w:t>
      </w:r>
      <w:r w:rsidR="00291103">
        <w:t xml:space="preserve"> </w:t>
      </w:r>
      <w:sdt>
        <w:sdtPr>
          <w:id w:val="1978951310"/>
          <w:citation/>
        </w:sdtPr>
        <w:sdtContent>
          <w:r w:rsidR="00291103">
            <w:fldChar w:fldCharType="begin"/>
          </w:r>
          <w:r w:rsidR="00291103">
            <w:instrText xml:space="preserve"> CITATION ONR2013 \l 2057 </w:instrText>
          </w:r>
          <w:r w:rsidR="00291103">
            <w:fldChar w:fldCharType="separate"/>
          </w:r>
          <w:r w:rsidR="00291103">
            <w:rPr>
              <w:noProof/>
            </w:rPr>
            <w:t>[1]</w:t>
          </w:r>
          <w:r w:rsidR="00291103">
            <w:fldChar w:fldCharType="end"/>
          </w:r>
        </w:sdtContent>
      </w:sdt>
      <w:r>
        <w:t>).</w:t>
      </w:r>
    </w:p>
    <w:p w14:paraId="63F64CE5" w14:textId="77777777" w:rsidR="005E625A" w:rsidRDefault="005E625A" w:rsidP="00291103">
      <w:pPr>
        <w:pStyle w:val="F9-Paragraph"/>
      </w:pPr>
      <w:r>
        <w:t xml:space="preserve">In particular, where the construction of instrumentation provides containment functions, then adequate consideration should be given to the design, materials selection, defect control, manufacturing and quality assurance as described in SAPs EMC.1-20 as necessary to ensure that adequate integrity is achieved and maintained. </w:t>
      </w:r>
    </w:p>
    <w:tbl>
      <w:tblPr>
        <w:tblW w:w="4531" w:type="pct"/>
        <w:tblInd w:w="846" w:type="dxa"/>
        <w:tblBorders>
          <w:top w:val="nil"/>
          <w:left w:val="nil"/>
          <w:bottom w:val="nil"/>
          <w:right w:val="nil"/>
        </w:tblBorders>
        <w:tblLook w:val="0000" w:firstRow="0" w:lastRow="0" w:firstColumn="0" w:lastColumn="0" w:noHBand="0" w:noVBand="0"/>
      </w:tblPr>
      <w:tblGrid>
        <w:gridCol w:w="4961"/>
        <w:gridCol w:w="2126"/>
        <w:gridCol w:w="1083"/>
      </w:tblGrid>
      <w:tr w:rsidR="005E625A" w:rsidRPr="003F7C73" w14:paraId="2461974B" w14:textId="77777777" w:rsidTr="00291103">
        <w:trPr>
          <w:trHeight w:val="253"/>
        </w:trPr>
        <w:tc>
          <w:tcPr>
            <w:tcW w:w="3036" w:type="pct"/>
            <w:tcBorders>
              <w:top w:val="single" w:sz="4" w:space="0" w:color="000000"/>
              <w:left w:val="single" w:sz="4" w:space="0" w:color="000000"/>
              <w:bottom w:val="single" w:sz="4" w:space="0" w:color="000000"/>
              <w:right w:val="single" w:sz="4" w:space="0" w:color="000000"/>
            </w:tcBorders>
            <w:shd w:val="clear" w:color="auto" w:fill="FFCC99"/>
            <w:vAlign w:val="center"/>
          </w:tcPr>
          <w:p w14:paraId="044975FA" w14:textId="77777777" w:rsidR="005E625A" w:rsidRPr="00291103" w:rsidRDefault="005E625A" w:rsidP="00291103">
            <w:pPr>
              <w:keepNext/>
              <w:spacing w:after="0" w:line="240" w:lineRule="auto"/>
              <w:rPr>
                <w:b/>
                <w:bCs/>
                <w:szCs w:val="24"/>
              </w:rPr>
            </w:pPr>
            <w:r w:rsidRPr="00291103">
              <w:rPr>
                <w:b/>
                <w:bCs/>
                <w:szCs w:val="24"/>
              </w:rPr>
              <w:lastRenderedPageBreak/>
              <w:t xml:space="preserve">Engineering principles: integrity of metal components and structures: operation </w:t>
            </w:r>
          </w:p>
        </w:tc>
        <w:tc>
          <w:tcPr>
            <w:tcW w:w="1301" w:type="pct"/>
            <w:tcBorders>
              <w:top w:val="single" w:sz="4" w:space="0" w:color="000000"/>
              <w:left w:val="single" w:sz="4" w:space="0" w:color="000000"/>
              <w:bottom w:val="single" w:sz="4" w:space="0" w:color="000000"/>
              <w:right w:val="single" w:sz="4" w:space="0" w:color="000000"/>
            </w:tcBorders>
            <w:shd w:val="clear" w:color="auto" w:fill="FFCC99"/>
            <w:vAlign w:val="center"/>
          </w:tcPr>
          <w:p w14:paraId="113FA082" w14:textId="77777777" w:rsidR="005E625A" w:rsidRPr="00291103" w:rsidRDefault="005E625A" w:rsidP="00291103">
            <w:pPr>
              <w:keepNext/>
              <w:spacing w:after="0" w:line="240" w:lineRule="auto"/>
              <w:rPr>
                <w:szCs w:val="24"/>
              </w:rPr>
            </w:pPr>
            <w:r w:rsidRPr="00291103">
              <w:rPr>
                <w:szCs w:val="24"/>
              </w:rPr>
              <w:t xml:space="preserve">Safe operating envelope </w:t>
            </w:r>
          </w:p>
        </w:tc>
        <w:tc>
          <w:tcPr>
            <w:tcW w:w="663" w:type="pct"/>
            <w:tcBorders>
              <w:top w:val="single" w:sz="4" w:space="0" w:color="000000"/>
              <w:left w:val="single" w:sz="4" w:space="0" w:color="000000"/>
              <w:bottom w:val="single" w:sz="4" w:space="0" w:color="000000"/>
              <w:right w:val="single" w:sz="4" w:space="0" w:color="000000"/>
            </w:tcBorders>
            <w:shd w:val="clear" w:color="auto" w:fill="FFCC99"/>
            <w:vAlign w:val="center"/>
          </w:tcPr>
          <w:p w14:paraId="50FD66E7" w14:textId="77777777" w:rsidR="005E625A" w:rsidRPr="00291103" w:rsidRDefault="005E625A" w:rsidP="00291103">
            <w:pPr>
              <w:keepNext/>
              <w:spacing w:after="0" w:line="240" w:lineRule="auto"/>
              <w:jc w:val="center"/>
              <w:rPr>
                <w:szCs w:val="24"/>
              </w:rPr>
            </w:pPr>
            <w:r w:rsidRPr="00291103">
              <w:rPr>
                <w:szCs w:val="24"/>
              </w:rPr>
              <w:t xml:space="preserve">EMC.21 </w:t>
            </w:r>
          </w:p>
        </w:tc>
      </w:tr>
      <w:tr w:rsidR="005E625A" w:rsidRPr="00291103" w14:paraId="4841969C" w14:textId="77777777" w:rsidTr="00291103">
        <w:trPr>
          <w:trHeight w:val="248"/>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EF5D6E3" w14:textId="77777777" w:rsidR="005E625A" w:rsidRPr="00291103" w:rsidRDefault="005E625A" w:rsidP="00291103">
            <w:pPr>
              <w:keepNext/>
              <w:spacing w:after="0" w:line="240" w:lineRule="auto"/>
              <w:rPr>
                <w:szCs w:val="24"/>
              </w:rPr>
            </w:pPr>
            <w:r w:rsidRPr="00291103">
              <w:rPr>
                <w:szCs w:val="24"/>
              </w:rPr>
              <w:t xml:space="preserve">Throughout their operating life, components and structures should be operated and controlled within defined limits and conditions (operating rules) derived from the safety case. </w:t>
            </w:r>
          </w:p>
        </w:tc>
      </w:tr>
    </w:tbl>
    <w:p w14:paraId="69086C6C" w14:textId="77777777" w:rsidR="005E625A" w:rsidRDefault="005E625A" w:rsidP="00291103">
      <w:pPr>
        <w:pStyle w:val="F9-Paragraph"/>
      </w:pPr>
      <w:r w:rsidRPr="003F7C73">
        <w:t xml:space="preserve">The parameters of the defined limits should be consistent with the type of component or structure, </w:t>
      </w:r>
      <w:r>
        <w:t xml:space="preserve">their </w:t>
      </w:r>
      <w:r w:rsidRPr="003F7C73">
        <w:t>potential modes of failure and operational considerations.</w:t>
      </w:r>
    </w:p>
    <w:p w14:paraId="32E18AFE" w14:textId="77777777" w:rsidR="00291103" w:rsidRDefault="00291103" w:rsidP="005E625A">
      <w:pPr>
        <w:pStyle w:val="TSHeadingNumbered1"/>
        <w:numPr>
          <w:ilvl w:val="0"/>
          <w:numId w:val="36"/>
        </w:numPr>
        <w:jc w:val="both"/>
        <w:sectPr w:rsidR="00291103" w:rsidSect="000B2BCD">
          <w:pgSz w:w="11906" w:h="16838" w:code="9"/>
          <w:pgMar w:top="1440" w:right="1440" w:bottom="1440" w:left="1440" w:header="397" w:footer="397" w:gutter="0"/>
          <w:cols w:space="312"/>
          <w:docGrid w:linePitch="360"/>
        </w:sectPr>
      </w:pPr>
      <w:bookmarkStart w:id="24" w:name="_Ref312143877"/>
      <w:bookmarkStart w:id="25" w:name="_Toc345418580"/>
      <w:bookmarkStart w:id="26" w:name="_Toc389815636"/>
    </w:p>
    <w:p w14:paraId="033469B8" w14:textId="4D329B0E" w:rsidR="005E625A" w:rsidRDefault="005E625A" w:rsidP="00291103">
      <w:pPr>
        <w:pStyle w:val="Heading1"/>
      </w:pPr>
      <w:bookmarkStart w:id="27" w:name="_Toc134110823"/>
      <w:r>
        <w:lastRenderedPageBreak/>
        <w:t>In-</w:t>
      </w:r>
      <w:r w:rsidR="00291103">
        <w:t>s</w:t>
      </w:r>
      <w:r>
        <w:t xml:space="preserve">ervice </w:t>
      </w:r>
      <w:r w:rsidR="00291103">
        <w:t>E</w:t>
      </w:r>
      <w:r>
        <w:t xml:space="preserve">xamination, </w:t>
      </w:r>
      <w:r w:rsidR="00291103">
        <w:t>I</w:t>
      </w:r>
      <w:r>
        <w:t xml:space="preserve">nspection, </w:t>
      </w:r>
      <w:r w:rsidR="00291103">
        <w:t>M</w:t>
      </w:r>
      <w:r>
        <w:t xml:space="preserve">aintenance and </w:t>
      </w:r>
      <w:r w:rsidR="00291103">
        <w:t>T</w:t>
      </w:r>
      <w:r>
        <w:t xml:space="preserve">esting (EIM&amp;T), </w:t>
      </w:r>
      <w:r w:rsidR="00291103">
        <w:t>L</w:t>
      </w:r>
      <w:r>
        <w:t>ife</w:t>
      </w:r>
      <w:r w:rsidR="00291103">
        <w:t>-</w:t>
      </w:r>
      <w:r>
        <w:t xml:space="preserve">limiting </w:t>
      </w:r>
      <w:r w:rsidR="00291103">
        <w:t>F</w:t>
      </w:r>
      <w:r>
        <w:t>eatures and</w:t>
      </w:r>
      <w:r w:rsidR="00291103">
        <w:t xml:space="preserve"> O</w:t>
      </w:r>
      <w:r>
        <w:t>bsolescence</w:t>
      </w:r>
      <w:bookmarkEnd w:id="24"/>
      <w:bookmarkEnd w:id="25"/>
      <w:bookmarkEnd w:id="26"/>
      <w:bookmarkEnd w:id="27"/>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4819"/>
        <w:gridCol w:w="2289"/>
        <w:gridCol w:w="1062"/>
      </w:tblGrid>
      <w:tr w:rsidR="005E625A" w14:paraId="6658D815" w14:textId="77777777" w:rsidTr="00291103">
        <w:tc>
          <w:tcPr>
            <w:tcW w:w="2949" w:type="pct"/>
            <w:tcBorders>
              <w:top w:val="single" w:sz="4" w:space="0" w:color="auto"/>
              <w:left w:val="single" w:sz="4" w:space="0" w:color="auto"/>
              <w:bottom w:val="single" w:sz="4" w:space="0" w:color="auto"/>
              <w:right w:val="single" w:sz="4" w:space="0" w:color="auto"/>
            </w:tcBorders>
            <w:shd w:val="clear" w:color="auto" w:fill="FFCC99"/>
            <w:vAlign w:val="center"/>
          </w:tcPr>
          <w:p w14:paraId="0CC85C56" w14:textId="77777777" w:rsidR="005E625A" w:rsidRPr="00291103" w:rsidRDefault="005E625A" w:rsidP="00291103">
            <w:pPr>
              <w:keepNext/>
              <w:spacing w:after="0" w:line="240" w:lineRule="auto"/>
              <w:rPr>
                <w:b/>
                <w:bCs/>
                <w:szCs w:val="24"/>
              </w:rPr>
            </w:pPr>
            <w:r w:rsidRPr="00291103">
              <w:rPr>
                <w:b/>
                <w:bCs/>
                <w:szCs w:val="24"/>
              </w:rPr>
              <w:t>Engineering principles: maintenance, inspection and testing</w:t>
            </w:r>
          </w:p>
        </w:tc>
        <w:tc>
          <w:tcPr>
            <w:tcW w:w="1401" w:type="pct"/>
            <w:tcBorders>
              <w:top w:val="single" w:sz="4" w:space="0" w:color="auto"/>
              <w:left w:val="single" w:sz="4" w:space="0" w:color="auto"/>
              <w:bottom w:val="single" w:sz="4" w:space="0" w:color="auto"/>
              <w:right w:val="single" w:sz="4" w:space="0" w:color="auto"/>
            </w:tcBorders>
            <w:shd w:val="clear" w:color="auto" w:fill="FFCC99"/>
            <w:vAlign w:val="center"/>
          </w:tcPr>
          <w:p w14:paraId="7D8B1453" w14:textId="77777777" w:rsidR="005E625A" w:rsidRPr="00291103" w:rsidRDefault="005E625A" w:rsidP="00291103">
            <w:pPr>
              <w:keepNext/>
              <w:spacing w:after="0" w:line="240" w:lineRule="auto"/>
              <w:rPr>
                <w:szCs w:val="24"/>
              </w:rPr>
            </w:pPr>
            <w:r w:rsidRPr="00291103">
              <w:rPr>
                <w:szCs w:val="24"/>
              </w:rPr>
              <w:t>Identification of requirements</w:t>
            </w:r>
          </w:p>
        </w:tc>
        <w:tc>
          <w:tcPr>
            <w:tcW w:w="650" w:type="pct"/>
            <w:tcBorders>
              <w:top w:val="single" w:sz="4" w:space="0" w:color="auto"/>
              <w:left w:val="single" w:sz="4" w:space="0" w:color="auto"/>
              <w:bottom w:val="single" w:sz="4" w:space="0" w:color="auto"/>
              <w:right w:val="single" w:sz="4" w:space="0" w:color="auto"/>
            </w:tcBorders>
            <w:shd w:val="clear" w:color="auto" w:fill="FFCC99"/>
            <w:vAlign w:val="center"/>
          </w:tcPr>
          <w:p w14:paraId="5B97B71E" w14:textId="77777777" w:rsidR="005E625A" w:rsidRPr="00291103" w:rsidRDefault="005E625A" w:rsidP="00291103">
            <w:pPr>
              <w:keepNext/>
              <w:spacing w:after="0" w:line="240" w:lineRule="auto"/>
              <w:jc w:val="center"/>
              <w:rPr>
                <w:szCs w:val="24"/>
              </w:rPr>
            </w:pPr>
            <w:r w:rsidRPr="00291103">
              <w:rPr>
                <w:szCs w:val="24"/>
              </w:rPr>
              <w:t>EMT.1</w:t>
            </w:r>
          </w:p>
        </w:tc>
      </w:tr>
      <w:tr w:rsidR="005E625A" w:rsidRPr="00291103" w14:paraId="6CDC52ED" w14:textId="77777777" w:rsidTr="00291103">
        <w:tc>
          <w:tcPr>
            <w:tcW w:w="5000" w:type="pct"/>
            <w:gridSpan w:val="3"/>
            <w:tcBorders>
              <w:top w:val="single" w:sz="4" w:space="0" w:color="auto"/>
              <w:left w:val="single" w:sz="4" w:space="0" w:color="auto"/>
              <w:bottom w:val="single" w:sz="4" w:space="0" w:color="auto"/>
              <w:right w:val="single" w:sz="4" w:space="0" w:color="auto"/>
            </w:tcBorders>
            <w:vAlign w:val="center"/>
          </w:tcPr>
          <w:p w14:paraId="796683D4" w14:textId="77777777" w:rsidR="005E625A" w:rsidRPr="00291103" w:rsidRDefault="005E625A" w:rsidP="00291103">
            <w:pPr>
              <w:keepNext/>
              <w:spacing w:after="0" w:line="240" w:lineRule="auto"/>
              <w:rPr>
                <w:szCs w:val="24"/>
              </w:rPr>
            </w:pPr>
            <w:r w:rsidRPr="00291103">
              <w:rPr>
                <w:szCs w:val="24"/>
              </w:rPr>
              <w:t>Safety requirements for in-service testing, inspection and other maintenance procedures and frequencies should be identified in the safety case.</w:t>
            </w:r>
          </w:p>
        </w:tc>
      </w:tr>
    </w:tbl>
    <w:p w14:paraId="5B663220" w14:textId="77777777" w:rsidR="005E625A" w:rsidRDefault="005E625A" w:rsidP="00291103">
      <w:pPr>
        <w:pStyle w:val="F9-Paragraph"/>
        <w:numPr>
          <w:ilvl w:val="0"/>
          <w:numId w:val="0"/>
        </w:numPr>
        <w:ind w:left="851" w:hanging="851"/>
      </w:pP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4818"/>
        <w:gridCol w:w="2293"/>
        <w:gridCol w:w="1059"/>
      </w:tblGrid>
      <w:tr w:rsidR="005E625A" w14:paraId="5790F3C3" w14:textId="77777777" w:rsidTr="00291103">
        <w:tc>
          <w:tcPr>
            <w:tcW w:w="2949" w:type="pct"/>
            <w:tcBorders>
              <w:top w:val="single" w:sz="4" w:space="0" w:color="auto"/>
              <w:left w:val="single" w:sz="4" w:space="0" w:color="auto"/>
              <w:bottom w:val="single" w:sz="4" w:space="0" w:color="auto"/>
              <w:right w:val="single" w:sz="4" w:space="0" w:color="auto"/>
            </w:tcBorders>
            <w:shd w:val="clear" w:color="auto" w:fill="FFCC99"/>
            <w:vAlign w:val="center"/>
          </w:tcPr>
          <w:p w14:paraId="7A9DE258" w14:textId="77777777" w:rsidR="005E625A" w:rsidRPr="00291103" w:rsidRDefault="005E625A" w:rsidP="00291103">
            <w:pPr>
              <w:keepNext/>
              <w:spacing w:after="0" w:line="240" w:lineRule="auto"/>
              <w:rPr>
                <w:b/>
                <w:bCs/>
                <w:szCs w:val="24"/>
              </w:rPr>
            </w:pPr>
            <w:r w:rsidRPr="00291103">
              <w:rPr>
                <w:b/>
                <w:bCs/>
                <w:szCs w:val="24"/>
              </w:rPr>
              <w:t>Engineering principles: maintenance, inspection and testing</w:t>
            </w:r>
          </w:p>
        </w:tc>
        <w:tc>
          <w:tcPr>
            <w:tcW w:w="1403" w:type="pct"/>
            <w:tcBorders>
              <w:top w:val="single" w:sz="4" w:space="0" w:color="auto"/>
              <w:left w:val="single" w:sz="4" w:space="0" w:color="auto"/>
              <w:bottom w:val="single" w:sz="4" w:space="0" w:color="auto"/>
              <w:right w:val="single" w:sz="4" w:space="0" w:color="auto"/>
            </w:tcBorders>
            <w:shd w:val="clear" w:color="auto" w:fill="FFCC99"/>
            <w:vAlign w:val="center"/>
          </w:tcPr>
          <w:p w14:paraId="16013951" w14:textId="77777777" w:rsidR="005E625A" w:rsidRPr="00291103" w:rsidRDefault="005E625A" w:rsidP="00291103">
            <w:pPr>
              <w:keepNext/>
              <w:spacing w:after="0" w:line="240" w:lineRule="auto"/>
              <w:rPr>
                <w:szCs w:val="24"/>
              </w:rPr>
            </w:pPr>
            <w:r w:rsidRPr="00291103">
              <w:rPr>
                <w:szCs w:val="24"/>
              </w:rPr>
              <w:t xml:space="preserve">Frequency </w:t>
            </w:r>
          </w:p>
        </w:tc>
        <w:tc>
          <w:tcPr>
            <w:tcW w:w="648" w:type="pct"/>
            <w:tcBorders>
              <w:top w:val="single" w:sz="4" w:space="0" w:color="auto"/>
              <w:left w:val="single" w:sz="4" w:space="0" w:color="auto"/>
              <w:bottom w:val="single" w:sz="4" w:space="0" w:color="auto"/>
              <w:right w:val="single" w:sz="4" w:space="0" w:color="auto"/>
            </w:tcBorders>
            <w:shd w:val="clear" w:color="auto" w:fill="FFCC99"/>
            <w:vAlign w:val="center"/>
          </w:tcPr>
          <w:p w14:paraId="480088E7" w14:textId="77777777" w:rsidR="005E625A" w:rsidRPr="00291103" w:rsidRDefault="005E625A" w:rsidP="00291103">
            <w:pPr>
              <w:keepNext/>
              <w:spacing w:after="0" w:line="240" w:lineRule="auto"/>
              <w:jc w:val="center"/>
              <w:rPr>
                <w:szCs w:val="24"/>
              </w:rPr>
            </w:pPr>
            <w:r w:rsidRPr="00291103">
              <w:rPr>
                <w:szCs w:val="24"/>
              </w:rPr>
              <w:t>EMT.2</w:t>
            </w:r>
          </w:p>
        </w:tc>
      </w:tr>
      <w:tr w:rsidR="005E625A" w:rsidRPr="00291103" w14:paraId="4AF4E700" w14:textId="77777777" w:rsidTr="00291103">
        <w:tc>
          <w:tcPr>
            <w:tcW w:w="5000" w:type="pct"/>
            <w:gridSpan w:val="3"/>
            <w:tcBorders>
              <w:top w:val="single" w:sz="4" w:space="0" w:color="auto"/>
              <w:left w:val="single" w:sz="4" w:space="0" w:color="auto"/>
              <w:bottom w:val="single" w:sz="4" w:space="0" w:color="auto"/>
              <w:right w:val="single" w:sz="4" w:space="0" w:color="auto"/>
            </w:tcBorders>
            <w:vAlign w:val="center"/>
          </w:tcPr>
          <w:p w14:paraId="6EE4649E" w14:textId="77777777" w:rsidR="005E625A" w:rsidRPr="00291103" w:rsidRDefault="005E625A" w:rsidP="00291103">
            <w:pPr>
              <w:keepNext/>
              <w:spacing w:after="0" w:line="240" w:lineRule="auto"/>
              <w:rPr>
                <w:szCs w:val="24"/>
              </w:rPr>
            </w:pPr>
            <w:r w:rsidRPr="00291103">
              <w:rPr>
                <w:szCs w:val="24"/>
              </w:rPr>
              <w:t>Structures, systems and components important to safety should receive regular and systematic examination, inspection, maintenance and testing as defined in the safety case.</w:t>
            </w:r>
          </w:p>
        </w:tc>
      </w:tr>
    </w:tbl>
    <w:p w14:paraId="304ED087" w14:textId="77777777" w:rsidR="005E625A" w:rsidRDefault="005E625A" w:rsidP="00291103">
      <w:pPr>
        <w:pStyle w:val="F9-Paragraph"/>
        <w:numPr>
          <w:ilvl w:val="0"/>
          <w:numId w:val="0"/>
        </w:numPr>
      </w:pP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4819"/>
        <w:gridCol w:w="2291"/>
        <w:gridCol w:w="1060"/>
      </w:tblGrid>
      <w:tr w:rsidR="005E625A" w14:paraId="7A38C0C9" w14:textId="77777777" w:rsidTr="00291103">
        <w:tc>
          <w:tcPr>
            <w:tcW w:w="2949" w:type="pct"/>
            <w:tcBorders>
              <w:top w:val="single" w:sz="4" w:space="0" w:color="auto"/>
              <w:left w:val="single" w:sz="4" w:space="0" w:color="auto"/>
              <w:bottom w:val="single" w:sz="4" w:space="0" w:color="auto"/>
              <w:right w:val="single" w:sz="4" w:space="0" w:color="auto"/>
            </w:tcBorders>
            <w:shd w:val="clear" w:color="auto" w:fill="FFCC99"/>
            <w:vAlign w:val="center"/>
          </w:tcPr>
          <w:p w14:paraId="5AA2A99A" w14:textId="77777777" w:rsidR="005E625A" w:rsidRPr="00291103" w:rsidRDefault="005E625A" w:rsidP="00291103">
            <w:pPr>
              <w:keepNext/>
              <w:spacing w:after="0" w:line="240" w:lineRule="auto"/>
              <w:rPr>
                <w:b/>
                <w:bCs/>
                <w:szCs w:val="24"/>
              </w:rPr>
            </w:pPr>
            <w:r w:rsidRPr="00291103">
              <w:rPr>
                <w:b/>
                <w:bCs/>
                <w:szCs w:val="24"/>
              </w:rPr>
              <w:t>Engineering principles: maintenance, inspection and testing</w:t>
            </w:r>
          </w:p>
        </w:tc>
        <w:tc>
          <w:tcPr>
            <w:tcW w:w="1402" w:type="pct"/>
            <w:tcBorders>
              <w:top w:val="single" w:sz="4" w:space="0" w:color="auto"/>
              <w:left w:val="single" w:sz="4" w:space="0" w:color="auto"/>
              <w:bottom w:val="single" w:sz="4" w:space="0" w:color="auto"/>
              <w:right w:val="single" w:sz="4" w:space="0" w:color="auto"/>
            </w:tcBorders>
            <w:shd w:val="clear" w:color="auto" w:fill="FFCC99"/>
            <w:vAlign w:val="center"/>
          </w:tcPr>
          <w:p w14:paraId="2D515BA1" w14:textId="77777777" w:rsidR="005E625A" w:rsidRPr="00291103" w:rsidRDefault="005E625A" w:rsidP="00291103">
            <w:pPr>
              <w:keepNext/>
              <w:spacing w:after="0" w:line="240" w:lineRule="auto"/>
              <w:rPr>
                <w:szCs w:val="24"/>
              </w:rPr>
            </w:pPr>
            <w:r w:rsidRPr="00291103">
              <w:rPr>
                <w:szCs w:val="24"/>
              </w:rPr>
              <w:t>Procedures</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2534EB6F" w14:textId="77777777" w:rsidR="005E625A" w:rsidRPr="00291103" w:rsidRDefault="005E625A" w:rsidP="00291103">
            <w:pPr>
              <w:keepNext/>
              <w:spacing w:after="0" w:line="240" w:lineRule="auto"/>
              <w:jc w:val="center"/>
              <w:rPr>
                <w:szCs w:val="24"/>
              </w:rPr>
            </w:pPr>
            <w:r w:rsidRPr="00291103">
              <w:rPr>
                <w:szCs w:val="24"/>
              </w:rPr>
              <w:t>EMT.5</w:t>
            </w:r>
          </w:p>
        </w:tc>
      </w:tr>
      <w:tr w:rsidR="005E625A" w:rsidRPr="00291103" w14:paraId="7BCB097C" w14:textId="77777777" w:rsidTr="00291103">
        <w:tc>
          <w:tcPr>
            <w:tcW w:w="5000" w:type="pct"/>
            <w:gridSpan w:val="3"/>
            <w:tcBorders>
              <w:top w:val="single" w:sz="4" w:space="0" w:color="auto"/>
              <w:left w:val="single" w:sz="4" w:space="0" w:color="auto"/>
              <w:bottom w:val="single" w:sz="4" w:space="0" w:color="auto"/>
              <w:right w:val="single" w:sz="4" w:space="0" w:color="auto"/>
            </w:tcBorders>
            <w:vAlign w:val="center"/>
          </w:tcPr>
          <w:p w14:paraId="6E48D973" w14:textId="77777777" w:rsidR="005E625A" w:rsidRPr="00291103" w:rsidRDefault="005E625A" w:rsidP="00291103">
            <w:pPr>
              <w:keepNext/>
              <w:spacing w:after="0" w:line="240" w:lineRule="auto"/>
              <w:rPr>
                <w:szCs w:val="24"/>
              </w:rPr>
            </w:pPr>
            <w:r w:rsidRPr="00291103">
              <w:rPr>
                <w:szCs w:val="24"/>
              </w:rPr>
              <w:t>Commissioning and in-service inspection and test procedures should be adopted that ensure initial and continuing quality and reliability.</w:t>
            </w:r>
          </w:p>
        </w:tc>
      </w:tr>
    </w:tbl>
    <w:p w14:paraId="4DC39DFD" w14:textId="37A1503E" w:rsidR="005E625A" w:rsidRDefault="005E625A" w:rsidP="00F60BD9">
      <w:pPr>
        <w:pStyle w:val="F9-Paragraph"/>
      </w:pPr>
      <w:r w:rsidRPr="001A064B">
        <w:t>Such inspection should be of sufficient extent and frequency to give adequate confidence that degradation will be detected before loss of the safety function</w:t>
      </w:r>
      <w:r>
        <w:t xml:space="preserve"> (SAP para. 208</w:t>
      </w:r>
      <w:r w:rsidR="00291103">
        <w:t xml:space="preserve"> </w:t>
      </w:r>
      <w:sdt>
        <w:sdtPr>
          <w:id w:val="-266000027"/>
          <w:citation/>
        </w:sdtPr>
        <w:sdtContent>
          <w:r w:rsidR="00291103">
            <w:fldChar w:fldCharType="begin"/>
          </w:r>
          <w:r w:rsidR="00291103">
            <w:instrText xml:space="preserve"> CITATION ONR2013 \l 2057 </w:instrText>
          </w:r>
          <w:r w:rsidR="00291103">
            <w:fldChar w:fldCharType="separate"/>
          </w:r>
          <w:r w:rsidR="00291103">
            <w:rPr>
              <w:noProof/>
            </w:rPr>
            <w:t>[1]</w:t>
          </w:r>
          <w:r w:rsidR="00291103">
            <w:fldChar w:fldCharType="end"/>
          </w:r>
        </w:sdtContent>
      </w:sdt>
      <w:r>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4819"/>
        <w:gridCol w:w="2212"/>
        <w:gridCol w:w="1139"/>
      </w:tblGrid>
      <w:tr w:rsidR="005E625A" w14:paraId="544A1E27" w14:textId="77777777" w:rsidTr="00291103">
        <w:tc>
          <w:tcPr>
            <w:tcW w:w="2949" w:type="pct"/>
            <w:tcBorders>
              <w:top w:val="single" w:sz="4" w:space="0" w:color="auto"/>
              <w:left w:val="single" w:sz="4" w:space="0" w:color="auto"/>
              <w:bottom w:val="single" w:sz="4" w:space="0" w:color="auto"/>
              <w:right w:val="single" w:sz="4" w:space="0" w:color="auto"/>
            </w:tcBorders>
            <w:shd w:val="clear" w:color="auto" w:fill="FFCC99"/>
            <w:vAlign w:val="center"/>
          </w:tcPr>
          <w:p w14:paraId="6490C1F5" w14:textId="77777777" w:rsidR="005E625A" w:rsidRPr="00291103" w:rsidRDefault="005E625A" w:rsidP="00291103">
            <w:pPr>
              <w:keepNext/>
              <w:spacing w:after="0" w:line="240" w:lineRule="auto"/>
              <w:rPr>
                <w:b/>
                <w:bCs/>
                <w:szCs w:val="24"/>
              </w:rPr>
            </w:pPr>
            <w:r w:rsidRPr="00291103">
              <w:rPr>
                <w:b/>
                <w:bCs/>
                <w:szCs w:val="24"/>
              </w:rPr>
              <w:t>Engineering principles: maintenance, inspection and testing</w:t>
            </w:r>
          </w:p>
        </w:tc>
        <w:tc>
          <w:tcPr>
            <w:tcW w:w="1354" w:type="pct"/>
            <w:tcBorders>
              <w:top w:val="single" w:sz="4" w:space="0" w:color="auto"/>
              <w:left w:val="single" w:sz="4" w:space="0" w:color="auto"/>
              <w:bottom w:val="single" w:sz="4" w:space="0" w:color="auto"/>
              <w:right w:val="single" w:sz="4" w:space="0" w:color="auto"/>
            </w:tcBorders>
            <w:shd w:val="clear" w:color="auto" w:fill="FFCC99"/>
            <w:vAlign w:val="center"/>
          </w:tcPr>
          <w:p w14:paraId="206DC60C" w14:textId="77777777" w:rsidR="005E625A" w:rsidRPr="00291103" w:rsidRDefault="005E625A" w:rsidP="00291103">
            <w:pPr>
              <w:keepNext/>
              <w:spacing w:after="0" w:line="240" w:lineRule="auto"/>
              <w:rPr>
                <w:szCs w:val="24"/>
              </w:rPr>
            </w:pPr>
            <w:r w:rsidRPr="00291103">
              <w:rPr>
                <w:szCs w:val="24"/>
              </w:rPr>
              <w:t>Reliability claims</w:t>
            </w:r>
          </w:p>
        </w:tc>
        <w:tc>
          <w:tcPr>
            <w:tcW w:w="697" w:type="pct"/>
            <w:tcBorders>
              <w:top w:val="single" w:sz="4" w:space="0" w:color="auto"/>
              <w:left w:val="single" w:sz="4" w:space="0" w:color="auto"/>
              <w:bottom w:val="single" w:sz="4" w:space="0" w:color="auto"/>
              <w:right w:val="single" w:sz="4" w:space="0" w:color="auto"/>
            </w:tcBorders>
            <w:shd w:val="clear" w:color="auto" w:fill="FFCC99"/>
            <w:vAlign w:val="center"/>
          </w:tcPr>
          <w:p w14:paraId="2E537F5F" w14:textId="77777777" w:rsidR="005E625A" w:rsidRPr="00291103" w:rsidRDefault="005E625A" w:rsidP="00291103">
            <w:pPr>
              <w:keepNext/>
              <w:spacing w:after="0" w:line="240" w:lineRule="auto"/>
              <w:jc w:val="center"/>
              <w:rPr>
                <w:szCs w:val="24"/>
              </w:rPr>
            </w:pPr>
            <w:r w:rsidRPr="00291103">
              <w:rPr>
                <w:szCs w:val="24"/>
              </w:rPr>
              <w:t>EMT.6</w:t>
            </w:r>
          </w:p>
        </w:tc>
      </w:tr>
      <w:tr w:rsidR="005E625A" w:rsidRPr="00291103" w14:paraId="7EC0E039" w14:textId="77777777" w:rsidTr="00291103">
        <w:tc>
          <w:tcPr>
            <w:tcW w:w="5000" w:type="pct"/>
            <w:gridSpan w:val="3"/>
            <w:tcBorders>
              <w:top w:val="single" w:sz="4" w:space="0" w:color="auto"/>
              <w:left w:val="single" w:sz="4" w:space="0" w:color="auto"/>
              <w:bottom w:val="single" w:sz="4" w:space="0" w:color="auto"/>
              <w:right w:val="single" w:sz="4" w:space="0" w:color="auto"/>
            </w:tcBorders>
            <w:vAlign w:val="center"/>
          </w:tcPr>
          <w:p w14:paraId="3A739250" w14:textId="77777777" w:rsidR="005E625A" w:rsidRPr="00291103" w:rsidRDefault="005E625A" w:rsidP="00291103">
            <w:pPr>
              <w:keepNext/>
              <w:spacing w:after="0" w:line="240" w:lineRule="auto"/>
              <w:rPr>
                <w:szCs w:val="24"/>
              </w:rPr>
            </w:pPr>
            <w:r w:rsidRPr="00291103">
              <w:rPr>
                <w:szCs w:val="24"/>
              </w:rPr>
              <w:t>Provision should be made for testing, maintaining, monitoring and inspecting structures, systems and components (including portable equipment) in service or at intervals throughout their life commensurate with the reliability required of each item.</w:t>
            </w:r>
          </w:p>
        </w:tc>
      </w:tr>
    </w:tbl>
    <w:p w14:paraId="302EF44E" w14:textId="743BE252" w:rsidR="005E625A" w:rsidRDefault="005E625A" w:rsidP="00291103">
      <w:pPr>
        <w:pStyle w:val="F9-Paragraph"/>
      </w:pPr>
      <w:r w:rsidRPr="001A064B">
        <w:t>In especially difficult circumstances where this cannot be done, either additional design measures should be incorporated to compensate for the deficiency, or it should be demonstrated that the adequate long-term performance would be achieved without additional measures. Where test equipment, or other engineered means, is used for in-service or periodic testing, maintenance, monitoring or inspection, the extent to which they reveal failures affecting safety functions should be justified.</w:t>
      </w:r>
      <w:r w:rsidR="00B470F3">
        <w:t xml:space="preserve"> </w:t>
      </w:r>
      <w:r w:rsidRPr="001A064B">
        <w:t xml:space="preserve">The test </w:t>
      </w:r>
      <w:r w:rsidRPr="001A064B">
        <w:lastRenderedPageBreak/>
        <w:t>equipment, or other engineered means, should be tested at intervals sufficient to uphold the reliability claims of the equipment for which it is claimed to reveal faults</w:t>
      </w:r>
      <w:r>
        <w:t xml:space="preserve"> (SAP para. 209</w:t>
      </w:r>
      <w:r w:rsidR="00291103">
        <w:t xml:space="preserve"> </w:t>
      </w:r>
      <w:sdt>
        <w:sdtPr>
          <w:id w:val="2001076173"/>
          <w:citation/>
        </w:sdtPr>
        <w:sdtContent>
          <w:r w:rsidR="00291103">
            <w:fldChar w:fldCharType="begin"/>
          </w:r>
          <w:r w:rsidR="00291103">
            <w:instrText xml:space="preserve"> CITATION ONR2013 \l 2057 </w:instrText>
          </w:r>
          <w:r w:rsidR="00291103">
            <w:fldChar w:fldCharType="separate"/>
          </w:r>
          <w:r w:rsidR="00291103">
            <w:rPr>
              <w:noProof/>
            </w:rPr>
            <w:t>[1]</w:t>
          </w:r>
          <w:r w:rsidR="00291103">
            <w:fldChar w:fldCharType="end"/>
          </w:r>
        </w:sdtContent>
      </w:sdt>
      <w:r>
        <w:t>).</w:t>
      </w:r>
    </w:p>
    <w:p w14:paraId="145F2629" w14:textId="3B54ACEA" w:rsidR="005E625A" w:rsidRDefault="005E625A" w:rsidP="00291103">
      <w:pPr>
        <w:pStyle w:val="F9-Paragraph"/>
      </w:pPr>
      <w:r>
        <w:t>The carrying out of any maintenance, inspection or testing activity should not unacceptably degrade the validity of equipment qualification for structures, systems and components important to safety (SAP EMT.4</w:t>
      </w:r>
      <w:r w:rsidR="00291103">
        <w:t xml:space="preserve"> </w:t>
      </w:r>
      <w:sdt>
        <w:sdtPr>
          <w:id w:val="1753161218"/>
          <w:citation/>
        </w:sdtPr>
        <w:sdtContent>
          <w:r w:rsidR="00291103">
            <w:fldChar w:fldCharType="begin"/>
          </w:r>
          <w:r w:rsidR="00291103">
            <w:instrText xml:space="preserve"> CITATION ONR2013 \l 2057 </w:instrText>
          </w:r>
          <w:r w:rsidR="00291103">
            <w:fldChar w:fldCharType="separate"/>
          </w:r>
          <w:r w:rsidR="00291103">
            <w:rPr>
              <w:noProof/>
            </w:rPr>
            <w:t>[1]</w:t>
          </w:r>
          <w:r w:rsidR="00291103">
            <w:fldChar w:fldCharType="end"/>
          </w:r>
        </w:sdtContent>
      </w:sdt>
      <w:r>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4818"/>
        <w:gridCol w:w="2293"/>
        <w:gridCol w:w="1059"/>
      </w:tblGrid>
      <w:tr w:rsidR="005E625A" w14:paraId="5C8317F4" w14:textId="77777777" w:rsidTr="00291103">
        <w:tc>
          <w:tcPr>
            <w:tcW w:w="2949" w:type="pct"/>
            <w:tcBorders>
              <w:top w:val="single" w:sz="4" w:space="0" w:color="auto"/>
              <w:left w:val="single" w:sz="4" w:space="0" w:color="auto"/>
              <w:bottom w:val="single" w:sz="4" w:space="0" w:color="auto"/>
              <w:right w:val="single" w:sz="4" w:space="0" w:color="auto"/>
            </w:tcBorders>
            <w:shd w:val="clear" w:color="auto" w:fill="FFCC99"/>
            <w:vAlign w:val="center"/>
          </w:tcPr>
          <w:p w14:paraId="2147B3DC" w14:textId="77777777" w:rsidR="005E625A" w:rsidRPr="00291103" w:rsidRDefault="005E625A" w:rsidP="00291103">
            <w:pPr>
              <w:keepNext/>
              <w:spacing w:after="0" w:line="240" w:lineRule="auto"/>
              <w:rPr>
                <w:b/>
                <w:bCs/>
                <w:szCs w:val="24"/>
              </w:rPr>
            </w:pPr>
            <w:r w:rsidRPr="00291103">
              <w:rPr>
                <w:b/>
                <w:bCs/>
                <w:szCs w:val="24"/>
              </w:rPr>
              <w:t>Engineering principles: maintenance, inspection and testing</w:t>
            </w:r>
          </w:p>
        </w:tc>
        <w:tc>
          <w:tcPr>
            <w:tcW w:w="1403" w:type="pct"/>
            <w:tcBorders>
              <w:top w:val="single" w:sz="4" w:space="0" w:color="auto"/>
              <w:left w:val="single" w:sz="4" w:space="0" w:color="auto"/>
              <w:bottom w:val="single" w:sz="4" w:space="0" w:color="auto"/>
              <w:right w:val="single" w:sz="4" w:space="0" w:color="auto"/>
            </w:tcBorders>
            <w:shd w:val="clear" w:color="auto" w:fill="FFCC99"/>
            <w:vAlign w:val="center"/>
          </w:tcPr>
          <w:p w14:paraId="56CBC4E7" w14:textId="77777777" w:rsidR="005E625A" w:rsidRPr="00291103" w:rsidRDefault="005E625A" w:rsidP="00291103">
            <w:pPr>
              <w:keepNext/>
              <w:spacing w:after="0" w:line="240" w:lineRule="auto"/>
              <w:rPr>
                <w:szCs w:val="24"/>
              </w:rPr>
            </w:pPr>
            <w:r w:rsidRPr="00291103">
              <w:rPr>
                <w:szCs w:val="24"/>
              </w:rPr>
              <w:t>Functional testing</w:t>
            </w:r>
          </w:p>
        </w:tc>
        <w:tc>
          <w:tcPr>
            <w:tcW w:w="648" w:type="pct"/>
            <w:tcBorders>
              <w:top w:val="single" w:sz="4" w:space="0" w:color="auto"/>
              <w:left w:val="single" w:sz="4" w:space="0" w:color="auto"/>
              <w:bottom w:val="single" w:sz="4" w:space="0" w:color="auto"/>
              <w:right w:val="single" w:sz="4" w:space="0" w:color="auto"/>
            </w:tcBorders>
            <w:shd w:val="clear" w:color="auto" w:fill="FFCC99"/>
            <w:vAlign w:val="center"/>
          </w:tcPr>
          <w:p w14:paraId="624DC4C8" w14:textId="77777777" w:rsidR="005E625A" w:rsidRPr="00291103" w:rsidRDefault="005E625A" w:rsidP="00291103">
            <w:pPr>
              <w:keepNext/>
              <w:spacing w:after="0" w:line="240" w:lineRule="auto"/>
              <w:jc w:val="center"/>
              <w:rPr>
                <w:szCs w:val="24"/>
              </w:rPr>
            </w:pPr>
            <w:r w:rsidRPr="00291103">
              <w:rPr>
                <w:szCs w:val="24"/>
              </w:rPr>
              <w:t>EMT.7</w:t>
            </w:r>
          </w:p>
        </w:tc>
      </w:tr>
      <w:tr w:rsidR="005E625A" w:rsidRPr="00291103" w14:paraId="6657CA1C" w14:textId="77777777" w:rsidTr="00291103">
        <w:tc>
          <w:tcPr>
            <w:tcW w:w="5000" w:type="pct"/>
            <w:gridSpan w:val="3"/>
            <w:tcBorders>
              <w:top w:val="single" w:sz="4" w:space="0" w:color="auto"/>
              <w:left w:val="single" w:sz="4" w:space="0" w:color="auto"/>
              <w:bottom w:val="single" w:sz="4" w:space="0" w:color="auto"/>
              <w:right w:val="single" w:sz="4" w:space="0" w:color="auto"/>
            </w:tcBorders>
            <w:vAlign w:val="center"/>
          </w:tcPr>
          <w:p w14:paraId="2C3AC9AD" w14:textId="77777777" w:rsidR="005E625A" w:rsidRPr="00291103" w:rsidRDefault="005E625A" w:rsidP="00291103">
            <w:pPr>
              <w:keepNext/>
              <w:spacing w:after="0" w:line="240" w:lineRule="auto"/>
              <w:rPr>
                <w:szCs w:val="24"/>
              </w:rPr>
            </w:pPr>
            <w:r w:rsidRPr="00291103">
              <w:rPr>
                <w:szCs w:val="24"/>
              </w:rPr>
              <w:t>In-service functional testing of systems, structures and components should prove the complete system and the safety function of each functional group.</w:t>
            </w:r>
          </w:p>
        </w:tc>
      </w:tr>
    </w:tbl>
    <w:p w14:paraId="5EADBA5B" w14:textId="655C58F9" w:rsidR="005E625A" w:rsidRPr="004933AA" w:rsidRDefault="005E625A" w:rsidP="00291103">
      <w:pPr>
        <w:pStyle w:val="F9-Paragraph"/>
      </w:pPr>
      <w:r>
        <w:t xml:space="preserve">For SRS, </w:t>
      </w:r>
      <w:r w:rsidRPr="001A064B">
        <w:t>examination, maintenance, inspection and testing are a part of normal operation and it should be possible to carry out these tests without any loss of any safety function</w:t>
      </w:r>
      <w:r>
        <w:t xml:space="preserve"> (SAP para. 210</w:t>
      </w:r>
      <w:r w:rsidR="00291103">
        <w:t xml:space="preserve"> </w:t>
      </w:r>
      <w:sdt>
        <w:sdtPr>
          <w:id w:val="-1327971835"/>
          <w:citation/>
        </w:sdtPr>
        <w:sdtContent>
          <w:r w:rsidR="00291103">
            <w:fldChar w:fldCharType="begin"/>
          </w:r>
          <w:r w:rsidR="00291103">
            <w:instrText xml:space="preserve"> CITATION ONR2013 \l 2057 </w:instrText>
          </w:r>
          <w:r w:rsidR="00291103">
            <w:fldChar w:fldCharType="separate"/>
          </w:r>
          <w:r w:rsidR="00291103">
            <w:rPr>
              <w:noProof/>
            </w:rPr>
            <w:t>[1]</w:t>
          </w:r>
          <w:r w:rsidR="00291103">
            <w:fldChar w:fldCharType="end"/>
          </w:r>
        </w:sdtContent>
      </w:sdt>
      <w:r>
        <w:t xml:space="preserve">). </w:t>
      </w:r>
      <w:r w:rsidRPr="001A064B">
        <w:t xml:space="preserve">Where complete functional testing is claimed not to be reasonably practicable, an equivalent means of functional proving should be adopted </w:t>
      </w:r>
      <w:r>
        <w:t>(SAP para. 211</w:t>
      </w:r>
      <w:r w:rsidR="00291103">
        <w:t xml:space="preserve"> </w:t>
      </w:r>
      <w:sdt>
        <w:sdtPr>
          <w:id w:val="-669252014"/>
          <w:citation/>
        </w:sdtPr>
        <w:sdtContent>
          <w:r w:rsidR="00291103">
            <w:fldChar w:fldCharType="begin"/>
          </w:r>
          <w:r w:rsidR="00291103">
            <w:instrText xml:space="preserve"> CITATION ONR2013 \l 2057 </w:instrText>
          </w:r>
          <w:r w:rsidR="00291103">
            <w:fldChar w:fldCharType="separate"/>
          </w:r>
          <w:r w:rsidR="00291103">
            <w:rPr>
              <w:noProof/>
            </w:rPr>
            <w:t>[1]</w:t>
          </w:r>
          <w:r w:rsidR="00291103">
            <w:fldChar w:fldCharType="end"/>
          </w:r>
        </w:sdtContent>
      </w:sdt>
      <w:r>
        <w:t>).</w:t>
      </w:r>
    </w:p>
    <w:p w14:paraId="49D321C7" w14:textId="77777777" w:rsidR="005E625A" w:rsidRDefault="005E625A" w:rsidP="00291103">
      <w:pPr>
        <w:pStyle w:val="F9-Paragraph"/>
      </w:pPr>
      <w:r>
        <w:t>Functional testing of SRI is important to confirm design intent, and tests should apply true in-service conditions where appropriate in order to validate correct operation. For example, a float switch that is tested by forcing the float under the fluid may fail to reveal a sticking float lever. A better approach would be to lower the fluid level to prove the correct operation of all component parts. When true in-service conditions cannot be applied there must be a dependable and demonstrable relationship between the test conditions and in-service conditions.</w:t>
      </w:r>
    </w:p>
    <w:p w14:paraId="43C3BEA3" w14:textId="77777777" w:rsidR="005E625A" w:rsidRDefault="005E625A" w:rsidP="00291103">
      <w:pPr>
        <w:pStyle w:val="F9-Paragraph"/>
      </w:pPr>
      <w:r w:rsidRPr="004933AA">
        <w:t xml:space="preserve">Any </w:t>
      </w:r>
      <w:r>
        <w:t xml:space="preserve">functional </w:t>
      </w:r>
      <w:r w:rsidRPr="004933AA">
        <w:t xml:space="preserve">testing techniques, particularly novel ones such as noise analysis, must be shown to be capable of revealing the failure modes of concern. </w:t>
      </w:r>
      <w:r>
        <w:t xml:space="preserve">Every effort should be made during the design stage to ensure that all instruments can be tested and calibrated during operation. Where this is not achievable however, perhaps because of their location, then evidence should be presented to show that they would retain an acceptable performance for the lifetime of the plant. </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610"/>
        <w:gridCol w:w="3500"/>
        <w:gridCol w:w="1060"/>
      </w:tblGrid>
      <w:tr w:rsidR="005E625A" w14:paraId="7FAF846E" w14:textId="77777777" w:rsidTr="00291103">
        <w:tc>
          <w:tcPr>
            <w:tcW w:w="2209" w:type="pct"/>
            <w:tcBorders>
              <w:top w:val="single" w:sz="4" w:space="0" w:color="auto"/>
              <w:left w:val="single" w:sz="4" w:space="0" w:color="auto"/>
              <w:bottom w:val="single" w:sz="4" w:space="0" w:color="auto"/>
              <w:right w:val="single" w:sz="4" w:space="0" w:color="auto"/>
            </w:tcBorders>
            <w:shd w:val="clear" w:color="auto" w:fill="FFCC99"/>
            <w:vAlign w:val="center"/>
          </w:tcPr>
          <w:p w14:paraId="477549E8" w14:textId="77777777" w:rsidR="005E625A" w:rsidRPr="00291103" w:rsidRDefault="005E625A" w:rsidP="00291103">
            <w:pPr>
              <w:keepNext/>
              <w:spacing w:after="0" w:line="240" w:lineRule="auto"/>
              <w:rPr>
                <w:b/>
                <w:bCs/>
                <w:szCs w:val="24"/>
              </w:rPr>
            </w:pPr>
            <w:r w:rsidRPr="00291103">
              <w:rPr>
                <w:b/>
                <w:bCs/>
                <w:szCs w:val="24"/>
              </w:rPr>
              <w:t>Engineering principles: ageing and degradation</w:t>
            </w:r>
          </w:p>
        </w:tc>
        <w:tc>
          <w:tcPr>
            <w:tcW w:w="2142" w:type="pct"/>
            <w:tcBorders>
              <w:top w:val="single" w:sz="4" w:space="0" w:color="auto"/>
              <w:left w:val="single" w:sz="4" w:space="0" w:color="auto"/>
              <w:bottom w:val="single" w:sz="4" w:space="0" w:color="auto"/>
              <w:right w:val="single" w:sz="4" w:space="0" w:color="auto"/>
            </w:tcBorders>
            <w:shd w:val="clear" w:color="auto" w:fill="FFCC99"/>
            <w:vAlign w:val="center"/>
          </w:tcPr>
          <w:p w14:paraId="79A12930" w14:textId="77777777" w:rsidR="005E625A" w:rsidRPr="00291103" w:rsidRDefault="005E625A" w:rsidP="00291103">
            <w:pPr>
              <w:keepNext/>
              <w:spacing w:after="0" w:line="240" w:lineRule="auto"/>
              <w:rPr>
                <w:szCs w:val="24"/>
              </w:rPr>
            </w:pPr>
            <w:r w:rsidRPr="00291103">
              <w:rPr>
                <w:szCs w:val="24"/>
              </w:rPr>
              <w:t>Safe working life</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36B60376" w14:textId="77777777" w:rsidR="005E625A" w:rsidRPr="00291103" w:rsidRDefault="005E625A" w:rsidP="00291103">
            <w:pPr>
              <w:keepNext/>
              <w:spacing w:after="0" w:line="240" w:lineRule="auto"/>
              <w:jc w:val="center"/>
              <w:rPr>
                <w:szCs w:val="24"/>
              </w:rPr>
            </w:pPr>
            <w:r w:rsidRPr="00291103">
              <w:rPr>
                <w:szCs w:val="24"/>
              </w:rPr>
              <w:t>EAD.1</w:t>
            </w:r>
          </w:p>
        </w:tc>
      </w:tr>
      <w:tr w:rsidR="005E625A" w14:paraId="248E02F0" w14:textId="77777777" w:rsidTr="00291103">
        <w:tc>
          <w:tcPr>
            <w:tcW w:w="5000" w:type="pct"/>
            <w:gridSpan w:val="3"/>
            <w:tcBorders>
              <w:top w:val="single" w:sz="4" w:space="0" w:color="auto"/>
              <w:left w:val="single" w:sz="4" w:space="0" w:color="auto"/>
              <w:bottom w:val="single" w:sz="4" w:space="0" w:color="auto"/>
              <w:right w:val="single" w:sz="4" w:space="0" w:color="auto"/>
            </w:tcBorders>
            <w:vAlign w:val="center"/>
          </w:tcPr>
          <w:p w14:paraId="0B786381" w14:textId="77777777" w:rsidR="005E625A" w:rsidRPr="00291103" w:rsidRDefault="005E625A" w:rsidP="00291103">
            <w:pPr>
              <w:keepNext/>
              <w:spacing w:after="0" w:line="240" w:lineRule="auto"/>
              <w:rPr>
                <w:szCs w:val="24"/>
              </w:rPr>
            </w:pPr>
            <w:r w:rsidRPr="00291103">
              <w:rPr>
                <w:szCs w:val="24"/>
              </w:rPr>
              <w:t>The safe working life of structures, systems and components that are important to safety should be evaluated and defined at the design stage.</w:t>
            </w:r>
          </w:p>
        </w:tc>
      </w:tr>
    </w:tbl>
    <w:p w14:paraId="40F21DEF" w14:textId="4B850C4B" w:rsidR="005E625A" w:rsidRDefault="005E625A" w:rsidP="00291103">
      <w:pPr>
        <w:pStyle w:val="F9-Paragraph"/>
      </w:pPr>
      <w:r w:rsidRPr="001A064B">
        <w:t>Particular attention should be given to the evaluation of those components that are judged to be difficult or impracticable to replace</w:t>
      </w:r>
      <w:r>
        <w:t xml:space="preserve"> (SAP para. 213</w:t>
      </w:r>
      <w:r w:rsidR="00291103">
        <w:t xml:space="preserve"> </w:t>
      </w:r>
      <w:sdt>
        <w:sdtPr>
          <w:id w:val="1989291316"/>
          <w:citation/>
        </w:sdtPr>
        <w:sdtContent>
          <w:r w:rsidR="00291103">
            <w:fldChar w:fldCharType="begin"/>
          </w:r>
          <w:r w:rsidR="00291103">
            <w:instrText xml:space="preserve"> CITATION ONR2013 \l 2057 </w:instrText>
          </w:r>
          <w:r w:rsidR="00291103">
            <w:fldChar w:fldCharType="separate"/>
          </w:r>
          <w:r w:rsidR="00291103">
            <w:rPr>
              <w:noProof/>
            </w:rPr>
            <w:t>[1]</w:t>
          </w:r>
          <w:r w:rsidR="00291103">
            <w:fldChar w:fldCharType="end"/>
          </w:r>
        </w:sdtContent>
      </w:sdt>
      <w:r>
        <w:t>).</w:t>
      </w:r>
    </w:p>
    <w:p w14:paraId="23733A1C" w14:textId="459C557F" w:rsidR="005E625A" w:rsidRPr="004933AA" w:rsidRDefault="005E625A" w:rsidP="00291103">
      <w:pPr>
        <w:pStyle w:val="F9-Paragraph"/>
      </w:pPr>
      <w:r w:rsidRPr="001A064B">
        <w:t>There should be an adequate margin between the intended operational life and the predicted safe working life of such structures, systems and components</w:t>
      </w:r>
      <w:r>
        <w:t xml:space="preserve"> (SAP para. 214</w:t>
      </w:r>
      <w:r w:rsidR="00291103">
        <w:t xml:space="preserve"> </w:t>
      </w:r>
      <w:sdt>
        <w:sdtPr>
          <w:id w:val="1459840941"/>
          <w:citation/>
        </w:sdtPr>
        <w:sdtContent>
          <w:r w:rsidR="00291103">
            <w:fldChar w:fldCharType="begin"/>
          </w:r>
          <w:r w:rsidR="00291103">
            <w:instrText xml:space="preserve"> CITATION ONR2013 \l 2057 </w:instrText>
          </w:r>
          <w:r w:rsidR="00291103">
            <w:fldChar w:fldCharType="separate"/>
          </w:r>
          <w:r w:rsidR="00291103">
            <w:rPr>
              <w:noProof/>
            </w:rPr>
            <w:t>[1]</w:t>
          </w:r>
          <w:r w:rsidR="00291103">
            <w:fldChar w:fldCharType="end"/>
          </w:r>
        </w:sdtContent>
      </w:sdt>
      <w:r>
        <w:t>).</w:t>
      </w:r>
    </w:p>
    <w:tbl>
      <w:tblPr>
        <w:tblW w:w="4531" w:type="pct"/>
        <w:tblInd w:w="846" w:type="dxa"/>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610"/>
        <w:gridCol w:w="3500"/>
        <w:gridCol w:w="1060"/>
      </w:tblGrid>
      <w:tr w:rsidR="005E625A" w14:paraId="5F733C38" w14:textId="77777777" w:rsidTr="00291103">
        <w:tc>
          <w:tcPr>
            <w:tcW w:w="2209" w:type="pct"/>
            <w:tcBorders>
              <w:top w:val="single" w:sz="4" w:space="0" w:color="auto"/>
              <w:left w:val="single" w:sz="4" w:space="0" w:color="auto"/>
              <w:bottom w:val="single" w:sz="4" w:space="0" w:color="auto"/>
              <w:right w:val="single" w:sz="4" w:space="0" w:color="auto"/>
            </w:tcBorders>
            <w:shd w:val="clear" w:color="auto" w:fill="FFCC99"/>
            <w:vAlign w:val="center"/>
          </w:tcPr>
          <w:p w14:paraId="1689074F" w14:textId="77777777" w:rsidR="005E625A" w:rsidRPr="00291103" w:rsidRDefault="005E625A" w:rsidP="00291103">
            <w:pPr>
              <w:keepNext/>
              <w:spacing w:after="0" w:line="240" w:lineRule="auto"/>
              <w:rPr>
                <w:b/>
                <w:bCs/>
                <w:szCs w:val="24"/>
              </w:rPr>
            </w:pPr>
            <w:r w:rsidRPr="00291103">
              <w:rPr>
                <w:b/>
                <w:bCs/>
                <w:szCs w:val="24"/>
              </w:rPr>
              <w:lastRenderedPageBreak/>
              <w:t>Engineering principles: ageing and degradation</w:t>
            </w:r>
          </w:p>
        </w:tc>
        <w:tc>
          <w:tcPr>
            <w:tcW w:w="2142" w:type="pct"/>
            <w:tcBorders>
              <w:top w:val="single" w:sz="4" w:space="0" w:color="auto"/>
              <w:left w:val="single" w:sz="4" w:space="0" w:color="auto"/>
              <w:bottom w:val="single" w:sz="4" w:space="0" w:color="auto"/>
              <w:right w:val="single" w:sz="4" w:space="0" w:color="auto"/>
            </w:tcBorders>
            <w:shd w:val="clear" w:color="auto" w:fill="FFCC99"/>
            <w:vAlign w:val="center"/>
          </w:tcPr>
          <w:p w14:paraId="21EA31F3" w14:textId="77777777" w:rsidR="005E625A" w:rsidRPr="00291103" w:rsidRDefault="005E625A" w:rsidP="00291103">
            <w:pPr>
              <w:keepNext/>
              <w:spacing w:after="0" w:line="240" w:lineRule="auto"/>
              <w:rPr>
                <w:szCs w:val="24"/>
              </w:rPr>
            </w:pPr>
            <w:r w:rsidRPr="00291103">
              <w:rPr>
                <w:szCs w:val="24"/>
              </w:rPr>
              <w:t>Obsolescence</w:t>
            </w:r>
          </w:p>
        </w:tc>
        <w:tc>
          <w:tcPr>
            <w:tcW w:w="649" w:type="pct"/>
            <w:tcBorders>
              <w:top w:val="single" w:sz="4" w:space="0" w:color="auto"/>
              <w:left w:val="single" w:sz="4" w:space="0" w:color="auto"/>
              <w:bottom w:val="single" w:sz="4" w:space="0" w:color="auto"/>
              <w:right w:val="single" w:sz="4" w:space="0" w:color="auto"/>
            </w:tcBorders>
            <w:shd w:val="clear" w:color="auto" w:fill="FFCC99"/>
            <w:vAlign w:val="center"/>
          </w:tcPr>
          <w:p w14:paraId="308AFF5C" w14:textId="77777777" w:rsidR="005E625A" w:rsidRPr="00291103" w:rsidRDefault="005E625A" w:rsidP="00291103">
            <w:pPr>
              <w:keepNext/>
              <w:spacing w:after="0" w:line="240" w:lineRule="auto"/>
              <w:jc w:val="center"/>
              <w:rPr>
                <w:b/>
                <w:bCs/>
                <w:szCs w:val="24"/>
              </w:rPr>
            </w:pPr>
            <w:r w:rsidRPr="00291103">
              <w:rPr>
                <w:b/>
                <w:bCs/>
                <w:szCs w:val="24"/>
              </w:rPr>
              <w:t>EAD.5</w:t>
            </w:r>
          </w:p>
        </w:tc>
      </w:tr>
      <w:tr w:rsidR="005E625A" w14:paraId="6457C121" w14:textId="77777777" w:rsidTr="00291103">
        <w:tc>
          <w:tcPr>
            <w:tcW w:w="5000" w:type="pct"/>
            <w:gridSpan w:val="3"/>
            <w:tcBorders>
              <w:top w:val="single" w:sz="4" w:space="0" w:color="auto"/>
              <w:left w:val="single" w:sz="4" w:space="0" w:color="auto"/>
              <w:bottom w:val="single" w:sz="4" w:space="0" w:color="auto"/>
              <w:right w:val="single" w:sz="4" w:space="0" w:color="auto"/>
            </w:tcBorders>
            <w:vAlign w:val="center"/>
          </w:tcPr>
          <w:p w14:paraId="62DA1B57" w14:textId="77777777" w:rsidR="005E625A" w:rsidRPr="00291103" w:rsidRDefault="005E625A" w:rsidP="00291103">
            <w:pPr>
              <w:keepNext/>
              <w:spacing w:after="0" w:line="240" w:lineRule="auto"/>
              <w:rPr>
                <w:szCs w:val="24"/>
              </w:rPr>
            </w:pPr>
            <w:r w:rsidRPr="00291103">
              <w:rPr>
                <w:szCs w:val="24"/>
              </w:rPr>
              <w:t>A process for reviewing the obsolescence of structures, systems and components important to safety should be in place.</w:t>
            </w:r>
          </w:p>
        </w:tc>
      </w:tr>
    </w:tbl>
    <w:p w14:paraId="2864E4F4" w14:textId="4E770222" w:rsidR="005E625A" w:rsidRDefault="005E625A" w:rsidP="00291103">
      <w:pPr>
        <w:pStyle w:val="F9-Paragraph"/>
      </w:pPr>
      <w:r w:rsidRPr="001A064B">
        <w:t>This principle is more likely to be applicable to systems and components rather than the main structural elements of a facility.</w:t>
      </w:r>
      <w:r w:rsidR="00B470F3">
        <w:t xml:space="preserve"> </w:t>
      </w:r>
      <w:r w:rsidRPr="001A064B">
        <w:t>The process should identify threats from obsolescence and ensure that an adequate supply of spare parts is available until a solution to any obsolescence issues can be found.</w:t>
      </w:r>
      <w:r w:rsidR="00B470F3">
        <w:t xml:space="preserve"> </w:t>
      </w:r>
      <w:r w:rsidRPr="001A064B">
        <w:t xml:space="preserve">The solution will depend on the particular </w:t>
      </w:r>
      <w:r w:rsidR="00291103" w:rsidRPr="001A064B">
        <w:t>circumstances but</w:t>
      </w:r>
      <w:r w:rsidRPr="001A064B">
        <w:t xml:space="preserve"> may involve providing alternative components or items of equipment that can carry out the same safety duty, or it may involve redesigning the plant to remove the need for the obsolescent system or components</w:t>
      </w:r>
      <w:r>
        <w:t xml:space="preserve"> </w:t>
      </w:r>
      <w:r w:rsidR="00291103">
        <w:br/>
      </w:r>
      <w:r>
        <w:t>(SAP para. 221</w:t>
      </w:r>
      <w:r w:rsidR="00291103">
        <w:t xml:space="preserve"> </w:t>
      </w:r>
      <w:sdt>
        <w:sdtPr>
          <w:id w:val="-2094457709"/>
          <w:citation/>
        </w:sdtPr>
        <w:sdtContent>
          <w:r w:rsidR="00291103">
            <w:fldChar w:fldCharType="begin"/>
          </w:r>
          <w:r w:rsidR="00291103">
            <w:instrText xml:space="preserve"> CITATION ONR2013 \l 2057 </w:instrText>
          </w:r>
          <w:r w:rsidR="00291103">
            <w:fldChar w:fldCharType="separate"/>
          </w:r>
          <w:r w:rsidR="00291103">
            <w:rPr>
              <w:noProof/>
            </w:rPr>
            <w:t>[1]</w:t>
          </w:r>
          <w:r w:rsidR="00291103">
            <w:fldChar w:fldCharType="end"/>
          </w:r>
        </w:sdtContent>
      </w:sdt>
      <w:r>
        <w:t>).</w:t>
      </w:r>
    </w:p>
    <w:p w14:paraId="78508D85" w14:textId="45521922" w:rsidR="002552C8" w:rsidRDefault="002552C8" w:rsidP="002552C8">
      <w:pPr>
        <w:pStyle w:val="F9-Paragraph"/>
        <w:numPr>
          <w:ilvl w:val="0"/>
          <w:numId w:val="0"/>
        </w:numPr>
        <w:ind w:left="851" w:hanging="851"/>
      </w:pPr>
    </w:p>
    <w:bookmarkStart w:id="28" w:name="_Toc134110824" w:displacedByCustomXml="next"/>
    <w:sdt>
      <w:sdtPr>
        <w:rPr>
          <w:color w:val="auto"/>
          <w:sz w:val="24"/>
        </w:rPr>
        <w:id w:val="-284124854"/>
        <w:docPartObj>
          <w:docPartGallery w:val="Bibliographies"/>
          <w:docPartUnique/>
        </w:docPartObj>
      </w:sdtPr>
      <w:sdtContent>
        <w:p w14:paraId="04BBBDD0" w14:textId="55494929" w:rsidR="00F7687C" w:rsidRDefault="00F7687C" w:rsidP="00904152">
          <w:pPr>
            <w:pStyle w:val="Heading1"/>
            <w:numPr>
              <w:ilvl w:val="0"/>
              <w:numId w:val="0"/>
            </w:numPr>
          </w:pPr>
          <w:r>
            <w:t>References</w:t>
          </w:r>
          <w:bookmarkEnd w:id="28"/>
        </w:p>
        <w:sdt>
          <w:sdtPr>
            <w:id w:val="700524479"/>
            <w:bibliography/>
          </w:sdtPr>
          <w:sdtContent>
            <w:p w14:paraId="220CE6C1" w14:textId="77777777" w:rsidR="00291103"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291103" w14:paraId="3FC28D12" w14:textId="77777777">
                <w:trPr>
                  <w:divId w:val="607588022"/>
                  <w:tblCellSpacing w:w="15" w:type="dxa"/>
                </w:trPr>
                <w:tc>
                  <w:tcPr>
                    <w:tcW w:w="50" w:type="pct"/>
                    <w:hideMark/>
                  </w:tcPr>
                  <w:p w14:paraId="75F8C296" w14:textId="3B03F64E" w:rsidR="00291103" w:rsidRDefault="00291103">
                    <w:pPr>
                      <w:pStyle w:val="Bibliography"/>
                      <w:rPr>
                        <w:noProof/>
                        <w:szCs w:val="24"/>
                      </w:rPr>
                    </w:pPr>
                    <w:r>
                      <w:rPr>
                        <w:noProof/>
                      </w:rPr>
                      <w:t xml:space="preserve">[1] </w:t>
                    </w:r>
                  </w:p>
                </w:tc>
                <w:tc>
                  <w:tcPr>
                    <w:tcW w:w="0" w:type="auto"/>
                    <w:hideMark/>
                  </w:tcPr>
                  <w:p w14:paraId="634DEE79" w14:textId="77777777" w:rsidR="00291103" w:rsidRDefault="00291103">
                    <w:pPr>
                      <w:pStyle w:val="Bibliography"/>
                      <w:rPr>
                        <w:noProof/>
                      </w:rPr>
                    </w:pPr>
                    <w:r>
                      <w:rPr>
                        <w:noProof/>
                      </w:rPr>
                      <w:t>ONR, “Safety Assessment Principles (SAPs) for Nuclear Facilities - 2014 Edition (Revision 1),” 2020.</w:t>
                    </w:r>
                  </w:p>
                </w:tc>
              </w:tr>
              <w:tr w:rsidR="00291103" w14:paraId="0986DE65" w14:textId="77777777">
                <w:trPr>
                  <w:divId w:val="607588022"/>
                  <w:tblCellSpacing w:w="15" w:type="dxa"/>
                </w:trPr>
                <w:tc>
                  <w:tcPr>
                    <w:tcW w:w="50" w:type="pct"/>
                    <w:hideMark/>
                  </w:tcPr>
                  <w:p w14:paraId="25AAC1B5" w14:textId="77777777" w:rsidR="00291103" w:rsidRDefault="00291103">
                    <w:pPr>
                      <w:pStyle w:val="Bibliography"/>
                      <w:rPr>
                        <w:noProof/>
                      </w:rPr>
                    </w:pPr>
                    <w:r>
                      <w:rPr>
                        <w:noProof/>
                      </w:rPr>
                      <w:t xml:space="preserve">[2] </w:t>
                    </w:r>
                  </w:p>
                </w:tc>
                <w:tc>
                  <w:tcPr>
                    <w:tcW w:w="0" w:type="auto"/>
                    <w:hideMark/>
                  </w:tcPr>
                  <w:p w14:paraId="22D61240" w14:textId="77777777" w:rsidR="00291103" w:rsidRDefault="00291103">
                    <w:pPr>
                      <w:pStyle w:val="Bibliography"/>
                      <w:rPr>
                        <w:noProof/>
                      </w:rPr>
                    </w:pPr>
                    <w:r>
                      <w:rPr>
                        <w:noProof/>
                      </w:rPr>
                      <w:t>ONR, “Licence Condition Handbook,” 2017.</w:t>
                    </w:r>
                  </w:p>
                </w:tc>
              </w:tr>
              <w:tr w:rsidR="00291103" w14:paraId="12C31D65" w14:textId="77777777">
                <w:trPr>
                  <w:divId w:val="607588022"/>
                  <w:tblCellSpacing w:w="15" w:type="dxa"/>
                </w:trPr>
                <w:tc>
                  <w:tcPr>
                    <w:tcW w:w="50" w:type="pct"/>
                    <w:hideMark/>
                  </w:tcPr>
                  <w:p w14:paraId="160E8490" w14:textId="77777777" w:rsidR="00291103" w:rsidRDefault="00291103">
                    <w:pPr>
                      <w:pStyle w:val="Bibliography"/>
                      <w:rPr>
                        <w:noProof/>
                      </w:rPr>
                    </w:pPr>
                    <w:r>
                      <w:rPr>
                        <w:noProof/>
                      </w:rPr>
                      <w:t xml:space="preserve">[3] </w:t>
                    </w:r>
                  </w:p>
                </w:tc>
                <w:tc>
                  <w:tcPr>
                    <w:tcW w:w="0" w:type="auto"/>
                    <w:hideMark/>
                  </w:tcPr>
                  <w:p w14:paraId="460040CF" w14:textId="77777777" w:rsidR="00291103" w:rsidRDefault="00291103">
                    <w:pPr>
                      <w:pStyle w:val="Bibliography"/>
                      <w:rPr>
                        <w:noProof/>
                      </w:rPr>
                    </w:pPr>
                    <w:r>
                      <w:rPr>
                        <w:noProof/>
                      </w:rPr>
                      <w:t>WENRA, “Safety Reference Levels for Existing Reactors 2020,” 2021.</w:t>
                    </w:r>
                  </w:p>
                </w:tc>
              </w:tr>
              <w:tr w:rsidR="00291103" w14:paraId="68EBC255" w14:textId="77777777">
                <w:trPr>
                  <w:divId w:val="607588022"/>
                  <w:tblCellSpacing w:w="15" w:type="dxa"/>
                </w:trPr>
                <w:tc>
                  <w:tcPr>
                    <w:tcW w:w="50" w:type="pct"/>
                    <w:hideMark/>
                  </w:tcPr>
                  <w:p w14:paraId="624B5726" w14:textId="77777777" w:rsidR="00291103" w:rsidRDefault="00291103">
                    <w:pPr>
                      <w:pStyle w:val="Bibliography"/>
                      <w:rPr>
                        <w:noProof/>
                      </w:rPr>
                    </w:pPr>
                    <w:r>
                      <w:rPr>
                        <w:noProof/>
                      </w:rPr>
                      <w:t xml:space="preserve">[4] </w:t>
                    </w:r>
                  </w:p>
                </w:tc>
                <w:tc>
                  <w:tcPr>
                    <w:tcW w:w="0" w:type="auto"/>
                    <w:hideMark/>
                  </w:tcPr>
                  <w:p w14:paraId="7F5B3421" w14:textId="77777777" w:rsidR="00291103" w:rsidRDefault="00291103">
                    <w:pPr>
                      <w:pStyle w:val="Bibliography"/>
                      <w:rPr>
                        <w:noProof/>
                      </w:rPr>
                    </w:pPr>
                    <w:r>
                      <w:rPr>
                        <w:noProof/>
                      </w:rPr>
                      <w:t>IAEA, “IAEA Safety Standards - SSG-39 - Design of Instrumentation and Control Systems for Nuclear Power Plants”.</w:t>
                    </w:r>
                  </w:p>
                </w:tc>
              </w:tr>
              <w:tr w:rsidR="00291103" w14:paraId="6B0F809A" w14:textId="77777777">
                <w:trPr>
                  <w:divId w:val="607588022"/>
                  <w:tblCellSpacing w:w="15" w:type="dxa"/>
                </w:trPr>
                <w:tc>
                  <w:tcPr>
                    <w:tcW w:w="50" w:type="pct"/>
                    <w:hideMark/>
                  </w:tcPr>
                  <w:p w14:paraId="378B29E5" w14:textId="77777777" w:rsidR="00291103" w:rsidRDefault="00291103">
                    <w:pPr>
                      <w:pStyle w:val="Bibliography"/>
                      <w:rPr>
                        <w:noProof/>
                      </w:rPr>
                    </w:pPr>
                    <w:r>
                      <w:rPr>
                        <w:noProof/>
                      </w:rPr>
                      <w:t xml:space="preserve">[5] </w:t>
                    </w:r>
                  </w:p>
                </w:tc>
                <w:tc>
                  <w:tcPr>
                    <w:tcW w:w="0" w:type="auto"/>
                    <w:hideMark/>
                  </w:tcPr>
                  <w:p w14:paraId="70D3090F" w14:textId="77777777" w:rsidR="00291103" w:rsidRDefault="00291103">
                    <w:pPr>
                      <w:pStyle w:val="Bibliography"/>
                      <w:rPr>
                        <w:noProof/>
                      </w:rPr>
                    </w:pPr>
                    <w:r>
                      <w:rPr>
                        <w:noProof/>
                      </w:rPr>
                      <w:t>ONR, “NS-TAST-GD-058 - Human Factors Integration”.</w:t>
                    </w:r>
                  </w:p>
                </w:tc>
              </w:tr>
              <w:tr w:rsidR="00291103" w14:paraId="72F2A9AC" w14:textId="77777777">
                <w:trPr>
                  <w:divId w:val="607588022"/>
                  <w:tblCellSpacing w:w="15" w:type="dxa"/>
                </w:trPr>
                <w:tc>
                  <w:tcPr>
                    <w:tcW w:w="50" w:type="pct"/>
                    <w:hideMark/>
                  </w:tcPr>
                  <w:p w14:paraId="4CC59366" w14:textId="77777777" w:rsidR="00291103" w:rsidRDefault="00291103">
                    <w:pPr>
                      <w:pStyle w:val="Bibliography"/>
                      <w:rPr>
                        <w:noProof/>
                      </w:rPr>
                    </w:pPr>
                    <w:r>
                      <w:rPr>
                        <w:noProof/>
                      </w:rPr>
                      <w:t xml:space="preserve">[6] </w:t>
                    </w:r>
                  </w:p>
                </w:tc>
                <w:tc>
                  <w:tcPr>
                    <w:tcW w:w="0" w:type="auto"/>
                    <w:hideMark/>
                  </w:tcPr>
                  <w:p w14:paraId="52B488D8" w14:textId="77777777" w:rsidR="00291103" w:rsidRDefault="00291103">
                    <w:pPr>
                      <w:pStyle w:val="Bibliography"/>
                      <w:rPr>
                        <w:noProof/>
                      </w:rPr>
                    </w:pPr>
                    <w:r>
                      <w:rPr>
                        <w:noProof/>
                      </w:rPr>
                      <w:t>ONR, “NS-TAST-GD-019 - Essential Services”.</w:t>
                    </w:r>
                  </w:p>
                </w:tc>
              </w:tr>
              <w:tr w:rsidR="00291103" w14:paraId="138B1E5D" w14:textId="77777777">
                <w:trPr>
                  <w:divId w:val="607588022"/>
                  <w:tblCellSpacing w:w="15" w:type="dxa"/>
                </w:trPr>
                <w:tc>
                  <w:tcPr>
                    <w:tcW w:w="50" w:type="pct"/>
                    <w:hideMark/>
                  </w:tcPr>
                  <w:p w14:paraId="62641834" w14:textId="77777777" w:rsidR="00291103" w:rsidRDefault="00291103">
                    <w:pPr>
                      <w:pStyle w:val="Bibliography"/>
                      <w:rPr>
                        <w:noProof/>
                      </w:rPr>
                    </w:pPr>
                    <w:r>
                      <w:rPr>
                        <w:noProof/>
                      </w:rPr>
                      <w:t xml:space="preserve">[7] </w:t>
                    </w:r>
                  </w:p>
                </w:tc>
                <w:tc>
                  <w:tcPr>
                    <w:tcW w:w="0" w:type="auto"/>
                    <w:hideMark/>
                  </w:tcPr>
                  <w:p w14:paraId="3501724F" w14:textId="77777777" w:rsidR="00291103" w:rsidRDefault="00291103">
                    <w:pPr>
                      <w:pStyle w:val="Bibliography"/>
                      <w:rPr>
                        <w:noProof/>
                      </w:rPr>
                    </w:pPr>
                    <w:r>
                      <w:rPr>
                        <w:noProof/>
                      </w:rPr>
                      <w:t>ONR, “NS-TAST-GD-018 - Criticality Warning Systems”.</w:t>
                    </w:r>
                  </w:p>
                </w:tc>
              </w:tr>
              <w:tr w:rsidR="00291103" w14:paraId="64928AA2" w14:textId="77777777">
                <w:trPr>
                  <w:divId w:val="607588022"/>
                  <w:tblCellSpacing w:w="15" w:type="dxa"/>
                </w:trPr>
                <w:tc>
                  <w:tcPr>
                    <w:tcW w:w="50" w:type="pct"/>
                    <w:hideMark/>
                  </w:tcPr>
                  <w:p w14:paraId="5B188B35" w14:textId="77777777" w:rsidR="00291103" w:rsidRDefault="00291103">
                    <w:pPr>
                      <w:pStyle w:val="Bibliography"/>
                      <w:rPr>
                        <w:noProof/>
                      </w:rPr>
                    </w:pPr>
                    <w:r>
                      <w:rPr>
                        <w:noProof/>
                      </w:rPr>
                      <w:t xml:space="preserve">[8] </w:t>
                    </w:r>
                  </w:p>
                </w:tc>
                <w:tc>
                  <w:tcPr>
                    <w:tcW w:w="0" w:type="auto"/>
                    <w:hideMark/>
                  </w:tcPr>
                  <w:p w14:paraId="57A15DA6" w14:textId="77777777" w:rsidR="00291103" w:rsidRDefault="00291103">
                    <w:pPr>
                      <w:pStyle w:val="Bibliography"/>
                      <w:rPr>
                        <w:noProof/>
                      </w:rPr>
                    </w:pPr>
                    <w:r>
                      <w:rPr>
                        <w:noProof/>
                      </w:rPr>
                      <w:t>ONR, “NS-TAST-GD-015 - Electromagnetic Compatibility”.</w:t>
                    </w:r>
                  </w:p>
                </w:tc>
              </w:tr>
              <w:tr w:rsidR="00291103" w14:paraId="60CD0799" w14:textId="77777777">
                <w:trPr>
                  <w:divId w:val="607588022"/>
                  <w:tblCellSpacing w:w="15" w:type="dxa"/>
                </w:trPr>
                <w:tc>
                  <w:tcPr>
                    <w:tcW w:w="50" w:type="pct"/>
                    <w:hideMark/>
                  </w:tcPr>
                  <w:p w14:paraId="64DD672E" w14:textId="77777777" w:rsidR="00291103" w:rsidRDefault="00291103">
                    <w:pPr>
                      <w:pStyle w:val="Bibliography"/>
                      <w:rPr>
                        <w:noProof/>
                      </w:rPr>
                    </w:pPr>
                    <w:r>
                      <w:rPr>
                        <w:noProof/>
                      </w:rPr>
                      <w:t xml:space="preserve">[9] </w:t>
                    </w:r>
                  </w:p>
                </w:tc>
                <w:tc>
                  <w:tcPr>
                    <w:tcW w:w="0" w:type="auto"/>
                    <w:hideMark/>
                  </w:tcPr>
                  <w:p w14:paraId="1CCC32FE" w14:textId="77777777" w:rsidR="00291103" w:rsidRDefault="00291103">
                    <w:pPr>
                      <w:pStyle w:val="Bibliography"/>
                      <w:rPr>
                        <w:noProof/>
                      </w:rPr>
                    </w:pPr>
                    <w:r>
                      <w:rPr>
                        <w:noProof/>
                      </w:rPr>
                      <w:t>ONR, “NS-TAST-GD-046 - Computer Based Safety Systems”.</w:t>
                    </w:r>
                  </w:p>
                </w:tc>
              </w:tr>
            </w:tbl>
            <w:p w14:paraId="34A963CE" w14:textId="77777777" w:rsidR="00291103" w:rsidRDefault="00291103">
              <w:pPr>
                <w:divId w:val="607588022"/>
                <w:rPr>
                  <w:rFonts w:eastAsia="Times New Roman"/>
                  <w:noProof/>
                </w:rPr>
              </w:pPr>
            </w:p>
            <w:p w14:paraId="316D8711" w14:textId="175304A5" w:rsidR="00F7687C" w:rsidRDefault="00F7687C">
              <w:r>
                <w:rPr>
                  <w:b/>
                  <w:bCs/>
                  <w:noProof/>
                </w:rPr>
                <w:fldChar w:fldCharType="end"/>
              </w:r>
            </w:p>
          </w:sdtContent>
        </w:sdt>
      </w:sdtContent>
    </w:sdt>
    <w:p w14:paraId="4323F5E0" w14:textId="5E23822E" w:rsidR="00F7687C" w:rsidRPr="003B4701" w:rsidRDefault="00F7687C" w:rsidP="00904152">
      <w:pPr>
        <w:pStyle w:val="Heading1"/>
        <w:numPr>
          <w:ilvl w:val="0"/>
          <w:numId w:val="0"/>
        </w:numPr>
        <w:ind w:left="851" w:hanging="851"/>
      </w:pPr>
      <w:bookmarkStart w:id="29" w:name="_Toc89268373"/>
      <w:bookmarkStart w:id="30" w:name="_Toc134110825"/>
      <w:r w:rsidRPr="003B4701">
        <w:lastRenderedPageBreak/>
        <w:t>Glossary and Abbreviations</w:t>
      </w:r>
      <w:bookmarkEnd w:id="29"/>
      <w:bookmarkEnd w:id="30"/>
    </w:p>
    <w:p w14:paraId="15087E46" w14:textId="77777777" w:rsidR="00E84CFC" w:rsidRDefault="00E84CFC" w:rsidP="00E84CFC">
      <w:pPr>
        <w:tabs>
          <w:tab w:val="left" w:pos="1440"/>
        </w:tabs>
        <w:spacing w:after="120"/>
      </w:pPr>
      <w:r>
        <w:t>CCF</w:t>
      </w:r>
      <w:r>
        <w:tab/>
        <w:t>Common Cause Failure</w:t>
      </w:r>
    </w:p>
    <w:p w14:paraId="01E0F1F7" w14:textId="77777777" w:rsidR="00E84CFC" w:rsidRDefault="00E84CFC" w:rsidP="00E84CFC">
      <w:pPr>
        <w:tabs>
          <w:tab w:val="left" w:pos="1440"/>
        </w:tabs>
        <w:spacing w:after="120"/>
      </w:pPr>
      <w:r>
        <w:t>CID</w:t>
      </w:r>
      <w:r>
        <w:tab/>
        <w:t>Criticality Incident Detector</w:t>
      </w:r>
    </w:p>
    <w:p w14:paraId="2DAF3C7D" w14:textId="77777777" w:rsidR="00E84CFC" w:rsidRDefault="00E84CFC" w:rsidP="00E84CFC">
      <w:pPr>
        <w:tabs>
          <w:tab w:val="left" w:pos="1440"/>
        </w:tabs>
        <w:spacing w:after="120"/>
      </w:pPr>
      <w:r>
        <w:t>EIM&amp;T</w:t>
      </w:r>
      <w:r>
        <w:tab/>
        <w:t>Examination, Inspection, Maintenance &amp; Testing</w:t>
      </w:r>
    </w:p>
    <w:p w14:paraId="36B06440" w14:textId="77777777" w:rsidR="00E84CFC" w:rsidRDefault="00E84CFC" w:rsidP="00E84CFC">
      <w:pPr>
        <w:tabs>
          <w:tab w:val="left" w:pos="1440"/>
        </w:tabs>
        <w:spacing w:after="120"/>
      </w:pPr>
      <w:r>
        <w:t>IAEA</w:t>
      </w:r>
      <w:r>
        <w:tab/>
        <w:t>International Atomic Energy Agency</w:t>
      </w:r>
    </w:p>
    <w:p w14:paraId="2802B7C1" w14:textId="77777777" w:rsidR="00E84CFC" w:rsidRDefault="00E84CFC" w:rsidP="00E84CFC">
      <w:pPr>
        <w:tabs>
          <w:tab w:val="left" w:pos="1440"/>
        </w:tabs>
        <w:spacing w:after="120"/>
      </w:pPr>
      <w:r>
        <w:t>SAP</w:t>
      </w:r>
      <w:r>
        <w:tab/>
        <w:t>Safety Assessment Principle(s)</w:t>
      </w:r>
    </w:p>
    <w:p w14:paraId="0B502C0D" w14:textId="77777777" w:rsidR="00E84CFC" w:rsidRDefault="00E84CFC" w:rsidP="00E84CFC">
      <w:pPr>
        <w:tabs>
          <w:tab w:val="left" w:pos="1440"/>
        </w:tabs>
        <w:spacing w:after="120"/>
      </w:pPr>
      <w:r>
        <w:t>SRI</w:t>
      </w:r>
      <w:r>
        <w:tab/>
        <w:t xml:space="preserve">Safety Related Instrumentation </w:t>
      </w:r>
    </w:p>
    <w:p w14:paraId="1DB6A666" w14:textId="77777777" w:rsidR="00E84CFC" w:rsidRDefault="00E84CFC" w:rsidP="00E84CFC">
      <w:pPr>
        <w:tabs>
          <w:tab w:val="left" w:pos="1440"/>
        </w:tabs>
        <w:spacing w:after="120"/>
      </w:pPr>
      <w:r>
        <w:t>SRS</w:t>
      </w:r>
      <w:r>
        <w:tab/>
        <w:t>Safety Related System</w:t>
      </w:r>
    </w:p>
    <w:p w14:paraId="031A48F6" w14:textId="77777777" w:rsidR="00E84CFC" w:rsidRDefault="00E84CFC" w:rsidP="00E84CFC">
      <w:pPr>
        <w:tabs>
          <w:tab w:val="left" w:pos="1440"/>
        </w:tabs>
        <w:spacing w:after="120"/>
      </w:pPr>
      <w:r>
        <w:t>SS</w:t>
      </w:r>
      <w:r>
        <w:tab/>
        <w:t>Safety System</w:t>
      </w:r>
    </w:p>
    <w:p w14:paraId="226DB7CC" w14:textId="77777777" w:rsidR="00E84CFC" w:rsidRDefault="00E84CFC" w:rsidP="00E84CFC">
      <w:pPr>
        <w:tabs>
          <w:tab w:val="left" w:pos="1440"/>
        </w:tabs>
        <w:spacing w:after="120"/>
      </w:pPr>
      <w:r>
        <w:t>TAG</w:t>
      </w:r>
      <w:r>
        <w:tab/>
        <w:t>Technical Assessment Guide(s)</w:t>
      </w:r>
    </w:p>
    <w:p w14:paraId="140EFBAA" w14:textId="77777777" w:rsidR="00E84CFC" w:rsidRDefault="00E84CFC" w:rsidP="00E84CFC">
      <w:pPr>
        <w:tabs>
          <w:tab w:val="left" w:pos="1440"/>
        </w:tabs>
        <w:spacing w:after="120"/>
        <w:sectPr w:rsidR="00E84CFC" w:rsidSect="000B2BCD">
          <w:pgSz w:w="11906" w:h="16838" w:code="9"/>
          <w:pgMar w:top="1440" w:right="1440" w:bottom="1440" w:left="1440" w:header="397" w:footer="397" w:gutter="0"/>
          <w:cols w:space="312"/>
          <w:docGrid w:linePitch="360"/>
        </w:sectPr>
      </w:pPr>
      <w:r>
        <w:t>WENRA</w:t>
      </w:r>
      <w:r>
        <w:tab/>
        <w:t>Western European Nuclear Regulators’ Association</w:t>
      </w:r>
    </w:p>
    <w:p w14:paraId="6C39881A" w14:textId="470E5511" w:rsidR="00F60BD9" w:rsidRPr="00B770A9" w:rsidRDefault="00F60BD9" w:rsidP="00F60BD9">
      <w:pPr>
        <w:pStyle w:val="Heading1"/>
        <w:numPr>
          <w:ilvl w:val="0"/>
          <w:numId w:val="0"/>
        </w:numPr>
      </w:pPr>
      <w:bookmarkStart w:id="31" w:name="_Toc134110826"/>
      <w:r>
        <w:lastRenderedPageBreak/>
        <w:t>A</w:t>
      </w:r>
      <w:r w:rsidRPr="00B770A9">
        <w:t>ppendix 1</w:t>
      </w:r>
      <w:r>
        <w:t xml:space="preserve"> - </w:t>
      </w:r>
      <w:r w:rsidRPr="00B770A9">
        <w:t>Computer (and other Complex or Novel Technology) System Failure Rates</w:t>
      </w:r>
      <w:bookmarkEnd w:id="31"/>
    </w:p>
    <w:p w14:paraId="5AE0C1D0" w14:textId="0CACE2D0" w:rsidR="00F60BD9" w:rsidRPr="00B770A9" w:rsidRDefault="00F60BD9" w:rsidP="00F60BD9">
      <w:pPr>
        <w:pStyle w:val="F9-Paragraph"/>
        <w:numPr>
          <w:ilvl w:val="0"/>
          <w:numId w:val="38"/>
        </w:numPr>
        <w:ind w:left="851" w:hanging="851"/>
      </w:pPr>
      <w:r w:rsidRPr="00B770A9">
        <w:t>Where complex or novel technology is involved in an initiating fault (IF) such that failure properties cannot be accurately predicted by reference to the known failure properties of its component parts, the frequency of the fault should be sufficiently conservative to allow for uncertainties in behaviour. The frequency allocated should be such that operating experience would soon show if it is too low. For example, a control system that is commissioned over a period of 2 years without any observed failure could allocate a frequency of 0.5/yr.,</w:t>
      </w:r>
      <w:r>
        <w:t xml:space="preserve"> </w:t>
      </w:r>
      <w:r w:rsidRPr="00B770A9">
        <w:t>on the basis that if the true frequency is significantly higher than this it would have revealed itself during commissioning. Failures observed during commissioning would increase the allocated frequency accordingly. Although the operating profile during commissioning will differ from that during operation (this representing one of the sources of uncertainty), it is felt that the allocation of a reliability value on the above basis gives sufficient pessimism and has the effect of forcing the main safety dependence to be placed elsewhere.</w:t>
      </w:r>
    </w:p>
    <w:p w14:paraId="7B782565" w14:textId="39AD5EAC" w:rsidR="00F60BD9" w:rsidRPr="00B770A9" w:rsidRDefault="00F60BD9" w:rsidP="00F60BD9">
      <w:pPr>
        <w:pStyle w:val="F9-Paragraph"/>
        <w:rPr>
          <w:szCs w:val="22"/>
        </w:rPr>
      </w:pPr>
      <w:r w:rsidRPr="00B770A9">
        <w:rPr>
          <w:szCs w:val="22"/>
        </w:rPr>
        <w:t xml:space="preserve">An important point is that averaging of observed faults between a number of IFs </w:t>
      </w:r>
      <w:r>
        <w:rPr>
          <w:szCs w:val="22"/>
        </w:rPr>
        <w:t xml:space="preserve">needs to </w:t>
      </w:r>
      <w:r w:rsidRPr="00B770A9">
        <w:rPr>
          <w:szCs w:val="22"/>
        </w:rPr>
        <w:t>be avoided in assigning frequencies in individual fault sequences. For example, a control system with 100 actions that is observed to fail once per year is not equivalent to each action failing at a rate of 0.01/yr., since the distribution of failures between the actions cannot be assumed to be equal - or expressed another way - one high frequency fault sequence cannot be compensated for by 99 low frequency sequences - each must be justified individually. Note that this situation is not the same as 100 identical components that exhibit 1 failure/yr. overall, since then each component can be assumed to share the failure rate equally because the components are identical. It is more like the situation where 100 different components are observed to exhibit an overall failure rate of 1 per year. Here the individual failure rates are likely to be very different because the components are different. 100 separate actions of a complex control system are best assumed different, even if they have similarities, since the circumstances that can affect their behaviour are numerous.</w:t>
      </w:r>
    </w:p>
    <w:p w14:paraId="4B3F95EB" w14:textId="619337D9" w:rsidR="00F60BD9" w:rsidRPr="00B770A9" w:rsidRDefault="00F60BD9" w:rsidP="00F60BD9">
      <w:pPr>
        <w:pStyle w:val="F9-Paragraph"/>
        <w:rPr>
          <w:szCs w:val="22"/>
        </w:rPr>
      </w:pPr>
      <w:r w:rsidRPr="00B770A9">
        <w:rPr>
          <w:szCs w:val="22"/>
        </w:rPr>
        <w:t>However, having made the above point about assignment of individual IFs for the purpose of determining the level of protection (i.e. number and integrity of Safety Systems) necessary for single fault sequences, where IFs in different fault sequences are equivalent in terms of consequence and level of protection, then it is appropriate to average the data between these faults</w:t>
      </w:r>
      <w:r>
        <w:rPr>
          <w:szCs w:val="22"/>
        </w:rPr>
        <w:t xml:space="preserve">. </w:t>
      </w:r>
      <w:r w:rsidRPr="00F60BD9">
        <w:rPr>
          <w:b/>
          <w:bCs/>
          <w:szCs w:val="22"/>
        </w:rPr>
        <w:t>This guidance only applies for the purpose of calculating summed accident frequencies not for justifying individual sequence protection</w:t>
      </w:r>
      <w:r w:rsidRPr="00F60BD9">
        <w:rPr>
          <w:szCs w:val="22"/>
        </w:rPr>
        <w:t>. In the above</w:t>
      </w:r>
      <w:r w:rsidRPr="00B770A9">
        <w:rPr>
          <w:szCs w:val="22"/>
        </w:rPr>
        <w:t xml:space="preserve"> example if the 100 actions represent IFs with the same unprotected consequence and have the same level of protection, then the value of 1/yr. could be divided between the 100 in summing the accident </w:t>
      </w:r>
      <w:r w:rsidRPr="00B770A9">
        <w:rPr>
          <w:szCs w:val="22"/>
        </w:rPr>
        <w:lastRenderedPageBreak/>
        <w:t>frequencies, since for this purpose it does not matter whether all 100 fail at the same rate, just one of the 100 fails every time, or any other distribution of failures in fact occur. Another way of looking at this is that during the 2 years of commissioning, providing no failures have been seen in any of the 100 equivalent actions, then there have been 200 'action years' of experience, and the failure rate assigned per action can legitimately be claimed as 0.005/yr. - for summed frequency purposes only. It is important to note that the above only applies to the outputs actions that can cause an initiating event.</w:t>
      </w:r>
      <w:r>
        <w:rPr>
          <w:szCs w:val="22"/>
        </w:rPr>
        <w:t xml:space="preserve"> </w:t>
      </w:r>
      <w:r w:rsidRPr="00B770A9">
        <w:rPr>
          <w:szCs w:val="22"/>
        </w:rPr>
        <w:t xml:space="preserve">A general count of Inputs and Outputs (I/O) </w:t>
      </w:r>
      <w:r>
        <w:rPr>
          <w:szCs w:val="22"/>
        </w:rPr>
        <w:t>should</w:t>
      </w:r>
      <w:r w:rsidRPr="00B770A9">
        <w:rPr>
          <w:szCs w:val="22"/>
        </w:rPr>
        <w:t xml:space="preserve"> not be applied as many modern Distributed Control Systems can have many thousands of I/O.</w:t>
      </w:r>
      <w:r>
        <w:rPr>
          <w:szCs w:val="22"/>
        </w:rPr>
        <w:t xml:space="preserve"> </w:t>
      </w:r>
      <w:r w:rsidRPr="00B770A9">
        <w:rPr>
          <w:szCs w:val="22"/>
        </w:rPr>
        <w:t xml:space="preserve">For the purpose of this Summed Frequency Accident analysis this count must be restricted </w:t>
      </w:r>
      <w:r>
        <w:rPr>
          <w:szCs w:val="22"/>
        </w:rPr>
        <w:t xml:space="preserve">only </w:t>
      </w:r>
      <w:r w:rsidRPr="00B770A9">
        <w:rPr>
          <w:szCs w:val="22"/>
        </w:rPr>
        <w:t xml:space="preserve">to those outputs that can cause the initiating event. </w:t>
      </w:r>
    </w:p>
    <w:p w14:paraId="61672685" w14:textId="77777777" w:rsidR="00F60BD9" w:rsidRPr="00B770A9" w:rsidRDefault="00F60BD9" w:rsidP="00F60BD9">
      <w:pPr>
        <w:pStyle w:val="F9-Paragraph"/>
        <w:rPr>
          <w:szCs w:val="22"/>
        </w:rPr>
      </w:pPr>
      <w:r w:rsidRPr="00B770A9">
        <w:rPr>
          <w:szCs w:val="22"/>
        </w:rPr>
        <w:t>Although the above analysis is quite complicated to explain and carry out the logic behind it is simple. It is that single fault sequences initiated by IFs involving complex technology should be sufficiently protected to allow for the particular IF to behave as a 'rogue', since it might well do so; but that it is not reasonable to assume that all IFs will behave as rogues</w:t>
      </w:r>
      <w:r w:rsidRPr="0073108F">
        <w:rPr>
          <w:szCs w:val="22"/>
        </w:rPr>
        <w:t>.</w:t>
      </w:r>
      <w:bookmarkStart w:id="32" w:name="ref1"/>
      <w:bookmarkStart w:id="33" w:name="ref3"/>
      <w:bookmarkStart w:id="34" w:name="ref4"/>
      <w:bookmarkStart w:id="35" w:name="ref5"/>
      <w:bookmarkStart w:id="36" w:name="ref6"/>
      <w:bookmarkStart w:id="37" w:name="ref7"/>
      <w:bookmarkEnd w:id="32"/>
      <w:bookmarkEnd w:id="33"/>
      <w:bookmarkEnd w:id="34"/>
      <w:bookmarkEnd w:id="35"/>
      <w:bookmarkEnd w:id="36"/>
      <w:bookmarkEnd w:id="37"/>
    </w:p>
    <w:p w14:paraId="14BAA3E0" w14:textId="73FEE11D" w:rsidR="00F7687C" w:rsidRDefault="00F7687C" w:rsidP="00E84CFC">
      <w:pPr>
        <w:tabs>
          <w:tab w:val="left" w:pos="1440"/>
        </w:tabs>
        <w:spacing w:after="120"/>
      </w:pPr>
    </w:p>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2B0B6" w14:textId="77777777" w:rsidR="007442E0" w:rsidRDefault="007442E0" w:rsidP="007D199A">
      <w:pPr>
        <w:spacing w:after="0"/>
      </w:pPr>
      <w:r>
        <w:separator/>
      </w:r>
    </w:p>
    <w:p w14:paraId="19A1F941" w14:textId="77777777" w:rsidR="007442E0" w:rsidRDefault="007442E0"/>
    <w:p w14:paraId="75E402DC" w14:textId="77777777" w:rsidR="007442E0" w:rsidRDefault="007442E0"/>
  </w:endnote>
  <w:endnote w:type="continuationSeparator" w:id="0">
    <w:p w14:paraId="2E6B0619" w14:textId="77777777" w:rsidR="007442E0" w:rsidRDefault="007442E0" w:rsidP="007D199A">
      <w:pPr>
        <w:spacing w:after="0"/>
      </w:pPr>
      <w:r>
        <w:continuationSeparator/>
      </w:r>
    </w:p>
    <w:p w14:paraId="5AD5BFA7" w14:textId="77777777" w:rsidR="007442E0" w:rsidRDefault="007442E0"/>
    <w:p w14:paraId="552649F3" w14:textId="77777777" w:rsidR="007442E0" w:rsidRDefault="007442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699A" w14:textId="77777777" w:rsidR="006966CA" w:rsidRDefault="00696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FC37" w14:textId="77777777" w:rsidR="006966CA" w:rsidRDefault="006966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88AF9" w14:textId="77777777" w:rsidR="007442E0" w:rsidRPr="005E0344" w:rsidRDefault="007442E0" w:rsidP="005E0344">
      <w:pPr>
        <w:spacing w:after="120"/>
        <w:rPr>
          <w:color w:val="000000" w:themeColor="text2"/>
        </w:rPr>
      </w:pPr>
      <w:r w:rsidRPr="005E0344">
        <w:rPr>
          <w:color w:val="000000" w:themeColor="text2"/>
        </w:rPr>
        <w:separator/>
      </w:r>
    </w:p>
    <w:p w14:paraId="492848A0" w14:textId="77777777" w:rsidR="007442E0" w:rsidRDefault="007442E0"/>
  </w:footnote>
  <w:footnote w:type="continuationSeparator" w:id="0">
    <w:p w14:paraId="54064BE7" w14:textId="77777777" w:rsidR="007442E0" w:rsidRPr="005E0344" w:rsidRDefault="007442E0" w:rsidP="0090581D">
      <w:pPr>
        <w:spacing w:after="120"/>
        <w:rPr>
          <w:color w:val="000000" w:themeColor="text2"/>
        </w:rPr>
      </w:pPr>
      <w:r w:rsidRPr="005E0344">
        <w:rPr>
          <w:color w:val="000000" w:themeColor="text2"/>
        </w:rPr>
        <w:continuationSeparator/>
      </w:r>
    </w:p>
    <w:p w14:paraId="109ABF27" w14:textId="77777777" w:rsidR="007442E0" w:rsidRDefault="007442E0"/>
    <w:p w14:paraId="1BA3F3AB" w14:textId="77777777" w:rsidR="007442E0" w:rsidRDefault="007442E0"/>
  </w:footnote>
  <w:footnote w:type="continuationNotice" w:id="1">
    <w:p w14:paraId="3343741A" w14:textId="77777777" w:rsidR="007442E0" w:rsidRDefault="007442E0">
      <w:pPr>
        <w:spacing w:after="0"/>
      </w:pPr>
    </w:p>
    <w:p w14:paraId="3DC9CA69" w14:textId="77777777" w:rsidR="007442E0" w:rsidRDefault="007442E0"/>
    <w:p w14:paraId="0166E422" w14:textId="77777777" w:rsidR="007442E0" w:rsidRDefault="007442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C585" w14:textId="77777777" w:rsidR="006966CA" w:rsidRDefault="006966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927C" w14:textId="77777777" w:rsidR="006966CA" w:rsidRDefault="006966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6AE13744"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AA09A2">
          <w:rPr>
            <w:sz w:val="20"/>
            <w:szCs w:val="24"/>
          </w:rPr>
          <w:t>Safety Related Systems and Instrumentation</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F35B59">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06A39"/>
    <w:multiLevelType w:val="multilevel"/>
    <w:tmpl w:val="95E889A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i w:val="0"/>
        <w:iCs w:val="0"/>
        <w:sz w:val="22"/>
      </w:rPr>
    </w:lvl>
    <w:lvl w:ilvl="2">
      <w:start w:val="1"/>
      <w:numFmt w:val="decimal"/>
      <w:lvlText w:val="%1.%2.%3"/>
      <w:lvlJc w:val="left"/>
      <w:pPr>
        <w:tabs>
          <w:tab w:val="num" w:pos="-31680"/>
        </w:tabs>
        <w:ind w:left="1570" w:hanging="720"/>
      </w:pPr>
      <w:rPr>
        <w:rFonts w:ascii="Arial" w:hAnsi="Arial" w:cs="Arial" w:hint="default"/>
        <w:b w:val="0"/>
        <w:i w:val="0"/>
        <w:iCs w:val="0"/>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1B444C8"/>
    <w:multiLevelType w:val="hybridMultilevel"/>
    <w:tmpl w:val="E9DE891C"/>
    <w:lvl w:ilvl="0" w:tplc="121C3524">
      <w:start w:val="1"/>
      <w:numFmt w:val="decimal"/>
      <w:lvlText w:val="A1.%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447535"/>
    <w:multiLevelType w:val="multilevel"/>
    <w:tmpl w:val="BA782824"/>
    <w:lvl w:ilvl="0">
      <w:start w:val="1"/>
      <w:numFmt w:val="decimal"/>
      <w:pStyle w:val="F9-Paragraph"/>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5"/>
  </w:num>
  <w:num w:numId="13" w16cid:durableId="1367565994">
    <w:abstractNumId w:val="17"/>
  </w:num>
  <w:num w:numId="14" w16cid:durableId="1174225926">
    <w:abstractNumId w:val="14"/>
  </w:num>
  <w:num w:numId="15" w16cid:durableId="150562503">
    <w:abstractNumId w:val="25"/>
    <w:lvlOverride w:ilvl="0">
      <w:startOverride w:val="1"/>
    </w:lvlOverride>
  </w:num>
  <w:num w:numId="16" w16cid:durableId="708191280">
    <w:abstractNumId w:val="17"/>
    <w:lvlOverride w:ilvl="0">
      <w:startOverride w:val="1"/>
    </w:lvlOverride>
  </w:num>
  <w:num w:numId="17" w16cid:durableId="735981639">
    <w:abstractNumId w:val="14"/>
    <w:lvlOverride w:ilvl="0">
      <w:startOverride w:val="1"/>
    </w:lvlOverride>
  </w:num>
  <w:num w:numId="18" w16cid:durableId="966933876">
    <w:abstractNumId w:val="23"/>
  </w:num>
  <w:num w:numId="19" w16cid:durableId="985626502">
    <w:abstractNumId w:val="21"/>
  </w:num>
  <w:num w:numId="20" w16cid:durableId="2086879214">
    <w:abstractNumId w:val="13"/>
  </w:num>
  <w:num w:numId="21" w16cid:durableId="399718409">
    <w:abstractNumId w:val="27"/>
  </w:num>
  <w:num w:numId="22" w16cid:durableId="999388671">
    <w:abstractNumId w:val="20"/>
  </w:num>
  <w:num w:numId="23" w16cid:durableId="14912149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0"/>
  </w:num>
  <w:num w:numId="25" w16cid:durableId="20966315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8"/>
  </w:num>
  <w:num w:numId="27" w16cid:durableId="561334936">
    <w:abstractNumId w:val="11"/>
  </w:num>
  <w:num w:numId="28" w16cid:durableId="391512796">
    <w:abstractNumId w:val="10"/>
  </w:num>
  <w:num w:numId="29" w16cid:durableId="19601881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8"/>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9"/>
  </w:num>
  <w:num w:numId="33" w16cid:durableId="7413421">
    <w:abstractNumId w:val="26"/>
  </w:num>
  <w:num w:numId="34" w16cid:durableId="377974685">
    <w:abstractNumId w:val="22"/>
  </w:num>
  <w:num w:numId="35" w16cid:durableId="922030000">
    <w:abstractNumId w:val="16"/>
  </w:num>
  <w:num w:numId="36" w16cid:durableId="917787348">
    <w:abstractNumId w:val="15"/>
  </w:num>
  <w:num w:numId="37" w16cid:durableId="28723848">
    <w:abstractNumId w:val="24"/>
  </w:num>
  <w:num w:numId="38" w16cid:durableId="17990294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5604E"/>
    <w:rsid w:val="00075605"/>
    <w:rsid w:val="00075C66"/>
    <w:rsid w:val="00081114"/>
    <w:rsid w:val="00082879"/>
    <w:rsid w:val="00091EEA"/>
    <w:rsid w:val="000950B3"/>
    <w:rsid w:val="000A51C3"/>
    <w:rsid w:val="000B2BCD"/>
    <w:rsid w:val="000C2DDC"/>
    <w:rsid w:val="000D2FD4"/>
    <w:rsid w:val="000F1B7B"/>
    <w:rsid w:val="000F2ED4"/>
    <w:rsid w:val="000F3932"/>
    <w:rsid w:val="001028E8"/>
    <w:rsid w:val="00122FCC"/>
    <w:rsid w:val="00126752"/>
    <w:rsid w:val="00130B30"/>
    <w:rsid w:val="00131E06"/>
    <w:rsid w:val="001321E2"/>
    <w:rsid w:val="00136064"/>
    <w:rsid w:val="00140E1C"/>
    <w:rsid w:val="001447A9"/>
    <w:rsid w:val="00147AE4"/>
    <w:rsid w:val="0015407B"/>
    <w:rsid w:val="001565DF"/>
    <w:rsid w:val="001571E5"/>
    <w:rsid w:val="00177666"/>
    <w:rsid w:val="001849CA"/>
    <w:rsid w:val="00185410"/>
    <w:rsid w:val="00186973"/>
    <w:rsid w:val="00192352"/>
    <w:rsid w:val="001A0905"/>
    <w:rsid w:val="001C4BB5"/>
    <w:rsid w:val="001C4D63"/>
    <w:rsid w:val="001D0DE0"/>
    <w:rsid w:val="001D5AFF"/>
    <w:rsid w:val="001D74B4"/>
    <w:rsid w:val="001E03E1"/>
    <w:rsid w:val="001F059F"/>
    <w:rsid w:val="00200811"/>
    <w:rsid w:val="00200CA1"/>
    <w:rsid w:val="0021338D"/>
    <w:rsid w:val="00214D43"/>
    <w:rsid w:val="00221ED0"/>
    <w:rsid w:val="002238B4"/>
    <w:rsid w:val="002319AB"/>
    <w:rsid w:val="002319AC"/>
    <w:rsid w:val="00234342"/>
    <w:rsid w:val="00236B3B"/>
    <w:rsid w:val="0024040D"/>
    <w:rsid w:val="00245A0D"/>
    <w:rsid w:val="002552C8"/>
    <w:rsid w:val="00255FA3"/>
    <w:rsid w:val="00257288"/>
    <w:rsid w:val="00261FB6"/>
    <w:rsid w:val="002629F8"/>
    <w:rsid w:val="00263396"/>
    <w:rsid w:val="002659FA"/>
    <w:rsid w:val="00267815"/>
    <w:rsid w:val="00280DDF"/>
    <w:rsid w:val="00283FEB"/>
    <w:rsid w:val="00291103"/>
    <w:rsid w:val="002917FF"/>
    <w:rsid w:val="00292ADF"/>
    <w:rsid w:val="002A0DEC"/>
    <w:rsid w:val="002B1C53"/>
    <w:rsid w:val="002C1C3E"/>
    <w:rsid w:val="002E0BE4"/>
    <w:rsid w:val="002E3B58"/>
    <w:rsid w:val="002E3E8A"/>
    <w:rsid w:val="002E6A6A"/>
    <w:rsid w:val="002F3397"/>
    <w:rsid w:val="0030380D"/>
    <w:rsid w:val="003040C8"/>
    <w:rsid w:val="00312411"/>
    <w:rsid w:val="00323E71"/>
    <w:rsid w:val="00346C8E"/>
    <w:rsid w:val="00347CA8"/>
    <w:rsid w:val="00357A80"/>
    <w:rsid w:val="00367BD5"/>
    <w:rsid w:val="0037176F"/>
    <w:rsid w:val="00381082"/>
    <w:rsid w:val="0038761F"/>
    <w:rsid w:val="00390327"/>
    <w:rsid w:val="00392299"/>
    <w:rsid w:val="00393B78"/>
    <w:rsid w:val="003970B0"/>
    <w:rsid w:val="003A01E9"/>
    <w:rsid w:val="003C0306"/>
    <w:rsid w:val="003C0DD8"/>
    <w:rsid w:val="003C114C"/>
    <w:rsid w:val="003C18C4"/>
    <w:rsid w:val="003C465D"/>
    <w:rsid w:val="003C4FCC"/>
    <w:rsid w:val="003D28CA"/>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638C7"/>
    <w:rsid w:val="004648A4"/>
    <w:rsid w:val="00471380"/>
    <w:rsid w:val="00494F0D"/>
    <w:rsid w:val="00496BFD"/>
    <w:rsid w:val="004A3DF2"/>
    <w:rsid w:val="004A521F"/>
    <w:rsid w:val="004C361D"/>
    <w:rsid w:val="004C4891"/>
    <w:rsid w:val="004C6007"/>
    <w:rsid w:val="004D2C89"/>
    <w:rsid w:val="004E3932"/>
    <w:rsid w:val="004F1E79"/>
    <w:rsid w:val="004F5F33"/>
    <w:rsid w:val="0050103A"/>
    <w:rsid w:val="00511B0F"/>
    <w:rsid w:val="005208AE"/>
    <w:rsid w:val="00536721"/>
    <w:rsid w:val="005504C2"/>
    <w:rsid w:val="0055388E"/>
    <w:rsid w:val="005754AE"/>
    <w:rsid w:val="005763D7"/>
    <w:rsid w:val="00577FB5"/>
    <w:rsid w:val="005852D1"/>
    <w:rsid w:val="00587A22"/>
    <w:rsid w:val="00587E35"/>
    <w:rsid w:val="00590AC6"/>
    <w:rsid w:val="0059299D"/>
    <w:rsid w:val="0059328E"/>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E625A"/>
    <w:rsid w:val="005F2C85"/>
    <w:rsid w:val="00605ADB"/>
    <w:rsid w:val="00611B86"/>
    <w:rsid w:val="00611C9F"/>
    <w:rsid w:val="00621BF6"/>
    <w:rsid w:val="00627555"/>
    <w:rsid w:val="00627B76"/>
    <w:rsid w:val="006316C4"/>
    <w:rsid w:val="006322A0"/>
    <w:rsid w:val="006361FD"/>
    <w:rsid w:val="00637B24"/>
    <w:rsid w:val="0064226F"/>
    <w:rsid w:val="0064632D"/>
    <w:rsid w:val="00653298"/>
    <w:rsid w:val="00663A7C"/>
    <w:rsid w:val="00667DF2"/>
    <w:rsid w:val="00670DF1"/>
    <w:rsid w:val="00671345"/>
    <w:rsid w:val="006713AC"/>
    <w:rsid w:val="00672A9B"/>
    <w:rsid w:val="00674646"/>
    <w:rsid w:val="00675884"/>
    <w:rsid w:val="006966CA"/>
    <w:rsid w:val="00696D09"/>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32C7B"/>
    <w:rsid w:val="00734D2B"/>
    <w:rsid w:val="00737705"/>
    <w:rsid w:val="007405B2"/>
    <w:rsid w:val="007408D4"/>
    <w:rsid w:val="007420AC"/>
    <w:rsid w:val="00742617"/>
    <w:rsid w:val="007442E0"/>
    <w:rsid w:val="00783AFA"/>
    <w:rsid w:val="00785427"/>
    <w:rsid w:val="00790540"/>
    <w:rsid w:val="007968CA"/>
    <w:rsid w:val="007A43FF"/>
    <w:rsid w:val="007B3918"/>
    <w:rsid w:val="007C09A9"/>
    <w:rsid w:val="007C0AD9"/>
    <w:rsid w:val="007C3C1D"/>
    <w:rsid w:val="007D199A"/>
    <w:rsid w:val="007D2EBE"/>
    <w:rsid w:val="007E1A31"/>
    <w:rsid w:val="007E1C07"/>
    <w:rsid w:val="007F24B6"/>
    <w:rsid w:val="007F2A70"/>
    <w:rsid w:val="007F5EFE"/>
    <w:rsid w:val="007F6460"/>
    <w:rsid w:val="00803D94"/>
    <w:rsid w:val="00806D68"/>
    <w:rsid w:val="008229BA"/>
    <w:rsid w:val="008411D5"/>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67D3"/>
    <w:rsid w:val="008A2379"/>
    <w:rsid w:val="008A4329"/>
    <w:rsid w:val="008A578E"/>
    <w:rsid w:val="008B144E"/>
    <w:rsid w:val="008B1519"/>
    <w:rsid w:val="008B69E3"/>
    <w:rsid w:val="008B7BCC"/>
    <w:rsid w:val="008C50C3"/>
    <w:rsid w:val="008C7094"/>
    <w:rsid w:val="008D2B97"/>
    <w:rsid w:val="008D49A5"/>
    <w:rsid w:val="008D54BE"/>
    <w:rsid w:val="008D6C81"/>
    <w:rsid w:val="008E6CF0"/>
    <w:rsid w:val="008F1207"/>
    <w:rsid w:val="008F1439"/>
    <w:rsid w:val="008F660E"/>
    <w:rsid w:val="008F7051"/>
    <w:rsid w:val="008F75EF"/>
    <w:rsid w:val="009033A9"/>
    <w:rsid w:val="00904152"/>
    <w:rsid w:val="0090581D"/>
    <w:rsid w:val="0091439C"/>
    <w:rsid w:val="00920572"/>
    <w:rsid w:val="00920BF2"/>
    <w:rsid w:val="00926DE4"/>
    <w:rsid w:val="009349A9"/>
    <w:rsid w:val="00936C52"/>
    <w:rsid w:val="00944076"/>
    <w:rsid w:val="0095489B"/>
    <w:rsid w:val="00966FB9"/>
    <w:rsid w:val="009671CD"/>
    <w:rsid w:val="009751A9"/>
    <w:rsid w:val="00980F9C"/>
    <w:rsid w:val="0098632B"/>
    <w:rsid w:val="00997BFB"/>
    <w:rsid w:val="009A7348"/>
    <w:rsid w:val="009B220C"/>
    <w:rsid w:val="009B462C"/>
    <w:rsid w:val="009C15F3"/>
    <w:rsid w:val="009E07C2"/>
    <w:rsid w:val="009E0E52"/>
    <w:rsid w:val="009F72F9"/>
    <w:rsid w:val="00A00205"/>
    <w:rsid w:val="00A00AF0"/>
    <w:rsid w:val="00A14B5A"/>
    <w:rsid w:val="00A3567F"/>
    <w:rsid w:val="00A37698"/>
    <w:rsid w:val="00A41ED3"/>
    <w:rsid w:val="00A56C01"/>
    <w:rsid w:val="00A81D82"/>
    <w:rsid w:val="00A8606E"/>
    <w:rsid w:val="00A93021"/>
    <w:rsid w:val="00A93E33"/>
    <w:rsid w:val="00AA09A2"/>
    <w:rsid w:val="00AA6D10"/>
    <w:rsid w:val="00AB4683"/>
    <w:rsid w:val="00AB6970"/>
    <w:rsid w:val="00AC1939"/>
    <w:rsid w:val="00AC4514"/>
    <w:rsid w:val="00AC7C05"/>
    <w:rsid w:val="00AD167C"/>
    <w:rsid w:val="00AD17C7"/>
    <w:rsid w:val="00AD4041"/>
    <w:rsid w:val="00AD78FC"/>
    <w:rsid w:val="00AE302B"/>
    <w:rsid w:val="00AE3FCF"/>
    <w:rsid w:val="00AE4F54"/>
    <w:rsid w:val="00AF31F0"/>
    <w:rsid w:val="00B259DF"/>
    <w:rsid w:val="00B44B1F"/>
    <w:rsid w:val="00B470F3"/>
    <w:rsid w:val="00B50450"/>
    <w:rsid w:val="00B64141"/>
    <w:rsid w:val="00B64E72"/>
    <w:rsid w:val="00B73194"/>
    <w:rsid w:val="00B77913"/>
    <w:rsid w:val="00B824FB"/>
    <w:rsid w:val="00B82646"/>
    <w:rsid w:val="00B92E1A"/>
    <w:rsid w:val="00B97359"/>
    <w:rsid w:val="00B97A8F"/>
    <w:rsid w:val="00BA2A54"/>
    <w:rsid w:val="00BA4E58"/>
    <w:rsid w:val="00BA7074"/>
    <w:rsid w:val="00BB5EBA"/>
    <w:rsid w:val="00BB7829"/>
    <w:rsid w:val="00BD1457"/>
    <w:rsid w:val="00BD3825"/>
    <w:rsid w:val="00BE2AD9"/>
    <w:rsid w:val="00BF27FE"/>
    <w:rsid w:val="00BF4526"/>
    <w:rsid w:val="00C043B3"/>
    <w:rsid w:val="00C0492B"/>
    <w:rsid w:val="00C07818"/>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7290E"/>
    <w:rsid w:val="00C8773D"/>
    <w:rsid w:val="00C87ABB"/>
    <w:rsid w:val="00C91831"/>
    <w:rsid w:val="00C953DF"/>
    <w:rsid w:val="00CA2905"/>
    <w:rsid w:val="00CA7B44"/>
    <w:rsid w:val="00CD48E3"/>
    <w:rsid w:val="00CE1DB2"/>
    <w:rsid w:val="00CE2709"/>
    <w:rsid w:val="00CE2D64"/>
    <w:rsid w:val="00CE6198"/>
    <w:rsid w:val="00CF6230"/>
    <w:rsid w:val="00D017FC"/>
    <w:rsid w:val="00D0226A"/>
    <w:rsid w:val="00D1256B"/>
    <w:rsid w:val="00D13147"/>
    <w:rsid w:val="00D5715A"/>
    <w:rsid w:val="00D64229"/>
    <w:rsid w:val="00D71687"/>
    <w:rsid w:val="00D74813"/>
    <w:rsid w:val="00DA30BC"/>
    <w:rsid w:val="00DA69C2"/>
    <w:rsid w:val="00DA6D70"/>
    <w:rsid w:val="00DB6050"/>
    <w:rsid w:val="00DC2C34"/>
    <w:rsid w:val="00DC4909"/>
    <w:rsid w:val="00DE2C87"/>
    <w:rsid w:val="00DE2D67"/>
    <w:rsid w:val="00DE459A"/>
    <w:rsid w:val="00DF27DA"/>
    <w:rsid w:val="00DF4DBE"/>
    <w:rsid w:val="00E01077"/>
    <w:rsid w:val="00E20B32"/>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84CFC"/>
    <w:rsid w:val="00E90780"/>
    <w:rsid w:val="00E92383"/>
    <w:rsid w:val="00E9489D"/>
    <w:rsid w:val="00EA1605"/>
    <w:rsid w:val="00EA1B3A"/>
    <w:rsid w:val="00EA2109"/>
    <w:rsid w:val="00ED4D4E"/>
    <w:rsid w:val="00EE0C77"/>
    <w:rsid w:val="00EE4E54"/>
    <w:rsid w:val="00F012F5"/>
    <w:rsid w:val="00F3075C"/>
    <w:rsid w:val="00F3284E"/>
    <w:rsid w:val="00F35B59"/>
    <w:rsid w:val="00F37740"/>
    <w:rsid w:val="00F436BB"/>
    <w:rsid w:val="00F43A4E"/>
    <w:rsid w:val="00F44BEF"/>
    <w:rsid w:val="00F47145"/>
    <w:rsid w:val="00F545BF"/>
    <w:rsid w:val="00F56152"/>
    <w:rsid w:val="00F60BD9"/>
    <w:rsid w:val="00F61B86"/>
    <w:rsid w:val="00F63AA5"/>
    <w:rsid w:val="00F71B56"/>
    <w:rsid w:val="00F7687C"/>
    <w:rsid w:val="00F832C8"/>
    <w:rsid w:val="00F873B3"/>
    <w:rsid w:val="00F96729"/>
    <w:rsid w:val="00FA42B9"/>
    <w:rsid w:val="00FA755A"/>
    <w:rsid w:val="00FB2B0F"/>
    <w:rsid w:val="00FB3F53"/>
    <w:rsid w:val="00FB4F6B"/>
    <w:rsid w:val="00FB5FE1"/>
    <w:rsid w:val="00FC0E8D"/>
    <w:rsid w:val="00FC46E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4C600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4C600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4C600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4C600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C600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C6007"/>
    <w:rPr>
      <w:rFonts w:ascii="Arial" w:eastAsia="Times New Roman" w:hAnsi="Arial"/>
      <w:sz w:val="22"/>
      <w:szCs w:val="22"/>
      <w:lang w:eastAsia="en-US"/>
    </w:rPr>
  </w:style>
  <w:style w:type="paragraph" w:customStyle="1" w:styleId="TSHeadingNumbered1">
    <w:name w:val="TS Heading Numbered 1"/>
    <w:basedOn w:val="Normal"/>
    <w:rsid w:val="004C600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4C6007"/>
  </w:style>
  <w:style w:type="paragraph" w:customStyle="1" w:styleId="TSHeadingNumbered111">
    <w:name w:val="TS Heading Numbered 1.1.1"/>
    <w:basedOn w:val="TSHeadingNumbered1"/>
    <w:rsid w:val="004C6007"/>
    <w:pPr>
      <w:ind w:left="1570"/>
    </w:pPr>
  </w:style>
  <w:style w:type="paragraph" w:customStyle="1" w:styleId="TSHeadingNumbered1111">
    <w:name w:val="TS Heading Numbered 1.1.1.1"/>
    <w:basedOn w:val="TSHeadingNumbered1"/>
    <w:rsid w:val="004C6007"/>
  </w:style>
  <w:style w:type="paragraph" w:customStyle="1" w:styleId="TSNumberedParagraph11">
    <w:name w:val="TS Numbered Paragraph 1.1"/>
    <w:basedOn w:val="TSHeadingNumbered11"/>
    <w:rsid w:val="004C6007"/>
    <w:pPr>
      <w:numPr>
        <w:ilvl w:val="1"/>
      </w:numPr>
      <w:tabs>
        <w:tab w:val="num" w:pos="-31680"/>
      </w:tabs>
      <w:ind w:left="720" w:hanging="720"/>
    </w:pPr>
    <w:rPr>
      <w:rFonts w:ascii="Arial" w:hAnsi="Arial"/>
      <w:b w:val="0"/>
      <w:caps w:val="0"/>
    </w:rPr>
  </w:style>
  <w:style w:type="paragraph" w:customStyle="1" w:styleId="Principle">
    <w:name w:val="Principle"/>
    <w:basedOn w:val="Normal"/>
    <w:next w:val="Normal"/>
    <w:rsid w:val="005E625A"/>
    <w:pPr>
      <w:autoSpaceDE w:val="0"/>
      <w:autoSpaceDN w:val="0"/>
      <w:adjustRightInd w:val="0"/>
      <w:spacing w:after="0" w:line="240" w:lineRule="auto"/>
    </w:pPr>
    <w:rPr>
      <w:rFonts w:eastAsia="Times New Roman" w:cs="Times New Roman"/>
      <w:sz w:val="22"/>
      <w:szCs w:val="24"/>
      <w:lang w:eastAsia="en-GB" w:bidi="ar-SA"/>
    </w:rPr>
  </w:style>
  <w:style w:type="character" w:customStyle="1" w:styleId="ONRNormalChar">
    <w:name w:val="ONR Normal Char"/>
    <w:link w:val="ONRNormal"/>
    <w:rsid w:val="005E625A"/>
    <w:rPr>
      <w:rFonts w:ascii="Arial" w:hAnsi="Arial"/>
      <w:sz w:val="22"/>
      <w:szCs w:val="22"/>
      <w:lang w:eastAsia="en-US"/>
    </w:rPr>
  </w:style>
  <w:style w:type="paragraph" w:customStyle="1" w:styleId="ONRNormal">
    <w:name w:val="ONR Normal"/>
    <w:link w:val="ONRNormalChar"/>
    <w:rsid w:val="005E625A"/>
    <w:pPr>
      <w:spacing w:after="120"/>
    </w:pPr>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18699632">
      <w:bodyDiv w:val="1"/>
      <w:marLeft w:val="0"/>
      <w:marRight w:val="0"/>
      <w:marTop w:val="0"/>
      <w:marBottom w:val="0"/>
      <w:divBdr>
        <w:top w:val="none" w:sz="0" w:space="0" w:color="auto"/>
        <w:left w:val="none" w:sz="0" w:space="0" w:color="auto"/>
        <w:bottom w:val="none" w:sz="0" w:space="0" w:color="auto"/>
        <w:right w:val="none" w:sz="0" w:space="0" w:color="auto"/>
      </w:divBdr>
    </w:div>
    <w:div w:id="2760670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5564885">
      <w:bodyDiv w:val="1"/>
      <w:marLeft w:val="0"/>
      <w:marRight w:val="0"/>
      <w:marTop w:val="0"/>
      <w:marBottom w:val="0"/>
      <w:divBdr>
        <w:top w:val="none" w:sz="0" w:space="0" w:color="auto"/>
        <w:left w:val="none" w:sz="0" w:space="0" w:color="auto"/>
        <w:bottom w:val="none" w:sz="0" w:space="0" w:color="auto"/>
        <w:right w:val="none" w:sz="0" w:space="0" w:color="auto"/>
      </w:divBdr>
    </w:div>
    <w:div w:id="126514109">
      <w:bodyDiv w:val="1"/>
      <w:marLeft w:val="0"/>
      <w:marRight w:val="0"/>
      <w:marTop w:val="0"/>
      <w:marBottom w:val="0"/>
      <w:divBdr>
        <w:top w:val="none" w:sz="0" w:space="0" w:color="auto"/>
        <w:left w:val="none" w:sz="0" w:space="0" w:color="auto"/>
        <w:bottom w:val="none" w:sz="0" w:space="0" w:color="auto"/>
        <w:right w:val="none" w:sz="0" w:space="0" w:color="auto"/>
      </w:divBdr>
    </w:div>
    <w:div w:id="19696781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119">
      <w:bodyDiv w:val="1"/>
      <w:marLeft w:val="0"/>
      <w:marRight w:val="0"/>
      <w:marTop w:val="0"/>
      <w:marBottom w:val="0"/>
      <w:divBdr>
        <w:top w:val="none" w:sz="0" w:space="0" w:color="auto"/>
        <w:left w:val="none" w:sz="0" w:space="0" w:color="auto"/>
        <w:bottom w:val="none" w:sz="0" w:space="0" w:color="auto"/>
        <w:right w:val="none" w:sz="0" w:space="0" w:color="auto"/>
      </w:divBdr>
    </w:div>
    <w:div w:id="274137344">
      <w:bodyDiv w:val="1"/>
      <w:marLeft w:val="0"/>
      <w:marRight w:val="0"/>
      <w:marTop w:val="0"/>
      <w:marBottom w:val="0"/>
      <w:divBdr>
        <w:top w:val="none" w:sz="0" w:space="0" w:color="auto"/>
        <w:left w:val="none" w:sz="0" w:space="0" w:color="auto"/>
        <w:bottom w:val="none" w:sz="0" w:space="0" w:color="auto"/>
        <w:right w:val="none" w:sz="0" w:space="0" w:color="auto"/>
      </w:divBdr>
    </w:div>
    <w:div w:id="275913408">
      <w:bodyDiv w:val="1"/>
      <w:marLeft w:val="0"/>
      <w:marRight w:val="0"/>
      <w:marTop w:val="0"/>
      <w:marBottom w:val="0"/>
      <w:divBdr>
        <w:top w:val="none" w:sz="0" w:space="0" w:color="auto"/>
        <w:left w:val="none" w:sz="0" w:space="0" w:color="auto"/>
        <w:bottom w:val="none" w:sz="0" w:space="0" w:color="auto"/>
        <w:right w:val="none" w:sz="0" w:space="0" w:color="auto"/>
      </w:divBdr>
    </w:div>
    <w:div w:id="2913279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16564457">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699839">
      <w:bodyDiv w:val="1"/>
      <w:marLeft w:val="0"/>
      <w:marRight w:val="0"/>
      <w:marTop w:val="0"/>
      <w:marBottom w:val="0"/>
      <w:divBdr>
        <w:top w:val="none" w:sz="0" w:space="0" w:color="auto"/>
        <w:left w:val="none" w:sz="0" w:space="0" w:color="auto"/>
        <w:bottom w:val="none" w:sz="0" w:space="0" w:color="auto"/>
        <w:right w:val="none" w:sz="0" w:space="0" w:color="auto"/>
      </w:divBdr>
    </w:div>
    <w:div w:id="52166666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8566928">
      <w:bodyDiv w:val="1"/>
      <w:marLeft w:val="0"/>
      <w:marRight w:val="0"/>
      <w:marTop w:val="0"/>
      <w:marBottom w:val="0"/>
      <w:divBdr>
        <w:top w:val="none" w:sz="0" w:space="0" w:color="auto"/>
        <w:left w:val="none" w:sz="0" w:space="0" w:color="auto"/>
        <w:bottom w:val="none" w:sz="0" w:space="0" w:color="auto"/>
        <w:right w:val="none" w:sz="0" w:space="0" w:color="auto"/>
      </w:divBdr>
    </w:div>
    <w:div w:id="607588022">
      <w:bodyDiv w:val="1"/>
      <w:marLeft w:val="0"/>
      <w:marRight w:val="0"/>
      <w:marTop w:val="0"/>
      <w:marBottom w:val="0"/>
      <w:divBdr>
        <w:top w:val="none" w:sz="0" w:space="0" w:color="auto"/>
        <w:left w:val="none" w:sz="0" w:space="0" w:color="auto"/>
        <w:bottom w:val="none" w:sz="0" w:space="0" w:color="auto"/>
        <w:right w:val="none" w:sz="0" w:space="0" w:color="auto"/>
      </w:divBdr>
    </w:div>
    <w:div w:id="628509423">
      <w:bodyDiv w:val="1"/>
      <w:marLeft w:val="0"/>
      <w:marRight w:val="0"/>
      <w:marTop w:val="0"/>
      <w:marBottom w:val="0"/>
      <w:divBdr>
        <w:top w:val="none" w:sz="0" w:space="0" w:color="auto"/>
        <w:left w:val="none" w:sz="0" w:space="0" w:color="auto"/>
        <w:bottom w:val="none" w:sz="0" w:space="0" w:color="auto"/>
        <w:right w:val="none" w:sz="0" w:space="0" w:color="auto"/>
      </w:divBdr>
    </w:div>
    <w:div w:id="667975618">
      <w:bodyDiv w:val="1"/>
      <w:marLeft w:val="0"/>
      <w:marRight w:val="0"/>
      <w:marTop w:val="0"/>
      <w:marBottom w:val="0"/>
      <w:divBdr>
        <w:top w:val="none" w:sz="0" w:space="0" w:color="auto"/>
        <w:left w:val="none" w:sz="0" w:space="0" w:color="auto"/>
        <w:bottom w:val="none" w:sz="0" w:space="0" w:color="auto"/>
        <w:right w:val="none" w:sz="0" w:space="0" w:color="auto"/>
      </w:divBdr>
    </w:div>
    <w:div w:id="714279518">
      <w:bodyDiv w:val="1"/>
      <w:marLeft w:val="0"/>
      <w:marRight w:val="0"/>
      <w:marTop w:val="0"/>
      <w:marBottom w:val="0"/>
      <w:divBdr>
        <w:top w:val="none" w:sz="0" w:space="0" w:color="auto"/>
        <w:left w:val="none" w:sz="0" w:space="0" w:color="auto"/>
        <w:bottom w:val="none" w:sz="0" w:space="0" w:color="auto"/>
        <w:right w:val="none" w:sz="0" w:space="0" w:color="auto"/>
      </w:divBdr>
    </w:div>
    <w:div w:id="714280300">
      <w:bodyDiv w:val="1"/>
      <w:marLeft w:val="0"/>
      <w:marRight w:val="0"/>
      <w:marTop w:val="0"/>
      <w:marBottom w:val="0"/>
      <w:divBdr>
        <w:top w:val="none" w:sz="0" w:space="0" w:color="auto"/>
        <w:left w:val="none" w:sz="0" w:space="0" w:color="auto"/>
        <w:bottom w:val="none" w:sz="0" w:space="0" w:color="auto"/>
        <w:right w:val="none" w:sz="0" w:space="0" w:color="auto"/>
      </w:divBdr>
    </w:div>
    <w:div w:id="71501214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39790747">
      <w:bodyDiv w:val="1"/>
      <w:marLeft w:val="0"/>
      <w:marRight w:val="0"/>
      <w:marTop w:val="0"/>
      <w:marBottom w:val="0"/>
      <w:divBdr>
        <w:top w:val="none" w:sz="0" w:space="0" w:color="auto"/>
        <w:left w:val="none" w:sz="0" w:space="0" w:color="auto"/>
        <w:bottom w:val="none" w:sz="0" w:space="0" w:color="auto"/>
        <w:right w:val="none" w:sz="0" w:space="0" w:color="auto"/>
      </w:divBdr>
    </w:div>
    <w:div w:id="865873298">
      <w:bodyDiv w:val="1"/>
      <w:marLeft w:val="0"/>
      <w:marRight w:val="0"/>
      <w:marTop w:val="0"/>
      <w:marBottom w:val="0"/>
      <w:divBdr>
        <w:top w:val="none" w:sz="0" w:space="0" w:color="auto"/>
        <w:left w:val="none" w:sz="0" w:space="0" w:color="auto"/>
        <w:bottom w:val="none" w:sz="0" w:space="0" w:color="auto"/>
        <w:right w:val="none" w:sz="0" w:space="0" w:color="auto"/>
      </w:divBdr>
    </w:div>
    <w:div w:id="877550939">
      <w:bodyDiv w:val="1"/>
      <w:marLeft w:val="0"/>
      <w:marRight w:val="0"/>
      <w:marTop w:val="0"/>
      <w:marBottom w:val="0"/>
      <w:divBdr>
        <w:top w:val="none" w:sz="0" w:space="0" w:color="auto"/>
        <w:left w:val="none" w:sz="0" w:space="0" w:color="auto"/>
        <w:bottom w:val="none" w:sz="0" w:space="0" w:color="auto"/>
        <w:right w:val="none" w:sz="0" w:space="0" w:color="auto"/>
      </w:divBdr>
    </w:div>
    <w:div w:id="951320802">
      <w:bodyDiv w:val="1"/>
      <w:marLeft w:val="0"/>
      <w:marRight w:val="0"/>
      <w:marTop w:val="0"/>
      <w:marBottom w:val="0"/>
      <w:divBdr>
        <w:top w:val="none" w:sz="0" w:space="0" w:color="auto"/>
        <w:left w:val="none" w:sz="0" w:space="0" w:color="auto"/>
        <w:bottom w:val="none" w:sz="0" w:space="0" w:color="auto"/>
        <w:right w:val="none" w:sz="0" w:space="0" w:color="auto"/>
      </w:divBdr>
    </w:div>
    <w:div w:id="956374432">
      <w:bodyDiv w:val="1"/>
      <w:marLeft w:val="0"/>
      <w:marRight w:val="0"/>
      <w:marTop w:val="0"/>
      <w:marBottom w:val="0"/>
      <w:divBdr>
        <w:top w:val="none" w:sz="0" w:space="0" w:color="auto"/>
        <w:left w:val="none" w:sz="0" w:space="0" w:color="auto"/>
        <w:bottom w:val="none" w:sz="0" w:space="0" w:color="auto"/>
        <w:right w:val="none" w:sz="0" w:space="0" w:color="auto"/>
      </w:divBdr>
    </w:div>
    <w:div w:id="96346239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7878765">
      <w:bodyDiv w:val="1"/>
      <w:marLeft w:val="0"/>
      <w:marRight w:val="0"/>
      <w:marTop w:val="0"/>
      <w:marBottom w:val="0"/>
      <w:divBdr>
        <w:top w:val="none" w:sz="0" w:space="0" w:color="auto"/>
        <w:left w:val="none" w:sz="0" w:space="0" w:color="auto"/>
        <w:bottom w:val="none" w:sz="0" w:space="0" w:color="auto"/>
        <w:right w:val="none" w:sz="0" w:space="0" w:color="auto"/>
      </w:divBdr>
    </w:div>
    <w:div w:id="1008025510">
      <w:bodyDiv w:val="1"/>
      <w:marLeft w:val="0"/>
      <w:marRight w:val="0"/>
      <w:marTop w:val="0"/>
      <w:marBottom w:val="0"/>
      <w:divBdr>
        <w:top w:val="none" w:sz="0" w:space="0" w:color="auto"/>
        <w:left w:val="none" w:sz="0" w:space="0" w:color="auto"/>
        <w:bottom w:val="none" w:sz="0" w:space="0" w:color="auto"/>
        <w:right w:val="none" w:sz="0" w:space="0" w:color="auto"/>
      </w:divBdr>
    </w:div>
    <w:div w:id="1033846961">
      <w:bodyDiv w:val="1"/>
      <w:marLeft w:val="0"/>
      <w:marRight w:val="0"/>
      <w:marTop w:val="0"/>
      <w:marBottom w:val="0"/>
      <w:divBdr>
        <w:top w:val="none" w:sz="0" w:space="0" w:color="auto"/>
        <w:left w:val="none" w:sz="0" w:space="0" w:color="auto"/>
        <w:bottom w:val="none" w:sz="0" w:space="0" w:color="auto"/>
        <w:right w:val="none" w:sz="0" w:space="0" w:color="auto"/>
      </w:divBdr>
    </w:div>
    <w:div w:id="1087920397">
      <w:bodyDiv w:val="1"/>
      <w:marLeft w:val="0"/>
      <w:marRight w:val="0"/>
      <w:marTop w:val="0"/>
      <w:marBottom w:val="0"/>
      <w:divBdr>
        <w:top w:val="none" w:sz="0" w:space="0" w:color="auto"/>
        <w:left w:val="none" w:sz="0" w:space="0" w:color="auto"/>
        <w:bottom w:val="none" w:sz="0" w:space="0" w:color="auto"/>
        <w:right w:val="none" w:sz="0" w:space="0" w:color="auto"/>
      </w:divBdr>
    </w:div>
    <w:div w:id="1095175894">
      <w:bodyDiv w:val="1"/>
      <w:marLeft w:val="0"/>
      <w:marRight w:val="0"/>
      <w:marTop w:val="0"/>
      <w:marBottom w:val="0"/>
      <w:divBdr>
        <w:top w:val="none" w:sz="0" w:space="0" w:color="auto"/>
        <w:left w:val="none" w:sz="0" w:space="0" w:color="auto"/>
        <w:bottom w:val="none" w:sz="0" w:space="0" w:color="auto"/>
        <w:right w:val="none" w:sz="0" w:space="0" w:color="auto"/>
      </w:divBdr>
    </w:div>
    <w:div w:id="1097677049">
      <w:bodyDiv w:val="1"/>
      <w:marLeft w:val="0"/>
      <w:marRight w:val="0"/>
      <w:marTop w:val="0"/>
      <w:marBottom w:val="0"/>
      <w:divBdr>
        <w:top w:val="none" w:sz="0" w:space="0" w:color="auto"/>
        <w:left w:val="none" w:sz="0" w:space="0" w:color="auto"/>
        <w:bottom w:val="none" w:sz="0" w:space="0" w:color="auto"/>
        <w:right w:val="none" w:sz="0" w:space="0" w:color="auto"/>
      </w:divBdr>
    </w:div>
    <w:div w:id="109879251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3503017">
      <w:bodyDiv w:val="1"/>
      <w:marLeft w:val="0"/>
      <w:marRight w:val="0"/>
      <w:marTop w:val="0"/>
      <w:marBottom w:val="0"/>
      <w:divBdr>
        <w:top w:val="none" w:sz="0" w:space="0" w:color="auto"/>
        <w:left w:val="none" w:sz="0" w:space="0" w:color="auto"/>
        <w:bottom w:val="none" w:sz="0" w:space="0" w:color="auto"/>
        <w:right w:val="none" w:sz="0" w:space="0" w:color="auto"/>
      </w:divBdr>
    </w:div>
    <w:div w:id="1191459289">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3737758">
      <w:bodyDiv w:val="1"/>
      <w:marLeft w:val="0"/>
      <w:marRight w:val="0"/>
      <w:marTop w:val="0"/>
      <w:marBottom w:val="0"/>
      <w:divBdr>
        <w:top w:val="none" w:sz="0" w:space="0" w:color="auto"/>
        <w:left w:val="none" w:sz="0" w:space="0" w:color="auto"/>
        <w:bottom w:val="none" w:sz="0" w:space="0" w:color="auto"/>
        <w:right w:val="none" w:sz="0" w:space="0" w:color="auto"/>
      </w:divBdr>
    </w:div>
    <w:div w:id="1242063151">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3125846">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1667990">
      <w:bodyDiv w:val="1"/>
      <w:marLeft w:val="0"/>
      <w:marRight w:val="0"/>
      <w:marTop w:val="0"/>
      <w:marBottom w:val="0"/>
      <w:divBdr>
        <w:top w:val="none" w:sz="0" w:space="0" w:color="auto"/>
        <w:left w:val="none" w:sz="0" w:space="0" w:color="auto"/>
        <w:bottom w:val="none" w:sz="0" w:space="0" w:color="auto"/>
        <w:right w:val="none" w:sz="0" w:space="0" w:color="auto"/>
      </w:divBdr>
    </w:div>
    <w:div w:id="1312560164">
      <w:bodyDiv w:val="1"/>
      <w:marLeft w:val="0"/>
      <w:marRight w:val="0"/>
      <w:marTop w:val="0"/>
      <w:marBottom w:val="0"/>
      <w:divBdr>
        <w:top w:val="none" w:sz="0" w:space="0" w:color="auto"/>
        <w:left w:val="none" w:sz="0" w:space="0" w:color="auto"/>
        <w:bottom w:val="none" w:sz="0" w:space="0" w:color="auto"/>
        <w:right w:val="none" w:sz="0" w:space="0" w:color="auto"/>
      </w:divBdr>
    </w:div>
    <w:div w:id="133287185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6616607">
      <w:bodyDiv w:val="1"/>
      <w:marLeft w:val="0"/>
      <w:marRight w:val="0"/>
      <w:marTop w:val="0"/>
      <w:marBottom w:val="0"/>
      <w:divBdr>
        <w:top w:val="none" w:sz="0" w:space="0" w:color="auto"/>
        <w:left w:val="none" w:sz="0" w:space="0" w:color="auto"/>
        <w:bottom w:val="none" w:sz="0" w:space="0" w:color="auto"/>
        <w:right w:val="none" w:sz="0" w:space="0" w:color="auto"/>
      </w:divBdr>
    </w:div>
    <w:div w:id="1361129454">
      <w:bodyDiv w:val="1"/>
      <w:marLeft w:val="0"/>
      <w:marRight w:val="0"/>
      <w:marTop w:val="0"/>
      <w:marBottom w:val="0"/>
      <w:divBdr>
        <w:top w:val="none" w:sz="0" w:space="0" w:color="auto"/>
        <w:left w:val="none" w:sz="0" w:space="0" w:color="auto"/>
        <w:bottom w:val="none" w:sz="0" w:space="0" w:color="auto"/>
        <w:right w:val="none" w:sz="0" w:space="0" w:color="auto"/>
      </w:divBdr>
    </w:div>
    <w:div w:id="1388068641">
      <w:bodyDiv w:val="1"/>
      <w:marLeft w:val="0"/>
      <w:marRight w:val="0"/>
      <w:marTop w:val="0"/>
      <w:marBottom w:val="0"/>
      <w:divBdr>
        <w:top w:val="none" w:sz="0" w:space="0" w:color="auto"/>
        <w:left w:val="none" w:sz="0" w:space="0" w:color="auto"/>
        <w:bottom w:val="none" w:sz="0" w:space="0" w:color="auto"/>
        <w:right w:val="none" w:sz="0" w:space="0" w:color="auto"/>
      </w:divBdr>
    </w:div>
    <w:div w:id="140394078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7772878">
      <w:bodyDiv w:val="1"/>
      <w:marLeft w:val="0"/>
      <w:marRight w:val="0"/>
      <w:marTop w:val="0"/>
      <w:marBottom w:val="0"/>
      <w:divBdr>
        <w:top w:val="none" w:sz="0" w:space="0" w:color="auto"/>
        <w:left w:val="none" w:sz="0" w:space="0" w:color="auto"/>
        <w:bottom w:val="none" w:sz="0" w:space="0" w:color="auto"/>
        <w:right w:val="none" w:sz="0" w:space="0" w:color="auto"/>
      </w:divBdr>
    </w:div>
    <w:div w:id="1455640012">
      <w:bodyDiv w:val="1"/>
      <w:marLeft w:val="0"/>
      <w:marRight w:val="0"/>
      <w:marTop w:val="0"/>
      <w:marBottom w:val="0"/>
      <w:divBdr>
        <w:top w:val="none" w:sz="0" w:space="0" w:color="auto"/>
        <w:left w:val="none" w:sz="0" w:space="0" w:color="auto"/>
        <w:bottom w:val="none" w:sz="0" w:space="0" w:color="auto"/>
        <w:right w:val="none" w:sz="0" w:space="0" w:color="auto"/>
      </w:divBdr>
    </w:div>
    <w:div w:id="1460224525">
      <w:bodyDiv w:val="1"/>
      <w:marLeft w:val="0"/>
      <w:marRight w:val="0"/>
      <w:marTop w:val="0"/>
      <w:marBottom w:val="0"/>
      <w:divBdr>
        <w:top w:val="none" w:sz="0" w:space="0" w:color="auto"/>
        <w:left w:val="none" w:sz="0" w:space="0" w:color="auto"/>
        <w:bottom w:val="none" w:sz="0" w:space="0" w:color="auto"/>
        <w:right w:val="none" w:sz="0" w:space="0" w:color="auto"/>
      </w:divBdr>
    </w:div>
    <w:div w:id="1477143950">
      <w:bodyDiv w:val="1"/>
      <w:marLeft w:val="0"/>
      <w:marRight w:val="0"/>
      <w:marTop w:val="0"/>
      <w:marBottom w:val="0"/>
      <w:divBdr>
        <w:top w:val="none" w:sz="0" w:space="0" w:color="auto"/>
        <w:left w:val="none" w:sz="0" w:space="0" w:color="auto"/>
        <w:bottom w:val="none" w:sz="0" w:space="0" w:color="auto"/>
        <w:right w:val="none" w:sz="0" w:space="0" w:color="auto"/>
      </w:divBdr>
    </w:div>
    <w:div w:id="1495803161">
      <w:bodyDiv w:val="1"/>
      <w:marLeft w:val="0"/>
      <w:marRight w:val="0"/>
      <w:marTop w:val="0"/>
      <w:marBottom w:val="0"/>
      <w:divBdr>
        <w:top w:val="none" w:sz="0" w:space="0" w:color="auto"/>
        <w:left w:val="none" w:sz="0" w:space="0" w:color="auto"/>
        <w:bottom w:val="none" w:sz="0" w:space="0" w:color="auto"/>
        <w:right w:val="none" w:sz="0" w:space="0" w:color="auto"/>
      </w:divBdr>
    </w:div>
    <w:div w:id="1513569020">
      <w:bodyDiv w:val="1"/>
      <w:marLeft w:val="0"/>
      <w:marRight w:val="0"/>
      <w:marTop w:val="0"/>
      <w:marBottom w:val="0"/>
      <w:divBdr>
        <w:top w:val="none" w:sz="0" w:space="0" w:color="auto"/>
        <w:left w:val="none" w:sz="0" w:space="0" w:color="auto"/>
        <w:bottom w:val="none" w:sz="0" w:space="0" w:color="auto"/>
        <w:right w:val="none" w:sz="0" w:space="0" w:color="auto"/>
      </w:divBdr>
    </w:div>
    <w:div w:id="1577284222">
      <w:bodyDiv w:val="1"/>
      <w:marLeft w:val="0"/>
      <w:marRight w:val="0"/>
      <w:marTop w:val="0"/>
      <w:marBottom w:val="0"/>
      <w:divBdr>
        <w:top w:val="none" w:sz="0" w:space="0" w:color="auto"/>
        <w:left w:val="none" w:sz="0" w:space="0" w:color="auto"/>
        <w:bottom w:val="none" w:sz="0" w:space="0" w:color="auto"/>
        <w:right w:val="none" w:sz="0" w:space="0" w:color="auto"/>
      </w:divBdr>
    </w:div>
    <w:div w:id="1601601519">
      <w:bodyDiv w:val="1"/>
      <w:marLeft w:val="0"/>
      <w:marRight w:val="0"/>
      <w:marTop w:val="0"/>
      <w:marBottom w:val="0"/>
      <w:divBdr>
        <w:top w:val="none" w:sz="0" w:space="0" w:color="auto"/>
        <w:left w:val="none" w:sz="0" w:space="0" w:color="auto"/>
        <w:bottom w:val="none" w:sz="0" w:space="0" w:color="auto"/>
        <w:right w:val="none" w:sz="0" w:space="0" w:color="auto"/>
      </w:divBdr>
    </w:div>
    <w:div w:id="160303340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6136610">
      <w:bodyDiv w:val="1"/>
      <w:marLeft w:val="0"/>
      <w:marRight w:val="0"/>
      <w:marTop w:val="0"/>
      <w:marBottom w:val="0"/>
      <w:divBdr>
        <w:top w:val="none" w:sz="0" w:space="0" w:color="auto"/>
        <w:left w:val="none" w:sz="0" w:space="0" w:color="auto"/>
        <w:bottom w:val="none" w:sz="0" w:space="0" w:color="auto"/>
        <w:right w:val="none" w:sz="0" w:space="0" w:color="auto"/>
      </w:divBdr>
    </w:div>
    <w:div w:id="1661544250">
      <w:bodyDiv w:val="1"/>
      <w:marLeft w:val="0"/>
      <w:marRight w:val="0"/>
      <w:marTop w:val="0"/>
      <w:marBottom w:val="0"/>
      <w:divBdr>
        <w:top w:val="none" w:sz="0" w:space="0" w:color="auto"/>
        <w:left w:val="none" w:sz="0" w:space="0" w:color="auto"/>
        <w:bottom w:val="none" w:sz="0" w:space="0" w:color="auto"/>
        <w:right w:val="none" w:sz="0" w:space="0" w:color="auto"/>
      </w:divBdr>
    </w:div>
    <w:div w:id="1709794609">
      <w:bodyDiv w:val="1"/>
      <w:marLeft w:val="0"/>
      <w:marRight w:val="0"/>
      <w:marTop w:val="0"/>
      <w:marBottom w:val="0"/>
      <w:divBdr>
        <w:top w:val="none" w:sz="0" w:space="0" w:color="auto"/>
        <w:left w:val="none" w:sz="0" w:space="0" w:color="auto"/>
        <w:bottom w:val="none" w:sz="0" w:space="0" w:color="auto"/>
        <w:right w:val="none" w:sz="0" w:space="0" w:color="auto"/>
      </w:divBdr>
    </w:div>
    <w:div w:id="1718697576">
      <w:bodyDiv w:val="1"/>
      <w:marLeft w:val="0"/>
      <w:marRight w:val="0"/>
      <w:marTop w:val="0"/>
      <w:marBottom w:val="0"/>
      <w:divBdr>
        <w:top w:val="none" w:sz="0" w:space="0" w:color="auto"/>
        <w:left w:val="none" w:sz="0" w:space="0" w:color="auto"/>
        <w:bottom w:val="none" w:sz="0" w:space="0" w:color="auto"/>
        <w:right w:val="none" w:sz="0" w:space="0" w:color="auto"/>
      </w:divBdr>
    </w:div>
    <w:div w:id="1738287248">
      <w:bodyDiv w:val="1"/>
      <w:marLeft w:val="0"/>
      <w:marRight w:val="0"/>
      <w:marTop w:val="0"/>
      <w:marBottom w:val="0"/>
      <w:divBdr>
        <w:top w:val="none" w:sz="0" w:space="0" w:color="auto"/>
        <w:left w:val="none" w:sz="0" w:space="0" w:color="auto"/>
        <w:bottom w:val="none" w:sz="0" w:space="0" w:color="auto"/>
        <w:right w:val="none" w:sz="0" w:space="0" w:color="auto"/>
      </w:divBdr>
    </w:div>
    <w:div w:id="1755587371">
      <w:bodyDiv w:val="1"/>
      <w:marLeft w:val="0"/>
      <w:marRight w:val="0"/>
      <w:marTop w:val="0"/>
      <w:marBottom w:val="0"/>
      <w:divBdr>
        <w:top w:val="none" w:sz="0" w:space="0" w:color="auto"/>
        <w:left w:val="none" w:sz="0" w:space="0" w:color="auto"/>
        <w:bottom w:val="none" w:sz="0" w:space="0" w:color="auto"/>
        <w:right w:val="none" w:sz="0" w:space="0" w:color="auto"/>
      </w:divBdr>
    </w:div>
    <w:div w:id="1781609878">
      <w:bodyDiv w:val="1"/>
      <w:marLeft w:val="0"/>
      <w:marRight w:val="0"/>
      <w:marTop w:val="0"/>
      <w:marBottom w:val="0"/>
      <w:divBdr>
        <w:top w:val="none" w:sz="0" w:space="0" w:color="auto"/>
        <w:left w:val="none" w:sz="0" w:space="0" w:color="auto"/>
        <w:bottom w:val="none" w:sz="0" w:space="0" w:color="auto"/>
        <w:right w:val="none" w:sz="0" w:space="0" w:color="auto"/>
      </w:divBdr>
    </w:div>
    <w:div w:id="179000719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01862532">
      <w:bodyDiv w:val="1"/>
      <w:marLeft w:val="0"/>
      <w:marRight w:val="0"/>
      <w:marTop w:val="0"/>
      <w:marBottom w:val="0"/>
      <w:divBdr>
        <w:top w:val="none" w:sz="0" w:space="0" w:color="auto"/>
        <w:left w:val="none" w:sz="0" w:space="0" w:color="auto"/>
        <w:bottom w:val="none" w:sz="0" w:space="0" w:color="auto"/>
        <w:right w:val="none" w:sz="0" w:space="0" w:color="auto"/>
      </w:divBdr>
    </w:div>
    <w:div w:id="1936864826">
      <w:bodyDiv w:val="1"/>
      <w:marLeft w:val="0"/>
      <w:marRight w:val="0"/>
      <w:marTop w:val="0"/>
      <w:marBottom w:val="0"/>
      <w:divBdr>
        <w:top w:val="none" w:sz="0" w:space="0" w:color="auto"/>
        <w:left w:val="none" w:sz="0" w:space="0" w:color="auto"/>
        <w:bottom w:val="none" w:sz="0" w:space="0" w:color="auto"/>
        <w:right w:val="none" w:sz="0" w:space="0" w:color="auto"/>
      </w:divBdr>
    </w:div>
    <w:div w:id="1984777189">
      <w:bodyDiv w:val="1"/>
      <w:marLeft w:val="0"/>
      <w:marRight w:val="0"/>
      <w:marTop w:val="0"/>
      <w:marBottom w:val="0"/>
      <w:divBdr>
        <w:top w:val="none" w:sz="0" w:space="0" w:color="auto"/>
        <w:left w:val="none" w:sz="0" w:space="0" w:color="auto"/>
        <w:bottom w:val="none" w:sz="0" w:space="0" w:color="auto"/>
        <w:right w:val="none" w:sz="0" w:space="0" w:color="auto"/>
      </w:divBdr>
    </w:div>
    <w:div w:id="1987707563">
      <w:bodyDiv w:val="1"/>
      <w:marLeft w:val="0"/>
      <w:marRight w:val="0"/>
      <w:marTop w:val="0"/>
      <w:marBottom w:val="0"/>
      <w:divBdr>
        <w:top w:val="none" w:sz="0" w:space="0" w:color="auto"/>
        <w:left w:val="none" w:sz="0" w:space="0" w:color="auto"/>
        <w:bottom w:val="none" w:sz="0" w:space="0" w:color="auto"/>
        <w:right w:val="none" w:sz="0" w:space="0" w:color="auto"/>
      </w:divBdr>
    </w:div>
    <w:div w:id="1998072421">
      <w:bodyDiv w:val="1"/>
      <w:marLeft w:val="0"/>
      <w:marRight w:val="0"/>
      <w:marTop w:val="0"/>
      <w:marBottom w:val="0"/>
      <w:divBdr>
        <w:top w:val="none" w:sz="0" w:space="0" w:color="auto"/>
        <w:left w:val="none" w:sz="0" w:space="0" w:color="auto"/>
        <w:bottom w:val="none" w:sz="0" w:space="0" w:color="auto"/>
        <w:right w:val="none" w:sz="0" w:space="0" w:color="auto"/>
      </w:divBdr>
    </w:div>
    <w:div w:id="2019457692">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788946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5733431">
      <w:bodyDiv w:val="1"/>
      <w:marLeft w:val="0"/>
      <w:marRight w:val="0"/>
      <w:marTop w:val="0"/>
      <w:marBottom w:val="0"/>
      <w:divBdr>
        <w:top w:val="none" w:sz="0" w:space="0" w:color="auto"/>
        <w:left w:val="none" w:sz="0" w:space="0" w:color="auto"/>
        <w:bottom w:val="none" w:sz="0" w:space="0" w:color="auto"/>
        <w:right w:val="none" w:sz="0" w:space="0" w:color="auto"/>
      </w:divBdr>
    </w:div>
    <w:div w:id="2127233103">
      <w:bodyDiv w:val="1"/>
      <w:marLeft w:val="0"/>
      <w:marRight w:val="0"/>
      <w:marTop w:val="0"/>
      <w:marBottom w:val="0"/>
      <w:divBdr>
        <w:top w:val="none" w:sz="0" w:space="0" w:color="auto"/>
        <w:left w:val="none" w:sz="0" w:space="0" w:color="auto"/>
        <w:bottom w:val="none" w:sz="0" w:space="0" w:color="auto"/>
        <w:right w:val="none" w:sz="0" w:space="0" w:color="auto"/>
      </w:divBdr>
    </w:div>
    <w:div w:id="2137990793">
      <w:bodyDiv w:val="1"/>
      <w:marLeft w:val="0"/>
      <w:marRight w:val="0"/>
      <w:marTop w:val="0"/>
      <w:marBottom w:val="0"/>
      <w:divBdr>
        <w:top w:val="none" w:sz="0" w:space="0" w:color="auto"/>
        <w:left w:val="none" w:sz="0" w:space="0" w:color="auto"/>
        <w:bottom w:val="none" w:sz="0" w:space="0" w:color="auto"/>
        <w:right w:val="none" w:sz="0" w:space="0" w:color="auto"/>
      </w:divBdr>
    </w:div>
    <w:div w:id="214337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yperlink" Target="http://www.onr.org.uk/saps/saps2014.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7154C5"/>
    <w:rsid w:val="00780C80"/>
    <w:rsid w:val="00835E07"/>
    <w:rsid w:val="00972B41"/>
    <w:rsid w:val="00A82145"/>
    <w:rsid w:val="00CA10A9"/>
    <w:rsid w:val="00CD10A9"/>
    <w:rsid w:val="00D75606"/>
    <w:rsid w:val="00DB4022"/>
    <w:rsid w:val="00DD7BA4"/>
    <w:rsid w:val="00E24D23"/>
    <w:rsid w:val="00E318CE"/>
    <w:rsid w:val="00E646E1"/>
    <w:rsid w:val="00EF6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ONR46</b:Tag>
    <b:SourceType>Report</b:SourceType>
    <b:Guid>{F4E81B03-F097-4020-A13D-3037BDF5C003}</b:Guid>
    <b:Author>
      <b:Author>
        <b:Corporate>ONR</b:Corporate>
      </b:Author>
    </b:Author>
    <b:Title>Licence Condition Handbook</b:Title>
    <b:Year>2017</b:Year>
    <b:RefOrder>2</b:RefOrder>
  </b:Source>
  <b:Source>
    <b:Tag>WEN</b:Tag>
    <b:SourceType>ElectronicSource</b:SourceType>
    <b:Guid>{8272753D-B1FA-4119-938C-F4577E03BE36}</b:Guid>
    <b:Author>
      <b:Author>
        <b:Corporate>WENRA</b:Corporate>
      </b:Author>
    </b:Author>
    <b:Title>Safety Reference Levels for Existing Reactors 2020</b:Title>
    <b:URL>https://www.wenra.eu/sites/default/files/publications/wenra_safety_reference_level_for_existing_reactors_2020.pdf</b:URL>
    <b:Year>2021</b:Year>
    <b:RefOrder>3</b:RefOrder>
  </b:Source>
  <b:Source>
    <b:Tag>IAE169</b:Tag>
    <b:SourceType>ElectronicSource</b:SourceType>
    <b:Guid>{3E7A08B5-1C4A-4A92-8E25-0FF93A023BD5}</b:Guid>
    <b:Author>
      <b:Author>
        <b:Corporate>IAEA</b:Corporate>
      </b:Author>
    </b:Author>
    <b:Title>IAEA Safety Standards - SSG-39 - Design of Instrumentation and Control Systems for Nuclear Power Plants</b:Title>
    <b:RefOrder>4</b:RefOrder>
  </b:Source>
  <b:Source>
    <b:Tag>Placeholder1</b:Tag>
    <b:SourceType>Report</b:SourceType>
    <b:Guid>{BE34467A-602E-43D2-A1E7-AFC4BFEAD327}</b:Guid>
    <b:Author>
      <b:Author>
        <b:Corporate>ONR</b:Corporate>
      </b:Author>
    </b:Author>
    <b:Title>NS-TAST-GD-058 - Human Factors Integration</b:Title>
    <b:RefOrder>5</b:RefOrder>
  </b:Source>
  <b:Source>
    <b:Tag>ONR137</b:Tag>
    <b:SourceType>ElectronicSource</b:SourceType>
    <b:Guid>{1149DA84-3F58-44ED-AC31-49A2A39A862C}</b:Guid>
    <b:Author>
      <b:Author>
        <b:Corporate>ONR</b:Corporate>
      </b:Author>
    </b:Author>
    <b:Title>NS-TAST-GD-019 - Essential Services</b:Title>
    <b:RefOrder>6</b:RefOrder>
  </b:Source>
  <b:Source>
    <b:Tag>ONR1</b:Tag>
    <b:SourceType>ElectronicSource</b:SourceType>
    <b:Guid>{C92E8A58-A5BB-4DE0-9293-D51961934160}</b:Guid>
    <b:Author>
      <b:Author>
        <b:Corporate>ONR</b:Corporate>
      </b:Author>
    </b:Author>
    <b:Title>NS-TAST-GD-018 - Criticality Warning Systems</b:Title>
    <b:RefOrder>7</b:RefOrder>
  </b:Source>
  <b:Source>
    <b:Tag>ONR45</b:Tag>
    <b:SourceType>ElectronicSource</b:SourceType>
    <b:Guid>{60C0654B-AB14-44C8-B5D9-2123A524CA3D}</b:Guid>
    <b:Author>
      <b:Author>
        <b:Corporate>ONR</b:Corporate>
      </b:Author>
    </b:Author>
    <b:Title>NS-TAST-GD-015 - Electromagnetic Compatibility</b:Title>
    <b:RefOrder>8</b:RefOrder>
  </b:Source>
  <b:Source>
    <b:Tag>ONR141</b:Tag>
    <b:SourceType>ElectronicSource</b:SourceType>
    <b:Guid>{2245D4B4-9A56-4FF7-85BB-3973901327E0}</b:Guid>
    <b:Title>NS-TAST-GD-046 - Computer Based Safety Systems</b:Title>
    <b:Author>
      <b:Author>
        <b:Corporate>ONR</b:Corporate>
      </b:Author>
    </b:Author>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469C41-E694-4CED-8032-8BAC475C4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9</TotalTime>
  <Pages>31</Pages>
  <Words>8297</Words>
  <Characters>47295</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55482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Related Systems and Instrumentation</dc:title>
  <dc:subject>[Subtitle or description]</dc:subject>
  <cp:keywords>[Key words separated by commas]</cp:keywords>
  <dc:description/>
  <cp:revision>3</cp:revision>
  <cp:lastPrinted>2016-11-28T11:35:00Z</cp:lastPrinted>
  <dcterms:created xsi:type="dcterms:W3CDTF">2023-05-05T06:11:00Z</dcterms:created>
  <dcterms:modified xsi:type="dcterms:W3CDTF">2023-05-05T06:25:00Z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