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39F0" w14:textId="77777777" w:rsidR="00EA5EB4" w:rsidRPr="00EA5EB4" w:rsidRDefault="00EA5EB4" w:rsidP="00B81B18">
      <w:pPr>
        <w:rPr>
          <w:sz w:val="2"/>
          <w:szCs w:val="2"/>
        </w:rPr>
        <w:sectPr w:rsidR="00EA5EB4" w:rsidRPr="00EA5EB4" w:rsidSect="00EA5EB4">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588" w:header="431" w:footer="567" w:gutter="0"/>
          <w:cols w:space="708"/>
          <w:titlePg/>
          <w:docGrid w:linePitch="360"/>
        </w:sectPr>
      </w:pPr>
    </w:p>
    <w:tbl>
      <w:tblPr>
        <w:tblW w:w="0" w:type="auto"/>
        <w:tblBorders>
          <w:top w:val="single" w:sz="12" w:space="0" w:color="006D68"/>
          <w:left w:val="single" w:sz="12" w:space="0" w:color="006D68"/>
          <w:bottom w:val="single" w:sz="12" w:space="0" w:color="006D68"/>
          <w:right w:val="single" w:sz="12" w:space="0" w:color="006D68"/>
          <w:insideH w:val="single" w:sz="12" w:space="0" w:color="006D68"/>
          <w:insideV w:val="single" w:sz="12" w:space="0" w:color="006D68"/>
        </w:tblBorders>
        <w:tblCellMar>
          <w:top w:w="58" w:type="dxa"/>
          <w:left w:w="58" w:type="dxa"/>
          <w:bottom w:w="58" w:type="dxa"/>
          <w:right w:w="58" w:type="dxa"/>
        </w:tblCellMar>
        <w:tblLook w:val="01E0" w:firstRow="1" w:lastRow="1" w:firstColumn="1" w:lastColumn="1" w:noHBand="0" w:noVBand="0"/>
      </w:tblPr>
      <w:tblGrid>
        <w:gridCol w:w="2938"/>
        <w:gridCol w:w="2160"/>
        <w:gridCol w:w="2160"/>
        <w:gridCol w:w="2042"/>
      </w:tblGrid>
      <w:tr w:rsidR="00604F23" w14:paraId="56451848" w14:textId="77777777" w:rsidTr="00B12DE2">
        <w:trPr>
          <w:trHeight w:val="567"/>
        </w:trPr>
        <w:tc>
          <w:tcPr>
            <w:tcW w:w="9300" w:type="dxa"/>
            <w:gridSpan w:val="4"/>
            <w:shd w:val="clear" w:color="auto" w:fill="auto"/>
            <w:vAlign w:val="center"/>
          </w:tcPr>
          <w:p w14:paraId="4FADB6A8" w14:textId="77777777" w:rsidR="00604F23" w:rsidRDefault="00604F23" w:rsidP="00B12DE2">
            <w:pPr>
              <w:jc w:val="center"/>
            </w:pPr>
            <w:r>
              <w:t>ONR GUIDE</w:t>
            </w:r>
          </w:p>
        </w:tc>
      </w:tr>
      <w:tr w:rsidR="00604F23" w14:paraId="380D89E4" w14:textId="77777777" w:rsidTr="00B12DE2">
        <w:trPr>
          <w:trHeight w:val="567"/>
        </w:trPr>
        <w:tc>
          <w:tcPr>
            <w:tcW w:w="9300" w:type="dxa"/>
            <w:gridSpan w:val="4"/>
            <w:shd w:val="clear" w:color="auto" w:fill="auto"/>
            <w:vAlign w:val="center"/>
          </w:tcPr>
          <w:p w14:paraId="33C16669" w14:textId="77777777" w:rsidR="001E6E78" w:rsidRDefault="001E6E78" w:rsidP="00B12DE2">
            <w:pPr>
              <w:jc w:val="center"/>
              <w:rPr>
                <w:b/>
              </w:rPr>
            </w:pPr>
            <w:r>
              <w:rPr>
                <w:b/>
              </w:rPr>
              <w:t xml:space="preserve">CONTROL AND INSTRUMENTATION ASPECTS OF NUCLEAR PLANT </w:t>
            </w:r>
          </w:p>
          <w:p w14:paraId="1D82A556" w14:textId="77777777" w:rsidR="00604F23" w:rsidRPr="00B12DE2" w:rsidRDefault="001E6E78" w:rsidP="00B12DE2">
            <w:pPr>
              <w:jc w:val="center"/>
              <w:rPr>
                <w:b/>
              </w:rPr>
            </w:pPr>
            <w:r>
              <w:rPr>
                <w:b/>
              </w:rPr>
              <w:t>COMMISSIONING</w:t>
            </w:r>
          </w:p>
        </w:tc>
      </w:tr>
      <w:tr w:rsidR="00612DF0" w14:paraId="5CC5B839" w14:textId="77777777" w:rsidTr="00B12DE2">
        <w:trPr>
          <w:trHeight w:val="454"/>
        </w:trPr>
        <w:tc>
          <w:tcPr>
            <w:tcW w:w="2938" w:type="dxa"/>
            <w:shd w:val="clear" w:color="auto" w:fill="auto"/>
            <w:vAlign w:val="center"/>
          </w:tcPr>
          <w:p w14:paraId="7A6FCBC3" w14:textId="77777777" w:rsidR="00612DF0" w:rsidRPr="00B12DE2" w:rsidRDefault="00612DF0" w:rsidP="00604F23">
            <w:pPr>
              <w:rPr>
                <w:b/>
              </w:rPr>
            </w:pPr>
            <w:r w:rsidRPr="00B12DE2">
              <w:rPr>
                <w:b/>
              </w:rPr>
              <w:t>Document Type:</w:t>
            </w:r>
          </w:p>
        </w:tc>
        <w:tc>
          <w:tcPr>
            <w:tcW w:w="6362" w:type="dxa"/>
            <w:gridSpan w:val="3"/>
            <w:shd w:val="clear" w:color="auto" w:fill="auto"/>
            <w:vAlign w:val="center"/>
          </w:tcPr>
          <w:p w14:paraId="2DE8F32C" w14:textId="77777777" w:rsidR="00612DF0" w:rsidRDefault="00532D01" w:rsidP="00604F23">
            <w:r>
              <w:t>Nuclear Safety Technical Assessment Guide</w:t>
            </w:r>
          </w:p>
        </w:tc>
      </w:tr>
      <w:tr w:rsidR="00612DF0" w14:paraId="3DF52E19" w14:textId="77777777" w:rsidTr="00B12DE2">
        <w:trPr>
          <w:trHeight w:val="454"/>
        </w:trPr>
        <w:tc>
          <w:tcPr>
            <w:tcW w:w="2938" w:type="dxa"/>
            <w:shd w:val="clear" w:color="auto" w:fill="auto"/>
            <w:vAlign w:val="center"/>
          </w:tcPr>
          <w:p w14:paraId="2839495C" w14:textId="77777777" w:rsidR="00612DF0" w:rsidRPr="00B12DE2" w:rsidRDefault="00612DF0" w:rsidP="00604F23">
            <w:pPr>
              <w:rPr>
                <w:b/>
              </w:rPr>
            </w:pPr>
            <w:r w:rsidRPr="00B12DE2">
              <w:rPr>
                <w:b/>
              </w:rPr>
              <w:t>Unique Document ID and Revision No:</w:t>
            </w:r>
          </w:p>
        </w:tc>
        <w:tc>
          <w:tcPr>
            <w:tcW w:w="6362" w:type="dxa"/>
            <w:gridSpan w:val="3"/>
            <w:shd w:val="clear" w:color="auto" w:fill="auto"/>
            <w:vAlign w:val="center"/>
          </w:tcPr>
          <w:p w14:paraId="38C0226B" w14:textId="199AC21F" w:rsidR="00612DF0" w:rsidRDefault="001E6E78" w:rsidP="00604F23">
            <w:r>
              <w:t xml:space="preserve">NS-TAST-GD-028 </w:t>
            </w:r>
            <w:r w:rsidR="00D429B6">
              <w:t>Issue</w:t>
            </w:r>
            <w:r>
              <w:t xml:space="preserve"> </w:t>
            </w:r>
            <w:r w:rsidR="004D6079">
              <w:t>6</w:t>
            </w:r>
            <w:r w:rsidR="00D429B6">
              <w:t>.1</w:t>
            </w:r>
          </w:p>
        </w:tc>
      </w:tr>
      <w:tr w:rsidR="008E67CB" w14:paraId="293C530A" w14:textId="77777777" w:rsidTr="00B12DE2">
        <w:trPr>
          <w:trHeight w:val="340"/>
        </w:trPr>
        <w:tc>
          <w:tcPr>
            <w:tcW w:w="2938" w:type="dxa"/>
            <w:shd w:val="clear" w:color="auto" w:fill="auto"/>
            <w:vAlign w:val="center"/>
          </w:tcPr>
          <w:p w14:paraId="01F65D03" w14:textId="77777777" w:rsidR="008E67CB" w:rsidRPr="00B12DE2" w:rsidRDefault="008E67CB" w:rsidP="00604F23">
            <w:pPr>
              <w:rPr>
                <w:b/>
              </w:rPr>
            </w:pPr>
            <w:r w:rsidRPr="00B12DE2">
              <w:rPr>
                <w:b/>
              </w:rPr>
              <w:t>Date Issued:</w:t>
            </w:r>
          </w:p>
        </w:tc>
        <w:tc>
          <w:tcPr>
            <w:tcW w:w="2160" w:type="dxa"/>
            <w:shd w:val="clear" w:color="auto" w:fill="auto"/>
            <w:vAlign w:val="center"/>
          </w:tcPr>
          <w:p w14:paraId="635AED17" w14:textId="3308FE4F" w:rsidR="008E67CB" w:rsidRDefault="00D429B6" w:rsidP="00604F23">
            <w:r>
              <w:t>December 2022</w:t>
            </w:r>
          </w:p>
        </w:tc>
        <w:tc>
          <w:tcPr>
            <w:tcW w:w="2160" w:type="dxa"/>
            <w:shd w:val="clear" w:color="auto" w:fill="auto"/>
            <w:vAlign w:val="center"/>
          </w:tcPr>
          <w:p w14:paraId="3246839E" w14:textId="77777777" w:rsidR="008E67CB" w:rsidRPr="00B12DE2" w:rsidRDefault="008E67CB" w:rsidP="00604F23">
            <w:pPr>
              <w:rPr>
                <w:b/>
              </w:rPr>
            </w:pPr>
            <w:r w:rsidRPr="00B12DE2">
              <w:rPr>
                <w:b/>
              </w:rPr>
              <w:t>Review Date:</w:t>
            </w:r>
          </w:p>
        </w:tc>
        <w:tc>
          <w:tcPr>
            <w:tcW w:w="2042" w:type="dxa"/>
            <w:shd w:val="clear" w:color="auto" w:fill="auto"/>
            <w:vAlign w:val="center"/>
          </w:tcPr>
          <w:p w14:paraId="56342355" w14:textId="77777777" w:rsidR="008E67CB" w:rsidRDefault="00A42E7B" w:rsidP="004D6079">
            <w:r>
              <w:t>October</w:t>
            </w:r>
            <w:r w:rsidR="00A95FCF">
              <w:t xml:space="preserve"> </w:t>
            </w:r>
            <w:r w:rsidR="004D6079">
              <w:t>2024</w:t>
            </w:r>
          </w:p>
        </w:tc>
      </w:tr>
      <w:tr w:rsidR="008E67CB" w14:paraId="3770851E" w14:textId="77777777" w:rsidTr="00B12DE2">
        <w:trPr>
          <w:trHeight w:val="340"/>
        </w:trPr>
        <w:tc>
          <w:tcPr>
            <w:tcW w:w="2938" w:type="dxa"/>
            <w:shd w:val="clear" w:color="auto" w:fill="auto"/>
            <w:vAlign w:val="center"/>
          </w:tcPr>
          <w:p w14:paraId="0A4A7456" w14:textId="77777777" w:rsidR="008E67CB" w:rsidRPr="00B12DE2" w:rsidRDefault="008E67CB" w:rsidP="00604F23">
            <w:pPr>
              <w:rPr>
                <w:b/>
              </w:rPr>
            </w:pPr>
            <w:r w:rsidRPr="00B12DE2">
              <w:rPr>
                <w:b/>
              </w:rPr>
              <w:t>Prepared by:</w:t>
            </w:r>
          </w:p>
        </w:tc>
        <w:tc>
          <w:tcPr>
            <w:tcW w:w="2160" w:type="dxa"/>
            <w:shd w:val="clear" w:color="auto" w:fill="auto"/>
            <w:vAlign w:val="center"/>
          </w:tcPr>
          <w:p w14:paraId="655DC894" w14:textId="273B56E9" w:rsidR="008E67CB" w:rsidRDefault="008E67CB" w:rsidP="00604F23"/>
        </w:tc>
        <w:tc>
          <w:tcPr>
            <w:tcW w:w="4202" w:type="dxa"/>
            <w:gridSpan w:val="2"/>
            <w:shd w:val="clear" w:color="auto" w:fill="auto"/>
            <w:vAlign w:val="center"/>
          </w:tcPr>
          <w:p w14:paraId="59E4BE97" w14:textId="77777777" w:rsidR="008E67CB" w:rsidRDefault="001E6E78" w:rsidP="00604F23">
            <w:r>
              <w:t>Nuclear Inspector</w:t>
            </w:r>
          </w:p>
        </w:tc>
      </w:tr>
      <w:tr w:rsidR="008E67CB" w14:paraId="4D46A0CA" w14:textId="77777777" w:rsidTr="00B12DE2">
        <w:trPr>
          <w:trHeight w:val="340"/>
        </w:trPr>
        <w:tc>
          <w:tcPr>
            <w:tcW w:w="2938" w:type="dxa"/>
            <w:shd w:val="clear" w:color="auto" w:fill="auto"/>
            <w:vAlign w:val="center"/>
          </w:tcPr>
          <w:p w14:paraId="72AF96B4" w14:textId="77777777" w:rsidR="008E67CB" w:rsidRPr="00B12DE2" w:rsidRDefault="008E67CB" w:rsidP="00604F23">
            <w:pPr>
              <w:rPr>
                <w:b/>
              </w:rPr>
            </w:pPr>
            <w:r w:rsidRPr="00B12DE2">
              <w:rPr>
                <w:b/>
              </w:rPr>
              <w:t>Approved by:</w:t>
            </w:r>
          </w:p>
        </w:tc>
        <w:tc>
          <w:tcPr>
            <w:tcW w:w="2160" w:type="dxa"/>
            <w:shd w:val="clear" w:color="auto" w:fill="auto"/>
            <w:vAlign w:val="center"/>
          </w:tcPr>
          <w:p w14:paraId="55356A2E" w14:textId="2A81DFF1" w:rsidR="008E67CB" w:rsidRDefault="008E67CB" w:rsidP="00604F23"/>
        </w:tc>
        <w:tc>
          <w:tcPr>
            <w:tcW w:w="4202" w:type="dxa"/>
            <w:gridSpan w:val="2"/>
            <w:shd w:val="clear" w:color="auto" w:fill="auto"/>
            <w:vAlign w:val="center"/>
          </w:tcPr>
          <w:p w14:paraId="7D374B09" w14:textId="77777777" w:rsidR="008E67CB" w:rsidRDefault="004D6079" w:rsidP="00604F23">
            <w:r w:rsidRPr="004D6079">
              <w:t>E,C&amp;I Professional Lead</w:t>
            </w:r>
          </w:p>
        </w:tc>
      </w:tr>
      <w:tr w:rsidR="008E67CB" w14:paraId="220B5841" w14:textId="77777777" w:rsidTr="00B12DE2">
        <w:trPr>
          <w:trHeight w:val="288"/>
        </w:trPr>
        <w:tc>
          <w:tcPr>
            <w:tcW w:w="2938" w:type="dxa"/>
            <w:shd w:val="clear" w:color="auto" w:fill="auto"/>
            <w:vAlign w:val="center"/>
          </w:tcPr>
          <w:p w14:paraId="29933D6D" w14:textId="77777777" w:rsidR="008E67CB" w:rsidRPr="00B12DE2" w:rsidRDefault="008E67CB" w:rsidP="00604F23">
            <w:pPr>
              <w:rPr>
                <w:b/>
              </w:rPr>
            </w:pPr>
            <w:r w:rsidRPr="00B12DE2">
              <w:rPr>
                <w:b/>
              </w:rPr>
              <w:t>Record Reference:</w:t>
            </w:r>
          </w:p>
        </w:tc>
        <w:tc>
          <w:tcPr>
            <w:tcW w:w="6362" w:type="dxa"/>
            <w:gridSpan w:val="3"/>
            <w:shd w:val="clear" w:color="auto" w:fill="auto"/>
            <w:vAlign w:val="center"/>
          </w:tcPr>
          <w:p w14:paraId="10A8427C" w14:textId="77777777" w:rsidR="008E67CB" w:rsidRDefault="004D6079" w:rsidP="003B4E1D">
            <w:r>
              <w:t xml:space="preserve">CM9 </w:t>
            </w:r>
            <w:r w:rsidR="001E6E78">
              <w:t xml:space="preserve">Folder </w:t>
            </w:r>
            <w:r w:rsidR="00FC734B" w:rsidRPr="00FC734B">
              <w:t>1.1.3.978.</w:t>
            </w:r>
            <w:r w:rsidR="00E24CC3">
              <w:t xml:space="preserve"> </w:t>
            </w:r>
            <w:r w:rsidR="00C946BF">
              <w:t>(2020/261208</w:t>
            </w:r>
            <w:r w:rsidR="000230A7">
              <w:t>)</w:t>
            </w:r>
          </w:p>
        </w:tc>
      </w:tr>
      <w:tr w:rsidR="008E67CB" w14:paraId="678EBDED" w14:textId="77777777" w:rsidTr="00B12DE2">
        <w:trPr>
          <w:trHeight w:val="288"/>
        </w:trPr>
        <w:tc>
          <w:tcPr>
            <w:tcW w:w="2938" w:type="dxa"/>
            <w:shd w:val="clear" w:color="auto" w:fill="auto"/>
            <w:vAlign w:val="center"/>
          </w:tcPr>
          <w:p w14:paraId="28457AD9" w14:textId="77777777" w:rsidR="008E67CB" w:rsidRPr="00B12DE2" w:rsidRDefault="008E67CB" w:rsidP="00604F23">
            <w:pPr>
              <w:rPr>
                <w:b/>
              </w:rPr>
            </w:pPr>
            <w:r w:rsidRPr="00B12DE2">
              <w:rPr>
                <w:b/>
              </w:rPr>
              <w:t>Revision commentary:</w:t>
            </w:r>
          </w:p>
        </w:tc>
        <w:tc>
          <w:tcPr>
            <w:tcW w:w="6362" w:type="dxa"/>
            <w:gridSpan w:val="3"/>
            <w:shd w:val="clear" w:color="auto" w:fill="auto"/>
            <w:vAlign w:val="center"/>
          </w:tcPr>
          <w:p w14:paraId="0C86AA61" w14:textId="77777777" w:rsidR="008E67CB" w:rsidRDefault="004D6079" w:rsidP="00604F23">
            <w:r>
              <w:t xml:space="preserve">Rev 5: </w:t>
            </w:r>
            <w:r w:rsidR="001E6E78">
              <w:t>R</w:t>
            </w:r>
            <w:r w:rsidR="00A95FCF">
              <w:t>outine update</w:t>
            </w:r>
          </w:p>
          <w:p w14:paraId="25431306" w14:textId="77777777" w:rsidR="004D6079" w:rsidRDefault="004D6079" w:rsidP="00604F23"/>
          <w:p w14:paraId="50B88CE1" w14:textId="77777777" w:rsidR="004D6079" w:rsidRDefault="004D6079" w:rsidP="00604F23">
            <w:r>
              <w:t>Rev 6: Updated Review Period</w:t>
            </w:r>
          </w:p>
          <w:p w14:paraId="795F923A" w14:textId="77777777" w:rsidR="00D429B6" w:rsidRDefault="00D429B6" w:rsidP="00604F23"/>
          <w:p w14:paraId="193D811C" w14:textId="7D222A50" w:rsidR="00D429B6" w:rsidRDefault="00FF1DA3" w:rsidP="00604F23">
            <w:r>
              <w:t xml:space="preserve">Issue 6.1: </w:t>
            </w:r>
            <w:r>
              <w:rPr>
                <w:sz w:val="24"/>
              </w:rPr>
              <w:t>Minor update to remove extant URLs from the document to mitigate potential configuration control issues arising because of changes to third-party web domains.</w:t>
            </w:r>
          </w:p>
        </w:tc>
      </w:tr>
    </w:tbl>
    <w:p w14:paraId="6A19141F" w14:textId="77777777" w:rsidR="00D55197" w:rsidRDefault="00D55197" w:rsidP="008E67CB"/>
    <w:p w14:paraId="5F25E019" w14:textId="77777777" w:rsidR="008E67CB" w:rsidRPr="008E67CB" w:rsidRDefault="008E67CB" w:rsidP="008E67CB">
      <w:pPr>
        <w:jc w:val="center"/>
        <w:rPr>
          <w:b/>
        </w:rPr>
      </w:pPr>
      <w:r w:rsidRPr="008E67CB">
        <w:rPr>
          <w:b/>
        </w:rPr>
        <w:t>TABLE OF CONTENTS</w:t>
      </w:r>
    </w:p>
    <w:p w14:paraId="4B12FC11" w14:textId="77777777" w:rsidR="008E67CB" w:rsidRDefault="008E67CB" w:rsidP="008E67CB"/>
    <w:p w14:paraId="44AB1132" w14:textId="6F5465D9" w:rsidR="005C2198" w:rsidRDefault="004750A2">
      <w:pPr>
        <w:pStyle w:val="TOC1"/>
        <w:rPr>
          <w:rFonts w:asciiTheme="minorHAnsi" w:eastAsiaTheme="minorEastAsia" w:hAnsiTheme="minorHAnsi" w:cstheme="minorBidi"/>
          <w:caps w:val="0"/>
          <w:noProof/>
          <w:szCs w:val="22"/>
          <w:lang w:eastAsia="en-GB"/>
        </w:rPr>
      </w:pPr>
      <w:r>
        <w:fldChar w:fldCharType="begin"/>
      </w:r>
      <w:r>
        <w:instrText xml:space="preserve"> TOC \h \z \t "TS Heading Numbered 1,1" </w:instrText>
      </w:r>
      <w:r>
        <w:fldChar w:fldCharType="separate"/>
      </w:r>
      <w:hyperlink w:anchor="_Toc120870187" w:history="1">
        <w:r w:rsidR="005C2198" w:rsidRPr="00947E60">
          <w:rPr>
            <w:rStyle w:val="Hyperlink"/>
            <w:noProof/>
          </w:rPr>
          <w:t>1.</w:t>
        </w:r>
        <w:r w:rsidR="005C2198">
          <w:rPr>
            <w:rFonts w:asciiTheme="minorHAnsi" w:eastAsiaTheme="minorEastAsia" w:hAnsiTheme="minorHAnsi" w:cstheme="minorBidi"/>
            <w:caps w:val="0"/>
            <w:noProof/>
            <w:szCs w:val="22"/>
            <w:lang w:eastAsia="en-GB"/>
          </w:rPr>
          <w:tab/>
        </w:r>
        <w:r w:rsidR="005C2198" w:rsidRPr="00947E60">
          <w:rPr>
            <w:rStyle w:val="Hyperlink"/>
            <w:noProof/>
          </w:rPr>
          <w:t>INTRODUCTION</w:t>
        </w:r>
        <w:r w:rsidR="005C2198">
          <w:rPr>
            <w:noProof/>
            <w:webHidden/>
          </w:rPr>
          <w:tab/>
        </w:r>
        <w:r w:rsidR="005C2198">
          <w:rPr>
            <w:noProof/>
            <w:webHidden/>
          </w:rPr>
          <w:fldChar w:fldCharType="begin"/>
        </w:r>
        <w:r w:rsidR="005C2198">
          <w:rPr>
            <w:noProof/>
            <w:webHidden/>
          </w:rPr>
          <w:instrText xml:space="preserve"> PAGEREF _Toc120870187 \h </w:instrText>
        </w:r>
        <w:r w:rsidR="005C2198">
          <w:rPr>
            <w:noProof/>
            <w:webHidden/>
          </w:rPr>
        </w:r>
        <w:r w:rsidR="005C2198">
          <w:rPr>
            <w:noProof/>
            <w:webHidden/>
          </w:rPr>
          <w:fldChar w:fldCharType="separate"/>
        </w:r>
        <w:r w:rsidR="005C2198">
          <w:rPr>
            <w:noProof/>
            <w:webHidden/>
          </w:rPr>
          <w:t>2</w:t>
        </w:r>
        <w:r w:rsidR="005C2198">
          <w:rPr>
            <w:noProof/>
            <w:webHidden/>
          </w:rPr>
          <w:fldChar w:fldCharType="end"/>
        </w:r>
      </w:hyperlink>
    </w:p>
    <w:p w14:paraId="71BF72DE" w14:textId="215FFB7B" w:rsidR="005C2198" w:rsidRDefault="00310B76">
      <w:pPr>
        <w:pStyle w:val="TOC1"/>
        <w:rPr>
          <w:rFonts w:asciiTheme="minorHAnsi" w:eastAsiaTheme="minorEastAsia" w:hAnsiTheme="minorHAnsi" w:cstheme="minorBidi"/>
          <w:caps w:val="0"/>
          <w:noProof/>
          <w:szCs w:val="22"/>
          <w:lang w:eastAsia="en-GB"/>
        </w:rPr>
      </w:pPr>
      <w:hyperlink w:anchor="_Toc120870188" w:history="1">
        <w:r w:rsidR="005C2198" w:rsidRPr="00947E60">
          <w:rPr>
            <w:rStyle w:val="Hyperlink"/>
            <w:noProof/>
          </w:rPr>
          <w:t>2.</w:t>
        </w:r>
        <w:r w:rsidR="005C2198">
          <w:rPr>
            <w:rFonts w:asciiTheme="minorHAnsi" w:eastAsiaTheme="minorEastAsia" w:hAnsiTheme="minorHAnsi" w:cstheme="minorBidi"/>
            <w:caps w:val="0"/>
            <w:noProof/>
            <w:szCs w:val="22"/>
            <w:lang w:eastAsia="en-GB"/>
          </w:rPr>
          <w:tab/>
        </w:r>
        <w:r w:rsidR="005C2198" w:rsidRPr="00947E60">
          <w:rPr>
            <w:rStyle w:val="Hyperlink"/>
            <w:noProof/>
          </w:rPr>
          <w:t>PURPOSE AND SCOPE</w:t>
        </w:r>
        <w:r w:rsidR="005C2198">
          <w:rPr>
            <w:noProof/>
            <w:webHidden/>
          </w:rPr>
          <w:tab/>
        </w:r>
        <w:r w:rsidR="005C2198">
          <w:rPr>
            <w:noProof/>
            <w:webHidden/>
          </w:rPr>
          <w:fldChar w:fldCharType="begin"/>
        </w:r>
        <w:r w:rsidR="005C2198">
          <w:rPr>
            <w:noProof/>
            <w:webHidden/>
          </w:rPr>
          <w:instrText xml:space="preserve"> PAGEREF _Toc120870188 \h </w:instrText>
        </w:r>
        <w:r w:rsidR="005C2198">
          <w:rPr>
            <w:noProof/>
            <w:webHidden/>
          </w:rPr>
        </w:r>
        <w:r w:rsidR="005C2198">
          <w:rPr>
            <w:noProof/>
            <w:webHidden/>
          </w:rPr>
          <w:fldChar w:fldCharType="separate"/>
        </w:r>
        <w:r w:rsidR="005C2198">
          <w:rPr>
            <w:noProof/>
            <w:webHidden/>
          </w:rPr>
          <w:t>2</w:t>
        </w:r>
        <w:r w:rsidR="005C2198">
          <w:rPr>
            <w:noProof/>
            <w:webHidden/>
          </w:rPr>
          <w:fldChar w:fldCharType="end"/>
        </w:r>
      </w:hyperlink>
    </w:p>
    <w:p w14:paraId="58A6A855" w14:textId="5D125BB0" w:rsidR="005C2198" w:rsidRDefault="00310B76">
      <w:pPr>
        <w:pStyle w:val="TOC1"/>
        <w:rPr>
          <w:rFonts w:asciiTheme="minorHAnsi" w:eastAsiaTheme="minorEastAsia" w:hAnsiTheme="minorHAnsi" w:cstheme="minorBidi"/>
          <w:caps w:val="0"/>
          <w:noProof/>
          <w:szCs w:val="22"/>
          <w:lang w:eastAsia="en-GB"/>
        </w:rPr>
      </w:pPr>
      <w:hyperlink w:anchor="_Toc120870189" w:history="1">
        <w:r w:rsidR="005C2198" w:rsidRPr="00947E60">
          <w:rPr>
            <w:rStyle w:val="Hyperlink"/>
            <w:noProof/>
          </w:rPr>
          <w:t>3.</w:t>
        </w:r>
        <w:r w:rsidR="005C2198">
          <w:rPr>
            <w:rFonts w:asciiTheme="minorHAnsi" w:eastAsiaTheme="minorEastAsia" w:hAnsiTheme="minorHAnsi" w:cstheme="minorBidi"/>
            <w:caps w:val="0"/>
            <w:noProof/>
            <w:szCs w:val="22"/>
            <w:lang w:eastAsia="en-GB"/>
          </w:rPr>
          <w:tab/>
        </w:r>
        <w:r w:rsidR="005C2198" w:rsidRPr="00947E60">
          <w:rPr>
            <w:rStyle w:val="Hyperlink"/>
            <w:noProof/>
          </w:rPr>
          <w:t>RELATIONSHIP TO LICENCE AND OTHER RELEVANT LEGISLATION</w:t>
        </w:r>
        <w:r w:rsidR="005C2198">
          <w:rPr>
            <w:noProof/>
            <w:webHidden/>
          </w:rPr>
          <w:tab/>
        </w:r>
        <w:r w:rsidR="005C2198">
          <w:rPr>
            <w:noProof/>
            <w:webHidden/>
          </w:rPr>
          <w:fldChar w:fldCharType="begin"/>
        </w:r>
        <w:r w:rsidR="005C2198">
          <w:rPr>
            <w:noProof/>
            <w:webHidden/>
          </w:rPr>
          <w:instrText xml:space="preserve"> PAGEREF _Toc120870189 \h </w:instrText>
        </w:r>
        <w:r w:rsidR="005C2198">
          <w:rPr>
            <w:noProof/>
            <w:webHidden/>
          </w:rPr>
        </w:r>
        <w:r w:rsidR="005C2198">
          <w:rPr>
            <w:noProof/>
            <w:webHidden/>
          </w:rPr>
          <w:fldChar w:fldCharType="separate"/>
        </w:r>
        <w:r w:rsidR="005C2198">
          <w:rPr>
            <w:noProof/>
            <w:webHidden/>
          </w:rPr>
          <w:t>2</w:t>
        </w:r>
        <w:r w:rsidR="005C2198">
          <w:rPr>
            <w:noProof/>
            <w:webHidden/>
          </w:rPr>
          <w:fldChar w:fldCharType="end"/>
        </w:r>
      </w:hyperlink>
    </w:p>
    <w:p w14:paraId="0C949E1F" w14:textId="594C998D" w:rsidR="005C2198" w:rsidRDefault="00310B76">
      <w:pPr>
        <w:pStyle w:val="TOC1"/>
        <w:rPr>
          <w:rFonts w:asciiTheme="minorHAnsi" w:eastAsiaTheme="minorEastAsia" w:hAnsiTheme="minorHAnsi" w:cstheme="minorBidi"/>
          <w:caps w:val="0"/>
          <w:noProof/>
          <w:szCs w:val="22"/>
          <w:lang w:eastAsia="en-GB"/>
        </w:rPr>
      </w:pPr>
      <w:hyperlink w:anchor="_Toc120870190" w:history="1">
        <w:r w:rsidR="005C2198" w:rsidRPr="00947E60">
          <w:rPr>
            <w:rStyle w:val="Hyperlink"/>
            <w:noProof/>
          </w:rPr>
          <w:t>4.</w:t>
        </w:r>
        <w:r w:rsidR="005C2198">
          <w:rPr>
            <w:rFonts w:asciiTheme="minorHAnsi" w:eastAsiaTheme="minorEastAsia" w:hAnsiTheme="minorHAnsi" w:cstheme="minorBidi"/>
            <w:caps w:val="0"/>
            <w:noProof/>
            <w:szCs w:val="22"/>
            <w:lang w:eastAsia="en-GB"/>
          </w:rPr>
          <w:tab/>
        </w:r>
        <w:r w:rsidR="005C2198" w:rsidRPr="00947E60">
          <w:rPr>
            <w:rStyle w:val="Hyperlink"/>
            <w:noProof/>
          </w:rPr>
          <w:t>RELATIONSHIP TO SAPS, WENRA REFERENCE LEVELS AND IAEA SAFETY STANDARDS ADDRESSED</w:t>
        </w:r>
        <w:r w:rsidR="005C2198">
          <w:rPr>
            <w:noProof/>
            <w:webHidden/>
          </w:rPr>
          <w:tab/>
        </w:r>
        <w:r w:rsidR="005C2198">
          <w:rPr>
            <w:noProof/>
            <w:webHidden/>
          </w:rPr>
          <w:fldChar w:fldCharType="begin"/>
        </w:r>
        <w:r w:rsidR="005C2198">
          <w:rPr>
            <w:noProof/>
            <w:webHidden/>
          </w:rPr>
          <w:instrText xml:space="preserve"> PAGEREF _Toc120870190 \h </w:instrText>
        </w:r>
        <w:r w:rsidR="005C2198">
          <w:rPr>
            <w:noProof/>
            <w:webHidden/>
          </w:rPr>
        </w:r>
        <w:r w:rsidR="005C2198">
          <w:rPr>
            <w:noProof/>
            <w:webHidden/>
          </w:rPr>
          <w:fldChar w:fldCharType="separate"/>
        </w:r>
        <w:r w:rsidR="005C2198">
          <w:rPr>
            <w:noProof/>
            <w:webHidden/>
          </w:rPr>
          <w:t>2</w:t>
        </w:r>
        <w:r w:rsidR="005C2198">
          <w:rPr>
            <w:noProof/>
            <w:webHidden/>
          </w:rPr>
          <w:fldChar w:fldCharType="end"/>
        </w:r>
      </w:hyperlink>
    </w:p>
    <w:p w14:paraId="3C82CB8D" w14:textId="71C52C62" w:rsidR="005C2198" w:rsidRDefault="00310B76">
      <w:pPr>
        <w:pStyle w:val="TOC1"/>
        <w:rPr>
          <w:rFonts w:asciiTheme="minorHAnsi" w:eastAsiaTheme="minorEastAsia" w:hAnsiTheme="minorHAnsi" w:cstheme="minorBidi"/>
          <w:caps w:val="0"/>
          <w:noProof/>
          <w:szCs w:val="22"/>
          <w:lang w:eastAsia="en-GB"/>
        </w:rPr>
      </w:pPr>
      <w:hyperlink w:anchor="_Toc120870191" w:history="1">
        <w:r w:rsidR="005C2198" w:rsidRPr="00947E60">
          <w:rPr>
            <w:rStyle w:val="Hyperlink"/>
            <w:noProof/>
          </w:rPr>
          <w:t>5.</w:t>
        </w:r>
        <w:r w:rsidR="005C2198">
          <w:rPr>
            <w:rFonts w:asciiTheme="minorHAnsi" w:eastAsiaTheme="minorEastAsia" w:hAnsiTheme="minorHAnsi" w:cstheme="minorBidi"/>
            <w:caps w:val="0"/>
            <w:noProof/>
            <w:szCs w:val="22"/>
            <w:lang w:eastAsia="en-GB"/>
          </w:rPr>
          <w:tab/>
        </w:r>
        <w:r w:rsidR="005C2198" w:rsidRPr="00947E60">
          <w:rPr>
            <w:rStyle w:val="Hyperlink"/>
            <w:noProof/>
          </w:rPr>
          <w:t>ADVICE TO INSPECTORS</w:t>
        </w:r>
        <w:r w:rsidR="005C2198">
          <w:rPr>
            <w:noProof/>
            <w:webHidden/>
          </w:rPr>
          <w:tab/>
        </w:r>
        <w:r w:rsidR="005C2198">
          <w:rPr>
            <w:noProof/>
            <w:webHidden/>
          </w:rPr>
          <w:fldChar w:fldCharType="begin"/>
        </w:r>
        <w:r w:rsidR="005C2198">
          <w:rPr>
            <w:noProof/>
            <w:webHidden/>
          </w:rPr>
          <w:instrText xml:space="preserve"> PAGEREF _Toc120870191 \h </w:instrText>
        </w:r>
        <w:r w:rsidR="005C2198">
          <w:rPr>
            <w:noProof/>
            <w:webHidden/>
          </w:rPr>
        </w:r>
        <w:r w:rsidR="005C2198">
          <w:rPr>
            <w:noProof/>
            <w:webHidden/>
          </w:rPr>
          <w:fldChar w:fldCharType="separate"/>
        </w:r>
        <w:r w:rsidR="005C2198">
          <w:rPr>
            <w:noProof/>
            <w:webHidden/>
          </w:rPr>
          <w:t>2</w:t>
        </w:r>
        <w:r w:rsidR="005C2198">
          <w:rPr>
            <w:noProof/>
            <w:webHidden/>
          </w:rPr>
          <w:fldChar w:fldCharType="end"/>
        </w:r>
      </w:hyperlink>
    </w:p>
    <w:p w14:paraId="00C7B439" w14:textId="7FF62C15" w:rsidR="005C2198" w:rsidRDefault="00310B76">
      <w:pPr>
        <w:pStyle w:val="TOC1"/>
        <w:rPr>
          <w:rFonts w:asciiTheme="minorHAnsi" w:eastAsiaTheme="minorEastAsia" w:hAnsiTheme="minorHAnsi" w:cstheme="minorBidi"/>
          <w:caps w:val="0"/>
          <w:noProof/>
          <w:szCs w:val="22"/>
          <w:lang w:eastAsia="en-GB"/>
        </w:rPr>
      </w:pPr>
      <w:hyperlink w:anchor="_Toc120870192" w:history="1">
        <w:r w:rsidR="005C2198" w:rsidRPr="00947E60">
          <w:rPr>
            <w:rStyle w:val="Hyperlink"/>
            <w:noProof/>
          </w:rPr>
          <w:t>6.</w:t>
        </w:r>
        <w:r w:rsidR="005C2198">
          <w:rPr>
            <w:rFonts w:asciiTheme="minorHAnsi" w:eastAsiaTheme="minorEastAsia" w:hAnsiTheme="minorHAnsi" w:cstheme="minorBidi"/>
            <w:caps w:val="0"/>
            <w:noProof/>
            <w:szCs w:val="22"/>
            <w:lang w:eastAsia="en-GB"/>
          </w:rPr>
          <w:tab/>
        </w:r>
        <w:r w:rsidR="005C2198" w:rsidRPr="00947E60">
          <w:rPr>
            <w:rStyle w:val="Hyperlink"/>
            <w:noProof/>
          </w:rPr>
          <w:t>REFERENCES</w:t>
        </w:r>
        <w:r w:rsidR="005C2198">
          <w:rPr>
            <w:noProof/>
            <w:webHidden/>
          </w:rPr>
          <w:tab/>
        </w:r>
        <w:r w:rsidR="005C2198">
          <w:rPr>
            <w:noProof/>
            <w:webHidden/>
          </w:rPr>
          <w:fldChar w:fldCharType="begin"/>
        </w:r>
        <w:r w:rsidR="005C2198">
          <w:rPr>
            <w:noProof/>
            <w:webHidden/>
          </w:rPr>
          <w:instrText xml:space="preserve"> PAGEREF _Toc120870192 \h </w:instrText>
        </w:r>
        <w:r w:rsidR="005C2198">
          <w:rPr>
            <w:noProof/>
            <w:webHidden/>
          </w:rPr>
        </w:r>
        <w:r w:rsidR="005C2198">
          <w:rPr>
            <w:noProof/>
            <w:webHidden/>
          </w:rPr>
          <w:fldChar w:fldCharType="separate"/>
        </w:r>
        <w:r w:rsidR="005C2198">
          <w:rPr>
            <w:noProof/>
            <w:webHidden/>
          </w:rPr>
          <w:t>8</w:t>
        </w:r>
        <w:r w:rsidR="005C2198">
          <w:rPr>
            <w:noProof/>
            <w:webHidden/>
          </w:rPr>
          <w:fldChar w:fldCharType="end"/>
        </w:r>
      </w:hyperlink>
    </w:p>
    <w:p w14:paraId="08599393" w14:textId="52F2FB36" w:rsidR="005C2198" w:rsidRDefault="00310B76">
      <w:pPr>
        <w:pStyle w:val="TOC1"/>
        <w:rPr>
          <w:rFonts w:asciiTheme="minorHAnsi" w:eastAsiaTheme="minorEastAsia" w:hAnsiTheme="minorHAnsi" w:cstheme="minorBidi"/>
          <w:caps w:val="0"/>
          <w:noProof/>
          <w:szCs w:val="22"/>
          <w:lang w:eastAsia="en-GB"/>
        </w:rPr>
      </w:pPr>
      <w:hyperlink w:anchor="_Toc120870193" w:history="1">
        <w:r w:rsidR="005C2198" w:rsidRPr="00947E60">
          <w:rPr>
            <w:rStyle w:val="Hyperlink"/>
            <w:noProof/>
          </w:rPr>
          <w:t>7.</w:t>
        </w:r>
        <w:r w:rsidR="005C2198">
          <w:rPr>
            <w:rFonts w:asciiTheme="minorHAnsi" w:eastAsiaTheme="minorEastAsia" w:hAnsiTheme="minorHAnsi" w:cstheme="minorBidi"/>
            <w:caps w:val="0"/>
            <w:noProof/>
            <w:szCs w:val="22"/>
            <w:lang w:eastAsia="en-GB"/>
          </w:rPr>
          <w:tab/>
        </w:r>
        <w:r w:rsidR="005C2198" w:rsidRPr="00947E60">
          <w:rPr>
            <w:rStyle w:val="Hyperlink"/>
            <w:noProof/>
          </w:rPr>
          <w:t>GLOSSARY AND ABBREVIATIONS</w:t>
        </w:r>
        <w:r w:rsidR="005C2198">
          <w:rPr>
            <w:noProof/>
            <w:webHidden/>
          </w:rPr>
          <w:tab/>
        </w:r>
        <w:r w:rsidR="005C2198">
          <w:rPr>
            <w:noProof/>
            <w:webHidden/>
          </w:rPr>
          <w:fldChar w:fldCharType="begin"/>
        </w:r>
        <w:r w:rsidR="005C2198">
          <w:rPr>
            <w:noProof/>
            <w:webHidden/>
          </w:rPr>
          <w:instrText xml:space="preserve"> PAGEREF _Toc120870193 \h </w:instrText>
        </w:r>
        <w:r w:rsidR="005C2198">
          <w:rPr>
            <w:noProof/>
            <w:webHidden/>
          </w:rPr>
        </w:r>
        <w:r w:rsidR="005C2198">
          <w:rPr>
            <w:noProof/>
            <w:webHidden/>
          </w:rPr>
          <w:fldChar w:fldCharType="separate"/>
        </w:r>
        <w:r w:rsidR="005C2198">
          <w:rPr>
            <w:noProof/>
            <w:webHidden/>
          </w:rPr>
          <w:t>9</w:t>
        </w:r>
        <w:r w:rsidR="005C2198">
          <w:rPr>
            <w:noProof/>
            <w:webHidden/>
          </w:rPr>
          <w:fldChar w:fldCharType="end"/>
        </w:r>
      </w:hyperlink>
    </w:p>
    <w:p w14:paraId="444A2481" w14:textId="6F7F2FF7" w:rsidR="008E67CB" w:rsidRDefault="004750A2" w:rsidP="008E67CB">
      <w:r>
        <w:fldChar w:fldCharType="end"/>
      </w:r>
    </w:p>
    <w:p w14:paraId="6B674BB1" w14:textId="77777777" w:rsidR="00604F23" w:rsidRDefault="00604F23" w:rsidP="008E67CB"/>
    <w:p w14:paraId="74CFB58A" w14:textId="77777777" w:rsidR="00F96DFE" w:rsidRDefault="00F96DFE" w:rsidP="00F96DFE">
      <w:pPr>
        <w:outlineLvl w:val="1"/>
        <w:rPr>
          <w:rFonts w:cs="Arial"/>
          <w:bCs/>
          <w:i/>
          <w:kern w:val="36"/>
          <w:sz w:val="16"/>
          <w:szCs w:val="16"/>
        </w:rPr>
      </w:pPr>
    </w:p>
    <w:p w14:paraId="5F74733B" w14:textId="77777777" w:rsidR="00F96DFE" w:rsidRDefault="00F96DFE" w:rsidP="00F96DFE">
      <w:pPr>
        <w:outlineLvl w:val="1"/>
        <w:rPr>
          <w:rFonts w:cs="Arial"/>
          <w:bCs/>
          <w:i/>
          <w:kern w:val="36"/>
          <w:sz w:val="16"/>
          <w:szCs w:val="16"/>
        </w:rPr>
      </w:pPr>
    </w:p>
    <w:p w14:paraId="11758144" w14:textId="77777777" w:rsidR="00F96DFE" w:rsidRDefault="00F96DFE" w:rsidP="00F96DFE">
      <w:pPr>
        <w:outlineLvl w:val="1"/>
        <w:rPr>
          <w:rFonts w:cs="Arial"/>
          <w:bCs/>
          <w:i/>
          <w:kern w:val="36"/>
          <w:sz w:val="16"/>
          <w:szCs w:val="16"/>
        </w:rPr>
      </w:pPr>
    </w:p>
    <w:p w14:paraId="63ECD795" w14:textId="77777777" w:rsidR="00F96DFE" w:rsidRDefault="00F96DFE" w:rsidP="00F96DFE">
      <w:pPr>
        <w:outlineLvl w:val="1"/>
        <w:rPr>
          <w:rFonts w:cs="Arial"/>
          <w:bCs/>
          <w:i/>
          <w:kern w:val="36"/>
          <w:sz w:val="16"/>
          <w:szCs w:val="16"/>
        </w:rPr>
      </w:pPr>
    </w:p>
    <w:p w14:paraId="10174CB8" w14:textId="77777777" w:rsidR="00F96DFE" w:rsidRDefault="00F96DFE" w:rsidP="00F96DFE">
      <w:pPr>
        <w:outlineLvl w:val="1"/>
        <w:rPr>
          <w:rFonts w:cs="Arial"/>
          <w:bCs/>
          <w:i/>
          <w:kern w:val="36"/>
          <w:sz w:val="16"/>
          <w:szCs w:val="16"/>
        </w:rPr>
      </w:pPr>
    </w:p>
    <w:p w14:paraId="68E6DD4C" w14:textId="77777777" w:rsidR="00F96DFE" w:rsidRDefault="00F96DFE" w:rsidP="00F96DFE">
      <w:pPr>
        <w:outlineLvl w:val="1"/>
        <w:rPr>
          <w:rFonts w:cs="Arial"/>
          <w:bCs/>
          <w:i/>
          <w:kern w:val="36"/>
          <w:sz w:val="16"/>
          <w:szCs w:val="16"/>
        </w:rPr>
      </w:pPr>
    </w:p>
    <w:p w14:paraId="7BC49E1F" w14:textId="77777777" w:rsidR="00F96DFE" w:rsidRDefault="00F96DFE" w:rsidP="00F96DFE">
      <w:pPr>
        <w:outlineLvl w:val="1"/>
        <w:rPr>
          <w:rFonts w:cs="Arial"/>
          <w:bCs/>
          <w:i/>
          <w:kern w:val="36"/>
          <w:sz w:val="16"/>
          <w:szCs w:val="16"/>
        </w:rPr>
      </w:pPr>
    </w:p>
    <w:p w14:paraId="40F31295" w14:textId="77777777" w:rsidR="00F96DFE" w:rsidRDefault="00F96DFE" w:rsidP="00F96DFE">
      <w:pPr>
        <w:outlineLvl w:val="1"/>
        <w:rPr>
          <w:rFonts w:cs="Arial"/>
          <w:bCs/>
          <w:i/>
          <w:kern w:val="36"/>
          <w:sz w:val="16"/>
          <w:szCs w:val="16"/>
        </w:rPr>
      </w:pPr>
    </w:p>
    <w:p w14:paraId="0332AB5B" w14:textId="77777777" w:rsidR="00F96DFE" w:rsidRDefault="00F96DFE" w:rsidP="00F96DFE">
      <w:pPr>
        <w:outlineLvl w:val="1"/>
        <w:rPr>
          <w:rFonts w:cs="Arial"/>
          <w:bCs/>
          <w:i/>
          <w:kern w:val="36"/>
          <w:sz w:val="16"/>
          <w:szCs w:val="16"/>
        </w:rPr>
      </w:pPr>
    </w:p>
    <w:p w14:paraId="49E4832C" w14:textId="77777777" w:rsidR="00F96DFE" w:rsidRDefault="00F96DFE" w:rsidP="00F96DFE">
      <w:pPr>
        <w:outlineLvl w:val="1"/>
        <w:rPr>
          <w:rFonts w:cs="Arial"/>
          <w:bCs/>
          <w:i/>
          <w:kern w:val="36"/>
          <w:sz w:val="16"/>
          <w:szCs w:val="16"/>
        </w:rPr>
      </w:pPr>
    </w:p>
    <w:p w14:paraId="5E8902E8" w14:textId="77777777" w:rsidR="00F96DFE" w:rsidRDefault="00F96DFE" w:rsidP="00F96DFE">
      <w:pPr>
        <w:outlineLvl w:val="1"/>
        <w:rPr>
          <w:rFonts w:cs="Arial"/>
          <w:bCs/>
          <w:i/>
          <w:kern w:val="36"/>
          <w:sz w:val="16"/>
          <w:szCs w:val="16"/>
        </w:rPr>
      </w:pPr>
    </w:p>
    <w:p w14:paraId="4941598B" w14:textId="72098D1A" w:rsidR="00F96DFE" w:rsidRPr="00F96DFE" w:rsidRDefault="00F96DFE" w:rsidP="00F96DFE">
      <w:pPr>
        <w:outlineLvl w:val="1"/>
        <w:rPr>
          <w:rFonts w:cs="Arial"/>
          <w:bCs/>
          <w:i/>
          <w:kern w:val="36"/>
          <w:sz w:val="16"/>
          <w:szCs w:val="16"/>
        </w:rPr>
      </w:pPr>
      <w:r w:rsidRPr="00F96DFE">
        <w:rPr>
          <w:rFonts w:cs="Arial"/>
          <w:bCs/>
          <w:i/>
          <w:kern w:val="36"/>
          <w:sz w:val="16"/>
          <w:szCs w:val="16"/>
        </w:rPr>
        <w:t xml:space="preserve">© </w:t>
      </w:r>
      <w:r w:rsidR="00532D01">
        <w:rPr>
          <w:rFonts w:cs="Arial"/>
          <w:bCs/>
          <w:i/>
          <w:kern w:val="36"/>
          <w:sz w:val="16"/>
          <w:szCs w:val="16"/>
        </w:rPr>
        <w:t>Off</w:t>
      </w:r>
      <w:r w:rsidR="00A95FCF">
        <w:rPr>
          <w:rFonts w:cs="Arial"/>
          <w:bCs/>
          <w:i/>
          <w:kern w:val="36"/>
          <w:sz w:val="16"/>
          <w:szCs w:val="16"/>
        </w:rPr>
        <w:t xml:space="preserve">ice </w:t>
      </w:r>
      <w:r w:rsidR="00405297">
        <w:rPr>
          <w:rFonts w:cs="Arial"/>
          <w:bCs/>
          <w:i/>
          <w:kern w:val="36"/>
          <w:sz w:val="16"/>
          <w:szCs w:val="16"/>
        </w:rPr>
        <w:t>for Nuclear Regulation, 20</w:t>
      </w:r>
      <w:r w:rsidR="00FF1DA3">
        <w:rPr>
          <w:rFonts w:cs="Arial"/>
          <w:bCs/>
          <w:i/>
          <w:kern w:val="36"/>
          <w:sz w:val="16"/>
          <w:szCs w:val="16"/>
        </w:rPr>
        <w:t>22</w:t>
      </w:r>
    </w:p>
    <w:p w14:paraId="6B150C79" w14:textId="77777777" w:rsidR="00F96DFE" w:rsidRPr="00F96DFE" w:rsidRDefault="00F96DFE" w:rsidP="00F96DFE">
      <w:pPr>
        <w:outlineLvl w:val="1"/>
        <w:rPr>
          <w:rFonts w:ascii="Times New Roman" w:hAnsi="Times New Roman"/>
          <w:bCs/>
          <w:kern w:val="36"/>
          <w:sz w:val="16"/>
          <w:szCs w:val="16"/>
        </w:rPr>
      </w:pPr>
      <w:r w:rsidRPr="00F96DFE">
        <w:rPr>
          <w:rFonts w:cs="Arial"/>
          <w:bCs/>
          <w:kern w:val="36"/>
          <w:sz w:val="16"/>
          <w:szCs w:val="16"/>
        </w:rPr>
        <w:t xml:space="preserve">If you wish to reuse this information visit </w:t>
      </w:r>
      <w:hyperlink r:id="rId14" w:tooltip="blocked::blocked::BLOCKED::http://www.hse.gov.uk/copyright&#10;blocked::BLOCKED::http://www.hse.gov.uk/copyright&#10;http://www.hse.gov.uk/copyright" w:history="1"/>
      <w:hyperlink r:id="rId15" w:tooltip="http://www.onr.org.uk/copyright" w:history="1">
        <w:r w:rsidRPr="00F96DFE">
          <w:rPr>
            <w:rStyle w:val="Hyperlink"/>
            <w:rFonts w:cs="Arial"/>
            <w:bCs/>
            <w:kern w:val="36"/>
            <w:sz w:val="16"/>
            <w:szCs w:val="16"/>
          </w:rPr>
          <w:t>www.onr.org.uk/copyright</w:t>
        </w:r>
      </w:hyperlink>
      <w:r w:rsidRPr="00F96DFE">
        <w:rPr>
          <w:rFonts w:cs="Arial"/>
          <w:bCs/>
          <w:kern w:val="36"/>
          <w:sz w:val="16"/>
          <w:szCs w:val="16"/>
        </w:rPr>
        <w:t xml:space="preserve"> for details. </w:t>
      </w:r>
    </w:p>
    <w:p w14:paraId="218C7C23" w14:textId="5BE9F101" w:rsidR="004D6079" w:rsidRDefault="00F96DFE">
      <w:r w:rsidRPr="00F96DFE">
        <w:rPr>
          <w:rFonts w:cs="Arial"/>
          <w:bCs/>
          <w:kern w:val="36"/>
          <w:sz w:val="16"/>
          <w:szCs w:val="16"/>
        </w:rPr>
        <w:t xml:space="preserve">Published </w:t>
      </w:r>
      <w:r w:rsidR="00E24CC3">
        <w:rPr>
          <w:rFonts w:cs="Arial"/>
          <w:bCs/>
          <w:kern w:val="36"/>
          <w:sz w:val="16"/>
          <w:szCs w:val="16"/>
        </w:rPr>
        <w:t>1</w:t>
      </w:r>
      <w:r w:rsidR="00FF1DA3">
        <w:rPr>
          <w:rFonts w:cs="Arial"/>
          <w:bCs/>
          <w:kern w:val="36"/>
          <w:sz w:val="16"/>
          <w:szCs w:val="16"/>
        </w:rPr>
        <w:t>2/22</w:t>
      </w:r>
      <w:r w:rsidR="004D6079">
        <w:br w:type="page"/>
      </w:r>
    </w:p>
    <w:p w14:paraId="2583200F" w14:textId="77777777" w:rsidR="005E13C2" w:rsidRDefault="009B5159" w:rsidP="005E13C2">
      <w:pPr>
        <w:pStyle w:val="TSHeadingNumbered1"/>
      </w:pPr>
      <w:bookmarkStart w:id="0" w:name="_Toc120870187"/>
      <w:r>
        <w:lastRenderedPageBreak/>
        <w:t>INTRODUCTION</w:t>
      </w:r>
      <w:bookmarkEnd w:id="0"/>
    </w:p>
    <w:p w14:paraId="3271B505" w14:textId="77777777" w:rsidR="009B5159" w:rsidRDefault="009B5159" w:rsidP="001E6E78">
      <w:pPr>
        <w:pStyle w:val="TSNumberedParagraph11"/>
        <w:jc w:val="both"/>
      </w:pPr>
      <w:r>
        <w:t>ONR has established its Safety Assessment Principles (SAPs) which apply to the assessment by ONR inspectors of safety cases for nuclear facilities that may be operated by potential licensees, existing licensees, or other duty-holders.  The principles presented in the SAPs are supported by a suite of guides to f</w:t>
      </w:r>
      <w:r w:rsidR="005007CF">
        <w:t>urther assist ONR</w:t>
      </w:r>
      <w:r>
        <w:t xml:space="preserve"> inspectors in their technical assessment work in support of making regulatory judgements and decisions.  This technical assessment guide is one of these guides.</w:t>
      </w:r>
    </w:p>
    <w:p w14:paraId="4F3A44ED" w14:textId="77777777" w:rsidR="009B5159" w:rsidRDefault="009B5159" w:rsidP="009B5159">
      <w:pPr>
        <w:pStyle w:val="TSHeadingNumbered1"/>
      </w:pPr>
      <w:bookmarkStart w:id="1" w:name="_Toc120870188"/>
      <w:r>
        <w:t>PURPOSE AND SCOPE</w:t>
      </w:r>
      <w:bookmarkEnd w:id="1"/>
    </w:p>
    <w:p w14:paraId="09731636" w14:textId="77777777" w:rsidR="009B5159" w:rsidRDefault="001E6E78" w:rsidP="001E6E78">
      <w:pPr>
        <w:pStyle w:val="TSNumberedParagraph11"/>
        <w:jc w:val="both"/>
      </w:pPr>
      <w:r>
        <w:t xml:space="preserve">This guide aims to assist ONR inspectors in judging the adequacy of plant commissioning arrangements with respect to nuclear safety.  It is worth stressing that the guide is for the </w:t>
      </w:r>
      <w:r w:rsidR="008E4BAB">
        <w:t xml:space="preserve">ONR </w:t>
      </w:r>
      <w:r>
        <w:t xml:space="preserve">inspector, not the commissioning engineer, so it does not deal with detailed </w:t>
      </w:r>
      <w:r w:rsidR="008E4BAB">
        <w:t xml:space="preserve">generic </w:t>
      </w:r>
      <w:r>
        <w:t xml:space="preserve">commissioning practice.  The </w:t>
      </w:r>
      <w:r w:rsidRPr="00B0057A">
        <w:t>inspector’s</w:t>
      </w:r>
      <w:r>
        <w:t xml:space="preserve"> task is to be satisfied that, for nuclear safety concerns, the licensee has in place both the intent and the means to achieve proper commissioning</w:t>
      </w:r>
      <w:r w:rsidR="008E4BAB">
        <w:t xml:space="preserve"> of C&amp;I systems </w:t>
      </w:r>
      <w:r w:rsidR="00B0057A">
        <w:t xml:space="preserve">and equipment </w:t>
      </w:r>
      <w:r w:rsidR="008E4BAB">
        <w:t>important to safety</w:t>
      </w:r>
      <w:r>
        <w:t>, so the guide addresses those aspects that allow these factors to be established.</w:t>
      </w:r>
    </w:p>
    <w:p w14:paraId="1F27CE7D" w14:textId="77777777" w:rsidR="001E6E78" w:rsidRDefault="001E6E78" w:rsidP="001E6E78">
      <w:pPr>
        <w:pStyle w:val="TSNumberedParagraph11"/>
        <w:jc w:val="both"/>
      </w:pPr>
      <w:r>
        <w:t xml:space="preserve">There are of course many interfaces and responsibilities involved in commissioning, not only within the licensee’s organisation but also within ONR.  These are mentioned in outline in order to set the </w:t>
      </w:r>
      <w:r w:rsidR="00B0057A">
        <w:t xml:space="preserve">ONR </w:t>
      </w:r>
      <w:r>
        <w:t>inspector’s work into its proper context.</w:t>
      </w:r>
    </w:p>
    <w:p w14:paraId="55296614" w14:textId="77777777" w:rsidR="009B5159" w:rsidRDefault="001E6E78" w:rsidP="009B5159">
      <w:pPr>
        <w:pStyle w:val="TSNumberedParagraph11"/>
        <w:jc w:val="both"/>
      </w:pPr>
      <w:r>
        <w:t>This TAG contains guidance to advise and inform ONR inspectors in the exercise of their professional regulatory judgement.  Comments on this guide, and suggestions for future r</w:t>
      </w:r>
      <w:r w:rsidR="008E4BAB">
        <w:t>evisions, should be recorded as specified within the ONR Management System (MS)</w:t>
      </w:r>
      <w:r>
        <w:t>.</w:t>
      </w:r>
    </w:p>
    <w:p w14:paraId="303DF0D9" w14:textId="77777777" w:rsidR="008867CA" w:rsidRDefault="008867CA" w:rsidP="008867CA">
      <w:pPr>
        <w:pStyle w:val="TSNumberedParagraph11"/>
        <w:numPr>
          <w:ilvl w:val="0"/>
          <w:numId w:val="0"/>
        </w:numPr>
        <w:ind w:left="720"/>
        <w:jc w:val="both"/>
      </w:pPr>
    </w:p>
    <w:p w14:paraId="534D77AB" w14:textId="77777777" w:rsidR="009B5159" w:rsidRDefault="009B5159" w:rsidP="009B5159">
      <w:pPr>
        <w:pStyle w:val="TSHeadingNumbered1"/>
      </w:pPr>
      <w:bookmarkStart w:id="2" w:name="_Toc120870189"/>
      <w:r>
        <w:t>RELATIONSHIP TO LICENCE AND OTHER RELEVANT LEGISLATION</w:t>
      </w:r>
      <w:bookmarkEnd w:id="2"/>
    </w:p>
    <w:p w14:paraId="5DF4B5DC" w14:textId="77777777" w:rsidR="009B5159" w:rsidRDefault="001E6E78" w:rsidP="009B5159">
      <w:pPr>
        <w:pStyle w:val="TSNumberedParagraph11"/>
      </w:pPr>
      <w:r>
        <w:t xml:space="preserve">Licence Condition 21 (Commissioning) </w:t>
      </w:r>
      <w:r w:rsidR="00AA0849">
        <w:t xml:space="preserve">[1] </w:t>
      </w:r>
      <w:r>
        <w:t>applies</w:t>
      </w:r>
      <w:r w:rsidR="003E314E">
        <w:t>,</w:t>
      </w:r>
      <w:r>
        <w:t xml:space="preserve"> in particular.</w:t>
      </w:r>
    </w:p>
    <w:p w14:paraId="0FF1917E" w14:textId="77777777" w:rsidR="008867CA" w:rsidRDefault="008867CA" w:rsidP="008867CA">
      <w:pPr>
        <w:pStyle w:val="TSNumberedParagraph11"/>
        <w:numPr>
          <w:ilvl w:val="0"/>
          <w:numId w:val="0"/>
        </w:numPr>
        <w:ind w:left="720"/>
      </w:pPr>
    </w:p>
    <w:p w14:paraId="416736B6" w14:textId="77777777" w:rsidR="009B5159" w:rsidRDefault="009B5159" w:rsidP="00532D01">
      <w:pPr>
        <w:pStyle w:val="TSHeadingNumbered1"/>
      </w:pPr>
      <w:bookmarkStart w:id="3" w:name="_Toc120870190"/>
      <w:r>
        <w:t>RELATIONSHIP TO SAPS, WENRA REFERENCE LEVELS AND IAEA SAFETY STANDARDS ADDRESSED</w:t>
      </w:r>
      <w:bookmarkEnd w:id="3"/>
    </w:p>
    <w:p w14:paraId="2FAAB6D7" w14:textId="77777777" w:rsidR="009B5159" w:rsidRDefault="001E6E78" w:rsidP="001E6E78">
      <w:pPr>
        <w:pStyle w:val="TSNumberedParagraph11"/>
        <w:jc w:val="both"/>
      </w:pPr>
      <w:r>
        <w:t xml:space="preserve">This guidance enlarges on that </w:t>
      </w:r>
      <w:r w:rsidR="00AA0849">
        <w:t>guidance provided in the SAPs [2</w:t>
      </w:r>
      <w:r>
        <w:t>], notably Principle ECM.1 and its associated discussion paragraphs.</w:t>
      </w:r>
    </w:p>
    <w:p w14:paraId="43351DF6" w14:textId="77777777" w:rsidR="009B5159" w:rsidRDefault="001E6E78" w:rsidP="001E6E78">
      <w:pPr>
        <w:pStyle w:val="TSNumberedParagraph11"/>
        <w:jc w:val="both"/>
      </w:pPr>
      <w:r>
        <w:t xml:space="preserve">Commissioning is mentioned in the WENRA Reference Levels </w:t>
      </w:r>
      <w:r w:rsidR="00C13BD5">
        <w:t>document</w:t>
      </w:r>
      <w:r w:rsidR="00FC734B">
        <w:t xml:space="preserve"> [3]</w:t>
      </w:r>
      <w:r w:rsidR="00C13BD5">
        <w:t>, generally with respect to the need to carry out commissioning in relevant circumstances, but details of how it should be conducted are not included.</w:t>
      </w:r>
    </w:p>
    <w:p w14:paraId="67CB479F" w14:textId="77777777" w:rsidR="00532D01" w:rsidRDefault="00C13BD5" w:rsidP="009B5159">
      <w:pPr>
        <w:pStyle w:val="TSNumberedParagraph11"/>
        <w:jc w:val="both"/>
      </w:pPr>
      <w:r>
        <w:t xml:space="preserve">The guidance in this document is consistent with the high-level commissioning guidance provided in IAEA safety guide </w:t>
      </w:r>
      <w:r w:rsidR="0079672F">
        <w:t>SSG-39 ‘Design of Instrumentation and Control Systems for Nuclear Power Plant’</w:t>
      </w:r>
      <w:r w:rsidR="00FC734B">
        <w:t xml:space="preserve">  [4</w:t>
      </w:r>
      <w:r>
        <w:t>].</w:t>
      </w:r>
    </w:p>
    <w:p w14:paraId="7C87961E" w14:textId="77777777" w:rsidR="008867CA" w:rsidRDefault="008867CA" w:rsidP="008867CA">
      <w:pPr>
        <w:pStyle w:val="TSNumberedParagraph11"/>
        <w:numPr>
          <w:ilvl w:val="0"/>
          <w:numId w:val="0"/>
        </w:numPr>
        <w:ind w:left="720"/>
        <w:jc w:val="both"/>
      </w:pPr>
    </w:p>
    <w:p w14:paraId="78970AA9" w14:textId="77777777" w:rsidR="009B5159" w:rsidRDefault="009B5159" w:rsidP="009B5159">
      <w:pPr>
        <w:pStyle w:val="TSHeadingNumbered1"/>
      </w:pPr>
      <w:bookmarkStart w:id="4" w:name="_Toc120870191"/>
      <w:r>
        <w:t>ADVICE TO INSPECTORS</w:t>
      </w:r>
      <w:bookmarkEnd w:id="4"/>
    </w:p>
    <w:p w14:paraId="5580E8B5" w14:textId="77777777" w:rsidR="009B5159" w:rsidRDefault="006A7C1E" w:rsidP="00C13BD5">
      <w:pPr>
        <w:pStyle w:val="TSNumberedParagraph11"/>
        <w:jc w:val="both"/>
      </w:pPr>
      <w:r>
        <w:t>Objectives</w:t>
      </w:r>
      <w:r w:rsidR="00C13BD5">
        <w:t xml:space="preserve"> of commissioning</w:t>
      </w:r>
    </w:p>
    <w:p w14:paraId="4D6C5693" w14:textId="77777777" w:rsidR="00C13BD5" w:rsidRDefault="00C13BD5" w:rsidP="00C13BD5">
      <w:pPr>
        <w:pStyle w:val="TSNumberedParagraph11"/>
        <w:numPr>
          <w:ilvl w:val="0"/>
          <w:numId w:val="0"/>
        </w:numPr>
        <w:tabs>
          <w:tab w:val="left" w:pos="1260"/>
        </w:tabs>
        <w:ind w:left="720"/>
        <w:jc w:val="both"/>
      </w:pPr>
      <w:r>
        <w:t>1)</w:t>
      </w:r>
      <w:r>
        <w:tab/>
        <w:t>“Commissioning” is defined by Site Licence Condition 1.1</w:t>
      </w:r>
      <w:r w:rsidR="00AA0849">
        <w:t xml:space="preserve"> [1]</w:t>
      </w:r>
      <w:r>
        <w:t xml:space="preserve">, namely “the process during which plant components and systems, having been constructed or </w:t>
      </w:r>
      <w:r>
        <w:lastRenderedPageBreak/>
        <w:t>modified, are made operational and verified to be in accordance with design assumptions and to have met the appropriate safety criteria”.  Put another way, commissioning consists of the in-situ testing of equipment and systems that have not yet contributed to normal operation of a plant.  It is carried out in order to verify that all systems meet their design functional requirements and achieve a satisfactory performance.  Any shortcomings are to be revealed and corrected.</w:t>
      </w:r>
    </w:p>
    <w:p w14:paraId="504211AE" w14:textId="77777777" w:rsidR="00245AFA" w:rsidRDefault="00C13BD5" w:rsidP="00C13BD5">
      <w:pPr>
        <w:pStyle w:val="TSNumberedParagraph11"/>
        <w:numPr>
          <w:ilvl w:val="0"/>
          <w:numId w:val="0"/>
        </w:numPr>
        <w:tabs>
          <w:tab w:val="left" w:pos="1260"/>
        </w:tabs>
        <w:ind w:left="720"/>
        <w:jc w:val="both"/>
      </w:pPr>
      <w:r>
        <w:t>2)</w:t>
      </w:r>
      <w:r>
        <w:tab/>
        <w:t xml:space="preserve">Commissioning in general is primarily concerned with proving functionality, </w:t>
      </w:r>
      <w:r w:rsidR="00891B80">
        <w:t xml:space="preserve">and </w:t>
      </w:r>
      <w:r>
        <w:t xml:space="preserve">the inspector’s task is concerned with </w:t>
      </w:r>
      <w:r w:rsidR="008E4BAB">
        <w:t xml:space="preserve">assessing </w:t>
      </w:r>
      <w:r>
        <w:t xml:space="preserve">the subset of </w:t>
      </w:r>
      <w:r w:rsidR="006A7C1E">
        <w:t>activities</w:t>
      </w:r>
      <w:r>
        <w:t xml:space="preserve"> relating to nuclear safety, </w:t>
      </w:r>
      <w:r w:rsidR="00891B80">
        <w:t xml:space="preserve">i.e. concern with the </w:t>
      </w:r>
      <w:r>
        <w:t xml:space="preserve">commissioning </w:t>
      </w:r>
      <w:r w:rsidR="00891B80">
        <w:t xml:space="preserve">of C&amp;I systems </w:t>
      </w:r>
      <w:r w:rsidR="00B0057A">
        <w:t xml:space="preserve">and equipment </w:t>
      </w:r>
      <w:r w:rsidR="00891B80">
        <w:t>providing nuclear safety functions.</w:t>
      </w:r>
    </w:p>
    <w:p w14:paraId="11AD169B" w14:textId="77777777" w:rsidR="00245AFA" w:rsidRDefault="008E4BAB" w:rsidP="00C13BD5">
      <w:pPr>
        <w:pStyle w:val="TSNumberedParagraph11"/>
        <w:numPr>
          <w:ilvl w:val="0"/>
          <w:numId w:val="0"/>
        </w:numPr>
        <w:tabs>
          <w:tab w:val="left" w:pos="1260"/>
        </w:tabs>
        <w:ind w:left="720"/>
        <w:jc w:val="both"/>
      </w:pPr>
      <w:r>
        <w:t>3)</w:t>
      </w:r>
      <w:r>
        <w:tab/>
        <w:t>In particular, the licensee’</w:t>
      </w:r>
      <w:r w:rsidR="00793414">
        <w:t xml:space="preserve">s commissioning arrangements </w:t>
      </w:r>
      <w:r w:rsidR="00C13BD5">
        <w:t xml:space="preserve">should include the setting to work of systems, validation of design assumptions, proving of system capability at all stages of integration, validation of operating, emergency and maintenance procedures, verification and optimisation of overall performance, and the training of personnel.  With respect to nuclear safety, the functionality of all </w:t>
      </w:r>
      <w:r w:rsidR="00891B80">
        <w:t xml:space="preserve">C&amp;I </w:t>
      </w:r>
      <w:r w:rsidR="00C13BD5">
        <w:t xml:space="preserve">safety systems </w:t>
      </w:r>
      <w:r w:rsidR="00B0057A">
        <w:t xml:space="preserve">and equipment </w:t>
      </w:r>
      <w:r w:rsidR="00C13BD5">
        <w:t xml:space="preserve">should be established and where, in the Design Safety Report (DSR) or its equivalent, there are testable safety claims, then they should be </w:t>
      </w:r>
      <w:r w:rsidR="006A7C1E">
        <w:t>confirmed</w:t>
      </w:r>
      <w:r w:rsidR="00C13BD5">
        <w:t xml:space="preserve"> during commissioning.  The licensee’s procedures should indicate how all such instances are to be identified</w:t>
      </w:r>
    </w:p>
    <w:p w14:paraId="3848FC58" w14:textId="77777777" w:rsidR="00C13BD5" w:rsidRDefault="00C13BD5" w:rsidP="00C13BD5">
      <w:pPr>
        <w:pStyle w:val="TSNumberedParagraph11"/>
        <w:numPr>
          <w:ilvl w:val="0"/>
          <w:numId w:val="0"/>
        </w:numPr>
        <w:tabs>
          <w:tab w:val="left" w:pos="1260"/>
        </w:tabs>
        <w:ind w:left="720"/>
        <w:jc w:val="both"/>
      </w:pPr>
      <w:r>
        <w:t>4)</w:t>
      </w:r>
      <w:r>
        <w:tab/>
        <w:t xml:space="preserve">A summary of the objectives and principal features of </w:t>
      </w:r>
      <w:r w:rsidR="00891B80">
        <w:t xml:space="preserve">C&amp;I </w:t>
      </w:r>
      <w:r>
        <w:t>commissioning is</w:t>
      </w:r>
      <w:r w:rsidR="00891B80">
        <w:t xml:space="preserve"> provided below:</w:t>
      </w:r>
    </w:p>
    <w:p w14:paraId="6305931C" w14:textId="77777777" w:rsidR="00C13BD5" w:rsidRDefault="00C13BD5" w:rsidP="00F33018">
      <w:pPr>
        <w:pStyle w:val="TSNumberedParagraph11"/>
        <w:numPr>
          <w:ilvl w:val="0"/>
          <w:numId w:val="0"/>
        </w:numPr>
        <w:tabs>
          <w:tab w:val="left" w:pos="1260"/>
          <w:tab w:val="left" w:pos="1800"/>
        </w:tabs>
        <w:ind w:left="1260" w:hanging="540"/>
        <w:jc w:val="both"/>
      </w:pPr>
      <w:r>
        <w:tab/>
      </w:r>
      <w:proofErr w:type="spellStart"/>
      <w:r>
        <w:t>i</w:t>
      </w:r>
      <w:proofErr w:type="spellEnd"/>
      <w:r>
        <w:t>)</w:t>
      </w:r>
      <w:r>
        <w:tab/>
        <w:t xml:space="preserve">Commissioning should follow an orderly </w:t>
      </w:r>
      <w:r w:rsidR="005618DA">
        <w:t xml:space="preserve">pre-defined </w:t>
      </w:r>
      <w:r>
        <w:t>process, the scope of which is defined in a schedule</w:t>
      </w:r>
      <w:r w:rsidR="00245AFA">
        <w:t>.</w:t>
      </w:r>
    </w:p>
    <w:p w14:paraId="67E97C86" w14:textId="77777777" w:rsidR="00C13BD5" w:rsidRDefault="00C13BD5" w:rsidP="00F33018">
      <w:pPr>
        <w:pStyle w:val="TSNumberedParagraph11"/>
        <w:numPr>
          <w:ilvl w:val="0"/>
          <w:numId w:val="0"/>
        </w:numPr>
        <w:tabs>
          <w:tab w:val="left" w:pos="1260"/>
          <w:tab w:val="left" w:pos="1800"/>
        </w:tabs>
        <w:ind w:left="1260" w:hanging="540"/>
        <w:jc w:val="both"/>
      </w:pPr>
      <w:r>
        <w:tab/>
      </w:r>
      <w:r w:rsidR="006A7C1E">
        <w:t>ii)</w:t>
      </w:r>
      <w:r w:rsidR="006A7C1E">
        <w:tab/>
        <w:t xml:space="preserve">The starting point in producing a commissioning schedule is the development of </w:t>
      </w:r>
      <w:r w:rsidR="00FD37A2">
        <w:t>a commissioning strategy. The strategy should define</w:t>
      </w:r>
      <w:r w:rsidR="006A7C1E">
        <w:t xml:space="preserve"> the intended testing </w:t>
      </w:r>
      <w:r w:rsidR="00FD37A2">
        <w:t xml:space="preserve">phases, the </w:t>
      </w:r>
      <w:r w:rsidR="006A7C1E">
        <w:t>scope</w:t>
      </w:r>
      <w:r w:rsidR="00FD37A2">
        <w:t xml:space="preserve"> of each phase, and justify the adequacy of the commissioning strategy (</w:t>
      </w:r>
      <w:r w:rsidR="006A7C1E">
        <w:t xml:space="preserve">taking into account </w:t>
      </w:r>
      <w:r w:rsidR="00FD37A2">
        <w:t xml:space="preserve">other relevant factors such as </w:t>
      </w:r>
      <w:r w:rsidR="006A7C1E">
        <w:t>the safety</w:t>
      </w:r>
      <w:r w:rsidR="00081DF2">
        <w:t xml:space="preserve"> </w:t>
      </w:r>
      <w:r w:rsidR="00FD37A2">
        <w:t>significance of the equipment to be commissioned</w:t>
      </w:r>
      <w:r w:rsidR="006A7C1E">
        <w:t xml:space="preserve"> and the known extent of pre-installation testing</w:t>
      </w:r>
      <w:r w:rsidR="00FD37A2">
        <w:t>)</w:t>
      </w:r>
      <w:r w:rsidR="006A7C1E">
        <w:t xml:space="preserve">.  </w:t>
      </w:r>
      <w:r>
        <w:t>The commissioning schedule should define clear acceptance criteria</w:t>
      </w:r>
      <w:r w:rsidR="00FD37A2">
        <w:t xml:space="preserve"> for each commissioning activity</w:t>
      </w:r>
      <w:r w:rsidR="00245AFA">
        <w:t>.</w:t>
      </w:r>
    </w:p>
    <w:p w14:paraId="035B1B57" w14:textId="77777777" w:rsidR="00C13BD5" w:rsidRDefault="00C13BD5" w:rsidP="00F33018">
      <w:pPr>
        <w:pStyle w:val="TSNumberedParagraph11"/>
        <w:numPr>
          <w:ilvl w:val="0"/>
          <w:numId w:val="0"/>
        </w:numPr>
        <w:tabs>
          <w:tab w:val="left" w:pos="1260"/>
          <w:tab w:val="left" w:pos="1800"/>
        </w:tabs>
        <w:ind w:left="1260" w:hanging="540"/>
        <w:jc w:val="both"/>
      </w:pPr>
      <w:r>
        <w:tab/>
        <w:t>iii)</w:t>
      </w:r>
      <w:r>
        <w:tab/>
        <w:t>The scope of commissioning does not normally extend to the testing of the internal sub-system functions in isolation, although evidence (at some level, depe</w:t>
      </w:r>
      <w:r w:rsidR="00FD37A2">
        <w:t>nding upon the safety significance and upon the design</w:t>
      </w:r>
      <w:r>
        <w:t xml:space="preserve"> of the system) of their satisfactory testing (</w:t>
      </w:r>
      <w:proofErr w:type="spellStart"/>
      <w:r>
        <w:t>eg</w:t>
      </w:r>
      <w:proofErr w:type="spellEnd"/>
      <w:r>
        <w:t xml:space="preserve"> prior to commissioning) would be </w:t>
      </w:r>
      <w:r w:rsidR="00530ECE">
        <w:t xml:space="preserve">an </w:t>
      </w:r>
      <w:r>
        <w:t>expected component of the</w:t>
      </w:r>
      <w:r w:rsidR="00FD37A2">
        <w:t xml:space="preserve"> safety case.  T</w:t>
      </w:r>
      <w:r>
        <w:t>he licensee should be able to demonstrate that, within the total</w:t>
      </w:r>
      <w:r w:rsidR="00793414">
        <w:t>ity of the</w:t>
      </w:r>
      <w:r>
        <w:t xml:space="preserve"> </w:t>
      </w:r>
      <w:r w:rsidR="00FD37A2">
        <w:t xml:space="preserve">testing </w:t>
      </w:r>
      <w:r w:rsidR="00793414">
        <w:t xml:space="preserve">to be performed </w:t>
      </w:r>
      <w:r>
        <w:t>(</w:t>
      </w:r>
      <w:proofErr w:type="spellStart"/>
      <w:r>
        <w:t>ie</w:t>
      </w:r>
      <w:proofErr w:type="spellEnd"/>
      <w:r>
        <w:t xml:space="preserve"> commissioning together with all recorded earlier testing),</w:t>
      </w:r>
      <w:r w:rsidR="00FD37A2">
        <w:t xml:space="preserve"> every function of a</w:t>
      </w:r>
      <w:r w:rsidR="00385C48">
        <w:t xml:space="preserve"> </w:t>
      </w:r>
      <w:r>
        <w:t>system has been tested successfully at least once, and that test</w:t>
      </w:r>
      <w:r w:rsidR="00530ECE">
        <w:t>ing</w:t>
      </w:r>
      <w:r>
        <w:t xml:space="preserve"> has not been invalidated by any subsequent </w:t>
      </w:r>
      <w:r w:rsidR="00793414">
        <w:t xml:space="preserve">system </w:t>
      </w:r>
      <w:r>
        <w:t>changes</w:t>
      </w:r>
      <w:r w:rsidR="00245AFA">
        <w:t>.</w:t>
      </w:r>
    </w:p>
    <w:p w14:paraId="59349958" w14:textId="77777777" w:rsidR="00F33018" w:rsidRDefault="00F33018" w:rsidP="00F33018">
      <w:pPr>
        <w:pStyle w:val="TSNumberedParagraph11"/>
        <w:numPr>
          <w:ilvl w:val="0"/>
          <w:numId w:val="0"/>
        </w:numPr>
        <w:tabs>
          <w:tab w:val="left" w:pos="1260"/>
          <w:tab w:val="left" w:pos="1800"/>
        </w:tabs>
        <w:ind w:left="1260" w:hanging="540"/>
        <w:jc w:val="both"/>
      </w:pPr>
      <w:r>
        <w:tab/>
        <w:t>iv)</w:t>
      </w:r>
      <w:r w:rsidR="00B0057A">
        <w:t xml:space="preserve">   </w:t>
      </w:r>
      <w:r>
        <w:t xml:space="preserve">Testing of </w:t>
      </w:r>
      <w:r w:rsidR="00530ECE">
        <w:t xml:space="preserve">C&amp;I </w:t>
      </w:r>
      <w:r>
        <w:t>system-level functions should be carried out against the</w:t>
      </w:r>
      <w:r w:rsidR="00FD37A2">
        <w:t xml:space="preserve"> system</w:t>
      </w:r>
      <w:r>
        <w:t xml:space="preserve"> requirements specification (and the </w:t>
      </w:r>
      <w:r w:rsidR="00FD37A2">
        <w:t xml:space="preserve">specification of any </w:t>
      </w:r>
      <w:r>
        <w:t>additional system-level features emanating from the system design specification) to demonstrate correct operation as an integrated plant system</w:t>
      </w:r>
      <w:r w:rsidR="00245AFA">
        <w:t>.</w:t>
      </w:r>
    </w:p>
    <w:p w14:paraId="51EB9C69" w14:textId="77777777" w:rsidR="00F33018" w:rsidRDefault="00F33018" w:rsidP="00F33018">
      <w:pPr>
        <w:pStyle w:val="TSNumberedParagraph11"/>
        <w:numPr>
          <w:ilvl w:val="0"/>
          <w:numId w:val="0"/>
        </w:numPr>
        <w:tabs>
          <w:tab w:val="left" w:pos="1260"/>
          <w:tab w:val="left" w:pos="1800"/>
        </w:tabs>
        <w:ind w:left="1260" w:hanging="540"/>
        <w:jc w:val="both"/>
      </w:pPr>
      <w:r>
        <w:tab/>
        <w:t>v)</w:t>
      </w:r>
      <w:r>
        <w:tab/>
        <w:t>Commissioning activities may take place at various stages during the construction of a plant since, once an item is installed, the testing of aspects of its functionality (</w:t>
      </w:r>
      <w:proofErr w:type="spellStart"/>
      <w:r>
        <w:t>eg</w:t>
      </w:r>
      <w:proofErr w:type="spellEnd"/>
      <w:r>
        <w:t xml:space="preserve"> leak tightness, the required </w:t>
      </w:r>
      <w:r w:rsidR="006A7C1E">
        <w:t>responsiveness</w:t>
      </w:r>
      <w:r>
        <w:t xml:space="preserve"> of a gas detector, the calibration of a remote position measurement system</w:t>
      </w:r>
      <w:r w:rsidR="00AF12D6">
        <w:t>,</w:t>
      </w:r>
      <w:r>
        <w:t xml:space="preserve"> etc) may need to be undertaken before access becomes impeded by </w:t>
      </w:r>
      <w:r w:rsidR="00530ECE">
        <w:t xml:space="preserve">the installation of </w:t>
      </w:r>
      <w:r>
        <w:t>other plant items</w:t>
      </w:r>
      <w:r w:rsidR="00245AFA">
        <w:t>.</w:t>
      </w:r>
    </w:p>
    <w:p w14:paraId="56DC4102" w14:textId="77777777" w:rsidR="00F33018" w:rsidRDefault="00F33018" w:rsidP="00F33018">
      <w:pPr>
        <w:pStyle w:val="TSNumberedParagraph11"/>
        <w:numPr>
          <w:ilvl w:val="0"/>
          <w:numId w:val="0"/>
        </w:numPr>
        <w:tabs>
          <w:tab w:val="left" w:pos="1260"/>
          <w:tab w:val="left" w:pos="1800"/>
        </w:tabs>
        <w:ind w:left="1260" w:hanging="540"/>
        <w:jc w:val="both"/>
      </w:pPr>
      <w:r>
        <w:tab/>
        <w:t>vi)</w:t>
      </w:r>
      <w:r>
        <w:tab/>
        <w:t xml:space="preserve">Validation </w:t>
      </w:r>
      <w:r w:rsidR="00FD37A2">
        <w:t>of the required relationships between measured variables and safety parameters should be performed with</w:t>
      </w:r>
      <w:r w:rsidR="00DF33D8">
        <w:t xml:space="preserve"> the system </w:t>
      </w:r>
      <w:r>
        <w:t>in</w:t>
      </w:r>
      <w:r w:rsidR="00DF33D8">
        <w:t xml:space="preserve"> the actual operational plant configuration (to the extent practicable)</w:t>
      </w:r>
      <w:r w:rsidR="00245AFA">
        <w:t>.</w:t>
      </w:r>
    </w:p>
    <w:p w14:paraId="5AB6D3E6" w14:textId="77777777" w:rsidR="00F33018" w:rsidRDefault="00F33018" w:rsidP="00F33018">
      <w:pPr>
        <w:pStyle w:val="TSNumberedParagraph11"/>
        <w:numPr>
          <w:ilvl w:val="0"/>
          <w:numId w:val="0"/>
        </w:numPr>
        <w:tabs>
          <w:tab w:val="left" w:pos="1260"/>
          <w:tab w:val="left" w:pos="1800"/>
        </w:tabs>
        <w:ind w:left="1260" w:hanging="540"/>
        <w:jc w:val="both"/>
      </w:pPr>
      <w:r>
        <w:tab/>
        <w:t>vii)</w:t>
      </w:r>
      <w:r>
        <w:tab/>
        <w:t xml:space="preserve">Commissioning </w:t>
      </w:r>
      <w:r w:rsidR="00793414">
        <w:t xml:space="preserve">generally </w:t>
      </w:r>
      <w:r>
        <w:t xml:space="preserve">provides an opportunity to train the maintenance and operational staff, and similarly to confirm the </w:t>
      </w:r>
      <w:r w:rsidR="006A7C1E">
        <w:t>details</w:t>
      </w:r>
      <w:r>
        <w:t xml:space="preserve"> of the</w:t>
      </w:r>
      <w:r w:rsidR="00793414">
        <w:t xml:space="preserve"> training necessary to give </w:t>
      </w:r>
      <w:r>
        <w:t>personnel the required competencies</w:t>
      </w:r>
      <w:r w:rsidR="00793414">
        <w:t xml:space="preserve"> to operate/maintain the plant successfully</w:t>
      </w:r>
      <w:r w:rsidR="00245AFA">
        <w:t>.</w:t>
      </w:r>
    </w:p>
    <w:p w14:paraId="32EC0728" w14:textId="77777777" w:rsidR="00F33018" w:rsidRDefault="00F33018" w:rsidP="00F33018">
      <w:pPr>
        <w:pStyle w:val="TSNumberedParagraph11"/>
        <w:numPr>
          <w:ilvl w:val="0"/>
          <w:numId w:val="0"/>
        </w:numPr>
        <w:tabs>
          <w:tab w:val="left" w:pos="1260"/>
          <w:tab w:val="left" w:pos="1800"/>
        </w:tabs>
        <w:ind w:left="1260" w:hanging="540"/>
        <w:jc w:val="both"/>
      </w:pPr>
      <w:r>
        <w:tab/>
        <w:t>viii)</w:t>
      </w:r>
      <w:r>
        <w:tab/>
      </w:r>
      <w:r w:rsidR="00DF33D8">
        <w:t xml:space="preserve">The correct operation of </w:t>
      </w:r>
      <w:r w:rsidR="00793414">
        <w:t xml:space="preserve">system </w:t>
      </w:r>
      <w:r w:rsidR="00DF33D8">
        <w:t>d</w:t>
      </w:r>
      <w:r>
        <w:t xml:space="preserve">iagnostic facilities and the </w:t>
      </w:r>
      <w:proofErr w:type="spellStart"/>
      <w:r>
        <w:t>practicabilities</w:t>
      </w:r>
      <w:proofErr w:type="spellEnd"/>
      <w:r>
        <w:t xml:space="preserve"> of on-line maintenance should be confirmed</w:t>
      </w:r>
      <w:r w:rsidR="00245AFA">
        <w:t>.</w:t>
      </w:r>
    </w:p>
    <w:p w14:paraId="23DB52E3" w14:textId="77777777" w:rsidR="00F33018" w:rsidRDefault="00F33018" w:rsidP="00F33018">
      <w:pPr>
        <w:pStyle w:val="TSNumberedParagraph11"/>
        <w:numPr>
          <w:ilvl w:val="0"/>
          <w:numId w:val="0"/>
        </w:numPr>
        <w:tabs>
          <w:tab w:val="left" w:pos="1260"/>
          <w:tab w:val="left" w:pos="1800"/>
        </w:tabs>
        <w:ind w:left="1260" w:hanging="540"/>
        <w:jc w:val="both"/>
      </w:pPr>
      <w:r>
        <w:tab/>
        <w:t>ix)</w:t>
      </w:r>
      <w:r>
        <w:tab/>
        <w:t xml:space="preserve">Commissioning, because of its nature and </w:t>
      </w:r>
      <w:r w:rsidR="00793414">
        <w:t xml:space="preserve">limited </w:t>
      </w:r>
      <w:r>
        <w:t xml:space="preserve">duration, does not lend itself to proving </w:t>
      </w:r>
      <w:r w:rsidR="00530ECE">
        <w:t xml:space="preserve">of system </w:t>
      </w:r>
      <w:r w:rsidR="00DF33D8">
        <w:t xml:space="preserve">numerical </w:t>
      </w:r>
      <w:r>
        <w:t xml:space="preserve">reliability targets, although </w:t>
      </w:r>
      <w:r w:rsidR="00DF33D8">
        <w:t xml:space="preserve">enhanced confidence in the </w:t>
      </w:r>
      <w:r>
        <w:t>achievement of a lower reliability bound migh</w:t>
      </w:r>
      <w:r w:rsidR="00DF33D8">
        <w:t>t, in principle, be achieved</w:t>
      </w:r>
      <w:r w:rsidR="00245AFA">
        <w:t>.</w:t>
      </w:r>
    </w:p>
    <w:p w14:paraId="3007A1A3" w14:textId="77777777" w:rsidR="00F33018" w:rsidRDefault="00F33018" w:rsidP="00F33018">
      <w:pPr>
        <w:pStyle w:val="TSNumberedParagraph11"/>
        <w:numPr>
          <w:ilvl w:val="0"/>
          <w:numId w:val="0"/>
        </w:numPr>
        <w:tabs>
          <w:tab w:val="left" w:pos="1260"/>
          <w:tab w:val="left" w:pos="1800"/>
        </w:tabs>
        <w:ind w:left="1260" w:hanging="540"/>
        <w:jc w:val="both"/>
      </w:pPr>
      <w:r>
        <w:tab/>
        <w:t>x)</w:t>
      </w:r>
      <w:r>
        <w:tab/>
        <w:t>Checking of the completeness</w:t>
      </w:r>
      <w:r w:rsidR="00530ECE">
        <w:t xml:space="preserve"> and </w:t>
      </w:r>
      <w:r w:rsidR="00385C48">
        <w:t>usability</w:t>
      </w:r>
      <w:r w:rsidR="00530ECE">
        <w:t xml:space="preserve"> of </w:t>
      </w:r>
      <w:r>
        <w:t>system manuals/drawings and procedures should be included</w:t>
      </w:r>
      <w:r w:rsidR="00793414">
        <w:t xml:space="preserve"> as part of the commissioning process</w:t>
      </w:r>
      <w:r>
        <w:t>.</w:t>
      </w:r>
    </w:p>
    <w:p w14:paraId="2FD0B585" w14:textId="77777777" w:rsidR="00F33018" w:rsidRPr="00F33018" w:rsidRDefault="009E7988" w:rsidP="009E7988">
      <w:pPr>
        <w:pStyle w:val="TSNumberedParagraph11"/>
        <w:jc w:val="both"/>
        <w:rPr>
          <w:b/>
        </w:rPr>
      </w:pPr>
      <w:r>
        <w:t>Commissioning Objectives - Discussion</w:t>
      </w:r>
    </w:p>
    <w:p w14:paraId="74D077D8" w14:textId="77777777" w:rsidR="00F33018" w:rsidRDefault="00F33018" w:rsidP="009E7988">
      <w:pPr>
        <w:pStyle w:val="TSNumberedParagraph11"/>
        <w:numPr>
          <w:ilvl w:val="0"/>
          <w:numId w:val="0"/>
        </w:numPr>
        <w:tabs>
          <w:tab w:val="left" w:pos="1260"/>
          <w:tab w:val="left" w:pos="1800"/>
          <w:tab w:val="left" w:pos="2340"/>
        </w:tabs>
        <w:ind w:left="720"/>
        <w:jc w:val="both"/>
      </w:pPr>
      <w:r>
        <w:t>1)</w:t>
      </w:r>
      <w:r>
        <w:tab/>
        <w:t xml:space="preserve">The </w:t>
      </w:r>
      <w:r w:rsidR="00793414">
        <w:t xml:space="preserve">commissioning </w:t>
      </w:r>
      <w:r>
        <w:t xml:space="preserve">philosophy should be </w:t>
      </w:r>
      <w:r w:rsidR="00793414">
        <w:t>based on the concept of ‘</w:t>
      </w:r>
      <w:r>
        <w:t>MAKE NO ASSUMPTIONS</w:t>
      </w:r>
      <w:r w:rsidR="00793414">
        <w:t>’</w:t>
      </w:r>
      <w:r>
        <w:t xml:space="preserve">.  All plant items from individual </w:t>
      </w:r>
      <w:r w:rsidR="006A7C1E">
        <w:t>components</w:t>
      </w:r>
      <w:r>
        <w:t xml:space="preserve"> to integrated systems should be proved, under the full range of operating conditions (including reasonably foreseeable or all identified fault conditions) likely to be encountered, and safety systems that are required to function under unusual or adverse conditions should be tested under these actual or simulated conditions.</w:t>
      </w:r>
    </w:p>
    <w:p w14:paraId="7C929313" w14:textId="77777777" w:rsidR="00F33018" w:rsidRDefault="00476080" w:rsidP="009E7988">
      <w:pPr>
        <w:pStyle w:val="TSNumberedParagraph11"/>
        <w:numPr>
          <w:ilvl w:val="0"/>
          <w:numId w:val="0"/>
        </w:numPr>
        <w:tabs>
          <w:tab w:val="left" w:pos="1260"/>
          <w:tab w:val="left" w:pos="1800"/>
          <w:tab w:val="left" w:pos="2340"/>
        </w:tabs>
        <w:ind w:left="720"/>
        <w:jc w:val="both"/>
      </w:pPr>
      <w:r>
        <w:t>2)</w:t>
      </w:r>
      <w:r>
        <w:tab/>
        <w:t>This philosophy</w:t>
      </w:r>
      <w:r w:rsidR="00F33018">
        <w:t xml:space="preserve"> represents a doctrine of perfection, and </w:t>
      </w:r>
      <w:r>
        <w:t xml:space="preserve">it should be recognised that this </w:t>
      </w:r>
      <w:r w:rsidR="00F33018">
        <w:t>can never be achieved fully</w:t>
      </w:r>
      <w:r w:rsidR="00336100">
        <w:t xml:space="preserve"> during the commissioning phase of a project</w:t>
      </w:r>
      <w:r w:rsidR="00F33018">
        <w:t xml:space="preserve">, but the aim </w:t>
      </w:r>
      <w:r w:rsidR="006A7C1E">
        <w:t>should</w:t>
      </w:r>
      <w:r w:rsidR="00F33018">
        <w:t xml:space="preserve"> be to come as close as possible</w:t>
      </w:r>
      <w:r>
        <w:t xml:space="preserve"> to this ideal</w:t>
      </w:r>
      <w:r w:rsidR="00F33018">
        <w:t xml:space="preserve">, especially for safety systems.  The </w:t>
      </w:r>
      <w:r>
        <w:t>inspector should scope his assessment</w:t>
      </w:r>
      <w:r w:rsidR="00F33018">
        <w:t xml:space="preserve"> accordingly, and seek additional tests or explicit </w:t>
      </w:r>
      <w:r w:rsidR="006A7C1E">
        <w:t>justification</w:t>
      </w:r>
      <w:r w:rsidR="00F33018">
        <w:t xml:space="preserve"> where there are significant shortfalls.  The licensee should have in place:</w:t>
      </w:r>
    </w:p>
    <w:p w14:paraId="1E21389D" w14:textId="77777777" w:rsidR="00F33018" w:rsidRDefault="00F33018" w:rsidP="00DF33D8">
      <w:pPr>
        <w:pStyle w:val="TSNumberedParagraph11"/>
        <w:numPr>
          <w:ilvl w:val="0"/>
          <w:numId w:val="0"/>
        </w:numPr>
        <w:tabs>
          <w:tab w:val="left" w:pos="1260"/>
          <w:tab w:val="left" w:pos="1800"/>
        </w:tabs>
        <w:ind w:left="1702" w:hanging="851"/>
        <w:jc w:val="both"/>
      </w:pPr>
      <w:r>
        <w:tab/>
      </w:r>
      <w:proofErr w:type="spellStart"/>
      <w:r>
        <w:t>i</w:t>
      </w:r>
      <w:proofErr w:type="spellEnd"/>
      <w:r>
        <w:t>)</w:t>
      </w:r>
      <w:r>
        <w:tab/>
        <w:t xml:space="preserve">a safety justification for the </w:t>
      </w:r>
      <w:r w:rsidR="00336100">
        <w:t xml:space="preserve">adequacy of </w:t>
      </w:r>
      <w:r>
        <w:t xml:space="preserve">commissioning, with </w:t>
      </w:r>
      <w:r w:rsidR="00DF33D8">
        <w:t xml:space="preserve">a </w:t>
      </w:r>
      <w:r>
        <w:t xml:space="preserve">supporting fault analyses where there is </w:t>
      </w:r>
      <w:r w:rsidR="006A7C1E">
        <w:t>significant</w:t>
      </w:r>
      <w:r>
        <w:t xml:space="preserve"> fault potential;</w:t>
      </w:r>
    </w:p>
    <w:p w14:paraId="7B85AA7C" w14:textId="77777777" w:rsidR="00F33018" w:rsidRDefault="00F33018" w:rsidP="00DF33D8">
      <w:pPr>
        <w:pStyle w:val="TSNumberedParagraph11"/>
        <w:numPr>
          <w:ilvl w:val="0"/>
          <w:numId w:val="0"/>
        </w:numPr>
        <w:tabs>
          <w:tab w:val="left" w:pos="1260"/>
          <w:tab w:val="left" w:pos="1800"/>
        </w:tabs>
        <w:ind w:left="1702" w:hanging="851"/>
        <w:jc w:val="both"/>
      </w:pPr>
      <w:r>
        <w:tab/>
        <w:t>ii)</w:t>
      </w:r>
      <w:r>
        <w:tab/>
        <w:t xml:space="preserve">a schedule of specific commissioning tests that encompass all </w:t>
      </w:r>
      <w:r w:rsidR="00336100">
        <w:t xml:space="preserve">C&amp;I </w:t>
      </w:r>
      <w:r>
        <w:t>equipment</w:t>
      </w:r>
      <w:r w:rsidR="00096AFD">
        <w:t xml:space="preserve"> and</w:t>
      </w:r>
      <w:r>
        <w:t xml:space="preserve"> systems</w:t>
      </w:r>
      <w:r w:rsidR="00336100">
        <w:t>,</w:t>
      </w:r>
      <w:r>
        <w:t xml:space="preserve"> and </w:t>
      </w:r>
      <w:r w:rsidR="00336100">
        <w:t xml:space="preserve">which </w:t>
      </w:r>
      <w:r w:rsidR="00AF12D6">
        <w:t xml:space="preserve">will </w:t>
      </w:r>
      <w:r w:rsidR="00336100">
        <w:t xml:space="preserve">prove </w:t>
      </w:r>
      <w:r w:rsidR="00AF12D6">
        <w:t xml:space="preserve">the </w:t>
      </w:r>
      <w:r w:rsidR="00336100">
        <w:t xml:space="preserve">C&amp;I </w:t>
      </w:r>
      <w:r>
        <w:t>design assumptions that are associated with safety;</w:t>
      </w:r>
    </w:p>
    <w:p w14:paraId="51EA53E0" w14:textId="77777777" w:rsidR="00096AFD" w:rsidRDefault="00096AFD" w:rsidP="00DF33D8">
      <w:pPr>
        <w:pStyle w:val="TSNumberedParagraph11"/>
        <w:numPr>
          <w:ilvl w:val="0"/>
          <w:numId w:val="0"/>
        </w:numPr>
        <w:tabs>
          <w:tab w:val="left" w:pos="1260"/>
          <w:tab w:val="left" w:pos="1800"/>
        </w:tabs>
        <w:ind w:left="1702" w:hanging="851"/>
        <w:jc w:val="both"/>
      </w:pPr>
      <w:r>
        <w:tab/>
        <w:t>iii)</w:t>
      </w:r>
      <w:r>
        <w:tab/>
        <w:t>documented arrangements to cover test failures (</w:t>
      </w:r>
      <w:r w:rsidR="00813349">
        <w:t>possibly resulting in modification/corrections to test procedures, modification to the system and subsequent re-test or modifications to the system requirements/concessions);</w:t>
      </w:r>
      <w:r>
        <w:t xml:space="preserve"> </w:t>
      </w:r>
    </w:p>
    <w:p w14:paraId="25A0A9E5" w14:textId="77777777" w:rsidR="00F33018" w:rsidRDefault="00813349" w:rsidP="00DF33D8">
      <w:pPr>
        <w:pStyle w:val="TSNumberedParagraph11"/>
        <w:numPr>
          <w:ilvl w:val="0"/>
          <w:numId w:val="0"/>
        </w:numPr>
        <w:tabs>
          <w:tab w:val="left" w:pos="1260"/>
          <w:tab w:val="left" w:pos="1800"/>
        </w:tabs>
        <w:ind w:left="1702" w:hanging="851"/>
        <w:jc w:val="both"/>
      </w:pPr>
      <w:r>
        <w:tab/>
        <w:t>iv</w:t>
      </w:r>
      <w:r w:rsidR="00F33018">
        <w:t>)</w:t>
      </w:r>
      <w:r w:rsidR="00F33018">
        <w:tab/>
        <w:t>effective Q</w:t>
      </w:r>
      <w:r w:rsidR="00476080">
        <w:t xml:space="preserve">uality </w:t>
      </w:r>
      <w:r w:rsidR="00F33018">
        <w:t>A</w:t>
      </w:r>
      <w:r w:rsidR="00476080">
        <w:t>ssurance arrangements</w:t>
      </w:r>
      <w:r w:rsidR="00F33018">
        <w:t xml:space="preserve"> &amp; </w:t>
      </w:r>
      <w:r w:rsidR="00476080">
        <w:t xml:space="preserve">clear </w:t>
      </w:r>
      <w:r w:rsidR="00F33018">
        <w:t>management structures with defined responsibilities</w:t>
      </w:r>
      <w:r w:rsidR="00FA0A72">
        <w:t xml:space="preserve"> covering safety of staff, document approval and test completion signoff</w:t>
      </w:r>
      <w:r w:rsidR="00F33018">
        <w:t>;</w:t>
      </w:r>
    </w:p>
    <w:p w14:paraId="1FA270CA" w14:textId="77777777" w:rsidR="00F33018" w:rsidRDefault="00813349" w:rsidP="00DF33D8">
      <w:pPr>
        <w:pStyle w:val="TSNumberedParagraph11"/>
        <w:numPr>
          <w:ilvl w:val="0"/>
          <w:numId w:val="0"/>
        </w:numPr>
        <w:tabs>
          <w:tab w:val="left" w:pos="1260"/>
          <w:tab w:val="left" w:pos="1800"/>
        </w:tabs>
        <w:ind w:left="1702" w:hanging="851"/>
        <w:jc w:val="both"/>
      </w:pPr>
      <w:r>
        <w:tab/>
      </w:r>
      <w:r w:rsidR="00F33018">
        <w:t>v)</w:t>
      </w:r>
      <w:r w:rsidR="00F33018">
        <w:tab/>
        <w:t>appropriate lines of communication</w:t>
      </w:r>
      <w:r w:rsidR="00476080">
        <w:t xml:space="preserve"> and </w:t>
      </w:r>
      <w:proofErr w:type="spellStart"/>
      <w:r w:rsidR="00476080">
        <w:t>accountabililty</w:t>
      </w:r>
      <w:proofErr w:type="spellEnd"/>
      <w:r w:rsidR="00F33018">
        <w:t>;</w:t>
      </w:r>
    </w:p>
    <w:p w14:paraId="35CDAA82" w14:textId="77777777" w:rsidR="00F33018" w:rsidRDefault="00F33018" w:rsidP="00DF33D8">
      <w:pPr>
        <w:pStyle w:val="TSNumberedParagraph11"/>
        <w:numPr>
          <w:ilvl w:val="0"/>
          <w:numId w:val="0"/>
        </w:numPr>
        <w:tabs>
          <w:tab w:val="left" w:pos="1260"/>
          <w:tab w:val="left" w:pos="1800"/>
        </w:tabs>
        <w:ind w:left="1702" w:hanging="851"/>
        <w:jc w:val="both"/>
      </w:pPr>
      <w:r>
        <w:tab/>
        <w:t>v</w:t>
      </w:r>
      <w:r w:rsidR="00813349">
        <w:t>i</w:t>
      </w:r>
      <w:r>
        <w:t>)</w:t>
      </w:r>
      <w:r>
        <w:tab/>
        <w:t>interface arrangements for</w:t>
      </w:r>
      <w:r w:rsidR="00476080">
        <w:t xml:space="preserve"> handover from the installation </w:t>
      </w:r>
      <w:r>
        <w:t>phase</w:t>
      </w:r>
      <w:r w:rsidR="00476080">
        <w:t xml:space="preserve"> to the commissioning phase, and eventually to operations</w:t>
      </w:r>
      <w:r>
        <w:t>;</w:t>
      </w:r>
    </w:p>
    <w:p w14:paraId="2E130EC0" w14:textId="77777777" w:rsidR="00CA595C" w:rsidRDefault="00CA595C" w:rsidP="00DF33D8">
      <w:pPr>
        <w:pStyle w:val="TSNumberedParagraph11"/>
        <w:numPr>
          <w:ilvl w:val="0"/>
          <w:numId w:val="0"/>
        </w:numPr>
        <w:tabs>
          <w:tab w:val="left" w:pos="1260"/>
          <w:tab w:val="left" w:pos="1800"/>
        </w:tabs>
        <w:ind w:left="1702" w:hanging="851"/>
        <w:jc w:val="both"/>
      </w:pPr>
      <w:r>
        <w:tab/>
        <w:t>vi</w:t>
      </w:r>
      <w:r w:rsidR="00813349">
        <w:t>ii</w:t>
      </w:r>
      <w:r>
        <w:t>)</w:t>
      </w:r>
      <w:r>
        <w:tab/>
        <w:t>staff training and qualification procedures, with strict allocation of technical responsibilities;</w:t>
      </w:r>
    </w:p>
    <w:p w14:paraId="2C29A734" w14:textId="77777777" w:rsidR="00CA595C" w:rsidRDefault="00CA595C" w:rsidP="00DF33D8">
      <w:pPr>
        <w:pStyle w:val="TSNumberedParagraph11"/>
        <w:numPr>
          <w:ilvl w:val="0"/>
          <w:numId w:val="0"/>
        </w:numPr>
        <w:tabs>
          <w:tab w:val="left" w:pos="1260"/>
          <w:tab w:val="left" w:pos="1800"/>
        </w:tabs>
        <w:ind w:left="1702" w:hanging="851"/>
        <w:jc w:val="both"/>
      </w:pPr>
      <w:r>
        <w:tab/>
        <w:t>vii</w:t>
      </w:r>
      <w:r w:rsidR="00813349">
        <w:t>i</w:t>
      </w:r>
      <w:r>
        <w:t>)</w:t>
      </w:r>
      <w:r>
        <w:tab/>
        <w:t>database facilities with controlled access for information recording and retrieving;</w:t>
      </w:r>
    </w:p>
    <w:p w14:paraId="55004C5B" w14:textId="77777777" w:rsidR="00CA595C" w:rsidRDefault="00813349" w:rsidP="00DF33D8">
      <w:pPr>
        <w:pStyle w:val="TSNumberedParagraph11"/>
        <w:numPr>
          <w:ilvl w:val="0"/>
          <w:numId w:val="0"/>
        </w:numPr>
        <w:tabs>
          <w:tab w:val="left" w:pos="1260"/>
          <w:tab w:val="left" w:pos="1800"/>
        </w:tabs>
        <w:ind w:left="1702" w:hanging="851"/>
        <w:jc w:val="both"/>
      </w:pPr>
      <w:r>
        <w:tab/>
        <w:t>ix</w:t>
      </w:r>
      <w:r w:rsidR="00CA595C">
        <w:t>)</w:t>
      </w:r>
      <w:r w:rsidR="00CA595C">
        <w:tab/>
        <w:t xml:space="preserve">linked documentation to tie all aspects together </w:t>
      </w:r>
      <w:r w:rsidR="006A7C1E">
        <w:t>into</w:t>
      </w:r>
      <w:r w:rsidR="00CA595C">
        <w:t xml:space="preserve"> a coherent whole and to allow for evolution as experience is gained;</w:t>
      </w:r>
    </w:p>
    <w:p w14:paraId="077E306E" w14:textId="77777777" w:rsidR="00CA595C" w:rsidRDefault="00813349" w:rsidP="00DF33D8">
      <w:pPr>
        <w:pStyle w:val="TSNumberedParagraph11"/>
        <w:numPr>
          <w:ilvl w:val="0"/>
          <w:numId w:val="0"/>
        </w:numPr>
        <w:tabs>
          <w:tab w:val="left" w:pos="1260"/>
          <w:tab w:val="left" w:pos="1800"/>
        </w:tabs>
        <w:ind w:left="1702" w:hanging="851"/>
        <w:jc w:val="both"/>
      </w:pPr>
      <w:r>
        <w:tab/>
      </w:r>
      <w:r w:rsidR="00CA595C">
        <w:t>x)</w:t>
      </w:r>
      <w:r w:rsidR="00CA595C">
        <w:tab/>
      </w:r>
      <w:r w:rsidR="00AF12D6">
        <w:t xml:space="preserve">related security features, </w:t>
      </w:r>
      <w:proofErr w:type="spellStart"/>
      <w:r w:rsidR="00AF12D6">
        <w:t>eg</w:t>
      </w:r>
      <w:proofErr w:type="spellEnd"/>
      <w:r w:rsidR="00AF12D6">
        <w:t xml:space="preserve"> </w:t>
      </w:r>
      <w:r w:rsidR="00CA595C">
        <w:t>access control arrangements to prevent unwanted interference with equipment or systems; and</w:t>
      </w:r>
    </w:p>
    <w:p w14:paraId="0F14989F" w14:textId="77777777" w:rsidR="00CA595C" w:rsidRDefault="00CA595C" w:rsidP="00AB3452">
      <w:pPr>
        <w:pStyle w:val="TSNumberedParagraph11"/>
        <w:numPr>
          <w:ilvl w:val="0"/>
          <w:numId w:val="0"/>
        </w:numPr>
        <w:tabs>
          <w:tab w:val="left" w:pos="1260"/>
          <w:tab w:val="left" w:pos="1800"/>
        </w:tabs>
        <w:ind w:left="1702" w:hanging="851"/>
        <w:jc w:val="both"/>
      </w:pPr>
      <w:r>
        <w:tab/>
        <w:t>x</w:t>
      </w:r>
      <w:r w:rsidR="00813349">
        <w:t>i</w:t>
      </w:r>
      <w:r>
        <w:t>)</w:t>
      </w:r>
      <w:r>
        <w:tab/>
      </w:r>
      <w:r w:rsidR="006A7C1E">
        <w:t>documentation</w:t>
      </w:r>
      <w:r>
        <w:t xml:space="preserve"> covering;</w:t>
      </w:r>
    </w:p>
    <w:p w14:paraId="242FC921" w14:textId="77777777" w:rsidR="00CA595C" w:rsidRDefault="005007CF" w:rsidP="00CA595C">
      <w:pPr>
        <w:pStyle w:val="TSNumberedParagraph11"/>
        <w:numPr>
          <w:ilvl w:val="0"/>
          <w:numId w:val="0"/>
        </w:numPr>
        <w:tabs>
          <w:tab w:val="left" w:pos="1260"/>
          <w:tab w:val="left" w:pos="1800"/>
          <w:tab w:val="left" w:pos="2340"/>
        </w:tabs>
        <w:ind w:left="2340" w:hanging="1620"/>
        <w:jc w:val="both"/>
      </w:pPr>
      <w:r>
        <w:tab/>
      </w:r>
      <w:r>
        <w:tab/>
        <w:t>a)</w:t>
      </w:r>
      <w:r>
        <w:tab/>
      </w:r>
      <w:r w:rsidR="00CA595C">
        <w:t xml:space="preserve">commissioning test procedures for each phase with statements detailing the objective of each test, appropriate </w:t>
      </w:r>
      <w:r w:rsidR="006A7C1E">
        <w:t>acceptance</w:t>
      </w:r>
      <w:r w:rsidR="00CA595C">
        <w:t xml:space="preserve"> criteria, prerequisites and post-test actions;</w:t>
      </w:r>
    </w:p>
    <w:p w14:paraId="5843C7C3" w14:textId="77777777" w:rsidR="00CA595C" w:rsidRDefault="00CA595C" w:rsidP="00CA595C">
      <w:pPr>
        <w:pStyle w:val="TSNumberedParagraph11"/>
        <w:numPr>
          <w:ilvl w:val="0"/>
          <w:numId w:val="0"/>
        </w:numPr>
        <w:tabs>
          <w:tab w:val="left" w:pos="1260"/>
          <w:tab w:val="left" w:pos="1800"/>
          <w:tab w:val="left" w:pos="2340"/>
        </w:tabs>
        <w:ind w:left="2340" w:hanging="1620"/>
        <w:jc w:val="both"/>
      </w:pPr>
      <w:r>
        <w:tab/>
      </w:r>
      <w:r>
        <w:tab/>
        <w:t>b)</w:t>
      </w:r>
      <w:r>
        <w:tab/>
        <w:t xml:space="preserve">QA arrangements and record keeping </w:t>
      </w:r>
      <w:r w:rsidR="00476080">
        <w:t xml:space="preserve">- </w:t>
      </w:r>
      <w:r>
        <w:t>including traceability and the establishment of audit trails;</w:t>
      </w:r>
    </w:p>
    <w:p w14:paraId="3B535656" w14:textId="77777777" w:rsidR="00813349" w:rsidRDefault="00813349" w:rsidP="00CA595C">
      <w:pPr>
        <w:pStyle w:val="TSNumberedParagraph11"/>
        <w:numPr>
          <w:ilvl w:val="0"/>
          <w:numId w:val="0"/>
        </w:numPr>
        <w:tabs>
          <w:tab w:val="left" w:pos="1260"/>
          <w:tab w:val="left" w:pos="1800"/>
          <w:tab w:val="left" w:pos="2340"/>
        </w:tabs>
        <w:ind w:left="2340" w:hanging="1620"/>
        <w:jc w:val="both"/>
      </w:pPr>
      <w:r>
        <w:tab/>
      </w:r>
      <w:r>
        <w:tab/>
        <w:t xml:space="preserve">c) </w:t>
      </w:r>
      <w:r>
        <w:tab/>
        <w:t>test failures;</w:t>
      </w:r>
    </w:p>
    <w:p w14:paraId="0723FA8F" w14:textId="77777777" w:rsidR="00CA595C" w:rsidRDefault="00813349" w:rsidP="00CA595C">
      <w:pPr>
        <w:pStyle w:val="TSNumberedParagraph11"/>
        <w:numPr>
          <w:ilvl w:val="0"/>
          <w:numId w:val="0"/>
        </w:numPr>
        <w:tabs>
          <w:tab w:val="left" w:pos="1260"/>
          <w:tab w:val="left" w:pos="1800"/>
          <w:tab w:val="left" w:pos="2340"/>
        </w:tabs>
        <w:ind w:left="2340" w:hanging="1620"/>
        <w:jc w:val="both"/>
      </w:pPr>
      <w:r>
        <w:tab/>
      </w:r>
      <w:r>
        <w:tab/>
        <w:t>d</w:t>
      </w:r>
      <w:r w:rsidR="00CA595C">
        <w:t>)</w:t>
      </w:r>
      <w:r w:rsidR="00CA595C">
        <w:tab/>
      </w:r>
      <w:r w:rsidR="00476080">
        <w:t xml:space="preserve">arrangements covering the </w:t>
      </w:r>
      <w:r w:rsidR="00CA595C">
        <w:t>management of joint activities where more than one department is involved;</w:t>
      </w:r>
    </w:p>
    <w:p w14:paraId="0A500736" w14:textId="77777777" w:rsidR="00CA595C" w:rsidRDefault="00813349" w:rsidP="00CA595C">
      <w:pPr>
        <w:pStyle w:val="TSNumberedParagraph11"/>
        <w:numPr>
          <w:ilvl w:val="0"/>
          <w:numId w:val="0"/>
        </w:numPr>
        <w:tabs>
          <w:tab w:val="left" w:pos="1260"/>
          <w:tab w:val="left" w:pos="1800"/>
          <w:tab w:val="left" w:pos="2340"/>
        </w:tabs>
        <w:ind w:left="2340" w:hanging="1620"/>
        <w:jc w:val="both"/>
      </w:pPr>
      <w:r>
        <w:tab/>
      </w:r>
      <w:r>
        <w:tab/>
        <w:t>e</w:t>
      </w:r>
      <w:r w:rsidR="00CA595C">
        <w:t>)</w:t>
      </w:r>
      <w:r w:rsidR="00CA595C">
        <w:tab/>
        <w:t>fault management, including contingency plans for unexpected events with potential to impact on safety</w:t>
      </w:r>
      <w:r w:rsidR="00476080">
        <w:t xml:space="preserve"> during the commissioning process</w:t>
      </w:r>
      <w:r w:rsidR="00CA595C">
        <w:t>;</w:t>
      </w:r>
    </w:p>
    <w:p w14:paraId="3B314C21" w14:textId="77777777" w:rsidR="00CA595C" w:rsidRDefault="00813349" w:rsidP="00CA595C">
      <w:pPr>
        <w:pStyle w:val="TSNumberedParagraph11"/>
        <w:numPr>
          <w:ilvl w:val="0"/>
          <w:numId w:val="0"/>
        </w:numPr>
        <w:tabs>
          <w:tab w:val="left" w:pos="1260"/>
          <w:tab w:val="left" w:pos="1800"/>
          <w:tab w:val="left" w:pos="2340"/>
        </w:tabs>
        <w:ind w:left="2340" w:hanging="1620"/>
        <w:jc w:val="both"/>
      </w:pPr>
      <w:r>
        <w:tab/>
      </w:r>
      <w:r>
        <w:tab/>
        <w:t>f</w:t>
      </w:r>
      <w:r w:rsidR="00CA595C">
        <w:t>)</w:t>
      </w:r>
      <w:r w:rsidR="00CA595C">
        <w:tab/>
        <w:t>temporary and permanent modifications;</w:t>
      </w:r>
    </w:p>
    <w:p w14:paraId="6D425997" w14:textId="77777777" w:rsidR="00CA595C" w:rsidRDefault="00813349" w:rsidP="00CA595C">
      <w:pPr>
        <w:pStyle w:val="TSNumberedParagraph11"/>
        <w:numPr>
          <w:ilvl w:val="0"/>
          <w:numId w:val="0"/>
        </w:numPr>
        <w:tabs>
          <w:tab w:val="left" w:pos="1260"/>
          <w:tab w:val="left" w:pos="1800"/>
          <w:tab w:val="left" w:pos="2340"/>
        </w:tabs>
        <w:ind w:left="2340" w:hanging="1620"/>
        <w:jc w:val="both"/>
      </w:pPr>
      <w:r>
        <w:tab/>
      </w:r>
      <w:r>
        <w:tab/>
        <w:t>g</w:t>
      </w:r>
      <w:r w:rsidR="00CA595C">
        <w:t>)</w:t>
      </w:r>
      <w:r w:rsidR="00CA595C">
        <w:tab/>
      </w:r>
      <w:r w:rsidR="006A7C1E">
        <w:t>specialist</w:t>
      </w:r>
      <w:r w:rsidR="00CA595C">
        <w:t xml:space="preserve"> measures for dealing with novel processes or systems (the tests for which will need to </w:t>
      </w:r>
      <w:r w:rsidR="006A7C1E">
        <w:t>incorporate</w:t>
      </w:r>
      <w:r w:rsidR="00CA595C">
        <w:t xml:space="preserve"> type testing to some extent);</w:t>
      </w:r>
    </w:p>
    <w:p w14:paraId="2573DA43" w14:textId="77777777" w:rsidR="00CA595C" w:rsidRDefault="00813349" w:rsidP="00654474">
      <w:pPr>
        <w:pStyle w:val="TSNumberedParagraph11"/>
        <w:numPr>
          <w:ilvl w:val="0"/>
          <w:numId w:val="0"/>
        </w:numPr>
        <w:tabs>
          <w:tab w:val="left" w:pos="1260"/>
          <w:tab w:val="left" w:pos="1800"/>
          <w:tab w:val="left" w:pos="2340"/>
        </w:tabs>
        <w:ind w:left="2340" w:hanging="1620"/>
        <w:jc w:val="both"/>
      </w:pPr>
      <w:r>
        <w:tab/>
      </w:r>
      <w:r>
        <w:tab/>
        <w:t>h</w:t>
      </w:r>
      <w:r w:rsidR="00CA595C">
        <w:t>)</w:t>
      </w:r>
      <w:r w:rsidR="00CA595C">
        <w:tab/>
        <w:t xml:space="preserve">validation of </w:t>
      </w:r>
      <w:r w:rsidR="006A7C1E">
        <w:t>maintenance</w:t>
      </w:r>
      <w:r w:rsidR="00CA595C">
        <w:t xml:space="preserve"> procedures;</w:t>
      </w:r>
    </w:p>
    <w:p w14:paraId="6888FF19" w14:textId="77777777" w:rsidR="00CA595C" w:rsidRDefault="00CA595C" w:rsidP="00CA595C">
      <w:pPr>
        <w:pStyle w:val="TSNumberedParagraph11"/>
        <w:numPr>
          <w:ilvl w:val="0"/>
          <w:numId w:val="0"/>
        </w:numPr>
        <w:tabs>
          <w:tab w:val="left" w:pos="1260"/>
          <w:tab w:val="left" w:pos="1800"/>
          <w:tab w:val="left" w:pos="2340"/>
        </w:tabs>
        <w:ind w:left="2340" w:hanging="1620"/>
        <w:jc w:val="both"/>
      </w:pPr>
      <w:r>
        <w:tab/>
      </w:r>
      <w:r>
        <w:tab/>
      </w:r>
      <w:proofErr w:type="spellStart"/>
      <w:r w:rsidR="00813349">
        <w:t>i</w:t>
      </w:r>
      <w:proofErr w:type="spellEnd"/>
      <w:r>
        <w:t>)</w:t>
      </w:r>
      <w:r>
        <w:tab/>
        <w:t xml:space="preserve">confirmation of assumptions and testable claims made in the design </w:t>
      </w:r>
      <w:r w:rsidR="00476080">
        <w:t xml:space="preserve">safety </w:t>
      </w:r>
      <w:r>
        <w:t>justification;</w:t>
      </w:r>
    </w:p>
    <w:p w14:paraId="6AAF5C36" w14:textId="77777777" w:rsidR="00CA595C" w:rsidRDefault="00CA595C" w:rsidP="00CA595C">
      <w:pPr>
        <w:pStyle w:val="TSNumberedParagraph11"/>
        <w:numPr>
          <w:ilvl w:val="0"/>
          <w:numId w:val="0"/>
        </w:numPr>
        <w:tabs>
          <w:tab w:val="left" w:pos="1260"/>
          <w:tab w:val="left" w:pos="1800"/>
          <w:tab w:val="left" w:pos="2340"/>
        </w:tabs>
        <w:ind w:left="2340" w:hanging="1620"/>
        <w:jc w:val="both"/>
      </w:pPr>
      <w:r>
        <w:tab/>
      </w:r>
      <w:r>
        <w:tab/>
      </w:r>
      <w:r w:rsidR="00813349">
        <w:t>j</w:t>
      </w:r>
      <w:r w:rsidR="009E7988">
        <w:t>)</w:t>
      </w:r>
      <w:r w:rsidR="009E7988">
        <w:tab/>
      </w:r>
      <w:r>
        <w:t>demonstration that no comp</w:t>
      </w:r>
      <w:r w:rsidR="00336100">
        <w:t>on</w:t>
      </w:r>
      <w:r>
        <w:t>ent or system is depended upon for safety purposes until it has been fully tested; and</w:t>
      </w:r>
    </w:p>
    <w:p w14:paraId="647186AA" w14:textId="77777777" w:rsidR="00CA595C" w:rsidRDefault="00CA595C" w:rsidP="00CA595C">
      <w:pPr>
        <w:pStyle w:val="TSNumberedParagraph11"/>
        <w:numPr>
          <w:ilvl w:val="0"/>
          <w:numId w:val="0"/>
        </w:numPr>
        <w:tabs>
          <w:tab w:val="left" w:pos="1260"/>
          <w:tab w:val="left" w:pos="1800"/>
          <w:tab w:val="left" w:pos="2340"/>
        </w:tabs>
        <w:ind w:left="2340" w:hanging="1620"/>
        <w:jc w:val="both"/>
      </w:pPr>
      <w:r>
        <w:tab/>
      </w:r>
      <w:r>
        <w:tab/>
      </w:r>
      <w:r w:rsidR="00813349">
        <w:t>k</w:t>
      </w:r>
      <w:r>
        <w:t>)</w:t>
      </w:r>
      <w:r>
        <w:tab/>
        <w:t>justi</w:t>
      </w:r>
      <w:r w:rsidR="00476080">
        <w:t>fication of adequate safety where</w:t>
      </w:r>
      <w:r>
        <w:t xml:space="preserve"> a system </w:t>
      </w:r>
      <w:r w:rsidR="004F38AE">
        <w:t xml:space="preserve">may </w:t>
      </w:r>
      <w:r w:rsidR="00336100">
        <w:t>be required</w:t>
      </w:r>
      <w:r>
        <w:t xml:space="preserve"> to function without associated systems or components that would normally be present.</w:t>
      </w:r>
    </w:p>
    <w:p w14:paraId="72481C0B" w14:textId="77777777" w:rsidR="00CA595C" w:rsidRDefault="00CA595C" w:rsidP="00DC615E">
      <w:pPr>
        <w:pStyle w:val="TSNumberedParagraph11"/>
        <w:numPr>
          <w:ilvl w:val="0"/>
          <w:numId w:val="0"/>
        </w:numPr>
        <w:tabs>
          <w:tab w:val="left" w:pos="1260"/>
          <w:tab w:val="left" w:pos="1800"/>
          <w:tab w:val="left" w:pos="2340"/>
        </w:tabs>
        <w:ind w:left="720"/>
        <w:jc w:val="both"/>
      </w:pPr>
      <w:r>
        <w:t>3)</w:t>
      </w:r>
      <w:r>
        <w:tab/>
        <w:t xml:space="preserve">Commissioning should be a confidence building process carried out in a bottom up manner through gradually increasing levels of </w:t>
      </w:r>
      <w:r w:rsidR="00DF7416">
        <w:t>plant integration</w:t>
      </w:r>
      <w:r>
        <w:t xml:space="preserve">.  </w:t>
      </w:r>
      <w:r w:rsidR="006A7C1E">
        <w:t>There should be clear phase demarcations separating the levels, and especially before the introduction of radioactive material</w:t>
      </w:r>
      <w:r w:rsidR="00AB3452">
        <w:t xml:space="preserve">, </w:t>
      </w:r>
      <w:proofErr w:type="spellStart"/>
      <w:r w:rsidR="00AB3452">
        <w:t>ie</w:t>
      </w:r>
      <w:proofErr w:type="spellEnd"/>
      <w:r w:rsidR="00AB3452">
        <w:t xml:space="preserve"> before the commencement of active commissioning (normally </w:t>
      </w:r>
      <w:r w:rsidR="006A7C1E">
        <w:t>a regulatory hold point</w:t>
      </w:r>
      <w:r w:rsidR="00AB3452">
        <w:t>)</w:t>
      </w:r>
      <w:r w:rsidR="006A7C1E">
        <w:t xml:space="preserve">.  </w:t>
      </w:r>
      <w:r w:rsidR="00AB3452">
        <w:t xml:space="preserve">Before commencing active commissioning </w:t>
      </w:r>
      <w:r>
        <w:t xml:space="preserve">a high level of confidence in the integrity of involved systems is required, in order </w:t>
      </w:r>
      <w:r w:rsidR="00336100">
        <w:t xml:space="preserve">ensure that </w:t>
      </w:r>
      <w:r>
        <w:t>the associated risks</w:t>
      </w:r>
      <w:r w:rsidR="00336100">
        <w:t xml:space="preserve"> are ALARP</w:t>
      </w:r>
      <w:r w:rsidR="00AB3452">
        <w:t xml:space="preserve">.  Special conditions may </w:t>
      </w:r>
      <w:r>
        <w:t xml:space="preserve">apply at such times, since the plant </w:t>
      </w:r>
      <w:r w:rsidR="008C4B91">
        <w:t>may</w:t>
      </w:r>
      <w:r>
        <w:t xml:space="preserve"> be only partially functional, and the radioactive material may be handled differently than during normal </w:t>
      </w:r>
      <w:r w:rsidR="006A7C1E">
        <w:t>operation</w:t>
      </w:r>
      <w:r>
        <w:t xml:space="preserve">.  The licensee must show that all credible risks have been considered, and that all systems needed </w:t>
      </w:r>
      <w:r w:rsidR="00336100">
        <w:t xml:space="preserve">to maintain safety </w:t>
      </w:r>
      <w:r>
        <w:t xml:space="preserve">have been properly commissioned and are functional.  This </w:t>
      </w:r>
      <w:r w:rsidR="00AB3452">
        <w:t xml:space="preserve">consideration also </w:t>
      </w:r>
      <w:r>
        <w:t xml:space="preserve">applies to </w:t>
      </w:r>
      <w:r w:rsidR="009E7988">
        <w:t xml:space="preserve">relevant </w:t>
      </w:r>
      <w:r>
        <w:t>supporting service functions such as ventilation, electrical supplies, instrument air, and supply of inactive materials such as feedstocks.</w:t>
      </w:r>
    </w:p>
    <w:p w14:paraId="5368CE9A" w14:textId="77777777" w:rsidR="00CA595C" w:rsidRPr="009E7988" w:rsidRDefault="00CA595C" w:rsidP="009E7988">
      <w:pPr>
        <w:pStyle w:val="TSNumberedParagraph11"/>
        <w:jc w:val="both"/>
      </w:pPr>
      <w:r w:rsidRPr="009E7988">
        <w:t>C&amp;I assessment guidance</w:t>
      </w:r>
    </w:p>
    <w:p w14:paraId="76CAC67B" w14:textId="77777777" w:rsidR="007C243D" w:rsidRDefault="00CA595C" w:rsidP="007C243D">
      <w:pPr>
        <w:pStyle w:val="TSNumberedParagraph11"/>
        <w:numPr>
          <w:ilvl w:val="0"/>
          <w:numId w:val="0"/>
        </w:numPr>
        <w:tabs>
          <w:tab w:val="left" w:pos="1260"/>
          <w:tab w:val="left" w:pos="1800"/>
          <w:tab w:val="left" w:pos="2340"/>
        </w:tabs>
        <w:ind w:left="720"/>
        <w:jc w:val="both"/>
      </w:pPr>
      <w:r>
        <w:t>1)</w:t>
      </w:r>
      <w:r>
        <w:tab/>
      </w:r>
      <w:r w:rsidR="00A518D9">
        <w:t xml:space="preserve">ONR </w:t>
      </w:r>
      <w:r>
        <w:t xml:space="preserve">C&amp;I </w:t>
      </w:r>
      <w:r w:rsidR="007C243D">
        <w:t xml:space="preserve">assessment is </w:t>
      </w:r>
      <w:r w:rsidR="00A518D9">
        <w:t xml:space="preserve">generally </w:t>
      </w:r>
      <w:r w:rsidR="007C243D">
        <w:t>undertaken as part of a much wider commissioning assessment c</w:t>
      </w:r>
      <w:r w:rsidR="00AB3452">
        <w:t>o-ordinated by a project inspector</w:t>
      </w:r>
      <w:r w:rsidR="00DF7416">
        <w:t xml:space="preserve"> (PI)</w:t>
      </w:r>
      <w:r w:rsidR="007C243D">
        <w:t>.  Many aspects of this wider assessment have been outlined above and are addressed</w:t>
      </w:r>
      <w:r w:rsidR="00DF7416">
        <w:t xml:space="preserve"> by Licence Condition 21 and related ONR</w:t>
      </w:r>
      <w:r w:rsidR="007C243D">
        <w:t xml:space="preserve"> guidance.  Although there are specific matters that </w:t>
      </w:r>
      <w:r w:rsidR="0058286B">
        <w:t xml:space="preserve">may </w:t>
      </w:r>
      <w:r w:rsidR="007C243D">
        <w:t>directly concern of the C&amp;I specialist i</w:t>
      </w:r>
      <w:r w:rsidR="00DF7416">
        <w:t>nspector, there are many other</w:t>
      </w:r>
      <w:r w:rsidR="007C243D">
        <w:t xml:space="preserve"> aspects that C&amp;I either interfaces with or is a part of.  Liaison with other relevant inspectors is therefore essential to ensure adequate understanding of the processes involved.  It is </w:t>
      </w:r>
      <w:r w:rsidR="00336100">
        <w:t xml:space="preserve">recommended to </w:t>
      </w:r>
      <w:r w:rsidR="007C243D">
        <w:t>approach the assessment in a top-down manner, considering first all aspects of safety and function, and only then becoming involved in spec</w:t>
      </w:r>
      <w:r w:rsidR="00AB3452">
        <w:t xml:space="preserve">ific C&amp;I detail, (rather than </w:t>
      </w:r>
      <w:r w:rsidR="007C243D">
        <w:t>attempting to consider C&amp;I in isolation</w:t>
      </w:r>
      <w:r w:rsidR="00AB3452">
        <w:t>)</w:t>
      </w:r>
      <w:r w:rsidR="007C243D">
        <w:t xml:space="preserve">.  In this way the behaviour of the plant </w:t>
      </w:r>
      <w:r w:rsidR="006A7C1E">
        <w:t>remains</w:t>
      </w:r>
      <w:r w:rsidR="007C243D">
        <w:t xml:space="preserve"> paramount, and the C&amp;I </w:t>
      </w:r>
      <w:r w:rsidR="006A7C1E">
        <w:t>systems</w:t>
      </w:r>
      <w:r w:rsidR="007C243D">
        <w:t xml:space="preserve"> are assessed with this behaviour in mind.</w:t>
      </w:r>
    </w:p>
    <w:p w14:paraId="5C2D4309" w14:textId="77777777" w:rsidR="007C243D" w:rsidRDefault="007C243D" w:rsidP="007C243D">
      <w:pPr>
        <w:pStyle w:val="TSNumberedParagraph11"/>
        <w:numPr>
          <w:ilvl w:val="0"/>
          <w:numId w:val="0"/>
        </w:numPr>
        <w:tabs>
          <w:tab w:val="left" w:pos="1260"/>
          <w:tab w:val="left" w:pos="1800"/>
          <w:tab w:val="left" w:pos="2340"/>
        </w:tabs>
        <w:ind w:left="720"/>
        <w:jc w:val="both"/>
      </w:pPr>
      <w:r>
        <w:t>2)</w:t>
      </w:r>
      <w:r>
        <w:tab/>
        <w:t xml:space="preserve">General questions to be </w:t>
      </w:r>
      <w:r w:rsidR="00DF7416">
        <w:t xml:space="preserve">considered during the assessment </w:t>
      </w:r>
      <w:r w:rsidR="0058286B">
        <w:t xml:space="preserve">of C&amp;I commissioning </w:t>
      </w:r>
      <w:r>
        <w:t>include:</w:t>
      </w:r>
    </w:p>
    <w:p w14:paraId="4F718EE7" w14:textId="77777777" w:rsidR="007C243D" w:rsidRDefault="007C243D" w:rsidP="000B3BF1">
      <w:pPr>
        <w:pStyle w:val="TSNumberedParagraph11"/>
        <w:numPr>
          <w:ilvl w:val="0"/>
          <w:numId w:val="0"/>
        </w:numPr>
        <w:tabs>
          <w:tab w:val="left" w:pos="1260"/>
          <w:tab w:val="left" w:pos="1800"/>
          <w:tab w:val="left" w:pos="1843"/>
        </w:tabs>
        <w:ind w:left="1843" w:hanging="1123"/>
        <w:jc w:val="both"/>
      </w:pPr>
      <w:r>
        <w:tab/>
      </w:r>
      <w:proofErr w:type="spellStart"/>
      <w:r>
        <w:t>i</w:t>
      </w:r>
      <w:proofErr w:type="spellEnd"/>
      <w:r>
        <w:t>)</w:t>
      </w:r>
      <w:r>
        <w:tab/>
        <w:t xml:space="preserve">Are the proposed tests </w:t>
      </w:r>
      <w:r w:rsidR="0058286B">
        <w:t xml:space="preserve">within the commissioning schedule considered sufficient </w:t>
      </w:r>
      <w:r>
        <w:t xml:space="preserve">to </w:t>
      </w:r>
      <w:r w:rsidR="0058286B">
        <w:t xml:space="preserve">ensure that the safety system(s) are able </w:t>
      </w:r>
      <w:r w:rsidR="0058286B" w:rsidRPr="000B3BF1">
        <w:rPr>
          <w:u w:val="single"/>
        </w:rPr>
        <w:t>fully</w:t>
      </w:r>
      <w:r w:rsidR="0058286B">
        <w:t xml:space="preserve"> </w:t>
      </w:r>
      <w:r w:rsidR="00E850C9">
        <w:t>exercise their</w:t>
      </w:r>
      <w:r>
        <w:t xml:space="preserve"> intended functions</w:t>
      </w:r>
      <w:r w:rsidR="0058286B">
        <w:t xml:space="preserve"> and adequately determine that their response to likely fault conditions meets specified requirements</w:t>
      </w:r>
      <w:r w:rsidR="00A518D9">
        <w:t>.</w:t>
      </w:r>
    </w:p>
    <w:p w14:paraId="52841D91" w14:textId="77777777" w:rsidR="007C243D" w:rsidRDefault="007C243D" w:rsidP="007C243D">
      <w:pPr>
        <w:pStyle w:val="TSNumberedParagraph11"/>
        <w:numPr>
          <w:ilvl w:val="0"/>
          <w:numId w:val="0"/>
        </w:numPr>
        <w:tabs>
          <w:tab w:val="left" w:pos="1260"/>
          <w:tab w:val="left" w:pos="1800"/>
          <w:tab w:val="left" w:pos="2340"/>
        </w:tabs>
        <w:ind w:left="720"/>
        <w:jc w:val="both"/>
      </w:pPr>
      <w:r>
        <w:tab/>
        <w:t>ii)</w:t>
      </w:r>
      <w:r>
        <w:tab/>
        <w:t>Are the safety system tests adequate in scope &amp; detail</w:t>
      </w:r>
      <w:r w:rsidR="00A518D9">
        <w:t>.</w:t>
      </w:r>
    </w:p>
    <w:p w14:paraId="316F21DD" w14:textId="77777777" w:rsidR="007C243D" w:rsidRDefault="007C243D" w:rsidP="00FA0A72">
      <w:pPr>
        <w:pStyle w:val="TSNumberedParagraph11"/>
        <w:numPr>
          <w:ilvl w:val="0"/>
          <w:numId w:val="0"/>
        </w:numPr>
        <w:tabs>
          <w:tab w:val="left" w:pos="1260"/>
          <w:tab w:val="left" w:pos="1800"/>
          <w:tab w:val="left" w:pos="2340"/>
        </w:tabs>
        <w:ind w:left="1260" w:hanging="540"/>
        <w:jc w:val="both"/>
      </w:pPr>
      <w:r>
        <w:tab/>
        <w:t>iii)</w:t>
      </w:r>
      <w:r>
        <w:tab/>
        <w:t xml:space="preserve">Does the paperwork address all </w:t>
      </w:r>
      <w:r w:rsidR="00FA0A72">
        <w:t xml:space="preserve">relevant </w:t>
      </w:r>
      <w:r>
        <w:t xml:space="preserve">aspects </w:t>
      </w:r>
      <w:r w:rsidR="00FA0A72">
        <w:t>(</w:t>
      </w:r>
      <w:r w:rsidR="008867CA">
        <w:t xml:space="preserve">i.e. </w:t>
      </w:r>
      <w:r w:rsidR="00FA0A72">
        <w:t xml:space="preserve">as covered in 5.1 and 5.2 above) </w:t>
      </w:r>
      <w:r>
        <w:t>adequately</w:t>
      </w:r>
      <w:r w:rsidR="00A518D9">
        <w:t>.</w:t>
      </w:r>
    </w:p>
    <w:p w14:paraId="0F72DB21" w14:textId="77777777" w:rsidR="007C243D" w:rsidRDefault="007C243D" w:rsidP="007C243D">
      <w:pPr>
        <w:pStyle w:val="TSNumberedParagraph11"/>
        <w:numPr>
          <w:ilvl w:val="0"/>
          <w:numId w:val="0"/>
        </w:numPr>
        <w:tabs>
          <w:tab w:val="left" w:pos="1260"/>
          <w:tab w:val="left" w:pos="1800"/>
          <w:tab w:val="left" w:pos="2340"/>
        </w:tabs>
        <w:ind w:left="1260" w:hanging="540"/>
        <w:jc w:val="both"/>
      </w:pPr>
      <w:r>
        <w:tab/>
      </w:r>
      <w:r w:rsidR="006A7C1E">
        <w:t>iv)</w:t>
      </w:r>
      <w:r w:rsidR="006A7C1E">
        <w:tab/>
        <w:t xml:space="preserve">Has a structured </w:t>
      </w:r>
      <w:r w:rsidR="0058286B">
        <w:t xml:space="preserve">and </w:t>
      </w:r>
      <w:r w:rsidR="006A7C1E">
        <w:t>methodical approach been adopted for the testing of all systems, in particular for those embodying complexity</w:t>
      </w:r>
      <w:r w:rsidR="00A518D9">
        <w:t>.</w:t>
      </w:r>
    </w:p>
    <w:p w14:paraId="444D2B2C" w14:textId="77777777" w:rsidR="007C243D" w:rsidRDefault="007C243D" w:rsidP="007C243D">
      <w:pPr>
        <w:pStyle w:val="TSNumberedParagraph11"/>
        <w:numPr>
          <w:ilvl w:val="0"/>
          <w:numId w:val="0"/>
        </w:numPr>
        <w:tabs>
          <w:tab w:val="left" w:pos="1260"/>
          <w:tab w:val="left" w:pos="1800"/>
          <w:tab w:val="left" w:pos="2340"/>
        </w:tabs>
        <w:ind w:left="1260" w:hanging="540"/>
        <w:jc w:val="both"/>
      </w:pPr>
      <w:r>
        <w:tab/>
        <w:t>v)</w:t>
      </w:r>
      <w:r>
        <w:tab/>
        <w:t xml:space="preserve">Are safety systems being commissioned adequately </w:t>
      </w:r>
      <w:r w:rsidR="00DF7416">
        <w:t xml:space="preserve">(during in-active commissioning) </w:t>
      </w:r>
      <w:r>
        <w:t>prior to introduction of radioactive materials into the facility</w:t>
      </w:r>
      <w:r w:rsidR="00DF7416">
        <w:t xml:space="preserve"> (</w:t>
      </w:r>
      <w:proofErr w:type="spellStart"/>
      <w:r w:rsidR="00DF7416">
        <w:t>ie</w:t>
      </w:r>
      <w:proofErr w:type="spellEnd"/>
      <w:r w:rsidR="00DF7416">
        <w:t xml:space="preserve"> prior to the commencement of active commissioning)</w:t>
      </w:r>
      <w:r w:rsidR="00A518D9">
        <w:t>.</w:t>
      </w:r>
    </w:p>
    <w:p w14:paraId="5F7E1AF0" w14:textId="77777777" w:rsidR="009B5159" w:rsidRDefault="007C243D" w:rsidP="007C243D">
      <w:pPr>
        <w:pStyle w:val="TSNumberedParagraph11"/>
        <w:numPr>
          <w:ilvl w:val="0"/>
          <w:numId w:val="0"/>
        </w:numPr>
        <w:tabs>
          <w:tab w:val="left" w:pos="1260"/>
          <w:tab w:val="left" w:pos="1800"/>
          <w:tab w:val="left" w:pos="2340"/>
        </w:tabs>
        <w:ind w:left="720"/>
        <w:jc w:val="both"/>
      </w:pPr>
      <w:r>
        <w:t>3)</w:t>
      </w:r>
      <w:r>
        <w:tab/>
      </w:r>
      <w:r w:rsidR="00654474">
        <w:t xml:space="preserve">Subsystems will </w:t>
      </w:r>
      <w:r>
        <w:t xml:space="preserve">generally </w:t>
      </w:r>
      <w:r w:rsidR="00654474">
        <w:t xml:space="preserve">have </w:t>
      </w:r>
      <w:r>
        <w:t xml:space="preserve">been tested to some extent at manufacturers’ works prior to shipping, but </w:t>
      </w:r>
      <w:r w:rsidR="00A518D9">
        <w:t xml:space="preserve">inspectors should take into account that </w:t>
      </w:r>
      <w:r>
        <w:t xml:space="preserve">many aspects of these tests </w:t>
      </w:r>
      <w:r w:rsidR="00A518D9">
        <w:t xml:space="preserve">may have focused on </w:t>
      </w:r>
      <w:r>
        <w:t xml:space="preserve">contractual purposes and are therefore not normally claimed as part of the commissioning tests.  </w:t>
      </w:r>
      <w:r w:rsidR="00DF7416">
        <w:t>However, i</w:t>
      </w:r>
      <w:r>
        <w:t>f any such claim</w:t>
      </w:r>
      <w:r w:rsidR="00AB3452">
        <w:t>s are</w:t>
      </w:r>
      <w:r>
        <w:t xml:space="preserve"> made then</w:t>
      </w:r>
      <w:r w:rsidR="00AB3452">
        <w:t>,</w:t>
      </w:r>
      <w:r>
        <w:t xml:space="preserve"> where relevant</w:t>
      </w:r>
      <w:r w:rsidR="00AB3452">
        <w:t>,</w:t>
      </w:r>
      <w:r>
        <w:t xml:space="preserve"> these tests should be assessed </w:t>
      </w:r>
      <w:r w:rsidR="00DF7416">
        <w:t xml:space="preserve">by ONR </w:t>
      </w:r>
      <w:r>
        <w:t xml:space="preserve">in the same way as the site </w:t>
      </w:r>
      <w:r w:rsidR="00AB3452">
        <w:t xml:space="preserve">commissioning </w:t>
      </w:r>
      <w:r>
        <w:t>tests.</w:t>
      </w:r>
    </w:p>
    <w:p w14:paraId="03DC4EDF" w14:textId="77777777" w:rsidR="007C243D" w:rsidRDefault="00AB3452" w:rsidP="007C243D">
      <w:pPr>
        <w:pStyle w:val="TSNumberedParagraph11"/>
        <w:numPr>
          <w:ilvl w:val="0"/>
          <w:numId w:val="0"/>
        </w:numPr>
        <w:tabs>
          <w:tab w:val="left" w:pos="1260"/>
          <w:tab w:val="left" w:pos="1800"/>
          <w:tab w:val="left" w:pos="2340"/>
        </w:tabs>
        <w:ind w:left="720"/>
        <w:jc w:val="both"/>
      </w:pPr>
      <w:r>
        <w:t>4)</w:t>
      </w:r>
      <w:r>
        <w:tab/>
        <w:t>It is not unusual</w:t>
      </w:r>
      <w:r w:rsidR="007C243D">
        <w:t xml:space="preserve"> during commissioning to have only parts of systems functional, so that much of the testing is carried out in circumstances that are different to those that will prevail during operation.  In such circumstan</w:t>
      </w:r>
      <w:r w:rsidR="00DF7416">
        <w:t xml:space="preserve">ces dummy inputs and outputs may be used, systems </w:t>
      </w:r>
      <w:r w:rsidR="007C243D">
        <w:t>forced into unnatural confi</w:t>
      </w:r>
      <w:r w:rsidR="00DF7416">
        <w:t>gurations, and assumptions m</w:t>
      </w:r>
      <w:r w:rsidR="007C243D">
        <w:t xml:space="preserve">ade about interfacing systems, all of which need to be shown not to invalidate the </w:t>
      </w:r>
      <w:r w:rsidR="00DF7416">
        <w:t xml:space="preserve">commissioning </w:t>
      </w:r>
      <w:r w:rsidR="007C243D">
        <w:t xml:space="preserve">tests.  The </w:t>
      </w:r>
      <w:r w:rsidR="00B0057A">
        <w:t>ins</w:t>
      </w:r>
      <w:r w:rsidR="007C243D">
        <w:t>pector</w:t>
      </w:r>
      <w:r w:rsidR="00E850C9">
        <w:t xml:space="preserve">, supported as necessary by a C&amp;I specialist inspector for commissioning of </w:t>
      </w:r>
      <w:r w:rsidR="006F2899">
        <w:t xml:space="preserve">computer based </w:t>
      </w:r>
      <w:r w:rsidR="00E850C9">
        <w:t>systems important to safety,</w:t>
      </w:r>
      <w:r w:rsidR="007C243D">
        <w:t xml:space="preserve"> should </w:t>
      </w:r>
      <w:r w:rsidR="006A7C1E">
        <w:t>examine</w:t>
      </w:r>
      <w:r w:rsidR="007C243D">
        <w:t xml:space="preserve"> such cases carefully and challenge the assumptions </w:t>
      </w:r>
      <w:r w:rsidR="00B74A95">
        <w:t>being made where they are not adequately justified. T</w:t>
      </w:r>
      <w:r>
        <w:t>he inspector should</w:t>
      </w:r>
      <w:r w:rsidR="00B74A95">
        <w:t xml:space="preserve"> also</w:t>
      </w:r>
      <w:r>
        <w:t xml:space="preserve"> take due account of the fact that </w:t>
      </w:r>
      <w:r w:rsidR="007C243D">
        <w:t>system behaviour is often different under fully dynamic operation</w:t>
      </w:r>
      <w:r w:rsidR="00B74A95">
        <w:t>al conditions</w:t>
      </w:r>
      <w:r w:rsidR="007C243D">
        <w:t xml:space="preserve"> </w:t>
      </w:r>
      <w:r w:rsidR="00B74A95">
        <w:t xml:space="preserve">compared to the </w:t>
      </w:r>
      <w:r w:rsidR="007C243D">
        <w:t xml:space="preserve">relatively static </w:t>
      </w:r>
      <w:r w:rsidR="00B74A95">
        <w:t xml:space="preserve">conditions experienced during </w:t>
      </w:r>
      <w:r w:rsidR="007C243D">
        <w:t>testing.</w:t>
      </w:r>
    </w:p>
    <w:p w14:paraId="35CA60C8" w14:textId="77777777" w:rsidR="007C243D" w:rsidRDefault="007C243D" w:rsidP="007C243D">
      <w:pPr>
        <w:pStyle w:val="TSNumberedParagraph11"/>
        <w:numPr>
          <w:ilvl w:val="0"/>
          <w:numId w:val="0"/>
        </w:numPr>
        <w:tabs>
          <w:tab w:val="left" w:pos="1260"/>
          <w:tab w:val="left" w:pos="1800"/>
          <w:tab w:val="left" w:pos="2340"/>
        </w:tabs>
        <w:ind w:left="720"/>
        <w:jc w:val="both"/>
      </w:pPr>
      <w:r>
        <w:t>5)</w:t>
      </w:r>
      <w:r>
        <w:tab/>
        <w:t xml:space="preserve">A reasonable range of “robustness” type tests should be included during which systems are subjected to a certain amount of </w:t>
      </w:r>
      <w:r w:rsidR="00F81F62">
        <w:t>‘</w:t>
      </w:r>
      <w:r w:rsidR="00C62AB0">
        <w:t>stress</w:t>
      </w:r>
      <w:r w:rsidR="00F81F62">
        <w:t>’</w:t>
      </w:r>
      <w:r w:rsidR="00C62AB0">
        <w:t xml:space="preserve"> testing</w:t>
      </w:r>
      <w:r>
        <w:t>.  This applies especially for systems that interface with operators</w:t>
      </w:r>
      <w:r w:rsidR="004C525A">
        <w:t xml:space="preserve"> and which have an extensive Human Machine Interface (HMI)</w:t>
      </w:r>
      <w:r>
        <w:t xml:space="preserve">.  </w:t>
      </w:r>
      <w:r w:rsidR="00C62AB0">
        <w:t>For example, i</w:t>
      </w:r>
      <w:r>
        <w:t>nputs should be applied in the wrong order and all at once; range end values should be applied; zero, out of range, and invalid values should be used; and values corresponding to failed sensors</w:t>
      </w:r>
      <w:r w:rsidR="00B74A95">
        <w:t xml:space="preserve"> should also be used</w:t>
      </w:r>
      <w:r>
        <w:t xml:space="preserve">.  The aim </w:t>
      </w:r>
      <w:r w:rsidR="00B74A95">
        <w:t xml:space="preserve">of such testing </w:t>
      </w:r>
      <w:r>
        <w:t xml:space="preserve">is to give confidence that the system can tolerate operator and interfacing systems faults without becoming deadlocked or failing in some other way.  The scope of such testing should be related to the complexity and safety criticality of the system; the more complex or safety </w:t>
      </w:r>
      <w:r w:rsidR="006A7C1E">
        <w:t>critical</w:t>
      </w:r>
      <w:r>
        <w:t>, the wider the scope</w:t>
      </w:r>
      <w:r w:rsidR="00B74A95">
        <w:t xml:space="preserve"> of such testing should be</w:t>
      </w:r>
      <w:r>
        <w:t xml:space="preserve">.  Such tests should be within the scope of the system specification where it explicitly requires particular performance under abnormal conditions, but the absence of such explicit aspects in the specification should not preclude </w:t>
      </w:r>
      <w:r w:rsidR="00C62AB0">
        <w:t>such</w:t>
      </w:r>
      <w:r w:rsidR="00A518D9">
        <w:t xml:space="preserve"> </w:t>
      </w:r>
      <w:r>
        <w:t xml:space="preserve">testing, since </w:t>
      </w:r>
      <w:r w:rsidR="00C62AB0">
        <w:t>these aspects of system performance</w:t>
      </w:r>
      <w:r w:rsidR="00BB5BE0">
        <w:t xml:space="preserve"> </w:t>
      </w:r>
      <w:r>
        <w:t xml:space="preserve">can easily be overlooked </w:t>
      </w:r>
      <w:r w:rsidR="00B74A95">
        <w:t>during system design</w:t>
      </w:r>
      <w:r>
        <w:t>.</w:t>
      </w:r>
    </w:p>
    <w:p w14:paraId="2FEFB319" w14:textId="77777777" w:rsidR="007C243D" w:rsidRDefault="007C243D" w:rsidP="007C243D">
      <w:pPr>
        <w:pStyle w:val="TSNumberedParagraph11"/>
        <w:numPr>
          <w:ilvl w:val="0"/>
          <w:numId w:val="0"/>
        </w:numPr>
        <w:tabs>
          <w:tab w:val="left" w:pos="1260"/>
          <w:tab w:val="left" w:pos="1800"/>
          <w:tab w:val="left" w:pos="2340"/>
        </w:tabs>
        <w:ind w:left="720"/>
        <w:jc w:val="both"/>
      </w:pPr>
      <w:r>
        <w:t>6)</w:t>
      </w:r>
      <w:r>
        <w:tab/>
        <w:t xml:space="preserve">Ergonomic aspects (including task analysis assumptions) of control stations should be tested in conjunction with Human Factors specialists, as should other operator </w:t>
      </w:r>
      <w:r w:rsidR="006A7C1E">
        <w:t>interacting</w:t>
      </w:r>
      <w:r>
        <w:t xml:space="preserve"> arrangements such as alarm response strategies.</w:t>
      </w:r>
    </w:p>
    <w:p w14:paraId="19B682C7" w14:textId="77777777" w:rsidR="007C243D" w:rsidRDefault="007C243D" w:rsidP="007C243D">
      <w:pPr>
        <w:pStyle w:val="TSNumberedParagraph11"/>
        <w:numPr>
          <w:ilvl w:val="0"/>
          <w:numId w:val="0"/>
        </w:numPr>
        <w:tabs>
          <w:tab w:val="left" w:pos="1260"/>
          <w:tab w:val="left" w:pos="1800"/>
          <w:tab w:val="left" w:pos="2340"/>
        </w:tabs>
        <w:ind w:left="720"/>
        <w:jc w:val="both"/>
      </w:pPr>
      <w:r>
        <w:t>7)</w:t>
      </w:r>
      <w:r>
        <w:tab/>
        <w:t>The extent of input and output range and combination testing should be ex</w:t>
      </w:r>
      <w:r w:rsidR="00654474">
        <w:t>amined, since usually only part-</w:t>
      </w:r>
      <w:r>
        <w:t xml:space="preserve">ranges and relatively few combinations are tested, </w:t>
      </w:r>
      <w:r w:rsidR="00B74A95">
        <w:t>it being assumed that all other inputs, other than the input currently under test,</w:t>
      </w:r>
      <w:r>
        <w:t xml:space="preserve"> will behave appropriately.  Generally, the greater the dependence for safety upon a system, the greater the required extent of such testing.</w:t>
      </w:r>
    </w:p>
    <w:p w14:paraId="09C3C4B8" w14:textId="77777777" w:rsidR="007C243D" w:rsidRDefault="007C243D" w:rsidP="007C243D">
      <w:pPr>
        <w:pStyle w:val="TSNumberedParagraph11"/>
        <w:numPr>
          <w:ilvl w:val="0"/>
          <w:numId w:val="0"/>
        </w:numPr>
        <w:tabs>
          <w:tab w:val="left" w:pos="1260"/>
          <w:tab w:val="left" w:pos="1800"/>
          <w:tab w:val="left" w:pos="2340"/>
        </w:tabs>
        <w:ind w:left="720"/>
        <w:jc w:val="both"/>
      </w:pPr>
      <w:r>
        <w:t>8)</w:t>
      </w:r>
      <w:r>
        <w:tab/>
        <w:t>It should be verified that</w:t>
      </w:r>
      <w:r w:rsidR="00B74A95">
        <w:t>,</w:t>
      </w:r>
      <w:r>
        <w:t xml:space="preserve"> at some stag</w:t>
      </w:r>
      <w:r w:rsidR="00B74A95">
        <w:t xml:space="preserve">e during the integrated commissioning testing, </w:t>
      </w:r>
      <w:r>
        <w:t>full end</w:t>
      </w:r>
      <w:r w:rsidR="00BB5BE0">
        <w:t>-</w:t>
      </w:r>
      <w:r>
        <w:t>to</w:t>
      </w:r>
      <w:r w:rsidR="00BB5BE0">
        <w:t>-</w:t>
      </w:r>
      <w:r>
        <w:t xml:space="preserve">end tests (including logic, sequence, and timing aspects) </w:t>
      </w:r>
      <w:r w:rsidR="004C525A">
        <w:t>are carried out for systems important to safety</w:t>
      </w:r>
      <w:r>
        <w:t xml:space="preserve">, </w:t>
      </w:r>
      <w:proofErr w:type="spellStart"/>
      <w:r>
        <w:t>ie</w:t>
      </w:r>
      <w:proofErr w:type="spellEnd"/>
      <w:r>
        <w:t xml:space="preserve"> from sensor </w:t>
      </w:r>
      <w:r w:rsidR="00F81F62">
        <w:t xml:space="preserve">through </w:t>
      </w:r>
      <w:r>
        <w:t>to display</w:t>
      </w:r>
      <w:r w:rsidR="00F81F62">
        <w:t xml:space="preserve"> and/or actuator. </w:t>
      </w:r>
    </w:p>
    <w:p w14:paraId="365E71B4" w14:textId="77777777" w:rsidR="007C243D" w:rsidRDefault="007C243D" w:rsidP="007C243D">
      <w:pPr>
        <w:pStyle w:val="TSNumberedParagraph11"/>
        <w:numPr>
          <w:ilvl w:val="0"/>
          <w:numId w:val="0"/>
        </w:numPr>
        <w:tabs>
          <w:tab w:val="left" w:pos="1260"/>
          <w:tab w:val="left" w:pos="1800"/>
          <w:tab w:val="left" w:pos="2340"/>
        </w:tabs>
        <w:ind w:left="720"/>
        <w:jc w:val="both"/>
      </w:pPr>
      <w:r>
        <w:t>9)</w:t>
      </w:r>
      <w:r>
        <w:tab/>
        <w:t>Duration tests should be included for equipment that must f</w:t>
      </w:r>
      <w:r w:rsidR="00B74A95">
        <w:t>unction for prolonged periods, noting that a</w:t>
      </w:r>
      <w:r w:rsidR="0021240E">
        <w:t xml:space="preserve"> system may function effectively for a few min</w:t>
      </w:r>
      <w:r w:rsidR="00654474">
        <w:t xml:space="preserve">utes but this is an inadequate </w:t>
      </w:r>
      <w:r w:rsidR="0021240E">
        <w:t xml:space="preserve">test if it will be required to run for hours.  Problems such as overheating or vibration are likely to be revealed only by a suitably long </w:t>
      </w:r>
      <w:r w:rsidR="006A7C1E">
        <w:t>operating</w:t>
      </w:r>
      <w:r w:rsidR="0021240E">
        <w:t xml:space="preserve"> test.</w:t>
      </w:r>
    </w:p>
    <w:p w14:paraId="603CDC55" w14:textId="77777777" w:rsidR="0021240E" w:rsidRDefault="0021240E" w:rsidP="007C243D">
      <w:pPr>
        <w:pStyle w:val="TSNumberedParagraph11"/>
        <w:numPr>
          <w:ilvl w:val="0"/>
          <w:numId w:val="0"/>
        </w:numPr>
        <w:tabs>
          <w:tab w:val="left" w:pos="1260"/>
          <w:tab w:val="left" w:pos="1800"/>
          <w:tab w:val="left" w:pos="2340"/>
        </w:tabs>
        <w:ind w:left="720"/>
        <w:jc w:val="both"/>
      </w:pPr>
      <w:r>
        <w:t>10)</w:t>
      </w:r>
      <w:r>
        <w:tab/>
        <w:t xml:space="preserve">Power failure tests should be included for complete plant areas, and fuse failures </w:t>
      </w:r>
      <w:r w:rsidR="00B74A95">
        <w:t xml:space="preserve">should be </w:t>
      </w:r>
      <w:r>
        <w:t xml:space="preserve">simulated in order to cause partial power failure (partial failure can be worse than complete failure since some equipment may still operate even though the equipment interfaces are unavailable).  These tests should also include </w:t>
      </w:r>
      <w:r w:rsidR="00B74A95">
        <w:t xml:space="preserve">simulated </w:t>
      </w:r>
      <w:r>
        <w:t xml:space="preserve">supply fluctuations where equipment behaviour is </w:t>
      </w:r>
      <w:r w:rsidR="006A7C1E">
        <w:t>sensitive</w:t>
      </w:r>
      <w:r>
        <w:t xml:space="preserve"> to such fluctuations.</w:t>
      </w:r>
    </w:p>
    <w:p w14:paraId="19DD8FD5" w14:textId="77777777" w:rsidR="0021240E" w:rsidRDefault="00F81F62" w:rsidP="007C243D">
      <w:pPr>
        <w:pStyle w:val="TSNumberedParagraph11"/>
        <w:numPr>
          <w:ilvl w:val="0"/>
          <w:numId w:val="0"/>
        </w:numPr>
        <w:tabs>
          <w:tab w:val="left" w:pos="1260"/>
          <w:tab w:val="left" w:pos="1800"/>
          <w:tab w:val="left" w:pos="2340"/>
        </w:tabs>
        <w:ind w:left="720"/>
        <w:jc w:val="both"/>
      </w:pPr>
      <w:r>
        <w:t>11)</w:t>
      </w:r>
      <w:r>
        <w:tab/>
        <w:t>Software-based</w:t>
      </w:r>
      <w:r w:rsidR="0021240E">
        <w:t xml:space="preserve"> systems should be subjected to special tests and procedures.  These should cover as wide a range of operating circumstances as possible, since the possibility of design errors </w:t>
      </w:r>
      <w:r w:rsidR="00C62AB0">
        <w:t>may be</w:t>
      </w:r>
      <w:r w:rsidR="0021240E">
        <w:t xml:space="preserve"> greater for software systems (due to the fact that they tend to be more </w:t>
      </w:r>
      <w:r w:rsidR="006A7C1E">
        <w:t>complex</w:t>
      </w:r>
      <w:r w:rsidR="0021240E">
        <w:t xml:space="preserve"> than hardware</w:t>
      </w:r>
      <w:r>
        <w:t>-based</w:t>
      </w:r>
      <w:r w:rsidR="0021240E">
        <w:t xml:space="preserve"> systems) and extensive testing (</w:t>
      </w:r>
      <w:r w:rsidR="00C62AB0">
        <w:t>often combined with rigorous</w:t>
      </w:r>
      <w:r w:rsidR="009D22A2">
        <w:t xml:space="preserve"> </w:t>
      </w:r>
      <w:r w:rsidR="0021240E">
        <w:t xml:space="preserve">analysis and verification procedures) </w:t>
      </w:r>
      <w:r w:rsidR="00B74A95">
        <w:t>should be performed</w:t>
      </w:r>
      <w:r w:rsidR="00C62AB0">
        <w:t xml:space="preserve"> to provide confidence that the risk of failure due to such errors has been adequately addressed prior to </w:t>
      </w:r>
      <w:r w:rsidR="0021240E">
        <w:t xml:space="preserve">operation.  </w:t>
      </w:r>
      <w:r>
        <w:t>In addition, p</w:t>
      </w:r>
      <w:r w:rsidR="006A7C1E">
        <w:t>rocedures should be devised and approved to cater for configuration control, temporary and permanent modifications, access control and software security; to prevent unauthorised changes</w:t>
      </w:r>
      <w:r w:rsidR="00C62AB0">
        <w:t xml:space="preserve"> and to </w:t>
      </w:r>
      <w:r w:rsidR="004F38AE">
        <w:t>safe</w:t>
      </w:r>
      <w:r w:rsidR="00C62AB0">
        <w:t xml:space="preserve">guard against </w:t>
      </w:r>
      <w:r w:rsidR="004F38AE">
        <w:t>cyber-attack</w:t>
      </w:r>
      <w:r w:rsidR="00C62AB0">
        <w:t>.</w:t>
      </w:r>
      <w:r w:rsidR="006A7C1E">
        <w:t xml:space="preserve">  Temporary</w:t>
      </w:r>
      <w:r w:rsidR="0021240E">
        <w:t xml:space="preserve"> modifications </w:t>
      </w:r>
      <w:r w:rsidR="00BA17B3">
        <w:t xml:space="preserve">may be </w:t>
      </w:r>
      <w:r w:rsidR="0021240E">
        <w:t xml:space="preserve">set up within the </w:t>
      </w:r>
      <w:r w:rsidR="006A7C1E">
        <w:t>software</w:t>
      </w:r>
      <w:r w:rsidR="0021240E">
        <w:t xml:space="preserve"> to facilitate the testing of specific functions.  These should only be introduced when unavoidable and a log maintained to show their status.  </w:t>
      </w:r>
      <w:r w:rsidR="00E1146C">
        <w:t>To guard against software corruption, t</w:t>
      </w:r>
      <w:r w:rsidR="0021240E">
        <w:t xml:space="preserve">he associated procedures should not allow the temporarily modified software to </w:t>
      </w:r>
      <w:r w:rsidR="004C525A">
        <w:t xml:space="preserve">re-modified to </w:t>
      </w:r>
      <w:r w:rsidR="0021240E">
        <w:t>have the changes removed, but should require the re</w:t>
      </w:r>
      <w:r w:rsidR="004C525A">
        <w:t>loading of original software</w:t>
      </w:r>
      <w:r w:rsidR="0021240E">
        <w:t>.</w:t>
      </w:r>
    </w:p>
    <w:p w14:paraId="63E3A7E2" w14:textId="77777777" w:rsidR="0021240E" w:rsidRDefault="0021240E" w:rsidP="007C243D">
      <w:pPr>
        <w:pStyle w:val="TSNumberedParagraph11"/>
        <w:numPr>
          <w:ilvl w:val="0"/>
          <w:numId w:val="0"/>
        </w:numPr>
        <w:tabs>
          <w:tab w:val="left" w:pos="1260"/>
          <w:tab w:val="left" w:pos="1800"/>
          <w:tab w:val="left" w:pos="2340"/>
        </w:tabs>
        <w:ind w:left="720"/>
        <w:jc w:val="both"/>
      </w:pPr>
      <w:r>
        <w:t>12)</w:t>
      </w:r>
      <w:r>
        <w:tab/>
        <w:t>Where there are data highways (generally but not always associated with software</w:t>
      </w:r>
      <w:r w:rsidR="00F81F62">
        <w:t>-based</w:t>
      </w:r>
      <w:r>
        <w:t xml:space="preserve"> systems) data overload tests should be carried out to verify the capacity and time response </w:t>
      </w:r>
      <w:r w:rsidR="006A7C1E">
        <w:t>of</w:t>
      </w:r>
      <w:r>
        <w:t xml:space="preserve"> the receiving system during periods of high activity.  There should be a comfortable margin between </w:t>
      </w:r>
      <w:r w:rsidR="00BA17B3">
        <w:t xml:space="preserve">maximum </w:t>
      </w:r>
      <w:r>
        <w:t xml:space="preserve">capacity and expected </w:t>
      </w:r>
      <w:r w:rsidR="00E1146C">
        <w:t xml:space="preserve">maximum </w:t>
      </w:r>
      <w:r>
        <w:t>loading.</w:t>
      </w:r>
    </w:p>
    <w:p w14:paraId="2FAC6A36" w14:textId="77777777" w:rsidR="0021240E" w:rsidRDefault="0021240E" w:rsidP="007C243D">
      <w:pPr>
        <w:pStyle w:val="TSNumberedParagraph11"/>
        <w:numPr>
          <w:ilvl w:val="0"/>
          <w:numId w:val="0"/>
        </w:numPr>
        <w:tabs>
          <w:tab w:val="left" w:pos="1260"/>
          <w:tab w:val="left" w:pos="1800"/>
          <w:tab w:val="left" w:pos="2340"/>
        </w:tabs>
        <w:ind w:left="720"/>
        <w:jc w:val="both"/>
      </w:pPr>
      <w:r>
        <w:t>13)</w:t>
      </w:r>
      <w:r>
        <w:tab/>
        <w:t xml:space="preserve">Validation of periodic proof tests should be carried out, both to establish the effectiveness of the proposed procedures (possibly by inclusion of seeded faults where there are doubts), and to confirm any assumptions that are implicit in the proof tests themselves.  </w:t>
      </w:r>
      <w:r w:rsidR="004F38AE">
        <w:t>In some cases</w:t>
      </w:r>
      <w:r>
        <w:t xml:space="preserve">, it </w:t>
      </w:r>
      <w:r w:rsidR="00210ECC">
        <w:t xml:space="preserve"> may be </w:t>
      </w:r>
      <w:r>
        <w:t>impracticable to permit a function to be tested during plant operation</w:t>
      </w:r>
      <w:r w:rsidR="004F38AE">
        <w:t xml:space="preserve"> and it may be necessary to, for example,</w:t>
      </w:r>
      <w:r w:rsidR="00BA17B3">
        <w:t xml:space="preserve"> </w:t>
      </w:r>
      <w:r w:rsidR="004F38AE">
        <w:t xml:space="preserve">provide </w:t>
      </w:r>
      <w:r>
        <w:t xml:space="preserve">a </w:t>
      </w:r>
      <w:r w:rsidR="006A7C1E">
        <w:t>substitute</w:t>
      </w:r>
      <w:r>
        <w:t xml:space="preserve"> to check that a relay contact is made by confirming a short circuit between two terminal points.  In such cases the assumption is that the terminal points are appropriate</w:t>
      </w:r>
      <w:r w:rsidR="00BA17B3">
        <w:t xml:space="preserve"> places to introduce such a short circuit</w:t>
      </w:r>
      <w:r>
        <w:t xml:space="preserve">, and the proof test validation procedure </w:t>
      </w:r>
      <w:r w:rsidR="00BA17B3">
        <w:t xml:space="preserve">(performed when plant is not operational) </w:t>
      </w:r>
      <w:r>
        <w:t xml:space="preserve">should establish </w:t>
      </w:r>
      <w:r w:rsidR="00BA17B3">
        <w:t>full end-to-end correct operation</w:t>
      </w:r>
      <w:r>
        <w:t>.</w:t>
      </w:r>
    </w:p>
    <w:p w14:paraId="04735CAF" w14:textId="77777777" w:rsidR="0021240E" w:rsidRDefault="006A7C1E" w:rsidP="007C243D">
      <w:pPr>
        <w:pStyle w:val="TSNumberedParagraph11"/>
        <w:numPr>
          <w:ilvl w:val="0"/>
          <w:numId w:val="0"/>
        </w:numPr>
        <w:tabs>
          <w:tab w:val="left" w:pos="1260"/>
          <w:tab w:val="left" w:pos="1800"/>
          <w:tab w:val="left" w:pos="2340"/>
        </w:tabs>
        <w:ind w:left="720"/>
        <w:jc w:val="both"/>
      </w:pPr>
      <w:r>
        <w:t>14)</w:t>
      </w:r>
      <w:r>
        <w:tab/>
        <w:t>Records of temporary modifications should be maintained and procedures implemented to ensure that systems are reinstated correctly, (see above for removal of temporary software modifications by the reloading of original software).</w:t>
      </w:r>
    </w:p>
    <w:p w14:paraId="58B7487D" w14:textId="77777777" w:rsidR="0021240E" w:rsidRDefault="0021240E" w:rsidP="007C243D">
      <w:pPr>
        <w:pStyle w:val="TSNumberedParagraph11"/>
        <w:numPr>
          <w:ilvl w:val="0"/>
          <w:numId w:val="0"/>
        </w:numPr>
        <w:tabs>
          <w:tab w:val="left" w:pos="1260"/>
          <w:tab w:val="left" w:pos="1800"/>
          <w:tab w:val="left" w:pos="2340"/>
        </w:tabs>
        <w:ind w:left="720"/>
        <w:jc w:val="both"/>
      </w:pPr>
      <w:r>
        <w:t>15)</w:t>
      </w:r>
      <w:r>
        <w:tab/>
        <w:t xml:space="preserve">Where there are variable set points </w:t>
      </w:r>
      <w:r w:rsidR="00E1146C">
        <w:t>(</w:t>
      </w:r>
      <w:proofErr w:type="spellStart"/>
      <w:r w:rsidR="00E1146C">
        <w:t>eg</w:t>
      </w:r>
      <w:proofErr w:type="spellEnd"/>
      <w:r w:rsidR="00E1146C">
        <w:t xml:space="preserve"> </w:t>
      </w:r>
      <w:r>
        <w:t xml:space="preserve">for control, protection or warning </w:t>
      </w:r>
      <w:r w:rsidR="006A7C1E">
        <w:t>functions</w:t>
      </w:r>
      <w:r w:rsidR="00E1146C">
        <w:t>)</w:t>
      </w:r>
      <w:r>
        <w:t xml:space="preserve"> tests should be carried out to verify correct function for values across the full </w:t>
      </w:r>
      <w:r w:rsidR="00E1146C">
        <w:t xml:space="preserve">operational setpoint </w:t>
      </w:r>
      <w:r>
        <w:t>range.</w:t>
      </w:r>
    </w:p>
    <w:p w14:paraId="0A64D5FB" w14:textId="77777777" w:rsidR="0021240E" w:rsidRDefault="0021240E" w:rsidP="007C243D">
      <w:pPr>
        <w:pStyle w:val="TSNumberedParagraph11"/>
        <w:numPr>
          <w:ilvl w:val="0"/>
          <w:numId w:val="0"/>
        </w:numPr>
        <w:tabs>
          <w:tab w:val="left" w:pos="1260"/>
          <w:tab w:val="left" w:pos="1800"/>
          <w:tab w:val="left" w:pos="2340"/>
        </w:tabs>
        <w:ind w:left="720"/>
        <w:jc w:val="both"/>
      </w:pPr>
      <w:r>
        <w:t>16)</w:t>
      </w:r>
      <w:r>
        <w:tab/>
        <w:t xml:space="preserve">Sensitive systems should be tested for susceptibility to electromagnetic interference, </w:t>
      </w:r>
      <w:r w:rsidR="006A7C1E">
        <w:t>including</w:t>
      </w:r>
      <w:r>
        <w:t xml:space="preserve"> electrostatic discharge.  This applies </w:t>
      </w:r>
      <w:r w:rsidR="006A7C1E">
        <w:t>especially</w:t>
      </w:r>
      <w:r>
        <w:t xml:space="preserve"> where high power electrical </w:t>
      </w:r>
      <w:r w:rsidR="006A7C1E">
        <w:t>equipment</w:t>
      </w:r>
      <w:r>
        <w:t xml:space="preserve"> or cables are in close proximity to such systems.</w:t>
      </w:r>
      <w:r w:rsidR="00E1146C">
        <w:t xml:space="preserve"> The potential impact of Solar Storms should be considered where relevant.</w:t>
      </w:r>
    </w:p>
    <w:p w14:paraId="5971A73E" w14:textId="77777777" w:rsidR="0021240E" w:rsidRDefault="0021240E" w:rsidP="007C243D">
      <w:pPr>
        <w:pStyle w:val="TSNumberedParagraph11"/>
        <w:numPr>
          <w:ilvl w:val="0"/>
          <w:numId w:val="0"/>
        </w:numPr>
        <w:tabs>
          <w:tab w:val="left" w:pos="1260"/>
          <w:tab w:val="left" w:pos="1800"/>
          <w:tab w:val="left" w:pos="2340"/>
        </w:tabs>
        <w:ind w:left="720"/>
        <w:jc w:val="both"/>
      </w:pPr>
      <w:r>
        <w:t>17)</w:t>
      </w:r>
      <w:r>
        <w:tab/>
        <w:t>Where,</w:t>
      </w:r>
      <w:r w:rsidR="00654474">
        <w:t xml:space="preserve"> </w:t>
      </w:r>
      <w:r>
        <w:t xml:space="preserve">after </w:t>
      </w:r>
      <w:r w:rsidR="006A7C1E">
        <w:t>malfunction</w:t>
      </w:r>
      <w:r>
        <w:t>, operators are required to carry out diagnostic procedures, commissioning tests should be included to validate expected plant behaviour during such procedures.</w:t>
      </w:r>
    </w:p>
    <w:p w14:paraId="7829E40A" w14:textId="77777777" w:rsidR="0021240E" w:rsidRDefault="0021240E" w:rsidP="007C243D">
      <w:pPr>
        <w:pStyle w:val="TSNumberedParagraph11"/>
        <w:numPr>
          <w:ilvl w:val="0"/>
          <w:numId w:val="0"/>
        </w:numPr>
        <w:tabs>
          <w:tab w:val="left" w:pos="1260"/>
          <w:tab w:val="left" w:pos="1800"/>
          <w:tab w:val="left" w:pos="2340"/>
        </w:tabs>
        <w:ind w:left="720"/>
        <w:jc w:val="both"/>
      </w:pPr>
      <w:r>
        <w:t>18)</w:t>
      </w:r>
      <w:r>
        <w:tab/>
        <w:t xml:space="preserve">If a plant simulator is to be used to assist in carrying out control system tests, and if its accuracy is depended upon to any extent for safety, its fidelity should be established by specially designed </w:t>
      </w:r>
      <w:r w:rsidR="00E1146C">
        <w:t xml:space="preserve">simulator </w:t>
      </w:r>
      <w:r w:rsidR="006A7C1E">
        <w:t>validation</w:t>
      </w:r>
      <w:r>
        <w:t xml:space="preserve"> procedures.</w:t>
      </w:r>
    </w:p>
    <w:p w14:paraId="7A1E50C3" w14:textId="77777777" w:rsidR="0021240E" w:rsidRDefault="0021240E" w:rsidP="007C243D">
      <w:pPr>
        <w:pStyle w:val="TSNumberedParagraph11"/>
        <w:numPr>
          <w:ilvl w:val="0"/>
          <w:numId w:val="0"/>
        </w:numPr>
        <w:tabs>
          <w:tab w:val="left" w:pos="1260"/>
          <w:tab w:val="left" w:pos="1800"/>
          <w:tab w:val="left" w:pos="2340"/>
        </w:tabs>
        <w:ind w:left="720"/>
        <w:jc w:val="both"/>
      </w:pPr>
      <w:r>
        <w:t>19)</w:t>
      </w:r>
      <w:r>
        <w:tab/>
        <w:t xml:space="preserve">Calibration procedures for temporary and permanent measuring instruments should be shown to be comprehensive and reliable, and </w:t>
      </w:r>
      <w:r w:rsidR="00BA17B3">
        <w:t>such</w:t>
      </w:r>
      <w:r>
        <w:t xml:space="preserve"> procedures </w:t>
      </w:r>
      <w:r w:rsidR="00BA17B3">
        <w:t xml:space="preserve">should address instrument </w:t>
      </w:r>
      <w:r>
        <w:t xml:space="preserve">identification, certification, </w:t>
      </w:r>
      <w:r w:rsidR="00BA17B3">
        <w:t xml:space="preserve">operation </w:t>
      </w:r>
      <w:r>
        <w:t>and</w:t>
      </w:r>
      <w:r w:rsidR="00BA17B3">
        <w:t xml:space="preserve"> </w:t>
      </w:r>
      <w:r>
        <w:t xml:space="preserve">calibration </w:t>
      </w:r>
      <w:r w:rsidR="00BA17B3">
        <w:t>(</w:t>
      </w:r>
      <w:r>
        <w:t>at appropriate intervals</w:t>
      </w:r>
      <w:r w:rsidR="00BA17B3">
        <w:t>)</w:t>
      </w:r>
      <w:r>
        <w:t>.</w:t>
      </w:r>
    </w:p>
    <w:p w14:paraId="780D2FDD" w14:textId="77777777" w:rsidR="008867CA" w:rsidRDefault="008867CA" w:rsidP="007C243D">
      <w:pPr>
        <w:pStyle w:val="TSNumberedParagraph11"/>
        <w:numPr>
          <w:ilvl w:val="0"/>
          <w:numId w:val="0"/>
        </w:numPr>
        <w:tabs>
          <w:tab w:val="left" w:pos="1260"/>
          <w:tab w:val="left" w:pos="1800"/>
          <w:tab w:val="left" w:pos="2340"/>
        </w:tabs>
        <w:ind w:left="720"/>
        <w:jc w:val="both"/>
      </w:pPr>
    </w:p>
    <w:p w14:paraId="2CF22833" w14:textId="77777777" w:rsidR="009B5159" w:rsidRDefault="009B5159" w:rsidP="009B5159">
      <w:pPr>
        <w:pStyle w:val="TSHeadingNumbered1"/>
      </w:pPr>
      <w:bookmarkStart w:id="5" w:name="_Toc120870192"/>
      <w:r>
        <w:t>REFERENCES</w:t>
      </w:r>
      <w:bookmarkEnd w:id="5"/>
    </w:p>
    <w:p w14:paraId="60FCEA31" w14:textId="77777777" w:rsidR="00240176" w:rsidRDefault="006A7C1E" w:rsidP="0070241D">
      <w:pPr>
        <w:pStyle w:val="ListParagraph"/>
        <w:numPr>
          <w:ilvl w:val="0"/>
          <w:numId w:val="19"/>
        </w:numPr>
        <w:rPr>
          <w:rStyle w:val="TSExampleText"/>
          <w:i w:val="0"/>
          <w:color w:val="auto"/>
        </w:rPr>
      </w:pPr>
      <w:r w:rsidRPr="0070241D">
        <w:rPr>
          <w:rStyle w:val="TSExampleText"/>
          <w:i w:val="0"/>
          <w:color w:val="auto"/>
        </w:rPr>
        <w:t xml:space="preserve">Licence condition handbook.  </w:t>
      </w:r>
    </w:p>
    <w:p w14:paraId="61B14672" w14:textId="77777777" w:rsidR="00240176" w:rsidRDefault="006A7C1E" w:rsidP="00240176">
      <w:pPr>
        <w:pStyle w:val="ListParagraph"/>
      </w:pPr>
      <w:r w:rsidRPr="0070241D">
        <w:rPr>
          <w:rStyle w:val="TSExampleText"/>
          <w:i w:val="0"/>
          <w:color w:val="auto"/>
        </w:rPr>
        <w:t>Office for Nuclear Regulation</w:t>
      </w:r>
      <w:r w:rsidR="00BA17B3" w:rsidRPr="0070241D">
        <w:rPr>
          <w:rStyle w:val="TSExampleText"/>
          <w:i w:val="0"/>
          <w:color w:val="auto"/>
        </w:rPr>
        <w:t xml:space="preserve"> Web site.</w:t>
      </w:r>
      <w:r w:rsidR="002F2854" w:rsidRPr="002F2854">
        <w:t xml:space="preserve"> </w:t>
      </w:r>
    </w:p>
    <w:p w14:paraId="68E86BC9" w14:textId="77777777" w:rsidR="009B5159" w:rsidRPr="00FC734B" w:rsidRDefault="002F2854" w:rsidP="00FC734B">
      <w:pPr>
        <w:ind w:left="720"/>
        <w:rPr>
          <w:rStyle w:val="Hyperlink"/>
          <w:rFonts w:cs="Arial"/>
          <w:iCs/>
          <w:sz w:val="23"/>
          <w:szCs w:val="23"/>
        </w:rPr>
      </w:pPr>
      <w:r w:rsidRPr="00FC734B">
        <w:rPr>
          <w:rStyle w:val="Hyperlink"/>
          <w:rFonts w:cs="Arial"/>
          <w:sz w:val="23"/>
          <w:szCs w:val="23"/>
        </w:rPr>
        <w:t>http://www.onr.org.uk/</w:t>
      </w:r>
    </w:p>
    <w:p w14:paraId="377BFF32" w14:textId="77777777" w:rsidR="006A7C1E" w:rsidRDefault="006A7C1E" w:rsidP="006A7C1E">
      <w:pPr>
        <w:ind w:left="720"/>
        <w:rPr>
          <w:rStyle w:val="TSExampleText"/>
          <w:i w:val="0"/>
          <w:color w:val="auto"/>
        </w:rPr>
      </w:pPr>
    </w:p>
    <w:p w14:paraId="2AFA00B3" w14:textId="77777777" w:rsidR="0070241D" w:rsidRDefault="006A7C1E" w:rsidP="0070241D">
      <w:pPr>
        <w:pStyle w:val="ListParagraph"/>
        <w:numPr>
          <w:ilvl w:val="0"/>
          <w:numId w:val="19"/>
        </w:numPr>
        <w:rPr>
          <w:rStyle w:val="TSExampleText"/>
          <w:i w:val="0"/>
          <w:color w:val="auto"/>
        </w:rPr>
      </w:pPr>
      <w:r>
        <w:rPr>
          <w:rStyle w:val="TSExampleText"/>
          <w:i w:val="0"/>
          <w:color w:val="auto"/>
        </w:rPr>
        <w:t>Safety Assessment Pri</w:t>
      </w:r>
      <w:r w:rsidR="0070241D">
        <w:rPr>
          <w:rStyle w:val="TSExampleText"/>
          <w:i w:val="0"/>
          <w:color w:val="auto"/>
        </w:rPr>
        <w:t>nciples for Nuclear Facilities.</w:t>
      </w:r>
    </w:p>
    <w:p w14:paraId="53F99D35" w14:textId="77777777" w:rsidR="0070241D" w:rsidRDefault="002C3CBA" w:rsidP="0070241D">
      <w:pPr>
        <w:ind w:firstLine="720"/>
        <w:rPr>
          <w:rStyle w:val="TSExampleText"/>
          <w:i w:val="0"/>
          <w:color w:val="auto"/>
        </w:rPr>
      </w:pPr>
      <w:r w:rsidRPr="0070241D">
        <w:rPr>
          <w:rStyle w:val="TSExampleText"/>
          <w:i w:val="0"/>
          <w:color w:val="auto"/>
        </w:rPr>
        <w:t>Office for Nuclear Regulation Web Site</w:t>
      </w:r>
      <w:r w:rsidR="0070241D">
        <w:rPr>
          <w:rStyle w:val="TSExampleText"/>
          <w:i w:val="0"/>
          <w:color w:val="auto"/>
        </w:rPr>
        <w:t xml:space="preserve">      </w:t>
      </w:r>
    </w:p>
    <w:p w14:paraId="2A10CD5A" w14:textId="77777777" w:rsidR="002C3CBA" w:rsidRPr="00FC734B" w:rsidRDefault="002C3CBA" w:rsidP="00FC734B">
      <w:pPr>
        <w:ind w:left="720"/>
        <w:rPr>
          <w:rStyle w:val="Hyperlink"/>
          <w:rFonts w:cs="Arial"/>
          <w:iCs/>
          <w:sz w:val="23"/>
          <w:szCs w:val="23"/>
        </w:rPr>
      </w:pPr>
      <w:r w:rsidRPr="00FC734B">
        <w:rPr>
          <w:rStyle w:val="Hyperlink"/>
          <w:rFonts w:cs="Arial"/>
          <w:sz w:val="23"/>
          <w:szCs w:val="23"/>
        </w:rPr>
        <w:t>http://www.onr.org.uk/</w:t>
      </w:r>
    </w:p>
    <w:p w14:paraId="61A2BA07" w14:textId="77777777" w:rsidR="006A7C1E" w:rsidRDefault="006A7C1E" w:rsidP="00654474">
      <w:pPr>
        <w:ind w:left="720"/>
        <w:rPr>
          <w:rStyle w:val="TSExampleText"/>
          <w:i w:val="0"/>
          <w:color w:val="auto"/>
        </w:rPr>
      </w:pPr>
    </w:p>
    <w:p w14:paraId="1527EDD3" w14:textId="6A388EAB" w:rsidR="00FC734B" w:rsidRPr="005C2198" w:rsidRDefault="00FC734B" w:rsidP="005C2198">
      <w:pPr>
        <w:pStyle w:val="ListParagraph"/>
        <w:numPr>
          <w:ilvl w:val="0"/>
          <w:numId w:val="19"/>
        </w:numPr>
        <w:rPr>
          <w:rStyle w:val="Hyperlink"/>
          <w:rFonts w:cs="Arial"/>
          <w:color w:val="auto"/>
          <w:sz w:val="23"/>
          <w:szCs w:val="23"/>
          <w:u w:val="none"/>
        </w:rPr>
      </w:pPr>
      <w:r>
        <w:rPr>
          <w:rStyle w:val="HTMLCite"/>
          <w:rFonts w:cs="Arial"/>
          <w:color w:val="auto"/>
          <w:sz w:val="23"/>
          <w:szCs w:val="23"/>
        </w:rPr>
        <w:t>WENRA Safety Reference Levels for New Reactors: 2014</w:t>
      </w:r>
      <w:r w:rsidR="005C2198">
        <w:rPr>
          <w:rStyle w:val="HTMLCite"/>
          <w:rFonts w:cs="Arial"/>
          <w:color w:val="auto"/>
          <w:sz w:val="23"/>
          <w:szCs w:val="23"/>
        </w:rPr>
        <w:t>.</w:t>
      </w:r>
    </w:p>
    <w:p w14:paraId="37DB6715" w14:textId="77777777" w:rsidR="00FC734B" w:rsidRPr="00FC734B" w:rsidRDefault="00FC734B" w:rsidP="00FC734B">
      <w:pPr>
        <w:ind w:left="720"/>
        <w:rPr>
          <w:rStyle w:val="Hyperlink"/>
          <w:rFonts w:cs="Arial"/>
          <w:iCs/>
          <w:sz w:val="23"/>
          <w:szCs w:val="23"/>
        </w:rPr>
      </w:pPr>
    </w:p>
    <w:p w14:paraId="770E69A4" w14:textId="77777777" w:rsidR="0079672F" w:rsidRDefault="0079672F" w:rsidP="0070241D">
      <w:pPr>
        <w:pStyle w:val="ListParagraph"/>
        <w:numPr>
          <w:ilvl w:val="0"/>
          <w:numId w:val="19"/>
        </w:numPr>
        <w:rPr>
          <w:rStyle w:val="TSExampleText"/>
          <w:i w:val="0"/>
          <w:color w:val="auto"/>
        </w:rPr>
      </w:pPr>
      <w:r>
        <w:rPr>
          <w:rStyle w:val="TSExampleText"/>
          <w:i w:val="0"/>
          <w:color w:val="auto"/>
        </w:rPr>
        <w:t>IAEA Specific Safety Guide SSG-</w:t>
      </w:r>
      <w:r w:rsidR="002C3CBA">
        <w:rPr>
          <w:rStyle w:val="TSExampleText"/>
          <w:i w:val="0"/>
          <w:color w:val="auto"/>
        </w:rPr>
        <w:t>39</w:t>
      </w:r>
      <w:r w:rsidR="0070241D">
        <w:rPr>
          <w:rStyle w:val="TSExampleText"/>
          <w:i w:val="0"/>
          <w:color w:val="auto"/>
        </w:rPr>
        <w:t xml:space="preserve"> </w:t>
      </w:r>
      <w:r>
        <w:rPr>
          <w:rStyle w:val="TSExampleText"/>
          <w:i w:val="0"/>
          <w:color w:val="auto"/>
        </w:rPr>
        <w:t>Design of Instrumentation and Control Systems for Nuclear Power Plant.</w:t>
      </w:r>
    </w:p>
    <w:p w14:paraId="7EF7B0AF" w14:textId="16C623BE" w:rsidR="002C3CBA" w:rsidRDefault="00310B76" w:rsidP="006A7C1E">
      <w:pPr>
        <w:ind w:left="720"/>
        <w:rPr>
          <w:rStyle w:val="Hyperlink"/>
          <w:rFonts w:cs="Arial"/>
          <w:sz w:val="23"/>
          <w:szCs w:val="23"/>
        </w:rPr>
      </w:pPr>
      <w:hyperlink r:id="rId16" w:history="1">
        <w:r w:rsidR="00FC734B" w:rsidRPr="00EB2768">
          <w:rPr>
            <w:rStyle w:val="Hyperlink"/>
            <w:rFonts w:cs="Arial"/>
            <w:sz w:val="23"/>
            <w:szCs w:val="23"/>
          </w:rPr>
          <w:t>https://www.</w:t>
        </w:r>
        <w:r w:rsidR="00FC734B" w:rsidRPr="00EB2768">
          <w:rPr>
            <w:rStyle w:val="Hyperlink"/>
            <w:rFonts w:cs="Arial"/>
            <w:bCs/>
            <w:sz w:val="23"/>
            <w:szCs w:val="23"/>
          </w:rPr>
          <w:t>iaea</w:t>
        </w:r>
        <w:r w:rsidR="00FC734B" w:rsidRPr="00EB2768">
          <w:rPr>
            <w:rStyle w:val="Hyperlink"/>
            <w:rFonts w:cs="Arial"/>
            <w:sz w:val="23"/>
            <w:szCs w:val="23"/>
          </w:rPr>
          <w:t>.org</w:t>
        </w:r>
      </w:hyperlink>
    </w:p>
    <w:p w14:paraId="4A55FFE6" w14:textId="6046E628" w:rsidR="005C2198" w:rsidRDefault="005C2198" w:rsidP="006A7C1E">
      <w:pPr>
        <w:ind w:left="720"/>
        <w:rPr>
          <w:rStyle w:val="Hyperlink"/>
          <w:rFonts w:cs="Arial"/>
          <w:sz w:val="23"/>
          <w:szCs w:val="23"/>
        </w:rPr>
      </w:pPr>
    </w:p>
    <w:p w14:paraId="1AF870F0" w14:textId="481169F3" w:rsidR="005C2198" w:rsidRDefault="005C2198" w:rsidP="006A7C1E">
      <w:pPr>
        <w:ind w:left="720"/>
        <w:rPr>
          <w:rStyle w:val="Hyperlink"/>
          <w:rFonts w:cs="Arial"/>
          <w:sz w:val="23"/>
          <w:szCs w:val="23"/>
        </w:rPr>
      </w:pPr>
    </w:p>
    <w:p w14:paraId="5F1A630C" w14:textId="1256A00C" w:rsidR="005C2198" w:rsidRDefault="005C2198" w:rsidP="006A7C1E">
      <w:pPr>
        <w:ind w:left="720"/>
        <w:rPr>
          <w:rStyle w:val="Hyperlink"/>
          <w:rFonts w:cs="Arial"/>
          <w:sz w:val="23"/>
          <w:szCs w:val="23"/>
        </w:rPr>
      </w:pPr>
    </w:p>
    <w:p w14:paraId="2046BA49" w14:textId="546558C3" w:rsidR="005C2198" w:rsidRDefault="005C2198" w:rsidP="006A7C1E">
      <w:pPr>
        <w:ind w:left="720"/>
        <w:rPr>
          <w:rStyle w:val="Hyperlink"/>
          <w:rFonts w:cs="Arial"/>
          <w:sz w:val="23"/>
          <w:szCs w:val="23"/>
        </w:rPr>
      </w:pPr>
    </w:p>
    <w:p w14:paraId="4F0B0D4D" w14:textId="77777777" w:rsidR="005C2198" w:rsidRDefault="005C2198" w:rsidP="006A7C1E">
      <w:pPr>
        <w:ind w:left="720"/>
        <w:rPr>
          <w:rStyle w:val="HTMLCite"/>
          <w:rFonts w:cs="Arial"/>
          <w:color w:val="auto"/>
          <w:sz w:val="23"/>
          <w:szCs w:val="23"/>
        </w:rPr>
      </w:pPr>
    </w:p>
    <w:p w14:paraId="7F42305E" w14:textId="77777777" w:rsidR="00FC734B" w:rsidRDefault="00FC734B" w:rsidP="006A7C1E">
      <w:pPr>
        <w:ind w:left="720"/>
        <w:rPr>
          <w:rStyle w:val="HTMLCite"/>
          <w:rFonts w:cs="Arial"/>
          <w:color w:val="auto"/>
          <w:sz w:val="23"/>
          <w:szCs w:val="23"/>
        </w:rPr>
      </w:pPr>
    </w:p>
    <w:p w14:paraId="29467DA9" w14:textId="77777777" w:rsidR="009B5159" w:rsidRDefault="009B5159" w:rsidP="009B5159"/>
    <w:p w14:paraId="104F8B72" w14:textId="77777777" w:rsidR="009B5159" w:rsidRDefault="009B5159" w:rsidP="009B5159">
      <w:pPr>
        <w:pStyle w:val="TSHeadingNumbered1"/>
      </w:pPr>
      <w:bookmarkStart w:id="6" w:name="_Toc120870193"/>
      <w:r>
        <w:t>GLOSSARY AND ABBREVIATIONS</w:t>
      </w:r>
      <w:bookmarkEnd w:id="6"/>
      <w:r>
        <w:t xml:space="preserve"> </w:t>
      </w:r>
    </w:p>
    <w:p w14:paraId="56A56017" w14:textId="77777777" w:rsidR="00144599" w:rsidRDefault="00144599" w:rsidP="00532D01">
      <w:pPr>
        <w:tabs>
          <w:tab w:val="left" w:pos="1440"/>
        </w:tabs>
        <w:spacing w:after="120"/>
      </w:pPr>
      <w:r>
        <w:t>ALARP</w:t>
      </w:r>
      <w:r>
        <w:tab/>
        <w:t>As Low As Reasonably Practicable</w:t>
      </w:r>
    </w:p>
    <w:p w14:paraId="21643DBB" w14:textId="77777777" w:rsidR="00FC39DC" w:rsidRDefault="009B5159" w:rsidP="00532D01">
      <w:pPr>
        <w:tabs>
          <w:tab w:val="left" w:pos="1440"/>
        </w:tabs>
        <w:spacing w:after="120"/>
      </w:pPr>
      <w:r>
        <w:t>CCF</w:t>
      </w:r>
      <w:r>
        <w:tab/>
        <w:t>Common Cause Failure</w:t>
      </w:r>
    </w:p>
    <w:p w14:paraId="1DA0ED93" w14:textId="77777777" w:rsidR="009B5159" w:rsidRDefault="00E1146C" w:rsidP="00532D01">
      <w:pPr>
        <w:tabs>
          <w:tab w:val="left" w:pos="1440"/>
        </w:tabs>
        <w:spacing w:after="120"/>
      </w:pPr>
      <w:r>
        <w:t>C&amp;I</w:t>
      </w:r>
      <w:r>
        <w:tab/>
        <w:t>Control and Instrumentation</w:t>
      </w:r>
    </w:p>
    <w:p w14:paraId="41C6F48C" w14:textId="77777777" w:rsidR="009B5159" w:rsidRDefault="009B5159" w:rsidP="00532D01">
      <w:pPr>
        <w:tabs>
          <w:tab w:val="left" w:pos="1440"/>
        </w:tabs>
        <w:spacing w:after="120"/>
      </w:pPr>
      <w:r>
        <w:t>IAEA</w:t>
      </w:r>
      <w:r>
        <w:tab/>
        <w:t>International Atomic Energy Agency</w:t>
      </w:r>
    </w:p>
    <w:p w14:paraId="08A07807" w14:textId="77777777" w:rsidR="008E4BAB" w:rsidRDefault="008E4BAB" w:rsidP="00532D01">
      <w:pPr>
        <w:tabs>
          <w:tab w:val="left" w:pos="1440"/>
        </w:tabs>
        <w:spacing w:after="120"/>
      </w:pPr>
      <w:r>
        <w:t>MS</w:t>
      </w:r>
      <w:r>
        <w:tab/>
        <w:t>Management System</w:t>
      </w:r>
    </w:p>
    <w:p w14:paraId="0F295DDE" w14:textId="77777777" w:rsidR="006A7C1E" w:rsidRDefault="00240176" w:rsidP="00532D01">
      <w:pPr>
        <w:tabs>
          <w:tab w:val="left" w:pos="1440"/>
        </w:tabs>
        <w:spacing w:after="120"/>
      </w:pPr>
      <w:r>
        <w:t>ONR</w:t>
      </w:r>
      <w:r>
        <w:tab/>
        <w:t>Office f</w:t>
      </w:r>
      <w:r w:rsidR="006A7C1E">
        <w:t>or Nuclear Regulation</w:t>
      </w:r>
    </w:p>
    <w:p w14:paraId="4102BF67" w14:textId="77777777" w:rsidR="009B5159" w:rsidRDefault="009B5159" w:rsidP="00532D01">
      <w:pPr>
        <w:tabs>
          <w:tab w:val="left" w:pos="1440"/>
        </w:tabs>
        <w:spacing w:after="120"/>
      </w:pPr>
      <w:r>
        <w:t>SAP</w:t>
      </w:r>
      <w:r>
        <w:tab/>
        <w:t xml:space="preserve">Safety Assessment Principle(s) </w:t>
      </w:r>
    </w:p>
    <w:p w14:paraId="21759D46" w14:textId="77777777" w:rsidR="006A7C1E" w:rsidRDefault="006A7C1E" w:rsidP="00532D01">
      <w:pPr>
        <w:tabs>
          <w:tab w:val="left" w:pos="1440"/>
        </w:tabs>
        <w:spacing w:after="120"/>
      </w:pPr>
      <w:r>
        <w:t>SCC</w:t>
      </w:r>
      <w:r>
        <w:tab/>
        <w:t>Structures, Systems and Components</w:t>
      </w:r>
    </w:p>
    <w:p w14:paraId="381F4B84" w14:textId="77777777" w:rsidR="00AF12D6" w:rsidRDefault="00AF12D6" w:rsidP="00532D01">
      <w:pPr>
        <w:tabs>
          <w:tab w:val="left" w:pos="1440"/>
        </w:tabs>
        <w:spacing w:after="120"/>
      </w:pPr>
      <w:r>
        <w:t>QA</w:t>
      </w:r>
      <w:r>
        <w:tab/>
        <w:t>Quality Assurance</w:t>
      </w:r>
    </w:p>
    <w:p w14:paraId="23A0CC90" w14:textId="77777777" w:rsidR="00AF12D6" w:rsidRDefault="009B5159" w:rsidP="00532D01">
      <w:pPr>
        <w:tabs>
          <w:tab w:val="left" w:pos="1440"/>
        </w:tabs>
        <w:spacing w:after="120"/>
      </w:pPr>
      <w:r>
        <w:t>TAG</w:t>
      </w:r>
      <w:r>
        <w:tab/>
        <w:t>Technical Assessment Guide(s)</w:t>
      </w:r>
    </w:p>
    <w:p w14:paraId="6AD48055" w14:textId="77777777" w:rsidR="009B5159" w:rsidRDefault="009B5159" w:rsidP="00532D01">
      <w:pPr>
        <w:tabs>
          <w:tab w:val="left" w:pos="1440"/>
        </w:tabs>
        <w:spacing w:after="120"/>
      </w:pPr>
      <w:r>
        <w:t>WENRA</w:t>
      </w:r>
      <w:r>
        <w:tab/>
        <w:t>Western European Nuclear Regulators’ Association</w:t>
      </w:r>
    </w:p>
    <w:p w14:paraId="754C3CC7" w14:textId="77777777" w:rsidR="009B5159" w:rsidRDefault="009B5159" w:rsidP="009B5159"/>
    <w:p w14:paraId="08C4A0E6" w14:textId="77777777" w:rsidR="009B5159" w:rsidRDefault="009B5159" w:rsidP="009B5159"/>
    <w:p w14:paraId="7A5D3BBE" w14:textId="77777777" w:rsidR="00B43C54" w:rsidRDefault="00B43C54" w:rsidP="00B43C54"/>
    <w:sectPr w:rsidR="00B43C54" w:rsidSect="00EA5EB4">
      <w:type w:val="continuous"/>
      <w:pgSz w:w="11906" w:h="16838" w:code="9"/>
      <w:pgMar w:top="1134" w:right="1134" w:bottom="1134" w:left="1588" w:header="431"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2"/>
    </wne:keymap>
    <wne:keymap wne:kcmPrimary="0077">
      <wne:acd wne:acdName="acd3"/>
    </wne:keymap>
    <wne:keymap wne:kcmPrimary="0078">
      <wne:acd wne:acdName="acd4"/>
    </wne:keymap>
    <wne:keymap wne:kcmPrimary="0079">
      <wne:acd wne:acdName="acd5"/>
    </wne:keymap>
    <wne:keymap wne:kcmPrimary="007A">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UAFMAIABIAGUAYQBkAGkAbgBnACAATgB1AG0AYgBlAHIAZQBkACAAMQA=" wne:acdName="acd0" wne:fciIndexBasedOn="0065"/>
    <wne:acd wne:argValue="AgBUAFMAIABIAGUAYQBkAGkAbgBnACAATgB1AG0AYgBlAHIAZQBkACAAMQAuADEA" wne:acdName="acd1" wne:fciIndexBasedOn="0065"/>
    <wne:acd wne:argValue="AgBUAFMAIABIAGUAYQBkAGkAbgBnACAATgB1AG0AYgBlAHIAZQBkACAAMQAuADEALgAxAA==" wne:acdName="acd2" wne:fciIndexBasedOn="0065"/>
    <wne:acd wne:argValue="AgBUAFMAIABIAGUAYQBkAGkAbgBnACAATgB1AG0AYgBlAHIAZQBkACAAMQAuADEALgAxAC4AMQA=" wne:acdName="acd3" wne:fciIndexBasedOn="0065"/>
    <wne:acd wne:argValue="AgBUAFMAIABOAHUAbQBiAGUAcgBlAGQAIABQAGEAcgBhAGcAcgBhAHAAaAAgADEALgAxAA==" wne:acdName="acd4" wne:fciIndexBasedOn="0065"/>
    <wne:acd wne:argValue="AgBUAFMAIABCAHUAbABsAGUAdAAgADEAIABTAHEAdQBhAHIAZQA=" wne:acdName="acd5" wne:fciIndexBasedOn="0065"/>
    <wne:acd wne:argValue="AgBUAFMAIABCAHUAbABsAGUAdAAgADIAIABDAGkAcgBjAGwAZ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3A97" w14:textId="77777777" w:rsidR="00D92B38" w:rsidRDefault="00D92B38">
      <w:r>
        <w:separator/>
      </w:r>
    </w:p>
  </w:endnote>
  <w:endnote w:type="continuationSeparator" w:id="0">
    <w:p w14:paraId="5C47BFE5" w14:textId="77777777" w:rsidR="00D92B38" w:rsidRDefault="00D9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BA63" w14:textId="77777777" w:rsidR="005C2198" w:rsidRDefault="005C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EB64" w14:textId="77777777" w:rsidR="00985E68" w:rsidRDefault="00985E68" w:rsidP="00C810E7">
    <w:pPr>
      <w:pStyle w:val="Header"/>
      <w:rPr>
        <w:b/>
        <w:color w:val="006D68"/>
        <w:sz w:val="14"/>
        <w:szCs w:val="14"/>
      </w:rPr>
    </w:pPr>
  </w:p>
  <w:p w14:paraId="7CCD21E8" w14:textId="77777777" w:rsidR="00985E68" w:rsidRDefault="00985E68" w:rsidP="00985E68">
    <w:pPr>
      <w:pStyle w:val="Footer"/>
      <w:tabs>
        <w:tab w:val="clear" w:pos="4153"/>
        <w:tab w:val="clear" w:pos="8306"/>
        <w:tab w:val="right" w:pos="9214"/>
      </w:tabs>
      <w:jc w:val="center"/>
      <w:rPr>
        <w:color w:val="006D68"/>
        <w:sz w:val="14"/>
        <w:szCs w:val="14"/>
      </w:rPr>
    </w:pPr>
  </w:p>
  <w:p w14:paraId="649AC587" w14:textId="3CE727B4" w:rsidR="00A95FCF" w:rsidRPr="00FD170B" w:rsidRDefault="00A95FCF" w:rsidP="00487A22">
    <w:pPr>
      <w:pStyle w:val="Footer"/>
      <w:tabs>
        <w:tab w:val="clear" w:pos="4153"/>
        <w:tab w:val="clear" w:pos="8306"/>
        <w:tab w:val="right" w:pos="9214"/>
      </w:tabs>
      <w:rPr>
        <w:color w:val="006D68"/>
        <w:sz w:val="14"/>
        <w:szCs w:val="14"/>
        <w:lang w:val="fr-FR"/>
      </w:rPr>
    </w:pPr>
    <w:r>
      <w:rPr>
        <w:color w:val="006D68"/>
        <w:sz w:val="14"/>
        <w:szCs w:val="14"/>
        <w:lang w:val="fr-FR"/>
      </w:rPr>
      <w:t xml:space="preserve">Report </w:t>
    </w:r>
    <w:r w:rsidR="008B54CA">
      <w:rPr>
        <w:color w:val="006D68"/>
        <w:sz w:val="14"/>
        <w:szCs w:val="14"/>
        <w:lang w:val="fr-FR"/>
      </w:rPr>
      <w:t xml:space="preserve"> </w:t>
    </w:r>
    <w:r>
      <w:rPr>
        <w:color w:val="006D68"/>
        <w:sz w:val="14"/>
        <w:szCs w:val="14"/>
        <w:lang w:val="fr-FR"/>
      </w:rPr>
      <w:t>NS-TAST-GD-028</w:t>
    </w:r>
    <w:r w:rsidR="000230A7">
      <w:rPr>
        <w:color w:val="006D68"/>
        <w:sz w:val="14"/>
        <w:szCs w:val="14"/>
        <w:lang w:val="fr-FR"/>
      </w:rPr>
      <w:t xml:space="preserve"> </w:t>
    </w:r>
  </w:p>
  <w:p w14:paraId="2098BCD0" w14:textId="77777777" w:rsidR="003A0CCE" w:rsidRPr="00487A22" w:rsidRDefault="003F70E0" w:rsidP="00487A22">
    <w:pPr>
      <w:pStyle w:val="Footer"/>
      <w:tabs>
        <w:tab w:val="clear" w:pos="4153"/>
        <w:tab w:val="clear" w:pos="8306"/>
        <w:tab w:val="right" w:pos="9214"/>
      </w:tabs>
      <w:rPr>
        <w:b/>
        <w:color w:val="006D68"/>
        <w:sz w:val="14"/>
        <w:szCs w:val="14"/>
      </w:rPr>
    </w:pPr>
    <w:r>
      <w:rPr>
        <w:color w:val="006D68"/>
        <w:sz w:val="14"/>
        <w:szCs w:val="14"/>
        <w:lang w:val="fr-FR"/>
      </w:rPr>
      <w:t xml:space="preserve">CM9 </w:t>
    </w:r>
    <w:proofErr w:type="spellStart"/>
    <w:r w:rsidR="00A95FCF">
      <w:rPr>
        <w:color w:val="006D68"/>
        <w:sz w:val="14"/>
        <w:szCs w:val="14"/>
        <w:lang w:val="fr-FR"/>
      </w:rPr>
      <w:t>Ref</w:t>
    </w:r>
    <w:proofErr w:type="spellEnd"/>
    <w:r w:rsidR="00A95FCF">
      <w:rPr>
        <w:color w:val="006D68"/>
        <w:sz w:val="14"/>
        <w:szCs w:val="14"/>
        <w:lang w:val="fr-FR"/>
      </w:rPr>
      <w:t>: 201</w:t>
    </w:r>
    <w:r w:rsidR="00405297">
      <w:rPr>
        <w:color w:val="006D68"/>
        <w:sz w:val="14"/>
        <w:szCs w:val="14"/>
        <w:lang w:val="fr-FR"/>
      </w:rPr>
      <w:t>9/</w:t>
    </w:r>
    <w:r w:rsidR="000230A7">
      <w:rPr>
        <w:color w:val="006D68"/>
        <w:sz w:val="14"/>
        <w:szCs w:val="14"/>
        <w:lang w:val="fr-FR"/>
      </w:rPr>
      <w:t>312447</w:t>
    </w:r>
    <w:r w:rsidR="003A0CCE" w:rsidRPr="00FD170B">
      <w:rPr>
        <w:b/>
        <w:color w:val="006D68"/>
        <w:sz w:val="14"/>
        <w:szCs w:val="14"/>
        <w:lang w:val="fr-FR"/>
      </w:rPr>
      <w:tab/>
      <w:t xml:space="preserve">Page </w:t>
    </w:r>
    <w:r w:rsidR="003A0CCE" w:rsidRPr="00487A22">
      <w:rPr>
        <w:b/>
        <w:color w:val="006D68"/>
        <w:sz w:val="14"/>
        <w:szCs w:val="14"/>
      </w:rPr>
      <w:fldChar w:fldCharType="begin"/>
    </w:r>
    <w:r w:rsidR="003A0CCE" w:rsidRPr="00487A22">
      <w:rPr>
        <w:b/>
        <w:color w:val="006D68"/>
        <w:sz w:val="14"/>
        <w:szCs w:val="14"/>
      </w:rPr>
      <w:instrText xml:space="preserve"> PAGE </w:instrText>
    </w:r>
    <w:r w:rsidR="003A0CCE" w:rsidRPr="00487A22">
      <w:rPr>
        <w:b/>
        <w:color w:val="006D68"/>
        <w:sz w:val="14"/>
        <w:szCs w:val="14"/>
      </w:rPr>
      <w:fldChar w:fldCharType="separate"/>
    </w:r>
    <w:r w:rsidR="00C736AA">
      <w:rPr>
        <w:b/>
        <w:noProof/>
        <w:color w:val="006D68"/>
        <w:sz w:val="14"/>
        <w:szCs w:val="14"/>
      </w:rPr>
      <w:t>2</w:t>
    </w:r>
    <w:r w:rsidR="003A0CCE" w:rsidRPr="00487A22">
      <w:rPr>
        <w:b/>
        <w:color w:val="006D68"/>
        <w:sz w:val="14"/>
        <w:szCs w:val="14"/>
      </w:rPr>
      <w:fldChar w:fldCharType="end"/>
    </w:r>
    <w:r w:rsidR="003A0CCE" w:rsidRPr="00487A22">
      <w:rPr>
        <w:b/>
        <w:color w:val="006D68"/>
        <w:sz w:val="14"/>
        <w:szCs w:val="14"/>
      </w:rPr>
      <w:t xml:space="preserve"> of </w:t>
    </w:r>
    <w:r w:rsidR="003A0CCE" w:rsidRPr="00487A22">
      <w:rPr>
        <w:b/>
        <w:color w:val="006D68"/>
        <w:sz w:val="14"/>
        <w:szCs w:val="14"/>
      </w:rPr>
      <w:fldChar w:fldCharType="begin"/>
    </w:r>
    <w:r w:rsidR="003A0CCE" w:rsidRPr="00487A22">
      <w:rPr>
        <w:b/>
        <w:color w:val="006D68"/>
        <w:sz w:val="14"/>
        <w:szCs w:val="14"/>
      </w:rPr>
      <w:instrText xml:space="preserve"> NUMPAGES </w:instrText>
    </w:r>
    <w:r w:rsidR="003A0CCE" w:rsidRPr="00487A22">
      <w:rPr>
        <w:b/>
        <w:color w:val="006D68"/>
        <w:sz w:val="14"/>
        <w:szCs w:val="14"/>
      </w:rPr>
      <w:fldChar w:fldCharType="separate"/>
    </w:r>
    <w:r w:rsidR="00C736AA">
      <w:rPr>
        <w:b/>
        <w:noProof/>
        <w:color w:val="006D68"/>
        <w:sz w:val="14"/>
        <w:szCs w:val="14"/>
      </w:rPr>
      <w:t>9</w:t>
    </w:r>
    <w:r w:rsidR="003A0CCE" w:rsidRPr="00487A22">
      <w:rPr>
        <w:b/>
        <w:color w:val="006D6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EFC8" w14:textId="3E3AFEF0" w:rsidR="003A0CCE" w:rsidRPr="00B56CCE" w:rsidRDefault="006A7C1E" w:rsidP="00B56CCE">
    <w:pPr>
      <w:pStyle w:val="Footer"/>
      <w:tabs>
        <w:tab w:val="clear" w:pos="4153"/>
        <w:tab w:val="clear" w:pos="8306"/>
        <w:tab w:val="right" w:pos="9214"/>
      </w:tabs>
      <w:rPr>
        <w:b/>
        <w:color w:val="006D68"/>
        <w:sz w:val="14"/>
        <w:szCs w:val="14"/>
      </w:rPr>
    </w:pPr>
    <w:r>
      <w:rPr>
        <w:color w:val="006D68"/>
        <w:sz w:val="14"/>
        <w:szCs w:val="14"/>
      </w:rPr>
      <w:t>N</w:t>
    </w:r>
    <w:r w:rsidR="00405297">
      <w:rPr>
        <w:color w:val="006D68"/>
        <w:sz w:val="14"/>
        <w:szCs w:val="14"/>
      </w:rPr>
      <w:t>S-TAST-GD-028</w:t>
    </w:r>
    <w:r w:rsidR="003A0CCE" w:rsidRPr="00B56CCE">
      <w:rPr>
        <w:color w:val="006D68"/>
        <w:sz w:val="14"/>
        <w:szCs w:val="14"/>
      </w:rPr>
      <w:tab/>
    </w:r>
    <w:r w:rsidR="003A0CCE" w:rsidRPr="00B56CCE">
      <w:rPr>
        <w:b/>
        <w:color w:val="006D68"/>
        <w:sz w:val="14"/>
        <w:szCs w:val="14"/>
      </w:rPr>
      <w:t xml:space="preserve">Page </w:t>
    </w:r>
    <w:r w:rsidR="003A0CCE" w:rsidRPr="00B56CCE">
      <w:rPr>
        <w:b/>
        <w:color w:val="006D68"/>
        <w:sz w:val="14"/>
        <w:szCs w:val="14"/>
      </w:rPr>
      <w:fldChar w:fldCharType="begin"/>
    </w:r>
    <w:r w:rsidR="003A0CCE" w:rsidRPr="00B56CCE">
      <w:rPr>
        <w:b/>
        <w:color w:val="006D68"/>
        <w:sz w:val="14"/>
        <w:szCs w:val="14"/>
      </w:rPr>
      <w:instrText xml:space="preserve"> PAGE </w:instrText>
    </w:r>
    <w:r w:rsidR="003A0CCE" w:rsidRPr="00B56CCE">
      <w:rPr>
        <w:b/>
        <w:color w:val="006D68"/>
        <w:sz w:val="14"/>
        <w:szCs w:val="14"/>
      </w:rPr>
      <w:fldChar w:fldCharType="separate"/>
    </w:r>
    <w:r w:rsidR="00C946BF">
      <w:rPr>
        <w:b/>
        <w:noProof/>
        <w:color w:val="006D68"/>
        <w:sz w:val="14"/>
        <w:szCs w:val="14"/>
      </w:rPr>
      <w:t>1</w:t>
    </w:r>
    <w:r w:rsidR="003A0CCE" w:rsidRPr="00B56CCE">
      <w:rPr>
        <w:b/>
        <w:color w:val="006D68"/>
        <w:sz w:val="14"/>
        <w:szCs w:val="14"/>
      </w:rPr>
      <w:fldChar w:fldCharType="end"/>
    </w:r>
    <w:r w:rsidR="003A0CCE" w:rsidRPr="00B56CCE">
      <w:rPr>
        <w:b/>
        <w:color w:val="006D68"/>
        <w:sz w:val="14"/>
        <w:szCs w:val="14"/>
      </w:rPr>
      <w:t xml:space="preserve"> of </w:t>
    </w:r>
    <w:r w:rsidR="003A0CCE" w:rsidRPr="00B56CCE">
      <w:rPr>
        <w:b/>
        <w:color w:val="006D68"/>
        <w:sz w:val="14"/>
        <w:szCs w:val="14"/>
      </w:rPr>
      <w:fldChar w:fldCharType="begin"/>
    </w:r>
    <w:r w:rsidR="003A0CCE" w:rsidRPr="00B56CCE">
      <w:rPr>
        <w:b/>
        <w:color w:val="006D68"/>
        <w:sz w:val="14"/>
        <w:szCs w:val="14"/>
      </w:rPr>
      <w:instrText xml:space="preserve"> NUMPAGES </w:instrText>
    </w:r>
    <w:r w:rsidR="003A0CCE" w:rsidRPr="00B56CCE">
      <w:rPr>
        <w:b/>
        <w:color w:val="006D68"/>
        <w:sz w:val="14"/>
        <w:szCs w:val="14"/>
      </w:rPr>
      <w:fldChar w:fldCharType="separate"/>
    </w:r>
    <w:r w:rsidR="00C946BF">
      <w:rPr>
        <w:b/>
        <w:noProof/>
        <w:color w:val="006D68"/>
        <w:sz w:val="14"/>
        <w:szCs w:val="14"/>
      </w:rPr>
      <w:t>9</w:t>
    </w:r>
    <w:r w:rsidR="003A0CCE" w:rsidRPr="00B56CCE">
      <w:rPr>
        <w:b/>
        <w:color w:val="006D6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3629" w14:textId="77777777" w:rsidR="00D92B38" w:rsidRDefault="00D92B38">
      <w:r>
        <w:separator/>
      </w:r>
    </w:p>
  </w:footnote>
  <w:footnote w:type="continuationSeparator" w:id="0">
    <w:p w14:paraId="3EFAB339" w14:textId="77777777" w:rsidR="00D92B38" w:rsidRDefault="00D9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D462" w14:textId="77777777" w:rsidR="005C2198" w:rsidRDefault="005C2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2072" w14:textId="77777777" w:rsidR="003A0CCE" w:rsidRDefault="003A0CCE">
    <w:pPr>
      <w:pStyle w:val="Header"/>
      <w:rPr>
        <w:b/>
        <w:color w:val="006D68"/>
        <w:sz w:val="14"/>
        <w:szCs w:val="14"/>
      </w:rPr>
    </w:pPr>
    <w:r w:rsidRPr="00487A22">
      <w:rPr>
        <w:color w:val="006D68"/>
        <w:sz w:val="14"/>
        <w:szCs w:val="14"/>
      </w:rPr>
      <w:t>Office for Nuclear Regulation</w:t>
    </w:r>
    <w:r w:rsidRPr="00B56CCE">
      <w:rPr>
        <w:b/>
        <w:color w:val="006D68"/>
        <w:sz w:val="14"/>
        <w:szCs w:val="14"/>
      </w:rPr>
      <w:t xml:space="preserve"> </w:t>
    </w:r>
  </w:p>
  <w:p w14:paraId="53AE8776" w14:textId="77777777" w:rsidR="003A0CCE" w:rsidRDefault="003A0CCE">
    <w:pPr>
      <w:pStyle w:val="Header"/>
      <w:rPr>
        <w:b/>
        <w:color w:val="006D68"/>
        <w:sz w:val="14"/>
        <w:szCs w:val="14"/>
      </w:rPr>
    </w:pPr>
  </w:p>
  <w:p w14:paraId="698F8FBC" w14:textId="77777777" w:rsidR="003A0CCE" w:rsidRDefault="003A0CCE">
    <w:pPr>
      <w:pStyle w:val="Header"/>
      <w:rPr>
        <w:b/>
        <w:color w:val="006D68"/>
        <w:sz w:val="14"/>
        <w:szCs w:val="14"/>
      </w:rPr>
    </w:pPr>
  </w:p>
  <w:p w14:paraId="4389FF48" w14:textId="77777777" w:rsidR="00FD170B" w:rsidRDefault="00FD170B" w:rsidP="00FD170B">
    <w:pPr>
      <w:pStyle w:val="Header"/>
      <w:jc w:val="center"/>
      <w:rPr>
        <w:b/>
        <w:color w:val="006D68"/>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37DD" w14:textId="77777777" w:rsidR="003A0CCE" w:rsidRDefault="003A0CCE" w:rsidP="00CA3B14">
    <w:pPr>
      <w:pStyle w:val="Header"/>
      <w:rPr>
        <w:b/>
        <w:color w:val="006D68"/>
        <w:sz w:val="14"/>
        <w:szCs w:val="14"/>
      </w:rPr>
    </w:pPr>
    <w:r w:rsidRPr="00CA3B14">
      <w:rPr>
        <w:b/>
        <w:color w:val="006D68"/>
        <w:sz w:val="14"/>
        <w:szCs w:val="14"/>
      </w:rPr>
      <w:t xml:space="preserve"> </w:t>
    </w:r>
    <w:r w:rsidRPr="00B56CCE">
      <w:rPr>
        <w:b/>
        <w:color w:val="006D68"/>
        <w:sz w:val="14"/>
        <w:szCs w:val="14"/>
      </w:rPr>
      <w:t xml:space="preserve">Title of </w:t>
    </w:r>
    <w:r>
      <w:rPr>
        <w:b/>
        <w:color w:val="006D68"/>
        <w:sz w:val="14"/>
        <w:szCs w:val="14"/>
      </w:rPr>
      <w:t>document</w:t>
    </w:r>
  </w:p>
  <w:p w14:paraId="7D3EE70F" w14:textId="77777777" w:rsidR="003A0CCE" w:rsidRDefault="003A0CCE" w:rsidP="00CA3B14">
    <w:pPr>
      <w:pStyle w:val="Header"/>
      <w:rPr>
        <w:b/>
        <w:color w:val="006D68"/>
        <w:sz w:val="14"/>
        <w:szCs w:val="14"/>
      </w:rPr>
    </w:pPr>
  </w:p>
  <w:p w14:paraId="7133191E" w14:textId="77777777" w:rsidR="003A0CCE" w:rsidRDefault="003A0CCE" w:rsidP="00CA3B14">
    <w:pPr>
      <w:pStyle w:val="Header"/>
      <w:rPr>
        <w:b/>
        <w:color w:val="006D68"/>
        <w:sz w:val="14"/>
        <w:szCs w:val="14"/>
      </w:rPr>
    </w:pPr>
  </w:p>
  <w:p w14:paraId="505778AD" w14:textId="77777777" w:rsidR="003A0CCE" w:rsidRDefault="003A0CCE" w:rsidP="00CA3B14">
    <w:pPr>
      <w:pStyle w:val="Header"/>
      <w:rPr>
        <w:b/>
        <w:color w:val="006D68"/>
        <w:sz w:val="14"/>
        <w:szCs w:val="14"/>
      </w:rPr>
    </w:pPr>
  </w:p>
  <w:p w14:paraId="46BD6A86" w14:textId="77777777" w:rsidR="003A0CCE" w:rsidRDefault="003A0CCE" w:rsidP="00CA3B14">
    <w:pPr>
      <w:pStyle w:val="Header"/>
      <w:rPr>
        <w:b/>
        <w:color w:val="006D68"/>
        <w:sz w:val="14"/>
        <w:szCs w:val="14"/>
      </w:rPr>
    </w:pPr>
  </w:p>
  <w:p w14:paraId="6BAC832C" w14:textId="77777777" w:rsidR="003A0CCE" w:rsidRDefault="003A0CCE" w:rsidP="00CA3B14">
    <w:pPr>
      <w:pStyle w:val="Header"/>
      <w:rPr>
        <w:b/>
        <w:color w:val="006D68"/>
        <w:sz w:val="14"/>
        <w:szCs w:val="14"/>
      </w:rPr>
    </w:pPr>
  </w:p>
  <w:p w14:paraId="54312FC9" w14:textId="77777777" w:rsidR="003A0CCE" w:rsidRDefault="003A0CCE" w:rsidP="00CA3B14">
    <w:pPr>
      <w:pStyle w:val="Header"/>
      <w:rPr>
        <w:b/>
        <w:color w:val="006D68"/>
        <w:sz w:val="14"/>
        <w:szCs w:val="14"/>
      </w:rPr>
    </w:pPr>
  </w:p>
  <w:p w14:paraId="7E031525" w14:textId="77777777" w:rsidR="00FD170B" w:rsidRDefault="00FD170B" w:rsidP="00A95FCF">
    <w:pPr>
      <w:pStyle w:val="Header"/>
      <w:rPr>
        <w:b/>
        <w:color w:val="006D68"/>
        <w:sz w:val="14"/>
        <w:szCs w:val="14"/>
      </w:rPr>
    </w:pPr>
  </w:p>
  <w:p w14:paraId="574F388E" w14:textId="77777777" w:rsidR="003A0CCE" w:rsidRPr="00D55197" w:rsidRDefault="004F38AE" w:rsidP="00CA3B14">
    <w:pPr>
      <w:pStyle w:val="Header"/>
      <w:jc w:val="center"/>
      <w:rPr>
        <w:b/>
        <w:color w:val="006D68"/>
        <w:sz w:val="14"/>
        <w:szCs w:val="14"/>
      </w:rPr>
    </w:pPr>
    <w:r>
      <w:rPr>
        <w:b/>
        <w:noProof/>
        <w:color w:val="006D68"/>
        <w:sz w:val="24"/>
        <w:szCs w:val="14"/>
        <w:lang w:eastAsia="en-GB"/>
      </w:rPr>
      <w:drawing>
        <wp:anchor distT="288290" distB="0" distL="288290" distR="114300" simplePos="0" relativeHeight="251657216" behindDoc="0" locked="0" layoutInCell="1" allowOverlap="0" wp14:anchorId="185CB2A0" wp14:editId="373D52BB">
          <wp:simplePos x="0" y="0"/>
          <wp:positionH relativeFrom="page">
            <wp:posOffset>288290</wp:posOffset>
          </wp:positionH>
          <wp:positionV relativeFrom="page">
            <wp:posOffset>252095</wp:posOffset>
          </wp:positionV>
          <wp:extent cx="6572250" cy="619125"/>
          <wp:effectExtent l="0" t="0" r="0" b="9525"/>
          <wp:wrapNone/>
          <wp:docPr id="4" name="Picture 4"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100261" b="23965"/>
                  <a:stretch>
                    <a:fillRect/>
                  </a:stretch>
                </pic:blipFill>
                <pic:spPr bwMode="auto">
                  <a:xfrm>
                    <a:off x="0" y="0"/>
                    <a:ext cx="6572250"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4A5"/>
    <w:multiLevelType w:val="hybridMultilevel"/>
    <w:tmpl w:val="ECCA9B40"/>
    <w:lvl w:ilvl="0" w:tplc="DD7C743A">
      <w:start w:val="1"/>
      <w:numFmt w:val="lowerLetter"/>
      <w:lvlText w:val="%1)"/>
      <w:lvlJc w:val="left"/>
      <w:pPr>
        <w:tabs>
          <w:tab w:val="num" w:pos="1152"/>
        </w:tabs>
        <w:ind w:left="1152" w:hanging="432"/>
      </w:pPr>
      <w:rPr>
        <w:rFonts w:ascii="Arial" w:hAnsi="Arial" w:hint="default"/>
        <w:sz w:val="24"/>
      </w:rPr>
    </w:lvl>
    <w:lvl w:ilvl="1" w:tplc="559489D2" w:tentative="1">
      <w:start w:val="1"/>
      <w:numFmt w:val="lowerLetter"/>
      <w:lvlText w:val="%2."/>
      <w:lvlJc w:val="left"/>
      <w:pPr>
        <w:tabs>
          <w:tab w:val="num" w:pos="1152"/>
        </w:tabs>
        <w:ind w:left="1152" w:hanging="360"/>
      </w:pPr>
    </w:lvl>
    <w:lvl w:ilvl="2" w:tplc="E144676C" w:tentative="1">
      <w:start w:val="1"/>
      <w:numFmt w:val="lowerRoman"/>
      <w:lvlText w:val="%3."/>
      <w:lvlJc w:val="right"/>
      <w:pPr>
        <w:tabs>
          <w:tab w:val="num" w:pos="1872"/>
        </w:tabs>
        <w:ind w:left="1872" w:hanging="180"/>
      </w:pPr>
    </w:lvl>
    <w:lvl w:ilvl="3" w:tplc="2BE8A7E2" w:tentative="1">
      <w:start w:val="1"/>
      <w:numFmt w:val="decimal"/>
      <w:lvlText w:val="%4."/>
      <w:lvlJc w:val="left"/>
      <w:pPr>
        <w:tabs>
          <w:tab w:val="num" w:pos="2592"/>
        </w:tabs>
        <w:ind w:left="2592" w:hanging="360"/>
      </w:pPr>
    </w:lvl>
    <w:lvl w:ilvl="4" w:tplc="03E8242E" w:tentative="1">
      <w:start w:val="1"/>
      <w:numFmt w:val="lowerLetter"/>
      <w:lvlText w:val="%5."/>
      <w:lvlJc w:val="left"/>
      <w:pPr>
        <w:tabs>
          <w:tab w:val="num" w:pos="3312"/>
        </w:tabs>
        <w:ind w:left="3312" w:hanging="360"/>
      </w:pPr>
    </w:lvl>
    <w:lvl w:ilvl="5" w:tplc="58042C86" w:tentative="1">
      <w:start w:val="1"/>
      <w:numFmt w:val="lowerRoman"/>
      <w:lvlText w:val="%6."/>
      <w:lvlJc w:val="right"/>
      <w:pPr>
        <w:tabs>
          <w:tab w:val="num" w:pos="4032"/>
        </w:tabs>
        <w:ind w:left="4032" w:hanging="180"/>
      </w:pPr>
    </w:lvl>
    <w:lvl w:ilvl="6" w:tplc="95F42686" w:tentative="1">
      <w:start w:val="1"/>
      <w:numFmt w:val="decimal"/>
      <w:lvlText w:val="%7."/>
      <w:lvlJc w:val="left"/>
      <w:pPr>
        <w:tabs>
          <w:tab w:val="num" w:pos="4752"/>
        </w:tabs>
        <w:ind w:left="4752" w:hanging="360"/>
      </w:pPr>
    </w:lvl>
    <w:lvl w:ilvl="7" w:tplc="32CAC66C" w:tentative="1">
      <w:start w:val="1"/>
      <w:numFmt w:val="lowerLetter"/>
      <w:lvlText w:val="%8."/>
      <w:lvlJc w:val="left"/>
      <w:pPr>
        <w:tabs>
          <w:tab w:val="num" w:pos="5472"/>
        </w:tabs>
        <w:ind w:left="5472" w:hanging="360"/>
      </w:pPr>
    </w:lvl>
    <w:lvl w:ilvl="8" w:tplc="AC34CEE0" w:tentative="1">
      <w:start w:val="1"/>
      <w:numFmt w:val="lowerRoman"/>
      <w:lvlText w:val="%9."/>
      <w:lvlJc w:val="right"/>
      <w:pPr>
        <w:tabs>
          <w:tab w:val="num" w:pos="6192"/>
        </w:tabs>
        <w:ind w:left="6192" w:hanging="180"/>
      </w:pPr>
    </w:lvl>
  </w:abstractNum>
  <w:abstractNum w:abstractNumId="1" w15:restartNumberingAfterBreak="0">
    <w:nsid w:val="056E78D7"/>
    <w:multiLevelType w:val="multilevel"/>
    <w:tmpl w:val="F4BC67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6A013E"/>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50EAD"/>
    <w:multiLevelType w:val="hybridMultilevel"/>
    <w:tmpl w:val="37D42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F22F6"/>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8D0730"/>
    <w:multiLevelType w:val="multilevel"/>
    <w:tmpl w:val="03CAB566"/>
    <w:lvl w:ilvl="0">
      <w:start w:val="1"/>
      <w:numFmt w:val="bullet"/>
      <w:lvlText w:val=""/>
      <w:lvlJc w:val="left"/>
      <w:pPr>
        <w:tabs>
          <w:tab w:val="num" w:pos="-31680"/>
        </w:tabs>
        <w:ind w:left="720" w:hanging="720"/>
      </w:pPr>
      <w:rPr>
        <w:rFonts w:ascii="Symbol" w:hAnsi="Symbol" w:hint="default"/>
        <w:b w:val="0"/>
        <w:i w:val="0"/>
        <w:sz w:val="24"/>
      </w:rPr>
    </w:lvl>
    <w:lvl w:ilvl="1">
      <w:start w:val="1"/>
      <w:numFmt w:val="bullet"/>
      <w:lvlText w:val="○"/>
      <w:lvlJc w:val="left"/>
      <w:pPr>
        <w:tabs>
          <w:tab w:val="num" w:pos="-31680"/>
        </w:tabs>
        <w:ind w:left="1440" w:hanging="720"/>
      </w:pPr>
      <w:rPr>
        <w:rFonts w:ascii="Arial" w:hAnsi="Aria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lowerLetter"/>
      <w:lvlRestart w:val="0"/>
      <w:lvlText w:val="%5)"/>
      <w:lvlJc w:val="left"/>
      <w:pPr>
        <w:tabs>
          <w:tab w:val="num" w:pos="1800"/>
        </w:tabs>
        <w:ind w:left="1800" w:hanging="720"/>
      </w:pPr>
      <w:rPr>
        <w:rFonts w:hint="default"/>
      </w:rPr>
    </w:lvl>
    <w:lvl w:ilvl="5">
      <w:start w:val="1"/>
      <w:numFmt w:val="lowerRoman"/>
      <w:lvlText w:val="%6)"/>
      <w:lvlJc w:val="left"/>
      <w:pPr>
        <w:tabs>
          <w:tab w:val="num" w:pos="2401"/>
        </w:tabs>
        <w:ind w:left="2401" w:hanging="601"/>
      </w:pPr>
      <w:rPr>
        <w:rFonts w:hint="default"/>
      </w:rPr>
    </w:lvl>
    <w:lvl w:ilvl="6">
      <w:start w:val="1"/>
      <w:numFmt w:val="bullet"/>
      <w:lvlText w:val=""/>
      <w:lvlJc w:val="left"/>
      <w:pPr>
        <w:tabs>
          <w:tab w:val="num" w:pos="360"/>
        </w:tabs>
        <w:ind w:left="1080" w:hanging="720"/>
      </w:pPr>
      <w:rPr>
        <w:rFonts w:ascii="Symbol" w:hAnsi="Symbol" w:hint="default"/>
        <w:sz w:val="24"/>
      </w:rPr>
    </w:lvl>
    <w:lvl w:ilvl="7">
      <w:start w:val="1"/>
      <w:numFmt w:val="bullet"/>
      <w:lvlText w:val=""/>
      <w:lvlJc w:val="left"/>
      <w:pPr>
        <w:tabs>
          <w:tab w:val="num" w:pos="1800"/>
        </w:tabs>
        <w:ind w:left="1800" w:hanging="720"/>
      </w:pPr>
      <w:rPr>
        <w:rFonts w:ascii="Symbol" w:hAnsi="Symbol" w:hint="default"/>
        <w:sz w:val="28"/>
      </w:rPr>
    </w:lvl>
    <w:lvl w:ilvl="8">
      <w:start w:val="1"/>
      <w:numFmt w:val="bullet"/>
      <w:lvlText w:val=""/>
      <w:lvlJc w:val="left"/>
      <w:pPr>
        <w:tabs>
          <w:tab w:val="num" w:pos="2401"/>
        </w:tabs>
        <w:ind w:left="2401" w:hanging="601"/>
      </w:pPr>
      <w:rPr>
        <w:rFonts w:ascii="Symbol" w:hAnsi="Symbol" w:hint="default"/>
        <w:sz w:val="28"/>
      </w:rPr>
    </w:lvl>
  </w:abstractNum>
  <w:abstractNum w:abstractNumId="7" w15:restartNumberingAfterBreak="0">
    <w:nsid w:val="29706A39"/>
    <w:multiLevelType w:val="multilevel"/>
    <w:tmpl w:val="E662C72E"/>
    <w:lvl w:ilvl="0">
      <w:start w:val="1"/>
      <w:numFmt w:val="decimal"/>
      <w:pStyle w:val="TSHeadingNumbered1"/>
      <w:lvlText w:val="%1."/>
      <w:lvlJc w:val="left"/>
      <w:pPr>
        <w:tabs>
          <w:tab w:val="num" w:pos="-31680"/>
        </w:tabs>
        <w:ind w:left="720" w:hanging="720"/>
      </w:pPr>
      <w:rPr>
        <w:rFonts w:hint="default"/>
        <w:sz w:val="22"/>
      </w:rPr>
    </w:lvl>
    <w:lvl w:ilvl="1">
      <w:start w:val="1"/>
      <w:numFmt w:val="decimal"/>
      <w:pStyle w:val="TSHeadingNumbered11"/>
      <w:lvlText w:val="%1.%2"/>
      <w:lvlJc w:val="left"/>
      <w:pPr>
        <w:tabs>
          <w:tab w:val="num" w:pos="-31680"/>
        </w:tabs>
        <w:ind w:left="720" w:hanging="720"/>
      </w:pPr>
      <w:rPr>
        <w:rFonts w:hint="default"/>
        <w:b w:val="0"/>
        <w:sz w:val="22"/>
      </w:rPr>
    </w:lvl>
    <w:lvl w:ilvl="2">
      <w:start w:val="1"/>
      <w:numFmt w:val="decimal"/>
      <w:pStyle w:val="TSHeadingNumbered111"/>
      <w:lvlText w:val="%1.%2.%3"/>
      <w:lvlJc w:val="left"/>
      <w:pPr>
        <w:tabs>
          <w:tab w:val="num" w:pos="-31680"/>
        </w:tabs>
        <w:ind w:left="720" w:hanging="720"/>
      </w:pPr>
      <w:rPr>
        <w:rFonts w:hint="default"/>
        <w:sz w:val="22"/>
      </w:rPr>
    </w:lvl>
    <w:lvl w:ilvl="3">
      <w:start w:val="1"/>
      <w:numFmt w:val="decimal"/>
      <w:pStyle w:val="TSHeadingNumbered1111"/>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D8A4674"/>
    <w:multiLevelType w:val="multilevel"/>
    <w:tmpl w:val="3858D28C"/>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26E5F7C"/>
    <w:multiLevelType w:val="multilevel"/>
    <w:tmpl w:val="23BC3426"/>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720" w:hanging="720"/>
      </w:pPr>
      <w:rPr>
        <w:rFonts w:hint="default"/>
      </w:rPr>
    </w:lvl>
    <w:lvl w:ilvl="2">
      <w:start w:val="1"/>
      <w:numFmt w:val="decimal"/>
      <w:lvlText w:val="%1.%2.%3"/>
      <w:lvlJc w:val="left"/>
      <w:pPr>
        <w:tabs>
          <w:tab w:val="num" w:pos="-31680"/>
        </w:tabs>
        <w:ind w:left="720" w:hanging="720"/>
      </w:pPr>
      <w:rPr>
        <w:rFonts w:hint="default"/>
      </w:rPr>
    </w:lvl>
    <w:lvl w:ilvl="3">
      <w:start w:val="1"/>
      <w:numFmt w:val="decimal"/>
      <w:lvlText w:val="%1.%2.%3.%4"/>
      <w:lvlJc w:val="left"/>
      <w:pPr>
        <w:tabs>
          <w:tab w:val="num" w:pos="-3168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7AE5F86"/>
    <w:multiLevelType w:val="hybridMultilevel"/>
    <w:tmpl w:val="BE869862"/>
    <w:lvl w:ilvl="0" w:tplc="0CA46EF4">
      <w:start w:val="1"/>
      <w:numFmt w:val="lowerRoman"/>
      <w:lvlText w:val="%1)"/>
      <w:lvlJc w:val="right"/>
      <w:pPr>
        <w:tabs>
          <w:tab w:val="num" w:pos="1656"/>
        </w:tabs>
        <w:ind w:left="1656" w:hanging="360"/>
      </w:pPr>
      <w:rPr>
        <w:rFonts w:ascii="Arial" w:hAnsi="Arial" w:hint="default"/>
        <w:b w:val="0"/>
        <w:i w:val="0"/>
        <w:sz w:val="24"/>
      </w:rPr>
    </w:lvl>
    <w:lvl w:ilvl="1" w:tplc="284EAE58" w:tentative="1">
      <w:start w:val="1"/>
      <w:numFmt w:val="lowerLetter"/>
      <w:lvlText w:val="%2."/>
      <w:lvlJc w:val="left"/>
      <w:pPr>
        <w:tabs>
          <w:tab w:val="num" w:pos="1440"/>
        </w:tabs>
        <w:ind w:left="1440" w:hanging="360"/>
      </w:pPr>
    </w:lvl>
    <w:lvl w:ilvl="2" w:tplc="EC5C3B40" w:tentative="1">
      <w:start w:val="1"/>
      <w:numFmt w:val="lowerRoman"/>
      <w:lvlText w:val="%3."/>
      <w:lvlJc w:val="right"/>
      <w:pPr>
        <w:tabs>
          <w:tab w:val="num" w:pos="2160"/>
        </w:tabs>
        <w:ind w:left="2160" w:hanging="180"/>
      </w:pPr>
    </w:lvl>
    <w:lvl w:ilvl="3" w:tplc="7A8A8FBC" w:tentative="1">
      <w:start w:val="1"/>
      <w:numFmt w:val="decimal"/>
      <w:lvlText w:val="%4."/>
      <w:lvlJc w:val="left"/>
      <w:pPr>
        <w:tabs>
          <w:tab w:val="num" w:pos="2880"/>
        </w:tabs>
        <w:ind w:left="2880" w:hanging="360"/>
      </w:pPr>
    </w:lvl>
    <w:lvl w:ilvl="4" w:tplc="C2D88370" w:tentative="1">
      <w:start w:val="1"/>
      <w:numFmt w:val="lowerLetter"/>
      <w:lvlText w:val="%5."/>
      <w:lvlJc w:val="left"/>
      <w:pPr>
        <w:tabs>
          <w:tab w:val="num" w:pos="3600"/>
        </w:tabs>
        <w:ind w:left="3600" w:hanging="360"/>
      </w:pPr>
    </w:lvl>
    <w:lvl w:ilvl="5" w:tplc="E3AE4C10" w:tentative="1">
      <w:start w:val="1"/>
      <w:numFmt w:val="lowerRoman"/>
      <w:lvlText w:val="%6."/>
      <w:lvlJc w:val="right"/>
      <w:pPr>
        <w:tabs>
          <w:tab w:val="num" w:pos="4320"/>
        </w:tabs>
        <w:ind w:left="4320" w:hanging="180"/>
      </w:pPr>
    </w:lvl>
    <w:lvl w:ilvl="6" w:tplc="61C8B400" w:tentative="1">
      <w:start w:val="1"/>
      <w:numFmt w:val="decimal"/>
      <w:lvlText w:val="%7."/>
      <w:lvlJc w:val="left"/>
      <w:pPr>
        <w:tabs>
          <w:tab w:val="num" w:pos="5040"/>
        </w:tabs>
        <w:ind w:left="5040" w:hanging="360"/>
      </w:pPr>
    </w:lvl>
    <w:lvl w:ilvl="7" w:tplc="03E00AF4" w:tentative="1">
      <w:start w:val="1"/>
      <w:numFmt w:val="lowerLetter"/>
      <w:lvlText w:val="%8."/>
      <w:lvlJc w:val="left"/>
      <w:pPr>
        <w:tabs>
          <w:tab w:val="num" w:pos="5760"/>
        </w:tabs>
        <w:ind w:left="5760" w:hanging="360"/>
      </w:pPr>
    </w:lvl>
    <w:lvl w:ilvl="8" w:tplc="71507626" w:tentative="1">
      <w:start w:val="1"/>
      <w:numFmt w:val="lowerRoman"/>
      <w:lvlText w:val="%9."/>
      <w:lvlJc w:val="right"/>
      <w:pPr>
        <w:tabs>
          <w:tab w:val="num" w:pos="6480"/>
        </w:tabs>
        <w:ind w:left="6480" w:hanging="180"/>
      </w:pPr>
    </w:lvl>
  </w:abstractNum>
  <w:abstractNum w:abstractNumId="11" w15:restartNumberingAfterBreak="0">
    <w:nsid w:val="3A131EFE"/>
    <w:multiLevelType w:val="multilevel"/>
    <w:tmpl w:val="1298B7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31680"/>
        </w:tabs>
        <w:ind w:left="1440" w:hanging="720"/>
      </w:pPr>
      <w:rPr>
        <w:rFonts w:hint="default"/>
      </w:rPr>
    </w:lvl>
    <w:lvl w:ilvl="5">
      <w:start w:val="1"/>
      <w:numFmt w:val="lowerRoman"/>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2" w15:restartNumberingAfterBreak="0">
    <w:nsid w:val="5B505AB8"/>
    <w:multiLevelType w:val="multilevel"/>
    <w:tmpl w:val="DE8411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1"/>
      <w:lvlText w:val="(%5)"/>
      <w:lvlJc w:val="left"/>
      <w:pPr>
        <w:tabs>
          <w:tab w:val="num" w:pos="-31680"/>
        </w:tabs>
        <w:ind w:left="1440" w:hanging="720"/>
      </w:pPr>
      <w:rPr>
        <w:rFonts w:hint="default"/>
      </w:rPr>
    </w:lvl>
    <w:lvl w:ilvl="5">
      <w:start w:val="1"/>
      <w:numFmt w:val="lowerRoman"/>
      <w:lvlRestart w:val="1"/>
      <w:lvlText w:val="(%6)"/>
      <w:lvlJc w:val="left"/>
      <w:pPr>
        <w:tabs>
          <w:tab w:val="num" w:pos="-31680"/>
        </w:tabs>
        <w:ind w:left="2160" w:hanging="720"/>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3" w15:restartNumberingAfterBreak="0">
    <w:nsid w:val="683E5632"/>
    <w:multiLevelType w:val="multilevel"/>
    <w:tmpl w:val="4ADE8ED8"/>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E451CAE"/>
    <w:multiLevelType w:val="multilevel"/>
    <w:tmpl w:val="603C67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lowerLetter"/>
      <w:lvlRestart w:val="0"/>
      <w:lvlText w:val="%5)"/>
      <w:lvlJc w:val="left"/>
      <w:pPr>
        <w:tabs>
          <w:tab w:val="num" w:pos="1440"/>
        </w:tabs>
        <w:ind w:left="1440" w:hanging="720"/>
      </w:pPr>
      <w:rPr>
        <w:rFonts w:hint="default"/>
      </w:rPr>
    </w:lvl>
    <w:lvl w:ilvl="5">
      <w:start w:val="1"/>
      <w:numFmt w:val="lowerRoman"/>
      <w:lvlText w:val="%6)"/>
      <w:lvlJc w:val="left"/>
      <w:pPr>
        <w:tabs>
          <w:tab w:val="num" w:pos="2041"/>
        </w:tabs>
        <w:ind w:left="2041" w:hanging="601"/>
      </w:pPr>
      <w:rPr>
        <w:rFonts w:hint="default"/>
      </w:rPr>
    </w:lvl>
    <w:lvl w:ilvl="6">
      <w:start w:val="1"/>
      <w:numFmt w:val="bullet"/>
      <w:lvlText w:val=""/>
      <w:lvlJc w:val="left"/>
      <w:pPr>
        <w:tabs>
          <w:tab w:val="num" w:pos="720"/>
        </w:tabs>
        <w:ind w:left="720" w:hanging="720"/>
      </w:pPr>
      <w:rPr>
        <w:rFonts w:ascii="Symbol" w:hAnsi="Symbol" w:hint="default"/>
        <w:sz w:val="24"/>
      </w:rPr>
    </w:lvl>
    <w:lvl w:ilvl="7">
      <w:start w:val="1"/>
      <w:numFmt w:val="bullet"/>
      <w:lvlText w:val=""/>
      <w:lvlJc w:val="left"/>
      <w:pPr>
        <w:tabs>
          <w:tab w:val="num" w:pos="1440"/>
        </w:tabs>
        <w:ind w:left="1440" w:hanging="720"/>
      </w:pPr>
      <w:rPr>
        <w:rFonts w:ascii="Symbol" w:hAnsi="Symbol" w:hint="default"/>
        <w:sz w:val="28"/>
      </w:rPr>
    </w:lvl>
    <w:lvl w:ilvl="8">
      <w:start w:val="1"/>
      <w:numFmt w:val="bullet"/>
      <w:lvlText w:val=""/>
      <w:lvlJc w:val="left"/>
      <w:pPr>
        <w:tabs>
          <w:tab w:val="num" w:pos="2041"/>
        </w:tabs>
        <w:ind w:left="2041" w:hanging="601"/>
      </w:pPr>
      <w:rPr>
        <w:rFonts w:ascii="Symbol" w:hAnsi="Symbol" w:hint="default"/>
        <w:sz w:val="28"/>
      </w:rPr>
    </w:lvl>
  </w:abstractNum>
  <w:abstractNum w:abstractNumId="15"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C659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2E4177"/>
    <w:multiLevelType w:val="multilevel"/>
    <w:tmpl w:val="251E6DCE"/>
    <w:lvl w:ilvl="0">
      <w:start w:val="1"/>
      <w:numFmt w:val="bullet"/>
      <w:lvlText w:val=""/>
      <w:lvlJc w:val="left"/>
      <w:pPr>
        <w:tabs>
          <w:tab w:val="num" w:pos="-3168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662619"/>
    <w:multiLevelType w:val="hybridMultilevel"/>
    <w:tmpl w:val="43F8FBF0"/>
    <w:lvl w:ilvl="0" w:tplc="D44C0BEE">
      <w:start w:val="1"/>
      <w:numFmt w:val="bullet"/>
      <w:lvlText w:val=""/>
      <w:lvlJc w:val="left"/>
      <w:pPr>
        <w:tabs>
          <w:tab w:val="num" w:pos="1191"/>
        </w:tabs>
        <w:ind w:left="119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1"/>
  </w:num>
  <w:num w:numId="4">
    <w:abstractNumId w:val="0"/>
  </w:num>
  <w:num w:numId="5">
    <w:abstractNumId w:val="10"/>
  </w:num>
  <w:num w:numId="6">
    <w:abstractNumId w:val="16"/>
  </w:num>
  <w:num w:numId="7">
    <w:abstractNumId w:val="14"/>
  </w:num>
  <w:num w:numId="8">
    <w:abstractNumId w:val="12"/>
  </w:num>
  <w:num w:numId="9">
    <w:abstractNumId w:val="17"/>
  </w:num>
  <w:num w:numId="10">
    <w:abstractNumId w:val="2"/>
  </w:num>
  <w:num w:numId="11">
    <w:abstractNumId w:val="4"/>
  </w:num>
  <w:num w:numId="12">
    <w:abstractNumId w:val="7"/>
  </w:num>
  <w:num w:numId="13">
    <w:abstractNumId w:val="1"/>
  </w:num>
  <w:num w:numId="14">
    <w:abstractNumId w:val="13"/>
  </w:num>
  <w:num w:numId="15">
    <w:abstractNumId w:val="9"/>
  </w:num>
  <w:num w:numId="16">
    <w:abstractNumId w:val="15"/>
  </w:num>
  <w:num w:numId="17">
    <w:abstractNumId w:val="5"/>
  </w:num>
  <w:num w:numId="18">
    <w:abstractNumId w:val="8"/>
  </w:num>
  <w:num w:numId="19">
    <w:abstractNumId w:val="3"/>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A22"/>
    <w:rsid w:val="000230A7"/>
    <w:rsid w:val="00024194"/>
    <w:rsid w:val="00030D3C"/>
    <w:rsid w:val="000312D3"/>
    <w:rsid w:val="000715BD"/>
    <w:rsid w:val="00081DF2"/>
    <w:rsid w:val="00096AFD"/>
    <w:rsid w:val="00096F71"/>
    <w:rsid w:val="000B3BF1"/>
    <w:rsid w:val="000B4E40"/>
    <w:rsid w:val="000D6244"/>
    <w:rsid w:val="000F6475"/>
    <w:rsid w:val="00115FDF"/>
    <w:rsid w:val="00121C8F"/>
    <w:rsid w:val="00131ECC"/>
    <w:rsid w:val="001444DC"/>
    <w:rsid w:val="00144599"/>
    <w:rsid w:val="00154666"/>
    <w:rsid w:val="00164F4F"/>
    <w:rsid w:val="001B50F7"/>
    <w:rsid w:val="001C3DB8"/>
    <w:rsid w:val="001D78A1"/>
    <w:rsid w:val="001E48AA"/>
    <w:rsid w:val="001E6E78"/>
    <w:rsid w:val="00200CB7"/>
    <w:rsid w:val="0021074A"/>
    <w:rsid w:val="00210ECC"/>
    <w:rsid w:val="0021240E"/>
    <w:rsid w:val="00216018"/>
    <w:rsid w:val="00240176"/>
    <w:rsid w:val="00241F6C"/>
    <w:rsid w:val="00245AFA"/>
    <w:rsid w:val="0028011F"/>
    <w:rsid w:val="0028356A"/>
    <w:rsid w:val="00297401"/>
    <w:rsid w:val="002C3CBA"/>
    <w:rsid w:val="002F2854"/>
    <w:rsid w:val="003016C1"/>
    <w:rsid w:val="00310B76"/>
    <w:rsid w:val="0031706E"/>
    <w:rsid w:val="00336100"/>
    <w:rsid w:val="00385C48"/>
    <w:rsid w:val="00397791"/>
    <w:rsid w:val="003A0CCE"/>
    <w:rsid w:val="003B4E1D"/>
    <w:rsid w:val="003D005E"/>
    <w:rsid w:val="003E2CA6"/>
    <w:rsid w:val="003E314E"/>
    <w:rsid w:val="003E7B09"/>
    <w:rsid w:val="003F70E0"/>
    <w:rsid w:val="004030B5"/>
    <w:rsid w:val="00405297"/>
    <w:rsid w:val="004750A2"/>
    <w:rsid w:val="00476080"/>
    <w:rsid w:val="00487A22"/>
    <w:rsid w:val="004A7B1B"/>
    <w:rsid w:val="004C525A"/>
    <w:rsid w:val="004D6079"/>
    <w:rsid w:val="004F24BC"/>
    <w:rsid w:val="004F38AE"/>
    <w:rsid w:val="005007CF"/>
    <w:rsid w:val="00530ECE"/>
    <w:rsid w:val="005322E6"/>
    <w:rsid w:val="00532D01"/>
    <w:rsid w:val="00540450"/>
    <w:rsid w:val="00550E93"/>
    <w:rsid w:val="0055789E"/>
    <w:rsid w:val="005618DA"/>
    <w:rsid w:val="00562F2F"/>
    <w:rsid w:val="0058286B"/>
    <w:rsid w:val="005A1570"/>
    <w:rsid w:val="005A5A87"/>
    <w:rsid w:val="005B2572"/>
    <w:rsid w:val="005C2198"/>
    <w:rsid w:val="005E13C2"/>
    <w:rsid w:val="00604F23"/>
    <w:rsid w:val="006061E1"/>
    <w:rsid w:val="00611CC3"/>
    <w:rsid w:val="00612DF0"/>
    <w:rsid w:val="00654474"/>
    <w:rsid w:val="006A7C1E"/>
    <w:rsid w:val="006B2DA6"/>
    <w:rsid w:val="006C519A"/>
    <w:rsid w:val="006F1199"/>
    <w:rsid w:val="006F2899"/>
    <w:rsid w:val="006F37B3"/>
    <w:rsid w:val="0070241D"/>
    <w:rsid w:val="00714477"/>
    <w:rsid w:val="00715C62"/>
    <w:rsid w:val="00777A2C"/>
    <w:rsid w:val="00780AED"/>
    <w:rsid w:val="00790CC7"/>
    <w:rsid w:val="00793414"/>
    <w:rsid w:val="0079672F"/>
    <w:rsid w:val="007A73CB"/>
    <w:rsid w:val="007B4EE0"/>
    <w:rsid w:val="007C243D"/>
    <w:rsid w:val="007E5AF3"/>
    <w:rsid w:val="007F7246"/>
    <w:rsid w:val="00813349"/>
    <w:rsid w:val="0081609A"/>
    <w:rsid w:val="00851B5F"/>
    <w:rsid w:val="008714E7"/>
    <w:rsid w:val="008867CA"/>
    <w:rsid w:val="00891423"/>
    <w:rsid w:val="00891B80"/>
    <w:rsid w:val="008A7BDD"/>
    <w:rsid w:val="008B54CA"/>
    <w:rsid w:val="008C4B91"/>
    <w:rsid w:val="008D71E9"/>
    <w:rsid w:val="008E4BAB"/>
    <w:rsid w:val="008E67CB"/>
    <w:rsid w:val="0091041C"/>
    <w:rsid w:val="00932851"/>
    <w:rsid w:val="009569DD"/>
    <w:rsid w:val="00985E68"/>
    <w:rsid w:val="00987AA6"/>
    <w:rsid w:val="009B5159"/>
    <w:rsid w:val="009C7083"/>
    <w:rsid w:val="009D22A2"/>
    <w:rsid w:val="009D3CD0"/>
    <w:rsid w:val="009E7988"/>
    <w:rsid w:val="009F1B6F"/>
    <w:rsid w:val="00A41FDA"/>
    <w:rsid w:val="00A42E7B"/>
    <w:rsid w:val="00A442D1"/>
    <w:rsid w:val="00A518D9"/>
    <w:rsid w:val="00A64F92"/>
    <w:rsid w:val="00A95FCF"/>
    <w:rsid w:val="00AA0849"/>
    <w:rsid w:val="00AB2BB0"/>
    <w:rsid w:val="00AB3452"/>
    <w:rsid w:val="00AD5635"/>
    <w:rsid w:val="00AF12D6"/>
    <w:rsid w:val="00B0057A"/>
    <w:rsid w:val="00B02AE5"/>
    <w:rsid w:val="00B12DE2"/>
    <w:rsid w:val="00B43C54"/>
    <w:rsid w:val="00B504F7"/>
    <w:rsid w:val="00B56CCE"/>
    <w:rsid w:val="00B74A95"/>
    <w:rsid w:val="00B81B18"/>
    <w:rsid w:val="00B928CA"/>
    <w:rsid w:val="00BA17B3"/>
    <w:rsid w:val="00BB5BE0"/>
    <w:rsid w:val="00BC52B0"/>
    <w:rsid w:val="00BD2F24"/>
    <w:rsid w:val="00C13BD5"/>
    <w:rsid w:val="00C164BD"/>
    <w:rsid w:val="00C252B4"/>
    <w:rsid w:val="00C25583"/>
    <w:rsid w:val="00C62AB0"/>
    <w:rsid w:val="00C736AA"/>
    <w:rsid w:val="00C75298"/>
    <w:rsid w:val="00C75A1C"/>
    <w:rsid w:val="00C810E7"/>
    <w:rsid w:val="00C902C7"/>
    <w:rsid w:val="00C946BF"/>
    <w:rsid w:val="00CA3B14"/>
    <w:rsid w:val="00CA595C"/>
    <w:rsid w:val="00CB353A"/>
    <w:rsid w:val="00CE5958"/>
    <w:rsid w:val="00CE6571"/>
    <w:rsid w:val="00D3061A"/>
    <w:rsid w:val="00D429B6"/>
    <w:rsid w:val="00D55197"/>
    <w:rsid w:val="00D7747E"/>
    <w:rsid w:val="00D829A8"/>
    <w:rsid w:val="00D92B38"/>
    <w:rsid w:val="00D94683"/>
    <w:rsid w:val="00DC615E"/>
    <w:rsid w:val="00DC6611"/>
    <w:rsid w:val="00DE4417"/>
    <w:rsid w:val="00DF13C3"/>
    <w:rsid w:val="00DF33D8"/>
    <w:rsid w:val="00DF3697"/>
    <w:rsid w:val="00DF7416"/>
    <w:rsid w:val="00E1146C"/>
    <w:rsid w:val="00E12A39"/>
    <w:rsid w:val="00E24CC3"/>
    <w:rsid w:val="00E850C9"/>
    <w:rsid w:val="00E87C8C"/>
    <w:rsid w:val="00E90E8A"/>
    <w:rsid w:val="00EA46A5"/>
    <w:rsid w:val="00EA5EB4"/>
    <w:rsid w:val="00ED53A0"/>
    <w:rsid w:val="00ED5F2B"/>
    <w:rsid w:val="00F11E86"/>
    <w:rsid w:val="00F1544E"/>
    <w:rsid w:val="00F33018"/>
    <w:rsid w:val="00F81F62"/>
    <w:rsid w:val="00F847D6"/>
    <w:rsid w:val="00F96DFE"/>
    <w:rsid w:val="00FA0A72"/>
    <w:rsid w:val="00FC39DC"/>
    <w:rsid w:val="00FC734B"/>
    <w:rsid w:val="00FD0C4A"/>
    <w:rsid w:val="00FD170B"/>
    <w:rsid w:val="00FD37A2"/>
    <w:rsid w:val="00FF1AFB"/>
    <w:rsid w:val="00FF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023E5"/>
  <w15:docId w15:val="{5DDA236B-C051-452D-936C-1734FC26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67CB"/>
    <w:rPr>
      <w:rFonts w:ascii="Arial" w:hAnsi="Arial"/>
      <w:sz w:val="22"/>
      <w:szCs w:val="24"/>
      <w:lang w:eastAsia="en-US"/>
    </w:rPr>
  </w:style>
  <w:style w:type="paragraph" w:styleId="Heading1">
    <w:name w:val="heading 1"/>
    <w:aliases w:val="Centre"/>
    <w:basedOn w:val="Normal"/>
    <w:next w:val="Normal"/>
    <w:qFormat/>
    <w:rsid w:val="00200CB7"/>
    <w:pPr>
      <w:keepNext/>
      <w:jc w:val="center"/>
      <w:outlineLvl w:val="0"/>
    </w:pPr>
    <w:rPr>
      <w:rFonts w:cs="Arial"/>
      <w:b/>
      <w:bCs/>
      <w:caps/>
      <w:kern w:val="32"/>
      <w:sz w:val="28"/>
      <w:szCs w:val="32"/>
    </w:rPr>
  </w:style>
  <w:style w:type="paragraph" w:styleId="Heading2">
    <w:name w:val="heading 2"/>
    <w:aliases w:val="Left"/>
    <w:basedOn w:val="Normal"/>
    <w:next w:val="Normal"/>
    <w:qFormat/>
    <w:rsid w:val="00CE6571"/>
    <w:pPr>
      <w:keepNext/>
      <w:outlineLvl w:val="1"/>
    </w:pPr>
    <w:rPr>
      <w:rFonts w:cs="Arial"/>
      <w:b/>
      <w:bCs/>
      <w:iCs/>
      <w:caps/>
      <w:szCs w:val="28"/>
    </w:rPr>
  </w:style>
  <w:style w:type="paragraph" w:styleId="Heading3">
    <w:name w:val="heading 3"/>
    <w:aliases w:val="Sub"/>
    <w:basedOn w:val="Normal"/>
    <w:next w:val="Normal"/>
    <w:qFormat/>
    <w:rsid w:val="00CE6571"/>
    <w:pPr>
      <w:keepNext/>
      <w:outlineLvl w:val="2"/>
    </w:pPr>
    <w:rPr>
      <w:rFonts w:cs="Arial"/>
      <w:b/>
      <w:bCs/>
      <w:szCs w:val="26"/>
    </w:rPr>
  </w:style>
  <w:style w:type="paragraph" w:styleId="Heading4">
    <w:name w:val="heading 4"/>
    <w:basedOn w:val="Normal"/>
    <w:next w:val="Normal"/>
    <w:qFormat/>
    <w:rsid w:val="00CE657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02AE5"/>
    <w:pPr>
      <w:numPr>
        <w:ilvl w:val="4"/>
        <w:numId w:val="12"/>
      </w:numPr>
      <w:spacing w:before="240" w:after="60"/>
      <w:outlineLvl w:val="4"/>
    </w:pPr>
    <w:rPr>
      <w:b/>
      <w:bCs/>
      <w:i/>
      <w:iCs/>
      <w:sz w:val="26"/>
      <w:szCs w:val="26"/>
    </w:rPr>
  </w:style>
  <w:style w:type="paragraph" w:styleId="Heading6">
    <w:name w:val="heading 6"/>
    <w:basedOn w:val="Normal"/>
    <w:next w:val="Normal"/>
    <w:qFormat/>
    <w:rsid w:val="00B02AE5"/>
    <w:pPr>
      <w:numPr>
        <w:ilvl w:val="5"/>
        <w:numId w:val="12"/>
      </w:numPr>
      <w:spacing w:before="240" w:after="60"/>
      <w:outlineLvl w:val="5"/>
    </w:pPr>
    <w:rPr>
      <w:rFonts w:ascii="Times New Roman" w:hAnsi="Times New Roman"/>
      <w:b/>
      <w:bCs/>
      <w:szCs w:val="22"/>
    </w:rPr>
  </w:style>
  <w:style w:type="paragraph" w:styleId="Heading7">
    <w:name w:val="heading 7"/>
    <w:basedOn w:val="Normal"/>
    <w:next w:val="Normal"/>
    <w:qFormat/>
    <w:rsid w:val="00B02AE5"/>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rsid w:val="00B02AE5"/>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rsid w:val="00B02AE5"/>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A22"/>
    <w:pPr>
      <w:tabs>
        <w:tab w:val="center" w:pos="4153"/>
        <w:tab w:val="right" w:pos="8306"/>
      </w:tabs>
    </w:pPr>
  </w:style>
  <w:style w:type="table" w:styleId="TableGrid">
    <w:name w:val="Table Grid"/>
    <w:basedOn w:val="TableNormal"/>
    <w:rsid w:val="00131EC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Footer">
    <w:name w:val="footer"/>
    <w:basedOn w:val="Normal"/>
    <w:rsid w:val="00487A22"/>
    <w:pPr>
      <w:tabs>
        <w:tab w:val="center" w:pos="4153"/>
        <w:tab w:val="right" w:pos="8306"/>
      </w:tabs>
    </w:pPr>
  </w:style>
  <w:style w:type="paragraph" w:customStyle="1" w:styleId="TSHeadingNumbered1">
    <w:name w:val="TS Heading Numbered 1"/>
    <w:basedOn w:val="Normal"/>
    <w:rsid w:val="005E13C2"/>
    <w:pPr>
      <w:numPr>
        <w:numId w:val="12"/>
      </w:numPr>
      <w:spacing w:after="220"/>
      <w:outlineLvl w:val="0"/>
    </w:pPr>
    <w:rPr>
      <w:rFonts w:ascii="Arial Bold" w:hAnsi="Arial Bold"/>
      <w:b/>
      <w:caps/>
    </w:rPr>
  </w:style>
  <w:style w:type="paragraph" w:customStyle="1" w:styleId="TSHeadingNumbered11">
    <w:name w:val="TS Heading Numbered 1.1"/>
    <w:basedOn w:val="TSHeadingNumbered1"/>
    <w:rsid w:val="00B02AE5"/>
    <w:pPr>
      <w:numPr>
        <w:ilvl w:val="1"/>
      </w:numPr>
    </w:pPr>
  </w:style>
  <w:style w:type="paragraph" w:customStyle="1" w:styleId="TSHeadingNumbered111">
    <w:name w:val="TS Heading Numbered 1.1.1"/>
    <w:basedOn w:val="TSHeadingNumbered1"/>
    <w:rsid w:val="00B02AE5"/>
    <w:pPr>
      <w:numPr>
        <w:ilvl w:val="2"/>
      </w:numPr>
    </w:pPr>
  </w:style>
  <w:style w:type="paragraph" w:customStyle="1" w:styleId="TSHeadingNumbered1111">
    <w:name w:val="TS Heading Numbered 1.1.1.1"/>
    <w:basedOn w:val="TSHeadingNumbered1"/>
    <w:rsid w:val="00B02AE5"/>
    <w:pPr>
      <w:numPr>
        <w:ilvl w:val="3"/>
      </w:numPr>
    </w:pPr>
  </w:style>
  <w:style w:type="character" w:styleId="Hyperlink">
    <w:name w:val="Hyperlink"/>
    <w:uiPriority w:val="99"/>
    <w:rsid w:val="009B5159"/>
    <w:rPr>
      <w:color w:val="0000FF"/>
      <w:u w:val="single"/>
    </w:rPr>
  </w:style>
  <w:style w:type="paragraph" w:customStyle="1" w:styleId="TSNumberedParagraph11">
    <w:name w:val="TS Numbered Paragraph 1.1"/>
    <w:basedOn w:val="TSHeadingNumbered11"/>
    <w:rsid w:val="005E13C2"/>
    <w:rPr>
      <w:rFonts w:ascii="Arial" w:hAnsi="Arial"/>
      <w:b w:val="0"/>
      <w:caps w:val="0"/>
    </w:rPr>
  </w:style>
  <w:style w:type="character" w:customStyle="1" w:styleId="TSExampleText">
    <w:name w:val="TS Example Text"/>
    <w:rsid w:val="009B5159"/>
    <w:rPr>
      <w:i/>
      <w:iCs/>
      <w:color w:val="006D68"/>
    </w:rPr>
  </w:style>
  <w:style w:type="paragraph" w:styleId="TOC1">
    <w:name w:val="toc 1"/>
    <w:basedOn w:val="Normal"/>
    <w:next w:val="Normal"/>
    <w:autoRedefine/>
    <w:uiPriority w:val="39"/>
    <w:rsid w:val="005E13C2"/>
    <w:pPr>
      <w:tabs>
        <w:tab w:val="left" w:pos="360"/>
        <w:tab w:val="right" w:leader="dot" w:pos="9180"/>
      </w:tabs>
      <w:spacing w:after="120"/>
      <w:ind w:left="357" w:hanging="357"/>
    </w:pPr>
    <w:rPr>
      <w:caps/>
    </w:rPr>
  </w:style>
  <w:style w:type="paragraph" w:customStyle="1" w:styleId="TSBullet1Square">
    <w:name w:val="TS Bullet 1 Square"/>
    <w:basedOn w:val="Normal"/>
    <w:rsid w:val="00B504F7"/>
    <w:pPr>
      <w:numPr>
        <w:numId w:val="16"/>
      </w:numPr>
      <w:spacing w:after="240"/>
      <w:contextualSpacing/>
    </w:pPr>
  </w:style>
  <w:style w:type="paragraph" w:customStyle="1" w:styleId="TSBullet2Circle">
    <w:name w:val="TS Bullet 2 Circle"/>
    <w:basedOn w:val="TSBullet1Square"/>
    <w:rsid w:val="00B504F7"/>
    <w:pPr>
      <w:numPr>
        <w:numId w:val="17"/>
      </w:numPr>
    </w:pPr>
  </w:style>
  <w:style w:type="character" w:styleId="FollowedHyperlink">
    <w:name w:val="FollowedHyperlink"/>
    <w:rsid w:val="006061E1"/>
    <w:rPr>
      <w:color w:val="800080"/>
      <w:u w:val="single"/>
    </w:rPr>
  </w:style>
  <w:style w:type="paragraph" w:styleId="DocumentMap">
    <w:name w:val="Document Map"/>
    <w:basedOn w:val="Normal"/>
    <w:semiHidden/>
    <w:rsid w:val="005E13C2"/>
    <w:pPr>
      <w:shd w:val="clear" w:color="auto" w:fill="000080"/>
    </w:pPr>
    <w:rPr>
      <w:rFonts w:ascii="Tahoma" w:hAnsi="Tahoma" w:cs="Tahoma"/>
      <w:sz w:val="20"/>
      <w:szCs w:val="20"/>
    </w:rPr>
  </w:style>
  <w:style w:type="character" w:customStyle="1" w:styleId="HeaderChar">
    <w:name w:val="Header Char"/>
    <w:link w:val="Header"/>
    <w:semiHidden/>
    <w:locked/>
    <w:rsid w:val="00FD170B"/>
    <w:rPr>
      <w:rFonts w:ascii="Arial" w:hAnsi="Arial"/>
      <w:sz w:val="22"/>
      <w:szCs w:val="24"/>
      <w:lang w:val="en-GB" w:eastAsia="en-US" w:bidi="ar-SA"/>
    </w:rPr>
  </w:style>
  <w:style w:type="paragraph" w:styleId="BalloonText">
    <w:name w:val="Balloon Text"/>
    <w:basedOn w:val="Normal"/>
    <w:link w:val="BalloonTextChar"/>
    <w:rsid w:val="00CB353A"/>
    <w:rPr>
      <w:rFonts w:ascii="Tahoma" w:hAnsi="Tahoma" w:cs="Tahoma"/>
      <w:sz w:val="16"/>
      <w:szCs w:val="16"/>
    </w:rPr>
  </w:style>
  <w:style w:type="character" w:customStyle="1" w:styleId="BalloonTextChar">
    <w:name w:val="Balloon Text Char"/>
    <w:link w:val="BalloonText"/>
    <w:rsid w:val="00CB353A"/>
    <w:rPr>
      <w:rFonts w:ascii="Tahoma" w:hAnsi="Tahoma" w:cs="Tahoma"/>
      <w:sz w:val="16"/>
      <w:szCs w:val="16"/>
      <w:lang w:eastAsia="en-US"/>
    </w:rPr>
  </w:style>
  <w:style w:type="character" w:styleId="HTMLCite">
    <w:name w:val="HTML Cite"/>
    <w:uiPriority w:val="99"/>
    <w:unhideWhenUsed/>
    <w:rsid w:val="002C3CBA"/>
    <w:rPr>
      <w:i w:val="0"/>
      <w:iCs w:val="0"/>
      <w:color w:val="006621"/>
    </w:rPr>
  </w:style>
  <w:style w:type="paragraph" w:styleId="ListParagraph">
    <w:name w:val="List Paragraph"/>
    <w:basedOn w:val="Normal"/>
    <w:uiPriority w:val="34"/>
    <w:qFormat/>
    <w:rsid w:val="0070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4203">
      <w:bodyDiv w:val="1"/>
      <w:marLeft w:val="0"/>
      <w:marRight w:val="0"/>
      <w:marTop w:val="0"/>
      <w:marBottom w:val="0"/>
      <w:divBdr>
        <w:top w:val="none" w:sz="0" w:space="0" w:color="auto"/>
        <w:left w:val="none" w:sz="0" w:space="0" w:color="auto"/>
        <w:bottom w:val="none" w:sz="0" w:space="0" w:color="auto"/>
        <w:right w:val="none" w:sz="0" w:space="0" w:color="auto"/>
      </w:divBdr>
    </w:div>
    <w:div w:id="580607568">
      <w:bodyDiv w:val="1"/>
      <w:marLeft w:val="0"/>
      <w:marRight w:val="0"/>
      <w:marTop w:val="0"/>
      <w:marBottom w:val="0"/>
      <w:divBdr>
        <w:top w:val="none" w:sz="0" w:space="0" w:color="auto"/>
        <w:left w:val="none" w:sz="0" w:space="0" w:color="auto"/>
        <w:bottom w:val="none" w:sz="0" w:space="0" w:color="auto"/>
        <w:right w:val="none" w:sz="0" w:space="0" w:color="auto"/>
      </w:divBdr>
    </w:div>
    <w:div w:id="1156721470">
      <w:bodyDiv w:val="1"/>
      <w:marLeft w:val="0"/>
      <w:marRight w:val="0"/>
      <w:marTop w:val="0"/>
      <w:marBottom w:val="0"/>
      <w:divBdr>
        <w:top w:val="none" w:sz="0" w:space="0" w:color="auto"/>
        <w:left w:val="none" w:sz="0" w:space="0" w:color="auto"/>
        <w:bottom w:val="none" w:sz="0" w:space="0" w:color="auto"/>
        <w:right w:val="none" w:sz="0" w:space="0" w:color="auto"/>
      </w:divBdr>
    </w:div>
    <w:div w:id="1214465473">
      <w:bodyDiv w:val="1"/>
      <w:marLeft w:val="0"/>
      <w:marRight w:val="0"/>
      <w:marTop w:val="0"/>
      <w:marBottom w:val="0"/>
      <w:divBdr>
        <w:top w:val="none" w:sz="0" w:space="0" w:color="auto"/>
        <w:left w:val="none" w:sz="0" w:space="0" w:color="auto"/>
        <w:bottom w:val="none" w:sz="0" w:space="0" w:color="auto"/>
        <w:right w:val="none" w:sz="0" w:space="0" w:color="auto"/>
      </w:divBdr>
    </w:div>
    <w:div w:id="1223175901">
      <w:bodyDiv w:val="1"/>
      <w:marLeft w:val="0"/>
      <w:marRight w:val="0"/>
      <w:marTop w:val="0"/>
      <w:marBottom w:val="0"/>
      <w:divBdr>
        <w:top w:val="none" w:sz="0" w:space="0" w:color="auto"/>
        <w:left w:val="none" w:sz="0" w:space="0" w:color="auto"/>
        <w:bottom w:val="none" w:sz="0" w:space="0" w:color="auto"/>
        <w:right w:val="none" w:sz="0" w:space="0" w:color="auto"/>
      </w:divBdr>
    </w:div>
    <w:div w:id="1277521132">
      <w:bodyDiv w:val="1"/>
      <w:marLeft w:val="0"/>
      <w:marRight w:val="0"/>
      <w:marTop w:val="0"/>
      <w:marBottom w:val="0"/>
      <w:divBdr>
        <w:top w:val="none" w:sz="0" w:space="0" w:color="auto"/>
        <w:left w:val="none" w:sz="0" w:space="0" w:color="auto"/>
        <w:bottom w:val="none" w:sz="0" w:space="0" w:color="auto"/>
        <w:right w:val="none" w:sz="0" w:space="0" w:color="auto"/>
      </w:divBdr>
    </w:div>
    <w:div w:id="16031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aea.org"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nr.org.uk/copyrigh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blocked::blocked::BLOCKED::http://www.hse.gov.uk/copyrigh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3589</Words>
  <Characters>20462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Document Type:</vt:lpstr>
    </vt:vector>
  </TitlesOfParts>
  <Company>Health and Safety Executive</Company>
  <LinksUpToDate>false</LinksUpToDate>
  <CharactersWithSpaces>24003</CharactersWithSpaces>
  <SharedDoc>false</SharedDoc>
  <HLinks>
    <vt:vector size="66" baseType="variant">
      <vt:variant>
        <vt:i4>393306</vt:i4>
      </vt:variant>
      <vt:variant>
        <vt:i4>57</vt:i4>
      </vt:variant>
      <vt:variant>
        <vt:i4>0</vt:i4>
      </vt:variant>
      <vt:variant>
        <vt:i4>5</vt:i4>
      </vt:variant>
      <vt:variant>
        <vt:lpwstr>http://www.onr.org.uk/saps/index.htm</vt:lpwstr>
      </vt:variant>
      <vt:variant>
        <vt:lpwstr/>
      </vt:variant>
      <vt:variant>
        <vt:i4>7536673</vt:i4>
      </vt:variant>
      <vt:variant>
        <vt:i4>54</vt:i4>
      </vt:variant>
      <vt:variant>
        <vt:i4>0</vt:i4>
      </vt:variant>
      <vt:variant>
        <vt:i4>5</vt:i4>
      </vt:variant>
      <vt:variant>
        <vt:lpwstr>http://www.onr.org.uk/copyright</vt:lpwstr>
      </vt:variant>
      <vt:variant>
        <vt:lpwstr/>
      </vt:variant>
      <vt:variant>
        <vt:i4>7143466</vt:i4>
      </vt:variant>
      <vt:variant>
        <vt:i4>51</vt:i4>
      </vt:variant>
      <vt:variant>
        <vt:i4>0</vt:i4>
      </vt:variant>
      <vt:variant>
        <vt:i4>5</vt:i4>
      </vt:variant>
      <vt:variant>
        <vt:lpwstr>blocked::blocked::BLOCKED::http://www.hse.gov.uk/copyright</vt:lpwstr>
      </vt:variant>
      <vt:variant>
        <vt:lpwstr/>
      </vt:variant>
      <vt:variant>
        <vt:i4>1900593</vt:i4>
      </vt:variant>
      <vt:variant>
        <vt:i4>44</vt:i4>
      </vt:variant>
      <vt:variant>
        <vt:i4>0</vt:i4>
      </vt:variant>
      <vt:variant>
        <vt:i4>5</vt:i4>
      </vt:variant>
      <vt:variant>
        <vt:lpwstr/>
      </vt:variant>
      <vt:variant>
        <vt:lpwstr>_Toc384030520</vt:lpwstr>
      </vt:variant>
      <vt:variant>
        <vt:i4>1966129</vt:i4>
      </vt:variant>
      <vt:variant>
        <vt:i4>38</vt:i4>
      </vt:variant>
      <vt:variant>
        <vt:i4>0</vt:i4>
      </vt:variant>
      <vt:variant>
        <vt:i4>5</vt:i4>
      </vt:variant>
      <vt:variant>
        <vt:lpwstr/>
      </vt:variant>
      <vt:variant>
        <vt:lpwstr>_Toc384030519</vt:lpwstr>
      </vt:variant>
      <vt:variant>
        <vt:i4>1966129</vt:i4>
      </vt:variant>
      <vt:variant>
        <vt:i4>32</vt:i4>
      </vt:variant>
      <vt:variant>
        <vt:i4>0</vt:i4>
      </vt:variant>
      <vt:variant>
        <vt:i4>5</vt:i4>
      </vt:variant>
      <vt:variant>
        <vt:lpwstr/>
      </vt:variant>
      <vt:variant>
        <vt:lpwstr>_Toc384030518</vt:lpwstr>
      </vt:variant>
      <vt:variant>
        <vt:i4>1966129</vt:i4>
      </vt:variant>
      <vt:variant>
        <vt:i4>26</vt:i4>
      </vt:variant>
      <vt:variant>
        <vt:i4>0</vt:i4>
      </vt:variant>
      <vt:variant>
        <vt:i4>5</vt:i4>
      </vt:variant>
      <vt:variant>
        <vt:lpwstr/>
      </vt:variant>
      <vt:variant>
        <vt:lpwstr>_Toc384030517</vt:lpwstr>
      </vt:variant>
      <vt:variant>
        <vt:i4>1966129</vt:i4>
      </vt:variant>
      <vt:variant>
        <vt:i4>20</vt:i4>
      </vt:variant>
      <vt:variant>
        <vt:i4>0</vt:i4>
      </vt:variant>
      <vt:variant>
        <vt:i4>5</vt:i4>
      </vt:variant>
      <vt:variant>
        <vt:lpwstr/>
      </vt:variant>
      <vt:variant>
        <vt:lpwstr>_Toc384030516</vt:lpwstr>
      </vt:variant>
      <vt:variant>
        <vt:i4>1966129</vt:i4>
      </vt:variant>
      <vt:variant>
        <vt:i4>14</vt:i4>
      </vt:variant>
      <vt:variant>
        <vt:i4>0</vt:i4>
      </vt:variant>
      <vt:variant>
        <vt:i4>5</vt:i4>
      </vt:variant>
      <vt:variant>
        <vt:lpwstr/>
      </vt:variant>
      <vt:variant>
        <vt:lpwstr>_Toc384030515</vt:lpwstr>
      </vt:variant>
      <vt:variant>
        <vt:i4>1966129</vt:i4>
      </vt:variant>
      <vt:variant>
        <vt:i4>8</vt:i4>
      </vt:variant>
      <vt:variant>
        <vt:i4>0</vt:i4>
      </vt:variant>
      <vt:variant>
        <vt:i4>5</vt:i4>
      </vt:variant>
      <vt:variant>
        <vt:lpwstr/>
      </vt:variant>
      <vt:variant>
        <vt:lpwstr>_Toc384030514</vt:lpwstr>
      </vt:variant>
      <vt:variant>
        <vt:i4>1966129</vt:i4>
      </vt:variant>
      <vt:variant>
        <vt:i4>2</vt:i4>
      </vt:variant>
      <vt:variant>
        <vt:i4>0</vt:i4>
      </vt:variant>
      <vt:variant>
        <vt:i4>5</vt:i4>
      </vt:variant>
      <vt:variant>
        <vt:lpwstr/>
      </vt:variant>
      <vt:variant>
        <vt:lpwstr>_Toc384030513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Type:</dc:title>
  <cp:revision>2</cp:revision>
  <cp:lastPrinted>2019-10-08T14:28:00Z</cp:lastPrinted>
  <dcterms:created xsi:type="dcterms:W3CDTF">2022-12-22T09:36:00Z</dcterms:created>
  <dcterms:modified xsi:type="dcterms:W3CDTF">2022-12-22T09:36:00Z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2022-12-02T10:44:07Z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d931a6b2-5542-4f83-b74e-c5008bc7a989</vt:lpwstr>
  </property>
  <property fmtid="{D5CDD505-2E9C-101B-9397-08002B2CF9AE}" pid="9" name="MSIP_Label_9e5e003a-90eb-47c9-a506-ad47e7a0b281_ContentBits">
    <vt:lpwstr>0</vt:lpwstr>
  </property>
</Properties>
</file>