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5141CA">
        <w:trPr>
          <w:trHeight w:hRule="exact" w:val="360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85949A5" w:rsidR="00D0226A" w:rsidRPr="001E03E1" w:rsidRDefault="004069D6"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B5400">
                      <w:rPr>
                        <w:sz w:val="52"/>
                        <w:szCs w:val="52"/>
                      </w:rPr>
                      <w:t>Examination, Inspection, Maintenance and Testing of items important to Safety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592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1F39F15" w:rsidR="00004C16" w:rsidRPr="00F63AA5" w:rsidRDefault="004069D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01479C">
            <w:rPr>
              <w:rStyle w:val="Style2"/>
              <w:sz w:val="36"/>
              <w:szCs w:val="16"/>
            </w:rPr>
            <w:t>Examination, Inspection, Maintenance and Testing of items important to Safety</w:t>
          </w:r>
        </w:sdtContent>
      </w:sdt>
    </w:p>
    <w:p w14:paraId="61A25C0F" w14:textId="77777777" w:rsidR="00004C16" w:rsidRDefault="00004C16" w:rsidP="00004C16">
      <w:pPr>
        <w:rPr>
          <w:sz w:val="28"/>
          <w:szCs w:val="28"/>
        </w:rPr>
      </w:pPr>
    </w:p>
    <w:p w14:paraId="26759EEC" w14:textId="2717245C" w:rsidR="00904203" w:rsidRDefault="00245A0D" w:rsidP="00D80D43">
      <w:pPr>
        <w:rPr>
          <w:sz w:val="28"/>
          <w:szCs w:val="28"/>
        </w:rPr>
      </w:pPr>
      <w:r w:rsidRPr="00004C16">
        <w:rPr>
          <w:sz w:val="28"/>
          <w:szCs w:val="28"/>
        </w:rPr>
        <w:t>Authored by</w:t>
      </w:r>
      <w:r w:rsidR="00CE1DB2">
        <w:rPr>
          <w:sz w:val="28"/>
          <w:szCs w:val="28"/>
        </w:rPr>
        <w:t>:</w:t>
      </w:r>
      <w:r w:rsidRPr="00004C16">
        <w:rPr>
          <w:sz w:val="28"/>
          <w:szCs w:val="28"/>
        </w:rPr>
        <w:t xml:space="preserve"> </w:t>
      </w:r>
      <w:r w:rsidR="0001479C">
        <w:rPr>
          <w:sz w:val="28"/>
          <w:szCs w:val="28"/>
        </w:rPr>
        <w:t>Nuclear Safety Inspecto</w:t>
      </w:r>
      <w:r w:rsidR="00D80D43">
        <w:rPr>
          <w:sz w:val="28"/>
          <w:szCs w:val="28"/>
        </w:rPr>
        <w:t>r</w:t>
      </w:r>
    </w:p>
    <w:p w14:paraId="3EF77009" w14:textId="368BA422" w:rsidR="0001479C" w:rsidRPr="00004C16" w:rsidRDefault="00B368E1" w:rsidP="005141CA">
      <w:pPr>
        <w:ind w:left="720" w:firstLine="720"/>
        <w:rPr>
          <w:sz w:val="28"/>
          <w:szCs w:val="28"/>
        </w:rPr>
      </w:pPr>
      <w:r>
        <w:rPr>
          <w:sz w:val="28"/>
          <w:szCs w:val="28"/>
        </w:rPr>
        <w:t xml:space="preserve">   </w:t>
      </w:r>
      <w:r w:rsidR="00121B6A">
        <w:rPr>
          <w:sz w:val="28"/>
          <w:szCs w:val="28"/>
        </w:rPr>
        <w:t>Nuclear Safety Inspector</w:t>
      </w:r>
      <w:r w:rsidR="00023186">
        <w:rPr>
          <w:sz w:val="28"/>
          <w:szCs w:val="28"/>
        </w:rPr>
        <w:tab/>
      </w:r>
      <w:r w:rsidR="00023186">
        <w:rPr>
          <w:sz w:val="28"/>
          <w:szCs w:val="28"/>
        </w:rPr>
        <w:tab/>
      </w:r>
      <w:r w:rsidR="00023186">
        <w:rPr>
          <w:sz w:val="28"/>
          <w:szCs w:val="28"/>
        </w:rPr>
        <w:tab/>
      </w:r>
    </w:p>
    <w:p w14:paraId="15A21CF3" w14:textId="78F2770A"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121B6A">
        <w:rPr>
          <w:sz w:val="28"/>
          <w:szCs w:val="28"/>
        </w:rPr>
        <w:t xml:space="preserve">Mechanical Engineering </w:t>
      </w:r>
      <w:r w:rsidR="0006669A">
        <w:rPr>
          <w:sz w:val="28"/>
          <w:szCs w:val="28"/>
        </w:rPr>
        <w:t>Professional</w:t>
      </w:r>
      <w:r w:rsidR="00121B6A">
        <w:rPr>
          <w:sz w:val="28"/>
          <w:szCs w:val="28"/>
        </w:rPr>
        <w:t xml:space="preserve"> Lead</w:t>
      </w:r>
    </w:p>
    <w:p w14:paraId="29270FF3" w14:textId="64E398EC" w:rsidR="00CE1DB2" w:rsidRDefault="00CE1DB2" w:rsidP="00245A0D">
      <w:pPr>
        <w:rPr>
          <w:sz w:val="28"/>
          <w:szCs w:val="28"/>
        </w:rPr>
      </w:pPr>
      <w:r>
        <w:rPr>
          <w:sz w:val="28"/>
          <w:szCs w:val="28"/>
        </w:rPr>
        <w:t xml:space="preserve">Professional Lead: </w:t>
      </w:r>
      <w:r w:rsidR="00136064">
        <w:rPr>
          <w:sz w:val="28"/>
          <w:szCs w:val="28"/>
        </w:rPr>
        <w:t xml:space="preserve">Professional Lead – </w:t>
      </w:r>
      <w:r w:rsidR="00121B6A">
        <w:rPr>
          <w:sz w:val="28"/>
          <w:szCs w:val="28"/>
        </w:rPr>
        <w:t xml:space="preserve">Mechanical Engineering </w:t>
      </w:r>
    </w:p>
    <w:p w14:paraId="3ADDCB72" w14:textId="77777777" w:rsidR="000950B3" w:rsidRPr="00004C16" w:rsidRDefault="000950B3" w:rsidP="00004C16">
      <w:pPr>
        <w:rPr>
          <w:sz w:val="28"/>
          <w:szCs w:val="28"/>
        </w:rPr>
      </w:pPr>
    </w:p>
    <w:p w14:paraId="247E3769" w14:textId="36F2D78F"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643E">
            <w:rPr>
              <w:sz w:val="28"/>
              <w:szCs w:val="28"/>
            </w:rPr>
            <w:t>7</w:t>
          </w:r>
        </w:sdtContent>
      </w:sdt>
    </w:p>
    <w:p w14:paraId="19206F45" w14:textId="79A3F06A" w:rsidR="00004C16" w:rsidRDefault="00004C16" w:rsidP="00004C16">
      <w:pPr>
        <w:rPr>
          <w:sz w:val="28"/>
          <w:szCs w:val="28"/>
        </w:rPr>
      </w:pPr>
      <w:r w:rsidRPr="00004C16">
        <w:rPr>
          <w:sz w:val="28"/>
          <w:szCs w:val="28"/>
        </w:rPr>
        <w:t xml:space="preserve">Publication Date: </w:t>
      </w:r>
      <w:r w:rsidR="001D4BCE">
        <w:rPr>
          <w:sz w:val="28"/>
          <w:szCs w:val="28"/>
        </w:rPr>
        <w:t>November</w:t>
      </w:r>
      <w:r w:rsidR="0006669A">
        <w:rPr>
          <w:sz w:val="28"/>
          <w:szCs w:val="28"/>
        </w:rPr>
        <w:t xml:space="preserve"> </w:t>
      </w:r>
      <w:r w:rsidR="001D4BCE">
        <w:rPr>
          <w:sz w:val="28"/>
          <w:szCs w:val="28"/>
        </w:rPr>
        <w:t>2023</w:t>
      </w:r>
    </w:p>
    <w:p w14:paraId="06A6B3A5" w14:textId="60E10752" w:rsidR="00E57DB9" w:rsidRDefault="00E57DB9" w:rsidP="00E57DB9">
      <w:pPr>
        <w:rPr>
          <w:sz w:val="28"/>
          <w:szCs w:val="28"/>
        </w:rPr>
      </w:pPr>
      <w:r>
        <w:rPr>
          <w:sz w:val="28"/>
          <w:szCs w:val="28"/>
        </w:rPr>
        <w:t>Next Major Review Date:</w:t>
      </w:r>
      <w:r w:rsidR="00AE4F54">
        <w:rPr>
          <w:sz w:val="28"/>
          <w:szCs w:val="28"/>
        </w:rPr>
        <w:t xml:space="preserve"> </w:t>
      </w:r>
      <w:r w:rsidR="001D4BCE">
        <w:rPr>
          <w:sz w:val="28"/>
          <w:szCs w:val="28"/>
        </w:rPr>
        <w:t>November 2028</w:t>
      </w:r>
    </w:p>
    <w:p w14:paraId="6DA341A1" w14:textId="5E07BBB4" w:rsidR="00347CA8" w:rsidRPr="00004C16" w:rsidRDefault="00347CA8" w:rsidP="00E57DB9">
      <w:pPr>
        <w:rPr>
          <w:sz w:val="28"/>
          <w:szCs w:val="28"/>
        </w:rPr>
      </w:pPr>
      <w:r>
        <w:rPr>
          <w:sz w:val="28"/>
          <w:szCs w:val="28"/>
        </w:rPr>
        <w:t>Doc</w:t>
      </w:r>
      <w:r w:rsidRPr="006D68B8">
        <w:rPr>
          <w:sz w:val="28"/>
          <w:szCs w:val="28"/>
        </w:rPr>
        <w:t>. Ref.</w:t>
      </w:r>
      <w:r w:rsidR="006D68B8" w:rsidRPr="005141CA">
        <w:rPr>
          <w:sz w:val="28"/>
          <w:szCs w:val="28"/>
        </w:rPr>
        <w:t xml:space="preserve"> </w:t>
      </w:r>
      <w:r w:rsidR="006D68B8" w:rsidRPr="005141CA">
        <w:rPr>
          <w:color w:val="111111"/>
          <w:sz w:val="28"/>
          <w:szCs w:val="28"/>
        </w:rPr>
        <w:t>NS-TAST-GD-009</w:t>
      </w:r>
      <w:r w:rsidRPr="006D68B8">
        <w:rPr>
          <w:sz w:val="28"/>
          <w:szCs w:val="28"/>
        </w:rPr>
        <w:t xml:space="preserve"> </w:t>
      </w:r>
    </w:p>
    <w:p w14:paraId="55057C62" w14:textId="2B9E658D" w:rsidR="00004C16" w:rsidRPr="00004C16" w:rsidRDefault="00004C16" w:rsidP="00004C16">
      <w:pPr>
        <w:rPr>
          <w:sz w:val="28"/>
          <w:szCs w:val="28"/>
        </w:rPr>
      </w:pPr>
      <w:r w:rsidRPr="00004C16">
        <w:rPr>
          <w:sz w:val="28"/>
          <w:szCs w:val="28"/>
        </w:rPr>
        <w:t>Record Ref. No.</w:t>
      </w:r>
      <w:r w:rsidR="006B296C">
        <w:rPr>
          <w:sz w:val="28"/>
          <w:szCs w:val="28"/>
        </w:rPr>
        <w:t xml:space="preserve">: </w:t>
      </w:r>
      <w:r w:rsidR="006B296C" w:rsidRPr="006B296C">
        <w:rPr>
          <w:sz w:val="28"/>
          <w:szCs w:val="28"/>
        </w:rPr>
        <w:t>2020/139180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2F5464EC" w:rsidR="00595C8C" w:rsidRDefault="004069D6"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643E">
                  <w:rPr>
                    <w:sz w:val="28"/>
                    <w:szCs w:val="28"/>
                  </w:rPr>
                  <w:t>7</w:t>
                </w:r>
              </w:sdtContent>
            </w:sdt>
          </w:p>
        </w:tc>
        <w:tc>
          <w:tcPr>
            <w:tcW w:w="7466" w:type="dxa"/>
          </w:tcPr>
          <w:p w14:paraId="1C80912E" w14:textId="7FB19024" w:rsidR="00595C8C" w:rsidRDefault="00D80D43" w:rsidP="00595C8C">
            <w:pPr>
              <w:spacing w:before="60" w:after="60"/>
            </w:pPr>
            <w:r>
              <w:t>Routine update</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E32E18B" w14:textId="581D461A" w:rsidR="00BB2441"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0328679" w:history="1">
        <w:r w:rsidR="00BB2441" w:rsidRPr="00941771">
          <w:rPr>
            <w:rStyle w:val="Hyperlink"/>
          </w:rPr>
          <w:t>1.</w:t>
        </w:r>
        <w:r w:rsidR="00BB2441">
          <w:rPr>
            <w:rFonts w:asciiTheme="minorHAnsi" w:eastAsiaTheme="minorEastAsia" w:hAnsiTheme="minorHAnsi" w:cstheme="minorBidi"/>
            <w:sz w:val="22"/>
            <w:lang w:eastAsia="en-GB" w:bidi="ar-SA"/>
          </w:rPr>
          <w:tab/>
        </w:r>
        <w:r w:rsidR="00BB2441" w:rsidRPr="00941771">
          <w:rPr>
            <w:rStyle w:val="Hyperlink"/>
          </w:rPr>
          <w:t>Introduction</w:t>
        </w:r>
        <w:r w:rsidR="00BB2441">
          <w:rPr>
            <w:webHidden/>
          </w:rPr>
          <w:tab/>
        </w:r>
        <w:r w:rsidR="00BB2441">
          <w:rPr>
            <w:webHidden/>
          </w:rPr>
          <w:fldChar w:fldCharType="begin"/>
        </w:r>
        <w:r w:rsidR="00BB2441">
          <w:rPr>
            <w:webHidden/>
          </w:rPr>
          <w:instrText xml:space="preserve"> PAGEREF _Toc150328679 \h </w:instrText>
        </w:r>
        <w:r w:rsidR="00BB2441">
          <w:rPr>
            <w:webHidden/>
          </w:rPr>
        </w:r>
        <w:r w:rsidR="00BB2441">
          <w:rPr>
            <w:webHidden/>
          </w:rPr>
          <w:fldChar w:fldCharType="separate"/>
        </w:r>
        <w:r w:rsidR="00BB2441">
          <w:rPr>
            <w:webHidden/>
          </w:rPr>
          <w:t>4</w:t>
        </w:r>
        <w:r w:rsidR="00BB2441">
          <w:rPr>
            <w:webHidden/>
          </w:rPr>
          <w:fldChar w:fldCharType="end"/>
        </w:r>
      </w:hyperlink>
    </w:p>
    <w:p w14:paraId="01039CCB" w14:textId="2144E0C4" w:rsidR="00BB2441" w:rsidRDefault="004069D6">
      <w:pPr>
        <w:pStyle w:val="TOC1"/>
        <w:tabs>
          <w:tab w:val="left" w:pos="720"/>
        </w:tabs>
        <w:rPr>
          <w:rFonts w:asciiTheme="minorHAnsi" w:eastAsiaTheme="minorEastAsia" w:hAnsiTheme="minorHAnsi" w:cstheme="minorBidi"/>
          <w:sz w:val="22"/>
          <w:lang w:eastAsia="en-GB" w:bidi="ar-SA"/>
        </w:rPr>
      </w:pPr>
      <w:hyperlink w:anchor="_Toc150328680" w:history="1">
        <w:r w:rsidR="00BB2441" w:rsidRPr="00941771">
          <w:rPr>
            <w:rStyle w:val="Hyperlink"/>
          </w:rPr>
          <w:t>2.</w:t>
        </w:r>
        <w:r w:rsidR="00BB2441">
          <w:rPr>
            <w:rFonts w:asciiTheme="minorHAnsi" w:eastAsiaTheme="minorEastAsia" w:hAnsiTheme="minorHAnsi" w:cstheme="minorBidi"/>
            <w:sz w:val="22"/>
            <w:lang w:eastAsia="en-GB" w:bidi="ar-SA"/>
          </w:rPr>
          <w:tab/>
        </w:r>
        <w:r w:rsidR="00BB2441" w:rsidRPr="00941771">
          <w:rPr>
            <w:rStyle w:val="Hyperlink"/>
          </w:rPr>
          <w:t>Purpose and Scope</w:t>
        </w:r>
        <w:r w:rsidR="00BB2441">
          <w:rPr>
            <w:webHidden/>
          </w:rPr>
          <w:tab/>
        </w:r>
        <w:r w:rsidR="00BB2441">
          <w:rPr>
            <w:webHidden/>
          </w:rPr>
          <w:fldChar w:fldCharType="begin"/>
        </w:r>
        <w:r w:rsidR="00BB2441">
          <w:rPr>
            <w:webHidden/>
          </w:rPr>
          <w:instrText xml:space="preserve"> PAGEREF _Toc150328680 \h </w:instrText>
        </w:r>
        <w:r w:rsidR="00BB2441">
          <w:rPr>
            <w:webHidden/>
          </w:rPr>
        </w:r>
        <w:r w:rsidR="00BB2441">
          <w:rPr>
            <w:webHidden/>
          </w:rPr>
          <w:fldChar w:fldCharType="separate"/>
        </w:r>
        <w:r w:rsidR="00BB2441">
          <w:rPr>
            <w:webHidden/>
          </w:rPr>
          <w:t>4</w:t>
        </w:r>
        <w:r w:rsidR="00BB2441">
          <w:rPr>
            <w:webHidden/>
          </w:rPr>
          <w:fldChar w:fldCharType="end"/>
        </w:r>
      </w:hyperlink>
    </w:p>
    <w:p w14:paraId="02A2BEA3" w14:textId="7946DC96" w:rsidR="00BB2441" w:rsidRDefault="004069D6">
      <w:pPr>
        <w:pStyle w:val="TOC1"/>
        <w:tabs>
          <w:tab w:val="left" w:pos="720"/>
        </w:tabs>
        <w:rPr>
          <w:rFonts w:asciiTheme="minorHAnsi" w:eastAsiaTheme="minorEastAsia" w:hAnsiTheme="minorHAnsi" w:cstheme="minorBidi"/>
          <w:sz w:val="22"/>
          <w:lang w:eastAsia="en-GB" w:bidi="ar-SA"/>
        </w:rPr>
      </w:pPr>
      <w:hyperlink w:anchor="_Toc150328681" w:history="1">
        <w:r w:rsidR="00BB2441" w:rsidRPr="00941771">
          <w:rPr>
            <w:rStyle w:val="Hyperlink"/>
          </w:rPr>
          <w:t>3.</w:t>
        </w:r>
        <w:r w:rsidR="00BB2441">
          <w:rPr>
            <w:rFonts w:asciiTheme="minorHAnsi" w:eastAsiaTheme="minorEastAsia" w:hAnsiTheme="minorHAnsi" w:cstheme="minorBidi"/>
            <w:sz w:val="22"/>
            <w:lang w:eastAsia="en-GB" w:bidi="ar-SA"/>
          </w:rPr>
          <w:tab/>
        </w:r>
        <w:r w:rsidR="00BB2441" w:rsidRPr="00941771">
          <w:rPr>
            <w:rStyle w:val="Hyperlink"/>
          </w:rPr>
          <w:t>Relationship to Licence and other Relevant Legislation</w:t>
        </w:r>
        <w:r w:rsidR="00BB2441">
          <w:rPr>
            <w:webHidden/>
          </w:rPr>
          <w:tab/>
        </w:r>
        <w:r w:rsidR="00BB2441">
          <w:rPr>
            <w:webHidden/>
          </w:rPr>
          <w:fldChar w:fldCharType="begin"/>
        </w:r>
        <w:r w:rsidR="00BB2441">
          <w:rPr>
            <w:webHidden/>
          </w:rPr>
          <w:instrText xml:space="preserve"> PAGEREF _Toc150328681 \h </w:instrText>
        </w:r>
        <w:r w:rsidR="00BB2441">
          <w:rPr>
            <w:webHidden/>
          </w:rPr>
        </w:r>
        <w:r w:rsidR="00BB2441">
          <w:rPr>
            <w:webHidden/>
          </w:rPr>
          <w:fldChar w:fldCharType="separate"/>
        </w:r>
        <w:r w:rsidR="00BB2441">
          <w:rPr>
            <w:webHidden/>
          </w:rPr>
          <w:t>4</w:t>
        </w:r>
        <w:r w:rsidR="00BB2441">
          <w:rPr>
            <w:webHidden/>
          </w:rPr>
          <w:fldChar w:fldCharType="end"/>
        </w:r>
      </w:hyperlink>
    </w:p>
    <w:p w14:paraId="3878311C" w14:textId="3E2D7ECB" w:rsidR="00BB2441" w:rsidRDefault="004069D6">
      <w:pPr>
        <w:pStyle w:val="TOC1"/>
        <w:tabs>
          <w:tab w:val="left" w:pos="720"/>
        </w:tabs>
        <w:rPr>
          <w:rFonts w:asciiTheme="minorHAnsi" w:eastAsiaTheme="minorEastAsia" w:hAnsiTheme="minorHAnsi" w:cstheme="minorBidi"/>
          <w:sz w:val="22"/>
          <w:lang w:eastAsia="en-GB" w:bidi="ar-SA"/>
        </w:rPr>
      </w:pPr>
      <w:hyperlink w:anchor="_Toc150328682" w:history="1">
        <w:r w:rsidR="00BB2441" w:rsidRPr="00941771">
          <w:rPr>
            <w:rStyle w:val="Hyperlink"/>
          </w:rPr>
          <w:t>4.</w:t>
        </w:r>
        <w:r w:rsidR="00BB2441">
          <w:rPr>
            <w:rFonts w:asciiTheme="minorHAnsi" w:eastAsiaTheme="minorEastAsia" w:hAnsiTheme="minorHAnsi" w:cstheme="minorBidi"/>
            <w:sz w:val="22"/>
            <w:lang w:eastAsia="en-GB" w:bidi="ar-SA"/>
          </w:rPr>
          <w:tab/>
        </w:r>
        <w:r w:rsidR="00BB2441" w:rsidRPr="00941771">
          <w:rPr>
            <w:rStyle w:val="Hyperlink"/>
          </w:rPr>
          <w:t>Relationship to Safety Assessment Principles, WENRA Reference Levels, and IAEA Safety Standards and Guides</w:t>
        </w:r>
        <w:r w:rsidR="00BB2441">
          <w:rPr>
            <w:webHidden/>
          </w:rPr>
          <w:tab/>
        </w:r>
        <w:r w:rsidR="00BB2441">
          <w:rPr>
            <w:webHidden/>
          </w:rPr>
          <w:fldChar w:fldCharType="begin"/>
        </w:r>
        <w:r w:rsidR="00BB2441">
          <w:rPr>
            <w:webHidden/>
          </w:rPr>
          <w:instrText xml:space="preserve"> PAGEREF _Toc150328682 \h </w:instrText>
        </w:r>
        <w:r w:rsidR="00BB2441">
          <w:rPr>
            <w:webHidden/>
          </w:rPr>
        </w:r>
        <w:r w:rsidR="00BB2441">
          <w:rPr>
            <w:webHidden/>
          </w:rPr>
          <w:fldChar w:fldCharType="separate"/>
        </w:r>
        <w:r w:rsidR="00BB2441">
          <w:rPr>
            <w:webHidden/>
          </w:rPr>
          <w:t>7</w:t>
        </w:r>
        <w:r w:rsidR="00BB2441">
          <w:rPr>
            <w:webHidden/>
          </w:rPr>
          <w:fldChar w:fldCharType="end"/>
        </w:r>
      </w:hyperlink>
    </w:p>
    <w:p w14:paraId="7600BF7E" w14:textId="1F764EBD" w:rsidR="00BB2441" w:rsidRDefault="004069D6">
      <w:pPr>
        <w:pStyle w:val="TOC1"/>
        <w:tabs>
          <w:tab w:val="left" w:pos="720"/>
        </w:tabs>
        <w:rPr>
          <w:rFonts w:asciiTheme="minorHAnsi" w:eastAsiaTheme="minorEastAsia" w:hAnsiTheme="minorHAnsi" w:cstheme="minorBidi"/>
          <w:sz w:val="22"/>
          <w:lang w:eastAsia="en-GB" w:bidi="ar-SA"/>
        </w:rPr>
      </w:pPr>
      <w:hyperlink w:anchor="_Toc150328683" w:history="1">
        <w:r w:rsidR="00BB2441" w:rsidRPr="00941771">
          <w:rPr>
            <w:rStyle w:val="Hyperlink"/>
          </w:rPr>
          <w:t>5.</w:t>
        </w:r>
        <w:r w:rsidR="00BB2441">
          <w:rPr>
            <w:rFonts w:asciiTheme="minorHAnsi" w:eastAsiaTheme="minorEastAsia" w:hAnsiTheme="minorHAnsi" w:cstheme="minorBidi"/>
            <w:sz w:val="22"/>
            <w:lang w:eastAsia="en-GB" w:bidi="ar-SA"/>
          </w:rPr>
          <w:tab/>
        </w:r>
        <w:r w:rsidR="00BB2441" w:rsidRPr="00941771">
          <w:rPr>
            <w:rStyle w:val="Hyperlink"/>
          </w:rPr>
          <w:t>Advice to Inspectors</w:t>
        </w:r>
        <w:r w:rsidR="00BB2441">
          <w:rPr>
            <w:webHidden/>
          </w:rPr>
          <w:tab/>
        </w:r>
        <w:r w:rsidR="00BB2441">
          <w:rPr>
            <w:webHidden/>
          </w:rPr>
          <w:fldChar w:fldCharType="begin"/>
        </w:r>
        <w:r w:rsidR="00BB2441">
          <w:rPr>
            <w:webHidden/>
          </w:rPr>
          <w:instrText xml:space="preserve"> PAGEREF _Toc150328683 \h </w:instrText>
        </w:r>
        <w:r w:rsidR="00BB2441">
          <w:rPr>
            <w:webHidden/>
          </w:rPr>
        </w:r>
        <w:r w:rsidR="00BB2441">
          <w:rPr>
            <w:webHidden/>
          </w:rPr>
          <w:fldChar w:fldCharType="separate"/>
        </w:r>
        <w:r w:rsidR="00BB2441">
          <w:rPr>
            <w:webHidden/>
          </w:rPr>
          <w:t>11</w:t>
        </w:r>
        <w:r w:rsidR="00BB2441">
          <w:rPr>
            <w:webHidden/>
          </w:rPr>
          <w:fldChar w:fldCharType="end"/>
        </w:r>
      </w:hyperlink>
    </w:p>
    <w:p w14:paraId="15BF3ED6" w14:textId="252AC5C9" w:rsidR="00BB2441" w:rsidRDefault="004069D6">
      <w:pPr>
        <w:pStyle w:val="TOC1"/>
        <w:tabs>
          <w:tab w:val="left" w:pos="720"/>
        </w:tabs>
        <w:rPr>
          <w:rFonts w:asciiTheme="minorHAnsi" w:eastAsiaTheme="minorEastAsia" w:hAnsiTheme="minorHAnsi" w:cstheme="minorBidi"/>
          <w:sz w:val="22"/>
          <w:lang w:eastAsia="en-GB" w:bidi="ar-SA"/>
        </w:rPr>
      </w:pPr>
      <w:hyperlink w:anchor="_Toc150328684" w:history="1">
        <w:r w:rsidR="00BB2441" w:rsidRPr="00941771">
          <w:rPr>
            <w:rStyle w:val="Hyperlink"/>
          </w:rPr>
          <w:t>6.</w:t>
        </w:r>
        <w:r w:rsidR="00BB2441">
          <w:rPr>
            <w:rFonts w:asciiTheme="minorHAnsi" w:eastAsiaTheme="minorEastAsia" w:hAnsiTheme="minorHAnsi" w:cstheme="minorBidi"/>
            <w:sz w:val="22"/>
            <w:lang w:eastAsia="en-GB" w:bidi="ar-SA"/>
          </w:rPr>
          <w:tab/>
        </w:r>
        <w:r w:rsidR="00BB2441" w:rsidRPr="00941771">
          <w:rPr>
            <w:rStyle w:val="Hyperlink"/>
          </w:rPr>
          <w:t>References</w:t>
        </w:r>
        <w:r w:rsidR="00BB2441">
          <w:rPr>
            <w:webHidden/>
          </w:rPr>
          <w:tab/>
        </w:r>
        <w:r w:rsidR="00BB2441">
          <w:rPr>
            <w:webHidden/>
          </w:rPr>
          <w:fldChar w:fldCharType="begin"/>
        </w:r>
        <w:r w:rsidR="00BB2441">
          <w:rPr>
            <w:webHidden/>
          </w:rPr>
          <w:instrText xml:space="preserve"> PAGEREF _Toc150328684 \h </w:instrText>
        </w:r>
        <w:r w:rsidR="00BB2441">
          <w:rPr>
            <w:webHidden/>
          </w:rPr>
        </w:r>
        <w:r w:rsidR="00BB2441">
          <w:rPr>
            <w:webHidden/>
          </w:rPr>
          <w:fldChar w:fldCharType="separate"/>
        </w:r>
        <w:r w:rsidR="00BB2441">
          <w:rPr>
            <w:webHidden/>
          </w:rPr>
          <w:t>20</w:t>
        </w:r>
        <w:r w:rsidR="00BB2441">
          <w:rPr>
            <w:webHidden/>
          </w:rPr>
          <w:fldChar w:fldCharType="end"/>
        </w:r>
      </w:hyperlink>
    </w:p>
    <w:p w14:paraId="64DA472B" w14:textId="0910BDD0" w:rsidR="00BB2441" w:rsidRDefault="004069D6">
      <w:pPr>
        <w:pStyle w:val="TOC1"/>
        <w:rPr>
          <w:rFonts w:asciiTheme="minorHAnsi" w:eastAsiaTheme="minorEastAsia" w:hAnsiTheme="minorHAnsi" w:cstheme="minorBidi"/>
          <w:sz w:val="22"/>
          <w:lang w:eastAsia="en-GB" w:bidi="ar-SA"/>
        </w:rPr>
      </w:pPr>
      <w:hyperlink w:anchor="_Toc150328685" w:history="1">
        <w:r w:rsidR="00BB2441" w:rsidRPr="00941771">
          <w:rPr>
            <w:rStyle w:val="Hyperlink"/>
          </w:rPr>
          <w:t>Glossary and Abbreviations</w:t>
        </w:r>
        <w:r w:rsidR="00BB2441">
          <w:rPr>
            <w:webHidden/>
          </w:rPr>
          <w:tab/>
        </w:r>
        <w:r w:rsidR="00BB2441">
          <w:rPr>
            <w:webHidden/>
          </w:rPr>
          <w:fldChar w:fldCharType="begin"/>
        </w:r>
        <w:r w:rsidR="00BB2441">
          <w:rPr>
            <w:webHidden/>
          </w:rPr>
          <w:instrText xml:space="preserve"> PAGEREF _Toc150328685 \h </w:instrText>
        </w:r>
        <w:r w:rsidR="00BB2441">
          <w:rPr>
            <w:webHidden/>
          </w:rPr>
        </w:r>
        <w:r w:rsidR="00BB2441">
          <w:rPr>
            <w:webHidden/>
          </w:rPr>
          <w:fldChar w:fldCharType="separate"/>
        </w:r>
        <w:r w:rsidR="00BB2441">
          <w:rPr>
            <w:webHidden/>
          </w:rPr>
          <w:t>21</w:t>
        </w:r>
        <w:r w:rsidR="00BB2441">
          <w:rPr>
            <w:webHidden/>
          </w:rPr>
          <w:fldChar w:fldCharType="end"/>
        </w:r>
      </w:hyperlink>
    </w:p>
    <w:p w14:paraId="24E93C00" w14:textId="03D18CA8" w:rsidR="00BB2441" w:rsidRDefault="004069D6">
      <w:pPr>
        <w:pStyle w:val="TOC1"/>
        <w:rPr>
          <w:rFonts w:asciiTheme="minorHAnsi" w:eastAsiaTheme="minorEastAsia" w:hAnsiTheme="minorHAnsi" w:cstheme="minorBidi"/>
          <w:sz w:val="22"/>
          <w:lang w:eastAsia="en-GB" w:bidi="ar-SA"/>
        </w:rPr>
      </w:pPr>
      <w:hyperlink w:anchor="_Toc150328686" w:history="1">
        <w:r w:rsidR="00BB2441" w:rsidRPr="00941771">
          <w:rPr>
            <w:rStyle w:val="Hyperlink"/>
          </w:rPr>
          <w:t>Appendix 1 – Site Licence Conditions</w:t>
        </w:r>
        <w:r w:rsidR="00BB2441">
          <w:rPr>
            <w:webHidden/>
          </w:rPr>
          <w:tab/>
        </w:r>
        <w:r w:rsidR="00BB2441">
          <w:rPr>
            <w:webHidden/>
          </w:rPr>
          <w:fldChar w:fldCharType="begin"/>
        </w:r>
        <w:r w:rsidR="00BB2441">
          <w:rPr>
            <w:webHidden/>
          </w:rPr>
          <w:instrText xml:space="preserve"> PAGEREF _Toc150328686 \h </w:instrText>
        </w:r>
        <w:r w:rsidR="00BB2441">
          <w:rPr>
            <w:webHidden/>
          </w:rPr>
        </w:r>
        <w:r w:rsidR="00BB2441">
          <w:rPr>
            <w:webHidden/>
          </w:rPr>
          <w:fldChar w:fldCharType="separate"/>
        </w:r>
        <w:r w:rsidR="00BB2441">
          <w:rPr>
            <w:webHidden/>
          </w:rPr>
          <w:t>22</w:t>
        </w:r>
        <w:r w:rsidR="00BB2441">
          <w:rPr>
            <w:webHidden/>
          </w:rPr>
          <w:fldChar w:fldCharType="end"/>
        </w:r>
      </w:hyperlink>
    </w:p>
    <w:p w14:paraId="22AF9DC0" w14:textId="1F7BA983" w:rsidR="00BB2441" w:rsidRDefault="004069D6">
      <w:pPr>
        <w:pStyle w:val="TOC1"/>
        <w:rPr>
          <w:rFonts w:asciiTheme="minorHAnsi" w:eastAsiaTheme="minorEastAsia" w:hAnsiTheme="minorHAnsi" w:cstheme="minorBidi"/>
          <w:sz w:val="22"/>
          <w:lang w:eastAsia="en-GB" w:bidi="ar-SA"/>
        </w:rPr>
      </w:pPr>
      <w:hyperlink w:anchor="_Toc150328687" w:history="1">
        <w:r w:rsidR="00BB2441" w:rsidRPr="00941771">
          <w:rPr>
            <w:rStyle w:val="Hyperlink"/>
          </w:rPr>
          <w:t>Appendix 2 – Safety Assessment Principles</w:t>
        </w:r>
        <w:r w:rsidR="00BB2441">
          <w:rPr>
            <w:webHidden/>
          </w:rPr>
          <w:tab/>
        </w:r>
        <w:r w:rsidR="00BB2441">
          <w:rPr>
            <w:webHidden/>
          </w:rPr>
          <w:fldChar w:fldCharType="begin"/>
        </w:r>
        <w:r w:rsidR="00BB2441">
          <w:rPr>
            <w:webHidden/>
          </w:rPr>
          <w:instrText xml:space="preserve"> PAGEREF _Toc150328687 \h </w:instrText>
        </w:r>
        <w:r w:rsidR="00BB2441">
          <w:rPr>
            <w:webHidden/>
          </w:rPr>
        </w:r>
        <w:r w:rsidR="00BB2441">
          <w:rPr>
            <w:webHidden/>
          </w:rPr>
          <w:fldChar w:fldCharType="separate"/>
        </w:r>
        <w:r w:rsidR="00BB2441">
          <w:rPr>
            <w:webHidden/>
          </w:rPr>
          <w:t>24</w:t>
        </w:r>
        <w:r w:rsidR="00BB2441">
          <w:rPr>
            <w:webHidden/>
          </w:rPr>
          <w:fldChar w:fldCharType="end"/>
        </w:r>
      </w:hyperlink>
    </w:p>
    <w:p w14:paraId="0CC4B54A" w14:textId="005DB546" w:rsidR="00267815" w:rsidRDefault="00404B0C" w:rsidP="00267815">
      <w:r>
        <w:fldChar w:fldCharType="end"/>
      </w:r>
    </w:p>
    <w:p w14:paraId="13337A65" w14:textId="77777777" w:rsidR="004034C8" w:rsidRDefault="004034C8">
      <w:pPr>
        <w:spacing w:after="0" w:line="240" w:lineRule="auto"/>
        <w:rPr>
          <w:color w:val="22413A"/>
          <w:sz w:val="48"/>
        </w:rPr>
      </w:pPr>
      <w:bookmarkStart w:id="1" w:name="_Toc149137926"/>
      <w:bookmarkStart w:id="2" w:name="_Toc149215662"/>
      <w:bookmarkStart w:id="3" w:name="_Toc149226638"/>
      <w:bookmarkStart w:id="4" w:name="_Toc149137927"/>
      <w:bookmarkStart w:id="5" w:name="_Toc149215663"/>
      <w:bookmarkStart w:id="6" w:name="_Toc149226639"/>
      <w:bookmarkStart w:id="7" w:name="_Toc149137928"/>
      <w:bookmarkStart w:id="8" w:name="_Toc149215664"/>
      <w:bookmarkStart w:id="9" w:name="_Toc149226640"/>
      <w:bookmarkStart w:id="10" w:name="_Toc149137929"/>
      <w:bookmarkStart w:id="11" w:name="_Toc149215665"/>
      <w:bookmarkStart w:id="12" w:name="_Toc149226641"/>
      <w:bookmarkStart w:id="13" w:name="_Toc149137930"/>
      <w:bookmarkStart w:id="14" w:name="_Toc149215666"/>
      <w:bookmarkStart w:id="15" w:name="_Toc149226642"/>
      <w:bookmarkStart w:id="16" w:name="_Toc149137931"/>
      <w:bookmarkStart w:id="17" w:name="_Toc149215667"/>
      <w:bookmarkStart w:id="18" w:name="_Toc149226643"/>
      <w:bookmarkStart w:id="19" w:name="_Toc149137932"/>
      <w:bookmarkStart w:id="20" w:name="_Toc149215668"/>
      <w:bookmarkStart w:id="21" w:name="_Toc149226644"/>
      <w:bookmarkStart w:id="22" w:name="_Toc149137933"/>
      <w:bookmarkStart w:id="23" w:name="_Toc149215669"/>
      <w:bookmarkStart w:id="24" w:name="_Toc149226645"/>
      <w:bookmarkStart w:id="25" w:name="_Toc149137934"/>
      <w:bookmarkStart w:id="26" w:name="_Toc149215670"/>
      <w:bookmarkStart w:id="27" w:name="_Toc149226646"/>
      <w:bookmarkStart w:id="28" w:name="_Toc149137935"/>
      <w:bookmarkStart w:id="29" w:name="_Toc149215671"/>
      <w:bookmarkStart w:id="30" w:name="_Toc149226647"/>
      <w:bookmarkStart w:id="31" w:name="_Toc149137936"/>
      <w:bookmarkStart w:id="32" w:name="_Toc149215672"/>
      <w:bookmarkStart w:id="33" w:name="_Toc149226648"/>
      <w:bookmarkStart w:id="34" w:name="_Toc149137937"/>
      <w:bookmarkStart w:id="35" w:name="_Toc149215673"/>
      <w:bookmarkStart w:id="36" w:name="_Toc149226649"/>
      <w:bookmarkStart w:id="37" w:name="_Toc149137938"/>
      <w:bookmarkStart w:id="38" w:name="_Toc149215674"/>
      <w:bookmarkStart w:id="39" w:name="_Toc149226650"/>
      <w:bookmarkStart w:id="40" w:name="_Toc149137939"/>
      <w:bookmarkStart w:id="41" w:name="_Toc149215675"/>
      <w:bookmarkStart w:id="42" w:name="_Toc149226651"/>
      <w:bookmarkStart w:id="43" w:name="_Toc149137940"/>
      <w:bookmarkStart w:id="44" w:name="_Toc149215676"/>
      <w:bookmarkStart w:id="45" w:name="_Toc149226652"/>
      <w:bookmarkStart w:id="46" w:name="_Toc149137941"/>
      <w:bookmarkStart w:id="47" w:name="_Toc149215677"/>
      <w:bookmarkStart w:id="48" w:name="_Toc149226653"/>
      <w:bookmarkStart w:id="49" w:name="_Toc149137942"/>
      <w:bookmarkStart w:id="50" w:name="_Toc149215678"/>
      <w:bookmarkStart w:id="51" w:name="_Toc149226654"/>
      <w:bookmarkStart w:id="52" w:name="_Toc149137943"/>
      <w:bookmarkStart w:id="53" w:name="_Toc149215679"/>
      <w:bookmarkStart w:id="54" w:name="_Toc149226655"/>
      <w:bookmarkStart w:id="55" w:name="_Toc149137944"/>
      <w:bookmarkStart w:id="56" w:name="_Toc149215680"/>
      <w:bookmarkStart w:id="57" w:name="_Toc149226656"/>
      <w:bookmarkStart w:id="58" w:name="_Toc149137945"/>
      <w:bookmarkStart w:id="59" w:name="_Toc149215681"/>
      <w:bookmarkStart w:id="60" w:name="_Toc149226657"/>
      <w:bookmarkStart w:id="61" w:name="_Toc149137946"/>
      <w:bookmarkStart w:id="62" w:name="_Toc149215682"/>
      <w:bookmarkStart w:id="63" w:name="_Toc149226658"/>
      <w:bookmarkStart w:id="64" w:name="_Toc149137947"/>
      <w:bookmarkStart w:id="65" w:name="_Toc149215683"/>
      <w:bookmarkStart w:id="66" w:name="_Toc149226659"/>
      <w:bookmarkStart w:id="67" w:name="_Toc149137948"/>
      <w:bookmarkStart w:id="68" w:name="_Toc149215684"/>
      <w:bookmarkStart w:id="69" w:name="_Toc149226660"/>
      <w:bookmarkStart w:id="70" w:name="_Toc149137949"/>
      <w:bookmarkStart w:id="71" w:name="_Toc149215685"/>
      <w:bookmarkStart w:id="72" w:name="_Toc149226661"/>
      <w:bookmarkStart w:id="73" w:name="_Toc149137950"/>
      <w:bookmarkStart w:id="74" w:name="_Toc149215686"/>
      <w:bookmarkStart w:id="75" w:name="_Toc149226662"/>
      <w:bookmarkStart w:id="76" w:name="_Toc149137951"/>
      <w:bookmarkStart w:id="77" w:name="_Toc149215687"/>
      <w:bookmarkStart w:id="78" w:name="_Toc149226663"/>
      <w:bookmarkStart w:id="79" w:name="_Toc149137952"/>
      <w:bookmarkStart w:id="80" w:name="_Toc149215688"/>
      <w:bookmarkStart w:id="81" w:name="_Toc149226664"/>
      <w:bookmarkStart w:id="82" w:name="_Toc149137953"/>
      <w:bookmarkStart w:id="83" w:name="_Toc149215689"/>
      <w:bookmarkStart w:id="84" w:name="_Toc149226665"/>
      <w:bookmarkStart w:id="85" w:name="_Toc149137954"/>
      <w:bookmarkStart w:id="86" w:name="_Toc149215690"/>
      <w:bookmarkStart w:id="87" w:name="_Toc149226666"/>
      <w:bookmarkStart w:id="88" w:name="_Toc149137955"/>
      <w:bookmarkStart w:id="89" w:name="_Toc149215691"/>
      <w:bookmarkStart w:id="90" w:name="_Toc149226667"/>
      <w:bookmarkStart w:id="91" w:name="_Toc149137956"/>
      <w:bookmarkStart w:id="92" w:name="_Toc149215692"/>
      <w:bookmarkStart w:id="93" w:name="_Toc149226668"/>
      <w:bookmarkStart w:id="94" w:name="_Toc149137957"/>
      <w:bookmarkStart w:id="95" w:name="_Toc149215693"/>
      <w:bookmarkStart w:id="96" w:name="_Toc149226669"/>
      <w:bookmarkStart w:id="97" w:name="_Toc149137958"/>
      <w:bookmarkStart w:id="98" w:name="_Toc149215694"/>
      <w:bookmarkStart w:id="99" w:name="_Toc149226670"/>
      <w:bookmarkStart w:id="100" w:name="_Toc149137959"/>
      <w:bookmarkStart w:id="101" w:name="_Toc149215695"/>
      <w:bookmarkStart w:id="102" w:name="_Toc149226671"/>
      <w:bookmarkStart w:id="103" w:name="_Toc149137960"/>
      <w:bookmarkStart w:id="104" w:name="_Toc149215696"/>
      <w:bookmarkStart w:id="105" w:name="_Toc149226672"/>
      <w:bookmarkStart w:id="106" w:name="_Toc149137961"/>
      <w:bookmarkStart w:id="107" w:name="_Toc149215697"/>
      <w:bookmarkStart w:id="108" w:name="_Toc149226673"/>
      <w:bookmarkStart w:id="109" w:name="_Toc149137962"/>
      <w:bookmarkStart w:id="110" w:name="_Toc149215698"/>
      <w:bookmarkStart w:id="111" w:name="_Toc149226674"/>
      <w:bookmarkStart w:id="112" w:name="_Toc149137963"/>
      <w:bookmarkStart w:id="113" w:name="_Toc149215699"/>
      <w:bookmarkStart w:id="114" w:name="_Toc149226675"/>
      <w:bookmarkStart w:id="115" w:name="_Toc149137964"/>
      <w:bookmarkStart w:id="116" w:name="_Toc149215700"/>
      <w:bookmarkStart w:id="117" w:name="_Toc149226676"/>
      <w:bookmarkStart w:id="118" w:name="_Toc149137965"/>
      <w:bookmarkStart w:id="119" w:name="_Toc149215701"/>
      <w:bookmarkStart w:id="120" w:name="_Toc149226677"/>
      <w:bookmarkStart w:id="121" w:name="_Toc149137966"/>
      <w:bookmarkStart w:id="122" w:name="_Toc149215702"/>
      <w:bookmarkStart w:id="123" w:name="_Toc149226678"/>
      <w:bookmarkStart w:id="124" w:name="_Toc149137967"/>
      <w:bookmarkStart w:id="125" w:name="_Toc149215703"/>
      <w:bookmarkStart w:id="126" w:name="_Toc149226679"/>
      <w:bookmarkStart w:id="127" w:name="_Toc149137968"/>
      <w:bookmarkStart w:id="128" w:name="_Toc149215704"/>
      <w:bookmarkStart w:id="129" w:name="_Toc149226680"/>
      <w:bookmarkStart w:id="130" w:name="_Toc149137969"/>
      <w:bookmarkStart w:id="131" w:name="_Toc149215705"/>
      <w:bookmarkStart w:id="132" w:name="_Toc149226681"/>
      <w:bookmarkStart w:id="133" w:name="_Toc149137970"/>
      <w:bookmarkStart w:id="134" w:name="_Toc149215706"/>
      <w:bookmarkStart w:id="135" w:name="_Toc149226682"/>
      <w:bookmarkStart w:id="136" w:name="_Toc149137971"/>
      <w:bookmarkStart w:id="137" w:name="_Toc149215707"/>
      <w:bookmarkStart w:id="138" w:name="_Toc149226683"/>
      <w:bookmarkStart w:id="139" w:name="_Toc149137972"/>
      <w:bookmarkStart w:id="140" w:name="_Toc149215708"/>
      <w:bookmarkStart w:id="141" w:name="_Toc149226684"/>
      <w:bookmarkStart w:id="142" w:name="_Toc149137973"/>
      <w:bookmarkStart w:id="143" w:name="_Toc149215709"/>
      <w:bookmarkStart w:id="144" w:name="_Toc149226685"/>
      <w:bookmarkStart w:id="145" w:name="_Toc149137974"/>
      <w:bookmarkStart w:id="146" w:name="_Toc149215710"/>
      <w:bookmarkStart w:id="147" w:name="_Toc149226686"/>
      <w:bookmarkStart w:id="148" w:name="_Toc149137975"/>
      <w:bookmarkStart w:id="149" w:name="_Toc149215711"/>
      <w:bookmarkStart w:id="150" w:name="_Toc149226687"/>
      <w:bookmarkStart w:id="151" w:name="_Toc149137976"/>
      <w:bookmarkStart w:id="152" w:name="_Toc149215712"/>
      <w:bookmarkStart w:id="153" w:name="_Toc149226688"/>
      <w:bookmarkStart w:id="154" w:name="_Toc149137977"/>
      <w:bookmarkStart w:id="155" w:name="_Toc149215713"/>
      <w:bookmarkStart w:id="156" w:name="_Toc149226689"/>
      <w:bookmarkStart w:id="157" w:name="_Toc149137978"/>
      <w:bookmarkStart w:id="158" w:name="_Toc149215714"/>
      <w:bookmarkStart w:id="159" w:name="_Toc149226690"/>
      <w:bookmarkStart w:id="160" w:name="_Toc149137979"/>
      <w:bookmarkStart w:id="161" w:name="_Toc149215715"/>
      <w:bookmarkStart w:id="162" w:name="_Toc149226691"/>
      <w:bookmarkStart w:id="163" w:name="_Toc149137980"/>
      <w:bookmarkStart w:id="164" w:name="_Toc149215716"/>
      <w:bookmarkStart w:id="165" w:name="_Toc149226692"/>
      <w:bookmarkStart w:id="166" w:name="_Toc149137981"/>
      <w:bookmarkStart w:id="167" w:name="_Toc149215717"/>
      <w:bookmarkStart w:id="168" w:name="_Toc149226693"/>
      <w:bookmarkStart w:id="169" w:name="_Toc149137982"/>
      <w:bookmarkStart w:id="170" w:name="_Toc149215718"/>
      <w:bookmarkStart w:id="171" w:name="_Toc149226694"/>
      <w:bookmarkStart w:id="172" w:name="_Toc149137983"/>
      <w:bookmarkStart w:id="173" w:name="_Toc149215719"/>
      <w:bookmarkStart w:id="174" w:name="_Toc149226695"/>
      <w:bookmarkStart w:id="175" w:name="_Toc149137984"/>
      <w:bookmarkStart w:id="176" w:name="_Toc149215720"/>
      <w:bookmarkStart w:id="177" w:name="_Toc149226696"/>
      <w:bookmarkStart w:id="178" w:name="_Toc149137985"/>
      <w:bookmarkStart w:id="179" w:name="_Toc149215721"/>
      <w:bookmarkStart w:id="180" w:name="_Toc149226697"/>
      <w:bookmarkStart w:id="181" w:name="_Toc149137986"/>
      <w:bookmarkStart w:id="182" w:name="_Toc149215722"/>
      <w:bookmarkStart w:id="183" w:name="_Toc149226698"/>
      <w:bookmarkStart w:id="184" w:name="_Toc149137987"/>
      <w:bookmarkStart w:id="185" w:name="_Toc149215723"/>
      <w:bookmarkStart w:id="186" w:name="_Toc149226699"/>
      <w:bookmarkStart w:id="187" w:name="_Toc149137988"/>
      <w:bookmarkStart w:id="188" w:name="_Toc149215724"/>
      <w:bookmarkStart w:id="189" w:name="_Toc149226700"/>
      <w:bookmarkStart w:id="190" w:name="_Toc149137989"/>
      <w:bookmarkStart w:id="191" w:name="_Toc149215725"/>
      <w:bookmarkStart w:id="192" w:name="_Toc149226701"/>
      <w:bookmarkStart w:id="193" w:name="_Toc149137990"/>
      <w:bookmarkStart w:id="194" w:name="_Toc149215726"/>
      <w:bookmarkStart w:id="195" w:name="_Toc149226702"/>
      <w:bookmarkStart w:id="196" w:name="_Toc149137991"/>
      <w:bookmarkStart w:id="197" w:name="_Toc149215727"/>
      <w:bookmarkStart w:id="198" w:name="_Toc149226703"/>
      <w:bookmarkStart w:id="199" w:name="_Toc149137992"/>
      <w:bookmarkStart w:id="200" w:name="_Toc149215728"/>
      <w:bookmarkStart w:id="201" w:name="_Toc149226704"/>
      <w:bookmarkStart w:id="202" w:name="_Toc149137993"/>
      <w:bookmarkStart w:id="203" w:name="_Toc149215729"/>
      <w:bookmarkStart w:id="204" w:name="_Toc149226705"/>
      <w:bookmarkStart w:id="205" w:name="_Toc149137994"/>
      <w:bookmarkStart w:id="206" w:name="_Toc149215730"/>
      <w:bookmarkStart w:id="207" w:name="_Toc149226706"/>
      <w:bookmarkStart w:id="208" w:name="_Toc149137995"/>
      <w:bookmarkStart w:id="209" w:name="_Toc149215731"/>
      <w:bookmarkStart w:id="210" w:name="_Toc149226707"/>
      <w:bookmarkStart w:id="211" w:name="_Toc149137996"/>
      <w:bookmarkStart w:id="212" w:name="_Toc149215732"/>
      <w:bookmarkStart w:id="213" w:name="_Toc149226708"/>
      <w:bookmarkStart w:id="214" w:name="_Toc149137997"/>
      <w:bookmarkStart w:id="215" w:name="_Toc149215733"/>
      <w:bookmarkStart w:id="216" w:name="_Toc149226709"/>
      <w:bookmarkStart w:id="217" w:name="_Toc149137998"/>
      <w:bookmarkStart w:id="218" w:name="_Toc149215734"/>
      <w:bookmarkStart w:id="219" w:name="_Toc149226710"/>
      <w:bookmarkStart w:id="220" w:name="_Toc149137999"/>
      <w:bookmarkStart w:id="221" w:name="_Toc149215735"/>
      <w:bookmarkStart w:id="222" w:name="_Toc149226711"/>
      <w:bookmarkStart w:id="223" w:name="_Toc149138000"/>
      <w:bookmarkStart w:id="224" w:name="_Toc149215736"/>
      <w:bookmarkStart w:id="225" w:name="_Toc149226712"/>
      <w:bookmarkStart w:id="226" w:name="_Toc149138001"/>
      <w:bookmarkStart w:id="227" w:name="_Toc149215737"/>
      <w:bookmarkStart w:id="228" w:name="_Toc149226713"/>
      <w:bookmarkStart w:id="229" w:name="_Toc149138002"/>
      <w:bookmarkStart w:id="230" w:name="_Toc149215738"/>
      <w:bookmarkStart w:id="231" w:name="_Toc149226714"/>
      <w:bookmarkStart w:id="232" w:name="_Toc149138003"/>
      <w:bookmarkStart w:id="233" w:name="_Toc149215739"/>
      <w:bookmarkStart w:id="234" w:name="_Toc149226715"/>
      <w:bookmarkStart w:id="235" w:name="_Toc149138004"/>
      <w:bookmarkStart w:id="236" w:name="_Toc149215740"/>
      <w:bookmarkStart w:id="237" w:name="_Toc149226716"/>
      <w:bookmarkStart w:id="238" w:name="_Toc149138005"/>
      <w:bookmarkStart w:id="239" w:name="_Toc149215741"/>
      <w:bookmarkStart w:id="240" w:name="_Toc149226717"/>
      <w:bookmarkStart w:id="241" w:name="_Toc149138006"/>
      <w:bookmarkStart w:id="242" w:name="_Toc149215742"/>
      <w:bookmarkStart w:id="243" w:name="_Toc149226718"/>
      <w:bookmarkStart w:id="244" w:name="_Toc149138007"/>
      <w:bookmarkStart w:id="245" w:name="_Toc149215743"/>
      <w:bookmarkStart w:id="246" w:name="_Toc149226719"/>
      <w:bookmarkStart w:id="247" w:name="_Toc149138008"/>
      <w:bookmarkStart w:id="248" w:name="_Toc149215744"/>
      <w:bookmarkStart w:id="249" w:name="_Toc149226720"/>
      <w:bookmarkStart w:id="250" w:name="_Toc149138009"/>
      <w:bookmarkStart w:id="251" w:name="_Toc149215745"/>
      <w:bookmarkStart w:id="252" w:name="_Toc149226721"/>
      <w:bookmarkStart w:id="253" w:name="_Toc149138010"/>
      <w:bookmarkStart w:id="254" w:name="_Toc149215746"/>
      <w:bookmarkStart w:id="255" w:name="_Toc149226722"/>
      <w:bookmarkStart w:id="256" w:name="_Toc149138011"/>
      <w:bookmarkStart w:id="257" w:name="_Toc149215747"/>
      <w:bookmarkStart w:id="258" w:name="_Toc149226723"/>
      <w:bookmarkStart w:id="259" w:name="_Toc149138012"/>
      <w:bookmarkStart w:id="260" w:name="_Toc149215748"/>
      <w:bookmarkStart w:id="261" w:name="_Toc149226724"/>
      <w:bookmarkStart w:id="262" w:name="_Toc149138013"/>
      <w:bookmarkStart w:id="263" w:name="_Toc149215749"/>
      <w:bookmarkStart w:id="264" w:name="_Toc149226725"/>
      <w:bookmarkStart w:id="265" w:name="_Toc149138014"/>
      <w:bookmarkStart w:id="266" w:name="_Toc149215750"/>
      <w:bookmarkStart w:id="267" w:name="_Toc149226726"/>
      <w:bookmarkStart w:id="268" w:name="_Toc149138015"/>
      <w:bookmarkStart w:id="269" w:name="_Toc149215751"/>
      <w:bookmarkStart w:id="270" w:name="_Toc149226727"/>
      <w:bookmarkStart w:id="271" w:name="_Toc149138016"/>
      <w:bookmarkStart w:id="272" w:name="_Toc149215752"/>
      <w:bookmarkStart w:id="273" w:name="_Toc149226728"/>
      <w:bookmarkStart w:id="274" w:name="_Toc149138017"/>
      <w:bookmarkStart w:id="275" w:name="_Toc149215753"/>
      <w:bookmarkStart w:id="276" w:name="_Toc149226729"/>
      <w:bookmarkStart w:id="277" w:name="_Toc149138018"/>
      <w:bookmarkStart w:id="278" w:name="_Toc149215754"/>
      <w:bookmarkStart w:id="279" w:name="_Toc149226730"/>
      <w:bookmarkStart w:id="280" w:name="_Toc149138019"/>
      <w:bookmarkStart w:id="281" w:name="_Toc149215755"/>
      <w:bookmarkStart w:id="282" w:name="_Toc149226731"/>
      <w:bookmarkStart w:id="283" w:name="_Toc149138020"/>
      <w:bookmarkStart w:id="284" w:name="_Toc149215756"/>
      <w:bookmarkStart w:id="285" w:name="_Toc149226732"/>
      <w:bookmarkStart w:id="286" w:name="_Toc149138021"/>
      <w:bookmarkStart w:id="287" w:name="_Toc149215757"/>
      <w:bookmarkStart w:id="288" w:name="_Toc149226733"/>
      <w:bookmarkStart w:id="289" w:name="_Toc149138022"/>
      <w:bookmarkStart w:id="290" w:name="_Toc149215758"/>
      <w:bookmarkStart w:id="291" w:name="_Toc149226734"/>
      <w:bookmarkStart w:id="292" w:name="_Toc149138023"/>
      <w:bookmarkStart w:id="293" w:name="_Toc149215759"/>
      <w:bookmarkStart w:id="294" w:name="_Toc149226735"/>
      <w:bookmarkStart w:id="295" w:name="_Toc149138024"/>
      <w:bookmarkStart w:id="296" w:name="_Toc149215760"/>
      <w:bookmarkStart w:id="297" w:name="_Toc149226736"/>
      <w:bookmarkStart w:id="298" w:name="_Toc149138025"/>
      <w:bookmarkStart w:id="299" w:name="_Toc149215761"/>
      <w:bookmarkStart w:id="300" w:name="_Toc149226737"/>
      <w:bookmarkStart w:id="301" w:name="_Toc149138026"/>
      <w:bookmarkStart w:id="302" w:name="_Toc149215762"/>
      <w:bookmarkStart w:id="303" w:name="_Toc149226738"/>
      <w:bookmarkStart w:id="304" w:name="_Toc149138027"/>
      <w:bookmarkStart w:id="305" w:name="_Toc149215763"/>
      <w:bookmarkStart w:id="306" w:name="_Toc149226739"/>
      <w:bookmarkStart w:id="307" w:name="_Toc149138028"/>
      <w:bookmarkStart w:id="308" w:name="_Toc149215764"/>
      <w:bookmarkStart w:id="309" w:name="_Toc149226740"/>
      <w:bookmarkStart w:id="310" w:name="_Toc149138029"/>
      <w:bookmarkStart w:id="311" w:name="_Toc149215765"/>
      <w:bookmarkStart w:id="312" w:name="_Toc149226741"/>
      <w:bookmarkStart w:id="313" w:name="_Toc149138030"/>
      <w:bookmarkStart w:id="314" w:name="_Toc149215766"/>
      <w:bookmarkStart w:id="315" w:name="_Toc149226742"/>
      <w:bookmarkStart w:id="316" w:name="_Toc149138031"/>
      <w:bookmarkStart w:id="317" w:name="_Toc149215767"/>
      <w:bookmarkStart w:id="318" w:name="_Toc149226743"/>
      <w:bookmarkStart w:id="319" w:name="_Toc149138032"/>
      <w:bookmarkStart w:id="320" w:name="_Toc149215768"/>
      <w:bookmarkStart w:id="321" w:name="_Toc149226744"/>
      <w:bookmarkStart w:id="322" w:name="_Toc149138033"/>
      <w:bookmarkStart w:id="323" w:name="_Toc149215769"/>
      <w:bookmarkStart w:id="324" w:name="_Toc149226745"/>
      <w:bookmarkStart w:id="325" w:name="_Toc149138034"/>
      <w:bookmarkStart w:id="326" w:name="_Toc149215770"/>
      <w:bookmarkStart w:id="327" w:name="_Toc149226746"/>
      <w:bookmarkStart w:id="328" w:name="_Toc149138035"/>
      <w:bookmarkStart w:id="329" w:name="_Toc149215771"/>
      <w:bookmarkStart w:id="330" w:name="_Toc149226747"/>
      <w:bookmarkStart w:id="331" w:name="_Toc149138036"/>
      <w:bookmarkStart w:id="332" w:name="_Toc149215772"/>
      <w:bookmarkStart w:id="333" w:name="_Toc149226748"/>
      <w:bookmarkStart w:id="334" w:name="_Toc149138037"/>
      <w:bookmarkStart w:id="335" w:name="_Toc149215773"/>
      <w:bookmarkStart w:id="336" w:name="_Toc149226749"/>
      <w:bookmarkStart w:id="337" w:name="_Toc149138038"/>
      <w:bookmarkStart w:id="338" w:name="_Toc149215774"/>
      <w:bookmarkStart w:id="339" w:name="_Toc149226750"/>
      <w:bookmarkStart w:id="340" w:name="_Toc149138039"/>
      <w:bookmarkStart w:id="341" w:name="_Toc149215775"/>
      <w:bookmarkStart w:id="342" w:name="_Toc149226751"/>
      <w:bookmarkStart w:id="343" w:name="_Toc149138040"/>
      <w:bookmarkStart w:id="344" w:name="_Toc149215776"/>
      <w:bookmarkStart w:id="345" w:name="_Toc149226752"/>
      <w:bookmarkStart w:id="346" w:name="_Toc149138041"/>
      <w:bookmarkStart w:id="347" w:name="_Toc149215777"/>
      <w:bookmarkStart w:id="348" w:name="_Toc149226753"/>
      <w:bookmarkStart w:id="349" w:name="_Toc149138054"/>
      <w:bookmarkStart w:id="350" w:name="_Toc149215790"/>
      <w:bookmarkStart w:id="351" w:name="_Toc149226766"/>
      <w:bookmarkStart w:id="352" w:name="_Toc149138060"/>
      <w:bookmarkStart w:id="353" w:name="_Toc149215796"/>
      <w:bookmarkStart w:id="354" w:name="_Toc149226772"/>
      <w:bookmarkStart w:id="355" w:name="_Toc149138066"/>
      <w:bookmarkStart w:id="356" w:name="_Toc149215802"/>
      <w:bookmarkStart w:id="357" w:name="_Toc149226778"/>
      <w:bookmarkStart w:id="358" w:name="_Toc149138067"/>
      <w:bookmarkStart w:id="359" w:name="_Toc149215803"/>
      <w:bookmarkStart w:id="360" w:name="_Toc149226779"/>
      <w:bookmarkStart w:id="361" w:name="_Toc149138068"/>
      <w:bookmarkStart w:id="362" w:name="_Toc149215804"/>
      <w:bookmarkStart w:id="363" w:name="_Toc1492267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br w:type="page"/>
      </w:r>
    </w:p>
    <w:p w14:paraId="43A875A4" w14:textId="64831117" w:rsidR="008D49A5" w:rsidRDefault="008D49A5" w:rsidP="005141CA">
      <w:pPr>
        <w:pStyle w:val="Heading1"/>
      </w:pPr>
      <w:bookmarkStart w:id="364" w:name="_Toc150328679"/>
      <w:r w:rsidRPr="00E90780">
        <w:lastRenderedPageBreak/>
        <w:t>Introduction</w:t>
      </w:r>
      <w:bookmarkEnd w:id="364"/>
    </w:p>
    <w:p w14:paraId="56D71E00" w14:textId="5C8AA113" w:rsidR="000950B3" w:rsidRPr="00712FD1" w:rsidRDefault="000950B3" w:rsidP="00557C28">
      <w:pPr>
        <w:pStyle w:val="F9-Paragraph"/>
      </w:pPr>
      <w:bookmarkStart w:id="365" w:name="_Hlk64448648"/>
      <w:r w:rsidRPr="00712FD1">
        <w:t xml:space="preserve">ONR has established its </w:t>
      </w:r>
      <w:hyperlink r:id="rId17" w:history="1">
        <w:r w:rsidRPr="00F7687C">
          <w:rPr>
            <w:rStyle w:val="Hyperlink"/>
          </w:rPr>
          <w:t>Safety Assessment Principles</w:t>
        </w:r>
      </w:hyperlink>
      <w:r w:rsidRPr="00712FD1">
        <w:t xml:space="preserve"> (SAPs) </w:t>
      </w:r>
      <w:sdt>
        <w:sdtPr>
          <w:id w:val="-1891410551"/>
          <w:citation/>
        </w:sdtPr>
        <w:sdtEndPr/>
        <w:sdtContent>
          <w:r>
            <w:fldChar w:fldCharType="begin"/>
          </w:r>
          <w:r w:rsidR="00557C28">
            <w:instrText xml:space="preserve">CITATION ONR2013 \l 2057 </w:instrText>
          </w:r>
          <w:r>
            <w:fldChar w:fldCharType="separate"/>
          </w:r>
          <w:r w:rsidR="0040433D">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365"/>
    <w:p w14:paraId="332E5A4D" w14:textId="7FCBF740" w:rsidR="000D3F35" w:rsidRDefault="00545E40" w:rsidP="005141CA">
      <w:pPr>
        <w:pStyle w:val="F9-Paragraph"/>
      </w:pPr>
      <w:r>
        <w:t xml:space="preserve">Nuclear processes are designed on the premise that the facility and equipment in use will retain the reliability claimed in the facility Safety Case, thus ensuring that the hazard presented by, and the risk associated with the process is kept at an acceptably low level. The reliability of the facility will only be assured through the facility's full lifecycle by a process of maintenance which may include refurbishment or replacement of </w:t>
      </w:r>
      <w:r w:rsidR="00071E5F">
        <w:t>structures, systems and components</w:t>
      </w:r>
      <w:r>
        <w:t xml:space="preserve"> (SSCs). This process is based upon a sound understanding of the facility, the identification of SSCs important to safety, knowledge of the equipment's ageing mechanisms and the support of a programme of </w:t>
      </w:r>
      <w:r w:rsidR="00071E5F">
        <w:t xml:space="preserve">examination, inspection, maintenance and testing </w:t>
      </w:r>
      <w:r>
        <w:t>(EIMT).</w:t>
      </w:r>
    </w:p>
    <w:p w14:paraId="05AAE39A" w14:textId="593DCEAB" w:rsidR="008D49A5" w:rsidRDefault="000950B3" w:rsidP="000D3F35">
      <w:pPr>
        <w:pStyle w:val="Heading1"/>
      </w:pPr>
      <w:bookmarkStart w:id="366" w:name="_Toc150328680"/>
      <w:r>
        <w:t>Purpose and Scope</w:t>
      </w:r>
      <w:bookmarkEnd w:id="366"/>
    </w:p>
    <w:p w14:paraId="2C94067E" w14:textId="2D8EB0E3" w:rsidR="00496582" w:rsidRPr="00496582" w:rsidRDefault="00496582" w:rsidP="000D3F35">
      <w:pPr>
        <w:pStyle w:val="F9-Paragraph"/>
        <w:rPr>
          <w:lang w:eastAsia="en-GB"/>
        </w:rPr>
      </w:pPr>
      <w:r w:rsidRPr="00496582">
        <w:rPr>
          <w:lang w:eastAsia="en-GB"/>
        </w:rPr>
        <w:t xml:space="preserve">This TAG directly addresses those ONR SAPs </w:t>
      </w:r>
      <w:sdt>
        <w:sdtPr>
          <w:rPr>
            <w:lang w:eastAsia="en-GB"/>
          </w:rPr>
          <w:id w:val="-177503701"/>
          <w:citation/>
        </w:sdtPr>
        <w:sdtEndPr/>
        <w:sdtContent>
          <w:r w:rsidR="00307FBE">
            <w:rPr>
              <w:lang w:eastAsia="en-GB"/>
            </w:rPr>
            <w:fldChar w:fldCharType="begin"/>
          </w:r>
          <w:r w:rsidR="00557C28">
            <w:rPr>
              <w:lang w:eastAsia="en-GB"/>
            </w:rPr>
            <w:instrText xml:space="preserve">CITATION ONR2013 \l 2057 </w:instrText>
          </w:r>
          <w:r w:rsidR="00307FBE">
            <w:rPr>
              <w:lang w:eastAsia="en-GB"/>
            </w:rPr>
            <w:fldChar w:fldCharType="separate"/>
          </w:r>
          <w:r w:rsidR="0040433D">
            <w:rPr>
              <w:noProof/>
              <w:lang w:eastAsia="en-GB"/>
            </w:rPr>
            <w:t>[1]</w:t>
          </w:r>
          <w:r w:rsidR="00307FBE">
            <w:rPr>
              <w:lang w:eastAsia="en-GB"/>
            </w:rPr>
            <w:fldChar w:fldCharType="end"/>
          </w:r>
        </w:sdtContent>
      </w:sdt>
      <w:r w:rsidR="00307FBE">
        <w:rPr>
          <w:lang w:eastAsia="en-GB"/>
        </w:rPr>
        <w:t xml:space="preserve"> </w:t>
      </w:r>
      <w:r w:rsidRPr="00496582">
        <w:rPr>
          <w:lang w:eastAsia="en-GB"/>
        </w:rPr>
        <w:t xml:space="preserve">which relate to </w:t>
      </w:r>
      <w:r w:rsidR="007D1F2D">
        <w:rPr>
          <w:lang w:eastAsia="en-GB"/>
        </w:rPr>
        <w:t>EIMT</w:t>
      </w:r>
      <w:r w:rsidRPr="00496582">
        <w:rPr>
          <w:lang w:eastAsia="en-GB"/>
        </w:rPr>
        <w:t xml:space="preserve"> </w:t>
      </w:r>
      <w:r w:rsidR="00071E5F">
        <w:rPr>
          <w:lang w:eastAsia="en-GB"/>
        </w:rPr>
        <w:t xml:space="preserve">which are </w:t>
      </w:r>
      <w:r w:rsidR="007D1F2D">
        <w:rPr>
          <w:lang w:eastAsia="en-GB"/>
        </w:rPr>
        <w:t xml:space="preserve">SAPs </w:t>
      </w:r>
      <w:r w:rsidRPr="00496582">
        <w:rPr>
          <w:lang w:eastAsia="en-GB"/>
        </w:rPr>
        <w:t>EMT.1</w:t>
      </w:r>
      <w:r w:rsidR="007A0E4F">
        <w:rPr>
          <w:lang w:eastAsia="en-GB"/>
        </w:rPr>
        <w:t xml:space="preserve"> </w:t>
      </w:r>
      <w:r w:rsidR="007D1F2D">
        <w:rPr>
          <w:lang w:eastAsia="en-GB"/>
        </w:rPr>
        <w:t>to EMT.</w:t>
      </w:r>
      <w:r w:rsidRPr="00496582">
        <w:rPr>
          <w:lang w:eastAsia="en-GB"/>
        </w:rPr>
        <w:t>8. It has been written primarily in general terms so that it applies to all engineering disciplines. It should also be noted that EIMT is considered to be an integral part of the operation of a nuclear facility.</w:t>
      </w:r>
    </w:p>
    <w:p w14:paraId="7455AE55" w14:textId="3655DD66" w:rsidR="007A0E4F" w:rsidRDefault="00496582" w:rsidP="000D3F35">
      <w:pPr>
        <w:pStyle w:val="F9-Paragraph"/>
        <w:rPr>
          <w:lang w:eastAsia="en-GB"/>
        </w:rPr>
      </w:pPr>
      <w:r w:rsidRPr="00496582">
        <w:rPr>
          <w:lang w:eastAsia="en-GB"/>
        </w:rPr>
        <w:t xml:space="preserve">The </w:t>
      </w:r>
      <w:r w:rsidR="007A0E4F" w:rsidRPr="00496582">
        <w:rPr>
          <w:lang w:eastAsia="en-GB"/>
        </w:rPr>
        <w:t xml:space="preserve">ONR SAPs </w:t>
      </w:r>
      <w:sdt>
        <w:sdtPr>
          <w:rPr>
            <w:lang w:eastAsia="en-GB"/>
          </w:rPr>
          <w:id w:val="-702634032"/>
          <w:citation/>
        </w:sdtPr>
        <w:sdtEndPr/>
        <w:sdtContent>
          <w:r w:rsidR="007A0E4F">
            <w:rPr>
              <w:lang w:eastAsia="en-GB"/>
            </w:rPr>
            <w:fldChar w:fldCharType="begin"/>
          </w:r>
          <w:r w:rsidR="00557C28">
            <w:rPr>
              <w:lang w:eastAsia="en-GB"/>
            </w:rPr>
            <w:instrText xml:space="preserve">CITATION ONR2013 \l 2057 </w:instrText>
          </w:r>
          <w:r w:rsidR="007A0E4F">
            <w:rPr>
              <w:lang w:eastAsia="en-GB"/>
            </w:rPr>
            <w:fldChar w:fldCharType="separate"/>
          </w:r>
          <w:r w:rsidR="0040433D">
            <w:rPr>
              <w:noProof/>
              <w:lang w:eastAsia="en-GB"/>
            </w:rPr>
            <w:t>[1]</w:t>
          </w:r>
          <w:r w:rsidR="007A0E4F">
            <w:rPr>
              <w:lang w:eastAsia="en-GB"/>
            </w:rPr>
            <w:fldChar w:fldCharType="end"/>
          </w:r>
        </w:sdtContent>
      </w:sdt>
      <w:r w:rsidR="007A0E4F">
        <w:rPr>
          <w:lang w:eastAsia="en-GB"/>
        </w:rPr>
        <w:t xml:space="preserve"> </w:t>
      </w:r>
      <w:r w:rsidRPr="00496582">
        <w:rPr>
          <w:lang w:eastAsia="en-GB"/>
        </w:rPr>
        <w:t xml:space="preserve">and this TAG address the need to ensure adequate arrangements are (or will be) in place for the EIMT of </w:t>
      </w:r>
      <w:r w:rsidR="007D1F2D">
        <w:rPr>
          <w:lang w:eastAsia="en-GB"/>
        </w:rPr>
        <w:t>items important to safety.</w:t>
      </w:r>
    </w:p>
    <w:p w14:paraId="45C9E2B8" w14:textId="2B2BEADA" w:rsidR="00496582" w:rsidRPr="00496582" w:rsidRDefault="00496582" w:rsidP="000D3F35">
      <w:pPr>
        <w:pStyle w:val="F9-Paragraph"/>
        <w:rPr>
          <w:lang w:eastAsia="en-GB"/>
        </w:rPr>
      </w:pPr>
      <w:r w:rsidRPr="00496582">
        <w:rPr>
          <w:lang w:eastAsia="en-GB"/>
        </w:rPr>
        <w:t>These arrangements should address the need to plan, specify, implement, monitor and review the EIMT activities. Additionally</w:t>
      </w:r>
      <w:r w:rsidR="00593DE1">
        <w:rPr>
          <w:lang w:eastAsia="en-GB"/>
        </w:rPr>
        <w:t>,</w:t>
      </w:r>
      <w:r w:rsidRPr="00496582">
        <w:rPr>
          <w:lang w:eastAsia="en-GB"/>
        </w:rPr>
        <w:t xml:space="preserve"> where changes are made to either the facility, equipment or the EIMT regime, the</w:t>
      </w:r>
      <w:r w:rsidR="00406A22">
        <w:rPr>
          <w:lang w:eastAsia="en-GB"/>
        </w:rPr>
        <w:t>se</w:t>
      </w:r>
      <w:r w:rsidR="00593DE1">
        <w:rPr>
          <w:lang w:eastAsia="en-GB"/>
        </w:rPr>
        <w:t xml:space="preserve"> </w:t>
      </w:r>
      <w:r w:rsidR="00D05A28">
        <w:rPr>
          <w:lang w:eastAsia="en-GB"/>
        </w:rPr>
        <w:t>should</w:t>
      </w:r>
      <w:r w:rsidR="00406A22" w:rsidRPr="00496582">
        <w:rPr>
          <w:lang w:eastAsia="en-GB"/>
        </w:rPr>
        <w:t xml:space="preserve"> </w:t>
      </w:r>
      <w:r w:rsidRPr="00496582">
        <w:rPr>
          <w:lang w:eastAsia="en-GB"/>
        </w:rPr>
        <w:t>not result in a lowering of the level of nuclear safety defined in the safety case.</w:t>
      </w:r>
    </w:p>
    <w:p w14:paraId="6D0B899A" w14:textId="31537CBF" w:rsidR="00496582" w:rsidRPr="00496582" w:rsidRDefault="00496582" w:rsidP="000D3F35">
      <w:pPr>
        <w:pStyle w:val="F9-Paragraph"/>
        <w:rPr>
          <w:lang w:eastAsia="en-GB"/>
        </w:rPr>
      </w:pPr>
      <w:r w:rsidRPr="00496582">
        <w:rPr>
          <w:lang w:eastAsia="en-GB"/>
        </w:rPr>
        <w:t xml:space="preserve">This TAG contains guidance to assist and inform ONR </w:t>
      </w:r>
      <w:r w:rsidR="007A0E4F">
        <w:rPr>
          <w:lang w:eastAsia="en-GB"/>
        </w:rPr>
        <w:t>i</w:t>
      </w:r>
      <w:r w:rsidRPr="00496582">
        <w:rPr>
          <w:lang w:eastAsia="en-GB"/>
        </w:rPr>
        <w:t>nspectors in the exercise of their professional regulatory judgement.</w:t>
      </w:r>
    </w:p>
    <w:p w14:paraId="6E712D03" w14:textId="3C3DAE84" w:rsidR="009E0E52" w:rsidRDefault="000950B3" w:rsidP="00E90780">
      <w:pPr>
        <w:pStyle w:val="Heading1"/>
      </w:pPr>
      <w:bookmarkStart w:id="367" w:name="_Toc131084143"/>
      <w:bookmarkStart w:id="368" w:name="_Toc133310811"/>
      <w:bookmarkStart w:id="369" w:name="_Toc133312422"/>
      <w:bookmarkStart w:id="370" w:name="_Toc133312436"/>
      <w:bookmarkStart w:id="371" w:name="_Toc133312484"/>
      <w:bookmarkStart w:id="372" w:name="_Toc133312514"/>
      <w:bookmarkStart w:id="373" w:name="_Toc149138071"/>
      <w:bookmarkStart w:id="374" w:name="_Toc149215807"/>
      <w:bookmarkStart w:id="375" w:name="_Toc149226783"/>
      <w:bookmarkStart w:id="376" w:name="_Toc150328681"/>
      <w:bookmarkEnd w:id="367"/>
      <w:bookmarkEnd w:id="368"/>
      <w:bookmarkEnd w:id="369"/>
      <w:bookmarkEnd w:id="370"/>
      <w:bookmarkEnd w:id="371"/>
      <w:bookmarkEnd w:id="372"/>
      <w:bookmarkEnd w:id="373"/>
      <w:bookmarkEnd w:id="374"/>
      <w:bookmarkEnd w:id="375"/>
      <w:r>
        <w:t>Relationship to Licence and other Relevant Legislation</w:t>
      </w:r>
      <w:bookmarkEnd w:id="376"/>
      <w:r>
        <w:t xml:space="preserve"> </w:t>
      </w:r>
    </w:p>
    <w:p w14:paraId="6536EFB8" w14:textId="6D51AD49" w:rsidR="000F7C6B" w:rsidRDefault="00496582">
      <w:pPr>
        <w:pStyle w:val="F9-Paragraph"/>
        <w:rPr>
          <w:lang w:eastAsia="en-GB"/>
        </w:rPr>
      </w:pPr>
      <w:r w:rsidRPr="00496582">
        <w:rPr>
          <w:lang w:eastAsia="en-GB"/>
        </w:rPr>
        <w:t>Site Licence Condition</w:t>
      </w:r>
      <w:r w:rsidR="000D3F35">
        <w:rPr>
          <w:lang w:eastAsia="en-GB"/>
        </w:rPr>
        <w:t xml:space="preserve"> (LC)</w:t>
      </w:r>
      <w:r w:rsidRPr="00496582">
        <w:rPr>
          <w:lang w:eastAsia="en-GB"/>
        </w:rPr>
        <w:t xml:space="preserve"> 28: Examination, </w:t>
      </w:r>
      <w:r w:rsidR="000D3F35">
        <w:rPr>
          <w:lang w:eastAsia="en-GB"/>
        </w:rPr>
        <w:t>I</w:t>
      </w:r>
      <w:r w:rsidRPr="00496582">
        <w:rPr>
          <w:lang w:eastAsia="en-GB"/>
        </w:rPr>
        <w:t xml:space="preserve">nspection, </w:t>
      </w:r>
      <w:r w:rsidR="000D3F35">
        <w:rPr>
          <w:lang w:eastAsia="en-GB"/>
        </w:rPr>
        <w:t>M</w:t>
      </w:r>
      <w:r w:rsidRPr="00496582">
        <w:rPr>
          <w:lang w:eastAsia="en-GB"/>
        </w:rPr>
        <w:t xml:space="preserve">aintenance and </w:t>
      </w:r>
      <w:r w:rsidR="000D3F35">
        <w:rPr>
          <w:lang w:eastAsia="en-GB"/>
        </w:rPr>
        <w:t>T</w:t>
      </w:r>
      <w:r w:rsidRPr="00496582">
        <w:rPr>
          <w:lang w:eastAsia="en-GB"/>
        </w:rPr>
        <w:t>esting requires</w:t>
      </w:r>
      <w:r w:rsidR="00E36C4C">
        <w:rPr>
          <w:lang w:eastAsia="en-GB"/>
        </w:rPr>
        <w:t xml:space="preserve"> the </w:t>
      </w:r>
      <w:r w:rsidR="00E36C4C" w:rsidRPr="00496582">
        <w:rPr>
          <w:lang w:eastAsia="en-GB"/>
        </w:rPr>
        <w:t xml:space="preserve">licensee </w:t>
      </w:r>
      <w:r w:rsidR="00E36C4C">
        <w:rPr>
          <w:lang w:eastAsia="en-GB"/>
        </w:rPr>
        <w:t>to</w:t>
      </w:r>
      <w:r w:rsidR="00E36C4C" w:rsidRPr="00496582">
        <w:rPr>
          <w:lang w:eastAsia="en-GB"/>
        </w:rPr>
        <w:t xml:space="preserve"> make and implement adequate </w:t>
      </w:r>
      <w:r w:rsidR="00E36C4C" w:rsidRPr="00496582">
        <w:rPr>
          <w:lang w:eastAsia="en-GB"/>
        </w:rPr>
        <w:lastRenderedPageBreak/>
        <w:t>arrangements for the regular and systematic examination, inspection, maintenance and testing of all plant which may affect safety.</w:t>
      </w:r>
    </w:p>
    <w:p w14:paraId="015A97C9" w14:textId="3E147E94" w:rsidR="00496582" w:rsidRPr="00496582" w:rsidRDefault="00496582" w:rsidP="00863EA7">
      <w:pPr>
        <w:pStyle w:val="F9-Paragraph"/>
        <w:rPr>
          <w:lang w:eastAsia="en-GB"/>
        </w:rPr>
      </w:pPr>
      <w:r w:rsidRPr="00496582">
        <w:rPr>
          <w:lang w:eastAsia="en-GB"/>
        </w:rPr>
        <w:t xml:space="preserve">The need for, or performance of, EIMT is considered to be an integral part of the </w:t>
      </w:r>
      <w:r w:rsidR="000F7C6B">
        <w:rPr>
          <w:lang w:eastAsia="en-GB"/>
        </w:rPr>
        <w:t>life-cycle</w:t>
      </w:r>
      <w:r w:rsidRPr="00496582">
        <w:rPr>
          <w:lang w:eastAsia="en-GB"/>
        </w:rPr>
        <w:t xml:space="preserve"> of a nuclear facility</w:t>
      </w:r>
      <w:r w:rsidR="00613FC8">
        <w:rPr>
          <w:lang w:eastAsia="en-GB"/>
        </w:rPr>
        <w:t>,</w:t>
      </w:r>
      <w:r w:rsidRPr="00496582">
        <w:rPr>
          <w:lang w:eastAsia="en-GB"/>
        </w:rPr>
        <w:t xml:space="preserve"> </w:t>
      </w:r>
      <w:r w:rsidR="00613FC8">
        <w:rPr>
          <w:lang w:eastAsia="en-GB"/>
        </w:rPr>
        <w:t>so</w:t>
      </w:r>
      <w:r w:rsidRPr="00496582">
        <w:rPr>
          <w:lang w:eastAsia="en-GB"/>
        </w:rPr>
        <w:t xml:space="preserve"> other </w:t>
      </w:r>
      <w:r w:rsidR="00802EA1">
        <w:rPr>
          <w:lang w:eastAsia="en-GB"/>
        </w:rPr>
        <w:t>Licence Conditions</w:t>
      </w:r>
      <w:r w:rsidRPr="00496582">
        <w:rPr>
          <w:lang w:eastAsia="en-GB"/>
        </w:rPr>
        <w:t xml:space="preserve"> are also of relevance</w:t>
      </w:r>
      <w:r w:rsidR="00E06D48">
        <w:rPr>
          <w:lang w:eastAsia="en-GB"/>
        </w:rPr>
        <w:t>.</w:t>
      </w:r>
      <w:r w:rsidR="00863EA7">
        <w:rPr>
          <w:lang w:eastAsia="en-GB"/>
        </w:rPr>
        <w:t xml:space="preserve"> </w:t>
      </w:r>
      <w:r w:rsidR="00E06D48">
        <w:rPr>
          <w:lang w:eastAsia="en-GB"/>
        </w:rPr>
        <w:t xml:space="preserve">A </w:t>
      </w:r>
      <w:r w:rsidR="00613FC8">
        <w:rPr>
          <w:lang w:eastAsia="en-GB"/>
        </w:rPr>
        <w:t xml:space="preserve">table </w:t>
      </w:r>
      <w:r w:rsidR="00E06D48">
        <w:rPr>
          <w:lang w:eastAsia="en-GB"/>
        </w:rPr>
        <w:t xml:space="preserve">of applicable </w:t>
      </w:r>
      <w:r w:rsidR="008D0469">
        <w:rPr>
          <w:lang w:eastAsia="en-GB"/>
        </w:rPr>
        <w:t>Licence Condition</w:t>
      </w:r>
      <w:r w:rsidR="00613FC8">
        <w:rPr>
          <w:lang w:eastAsia="en-GB"/>
        </w:rPr>
        <w:t>s</w:t>
      </w:r>
      <w:r w:rsidR="00E06D48">
        <w:rPr>
          <w:lang w:eastAsia="en-GB"/>
        </w:rPr>
        <w:t xml:space="preserve"> </w:t>
      </w:r>
      <w:r w:rsidR="000D3F35">
        <w:rPr>
          <w:lang w:eastAsia="en-GB"/>
        </w:rPr>
        <w:t>is</w:t>
      </w:r>
      <w:r w:rsidR="00E06D48">
        <w:rPr>
          <w:lang w:eastAsia="en-GB"/>
        </w:rPr>
        <w:t xml:space="preserve"> available in </w:t>
      </w:r>
      <w:r w:rsidR="00307FBE" w:rsidRPr="00863EA7">
        <w:rPr>
          <w:b/>
          <w:bCs/>
          <w:highlight w:val="yellow"/>
          <w:lang w:eastAsia="en-GB"/>
        </w:rPr>
        <w:fldChar w:fldCharType="begin"/>
      </w:r>
      <w:r w:rsidR="00307FBE">
        <w:rPr>
          <w:lang w:eastAsia="en-GB"/>
        </w:rPr>
        <w:instrText xml:space="preserve"> REF _Ref133312852 \h </w:instrText>
      </w:r>
      <w:r w:rsidR="00307FBE" w:rsidRPr="00863EA7">
        <w:rPr>
          <w:b/>
          <w:bCs/>
          <w:highlight w:val="yellow"/>
          <w:lang w:eastAsia="en-GB"/>
        </w:rPr>
      </w:r>
      <w:r w:rsidR="00307FBE" w:rsidRPr="00863EA7">
        <w:rPr>
          <w:b/>
          <w:bCs/>
          <w:highlight w:val="yellow"/>
          <w:lang w:eastAsia="en-GB"/>
        </w:rPr>
        <w:fldChar w:fldCharType="separate"/>
      </w:r>
      <w:r w:rsidR="005B4B7B">
        <w:t>Appendix 1</w:t>
      </w:r>
      <w:r w:rsidR="00307FBE" w:rsidRPr="00863EA7">
        <w:rPr>
          <w:b/>
          <w:bCs/>
          <w:highlight w:val="yellow"/>
          <w:lang w:eastAsia="en-GB"/>
        </w:rPr>
        <w:fldChar w:fldCharType="end"/>
      </w:r>
      <w:r w:rsidR="00863EA7" w:rsidRPr="00863EA7">
        <w:rPr>
          <w:b/>
          <w:bCs/>
          <w:lang w:eastAsia="en-GB"/>
        </w:rPr>
        <w:t>.</w:t>
      </w:r>
      <w:r w:rsidR="00F51764">
        <w:rPr>
          <w:lang w:eastAsia="en-GB"/>
        </w:rPr>
        <w:t xml:space="preserve"> </w:t>
      </w:r>
    </w:p>
    <w:p w14:paraId="2E808D45" w14:textId="71E7DEA4" w:rsidR="00496582" w:rsidRDefault="007D1F2D" w:rsidP="005141CA">
      <w:pPr>
        <w:pStyle w:val="F9-Paragraph"/>
        <w:rPr>
          <w:lang w:eastAsia="en-GB"/>
        </w:rPr>
      </w:pPr>
      <w:r>
        <w:rPr>
          <w:lang w:eastAsia="en-GB"/>
        </w:rPr>
        <w:t>Other relevant statutory provisions create</w:t>
      </w:r>
      <w:r w:rsidR="004C523E">
        <w:rPr>
          <w:lang w:eastAsia="en-GB"/>
        </w:rPr>
        <w:t xml:space="preserve"> </w:t>
      </w:r>
      <w:r w:rsidR="00BE76FE">
        <w:rPr>
          <w:lang w:eastAsia="en-GB"/>
        </w:rPr>
        <w:t xml:space="preserve">duties </w:t>
      </w:r>
      <w:r w:rsidR="00407047">
        <w:rPr>
          <w:lang w:eastAsia="en-GB"/>
        </w:rPr>
        <w:t xml:space="preserve">to carry out </w:t>
      </w:r>
      <w:r w:rsidR="00D05A28">
        <w:rPr>
          <w:lang w:eastAsia="en-GB"/>
        </w:rPr>
        <w:t>EIMT</w:t>
      </w:r>
      <w:r w:rsidR="00407047">
        <w:rPr>
          <w:lang w:eastAsia="en-GB"/>
        </w:rPr>
        <w:t xml:space="preserve">, or to </w:t>
      </w:r>
      <w:r w:rsidR="00324725">
        <w:rPr>
          <w:lang w:eastAsia="en-GB"/>
        </w:rPr>
        <w:t>ensure the</w:t>
      </w:r>
      <w:r w:rsidR="001F5301">
        <w:rPr>
          <w:lang w:eastAsia="en-GB"/>
        </w:rPr>
        <w:t>se activities are carried out safely.</w:t>
      </w:r>
      <w:r w:rsidR="006D68B8">
        <w:rPr>
          <w:lang w:eastAsia="en-GB"/>
        </w:rPr>
        <w:t xml:space="preserve">  </w:t>
      </w:r>
      <w:r w:rsidR="00C06E52">
        <w:rPr>
          <w:lang w:eastAsia="en-GB"/>
        </w:rPr>
        <w:t xml:space="preserve">ONR enforces these provisions on nuclear sites in Great Britain. </w:t>
      </w:r>
      <w:r>
        <w:rPr>
          <w:lang w:eastAsia="en-GB"/>
        </w:rPr>
        <w:t xml:space="preserve">Table 1 below gives examples of </w:t>
      </w:r>
      <w:r w:rsidR="00C06E52">
        <w:rPr>
          <w:lang w:eastAsia="en-GB"/>
        </w:rPr>
        <w:t xml:space="preserve">relevant </w:t>
      </w:r>
      <w:r>
        <w:rPr>
          <w:lang w:eastAsia="en-GB"/>
        </w:rPr>
        <w:t>statutory provisions relating to EIMT.</w:t>
      </w:r>
    </w:p>
    <w:p w14:paraId="476BB48A" w14:textId="727ECA59" w:rsidR="00934520" w:rsidRDefault="00934520" w:rsidP="005141CA">
      <w:pPr>
        <w:pStyle w:val="Caption"/>
        <w:keepNext/>
        <w:ind w:left="851"/>
      </w:pPr>
      <w:bookmarkStart w:id="377" w:name="_Ref133314120"/>
      <w:r>
        <w:t xml:space="preserve">Table </w:t>
      </w:r>
      <w:bookmarkEnd w:id="377"/>
      <w:r w:rsidR="005B2D4A">
        <w:t>1</w:t>
      </w:r>
      <w:r>
        <w:t xml:space="preserve"> </w:t>
      </w:r>
      <w:r w:rsidR="002371BD">
        <w:t>–</w:t>
      </w:r>
      <w:r>
        <w:t xml:space="preserve"> </w:t>
      </w:r>
      <w:r w:rsidR="002371BD">
        <w:t>Examples of</w:t>
      </w:r>
      <w:r>
        <w:t xml:space="preserve"> </w:t>
      </w:r>
      <w:r w:rsidR="00C06E52">
        <w:t xml:space="preserve">relevant </w:t>
      </w:r>
      <w:r w:rsidR="004A0445">
        <w:t>statutory provisions</w:t>
      </w:r>
      <w:r>
        <w:t xml:space="preserve"> </w:t>
      </w:r>
      <w:r w:rsidR="002371BD">
        <w:t>relating to examination, inspection, maintenance and testing</w:t>
      </w:r>
      <w:r w:rsidR="007D1F2D">
        <w:t xml:space="preserve"> (this is not an exhaustive list)</w:t>
      </w:r>
    </w:p>
    <w:tbl>
      <w:tblPr>
        <w:tblStyle w:val="ONRTable1"/>
        <w:tblW w:w="8547" w:type="dxa"/>
        <w:tblInd w:w="856" w:type="dxa"/>
        <w:tblLook w:val="04A0" w:firstRow="1" w:lastRow="0" w:firstColumn="1" w:lastColumn="0" w:noHBand="0" w:noVBand="1"/>
      </w:tblPr>
      <w:tblGrid>
        <w:gridCol w:w="2640"/>
        <w:gridCol w:w="5907"/>
      </w:tblGrid>
      <w:tr w:rsidR="00776FA1" w:rsidRPr="006849CF" w14:paraId="6B31A280" w14:textId="77777777" w:rsidTr="005141CA">
        <w:trPr>
          <w:cnfStyle w:val="100000000000" w:firstRow="1" w:lastRow="0" w:firstColumn="0" w:lastColumn="0" w:oddVBand="0" w:evenVBand="0" w:oddHBand="0" w:evenHBand="0" w:firstRowFirstColumn="0" w:firstRowLastColumn="0" w:lastRowFirstColumn="0" w:lastRowLastColumn="0"/>
        </w:trPr>
        <w:tc>
          <w:tcPr>
            <w:tcW w:w="2640" w:type="dxa"/>
          </w:tcPr>
          <w:p w14:paraId="110A972F" w14:textId="0525A25C" w:rsidR="00776FA1" w:rsidRPr="005141CA" w:rsidRDefault="002B638E">
            <w:pPr>
              <w:spacing w:after="120" w:line="240" w:lineRule="auto"/>
              <w:ind w:left="851" w:hanging="851"/>
              <w:rPr>
                <w:rFonts w:asciiTheme="minorHAnsi" w:eastAsia="Times New Roman" w:hAnsiTheme="minorHAnsi" w:cstheme="minorHAnsi"/>
                <w:szCs w:val="24"/>
                <w:lang w:eastAsia="en-GB" w:bidi="ar-SA"/>
              </w:rPr>
            </w:pPr>
            <w:r>
              <w:rPr>
                <w:rFonts w:asciiTheme="minorHAnsi" w:eastAsia="Times New Roman" w:hAnsiTheme="minorHAnsi" w:cstheme="minorHAnsi"/>
                <w:szCs w:val="24"/>
                <w:lang w:bidi="ar-SA"/>
              </w:rPr>
              <w:t>Provision</w:t>
            </w:r>
            <w:r w:rsidR="00776FA1" w:rsidRPr="005141CA">
              <w:rPr>
                <w:rFonts w:asciiTheme="minorHAnsi" w:eastAsia="Times New Roman" w:hAnsiTheme="minorHAnsi" w:cstheme="minorHAnsi"/>
                <w:szCs w:val="24"/>
                <w:lang w:bidi="ar-SA"/>
              </w:rPr>
              <w:t>:</w:t>
            </w:r>
          </w:p>
        </w:tc>
        <w:tc>
          <w:tcPr>
            <w:tcW w:w="5907" w:type="dxa"/>
          </w:tcPr>
          <w:p w14:paraId="5E569846" w14:textId="77777777" w:rsidR="00776FA1" w:rsidRPr="005141CA" w:rsidRDefault="00776FA1">
            <w:pPr>
              <w:spacing w:after="120" w:line="240" w:lineRule="auto"/>
              <w:ind w:left="851" w:hanging="851"/>
              <w:rPr>
                <w:rFonts w:asciiTheme="minorHAnsi" w:eastAsia="Times New Roman" w:hAnsiTheme="minorHAnsi" w:cstheme="minorHAnsi"/>
                <w:szCs w:val="24"/>
                <w:lang w:eastAsia="en-GB" w:bidi="ar-SA"/>
              </w:rPr>
            </w:pPr>
            <w:r w:rsidRPr="005141CA">
              <w:rPr>
                <w:rFonts w:asciiTheme="minorHAnsi" w:eastAsia="Times New Roman" w:hAnsiTheme="minorHAnsi" w:cstheme="minorHAnsi"/>
                <w:szCs w:val="24"/>
                <w:lang w:bidi="ar-SA"/>
              </w:rPr>
              <w:t>Notes:</w:t>
            </w:r>
          </w:p>
        </w:tc>
      </w:tr>
      <w:tr w:rsidR="008D0469" w:rsidRPr="00344D95" w14:paraId="0DC475CC" w14:textId="77777777" w:rsidTr="006D68B8">
        <w:tc>
          <w:tcPr>
            <w:tcW w:w="2640" w:type="dxa"/>
          </w:tcPr>
          <w:p w14:paraId="54339C1B" w14:textId="41C11AFB"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Provision and Use of Work Equipment Regulations 1998 (PUWER)</w:t>
            </w:r>
          </w:p>
        </w:tc>
        <w:tc>
          <w:tcPr>
            <w:tcW w:w="5907" w:type="dxa"/>
          </w:tcPr>
          <w:p w14:paraId="2834F9F5" w14:textId="1EB7250E"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sz w:val="22"/>
              </w:rPr>
              <w:t>The scope of ‘work equipment’ is extremely wide. It means any machinery, appliance, apparatus, tool or installation for use at work.</w:t>
            </w:r>
          </w:p>
          <w:p w14:paraId="1365FFA0" w14:textId="77777777"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Reg 5 requires work equipment to be maintained in an efficient state, in efficient working order and in good repair.</w:t>
            </w:r>
          </w:p>
          <w:p w14:paraId="4B0C6BE0" w14:textId="77777777" w:rsidR="008D0469" w:rsidRPr="00C455BC" w:rsidRDefault="008D0469" w:rsidP="008D0469">
            <w:pPr>
              <w:spacing w:after="120" w:line="240" w:lineRule="auto"/>
              <w:rPr>
                <w:rFonts w:asciiTheme="minorHAnsi" w:hAnsiTheme="minorHAnsi" w:cstheme="minorHAnsi"/>
                <w:bCs/>
                <w:noProof/>
                <w:sz w:val="22"/>
              </w:rPr>
            </w:pPr>
            <w:r w:rsidRPr="00C455BC">
              <w:rPr>
                <w:rFonts w:asciiTheme="minorHAnsi" w:eastAsia="Times New Roman" w:hAnsiTheme="minorHAnsi" w:cstheme="minorHAnsi"/>
                <w:color w:val="000000"/>
                <w:sz w:val="22"/>
                <w:lang w:bidi="ar-SA"/>
              </w:rPr>
              <w:t>Reg 6 – When work equipment is first installed, and when it is moved or relocated, it must be inspected to make sure that it has been correctly installed and is operating safely.  Where it is possible that the equipment is exposed to conditions that could cause it to deteriorate, it must be inspected regularly.</w:t>
            </w:r>
          </w:p>
          <w:p w14:paraId="3693468B" w14:textId="77777777" w:rsidR="008D0469" w:rsidRPr="00C455BC" w:rsidRDefault="008D0469" w:rsidP="008D0469">
            <w:pPr>
              <w:spacing w:after="120" w:line="240" w:lineRule="auto"/>
              <w:rPr>
                <w:sz w:val="22"/>
              </w:rPr>
            </w:pPr>
            <w:r w:rsidRPr="00C455BC">
              <w:rPr>
                <w:sz w:val="22"/>
              </w:rPr>
              <w:t>The purpose of an inspection is to identify whether the equipment can be operated, adjusted and maintained safely and that any deterioration (for example, any defect, damage or wear) can be detected and remedied before it results in unacceptable risks.</w:t>
            </w:r>
          </w:p>
          <w:p w14:paraId="5AF896F7" w14:textId="4B0617FD" w:rsidR="008D0469" w:rsidRPr="00C455BC" w:rsidRDefault="008D0469" w:rsidP="008D0469">
            <w:pPr>
              <w:spacing w:after="120" w:line="240" w:lineRule="auto"/>
              <w:rPr>
                <w:rFonts w:asciiTheme="minorHAnsi" w:eastAsia="Times New Roman" w:hAnsiTheme="minorHAnsi" w:cstheme="minorHAnsi"/>
                <w:color w:val="000000"/>
                <w:sz w:val="22"/>
                <w:lang w:val="pt-PT" w:bidi="ar-SA"/>
              </w:rPr>
            </w:pPr>
            <w:r w:rsidRPr="00C455BC">
              <w:rPr>
                <w:rFonts w:asciiTheme="minorHAnsi" w:eastAsia="Times New Roman" w:hAnsiTheme="minorHAnsi" w:cstheme="minorHAnsi"/>
                <w:color w:val="000000"/>
                <w:sz w:val="22"/>
                <w:lang w:val="pt-PT" w:bidi="ar-SA"/>
              </w:rPr>
              <w:t xml:space="preserve">ACOP: </w:t>
            </w:r>
            <w:hyperlink r:id="rId18" w:history="1">
              <w:r w:rsidRPr="00C455BC">
                <w:rPr>
                  <w:rFonts w:asciiTheme="minorHAnsi" w:eastAsia="Times New Roman" w:hAnsiTheme="minorHAnsi" w:cstheme="minorHAnsi"/>
                  <w:color w:val="0563C1"/>
                  <w:sz w:val="22"/>
                  <w:u w:val="single"/>
                  <w:lang w:val="pt-PT" w:bidi="ar-SA"/>
                </w:rPr>
                <w:t>https://www.hse.gov.uk/pubns/priced/l22.pdf</w:t>
              </w:r>
            </w:hyperlink>
            <w:r w:rsidRPr="00C455BC">
              <w:rPr>
                <w:rFonts w:asciiTheme="minorHAnsi" w:eastAsia="Times New Roman" w:hAnsiTheme="minorHAnsi" w:cstheme="minorHAnsi"/>
                <w:color w:val="000000"/>
                <w:sz w:val="22"/>
                <w:lang w:val="pt-PT" w:bidi="ar-SA"/>
              </w:rPr>
              <w:t xml:space="preserve"> </w:t>
            </w:r>
          </w:p>
        </w:tc>
      </w:tr>
      <w:tr w:rsidR="008D0469" w:rsidRPr="005141CA" w14:paraId="25481958" w14:textId="77777777" w:rsidTr="005141CA">
        <w:tc>
          <w:tcPr>
            <w:tcW w:w="2640" w:type="dxa"/>
          </w:tcPr>
          <w:p w14:paraId="34EAD464" w14:textId="181AE8B0" w:rsidR="008D0469" w:rsidRPr="00C455BC" w:rsidRDefault="008D0469" w:rsidP="008D0469">
            <w:pPr>
              <w:spacing w:after="120" w:line="240" w:lineRule="auto"/>
              <w:rPr>
                <w:rFonts w:asciiTheme="minorHAnsi" w:eastAsia="Times New Roman" w:hAnsiTheme="minorHAnsi" w:cstheme="minorHAnsi"/>
                <w:sz w:val="22"/>
                <w:lang w:eastAsia="en-GB" w:bidi="ar-SA"/>
              </w:rPr>
            </w:pPr>
            <w:r w:rsidRPr="00C455BC">
              <w:rPr>
                <w:rFonts w:asciiTheme="minorHAnsi" w:eastAsia="Times New Roman" w:hAnsiTheme="minorHAnsi" w:cstheme="minorHAnsi"/>
                <w:color w:val="000000"/>
                <w:sz w:val="22"/>
                <w:lang w:bidi="ar-SA"/>
              </w:rPr>
              <w:t>Construction (Design and Management) Regulations 2015 (CDM)</w:t>
            </w:r>
          </w:p>
        </w:tc>
        <w:tc>
          <w:tcPr>
            <w:tcW w:w="5907" w:type="dxa"/>
          </w:tcPr>
          <w:p w14:paraId="2FE2CD48" w14:textId="5B5D6D3F"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Many EIMT activities are included within the definition of ‘construction work’.</w:t>
            </w:r>
          </w:p>
          <w:p w14:paraId="26B83825" w14:textId="07A3DC4D"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Reg 9  requires designers to eliminate, reduce or control foreseeable risks through design.  This includes risks to people carrying out maintenance.</w:t>
            </w:r>
          </w:p>
          <w:p w14:paraId="2AEA0B8A" w14:textId="77777777" w:rsidR="008D0469" w:rsidRPr="00C455BC" w:rsidRDefault="008D0469" w:rsidP="008D0469">
            <w:pPr>
              <w:spacing w:after="120" w:line="240" w:lineRule="auto"/>
              <w:rPr>
                <w:rFonts w:asciiTheme="minorHAnsi" w:eastAsia="Times New Roman" w:hAnsiTheme="minorHAnsi" w:cstheme="minorHAnsi"/>
                <w:sz w:val="22"/>
                <w:lang w:eastAsia="en-GB" w:bidi="ar-SA"/>
              </w:rPr>
            </w:pPr>
            <w:r w:rsidRPr="00C455BC">
              <w:rPr>
                <w:rFonts w:asciiTheme="minorHAnsi" w:eastAsia="Times New Roman" w:hAnsiTheme="minorHAnsi" w:cstheme="minorHAnsi"/>
                <w:color w:val="000000"/>
                <w:sz w:val="22"/>
                <w:lang w:bidi="ar-SA"/>
              </w:rPr>
              <w:t xml:space="preserve">Guidance: </w:t>
            </w:r>
            <w:hyperlink r:id="rId19" w:history="1">
              <w:r w:rsidRPr="00C455BC">
                <w:rPr>
                  <w:rFonts w:asciiTheme="minorHAnsi" w:eastAsia="Times New Roman" w:hAnsiTheme="minorHAnsi" w:cstheme="minorHAnsi"/>
                  <w:color w:val="0563C1"/>
                  <w:sz w:val="22"/>
                  <w:u w:val="single"/>
                  <w:lang w:bidi="ar-SA"/>
                </w:rPr>
                <w:t>https://www.hse.gov.uk/pubns/priced/l153.pdf</w:t>
              </w:r>
            </w:hyperlink>
          </w:p>
        </w:tc>
      </w:tr>
      <w:tr w:rsidR="008D0469" w:rsidRPr="006849CF" w14:paraId="78F0CA09" w14:textId="77777777" w:rsidTr="005141CA">
        <w:tc>
          <w:tcPr>
            <w:tcW w:w="2640" w:type="dxa"/>
          </w:tcPr>
          <w:p w14:paraId="4370A24F" w14:textId="1D478D16"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Control of Major Accident Hazards Regulations 2015 (COMAH)</w:t>
            </w:r>
          </w:p>
        </w:tc>
        <w:tc>
          <w:tcPr>
            <w:tcW w:w="5907" w:type="dxa"/>
          </w:tcPr>
          <w:p w14:paraId="530F7927" w14:textId="7C7B00CF"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Reg 5 requires operators to take all measures necessary to prevent major accidents and to limit their consequences for human health and the environment.</w:t>
            </w:r>
          </w:p>
          <w:p w14:paraId="13A7BFD0" w14:textId="0C6B6930"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Reg 8 – Safety reports for upper tier establishments should demonstrate that adequate safety and reliability has been taken into account in maintenance.</w:t>
            </w:r>
          </w:p>
          <w:p w14:paraId="444C1141" w14:textId="77777777"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lastRenderedPageBreak/>
              <w:t xml:space="preserve">Guidance: </w:t>
            </w:r>
            <w:hyperlink r:id="rId20" w:history="1">
              <w:r w:rsidRPr="00C455BC">
                <w:rPr>
                  <w:rStyle w:val="Hyperlink"/>
                  <w:rFonts w:asciiTheme="minorHAnsi" w:eastAsia="Times New Roman" w:hAnsiTheme="minorHAnsi" w:cstheme="minorHAnsi"/>
                  <w:sz w:val="22"/>
                  <w:lang w:bidi="ar-SA"/>
                </w:rPr>
                <w:t>https://www.hse.gov.uk/pubns/priced/l111.pdf</w:t>
              </w:r>
            </w:hyperlink>
            <w:r w:rsidRPr="00C455BC">
              <w:rPr>
                <w:rFonts w:asciiTheme="minorHAnsi" w:eastAsia="Times New Roman" w:hAnsiTheme="minorHAnsi" w:cstheme="minorHAnsi"/>
                <w:color w:val="000000"/>
                <w:sz w:val="22"/>
                <w:lang w:bidi="ar-SA"/>
              </w:rPr>
              <w:t xml:space="preserve"> </w:t>
            </w:r>
          </w:p>
        </w:tc>
      </w:tr>
      <w:tr w:rsidR="008D0469" w:rsidRPr="005141CA" w14:paraId="7933EEDA" w14:textId="77777777" w:rsidTr="005141CA">
        <w:tc>
          <w:tcPr>
            <w:tcW w:w="2640" w:type="dxa"/>
          </w:tcPr>
          <w:p w14:paraId="437E0F20" w14:textId="77777777"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lastRenderedPageBreak/>
              <w:t>Electricity at Work Regulations 1989</w:t>
            </w:r>
          </w:p>
        </w:tc>
        <w:tc>
          <w:tcPr>
            <w:tcW w:w="5907" w:type="dxa"/>
          </w:tcPr>
          <w:p w14:paraId="548BB298" w14:textId="245ED11A" w:rsidR="008D0469" w:rsidRPr="00C455BC" w:rsidRDefault="008D0469" w:rsidP="008D0469">
            <w:pPr>
              <w:spacing w:after="120" w:line="240" w:lineRule="auto"/>
              <w:rPr>
                <w:sz w:val="22"/>
              </w:rPr>
            </w:pPr>
            <w:r w:rsidRPr="00C455BC">
              <w:rPr>
                <w:sz w:val="22"/>
              </w:rPr>
              <w:t>Reg 4(2) requires electrical systems to be maintained so as to prevent danger.</w:t>
            </w:r>
          </w:p>
          <w:p w14:paraId="12D1700C" w14:textId="517ADB93"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sz w:val="22"/>
              </w:rPr>
              <w:t>Reg 4(3) requires that work activities associated with an electrical system (including maintenance), should be carried out in a way which does not give rise to danger</w:t>
            </w:r>
            <w:r w:rsidRPr="00C455BC">
              <w:rPr>
                <w:rFonts w:asciiTheme="minorHAnsi" w:eastAsia="Times New Roman" w:hAnsiTheme="minorHAnsi" w:cstheme="minorHAnsi"/>
                <w:color w:val="000000"/>
                <w:sz w:val="22"/>
                <w:lang w:bidi="ar-SA"/>
              </w:rPr>
              <w:t>.</w:t>
            </w:r>
          </w:p>
          <w:p w14:paraId="4D3DD3FB" w14:textId="0F88EBF9" w:rsidR="008D0469" w:rsidRPr="00C455BC" w:rsidRDefault="008D0469" w:rsidP="008D0469">
            <w:pPr>
              <w:spacing w:after="120" w:line="240" w:lineRule="auto"/>
              <w:rPr>
                <w:rFonts w:asciiTheme="minorHAnsi" w:eastAsia="Times New Roman" w:hAnsiTheme="minorHAnsi" w:cstheme="minorHAnsi"/>
                <w:color w:val="000000"/>
                <w:sz w:val="22"/>
                <w:lang w:val="it-IT" w:bidi="ar-SA"/>
              </w:rPr>
            </w:pPr>
            <w:r w:rsidRPr="00C455BC">
              <w:rPr>
                <w:rFonts w:asciiTheme="minorHAnsi" w:eastAsia="Times New Roman" w:hAnsiTheme="minorHAnsi" w:cstheme="minorHAnsi"/>
                <w:color w:val="000000"/>
                <w:sz w:val="22"/>
                <w:lang w:bidi="ar-SA"/>
              </w:rPr>
              <w:t>Guidance</w:t>
            </w:r>
            <w:r w:rsidRPr="00C455BC">
              <w:rPr>
                <w:rFonts w:asciiTheme="minorHAnsi" w:eastAsia="Times New Roman" w:hAnsiTheme="minorHAnsi" w:cstheme="minorHAnsi"/>
                <w:color w:val="000000"/>
                <w:sz w:val="22"/>
                <w:lang w:val="it-IT" w:bidi="ar-SA"/>
              </w:rPr>
              <w:t xml:space="preserve">: </w:t>
            </w:r>
            <w:hyperlink r:id="rId21" w:history="1">
              <w:r w:rsidRPr="00C455BC">
                <w:rPr>
                  <w:rStyle w:val="Hyperlink"/>
                  <w:rFonts w:asciiTheme="minorHAnsi" w:hAnsiTheme="minorHAnsi" w:cstheme="minorHAnsi"/>
                  <w:sz w:val="22"/>
                  <w:lang w:val="it-IT"/>
                </w:rPr>
                <w:t>https://www.hse.gov.uk/pubns/priced/hsr25.pdf</w:t>
              </w:r>
            </w:hyperlink>
            <w:r w:rsidRPr="00C455BC">
              <w:rPr>
                <w:rFonts w:asciiTheme="minorHAnsi" w:hAnsiTheme="minorHAnsi" w:cstheme="minorHAnsi"/>
                <w:sz w:val="22"/>
                <w:lang w:val="it-IT"/>
              </w:rPr>
              <w:t xml:space="preserve"> </w:t>
            </w:r>
          </w:p>
        </w:tc>
      </w:tr>
      <w:tr w:rsidR="008D0469" w:rsidRPr="00344D95" w14:paraId="5D7E773C" w14:textId="77777777" w:rsidTr="005141CA">
        <w:tc>
          <w:tcPr>
            <w:tcW w:w="2640" w:type="dxa"/>
          </w:tcPr>
          <w:p w14:paraId="64B4A81B" w14:textId="2E467496" w:rsidR="008D0469" w:rsidRPr="00C455BC" w:rsidRDefault="008D0469" w:rsidP="008D0469">
            <w:pPr>
              <w:spacing w:after="120" w:line="240" w:lineRule="auto"/>
              <w:rPr>
                <w:rFonts w:asciiTheme="minorHAnsi" w:eastAsia="Times New Roman" w:hAnsiTheme="minorHAnsi" w:cstheme="minorHAnsi"/>
                <w:sz w:val="22"/>
                <w:lang w:eastAsia="en-GB" w:bidi="ar-SA"/>
              </w:rPr>
            </w:pPr>
            <w:r w:rsidRPr="00C455BC">
              <w:rPr>
                <w:rFonts w:asciiTheme="minorHAnsi" w:eastAsia="Times New Roman" w:hAnsiTheme="minorHAnsi" w:cstheme="minorHAnsi"/>
                <w:color w:val="000000"/>
                <w:sz w:val="22"/>
                <w:lang w:bidi="ar-SA"/>
              </w:rPr>
              <w:t>Lifting Operating and Lifting Equipment Regulations 1998 (LOLER)</w:t>
            </w:r>
          </w:p>
        </w:tc>
        <w:tc>
          <w:tcPr>
            <w:tcW w:w="5907" w:type="dxa"/>
          </w:tcPr>
          <w:p w14:paraId="40EC7403" w14:textId="73AC58CC"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sz w:val="22"/>
              </w:rPr>
              <w:t>Regulation 9 puts in place requirements for all lifting equipment to be subject to ‘thorough examination’ at various points.</w:t>
            </w:r>
          </w:p>
          <w:p w14:paraId="4A2B7DBE" w14:textId="77777777" w:rsidR="008D0469" w:rsidRPr="00C455BC" w:rsidRDefault="008D0469" w:rsidP="008D0469">
            <w:pPr>
              <w:spacing w:after="120" w:line="240" w:lineRule="auto"/>
              <w:rPr>
                <w:rFonts w:asciiTheme="minorHAnsi" w:eastAsia="Times New Roman" w:hAnsiTheme="minorHAnsi" w:cstheme="minorHAnsi"/>
                <w:sz w:val="22"/>
                <w:lang w:val="pt-PT" w:eastAsia="en-GB" w:bidi="ar-SA"/>
              </w:rPr>
            </w:pPr>
            <w:r w:rsidRPr="00C455BC">
              <w:rPr>
                <w:rFonts w:asciiTheme="minorHAnsi" w:eastAsia="Times New Roman" w:hAnsiTheme="minorHAnsi" w:cstheme="minorHAnsi"/>
                <w:color w:val="000000"/>
                <w:sz w:val="22"/>
                <w:lang w:val="pt-PT" w:bidi="ar-SA"/>
              </w:rPr>
              <w:t xml:space="preserve">ACOP: </w:t>
            </w:r>
            <w:hyperlink r:id="rId22" w:history="1">
              <w:r w:rsidRPr="00C455BC">
                <w:rPr>
                  <w:rFonts w:asciiTheme="minorHAnsi" w:eastAsia="Times New Roman" w:hAnsiTheme="minorHAnsi" w:cstheme="minorHAnsi"/>
                  <w:color w:val="0563C1"/>
                  <w:sz w:val="22"/>
                  <w:u w:val="single"/>
                  <w:lang w:val="pt-PT" w:bidi="ar-SA"/>
                </w:rPr>
                <w:t>https://www.hse.gov.uk/pubns/priced/l113.pdf</w:t>
              </w:r>
            </w:hyperlink>
            <w:r w:rsidRPr="00C455BC">
              <w:rPr>
                <w:rFonts w:asciiTheme="minorHAnsi" w:eastAsia="Times New Roman" w:hAnsiTheme="minorHAnsi" w:cstheme="minorHAnsi"/>
                <w:color w:val="000000"/>
                <w:sz w:val="22"/>
                <w:lang w:val="pt-PT" w:bidi="ar-SA"/>
              </w:rPr>
              <w:t xml:space="preserve"> </w:t>
            </w:r>
          </w:p>
        </w:tc>
      </w:tr>
      <w:tr w:rsidR="008D0469" w:rsidRPr="00344D95" w14:paraId="24F3ECC2" w14:textId="77777777" w:rsidTr="005141CA">
        <w:tc>
          <w:tcPr>
            <w:tcW w:w="2640" w:type="dxa"/>
          </w:tcPr>
          <w:p w14:paraId="36A27542" w14:textId="35D78DD6" w:rsidR="008D0469" w:rsidRPr="00C455BC" w:rsidRDefault="008D0469" w:rsidP="008D0469">
            <w:pPr>
              <w:spacing w:after="120" w:line="240" w:lineRule="auto"/>
              <w:rPr>
                <w:rFonts w:asciiTheme="minorHAnsi" w:eastAsia="Times New Roman" w:hAnsiTheme="minorHAnsi" w:cstheme="minorHAnsi"/>
                <w:sz w:val="22"/>
                <w:lang w:eastAsia="en-GB" w:bidi="ar-SA"/>
              </w:rPr>
            </w:pPr>
            <w:r w:rsidRPr="00C455BC">
              <w:rPr>
                <w:rFonts w:asciiTheme="minorHAnsi" w:eastAsia="Times New Roman" w:hAnsiTheme="minorHAnsi" w:cstheme="minorHAnsi"/>
                <w:color w:val="000000"/>
                <w:sz w:val="22"/>
                <w:lang w:bidi="ar-SA"/>
              </w:rPr>
              <w:t>Pressure Systems Safety Regulations 2000 (PSSR)</w:t>
            </w:r>
          </w:p>
        </w:tc>
        <w:tc>
          <w:tcPr>
            <w:tcW w:w="5907" w:type="dxa"/>
          </w:tcPr>
          <w:p w14:paraId="11793C33" w14:textId="77777777"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 xml:space="preserve">Reg 8 – Requirement for Written Scheme of Examination.  </w:t>
            </w:r>
          </w:p>
          <w:p w14:paraId="73071996" w14:textId="29690ACF"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Reg 9 – Examination in accordance with written scheme.</w:t>
            </w:r>
          </w:p>
          <w:p w14:paraId="726D7E02" w14:textId="7EF0FC78" w:rsidR="008D0469" w:rsidRPr="00C455BC" w:rsidRDefault="008D0469" w:rsidP="008D0469">
            <w:pPr>
              <w:spacing w:after="120" w:line="240" w:lineRule="auto"/>
              <w:rPr>
                <w:rFonts w:asciiTheme="minorHAnsi" w:eastAsia="Times New Roman" w:hAnsiTheme="minorHAnsi" w:cstheme="minorHAnsi"/>
                <w:color w:val="000000"/>
                <w:sz w:val="22"/>
                <w:lang w:bidi="ar-SA"/>
              </w:rPr>
            </w:pPr>
            <w:r w:rsidRPr="00C455BC">
              <w:rPr>
                <w:rFonts w:asciiTheme="minorHAnsi" w:eastAsia="Times New Roman" w:hAnsiTheme="minorHAnsi" w:cstheme="minorHAnsi"/>
                <w:color w:val="000000"/>
                <w:sz w:val="22"/>
                <w:lang w:bidi="ar-SA"/>
              </w:rPr>
              <w:t xml:space="preserve">Reg 12 </w:t>
            </w:r>
            <w:r w:rsidRPr="00C455BC">
              <w:rPr>
                <w:sz w:val="22"/>
              </w:rPr>
              <w:t>requires pressure systems to be properly maintained in good repair, so as to prevent danger</w:t>
            </w:r>
          </w:p>
          <w:p w14:paraId="6D880FEE" w14:textId="77777777" w:rsidR="008D0469" w:rsidRPr="00C455BC" w:rsidRDefault="008D0469" w:rsidP="008D0469">
            <w:pPr>
              <w:spacing w:after="120" w:line="240" w:lineRule="auto"/>
              <w:ind w:left="851" w:hanging="851"/>
              <w:rPr>
                <w:rFonts w:asciiTheme="minorHAnsi" w:eastAsia="Times New Roman" w:hAnsiTheme="minorHAnsi" w:cstheme="minorHAnsi"/>
                <w:color w:val="000000"/>
                <w:sz w:val="22"/>
                <w:lang w:val="pt-PT" w:bidi="ar-SA"/>
              </w:rPr>
            </w:pPr>
            <w:r w:rsidRPr="00C455BC">
              <w:rPr>
                <w:rFonts w:asciiTheme="minorHAnsi" w:eastAsia="Times New Roman" w:hAnsiTheme="minorHAnsi" w:cstheme="minorHAnsi"/>
                <w:color w:val="000000"/>
                <w:sz w:val="22"/>
                <w:lang w:val="pt-PT" w:bidi="ar-SA"/>
              </w:rPr>
              <w:t xml:space="preserve">ACOP: </w:t>
            </w:r>
            <w:hyperlink r:id="rId23" w:history="1">
              <w:r w:rsidRPr="00C455BC">
                <w:rPr>
                  <w:rFonts w:asciiTheme="minorHAnsi" w:eastAsia="Times New Roman" w:hAnsiTheme="minorHAnsi" w:cstheme="minorHAnsi"/>
                  <w:color w:val="0563C1"/>
                  <w:sz w:val="22"/>
                  <w:u w:val="single"/>
                  <w:lang w:val="pt-PT" w:bidi="ar-SA"/>
                </w:rPr>
                <w:t>https://www.hse.gov.uk/pubns/priced/l122.pdf</w:t>
              </w:r>
            </w:hyperlink>
            <w:r w:rsidRPr="00C455BC">
              <w:rPr>
                <w:rFonts w:asciiTheme="minorHAnsi" w:eastAsia="Times New Roman" w:hAnsiTheme="minorHAnsi" w:cstheme="minorHAnsi"/>
                <w:color w:val="000000"/>
                <w:sz w:val="22"/>
                <w:lang w:val="pt-PT" w:bidi="ar-SA"/>
              </w:rPr>
              <w:t xml:space="preserve"> </w:t>
            </w:r>
          </w:p>
        </w:tc>
      </w:tr>
    </w:tbl>
    <w:p w14:paraId="61743AA0" w14:textId="77777777" w:rsidR="000950B3" w:rsidRPr="005141CA" w:rsidRDefault="000950B3" w:rsidP="00E90780">
      <w:pPr>
        <w:pStyle w:val="Heading3"/>
        <w:rPr>
          <w:lang w:val="pt-PT"/>
        </w:rPr>
        <w:sectPr w:rsidR="000950B3" w:rsidRPr="005141CA" w:rsidSect="000B2BCD">
          <w:headerReference w:type="default" r:id="rId24"/>
          <w:footerReference w:type="default" r:id="rId25"/>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378" w:name="_Toc15032868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378"/>
    </w:p>
    <w:p w14:paraId="4AE30213" w14:textId="771EDCED" w:rsidR="005B4063" w:rsidRPr="005B4063" w:rsidRDefault="005B4063" w:rsidP="008360BF">
      <w:pPr>
        <w:pStyle w:val="F9-Paragraph"/>
        <w:rPr>
          <w:lang w:eastAsia="en-GB"/>
        </w:rPr>
      </w:pPr>
      <w:r w:rsidRPr="005B4063">
        <w:rPr>
          <w:lang w:eastAsia="en-GB"/>
        </w:rPr>
        <w:t xml:space="preserve">The </w:t>
      </w:r>
      <w:r w:rsidR="00F86A7E">
        <w:rPr>
          <w:lang w:eastAsia="en-GB"/>
        </w:rPr>
        <w:t>‘</w:t>
      </w:r>
      <w:r w:rsidR="00CB03DD">
        <w:rPr>
          <w:lang w:eastAsia="en-GB"/>
        </w:rPr>
        <w:t>Engineering Principles</w:t>
      </w:r>
      <w:r w:rsidR="00F86A7E">
        <w:rPr>
          <w:lang w:eastAsia="en-GB"/>
        </w:rPr>
        <w:t xml:space="preserve">: </w:t>
      </w:r>
      <w:r w:rsidR="00CB03DD">
        <w:rPr>
          <w:lang w:eastAsia="en-GB"/>
        </w:rPr>
        <w:t>Maintenance, Inspection and Testing (EMT) 1-8</w:t>
      </w:r>
      <w:r w:rsidR="00F86A7E">
        <w:rPr>
          <w:lang w:eastAsia="en-GB"/>
        </w:rPr>
        <w:t>’</w:t>
      </w:r>
      <w:r w:rsidR="00B275BB">
        <w:rPr>
          <w:lang w:eastAsia="en-GB"/>
        </w:rPr>
        <w:t xml:space="preserve"> are the key </w:t>
      </w:r>
      <w:r w:rsidR="00B275BB" w:rsidRPr="005B4063">
        <w:rPr>
          <w:lang w:eastAsia="en-GB"/>
        </w:rPr>
        <w:t>SAPs directly addressed by this TAG</w:t>
      </w:r>
      <w:r w:rsidR="00E25644">
        <w:rPr>
          <w:lang w:eastAsia="en-GB"/>
        </w:rPr>
        <w:t>.</w:t>
      </w:r>
    </w:p>
    <w:p w14:paraId="562213E8" w14:textId="27D28AEC" w:rsidR="000B540B" w:rsidRPr="005B4063" w:rsidRDefault="00BF091F" w:rsidP="000B540B">
      <w:pPr>
        <w:pStyle w:val="F9-Paragraph"/>
        <w:rPr>
          <w:lang w:eastAsia="en-GB"/>
        </w:rPr>
      </w:pPr>
      <w:r>
        <w:rPr>
          <w:lang w:eastAsia="en-GB"/>
        </w:rPr>
        <w:t>Appendix 2</w:t>
      </w:r>
      <w:r w:rsidR="005B4063" w:rsidRPr="005B4063">
        <w:rPr>
          <w:lang w:eastAsia="en-GB"/>
        </w:rPr>
        <w:t xml:space="preserve"> provides </w:t>
      </w:r>
      <w:r w:rsidR="000B540B">
        <w:rPr>
          <w:lang w:eastAsia="en-GB"/>
        </w:rPr>
        <w:t>reference to</w:t>
      </w:r>
      <w:r w:rsidR="000B540B" w:rsidRPr="005B4063">
        <w:rPr>
          <w:lang w:eastAsia="en-GB"/>
        </w:rPr>
        <w:t xml:space="preserve"> other SAPs that are relevant to the assessment of EIM</w:t>
      </w:r>
      <w:r w:rsidR="000B540B">
        <w:rPr>
          <w:lang w:eastAsia="en-GB"/>
        </w:rPr>
        <w:t>T.</w:t>
      </w:r>
    </w:p>
    <w:p w14:paraId="2D8DE285" w14:textId="389502FD" w:rsidR="005B4063" w:rsidRPr="005B4063" w:rsidRDefault="004478E7" w:rsidP="000B540B">
      <w:pPr>
        <w:pStyle w:val="F9-Paragraph"/>
        <w:rPr>
          <w:lang w:eastAsia="en-GB"/>
        </w:rPr>
      </w:pPr>
      <w:r>
        <w:rPr>
          <w:lang w:eastAsia="en-GB"/>
        </w:rPr>
        <w:t>T</w:t>
      </w:r>
      <w:r w:rsidR="005B4063" w:rsidRPr="005B4063">
        <w:rPr>
          <w:lang w:eastAsia="en-GB"/>
        </w:rPr>
        <w:t xml:space="preserve">he following </w:t>
      </w:r>
      <w:r>
        <w:rPr>
          <w:lang w:eastAsia="en-GB"/>
        </w:rPr>
        <w:t xml:space="preserve">ONR </w:t>
      </w:r>
      <w:r w:rsidR="005B4063" w:rsidRPr="005B4063">
        <w:rPr>
          <w:lang w:eastAsia="en-GB"/>
        </w:rPr>
        <w:t xml:space="preserve">TAGs </w:t>
      </w:r>
      <w:r w:rsidR="00345706">
        <w:rPr>
          <w:lang w:eastAsia="en-GB"/>
        </w:rPr>
        <w:t>may be</w:t>
      </w:r>
      <w:r w:rsidR="00707B98">
        <w:rPr>
          <w:lang w:eastAsia="en-GB"/>
        </w:rPr>
        <w:t xml:space="preserve"> relevant</w:t>
      </w:r>
      <w:r w:rsidR="00345706">
        <w:rPr>
          <w:lang w:eastAsia="en-GB"/>
        </w:rPr>
        <w:t xml:space="preserve"> to inspectors considering EIMT</w:t>
      </w:r>
      <w:r w:rsidR="005B4063" w:rsidRPr="005B4063">
        <w:rPr>
          <w:lang w:eastAsia="en-GB"/>
        </w:rPr>
        <w:t>:</w:t>
      </w:r>
    </w:p>
    <w:p w14:paraId="3737E441" w14:textId="3F33E723" w:rsidR="005B4063" w:rsidRDefault="005B4063">
      <w:pPr>
        <w:pStyle w:val="Bulletlist1"/>
        <w:rPr>
          <w:lang w:eastAsia="en-GB"/>
        </w:rPr>
      </w:pPr>
      <w:r w:rsidRPr="005B4063">
        <w:rPr>
          <w:lang w:eastAsia="en-GB"/>
        </w:rPr>
        <w:t>NS-TAST-GD-005 Demonstration of ALARP</w:t>
      </w:r>
    </w:p>
    <w:p w14:paraId="742180E4" w14:textId="46BE4A88" w:rsidR="002F4FE3" w:rsidRDefault="002F4FE3">
      <w:pPr>
        <w:pStyle w:val="Bulletlist1"/>
        <w:rPr>
          <w:lang w:eastAsia="en-GB"/>
        </w:rPr>
      </w:pPr>
      <w:r>
        <w:rPr>
          <w:lang w:eastAsia="en-GB"/>
        </w:rPr>
        <w:t>NS-TAST-GD-016 Integrity of Metal</w:t>
      </w:r>
      <w:r w:rsidR="00E077A0">
        <w:rPr>
          <w:lang w:eastAsia="en-GB"/>
        </w:rPr>
        <w:t xml:space="preserve"> Structures, Systems and Components</w:t>
      </w:r>
    </w:p>
    <w:p w14:paraId="21C2DA4A" w14:textId="1E061E28" w:rsidR="00E077A0" w:rsidRPr="005B4063" w:rsidRDefault="00E077A0" w:rsidP="005141CA">
      <w:pPr>
        <w:pStyle w:val="Bulletlist1"/>
        <w:rPr>
          <w:lang w:eastAsia="en-GB"/>
        </w:rPr>
      </w:pPr>
      <w:r>
        <w:rPr>
          <w:lang w:eastAsia="en-GB"/>
        </w:rPr>
        <w:t>NS-TASD-GD-017</w:t>
      </w:r>
      <w:r w:rsidR="00345706">
        <w:rPr>
          <w:lang w:eastAsia="en-GB"/>
        </w:rPr>
        <w:t xml:space="preserve"> Civil Engineering</w:t>
      </w:r>
    </w:p>
    <w:p w14:paraId="763C6694" w14:textId="77099AF2" w:rsidR="005B4063" w:rsidRPr="005B4063" w:rsidRDefault="005B4063" w:rsidP="005141CA">
      <w:pPr>
        <w:pStyle w:val="Bulletlist1"/>
        <w:rPr>
          <w:lang w:eastAsia="en-GB"/>
        </w:rPr>
      </w:pPr>
      <w:r w:rsidRPr="005B4063">
        <w:rPr>
          <w:lang w:eastAsia="en-GB"/>
        </w:rPr>
        <w:t>NS-TAST-GD-026 Decommissioning</w:t>
      </w:r>
    </w:p>
    <w:p w14:paraId="06383B39" w14:textId="247AB79E" w:rsidR="005B4063" w:rsidRPr="005B4063" w:rsidRDefault="005B4063" w:rsidP="005141CA">
      <w:pPr>
        <w:pStyle w:val="Bulletlist1"/>
        <w:rPr>
          <w:lang w:eastAsia="en-GB"/>
        </w:rPr>
      </w:pPr>
      <w:r w:rsidRPr="005B4063">
        <w:rPr>
          <w:lang w:eastAsia="en-GB"/>
        </w:rPr>
        <w:t>NS-TAST-GD-030 Probabilistic Safety Analysis</w:t>
      </w:r>
    </w:p>
    <w:p w14:paraId="3644AC22" w14:textId="49A26CD9" w:rsidR="005B4063" w:rsidRDefault="005B4063">
      <w:pPr>
        <w:pStyle w:val="Bulletlist1"/>
        <w:rPr>
          <w:lang w:eastAsia="en-GB"/>
        </w:rPr>
      </w:pPr>
      <w:r w:rsidRPr="005B4063">
        <w:rPr>
          <w:lang w:eastAsia="en-GB"/>
        </w:rPr>
        <w:t>NS-TAST-GD-050 Periodic Safety Reviews</w:t>
      </w:r>
    </w:p>
    <w:p w14:paraId="752BC081" w14:textId="74D7373D" w:rsidR="00BF091F" w:rsidRDefault="00BF091F">
      <w:pPr>
        <w:pStyle w:val="Bulletlist1"/>
        <w:rPr>
          <w:lang w:eastAsia="en-GB"/>
        </w:rPr>
      </w:pPr>
      <w:r w:rsidRPr="005B4063">
        <w:rPr>
          <w:lang w:eastAsia="en-GB"/>
        </w:rPr>
        <w:t>NS-TAST-GD-051</w:t>
      </w:r>
      <w:r w:rsidR="00C944B2">
        <w:rPr>
          <w:lang w:eastAsia="en-GB"/>
        </w:rPr>
        <w:t xml:space="preserve"> The </w:t>
      </w:r>
      <w:r w:rsidR="004478E7">
        <w:rPr>
          <w:lang w:eastAsia="en-GB"/>
        </w:rPr>
        <w:t>P</w:t>
      </w:r>
      <w:r w:rsidR="00C944B2">
        <w:rPr>
          <w:lang w:eastAsia="en-GB"/>
        </w:rPr>
        <w:t xml:space="preserve">urpose, </w:t>
      </w:r>
      <w:r w:rsidR="004478E7">
        <w:rPr>
          <w:lang w:eastAsia="en-GB"/>
        </w:rPr>
        <w:t>S</w:t>
      </w:r>
      <w:r w:rsidR="00C944B2">
        <w:rPr>
          <w:lang w:eastAsia="en-GB"/>
        </w:rPr>
        <w:t xml:space="preserve">cope and </w:t>
      </w:r>
      <w:r w:rsidR="004478E7">
        <w:rPr>
          <w:lang w:eastAsia="en-GB"/>
        </w:rPr>
        <w:t>C</w:t>
      </w:r>
      <w:r w:rsidR="00C944B2">
        <w:rPr>
          <w:lang w:eastAsia="en-GB"/>
        </w:rPr>
        <w:t xml:space="preserve">ontent of </w:t>
      </w:r>
      <w:r w:rsidR="004478E7">
        <w:rPr>
          <w:lang w:eastAsia="en-GB"/>
        </w:rPr>
        <w:t>S</w:t>
      </w:r>
      <w:r w:rsidR="00C944B2">
        <w:rPr>
          <w:lang w:eastAsia="en-GB"/>
        </w:rPr>
        <w:t xml:space="preserve">afety </w:t>
      </w:r>
      <w:r w:rsidR="004478E7">
        <w:rPr>
          <w:lang w:eastAsia="en-GB"/>
        </w:rPr>
        <w:t>C</w:t>
      </w:r>
      <w:r w:rsidR="00C944B2">
        <w:rPr>
          <w:lang w:eastAsia="en-GB"/>
        </w:rPr>
        <w:t>ases</w:t>
      </w:r>
    </w:p>
    <w:p w14:paraId="27043384" w14:textId="77777777" w:rsidR="00191006" w:rsidRPr="005B4063" w:rsidRDefault="00191006" w:rsidP="00191006">
      <w:pPr>
        <w:pStyle w:val="Bulletlist1"/>
        <w:rPr>
          <w:lang w:eastAsia="en-GB"/>
        </w:rPr>
      </w:pPr>
      <w:r w:rsidRPr="005B4063">
        <w:rPr>
          <w:lang w:eastAsia="en-GB"/>
        </w:rPr>
        <w:t>NS-TAST-GD-057 Design Safety Assurance</w:t>
      </w:r>
    </w:p>
    <w:p w14:paraId="7F6F0B47" w14:textId="3D3C2F6C" w:rsidR="00203AFA" w:rsidRPr="005B4063" w:rsidRDefault="00203AFA" w:rsidP="005141CA">
      <w:pPr>
        <w:pStyle w:val="Bulletlist1"/>
        <w:rPr>
          <w:lang w:eastAsia="en-GB"/>
        </w:rPr>
      </w:pPr>
      <w:r>
        <w:rPr>
          <w:lang w:eastAsia="en-GB"/>
        </w:rPr>
        <w:t>NS-TAST-GD-067 Pressure Systems Safety</w:t>
      </w:r>
    </w:p>
    <w:p w14:paraId="3ED36F4F" w14:textId="3523F5A7" w:rsidR="005B4063" w:rsidRDefault="005B4063">
      <w:pPr>
        <w:pStyle w:val="Bulletlist1"/>
        <w:rPr>
          <w:lang w:eastAsia="en-GB"/>
        </w:rPr>
      </w:pPr>
      <w:r w:rsidRPr="005B4063">
        <w:rPr>
          <w:lang w:eastAsia="en-GB"/>
        </w:rPr>
        <w:t>NS-TAST-GD-094 Categorisation of Safety Functions and Classifications of Structures, Systems and Components</w:t>
      </w:r>
    </w:p>
    <w:p w14:paraId="3F93CCAD" w14:textId="7D14CE0A" w:rsidR="00203AFA" w:rsidRPr="005B4063" w:rsidRDefault="00203AFA" w:rsidP="005141CA">
      <w:pPr>
        <w:pStyle w:val="Bulletlist1"/>
        <w:rPr>
          <w:lang w:eastAsia="en-GB"/>
        </w:rPr>
      </w:pPr>
      <w:r>
        <w:rPr>
          <w:lang w:eastAsia="en-GB"/>
        </w:rPr>
        <w:t>NS-TAST-GD-109 Ageing and Degradation Management</w:t>
      </w:r>
    </w:p>
    <w:p w14:paraId="58A7D3E7" w14:textId="5A088357" w:rsidR="005B4063" w:rsidRPr="005B4063" w:rsidRDefault="005B4063" w:rsidP="005141CA">
      <w:pPr>
        <w:pStyle w:val="Heading2"/>
        <w:rPr>
          <w:lang w:eastAsia="en-GB"/>
        </w:rPr>
      </w:pPr>
      <w:r w:rsidRPr="005B4063">
        <w:rPr>
          <w:lang w:eastAsia="en-GB"/>
        </w:rPr>
        <w:t>WENRA Reference Levels (RLs) and IAEA Safety Standards and Guide</w:t>
      </w:r>
    </w:p>
    <w:p w14:paraId="397924D4" w14:textId="3A7320C7" w:rsidR="005B4063" w:rsidRPr="005B4063" w:rsidRDefault="001521D4" w:rsidP="005B4063">
      <w:pPr>
        <w:pStyle w:val="F9-Paragraph"/>
        <w:rPr>
          <w:lang w:eastAsia="en-GB"/>
        </w:rPr>
      </w:pPr>
      <w:r>
        <w:rPr>
          <w:lang w:eastAsia="en-GB"/>
        </w:rPr>
        <w:t>This</w:t>
      </w:r>
      <w:r w:rsidR="005B4063" w:rsidRPr="005B4063">
        <w:rPr>
          <w:lang w:eastAsia="en-GB"/>
        </w:rPr>
        <w:t xml:space="preserve"> TAG considers the Western European Nuclear Regulators’ Association [Ref </w:t>
      </w:r>
      <w:sdt>
        <w:sdtPr>
          <w:rPr>
            <w:lang w:eastAsia="en-GB"/>
          </w:rPr>
          <w:id w:val="967084632"/>
          <w:citation/>
        </w:sdtPr>
        <w:sdtEndPr/>
        <w:sdtContent>
          <w:r w:rsidR="00D43E0E">
            <w:rPr>
              <w:lang w:eastAsia="en-GB"/>
            </w:rPr>
            <w:fldChar w:fldCharType="begin"/>
          </w:r>
          <w:r w:rsidR="00626247">
            <w:rPr>
              <w:lang w:eastAsia="en-GB"/>
            </w:rPr>
            <w:instrText xml:space="preserve">CITATION WEN20 \l 2057 </w:instrText>
          </w:r>
          <w:r w:rsidR="00D43E0E">
            <w:rPr>
              <w:lang w:eastAsia="en-GB"/>
            </w:rPr>
            <w:fldChar w:fldCharType="separate"/>
          </w:r>
          <w:r w:rsidR="0040433D">
            <w:rPr>
              <w:noProof/>
              <w:lang w:eastAsia="en-GB"/>
            </w:rPr>
            <w:t>[2]</w:t>
          </w:r>
          <w:r w:rsidR="00D43E0E">
            <w:rPr>
              <w:lang w:eastAsia="en-GB"/>
            </w:rPr>
            <w:fldChar w:fldCharType="end"/>
          </w:r>
        </w:sdtContent>
      </w:sdt>
      <w:r w:rsidR="005B4063" w:rsidRPr="005B4063">
        <w:rPr>
          <w:lang w:eastAsia="en-GB"/>
        </w:rPr>
        <w:t xml:space="preserve">] (WENRA) and International Atomic Energy Agency </w:t>
      </w:r>
      <w:sdt>
        <w:sdtPr>
          <w:rPr>
            <w:lang w:eastAsia="en-GB"/>
          </w:rPr>
          <w:id w:val="-1179576186"/>
          <w:citation/>
        </w:sdtPr>
        <w:sdtEndPr/>
        <w:sdtContent>
          <w:r w:rsidR="00AC6ADD">
            <w:rPr>
              <w:lang w:eastAsia="en-GB"/>
            </w:rPr>
            <w:fldChar w:fldCharType="begin"/>
          </w:r>
          <w:r w:rsidR="00AC6ADD">
            <w:rPr>
              <w:lang w:eastAsia="en-GB"/>
            </w:rPr>
            <w:instrText xml:space="preserve"> CITATION IAE \l 2057 </w:instrText>
          </w:r>
          <w:r w:rsidR="00AC6ADD">
            <w:rPr>
              <w:lang w:eastAsia="en-GB"/>
            </w:rPr>
            <w:fldChar w:fldCharType="separate"/>
          </w:r>
          <w:r w:rsidR="0040433D">
            <w:rPr>
              <w:noProof/>
              <w:lang w:eastAsia="en-GB"/>
            </w:rPr>
            <w:t>[3]</w:t>
          </w:r>
          <w:r w:rsidR="00AC6ADD">
            <w:rPr>
              <w:lang w:eastAsia="en-GB"/>
            </w:rPr>
            <w:fldChar w:fldCharType="end"/>
          </w:r>
        </w:sdtContent>
      </w:sdt>
      <w:r w:rsidR="00AC6ADD">
        <w:rPr>
          <w:lang w:eastAsia="en-GB"/>
        </w:rPr>
        <w:t xml:space="preserve"> </w:t>
      </w:r>
      <w:r w:rsidR="005B4063" w:rsidRPr="005B4063">
        <w:rPr>
          <w:lang w:eastAsia="en-GB"/>
        </w:rPr>
        <w:t xml:space="preserve">to </w:t>
      </w:r>
      <w:r w:rsidR="0040433D">
        <w:rPr>
          <w:lang w:eastAsia="en-GB"/>
        </w:rPr>
        <w:t>[6]</w:t>
      </w:r>
      <w:r w:rsidR="004A4656">
        <w:rPr>
          <w:lang w:eastAsia="en-GB"/>
        </w:rPr>
        <w:t xml:space="preserve"> </w:t>
      </w:r>
      <w:r w:rsidR="005B4063" w:rsidRPr="005B4063">
        <w:rPr>
          <w:lang w:eastAsia="en-GB"/>
        </w:rPr>
        <w:t>(IAEA) publications for specific applicability. It should be noted that the SAPs are intended for both existing and new facilities whereas the WENRA Reactor Safety Reference Levels are intended for existing reactors. However</w:t>
      </w:r>
      <w:r w:rsidR="00D611D4">
        <w:rPr>
          <w:lang w:eastAsia="en-GB"/>
        </w:rPr>
        <w:t>,</w:t>
      </w:r>
      <w:r w:rsidR="005B4063" w:rsidRPr="005B4063">
        <w:rPr>
          <w:lang w:eastAsia="en-GB"/>
        </w:rPr>
        <w:t xml:space="preserve"> there is little difference between the general requirements of each. The WENRA </w:t>
      </w:r>
      <w:r w:rsidR="005B4063" w:rsidRPr="005B4063">
        <w:rPr>
          <w:lang w:eastAsia="en-GB"/>
        </w:rPr>
        <w:lastRenderedPageBreak/>
        <w:t xml:space="preserve">and IAEA documents considered in this TAG </w:t>
      </w:r>
      <w:r w:rsidR="00D611D4">
        <w:rPr>
          <w:lang w:eastAsia="en-GB"/>
        </w:rPr>
        <w:t>focus</w:t>
      </w:r>
      <w:r w:rsidR="005B4063" w:rsidRPr="005B4063">
        <w:rPr>
          <w:lang w:eastAsia="en-GB"/>
        </w:rPr>
        <w:t xml:space="preserve"> on nuclear reactor power plants and so do not have the same broad scope intent of the SAPs and this TAG. NS-TAST-GD-005 identifies the WENRA RLs as </w:t>
      </w:r>
      <w:r w:rsidR="00D611D4" w:rsidRPr="005B4063">
        <w:rPr>
          <w:lang w:eastAsia="en-GB"/>
        </w:rPr>
        <w:t>relevant good practice</w:t>
      </w:r>
      <w:r w:rsidR="00FA2AE9">
        <w:rPr>
          <w:lang w:eastAsia="en-GB"/>
        </w:rPr>
        <w:t xml:space="preserve"> (RGP)</w:t>
      </w:r>
      <w:r w:rsidR="005B4063" w:rsidRPr="005B4063">
        <w:rPr>
          <w:lang w:eastAsia="en-GB"/>
        </w:rPr>
        <w:t xml:space="preserve"> for existing civil nuclear reactors</w:t>
      </w:r>
      <w:r w:rsidR="00DE33AD">
        <w:rPr>
          <w:lang w:eastAsia="en-GB"/>
        </w:rPr>
        <w:t>.</w:t>
      </w:r>
    </w:p>
    <w:p w14:paraId="77869FAC" w14:textId="4B0D8DD0" w:rsidR="005B4063" w:rsidRPr="005B4063" w:rsidRDefault="005B4063" w:rsidP="005B4063">
      <w:pPr>
        <w:pStyle w:val="F9-Paragraph"/>
        <w:rPr>
          <w:lang w:eastAsia="en-GB"/>
        </w:rPr>
      </w:pPr>
      <w:r w:rsidRPr="005B4063">
        <w:rPr>
          <w:lang w:eastAsia="en-GB"/>
        </w:rPr>
        <w:t xml:space="preserve">WENRA Reference Level Issue K is dedicated to </w:t>
      </w:r>
      <w:r w:rsidR="00B704E3">
        <w:rPr>
          <w:lang w:eastAsia="en-GB"/>
        </w:rPr>
        <w:t>maintenance, in-service inspection and functional testing</w:t>
      </w:r>
      <w:r w:rsidR="008F0D1A">
        <w:rPr>
          <w:lang w:eastAsia="en-GB"/>
        </w:rPr>
        <w:t>.</w:t>
      </w:r>
      <w:r w:rsidR="00B704E3">
        <w:rPr>
          <w:lang w:eastAsia="en-GB"/>
        </w:rPr>
        <w:t xml:space="preserve"> </w:t>
      </w:r>
      <w:r w:rsidR="008F0D1A">
        <w:rPr>
          <w:lang w:eastAsia="en-GB"/>
        </w:rPr>
        <w:t>T</w:t>
      </w:r>
      <w:r w:rsidRPr="005B4063">
        <w:rPr>
          <w:lang w:eastAsia="en-GB"/>
        </w:rPr>
        <w:t xml:space="preserve">he following </w:t>
      </w:r>
      <w:r w:rsidR="008F0D1A">
        <w:rPr>
          <w:lang w:eastAsia="en-GB"/>
        </w:rPr>
        <w:t xml:space="preserve">is </w:t>
      </w:r>
      <w:r w:rsidRPr="005B4063">
        <w:rPr>
          <w:lang w:eastAsia="en-GB"/>
        </w:rPr>
        <w:t>worthy of note during assessment of Licensees’ EIMT arrangements:</w:t>
      </w:r>
    </w:p>
    <w:p w14:paraId="02A86E58" w14:textId="50569CA2" w:rsidR="005B4063" w:rsidRPr="005B4063" w:rsidRDefault="008F0D1A" w:rsidP="005141CA">
      <w:pPr>
        <w:pStyle w:val="Bulletlist1"/>
        <w:rPr>
          <w:lang w:eastAsia="en-GB"/>
        </w:rPr>
      </w:pPr>
      <w:r>
        <w:rPr>
          <w:lang w:eastAsia="en-GB"/>
        </w:rPr>
        <w:t>T</w:t>
      </w:r>
      <w:r w:rsidRPr="005B4063">
        <w:rPr>
          <w:lang w:eastAsia="en-GB"/>
        </w:rPr>
        <w:t xml:space="preserve">he </w:t>
      </w:r>
      <w:r w:rsidR="005B4063" w:rsidRPr="005B4063">
        <w:rPr>
          <w:lang w:eastAsia="en-GB"/>
        </w:rPr>
        <w:t>need for the preparation and implementation of documented programmes of EIMT of SSCs important to safety to ensure that their availability, reliability, and functionality remains in accordance with the design over the lifetime of the plant;</w:t>
      </w:r>
    </w:p>
    <w:p w14:paraId="129DC5F7" w14:textId="2F30B2A8" w:rsidR="005B4063" w:rsidRPr="005B4063" w:rsidRDefault="008F0D1A" w:rsidP="005141CA">
      <w:pPr>
        <w:pStyle w:val="Bulletlist1"/>
        <w:rPr>
          <w:lang w:eastAsia="en-GB"/>
        </w:rPr>
      </w:pPr>
      <w:r>
        <w:rPr>
          <w:lang w:eastAsia="en-GB"/>
        </w:rPr>
        <w:t>T</w:t>
      </w:r>
      <w:r w:rsidRPr="005B4063">
        <w:rPr>
          <w:lang w:eastAsia="en-GB"/>
        </w:rPr>
        <w:t xml:space="preserve">he </w:t>
      </w:r>
      <w:r w:rsidR="005B4063" w:rsidRPr="005B4063">
        <w:rPr>
          <w:lang w:eastAsia="en-GB"/>
        </w:rPr>
        <w:t>programmes should include periodic inspections and tests of SSCs important to safety in order to determine whether they are acceptable for continued safe operation of the plant or whether any remedial measures are necessary;</w:t>
      </w:r>
    </w:p>
    <w:p w14:paraId="49C05DB6" w14:textId="22C3BB94" w:rsidR="005B4063" w:rsidRPr="005B4063" w:rsidRDefault="008F0D1A" w:rsidP="005141CA">
      <w:pPr>
        <w:pStyle w:val="Bulletlist1"/>
        <w:rPr>
          <w:lang w:eastAsia="en-GB"/>
        </w:rPr>
      </w:pPr>
      <w:r>
        <w:rPr>
          <w:lang w:eastAsia="en-GB"/>
        </w:rPr>
        <w:t>T</w:t>
      </w:r>
      <w:r w:rsidRPr="005B4063">
        <w:rPr>
          <w:lang w:eastAsia="en-GB"/>
        </w:rPr>
        <w:t xml:space="preserve">he </w:t>
      </w:r>
      <w:r w:rsidR="005B4063" w:rsidRPr="005B4063">
        <w:rPr>
          <w:lang w:eastAsia="en-GB"/>
        </w:rPr>
        <w:t>extent and frequency of preventative EIMT should be determined using a systematic approach;</w:t>
      </w:r>
    </w:p>
    <w:p w14:paraId="73D7FCCF" w14:textId="59C6520E" w:rsidR="005B4063" w:rsidRPr="005B4063" w:rsidRDefault="008F0D1A" w:rsidP="005141CA">
      <w:pPr>
        <w:pStyle w:val="Bulletlist1"/>
        <w:rPr>
          <w:lang w:eastAsia="en-GB"/>
        </w:rPr>
      </w:pPr>
      <w:r>
        <w:rPr>
          <w:lang w:eastAsia="en-GB"/>
        </w:rPr>
        <w:t>T</w:t>
      </w:r>
      <w:r w:rsidRPr="005B4063">
        <w:rPr>
          <w:lang w:eastAsia="en-GB"/>
        </w:rPr>
        <w:t xml:space="preserve">he </w:t>
      </w:r>
      <w:r w:rsidR="005B4063" w:rsidRPr="005B4063">
        <w:rPr>
          <w:lang w:eastAsia="en-GB"/>
        </w:rPr>
        <w:t>impact of maintenance on plant safety is to be assessed using data from plant EIMT;</w:t>
      </w:r>
    </w:p>
    <w:p w14:paraId="400A8E68" w14:textId="01936C80" w:rsidR="005B4063" w:rsidRPr="005B4063" w:rsidRDefault="005B4063" w:rsidP="005141CA">
      <w:pPr>
        <w:pStyle w:val="Bulletlist1"/>
        <w:rPr>
          <w:lang w:eastAsia="en-GB"/>
        </w:rPr>
      </w:pPr>
      <w:r w:rsidRPr="005B4063">
        <w:rPr>
          <w:lang w:eastAsia="en-GB"/>
        </w:rPr>
        <w:t>SSCs important to safety are to be designed with ease of EIMT to demonstrate integrity and functional capability over the plant lifetime;</w:t>
      </w:r>
    </w:p>
    <w:p w14:paraId="7005F356" w14:textId="41F2B3E0" w:rsidR="005B4063" w:rsidRPr="005B4063" w:rsidRDefault="008F0D1A" w:rsidP="005141CA">
      <w:pPr>
        <w:pStyle w:val="Bulletlist1"/>
        <w:rPr>
          <w:lang w:eastAsia="en-GB"/>
        </w:rPr>
      </w:pPr>
      <w:r>
        <w:rPr>
          <w:lang w:eastAsia="en-GB"/>
        </w:rPr>
        <w:t>P</w:t>
      </w:r>
      <w:r w:rsidRPr="005B4063">
        <w:rPr>
          <w:lang w:eastAsia="en-GB"/>
        </w:rPr>
        <w:t xml:space="preserve">roven </w:t>
      </w:r>
      <w:r w:rsidR="005B4063" w:rsidRPr="005B4063">
        <w:rPr>
          <w:lang w:eastAsia="en-GB"/>
        </w:rPr>
        <w:t>alternative approaches may be specified and other safety precautions taken to compensate for the potential for undiscovered failures where EIMT provisions are not attainable; and</w:t>
      </w:r>
    </w:p>
    <w:p w14:paraId="2F5515FE" w14:textId="74909E13" w:rsidR="005B4063" w:rsidRPr="005B4063" w:rsidRDefault="008F0D1A" w:rsidP="005141CA">
      <w:pPr>
        <w:pStyle w:val="Bulletlist1"/>
        <w:rPr>
          <w:lang w:eastAsia="en-GB"/>
        </w:rPr>
      </w:pPr>
      <w:r>
        <w:rPr>
          <w:lang w:eastAsia="en-GB"/>
        </w:rPr>
        <w:t>T</w:t>
      </w:r>
      <w:r w:rsidRPr="005B4063">
        <w:rPr>
          <w:lang w:eastAsia="en-GB"/>
        </w:rPr>
        <w:t xml:space="preserve">he </w:t>
      </w:r>
      <w:r w:rsidR="005B4063" w:rsidRPr="005B4063">
        <w:rPr>
          <w:lang w:eastAsia="en-GB"/>
        </w:rPr>
        <w:t>need for configuration control to permit plant to be removed from service before testing and then for return to service.</w:t>
      </w:r>
    </w:p>
    <w:p w14:paraId="6E396C8A" w14:textId="5A238A1C" w:rsidR="005B4063" w:rsidRPr="005B4063" w:rsidRDefault="005B4063" w:rsidP="005B4063">
      <w:pPr>
        <w:pStyle w:val="F9-Paragraph"/>
        <w:rPr>
          <w:lang w:eastAsia="en-GB"/>
        </w:rPr>
      </w:pPr>
      <w:r w:rsidRPr="005B4063">
        <w:rPr>
          <w:lang w:eastAsia="en-GB"/>
        </w:rPr>
        <w:t>The comprehensive EIMT requirements that are reflected in many of the ONR SAPs demonstrate that WENRA RL Issue K requirements are addressed in the UK approach to regulation. Indeed</w:t>
      </w:r>
      <w:r w:rsidR="00953416">
        <w:rPr>
          <w:lang w:eastAsia="en-GB"/>
        </w:rPr>
        <w:t>,</w:t>
      </w:r>
      <w:r w:rsidRPr="005B4063">
        <w:rPr>
          <w:lang w:eastAsia="en-GB"/>
        </w:rPr>
        <w:t xml:space="preserve"> many of the other RL Issues, not directly related to EIMT, mention the need for EIMT in much the same </w:t>
      </w:r>
      <w:r w:rsidR="00953416" w:rsidRPr="005B4063">
        <w:rPr>
          <w:lang w:eastAsia="en-GB"/>
        </w:rPr>
        <w:t>high-level</w:t>
      </w:r>
      <w:r w:rsidRPr="005B4063">
        <w:rPr>
          <w:lang w:eastAsia="en-GB"/>
        </w:rPr>
        <w:t xml:space="preserve"> way as in the SAPs.</w:t>
      </w:r>
    </w:p>
    <w:p w14:paraId="56259445" w14:textId="6C3854DD" w:rsidR="00CF15DB" w:rsidRDefault="005B4063" w:rsidP="007075FE">
      <w:pPr>
        <w:pStyle w:val="F9-Paragraph"/>
        <w:rPr>
          <w:lang w:eastAsia="en-GB"/>
        </w:rPr>
      </w:pPr>
      <w:r w:rsidRPr="005B4063">
        <w:rPr>
          <w:lang w:eastAsia="en-GB"/>
        </w:rPr>
        <w:t xml:space="preserve">The following IAEA Safety Standards and Guides </w:t>
      </w:r>
      <w:r w:rsidR="00953416" w:rsidRPr="005B4063">
        <w:rPr>
          <w:lang w:eastAsia="en-GB"/>
        </w:rPr>
        <w:t>refer</w:t>
      </w:r>
      <w:r w:rsidRPr="005B4063">
        <w:rPr>
          <w:lang w:eastAsia="en-GB"/>
        </w:rPr>
        <w:t xml:space="preserve"> to the need for EIMT as a means of gaining assurance that the design intent is maintained in all disciplines of nuclear engineering and safety assurance.</w:t>
      </w:r>
    </w:p>
    <w:p w14:paraId="5906076B" w14:textId="24CE0B9D" w:rsidR="00596397" w:rsidRDefault="00596397" w:rsidP="00596397">
      <w:pPr>
        <w:pStyle w:val="F9-Paragraph"/>
        <w:numPr>
          <w:ilvl w:val="0"/>
          <w:numId w:val="0"/>
        </w:numPr>
        <w:ind w:left="851" w:hanging="851"/>
        <w:rPr>
          <w:lang w:eastAsia="en-GB"/>
        </w:rPr>
      </w:pPr>
    </w:p>
    <w:p w14:paraId="0FA0558A" w14:textId="63D0C64C" w:rsidR="00596397" w:rsidRDefault="00596397" w:rsidP="00596397">
      <w:pPr>
        <w:pStyle w:val="F9-Paragraph"/>
        <w:numPr>
          <w:ilvl w:val="0"/>
          <w:numId w:val="0"/>
        </w:numPr>
        <w:ind w:left="851" w:hanging="851"/>
        <w:rPr>
          <w:lang w:eastAsia="en-GB"/>
        </w:rPr>
      </w:pPr>
    </w:p>
    <w:p w14:paraId="5B5450C3" w14:textId="77777777" w:rsidR="00596397" w:rsidRPr="005B4063" w:rsidRDefault="00596397" w:rsidP="005141CA">
      <w:pPr>
        <w:pStyle w:val="F9-Paragraph"/>
        <w:numPr>
          <w:ilvl w:val="0"/>
          <w:numId w:val="0"/>
        </w:numPr>
        <w:ind w:left="851" w:hanging="851"/>
        <w:rPr>
          <w:lang w:eastAsia="en-GB"/>
        </w:rPr>
      </w:pPr>
    </w:p>
    <w:tbl>
      <w:tblPr>
        <w:tblStyle w:val="ONRTable1"/>
        <w:tblW w:w="8363" w:type="dxa"/>
        <w:tblInd w:w="851" w:type="dxa"/>
        <w:tblLook w:val="04A0" w:firstRow="1" w:lastRow="0" w:firstColumn="1" w:lastColumn="0" w:noHBand="0" w:noVBand="1"/>
      </w:tblPr>
      <w:tblGrid>
        <w:gridCol w:w="2268"/>
        <w:gridCol w:w="6095"/>
      </w:tblGrid>
      <w:tr w:rsidR="00FA7F38" w:rsidRPr="009C1DA5" w14:paraId="2E83FA58" w14:textId="77777777" w:rsidTr="005141CA">
        <w:trPr>
          <w:cnfStyle w:val="100000000000" w:firstRow="1" w:lastRow="0" w:firstColumn="0" w:lastColumn="0" w:oddVBand="0" w:evenVBand="0" w:oddHBand="0" w:evenHBand="0" w:firstRowFirstColumn="0" w:firstRowLastColumn="0" w:lastRowFirstColumn="0" w:lastRowLastColumn="0"/>
        </w:trPr>
        <w:tc>
          <w:tcPr>
            <w:tcW w:w="2268" w:type="dxa"/>
          </w:tcPr>
          <w:p w14:paraId="4A6668B0" w14:textId="109656C2" w:rsidR="00FA7F38" w:rsidRPr="009C1DA5" w:rsidRDefault="00E6051C" w:rsidP="005141CA">
            <w:pPr>
              <w:pStyle w:val="Bulletlist1"/>
              <w:numPr>
                <w:ilvl w:val="0"/>
                <w:numId w:val="0"/>
              </w:numPr>
              <w:spacing w:before="0"/>
              <w:rPr>
                <w:lang w:eastAsia="en-GB"/>
              </w:rPr>
            </w:pPr>
            <w:r>
              <w:rPr>
                <w:lang w:eastAsia="en-GB"/>
              </w:rPr>
              <w:lastRenderedPageBreak/>
              <w:t>IAEA Guidance</w:t>
            </w:r>
          </w:p>
        </w:tc>
        <w:tc>
          <w:tcPr>
            <w:tcW w:w="6095" w:type="dxa"/>
          </w:tcPr>
          <w:p w14:paraId="4A5EB649" w14:textId="6CD0AC7B" w:rsidR="00FA7F38" w:rsidRPr="009C1DA5" w:rsidRDefault="00E6051C" w:rsidP="005141CA">
            <w:pPr>
              <w:pStyle w:val="Bulletlist1"/>
              <w:numPr>
                <w:ilvl w:val="0"/>
                <w:numId w:val="0"/>
              </w:numPr>
              <w:spacing w:before="0"/>
              <w:rPr>
                <w:lang w:eastAsia="en-GB"/>
              </w:rPr>
            </w:pPr>
            <w:r>
              <w:rPr>
                <w:lang w:eastAsia="en-GB"/>
              </w:rPr>
              <w:t>Notes:</w:t>
            </w:r>
          </w:p>
        </w:tc>
      </w:tr>
      <w:tr w:rsidR="00A72B9F" w:rsidRPr="009C1DA5" w14:paraId="48992EDE" w14:textId="77777777" w:rsidTr="005141CA">
        <w:trPr>
          <w:cantSplit/>
          <w:trHeight w:val="3766"/>
        </w:trPr>
        <w:tc>
          <w:tcPr>
            <w:tcW w:w="2268" w:type="dxa"/>
          </w:tcPr>
          <w:p w14:paraId="4640F480" w14:textId="158CA3E2" w:rsidR="00A72B9F" w:rsidRPr="00C455BC" w:rsidRDefault="00A72B9F" w:rsidP="005141CA">
            <w:pPr>
              <w:pStyle w:val="Bulletlist2"/>
              <w:numPr>
                <w:ilvl w:val="0"/>
                <w:numId w:val="0"/>
              </w:numPr>
              <w:spacing w:before="0"/>
              <w:rPr>
                <w:sz w:val="22"/>
                <w:lang w:eastAsia="en-GB"/>
              </w:rPr>
            </w:pPr>
            <w:r w:rsidRPr="00C455BC">
              <w:rPr>
                <w:sz w:val="22"/>
                <w:lang w:eastAsia="en-GB"/>
              </w:rPr>
              <w:t>SSR-2/1</w:t>
            </w:r>
            <w:r w:rsidR="00653CC7" w:rsidRPr="00C455BC">
              <w:rPr>
                <w:sz w:val="22"/>
                <w:lang w:eastAsia="en-GB"/>
              </w:rPr>
              <w:t xml:space="preserve"> -</w:t>
            </w:r>
            <w:r w:rsidRPr="00C455BC">
              <w:rPr>
                <w:sz w:val="22"/>
                <w:lang w:eastAsia="en-GB"/>
              </w:rPr>
              <w:t xml:space="preserve"> Safety of Nuclear Power Plants: Design</w:t>
            </w:r>
          </w:p>
          <w:p w14:paraId="6E9A5C22" w14:textId="10341058" w:rsidR="00A72B9F" w:rsidRPr="00C455BC" w:rsidRDefault="004069D6" w:rsidP="005141CA">
            <w:pPr>
              <w:pStyle w:val="Bulletlist2"/>
              <w:numPr>
                <w:ilvl w:val="0"/>
                <w:numId w:val="0"/>
              </w:numPr>
              <w:spacing w:before="0"/>
              <w:rPr>
                <w:b/>
                <w:bCs/>
                <w:sz w:val="22"/>
              </w:rPr>
            </w:pPr>
            <w:sdt>
              <w:sdtPr>
                <w:rPr>
                  <w:sz w:val="22"/>
                  <w:lang w:eastAsia="en-GB"/>
                </w:rPr>
                <w:id w:val="-929655382"/>
                <w:citation/>
              </w:sdtPr>
              <w:sdtEndPr/>
              <w:sdtContent>
                <w:r w:rsidR="00557C28" w:rsidRPr="00C455BC">
                  <w:rPr>
                    <w:sz w:val="22"/>
                    <w:lang w:eastAsia="en-GB"/>
                  </w:rPr>
                  <w:fldChar w:fldCharType="begin"/>
                </w:r>
                <w:r w:rsidR="00557C28" w:rsidRPr="00C455BC">
                  <w:rPr>
                    <w:sz w:val="22"/>
                    <w:lang w:eastAsia="en-GB"/>
                  </w:rPr>
                  <w:instrText xml:space="preserve">CITATION IAE \l 2057 </w:instrText>
                </w:r>
                <w:r w:rsidR="00557C28" w:rsidRPr="00C455BC">
                  <w:rPr>
                    <w:sz w:val="22"/>
                    <w:lang w:eastAsia="en-GB"/>
                  </w:rPr>
                  <w:fldChar w:fldCharType="separate"/>
                </w:r>
                <w:r w:rsidR="0040433D" w:rsidRPr="0040433D">
                  <w:rPr>
                    <w:sz w:val="22"/>
                    <w:lang w:eastAsia="en-GB"/>
                  </w:rPr>
                  <w:t>[3]</w:t>
                </w:r>
                <w:r w:rsidR="00557C28" w:rsidRPr="00C455BC">
                  <w:rPr>
                    <w:sz w:val="22"/>
                    <w:lang w:eastAsia="en-GB"/>
                  </w:rPr>
                  <w:fldChar w:fldCharType="end"/>
                </w:r>
              </w:sdtContent>
            </w:sdt>
          </w:p>
        </w:tc>
        <w:tc>
          <w:tcPr>
            <w:tcW w:w="6095" w:type="dxa"/>
          </w:tcPr>
          <w:p w14:paraId="561A0557" w14:textId="37DDA049" w:rsidR="00A72B9F" w:rsidRPr="00C455BC" w:rsidRDefault="00A72B9F" w:rsidP="005141CA">
            <w:pPr>
              <w:pStyle w:val="Bulletlist2"/>
              <w:numPr>
                <w:ilvl w:val="0"/>
                <w:numId w:val="0"/>
              </w:numPr>
              <w:spacing w:before="0"/>
              <w:rPr>
                <w:sz w:val="22"/>
              </w:rPr>
            </w:pPr>
            <w:r w:rsidRPr="00C455BC">
              <w:rPr>
                <w:b/>
                <w:bCs/>
                <w:sz w:val="22"/>
              </w:rPr>
              <w:t>Requirement 29: Calibration, testing, maintenance, repair, replacement, inspection and monitoring of items important to safety:</w:t>
            </w:r>
            <w:r w:rsidRPr="00C455BC">
              <w:rPr>
                <w:b/>
                <w:bCs/>
                <w:sz w:val="22"/>
              </w:rPr>
              <w:br/>
            </w:r>
            <w:r w:rsidRPr="00C455BC">
              <w:rPr>
                <w:sz w:val="22"/>
              </w:rPr>
              <w:t>Items important to safety shall be designed to be calibrated, tested, maintained, repaired or replaced, inspected and monitored as required to ensure their capability of performing their functions and to maintain their integrity in all conditions specified in their design basis.</w:t>
            </w:r>
          </w:p>
          <w:p w14:paraId="1827C40F" w14:textId="5EAD433F" w:rsidR="00A72B9F" w:rsidRPr="00C455BC" w:rsidRDefault="00A72B9F" w:rsidP="005141CA">
            <w:pPr>
              <w:pStyle w:val="Bulletlist2"/>
              <w:numPr>
                <w:ilvl w:val="0"/>
                <w:numId w:val="0"/>
              </w:numPr>
              <w:spacing w:before="0"/>
              <w:rPr>
                <w:sz w:val="22"/>
              </w:rPr>
            </w:pPr>
            <w:r w:rsidRPr="00C455BC">
              <w:rPr>
                <w:b/>
                <w:sz w:val="22"/>
              </w:rPr>
              <w:t>Requirement 31: Ageing management:</w:t>
            </w:r>
            <w:r w:rsidRPr="00C455BC">
              <w:rPr>
                <w:sz w:val="22"/>
              </w:rPr>
              <w:t xml:space="preserve"> </w:t>
            </w:r>
            <w:r w:rsidRPr="00C455BC">
              <w:rPr>
                <w:sz w:val="22"/>
              </w:rPr>
              <w:br/>
              <w:t>The design life of items important to safety shall be determined. Appropriate margins shall be provided in the design to take due account of relevant mechanisms of ageing, neutron embrittlement and wearout and of the potential for age related degradation, to ensure the capability of items important to safety to perform their necessary safety functions throughout their design life</w:t>
            </w:r>
          </w:p>
        </w:tc>
      </w:tr>
      <w:tr w:rsidR="00653CC7" w:rsidRPr="009C1DA5" w14:paraId="754A56D7" w14:textId="77777777" w:rsidTr="007450B5">
        <w:trPr>
          <w:trHeight w:val="3254"/>
        </w:trPr>
        <w:tc>
          <w:tcPr>
            <w:tcW w:w="2268" w:type="dxa"/>
          </w:tcPr>
          <w:p w14:paraId="1A2F82C4" w14:textId="77777777" w:rsidR="00653CC7" w:rsidRPr="00C455BC" w:rsidRDefault="00653CC7" w:rsidP="005141CA">
            <w:pPr>
              <w:pStyle w:val="Bulletlist1"/>
              <w:numPr>
                <w:ilvl w:val="0"/>
                <w:numId w:val="0"/>
              </w:numPr>
              <w:spacing w:before="0"/>
              <w:rPr>
                <w:sz w:val="22"/>
              </w:rPr>
            </w:pPr>
            <w:r w:rsidRPr="00C455BC">
              <w:rPr>
                <w:sz w:val="22"/>
                <w:lang w:eastAsia="en-GB"/>
              </w:rPr>
              <w:t xml:space="preserve">SSR-2/2 - </w:t>
            </w:r>
            <w:r w:rsidRPr="00C455BC">
              <w:rPr>
                <w:sz w:val="22"/>
              </w:rPr>
              <w:t>Safety of Nuclear Power Plants: Commissioning and Operation</w:t>
            </w:r>
          </w:p>
          <w:p w14:paraId="71D651F8" w14:textId="5FABD4B1" w:rsidR="00653CC7" w:rsidRPr="00C455BC" w:rsidRDefault="004069D6" w:rsidP="005141CA">
            <w:pPr>
              <w:pStyle w:val="Bulletlist2"/>
              <w:numPr>
                <w:ilvl w:val="0"/>
                <w:numId w:val="0"/>
              </w:numPr>
              <w:spacing w:before="0"/>
              <w:rPr>
                <w:sz w:val="22"/>
                <w:lang w:eastAsia="en-GB"/>
              </w:rPr>
            </w:pPr>
            <w:sdt>
              <w:sdtPr>
                <w:rPr>
                  <w:sz w:val="22"/>
                </w:rPr>
                <w:id w:val="-380092856"/>
                <w:citation/>
              </w:sdtPr>
              <w:sdtEndPr/>
              <w:sdtContent>
                <w:r w:rsidR="00557C28" w:rsidRPr="00C455BC">
                  <w:rPr>
                    <w:sz w:val="22"/>
                  </w:rPr>
                  <w:fldChar w:fldCharType="begin"/>
                </w:r>
                <w:r w:rsidR="00557C28" w:rsidRPr="00C455BC">
                  <w:rPr>
                    <w:sz w:val="22"/>
                  </w:rPr>
                  <w:instrText xml:space="preserve"> CITATION IAE1 \l 2057 </w:instrText>
                </w:r>
                <w:r w:rsidR="00557C28" w:rsidRPr="00C455BC">
                  <w:rPr>
                    <w:sz w:val="22"/>
                  </w:rPr>
                  <w:fldChar w:fldCharType="separate"/>
                </w:r>
                <w:r w:rsidR="0040433D" w:rsidRPr="0040433D">
                  <w:rPr>
                    <w:sz w:val="22"/>
                  </w:rPr>
                  <w:t>[5]</w:t>
                </w:r>
                <w:r w:rsidR="00557C28" w:rsidRPr="00C455BC">
                  <w:rPr>
                    <w:sz w:val="22"/>
                  </w:rPr>
                  <w:fldChar w:fldCharType="end"/>
                </w:r>
              </w:sdtContent>
            </w:sdt>
          </w:p>
        </w:tc>
        <w:tc>
          <w:tcPr>
            <w:tcW w:w="6095" w:type="dxa"/>
          </w:tcPr>
          <w:p w14:paraId="58C9FC3A" w14:textId="77777777" w:rsidR="00653CC7" w:rsidRPr="00C455BC" w:rsidRDefault="00653CC7" w:rsidP="005141CA">
            <w:pPr>
              <w:pStyle w:val="Bulletlist1"/>
              <w:numPr>
                <w:ilvl w:val="0"/>
                <w:numId w:val="0"/>
              </w:numPr>
              <w:spacing w:before="0"/>
              <w:rPr>
                <w:sz w:val="22"/>
              </w:rPr>
            </w:pPr>
            <w:r w:rsidRPr="00C455BC">
              <w:rPr>
                <w:b/>
                <w:bCs w:val="0"/>
                <w:sz w:val="22"/>
              </w:rPr>
              <w:t>Requirement 13: Equipment qualification</w:t>
            </w:r>
            <w:r w:rsidRPr="00C455BC">
              <w:rPr>
                <w:sz w:val="22"/>
              </w:rPr>
              <w:t xml:space="preserve"> </w:t>
            </w:r>
            <w:r w:rsidRPr="00C455BC">
              <w:rPr>
                <w:sz w:val="22"/>
              </w:rPr>
              <w:br/>
              <w:t>The operating organization shall ensure that a systematic assessment is carried out to provide reliable confirmation that safety related items are capable of the required performance for all operational states and for accident conditions.</w:t>
            </w:r>
          </w:p>
          <w:p w14:paraId="4613810B" w14:textId="57DE1B8E" w:rsidR="00653CC7" w:rsidRPr="00C455BC" w:rsidRDefault="00653CC7" w:rsidP="005141CA">
            <w:pPr>
              <w:pStyle w:val="Bulletlist2"/>
              <w:numPr>
                <w:ilvl w:val="0"/>
                <w:numId w:val="0"/>
              </w:numPr>
              <w:spacing w:before="0"/>
              <w:rPr>
                <w:b/>
                <w:bCs/>
                <w:sz w:val="22"/>
              </w:rPr>
            </w:pPr>
            <w:r w:rsidRPr="00C455BC">
              <w:rPr>
                <w:b/>
                <w:sz w:val="22"/>
              </w:rPr>
              <w:t>Requirement 31: Maintenance, testing, surveillance and inspection programmes</w:t>
            </w:r>
            <w:r w:rsidRPr="00C455BC">
              <w:rPr>
                <w:sz w:val="22"/>
              </w:rPr>
              <w:t xml:space="preserve"> </w:t>
            </w:r>
            <w:r w:rsidRPr="00C455BC">
              <w:rPr>
                <w:b/>
                <w:bCs/>
                <w:sz w:val="22"/>
              </w:rPr>
              <w:br/>
            </w:r>
            <w:r w:rsidRPr="00C455BC">
              <w:rPr>
                <w:sz w:val="22"/>
              </w:rPr>
              <w:t>The operating organization shall ensure that effective programmes for maintenance, testing, surveillance and inspection are established and implemented</w:t>
            </w:r>
          </w:p>
        </w:tc>
      </w:tr>
      <w:tr w:rsidR="00F73049" w:rsidRPr="009C1DA5" w14:paraId="70A1B72F" w14:textId="77777777" w:rsidTr="007450B5">
        <w:tc>
          <w:tcPr>
            <w:tcW w:w="2268" w:type="dxa"/>
          </w:tcPr>
          <w:p w14:paraId="63FDBD90" w14:textId="6C68A913" w:rsidR="00F73049" w:rsidRPr="00C455BC" w:rsidRDefault="00F73049">
            <w:pPr>
              <w:pStyle w:val="Bulletlist1"/>
              <w:numPr>
                <w:ilvl w:val="0"/>
                <w:numId w:val="0"/>
              </w:numPr>
              <w:spacing w:before="0"/>
              <w:rPr>
                <w:sz w:val="22"/>
                <w:lang w:eastAsia="en-GB"/>
              </w:rPr>
            </w:pPr>
            <w:r w:rsidRPr="00C455BC">
              <w:rPr>
                <w:sz w:val="22"/>
                <w:lang w:eastAsia="en-GB"/>
              </w:rPr>
              <w:t>SSG-28 – Commissioning for Nuclear Power Plants</w:t>
            </w:r>
            <w:sdt>
              <w:sdtPr>
                <w:rPr>
                  <w:sz w:val="22"/>
                  <w:lang w:eastAsia="en-GB"/>
                </w:rPr>
                <w:id w:val="-709487509"/>
                <w:citation/>
              </w:sdtPr>
              <w:sdtEndPr/>
              <w:sdtContent>
                <w:r w:rsidRPr="00C455BC">
                  <w:rPr>
                    <w:sz w:val="22"/>
                    <w:lang w:eastAsia="en-GB"/>
                  </w:rPr>
                  <w:fldChar w:fldCharType="begin"/>
                </w:r>
                <w:r w:rsidR="008D0469" w:rsidRPr="00C455BC">
                  <w:rPr>
                    <w:sz w:val="22"/>
                    <w:lang w:eastAsia="en-GB"/>
                  </w:rPr>
                  <w:instrText xml:space="preserve">CITATION IAE3 \l 2057 </w:instrText>
                </w:r>
                <w:r w:rsidRPr="00C455BC">
                  <w:rPr>
                    <w:sz w:val="22"/>
                    <w:lang w:eastAsia="en-GB"/>
                  </w:rPr>
                  <w:fldChar w:fldCharType="separate"/>
                </w:r>
                <w:r w:rsidR="0040433D">
                  <w:rPr>
                    <w:sz w:val="22"/>
                    <w:lang w:eastAsia="en-GB"/>
                  </w:rPr>
                  <w:t xml:space="preserve"> </w:t>
                </w:r>
                <w:r w:rsidR="0040433D" w:rsidRPr="0040433D">
                  <w:rPr>
                    <w:sz w:val="22"/>
                    <w:lang w:eastAsia="en-GB"/>
                  </w:rPr>
                  <w:t>[6]</w:t>
                </w:r>
                <w:r w:rsidRPr="00C455BC">
                  <w:rPr>
                    <w:sz w:val="22"/>
                    <w:lang w:eastAsia="en-GB"/>
                  </w:rPr>
                  <w:fldChar w:fldCharType="end"/>
                </w:r>
              </w:sdtContent>
            </w:sdt>
          </w:p>
        </w:tc>
        <w:tc>
          <w:tcPr>
            <w:tcW w:w="6095" w:type="dxa"/>
          </w:tcPr>
          <w:p w14:paraId="185E319B" w14:textId="751D4945" w:rsidR="00F73049" w:rsidRPr="00C455BC" w:rsidRDefault="00F73049">
            <w:pPr>
              <w:pStyle w:val="Bulletlist1"/>
              <w:numPr>
                <w:ilvl w:val="0"/>
                <w:numId w:val="0"/>
              </w:numPr>
              <w:spacing w:before="0"/>
              <w:rPr>
                <w:sz w:val="22"/>
              </w:rPr>
            </w:pPr>
            <w:r w:rsidRPr="00C455BC">
              <w:rPr>
                <w:sz w:val="22"/>
              </w:rPr>
              <w:t>From construction to commissioning and finally to operation, the plant should be adequately monitored and maintained. The plant should be subject to the required inspection and periodic testing in order to protect equipment, to support the testing stage and to continue to comply with the safety analysis report and operational limits and conditions.</w:t>
            </w:r>
          </w:p>
        </w:tc>
      </w:tr>
      <w:tr w:rsidR="00FA7F38" w:rsidRPr="009C1DA5" w14:paraId="4EBF9E4D" w14:textId="77777777" w:rsidTr="005141CA">
        <w:tc>
          <w:tcPr>
            <w:tcW w:w="2268" w:type="dxa"/>
          </w:tcPr>
          <w:p w14:paraId="060FA030" w14:textId="65359A0A" w:rsidR="00F73049" w:rsidRPr="00C455BC" w:rsidRDefault="000A4B2D" w:rsidP="005141CA">
            <w:pPr>
              <w:pStyle w:val="Bulletlist1"/>
              <w:numPr>
                <w:ilvl w:val="0"/>
                <w:numId w:val="0"/>
              </w:numPr>
              <w:spacing w:before="0"/>
              <w:rPr>
                <w:sz w:val="22"/>
                <w:lang w:eastAsia="en-GB"/>
              </w:rPr>
            </w:pPr>
            <w:r w:rsidRPr="00C455BC">
              <w:rPr>
                <w:sz w:val="22"/>
                <w:lang w:eastAsia="en-GB"/>
              </w:rPr>
              <w:t>SS</w:t>
            </w:r>
            <w:r w:rsidR="00F73049" w:rsidRPr="00C455BC">
              <w:rPr>
                <w:sz w:val="22"/>
                <w:lang w:eastAsia="en-GB"/>
              </w:rPr>
              <w:t>G</w:t>
            </w:r>
            <w:r w:rsidRPr="00C455BC">
              <w:rPr>
                <w:sz w:val="22"/>
                <w:lang w:eastAsia="en-GB"/>
              </w:rPr>
              <w:t>-74:</w:t>
            </w:r>
            <w:r w:rsidR="00FA7F38" w:rsidRPr="00C455BC">
              <w:rPr>
                <w:sz w:val="22"/>
                <w:lang w:eastAsia="en-GB"/>
              </w:rPr>
              <w:t xml:space="preserve"> Maintenance, </w:t>
            </w:r>
            <w:r w:rsidR="0040433D">
              <w:rPr>
                <w:sz w:val="22"/>
                <w:lang w:eastAsia="en-GB"/>
              </w:rPr>
              <w:t xml:space="preserve">Testing, </w:t>
            </w:r>
            <w:r w:rsidR="00FA7F38" w:rsidRPr="00C455BC">
              <w:rPr>
                <w:sz w:val="22"/>
                <w:lang w:eastAsia="en-GB"/>
              </w:rPr>
              <w:t>Surveillance and In-Service Inspection in Nuclear Power Plant</w:t>
            </w:r>
            <w:r w:rsidR="00F73049" w:rsidRPr="00C455BC">
              <w:rPr>
                <w:sz w:val="22"/>
                <w:lang w:eastAsia="en-GB"/>
              </w:rPr>
              <w:t>s</w:t>
            </w:r>
            <w:sdt>
              <w:sdtPr>
                <w:rPr>
                  <w:sz w:val="22"/>
                  <w:lang w:eastAsia="en-GB"/>
                </w:rPr>
                <w:id w:val="174843836"/>
                <w:citation/>
              </w:sdtPr>
              <w:sdtEndPr/>
              <w:sdtContent>
                <w:r w:rsidR="00F73049" w:rsidRPr="00C455BC">
                  <w:rPr>
                    <w:sz w:val="22"/>
                    <w:lang w:eastAsia="en-GB"/>
                  </w:rPr>
                  <w:fldChar w:fldCharType="begin"/>
                </w:r>
                <w:r w:rsidR="00F73049" w:rsidRPr="00C455BC">
                  <w:rPr>
                    <w:sz w:val="22"/>
                    <w:lang w:eastAsia="en-GB"/>
                  </w:rPr>
                  <w:instrText xml:space="preserve"> CITATION IAE2 \l 2057 </w:instrText>
                </w:r>
                <w:r w:rsidR="00F73049" w:rsidRPr="00C455BC">
                  <w:rPr>
                    <w:sz w:val="22"/>
                    <w:lang w:eastAsia="en-GB"/>
                  </w:rPr>
                  <w:fldChar w:fldCharType="separate"/>
                </w:r>
                <w:r w:rsidR="0040433D">
                  <w:rPr>
                    <w:sz w:val="22"/>
                    <w:lang w:eastAsia="en-GB"/>
                  </w:rPr>
                  <w:t xml:space="preserve"> </w:t>
                </w:r>
                <w:r w:rsidR="0040433D" w:rsidRPr="0040433D">
                  <w:rPr>
                    <w:sz w:val="22"/>
                    <w:lang w:eastAsia="en-GB"/>
                  </w:rPr>
                  <w:t>[4]</w:t>
                </w:r>
                <w:r w:rsidR="00F73049" w:rsidRPr="00C455BC">
                  <w:rPr>
                    <w:sz w:val="22"/>
                    <w:lang w:eastAsia="en-GB"/>
                  </w:rPr>
                  <w:fldChar w:fldCharType="end"/>
                </w:r>
              </w:sdtContent>
            </w:sdt>
          </w:p>
        </w:tc>
        <w:tc>
          <w:tcPr>
            <w:tcW w:w="6095" w:type="dxa"/>
          </w:tcPr>
          <w:p w14:paraId="2478D227" w14:textId="77777777" w:rsidR="005D15FF" w:rsidRPr="00C455BC" w:rsidRDefault="005D15FF" w:rsidP="005141CA">
            <w:pPr>
              <w:pStyle w:val="Bulletlist1"/>
              <w:numPr>
                <w:ilvl w:val="0"/>
                <w:numId w:val="0"/>
              </w:numPr>
              <w:spacing w:before="0"/>
              <w:rPr>
                <w:sz w:val="22"/>
              </w:rPr>
            </w:pPr>
            <w:r w:rsidRPr="00C455BC">
              <w:rPr>
                <w:sz w:val="22"/>
              </w:rPr>
              <w:t>This Safety Guide covers:</w:t>
            </w:r>
          </w:p>
          <w:p w14:paraId="5287ED47" w14:textId="77777777" w:rsidR="005D15FF" w:rsidRPr="00C455BC" w:rsidRDefault="005D15FF" w:rsidP="005141CA">
            <w:pPr>
              <w:pStyle w:val="Bulletlist1"/>
              <w:spacing w:before="0"/>
              <w:rPr>
                <w:sz w:val="22"/>
              </w:rPr>
            </w:pPr>
            <w:r w:rsidRPr="00C455BC">
              <w:rPr>
                <w:sz w:val="22"/>
              </w:rPr>
              <w:t>the establishment and implementation of preventive and corrective maintenance programmes;</w:t>
            </w:r>
          </w:p>
          <w:p w14:paraId="4611721D" w14:textId="00DEB101" w:rsidR="005D15FF" w:rsidRPr="00C455BC" w:rsidRDefault="005D15FF" w:rsidP="005141CA">
            <w:pPr>
              <w:pStyle w:val="Bulletlist1"/>
              <w:spacing w:before="0"/>
              <w:rPr>
                <w:sz w:val="22"/>
              </w:rPr>
            </w:pPr>
            <w:r w:rsidRPr="00C455BC">
              <w:rPr>
                <w:sz w:val="22"/>
              </w:rPr>
              <w:t>testing;</w:t>
            </w:r>
          </w:p>
          <w:p w14:paraId="0CE35368" w14:textId="2426BFD2" w:rsidR="005D15FF" w:rsidRPr="00C455BC" w:rsidRDefault="005D15FF" w:rsidP="005141CA">
            <w:pPr>
              <w:pStyle w:val="Bulletlist1"/>
              <w:spacing w:before="0"/>
              <w:rPr>
                <w:sz w:val="22"/>
              </w:rPr>
            </w:pPr>
            <w:r w:rsidRPr="00C455BC">
              <w:rPr>
                <w:sz w:val="22"/>
              </w:rPr>
              <w:t>surveillance;</w:t>
            </w:r>
          </w:p>
          <w:p w14:paraId="4BD88A4F" w14:textId="77777777" w:rsidR="005D15FF" w:rsidRPr="00C455BC" w:rsidRDefault="005D15FF" w:rsidP="005141CA">
            <w:pPr>
              <w:pStyle w:val="Bulletlist1"/>
              <w:spacing w:before="0"/>
              <w:rPr>
                <w:sz w:val="22"/>
              </w:rPr>
            </w:pPr>
            <w:r w:rsidRPr="00C455BC">
              <w:rPr>
                <w:sz w:val="22"/>
              </w:rPr>
              <w:t xml:space="preserve">inspection; </w:t>
            </w:r>
          </w:p>
          <w:p w14:paraId="2C66FE29" w14:textId="77777777" w:rsidR="005D15FF" w:rsidRPr="00C455BC" w:rsidRDefault="005D15FF" w:rsidP="005141CA">
            <w:pPr>
              <w:pStyle w:val="Bulletlist1"/>
              <w:spacing w:before="0"/>
              <w:rPr>
                <w:sz w:val="22"/>
              </w:rPr>
            </w:pPr>
            <w:r w:rsidRPr="00C455BC">
              <w:rPr>
                <w:sz w:val="22"/>
              </w:rPr>
              <w:t>the repair of defective plant equipment;</w:t>
            </w:r>
          </w:p>
          <w:p w14:paraId="4CBEEE88" w14:textId="77777777" w:rsidR="005D15FF" w:rsidRPr="00C455BC" w:rsidRDefault="005D15FF" w:rsidP="005141CA">
            <w:pPr>
              <w:pStyle w:val="Bulletlist1"/>
              <w:spacing w:before="0"/>
              <w:rPr>
                <w:sz w:val="22"/>
              </w:rPr>
            </w:pPr>
            <w:r w:rsidRPr="00C455BC">
              <w:rPr>
                <w:sz w:val="22"/>
              </w:rPr>
              <w:t>the provision of related facilities and equipment;</w:t>
            </w:r>
          </w:p>
          <w:p w14:paraId="12547986" w14:textId="77777777" w:rsidR="005D15FF" w:rsidRPr="00C455BC" w:rsidRDefault="005D15FF" w:rsidP="005141CA">
            <w:pPr>
              <w:pStyle w:val="Bulletlist1"/>
              <w:spacing w:before="0"/>
              <w:rPr>
                <w:sz w:val="22"/>
              </w:rPr>
            </w:pPr>
            <w:r w:rsidRPr="00C455BC">
              <w:rPr>
                <w:sz w:val="22"/>
              </w:rPr>
              <w:lastRenderedPageBreak/>
              <w:t>procurement; and</w:t>
            </w:r>
          </w:p>
          <w:p w14:paraId="2B587EE2" w14:textId="04747B0A" w:rsidR="005D15FF" w:rsidRPr="00C455BC" w:rsidRDefault="005D15FF" w:rsidP="005141CA">
            <w:pPr>
              <w:pStyle w:val="Bulletlist1"/>
              <w:spacing w:before="0"/>
              <w:rPr>
                <w:sz w:val="22"/>
              </w:rPr>
            </w:pPr>
            <w:r w:rsidRPr="00C455BC">
              <w:rPr>
                <w:sz w:val="22"/>
              </w:rPr>
              <w:t>generating and retaining records of maintenance activities</w:t>
            </w:r>
            <w:r w:rsidR="00596397" w:rsidRPr="00C455BC">
              <w:rPr>
                <w:sz w:val="22"/>
              </w:rPr>
              <w:t>.</w:t>
            </w:r>
          </w:p>
          <w:p w14:paraId="76845BB8" w14:textId="280683D5" w:rsidR="00FA7F38" w:rsidRPr="00C455BC" w:rsidRDefault="00D935B5" w:rsidP="005141CA">
            <w:pPr>
              <w:pStyle w:val="Bulletlist1"/>
              <w:numPr>
                <w:ilvl w:val="0"/>
                <w:numId w:val="0"/>
              </w:numPr>
              <w:spacing w:before="0"/>
              <w:rPr>
                <w:sz w:val="22"/>
                <w:lang w:eastAsia="en-GB"/>
              </w:rPr>
            </w:pPr>
            <w:r w:rsidRPr="00C455BC">
              <w:rPr>
                <w:sz w:val="22"/>
              </w:rPr>
              <w:t>The maintenance programme for a nuclear power plant should include all the administrative and technical measures that are necessary to detect and mitigate the degradation of a functioning SSC or to restore to an acceptable level the performance of design functions of a failed SSC</w:t>
            </w:r>
            <w:r w:rsidR="00596397" w:rsidRPr="00C455BC">
              <w:rPr>
                <w:sz w:val="22"/>
              </w:rPr>
              <w:t>.</w:t>
            </w:r>
          </w:p>
        </w:tc>
      </w:tr>
    </w:tbl>
    <w:p w14:paraId="53467194" w14:textId="17892CDA" w:rsidR="005B4063" w:rsidRDefault="005B4063" w:rsidP="005B4063">
      <w:pPr>
        <w:pStyle w:val="F9-Paragraph"/>
        <w:rPr>
          <w:lang w:eastAsia="en-GB"/>
        </w:rPr>
      </w:pPr>
      <w:r w:rsidRPr="005B4063">
        <w:rPr>
          <w:lang w:eastAsia="en-GB"/>
        </w:rPr>
        <w:lastRenderedPageBreak/>
        <w:t>The guidance for EIMT contained in the above IAEA documents is addressed in the UK approach to regulation of nuclear facilities.</w:t>
      </w:r>
    </w:p>
    <w:p w14:paraId="601AAB61" w14:textId="1387207E" w:rsidR="00D92104" w:rsidRPr="005141CA" w:rsidRDefault="004B67E9" w:rsidP="005141CA">
      <w:pPr>
        <w:spacing w:after="0" w:line="240" w:lineRule="auto"/>
        <w:rPr>
          <w:rFonts w:eastAsia="Times New Roman"/>
          <w:szCs w:val="24"/>
          <w:lang w:bidi="ar-SA"/>
        </w:rPr>
      </w:pPr>
      <w:r>
        <w:br w:type="page"/>
      </w:r>
    </w:p>
    <w:p w14:paraId="5255232C" w14:textId="0B114371" w:rsidR="00F7687C" w:rsidRDefault="00F7687C" w:rsidP="005B4063">
      <w:pPr>
        <w:pStyle w:val="Heading1"/>
      </w:pPr>
      <w:bookmarkStart w:id="379" w:name="_Toc131084146"/>
      <w:bookmarkStart w:id="380" w:name="_Toc133310814"/>
      <w:bookmarkStart w:id="381" w:name="_Toc133312425"/>
      <w:bookmarkStart w:id="382" w:name="_Toc133312439"/>
      <w:bookmarkStart w:id="383" w:name="_Toc133312487"/>
      <w:bookmarkStart w:id="384" w:name="_Toc133312517"/>
      <w:bookmarkStart w:id="385" w:name="_Toc149138074"/>
      <w:bookmarkStart w:id="386" w:name="_Toc149215810"/>
      <w:bookmarkStart w:id="387" w:name="_Toc149226786"/>
      <w:bookmarkStart w:id="388" w:name="_Ref133315313"/>
      <w:bookmarkStart w:id="389" w:name="_Ref133315325"/>
      <w:bookmarkStart w:id="390" w:name="_Ref133315333"/>
      <w:bookmarkStart w:id="391" w:name="_Ref133315348"/>
      <w:bookmarkStart w:id="392" w:name="_Ref133315352"/>
      <w:bookmarkStart w:id="393" w:name="_Ref133315356"/>
      <w:bookmarkStart w:id="394" w:name="_Toc150328683"/>
      <w:bookmarkEnd w:id="379"/>
      <w:bookmarkEnd w:id="380"/>
      <w:bookmarkEnd w:id="381"/>
      <w:bookmarkEnd w:id="382"/>
      <w:bookmarkEnd w:id="383"/>
      <w:bookmarkEnd w:id="384"/>
      <w:bookmarkEnd w:id="385"/>
      <w:bookmarkEnd w:id="386"/>
      <w:bookmarkEnd w:id="387"/>
      <w:r>
        <w:lastRenderedPageBreak/>
        <w:t>Advice to Inspectors</w:t>
      </w:r>
      <w:bookmarkEnd w:id="388"/>
      <w:bookmarkEnd w:id="389"/>
      <w:bookmarkEnd w:id="390"/>
      <w:bookmarkEnd w:id="391"/>
      <w:bookmarkEnd w:id="392"/>
      <w:bookmarkEnd w:id="393"/>
      <w:bookmarkEnd w:id="394"/>
    </w:p>
    <w:p w14:paraId="44877866" w14:textId="7F062149" w:rsidR="005B4063" w:rsidRPr="005B4063" w:rsidRDefault="00584F6E" w:rsidP="005141CA">
      <w:pPr>
        <w:pStyle w:val="Heading2"/>
        <w:rPr>
          <w:lang w:eastAsia="en-GB"/>
        </w:rPr>
      </w:pPr>
      <w:r>
        <w:rPr>
          <w:lang w:eastAsia="en-GB"/>
        </w:rPr>
        <w:t xml:space="preserve">EIMT </w:t>
      </w:r>
      <w:r w:rsidR="005B4063" w:rsidRPr="005B4063">
        <w:rPr>
          <w:lang w:eastAsia="en-GB"/>
        </w:rPr>
        <w:t>Fundamentals</w:t>
      </w:r>
    </w:p>
    <w:p w14:paraId="1C22A88A" w14:textId="7045BF05" w:rsidR="005B4063" w:rsidRPr="005B4063" w:rsidRDefault="005B4063" w:rsidP="005B4063">
      <w:pPr>
        <w:pStyle w:val="F9-Paragraph"/>
        <w:rPr>
          <w:lang w:eastAsia="en-GB"/>
        </w:rPr>
      </w:pPr>
      <w:r w:rsidRPr="005B4063">
        <w:rPr>
          <w:lang w:eastAsia="en-GB"/>
        </w:rPr>
        <w:t>EIMT requirements, including specification of what is to be done and its periodicity</w:t>
      </w:r>
      <w:r w:rsidR="00B65F01">
        <w:rPr>
          <w:lang w:eastAsia="en-GB"/>
        </w:rPr>
        <w:t>,</w:t>
      </w:r>
      <w:r w:rsidRPr="005B4063">
        <w:rPr>
          <w:lang w:eastAsia="en-GB"/>
        </w:rPr>
        <w:t xml:space="preserve"> should be identified in the safety case taking account of any reliability claims.</w:t>
      </w:r>
    </w:p>
    <w:p w14:paraId="78A8748C" w14:textId="200FD40B" w:rsidR="005B4063" w:rsidRPr="005B4063" w:rsidRDefault="005B4063" w:rsidP="005B4063">
      <w:pPr>
        <w:pStyle w:val="F9-Paragraph"/>
        <w:rPr>
          <w:lang w:eastAsia="en-GB"/>
        </w:rPr>
      </w:pPr>
      <w:r w:rsidRPr="005B4063">
        <w:rPr>
          <w:lang w:eastAsia="en-GB"/>
        </w:rPr>
        <w:t>There should be traceability of EIMT requirements from the safety case through the Plant Maintenance Schedule to Maintenance Instructions.</w:t>
      </w:r>
    </w:p>
    <w:p w14:paraId="718C0476" w14:textId="5D0B9185" w:rsidR="005B4063" w:rsidRPr="005B4063" w:rsidRDefault="005B4063" w:rsidP="00F60D5D">
      <w:pPr>
        <w:pStyle w:val="Heading3"/>
        <w:rPr>
          <w:lang w:eastAsia="en-GB"/>
        </w:rPr>
      </w:pPr>
      <w:r w:rsidRPr="005B4063">
        <w:rPr>
          <w:lang w:eastAsia="en-GB"/>
        </w:rPr>
        <w:t>Background to Nuclear Industry Examination, Inspection, Maintenance and Testing Practices and Operational Experience</w:t>
      </w:r>
    </w:p>
    <w:p w14:paraId="23940866" w14:textId="2684FC7A" w:rsidR="005B4063" w:rsidRPr="005B4063" w:rsidRDefault="005B4063" w:rsidP="005B4063">
      <w:pPr>
        <w:pStyle w:val="F9-Paragraph"/>
        <w:rPr>
          <w:lang w:eastAsia="en-GB"/>
        </w:rPr>
      </w:pPr>
      <w:r w:rsidRPr="005B4063">
        <w:rPr>
          <w:lang w:eastAsia="en-GB"/>
        </w:rPr>
        <w:t xml:space="preserve">In preparation for assessment of any nuclear safety related documentation on EIMT submitted to ONR, it is important to understand the evolution of the processes involved in developing such documents. Nuclear industry EIMT practices have evolved from when there were no nuclear facilities and hence no operational experience. Nuclear facility development, Research and Development (R&amp;D) activities, pilot programmes and operational experience have all contributed to an improved understanding of nuclear </w:t>
      </w:r>
      <w:r w:rsidR="00B65F01" w:rsidRPr="005B4063">
        <w:rPr>
          <w:lang w:eastAsia="en-GB"/>
        </w:rPr>
        <w:t>safety and</w:t>
      </w:r>
      <w:r w:rsidRPr="005B4063">
        <w:rPr>
          <w:lang w:eastAsia="en-GB"/>
        </w:rPr>
        <w:t xml:space="preserve"> evolving operational practices including EIMT.</w:t>
      </w:r>
    </w:p>
    <w:p w14:paraId="58F46BBF" w14:textId="6111F137" w:rsidR="00135E8E" w:rsidRDefault="00B209C7" w:rsidP="00135E8E">
      <w:pPr>
        <w:pStyle w:val="F9-Paragraph"/>
        <w:rPr>
          <w:lang w:eastAsia="en-GB"/>
        </w:rPr>
      </w:pPr>
      <w:r>
        <w:rPr>
          <w:lang w:eastAsia="en-GB"/>
        </w:rPr>
        <w:t>T</w:t>
      </w:r>
      <w:r w:rsidR="005B4063" w:rsidRPr="005B4063">
        <w:rPr>
          <w:lang w:eastAsia="en-GB"/>
        </w:rPr>
        <w:t>here is a likelihood that novel design features</w:t>
      </w:r>
      <w:r w:rsidR="00BA6712">
        <w:rPr>
          <w:lang w:eastAsia="en-GB"/>
        </w:rPr>
        <w:t>,</w:t>
      </w:r>
      <w:r w:rsidR="005B4063" w:rsidRPr="005B4063">
        <w:rPr>
          <w:lang w:eastAsia="en-GB"/>
        </w:rPr>
        <w:t xml:space="preserve"> modifications to existing facilities</w:t>
      </w:r>
      <w:r w:rsidR="00BA6712">
        <w:rPr>
          <w:lang w:eastAsia="en-GB"/>
        </w:rPr>
        <w:t>,</w:t>
      </w:r>
      <w:r w:rsidR="005B4063" w:rsidRPr="005B4063">
        <w:rPr>
          <w:lang w:eastAsia="en-GB"/>
        </w:rPr>
        <w:t xml:space="preserve"> and new build facilities will be encountered. Such novel features should require R&amp;D programmes and pilot testing prior to consideration of deployment in an operational environment. Testing, Inspection and Examination is required during any installation and commissioning phase (SAPs ECM.1), and operation (SAPs EMT.7), coupled with maintenance, to confirm the adequacy of the facility in safety terms. (SAP para 281 is typical of the statements ONR makes about accepting sound engineering, or novel approaches backed by R&amp;D, plus testing before service, and monitoring during service.)</w:t>
      </w:r>
    </w:p>
    <w:p w14:paraId="4D8DFECD" w14:textId="45E386F5" w:rsidR="005B4063" w:rsidRPr="005B4063" w:rsidRDefault="005B4063" w:rsidP="005141CA">
      <w:pPr>
        <w:pStyle w:val="Heading2"/>
        <w:rPr>
          <w:lang w:eastAsia="en-GB"/>
        </w:rPr>
      </w:pPr>
      <w:r w:rsidRPr="005B4063">
        <w:rPr>
          <w:lang w:eastAsia="en-GB"/>
        </w:rPr>
        <w:t>Examination, Inspection, Maintenance and Testing through Facility Life</w:t>
      </w:r>
    </w:p>
    <w:p w14:paraId="5B74DCA8" w14:textId="46338931" w:rsidR="005B4063" w:rsidRPr="005B4063" w:rsidRDefault="005B4063" w:rsidP="005B4063">
      <w:pPr>
        <w:pStyle w:val="F9-Paragraph"/>
        <w:rPr>
          <w:lang w:eastAsia="en-GB"/>
        </w:rPr>
      </w:pPr>
      <w:r w:rsidRPr="005B4063">
        <w:rPr>
          <w:lang w:eastAsia="en-GB"/>
        </w:rPr>
        <w:t xml:space="preserve">The provisions of EIMT are relevant to the whole life cycle of a nuclear facility </w:t>
      </w:r>
      <w:r w:rsidR="005E4B41">
        <w:rPr>
          <w:lang w:eastAsia="en-GB"/>
        </w:rPr>
        <w:t xml:space="preserve">i.e. </w:t>
      </w:r>
      <w:r w:rsidRPr="005B4063">
        <w:rPr>
          <w:lang w:eastAsia="en-GB"/>
        </w:rPr>
        <w:t>from ‘cradle to grave’. The nature and balance of these provisions, and hence the associated regulatory expectations, change during the various stages of the life cycle.</w:t>
      </w:r>
    </w:p>
    <w:p w14:paraId="2D420AB3" w14:textId="52EA4569" w:rsidR="005B4063" w:rsidRPr="005B4063" w:rsidRDefault="005B4063" w:rsidP="005B4063">
      <w:pPr>
        <w:pStyle w:val="F9-Paragraph"/>
        <w:rPr>
          <w:lang w:eastAsia="en-GB"/>
        </w:rPr>
      </w:pPr>
      <w:r w:rsidRPr="005B4063">
        <w:rPr>
          <w:lang w:eastAsia="en-GB"/>
        </w:rPr>
        <w:t>Inspectors should consider the following areas during a review of Licensee’s EIMT arrangements.</w:t>
      </w:r>
    </w:p>
    <w:p w14:paraId="59A13D8F" w14:textId="086AC9C7" w:rsidR="005B4063" w:rsidRPr="005B4063" w:rsidRDefault="005B4063" w:rsidP="005141CA">
      <w:pPr>
        <w:pStyle w:val="Heading3"/>
        <w:rPr>
          <w:lang w:eastAsia="en-GB"/>
        </w:rPr>
      </w:pPr>
      <w:r w:rsidRPr="005B4063">
        <w:rPr>
          <w:lang w:eastAsia="en-GB"/>
        </w:rPr>
        <w:lastRenderedPageBreak/>
        <w:t>Design &amp; Safety Case Development</w:t>
      </w:r>
    </w:p>
    <w:p w14:paraId="19C36A32" w14:textId="3EBE28DD" w:rsidR="005B4063" w:rsidRPr="005B4063" w:rsidRDefault="005B4063" w:rsidP="005B4063">
      <w:pPr>
        <w:pStyle w:val="F9-Paragraph"/>
        <w:rPr>
          <w:lang w:eastAsia="en-GB"/>
        </w:rPr>
      </w:pPr>
      <w:r w:rsidRPr="005B4063">
        <w:rPr>
          <w:lang w:eastAsia="en-GB"/>
        </w:rPr>
        <w:t xml:space="preserve">Inspectors should confirm that the developing safety case identifies the nature and periodicity of EIMT proposed and provides a justification for any </w:t>
      </w:r>
      <w:r w:rsidR="009B068D" w:rsidRPr="005B4063">
        <w:rPr>
          <w:lang w:eastAsia="en-GB"/>
        </w:rPr>
        <w:t>long</w:t>
      </w:r>
      <w:r w:rsidR="009B068D">
        <w:rPr>
          <w:lang w:eastAsia="en-GB"/>
        </w:rPr>
        <w:t>-</w:t>
      </w:r>
      <w:r w:rsidRPr="005B4063">
        <w:rPr>
          <w:lang w:eastAsia="en-GB"/>
        </w:rPr>
        <w:t xml:space="preserve">term performance claimed without such EIMT. Whenever the latter claim is made, the </w:t>
      </w:r>
      <w:r w:rsidR="005445BF">
        <w:rPr>
          <w:lang w:eastAsia="en-GB"/>
        </w:rPr>
        <w:t>i</w:t>
      </w:r>
      <w:r w:rsidRPr="005B4063">
        <w:rPr>
          <w:lang w:eastAsia="en-GB"/>
        </w:rPr>
        <w:t>nspector should confirm the adequacy of the additional design measures incorporated to justify the absence of EIMT or the alternative arguments cited in support of such a claim.</w:t>
      </w:r>
    </w:p>
    <w:p w14:paraId="78CDD26F" w14:textId="18C06C58" w:rsidR="005B4063" w:rsidRPr="005B4063" w:rsidRDefault="005B4063" w:rsidP="005B4063">
      <w:pPr>
        <w:pStyle w:val="F9-Paragraph"/>
        <w:rPr>
          <w:lang w:eastAsia="en-GB"/>
        </w:rPr>
      </w:pPr>
      <w:r w:rsidRPr="005B4063">
        <w:rPr>
          <w:lang w:eastAsia="en-GB"/>
        </w:rPr>
        <w:t xml:space="preserve">Inspectors should consider whether the EIMT being specified, and standards selected, for the various SSCs are to a level of quality commensurate with their </w:t>
      </w:r>
      <w:r w:rsidR="006D6F7A">
        <w:rPr>
          <w:lang w:eastAsia="en-GB"/>
        </w:rPr>
        <w:t>s</w:t>
      </w:r>
      <w:r w:rsidR="006D6F7A" w:rsidRPr="005B4063">
        <w:rPr>
          <w:lang w:eastAsia="en-GB"/>
        </w:rPr>
        <w:t xml:space="preserve">afety </w:t>
      </w:r>
      <w:r w:rsidR="006D6F7A">
        <w:rPr>
          <w:lang w:eastAsia="en-GB"/>
        </w:rPr>
        <w:t>c</w:t>
      </w:r>
      <w:r w:rsidR="006D6F7A" w:rsidRPr="005B4063">
        <w:rPr>
          <w:lang w:eastAsia="en-GB"/>
        </w:rPr>
        <w:t>lassification</w:t>
      </w:r>
      <w:r w:rsidRPr="005B4063">
        <w:rPr>
          <w:lang w:eastAsia="en-GB"/>
        </w:rPr>
        <w:t xml:space="preserve"> (SAPs EKP.5, ECS.2 &amp; ECS.3). The </w:t>
      </w:r>
      <w:r w:rsidR="006D6F7A">
        <w:rPr>
          <w:lang w:eastAsia="en-GB"/>
        </w:rPr>
        <w:t>c</w:t>
      </w:r>
      <w:r w:rsidR="006D6F7A" w:rsidRPr="005B4063">
        <w:rPr>
          <w:lang w:eastAsia="en-GB"/>
        </w:rPr>
        <w:t>lassification</w:t>
      </w:r>
      <w:r w:rsidRPr="005B4063">
        <w:rPr>
          <w:lang w:eastAsia="en-GB"/>
        </w:rPr>
        <w:t xml:space="preserve"> of SSCs, which is discussed further in NS-TAST-GD-094, is based on their nuclear safety significance.</w:t>
      </w:r>
    </w:p>
    <w:p w14:paraId="0B0ED71A" w14:textId="2FAF84D6" w:rsidR="005B4063" w:rsidRPr="005B4063" w:rsidRDefault="005B4063" w:rsidP="005B4063">
      <w:pPr>
        <w:pStyle w:val="F9-Paragraph"/>
        <w:rPr>
          <w:lang w:eastAsia="en-GB"/>
        </w:rPr>
      </w:pPr>
      <w:r w:rsidRPr="005B4063">
        <w:rPr>
          <w:lang w:eastAsia="en-GB"/>
        </w:rPr>
        <w:t>Inspectors should consider the Licensee’s arrangements for developing a listing of all facility EIMT, selecting those items that will be undertaken as routine maintenance and those items important to nuclear safety that will be placed on the Plant Maintenance Schedule as required by Licence Condition 28(4).</w:t>
      </w:r>
    </w:p>
    <w:p w14:paraId="535EADC7" w14:textId="745E739B" w:rsidR="005B4063" w:rsidRPr="005B4063" w:rsidRDefault="005B4063" w:rsidP="005B4063">
      <w:pPr>
        <w:pStyle w:val="F9-Paragraph"/>
        <w:rPr>
          <w:lang w:eastAsia="en-GB"/>
        </w:rPr>
      </w:pPr>
      <w:r w:rsidRPr="005B4063">
        <w:rPr>
          <w:lang w:eastAsia="en-GB"/>
        </w:rPr>
        <w:t>A key element of the arrangements should be continuity from the identification of SSCs in the safety case through to the Plant Maintenance Schedule, to the maintenance instructions (which may be termed job plans). This continuity should include the ability to readily identify the SSC classification and safety functional requirement for an SSC from anywhere within the chain of documents, e.g. by clear SSC cross-references between the different layers of documents.</w:t>
      </w:r>
    </w:p>
    <w:p w14:paraId="723D8102" w14:textId="5315068D" w:rsidR="005B4063" w:rsidRPr="005B4063" w:rsidRDefault="005B4063" w:rsidP="005B4063">
      <w:pPr>
        <w:pStyle w:val="F9-Paragraph"/>
        <w:rPr>
          <w:lang w:eastAsia="en-GB"/>
        </w:rPr>
      </w:pPr>
      <w:r w:rsidRPr="005B4063">
        <w:rPr>
          <w:lang w:eastAsia="en-GB"/>
        </w:rPr>
        <w:t xml:space="preserve">Inspectors should note that whilst the requirement for a Plant Maintenance Schedule in Licence Condition 28(4) is applicable to plant that may affect nuclear safety, Licensees’ may produce a Plant Maintenance Schedule that includes other plant. In such instances, the </w:t>
      </w:r>
      <w:r w:rsidR="00AF03DF">
        <w:rPr>
          <w:lang w:eastAsia="en-GB"/>
        </w:rPr>
        <w:t>i</w:t>
      </w:r>
      <w:r w:rsidRPr="005B4063">
        <w:rPr>
          <w:lang w:eastAsia="en-GB"/>
        </w:rPr>
        <w:t xml:space="preserve">nspector should determine whether it </w:t>
      </w:r>
      <w:r w:rsidR="00825642">
        <w:rPr>
          <w:lang w:eastAsia="en-GB"/>
        </w:rPr>
        <w:t>clearly identifies those</w:t>
      </w:r>
      <w:r w:rsidRPr="005B4063">
        <w:rPr>
          <w:lang w:eastAsia="en-GB"/>
        </w:rPr>
        <w:t xml:space="preserve"> items that may affect nuclear safety. A Licensee may split the Plant Maintenance Schedule into sections such as:</w:t>
      </w:r>
    </w:p>
    <w:p w14:paraId="3C8B2223" w14:textId="7FA5151D" w:rsidR="005B4063" w:rsidRPr="005B4063" w:rsidRDefault="005B4063" w:rsidP="005141CA">
      <w:pPr>
        <w:pStyle w:val="Bulletlist1"/>
        <w:rPr>
          <w:lang w:eastAsia="en-GB"/>
        </w:rPr>
      </w:pPr>
      <w:r w:rsidRPr="005B4063">
        <w:rPr>
          <w:lang w:eastAsia="en-GB"/>
        </w:rPr>
        <w:t>Plant (Nuclear Safety) Maintenance Schedule;</w:t>
      </w:r>
    </w:p>
    <w:p w14:paraId="40A96EA8" w14:textId="7C1A8DCA" w:rsidR="005B4063" w:rsidRPr="005B4063" w:rsidRDefault="005B4063" w:rsidP="005141CA">
      <w:pPr>
        <w:pStyle w:val="Bulletlist1"/>
        <w:rPr>
          <w:lang w:eastAsia="en-GB"/>
        </w:rPr>
      </w:pPr>
      <w:r w:rsidRPr="005B4063">
        <w:rPr>
          <w:lang w:eastAsia="en-GB"/>
        </w:rPr>
        <w:t>Statutory Maintenance Schedule;</w:t>
      </w:r>
    </w:p>
    <w:p w14:paraId="3F0709FC" w14:textId="11AF9563" w:rsidR="005B4063" w:rsidRPr="005B4063" w:rsidRDefault="005B4063" w:rsidP="005141CA">
      <w:pPr>
        <w:pStyle w:val="Bulletlist1"/>
        <w:rPr>
          <w:lang w:eastAsia="en-GB"/>
        </w:rPr>
      </w:pPr>
      <w:r w:rsidRPr="005B4063">
        <w:rPr>
          <w:lang w:eastAsia="en-GB"/>
        </w:rPr>
        <w:t>Environmental Maintenance Schedule; and</w:t>
      </w:r>
    </w:p>
    <w:p w14:paraId="0C16D20E" w14:textId="6E03ECB6" w:rsidR="005B4063" w:rsidRPr="005B4063" w:rsidRDefault="005B4063" w:rsidP="005141CA">
      <w:pPr>
        <w:pStyle w:val="Bulletlist1"/>
        <w:rPr>
          <w:lang w:eastAsia="en-GB"/>
        </w:rPr>
      </w:pPr>
      <w:r w:rsidRPr="005B4063">
        <w:rPr>
          <w:lang w:eastAsia="en-GB"/>
        </w:rPr>
        <w:t>Residual Routine Maintenance Schedule.</w:t>
      </w:r>
    </w:p>
    <w:p w14:paraId="62851DD4" w14:textId="1A35215D" w:rsidR="005B4063" w:rsidRPr="005B4063" w:rsidRDefault="005B4063" w:rsidP="005B4063">
      <w:pPr>
        <w:pStyle w:val="F9-Paragraph"/>
        <w:rPr>
          <w:lang w:eastAsia="en-GB"/>
        </w:rPr>
      </w:pPr>
      <w:r w:rsidRPr="005B4063">
        <w:rPr>
          <w:lang w:eastAsia="en-GB"/>
        </w:rPr>
        <w:t>A project manual, or equivalent, should be available defining a process whereby a group of SQEPs from the project team, the safety analysts, the Responsible Engineers and the Licensee’s operations staff meet regularly throughout the design, build and inactive commissioning phases to:</w:t>
      </w:r>
    </w:p>
    <w:p w14:paraId="27D63771" w14:textId="3E8A5084" w:rsidR="005B4063" w:rsidRPr="005B4063" w:rsidRDefault="005B4063" w:rsidP="005141CA">
      <w:pPr>
        <w:pStyle w:val="Bulletlist1"/>
        <w:rPr>
          <w:lang w:eastAsia="en-GB"/>
        </w:rPr>
      </w:pPr>
      <w:r w:rsidRPr="005B4063">
        <w:rPr>
          <w:lang w:eastAsia="en-GB"/>
        </w:rPr>
        <w:t xml:space="preserve">Review the totality of the Maintenance Catalogue and populate the Plant (Nuclear Safety) Maintenance Schedule, any Statutory or </w:t>
      </w:r>
      <w:r w:rsidRPr="005B4063">
        <w:rPr>
          <w:lang w:eastAsia="en-GB"/>
        </w:rPr>
        <w:lastRenderedPageBreak/>
        <w:t>Environmental Maintenance Schedules, and the Residual Routine Maintenance Schedule, based on a shared understanding of the importance of SSCs to nuclear safety, statutory requirements and environmental considerations;</w:t>
      </w:r>
    </w:p>
    <w:p w14:paraId="6019B354" w14:textId="1E724809" w:rsidR="005B4063" w:rsidRPr="005B4063" w:rsidRDefault="005B4063" w:rsidP="005141CA">
      <w:pPr>
        <w:pStyle w:val="Bulletlist1"/>
        <w:rPr>
          <w:lang w:eastAsia="en-GB"/>
        </w:rPr>
      </w:pPr>
      <w:r w:rsidRPr="005B4063">
        <w:rPr>
          <w:lang w:eastAsia="en-GB"/>
        </w:rPr>
        <w:t>Document the reasons for accepting only condition monitoring, or operator surveillance with breakdown maintenance on some plant items; and</w:t>
      </w:r>
    </w:p>
    <w:p w14:paraId="55019014" w14:textId="1F97AAEF" w:rsidR="005B4063" w:rsidRPr="005B4063" w:rsidRDefault="005B4063" w:rsidP="005141CA">
      <w:pPr>
        <w:pStyle w:val="Bulletlist1"/>
        <w:rPr>
          <w:lang w:eastAsia="en-GB"/>
        </w:rPr>
      </w:pPr>
      <w:r w:rsidRPr="005B4063">
        <w:rPr>
          <w:lang w:eastAsia="en-GB"/>
        </w:rPr>
        <w:t>Endorse maintenance instructions generated for all safety significant plant.</w:t>
      </w:r>
    </w:p>
    <w:p w14:paraId="23C2F23E" w14:textId="2CDA59EB" w:rsidR="005B4063" w:rsidRPr="005B4063" w:rsidRDefault="005B4063" w:rsidP="00943003">
      <w:pPr>
        <w:pStyle w:val="F9-Paragraph"/>
        <w:rPr>
          <w:lang w:eastAsia="en-GB"/>
        </w:rPr>
      </w:pPr>
      <w:r w:rsidRPr="005B4063">
        <w:rPr>
          <w:lang w:eastAsia="en-GB"/>
        </w:rPr>
        <w:t xml:space="preserve">Inspectors should determine whether Licensee’s operations staff review the Safety Case Design Basis and Probabilistic Safety Analysis </w:t>
      </w:r>
      <w:r w:rsidR="00A076DB">
        <w:rPr>
          <w:lang w:eastAsia="en-GB"/>
        </w:rPr>
        <w:t xml:space="preserve">(PSA) </w:t>
      </w:r>
      <w:r w:rsidRPr="005B4063">
        <w:rPr>
          <w:lang w:eastAsia="en-GB"/>
        </w:rPr>
        <w:t>to</w:t>
      </w:r>
      <w:r w:rsidR="00943003">
        <w:rPr>
          <w:lang w:eastAsia="en-GB"/>
        </w:rPr>
        <w:t xml:space="preserve"> </w:t>
      </w:r>
      <w:r w:rsidRPr="005B4063">
        <w:rPr>
          <w:lang w:eastAsia="en-GB"/>
        </w:rPr>
        <w:t>ensure that the worst plant configurations assumed allow for equipment outages for EIMT activities (SAP FA.6</w:t>
      </w:r>
      <w:r w:rsidR="0094710B">
        <w:rPr>
          <w:lang w:eastAsia="en-GB"/>
        </w:rPr>
        <w:t xml:space="preserve"> </w:t>
      </w:r>
      <w:r w:rsidR="00A64E17">
        <w:rPr>
          <w:lang w:eastAsia="en-GB"/>
        </w:rPr>
        <w:t>(</w:t>
      </w:r>
      <w:r w:rsidR="00927C84">
        <w:rPr>
          <w:lang w:eastAsia="en-GB"/>
        </w:rPr>
        <w:t>Fault sequences</w:t>
      </w:r>
      <w:r w:rsidR="00A64E17">
        <w:rPr>
          <w:lang w:eastAsia="en-GB"/>
        </w:rPr>
        <w:t>)</w:t>
      </w:r>
      <w:r w:rsidRPr="005B4063">
        <w:rPr>
          <w:lang w:eastAsia="en-GB"/>
        </w:rPr>
        <w:t xml:space="preserve">, </w:t>
      </w:r>
      <w:r w:rsidR="0094710B">
        <w:rPr>
          <w:lang w:eastAsia="en-GB"/>
        </w:rPr>
        <w:t xml:space="preserve">ONR TAG </w:t>
      </w:r>
      <w:r w:rsidRPr="005B4063">
        <w:rPr>
          <w:lang w:eastAsia="en-GB"/>
        </w:rPr>
        <w:t xml:space="preserve">NS-TAST-GD-036 </w:t>
      </w:r>
      <w:r w:rsidR="00A64E17">
        <w:rPr>
          <w:lang w:eastAsia="en-GB"/>
        </w:rPr>
        <w:t>(</w:t>
      </w:r>
      <w:r w:rsidRPr="005B4063">
        <w:rPr>
          <w:lang w:eastAsia="en-GB"/>
        </w:rPr>
        <w:t>Diversity, redundancy, segregation and layout of mechanical plant</w:t>
      </w:r>
      <w:r w:rsidR="00A64E17">
        <w:rPr>
          <w:lang w:eastAsia="en-GB"/>
        </w:rPr>
        <w:t>)</w:t>
      </w:r>
      <w:r w:rsidRPr="005B4063">
        <w:rPr>
          <w:lang w:eastAsia="en-GB"/>
        </w:rPr>
        <w:t>).</w:t>
      </w:r>
    </w:p>
    <w:p w14:paraId="08D40B4B" w14:textId="252F3F3E" w:rsidR="005B4063" w:rsidRPr="005B4063" w:rsidRDefault="005B4063" w:rsidP="005B4063">
      <w:pPr>
        <w:pStyle w:val="F9-Paragraph"/>
        <w:rPr>
          <w:lang w:eastAsia="en-GB"/>
        </w:rPr>
      </w:pPr>
      <w:r w:rsidRPr="005B4063">
        <w:rPr>
          <w:lang w:eastAsia="en-GB"/>
        </w:rPr>
        <w:t>Inspectors should confirm that adequate provisions have been made during the design process for through</w:t>
      </w:r>
      <w:r w:rsidR="00277364">
        <w:rPr>
          <w:lang w:eastAsia="en-GB"/>
        </w:rPr>
        <w:t>-</w:t>
      </w:r>
      <w:r w:rsidRPr="005B4063">
        <w:rPr>
          <w:lang w:eastAsia="en-GB"/>
        </w:rPr>
        <w:t>life EIMT of the facility with particular attention given to ensuring that radiation doses to EIMT operatives remain as low as reasonably practicable throughout the facility life and that adverse interactions with other SSCs are minimised, as described by SAP ELO</w:t>
      </w:r>
      <w:r w:rsidR="00C279C2">
        <w:rPr>
          <w:lang w:eastAsia="en-GB"/>
        </w:rPr>
        <w:t>.</w:t>
      </w:r>
      <w:r w:rsidRPr="005B4063">
        <w:rPr>
          <w:lang w:eastAsia="en-GB"/>
        </w:rPr>
        <w:t>1</w:t>
      </w:r>
      <w:r w:rsidR="00277364">
        <w:rPr>
          <w:lang w:eastAsia="en-GB"/>
        </w:rPr>
        <w:t xml:space="preserve"> (Layout)</w:t>
      </w:r>
      <w:r w:rsidRPr="005B4063">
        <w:rPr>
          <w:lang w:eastAsia="en-GB"/>
        </w:rPr>
        <w:t>.</w:t>
      </w:r>
    </w:p>
    <w:p w14:paraId="49C1FCC2" w14:textId="6131B20E" w:rsidR="005B4063" w:rsidRPr="005B4063" w:rsidRDefault="005B4063" w:rsidP="005B4063">
      <w:pPr>
        <w:pStyle w:val="F9-Paragraph"/>
        <w:rPr>
          <w:lang w:eastAsia="en-GB"/>
        </w:rPr>
      </w:pPr>
      <w:r w:rsidRPr="005B4063">
        <w:rPr>
          <w:lang w:eastAsia="en-GB"/>
        </w:rPr>
        <w:t>Inspectors should look for evidence that the proposed EIMT is adequate to maintain the equipment design intent in terms of the nuclear safety functions identified in the safety analysis.</w:t>
      </w:r>
    </w:p>
    <w:p w14:paraId="320A8761" w14:textId="1A762092" w:rsidR="005B4063" w:rsidRPr="005B4063" w:rsidRDefault="005B4063" w:rsidP="005B4063">
      <w:pPr>
        <w:pStyle w:val="F9-Paragraph"/>
        <w:rPr>
          <w:lang w:eastAsia="en-GB"/>
        </w:rPr>
      </w:pPr>
      <w:r w:rsidRPr="005B4063">
        <w:rPr>
          <w:lang w:eastAsia="en-GB"/>
        </w:rPr>
        <w:t>Licensees should have a process for capturing project assumptions related to EIMT generated by the ongoing design and safety analyses, along with an auditable record of where these assumptions are discharged in operational documents.</w:t>
      </w:r>
    </w:p>
    <w:p w14:paraId="58F8531A" w14:textId="56E5D863" w:rsidR="005B4063" w:rsidRPr="005B4063" w:rsidRDefault="005B4063" w:rsidP="005B4063">
      <w:pPr>
        <w:pStyle w:val="F9-Paragraph"/>
        <w:rPr>
          <w:lang w:eastAsia="en-GB"/>
        </w:rPr>
      </w:pPr>
      <w:r w:rsidRPr="005B4063">
        <w:rPr>
          <w:lang w:eastAsia="en-GB"/>
        </w:rPr>
        <w:t xml:space="preserve">Where appropriate, </w:t>
      </w:r>
      <w:r w:rsidR="003560B3">
        <w:rPr>
          <w:lang w:eastAsia="en-GB"/>
        </w:rPr>
        <w:t>i</w:t>
      </w:r>
      <w:r w:rsidRPr="005B4063">
        <w:rPr>
          <w:lang w:eastAsia="en-GB"/>
        </w:rPr>
        <w:t>nspectors should look for evidence that PSA has been used in determining appropriate EIMT strategies</w:t>
      </w:r>
      <w:r w:rsidR="00534307">
        <w:rPr>
          <w:lang w:eastAsia="en-GB"/>
        </w:rPr>
        <w:t>. This may include</w:t>
      </w:r>
      <w:r w:rsidRPr="005B4063">
        <w:rPr>
          <w:lang w:eastAsia="en-GB"/>
        </w:rPr>
        <w:t xml:space="preserve"> identifying when it is acceptable for safety important equipment to be released for EIMT and the extent to which the proposed EIMT activities provide the required level of assurance that safety case reliability claims are met (SAP FA.14</w:t>
      </w:r>
      <w:r w:rsidR="003672F2">
        <w:rPr>
          <w:lang w:eastAsia="en-GB"/>
        </w:rPr>
        <w:t xml:space="preserve"> </w:t>
      </w:r>
      <w:r w:rsidR="00F92174">
        <w:rPr>
          <w:lang w:eastAsia="en-GB"/>
        </w:rPr>
        <w:t>(</w:t>
      </w:r>
      <w:r w:rsidR="003672F2">
        <w:rPr>
          <w:lang w:eastAsia="en-GB"/>
        </w:rPr>
        <w:t>Use of PSA</w:t>
      </w:r>
      <w:r w:rsidRPr="005B4063">
        <w:rPr>
          <w:lang w:eastAsia="en-GB"/>
        </w:rPr>
        <w:t>)</w:t>
      </w:r>
      <w:r w:rsidR="00F92174">
        <w:rPr>
          <w:lang w:eastAsia="en-GB"/>
        </w:rPr>
        <w:t>)</w:t>
      </w:r>
      <w:r w:rsidRPr="005B4063">
        <w:rPr>
          <w:lang w:eastAsia="en-GB"/>
        </w:rPr>
        <w:t>.</w:t>
      </w:r>
    </w:p>
    <w:p w14:paraId="4998F57F" w14:textId="3C6D39AE" w:rsidR="005B4063" w:rsidRPr="005B4063" w:rsidRDefault="005B4063" w:rsidP="005B4063">
      <w:pPr>
        <w:pStyle w:val="F9-Paragraph"/>
        <w:rPr>
          <w:lang w:eastAsia="en-GB"/>
        </w:rPr>
      </w:pPr>
      <w:r w:rsidRPr="005B4063">
        <w:rPr>
          <w:lang w:eastAsia="en-GB"/>
        </w:rPr>
        <w:t>Inspectors should look for evidence that adequate development work on novel systems or components is undertaken between concept design and manufacturing</w:t>
      </w:r>
      <w:r w:rsidR="00B0060F">
        <w:rPr>
          <w:lang w:eastAsia="en-GB"/>
        </w:rPr>
        <w:t>.</w:t>
      </w:r>
      <w:r w:rsidRPr="005B4063">
        <w:rPr>
          <w:lang w:eastAsia="en-GB"/>
        </w:rPr>
        <w:t xml:space="preserve"> </w:t>
      </w:r>
      <w:r w:rsidR="00B0060F">
        <w:rPr>
          <w:lang w:eastAsia="en-GB"/>
        </w:rPr>
        <w:t>S</w:t>
      </w:r>
      <w:r w:rsidRPr="005B4063">
        <w:rPr>
          <w:lang w:eastAsia="en-GB"/>
        </w:rPr>
        <w:t>uch work may have significant impact on the EIMT tasks defined within the evolving maintenance schedules.</w:t>
      </w:r>
    </w:p>
    <w:p w14:paraId="0C0ED5F1" w14:textId="789C03E8" w:rsidR="005B4063" w:rsidRPr="005B4063" w:rsidRDefault="00746B6E" w:rsidP="005B4063">
      <w:pPr>
        <w:pStyle w:val="F9-Paragraph"/>
        <w:rPr>
          <w:lang w:eastAsia="en-GB"/>
        </w:rPr>
      </w:pPr>
      <w:r>
        <w:rPr>
          <w:lang w:eastAsia="en-GB"/>
        </w:rPr>
        <w:t>For projects involving the design or modification of plant</w:t>
      </w:r>
      <w:r w:rsidR="00451145">
        <w:rPr>
          <w:lang w:eastAsia="en-GB"/>
        </w:rPr>
        <w:t>, the l</w:t>
      </w:r>
      <w:r w:rsidR="005B4063" w:rsidRPr="005B4063">
        <w:rPr>
          <w:lang w:eastAsia="en-GB"/>
        </w:rPr>
        <w:t>icensee’s maintenance and operations staff should be involved from an early stage</w:t>
      </w:r>
      <w:r w:rsidR="005D1C0E">
        <w:rPr>
          <w:lang w:eastAsia="en-GB"/>
        </w:rPr>
        <w:t>.</w:t>
      </w:r>
      <w:r w:rsidR="005B4063" w:rsidRPr="005B4063">
        <w:rPr>
          <w:lang w:eastAsia="en-GB"/>
        </w:rPr>
        <w:t xml:space="preserve"> </w:t>
      </w:r>
      <w:r w:rsidR="005D1C0E">
        <w:rPr>
          <w:lang w:eastAsia="en-GB"/>
        </w:rPr>
        <w:t>This is to</w:t>
      </w:r>
      <w:r w:rsidR="005B4063" w:rsidRPr="005B4063">
        <w:rPr>
          <w:lang w:eastAsia="en-GB"/>
        </w:rPr>
        <w:t xml:space="preserve"> ensure that adequate provisions are made for EIMT and </w:t>
      </w:r>
      <w:r w:rsidR="00B9059A">
        <w:rPr>
          <w:lang w:eastAsia="en-GB"/>
        </w:rPr>
        <w:t xml:space="preserve">that staff </w:t>
      </w:r>
      <w:r w:rsidR="005B4063" w:rsidRPr="005B4063">
        <w:rPr>
          <w:lang w:eastAsia="en-GB"/>
        </w:rPr>
        <w:t>gain an appreciation of the design intent to support the Licensee’s Design Authority and Intelligent Customer roles.</w:t>
      </w:r>
    </w:p>
    <w:p w14:paraId="303238FF" w14:textId="085A1E98" w:rsidR="005B4063" w:rsidRPr="005B4063" w:rsidRDefault="005B4063" w:rsidP="005141CA">
      <w:pPr>
        <w:pStyle w:val="Heading3"/>
        <w:rPr>
          <w:lang w:eastAsia="en-GB"/>
        </w:rPr>
      </w:pPr>
      <w:r w:rsidRPr="005B4063">
        <w:rPr>
          <w:lang w:eastAsia="en-GB"/>
        </w:rPr>
        <w:lastRenderedPageBreak/>
        <w:t>Manufacture and Works Tests (Factory Acceptance Tests)</w:t>
      </w:r>
    </w:p>
    <w:p w14:paraId="11C15C31" w14:textId="6E15669C" w:rsidR="005B4063" w:rsidRPr="005B4063" w:rsidRDefault="005B4063" w:rsidP="005B4063">
      <w:pPr>
        <w:pStyle w:val="F9-Paragraph"/>
        <w:rPr>
          <w:lang w:eastAsia="en-GB"/>
        </w:rPr>
      </w:pPr>
      <w:r w:rsidRPr="005B4063">
        <w:rPr>
          <w:lang w:eastAsia="en-GB"/>
        </w:rPr>
        <w:t>Inspectors should look for evidence of the trialling of EIMT instructions during the manufacturer’s works tests / trial builds for more complex and large plant.</w:t>
      </w:r>
    </w:p>
    <w:p w14:paraId="41FA7734" w14:textId="158E3386" w:rsidR="005B4063" w:rsidRPr="005B4063" w:rsidRDefault="005B4063" w:rsidP="005B4063">
      <w:pPr>
        <w:pStyle w:val="F9-Paragraph"/>
        <w:rPr>
          <w:lang w:eastAsia="en-GB"/>
        </w:rPr>
      </w:pPr>
      <w:r w:rsidRPr="005B4063">
        <w:rPr>
          <w:lang w:eastAsia="en-GB"/>
        </w:rPr>
        <w:t>Works tests should be formally documented and captured in the Licensee’s operational documentation as the baseline for ongoing demonstration that the design intent of the facility is maintained.</w:t>
      </w:r>
    </w:p>
    <w:p w14:paraId="40BBD098" w14:textId="7874094F" w:rsidR="005B4063" w:rsidRPr="005B4063" w:rsidRDefault="005B4063" w:rsidP="005141CA">
      <w:pPr>
        <w:pStyle w:val="Heading3"/>
        <w:rPr>
          <w:lang w:eastAsia="en-GB"/>
        </w:rPr>
      </w:pPr>
      <w:r w:rsidRPr="005B4063">
        <w:rPr>
          <w:lang w:eastAsia="en-GB"/>
        </w:rPr>
        <w:t xml:space="preserve">On Site Plant Installation, </w:t>
      </w:r>
      <w:r w:rsidR="000D35F6">
        <w:rPr>
          <w:lang w:eastAsia="en-GB"/>
        </w:rPr>
        <w:t>Site</w:t>
      </w:r>
      <w:r w:rsidR="000D35F6" w:rsidRPr="005B4063">
        <w:rPr>
          <w:lang w:eastAsia="en-GB"/>
        </w:rPr>
        <w:t xml:space="preserve"> </w:t>
      </w:r>
      <w:r w:rsidRPr="005B4063">
        <w:rPr>
          <w:lang w:eastAsia="en-GB"/>
        </w:rPr>
        <w:t xml:space="preserve">Acceptance Tests and Commissioning </w:t>
      </w:r>
    </w:p>
    <w:p w14:paraId="7DEDB830" w14:textId="4E3BB21D" w:rsidR="00943003" w:rsidRDefault="005B4063" w:rsidP="00943003">
      <w:pPr>
        <w:pStyle w:val="F9-Paragraph"/>
        <w:rPr>
          <w:lang w:eastAsia="en-GB"/>
        </w:rPr>
      </w:pPr>
      <w:r w:rsidRPr="005B4063">
        <w:rPr>
          <w:lang w:eastAsia="en-GB"/>
        </w:rPr>
        <w:t xml:space="preserve">Inspectors should look for evidence that plant changes during installation and testing are adequately assessed in terms of identifying commensurate effects on the proposed EIMT arrangements. Such changes may result in the need to modify the </w:t>
      </w:r>
      <w:r w:rsidR="00A64E17">
        <w:rPr>
          <w:lang w:eastAsia="en-GB"/>
        </w:rPr>
        <w:t>m</w:t>
      </w:r>
      <w:r w:rsidR="00A64E17" w:rsidRPr="005B4063">
        <w:rPr>
          <w:lang w:eastAsia="en-GB"/>
        </w:rPr>
        <w:t xml:space="preserve">aintenance </w:t>
      </w:r>
      <w:r w:rsidR="00A64E17">
        <w:rPr>
          <w:lang w:eastAsia="en-GB"/>
        </w:rPr>
        <w:t>s</w:t>
      </w:r>
      <w:r w:rsidR="00A64E17" w:rsidRPr="005B4063">
        <w:rPr>
          <w:lang w:eastAsia="en-GB"/>
        </w:rPr>
        <w:t xml:space="preserve">chedules </w:t>
      </w:r>
      <w:r w:rsidRPr="005B4063">
        <w:rPr>
          <w:lang w:eastAsia="en-GB"/>
        </w:rPr>
        <w:t xml:space="preserve">and </w:t>
      </w:r>
      <w:r w:rsidR="00A64E17">
        <w:rPr>
          <w:lang w:eastAsia="en-GB"/>
        </w:rPr>
        <w:t>m</w:t>
      </w:r>
      <w:r w:rsidR="00A64E17" w:rsidRPr="005B4063">
        <w:rPr>
          <w:lang w:eastAsia="en-GB"/>
        </w:rPr>
        <w:t xml:space="preserve">aintenance </w:t>
      </w:r>
      <w:r w:rsidRPr="005B4063">
        <w:rPr>
          <w:lang w:eastAsia="en-GB"/>
        </w:rPr>
        <w:t>Instructions.</w:t>
      </w:r>
    </w:p>
    <w:p w14:paraId="4BE311C0" w14:textId="408AA62D" w:rsidR="005B4063" w:rsidRPr="005141CA" w:rsidRDefault="00E31C43" w:rsidP="005141CA">
      <w:pPr>
        <w:pStyle w:val="F9-Paragraph"/>
      </w:pPr>
      <w:r>
        <w:t>In some cases, it may</w:t>
      </w:r>
      <w:r w:rsidR="005B4063" w:rsidRPr="00943003">
        <w:t xml:space="preserve"> not</w:t>
      </w:r>
      <w:r>
        <w:t xml:space="preserve"> be</w:t>
      </w:r>
      <w:r w:rsidR="005B4063" w:rsidRPr="00943003">
        <w:t xml:space="preserve"> possible for tests to confirm the ability to operate under the most onerous design conditions</w:t>
      </w:r>
      <w:r>
        <w:t>.</w:t>
      </w:r>
      <w:r w:rsidR="005B4063" w:rsidRPr="00943003">
        <w:t xml:space="preserve"> </w:t>
      </w:r>
      <w:r>
        <w:t>In these instances, the</w:t>
      </w:r>
      <w:r w:rsidRPr="00943003">
        <w:t xml:space="preserve"> </w:t>
      </w:r>
      <w:r w:rsidR="003560B3">
        <w:t>i</w:t>
      </w:r>
      <w:r w:rsidR="005B4063" w:rsidRPr="00943003">
        <w:t>nspector should look for justification of the components</w:t>
      </w:r>
      <w:r w:rsidR="00D70966">
        <w:t>’</w:t>
      </w:r>
      <w:r w:rsidR="005B4063" w:rsidRPr="00943003">
        <w:t xml:space="preserve"> </w:t>
      </w:r>
      <w:r w:rsidR="005B4063" w:rsidRPr="005141CA">
        <w:t>performance and reliability from additional analysis utilising available data from commissioning or rig testing. Reference data should be taken from type testing to establish a baseline for comparison against in-service performance (SAPs EMT.3</w:t>
      </w:r>
      <w:r w:rsidR="00D70966">
        <w:t xml:space="preserve"> T</w:t>
      </w:r>
      <w:r w:rsidR="002C58AE">
        <w:t>ype testing</w:t>
      </w:r>
      <w:r w:rsidR="005B4063" w:rsidRPr="00943003">
        <w:rPr>
          <w:rFonts w:ascii="Times New Roman" w:hAnsi="Times New Roman" w:cs="Times New Roman"/>
          <w:color w:val="000000"/>
          <w:sz w:val="27"/>
          <w:szCs w:val="27"/>
        </w:rPr>
        <w:t>).</w:t>
      </w:r>
    </w:p>
    <w:p w14:paraId="612CDC06" w14:textId="22A57DD8" w:rsidR="005B4063" w:rsidRPr="005B4063" w:rsidRDefault="005B4063" w:rsidP="005141CA">
      <w:pPr>
        <w:pStyle w:val="F9-Paragraph"/>
        <w:rPr>
          <w:lang w:eastAsia="en-GB"/>
        </w:rPr>
      </w:pPr>
      <w:r w:rsidRPr="005B4063">
        <w:rPr>
          <w:lang w:eastAsia="en-GB"/>
        </w:rPr>
        <w:t>Inspectors should confirm that inactive commissioning includes the validation of Maintenance Instructions, particularly where access will be restricted once active commissioning has commenced.</w:t>
      </w:r>
    </w:p>
    <w:p w14:paraId="1101B3E4" w14:textId="262FB1F7" w:rsidR="005B4063" w:rsidRPr="005B4063" w:rsidRDefault="005B4063" w:rsidP="005141CA">
      <w:pPr>
        <w:pStyle w:val="F9-Paragraph"/>
        <w:rPr>
          <w:lang w:eastAsia="en-GB"/>
        </w:rPr>
      </w:pPr>
      <w:r w:rsidRPr="005B4063">
        <w:rPr>
          <w:lang w:eastAsia="en-GB"/>
        </w:rPr>
        <w:t>Inspectors should confirm that human factors assessments of EIMT tasks are undertaken, as appropriate, during testing and commissioning</w:t>
      </w:r>
      <w:r w:rsidR="00B17BC6">
        <w:rPr>
          <w:lang w:eastAsia="en-GB"/>
        </w:rPr>
        <w:t>. The inspector should consider</w:t>
      </w:r>
      <w:r w:rsidRPr="005B4063">
        <w:rPr>
          <w:lang w:eastAsia="en-GB"/>
        </w:rPr>
        <w:t xml:space="preserve"> error traps, and common cause failure mechanisms created by the procedures or by actions of operatives.</w:t>
      </w:r>
    </w:p>
    <w:p w14:paraId="3A07B5E5" w14:textId="632CD122" w:rsidR="00943003" w:rsidRDefault="005B4063" w:rsidP="00943003">
      <w:pPr>
        <w:pStyle w:val="F9-Paragraph"/>
        <w:rPr>
          <w:lang w:eastAsia="en-GB"/>
        </w:rPr>
      </w:pPr>
      <w:r w:rsidRPr="005B4063">
        <w:rPr>
          <w:lang w:eastAsia="en-GB"/>
        </w:rPr>
        <w:t>Inspectors should look for demonstration during inactive commissioning as to the effectiveness of plant and equipment isolations</w:t>
      </w:r>
      <w:r w:rsidR="00BB6886">
        <w:rPr>
          <w:lang w:eastAsia="en-GB"/>
        </w:rPr>
        <w:t xml:space="preserve"> </w:t>
      </w:r>
      <w:r w:rsidRPr="005B4063">
        <w:rPr>
          <w:lang w:eastAsia="en-GB"/>
        </w:rPr>
        <w:t>required for EIMT. Part of this demonstration should also prove any return to service procedures as these may differ from plant isolation procedures.</w:t>
      </w:r>
    </w:p>
    <w:p w14:paraId="37451C6A" w14:textId="46BCDD0C" w:rsidR="00943003" w:rsidRPr="005141CA" w:rsidRDefault="005B4063" w:rsidP="00943003">
      <w:pPr>
        <w:pStyle w:val="F9-Paragraph"/>
        <w:rPr>
          <w:lang w:eastAsia="en-GB"/>
        </w:rPr>
      </w:pPr>
      <w:r w:rsidRPr="00943003">
        <w:rPr>
          <w:lang w:eastAsia="en-GB"/>
        </w:rPr>
        <w:t>As a project proceeds</w:t>
      </w:r>
      <w:r w:rsidR="00A3093B">
        <w:rPr>
          <w:lang w:eastAsia="en-GB"/>
        </w:rPr>
        <w:t>,</w:t>
      </w:r>
      <w:r w:rsidRPr="00943003">
        <w:rPr>
          <w:lang w:eastAsia="en-GB"/>
        </w:rPr>
        <w:t xml:space="preserve"> </w:t>
      </w:r>
      <w:r w:rsidR="007D223D">
        <w:rPr>
          <w:lang w:eastAsia="en-GB"/>
        </w:rPr>
        <w:t>i</w:t>
      </w:r>
      <w:r w:rsidR="007D223D" w:rsidRPr="00943003">
        <w:rPr>
          <w:lang w:eastAsia="en-GB"/>
        </w:rPr>
        <w:t xml:space="preserve">nspectors </w:t>
      </w:r>
      <w:r w:rsidRPr="00943003">
        <w:rPr>
          <w:lang w:eastAsia="en-GB"/>
        </w:rPr>
        <w:t>should look for evidence that changes to the Maintenance Schedule and Maintenance Instructions are documented</w:t>
      </w:r>
      <w:r w:rsidR="00595056">
        <w:rPr>
          <w:lang w:eastAsia="en-GB"/>
        </w:rPr>
        <w:t>.</w:t>
      </w:r>
      <w:r w:rsidRPr="00943003">
        <w:rPr>
          <w:lang w:eastAsia="en-GB"/>
        </w:rPr>
        <w:t xml:space="preserve"> </w:t>
      </w:r>
      <w:r w:rsidR="00595056">
        <w:rPr>
          <w:lang w:eastAsia="en-GB"/>
        </w:rPr>
        <w:t>This should be supported by</w:t>
      </w:r>
      <w:r w:rsidRPr="00943003">
        <w:rPr>
          <w:lang w:eastAsia="en-GB"/>
        </w:rPr>
        <w:t xml:space="preserve"> records of the consideration and agreement by all relevant project, safety, and operations disciplines, thus demonstrating comprehensive acceptance.</w:t>
      </w:r>
    </w:p>
    <w:p w14:paraId="0B444357" w14:textId="011E68A7" w:rsidR="00943003" w:rsidRPr="005141CA" w:rsidRDefault="005B4063" w:rsidP="00943003">
      <w:pPr>
        <w:pStyle w:val="F9-Paragraph"/>
        <w:rPr>
          <w:lang w:eastAsia="en-GB"/>
        </w:rPr>
      </w:pPr>
      <w:r w:rsidRPr="00943003">
        <w:rPr>
          <w:lang w:eastAsia="en-GB"/>
        </w:rPr>
        <w:t>Inspectors should consider to what extent the commissioning will demonstrate the proposed in-service test regime for each part of any such system as well as the whole system (SAPs EMT</w:t>
      </w:r>
      <w:r w:rsidR="0023662B">
        <w:rPr>
          <w:lang w:eastAsia="en-GB"/>
        </w:rPr>
        <w:t>.</w:t>
      </w:r>
      <w:r w:rsidRPr="00943003">
        <w:rPr>
          <w:lang w:eastAsia="en-GB"/>
        </w:rPr>
        <w:t xml:space="preserve">5 </w:t>
      </w:r>
      <w:r w:rsidR="00CC4600">
        <w:rPr>
          <w:lang w:eastAsia="en-GB"/>
        </w:rPr>
        <w:t xml:space="preserve">(Procedures) </w:t>
      </w:r>
      <w:r w:rsidRPr="00943003">
        <w:rPr>
          <w:lang w:eastAsia="en-GB"/>
        </w:rPr>
        <w:t xml:space="preserve">and </w:t>
      </w:r>
      <w:r w:rsidR="00CC4600">
        <w:rPr>
          <w:lang w:eastAsia="en-GB"/>
        </w:rPr>
        <w:t>EMT.</w:t>
      </w:r>
      <w:r w:rsidRPr="00943003">
        <w:rPr>
          <w:lang w:eastAsia="en-GB"/>
        </w:rPr>
        <w:t xml:space="preserve">6 </w:t>
      </w:r>
      <w:r w:rsidR="00CC4600">
        <w:rPr>
          <w:lang w:eastAsia="en-GB"/>
        </w:rPr>
        <w:t>(Reliability claims).</w:t>
      </w:r>
    </w:p>
    <w:p w14:paraId="62001786" w14:textId="2D440EFD" w:rsidR="005B4063" w:rsidRPr="00943003" w:rsidRDefault="005B4063" w:rsidP="005141CA">
      <w:pPr>
        <w:pStyle w:val="F9-Paragraph"/>
        <w:rPr>
          <w:lang w:eastAsia="en-GB"/>
        </w:rPr>
      </w:pPr>
      <w:r w:rsidRPr="00943003">
        <w:rPr>
          <w:lang w:eastAsia="en-GB"/>
        </w:rPr>
        <w:lastRenderedPageBreak/>
        <w:t>Where an EIMT activity to satisfy a safety requirement is shown on the appropriate assumptions database</w:t>
      </w:r>
      <w:r w:rsidR="00EC56CA">
        <w:rPr>
          <w:lang w:eastAsia="en-GB"/>
        </w:rPr>
        <w:t xml:space="preserve">, there should be a clear ‘golden thread’ </w:t>
      </w:r>
      <w:r w:rsidRPr="00943003">
        <w:rPr>
          <w:lang w:eastAsia="en-GB"/>
        </w:rPr>
        <w:t>to where its safety role is defined within the nuclear safety case</w:t>
      </w:r>
      <w:r w:rsidR="005A18E6">
        <w:rPr>
          <w:lang w:eastAsia="en-GB"/>
        </w:rPr>
        <w:t>.</w:t>
      </w:r>
    </w:p>
    <w:p w14:paraId="389352D0" w14:textId="6F43A5E6" w:rsidR="005B4063" w:rsidRPr="005B4063" w:rsidRDefault="005B4063" w:rsidP="005141CA">
      <w:pPr>
        <w:pStyle w:val="F9-Paragraph"/>
        <w:rPr>
          <w:lang w:eastAsia="en-GB"/>
        </w:rPr>
      </w:pPr>
      <w:r w:rsidRPr="005B4063">
        <w:rPr>
          <w:lang w:eastAsia="en-GB"/>
        </w:rPr>
        <w:t>Inspectors should determine that a Licensee has appropriate arrangements for declaring and justifying when the periodicity or written scheme requirements for each entry on the Maintenance Schedule are to start.</w:t>
      </w:r>
    </w:p>
    <w:p w14:paraId="10FDCC16" w14:textId="77777777" w:rsidR="00404DE5" w:rsidRDefault="005B4063" w:rsidP="005141CA">
      <w:pPr>
        <w:pStyle w:val="F9-Paragraph"/>
        <w:rPr>
          <w:lang w:eastAsia="en-GB"/>
        </w:rPr>
      </w:pPr>
      <w:r w:rsidRPr="005B4063">
        <w:rPr>
          <w:lang w:eastAsia="en-GB"/>
        </w:rPr>
        <w:t>Inspectors should confirm that the Completion of Inactive and Active Commissioning Reports not only describes what has been tested, but changes that have resulted from</w:t>
      </w:r>
      <w:r w:rsidR="00404DE5">
        <w:rPr>
          <w:lang w:eastAsia="en-GB"/>
        </w:rPr>
        <w:t>:</w:t>
      </w:r>
      <w:r w:rsidRPr="005B4063">
        <w:rPr>
          <w:lang w:eastAsia="en-GB"/>
        </w:rPr>
        <w:t xml:space="preserve"> </w:t>
      </w:r>
    </w:p>
    <w:p w14:paraId="4372A096" w14:textId="5C132886" w:rsidR="00404DE5" w:rsidRDefault="00404DE5" w:rsidP="006D1CC9">
      <w:pPr>
        <w:pStyle w:val="Bulletlist1"/>
        <w:rPr>
          <w:lang w:eastAsia="en-GB"/>
        </w:rPr>
      </w:pPr>
      <w:r>
        <w:rPr>
          <w:lang w:eastAsia="en-GB"/>
        </w:rPr>
        <w:t>C</w:t>
      </w:r>
      <w:r w:rsidR="005B4063" w:rsidRPr="005B4063">
        <w:rPr>
          <w:lang w:eastAsia="en-GB"/>
        </w:rPr>
        <w:t>onstruction modifications</w:t>
      </w:r>
      <w:r>
        <w:rPr>
          <w:lang w:eastAsia="en-GB"/>
        </w:rPr>
        <w:t>;</w:t>
      </w:r>
      <w:r w:rsidR="005B4063" w:rsidRPr="005B4063">
        <w:rPr>
          <w:lang w:eastAsia="en-GB"/>
        </w:rPr>
        <w:t xml:space="preserve"> </w:t>
      </w:r>
    </w:p>
    <w:p w14:paraId="73CBFA9F" w14:textId="12BCEFE2" w:rsidR="00404DE5" w:rsidRDefault="00404DE5" w:rsidP="006D1CC9">
      <w:pPr>
        <w:pStyle w:val="Bulletlist1"/>
        <w:rPr>
          <w:lang w:eastAsia="en-GB"/>
        </w:rPr>
      </w:pPr>
      <w:r>
        <w:rPr>
          <w:lang w:eastAsia="en-GB"/>
        </w:rPr>
        <w:t>F</w:t>
      </w:r>
      <w:r w:rsidR="005B4063" w:rsidRPr="005B4063">
        <w:rPr>
          <w:lang w:eastAsia="en-GB"/>
        </w:rPr>
        <w:t>acility testing and commissioning</w:t>
      </w:r>
      <w:r>
        <w:rPr>
          <w:lang w:eastAsia="en-GB"/>
        </w:rPr>
        <w:t>;</w:t>
      </w:r>
      <w:r w:rsidR="005B4063" w:rsidRPr="005B4063">
        <w:rPr>
          <w:lang w:eastAsia="en-GB"/>
        </w:rPr>
        <w:t xml:space="preserve"> and</w:t>
      </w:r>
      <w:r>
        <w:rPr>
          <w:lang w:eastAsia="en-GB"/>
        </w:rPr>
        <w:t>,</w:t>
      </w:r>
      <w:r w:rsidR="005B4063" w:rsidRPr="005B4063">
        <w:rPr>
          <w:lang w:eastAsia="en-GB"/>
        </w:rPr>
        <w:t xml:space="preserve"> </w:t>
      </w:r>
    </w:p>
    <w:p w14:paraId="06DCB4F5" w14:textId="71E718D6" w:rsidR="005B4063" w:rsidRPr="005B4063" w:rsidRDefault="00404DE5" w:rsidP="000A197B">
      <w:pPr>
        <w:pStyle w:val="Bulletlist1"/>
        <w:rPr>
          <w:lang w:eastAsia="en-GB"/>
        </w:rPr>
      </w:pPr>
      <w:r>
        <w:rPr>
          <w:lang w:eastAsia="en-GB"/>
        </w:rPr>
        <w:t>A</w:t>
      </w:r>
      <w:r w:rsidR="005B4063" w:rsidRPr="005B4063">
        <w:rPr>
          <w:lang w:eastAsia="en-GB"/>
        </w:rPr>
        <w:t>ny changes to the Maintenance Schedules and Maintenance Instructions.</w:t>
      </w:r>
    </w:p>
    <w:p w14:paraId="0A3726B0" w14:textId="1AB09701" w:rsidR="00225BF8" w:rsidRPr="00BB2441" w:rsidRDefault="00225BF8" w:rsidP="00A326E7">
      <w:pPr>
        <w:pStyle w:val="F9-Paragraph"/>
        <w:rPr>
          <w:rStyle w:val="cf01"/>
          <w:rFonts w:asciiTheme="majorHAnsi" w:hAnsiTheme="majorHAnsi" w:cstheme="majorHAnsi"/>
          <w:sz w:val="24"/>
          <w:szCs w:val="24"/>
          <w:lang w:eastAsia="en-GB"/>
        </w:rPr>
      </w:pPr>
      <w:r w:rsidRPr="00BB2441">
        <w:rPr>
          <w:rStyle w:val="cf01"/>
          <w:rFonts w:asciiTheme="majorHAnsi" w:hAnsiTheme="majorHAnsi" w:cstheme="majorHAnsi"/>
          <w:sz w:val="24"/>
          <w:szCs w:val="24"/>
        </w:rPr>
        <w:t xml:space="preserve">Inspectors should confirm that during construction and commissioning the plant will be (or has been) subject to an </w:t>
      </w:r>
      <w:r w:rsidR="0070011D">
        <w:rPr>
          <w:rStyle w:val="cf01"/>
          <w:rFonts w:asciiTheme="majorHAnsi" w:hAnsiTheme="majorHAnsi" w:cstheme="majorHAnsi"/>
          <w:sz w:val="24"/>
          <w:szCs w:val="24"/>
        </w:rPr>
        <w:t>appropriate</w:t>
      </w:r>
      <w:r w:rsidRPr="00BB2441">
        <w:rPr>
          <w:rStyle w:val="cf01"/>
          <w:rFonts w:asciiTheme="majorHAnsi" w:hAnsiTheme="majorHAnsi" w:cstheme="majorHAnsi"/>
          <w:sz w:val="24"/>
          <w:szCs w:val="24"/>
        </w:rPr>
        <w:t xml:space="preserve"> EIMT regime, designed to ensure SSCs will deliver safety performance requirements claimed in the safety analysis.</w:t>
      </w:r>
    </w:p>
    <w:p w14:paraId="55A97E1F" w14:textId="5F0ACF96" w:rsidR="008033F1" w:rsidRPr="00BB2441" w:rsidRDefault="008033F1" w:rsidP="00A326E7">
      <w:pPr>
        <w:pStyle w:val="F9-Paragraph"/>
        <w:rPr>
          <w:rFonts w:asciiTheme="majorHAnsi" w:hAnsiTheme="majorHAnsi" w:cstheme="majorHAnsi"/>
          <w:lang w:eastAsia="en-GB"/>
        </w:rPr>
      </w:pPr>
      <w:r w:rsidRPr="00BB2441">
        <w:rPr>
          <w:rStyle w:val="cf01"/>
          <w:rFonts w:asciiTheme="majorHAnsi" w:hAnsiTheme="majorHAnsi" w:cstheme="majorHAnsi"/>
          <w:sz w:val="24"/>
          <w:szCs w:val="24"/>
        </w:rPr>
        <w:t xml:space="preserve">Inspectors should consider whether the licensee has </w:t>
      </w:r>
      <w:r w:rsidR="00B27084">
        <w:rPr>
          <w:rStyle w:val="cf01"/>
          <w:rFonts w:asciiTheme="majorHAnsi" w:hAnsiTheme="majorHAnsi" w:cstheme="majorHAnsi"/>
          <w:sz w:val="24"/>
          <w:szCs w:val="24"/>
        </w:rPr>
        <w:t>defined</w:t>
      </w:r>
      <w:r w:rsidRPr="00BB2441">
        <w:rPr>
          <w:rStyle w:val="cf01"/>
          <w:rFonts w:asciiTheme="majorHAnsi" w:hAnsiTheme="majorHAnsi" w:cstheme="majorHAnsi"/>
          <w:sz w:val="24"/>
          <w:szCs w:val="24"/>
        </w:rPr>
        <w:t xml:space="preserve"> organisational roles and responsibilities for EIMT during transition </w:t>
      </w:r>
      <w:r w:rsidR="00790D70">
        <w:rPr>
          <w:rStyle w:val="cf01"/>
          <w:rFonts w:asciiTheme="majorHAnsi" w:hAnsiTheme="majorHAnsi" w:cstheme="majorHAnsi"/>
          <w:sz w:val="24"/>
          <w:szCs w:val="24"/>
        </w:rPr>
        <w:t xml:space="preserve">from </w:t>
      </w:r>
      <w:r w:rsidR="00A326E7" w:rsidRPr="00BB2441">
        <w:rPr>
          <w:rStyle w:val="cf01"/>
          <w:rFonts w:asciiTheme="majorHAnsi" w:hAnsiTheme="majorHAnsi" w:cstheme="majorHAnsi"/>
          <w:sz w:val="24"/>
          <w:szCs w:val="24"/>
        </w:rPr>
        <w:t>construction to commissioning and operation.</w:t>
      </w:r>
    </w:p>
    <w:p w14:paraId="70136C57" w14:textId="29BF499E" w:rsidR="005B4063" w:rsidRPr="005141CA" w:rsidRDefault="005B4063" w:rsidP="005141CA">
      <w:pPr>
        <w:pStyle w:val="Heading3"/>
        <w:rPr>
          <w:color w:val="auto"/>
          <w:sz w:val="24"/>
          <w:szCs w:val="24"/>
          <w:lang w:eastAsia="en-GB" w:bidi="ar-SA"/>
        </w:rPr>
      </w:pPr>
      <w:r w:rsidRPr="005141CA">
        <w:rPr>
          <w:rStyle w:val="Heading3Char"/>
        </w:rPr>
        <w:t>Operations</w:t>
      </w:r>
    </w:p>
    <w:p w14:paraId="34302909" w14:textId="074047C2" w:rsidR="005B4063" w:rsidRPr="005B4063" w:rsidRDefault="005B4063" w:rsidP="005141CA">
      <w:pPr>
        <w:pStyle w:val="F9-Paragraph"/>
        <w:rPr>
          <w:lang w:eastAsia="en-GB"/>
        </w:rPr>
      </w:pPr>
      <w:r w:rsidRPr="005B4063">
        <w:rPr>
          <w:lang w:eastAsia="en-GB"/>
        </w:rPr>
        <w:t xml:space="preserve">Inspectors should consider whether EIMT for the various SSCs is specified, standards selected and the work undertaken to a level of quality commensurate with their safety </w:t>
      </w:r>
      <w:r w:rsidR="008E619E">
        <w:rPr>
          <w:lang w:eastAsia="en-GB"/>
        </w:rPr>
        <w:t>c</w:t>
      </w:r>
      <w:r w:rsidRPr="005B4063">
        <w:rPr>
          <w:lang w:eastAsia="en-GB"/>
        </w:rPr>
        <w:t>lassification (SAPs EKP.5</w:t>
      </w:r>
      <w:r w:rsidR="00404DE5">
        <w:rPr>
          <w:lang w:eastAsia="en-GB"/>
        </w:rPr>
        <w:t xml:space="preserve"> (</w:t>
      </w:r>
      <w:r w:rsidR="00CA58F5">
        <w:rPr>
          <w:lang w:eastAsia="en-GB"/>
        </w:rPr>
        <w:t>Safety measures</w:t>
      </w:r>
      <w:r w:rsidR="00EC4C4B">
        <w:rPr>
          <w:lang w:eastAsia="en-GB"/>
        </w:rPr>
        <w:t>)</w:t>
      </w:r>
      <w:r w:rsidRPr="005B4063">
        <w:rPr>
          <w:lang w:eastAsia="en-GB"/>
        </w:rPr>
        <w:t>, ECS.2</w:t>
      </w:r>
      <w:r w:rsidR="00EC4C4B">
        <w:rPr>
          <w:lang w:eastAsia="en-GB"/>
        </w:rPr>
        <w:t xml:space="preserve"> (</w:t>
      </w:r>
      <w:r w:rsidR="00F46B2E">
        <w:rPr>
          <w:lang w:eastAsia="en-GB"/>
        </w:rPr>
        <w:t>Safety classification of structures, systems and components</w:t>
      </w:r>
      <w:r w:rsidR="00EC4C4B">
        <w:rPr>
          <w:lang w:eastAsia="en-GB"/>
        </w:rPr>
        <w:t>)</w:t>
      </w:r>
      <w:r w:rsidRPr="005B4063">
        <w:rPr>
          <w:lang w:eastAsia="en-GB"/>
        </w:rPr>
        <w:t xml:space="preserve"> </w:t>
      </w:r>
      <w:r w:rsidR="00EC4C4B">
        <w:rPr>
          <w:lang w:eastAsia="en-GB"/>
        </w:rPr>
        <w:t>and</w:t>
      </w:r>
      <w:r w:rsidR="00EC4C4B" w:rsidRPr="005B4063">
        <w:rPr>
          <w:lang w:eastAsia="en-GB"/>
        </w:rPr>
        <w:t xml:space="preserve"> </w:t>
      </w:r>
      <w:r w:rsidRPr="005B4063">
        <w:rPr>
          <w:lang w:eastAsia="en-GB"/>
        </w:rPr>
        <w:t>ECS.3</w:t>
      </w:r>
      <w:r w:rsidR="00EC4C4B">
        <w:rPr>
          <w:lang w:eastAsia="en-GB"/>
        </w:rPr>
        <w:t xml:space="preserve"> (</w:t>
      </w:r>
      <w:r w:rsidR="008E619E">
        <w:rPr>
          <w:lang w:eastAsia="en-GB"/>
        </w:rPr>
        <w:t>Codes and standards</w:t>
      </w:r>
      <w:r w:rsidR="00EC4C4B">
        <w:rPr>
          <w:lang w:eastAsia="en-GB"/>
        </w:rPr>
        <w:t>)</w:t>
      </w:r>
      <w:r w:rsidRPr="005B4063">
        <w:rPr>
          <w:lang w:eastAsia="en-GB"/>
        </w:rPr>
        <w:t>).</w:t>
      </w:r>
    </w:p>
    <w:p w14:paraId="36A3199C" w14:textId="62F97D2B" w:rsidR="005B4063" w:rsidRPr="005B4063" w:rsidRDefault="005B4063" w:rsidP="005141CA">
      <w:pPr>
        <w:pStyle w:val="F9-Paragraph"/>
        <w:rPr>
          <w:lang w:eastAsia="en-GB"/>
        </w:rPr>
      </w:pPr>
      <w:r w:rsidRPr="005B4063">
        <w:rPr>
          <w:lang w:eastAsia="en-GB"/>
        </w:rPr>
        <w:t>Attention should be paid to the following safety case concerns:</w:t>
      </w:r>
    </w:p>
    <w:p w14:paraId="2A1A3942" w14:textId="1BAAAAB1" w:rsidR="005B4063" w:rsidRPr="005141CA" w:rsidRDefault="005B4063" w:rsidP="005141CA">
      <w:pPr>
        <w:pStyle w:val="Bulletlist1"/>
        <w:rPr>
          <w:rFonts w:eastAsia="Times New Roman"/>
          <w:szCs w:val="24"/>
          <w:lang w:bidi="ar-SA"/>
        </w:rPr>
      </w:pPr>
      <w:r w:rsidRPr="005B4063">
        <w:rPr>
          <w:lang w:eastAsia="en-GB"/>
        </w:rPr>
        <w:t>Confirmation that any safety case requirements for staggered testing are translated into the Maintenance Schedule;</w:t>
      </w:r>
    </w:p>
    <w:p w14:paraId="4B136CAC" w14:textId="113589D8" w:rsidR="005B4063" w:rsidRPr="005B4063" w:rsidRDefault="005B4063" w:rsidP="005141CA">
      <w:pPr>
        <w:pStyle w:val="Bulletlist1"/>
        <w:rPr>
          <w:lang w:eastAsia="en-GB"/>
        </w:rPr>
      </w:pPr>
      <w:r w:rsidRPr="005B4063">
        <w:rPr>
          <w:lang w:eastAsia="en-GB"/>
        </w:rPr>
        <w:t xml:space="preserve">Confirmation that, in </w:t>
      </w:r>
      <w:r w:rsidR="008E619E">
        <w:rPr>
          <w:lang w:eastAsia="en-GB"/>
        </w:rPr>
        <w:t>developing</w:t>
      </w:r>
      <w:r w:rsidR="008E619E" w:rsidRPr="005B4063">
        <w:rPr>
          <w:lang w:eastAsia="en-GB"/>
        </w:rPr>
        <w:t xml:space="preserve"> </w:t>
      </w:r>
      <w:r w:rsidRPr="005B4063">
        <w:rPr>
          <w:lang w:eastAsia="en-GB"/>
        </w:rPr>
        <w:t>the Maintenance Schedule, the Licensee has considered and demonstrated that the minimum configurations of operational safety systems justified in the safety case will be maintained</w:t>
      </w:r>
      <w:r w:rsidR="008E619E">
        <w:rPr>
          <w:lang w:eastAsia="en-GB"/>
        </w:rPr>
        <w:t>.</w:t>
      </w:r>
      <w:r w:rsidR="008E619E" w:rsidRPr="005B4063">
        <w:rPr>
          <w:lang w:eastAsia="en-GB"/>
        </w:rPr>
        <w:t xml:space="preserve"> </w:t>
      </w:r>
      <w:r w:rsidR="008E619E">
        <w:rPr>
          <w:lang w:eastAsia="en-GB"/>
        </w:rPr>
        <w:t>This should include</w:t>
      </w:r>
      <w:r w:rsidRPr="005B4063">
        <w:rPr>
          <w:lang w:eastAsia="en-GB"/>
        </w:rPr>
        <w:t xml:space="preserve"> compliance with any requirements on plant availability derived from consideration of the Single Failure Criterion;</w:t>
      </w:r>
    </w:p>
    <w:p w14:paraId="433CD834" w14:textId="494FA685" w:rsidR="005B4063" w:rsidRPr="005B4063" w:rsidRDefault="005B4063" w:rsidP="005141CA">
      <w:pPr>
        <w:pStyle w:val="Bulletlist1"/>
        <w:rPr>
          <w:lang w:eastAsia="en-GB"/>
        </w:rPr>
      </w:pPr>
      <w:r w:rsidRPr="005B4063">
        <w:rPr>
          <w:lang w:eastAsia="en-GB"/>
        </w:rPr>
        <w:t xml:space="preserve">Where equipment important to safety is taken out of service for </w:t>
      </w:r>
      <w:r w:rsidR="00930235">
        <w:rPr>
          <w:lang w:eastAsia="en-GB"/>
        </w:rPr>
        <w:t>EIMT</w:t>
      </w:r>
      <w:r w:rsidRPr="005B4063">
        <w:rPr>
          <w:lang w:eastAsia="en-GB"/>
        </w:rPr>
        <w:t xml:space="preserve">, the continuing safety of operations should be justified. Furthermore, the </w:t>
      </w:r>
      <w:r w:rsidRPr="005B4063">
        <w:rPr>
          <w:lang w:eastAsia="en-GB"/>
        </w:rPr>
        <w:lastRenderedPageBreak/>
        <w:t>potential for the examination, inspection, maintenance or testing to initiate a fault should be analysed and the risks so arising justified.</w:t>
      </w:r>
    </w:p>
    <w:p w14:paraId="103F14F1" w14:textId="0D312D81" w:rsidR="005B4063" w:rsidRPr="005B4063" w:rsidRDefault="005B4063" w:rsidP="005141CA">
      <w:pPr>
        <w:pStyle w:val="F9-Paragraph"/>
        <w:rPr>
          <w:lang w:eastAsia="en-GB"/>
        </w:rPr>
      </w:pPr>
      <w:r w:rsidRPr="005B4063">
        <w:rPr>
          <w:lang w:eastAsia="en-GB"/>
        </w:rPr>
        <w:t>Inspectors should confirm that in service testing of SSCs important to safety prove</w:t>
      </w:r>
      <w:r w:rsidR="000027FE">
        <w:rPr>
          <w:lang w:eastAsia="en-GB"/>
        </w:rPr>
        <w:t>s</w:t>
      </w:r>
      <w:r w:rsidRPr="005B4063">
        <w:rPr>
          <w:lang w:eastAsia="en-GB"/>
        </w:rPr>
        <w:t xml:space="preserve"> the complete system and the safety function of the individual components (SAP EMT.7</w:t>
      </w:r>
      <w:r w:rsidR="000027FE">
        <w:rPr>
          <w:lang w:eastAsia="en-GB"/>
        </w:rPr>
        <w:t>(</w:t>
      </w:r>
      <w:r w:rsidR="0082479D">
        <w:rPr>
          <w:lang w:eastAsia="en-GB"/>
        </w:rPr>
        <w:t>Functional testing</w:t>
      </w:r>
      <w:r w:rsidR="000027FE">
        <w:rPr>
          <w:lang w:eastAsia="en-GB"/>
        </w:rPr>
        <w:t>)</w:t>
      </w:r>
      <w:r w:rsidRPr="005B4063">
        <w:rPr>
          <w:lang w:eastAsia="en-GB"/>
        </w:rPr>
        <w:t>). In all cases</w:t>
      </w:r>
      <w:r w:rsidR="000027FE">
        <w:rPr>
          <w:lang w:eastAsia="en-GB"/>
        </w:rPr>
        <w:t>,</w:t>
      </w:r>
      <w:r w:rsidRPr="005B4063">
        <w:rPr>
          <w:lang w:eastAsia="en-GB"/>
        </w:rPr>
        <w:t xml:space="preserve"> the associated reliability analysis should reflect the actual testing carried out.</w:t>
      </w:r>
    </w:p>
    <w:p w14:paraId="5F13110E" w14:textId="5AE73523" w:rsidR="005B4063" w:rsidRPr="005B4063" w:rsidRDefault="005B4063" w:rsidP="005141CA">
      <w:pPr>
        <w:pStyle w:val="F9-Paragraph"/>
        <w:rPr>
          <w:lang w:eastAsia="en-GB"/>
        </w:rPr>
      </w:pPr>
      <w:r w:rsidRPr="005B4063">
        <w:rPr>
          <w:lang w:eastAsia="en-GB"/>
        </w:rPr>
        <w:t xml:space="preserve">Where it is not feasible to test a system end-to-end, </w:t>
      </w:r>
      <w:r w:rsidR="00E4068B">
        <w:rPr>
          <w:lang w:eastAsia="en-GB"/>
        </w:rPr>
        <w:t>i</w:t>
      </w:r>
      <w:r w:rsidR="00E4068B" w:rsidRPr="005B4063">
        <w:rPr>
          <w:lang w:eastAsia="en-GB"/>
        </w:rPr>
        <w:t xml:space="preserve">nspectors </w:t>
      </w:r>
      <w:r w:rsidRPr="005B4063">
        <w:rPr>
          <w:lang w:eastAsia="en-GB"/>
        </w:rPr>
        <w:t>should look for justification of partial testing</w:t>
      </w:r>
      <w:r w:rsidR="00051D54">
        <w:rPr>
          <w:lang w:eastAsia="en-GB"/>
        </w:rPr>
        <w:t>.</w:t>
      </w:r>
      <w:r w:rsidR="00051D54" w:rsidRPr="005B4063">
        <w:rPr>
          <w:lang w:eastAsia="en-GB"/>
        </w:rPr>
        <w:t xml:space="preserve"> </w:t>
      </w:r>
      <w:r w:rsidR="00051D54">
        <w:rPr>
          <w:lang w:eastAsia="en-GB"/>
        </w:rPr>
        <w:t>This should include</w:t>
      </w:r>
      <w:r w:rsidR="00051D54" w:rsidRPr="005B4063">
        <w:rPr>
          <w:lang w:eastAsia="en-GB"/>
        </w:rPr>
        <w:t xml:space="preserve"> </w:t>
      </w:r>
      <w:r w:rsidRPr="005B4063">
        <w:rPr>
          <w:lang w:eastAsia="en-GB"/>
        </w:rPr>
        <w:t>how the results of each part can be linked to demonstrate continuing achievement of design intent for the whole system.</w:t>
      </w:r>
    </w:p>
    <w:p w14:paraId="46EE8F2F" w14:textId="72F23866" w:rsidR="00943003" w:rsidRDefault="005B4063" w:rsidP="00943003">
      <w:pPr>
        <w:pStyle w:val="F9-Paragraph"/>
        <w:rPr>
          <w:lang w:eastAsia="en-GB"/>
        </w:rPr>
      </w:pPr>
      <w:r w:rsidRPr="005B4063">
        <w:rPr>
          <w:lang w:eastAsia="en-GB"/>
        </w:rPr>
        <w:t>The safety case may preclude full in situ testing, in which case alternative arrangements may be necessary, for example the removal and rig testing of a device. Inspectors should consider the adequacy of any alternative arrangements a Licensee has made in such situations (SAP EMT.7</w:t>
      </w:r>
      <w:r w:rsidR="000027FE">
        <w:rPr>
          <w:lang w:eastAsia="en-GB"/>
        </w:rPr>
        <w:t>(</w:t>
      </w:r>
      <w:r w:rsidR="0082479D">
        <w:rPr>
          <w:lang w:eastAsia="en-GB"/>
        </w:rPr>
        <w:t>Functional testing</w:t>
      </w:r>
      <w:r w:rsidR="000027FE">
        <w:rPr>
          <w:lang w:eastAsia="en-GB"/>
        </w:rPr>
        <w:t>)</w:t>
      </w:r>
      <w:r w:rsidRPr="005B4063">
        <w:rPr>
          <w:lang w:eastAsia="en-GB"/>
        </w:rPr>
        <w:t>)</w:t>
      </w:r>
      <w:r w:rsidR="00943003">
        <w:rPr>
          <w:lang w:eastAsia="en-GB"/>
        </w:rPr>
        <w:t>.</w:t>
      </w:r>
    </w:p>
    <w:p w14:paraId="10FB4E2B" w14:textId="31D15675" w:rsidR="005B4063" w:rsidRPr="00943003" w:rsidRDefault="005B4063" w:rsidP="005141CA">
      <w:pPr>
        <w:pStyle w:val="F9-Paragraph"/>
        <w:rPr>
          <w:lang w:eastAsia="en-GB"/>
        </w:rPr>
      </w:pPr>
      <w:r w:rsidRPr="00943003">
        <w:rPr>
          <w:lang w:eastAsia="en-GB"/>
        </w:rPr>
        <w:t>Inspectors should pay particular attention to the Licensee’s arrangements to ensure re-establishment of the correct plant configuration following EIMT.</w:t>
      </w:r>
    </w:p>
    <w:p w14:paraId="13F281FE" w14:textId="23A91855" w:rsidR="005B4063" w:rsidRPr="005B4063" w:rsidRDefault="0041031B" w:rsidP="005141CA">
      <w:pPr>
        <w:pStyle w:val="F9-Paragraph"/>
        <w:rPr>
          <w:lang w:eastAsia="en-GB"/>
        </w:rPr>
      </w:pPr>
      <w:r>
        <w:rPr>
          <w:lang w:eastAsia="en-GB"/>
        </w:rPr>
        <w:t>S</w:t>
      </w:r>
      <w:r w:rsidR="005B4063" w:rsidRPr="005B4063">
        <w:rPr>
          <w:lang w:eastAsia="en-GB"/>
        </w:rPr>
        <w:t>afety case assumptions regarding component reliability, can influence mean time between tests, and performance along with unavailability for EIMT</w:t>
      </w:r>
      <w:r>
        <w:rPr>
          <w:lang w:eastAsia="en-GB"/>
        </w:rPr>
        <w:t>.</w:t>
      </w:r>
      <w:r w:rsidR="005B4063" w:rsidRPr="005B4063">
        <w:rPr>
          <w:lang w:eastAsia="en-GB"/>
        </w:rPr>
        <w:t xml:space="preserve"> </w:t>
      </w:r>
      <w:r w:rsidR="003B265A">
        <w:rPr>
          <w:lang w:eastAsia="en-GB"/>
        </w:rPr>
        <w:t xml:space="preserve">Inspectors should consider whether these </w:t>
      </w:r>
      <w:r w:rsidR="00AE3994">
        <w:rPr>
          <w:lang w:eastAsia="en-GB"/>
        </w:rPr>
        <w:t xml:space="preserve">assumptions </w:t>
      </w:r>
      <w:r w:rsidR="005B4063" w:rsidRPr="005B4063">
        <w:rPr>
          <w:lang w:eastAsia="en-GB"/>
        </w:rPr>
        <w:t xml:space="preserve">are adequately reflected in implementation documentation such as </w:t>
      </w:r>
      <w:r w:rsidR="008B4987">
        <w:rPr>
          <w:lang w:eastAsia="en-GB"/>
        </w:rPr>
        <w:t>m</w:t>
      </w:r>
      <w:r w:rsidR="008B4987" w:rsidRPr="005B4063">
        <w:rPr>
          <w:lang w:eastAsia="en-GB"/>
        </w:rPr>
        <w:t xml:space="preserve">aintenance </w:t>
      </w:r>
      <w:r w:rsidR="008B4987">
        <w:rPr>
          <w:lang w:eastAsia="en-GB"/>
        </w:rPr>
        <w:t>s</w:t>
      </w:r>
      <w:r w:rsidR="008B4987" w:rsidRPr="005B4063">
        <w:rPr>
          <w:lang w:eastAsia="en-GB"/>
        </w:rPr>
        <w:t xml:space="preserve">chedules </w:t>
      </w:r>
      <w:r w:rsidR="005B4063" w:rsidRPr="005B4063">
        <w:rPr>
          <w:lang w:eastAsia="en-GB"/>
        </w:rPr>
        <w:t xml:space="preserve">and </w:t>
      </w:r>
      <w:r w:rsidR="008B4987">
        <w:rPr>
          <w:lang w:eastAsia="en-GB"/>
        </w:rPr>
        <w:t>i</w:t>
      </w:r>
      <w:r w:rsidR="008B4987" w:rsidRPr="005B4063">
        <w:rPr>
          <w:lang w:eastAsia="en-GB"/>
        </w:rPr>
        <w:t>nstructions</w:t>
      </w:r>
      <w:r w:rsidR="005B4063" w:rsidRPr="005B4063">
        <w:rPr>
          <w:lang w:eastAsia="en-GB"/>
        </w:rPr>
        <w:t>.</w:t>
      </w:r>
    </w:p>
    <w:p w14:paraId="5971B3DB" w14:textId="013A59CF" w:rsidR="005B4063" w:rsidRPr="005B4063" w:rsidRDefault="005B4063" w:rsidP="005141CA">
      <w:pPr>
        <w:pStyle w:val="F9-Paragraph"/>
        <w:rPr>
          <w:lang w:eastAsia="en-GB"/>
        </w:rPr>
      </w:pPr>
      <w:r w:rsidRPr="005B4063">
        <w:rPr>
          <w:lang w:eastAsia="en-GB"/>
        </w:rPr>
        <w:t>Inspectors should confirm that the EIMT instructions provide for full and accurate reporting. This should include the recording and reporting of any defects and of any properties or parameters which may need to be monitored to confirm continuing safe operation. Clear criteria for successful completion of the work should be stated and the procedures should provide for the reporting and rectification of non-conformances.</w:t>
      </w:r>
    </w:p>
    <w:p w14:paraId="7A0DB671" w14:textId="4E88F59E" w:rsidR="005B4063" w:rsidRPr="005B4063" w:rsidRDefault="005B4063" w:rsidP="005141CA">
      <w:pPr>
        <w:pStyle w:val="F9-Paragraph"/>
        <w:rPr>
          <w:lang w:eastAsia="en-GB"/>
        </w:rPr>
      </w:pPr>
      <w:r w:rsidRPr="005B4063">
        <w:rPr>
          <w:lang w:eastAsia="en-GB"/>
        </w:rPr>
        <w:t xml:space="preserve">Arrangements should include </w:t>
      </w:r>
      <w:r w:rsidR="00051D54">
        <w:rPr>
          <w:lang w:eastAsia="en-GB"/>
        </w:rPr>
        <w:t>review</w:t>
      </w:r>
      <w:r w:rsidR="00051D54" w:rsidRPr="005B4063">
        <w:rPr>
          <w:lang w:eastAsia="en-GB"/>
        </w:rPr>
        <w:t xml:space="preserve"> </w:t>
      </w:r>
      <w:r w:rsidRPr="005B4063">
        <w:rPr>
          <w:lang w:eastAsia="en-GB"/>
        </w:rPr>
        <w:t>of recorded data to identify trends in failures or gradual degradation over time. (SAPs Para 216)</w:t>
      </w:r>
    </w:p>
    <w:p w14:paraId="0AA1E8DF" w14:textId="77777777" w:rsidR="00943003" w:rsidRDefault="005B4063" w:rsidP="00943003">
      <w:pPr>
        <w:pStyle w:val="F9-Paragraph"/>
        <w:rPr>
          <w:lang w:eastAsia="en-GB"/>
        </w:rPr>
      </w:pPr>
      <w:r w:rsidRPr="005B4063">
        <w:rPr>
          <w:lang w:eastAsia="en-GB"/>
        </w:rPr>
        <w:t>The implementation arrangements should ensure that activities are performed and supervised by competent staff using equipment and tools which have been demonstrated to be adequate for the task. In certain circumstances the personnel and equipment may require validation.</w:t>
      </w:r>
    </w:p>
    <w:p w14:paraId="223F430F" w14:textId="7B73200F" w:rsidR="005B4063" w:rsidRPr="00943003" w:rsidRDefault="005B4063" w:rsidP="005141CA">
      <w:pPr>
        <w:pStyle w:val="F9-Paragraph"/>
        <w:rPr>
          <w:lang w:eastAsia="en-GB"/>
        </w:rPr>
      </w:pPr>
      <w:r w:rsidRPr="00943003">
        <w:rPr>
          <w:lang w:eastAsia="en-GB"/>
        </w:rPr>
        <w:t>The Maintenance Instructions usually only address direct measurements required or require achievement of pre-defined acceptance criteria. Inspectors should seek confirmation that further examination and trending of lifetime data is undertaken as appropriate by SQEP resource from the Design Authority.</w:t>
      </w:r>
    </w:p>
    <w:p w14:paraId="6FFC529D" w14:textId="00CC9A12" w:rsidR="005B4063" w:rsidRPr="005B4063" w:rsidRDefault="005B4063" w:rsidP="005141CA">
      <w:pPr>
        <w:pStyle w:val="F9-Paragraph"/>
        <w:rPr>
          <w:lang w:eastAsia="en-GB"/>
        </w:rPr>
      </w:pPr>
      <w:r w:rsidRPr="005B4063">
        <w:rPr>
          <w:lang w:eastAsia="en-GB"/>
        </w:rPr>
        <w:t xml:space="preserve">Inspectors should look for evidence that both safety case and plant changes are adequately assessed by appropriate SQEP to identify commensurate </w:t>
      </w:r>
      <w:r w:rsidRPr="005B4063">
        <w:rPr>
          <w:lang w:eastAsia="en-GB"/>
        </w:rPr>
        <w:lastRenderedPageBreak/>
        <w:t>effects on the existing EIMT arrangements and the need for any additional EIMT. Such changes may result in the need to modify the Maintenance Schedules and Maintenance Instructions.</w:t>
      </w:r>
    </w:p>
    <w:p w14:paraId="3DFA4BC5" w14:textId="3CEB649E" w:rsidR="005B4063" w:rsidRPr="005B4063" w:rsidRDefault="005B4063" w:rsidP="005141CA">
      <w:pPr>
        <w:pStyle w:val="F9-Paragraph"/>
        <w:rPr>
          <w:lang w:eastAsia="en-GB"/>
        </w:rPr>
      </w:pPr>
      <w:r w:rsidRPr="005B4063">
        <w:rPr>
          <w:lang w:eastAsia="en-GB"/>
        </w:rPr>
        <w:t>Inspectors should establish whether the Licensee has adequate EIMT arrangements for equipment provided to support the facility’s emergency arrangements.</w:t>
      </w:r>
    </w:p>
    <w:p w14:paraId="46398C6C" w14:textId="4E88383A" w:rsidR="005B4063" w:rsidRPr="005B4063" w:rsidRDefault="005B4063" w:rsidP="005141CA">
      <w:pPr>
        <w:pStyle w:val="F9-Paragraph"/>
        <w:rPr>
          <w:lang w:eastAsia="en-GB"/>
        </w:rPr>
      </w:pPr>
      <w:r w:rsidRPr="005B4063">
        <w:rPr>
          <w:lang w:eastAsia="en-GB"/>
        </w:rPr>
        <w:t>Inspectors should confirm that the Licensee has adequate arrangements for identifying (</w:t>
      </w:r>
      <w:proofErr w:type="spellStart"/>
      <w:r w:rsidRPr="005B4063">
        <w:rPr>
          <w:lang w:eastAsia="en-GB"/>
        </w:rPr>
        <w:t>OpEX</w:t>
      </w:r>
      <w:proofErr w:type="spellEnd"/>
      <w:r w:rsidRPr="005B4063">
        <w:rPr>
          <w:lang w:eastAsia="en-GB"/>
        </w:rPr>
        <w:t xml:space="preserve">) of relevance to EIMT and responding accordingly (this should include both </w:t>
      </w:r>
      <w:proofErr w:type="spellStart"/>
      <w:r w:rsidRPr="005B4063">
        <w:rPr>
          <w:lang w:eastAsia="en-GB"/>
        </w:rPr>
        <w:t>OpEX</w:t>
      </w:r>
      <w:proofErr w:type="spellEnd"/>
      <w:r w:rsidRPr="005B4063">
        <w:rPr>
          <w:lang w:eastAsia="en-GB"/>
        </w:rPr>
        <w:t xml:space="preserve"> from the Licensee’s activities and external </w:t>
      </w:r>
      <w:proofErr w:type="spellStart"/>
      <w:r w:rsidRPr="005B4063">
        <w:rPr>
          <w:lang w:eastAsia="en-GB"/>
        </w:rPr>
        <w:t>OpEX</w:t>
      </w:r>
      <w:proofErr w:type="spellEnd"/>
      <w:r w:rsidRPr="005B4063">
        <w:rPr>
          <w:lang w:eastAsia="en-GB"/>
        </w:rPr>
        <w:t>).</w:t>
      </w:r>
    </w:p>
    <w:p w14:paraId="0D68691F" w14:textId="219EDB99" w:rsidR="00943003" w:rsidRDefault="005B4063" w:rsidP="00943003">
      <w:pPr>
        <w:pStyle w:val="F9-Paragraph"/>
        <w:rPr>
          <w:lang w:eastAsia="en-GB"/>
        </w:rPr>
      </w:pPr>
      <w:r w:rsidRPr="005B4063">
        <w:rPr>
          <w:lang w:eastAsia="en-GB"/>
        </w:rPr>
        <w:t>Licensees should have adequate arrangements for managing Foreign Material Exclusion (FME) during EIMT activities on the facility (e.g. FME control points, FME covers, use of lanyards and logging of tools).</w:t>
      </w:r>
    </w:p>
    <w:p w14:paraId="58996EC5" w14:textId="0580E552" w:rsidR="005B4063" w:rsidRPr="00943003" w:rsidRDefault="005B4063" w:rsidP="005141CA">
      <w:pPr>
        <w:pStyle w:val="F9-Paragraph"/>
        <w:rPr>
          <w:lang w:eastAsia="en-GB"/>
        </w:rPr>
      </w:pPr>
      <w:r w:rsidRPr="00943003">
        <w:rPr>
          <w:lang w:eastAsia="en-GB"/>
        </w:rPr>
        <w:t>Inspectors should visit Licensee’s maintenance facilities / workshops for safety important SSC’s to determine whether the housekeeping and work practices are adequate with respect to both FME and quality control.</w:t>
      </w:r>
    </w:p>
    <w:p w14:paraId="113B62F8" w14:textId="3ED43E5A" w:rsidR="005B4063" w:rsidRPr="005B4063" w:rsidRDefault="005B4063" w:rsidP="005141CA">
      <w:pPr>
        <w:pStyle w:val="F9-Paragraph"/>
        <w:rPr>
          <w:lang w:eastAsia="en-GB"/>
        </w:rPr>
      </w:pPr>
      <w:r w:rsidRPr="005B4063">
        <w:rPr>
          <w:lang w:eastAsia="en-GB"/>
        </w:rPr>
        <w:t>Licensees should make adequate provisions for the secure, quarantined storage of overhauled safety important equipment prior to it being re-installed on the facility.</w:t>
      </w:r>
    </w:p>
    <w:p w14:paraId="2E50910C" w14:textId="46DC49F8" w:rsidR="005B4063" w:rsidRPr="005B4063" w:rsidRDefault="005B4063" w:rsidP="005141CA">
      <w:pPr>
        <w:pStyle w:val="F9-Paragraph"/>
        <w:rPr>
          <w:lang w:eastAsia="en-GB"/>
        </w:rPr>
      </w:pPr>
      <w:r w:rsidRPr="005B4063">
        <w:rPr>
          <w:lang w:eastAsia="en-GB"/>
        </w:rPr>
        <w:t>Inspectors should seek confirmation that a Licensee has a formal process for EIMT operatives to identify shortfalls, inconsistencies or discrepancies in EIMT procedures</w:t>
      </w:r>
      <w:r w:rsidR="008B4987">
        <w:rPr>
          <w:lang w:eastAsia="en-GB"/>
        </w:rPr>
        <w:t xml:space="preserve">. </w:t>
      </w:r>
      <w:r w:rsidRPr="005B4063">
        <w:rPr>
          <w:lang w:eastAsia="en-GB"/>
        </w:rPr>
        <w:t xml:space="preserve"> </w:t>
      </w:r>
      <w:r w:rsidR="00D625AD">
        <w:rPr>
          <w:lang w:eastAsia="en-GB"/>
        </w:rPr>
        <w:t>The process should be simple to follow and remove human error traps or workarounds.  Inspectors should seek e</w:t>
      </w:r>
      <w:r w:rsidRPr="005B4063">
        <w:rPr>
          <w:lang w:eastAsia="en-GB"/>
        </w:rPr>
        <w:t xml:space="preserve">vidence that operatives are </w:t>
      </w:r>
      <w:r w:rsidR="00D625AD">
        <w:rPr>
          <w:lang w:eastAsia="en-GB"/>
        </w:rPr>
        <w:t xml:space="preserve">using </w:t>
      </w:r>
      <w:r w:rsidRPr="005B4063">
        <w:rPr>
          <w:lang w:eastAsia="en-GB"/>
        </w:rPr>
        <w:t xml:space="preserve">the process and that </w:t>
      </w:r>
      <w:r w:rsidR="00D625AD">
        <w:rPr>
          <w:lang w:eastAsia="en-GB"/>
        </w:rPr>
        <w:t>it</w:t>
      </w:r>
      <w:r w:rsidRPr="005B4063">
        <w:rPr>
          <w:lang w:eastAsia="en-GB"/>
        </w:rPr>
        <w:t xml:space="preserve"> provides a mechanism for dealing with the observations raised.</w:t>
      </w:r>
    </w:p>
    <w:p w14:paraId="63D941BD" w14:textId="479884CD" w:rsidR="005B4063" w:rsidRPr="005B4063" w:rsidRDefault="005B4063" w:rsidP="005141CA">
      <w:pPr>
        <w:pStyle w:val="F9-Paragraph"/>
        <w:rPr>
          <w:lang w:eastAsia="en-GB"/>
        </w:rPr>
      </w:pPr>
      <w:r w:rsidRPr="005B4063">
        <w:rPr>
          <w:lang w:eastAsia="en-GB"/>
        </w:rPr>
        <w:t>Where a Licensee’s maintenance arrangements are based on generic approaches</w:t>
      </w:r>
      <w:r w:rsidR="004A5D7F">
        <w:rPr>
          <w:lang w:eastAsia="en-GB"/>
        </w:rPr>
        <w:t>,</w:t>
      </w:r>
      <w:r w:rsidRPr="005B4063">
        <w:rPr>
          <w:lang w:eastAsia="en-GB"/>
        </w:rPr>
        <w:t xml:space="preserve"> </w:t>
      </w:r>
      <w:r w:rsidR="00F636EB">
        <w:rPr>
          <w:lang w:eastAsia="en-GB"/>
        </w:rPr>
        <w:t>i</w:t>
      </w:r>
      <w:r w:rsidR="00F636EB" w:rsidRPr="005B4063">
        <w:rPr>
          <w:lang w:eastAsia="en-GB"/>
        </w:rPr>
        <w:t xml:space="preserve">nspectors </w:t>
      </w:r>
      <w:r w:rsidRPr="005B4063">
        <w:rPr>
          <w:lang w:eastAsia="en-GB"/>
        </w:rPr>
        <w:t>should seek evidence that the facility safety case provides appropriate justification. Such approaches include:</w:t>
      </w:r>
    </w:p>
    <w:p w14:paraId="20BBDB56" w14:textId="7AD8B6F1" w:rsidR="005B4063" w:rsidRPr="005B4063" w:rsidRDefault="005B4063" w:rsidP="005141CA">
      <w:pPr>
        <w:pStyle w:val="Bulletlist1"/>
        <w:rPr>
          <w:lang w:eastAsia="en-GB"/>
        </w:rPr>
      </w:pPr>
      <w:r w:rsidRPr="005B4063">
        <w:rPr>
          <w:lang w:eastAsia="en-GB"/>
        </w:rPr>
        <w:t>Reliability Centred Maintenance</w:t>
      </w:r>
    </w:p>
    <w:p w14:paraId="61DA2664" w14:textId="4FF48DD0" w:rsidR="005B4063" w:rsidRPr="005B4063" w:rsidRDefault="005B4063" w:rsidP="005141CA">
      <w:pPr>
        <w:pStyle w:val="Bulletlist1"/>
        <w:rPr>
          <w:lang w:eastAsia="en-GB"/>
        </w:rPr>
      </w:pPr>
      <w:r w:rsidRPr="005B4063">
        <w:rPr>
          <w:lang w:eastAsia="en-GB"/>
        </w:rPr>
        <w:t>Condition Monitoring</w:t>
      </w:r>
    </w:p>
    <w:p w14:paraId="08FFB45B" w14:textId="199968F4" w:rsidR="005B4063" w:rsidRPr="005B4063" w:rsidRDefault="005B4063" w:rsidP="005141CA">
      <w:pPr>
        <w:pStyle w:val="Bulletlist1"/>
        <w:rPr>
          <w:lang w:eastAsia="en-GB"/>
        </w:rPr>
      </w:pPr>
      <w:r w:rsidRPr="005B4063">
        <w:rPr>
          <w:lang w:eastAsia="en-GB"/>
        </w:rPr>
        <w:t>Planned Maintenance</w:t>
      </w:r>
    </w:p>
    <w:p w14:paraId="54B6BB5C" w14:textId="49A8568E" w:rsidR="005B4063" w:rsidRPr="005B4063" w:rsidRDefault="005B4063" w:rsidP="005141CA">
      <w:pPr>
        <w:pStyle w:val="Bulletlist1"/>
        <w:rPr>
          <w:lang w:eastAsia="en-GB"/>
        </w:rPr>
      </w:pPr>
      <w:r w:rsidRPr="005B4063">
        <w:rPr>
          <w:lang w:eastAsia="en-GB"/>
        </w:rPr>
        <w:t>Preventative Maintenance</w:t>
      </w:r>
    </w:p>
    <w:p w14:paraId="013E8A06" w14:textId="32F9CC8C" w:rsidR="005B4063" w:rsidRPr="005B4063" w:rsidRDefault="005B4063" w:rsidP="005141CA">
      <w:pPr>
        <w:pStyle w:val="Bulletlist1"/>
        <w:rPr>
          <w:lang w:eastAsia="en-GB"/>
        </w:rPr>
      </w:pPr>
      <w:r w:rsidRPr="005B4063">
        <w:rPr>
          <w:lang w:eastAsia="en-GB"/>
        </w:rPr>
        <w:t>Risk Based Maintenance</w:t>
      </w:r>
    </w:p>
    <w:p w14:paraId="5741B43D" w14:textId="6EB960BF" w:rsidR="005B4063" w:rsidRPr="005B4063" w:rsidRDefault="005B4063" w:rsidP="005141CA">
      <w:pPr>
        <w:pStyle w:val="Bulletlist1"/>
        <w:rPr>
          <w:lang w:eastAsia="en-GB"/>
        </w:rPr>
      </w:pPr>
      <w:r w:rsidRPr="005B4063">
        <w:rPr>
          <w:lang w:eastAsia="en-GB"/>
        </w:rPr>
        <w:t>Run to Failure (Corrective) Maintenance</w:t>
      </w:r>
    </w:p>
    <w:p w14:paraId="0EAC5A83" w14:textId="4F8CE28C" w:rsidR="005B4063" w:rsidRPr="005B4063" w:rsidRDefault="005B4063" w:rsidP="005141CA">
      <w:pPr>
        <w:pStyle w:val="Bulletlist1"/>
        <w:rPr>
          <w:lang w:eastAsia="en-GB"/>
        </w:rPr>
      </w:pPr>
      <w:r w:rsidRPr="005B4063">
        <w:rPr>
          <w:lang w:eastAsia="en-GB"/>
        </w:rPr>
        <w:t>Inspection Based Maintenance</w:t>
      </w:r>
    </w:p>
    <w:p w14:paraId="05190413" w14:textId="15DF9875" w:rsidR="005B4063" w:rsidRPr="005B4063" w:rsidRDefault="005B4063" w:rsidP="005141CA">
      <w:pPr>
        <w:pStyle w:val="Heading3"/>
        <w:rPr>
          <w:lang w:eastAsia="en-GB" w:bidi="ar-SA"/>
        </w:rPr>
      </w:pPr>
      <w:r w:rsidRPr="005B4063">
        <w:rPr>
          <w:lang w:eastAsia="en-GB" w:bidi="ar-SA"/>
        </w:rPr>
        <w:lastRenderedPageBreak/>
        <w:t>Outages</w:t>
      </w:r>
    </w:p>
    <w:p w14:paraId="2BBDEE06" w14:textId="44CC6543" w:rsidR="005B4063" w:rsidRPr="005B4063" w:rsidRDefault="005B4063" w:rsidP="005141CA">
      <w:pPr>
        <w:pStyle w:val="F9-Paragraph"/>
        <w:rPr>
          <w:lang w:eastAsia="en-GB"/>
        </w:rPr>
      </w:pPr>
      <w:r w:rsidRPr="005B4063">
        <w:rPr>
          <w:lang w:eastAsia="en-GB"/>
        </w:rPr>
        <w:t xml:space="preserve">Inspectors should establish prior to Licensee’s pre-planned facility shutdowns (usually termed </w:t>
      </w:r>
      <w:r w:rsidR="008548CA">
        <w:rPr>
          <w:lang w:eastAsia="en-GB"/>
        </w:rPr>
        <w:t>o</w:t>
      </w:r>
      <w:r w:rsidR="008548CA" w:rsidRPr="005B4063">
        <w:rPr>
          <w:lang w:eastAsia="en-GB"/>
        </w:rPr>
        <w:t>utages</w:t>
      </w:r>
      <w:r w:rsidRPr="005B4063">
        <w:rPr>
          <w:lang w:eastAsia="en-GB"/>
        </w:rPr>
        <w:t>) that a programme of work has been prepared such that all nuclear safety significant Plant Maintenance Schedule items needing EIMT are covered.</w:t>
      </w:r>
    </w:p>
    <w:p w14:paraId="30611A99" w14:textId="1C464E89" w:rsidR="005B4063" w:rsidRPr="005B4063" w:rsidRDefault="005B4063" w:rsidP="005141CA">
      <w:pPr>
        <w:pStyle w:val="F9-Paragraph"/>
        <w:rPr>
          <w:lang w:eastAsia="en-GB"/>
        </w:rPr>
      </w:pPr>
      <w:r w:rsidRPr="005B4063">
        <w:rPr>
          <w:lang w:eastAsia="en-GB"/>
        </w:rPr>
        <w:t>Inspectors should establish that the programme of work provides the necessary coverage of the facility (within an overall long term plan)</w:t>
      </w:r>
      <w:r w:rsidR="008548CA">
        <w:rPr>
          <w:lang w:eastAsia="en-GB"/>
        </w:rPr>
        <w:t>.</w:t>
      </w:r>
      <w:r w:rsidRPr="005B4063">
        <w:rPr>
          <w:lang w:eastAsia="en-GB"/>
        </w:rPr>
        <w:t xml:space="preserve"> </w:t>
      </w:r>
      <w:r w:rsidR="007A737A">
        <w:rPr>
          <w:lang w:eastAsia="en-GB"/>
        </w:rPr>
        <w:t>This</w:t>
      </w:r>
      <w:r w:rsidR="007A737A" w:rsidRPr="005B4063">
        <w:rPr>
          <w:lang w:eastAsia="en-GB"/>
        </w:rPr>
        <w:t xml:space="preserve"> </w:t>
      </w:r>
      <w:r w:rsidR="007A737A">
        <w:rPr>
          <w:lang w:eastAsia="en-GB"/>
        </w:rPr>
        <w:t>should include</w:t>
      </w:r>
      <w:r w:rsidR="007A737A" w:rsidRPr="005B4063">
        <w:rPr>
          <w:lang w:eastAsia="en-GB"/>
        </w:rPr>
        <w:t xml:space="preserve"> </w:t>
      </w:r>
      <w:r w:rsidRPr="005B4063">
        <w:rPr>
          <w:lang w:eastAsia="en-GB"/>
        </w:rPr>
        <w:t>all additional work identified as necessary as a result of previous inspections, commitments or safety concerns identified during operation of the facility or arising from generic concerns.</w:t>
      </w:r>
    </w:p>
    <w:p w14:paraId="18461ED3" w14:textId="4E2C2586" w:rsidR="005B4063" w:rsidRPr="005B4063" w:rsidRDefault="005B4063" w:rsidP="005141CA">
      <w:pPr>
        <w:pStyle w:val="F9-Paragraph"/>
        <w:rPr>
          <w:lang w:eastAsia="en-GB"/>
        </w:rPr>
      </w:pPr>
      <w:r w:rsidRPr="005B4063">
        <w:rPr>
          <w:lang w:eastAsia="en-GB"/>
        </w:rPr>
        <w:t>The outcome from such EIMT should be assessed by SQEP personnel from the Licensee’s Operational and Design Authority Organisations.</w:t>
      </w:r>
    </w:p>
    <w:p w14:paraId="551943D1" w14:textId="2D34608B" w:rsidR="005B4063" w:rsidRPr="005B4063" w:rsidRDefault="005B4063" w:rsidP="005141CA">
      <w:pPr>
        <w:pStyle w:val="F9-Paragraph"/>
        <w:rPr>
          <w:lang w:eastAsia="en-GB"/>
        </w:rPr>
      </w:pPr>
      <w:r w:rsidRPr="005B4063">
        <w:rPr>
          <w:lang w:eastAsia="en-GB"/>
        </w:rPr>
        <w:t>Inspectors should confirm that all EIMT activities will be carried out to written procedures</w:t>
      </w:r>
      <w:r w:rsidR="007A737A">
        <w:rPr>
          <w:lang w:eastAsia="en-GB"/>
        </w:rPr>
        <w:t>.</w:t>
      </w:r>
      <w:r w:rsidR="007A737A" w:rsidRPr="005B4063">
        <w:rPr>
          <w:lang w:eastAsia="en-GB"/>
        </w:rPr>
        <w:t xml:space="preserve"> </w:t>
      </w:r>
      <w:r w:rsidR="007A737A">
        <w:rPr>
          <w:lang w:eastAsia="en-GB"/>
        </w:rPr>
        <w:t>A</w:t>
      </w:r>
      <w:r w:rsidRPr="005B4063">
        <w:rPr>
          <w:lang w:eastAsia="en-GB"/>
        </w:rPr>
        <w:t xml:space="preserve">ppropriate arrangements </w:t>
      </w:r>
      <w:r w:rsidR="007A737A">
        <w:rPr>
          <w:lang w:eastAsia="en-GB"/>
        </w:rPr>
        <w:t>should be</w:t>
      </w:r>
      <w:r w:rsidR="007A737A" w:rsidRPr="005B4063">
        <w:rPr>
          <w:lang w:eastAsia="en-GB"/>
        </w:rPr>
        <w:t xml:space="preserve"> </w:t>
      </w:r>
      <w:r w:rsidRPr="005B4063">
        <w:rPr>
          <w:lang w:eastAsia="en-GB"/>
        </w:rPr>
        <w:t>in place for the independent checking (by sampling) of inspections to confirm that appropriate quality is maintained.</w:t>
      </w:r>
    </w:p>
    <w:p w14:paraId="454B877C" w14:textId="1A552FF7" w:rsidR="005B4063" w:rsidRPr="005B4063" w:rsidRDefault="00330094" w:rsidP="005141CA">
      <w:pPr>
        <w:pStyle w:val="F9-Paragraph"/>
        <w:rPr>
          <w:lang w:eastAsia="en-GB"/>
        </w:rPr>
      </w:pPr>
      <w:r>
        <w:rPr>
          <w:lang w:eastAsia="en-GB"/>
        </w:rPr>
        <w:t>Inspectors should consider l</w:t>
      </w:r>
      <w:r w:rsidR="005B4063" w:rsidRPr="005B4063">
        <w:rPr>
          <w:lang w:eastAsia="en-GB"/>
        </w:rPr>
        <w:t xml:space="preserve">icensees' arrangements for the reporting and review of </w:t>
      </w:r>
      <w:r>
        <w:rPr>
          <w:lang w:eastAsia="en-GB"/>
        </w:rPr>
        <w:t>EIMT results.  This should include arrangements for</w:t>
      </w:r>
      <w:r w:rsidRPr="005B4063">
        <w:rPr>
          <w:lang w:eastAsia="en-GB"/>
        </w:rPr>
        <w:t xml:space="preserve"> </w:t>
      </w:r>
      <w:r w:rsidR="005B4063" w:rsidRPr="005B4063">
        <w:rPr>
          <w:lang w:eastAsia="en-GB"/>
        </w:rPr>
        <w:t>categorisation and sentencing of defects, including where appropriate independent assessment</w:t>
      </w:r>
      <w:r>
        <w:rPr>
          <w:lang w:eastAsia="en-GB"/>
        </w:rPr>
        <w:t>.</w:t>
      </w:r>
    </w:p>
    <w:p w14:paraId="7D9982B9" w14:textId="0A739B5E" w:rsidR="005B4063" w:rsidRPr="005B4063" w:rsidRDefault="000B77F7" w:rsidP="005141CA">
      <w:pPr>
        <w:pStyle w:val="F9-Paragraph"/>
        <w:rPr>
          <w:lang w:eastAsia="en-GB"/>
        </w:rPr>
      </w:pPr>
      <w:r>
        <w:rPr>
          <w:lang w:eastAsia="en-GB"/>
        </w:rPr>
        <w:t>W</w:t>
      </w:r>
      <w:r w:rsidR="005B4063" w:rsidRPr="005B4063">
        <w:rPr>
          <w:lang w:eastAsia="en-GB"/>
        </w:rPr>
        <w:t xml:space="preserve">here there is a regulatory or procedural control over restart, all findings which are pertinent to the safety justification for the restart </w:t>
      </w:r>
      <w:r>
        <w:rPr>
          <w:lang w:eastAsia="en-GB"/>
        </w:rPr>
        <w:t>should be</w:t>
      </w:r>
      <w:r w:rsidRPr="005B4063">
        <w:rPr>
          <w:lang w:eastAsia="en-GB"/>
        </w:rPr>
        <w:t xml:space="preserve"> </w:t>
      </w:r>
      <w:r w:rsidR="005B4063" w:rsidRPr="005B4063">
        <w:rPr>
          <w:lang w:eastAsia="en-GB"/>
        </w:rPr>
        <w:t xml:space="preserve">provided for timely consideration by </w:t>
      </w:r>
      <w:r w:rsidR="00F636EB">
        <w:rPr>
          <w:lang w:eastAsia="en-GB"/>
        </w:rPr>
        <w:t>i</w:t>
      </w:r>
      <w:r w:rsidR="005B4063" w:rsidRPr="005B4063">
        <w:rPr>
          <w:lang w:eastAsia="en-GB"/>
        </w:rPr>
        <w:t>nspectors.</w:t>
      </w:r>
    </w:p>
    <w:p w14:paraId="29337142" w14:textId="7432E253" w:rsidR="00943003" w:rsidRDefault="005B4063" w:rsidP="00943003">
      <w:pPr>
        <w:pStyle w:val="F9-Paragraph"/>
        <w:rPr>
          <w:lang w:eastAsia="en-GB"/>
        </w:rPr>
      </w:pPr>
      <w:r w:rsidRPr="005B4063">
        <w:rPr>
          <w:lang w:eastAsia="en-GB"/>
        </w:rPr>
        <w:t>Procedures should be sampled to confirm that they contain clear and adequate instructions</w:t>
      </w:r>
      <w:r w:rsidR="000B77F7">
        <w:rPr>
          <w:lang w:eastAsia="en-GB"/>
        </w:rPr>
        <w:t>.</w:t>
      </w:r>
      <w:r w:rsidR="000B77F7" w:rsidRPr="005B4063">
        <w:rPr>
          <w:lang w:eastAsia="en-GB"/>
        </w:rPr>
        <w:t xml:space="preserve"> </w:t>
      </w:r>
      <w:r w:rsidR="002E69E9">
        <w:rPr>
          <w:lang w:eastAsia="en-GB"/>
        </w:rPr>
        <w:t>Procedures</w:t>
      </w:r>
      <w:r w:rsidR="002B20B7">
        <w:rPr>
          <w:lang w:eastAsia="en-GB"/>
        </w:rPr>
        <w:t xml:space="preserve"> should include clear</w:t>
      </w:r>
      <w:r w:rsidRPr="005B4063">
        <w:rPr>
          <w:lang w:eastAsia="en-GB"/>
        </w:rPr>
        <w:t xml:space="preserve"> reporting criteria and adequate means of spatially identifying and recording items inspected and any features or defects observed</w:t>
      </w:r>
      <w:r w:rsidR="00943003">
        <w:rPr>
          <w:lang w:eastAsia="en-GB"/>
        </w:rPr>
        <w:t>.</w:t>
      </w:r>
    </w:p>
    <w:p w14:paraId="34F79336" w14:textId="77777777" w:rsidR="00943003" w:rsidRDefault="005B4063" w:rsidP="00943003">
      <w:pPr>
        <w:pStyle w:val="F9-Paragraph"/>
        <w:rPr>
          <w:lang w:eastAsia="en-GB"/>
        </w:rPr>
      </w:pPr>
      <w:r w:rsidRPr="005B4063">
        <w:rPr>
          <w:lang w:eastAsia="en-GB"/>
        </w:rPr>
        <w:t>Inspectors should review the final outage inspection reports or any equivalent reports and appropriately advise if any of the matters reported raise new concerns which should be considered in the context</w:t>
      </w:r>
      <w:r w:rsidR="00943003">
        <w:rPr>
          <w:lang w:eastAsia="en-GB"/>
        </w:rPr>
        <w:t xml:space="preserve"> </w:t>
      </w:r>
      <w:r w:rsidRPr="005141CA">
        <w:rPr>
          <w:rFonts w:ascii="Times New Roman" w:hAnsi="Times New Roman" w:cs="Times New Roman"/>
          <w:color w:val="000000"/>
          <w:sz w:val="27"/>
          <w:szCs w:val="27"/>
          <w:lang w:eastAsia="en-GB"/>
        </w:rPr>
        <w:t xml:space="preserve">of </w:t>
      </w:r>
      <w:r w:rsidRPr="00943003">
        <w:rPr>
          <w:lang w:eastAsia="en-GB"/>
        </w:rPr>
        <w:t>restart. They should also review the reports to confirm that the licensee has considered and adequately addressed any trends in the results of the inspection etc.</w:t>
      </w:r>
    </w:p>
    <w:p w14:paraId="346716DC" w14:textId="0DCB4C95" w:rsidR="005B4063" w:rsidRPr="00943003" w:rsidRDefault="005B4063" w:rsidP="005141CA">
      <w:pPr>
        <w:pStyle w:val="F9-Paragraph"/>
        <w:rPr>
          <w:lang w:eastAsia="en-GB"/>
        </w:rPr>
      </w:pPr>
      <w:r w:rsidRPr="00943003">
        <w:rPr>
          <w:lang w:eastAsia="en-GB"/>
        </w:rPr>
        <w:t xml:space="preserve">Outage periodicity has to be demonstrated to be consistent with the requirements of design integrity assurance. Such assurance requirements are drawn out from within design reports or safety analyses and </w:t>
      </w:r>
      <w:r w:rsidR="00BE34B2">
        <w:rPr>
          <w:lang w:eastAsia="en-GB"/>
        </w:rPr>
        <w:t>should be</w:t>
      </w:r>
      <w:r w:rsidR="00BE34B2" w:rsidRPr="00943003">
        <w:rPr>
          <w:lang w:eastAsia="en-GB"/>
        </w:rPr>
        <w:t xml:space="preserve"> </w:t>
      </w:r>
      <w:r w:rsidRPr="00943003">
        <w:rPr>
          <w:lang w:eastAsia="en-GB"/>
        </w:rPr>
        <w:t xml:space="preserve">defined within Safety Cases. When changes to outage periodicity are requested by a licensee there may be a need for a multi-discipline review by </w:t>
      </w:r>
      <w:r w:rsidR="003B2E85">
        <w:rPr>
          <w:lang w:eastAsia="en-GB"/>
        </w:rPr>
        <w:t>ONR.</w:t>
      </w:r>
    </w:p>
    <w:p w14:paraId="71E4C591" w14:textId="635A378D" w:rsidR="005B4063" w:rsidRPr="005B4063" w:rsidRDefault="005B4063" w:rsidP="005141CA">
      <w:pPr>
        <w:pStyle w:val="Heading3"/>
        <w:rPr>
          <w:lang w:eastAsia="en-GB" w:bidi="ar-SA"/>
        </w:rPr>
      </w:pPr>
      <w:r w:rsidRPr="005B4063">
        <w:rPr>
          <w:lang w:eastAsia="en-GB" w:bidi="ar-SA"/>
        </w:rPr>
        <w:lastRenderedPageBreak/>
        <w:t>Plant Not Used Continuously</w:t>
      </w:r>
    </w:p>
    <w:p w14:paraId="707C4F19" w14:textId="432874C1" w:rsidR="005B4063" w:rsidRPr="005B4063" w:rsidRDefault="005B4063" w:rsidP="005141CA">
      <w:pPr>
        <w:pStyle w:val="F9-Paragraph"/>
        <w:rPr>
          <w:lang w:eastAsia="en-GB"/>
        </w:rPr>
      </w:pPr>
      <w:r w:rsidRPr="005B4063">
        <w:rPr>
          <w:lang w:eastAsia="en-GB"/>
        </w:rPr>
        <w:t>Some Licensees use some of their plant and equipment when required</w:t>
      </w:r>
      <w:r w:rsidR="003B2E85">
        <w:rPr>
          <w:lang w:eastAsia="en-GB"/>
        </w:rPr>
        <w:t xml:space="preserve"> for example </w:t>
      </w:r>
      <w:r w:rsidRPr="005B4063">
        <w:rPr>
          <w:lang w:eastAsia="en-GB"/>
        </w:rPr>
        <w:t>to support the work carried out on a submarine in a dock, and do not set a periodicity for its EIMT. Instead, the Licensee identifies that appropriate EIMT is to be carried out prior to the plant being used.</w:t>
      </w:r>
    </w:p>
    <w:p w14:paraId="6BF362FF" w14:textId="5887836C" w:rsidR="005B4063" w:rsidRPr="005B4063" w:rsidRDefault="005B4063" w:rsidP="005141CA">
      <w:pPr>
        <w:pStyle w:val="F9-Paragraph"/>
        <w:rPr>
          <w:lang w:eastAsia="en-GB"/>
        </w:rPr>
      </w:pPr>
      <w:r w:rsidRPr="005B4063">
        <w:rPr>
          <w:lang w:eastAsia="en-GB"/>
        </w:rPr>
        <w:t>Inspectors involved in the review of the planned EIMT for such plant should consider whether the Licensee has adequately addressed the potential deterioration of the plant in periods between use in determining the required EIMT.</w:t>
      </w:r>
      <w:r w:rsidR="00534C6B">
        <w:rPr>
          <w:lang w:eastAsia="en-GB"/>
        </w:rPr>
        <w:t xml:space="preserve">  Inspectors should also consider whether there are any legal requirements to perform periodic maintenance on such items.</w:t>
      </w:r>
    </w:p>
    <w:p w14:paraId="4D000681" w14:textId="77777777" w:rsidR="00943003" w:rsidRDefault="005B4063" w:rsidP="00943003">
      <w:pPr>
        <w:pStyle w:val="Heading3"/>
        <w:rPr>
          <w:lang w:eastAsia="en-GB" w:bidi="ar-SA"/>
        </w:rPr>
      </w:pPr>
      <w:r w:rsidRPr="005B4063">
        <w:rPr>
          <w:lang w:eastAsia="en-GB" w:bidi="ar-SA"/>
        </w:rPr>
        <w:t>Verification of EIMT</w:t>
      </w:r>
    </w:p>
    <w:p w14:paraId="3F13710C" w14:textId="04E088A9" w:rsidR="00943003" w:rsidRPr="005141CA" w:rsidRDefault="005B4063" w:rsidP="00943003">
      <w:pPr>
        <w:pStyle w:val="F9-Paragraph"/>
        <w:rPr>
          <w:rFonts w:eastAsia="Calibri"/>
          <w:color w:val="22413A"/>
          <w:sz w:val="28"/>
          <w:szCs w:val="12"/>
          <w:lang w:eastAsia="en-GB"/>
        </w:rPr>
      </w:pPr>
      <w:r w:rsidRPr="00943003">
        <w:rPr>
          <w:lang w:eastAsia="en-GB"/>
        </w:rPr>
        <w:t xml:space="preserve">The Licensee should have a process for verification of </w:t>
      </w:r>
      <w:r w:rsidR="00534C6B">
        <w:rPr>
          <w:lang w:eastAsia="en-GB"/>
        </w:rPr>
        <w:t xml:space="preserve">EIMT </w:t>
      </w:r>
      <w:r w:rsidRPr="00943003">
        <w:rPr>
          <w:lang w:eastAsia="en-GB"/>
        </w:rPr>
        <w:t>implementation, with the depth and breadth of verification graded in relation to the importance to nuclear safety of the equipment and associated EIMT. This should specifically include an appropriate level of physical verification of EIMT on the facility.</w:t>
      </w:r>
    </w:p>
    <w:p w14:paraId="0EDBDF80" w14:textId="706A74E5" w:rsidR="005B4063" w:rsidRPr="00943003" w:rsidRDefault="005B4063" w:rsidP="005141CA">
      <w:pPr>
        <w:pStyle w:val="Heading3"/>
        <w:rPr>
          <w:lang w:eastAsia="en-GB"/>
        </w:rPr>
      </w:pPr>
      <w:r w:rsidRPr="00943003">
        <w:rPr>
          <w:lang w:eastAsia="en-GB"/>
        </w:rPr>
        <w:t>Periodic Safety Reviews</w:t>
      </w:r>
    </w:p>
    <w:p w14:paraId="2419F5FD" w14:textId="164C642C" w:rsidR="005B4063" w:rsidRPr="005B4063" w:rsidRDefault="005B4063" w:rsidP="005141CA">
      <w:pPr>
        <w:pStyle w:val="F9-Paragraph"/>
        <w:rPr>
          <w:lang w:eastAsia="en-GB"/>
        </w:rPr>
      </w:pPr>
      <w:r w:rsidRPr="005B4063">
        <w:rPr>
          <w:lang w:eastAsia="en-GB"/>
        </w:rPr>
        <w:t xml:space="preserve">The Periodic Safety Review (PSR) process should </w:t>
      </w:r>
      <w:r w:rsidR="00C455BC">
        <w:rPr>
          <w:lang w:eastAsia="en-GB"/>
        </w:rPr>
        <w:t xml:space="preserve">include a </w:t>
      </w:r>
      <w:r w:rsidR="004A7913">
        <w:rPr>
          <w:lang w:eastAsia="en-GB"/>
        </w:rPr>
        <w:t>review</w:t>
      </w:r>
      <w:r w:rsidR="004A7913" w:rsidRPr="005B4063">
        <w:rPr>
          <w:lang w:eastAsia="en-GB"/>
        </w:rPr>
        <w:t xml:space="preserve"> </w:t>
      </w:r>
      <w:r w:rsidR="00C455BC">
        <w:rPr>
          <w:lang w:eastAsia="en-GB"/>
        </w:rPr>
        <w:t xml:space="preserve">of </w:t>
      </w:r>
      <w:r w:rsidRPr="005B4063">
        <w:rPr>
          <w:lang w:eastAsia="en-GB"/>
        </w:rPr>
        <w:t>the EIMT regimes by describing plant failures, anomalies and the means found for rectification.</w:t>
      </w:r>
      <w:r w:rsidR="00F03A05">
        <w:rPr>
          <w:lang w:eastAsia="en-GB"/>
        </w:rPr>
        <w:t xml:space="preserve">  The output of this process should be either </w:t>
      </w:r>
      <w:r w:rsidR="0010328D">
        <w:rPr>
          <w:lang w:eastAsia="en-GB"/>
        </w:rPr>
        <w:t>recommendations for changes</w:t>
      </w:r>
      <w:r w:rsidR="00544B58">
        <w:rPr>
          <w:lang w:eastAsia="en-GB"/>
        </w:rPr>
        <w:t xml:space="preserve"> to the EIMT or demonstration that the</w:t>
      </w:r>
      <w:r w:rsidR="00C455BC">
        <w:rPr>
          <w:lang w:eastAsia="en-GB"/>
        </w:rPr>
        <w:t xml:space="preserve"> existing EIMT regime is adequate.</w:t>
      </w:r>
    </w:p>
    <w:p w14:paraId="12FE9F23" w14:textId="507E9F89" w:rsidR="005B4063" w:rsidRPr="005B4063" w:rsidRDefault="005B4063" w:rsidP="005141CA">
      <w:pPr>
        <w:pStyle w:val="F9-Paragraph"/>
        <w:rPr>
          <w:lang w:eastAsia="en-GB"/>
        </w:rPr>
      </w:pPr>
      <w:r w:rsidRPr="005B4063">
        <w:rPr>
          <w:lang w:eastAsia="en-GB"/>
        </w:rPr>
        <w:t>Confirmation should be provided that cumulative data from EIMT continues to support the reliability claims made within the safety case.</w:t>
      </w:r>
    </w:p>
    <w:p w14:paraId="4D2BCC58" w14:textId="247301B3" w:rsidR="005B4063" w:rsidRPr="005B4063" w:rsidRDefault="005B4063" w:rsidP="005141CA">
      <w:pPr>
        <w:pStyle w:val="F9-Paragraph"/>
        <w:rPr>
          <w:lang w:eastAsia="en-GB"/>
        </w:rPr>
      </w:pPr>
      <w:r w:rsidRPr="005B4063">
        <w:rPr>
          <w:lang w:eastAsia="en-GB"/>
        </w:rPr>
        <w:t>Inspectors should look for evidence that Licensees are adopting the latest good practices for EIMT.</w:t>
      </w:r>
    </w:p>
    <w:p w14:paraId="244B2283" w14:textId="70ADBB09" w:rsidR="005B4063" w:rsidRPr="005B4063" w:rsidRDefault="005B4063" w:rsidP="005141CA">
      <w:pPr>
        <w:pStyle w:val="F9-Paragraph"/>
        <w:rPr>
          <w:lang w:eastAsia="en-GB"/>
        </w:rPr>
      </w:pPr>
      <w:r w:rsidRPr="005B4063">
        <w:rPr>
          <w:lang w:eastAsia="en-GB"/>
        </w:rPr>
        <w:t>For further guidance on PSRs refer to NS-TAST-GD-050 Periodic Safety Reviews.</w:t>
      </w:r>
    </w:p>
    <w:p w14:paraId="7177CD8F" w14:textId="22B47BA0" w:rsidR="005B4063" w:rsidRPr="005B4063" w:rsidRDefault="005B4063" w:rsidP="005141CA">
      <w:pPr>
        <w:pStyle w:val="Heading3"/>
        <w:rPr>
          <w:lang w:eastAsia="en-GB" w:bidi="ar-SA"/>
        </w:rPr>
      </w:pPr>
      <w:r w:rsidRPr="005B4063">
        <w:rPr>
          <w:lang w:eastAsia="en-GB" w:bidi="ar-SA"/>
        </w:rPr>
        <w:t>End of Routine Operations</w:t>
      </w:r>
    </w:p>
    <w:p w14:paraId="1C15DC37" w14:textId="17744454" w:rsidR="005B4063" w:rsidRPr="005B4063" w:rsidRDefault="005B4063" w:rsidP="005141CA">
      <w:pPr>
        <w:pStyle w:val="F9-Paragraph"/>
        <w:rPr>
          <w:lang w:eastAsia="en-GB"/>
        </w:rPr>
      </w:pPr>
      <w:r w:rsidRPr="005B4063">
        <w:rPr>
          <w:lang w:eastAsia="en-GB"/>
        </w:rPr>
        <w:t>Inspectors should consider the extent to which any reductions in EIMT are supported by revised safety cases for the various phases of facility decommissioning.</w:t>
      </w:r>
      <w:r w:rsidR="00C455BC">
        <w:rPr>
          <w:lang w:eastAsia="en-GB"/>
        </w:rPr>
        <w:t xml:space="preserve">  Inspectors should also consider whether additional or modified EIMT is needed, given potential changes to environmental conditions, frequency of use and such other factors.</w:t>
      </w:r>
    </w:p>
    <w:p w14:paraId="0DADE7CD" w14:textId="03CF7CD7" w:rsidR="005B4063" w:rsidRPr="005B4063" w:rsidRDefault="005B4063" w:rsidP="005141CA">
      <w:pPr>
        <w:pStyle w:val="F9-Paragraph"/>
        <w:rPr>
          <w:lang w:eastAsia="en-GB"/>
        </w:rPr>
      </w:pPr>
      <w:r w:rsidRPr="005B4063">
        <w:rPr>
          <w:lang w:eastAsia="en-GB"/>
        </w:rPr>
        <w:t>For further guidance on Decommissioning refer to NS-TAST-GD-026 – Decommissioning on Nuclear Licensed Sites.</w:t>
      </w:r>
    </w:p>
    <w:p w14:paraId="6D79B7C8" w14:textId="5234CB2F" w:rsidR="005B4063" w:rsidRDefault="00507019">
      <w:pPr>
        <w:spacing w:after="0" w:line="240" w:lineRule="auto"/>
        <w:rPr>
          <w:rFonts w:eastAsia="Times New Roman"/>
          <w:szCs w:val="24"/>
          <w:lang w:eastAsia="en-GB" w:bidi="ar-SA"/>
        </w:rPr>
      </w:pPr>
      <w:r>
        <w:rPr>
          <w:lang w:eastAsia="en-GB"/>
        </w:rPr>
        <w:br w:type="page"/>
      </w:r>
    </w:p>
    <w:bookmarkStart w:id="395" w:name="_Toc150328684" w:displacedByCustomXml="next"/>
    <w:sdt>
      <w:sdtPr>
        <w:rPr>
          <w:color w:val="auto"/>
          <w:sz w:val="24"/>
        </w:rPr>
        <w:id w:val="-2020227071"/>
        <w:docPartObj>
          <w:docPartGallery w:val="Bibliographies"/>
          <w:docPartUnique/>
        </w:docPartObj>
      </w:sdtPr>
      <w:sdtEndPr/>
      <w:sdtContent>
        <w:p w14:paraId="23520224" w14:textId="53D2F213" w:rsidR="00557C28" w:rsidRDefault="00557C28">
          <w:pPr>
            <w:pStyle w:val="Heading1"/>
          </w:pPr>
          <w:r>
            <w:t>References</w:t>
          </w:r>
          <w:bookmarkEnd w:id="395"/>
        </w:p>
        <w:sdt>
          <w:sdtPr>
            <w:id w:val="-573587230"/>
            <w:bibliography/>
          </w:sdtPr>
          <w:sdtEndPr/>
          <w:sdtContent>
            <w:p w14:paraId="2E611CA9" w14:textId="77777777" w:rsidR="0040433D" w:rsidRDefault="00557C28">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0433D" w14:paraId="54270B06" w14:textId="77777777">
                <w:trPr>
                  <w:divId w:val="399328307"/>
                  <w:tblCellSpacing w:w="15" w:type="dxa"/>
                </w:trPr>
                <w:tc>
                  <w:tcPr>
                    <w:tcW w:w="50" w:type="pct"/>
                    <w:hideMark/>
                  </w:tcPr>
                  <w:p w14:paraId="70089970" w14:textId="69A65D95" w:rsidR="0040433D" w:rsidRDefault="0040433D">
                    <w:pPr>
                      <w:pStyle w:val="Bibliography"/>
                      <w:rPr>
                        <w:noProof/>
                        <w:szCs w:val="24"/>
                      </w:rPr>
                    </w:pPr>
                    <w:r>
                      <w:rPr>
                        <w:noProof/>
                      </w:rPr>
                      <w:t xml:space="preserve">[1] </w:t>
                    </w:r>
                  </w:p>
                </w:tc>
                <w:tc>
                  <w:tcPr>
                    <w:tcW w:w="0" w:type="auto"/>
                    <w:hideMark/>
                  </w:tcPr>
                  <w:p w14:paraId="14F3483D" w14:textId="77777777" w:rsidR="0040433D" w:rsidRDefault="0040433D">
                    <w:pPr>
                      <w:pStyle w:val="Bibliography"/>
                      <w:rPr>
                        <w:noProof/>
                      </w:rPr>
                    </w:pPr>
                    <w:r>
                      <w:rPr>
                        <w:noProof/>
                      </w:rPr>
                      <w:t>ONR, “Safety Assessment Principles (SAPs) for Nuclear Facilities - 2014 Edition (Revision 1),” 2020.</w:t>
                    </w:r>
                  </w:p>
                </w:tc>
              </w:tr>
              <w:tr w:rsidR="0040433D" w14:paraId="3F5030AE" w14:textId="77777777">
                <w:trPr>
                  <w:divId w:val="399328307"/>
                  <w:tblCellSpacing w:w="15" w:type="dxa"/>
                </w:trPr>
                <w:tc>
                  <w:tcPr>
                    <w:tcW w:w="50" w:type="pct"/>
                    <w:hideMark/>
                  </w:tcPr>
                  <w:p w14:paraId="78DECE3A" w14:textId="77777777" w:rsidR="0040433D" w:rsidRDefault="0040433D">
                    <w:pPr>
                      <w:pStyle w:val="Bibliography"/>
                      <w:rPr>
                        <w:noProof/>
                      </w:rPr>
                    </w:pPr>
                    <w:r>
                      <w:rPr>
                        <w:noProof/>
                      </w:rPr>
                      <w:t xml:space="preserve">[2] </w:t>
                    </w:r>
                  </w:p>
                </w:tc>
                <w:tc>
                  <w:tcPr>
                    <w:tcW w:w="0" w:type="auto"/>
                    <w:hideMark/>
                  </w:tcPr>
                  <w:p w14:paraId="169A7A3D" w14:textId="77777777" w:rsidR="0040433D" w:rsidRDefault="0040433D">
                    <w:pPr>
                      <w:pStyle w:val="Bibliography"/>
                      <w:rPr>
                        <w:noProof/>
                      </w:rPr>
                    </w:pPr>
                    <w:r>
                      <w:rPr>
                        <w:noProof/>
                      </w:rPr>
                      <w:t>WENRA, “Safety Reference Levels for Existing Reactors,” 2020.</w:t>
                    </w:r>
                  </w:p>
                </w:tc>
              </w:tr>
              <w:tr w:rsidR="0040433D" w14:paraId="5EA3D6D8" w14:textId="77777777">
                <w:trPr>
                  <w:divId w:val="399328307"/>
                  <w:tblCellSpacing w:w="15" w:type="dxa"/>
                </w:trPr>
                <w:tc>
                  <w:tcPr>
                    <w:tcW w:w="50" w:type="pct"/>
                    <w:hideMark/>
                  </w:tcPr>
                  <w:p w14:paraId="026857BC" w14:textId="77777777" w:rsidR="0040433D" w:rsidRDefault="0040433D">
                    <w:pPr>
                      <w:pStyle w:val="Bibliography"/>
                      <w:rPr>
                        <w:noProof/>
                      </w:rPr>
                    </w:pPr>
                    <w:r>
                      <w:rPr>
                        <w:noProof/>
                      </w:rPr>
                      <w:t xml:space="preserve">[3] </w:t>
                    </w:r>
                  </w:p>
                </w:tc>
                <w:tc>
                  <w:tcPr>
                    <w:tcW w:w="0" w:type="auto"/>
                    <w:hideMark/>
                  </w:tcPr>
                  <w:p w14:paraId="77FA7693" w14:textId="77777777" w:rsidR="0040433D" w:rsidRDefault="0040433D">
                    <w:pPr>
                      <w:pStyle w:val="Bibliography"/>
                      <w:rPr>
                        <w:noProof/>
                      </w:rPr>
                    </w:pPr>
                    <w:r>
                      <w:rPr>
                        <w:noProof/>
                      </w:rPr>
                      <w:t>IAEA Safety Standards, “Safety of Nuclear Power Plants: Design, Specific Safety Requirements No. SSR-2/1 (Rev. 1)”.</w:t>
                    </w:r>
                  </w:p>
                </w:tc>
              </w:tr>
              <w:tr w:rsidR="0040433D" w14:paraId="60807E01" w14:textId="77777777">
                <w:trPr>
                  <w:divId w:val="399328307"/>
                  <w:tblCellSpacing w:w="15" w:type="dxa"/>
                </w:trPr>
                <w:tc>
                  <w:tcPr>
                    <w:tcW w:w="50" w:type="pct"/>
                    <w:hideMark/>
                  </w:tcPr>
                  <w:p w14:paraId="4E760D89" w14:textId="77777777" w:rsidR="0040433D" w:rsidRDefault="0040433D">
                    <w:pPr>
                      <w:pStyle w:val="Bibliography"/>
                      <w:rPr>
                        <w:noProof/>
                      </w:rPr>
                    </w:pPr>
                    <w:r>
                      <w:rPr>
                        <w:noProof/>
                      </w:rPr>
                      <w:t xml:space="preserve">[4] </w:t>
                    </w:r>
                  </w:p>
                </w:tc>
                <w:tc>
                  <w:tcPr>
                    <w:tcW w:w="0" w:type="auto"/>
                    <w:hideMark/>
                  </w:tcPr>
                  <w:p w14:paraId="21F21E48" w14:textId="77777777" w:rsidR="0040433D" w:rsidRDefault="0040433D">
                    <w:pPr>
                      <w:pStyle w:val="Bibliography"/>
                      <w:rPr>
                        <w:noProof/>
                      </w:rPr>
                    </w:pPr>
                    <w:r>
                      <w:rPr>
                        <w:noProof/>
                      </w:rPr>
                      <w:t>IAEA Safety Standards, “Maintenance, Testing, Surveilance and Inspection in Nuclear Power Plants, Specific Safety Guide No SSG-74”.</w:t>
                    </w:r>
                  </w:p>
                </w:tc>
              </w:tr>
              <w:tr w:rsidR="0040433D" w14:paraId="45FA0523" w14:textId="77777777">
                <w:trPr>
                  <w:divId w:val="399328307"/>
                  <w:tblCellSpacing w:w="15" w:type="dxa"/>
                </w:trPr>
                <w:tc>
                  <w:tcPr>
                    <w:tcW w:w="50" w:type="pct"/>
                    <w:hideMark/>
                  </w:tcPr>
                  <w:p w14:paraId="3C6EE200" w14:textId="77777777" w:rsidR="0040433D" w:rsidRDefault="0040433D">
                    <w:pPr>
                      <w:pStyle w:val="Bibliography"/>
                      <w:rPr>
                        <w:noProof/>
                      </w:rPr>
                    </w:pPr>
                    <w:r>
                      <w:rPr>
                        <w:noProof/>
                      </w:rPr>
                      <w:t xml:space="preserve">[5] </w:t>
                    </w:r>
                  </w:p>
                </w:tc>
                <w:tc>
                  <w:tcPr>
                    <w:tcW w:w="0" w:type="auto"/>
                    <w:hideMark/>
                  </w:tcPr>
                  <w:p w14:paraId="04E0FA96" w14:textId="77777777" w:rsidR="0040433D" w:rsidRDefault="0040433D">
                    <w:pPr>
                      <w:pStyle w:val="Bibliography"/>
                      <w:rPr>
                        <w:noProof/>
                      </w:rPr>
                    </w:pPr>
                    <w:r>
                      <w:rPr>
                        <w:noProof/>
                      </w:rPr>
                      <w:t>IAEA Safety Standards, “Safety of Nuclear Power Plants: Commissionining and Operation, Specific Safety Requirements No SSR-2/2 (Rev. 1)”.</w:t>
                    </w:r>
                  </w:p>
                </w:tc>
              </w:tr>
              <w:tr w:rsidR="0040433D" w14:paraId="01029970" w14:textId="77777777">
                <w:trPr>
                  <w:divId w:val="399328307"/>
                  <w:tblCellSpacing w:w="15" w:type="dxa"/>
                </w:trPr>
                <w:tc>
                  <w:tcPr>
                    <w:tcW w:w="50" w:type="pct"/>
                    <w:hideMark/>
                  </w:tcPr>
                  <w:p w14:paraId="23A3F5D8" w14:textId="77777777" w:rsidR="0040433D" w:rsidRDefault="0040433D">
                    <w:pPr>
                      <w:pStyle w:val="Bibliography"/>
                      <w:rPr>
                        <w:noProof/>
                      </w:rPr>
                    </w:pPr>
                    <w:r>
                      <w:rPr>
                        <w:noProof/>
                      </w:rPr>
                      <w:t xml:space="preserve">[6] </w:t>
                    </w:r>
                  </w:p>
                </w:tc>
                <w:tc>
                  <w:tcPr>
                    <w:tcW w:w="0" w:type="auto"/>
                    <w:hideMark/>
                  </w:tcPr>
                  <w:p w14:paraId="641B290C" w14:textId="77777777" w:rsidR="0040433D" w:rsidRDefault="0040433D">
                    <w:pPr>
                      <w:pStyle w:val="Bibliography"/>
                      <w:rPr>
                        <w:noProof/>
                      </w:rPr>
                    </w:pPr>
                    <w:r>
                      <w:rPr>
                        <w:noProof/>
                      </w:rPr>
                      <w:t>IAEA Safety Standards, “Commissioning for Nuclear Power Plants, Specific Safety Guide No. SSG-28”.</w:t>
                    </w:r>
                  </w:p>
                </w:tc>
              </w:tr>
            </w:tbl>
            <w:p w14:paraId="5BC51CA0" w14:textId="77777777" w:rsidR="0040433D" w:rsidRDefault="0040433D">
              <w:pPr>
                <w:divId w:val="399328307"/>
                <w:rPr>
                  <w:rFonts w:eastAsia="Times New Roman"/>
                  <w:noProof/>
                </w:rPr>
              </w:pPr>
            </w:p>
            <w:p w14:paraId="1C28D242" w14:textId="78D02316" w:rsidR="00557C28" w:rsidRDefault="00557C28">
              <w:r>
                <w:rPr>
                  <w:b/>
                  <w:bCs/>
                </w:rPr>
                <w:fldChar w:fldCharType="end"/>
              </w:r>
            </w:p>
          </w:sdtContent>
        </w:sdt>
        <w:p w14:paraId="316D8711" w14:textId="3253022A" w:rsidR="00F7687C" w:rsidRDefault="004069D6" w:rsidP="005141CA">
          <w:pPr>
            <w:pStyle w:val="Bibliography"/>
            <w:ind w:left="720" w:hanging="720"/>
          </w:pPr>
        </w:p>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5141CA">
      <w:pPr>
        <w:pStyle w:val="Heading1"/>
        <w:numPr>
          <w:ilvl w:val="0"/>
          <w:numId w:val="0"/>
        </w:numPr>
        <w:ind w:left="851"/>
      </w:pPr>
      <w:bookmarkStart w:id="396" w:name="_Toc89268373"/>
      <w:bookmarkStart w:id="397" w:name="_Toc150328685"/>
      <w:r w:rsidRPr="003B4701">
        <w:lastRenderedPageBreak/>
        <w:t>Glossary and Abbreviations</w:t>
      </w:r>
      <w:bookmarkEnd w:id="396"/>
      <w:bookmarkEnd w:id="397"/>
    </w:p>
    <w:p w14:paraId="0564983D" w14:textId="57389885"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ALARP </w:t>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As low as reasonably practicable</w:t>
      </w:r>
    </w:p>
    <w:p w14:paraId="4E66DC22" w14:textId="2766268C"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EIMT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Examination, Inspection, Maintenance and Testing</w:t>
      </w:r>
    </w:p>
    <w:p w14:paraId="3E016BFB" w14:textId="1AC4B14C"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FME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Foreign Material Exclusion</w:t>
      </w:r>
    </w:p>
    <w:p w14:paraId="57985965" w14:textId="76970BB1"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HSE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Health &amp; Safety Executive</w:t>
      </w:r>
    </w:p>
    <w:p w14:paraId="42CD22AA" w14:textId="32EECAB9"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IAEA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International Atomic Energy Agency</w:t>
      </w:r>
    </w:p>
    <w:p w14:paraId="52B7B2D7" w14:textId="0C3D0B01"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LC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Licence Condition</w:t>
      </w:r>
    </w:p>
    <w:p w14:paraId="44452734" w14:textId="34D5ADEA"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ONR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Office for Nuclear Regulation</w:t>
      </w:r>
    </w:p>
    <w:p w14:paraId="2BFDC1F2" w14:textId="1D403260"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proofErr w:type="spellStart"/>
      <w:r w:rsidRPr="005141CA">
        <w:rPr>
          <w:rFonts w:asciiTheme="minorHAnsi" w:eastAsia="Times New Roman" w:hAnsiTheme="minorHAnsi" w:cstheme="minorHAnsi"/>
          <w:color w:val="000000"/>
          <w:szCs w:val="24"/>
          <w:lang w:eastAsia="en-GB" w:bidi="ar-SA"/>
        </w:rPr>
        <w:t>OpEX</w:t>
      </w:r>
      <w:proofErr w:type="spellEnd"/>
      <w:r w:rsidRPr="005141CA">
        <w:rPr>
          <w:rFonts w:asciiTheme="minorHAnsi" w:eastAsia="Times New Roman" w:hAnsiTheme="minorHAnsi" w:cstheme="minorHAnsi"/>
          <w:color w:val="000000"/>
          <w:szCs w:val="24"/>
          <w:lang w:eastAsia="en-GB" w:bidi="ar-SA"/>
        </w:rPr>
        <w:t xml:space="preserve">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 xml:space="preserve">Operational </w:t>
      </w:r>
      <w:proofErr w:type="spellStart"/>
      <w:r w:rsidRPr="005141CA">
        <w:rPr>
          <w:rFonts w:asciiTheme="minorHAnsi" w:eastAsia="Times New Roman" w:hAnsiTheme="minorHAnsi" w:cstheme="minorHAnsi"/>
          <w:color w:val="000000"/>
          <w:szCs w:val="24"/>
          <w:lang w:eastAsia="en-GB" w:bidi="ar-SA"/>
        </w:rPr>
        <w:t>EXperience</w:t>
      </w:r>
      <w:proofErr w:type="spellEnd"/>
    </w:p>
    <w:p w14:paraId="41062267" w14:textId="2EA308FA"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PSA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Probabilistic Safety Analysis</w:t>
      </w:r>
    </w:p>
    <w:p w14:paraId="236299D1" w14:textId="7CEC4920"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PSR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Periodic Safety Review</w:t>
      </w:r>
    </w:p>
    <w:p w14:paraId="18B3BCF2" w14:textId="705BAF96" w:rsidR="005B4063"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R&amp;D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Research and Development</w:t>
      </w:r>
    </w:p>
    <w:p w14:paraId="666C9EC5" w14:textId="14A79631" w:rsidR="00FA2AE9" w:rsidRPr="005141CA" w:rsidRDefault="00FA2AE9"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Pr>
          <w:rFonts w:asciiTheme="minorHAnsi" w:eastAsia="Times New Roman" w:hAnsiTheme="minorHAnsi" w:cstheme="minorHAnsi"/>
          <w:color w:val="000000"/>
          <w:szCs w:val="24"/>
          <w:lang w:eastAsia="en-GB" w:bidi="ar-SA"/>
        </w:rPr>
        <w:t>RGP</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t>Relevant Good Practice</w:t>
      </w:r>
    </w:p>
    <w:p w14:paraId="1E7C8258" w14:textId="7F865134"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RL(s)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Reference Level(s)</w:t>
      </w:r>
    </w:p>
    <w:p w14:paraId="29A12517" w14:textId="2CF06FB3"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SAP(s) </w:t>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Safety Assessment Principle(s)</w:t>
      </w:r>
    </w:p>
    <w:p w14:paraId="2B0C0668" w14:textId="6D7734D6"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SQEP </w:t>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Suitably Qualified and Experienced Person</w:t>
      </w:r>
    </w:p>
    <w:p w14:paraId="075E9814" w14:textId="55AE0164"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SSCs </w:t>
      </w:r>
      <w:r w:rsidR="006D5BDB">
        <w:rPr>
          <w:rFonts w:asciiTheme="minorHAnsi" w:eastAsia="Times New Roman" w:hAnsiTheme="minorHAnsi" w:cstheme="minorHAnsi"/>
          <w:color w:val="000000"/>
          <w:szCs w:val="24"/>
          <w:lang w:eastAsia="en-GB" w:bidi="ar-SA"/>
        </w:rPr>
        <w:tab/>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Structures, Systems and Components</w:t>
      </w:r>
    </w:p>
    <w:p w14:paraId="52FCF801" w14:textId="34191A8D"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TAG(s) </w:t>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Technical Assessment Guide(s)</w:t>
      </w:r>
    </w:p>
    <w:p w14:paraId="4DC315CE" w14:textId="0610615A" w:rsidR="005B4063" w:rsidRPr="005141CA" w:rsidRDefault="005B4063" w:rsidP="005B4063">
      <w:pPr>
        <w:spacing w:before="100" w:beforeAutospacing="1" w:after="100" w:afterAutospacing="1"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WENRA </w:t>
      </w:r>
      <w:r w:rsidR="006D5BDB">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Western European Nuclear Regulators’ Association</w:t>
      </w:r>
    </w:p>
    <w:p w14:paraId="5DC4FE2A" w14:textId="77777777" w:rsidR="00E12DBC" w:rsidRDefault="00E12DBC">
      <w:pPr>
        <w:spacing w:after="0" w:line="240" w:lineRule="auto"/>
      </w:pPr>
      <w:r>
        <w:br w:type="page"/>
      </w:r>
    </w:p>
    <w:p w14:paraId="5BAF39EB" w14:textId="6350D9CA" w:rsidR="00262104" w:rsidRDefault="004F6100" w:rsidP="005141CA">
      <w:pPr>
        <w:pStyle w:val="Heading1"/>
        <w:numPr>
          <w:ilvl w:val="0"/>
          <w:numId w:val="0"/>
        </w:numPr>
        <w:ind w:left="851"/>
      </w:pPr>
      <w:bookmarkStart w:id="398" w:name="_Ref133312852"/>
      <w:bookmarkStart w:id="399" w:name="_Toc150328686"/>
      <w:r>
        <w:lastRenderedPageBreak/>
        <w:t>Appendix 1</w:t>
      </w:r>
      <w:bookmarkEnd w:id="398"/>
      <w:r w:rsidR="006D5BDB">
        <w:t xml:space="preserve"> – Site Licence Conditions</w:t>
      </w:r>
      <w:bookmarkStart w:id="400" w:name="_Toc133312430"/>
      <w:bookmarkStart w:id="401" w:name="_Toc133312444"/>
      <w:bookmarkStart w:id="402" w:name="_Toc133312492"/>
      <w:bookmarkStart w:id="403" w:name="_Toc133312431"/>
      <w:bookmarkStart w:id="404" w:name="_Toc133312445"/>
      <w:bookmarkStart w:id="405" w:name="_Toc133312493"/>
      <w:bookmarkEnd w:id="399"/>
      <w:bookmarkEnd w:id="400"/>
      <w:bookmarkEnd w:id="401"/>
      <w:bookmarkEnd w:id="402"/>
      <w:bookmarkEnd w:id="403"/>
      <w:bookmarkEnd w:id="404"/>
      <w:bookmarkEnd w:id="405"/>
    </w:p>
    <w:p w14:paraId="1616CB6C" w14:textId="01ABA031" w:rsidR="00262104" w:rsidRDefault="00262104" w:rsidP="005141CA">
      <w:pPr>
        <w:pStyle w:val="Caption"/>
        <w:keepNext/>
        <w:ind w:firstLine="851"/>
      </w:pPr>
      <w:bookmarkStart w:id="406" w:name="_Ref133315945"/>
      <w:r>
        <w:t xml:space="preserve">Table </w:t>
      </w:r>
      <w:fldSimple w:instr=" SEQ Table \* ARABIC ">
        <w:r w:rsidR="005B4B7B">
          <w:rPr>
            <w:noProof/>
          </w:rPr>
          <w:t>1</w:t>
        </w:r>
      </w:fldSimple>
      <w:bookmarkEnd w:id="406"/>
      <w:r>
        <w:t xml:space="preserve"> - Relevant Site Licence Conditions relating to EIMT</w:t>
      </w:r>
    </w:p>
    <w:tbl>
      <w:tblPr>
        <w:tblStyle w:val="ONRTable1"/>
        <w:tblW w:w="8221" w:type="dxa"/>
        <w:tblInd w:w="851" w:type="dxa"/>
        <w:tblLook w:val="04A0" w:firstRow="1" w:lastRow="0" w:firstColumn="1" w:lastColumn="0" w:noHBand="0" w:noVBand="1"/>
      </w:tblPr>
      <w:tblGrid>
        <w:gridCol w:w="1867"/>
        <w:gridCol w:w="6354"/>
      </w:tblGrid>
      <w:tr w:rsidR="004F6100" w:rsidRPr="004F6100" w14:paraId="581836FF" w14:textId="77777777" w:rsidTr="005141CA">
        <w:trPr>
          <w:cnfStyle w:val="100000000000" w:firstRow="1" w:lastRow="0" w:firstColumn="0" w:lastColumn="0" w:oddVBand="0" w:evenVBand="0" w:oddHBand="0" w:evenHBand="0" w:firstRowFirstColumn="0" w:firstRowLastColumn="0" w:lastRowFirstColumn="0" w:lastRowLastColumn="0"/>
          <w:trHeight w:val="292"/>
        </w:trPr>
        <w:tc>
          <w:tcPr>
            <w:tcW w:w="1867" w:type="dxa"/>
            <w:noWrap/>
            <w:hideMark/>
          </w:tcPr>
          <w:p w14:paraId="0DF46FBF" w14:textId="701A5A12" w:rsidR="004F6100" w:rsidRPr="005141CA" w:rsidRDefault="004F6100" w:rsidP="004F6100">
            <w:pPr>
              <w:spacing w:after="0"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Site Licence Conditions</w:t>
            </w:r>
          </w:p>
        </w:tc>
        <w:tc>
          <w:tcPr>
            <w:tcW w:w="6354" w:type="dxa"/>
            <w:noWrap/>
            <w:hideMark/>
          </w:tcPr>
          <w:p w14:paraId="756FABA1" w14:textId="643239E4" w:rsidR="004F6100" w:rsidRPr="005141CA" w:rsidRDefault="004F6100" w:rsidP="004F6100">
            <w:pPr>
              <w:spacing w:after="0" w:line="240" w:lineRule="auto"/>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Notes:</w:t>
            </w:r>
          </w:p>
        </w:tc>
      </w:tr>
      <w:tr w:rsidR="004F6100" w:rsidRPr="004F6100" w14:paraId="6FA9284D" w14:textId="77777777" w:rsidTr="005141CA">
        <w:trPr>
          <w:trHeight w:val="292"/>
        </w:trPr>
        <w:tc>
          <w:tcPr>
            <w:tcW w:w="1867" w:type="dxa"/>
            <w:noWrap/>
          </w:tcPr>
          <w:p w14:paraId="752B3B33" w14:textId="644A2F8F"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7: Incidents on the site</w:t>
            </w:r>
          </w:p>
        </w:tc>
        <w:tc>
          <w:tcPr>
            <w:tcW w:w="6354" w:type="dxa"/>
            <w:noWrap/>
          </w:tcPr>
          <w:p w14:paraId="168B0E1D" w14:textId="405BB23A"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Any incidents involving EIMT activities which had or may have had an effect on nuclear safety should be recorded, investigated and notified to ONR.</w:t>
            </w:r>
          </w:p>
        </w:tc>
      </w:tr>
      <w:tr w:rsidR="004F6100" w:rsidRPr="004F6100" w14:paraId="3AFDD46D" w14:textId="77777777" w:rsidTr="005141CA">
        <w:trPr>
          <w:trHeight w:val="292"/>
        </w:trPr>
        <w:tc>
          <w:tcPr>
            <w:tcW w:w="0" w:type="dxa"/>
            <w:noWrap/>
            <w:hideMark/>
          </w:tcPr>
          <w:p w14:paraId="3402CA0D" w14:textId="49BB8984"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10: Training</w:t>
            </w:r>
          </w:p>
        </w:tc>
        <w:tc>
          <w:tcPr>
            <w:tcW w:w="6354" w:type="dxa"/>
            <w:noWrap/>
            <w:hideMark/>
          </w:tcPr>
          <w:p w14:paraId="6A0E2066"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make and implement adequate arrangements for suitable training for all those on site who have responsibility for any EIMT operations which may affect safety.</w:t>
            </w:r>
          </w:p>
        </w:tc>
      </w:tr>
      <w:tr w:rsidR="004F6100" w:rsidRPr="004F6100" w14:paraId="1FE54186" w14:textId="77777777" w:rsidTr="005141CA">
        <w:trPr>
          <w:trHeight w:val="292"/>
        </w:trPr>
        <w:tc>
          <w:tcPr>
            <w:tcW w:w="0" w:type="dxa"/>
            <w:noWrap/>
            <w:hideMark/>
          </w:tcPr>
          <w:p w14:paraId="36CB3E9A" w14:textId="58BB3171"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12: Duly Authorised and other Suitably Qualified and Experienced Persons</w:t>
            </w:r>
          </w:p>
        </w:tc>
        <w:tc>
          <w:tcPr>
            <w:tcW w:w="6354" w:type="dxa"/>
            <w:noWrap/>
            <w:hideMark/>
          </w:tcPr>
          <w:p w14:paraId="2E2D6E17"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Only Suitably Qualified and Experienced Persons shall perform EIMT activities which may affect nuclear safety.</w:t>
            </w:r>
          </w:p>
        </w:tc>
      </w:tr>
      <w:tr w:rsidR="004F6100" w:rsidRPr="004F6100" w14:paraId="5AE5C4C0" w14:textId="77777777" w:rsidTr="005141CA">
        <w:trPr>
          <w:trHeight w:val="292"/>
        </w:trPr>
        <w:tc>
          <w:tcPr>
            <w:tcW w:w="0" w:type="dxa"/>
            <w:noWrap/>
            <w:hideMark/>
          </w:tcPr>
          <w:p w14:paraId="390F6B00" w14:textId="24266E28"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14: Safety documentation</w:t>
            </w:r>
          </w:p>
        </w:tc>
        <w:tc>
          <w:tcPr>
            <w:tcW w:w="6354" w:type="dxa"/>
            <w:noWrap/>
            <w:hideMark/>
          </w:tcPr>
          <w:p w14:paraId="1F88B71E"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safety case for the facility, including the identification of EIMT, is produced and assessed by the licensee under this condition, which also requires documentation to be submitted to ONR on request.</w:t>
            </w:r>
          </w:p>
        </w:tc>
      </w:tr>
      <w:tr w:rsidR="004F6100" w:rsidRPr="004F6100" w14:paraId="773E5DBC" w14:textId="77777777" w:rsidTr="005141CA">
        <w:trPr>
          <w:trHeight w:val="292"/>
        </w:trPr>
        <w:tc>
          <w:tcPr>
            <w:tcW w:w="0" w:type="dxa"/>
            <w:noWrap/>
            <w:hideMark/>
          </w:tcPr>
          <w:p w14:paraId="3BB9E533" w14:textId="1997949A"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15: Periodic review</w:t>
            </w:r>
          </w:p>
        </w:tc>
        <w:tc>
          <w:tcPr>
            <w:tcW w:w="6354" w:type="dxa"/>
            <w:noWrap/>
            <w:hideMark/>
          </w:tcPr>
          <w:p w14:paraId="659A9B22"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adequacy of the Licensee’s safety case should be reviewed in terms of EIMT against the current operating conditions, Operating Experience (</w:t>
            </w:r>
            <w:proofErr w:type="spellStart"/>
            <w:r w:rsidRPr="00C455BC">
              <w:rPr>
                <w:rFonts w:asciiTheme="minorHAnsi" w:eastAsia="Times New Roman" w:hAnsiTheme="minorHAnsi" w:cstheme="minorHAnsi"/>
                <w:color w:val="000000"/>
                <w:sz w:val="22"/>
                <w:lang w:eastAsia="en-GB" w:bidi="ar-SA"/>
              </w:rPr>
              <w:t>OpEX</w:t>
            </w:r>
            <w:proofErr w:type="spellEnd"/>
            <w:r w:rsidRPr="00C455BC">
              <w:rPr>
                <w:rFonts w:asciiTheme="minorHAnsi" w:eastAsia="Times New Roman" w:hAnsiTheme="minorHAnsi" w:cstheme="minorHAnsi"/>
                <w:color w:val="000000"/>
                <w:sz w:val="22"/>
                <w:lang w:eastAsia="en-GB" w:bidi="ar-SA"/>
              </w:rPr>
              <w:t>), statutory requirements and modern techniques to ensure that there have been no significant changes sufficient to invalidate the safety case.</w:t>
            </w:r>
          </w:p>
        </w:tc>
      </w:tr>
      <w:tr w:rsidR="004F6100" w:rsidRPr="004F6100" w14:paraId="3D4C06AF" w14:textId="77777777" w:rsidTr="005141CA">
        <w:trPr>
          <w:trHeight w:val="292"/>
        </w:trPr>
        <w:tc>
          <w:tcPr>
            <w:tcW w:w="0" w:type="dxa"/>
            <w:noWrap/>
            <w:hideMark/>
          </w:tcPr>
          <w:p w14:paraId="2E9EF533" w14:textId="19581461"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17: Management systems</w:t>
            </w:r>
          </w:p>
        </w:tc>
        <w:tc>
          <w:tcPr>
            <w:tcW w:w="6354" w:type="dxa"/>
            <w:noWrap/>
            <w:hideMark/>
          </w:tcPr>
          <w:p w14:paraId="233181C4"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Adequate quality assurance arrangements shall be implemented for all EIMT activities.</w:t>
            </w:r>
          </w:p>
        </w:tc>
      </w:tr>
      <w:tr w:rsidR="004F6100" w:rsidRPr="004F6100" w14:paraId="04D70840" w14:textId="77777777" w:rsidTr="005141CA">
        <w:trPr>
          <w:trHeight w:val="292"/>
        </w:trPr>
        <w:tc>
          <w:tcPr>
            <w:tcW w:w="0" w:type="dxa"/>
            <w:noWrap/>
            <w:hideMark/>
          </w:tcPr>
          <w:p w14:paraId="28A9302E" w14:textId="5EC401D5"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20: Modifications to design of plant under construction</w:t>
            </w:r>
          </w:p>
        </w:tc>
        <w:tc>
          <w:tcPr>
            <w:tcW w:w="6354" w:type="dxa"/>
            <w:noWrap/>
            <w:hideMark/>
          </w:tcPr>
          <w:p w14:paraId="7DAA2EEC"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ensure that no modification to the design which may affect safety is made to any plant during the period of construction except in accordance with adequate arrangements made and implemented by the Licensee for that purpose.</w:t>
            </w:r>
          </w:p>
        </w:tc>
      </w:tr>
      <w:tr w:rsidR="004F6100" w:rsidRPr="004F6100" w14:paraId="1089A98D" w14:textId="77777777" w:rsidTr="005141CA">
        <w:trPr>
          <w:trHeight w:val="292"/>
        </w:trPr>
        <w:tc>
          <w:tcPr>
            <w:tcW w:w="0" w:type="dxa"/>
            <w:noWrap/>
            <w:hideMark/>
          </w:tcPr>
          <w:p w14:paraId="4864441C" w14:textId="3BE594B6"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21: Commissioning</w:t>
            </w:r>
          </w:p>
        </w:tc>
        <w:tc>
          <w:tcPr>
            <w:tcW w:w="6354" w:type="dxa"/>
            <w:noWrap/>
            <w:hideMark/>
          </w:tcPr>
          <w:p w14:paraId="4995BD3D"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should take the opportunity to both demonstrate the practicality of EIMT activities and gather baseline plant data during commissioning.</w:t>
            </w:r>
          </w:p>
        </w:tc>
      </w:tr>
      <w:tr w:rsidR="004F6100" w:rsidRPr="004F6100" w14:paraId="4878257E" w14:textId="77777777" w:rsidTr="005141CA">
        <w:trPr>
          <w:trHeight w:val="292"/>
        </w:trPr>
        <w:tc>
          <w:tcPr>
            <w:tcW w:w="0" w:type="dxa"/>
            <w:noWrap/>
            <w:hideMark/>
          </w:tcPr>
          <w:p w14:paraId="0C3A3847" w14:textId="3BD28FCA"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22: Modification or experiment on existing plant</w:t>
            </w:r>
          </w:p>
        </w:tc>
        <w:tc>
          <w:tcPr>
            <w:tcW w:w="6354" w:type="dxa"/>
            <w:noWrap/>
            <w:hideMark/>
          </w:tcPr>
          <w:p w14:paraId="308DBC28"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Such modifications should be assessed to ensure that they do not impact adversely on EIMT and any additional EIMT for new equipment should be identified.</w:t>
            </w:r>
          </w:p>
        </w:tc>
      </w:tr>
      <w:tr w:rsidR="004F6100" w:rsidRPr="004F6100" w14:paraId="3CB5DC7F" w14:textId="77777777" w:rsidTr="005141CA">
        <w:trPr>
          <w:trHeight w:val="292"/>
        </w:trPr>
        <w:tc>
          <w:tcPr>
            <w:tcW w:w="0" w:type="dxa"/>
            <w:noWrap/>
            <w:hideMark/>
          </w:tcPr>
          <w:p w14:paraId="4443403E" w14:textId="38A4C1B4"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23: Operating rules</w:t>
            </w:r>
          </w:p>
        </w:tc>
        <w:tc>
          <w:tcPr>
            <w:tcW w:w="6354" w:type="dxa"/>
            <w:noWrap/>
            <w:hideMark/>
          </w:tcPr>
          <w:p w14:paraId="630472D2"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 xml:space="preserve">The licensee shall in respect of any operation that may affect safety, produce an adequate safety case to demonstrate the safety of that operation and to identify the conditions and limits </w:t>
            </w:r>
            <w:r w:rsidRPr="00C455BC">
              <w:rPr>
                <w:rFonts w:asciiTheme="minorHAnsi" w:eastAsia="Times New Roman" w:hAnsiTheme="minorHAnsi" w:cstheme="minorHAnsi"/>
                <w:color w:val="000000"/>
                <w:sz w:val="22"/>
                <w:lang w:eastAsia="en-GB" w:bidi="ar-SA"/>
              </w:rPr>
              <w:lastRenderedPageBreak/>
              <w:t>necessary in the interest of safety. Such conditions and limits shall hereinafter be referred to as operating rules.</w:t>
            </w:r>
          </w:p>
        </w:tc>
      </w:tr>
      <w:tr w:rsidR="004F6100" w:rsidRPr="004F6100" w14:paraId="2CAE07D7" w14:textId="77777777" w:rsidTr="005141CA">
        <w:trPr>
          <w:trHeight w:val="292"/>
        </w:trPr>
        <w:tc>
          <w:tcPr>
            <w:tcW w:w="0" w:type="dxa"/>
            <w:noWrap/>
            <w:hideMark/>
          </w:tcPr>
          <w:p w14:paraId="27D8D7CB" w14:textId="472EEE39"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lastRenderedPageBreak/>
              <w:t>LC 24: Operating instructions</w:t>
            </w:r>
          </w:p>
        </w:tc>
        <w:tc>
          <w:tcPr>
            <w:tcW w:w="6354" w:type="dxa"/>
            <w:noWrap/>
            <w:hideMark/>
          </w:tcPr>
          <w:p w14:paraId="44DB508D"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ensure that all operations which may affect safety are carried out in accordance with written instructions hereinafter referred to as operating instructions.</w:t>
            </w:r>
          </w:p>
        </w:tc>
      </w:tr>
      <w:tr w:rsidR="004F6100" w:rsidRPr="004F6100" w14:paraId="7E967A31" w14:textId="77777777" w:rsidTr="005141CA">
        <w:trPr>
          <w:trHeight w:val="292"/>
        </w:trPr>
        <w:tc>
          <w:tcPr>
            <w:tcW w:w="0" w:type="dxa"/>
            <w:noWrap/>
            <w:hideMark/>
          </w:tcPr>
          <w:p w14:paraId="2B6F9C0C" w14:textId="284CF5D3"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25: Operational records</w:t>
            </w:r>
          </w:p>
        </w:tc>
        <w:tc>
          <w:tcPr>
            <w:tcW w:w="6354" w:type="dxa"/>
            <w:noWrap/>
            <w:hideMark/>
          </w:tcPr>
          <w:p w14:paraId="73C24323"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ensure that adequate records are made of EIMT activities which may affect nuclear safety.</w:t>
            </w:r>
          </w:p>
        </w:tc>
      </w:tr>
      <w:tr w:rsidR="004F6100" w:rsidRPr="004F6100" w14:paraId="32EC2001" w14:textId="77777777" w:rsidTr="005141CA">
        <w:trPr>
          <w:trHeight w:val="292"/>
        </w:trPr>
        <w:tc>
          <w:tcPr>
            <w:tcW w:w="0" w:type="dxa"/>
            <w:noWrap/>
            <w:hideMark/>
          </w:tcPr>
          <w:p w14:paraId="6DDA99F7" w14:textId="56E42DD3"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26: Control and supervision of operations</w:t>
            </w:r>
          </w:p>
        </w:tc>
        <w:tc>
          <w:tcPr>
            <w:tcW w:w="6354" w:type="dxa"/>
            <w:noWrap/>
            <w:hideMark/>
          </w:tcPr>
          <w:p w14:paraId="765195C8"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EIMT activities which may affect nuclear safety shall be carried out under the control and supervision of suitably qualified and experienced persons appointed for that purpose by the licensee.</w:t>
            </w:r>
          </w:p>
        </w:tc>
      </w:tr>
      <w:tr w:rsidR="004F6100" w:rsidRPr="004F6100" w14:paraId="6609B76A" w14:textId="77777777" w:rsidTr="005141CA">
        <w:trPr>
          <w:trHeight w:val="292"/>
        </w:trPr>
        <w:tc>
          <w:tcPr>
            <w:tcW w:w="0" w:type="dxa"/>
            <w:noWrap/>
            <w:hideMark/>
          </w:tcPr>
          <w:p w14:paraId="27949411" w14:textId="0FF71872"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27: Safety mechanisms, devices and circuits</w:t>
            </w:r>
          </w:p>
        </w:tc>
        <w:tc>
          <w:tcPr>
            <w:tcW w:w="6354" w:type="dxa"/>
            <w:noWrap/>
            <w:hideMark/>
          </w:tcPr>
          <w:p w14:paraId="0A011184"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EIMT activities shall not be carried out unless suitable and sufficient safety mechanisms, devices and circuits are properly connected and in good working order.</w:t>
            </w:r>
          </w:p>
        </w:tc>
      </w:tr>
      <w:tr w:rsidR="004F6100" w:rsidRPr="004F6100" w14:paraId="6E3C1E4D" w14:textId="77777777" w:rsidTr="005141CA">
        <w:trPr>
          <w:trHeight w:val="292"/>
        </w:trPr>
        <w:tc>
          <w:tcPr>
            <w:tcW w:w="0" w:type="dxa"/>
            <w:noWrap/>
            <w:hideMark/>
          </w:tcPr>
          <w:p w14:paraId="1DCE3BC5" w14:textId="2764FB1B"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29: Duty to carry out tests, inspections, and examinations</w:t>
            </w:r>
          </w:p>
        </w:tc>
        <w:tc>
          <w:tcPr>
            <w:tcW w:w="6354" w:type="dxa"/>
            <w:noWrap/>
            <w:hideMark/>
          </w:tcPr>
          <w:p w14:paraId="0BD7BB61"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carry out such tests, inspections and examinations in connection with any plant (in addition to any carried out under LC28) as ONR may specify.</w:t>
            </w:r>
          </w:p>
        </w:tc>
      </w:tr>
      <w:tr w:rsidR="004F6100" w:rsidRPr="004F6100" w14:paraId="4CFCD9C0" w14:textId="77777777" w:rsidTr="005141CA">
        <w:trPr>
          <w:trHeight w:val="292"/>
        </w:trPr>
        <w:tc>
          <w:tcPr>
            <w:tcW w:w="0" w:type="dxa"/>
            <w:noWrap/>
            <w:hideMark/>
          </w:tcPr>
          <w:p w14:paraId="1363544E" w14:textId="66CA9DC8"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30: Periodic shutdown</w:t>
            </w:r>
          </w:p>
        </w:tc>
        <w:tc>
          <w:tcPr>
            <w:tcW w:w="6354" w:type="dxa"/>
            <w:noWrap/>
            <w:hideMark/>
          </w:tcPr>
          <w:p w14:paraId="64A5F034"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When necessary for the purposes of enabling any EIMT of any plant or process to take place, the licensee shall ensure that any such plant or process shall be shut down in accordance with the requirements of its plant maintenance schedule referred to in LC28.</w:t>
            </w:r>
          </w:p>
        </w:tc>
      </w:tr>
      <w:tr w:rsidR="004F6100" w:rsidRPr="004F6100" w14:paraId="546978D6" w14:textId="77777777" w:rsidTr="005141CA">
        <w:trPr>
          <w:trHeight w:val="292"/>
        </w:trPr>
        <w:tc>
          <w:tcPr>
            <w:tcW w:w="0" w:type="dxa"/>
            <w:noWrap/>
            <w:hideMark/>
          </w:tcPr>
          <w:p w14:paraId="1B3A72F1" w14:textId="36A10B9F"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LC 31: Shutdown of specified operations</w:t>
            </w:r>
          </w:p>
        </w:tc>
        <w:tc>
          <w:tcPr>
            <w:tcW w:w="6354" w:type="dxa"/>
            <w:noWrap/>
            <w:hideMark/>
          </w:tcPr>
          <w:p w14:paraId="2C585960" w14:textId="77777777" w:rsidR="004F6100" w:rsidRPr="00C455BC" w:rsidRDefault="004F6100" w:rsidP="004F6100">
            <w:pPr>
              <w:spacing w:after="0" w:line="240" w:lineRule="auto"/>
              <w:rPr>
                <w:rFonts w:asciiTheme="minorHAnsi" w:eastAsia="Times New Roman" w:hAnsiTheme="minorHAnsi" w:cstheme="minorHAnsi"/>
                <w:color w:val="000000"/>
                <w:sz w:val="22"/>
                <w:lang w:eastAsia="en-GB" w:bidi="ar-SA"/>
              </w:rPr>
            </w:pPr>
            <w:r w:rsidRPr="00C455BC">
              <w:rPr>
                <w:rFonts w:asciiTheme="minorHAnsi" w:eastAsia="Times New Roman" w:hAnsiTheme="minorHAnsi" w:cstheme="minorHAnsi"/>
                <w:color w:val="000000"/>
                <w:sz w:val="22"/>
                <w:lang w:eastAsia="en-GB" w:bidi="ar-SA"/>
              </w:rPr>
              <w:t>The licensee shall, if so directed by ONR, shut down any plant, operation or process on the site within such period as ONR may specify.</w:t>
            </w:r>
          </w:p>
        </w:tc>
      </w:tr>
    </w:tbl>
    <w:p w14:paraId="09DEE580" w14:textId="77777777" w:rsidR="004F6100" w:rsidRDefault="004F6100" w:rsidP="004F6100"/>
    <w:p w14:paraId="7951E96B" w14:textId="40FCEF1D" w:rsidR="008360BF" w:rsidRDefault="008360BF">
      <w:pPr>
        <w:spacing w:after="0" w:line="240" w:lineRule="auto"/>
      </w:pPr>
      <w:r>
        <w:br w:type="page"/>
      </w:r>
    </w:p>
    <w:p w14:paraId="426E00E1" w14:textId="754F8D74" w:rsidR="008360BF" w:rsidRDefault="006D5BDB" w:rsidP="005141CA">
      <w:pPr>
        <w:pStyle w:val="Heading1"/>
        <w:numPr>
          <w:ilvl w:val="0"/>
          <w:numId w:val="0"/>
        </w:numPr>
        <w:ind w:left="851"/>
      </w:pPr>
      <w:bookmarkStart w:id="407" w:name="_Toc150328687"/>
      <w:r>
        <w:lastRenderedPageBreak/>
        <w:t>Appendix 2 – Safety Assessment Principles</w:t>
      </w:r>
      <w:bookmarkEnd w:id="407"/>
      <w:r>
        <w:t xml:space="preserve"> </w:t>
      </w:r>
    </w:p>
    <w:p w14:paraId="23C8C3B7" w14:textId="4235A88E" w:rsidR="00E82133" w:rsidRDefault="00E82133" w:rsidP="005141CA">
      <w:pPr>
        <w:pStyle w:val="Caption"/>
        <w:keepNext/>
        <w:ind w:firstLine="851"/>
      </w:pPr>
      <w:r>
        <w:t xml:space="preserve">Table </w:t>
      </w:r>
      <w:fldSimple w:instr=" SEQ Table \* ARABIC ">
        <w:r w:rsidR="005B4B7B">
          <w:rPr>
            <w:noProof/>
          </w:rPr>
          <w:t>2</w:t>
        </w:r>
      </w:fldSimple>
      <w:r>
        <w:t xml:space="preserve"> - SAPs applicable to EIMT activities</w:t>
      </w:r>
    </w:p>
    <w:tbl>
      <w:tblPr>
        <w:tblStyle w:val="ONRTable1"/>
        <w:tblW w:w="8221" w:type="dxa"/>
        <w:tblInd w:w="851" w:type="dxa"/>
        <w:tblLook w:val="04A0" w:firstRow="1" w:lastRow="0" w:firstColumn="1" w:lastColumn="0" w:noHBand="0" w:noVBand="1"/>
      </w:tblPr>
      <w:tblGrid>
        <w:gridCol w:w="1854"/>
        <w:gridCol w:w="6367"/>
      </w:tblGrid>
      <w:tr w:rsidR="006D5BDB" w:rsidRPr="000C0059" w14:paraId="3EF140D4" w14:textId="77777777" w:rsidTr="005141CA">
        <w:trPr>
          <w:cnfStyle w:val="100000000000" w:firstRow="1" w:lastRow="0" w:firstColumn="0" w:lastColumn="0" w:oddVBand="0" w:evenVBand="0" w:oddHBand="0" w:evenHBand="0" w:firstRowFirstColumn="0" w:firstRowLastColumn="0" w:lastRowFirstColumn="0" w:lastRowLastColumn="0"/>
        </w:trPr>
        <w:tc>
          <w:tcPr>
            <w:tcW w:w="1854" w:type="dxa"/>
          </w:tcPr>
          <w:p w14:paraId="6D86009A" w14:textId="651A4638" w:rsidR="006D5BDB" w:rsidRPr="006D5BDB" w:rsidRDefault="006D5BDB">
            <w:pPr>
              <w:pStyle w:val="Bulletlist1"/>
              <w:numPr>
                <w:ilvl w:val="0"/>
                <w:numId w:val="0"/>
              </w:numPr>
              <w:rPr>
                <w:szCs w:val="24"/>
                <w:lang w:eastAsia="en-GB"/>
              </w:rPr>
            </w:pPr>
            <w:r w:rsidRPr="006D5BDB">
              <w:rPr>
                <w:szCs w:val="24"/>
                <w:lang w:eastAsia="en-GB"/>
              </w:rPr>
              <w:t>SAP</w:t>
            </w:r>
          </w:p>
        </w:tc>
        <w:tc>
          <w:tcPr>
            <w:tcW w:w="6367" w:type="dxa"/>
          </w:tcPr>
          <w:p w14:paraId="48D2180B" w14:textId="46B13DA3" w:rsidR="006D5BDB" w:rsidRPr="006D5BDB" w:rsidRDefault="006D5BDB">
            <w:pPr>
              <w:pStyle w:val="Bulletlist1"/>
              <w:numPr>
                <w:ilvl w:val="0"/>
                <w:numId w:val="0"/>
              </w:numPr>
              <w:rPr>
                <w:szCs w:val="24"/>
                <w:lang w:eastAsia="en-GB"/>
              </w:rPr>
            </w:pPr>
            <w:r w:rsidRPr="006D5BDB">
              <w:rPr>
                <w:szCs w:val="24"/>
                <w:lang w:eastAsia="en-GB"/>
              </w:rPr>
              <w:t>Notes:</w:t>
            </w:r>
          </w:p>
        </w:tc>
      </w:tr>
      <w:tr w:rsidR="006D5BDB" w:rsidRPr="000C0059" w14:paraId="25D72A0A" w14:textId="57B699DC" w:rsidTr="005141CA">
        <w:tc>
          <w:tcPr>
            <w:tcW w:w="1854" w:type="dxa"/>
          </w:tcPr>
          <w:p w14:paraId="06A5E88D" w14:textId="77777777" w:rsidR="006D5BDB" w:rsidRPr="00C455BC" w:rsidRDefault="006D5BDB">
            <w:pPr>
              <w:pStyle w:val="Bulletlist1"/>
              <w:numPr>
                <w:ilvl w:val="0"/>
                <w:numId w:val="0"/>
              </w:numPr>
              <w:rPr>
                <w:sz w:val="22"/>
                <w:lang w:eastAsia="en-GB"/>
              </w:rPr>
            </w:pPr>
            <w:r w:rsidRPr="00C455BC">
              <w:rPr>
                <w:sz w:val="22"/>
                <w:lang w:eastAsia="en-GB"/>
              </w:rPr>
              <w:t>MS.2: Capable organisation</w:t>
            </w:r>
          </w:p>
        </w:tc>
        <w:tc>
          <w:tcPr>
            <w:tcW w:w="6367" w:type="dxa"/>
          </w:tcPr>
          <w:p w14:paraId="13396258" w14:textId="15FDC6FC" w:rsidR="006D5BDB" w:rsidRPr="00C455BC" w:rsidRDefault="00701226">
            <w:pPr>
              <w:pStyle w:val="Bulletlist1"/>
              <w:numPr>
                <w:ilvl w:val="0"/>
                <w:numId w:val="0"/>
              </w:numPr>
              <w:rPr>
                <w:sz w:val="22"/>
                <w:lang w:eastAsia="en-GB"/>
              </w:rPr>
            </w:pPr>
            <w:r w:rsidRPr="00C455BC">
              <w:rPr>
                <w:sz w:val="22"/>
                <w:lang w:eastAsia="en-GB"/>
              </w:rPr>
              <w:t>The organisation should have the capability to secure and maintain the safety of its undertakings.</w:t>
            </w:r>
          </w:p>
        </w:tc>
      </w:tr>
      <w:tr w:rsidR="006D5BDB" w:rsidRPr="000C0059" w14:paraId="716CDCF4" w14:textId="22B71973" w:rsidTr="005141CA">
        <w:tc>
          <w:tcPr>
            <w:tcW w:w="1854" w:type="dxa"/>
          </w:tcPr>
          <w:p w14:paraId="4A7479AE" w14:textId="77777777" w:rsidR="006D5BDB" w:rsidRPr="00C455BC" w:rsidRDefault="006D5BDB">
            <w:pPr>
              <w:pStyle w:val="Bulletlist1"/>
              <w:numPr>
                <w:ilvl w:val="0"/>
                <w:numId w:val="0"/>
              </w:numPr>
              <w:rPr>
                <w:sz w:val="22"/>
                <w:lang w:eastAsia="en-GB"/>
              </w:rPr>
            </w:pPr>
            <w:r w:rsidRPr="00C455BC">
              <w:rPr>
                <w:sz w:val="22"/>
                <w:lang w:eastAsia="en-GB"/>
              </w:rPr>
              <w:t>SC.2: Safety case process outputs</w:t>
            </w:r>
          </w:p>
        </w:tc>
        <w:tc>
          <w:tcPr>
            <w:tcW w:w="6367" w:type="dxa"/>
          </w:tcPr>
          <w:p w14:paraId="65580620" w14:textId="1205E155" w:rsidR="006D5BDB" w:rsidRPr="00C455BC" w:rsidRDefault="00701226">
            <w:pPr>
              <w:pStyle w:val="Bulletlist1"/>
              <w:numPr>
                <w:ilvl w:val="0"/>
                <w:numId w:val="0"/>
              </w:numPr>
              <w:rPr>
                <w:sz w:val="22"/>
                <w:lang w:eastAsia="en-GB"/>
              </w:rPr>
            </w:pPr>
            <w:r w:rsidRPr="00C455BC">
              <w:rPr>
                <w:sz w:val="22"/>
                <w:lang w:eastAsia="en-GB"/>
              </w:rPr>
              <w:t>The safety case process should produce safety cases that facilitate safe operation.  Safety case documentation should be clear and logicaly structured so that information is easily accessible to those who need to use it.  This includes maintenance staff.</w:t>
            </w:r>
          </w:p>
        </w:tc>
      </w:tr>
      <w:tr w:rsidR="006D5BDB" w:rsidRPr="000C0059" w14:paraId="653481AA" w14:textId="743EEE16" w:rsidTr="005141CA">
        <w:tc>
          <w:tcPr>
            <w:tcW w:w="1854" w:type="dxa"/>
          </w:tcPr>
          <w:p w14:paraId="78656730" w14:textId="77777777" w:rsidR="006D5BDB" w:rsidRPr="00C455BC" w:rsidRDefault="006D5BDB">
            <w:pPr>
              <w:pStyle w:val="Bulletlist1"/>
              <w:numPr>
                <w:ilvl w:val="0"/>
                <w:numId w:val="0"/>
              </w:numPr>
              <w:rPr>
                <w:sz w:val="22"/>
                <w:lang w:eastAsia="en-GB"/>
              </w:rPr>
            </w:pPr>
            <w:r w:rsidRPr="00C455BC">
              <w:rPr>
                <w:sz w:val="22"/>
                <w:lang w:eastAsia="en-GB"/>
              </w:rPr>
              <w:t>SC.4: Safety case characteristics</w:t>
            </w:r>
          </w:p>
        </w:tc>
        <w:tc>
          <w:tcPr>
            <w:tcW w:w="6367" w:type="dxa"/>
          </w:tcPr>
          <w:p w14:paraId="2D40B6BB" w14:textId="17056087" w:rsidR="006D5BDB" w:rsidRPr="00C455BC" w:rsidRDefault="00701226">
            <w:pPr>
              <w:pStyle w:val="Bulletlist1"/>
              <w:numPr>
                <w:ilvl w:val="0"/>
                <w:numId w:val="0"/>
              </w:numPr>
              <w:rPr>
                <w:sz w:val="22"/>
                <w:lang w:eastAsia="en-GB"/>
              </w:rPr>
            </w:pPr>
            <w:r w:rsidRPr="00C455BC">
              <w:rPr>
                <w:sz w:val="22"/>
                <w:lang w:eastAsia="en-GB"/>
              </w:rPr>
              <w:t>A safety case should be accurate, objective and demonstrably complete for its intended purpose.  A safety case should identify requirements such as surveilance, maintenance ans inspection.</w:t>
            </w:r>
          </w:p>
        </w:tc>
      </w:tr>
      <w:tr w:rsidR="006D5BDB" w:rsidRPr="000C0059" w14:paraId="232294E0" w14:textId="1B4EFB56" w:rsidTr="005141CA">
        <w:tc>
          <w:tcPr>
            <w:tcW w:w="1854" w:type="dxa"/>
          </w:tcPr>
          <w:p w14:paraId="2A5F3FE2" w14:textId="77777777" w:rsidR="006D5BDB" w:rsidRPr="00C455BC" w:rsidRDefault="006D5BDB">
            <w:pPr>
              <w:pStyle w:val="Bulletlist1"/>
              <w:numPr>
                <w:ilvl w:val="0"/>
                <w:numId w:val="0"/>
              </w:numPr>
              <w:rPr>
                <w:sz w:val="22"/>
                <w:lang w:eastAsia="en-GB"/>
              </w:rPr>
            </w:pPr>
            <w:r w:rsidRPr="00C455BC">
              <w:rPr>
                <w:sz w:val="22"/>
                <w:lang w:eastAsia="en-GB"/>
              </w:rPr>
              <w:t>SC.6: Safety case content and implementation</w:t>
            </w:r>
          </w:p>
        </w:tc>
        <w:tc>
          <w:tcPr>
            <w:tcW w:w="6367" w:type="dxa"/>
          </w:tcPr>
          <w:p w14:paraId="400CE078" w14:textId="3149A9A2" w:rsidR="006D5BDB" w:rsidRPr="00C455BC" w:rsidRDefault="00701226">
            <w:pPr>
              <w:pStyle w:val="Bulletlist1"/>
              <w:numPr>
                <w:ilvl w:val="0"/>
                <w:numId w:val="0"/>
              </w:numPr>
              <w:rPr>
                <w:sz w:val="22"/>
                <w:lang w:eastAsia="en-GB"/>
              </w:rPr>
            </w:pPr>
            <w:r w:rsidRPr="00C455BC">
              <w:rPr>
                <w:sz w:val="22"/>
                <w:lang w:eastAsia="en-GB"/>
              </w:rPr>
              <w:t>The safety case for a facility or site should identify the important aspects of operation and management required for maintaining safety and how these will be implemented.  The means of implementation should include the required examination, inspectoin, maintanance and testing regimes justified in or assumed by the safety case.</w:t>
            </w:r>
          </w:p>
        </w:tc>
      </w:tr>
      <w:tr w:rsidR="006D5BDB" w:rsidRPr="000C0059" w14:paraId="62EB9FF3" w14:textId="40F8B095" w:rsidTr="005141CA">
        <w:tc>
          <w:tcPr>
            <w:tcW w:w="1854" w:type="dxa"/>
          </w:tcPr>
          <w:p w14:paraId="00B60BB4" w14:textId="77777777" w:rsidR="006D5BDB" w:rsidRPr="00C455BC" w:rsidRDefault="006D5BDB">
            <w:pPr>
              <w:pStyle w:val="Bulletlist1"/>
              <w:numPr>
                <w:ilvl w:val="0"/>
                <w:numId w:val="0"/>
              </w:numPr>
              <w:rPr>
                <w:sz w:val="22"/>
                <w:lang w:eastAsia="en-GB"/>
              </w:rPr>
            </w:pPr>
            <w:r w:rsidRPr="00C455BC">
              <w:rPr>
                <w:sz w:val="22"/>
                <w:lang w:eastAsia="en-GB"/>
              </w:rPr>
              <w:t>SC.7: Safety case maintenance</w:t>
            </w:r>
          </w:p>
        </w:tc>
        <w:tc>
          <w:tcPr>
            <w:tcW w:w="6367" w:type="dxa"/>
          </w:tcPr>
          <w:p w14:paraId="1F9B18BA" w14:textId="48B510B0" w:rsidR="006D5BDB" w:rsidRPr="00C455BC" w:rsidRDefault="00701226">
            <w:pPr>
              <w:pStyle w:val="Bulletlist1"/>
              <w:numPr>
                <w:ilvl w:val="0"/>
                <w:numId w:val="0"/>
              </w:numPr>
              <w:rPr>
                <w:sz w:val="22"/>
                <w:lang w:eastAsia="en-GB"/>
              </w:rPr>
            </w:pPr>
            <w:r w:rsidRPr="00C455BC">
              <w:rPr>
                <w:sz w:val="22"/>
                <w:lang w:eastAsia="en-GB"/>
              </w:rPr>
              <w:t>A safety case should be actively maintained throughout each of the lifecycle stages and reviewed regularly.</w:t>
            </w:r>
          </w:p>
        </w:tc>
      </w:tr>
      <w:tr w:rsidR="0002605B" w:rsidRPr="000C0059" w14:paraId="2015E0D0" w14:textId="77777777" w:rsidTr="006D5BDB">
        <w:tc>
          <w:tcPr>
            <w:tcW w:w="1854" w:type="dxa"/>
          </w:tcPr>
          <w:p w14:paraId="0AF81832" w14:textId="50E6B556" w:rsidR="0002605B" w:rsidRPr="00C455BC" w:rsidRDefault="00BF5499">
            <w:pPr>
              <w:pStyle w:val="Bulletlist1"/>
              <w:numPr>
                <w:ilvl w:val="0"/>
                <w:numId w:val="0"/>
              </w:numPr>
              <w:rPr>
                <w:sz w:val="22"/>
                <w:lang w:eastAsia="en-GB"/>
              </w:rPr>
            </w:pPr>
            <w:r w:rsidRPr="00C455BC">
              <w:rPr>
                <w:sz w:val="22"/>
                <w:lang w:eastAsia="en-GB"/>
              </w:rPr>
              <w:t>EKP.3: Defence in depth</w:t>
            </w:r>
          </w:p>
        </w:tc>
        <w:tc>
          <w:tcPr>
            <w:tcW w:w="6367" w:type="dxa"/>
          </w:tcPr>
          <w:p w14:paraId="6AC4EF1B" w14:textId="152E328E" w:rsidR="0002605B" w:rsidRPr="00C455BC" w:rsidRDefault="00AE74B9">
            <w:pPr>
              <w:pStyle w:val="Bulletlist1"/>
              <w:numPr>
                <w:ilvl w:val="0"/>
                <w:numId w:val="0"/>
              </w:numPr>
              <w:rPr>
                <w:sz w:val="22"/>
                <w:lang w:eastAsia="en-GB"/>
              </w:rPr>
            </w:pPr>
            <w:r w:rsidRPr="00C455BC">
              <w:rPr>
                <w:rFonts w:eastAsia="Times New Roman"/>
                <w:bCs w:val="0"/>
                <w:noProof w:val="0"/>
                <w:sz w:val="22"/>
                <w:lang w:eastAsia="en-GB" w:bidi="ar-SA"/>
              </w:rPr>
              <w:t>Defence in Depth principles state that nuclear facilities should be designed and operated so that defence in depth against potentially significant faults or failures is achieved by the provision of multiple independent barriers to fault progression.</w:t>
            </w:r>
            <w:r w:rsidR="00D04D1E" w:rsidRPr="00C455BC">
              <w:rPr>
                <w:rFonts w:eastAsia="Times New Roman"/>
                <w:bCs w:val="0"/>
                <w:noProof w:val="0"/>
                <w:sz w:val="22"/>
                <w:lang w:eastAsia="en-GB" w:bidi="ar-SA"/>
              </w:rPr>
              <w:t xml:space="preserve"> </w:t>
            </w:r>
            <w:r w:rsidR="00123580" w:rsidRPr="00C455BC">
              <w:rPr>
                <w:rFonts w:eastAsia="Times New Roman"/>
                <w:bCs w:val="0"/>
                <w:noProof w:val="0"/>
                <w:sz w:val="22"/>
                <w:lang w:eastAsia="en-GB" w:bidi="ar-SA"/>
              </w:rPr>
              <w:t>This may include</w:t>
            </w:r>
            <w:r w:rsidR="00D04D1E" w:rsidRPr="00C455BC">
              <w:rPr>
                <w:rFonts w:eastAsia="Times New Roman"/>
                <w:bCs w:val="0"/>
                <w:noProof w:val="0"/>
                <w:sz w:val="22"/>
                <w:lang w:eastAsia="en-GB" w:bidi="ar-SA"/>
              </w:rPr>
              <w:t xml:space="preserve"> prevention of abnormal operation and failures by design</w:t>
            </w:r>
            <w:r w:rsidR="007B0689" w:rsidRPr="00C455BC">
              <w:rPr>
                <w:rFonts w:eastAsia="Times New Roman"/>
                <w:bCs w:val="0"/>
                <w:noProof w:val="0"/>
                <w:sz w:val="22"/>
                <w:lang w:eastAsia="en-GB" w:bidi="ar-SA"/>
              </w:rPr>
              <w:t>,</w:t>
            </w:r>
            <w:r w:rsidR="00AB4003" w:rsidRPr="00C455BC">
              <w:rPr>
                <w:rFonts w:eastAsia="Times New Roman"/>
                <w:bCs w:val="0"/>
                <w:noProof w:val="0"/>
                <w:sz w:val="22"/>
                <w:lang w:eastAsia="en-GB" w:bidi="ar-SA"/>
              </w:rPr>
              <w:t xml:space="preserve"> through</w:t>
            </w:r>
            <w:r w:rsidR="00554AAD" w:rsidRPr="00C455BC">
              <w:rPr>
                <w:rFonts w:eastAsia="Times New Roman"/>
                <w:bCs w:val="0"/>
                <w:noProof w:val="0"/>
                <w:sz w:val="22"/>
                <w:lang w:eastAsia="en-GB" w:bidi="ar-SA"/>
              </w:rPr>
              <w:t xml:space="preserve"> conservative design, construction, maintenance and operation.</w:t>
            </w:r>
          </w:p>
        </w:tc>
      </w:tr>
      <w:tr w:rsidR="00BD4C51" w:rsidRPr="000C0059" w14:paraId="6890BB89" w14:textId="77777777" w:rsidTr="006D5BDB">
        <w:tc>
          <w:tcPr>
            <w:tcW w:w="1854" w:type="dxa"/>
          </w:tcPr>
          <w:p w14:paraId="5582B56A" w14:textId="7658114C" w:rsidR="00BD4C51" w:rsidRPr="00C455BC" w:rsidRDefault="00BD4C51">
            <w:pPr>
              <w:pStyle w:val="Bulletlist1"/>
              <w:numPr>
                <w:ilvl w:val="0"/>
                <w:numId w:val="0"/>
              </w:numPr>
              <w:rPr>
                <w:sz w:val="22"/>
                <w:lang w:eastAsia="en-GB"/>
              </w:rPr>
            </w:pPr>
            <w:r w:rsidRPr="00C455BC">
              <w:rPr>
                <w:sz w:val="22"/>
                <w:lang w:eastAsia="en-GB"/>
              </w:rPr>
              <w:t xml:space="preserve">ECS.2: Safety classification of structures, </w:t>
            </w:r>
            <w:r w:rsidRPr="00C455BC">
              <w:rPr>
                <w:sz w:val="22"/>
                <w:lang w:eastAsia="en-GB"/>
              </w:rPr>
              <w:lastRenderedPageBreak/>
              <w:t>systems ad components</w:t>
            </w:r>
          </w:p>
        </w:tc>
        <w:tc>
          <w:tcPr>
            <w:tcW w:w="6367" w:type="dxa"/>
          </w:tcPr>
          <w:p w14:paraId="127689CA" w14:textId="7F666FB2" w:rsidR="00BD4C51" w:rsidRPr="00C455BC" w:rsidRDefault="00BD4C51">
            <w:pPr>
              <w:pStyle w:val="Bulletlist1"/>
              <w:numPr>
                <w:ilvl w:val="0"/>
                <w:numId w:val="0"/>
              </w:numPr>
              <w:rPr>
                <w:rFonts w:eastAsia="Times New Roman"/>
                <w:bCs w:val="0"/>
                <w:noProof w:val="0"/>
                <w:sz w:val="22"/>
                <w:lang w:eastAsia="en-GB" w:bidi="ar-SA"/>
              </w:rPr>
            </w:pPr>
            <w:r w:rsidRPr="00C455BC">
              <w:rPr>
                <w:rFonts w:eastAsia="Times New Roman"/>
                <w:bCs w:val="0"/>
                <w:noProof w:val="0"/>
                <w:sz w:val="22"/>
                <w:lang w:eastAsia="en-GB" w:bidi="ar-SA"/>
              </w:rPr>
              <w:lastRenderedPageBreak/>
              <w:t>Structures, systems and components that have to deliver safety functions should be identified and classified on the basis of those functions and their significance to safety.</w:t>
            </w:r>
          </w:p>
        </w:tc>
      </w:tr>
      <w:tr w:rsidR="00BD4C51" w:rsidRPr="000C0059" w14:paraId="54CA3704" w14:textId="77777777" w:rsidTr="006D5BDB">
        <w:tc>
          <w:tcPr>
            <w:tcW w:w="1854" w:type="dxa"/>
          </w:tcPr>
          <w:p w14:paraId="108C1E8E" w14:textId="177BA07A" w:rsidR="00BD4C51" w:rsidRPr="00C455BC" w:rsidRDefault="00BD4C51">
            <w:pPr>
              <w:pStyle w:val="Bulletlist1"/>
              <w:numPr>
                <w:ilvl w:val="0"/>
                <w:numId w:val="0"/>
              </w:numPr>
              <w:rPr>
                <w:sz w:val="22"/>
                <w:lang w:eastAsia="en-GB"/>
              </w:rPr>
            </w:pPr>
            <w:r w:rsidRPr="00C455BC">
              <w:rPr>
                <w:sz w:val="22"/>
                <w:lang w:eastAsia="en-GB"/>
              </w:rPr>
              <w:t>ECS.3: Codes and standards</w:t>
            </w:r>
          </w:p>
        </w:tc>
        <w:tc>
          <w:tcPr>
            <w:tcW w:w="6367" w:type="dxa"/>
          </w:tcPr>
          <w:p w14:paraId="6A7CE781" w14:textId="6E8C1CD8" w:rsidR="00BD4C51" w:rsidRPr="00C455BC" w:rsidRDefault="00BD4C51">
            <w:pPr>
              <w:pStyle w:val="Bulletlist1"/>
              <w:numPr>
                <w:ilvl w:val="0"/>
                <w:numId w:val="0"/>
              </w:numPr>
              <w:rPr>
                <w:rFonts w:eastAsia="Times New Roman"/>
                <w:bCs w:val="0"/>
                <w:noProof w:val="0"/>
                <w:sz w:val="22"/>
                <w:lang w:eastAsia="en-GB" w:bidi="ar-SA"/>
              </w:rPr>
            </w:pPr>
            <w:r w:rsidRPr="00C455BC">
              <w:rPr>
                <w:rFonts w:eastAsia="Times New Roman"/>
                <w:bCs w:val="0"/>
                <w:noProof w:val="0"/>
                <w:sz w:val="22"/>
                <w:lang w:eastAsia="en-GB" w:bidi="ar-SA"/>
              </w:rPr>
              <w:t>Structures, systems and components that are important to safety should be designed, manufactured, constructed, installed, commissioned, quality assured, maintained, tested and inspected to the appropriate codes and standards.</w:t>
            </w:r>
          </w:p>
        </w:tc>
      </w:tr>
      <w:tr w:rsidR="006D5BDB" w:rsidRPr="000C0059" w14:paraId="11A7AB08" w14:textId="1028A341" w:rsidTr="005141CA">
        <w:tc>
          <w:tcPr>
            <w:tcW w:w="1854" w:type="dxa"/>
          </w:tcPr>
          <w:p w14:paraId="046429E3" w14:textId="77777777" w:rsidR="006D5BDB" w:rsidRPr="00C455BC" w:rsidRDefault="006D5BDB">
            <w:pPr>
              <w:pStyle w:val="Bulletlist1"/>
              <w:numPr>
                <w:ilvl w:val="0"/>
                <w:numId w:val="0"/>
              </w:numPr>
              <w:rPr>
                <w:sz w:val="22"/>
                <w:lang w:eastAsia="en-GB"/>
              </w:rPr>
            </w:pPr>
            <w:r w:rsidRPr="00C455BC">
              <w:rPr>
                <w:sz w:val="22"/>
                <w:lang w:eastAsia="en-GB"/>
              </w:rPr>
              <w:t>EQU.1: Qualification procedures</w:t>
            </w:r>
          </w:p>
        </w:tc>
        <w:tc>
          <w:tcPr>
            <w:tcW w:w="6367" w:type="dxa"/>
          </w:tcPr>
          <w:p w14:paraId="020BAA57" w14:textId="2F80C6DF" w:rsidR="006D5BDB" w:rsidRPr="00C455BC" w:rsidRDefault="00701226">
            <w:pPr>
              <w:pStyle w:val="Bulletlist1"/>
              <w:numPr>
                <w:ilvl w:val="0"/>
                <w:numId w:val="0"/>
              </w:numPr>
              <w:rPr>
                <w:sz w:val="22"/>
                <w:lang w:eastAsia="en-GB"/>
              </w:rPr>
            </w:pPr>
            <w:r w:rsidRPr="00C455BC">
              <w:rPr>
                <w:sz w:val="22"/>
                <w:lang w:eastAsia="en-GB"/>
              </w:rPr>
              <w:t xml:space="preserve">Qualification procedures should </w:t>
            </w:r>
            <w:r w:rsidR="00DF234B" w:rsidRPr="00C455BC">
              <w:rPr>
                <w:sz w:val="22"/>
                <w:lang w:eastAsia="en-GB"/>
              </w:rPr>
              <w:t>b</w:t>
            </w:r>
            <w:r w:rsidRPr="00C455BC">
              <w:rPr>
                <w:sz w:val="22"/>
                <w:lang w:eastAsia="en-GB"/>
              </w:rPr>
              <w:t>e applied to confirm that structures, systems and components will perform their allocated safety function(s) in all normal operational, fault and accident conditions</w:t>
            </w:r>
            <w:r w:rsidR="00DF234B" w:rsidRPr="00C455BC">
              <w:rPr>
                <w:sz w:val="22"/>
                <w:lang w:eastAsia="en-GB"/>
              </w:rPr>
              <w:t xml:space="preserve"> identified in the safety case and for the duration of their operational lives.</w:t>
            </w:r>
          </w:p>
        </w:tc>
      </w:tr>
      <w:tr w:rsidR="006D5BDB" w:rsidRPr="000C0059" w14:paraId="39D1768B" w14:textId="7D9FF922" w:rsidTr="005141CA">
        <w:tc>
          <w:tcPr>
            <w:tcW w:w="1854" w:type="dxa"/>
          </w:tcPr>
          <w:p w14:paraId="685902E8" w14:textId="77777777" w:rsidR="006D5BDB" w:rsidRPr="00C455BC" w:rsidRDefault="006D5BDB">
            <w:pPr>
              <w:pStyle w:val="Bulletlist1"/>
              <w:numPr>
                <w:ilvl w:val="0"/>
                <w:numId w:val="0"/>
              </w:numPr>
              <w:rPr>
                <w:sz w:val="22"/>
                <w:lang w:eastAsia="en-GB"/>
              </w:rPr>
            </w:pPr>
            <w:r w:rsidRPr="00C455BC">
              <w:rPr>
                <w:sz w:val="22"/>
                <w:lang w:eastAsia="en-GB"/>
              </w:rPr>
              <w:t>ERL.2: Measures to achieve reliability</w:t>
            </w:r>
          </w:p>
        </w:tc>
        <w:tc>
          <w:tcPr>
            <w:tcW w:w="6367" w:type="dxa"/>
          </w:tcPr>
          <w:p w14:paraId="7D257FD7" w14:textId="3F4DFABA" w:rsidR="006D5BDB" w:rsidRPr="00C455BC" w:rsidRDefault="00DF234B">
            <w:pPr>
              <w:pStyle w:val="Bulletlist1"/>
              <w:numPr>
                <w:ilvl w:val="0"/>
                <w:numId w:val="0"/>
              </w:numPr>
              <w:rPr>
                <w:sz w:val="22"/>
                <w:lang w:eastAsia="en-GB"/>
              </w:rPr>
            </w:pPr>
            <w:r w:rsidRPr="00C455BC">
              <w:rPr>
                <w:sz w:val="22"/>
                <w:lang w:eastAsia="en-GB"/>
              </w:rPr>
              <w:t>The measures whereby the claimed reliability of systems and componenets will be achieved in practice should be stated.</w:t>
            </w:r>
          </w:p>
        </w:tc>
      </w:tr>
      <w:tr w:rsidR="00BD4C51" w:rsidRPr="000C0059" w14:paraId="3B5C8025" w14:textId="77777777" w:rsidTr="006D5BDB">
        <w:tc>
          <w:tcPr>
            <w:tcW w:w="1854" w:type="dxa"/>
          </w:tcPr>
          <w:p w14:paraId="35F94665" w14:textId="200DF9CC" w:rsidR="00BD4C51" w:rsidRPr="00C455BC" w:rsidRDefault="00BD4C51">
            <w:pPr>
              <w:pStyle w:val="Bulletlist1"/>
              <w:numPr>
                <w:ilvl w:val="0"/>
                <w:numId w:val="0"/>
              </w:numPr>
              <w:rPr>
                <w:sz w:val="22"/>
                <w:lang w:eastAsia="en-GB"/>
              </w:rPr>
            </w:pPr>
            <w:r w:rsidRPr="00C455BC">
              <w:rPr>
                <w:sz w:val="22"/>
                <w:lang w:eastAsia="en-GB"/>
              </w:rPr>
              <w:t>ECM.1: Commission testing</w:t>
            </w:r>
          </w:p>
        </w:tc>
        <w:tc>
          <w:tcPr>
            <w:tcW w:w="6367" w:type="dxa"/>
          </w:tcPr>
          <w:p w14:paraId="370E5195" w14:textId="3AC9A9F5" w:rsidR="00BD4C51" w:rsidRPr="00C455BC" w:rsidRDefault="00BD4C51">
            <w:pPr>
              <w:pStyle w:val="Bulletlist1"/>
              <w:numPr>
                <w:ilvl w:val="0"/>
                <w:numId w:val="0"/>
              </w:numPr>
              <w:rPr>
                <w:sz w:val="22"/>
                <w:lang w:eastAsia="en-GB"/>
              </w:rPr>
            </w:pPr>
            <w:r w:rsidRPr="00C455BC">
              <w:rPr>
                <w:sz w:val="22"/>
                <w:lang w:eastAsia="en-GB"/>
              </w:rPr>
              <w:t>Before operating any facility or process that may affect safety it should be subject to comissioning tests defined in the safety case.</w:t>
            </w:r>
          </w:p>
        </w:tc>
      </w:tr>
      <w:tr w:rsidR="006D5BDB" w:rsidRPr="000C0059" w14:paraId="070E8FD4" w14:textId="16FF7A24" w:rsidTr="005141CA">
        <w:tc>
          <w:tcPr>
            <w:tcW w:w="1854" w:type="dxa"/>
          </w:tcPr>
          <w:p w14:paraId="33BD7A6E" w14:textId="77777777" w:rsidR="006D5BDB" w:rsidRPr="00C455BC" w:rsidRDefault="006D5BDB">
            <w:pPr>
              <w:pStyle w:val="Bulletlist1"/>
              <w:numPr>
                <w:ilvl w:val="0"/>
                <w:numId w:val="0"/>
              </w:numPr>
              <w:rPr>
                <w:sz w:val="22"/>
                <w:lang w:eastAsia="en-GB"/>
              </w:rPr>
            </w:pPr>
            <w:r w:rsidRPr="00C455BC">
              <w:rPr>
                <w:sz w:val="22"/>
                <w:lang w:eastAsia="en-GB"/>
              </w:rPr>
              <w:t>EAD.2: Lifetime margins</w:t>
            </w:r>
          </w:p>
        </w:tc>
        <w:tc>
          <w:tcPr>
            <w:tcW w:w="6367" w:type="dxa"/>
          </w:tcPr>
          <w:p w14:paraId="61FD76FD" w14:textId="0A715AFA" w:rsidR="006D5BDB" w:rsidRPr="00C455BC" w:rsidRDefault="00DF234B">
            <w:pPr>
              <w:pStyle w:val="Bulletlist1"/>
              <w:numPr>
                <w:ilvl w:val="0"/>
                <w:numId w:val="0"/>
              </w:numPr>
              <w:rPr>
                <w:sz w:val="22"/>
                <w:lang w:eastAsia="en-GB"/>
              </w:rPr>
            </w:pPr>
            <w:r w:rsidRPr="00C455BC">
              <w:rPr>
                <w:sz w:val="22"/>
                <w:lang w:eastAsia="en-GB"/>
              </w:rPr>
              <w:t>Adequate margins should exist throughout the life of the facility to allow for the effects of materials ageing and degradation processes on structures, systems and components.</w:t>
            </w:r>
          </w:p>
        </w:tc>
      </w:tr>
      <w:tr w:rsidR="006D5BDB" w:rsidRPr="000C0059" w14:paraId="0D2748D2" w14:textId="59E54208" w:rsidTr="005141CA">
        <w:tc>
          <w:tcPr>
            <w:tcW w:w="1854" w:type="dxa"/>
          </w:tcPr>
          <w:p w14:paraId="54B05E87" w14:textId="77777777" w:rsidR="006D5BDB" w:rsidRPr="00C455BC" w:rsidRDefault="006D5BDB">
            <w:pPr>
              <w:pStyle w:val="Bulletlist1"/>
              <w:numPr>
                <w:ilvl w:val="0"/>
                <w:numId w:val="0"/>
              </w:numPr>
              <w:rPr>
                <w:sz w:val="22"/>
                <w:lang w:eastAsia="en-GB"/>
              </w:rPr>
            </w:pPr>
            <w:r w:rsidRPr="00C455BC">
              <w:rPr>
                <w:sz w:val="22"/>
                <w:lang w:eastAsia="en-GB"/>
              </w:rPr>
              <w:t>ELO.1: Access</w:t>
            </w:r>
          </w:p>
        </w:tc>
        <w:tc>
          <w:tcPr>
            <w:tcW w:w="6367" w:type="dxa"/>
          </w:tcPr>
          <w:p w14:paraId="4B2315E1" w14:textId="3C8F67FF" w:rsidR="006D5BDB" w:rsidRPr="00C455BC" w:rsidRDefault="00DF234B">
            <w:pPr>
              <w:pStyle w:val="Bulletlist1"/>
              <w:numPr>
                <w:ilvl w:val="0"/>
                <w:numId w:val="0"/>
              </w:numPr>
              <w:rPr>
                <w:sz w:val="22"/>
                <w:lang w:eastAsia="en-GB"/>
              </w:rPr>
            </w:pPr>
            <w:r w:rsidRPr="00C455BC">
              <w:rPr>
                <w:sz w:val="22"/>
                <w:lang w:eastAsia="en-GB"/>
              </w:rPr>
              <w:t>The design and layout should facilitate access for necessary activities and minimise adverse interactions while not compromising security aspects.</w:t>
            </w:r>
          </w:p>
        </w:tc>
      </w:tr>
      <w:tr w:rsidR="00BD4C51" w:rsidRPr="000C0059" w14:paraId="4952419A" w14:textId="77777777" w:rsidTr="006D5BDB">
        <w:tc>
          <w:tcPr>
            <w:tcW w:w="1854" w:type="dxa"/>
          </w:tcPr>
          <w:p w14:paraId="1A312EBE" w14:textId="321423A1" w:rsidR="00BD4C51" w:rsidRPr="00C455BC" w:rsidRDefault="00BD4C51">
            <w:pPr>
              <w:pStyle w:val="Bulletlist1"/>
              <w:numPr>
                <w:ilvl w:val="0"/>
                <w:numId w:val="0"/>
              </w:numPr>
              <w:rPr>
                <w:sz w:val="22"/>
                <w:lang w:eastAsia="en-GB"/>
              </w:rPr>
            </w:pPr>
            <w:r w:rsidRPr="00C455BC">
              <w:rPr>
                <w:sz w:val="22"/>
                <w:lang w:eastAsia="en-GB"/>
              </w:rPr>
              <w:t>FA.6: Fault sequences</w:t>
            </w:r>
          </w:p>
        </w:tc>
        <w:tc>
          <w:tcPr>
            <w:tcW w:w="6367" w:type="dxa"/>
          </w:tcPr>
          <w:p w14:paraId="6BDAF0BC" w14:textId="15817818" w:rsidR="00BD4C51" w:rsidRPr="00C455BC" w:rsidRDefault="00BD4C51">
            <w:pPr>
              <w:pStyle w:val="Bulletlist1"/>
              <w:numPr>
                <w:ilvl w:val="0"/>
                <w:numId w:val="0"/>
              </w:numPr>
              <w:rPr>
                <w:sz w:val="22"/>
                <w:lang w:eastAsia="en-GB"/>
              </w:rPr>
            </w:pPr>
            <w:r w:rsidRPr="00C455BC">
              <w:rPr>
                <w:sz w:val="22"/>
                <w:lang w:eastAsia="en-GB"/>
              </w:rPr>
              <w:t>For each initiating fault within the design basis, the relevant design basis fault sequences should be identified.</w:t>
            </w:r>
          </w:p>
        </w:tc>
      </w:tr>
      <w:tr w:rsidR="00BD4C51" w:rsidRPr="000C0059" w14:paraId="085BC0DF" w14:textId="77777777" w:rsidTr="006D5BDB">
        <w:tc>
          <w:tcPr>
            <w:tcW w:w="1854" w:type="dxa"/>
          </w:tcPr>
          <w:p w14:paraId="79A30E95" w14:textId="1BFFFA92" w:rsidR="00BD4C51" w:rsidRPr="00C455BC" w:rsidRDefault="00BD4C51">
            <w:pPr>
              <w:pStyle w:val="Bulletlist1"/>
              <w:numPr>
                <w:ilvl w:val="0"/>
                <w:numId w:val="0"/>
              </w:numPr>
              <w:rPr>
                <w:sz w:val="22"/>
                <w:lang w:eastAsia="en-GB"/>
              </w:rPr>
            </w:pPr>
            <w:r w:rsidRPr="00C455BC">
              <w:rPr>
                <w:sz w:val="22"/>
                <w:lang w:eastAsia="en-GB"/>
              </w:rPr>
              <w:t>FA.14: Use of PSA</w:t>
            </w:r>
          </w:p>
        </w:tc>
        <w:tc>
          <w:tcPr>
            <w:tcW w:w="6367" w:type="dxa"/>
          </w:tcPr>
          <w:p w14:paraId="7F7360F6" w14:textId="28D2BE52" w:rsidR="00BD4C51" w:rsidRPr="00C455BC" w:rsidRDefault="00BD4C51">
            <w:pPr>
              <w:pStyle w:val="Bulletlist1"/>
              <w:numPr>
                <w:ilvl w:val="0"/>
                <w:numId w:val="0"/>
              </w:numPr>
              <w:rPr>
                <w:sz w:val="22"/>
                <w:lang w:eastAsia="en-GB"/>
              </w:rPr>
            </w:pPr>
            <w:r w:rsidRPr="00C455BC">
              <w:rPr>
                <w:sz w:val="22"/>
                <w:lang w:eastAsia="en-GB"/>
              </w:rPr>
              <w:t>PSA should inform the design process and help ensure the safe operation of the site and its facilities.</w:t>
            </w:r>
          </w:p>
        </w:tc>
      </w:tr>
    </w:tbl>
    <w:p w14:paraId="6D501C61" w14:textId="77777777" w:rsidR="006D5BDB" w:rsidRPr="006D5BDB" w:rsidRDefault="006D5BDB" w:rsidP="005141CA"/>
    <w:sectPr w:rsidR="006D5BDB" w:rsidRPr="006D5BDB"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A6EAC" w14:textId="77777777" w:rsidR="00AB6839" w:rsidRDefault="00AB6839" w:rsidP="007D199A">
      <w:pPr>
        <w:spacing w:after="0"/>
      </w:pPr>
      <w:r>
        <w:separator/>
      </w:r>
    </w:p>
    <w:p w14:paraId="12A4A7EF" w14:textId="77777777" w:rsidR="00AB6839" w:rsidRDefault="00AB6839"/>
    <w:p w14:paraId="51CB416F" w14:textId="77777777" w:rsidR="00AB6839" w:rsidRDefault="00AB6839"/>
  </w:endnote>
  <w:endnote w:type="continuationSeparator" w:id="0">
    <w:p w14:paraId="1A4BA2E0" w14:textId="77777777" w:rsidR="00AB6839" w:rsidRDefault="00AB6839" w:rsidP="007D199A">
      <w:pPr>
        <w:spacing w:after="0"/>
      </w:pPr>
      <w:r>
        <w:continuationSeparator/>
      </w:r>
    </w:p>
    <w:p w14:paraId="62B4213F" w14:textId="77777777" w:rsidR="00AB6839" w:rsidRDefault="00AB6839"/>
    <w:p w14:paraId="336C5EBB" w14:textId="77777777" w:rsidR="00AB6839" w:rsidRDefault="00AB6839"/>
  </w:endnote>
  <w:endnote w:type="continuationNotice" w:id="1">
    <w:p w14:paraId="0B042C5A" w14:textId="77777777" w:rsidR="00AB6839" w:rsidRDefault="00AB68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BC43B" w14:textId="77777777" w:rsidR="00AB6839" w:rsidRPr="005E0344" w:rsidRDefault="00AB6839" w:rsidP="005E0344">
      <w:pPr>
        <w:spacing w:after="120"/>
        <w:rPr>
          <w:color w:val="000000" w:themeColor="text2"/>
        </w:rPr>
      </w:pPr>
      <w:r w:rsidRPr="005E0344">
        <w:rPr>
          <w:color w:val="000000" w:themeColor="text2"/>
        </w:rPr>
        <w:separator/>
      </w:r>
    </w:p>
    <w:p w14:paraId="7763C4AD" w14:textId="77777777" w:rsidR="00AB6839" w:rsidRDefault="00AB6839"/>
  </w:footnote>
  <w:footnote w:type="continuationSeparator" w:id="0">
    <w:p w14:paraId="5F1C5078" w14:textId="77777777" w:rsidR="00AB6839" w:rsidRPr="005E0344" w:rsidRDefault="00AB6839" w:rsidP="0090581D">
      <w:pPr>
        <w:spacing w:after="120"/>
        <w:rPr>
          <w:color w:val="000000" w:themeColor="text2"/>
        </w:rPr>
      </w:pPr>
      <w:r w:rsidRPr="005E0344">
        <w:rPr>
          <w:color w:val="000000" w:themeColor="text2"/>
        </w:rPr>
        <w:continuationSeparator/>
      </w:r>
    </w:p>
    <w:p w14:paraId="5C47FDA2" w14:textId="77777777" w:rsidR="00AB6839" w:rsidRDefault="00AB6839"/>
    <w:p w14:paraId="50DA1B39" w14:textId="77777777" w:rsidR="00AB6839" w:rsidRDefault="00AB6839"/>
  </w:footnote>
  <w:footnote w:type="continuationNotice" w:id="1">
    <w:p w14:paraId="4699A043" w14:textId="77777777" w:rsidR="00AB6839" w:rsidRDefault="00AB6839">
      <w:pPr>
        <w:spacing w:after="0"/>
      </w:pPr>
    </w:p>
    <w:p w14:paraId="0EA60382" w14:textId="77777777" w:rsidR="00AB6839" w:rsidRDefault="00AB6839"/>
    <w:p w14:paraId="11E14B8D" w14:textId="77777777" w:rsidR="00AB6839" w:rsidRDefault="00AB6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3CBCE54" w:rsidR="000B2BCD" w:rsidRPr="00046936" w:rsidRDefault="004069D6"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01479C">
          <w:rPr>
            <w:sz w:val="20"/>
            <w:szCs w:val="24"/>
          </w:rPr>
          <w:t>Examination, Inspection, Maintenance and Testing of items important to Safety</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8A643E">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205BD1"/>
    <w:multiLevelType w:val="hybridMultilevel"/>
    <w:tmpl w:val="BEF8B57E"/>
    <w:lvl w:ilvl="0" w:tplc="08090013">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D193A"/>
    <w:multiLevelType w:val="hybridMultilevel"/>
    <w:tmpl w:val="702243D8"/>
    <w:lvl w:ilvl="0" w:tplc="BE5090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736E19"/>
    <w:multiLevelType w:val="hybridMultilevel"/>
    <w:tmpl w:val="F23A1B82"/>
    <w:lvl w:ilvl="0" w:tplc="4492F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737338"/>
    <w:multiLevelType w:val="hybridMultilevel"/>
    <w:tmpl w:val="1978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447535"/>
    <w:multiLevelType w:val="multilevel"/>
    <w:tmpl w:val="518A8C7A"/>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27"/>
  </w:num>
  <w:num w:numId="13" w16cid:durableId="1367565994">
    <w:abstractNumId w:val="18"/>
  </w:num>
  <w:num w:numId="14" w16cid:durableId="1174225926">
    <w:abstractNumId w:val="15"/>
  </w:num>
  <w:num w:numId="15" w16cid:durableId="150562503">
    <w:abstractNumId w:val="27"/>
    <w:lvlOverride w:ilvl="0">
      <w:startOverride w:val="1"/>
    </w:lvlOverride>
  </w:num>
  <w:num w:numId="16" w16cid:durableId="708191280">
    <w:abstractNumId w:val="18"/>
    <w:lvlOverride w:ilvl="0">
      <w:startOverride w:val="1"/>
    </w:lvlOverride>
  </w:num>
  <w:num w:numId="17" w16cid:durableId="735981639">
    <w:abstractNumId w:val="15"/>
    <w:lvlOverride w:ilvl="0">
      <w:startOverride w:val="1"/>
    </w:lvlOverride>
  </w:num>
  <w:num w:numId="18" w16cid:durableId="966933876">
    <w:abstractNumId w:val="26"/>
  </w:num>
  <w:num w:numId="19" w16cid:durableId="985626502">
    <w:abstractNumId w:val="23"/>
  </w:num>
  <w:num w:numId="20" w16cid:durableId="2086879214">
    <w:abstractNumId w:val="14"/>
  </w:num>
  <w:num w:numId="21" w16cid:durableId="399718409">
    <w:abstractNumId w:val="29"/>
  </w:num>
  <w:num w:numId="22" w16cid:durableId="999388671">
    <w:abstractNumId w:val="22"/>
  </w:num>
  <w:num w:numId="23" w16cid:durableId="14912149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2"/>
  </w:num>
  <w:num w:numId="25" w16cid:durableId="20966315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0"/>
  </w:num>
  <w:num w:numId="27" w16cid:durableId="561334936">
    <w:abstractNumId w:val="11"/>
  </w:num>
  <w:num w:numId="28" w16cid:durableId="391512796">
    <w:abstractNumId w:val="10"/>
  </w:num>
  <w:num w:numId="29" w16cid:durableId="19601881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9"/>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1"/>
  </w:num>
  <w:num w:numId="33" w16cid:durableId="7413421">
    <w:abstractNumId w:val="28"/>
  </w:num>
  <w:num w:numId="34" w16cid:durableId="377974685">
    <w:abstractNumId w:val="24"/>
  </w:num>
  <w:num w:numId="35" w16cid:durableId="922030000">
    <w:abstractNumId w:val="17"/>
  </w:num>
  <w:num w:numId="36" w16cid:durableId="1327366996">
    <w:abstractNumId w:val="16"/>
  </w:num>
  <w:num w:numId="37" w16cid:durableId="1858887943">
    <w:abstractNumId w:val="20"/>
  </w:num>
  <w:num w:numId="38" w16cid:durableId="853687385">
    <w:abstractNumId w:val="12"/>
  </w:num>
  <w:num w:numId="39" w16cid:durableId="1168717202">
    <w:abstractNumId w:val="25"/>
  </w:num>
  <w:num w:numId="40" w16cid:durableId="11383048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12047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7FE"/>
    <w:rsid w:val="00002F03"/>
    <w:rsid w:val="000032C9"/>
    <w:rsid w:val="00004C16"/>
    <w:rsid w:val="000057F4"/>
    <w:rsid w:val="00006C90"/>
    <w:rsid w:val="00006D8B"/>
    <w:rsid w:val="00011177"/>
    <w:rsid w:val="0001418B"/>
    <w:rsid w:val="0001479C"/>
    <w:rsid w:val="00014814"/>
    <w:rsid w:val="00023186"/>
    <w:rsid w:val="0002366D"/>
    <w:rsid w:val="00024522"/>
    <w:rsid w:val="0002474E"/>
    <w:rsid w:val="00024B2E"/>
    <w:rsid w:val="0002605B"/>
    <w:rsid w:val="00027F4F"/>
    <w:rsid w:val="00030430"/>
    <w:rsid w:val="0003078E"/>
    <w:rsid w:val="00031B89"/>
    <w:rsid w:val="0003693D"/>
    <w:rsid w:val="00037EE2"/>
    <w:rsid w:val="000433D7"/>
    <w:rsid w:val="0004440F"/>
    <w:rsid w:val="00046936"/>
    <w:rsid w:val="000502DF"/>
    <w:rsid w:val="00051D54"/>
    <w:rsid w:val="00052C8A"/>
    <w:rsid w:val="000534BA"/>
    <w:rsid w:val="000548C8"/>
    <w:rsid w:val="00055898"/>
    <w:rsid w:val="0005794E"/>
    <w:rsid w:val="0006669A"/>
    <w:rsid w:val="00071E5F"/>
    <w:rsid w:val="00071F33"/>
    <w:rsid w:val="00074413"/>
    <w:rsid w:val="00075605"/>
    <w:rsid w:val="0007567E"/>
    <w:rsid w:val="00075C66"/>
    <w:rsid w:val="00081114"/>
    <w:rsid w:val="000822C3"/>
    <w:rsid w:val="00082879"/>
    <w:rsid w:val="00086761"/>
    <w:rsid w:val="00091EEA"/>
    <w:rsid w:val="00093D67"/>
    <w:rsid w:val="000949F2"/>
    <w:rsid w:val="000950B3"/>
    <w:rsid w:val="000965B9"/>
    <w:rsid w:val="000A197B"/>
    <w:rsid w:val="000A4143"/>
    <w:rsid w:val="000A4B2D"/>
    <w:rsid w:val="000A51C3"/>
    <w:rsid w:val="000A7452"/>
    <w:rsid w:val="000B2BCD"/>
    <w:rsid w:val="000B540B"/>
    <w:rsid w:val="000B77F7"/>
    <w:rsid w:val="000C2DDC"/>
    <w:rsid w:val="000C3933"/>
    <w:rsid w:val="000D2FD4"/>
    <w:rsid w:val="000D35F6"/>
    <w:rsid w:val="000D3F35"/>
    <w:rsid w:val="000D59C5"/>
    <w:rsid w:val="000E7EF8"/>
    <w:rsid w:val="000F1B7B"/>
    <w:rsid w:val="000F2ED4"/>
    <w:rsid w:val="000F3932"/>
    <w:rsid w:val="000F7507"/>
    <w:rsid w:val="000F7C6B"/>
    <w:rsid w:val="001028E8"/>
    <w:rsid w:val="0010328D"/>
    <w:rsid w:val="00103867"/>
    <w:rsid w:val="00103FC6"/>
    <w:rsid w:val="001058AB"/>
    <w:rsid w:val="0011568F"/>
    <w:rsid w:val="001160D2"/>
    <w:rsid w:val="00121B6A"/>
    <w:rsid w:val="00122FCC"/>
    <w:rsid w:val="00123580"/>
    <w:rsid w:val="00126752"/>
    <w:rsid w:val="00130B30"/>
    <w:rsid w:val="00131E06"/>
    <w:rsid w:val="001321E2"/>
    <w:rsid w:val="00135E8E"/>
    <w:rsid w:val="00136064"/>
    <w:rsid w:val="00137272"/>
    <w:rsid w:val="00140E1C"/>
    <w:rsid w:val="00142793"/>
    <w:rsid w:val="00142977"/>
    <w:rsid w:val="001447A9"/>
    <w:rsid w:val="00147AE4"/>
    <w:rsid w:val="00150B84"/>
    <w:rsid w:val="001521D4"/>
    <w:rsid w:val="0015407B"/>
    <w:rsid w:val="001555DC"/>
    <w:rsid w:val="001571E5"/>
    <w:rsid w:val="00177666"/>
    <w:rsid w:val="001849CA"/>
    <w:rsid w:val="00185410"/>
    <w:rsid w:val="00191006"/>
    <w:rsid w:val="00192352"/>
    <w:rsid w:val="00196531"/>
    <w:rsid w:val="001A0905"/>
    <w:rsid w:val="001A27A4"/>
    <w:rsid w:val="001B0896"/>
    <w:rsid w:val="001B2356"/>
    <w:rsid w:val="001C4BB5"/>
    <w:rsid w:val="001C4D63"/>
    <w:rsid w:val="001C74F1"/>
    <w:rsid w:val="001D0DE0"/>
    <w:rsid w:val="001D3EC9"/>
    <w:rsid w:val="001D4BCE"/>
    <w:rsid w:val="001D5AFF"/>
    <w:rsid w:val="001D74B4"/>
    <w:rsid w:val="001E03E1"/>
    <w:rsid w:val="001F059F"/>
    <w:rsid w:val="001F3036"/>
    <w:rsid w:val="001F5301"/>
    <w:rsid w:val="00200811"/>
    <w:rsid w:val="00200CA1"/>
    <w:rsid w:val="00203AFA"/>
    <w:rsid w:val="002114E8"/>
    <w:rsid w:val="0021338D"/>
    <w:rsid w:val="00214D43"/>
    <w:rsid w:val="00221ED0"/>
    <w:rsid w:val="002238B4"/>
    <w:rsid w:val="002241BB"/>
    <w:rsid w:val="002251FC"/>
    <w:rsid w:val="00225BF8"/>
    <w:rsid w:val="002319AB"/>
    <w:rsid w:val="002319AC"/>
    <w:rsid w:val="00234342"/>
    <w:rsid w:val="00235520"/>
    <w:rsid w:val="0023662B"/>
    <w:rsid w:val="002371BD"/>
    <w:rsid w:val="0024040D"/>
    <w:rsid w:val="0024592F"/>
    <w:rsid w:val="00245A0D"/>
    <w:rsid w:val="002500E3"/>
    <w:rsid w:val="00255FA3"/>
    <w:rsid w:val="00257288"/>
    <w:rsid w:val="00261FB6"/>
    <w:rsid w:val="00262104"/>
    <w:rsid w:val="002629F8"/>
    <w:rsid w:val="00263396"/>
    <w:rsid w:val="00264F4A"/>
    <w:rsid w:val="002659FA"/>
    <w:rsid w:val="00267815"/>
    <w:rsid w:val="00272BDB"/>
    <w:rsid w:val="00272D81"/>
    <w:rsid w:val="00275BEC"/>
    <w:rsid w:val="00277364"/>
    <w:rsid w:val="00280DDF"/>
    <w:rsid w:val="00283FEB"/>
    <w:rsid w:val="00290B17"/>
    <w:rsid w:val="002917FF"/>
    <w:rsid w:val="00292ADF"/>
    <w:rsid w:val="002A0DEC"/>
    <w:rsid w:val="002A1D70"/>
    <w:rsid w:val="002A29BB"/>
    <w:rsid w:val="002A3887"/>
    <w:rsid w:val="002B1C53"/>
    <w:rsid w:val="002B20B7"/>
    <w:rsid w:val="002B4CF5"/>
    <w:rsid w:val="002B5DB0"/>
    <w:rsid w:val="002B638E"/>
    <w:rsid w:val="002C1B64"/>
    <w:rsid w:val="002C347E"/>
    <w:rsid w:val="002C58AE"/>
    <w:rsid w:val="002D5711"/>
    <w:rsid w:val="002E0BE4"/>
    <w:rsid w:val="002E3B58"/>
    <w:rsid w:val="002E3E8A"/>
    <w:rsid w:val="002E69E9"/>
    <w:rsid w:val="002E6A6A"/>
    <w:rsid w:val="002F3397"/>
    <w:rsid w:val="002F4FE3"/>
    <w:rsid w:val="00300AC1"/>
    <w:rsid w:val="00302256"/>
    <w:rsid w:val="0030380D"/>
    <w:rsid w:val="003040C8"/>
    <w:rsid w:val="00304651"/>
    <w:rsid w:val="00307277"/>
    <w:rsid w:val="00307FBE"/>
    <w:rsid w:val="00312411"/>
    <w:rsid w:val="003124A4"/>
    <w:rsid w:val="00321C76"/>
    <w:rsid w:val="00323E71"/>
    <w:rsid w:val="00324725"/>
    <w:rsid w:val="0032787D"/>
    <w:rsid w:val="00330094"/>
    <w:rsid w:val="00344D95"/>
    <w:rsid w:val="00344F5F"/>
    <w:rsid w:val="00345706"/>
    <w:rsid w:val="003463BB"/>
    <w:rsid w:val="00346C8E"/>
    <w:rsid w:val="00347CA8"/>
    <w:rsid w:val="00355DC7"/>
    <w:rsid w:val="003560B3"/>
    <w:rsid w:val="00357A80"/>
    <w:rsid w:val="00360B21"/>
    <w:rsid w:val="003672F2"/>
    <w:rsid w:val="00367BD5"/>
    <w:rsid w:val="0037176F"/>
    <w:rsid w:val="0038761F"/>
    <w:rsid w:val="00390327"/>
    <w:rsid w:val="00393B78"/>
    <w:rsid w:val="003970B0"/>
    <w:rsid w:val="003A01E9"/>
    <w:rsid w:val="003A5B00"/>
    <w:rsid w:val="003A66CE"/>
    <w:rsid w:val="003A726C"/>
    <w:rsid w:val="003B265A"/>
    <w:rsid w:val="003B2E85"/>
    <w:rsid w:val="003C0306"/>
    <w:rsid w:val="003C0DD8"/>
    <w:rsid w:val="003C114C"/>
    <w:rsid w:val="003C18C4"/>
    <w:rsid w:val="003C465D"/>
    <w:rsid w:val="003D495D"/>
    <w:rsid w:val="003D4DC7"/>
    <w:rsid w:val="003D665E"/>
    <w:rsid w:val="003E098E"/>
    <w:rsid w:val="003E2F1A"/>
    <w:rsid w:val="003E2FAE"/>
    <w:rsid w:val="003E6DCF"/>
    <w:rsid w:val="003F13CE"/>
    <w:rsid w:val="003F18AE"/>
    <w:rsid w:val="003F6E26"/>
    <w:rsid w:val="004034C8"/>
    <w:rsid w:val="0040433D"/>
    <w:rsid w:val="00404B0C"/>
    <w:rsid w:val="00404DE5"/>
    <w:rsid w:val="004054F1"/>
    <w:rsid w:val="00405963"/>
    <w:rsid w:val="00405E9C"/>
    <w:rsid w:val="004069D6"/>
    <w:rsid w:val="00406A22"/>
    <w:rsid w:val="00407047"/>
    <w:rsid w:val="00407CF7"/>
    <w:rsid w:val="0041031B"/>
    <w:rsid w:val="00415D9C"/>
    <w:rsid w:val="00415E50"/>
    <w:rsid w:val="00415ED6"/>
    <w:rsid w:val="00417CAF"/>
    <w:rsid w:val="00420A11"/>
    <w:rsid w:val="00422265"/>
    <w:rsid w:val="0042657E"/>
    <w:rsid w:val="004274FE"/>
    <w:rsid w:val="0043565D"/>
    <w:rsid w:val="004373A7"/>
    <w:rsid w:val="00437D94"/>
    <w:rsid w:val="0044030C"/>
    <w:rsid w:val="004478E7"/>
    <w:rsid w:val="00451145"/>
    <w:rsid w:val="004532F4"/>
    <w:rsid w:val="004553B9"/>
    <w:rsid w:val="004638C7"/>
    <w:rsid w:val="004648A4"/>
    <w:rsid w:val="00471380"/>
    <w:rsid w:val="00480AF4"/>
    <w:rsid w:val="00482649"/>
    <w:rsid w:val="004833A1"/>
    <w:rsid w:val="00486D2C"/>
    <w:rsid w:val="00494F0D"/>
    <w:rsid w:val="00496582"/>
    <w:rsid w:val="00496BFD"/>
    <w:rsid w:val="004A0445"/>
    <w:rsid w:val="004A071D"/>
    <w:rsid w:val="004A24EA"/>
    <w:rsid w:val="004A3DF2"/>
    <w:rsid w:val="004A4656"/>
    <w:rsid w:val="004A5D7F"/>
    <w:rsid w:val="004A7913"/>
    <w:rsid w:val="004B67E9"/>
    <w:rsid w:val="004C0E34"/>
    <w:rsid w:val="004C215B"/>
    <w:rsid w:val="004C361D"/>
    <w:rsid w:val="004C4891"/>
    <w:rsid w:val="004C523E"/>
    <w:rsid w:val="004D2C89"/>
    <w:rsid w:val="004D4046"/>
    <w:rsid w:val="004E3932"/>
    <w:rsid w:val="004E5132"/>
    <w:rsid w:val="004F014E"/>
    <w:rsid w:val="004F1E79"/>
    <w:rsid w:val="004F352E"/>
    <w:rsid w:val="004F5F33"/>
    <w:rsid w:val="004F6100"/>
    <w:rsid w:val="0050103A"/>
    <w:rsid w:val="00507019"/>
    <w:rsid w:val="00511B0F"/>
    <w:rsid w:val="0051252E"/>
    <w:rsid w:val="005141CA"/>
    <w:rsid w:val="00514C49"/>
    <w:rsid w:val="0052553D"/>
    <w:rsid w:val="00525BBC"/>
    <w:rsid w:val="00526A5C"/>
    <w:rsid w:val="00526CFA"/>
    <w:rsid w:val="00534307"/>
    <w:rsid w:val="00534C6B"/>
    <w:rsid w:val="00536721"/>
    <w:rsid w:val="00540ECF"/>
    <w:rsid w:val="005445BF"/>
    <w:rsid w:val="00544B58"/>
    <w:rsid w:val="00545E40"/>
    <w:rsid w:val="005504C2"/>
    <w:rsid w:val="005535BB"/>
    <w:rsid w:val="0055388E"/>
    <w:rsid w:val="00554AAD"/>
    <w:rsid w:val="005572E9"/>
    <w:rsid w:val="00557C28"/>
    <w:rsid w:val="005754AE"/>
    <w:rsid w:val="005763D7"/>
    <w:rsid w:val="0057666E"/>
    <w:rsid w:val="00577FB5"/>
    <w:rsid w:val="00584F6E"/>
    <w:rsid w:val="005852D1"/>
    <w:rsid w:val="00587A22"/>
    <w:rsid w:val="00587E35"/>
    <w:rsid w:val="00590AC6"/>
    <w:rsid w:val="0059299D"/>
    <w:rsid w:val="00593DE1"/>
    <w:rsid w:val="00595056"/>
    <w:rsid w:val="00595C8C"/>
    <w:rsid w:val="00596397"/>
    <w:rsid w:val="00597747"/>
    <w:rsid w:val="005A18E6"/>
    <w:rsid w:val="005A4CDD"/>
    <w:rsid w:val="005B17D2"/>
    <w:rsid w:val="005B2D4A"/>
    <w:rsid w:val="005B360B"/>
    <w:rsid w:val="005B4063"/>
    <w:rsid w:val="005B4B7B"/>
    <w:rsid w:val="005B57E4"/>
    <w:rsid w:val="005B5ABD"/>
    <w:rsid w:val="005B5C1B"/>
    <w:rsid w:val="005B5DD1"/>
    <w:rsid w:val="005B7798"/>
    <w:rsid w:val="005B7FC8"/>
    <w:rsid w:val="005C140A"/>
    <w:rsid w:val="005C6763"/>
    <w:rsid w:val="005D1517"/>
    <w:rsid w:val="005D15FF"/>
    <w:rsid w:val="005D1C0E"/>
    <w:rsid w:val="005D3164"/>
    <w:rsid w:val="005D671F"/>
    <w:rsid w:val="005E0344"/>
    <w:rsid w:val="005E17B4"/>
    <w:rsid w:val="005E211F"/>
    <w:rsid w:val="005E2A08"/>
    <w:rsid w:val="005E2D4F"/>
    <w:rsid w:val="005E440B"/>
    <w:rsid w:val="005E4B41"/>
    <w:rsid w:val="005F2C85"/>
    <w:rsid w:val="00605ADB"/>
    <w:rsid w:val="00611C9F"/>
    <w:rsid w:val="00613FC8"/>
    <w:rsid w:val="00616EF8"/>
    <w:rsid w:val="00621BF6"/>
    <w:rsid w:val="00626247"/>
    <w:rsid w:val="00627555"/>
    <w:rsid w:val="00627B76"/>
    <w:rsid w:val="00627CD6"/>
    <w:rsid w:val="006316C4"/>
    <w:rsid w:val="006322A0"/>
    <w:rsid w:val="0063359C"/>
    <w:rsid w:val="006361FD"/>
    <w:rsid w:val="00637B24"/>
    <w:rsid w:val="0064226F"/>
    <w:rsid w:val="00651D4C"/>
    <w:rsid w:val="00652A2F"/>
    <w:rsid w:val="00653298"/>
    <w:rsid w:val="00653CC7"/>
    <w:rsid w:val="006541ED"/>
    <w:rsid w:val="00655B4F"/>
    <w:rsid w:val="00663A7C"/>
    <w:rsid w:val="00667DF2"/>
    <w:rsid w:val="00670DF1"/>
    <w:rsid w:val="00671345"/>
    <w:rsid w:val="00672464"/>
    <w:rsid w:val="00672A9B"/>
    <w:rsid w:val="00673310"/>
    <w:rsid w:val="00674646"/>
    <w:rsid w:val="00675884"/>
    <w:rsid w:val="006849CF"/>
    <w:rsid w:val="0069144A"/>
    <w:rsid w:val="006966CA"/>
    <w:rsid w:val="00696D09"/>
    <w:rsid w:val="00696EE0"/>
    <w:rsid w:val="00697980"/>
    <w:rsid w:val="006A19EF"/>
    <w:rsid w:val="006A43D5"/>
    <w:rsid w:val="006A525B"/>
    <w:rsid w:val="006A7FD1"/>
    <w:rsid w:val="006B296C"/>
    <w:rsid w:val="006B69F8"/>
    <w:rsid w:val="006C045F"/>
    <w:rsid w:val="006C4196"/>
    <w:rsid w:val="006C63B0"/>
    <w:rsid w:val="006C76A2"/>
    <w:rsid w:val="006C792E"/>
    <w:rsid w:val="006D116C"/>
    <w:rsid w:val="006D1CC9"/>
    <w:rsid w:val="006D5BDB"/>
    <w:rsid w:val="006D68B8"/>
    <w:rsid w:val="006D6F7A"/>
    <w:rsid w:val="006E200C"/>
    <w:rsid w:val="006E22C1"/>
    <w:rsid w:val="006E7C42"/>
    <w:rsid w:val="006F168A"/>
    <w:rsid w:val="006F5076"/>
    <w:rsid w:val="006F6009"/>
    <w:rsid w:val="0070011D"/>
    <w:rsid w:val="00701226"/>
    <w:rsid w:val="0070321D"/>
    <w:rsid w:val="0070577B"/>
    <w:rsid w:val="007068BA"/>
    <w:rsid w:val="00707259"/>
    <w:rsid w:val="007075FE"/>
    <w:rsid w:val="00707B98"/>
    <w:rsid w:val="007154C5"/>
    <w:rsid w:val="00716AB1"/>
    <w:rsid w:val="00721D63"/>
    <w:rsid w:val="007328E2"/>
    <w:rsid w:val="00732C7B"/>
    <w:rsid w:val="00734D2B"/>
    <w:rsid w:val="00737705"/>
    <w:rsid w:val="007405B2"/>
    <w:rsid w:val="007408D4"/>
    <w:rsid w:val="007420AC"/>
    <w:rsid w:val="00742617"/>
    <w:rsid w:val="007450B5"/>
    <w:rsid w:val="00746B6E"/>
    <w:rsid w:val="007536E8"/>
    <w:rsid w:val="00766967"/>
    <w:rsid w:val="00767E5B"/>
    <w:rsid w:val="007720DC"/>
    <w:rsid w:val="00772F9B"/>
    <w:rsid w:val="00776FA1"/>
    <w:rsid w:val="00783AFA"/>
    <w:rsid w:val="00785427"/>
    <w:rsid w:val="00790540"/>
    <w:rsid w:val="00790D70"/>
    <w:rsid w:val="00795A65"/>
    <w:rsid w:val="007968CA"/>
    <w:rsid w:val="007A0E4F"/>
    <w:rsid w:val="007A2FFD"/>
    <w:rsid w:val="007A43FF"/>
    <w:rsid w:val="007A6C6D"/>
    <w:rsid w:val="007A737A"/>
    <w:rsid w:val="007B0689"/>
    <w:rsid w:val="007B3918"/>
    <w:rsid w:val="007B5400"/>
    <w:rsid w:val="007C09A9"/>
    <w:rsid w:val="007C0AD9"/>
    <w:rsid w:val="007C3130"/>
    <w:rsid w:val="007C3C1D"/>
    <w:rsid w:val="007C413A"/>
    <w:rsid w:val="007D199A"/>
    <w:rsid w:val="007D1F2D"/>
    <w:rsid w:val="007D223D"/>
    <w:rsid w:val="007D2EBE"/>
    <w:rsid w:val="007D6E48"/>
    <w:rsid w:val="007E1A31"/>
    <w:rsid w:val="007E1C07"/>
    <w:rsid w:val="007F24B6"/>
    <w:rsid w:val="007F276E"/>
    <w:rsid w:val="007F2A70"/>
    <w:rsid w:val="007F4053"/>
    <w:rsid w:val="007F5EFE"/>
    <w:rsid w:val="007F6460"/>
    <w:rsid w:val="00802EA1"/>
    <w:rsid w:val="008033F1"/>
    <w:rsid w:val="00803D94"/>
    <w:rsid w:val="00806D68"/>
    <w:rsid w:val="008209F0"/>
    <w:rsid w:val="008229BA"/>
    <w:rsid w:val="008235AB"/>
    <w:rsid w:val="0082479D"/>
    <w:rsid w:val="00825642"/>
    <w:rsid w:val="00827129"/>
    <w:rsid w:val="00827174"/>
    <w:rsid w:val="0083211C"/>
    <w:rsid w:val="00834664"/>
    <w:rsid w:val="008360BF"/>
    <w:rsid w:val="00837A4E"/>
    <w:rsid w:val="00841718"/>
    <w:rsid w:val="00845390"/>
    <w:rsid w:val="0084601B"/>
    <w:rsid w:val="008548CA"/>
    <w:rsid w:val="00856D12"/>
    <w:rsid w:val="008606F0"/>
    <w:rsid w:val="00861E1D"/>
    <w:rsid w:val="00863EA7"/>
    <w:rsid w:val="00865489"/>
    <w:rsid w:val="0086553D"/>
    <w:rsid w:val="00871B4A"/>
    <w:rsid w:val="00874FEB"/>
    <w:rsid w:val="00881B6F"/>
    <w:rsid w:val="00882AA4"/>
    <w:rsid w:val="00883E22"/>
    <w:rsid w:val="00884E43"/>
    <w:rsid w:val="00887EC6"/>
    <w:rsid w:val="0089084C"/>
    <w:rsid w:val="00893409"/>
    <w:rsid w:val="00893D9F"/>
    <w:rsid w:val="008A0599"/>
    <w:rsid w:val="008A2379"/>
    <w:rsid w:val="008A4329"/>
    <w:rsid w:val="008A578E"/>
    <w:rsid w:val="008A643E"/>
    <w:rsid w:val="008B1519"/>
    <w:rsid w:val="008B4987"/>
    <w:rsid w:val="008B69E3"/>
    <w:rsid w:val="008B767E"/>
    <w:rsid w:val="008B7BCC"/>
    <w:rsid w:val="008C50C3"/>
    <w:rsid w:val="008C69B5"/>
    <w:rsid w:val="008C7094"/>
    <w:rsid w:val="008D0469"/>
    <w:rsid w:val="008D2B97"/>
    <w:rsid w:val="008D3C66"/>
    <w:rsid w:val="008D49A5"/>
    <w:rsid w:val="008D54BE"/>
    <w:rsid w:val="008D5990"/>
    <w:rsid w:val="008D6C81"/>
    <w:rsid w:val="008D752B"/>
    <w:rsid w:val="008E2CA5"/>
    <w:rsid w:val="008E619E"/>
    <w:rsid w:val="008E6CF0"/>
    <w:rsid w:val="008F0D1A"/>
    <w:rsid w:val="008F1439"/>
    <w:rsid w:val="008F1C68"/>
    <w:rsid w:val="008F3138"/>
    <w:rsid w:val="008F461C"/>
    <w:rsid w:val="008F660E"/>
    <w:rsid w:val="008F7051"/>
    <w:rsid w:val="008F7239"/>
    <w:rsid w:val="008F75EF"/>
    <w:rsid w:val="009033A9"/>
    <w:rsid w:val="00904152"/>
    <w:rsid w:val="00904203"/>
    <w:rsid w:val="009046F3"/>
    <w:rsid w:val="0090581D"/>
    <w:rsid w:val="00907049"/>
    <w:rsid w:val="00910738"/>
    <w:rsid w:val="00913C85"/>
    <w:rsid w:val="00914381"/>
    <w:rsid w:val="0091439C"/>
    <w:rsid w:val="00920572"/>
    <w:rsid w:val="00920BF2"/>
    <w:rsid w:val="00921C75"/>
    <w:rsid w:val="00924B88"/>
    <w:rsid w:val="00925BA2"/>
    <w:rsid w:val="00926DE4"/>
    <w:rsid w:val="00927C84"/>
    <w:rsid w:val="00930235"/>
    <w:rsid w:val="00934306"/>
    <w:rsid w:val="00934520"/>
    <w:rsid w:val="00934892"/>
    <w:rsid w:val="009349A9"/>
    <w:rsid w:val="00936C52"/>
    <w:rsid w:val="0094023E"/>
    <w:rsid w:val="009426F4"/>
    <w:rsid w:val="00943003"/>
    <w:rsid w:val="0094710B"/>
    <w:rsid w:val="00947548"/>
    <w:rsid w:val="00953416"/>
    <w:rsid w:val="0095489B"/>
    <w:rsid w:val="00965849"/>
    <w:rsid w:val="00966FB9"/>
    <w:rsid w:val="009671CD"/>
    <w:rsid w:val="009715F9"/>
    <w:rsid w:val="00972B41"/>
    <w:rsid w:val="009749D1"/>
    <w:rsid w:val="00975007"/>
    <w:rsid w:val="009751A9"/>
    <w:rsid w:val="00980F9C"/>
    <w:rsid w:val="0098632B"/>
    <w:rsid w:val="00997BFB"/>
    <w:rsid w:val="00997FEF"/>
    <w:rsid w:val="009A5891"/>
    <w:rsid w:val="009A597D"/>
    <w:rsid w:val="009A7348"/>
    <w:rsid w:val="009B068D"/>
    <w:rsid w:val="009B0B7F"/>
    <w:rsid w:val="009B18A7"/>
    <w:rsid w:val="009B2A78"/>
    <w:rsid w:val="009B462C"/>
    <w:rsid w:val="009B7B7F"/>
    <w:rsid w:val="009C026F"/>
    <w:rsid w:val="009C15F3"/>
    <w:rsid w:val="009D3A2C"/>
    <w:rsid w:val="009D60AB"/>
    <w:rsid w:val="009E07C2"/>
    <w:rsid w:val="009E0E52"/>
    <w:rsid w:val="009E1FF3"/>
    <w:rsid w:val="009E7E69"/>
    <w:rsid w:val="009F72F9"/>
    <w:rsid w:val="00A00205"/>
    <w:rsid w:val="00A00AF0"/>
    <w:rsid w:val="00A076DB"/>
    <w:rsid w:val="00A14B5A"/>
    <w:rsid w:val="00A17562"/>
    <w:rsid w:val="00A17E16"/>
    <w:rsid w:val="00A21C5A"/>
    <w:rsid w:val="00A243A4"/>
    <w:rsid w:val="00A3093B"/>
    <w:rsid w:val="00A326E7"/>
    <w:rsid w:val="00A329B4"/>
    <w:rsid w:val="00A3306A"/>
    <w:rsid w:val="00A3567F"/>
    <w:rsid w:val="00A37698"/>
    <w:rsid w:val="00A41ED3"/>
    <w:rsid w:val="00A5216E"/>
    <w:rsid w:val="00A56C01"/>
    <w:rsid w:val="00A61E67"/>
    <w:rsid w:val="00A64E17"/>
    <w:rsid w:val="00A70201"/>
    <w:rsid w:val="00A72B9F"/>
    <w:rsid w:val="00A81D82"/>
    <w:rsid w:val="00A8606E"/>
    <w:rsid w:val="00A93E33"/>
    <w:rsid w:val="00AA6D10"/>
    <w:rsid w:val="00AB4003"/>
    <w:rsid w:val="00AB4683"/>
    <w:rsid w:val="00AB60B1"/>
    <w:rsid w:val="00AB6839"/>
    <w:rsid w:val="00AB6970"/>
    <w:rsid w:val="00AB7456"/>
    <w:rsid w:val="00AC1939"/>
    <w:rsid w:val="00AC2672"/>
    <w:rsid w:val="00AC4514"/>
    <w:rsid w:val="00AC6ADD"/>
    <w:rsid w:val="00AC7C05"/>
    <w:rsid w:val="00AD167C"/>
    <w:rsid w:val="00AD17C7"/>
    <w:rsid w:val="00AD4041"/>
    <w:rsid w:val="00AD6E9A"/>
    <w:rsid w:val="00AD78FC"/>
    <w:rsid w:val="00AE2A30"/>
    <w:rsid w:val="00AE2FDC"/>
    <w:rsid w:val="00AE302B"/>
    <w:rsid w:val="00AE3994"/>
    <w:rsid w:val="00AE4F54"/>
    <w:rsid w:val="00AE74B9"/>
    <w:rsid w:val="00AF03DF"/>
    <w:rsid w:val="00AF31F0"/>
    <w:rsid w:val="00AF6573"/>
    <w:rsid w:val="00B0060F"/>
    <w:rsid w:val="00B1161B"/>
    <w:rsid w:val="00B17BC6"/>
    <w:rsid w:val="00B209C7"/>
    <w:rsid w:val="00B259DF"/>
    <w:rsid w:val="00B27084"/>
    <w:rsid w:val="00B275BB"/>
    <w:rsid w:val="00B30853"/>
    <w:rsid w:val="00B34393"/>
    <w:rsid w:val="00B368E1"/>
    <w:rsid w:val="00B407C6"/>
    <w:rsid w:val="00B41F04"/>
    <w:rsid w:val="00B44B1F"/>
    <w:rsid w:val="00B50450"/>
    <w:rsid w:val="00B57740"/>
    <w:rsid w:val="00B64141"/>
    <w:rsid w:val="00B64E72"/>
    <w:rsid w:val="00B65F01"/>
    <w:rsid w:val="00B704E3"/>
    <w:rsid w:val="00B73194"/>
    <w:rsid w:val="00B75DE2"/>
    <w:rsid w:val="00B77913"/>
    <w:rsid w:val="00B77A3F"/>
    <w:rsid w:val="00B824FB"/>
    <w:rsid w:val="00B82646"/>
    <w:rsid w:val="00B9059A"/>
    <w:rsid w:val="00B92E1A"/>
    <w:rsid w:val="00B97359"/>
    <w:rsid w:val="00B97A8F"/>
    <w:rsid w:val="00BA4E58"/>
    <w:rsid w:val="00BA6712"/>
    <w:rsid w:val="00BA7074"/>
    <w:rsid w:val="00BB2441"/>
    <w:rsid w:val="00BB2A57"/>
    <w:rsid w:val="00BB3D20"/>
    <w:rsid w:val="00BB5EBA"/>
    <w:rsid w:val="00BB6886"/>
    <w:rsid w:val="00BB7829"/>
    <w:rsid w:val="00BD1457"/>
    <w:rsid w:val="00BD3825"/>
    <w:rsid w:val="00BD4C51"/>
    <w:rsid w:val="00BD7B74"/>
    <w:rsid w:val="00BE2AD9"/>
    <w:rsid w:val="00BE34B2"/>
    <w:rsid w:val="00BE42D2"/>
    <w:rsid w:val="00BE76FE"/>
    <w:rsid w:val="00BF091F"/>
    <w:rsid w:val="00BF0A7E"/>
    <w:rsid w:val="00BF1A50"/>
    <w:rsid w:val="00BF27FE"/>
    <w:rsid w:val="00BF4526"/>
    <w:rsid w:val="00BF5499"/>
    <w:rsid w:val="00C02E72"/>
    <w:rsid w:val="00C043B3"/>
    <w:rsid w:val="00C06E52"/>
    <w:rsid w:val="00C079AB"/>
    <w:rsid w:val="00C10E61"/>
    <w:rsid w:val="00C14787"/>
    <w:rsid w:val="00C1596D"/>
    <w:rsid w:val="00C15B8D"/>
    <w:rsid w:val="00C16D07"/>
    <w:rsid w:val="00C17010"/>
    <w:rsid w:val="00C20562"/>
    <w:rsid w:val="00C215C3"/>
    <w:rsid w:val="00C23A96"/>
    <w:rsid w:val="00C249C6"/>
    <w:rsid w:val="00C279C2"/>
    <w:rsid w:val="00C32CC1"/>
    <w:rsid w:val="00C35D86"/>
    <w:rsid w:val="00C426EC"/>
    <w:rsid w:val="00C45159"/>
    <w:rsid w:val="00C455BC"/>
    <w:rsid w:val="00C5340E"/>
    <w:rsid w:val="00C53B86"/>
    <w:rsid w:val="00C5416E"/>
    <w:rsid w:val="00C57EAC"/>
    <w:rsid w:val="00C63164"/>
    <w:rsid w:val="00C6483C"/>
    <w:rsid w:val="00C64AE9"/>
    <w:rsid w:val="00C70CFF"/>
    <w:rsid w:val="00C718FE"/>
    <w:rsid w:val="00C762CA"/>
    <w:rsid w:val="00C8773D"/>
    <w:rsid w:val="00C87ABB"/>
    <w:rsid w:val="00C91831"/>
    <w:rsid w:val="00C92FE3"/>
    <w:rsid w:val="00C944B2"/>
    <w:rsid w:val="00C953DF"/>
    <w:rsid w:val="00CA2905"/>
    <w:rsid w:val="00CA3E6E"/>
    <w:rsid w:val="00CA58F5"/>
    <w:rsid w:val="00CA7B44"/>
    <w:rsid w:val="00CB0247"/>
    <w:rsid w:val="00CB03DD"/>
    <w:rsid w:val="00CB1765"/>
    <w:rsid w:val="00CC037F"/>
    <w:rsid w:val="00CC2BA7"/>
    <w:rsid w:val="00CC4600"/>
    <w:rsid w:val="00CD48E3"/>
    <w:rsid w:val="00CE1DB2"/>
    <w:rsid w:val="00CE2709"/>
    <w:rsid w:val="00CE2D64"/>
    <w:rsid w:val="00CE6198"/>
    <w:rsid w:val="00CF125C"/>
    <w:rsid w:val="00CF15DB"/>
    <w:rsid w:val="00CF2DAE"/>
    <w:rsid w:val="00CF5AC0"/>
    <w:rsid w:val="00CF6230"/>
    <w:rsid w:val="00D017FC"/>
    <w:rsid w:val="00D0226A"/>
    <w:rsid w:val="00D04D1E"/>
    <w:rsid w:val="00D05A28"/>
    <w:rsid w:val="00D07C1D"/>
    <w:rsid w:val="00D10B96"/>
    <w:rsid w:val="00D1256B"/>
    <w:rsid w:val="00D13147"/>
    <w:rsid w:val="00D328B8"/>
    <w:rsid w:val="00D43E0E"/>
    <w:rsid w:val="00D44DF1"/>
    <w:rsid w:val="00D5046B"/>
    <w:rsid w:val="00D5715A"/>
    <w:rsid w:val="00D611D4"/>
    <w:rsid w:val="00D625AD"/>
    <w:rsid w:val="00D6697A"/>
    <w:rsid w:val="00D70966"/>
    <w:rsid w:val="00D71687"/>
    <w:rsid w:val="00D727EA"/>
    <w:rsid w:val="00D74813"/>
    <w:rsid w:val="00D76BC7"/>
    <w:rsid w:val="00D80D43"/>
    <w:rsid w:val="00D92104"/>
    <w:rsid w:val="00D935B5"/>
    <w:rsid w:val="00DA0B6A"/>
    <w:rsid w:val="00DA30BC"/>
    <w:rsid w:val="00DA69C2"/>
    <w:rsid w:val="00DA6D70"/>
    <w:rsid w:val="00DB6050"/>
    <w:rsid w:val="00DB69B3"/>
    <w:rsid w:val="00DC2C34"/>
    <w:rsid w:val="00DC4909"/>
    <w:rsid w:val="00DD264B"/>
    <w:rsid w:val="00DD3C67"/>
    <w:rsid w:val="00DD4998"/>
    <w:rsid w:val="00DE0692"/>
    <w:rsid w:val="00DE2832"/>
    <w:rsid w:val="00DE2C87"/>
    <w:rsid w:val="00DE33AD"/>
    <w:rsid w:val="00DE459A"/>
    <w:rsid w:val="00DE4AF3"/>
    <w:rsid w:val="00DE7660"/>
    <w:rsid w:val="00DF234B"/>
    <w:rsid w:val="00DF27DA"/>
    <w:rsid w:val="00DF4DBE"/>
    <w:rsid w:val="00E01077"/>
    <w:rsid w:val="00E03ADB"/>
    <w:rsid w:val="00E043AB"/>
    <w:rsid w:val="00E06D48"/>
    <w:rsid w:val="00E077A0"/>
    <w:rsid w:val="00E12DBC"/>
    <w:rsid w:val="00E14402"/>
    <w:rsid w:val="00E20B32"/>
    <w:rsid w:val="00E221DC"/>
    <w:rsid w:val="00E24CE1"/>
    <w:rsid w:val="00E25644"/>
    <w:rsid w:val="00E31C43"/>
    <w:rsid w:val="00E3361A"/>
    <w:rsid w:val="00E33C1C"/>
    <w:rsid w:val="00E34607"/>
    <w:rsid w:val="00E36C4C"/>
    <w:rsid w:val="00E4068B"/>
    <w:rsid w:val="00E40820"/>
    <w:rsid w:val="00E40E8A"/>
    <w:rsid w:val="00E414A9"/>
    <w:rsid w:val="00E4658F"/>
    <w:rsid w:val="00E52D43"/>
    <w:rsid w:val="00E54A67"/>
    <w:rsid w:val="00E57DB9"/>
    <w:rsid w:val="00E6051C"/>
    <w:rsid w:val="00E61C0D"/>
    <w:rsid w:val="00E63EB4"/>
    <w:rsid w:val="00E64912"/>
    <w:rsid w:val="00E65D90"/>
    <w:rsid w:val="00E66160"/>
    <w:rsid w:val="00E67022"/>
    <w:rsid w:val="00E71329"/>
    <w:rsid w:val="00E82133"/>
    <w:rsid w:val="00E8363B"/>
    <w:rsid w:val="00E84966"/>
    <w:rsid w:val="00E90780"/>
    <w:rsid w:val="00E92162"/>
    <w:rsid w:val="00E92383"/>
    <w:rsid w:val="00E9489D"/>
    <w:rsid w:val="00EA1605"/>
    <w:rsid w:val="00EA1A19"/>
    <w:rsid w:val="00EA1B3A"/>
    <w:rsid w:val="00EA2109"/>
    <w:rsid w:val="00EA727D"/>
    <w:rsid w:val="00EA7B72"/>
    <w:rsid w:val="00EB7D67"/>
    <w:rsid w:val="00EC34B2"/>
    <w:rsid w:val="00EC4C4B"/>
    <w:rsid w:val="00EC56CA"/>
    <w:rsid w:val="00ED08EF"/>
    <w:rsid w:val="00ED4D4E"/>
    <w:rsid w:val="00EE0C77"/>
    <w:rsid w:val="00EE4E54"/>
    <w:rsid w:val="00F03A05"/>
    <w:rsid w:val="00F10116"/>
    <w:rsid w:val="00F133F5"/>
    <w:rsid w:val="00F3284E"/>
    <w:rsid w:val="00F353C3"/>
    <w:rsid w:val="00F37740"/>
    <w:rsid w:val="00F436BB"/>
    <w:rsid w:val="00F44BEF"/>
    <w:rsid w:val="00F46B2E"/>
    <w:rsid w:val="00F47145"/>
    <w:rsid w:val="00F51764"/>
    <w:rsid w:val="00F545BF"/>
    <w:rsid w:val="00F56152"/>
    <w:rsid w:val="00F56687"/>
    <w:rsid w:val="00F573AF"/>
    <w:rsid w:val="00F60D5D"/>
    <w:rsid w:val="00F61B86"/>
    <w:rsid w:val="00F636EB"/>
    <w:rsid w:val="00F63AA5"/>
    <w:rsid w:val="00F66C8C"/>
    <w:rsid w:val="00F71B56"/>
    <w:rsid w:val="00F73049"/>
    <w:rsid w:val="00F731AE"/>
    <w:rsid w:val="00F74DF3"/>
    <w:rsid w:val="00F7687C"/>
    <w:rsid w:val="00F832C8"/>
    <w:rsid w:val="00F84CF8"/>
    <w:rsid w:val="00F86187"/>
    <w:rsid w:val="00F86A7E"/>
    <w:rsid w:val="00F873B3"/>
    <w:rsid w:val="00F92174"/>
    <w:rsid w:val="00FA2AE9"/>
    <w:rsid w:val="00FA42B9"/>
    <w:rsid w:val="00FA4BE9"/>
    <w:rsid w:val="00FA5304"/>
    <w:rsid w:val="00FA755A"/>
    <w:rsid w:val="00FA7F38"/>
    <w:rsid w:val="00FB2B0F"/>
    <w:rsid w:val="00FB3F53"/>
    <w:rsid w:val="00FB4F6B"/>
    <w:rsid w:val="00FB5FE1"/>
    <w:rsid w:val="00FC0E8D"/>
    <w:rsid w:val="00FC298C"/>
    <w:rsid w:val="00FC46EF"/>
    <w:rsid w:val="00FD144B"/>
    <w:rsid w:val="00FD31B3"/>
    <w:rsid w:val="00FD418B"/>
    <w:rsid w:val="00FD4204"/>
    <w:rsid w:val="00FD5508"/>
    <w:rsid w:val="00FE1419"/>
    <w:rsid w:val="00FE5196"/>
    <w:rsid w:val="00FF09EE"/>
    <w:rsid w:val="00FF2C97"/>
    <w:rsid w:val="00FF3CCB"/>
    <w:rsid w:val="00FF57B5"/>
    <w:rsid w:val="666C9E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1495C89-3DA1-426C-8713-C8B351EE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545E4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9658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96582"/>
    <w:rPr>
      <w:rFonts w:ascii="Arial" w:eastAsiaTheme="minorHAnsi" w:hAnsi="Arial" w:cstheme="minorBidi"/>
      <w:b/>
      <w:bCs/>
      <w:lang w:eastAsia="en-US" w:bidi="he-IL"/>
    </w:rPr>
  </w:style>
  <w:style w:type="character" w:customStyle="1" w:styleId="cf01">
    <w:name w:val="cf01"/>
    <w:basedOn w:val="DefaultParagraphFont"/>
    <w:rsid w:val="00225B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8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1036297">
      <w:bodyDiv w:val="1"/>
      <w:marLeft w:val="0"/>
      <w:marRight w:val="0"/>
      <w:marTop w:val="0"/>
      <w:marBottom w:val="0"/>
      <w:divBdr>
        <w:top w:val="none" w:sz="0" w:space="0" w:color="auto"/>
        <w:left w:val="none" w:sz="0" w:space="0" w:color="auto"/>
        <w:bottom w:val="none" w:sz="0" w:space="0" w:color="auto"/>
        <w:right w:val="none" w:sz="0" w:space="0" w:color="auto"/>
      </w:divBdr>
    </w:div>
    <w:div w:id="17199419">
      <w:bodyDiv w:val="1"/>
      <w:marLeft w:val="0"/>
      <w:marRight w:val="0"/>
      <w:marTop w:val="0"/>
      <w:marBottom w:val="0"/>
      <w:divBdr>
        <w:top w:val="none" w:sz="0" w:space="0" w:color="auto"/>
        <w:left w:val="none" w:sz="0" w:space="0" w:color="auto"/>
        <w:bottom w:val="none" w:sz="0" w:space="0" w:color="auto"/>
        <w:right w:val="none" w:sz="0" w:space="0" w:color="auto"/>
      </w:divBdr>
    </w:div>
    <w:div w:id="42214214">
      <w:bodyDiv w:val="1"/>
      <w:marLeft w:val="0"/>
      <w:marRight w:val="0"/>
      <w:marTop w:val="0"/>
      <w:marBottom w:val="0"/>
      <w:divBdr>
        <w:top w:val="none" w:sz="0" w:space="0" w:color="auto"/>
        <w:left w:val="none" w:sz="0" w:space="0" w:color="auto"/>
        <w:bottom w:val="none" w:sz="0" w:space="0" w:color="auto"/>
        <w:right w:val="none" w:sz="0" w:space="0" w:color="auto"/>
      </w:divBdr>
    </w:div>
    <w:div w:id="43065142">
      <w:bodyDiv w:val="1"/>
      <w:marLeft w:val="0"/>
      <w:marRight w:val="0"/>
      <w:marTop w:val="0"/>
      <w:marBottom w:val="0"/>
      <w:divBdr>
        <w:top w:val="none" w:sz="0" w:space="0" w:color="auto"/>
        <w:left w:val="none" w:sz="0" w:space="0" w:color="auto"/>
        <w:bottom w:val="none" w:sz="0" w:space="0" w:color="auto"/>
        <w:right w:val="none" w:sz="0" w:space="0" w:color="auto"/>
      </w:divBdr>
    </w:div>
    <w:div w:id="63338478">
      <w:bodyDiv w:val="1"/>
      <w:marLeft w:val="0"/>
      <w:marRight w:val="0"/>
      <w:marTop w:val="0"/>
      <w:marBottom w:val="0"/>
      <w:divBdr>
        <w:top w:val="none" w:sz="0" w:space="0" w:color="auto"/>
        <w:left w:val="none" w:sz="0" w:space="0" w:color="auto"/>
        <w:bottom w:val="none" w:sz="0" w:space="0" w:color="auto"/>
        <w:right w:val="none" w:sz="0" w:space="0" w:color="auto"/>
      </w:divBdr>
    </w:div>
    <w:div w:id="65417705">
      <w:bodyDiv w:val="1"/>
      <w:marLeft w:val="0"/>
      <w:marRight w:val="0"/>
      <w:marTop w:val="0"/>
      <w:marBottom w:val="0"/>
      <w:divBdr>
        <w:top w:val="none" w:sz="0" w:space="0" w:color="auto"/>
        <w:left w:val="none" w:sz="0" w:space="0" w:color="auto"/>
        <w:bottom w:val="none" w:sz="0" w:space="0" w:color="auto"/>
        <w:right w:val="none" w:sz="0" w:space="0" w:color="auto"/>
      </w:divBdr>
    </w:div>
    <w:div w:id="720909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265291">
      <w:bodyDiv w:val="1"/>
      <w:marLeft w:val="0"/>
      <w:marRight w:val="0"/>
      <w:marTop w:val="0"/>
      <w:marBottom w:val="0"/>
      <w:divBdr>
        <w:top w:val="none" w:sz="0" w:space="0" w:color="auto"/>
        <w:left w:val="none" w:sz="0" w:space="0" w:color="auto"/>
        <w:bottom w:val="none" w:sz="0" w:space="0" w:color="auto"/>
        <w:right w:val="none" w:sz="0" w:space="0" w:color="auto"/>
      </w:divBdr>
    </w:div>
    <w:div w:id="107435108">
      <w:bodyDiv w:val="1"/>
      <w:marLeft w:val="0"/>
      <w:marRight w:val="0"/>
      <w:marTop w:val="0"/>
      <w:marBottom w:val="0"/>
      <w:divBdr>
        <w:top w:val="none" w:sz="0" w:space="0" w:color="auto"/>
        <w:left w:val="none" w:sz="0" w:space="0" w:color="auto"/>
        <w:bottom w:val="none" w:sz="0" w:space="0" w:color="auto"/>
        <w:right w:val="none" w:sz="0" w:space="0" w:color="auto"/>
      </w:divBdr>
    </w:div>
    <w:div w:id="124661198">
      <w:bodyDiv w:val="1"/>
      <w:marLeft w:val="0"/>
      <w:marRight w:val="0"/>
      <w:marTop w:val="0"/>
      <w:marBottom w:val="0"/>
      <w:divBdr>
        <w:top w:val="none" w:sz="0" w:space="0" w:color="auto"/>
        <w:left w:val="none" w:sz="0" w:space="0" w:color="auto"/>
        <w:bottom w:val="none" w:sz="0" w:space="0" w:color="auto"/>
        <w:right w:val="none" w:sz="0" w:space="0" w:color="auto"/>
      </w:divBdr>
    </w:div>
    <w:div w:id="127284122">
      <w:bodyDiv w:val="1"/>
      <w:marLeft w:val="0"/>
      <w:marRight w:val="0"/>
      <w:marTop w:val="0"/>
      <w:marBottom w:val="0"/>
      <w:divBdr>
        <w:top w:val="none" w:sz="0" w:space="0" w:color="auto"/>
        <w:left w:val="none" w:sz="0" w:space="0" w:color="auto"/>
        <w:bottom w:val="none" w:sz="0" w:space="0" w:color="auto"/>
        <w:right w:val="none" w:sz="0" w:space="0" w:color="auto"/>
      </w:divBdr>
    </w:div>
    <w:div w:id="128016311">
      <w:bodyDiv w:val="1"/>
      <w:marLeft w:val="0"/>
      <w:marRight w:val="0"/>
      <w:marTop w:val="0"/>
      <w:marBottom w:val="0"/>
      <w:divBdr>
        <w:top w:val="none" w:sz="0" w:space="0" w:color="auto"/>
        <w:left w:val="none" w:sz="0" w:space="0" w:color="auto"/>
        <w:bottom w:val="none" w:sz="0" w:space="0" w:color="auto"/>
        <w:right w:val="none" w:sz="0" w:space="0" w:color="auto"/>
      </w:divBdr>
    </w:div>
    <w:div w:id="133911260">
      <w:bodyDiv w:val="1"/>
      <w:marLeft w:val="0"/>
      <w:marRight w:val="0"/>
      <w:marTop w:val="0"/>
      <w:marBottom w:val="0"/>
      <w:divBdr>
        <w:top w:val="none" w:sz="0" w:space="0" w:color="auto"/>
        <w:left w:val="none" w:sz="0" w:space="0" w:color="auto"/>
        <w:bottom w:val="none" w:sz="0" w:space="0" w:color="auto"/>
        <w:right w:val="none" w:sz="0" w:space="0" w:color="auto"/>
      </w:divBdr>
    </w:div>
    <w:div w:id="149031064">
      <w:bodyDiv w:val="1"/>
      <w:marLeft w:val="0"/>
      <w:marRight w:val="0"/>
      <w:marTop w:val="0"/>
      <w:marBottom w:val="0"/>
      <w:divBdr>
        <w:top w:val="none" w:sz="0" w:space="0" w:color="auto"/>
        <w:left w:val="none" w:sz="0" w:space="0" w:color="auto"/>
        <w:bottom w:val="none" w:sz="0" w:space="0" w:color="auto"/>
        <w:right w:val="none" w:sz="0" w:space="0" w:color="auto"/>
      </w:divBdr>
    </w:div>
    <w:div w:id="159077352">
      <w:bodyDiv w:val="1"/>
      <w:marLeft w:val="0"/>
      <w:marRight w:val="0"/>
      <w:marTop w:val="0"/>
      <w:marBottom w:val="0"/>
      <w:divBdr>
        <w:top w:val="none" w:sz="0" w:space="0" w:color="auto"/>
        <w:left w:val="none" w:sz="0" w:space="0" w:color="auto"/>
        <w:bottom w:val="none" w:sz="0" w:space="0" w:color="auto"/>
        <w:right w:val="none" w:sz="0" w:space="0" w:color="auto"/>
      </w:divBdr>
    </w:div>
    <w:div w:id="160974765">
      <w:bodyDiv w:val="1"/>
      <w:marLeft w:val="0"/>
      <w:marRight w:val="0"/>
      <w:marTop w:val="0"/>
      <w:marBottom w:val="0"/>
      <w:divBdr>
        <w:top w:val="none" w:sz="0" w:space="0" w:color="auto"/>
        <w:left w:val="none" w:sz="0" w:space="0" w:color="auto"/>
        <w:bottom w:val="none" w:sz="0" w:space="0" w:color="auto"/>
        <w:right w:val="none" w:sz="0" w:space="0" w:color="auto"/>
      </w:divBdr>
    </w:div>
    <w:div w:id="167058213">
      <w:bodyDiv w:val="1"/>
      <w:marLeft w:val="0"/>
      <w:marRight w:val="0"/>
      <w:marTop w:val="0"/>
      <w:marBottom w:val="0"/>
      <w:divBdr>
        <w:top w:val="none" w:sz="0" w:space="0" w:color="auto"/>
        <w:left w:val="none" w:sz="0" w:space="0" w:color="auto"/>
        <w:bottom w:val="none" w:sz="0" w:space="0" w:color="auto"/>
        <w:right w:val="none" w:sz="0" w:space="0" w:color="auto"/>
      </w:divBdr>
    </w:div>
    <w:div w:id="168839329">
      <w:bodyDiv w:val="1"/>
      <w:marLeft w:val="0"/>
      <w:marRight w:val="0"/>
      <w:marTop w:val="0"/>
      <w:marBottom w:val="0"/>
      <w:divBdr>
        <w:top w:val="none" w:sz="0" w:space="0" w:color="auto"/>
        <w:left w:val="none" w:sz="0" w:space="0" w:color="auto"/>
        <w:bottom w:val="none" w:sz="0" w:space="0" w:color="auto"/>
        <w:right w:val="none" w:sz="0" w:space="0" w:color="auto"/>
      </w:divBdr>
    </w:div>
    <w:div w:id="178279287">
      <w:bodyDiv w:val="1"/>
      <w:marLeft w:val="0"/>
      <w:marRight w:val="0"/>
      <w:marTop w:val="0"/>
      <w:marBottom w:val="0"/>
      <w:divBdr>
        <w:top w:val="none" w:sz="0" w:space="0" w:color="auto"/>
        <w:left w:val="none" w:sz="0" w:space="0" w:color="auto"/>
        <w:bottom w:val="none" w:sz="0" w:space="0" w:color="auto"/>
        <w:right w:val="none" w:sz="0" w:space="0" w:color="auto"/>
      </w:divBdr>
    </w:div>
    <w:div w:id="182018175">
      <w:bodyDiv w:val="1"/>
      <w:marLeft w:val="0"/>
      <w:marRight w:val="0"/>
      <w:marTop w:val="0"/>
      <w:marBottom w:val="0"/>
      <w:divBdr>
        <w:top w:val="none" w:sz="0" w:space="0" w:color="auto"/>
        <w:left w:val="none" w:sz="0" w:space="0" w:color="auto"/>
        <w:bottom w:val="none" w:sz="0" w:space="0" w:color="auto"/>
        <w:right w:val="none" w:sz="0" w:space="0" w:color="auto"/>
      </w:divBdr>
    </w:div>
    <w:div w:id="188496363">
      <w:bodyDiv w:val="1"/>
      <w:marLeft w:val="0"/>
      <w:marRight w:val="0"/>
      <w:marTop w:val="0"/>
      <w:marBottom w:val="0"/>
      <w:divBdr>
        <w:top w:val="none" w:sz="0" w:space="0" w:color="auto"/>
        <w:left w:val="none" w:sz="0" w:space="0" w:color="auto"/>
        <w:bottom w:val="none" w:sz="0" w:space="0" w:color="auto"/>
        <w:right w:val="none" w:sz="0" w:space="0" w:color="auto"/>
      </w:divBdr>
    </w:div>
    <w:div w:id="1951976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056557">
      <w:bodyDiv w:val="1"/>
      <w:marLeft w:val="0"/>
      <w:marRight w:val="0"/>
      <w:marTop w:val="0"/>
      <w:marBottom w:val="0"/>
      <w:divBdr>
        <w:top w:val="none" w:sz="0" w:space="0" w:color="auto"/>
        <w:left w:val="none" w:sz="0" w:space="0" w:color="auto"/>
        <w:bottom w:val="none" w:sz="0" w:space="0" w:color="auto"/>
        <w:right w:val="none" w:sz="0" w:space="0" w:color="auto"/>
      </w:divBdr>
    </w:div>
    <w:div w:id="204761836">
      <w:bodyDiv w:val="1"/>
      <w:marLeft w:val="0"/>
      <w:marRight w:val="0"/>
      <w:marTop w:val="0"/>
      <w:marBottom w:val="0"/>
      <w:divBdr>
        <w:top w:val="none" w:sz="0" w:space="0" w:color="auto"/>
        <w:left w:val="none" w:sz="0" w:space="0" w:color="auto"/>
        <w:bottom w:val="none" w:sz="0" w:space="0" w:color="auto"/>
        <w:right w:val="none" w:sz="0" w:space="0" w:color="auto"/>
      </w:divBdr>
    </w:div>
    <w:div w:id="205145732">
      <w:bodyDiv w:val="1"/>
      <w:marLeft w:val="0"/>
      <w:marRight w:val="0"/>
      <w:marTop w:val="0"/>
      <w:marBottom w:val="0"/>
      <w:divBdr>
        <w:top w:val="none" w:sz="0" w:space="0" w:color="auto"/>
        <w:left w:val="none" w:sz="0" w:space="0" w:color="auto"/>
        <w:bottom w:val="none" w:sz="0" w:space="0" w:color="auto"/>
        <w:right w:val="none" w:sz="0" w:space="0" w:color="auto"/>
      </w:divBdr>
    </w:div>
    <w:div w:id="212011857">
      <w:bodyDiv w:val="1"/>
      <w:marLeft w:val="0"/>
      <w:marRight w:val="0"/>
      <w:marTop w:val="0"/>
      <w:marBottom w:val="0"/>
      <w:divBdr>
        <w:top w:val="none" w:sz="0" w:space="0" w:color="auto"/>
        <w:left w:val="none" w:sz="0" w:space="0" w:color="auto"/>
        <w:bottom w:val="none" w:sz="0" w:space="0" w:color="auto"/>
        <w:right w:val="none" w:sz="0" w:space="0" w:color="auto"/>
      </w:divBdr>
    </w:div>
    <w:div w:id="218174614">
      <w:bodyDiv w:val="1"/>
      <w:marLeft w:val="0"/>
      <w:marRight w:val="0"/>
      <w:marTop w:val="0"/>
      <w:marBottom w:val="0"/>
      <w:divBdr>
        <w:top w:val="none" w:sz="0" w:space="0" w:color="auto"/>
        <w:left w:val="none" w:sz="0" w:space="0" w:color="auto"/>
        <w:bottom w:val="none" w:sz="0" w:space="0" w:color="auto"/>
        <w:right w:val="none" w:sz="0" w:space="0" w:color="auto"/>
      </w:divBdr>
    </w:div>
    <w:div w:id="221260632">
      <w:bodyDiv w:val="1"/>
      <w:marLeft w:val="0"/>
      <w:marRight w:val="0"/>
      <w:marTop w:val="0"/>
      <w:marBottom w:val="0"/>
      <w:divBdr>
        <w:top w:val="none" w:sz="0" w:space="0" w:color="auto"/>
        <w:left w:val="none" w:sz="0" w:space="0" w:color="auto"/>
        <w:bottom w:val="none" w:sz="0" w:space="0" w:color="auto"/>
        <w:right w:val="none" w:sz="0" w:space="0" w:color="auto"/>
      </w:divBdr>
    </w:div>
    <w:div w:id="232545852">
      <w:bodyDiv w:val="1"/>
      <w:marLeft w:val="0"/>
      <w:marRight w:val="0"/>
      <w:marTop w:val="0"/>
      <w:marBottom w:val="0"/>
      <w:divBdr>
        <w:top w:val="none" w:sz="0" w:space="0" w:color="auto"/>
        <w:left w:val="none" w:sz="0" w:space="0" w:color="auto"/>
        <w:bottom w:val="none" w:sz="0" w:space="0" w:color="auto"/>
        <w:right w:val="none" w:sz="0" w:space="0" w:color="auto"/>
      </w:divBdr>
    </w:div>
    <w:div w:id="242179303">
      <w:bodyDiv w:val="1"/>
      <w:marLeft w:val="0"/>
      <w:marRight w:val="0"/>
      <w:marTop w:val="0"/>
      <w:marBottom w:val="0"/>
      <w:divBdr>
        <w:top w:val="none" w:sz="0" w:space="0" w:color="auto"/>
        <w:left w:val="none" w:sz="0" w:space="0" w:color="auto"/>
        <w:bottom w:val="none" w:sz="0" w:space="0" w:color="auto"/>
        <w:right w:val="none" w:sz="0" w:space="0" w:color="auto"/>
      </w:divBdr>
    </w:div>
    <w:div w:id="259334594">
      <w:bodyDiv w:val="1"/>
      <w:marLeft w:val="0"/>
      <w:marRight w:val="0"/>
      <w:marTop w:val="0"/>
      <w:marBottom w:val="0"/>
      <w:divBdr>
        <w:top w:val="none" w:sz="0" w:space="0" w:color="auto"/>
        <w:left w:val="none" w:sz="0" w:space="0" w:color="auto"/>
        <w:bottom w:val="none" w:sz="0" w:space="0" w:color="auto"/>
        <w:right w:val="none" w:sz="0" w:space="0" w:color="auto"/>
      </w:divBdr>
    </w:div>
    <w:div w:id="261569822">
      <w:bodyDiv w:val="1"/>
      <w:marLeft w:val="0"/>
      <w:marRight w:val="0"/>
      <w:marTop w:val="0"/>
      <w:marBottom w:val="0"/>
      <w:divBdr>
        <w:top w:val="none" w:sz="0" w:space="0" w:color="auto"/>
        <w:left w:val="none" w:sz="0" w:space="0" w:color="auto"/>
        <w:bottom w:val="none" w:sz="0" w:space="0" w:color="auto"/>
        <w:right w:val="none" w:sz="0" w:space="0" w:color="auto"/>
      </w:divBdr>
    </w:div>
    <w:div w:id="261645728">
      <w:bodyDiv w:val="1"/>
      <w:marLeft w:val="0"/>
      <w:marRight w:val="0"/>
      <w:marTop w:val="0"/>
      <w:marBottom w:val="0"/>
      <w:divBdr>
        <w:top w:val="none" w:sz="0" w:space="0" w:color="auto"/>
        <w:left w:val="none" w:sz="0" w:space="0" w:color="auto"/>
        <w:bottom w:val="none" w:sz="0" w:space="0" w:color="auto"/>
        <w:right w:val="none" w:sz="0" w:space="0" w:color="auto"/>
      </w:divBdr>
    </w:div>
    <w:div w:id="275604332">
      <w:bodyDiv w:val="1"/>
      <w:marLeft w:val="0"/>
      <w:marRight w:val="0"/>
      <w:marTop w:val="0"/>
      <w:marBottom w:val="0"/>
      <w:divBdr>
        <w:top w:val="none" w:sz="0" w:space="0" w:color="auto"/>
        <w:left w:val="none" w:sz="0" w:space="0" w:color="auto"/>
        <w:bottom w:val="none" w:sz="0" w:space="0" w:color="auto"/>
        <w:right w:val="none" w:sz="0" w:space="0" w:color="auto"/>
      </w:divBdr>
    </w:div>
    <w:div w:id="283582710">
      <w:bodyDiv w:val="1"/>
      <w:marLeft w:val="0"/>
      <w:marRight w:val="0"/>
      <w:marTop w:val="0"/>
      <w:marBottom w:val="0"/>
      <w:divBdr>
        <w:top w:val="none" w:sz="0" w:space="0" w:color="auto"/>
        <w:left w:val="none" w:sz="0" w:space="0" w:color="auto"/>
        <w:bottom w:val="none" w:sz="0" w:space="0" w:color="auto"/>
        <w:right w:val="none" w:sz="0" w:space="0" w:color="auto"/>
      </w:divBdr>
    </w:div>
    <w:div w:id="285698971">
      <w:bodyDiv w:val="1"/>
      <w:marLeft w:val="0"/>
      <w:marRight w:val="0"/>
      <w:marTop w:val="0"/>
      <w:marBottom w:val="0"/>
      <w:divBdr>
        <w:top w:val="none" w:sz="0" w:space="0" w:color="auto"/>
        <w:left w:val="none" w:sz="0" w:space="0" w:color="auto"/>
        <w:bottom w:val="none" w:sz="0" w:space="0" w:color="auto"/>
        <w:right w:val="none" w:sz="0" w:space="0" w:color="auto"/>
      </w:divBdr>
    </w:div>
    <w:div w:id="286470349">
      <w:bodyDiv w:val="1"/>
      <w:marLeft w:val="0"/>
      <w:marRight w:val="0"/>
      <w:marTop w:val="0"/>
      <w:marBottom w:val="0"/>
      <w:divBdr>
        <w:top w:val="none" w:sz="0" w:space="0" w:color="auto"/>
        <w:left w:val="none" w:sz="0" w:space="0" w:color="auto"/>
        <w:bottom w:val="none" w:sz="0" w:space="0" w:color="auto"/>
        <w:right w:val="none" w:sz="0" w:space="0" w:color="auto"/>
      </w:divBdr>
    </w:div>
    <w:div w:id="290206085">
      <w:bodyDiv w:val="1"/>
      <w:marLeft w:val="0"/>
      <w:marRight w:val="0"/>
      <w:marTop w:val="0"/>
      <w:marBottom w:val="0"/>
      <w:divBdr>
        <w:top w:val="none" w:sz="0" w:space="0" w:color="auto"/>
        <w:left w:val="none" w:sz="0" w:space="0" w:color="auto"/>
        <w:bottom w:val="none" w:sz="0" w:space="0" w:color="auto"/>
        <w:right w:val="none" w:sz="0" w:space="0" w:color="auto"/>
      </w:divBdr>
    </w:div>
    <w:div w:id="293025088">
      <w:bodyDiv w:val="1"/>
      <w:marLeft w:val="0"/>
      <w:marRight w:val="0"/>
      <w:marTop w:val="0"/>
      <w:marBottom w:val="0"/>
      <w:divBdr>
        <w:top w:val="none" w:sz="0" w:space="0" w:color="auto"/>
        <w:left w:val="none" w:sz="0" w:space="0" w:color="auto"/>
        <w:bottom w:val="none" w:sz="0" w:space="0" w:color="auto"/>
        <w:right w:val="none" w:sz="0" w:space="0" w:color="auto"/>
      </w:divBdr>
    </w:div>
    <w:div w:id="294406501">
      <w:bodyDiv w:val="1"/>
      <w:marLeft w:val="0"/>
      <w:marRight w:val="0"/>
      <w:marTop w:val="0"/>
      <w:marBottom w:val="0"/>
      <w:divBdr>
        <w:top w:val="none" w:sz="0" w:space="0" w:color="auto"/>
        <w:left w:val="none" w:sz="0" w:space="0" w:color="auto"/>
        <w:bottom w:val="none" w:sz="0" w:space="0" w:color="auto"/>
        <w:right w:val="none" w:sz="0" w:space="0" w:color="auto"/>
      </w:divBdr>
    </w:div>
    <w:div w:id="297806325">
      <w:bodyDiv w:val="1"/>
      <w:marLeft w:val="0"/>
      <w:marRight w:val="0"/>
      <w:marTop w:val="0"/>
      <w:marBottom w:val="0"/>
      <w:divBdr>
        <w:top w:val="none" w:sz="0" w:space="0" w:color="auto"/>
        <w:left w:val="none" w:sz="0" w:space="0" w:color="auto"/>
        <w:bottom w:val="none" w:sz="0" w:space="0" w:color="auto"/>
        <w:right w:val="none" w:sz="0" w:space="0" w:color="auto"/>
      </w:divBdr>
    </w:div>
    <w:div w:id="297885263">
      <w:bodyDiv w:val="1"/>
      <w:marLeft w:val="0"/>
      <w:marRight w:val="0"/>
      <w:marTop w:val="0"/>
      <w:marBottom w:val="0"/>
      <w:divBdr>
        <w:top w:val="none" w:sz="0" w:space="0" w:color="auto"/>
        <w:left w:val="none" w:sz="0" w:space="0" w:color="auto"/>
        <w:bottom w:val="none" w:sz="0" w:space="0" w:color="auto"/>
        <w:right w:val="none" w:sz="0" w:space="0" w:color="auto"/>
      </w:divBdr>
    </w:div>
    <w:div w:id="303240139">
      <w:bodyDiv w:val="1"/>
      <w:marLeft w:val="0"/>
      <w:marRight w:val="0"/>
      <w:marTop w:val="0"/>
      <w:marBottom w:val="0"/>
      <w:divBdr>
        <w:top w:val="none" w:sz="0" w:space="0" w:color="auto"/>
        <w:left w:val="none" w:sz="0" w:space="0" w:color="auto"/>
        <w:bottom w:val="none" w:sz="0" w:space="0" w:color="auto"/>
        <w:right w:val="none" w:sz="0" w:space="0" w:color="auto"/>
      </w:divBdr>
    </w:div>
    <w:div w:id="303628358">
      <w:bodyDiv w:val="1"/>
      <w:marLeft w:val="0"/>
      <w:marRight w:val="0"/>
      <w:marTop w:val="0"/>
      <w:marBottom w:val="0"/>
      <w:divBdr>
        <w:top w:val="none" w:sz="0" w:space="0" w:color="auto"/>
        <w:left w:val="none" w:sz="0" w:space="0" w:color="auto"/>
        <w:bottom w:val="none" w:sz="0" w:space="0" w:color="auto"/>
        <w:right w:val="none" w:sz="0" w:space="0" w:color="auto"/>
      </w:divBdr>
    </w:div>
    <w:div w:id="31811874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963090">
      <w:bodyDiv w:val="1"/>
      <w:marLeft w:val="0"/>
      <w:marRight w:val="0"/>
      <w:marTop w:val="0"/>
      <w:marBottom w:val="0"/>
      <w:divBdr>
        <w:top w:val="none" w:sz="0" w:space="0" w:color="auto"/>
        <w:left w:val="none" w:sz="0" w:space="0" w:color="auto"/>
        <w:bottom w:val="none" w:sz="0" w:space="0" w:color="auto"/>
        <w:right w:val="none" w:sz="0" w:space="0" w:color="auto"/>
      </w:divBdr>
    </w:div>
    <w:div w:id="339310498">
      <w:bodyDiv w:val="1"/>
      <w:marLeft w:val="0"/>
      <w:marRight w:val="0"/>
      <w:marTop w:val="0"/>
      <w:marBottom w:val="0"/>
      <w:divBdr>
        <w:top w:val="none" w:sz="0" w:space="0" w:color="auto"/>
        <w:left w:val="none" w:sz="0" w:space="0" w:color="auto"/>
        <w:bottom w:val="none" w:sz="0" w:space="0" w:color="auto"/>
        <w:right w:val="none" w:sz="0" w:space="0" w:color="auto"/>
      </w:divBdr>
    </w:div>
    <w:div w:id="342123808">
      <w:bodyDiv w:val="1"/>
      <w:marLeft w:val="0"/>
      <w:marRight w:val="0"/>
      <w:marTop w:val="0"/>
      <w:marBottom w:val="0"/>
      <w:divBdr>
        <w:top w:val="none" w:sz="0" w:space="0" w:color="auto"/>
        <w:left w:val="none" w:sz="0" w:space="0" w:color="auto"/>
        <w:bottom w:val="none" w:sz="0" w:space="0" w:color="auto"/>
        <w:right w:val="none" w:sz="0" w:space="0" w:color="auto"/>
      </w:divBdr>
    </w:div>
    <w:div w:id="342977685">
      <w:bodyDiv w:val="1"/>
      <w:marLeft w:val="0"/>
      <w:marRight w:val="0"/>
      <w:marTop w:val="0"/>
      <w:marBottom w:val="0"/>
      <w:divBdr>
        <w:top w:val="none" w:sz="0" w:space="0" w:color="auto"/>
        <w:left w:val="none" w:sz="0" w:space="0" w:color="auto"/>
        <w:bottom w:val="none" w:sz="0" w:space="0" w:color="auto"/>
        <w:right w:val="none" w:sz="0" w:space="0" w:color="auto"/>
      </w:divBdr>
    </w:div>
    <w:div w:id="34375104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9649677">
      <w:bodyDiv w:val="1"/>
      <w:marLeft w:val="0"/>
      <w:marRight w:val="0"/>
      <w:marTop w:val="0"/>
      <w:marBottom w:val="0"/>
      <w:divBdr>
        <w:top w:val="none" w:sz="0" w:space="0" w:color="auto"/>
        <w:left w:val="none" w:sz="0" w:space="0" w:color="auto"/>
        <w:bottom w:val="none" w:sz="0" w:space="0" w:color="auto"/>
        <w:right w:val="none" w:sz="0" w:space="0" w:color="auto"/>
      </w:divBdr>
    </w:div>
    <w:div w:id="352531865">
      <w:bodyDiv w:val="1"/>
      <w:marLeft w:val="0"/>
      <w:marRight w:val="0"/>
      <w:marTop w:val="0"/>
      <w:marBottom w:val="0"/>
      <w:divBdr>
        <w:top w:val="none" w:sz="0" w:space="0" w:color="auto"/>
        <w:left w:val="none" w:sz="0" w:space="0" w:color="auto"/>
        <w:bottom w:val="none" w:sz="0" w:space="0" w:color="auto"/>
        <w:right w:val="none" w:sz="0" w:space="0" w:color="auto"/>
      </w:divBdr>
    </w:div>
    <w:div w:id="379592121">
      <w:bodyDiv w:val="1"/>
      <w:marLeft w:val="0"/>
      <w:marRight w:val="0"/>
      <w:marTop w:val="0"/>
      <w:marBottom w:val="0"/>
      <w:divBdr>
        <w:top w:val="none" w:sz="0" w:space="0" w:color="auto"/>
        <w:left w:val="none" w:sz="0" w:space="0" w:color="auto"/>
        <w:bottom w:val="none" w:sz="0" w:space="0" w:color="auto"/>
        <w:right w:val="none" w:sz="0" w:space="0" w:color="auto"/>
      </w:divBdr>
    </w:div>
    <w:div w:id="389573643">
      <w:bodyDiv w:val="1"/>
      <w:marLeft w:val="0"/>
      <w:marRight w:val="0"/>
      <w:marTop w:val="0"/>
      <w:marBottom w:val="0"/>
      <w:divBdr>
        <w:top w:val="none" w:sz="0" w:space="0" w:color="auto"/>
        <w:left w:val="none" w:sz="0" w:space="0" w:color="auto"/>
        <w:bottom w:val="none" w:sz="0" w:space="0" w:color="auto"/>
        <w:right w:val="none" w:sz="0" w:space="0" w:color="auto"/>
      </w:divBdr>
    </w:div>
    <w:div w:id="392318284">
      <w:bodyDiv w:val="1"/>
      <w:marLeft w:val="0"/>
      <w:marRight w:val="0"/>
      <w:marTop w:val="0"/>
      <w:marBottom w:val="0"/>
      <w:divBdr>
        <w:top w:val="none" w:sz="0" w:space="0" w:color="auto"/>
        <w:left w:val="none" w:sz="0" w:space="0" w:color="auto"/>
        <w:bottom w:val="none" w:sz="0" w:space="0" w:color="auto"/>
        <w:right w:val="none" w:sz="0" w:space="0" w:color="auto"/>
      </w:divBdr>
    </w:div>
    <w:div w:id="395318763">
      <w:bodyDiv w:val="1"/>
      <w:marLeft w:val="0"/>
      <w:marRight w:val="0"/>
      <w:marTop w:val="0"/>
      <w:marBottom w:val="0"/>
      <w:divBdr>
        <w:top w:val="none" w:sz="0" w:space="0" w:color="auto"/>
        <w:left w:val="none" w:sz="0" w:space="0" w:color="auto"/>
        <w:bottom w:val="none" w:sz="0" w:space="0" w:color="auto"/>
        <w:right w:val="none" w:sz="0" w:space="0" w:color="auto"/>
      </w:divBdr>
    </w:div>
    <w:div w:id="396515665">
      <w:bodyDiv w:val="1"/>
      <w:marLeft w:val="0"/>
      <w:marRight w:val="0"/>
      <w:marTop w:val="0"/>
      <w:marBottom w:val="0"/>
      <w:divBdr>
        <w:top w:val="none" w:sz="0" w:space="0" w:color="auto"/>
        <w:left w:val="none" w:sz="0" w:space="0" w:color="auto"/>
        <w:bottom w:val="none" w:sz="0" w:space="0" w:color="auto"/>
        <w:right w:val="none" w:sz="0" w:space="0" w:color="auto"/>
      </w:divBdr>
    </w:div>
    <w:div w:id="399328307">
      <w:bodyDiv w:val="1"/>
      <w:marLeft w:val="0"/>
      <w:marRight w:val="0"/>
      <w:marTop w:val="0"/>
      <w:marBottom w:val="0"/>
      <w:divBdr>
        <w:top w:val="none" w:sz="0" w:space="0" w:color="auto"/>
        <w:left w:val="none" w:sz="0" w:space="0" w:color="auto"/>
        <w:bottom w:val="none" w:sz="0" w:space="0" w:color="auto"/>
        <w:right w:val="none" w:sz="0" w:space="0" w:color="auto"/>
      </w:divBdr>
    </w:div>
    <w:div w:id="402265777">
      <w:bodyDiv w:val="1"/>
      <w:marLeft w:val="0"/>
      <w:marRight w:val="0"/>
      <w:marTop w:val="0"/>
      <w:marBottom w:val="0"/>
      <w:divBdr>
        <w:top w:val="none" w:sz="0" w:space="0" w:color="auto"/>
        <w:left w:val="none" w:sz="0" w:space="0" w:color="auto"/>
        <w:bottom w:val="none" w:sz="0" w:space="0" w:color="auto"/>
        <w:right w:val="none" w:sz="0" w:space="0" w:color="auto"/>
      </w:divBdr>
    </w:div>
    <w:div w:id="407969263">
      <w:bodyDiv w:val="1"/>
      <w:marLeft w:val="0"/>
      <w:marRight w:val="0"/>
      <w:marTop w:val="0"/>
      <w:marBottom w:val="0"/>
      <w:divBdr>
        <w:top w:val="none" w:sz="0" w:space="0" w:color="auto"/>
        <w:left w:val="none" w:sz="0" w:space="0" w:color="auto"/>
        <w:bottom w:val="none" w:sz="0" w:space="0" w:color="auto"/>
        <w:right w:val="none" w:sz="0" w:space="0" w:color="auto"/>
      </w:divBdr>
    </w:div>
    <w:div w:id="411925645">
      <w:bodyDiv w:val="1"/>
      <w:marLeft w:val="0"/>
      <w:marRight w:val="0"/>
      <w:marTop w:val="0"/>
      <w:marBottom w:val="0"/>
      <w:divBdr>
        <w:top w:val="none" w:sz="0" w:space="0" w:color="auto"/>
        <w:left w:val="none" w:sz="0" w:space="0" w:color="auto"/>
        <w:bottom w:val="none" w:sz="0" w:space="0" w:color="auto"/>
        <w:right w:val="none" w:sz="0" w:space="0" w:color="auto"/>
      </w:divBdr>
    </w:div>
    <w:div w:id="425345859">
      <w:bodyDiv w:val="1"/>
      <w:marLeft w:val="0"/>
      <w:marRight w:val="0"/>
      <w:marTop w:val="0"/>
      <w:marBottom w:val="0"/>
      <w:divBdr>
        <w:top w:val="none" w:sz="0" w:space="0" w:color="auto"/>
        <w:left w:val="none" w:sz="0" w:space="0" w:color="auto"/>
        <w:bottom w:val="none" w:sz="0" w:space="0" w:color="auto"/>
        <w:right w:val="none" w:sz="0" w:space="0" w:color="auto"/>
      </w:divBdr>
    </w:div>
    <w:div w:id="426388782">
      <w:bodyDiv w:val="1"/>
      <w:marLeft w:val="0"/>
      <w:marRight w:val="0"/>
      <w:marTop w:val="0"/>
      <w:marBottom w:val="0"/>
      <w:divBdr>
        <w:top w:val="none" w:sz="0" w:space="0" w:color="auto"/>
        <w:left w:val="none" w:sz="0" w:space="0" w:color="auto"/>
        <w:bottom w:val="none" w:sz="0" w:space="0" w:color="auto"/>
        <w:right w:val="none" w:sz="0" w:space="0" w:color="auto"/>
      </w:divBdr>
    </w:div>
    <w:div w:id="43741448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765797">
      <w:bodyDiv w:val="1"/>
      <w:marLeft w:val="0"/>
      <w:marRight w:val="0"/>
      <w:marTop w:val="0"/>
      <w:marBottom w:val="0"/>
      <w:divBdr>
        <w:top w:val="none" w:sz="0" w:space="0" w:color="auto"/>
        <w:left w:val="none" w:sz="0" w:space="0" w:color="auto"/>
        <w:bottom w:val="none" w:sz="0" w:space="0" w:color="auto"/>
        <w:right w:val="none" w:sz="0" w:space="0" w:color="auto"/>
      </w:divBdr>
    </w:div>
    <w:div w:id="44022921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005392">
      <w:bodyDiv w:val="1"/>
      <w:marLeft w:val="0"/>
      <w:marRight w:val="0"/>
      <w:marTop w:val="0"/>
      <w:marBottom w:val="0"/>
      <w:divBdr>
        <w:top w:val="none" w:sz="0" w:space="0" w:color="auto"/>
        <w:left w:val="none" w:sz="0" w:space="0" w:color="auto"/>
        <w:bottom w:val="none" w:sz="0" w:space="0" w:color="auto"/>
        <w:right w:val="none" w:sz="0" w:space="0" w:color="auto"/>
      </w:divBdr>
    </w:div>
    <w:div w:id="465779578">
      <w:bodyDiv w:val="1"/>
      <w:marLeft w:val="0"/>
      <w:marRight w:val="0"/>
      <w:marTop w:val="0"/>
      <w:marBottom w:val="0"/>
      <w:divBdr>
        <w:top w:val="none" w:sz="0" w:space="0" w:color="auto"/>
        <w:left w:val="none" w:sz="0" w:space="0" w:color="auto"/>
        <w:bottom w:val="none" w:sz="0" w:space="0" w:color="auto"/>
        <w:right w:val="none" w:sz="0" w:space="0" w:color="auto"/>
      </w:divBdr>
    </w:div>
    <w:div w:id="466050692">
      <w:bodyDiv w:val="1"/>
      <w:marLeft w:val="0"/>
      <w:marRight w:val="0"/>
      <w:marTop w:val="0"/>
      <w:marBottom w:val="0"/>
      <w:divBdr>
        <w:top w:val="none" w:sz="0" w:space="0" w:color="auto"/>
        <w:left w:val="none" w:sz="0" w:space="0" w:color="auto"/>
        <w:bottom w:val="none" w:sz="0" w:space="0" w:color="auto"/>
        <w:right w:val="none" w:sz="0" w:space="0" w:color="auto"/>
      </w:divBdr>
    </w:div>
    <w:div w:id="467630646">
      <w:bodyDiv w:val="1"/>
      <w:marLeft w:val="0"/>
      <w:marRight w:val="0"/>
      <w:marTop w:val="0"/>
      <w:marBottom w:val="0"/>
      <w:divBdr>
        <w:top w:val="none" w:sz="0" w:space="0" w:color="auto"/>
        <w:left w:val="none" w:sz="0" w:space="0" w:color="auto"/>
        <w:bottom w:val="none" w:sz="0" w:space="0" w:color="auto"/>
        <w:right w:val="none" w:sz="0" w:space="0" w:color="auto"/>
      </w:divBdr>
    </w:div>
    <w:div w:id="468666812">
      <w:bodyDiv w:val="1"/>
      <w:marLeft w:val="0"/>
      <w:marRight w:val="0"/>
      <w:marTop w:val="0"/>
      <w:marBottom w:val="0"/>
      <w:divBdr>
        <w:top w:val="none" w:sz="0" w:space="0" w:color="auto"/>
        <w:left w:val="none" w:sz="0" w:space="0" w:color="auto"/>
        <w:bottom w:val="none" w:sz="0" w:space="0" w:color="auto"/>
        <w:right w:val="none" w:sz="0" w:space="0" w:color="auto"/>
      </w:divBdr>
    </w:div>
    <w:div w:id="470439116">
      <w:bodyDiv w:val="1"/>
      <w:marLeft w:val="0"/>
      <w:marRight w:val="0"/>
      <w:marTop w:val="0"/>
      <w:marBottom w:val="0"/>
      <w:divBdr>
        <w:top w:val="none" w:sz="0" w:space="0" w:color="auto"/>
        <w:left w:val="none" w:sz="0" w:space="0" w:color="auto"/>
        <w:bottom w:val="none" w:sz="0" w:space="0" w:color="auto"/>
        <w:right w:val="none" w:sz="0" w:space="0" w:color="auto"/>
      </w:divBdr>
    </w:div>
    <w:div w:id="472872221">
      <w:bodyDiv w:val="1"/>
      <w:marLeft w:val="0"/>
      <w:marRight w:val="0"/>
      <w:marTop w:val="0"/>
      <w:marBottom w:val="0"/>
      <w:divBdr>
        <w:top w:val="none" w:sz="0" w:space="0" w:color="auto"/>
        <w:left w:val="none" w:sz="0" w:space="0" w:color="auto"/>
        <w:bottom w:val="none" w:sz="0" w:space="0" w:color="auto"/>
        <w:right w:val="none" w:sz="0" w:space="0" w:color="auto"/>
      </w:divBdr>
    </w:div>
    <w:div w:id="484706220">
      <w:bodyDiv w:val="1"/>
      <w:marLeft w:val="0"/>
      <w:marRight w:val="0"/>
      <w:marTop w:val="0"/>
      <w:marBottom w:val="0"/>
      <w:divBdr>
        <w:top w:val="none" w:sz="0" w:space="0" w:color="auto"/>
        <w:left w:val="none" w:sz="0" w:space="0" w:color="auto"/>
        <w:bottom w:val="none" w:sz="0" w:space="0" w:color="auto"/>
        <w:right w:val="none" w:sz="0" w:space="0" w:color="auto"/>
      </w:divBdr>
    </w:div>
    <w:div w:id="492838198">
      <w:bodyDiv w:val="1"/>
      <w:marLeft w:val="0"/>
      <w:marRight w:val="0"/>
      <w:marTop w:val="0"/>
      <w:marBottom w:val="0"/>
      <w:divBdr>
        <w:top w:val="none" w:sz="0" w:space="0" w:color="auto"/>
        <w:left w:val="none" w:sz="0" w:space="0" w:color="auto"/>
        <w:bottom w:val="none" w:sz="0" w:space="0" w:color="auto"/>
        <w:right w:val="none" w:sz="0" w:space="0" w:color="auto"/>
      </w:divBdr>
    </w:div>
    <w:div w:id="493297213">
      <w:bodyDiv w:val="1"/>
      <w:marLeft w:val="0"/>
      <w:marRight w:val="0"/>
      <w:marTop w:val="0"/>
      <w:marBottom w:val="0"/>
      <w:divBdr>
        <w:top w:val="none" w:sz="0" w:space="0" w:color="auto"/>
        <w:left w:val="none" w:sz="0" w:space="0" w:color="auto"/>
        <w:bottom w:val="none" w:sz="0" w:space="0" w:color="auto"/>
        <w:right w:val="none" w:sz="0" w:space="0" w:color="auto"/>
      </w:divBdr>
    </w:div>
    <w:div w:id="501509307">
      <w:bodyDiv w:val="1"/>
      <w:marLeft w:val="0"/>
      <w:marRight w:val="0"/>
      <w:marTop w:val="0"/>
      <w:marBottom w:val="0"/>
      <w:divBdr>
        <w:top w:val="none" w:sz="0" w:space="0" w:color="auto"/>
        <w:left w:val="none" w:sz="0" w:space="0" w:color="auto"/>
        <w:bottom w:val="none" w:sz="0" w:space="0" w:color="auto"/>
        <w:right w:val="none" w:sz="0" w:space="0" w:color="auto"/>
      </w:divBdr>
    </w:div>
    <w:div w:id="505435802">
      <w:bodyDiv w:val="1"/>
      <w:marLeft w:val="0"/>
      <w:marRight w:val="0"/>
      <w:marTop w:val="0"/>
      <w:marBottom w:val="0"/>
      <w:divBdr>
        <w:top w:val="none" w:sz="0" w:space="0" w:color="auto"/>
        <w:left w:val="none" w:sz="0" w:space="0" w:color="auto"/>
        <w:bottom w:val="none" w:sz="0" w:space="0" w:color="auto"/>
        <w:right w:val="none" w:sz="0" w:space="0" w:color="auto"/>
      </w:divBdr>
    </w:div>
    <w:div w:id="505707857">
      <w:bodyDiv w:val="1"/>
      <w:marLeft w:val="0"/>
      <w:marRight w:val="0"/>
      <w:marTop w:val="0"/>
      <w:marBottom w:val="0"/>
      <w:divBdr>
        <w:top w:val="none" w:sz="0" w:space="0" w:color="auto"/>
        <w:left w:val="none" w:sz="0" w:space="0" w:color="auto"/>
        <w:bottom w:val="none" w:sz="0" w:space="0" w:color="auto"/>
        <w:right w:val="none" w:sz="0" w:space="0" w:color="auto"/>
      </w:divBdr>
    </w:div>
    <w:div w:id="523833931">
      <w:bodyDiv w:val="1"/>
      <w:marLeft w:val="0"/>
      <w:marRight w:val="0"/>
      <w:marTop w:val="0"/>
      <w:marBottom w:val="0"/>
      <w:divBdr>
        <w:top w:val="none" w:sz="0" w:space="0" w:color="auto"/>
        <w:left w:val="none" w:sz="0" w:space="0" w:color="auto"/>
        <w:bottom w:val="none" w:sz="0" w:space="0" w:color="auto"/>
        <w:right w:val="none" w:sz="0" w:space="0" w:color="auto"/>
      </w:divBdr>
    </w:div>
    <w:div w:id="525676468">
      <w:bodyDiv w:val="1"/>
      <w:marLeft w:val="0"/>
      <w:marRight w:val="0"/>
      <w:marTop w:val="0"/>
      <w:marBottom w:val="0"/>
      <w:divBdr>
        <w:top w:val="none" w:sz="0" w:space="0" w:color="auto"/>
        <w:left w:val="none" w:sz="0" w:space="0" w:color="auto"/>
        <w:bottom w:val="none" w:sz="0" w:space="0" w:color="auto"/>
        <w:right w:val="none" w:sz="0" w:space="0" w:color="auto"/>
      </w:divBdr>
    </w:div>
    <w:div w:id="528761172">
      <w:bodyDiv w:val="1"/>
      <w:marLeft w:val="0"/>
      <w:marRight w:val="0"/>
      <w:marTop w:val="0"/>
      <w:marBottom w:val="0"/>
      <w:divBdr>
        <w:top w:val="none" w:sz="0" w:space="0" w:color="auto"/>
        <w:left w:val="none" w:sz="0" w:space="0" w:color="auto"/>
        <w:bottom w:val="none" w:sz="0" w:space="0" w:color="auto"/>
        <w:right w:val="none" w:sz="0" w:space="0" w:color="auto"/>
      </w:divBdr>
    </w:div>
    <w:div w:id="52995269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352294">
      <w:bodyDiv w:val="1"/>
      <w:marLeft w:val="0"/>
      <w:marRight w:val="0"/>
      <w:marTop w:val="0"/>
      <w:marBottom w:val="0"/>
      <w:divBdr>
        <w:top w:val="none" w:sz="0" w:space="0" w:color="auto"/>
        <w:left w:val="none" w:sz="0" w:space="0" w:color="auto"/>
        <w:bottom w:val="none" w:sz="0" w:space="0" w:color="auto"/>
        <w:right w:val="none" w:sz="0" w:space="0" w:color="auto"/>
      </w:divBdr>
    </w:div>
    <w:div w:id="536967953">
      <w:bodyDiv w:val="1"/>
      <w:marLeft w:val="0"/>
      <w:marRight w:val="0"/>
      <w:marTop w:val="0"/>
      <w:marBottom w:val="0"/>
      <w:divBdr>
        <w:top w:val="none" w:sz="0" w:space="0" w:color="auto"/>
        <w:left w:val="none" w:sz="0" w:space="0" w:color="auto"/>
        <w:bottom w:val="none" w:sz="0" w:space="0" w:color="auto"/>
        <w:right w:val="none" w:sz="0" w:space="0" w:color="auto"/>
      </w:divBdr>
    </w:div>
    <w:div w:id="540023478">
      <w:bodyDiv w:val="1"/>
      <w:marLeft w:val="0"/>
      <w:marRight w:val="0"/>
      <w:marTop w:val="0"/>
      <w:marBottom w:val="0"/>
      <w:divBdr>
        <w:top w:val="none" w:sz="0" w:space="0" w:color="auto"/>
        <w:left w:val="none" w:sz="0" w:space="0" w:color="auto"/>
        <w:bottom w:val="none" w:sz="0" w:space="0" w:color="auto"/>
        <w:right w:val="none" w:sz="0" w:space="0" w:color="auto"/>
      </w:divBdr>
    </w:div>
    <w:div w:id="541089038">
      <w:bodyDiv w:val="1"/>
      <w:marLeft w:val="0"/>
      <w:marRight w:val="0"/>
      <w:marTop w:val="0"/>
      <w:marBottom w:val="0"/>
      <w:divBdr>
        <w:top w:val="none" w:sz="0" w:space="0" w:color="auto"/>
        <w:left w:val="none" w:sz="0" w:space="0" w:color="auto"/>
        <w:bottom w:val="none" w:sz="0" w:space="0" w:color="auto"/>
        <w:right w:val="none" w:sz="0" w:space="0" w:color="auto"/>
      </w:divBdr>
    </w:div>
    <w:div w:id="541751484">
      <w:bodyDiv w:val="1"/>
      <w:marLeft w:val="0"/>
      <w:marRight w:val="0"/>
      <w:marTop w:val="0"/>
      <w:marBottom w:val="0"/>
      <w:divBdr>
        <w:top w:val="none" w:sz="0" w:space="0" w:color="auto"/>
        <w:left w:val="none" w:sz="0" w:space="0" w:color="auto"/>
        <w:bottom w:val="none" w:sz="0" w:space="0" w:color="auto"/>
        <w:right w:val="none" w:sz="0" w:space="0" w:color="auto"/>
      </w:divBdr>
    </w:div>
    <w:div w:id="544175099">
      <w:bodyDiv w:val="1"/>
      <w:marLeft w:val="0"/>
      <w:marRight w:val="0"/>
      <w:marTop w:val="0"/>
      <w:marBottom w:val="0"/>
      <w:divBdr>
        <w:top w:val="none" w:sz="0" w:space="0" w:color="auto"/>
        <w:left w:val="none" w:sz="0" w:space="0" w:color="auto"/>
        <w:bottom w:val="none" w:sz="0" w:space="0" w:color="auto"/>
        <w:right w:val="none" w:sz="0" w:space="0" w:color="auto"/>
      </w:divBdr>
    </w:div>
    <w:div w:id="545722125">
      <w:bodyDiv w:val="1"/>
      <w:marLeft w:val="0"/>
      <w:marRight w:val="0"/>
      <w:marTop w:val="0"/>
      <w:marBottom w:val="0"/>
      <w:divBdr>
        <w:top w:val="none" w:sz="0" w:space="0" w:color="auto"/>
        <w:left w:val="none" w:sz="0" w:space="0" w:color="auto"/>
        <w:bottom w:val="none" w:sz="0" w:space="0" w:color="auto"/>
        <w:right w:val="none" w:sz="0" w:space="0" w:color="auto"/>
      </w:divBdr>
    </w:div>
    <w:div w:id="568031311">
      <w:bodyDiv w:val="1"/>
      <w:marLeft w:val="0"/>
      <w:marRight w:val="0"/>
      <w:marTop w:val="0"/>
      <w:marBottom w:val="0"/>
      <w:divBdr>
        <w:top w:val="none" w:sz="0" w:space="0" w:color="auto"/>
        <w:left w:val="none" w:sz="0" w:space="0" w:color="auto"/>
        <w:bottom w:val="none" w:sz="0" w:space="0" w:color="auto"/>
        <w:right w:val="none" w:sz="0" w:space="0" w:color="auto"/>
      </w:divBdr>
    </w:div>
    <w:div w:id="571088376">
      <w:bodyDiv w:val="1"/>
      <w:marLeft w:val="0"/>
      <w:marRight w:val="0"/>
      <w:marTop w:val="0"/>
      <w:marBottom w:val="0"/>
      <w:divBdr>
        <w:top w:val="none" w:sz="0" w:space="0" w:color="auto"/>
        <w:left w:val="none" w:sz="0" w:space="0" w:color="auto"/>
        <w:bottom w:val="none" w:sz="0" w:space="0" w:color="auto"/>
        <w:right w:val="none" w:sz="0" w:space="0" w:color="auto"/>
      </w:divBdr>
    </w:div>
    <w:div w:id="575474996">
      <w:bodyDiv w:val="1"/>
      <w:marLeft w:val="0"/>
      <w:marRight w:val="0"/>
      <w:marTop w:val="0"/>
      <w:marBottom w:val="0"/>
      <w:divBdr>
        <w:top w:val="none" w:sz="0" w:space="0" w:color="auto"/>
        <w:left w:val="none" w:sz="0" w:space="0" w:color="auto"/>
        <w:bottom w:val="none" w:sz="0" w:space="0" w:color="auto"/>
        <w:right w:val="none" w:sz="0" w:space="0" w:color="auto"/>
      </w:divBdr>
    </w:div>
    <w:div w:id="605189019">
      <w:bodyDiv w:val="1"/>
      <w:marLeft w:val="0"/>
      <w:marRight w:val="0"/>
      <w:marTop w:val="0"/>
      <w:marBottom w:val="0"/>
      <w:divBdr>
        <w:top w:val="none" w:sz="0" w:space="0" w:color="auto"/>
        <w:left w:val="none" w:sz="0" w:space="0" w:color="auto"/>
        <w:bottom w:val="none" w:sz="0" w:space="0" w:color="auto"/>
        <w:right w:val="none" w:sz="0" w:space="0" w:color="auto"/>
      </w:divBdr>
    </w:div>
    <w:div w:id="613444832">
      <w:bodyDiv w:val="1"/>
      <w:marLeft w:val="0"/>
      <w:marRight w:val="0"/>
      <w:marTop w:val="0"/>
      <w:marBottom w:val="0"/>
      <w:divBdr>
        <w:top w:val="none" w:sz="0" w:space="0" w:color="auto"/>
        <w:left w:val="none" w:sz="0" w:space="0" w:color="auto"/>
        <w:bottom w:val="none" w:sz="0" w:space="0" w:color="auto"/>
        <w:right w:val="none" w:sz="0" w:space="0" w:color="auto"/>
      </w:divBdr>
    </w:div>
    <w:div w:id="620721616">
      <w:bodyDiv w:val="1"/>
      <w:marLeft w:val="0"/>
      <w:marRight w:val="0"/>
      <w:marTop w:val="0"/>
      <w:marBottom w:val="0"/>
      <w:divBdr>
        <w:top w:val="none" w:sz="0" w:space="0" w:color="auto"/>
        <w:left w:val="none" w:sz="0" w:space="0" w:color="auto"/>
        <w:bottom w:val="none" w:sz="0" w:space="0" w:color="auto"/>
        <w:right w:val="none" w:sz="0" w:space="0" w:color="auto"/>
      </w:divBdr>
    </w:div>
    <w:div w:id="627128056">
      <w:bodyDiv w:val="1"/>
      <w:marLeft w:val="0"/>
      <w:marRight w:val="0"/>
      <w:marTop w:val="0"/>
      <w:marBottom w:val="0"/>
      <w:divBdr>
        <w:top w:val="none" w:sz="0" w:space="0" w:color="auto"/>
        <w:left w:val="none" w:sz="0" w:space="0" w:color="auto"/>
        <w:bottom w:val="none" w:sz="0" w:space="0" w:color="auto"/>
        <w:right w:val="none" w:sz="0" w:space="0" w:color="auto"/>
      </w:divBdr>
    </w:div>
    <w:div w:id="628709692">
      <w:bodyDiv w:val="1"/>
      <w:marLeft w:val="0"/>
      <w:marRight w:val="0"/>
      <w:marTop w:val="0"/>
      <w:marBottom w:val="0"/>
      <w:divBdr>
        <w:top w:val="none" w:sz="0" w:space="0" w:color="auto"/>
        <w:left w:val="none" w:sz="0" w:space="0" w:color="auto"/>
        <w:bottom w:val="none" w:sz="0" w:space="0" w:color="auto"/>
        <w:right w:val="none" w:sz="0" w:space="0" w:color="auto"/>
      </w:divBdr>
    </w:div>
    <w:div w:id="637298233">
      <w:bodyDiv w:val="1"/>
      <w:marLeft w:val="0"/>
      <w:marRight w:val="0"/>
      <w:marTop w:val="0"/>
      <w:marBottom w:val="0"/>
      <w:divBdr>
        <w:top w:val="none" w:sz="0" w:space="0" w:color="auto"/>
        <w:left w:val="none" w:sz="0" w:space="0" w:color="auto"/>
        <w:bottom w:val="none" w:sz="0" w:space="0" w:color="auto"/>
        <w:right w:val="none" w:sz="0" w:space="0" w:color="auto"/>
      </w:divBdr>
    </w:div>
    <w:div w:id="651520560">
      <w:bodyDiv w:val="1"/>
      <w:marLeft w:val="0"/>
      <w:marRight w:val="0"/>
      <w:marTop w:val="0"/>
      <w:marBottom w:val="0"/>
      <w:divBdr>
        <w:top w:val="none" w:sz="0" w:space="0" w:color="auto"/>
        <w:left w:val="none" w:sz="0" w:space="0" w:color="auto"/>
        <w:bottom w:val="none" w:sz="0" w:space="0" w:color="auto"/>
        <w:right w:val="none" w:sz="0" w:space="0" w:color="auto"/>
      </w:divBdr>
    </w:div>
    <w:div w:id="668017964">
      <w:bodyDiv w:val="1"/>
      <w:marLeft w:val="0"/>
      <w:marRight w:val="0"/>
      <w:marTop w:val="0"/>
      <w:marBottom w:val="0"/>
      <w:divBdr>
        <w:top w:val="none" w:sz="0" w:space="0" w:color="auto"/>
        <w:left w:val="none" w:sz="0" w:space="0" w:color="auto"/>
        <w:bottom w:val="none" w:sz="0" w:space="0" w:color="auto"/>
        <w:right w:val="none" w:sz="0" w:space="0" w:color="auto"/>
      </w:divBdr>
    </w:div>
    <w:div w:id="669210365">
      <w:bodyDiv w:val="1"/>
      <w:marLeft w:val="0"/>
      <w:marRight w:val="0"/>
      <w:marTop w:val="0"/>
      <w:marBottom w:val="0"/>
      <w:divBdr>
        <w:top w:val="none" w:sz="0" w:space="0" w:color="auto"/>
        <w:left w:val="none" w:sz="0" w:space="0" w:color="auto"/>
        <w:bottom w:val="none" w:sz="0" w:space="0" w:color="auto"/>
        <w:right w:val="none" w:sz="0" w:space="0" w:color="auto"/>
      </w:divBdr>
    </w:div>
    <w:div w:id="673534893">
      <w:bodyDiv w:val="1"/>
      <w:marLeft w:val="0"/>
      <w:marRight w:val="0"/>
      <w:marTop w:val="0"/>
      <w:marBottom w:val="0"/>
      <w:divBdr>
        <w:top w:val="none" w:sz="0" w:space="0" w:color="auto"/>
        <w:left w:val="none" w:sz="0" w:space="0" w:color="auto"/>
        <w:bottom w:val="none" w:sz="0" w:space="0" w:color="auto"/>
        <w:right w:val="none" w:sz="0" w:space="0" w:color="auto"/>
      </w:divBdr>
    </w:div>
    <w:div w:id="674958345">
      <w:bodyDiv w:val="1"/>
      <w:marLeft w:val="0"/>
      <w:marRight w:val="0"/>
      <w:marTop w:val="0"/>
      <w:marBottom w:val="0"/>
      <w:divBdr>
        <w:top w:val="none" w:sz="0" w:space="0" w:color="auto"/>
        <w:left w:val="none" w:sz="0" w:space="0" w:color="auto"/>
        <w:bottom w:val="none" w:sz="0" w:space="0" w:color="auto"/>
        <w:right w:val="none" w:sz="0" w:space="0" w:color="auto"/>
      </w:divBdr>
    </w:div>
    <w:div w:id="685718563">
      <w:bodyDiv w:val="1"/>
      <w:marLeft w:val="0"/>
      <w:marRight w:val="0"/>
      <w:marTop w:val="0"/>
      <w:marBottom w:val="0"/>
      <w:divBdr>
        <w:top w:val="none" w:sz="0" w:space="0" w:color="auto"/>
        <w:left w:val="none" w:sz="0" w:space="0" w:color="auto"/>
        <w:bottom w:val="none" w:sz="0" w:space="0" w:color="auto"/>
        <w:right w:val="none" w:sz="0" w:space="0" w:color="auto"/>
      </w:divBdr>
    </w:div>
    <w:div w:id="694307559">
      <w:bodyDiv w:val="1"/>
      <w:marLeft w:val="0"/>
      <w:marRight w:val="0"/>
      <w:marTop w:val="0"/>
      <w:marBottom w:val="0"/>
      <w:divBdr>
        <w:top w:val="none" w:sz="0" w:space="0" w:color="auto"/>
        <w:left w:val="none" w:sz="0" w:space="0" w:color="auto"/>
        <w:bottom w:val="none" w:sz="0" w:space="0" w:color="auto"/>
        <w:right w:val="none" w:sz="0" w:space="0" w:color="auto"/>
      </w:divBdr>
    </w:div>
    <w:div w:id="695234450">
      <w:bodyDiv w:val="1"/>
      <w:marLeft w:val="0"/>
      <w:marRight w:val="0"/>
      <w:marTop w:val="0"/>
      <w:marBottom w:val="0"/>
      <w:divBdr>
        <w:top w:val="none" w:sz="0" w:space="0" w:color="auto"/>
        <w:left w:val="none" w:sz="0" w:space="0" w:color="auto"/>
        <w:bottom w:val="none" w:sz="0" w:space="0" w:color="auto"/>
        <w:right w:val="none" w:sz="0" w:space="0" w:color="auto"/>
      </w:divBdr>
    </w:div>
    <w:div w:id="705056769">
      <w:bodyDiv w:val="1"/>
      <w:marLeft w:val="0"/>
      <w:marRight w:val="0"/>
      <w:marTop w:val="0"/>
      <w:marBottom w:val="0"/>
      <w:divBdr>
        <w:top w:val="none" w:sz="0" w:space="0" w:color="auto"/>
        <w:left w:val="none" w:sz="0" w:space="0" w:color="auto"/>
        <w:bottom w:val="none" w:sz="0" w:space="0" w:color="auto"/>
        <w:right w:val="none" w:sz="0" w:space="0" w:color="auto"/>
      </w:divBdr>
    </w:div>
    <w:div w:id="706561074">
      <w:bodyDiv w:val="1"/>
      <w:marLeft w:val="0"/>
      <w:marRight w:val="0"/>
      <w:marTop w:val="0"/>
      <w:marBottom w:val="0"/>
      <w:divBdr>
        <w:top w:val="none" w:sz="0" w:space="0" w:color="auto"/>
        <w:left w:val="none" w:sz="0" w:space="0" w:color="auto"/>
        <w:bottom w:val="none" w:sz="0" w:space="0" w:color="auto"/>
        <w:right w:val="none" w:sz="0" w:space="0" w:color="auto"/>
      </w:divBdr>
    </w:div>
    <w:div w:id="711197820">
      <w:bodyDiv w:val="1"/>
      <w:marLeft w:val="0"/>
      <w:marRight w:val="0"/>
      <w:marTop w:val="0"/>
      <w:marBottom w:val="0"/>
      <w:divBdr>
        <w:top w:val="none" w:sz="0" w:space="0" w:color="auto"/>
        <w:left w:val="none" w:sz="0" w:space="0" w:color="auto"/>
        <w:bottom w:val="none" w:sz="0" w:space="0" w:color="auto"/>
        <w:right w:val="none" w:sz="0" w:space="0" w:color="auto"/>
      </w:divBdr>
    </w:div>
    <w:div w:id="72156341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5836652">
      <w:bodyDiv w:val="1"/>
      <w:marLeft w:val="0"/>
      <w:marRight w:val="0"/>
      <w:marTop w:val="0"/>
      <w:marBottom w:val="0"/>
      <w:divBdr>
        <w:top w:val="none" w:sz="0" w:space="0" w:color="auto"/>
        <w:left w:val="none" w:sz="0" w:space="0" w:color="auto"/>
        <w:bottom w:val="none" w:sz="0" w:space="0" w:color="auto"/>
        <w:right w:val="none" w:sz="0" w:space="0" w:color="auto"/>
      </w:divBdr>
    </w:div>
    <w:div w:id="740519225">
      <w:bodyDiv w:val="1"/>
      <w:marLeft w:val="0"/>
      <w:marRight w:val="0"/>
      <w:marTop w:val="0"/>
      <w:marBottom w:val="0"/>
      <w:divBdr>
        <w:top w:val="none" w:sz="0" w:space="0" w:color="auto"/>
        <w:left w:val="none" w:sz="0" w:space="0" w:color="auto"/>
        <w:bottom w:val="none" w:sz="0" w:space="0" w:color="auto"/>
        <w:right w:val="none" w:sz="0" w:space="0" w:color="auto"/>
      </w:divBdr>
    </w:div>
    <w:div w:id="749621064">
      <w:bodyDiv w:val="1"/>
      <w:marLeft w:val="0"/>
      <w:marRight w:val="0"/>
      <w:marTop w:val="0"/>
      <w:marBottom w:val="0"/>
      <w:divBdr>
        <w:top w:val="none" w:sz="0" w:space="0" w:color="auto"/>
        <w:left w:val="none" w:sz="0" w:space="0" w:color="auto"/>
        <w:bottom w:val="none" w:sz="0" w:space="0" w:color="auto"/>
        <w:right w:val="none" w:sz="0" w:space="0" w:color="auto"/>
      </w:divBdr>
    </w:div>
    <w:div w:id="751779921">
      <w:bodyDiv w:val="1"/>
      <w:marLeft w:val="0"/>
      <w:marRight w:val="0"/>
      <w:marTop w:val="0"/>
      <w:marBottom w:val="0"/>
      <w:divBdr>
        <w:top w:val="none" w:sz="0" w:space="0" w:color="auto"/>
        <w:left w:val="none" w:sz="0" w:space="0" w:color="auto"/>
        <w:bottom w:val="none" w:sz="0" w:space="0" w:color="auto"/>
        <w:right w:val="none" w:sz="0" w:space="0" w:color="auto"/>
      </w:divBdr>
    </w:div>
    <w:div w:id="755515835">
      <w:bodyDiv w:val="1"/>
      <w:marLeft w:val="0"/>
      <w:marRight w:val="0"/>
      <w:marTop w:val="0"/>
      <w:marBottom w:val="0"/>
      <w:divBdr>
        <w:top w:val="none" w:sz="0" w:space="0" w:color="auto"/>
        <w:left w:val="none" w:sz="0" w:space="0" w:color="auto"/>
        <w:bottom w:val="none" w:sz="0" w:space="0" w:color="auto"/>
        <w:right w:val="none" w:sz="0" w:space="0" w:color="auto"/>
      </w:divBdr>
    </w:div>
    <w:div w:id="760223142">
      <w:bodyDiv w:val="1"/>
      <w:marLeft w:val="0"/>
      <w:marRight w:val="0"/>
      <w:marTop w:val="0"/>
      <w:marBottom w:val="0"/>
      <w:divBdr>
        <w:top w:val="none" w:sz="0" w:space="0" w:color="auto"/>
        <w:left w:val="none" w:sz="0" w:space="0" w:color="auto"/>
        <w:bottom w:val="none" w:sz="0" w:space="0" w:color="auto"/>
        <w:right w:val="none" w:sz="0" w:space="0" w:color="auto"/>
      </w:divBdr>
    </w:div>
    <w:div w:id="761797663">
      <w:bodyDiv w:val="1"/>
      <w:marLeft w:val="0"/>
      <w:marRight w:val="0"/>
      <w:marTop w:val="0"/>
      <w:marBottom w:val="0"/>
      <w:divBdr>
        <w:top w:val="none" w:sz="0" w:space="0" w:color="auto"/>
        <w:left w:val="none" w:sz="0" w:space="0" w:color="auto"/>
        <w:bottom w:val="none" w:sz="0" w:space="0" w:color="auto"/>
        <w:right w:val="none" w:sz="0" w:space="0" w:color="auto"/>
      </w:divBdr>
    </w:div>
    <w:div w:id="767506138">
      <w:bodyDiv w:val="1"/>
      <w:marLeft w:val="0"/>
      <w:marRight w:val="0"/>
      <w:marTop w:val="0"/>
      <w:marBottom w:val="0"/>
      <w:divBdr>
        <w:top w:val="none" w:sz="0" w:space="0" w:color="auto"/>
        <w:left w:val="none" w:sz="0" w:space="0" w:color="auto"/>
        <w:bottom w:val="none" w:sz="0" w:space="0" w:color="auto"/>
        <w:right w:val="none" w:sz="0" w:space="0" w:color="auto"/>
      </w:divBdr>
    </w:div>
    <w:div w:id="775833206">
      <w:bodyDiv w:val="1"/>
      <w:marLeft w:val="0"/>
      <w:marRight w:val="0"/>
      <w:marTop w:val="0"/>
      <w:marBottom w:val="0"/>
      <w:divBdr>
        <w:top w:val="none" w:sz="0" w:space="0" w:color="auto"/>
        <w:left w:val="none" w:sz="0" w:space="0" w:color="auto"/>
        <w:bottom w:val="none" w:sz="0" w:space="0" w:color="auto"/>
        <w:right w:val="none" w:sz="0" w:space="0" w:color="auto"/>
      </w:divBdr>
    </w:div>
    <w:div w:id="779420657">
      <w:bodyDiv w:val="1"/>
      <w:marLeft w:val="0"/>
      <w:marRight w:val="0"/>
      <w:marTop w:val="0"/>
      <w:marBottom w:val="0"/>
      <w:divBdr>
        <w:top w:val="none" w:sz="0" w:space="0" w:color="auto"/>
        <w:left w:val="none" w:sz="0" w:space="0" w:color="auto"/>
        <w:bottom w:val="none" w:sz="0" w:space="0" w:color="auto"/>
        <w:right w:val="none" w:sz="0" w:space="0" w:color="auto"/>
      </w:divBdr>
    </w:div>
    <w:div w:id="784274669">
      <w:bodyDiv w:val="1"/>
      <w:marLeft w:val="0"/>
      <w:marRight w:val="0"/>
      <w:marTop w:val="0"/>
      <w:marBottom w:val="0"/>
      <w:divBdr>
        <w:top w:val="none" w:sz="0" w:space="0" w:color="auto"/>
        <w:left w:val="none" w:sz="0" w:space="0" w:color="auto"/>
        <w:bottom w:val="none" w:sz="0" w:space="0" w:color="auto"/>
        <w:right w:val="none" w:sz="0" w:space="0" w:color="auto"/>
      </w:divBdr>
    </w:div>
    <w:div w:id="787622050">
      <w:bodyDiv w:val="1"/>
      <w:marLeft w:val="0"/>
      <w:marRight w:val="0"/>
      <w:marTop w:val="0"/>
      <w:marBottom w:val="0"/>
      <w:divBdr>
        <w:top w:val="none" w:sz="0" w:space="0" w:color="auto"/>
        <w:left w:val="none" w:sz="0" w:space="0" w:color="auto"/>
        <w:bottom w:val="none" w:sz="0" w:space="0" w:color="auto"/>
        <w:right w:val="none" w:sz="0" w:space="0" w:color="auto"/>
      </w:divBdr>
    </w:div>
    <w:div w:id="795176667">
      <w:bodyDiv w:val="1"/>
      <w:marLeft w:val="0"/>
      <w:marRight w:val="0"/>
      <w:marTop w:val="0"/>
      <w:marBottom w:val="0"/>
      <w:divBdr>
        <w:top w:val="none" w:sz="0" w:space="0" w:color="auto"/>
        <w:left w:val="none" w:sz="0" w:space="0" w:color="auto"/>
        <w:bottom w:val="none" w:sz="0" w:space="0" w:color="auto"/>
        <w:right w:val="none" w:sz="0" w:space="0" w:color="auto"/>
      </w:divBdr>
    </w:div>
    <w:div w:id="803737037">
      <w:bodyDiv w:val="1"/>
      <w:marLeft w:val="0"/>
      <w:marRight w:val="0"/>
      <w:marTop w:val="0"/>
      <w:marBottom w:val="0"/>
      <w:divBdr>
        <w:top w:val="none" w:sz="0" w:space="0" w:color="auto"/>
        <w:left w:val="none" w:sz="0" w:space="0" w:color="auto"/>
        <w:bottom w:val="none" w:sz="0" w:space="0" w:color="auto"/>
        <w:right w:val="none" w:sz="0" w:space="0" w:color="auto"/>
      </w:divBdr>
    </w:div>
    <w:div w:id="807430995">
      <w:bodyDiv w:val="1"/>
      <w:marLeft w:val="0"/>
      <w:marRight w:val="0"/>
      <w:marTop w:val="0"/>
      <w:marBottom w:val="0"/>
      <w:divBdr>
        <w:top w:val="none" w:sz="0" w:space="0" w:color="auto"/>
        <w:left w:val="none" w:sz="0" w:space="0" w:color="auto"/>
        <w:bottom w:val="none" w:sz="0" w:space="0" w:color="auto"/>
        <w:right w:val="none" w:sz="0" w:space="0" w:color="auto"/>
      </w:divBdr>
    </w:div>
    <w:div w:id="811405170">
      <w:bodyDiv w:val="1"/>
      <w:marLeft w:val="0"/>
      <w:marRight w:val="0"/>
      <w:marTop w:val="0"/>
      <w:marBottom w:val="0"/>
      <w:divBdr>
        <w:top w:val="none" w:sz="0" w:space="0" w:color="auto"/>
        <w:left w:val="none" w:sz="0" w:space="0" w:color="auto"/>
        <w:bottom w:val="none" w:sz="0" w:space="0" w:color="auto"/>
        <w:right w:val="none" w:sz="0" w:space="0" w:color="auto"/>
      </w:divBdr>
    </w:div>
    <w:div w:id="825974249">
      <w:bodyDiv w:val="1"/>
      <w:marLeft w:val="0"/>
      <w:marRight w:val="0"/>
      <w:marTop w:val="0"/>
      <w:marBottom w:val="0"/>
      <w:divBdr>
        <w:top w:val="none" w:sz="0" w:space="0" w:color="auto"/>
        <w:left w:val="none" w:sz="0" w:space="0" w:color="auto"/>
        <w:bottom w:val="none" w:sz="0" w:space="0" w:color="auto"/>
        <w:right w:val="none" w:sz="0" w:space="0" w:color="auto"/>
      </w:divBdr>
    </w:div>
    <w:div w:id="826938987">
      <w:bodyDiv w:val="1"/>
      <w:marLeft w:val="0"/>
      <w:marRight w:val="0"/>
      <w:marTop w:val="0"/>
      <w:marBottom w:val="0"/>
      <w:divBdr>
        <w:top w:val="none" w:sz="0" w:space="0" w:color="auto"/>
        <w:left w:val="none" w:sz="0" w:space="0" w:color="auto"/>
        <w:bottom w:val="none" w:sz="0" w:space="0" w:color="auto"/>
        <w:right w:val="none" w:sz="0" w:space="0" w:color="auto"/>
      </w:divBdr>
    </w:div>
    <w:div w:id="827206958">
      <w:bodyDiv w:val="1"/>
      <w:marLeft w:val="0"/>
      <w:marRight w:val="0"/>
      <w:marTop w:val="0"/>
      <w:marBottom w:val="0"/>
      <w:divBdr>
        <w:top w:val="none" w:sz="0" w:space="0" w:color="auto"/>
        <w:left w:val="none" w:sz="0" w:space="0" w:color="auto"/>
        <w:bottom w:val="none" w:sz="0" w:space="0" w:color="auto"/>
        <w:right w:val="none" w:sz="0" w:space="0" w:color="auto"/>
      </w:divBdr>
    </w:div>
    <w:div w:id="829633687">
      <w:bodyDiv w:val="1"/>
      <w:marLeft w:val="0"/>
      <w:marRight w:val="0"/>
      <w:marTop w:val="0"/>
      <w:marBottom w:val="0"/>
      <w:divBdr>
        <w:top w:val="none" w:sz="0" w:space="0" w:color="auto"/>
        <w:left w:val="none" w:sz="0" w:space="0" w:color="auto"/>
        <w:bottom w:val="none" w:sz="0" w:space="0" w:color="auto"/>
        <w:right w:val="none" w:sz="0" w:space="0" w:color="auto"/>
      </w:divBdr>
    </w:div>
    <w:div w:id="830025175">
      <w:bodyDiv w:val="1"/>
      <w:marLeft w:val="0"/>
      <w:marRight w:val="0"/>
      <w:marTop w:val="0"/>
      <w:marBottom w:val="0"/>
      <w:divBdr>
        <w:top w:val="none" w:sz="0" w:space="0" w:color="auto"/>
        <w:left w:val="none" w:sz="0" w:space="0" w:color="auto"/>
        <w:bottom w:val="none" w:sz="0" w:space="0" w:color="auto"/>
        <w:right w:val="none" w:sz="0" w:space="0" w:color="auto"/>
      </w:divBdr>
    </w:div>
    <w:div w:id="831264618">
      <w:bodyDiv w:val="1"/>
      <w:marLeft w:val="0"/>
      <w:marRight w:val="0"/>
      <w:marTop w:val="0"/>
      <w:marBottom w:val="0"/>
      <w:divBdr>
        <w:top w:val="none" w:sz="0" w:space="0" w:color="auto"/>
        <w:left w:val="none" w:sz="0" w:space="0" w:color="auto"/>
        <w:bottom w:val="none" w:sz="0" w:space="0" w:color="auto"/>
        <w:right w:val="none" w:sz="0" w:space="0" w:color="auto"/>
      </w:divBdr>
    </w:div>
    <w:div w:id="831993612">
      <w:bodyDiv w:val="1"/>
      <w:marLeft w:val="0"/>
      <w:marRight w:val="0"/>
      <w:marTop w:val="0"/>
      <w:marBottom w:val="0"/>
      <w:divBdr>
        <w:top w:val="none" w:sz="0" w:space="0" w:color="auto"/>
        <w:left w:val="none" w:sz="0" w:space="0" w:color="auto"/>
        <w:bottom w:val="none" w:sz="0" w:space="0" w:color="auto"/>
        <w:right w:val="none" w:sz="0" w:space="0" w:color="auto"/>
      </w:divBdr>
    </w:div>
    <w:div w:id="857235183">
      <w:bodyDiv w:val="1"/>
      <w:marLeft w:val="0"/>
      <w:marRight w:val="0"/>
      <w:marTop w:val="0"/>
      <w:marBottom w:val="0"/>
      <w:divBdr>
        <w:top w:val="none" w:sz="0" w:space="0" w:color="auto"/>
        <w:left w:val="none" w:sz="0" w:space="0" w:color="auto"/>
        <w:bottom w:val="none" w:sz="0" w:space="0" w:color="auto"/>
        <w:right w:val="none" w:sz="0" w:space="0" w:color="auto"/>
      </w:divBdr>
    </w:div>
    <w:div w:id="857355604">
      <w:bodyDiv w:val="1"/>
      <w:marLeft w:val="0"/>
      <w:marRight w:val="0"/>
      <w:marTop w:val="0"/>
      <w:marBottom w:val="0"/>
      <w:divBdr>
        <w:top w:val="none" w:sz="0" w:space="0" w:color="auto"/>
        <w:left w:val="none" w:sz="0" w:space="0" w:color="auto"/>
        <w:bottom w:val="none" w:sz="0" w:space="0" w:color="auto"/>
        <w:right w:val="none" w:sz="0" w:space="0" w:color="auto"/>
      </w:divBdr>
    </w:div>
    <w:div w:id="862598947">
      <w:bodyDiv w:val="1"/>
      <w:marLeft w:val="0"/>
      <w:marRight w:val="0"/>
      <w:marTop w:val="0"/>
      <w:marBottom w:val="0"/>
      <w:divBdr>
        <w:top w:val="none" w:sz="0" w:space="0" w:color="auto"/>
        <w:left w:val="none" w:sz="0" w:space="0" w:color="auto"/>
        <w:bottom w:val="none" w:sz="0" w:space="0" w:color="auto"/>
        <w:right w:val="none" w:sz="0" w:space="0" w:color="auto"/>
      </w:divBdr>
    </w:div>
    <w:div w:id="865796816">
      <w:bodyDiv w:val="1"/>
      <w:marLeft w:val="0"/>
      <w:marRight w:val="0"/>
      <w:marTop w:val="0"/>
      <w:marBottom w:val="0"/>
      <w:divBdr>
        <w:top w:val="none" w:sz="0" w:space="0" w:color="auto"/>
        <w:left w:val="none" w:sz="0" w:space="0" w:color="auto"/>
        <w:bottom w:val="none" w:sz="0" w:space="0" w:color="auto"/>
        <w:right w:val="none" w:sz="0" w:space="0" w:color="auto"/>
      </w:divBdr>
    </w:div>
    <w:div w:id="868030167">
      <w:bodyDiv w:val="1"/>
      <w:marLeft w:val="0"/>
      <w:marRight w:val="0"/>
      <w:marTop w:val="0"/>
      <w:marBottom w:val="0"/>
      <w:divBdr>
        <w:top w:val="none" w:sz="0" w:space="0" w:color="auto"/>
        <w:left w:val="none" w:sz="0" w:space="0" w:color="auto"/>
        <w:bottom w:val="none" w:sz="0" w:space="0" w:color="auto"/>
        <w:right w:val="none" w:sz="0" w:space="0" w:color="auto"/>
      </w:divBdr>
    </w:div>
    <w:div w:id="870413427">
      <w:bodyDiv w:val="1"/>
      <w:marLeft w:val="0"/>
      <w:marRight w:val="0"/>
      <w:marTop w:val="0"/>
      <w:marBottom w:val="0"/>
      <w:divBdr>
        <w:top w:val="none" w:sz="0" w:space="0" w:color="auto"/>
        <w:left w:val="none" w:sz="0" w:space="0" w:color="auto"/>
        <w:bottom w:val="none" w:sz="0" w:space="0" w:color="auto"/>
        <w:right w:val="none" w:sz="0" w:space="0" w:color="auto"/>
      </w:divBdr>
    </w:div>
    <w:div w:id="870799923">
      <w:bodyDiv w:val="1"/>
      <w:marLeft w:val="0"/>
      <w:marRight w:val="0"/>
      <w:marTop w:val="0"/>
      <w:marBottom w:val="0"/>
      <w:divBdr>
        <w:top w:val="none" w:sz="0" w:space="0" w:color="auto"/>
        <w:left w:val="none" w:sz="0" w:space="0" w:color="auto"/>
        <w:bottom w:val="none" w:sz="0" w:space="0" w:color="auto"/>
        <w:right w:val="none" w:sz="0" w:space="0" w:color="auto"/>
      </w:divBdr>
    </w:div>
    <w:div w:id="891112688">
      <w:bodyDiv w:val="1"/>
      <w:marLeft w:val="0"/>
      <w:marRight w:val="0"/>
      <w:marTop w:val="0"/>
      <w:marBottom w:val="0"/>
      <w:divBdr>
        <w:top w:val="none" w:sz="0" w:space="0" w:color="auto"/>
        <w:left w:val="none" w:sz="0" w:space="0" w:color="auto"/>
        <w:bottom w:val="none" w:sz="0" w:space="0" w:color="auto"/>
        <w:right w:val="none" w:sz="0" w:space="0" w:color="auto"/>
      </w:divBdr>
    </w:div>
    <w:div w:id="903839122">
      <w:bodyDiv w:val="1"/>
      <w:marLeft w:val="0"/>
      <w:marRight w:val="0"/>
      <w:marTop w:val="0"/>
      <w:marBottom w:val="0"/>
      <w:divBdr>
        <w:top w:val="none" w:sz="0" w:space="0" w:color="auto"/>
        <w:left w:val="none" w:sz="0" w:space="0" w:color="auto"/>
        <w:bottom w:val="none" w:sz="0" w:space="0" w:color="auto"/>
        <w:right w:val="none" w:sz="0" w:space="0" w:color="auto"/>
      </w:divBdr>
    </w:div>
    <w:div w:id="905073253">
      <w:bodyDiv w:val="1"/>
      <w:marLeft w:val="0"/>
      <w:marRight w:val="0"/>
      <w:marTop w:val="0"/>
      <w:marBottom w:val="0"/>
      <w:divBdr>
        <w:top w:val="none" w:sz="0" w:space="0" w:color="auto"/>
        <w:left w:val="none" w:sz="0" w:space="0" w:color="auto"/>
        <w:bottom w:val="none" w:sz="0" w:space="0" w:color="auto"/>
        <w:right w:val="none" w:sz="0" w:space="0" w:color="auto"/>
      </w:divBdr>
    </w:div>
    <w:div w:id="914319395">
      <w:bodyDiv w:val="1"/>
      <w:marLeft w:val="0"/>
      <w:marRight w:val="0"/>
      <w:marTop w:val="0"/>
      <w:marBottom w:val="0"/>
      <w:divBdr>
        <w:top w:val="none" w:sz="0" w:space="0" w:color="auto"/>
        <w:left w:val="none" w:sz="0" w:space="0" w:color="auto"/>
        <w:bottom w:val="none" w:sz="0" w:space="0" w:color="auto"/>
        <w:right w:val="none" w:sz="0" w:space="0" w:color="auto"/>
      </w:divBdr>
    </w:div>
    <w:div w:id="917520027">
      <w:bodyDiv w:val="1"/>
      <w:marLeft w:val="0"/>
      <w:marRight w:val="0"/>
      <w:marTop w:val="0"/>
      <w:marBottom w:val="0"/>
      <w:divBdr>
        <w:top w:val="none" w:sz="0" w:space="0" w:color="auto"/>
        <w:left w:val="none" w:sz="0" w:space="0" w:color="auto"/>
        <w:bottom w:val="none" w:sz="0" w:space="0" w:color="auto"/>
        <w:right w:val="none" w:sz="0" w:space="0" w:color="auto"/>
      </w:divBdr>
    </w:div>
    <w:div w:id="923956005">
      <w:bodyDiv w:val="1"/>
      <w:marLeft w:val="0"/>
      <w:marRight w:val="0"/>
      <w:marTop w:val="0"/>
      <w:marBottom w:val="0"/>
      <w:divBdr>
        <w:top w:val="none" w:sz="0" w:space="0" w:color="auto"/>
        <w:left w:val="none" w:sz="0" w:space="0" w:color="auto"/>
        <w:bottom w:val="none" w:sz="0" w:space="0" w:color="auto"/>
        <w:right w:val="none" w:sz="0" w:space="0" w:color="auto"/>
      </w:divBdr>
    </w:div>
    <w:div w:id="932862996">
      <w:bodyDiv w:val="1"/>
      <w:marLeft w:val="0"/>
      <w:marRight w:val="0"/>
      <w:marTop w:val="0"/>
      <w:marBottom w:val="0"/>
      <w:divBdr>
        <w:top w:val="none" w:sz="0" w:space="0" w:color="auto"/>
        <w:left w:val="none" w:sz="0" w:space="0" w:color="auto"/>
        <w:bottom w:val="none" w:sz="0" w:space="0" w:color="auto"/>
        <w:right w:val="none" w:sz="0" w:space="0" w:color="auto"/>
      </w:divBdr>
    </w:div>
    <w:div w:id="934091392">
      <w:bodyDiv w:val="1"/>
      <w:marLeft w:val="0"/>
      <w:marRight w:val="0"/>
      <w:marTop w:val="0"/>
      <w:marBottom w:val="0"/>
      <w:divBdr>
        <w:top w:val="none" w:sz="0" w:space="0" w:color="auto"/>
        <w:left w:val="none" w:sz="0" w:space="0" w:color="auto"/>
        <w:bottom w:val="none" w:sz="0" w:space="0" w:color="auto"/>
        <w:right w:val="none" w:sz="0" w:space="0" w:color="auto"/>
      </w:divBdr>
    </w:div>
    <w:div w:id="935406012">
      <w:bodyDiv w:val="1"/>
      <w:marLeft w:val="0"/>
      <w:marRight w:val="0"/>
      <w:marTop w:val="0"/>
      <w:marBottom w:val="0"/>
      <w:divBdr>
        <w:top w:val="none" w:sz="0" w:space="0" w:color="auto"/>
        <w:left w:val="none" w:sz="0" w:space="0" w:color="auto"/>
        <w:bottom w:val="none" w:sz="0" w:space="0" w:color="auto"/>
        <w:right w:val="none" w:sz="0" w:space="0" w:color="auto"/>
      </w:divBdr>
    </w:div>
    <w:div w:id="936717866">
      <w:bodyDiv w:val="1"/>
      <w:marLeft w:val="0"/>
      <w:marRight w:val="0"/>
      <w:marTop w:val="0"/>
      <w:marBottom w:val="0"/>
      <w:divBdr>
        <w:top w:val="none" w:sz="0" w:space="0" w:color="auto"/>
        <w:left w:val="none" w:sz="0" w:space="0" w:color="auto"/>
        <w:bottom w:val="none" w:sz="0" w:space="0" w:color="auto"/>
        <w:right w:val="none" w:sz="0" w:space="0" w:color="auto"/>
      </w:divBdr>
    </w:div>
    <w:div w:id="943070865">
      <w:bodyDiv w:val="1"/>
      <w:marLeft w:val="0"/>
      <w:marRight w:val="0"/>
      <w:marTop w:val="0"/>
      <w:marBottom w:val="0"/>
      <w:divBdr>
        <w:top w:val="none" w:sz="0" w:space="0" w:color="auto"/>
        <w:left w:val="none" w:sz="0" w:space="0" w:color="auto"/>
        <w:bottom w:val="none" w:sz="0" w:space="0" w:color="auto"/>
        <w:right w:val="none" w:sz="0" w:space="0" w:color="auto"/>
      </w:divBdr>
    </w:div>
    <w:div w:id="951977506">
      <w:bodyDiv w:val="1"/>
      <w:marLeft w:val="0"/>
      <w:marRight w:val="0"/>
      <w:marTop w:val="0"/>
      <w:marBottom w:val="0"/>
      <w:divBdr>
        <w:top w:val="none" w:sz="0" w:space="0" w:color="auto"/>
        <w:left w:val="none" w:sz="0" w:space="0" w:color="auto"/>
        <w:bottom w:val="none" w:sz="0" w:space="0" w:color="auto"/>
        <w:right w:val="none" w:sz="0" w:space="0" w:color="auto"/>
      </w:divBdr>
    </w:div>
    <w:div w:id="959259073">
      <w:bodyDiv w:val="1"/>
      <w:marLeft w:val="0"/>
      <w:marRight w:val="0"/>
      <w:marTop w:val="0"/>
      <w:marBottom w:val="0"/>
      <w:divBdr>
        <w:top w:val="none" w:sz="0" w:space="0" w:color="auto"/>
        <w:left w:val="none" w:sz="0" w:space="0" w:color="auto"/>
        <w:bottom w:val="none" w:sz="0" w:space="0" w:color="auto"/>
        <w:right w:val="none" w:sz="0" w:space="0" w:color="auto"/>
      </w:divBdr>
    </w:div>
    <w:div w:id="96982052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876759">
      <w:bodyDiv w:val="1"/>
      <w:marLeft w:val="0"/>
      <w:marRight w:val="0"/>
      <w:marTop w:val="0"/>
      <w:marBottom w:val="0"/>
      <w:divBdr>
        <w:top w:val="none" w:sz="0" w:space="0" w:color="auto"/>
        <w:left w:val="none" w:sz="0" w:space="0" w:color="auto"/>
        <w:bottom w:val="none" w:sz="0" w:space="0" w:color="auto"/>
        <w:right w:val="none" w:sz="0" w:space="0" w:color="auto"/>
      </w:divBdr>
    </w:div>
    <w:div w:id="979112024">
      <w:bodyDiv w:val="1"/>
      <w:marLeft w:val="0"/>
      <w:marRight w:val="0"/>
      <w:marTop w:val="0"/>
      <w:marBottom w:val="0"/>
      <w:divBdr>
        <w:top w:val="none" w:sz="0" w:space="0" w:color="auto"/>
        <w:left w:val="none" w:sz="0" w:space="0" w:color="auto"/>
        <w:bottom w:val="none" w:sz="0" w:space="0" w:color="auto"/>
        <w:right w:val="none" w:sz="0" w:space="0" w:color="auto"/>
      </w:divBdr>
    </w:div>
    <w:div w:id="983584019">
      <w:bodyDiv w:val="1"/>
      <w:marLeft w:val="0"/>
      <w:marRight w:val="0"/>
      <w:marTop w:val="0"/>
      <w:marBottom w:val="0"/>
      <w:divBdr>
        <w:top w:val="none" w:sz="0" w:space="0" w:color="auto"/>
        <w:left w:val="none" w:sz="0" w:space="0" w:color="auto"/>
        <w:bottom w:val="none" w:sz="0" w:space="0" w:color="auto"/>
        <w:right w:val="none" w:sz="0" w:space="0" w:color="auto"/>
      </w:divBdr>
    </w:div>
    <w:div w:id="985012354">
      <w:bodyDiv w:val="1"/>
      <w:marLeft w:val="0"/>
      <w:marRight w:val="0"/>
      <w:marTop w:val="0"/>
      <w:marBottom w:val="0"/>
      <w:divBdr>
        <w:top w:val="none" w:sz="0" w:space="0" w:color="auto"/>
        <w:left w:val="none" w:sz="0" w:space="0" w:color="auto"/>
        <w:bottom w:val="none" w:sz="0" w:space="0" w:color="auto"/>
        <w:right w:val="none" w:sz="0" w:space="0" w:color="auto"/>
      </w:divBdr>
    </w:div>
    <w:div w:id="993028552">
      <w:bodyDiv w:val="1"/>
      <w:marLeft w:val="0"/>
      <w:marRight w:val="0"/>
      <w:marTop w:val="0"/>
      <w:marBottom w:val="0"/>
      <w:divBdr>
        <w:top w:val="none" w:sz="0" w:space="0" w:color="auto"/>
        <w:left w:val="none" w:sz="0" w:space="0" w:color="auto"/>
        <w:bottom w:val="none" w:sz="0" w:space="0" w:color="auto"/>
        <w:right w:val="none" w:sz="0" w:space="0" w:color="auto"/>
      </w:divBdr>
    </w:div>
    <w:div w:id="996109974">
      <w:bodyDiv w:val="1"/>
      <w:marLeft w:val="0"/>
      <w:marRight w:val="0"/>
      <w:marTop w:val="0"/>
      <w:marBottom w:val="0"/>
      <w:divBdr>
        <w:top w:val="none" w:sz="0" w:space="0" w:color="auto"/>
        <w:left w:val="none" w:sz="0" w:space="0" w:color="auto"/>
        <w:bottom w:val="none" w:sz="0" w:space="0" w:color="auto"/>
        <w:right w:val="none" w:sz="0" w:space="0" w:color="auto"/>
      </w:divBdr>
    </w:div>
    <w:div w:id="998844757">
      <w:bodyDiv w:val="1"/>
      <w:marLeft w:val="0"/>
      <w:marRight w:val="0"/>
      <w:marTop w:val="0"/>
      <w:marBottom w:val="0"/>
      <w:divBdr>
        <w:top w:val="none" w:sz="0" w:space="0" w:color="auto"/>
        <w:left w:val="none" w:sz="0" w:space="0" w:color="auto"/>
        <w:bottom w:val="none" w:sz="0" w:space="0" w:color="auto"/>
        <w:right w:val="none" w:sz="0" w:space="0" w:color="auto"/>
      </w:divBdr>
    </w:div>
    <w:div w:id="1001348218">
      <w:bodyDiv w:val="1"/>
      <w:marLeft w:val="0"/>
      <w:marRight w:val="0"/>
      <w:marTop w:val="0"/>
      <w:marBottom w:val="0"/>
      <w:divBdr>
        <w:top w:val="none" w:sz="0" w:space="0" w:color="auto"/>
        <w:left w:val="none" w:sz="0" w:space="0" w:color="auto"/>
        <w:bottom w:val="none" w:sz="0" w:space="0" w:color="auto"/>
        <w:right w:val="none" w:sz="0" w:space="0" w:color="auto"/>
      </w:divBdr>
    </w:div>
    <w:div w:id="1001547701">
      <w:bodyDiv w:val="1"/>
      <w:marLeft w:val="0"/>
      <w:marRight w:val="0"/>
      <w:marTop w:val="0"/>
      <w:marBottom w:val="0"/>
      <w:divBdr>
        <w:top w:val="none" w:sz="0" w:space="0" w:color="auto"/>
        <w:left w:val="none" w:sz="0" w:space="0" w:color="auto"/>
        <w:bottom w:val="none" w:sz="0" w:space="0" w:color="auto"/>
        <w:right w:val="none" w:sz="0" w:space="0" w:color="auto"/>
      </w:divBdr>
    </w:div>
    <w:div w:id="1002121922">
      <w:bodyDiv w:val="1"/>
      <w:marLeft w:val="0"/>
      <w:marRight w:val="0"/>
      <w:marTop w:val="0"/>
      <w:marBottom w:val="0"/>
      <w:divBdr>
        <w:top w:val="none" w:sz="0" w:space="0" w:color="auto"/>
        <w:left w:val="none" w:sz="0" w:space="0" w:color="auto"/>
        <w:bottom w:val="none" w:sz="0" w:space="0" w:color="auto"/>
        <w:right w:val="none" w:sz="0" w:space="0" w:color="auto"/>
      </w:divBdr>
    </w:div>
    <w:div w:id="1009409584">
      <w:bodyDiv w:val="1"/>
      <w:marLeft w:val="0"/>
      <w:marRight w:val="0"/>
      <w:marTop w:val="0"/>
      <w:marBottom w:val="0"/>
      <w:divBdr>
        <w:top w:val="none" w:sz="0" w:space="0" w:color="auto"/>
        <w:left w:val="none" w:sz="0" w:space="0" w:color="auto"/>
        <w:bottom w:val="none" w:sz="0" w:space="0" w:color="auto"/>
        <w:right w:val="none" w:sz="0" w:space="0" w:color="auto"/>
      </w:divBdr>
    </w:div>
    <w:div w:id="1014651514">
      <w:bodyDiv w:val="1"/>
      <w:marLeft w:val="0"/>
      <w:marRight w:val="0"/>
      <w:marTop w:val="0"/>
      <w:marBottom w:val="0"/>
      <w:divBdr>
        <w:top w:val="none" w:sz="0" w:space="0" w:color="auto"/>
        <w:left w:val="none" w:sz="0" w:space="0" w:color="auto"/>
        <w:bottom w:val="none" w:sz="0" w:space="0" w:color="auto"/>
        <w:right w:val="none" w:sz="0" w:space="0" w:color="auto"/>
      </w:divBdr>
    </w:div>
    <w:div w:id="1016229327">
      <w:bodyDiv w:val="1"/>
      <w:marLeft w:val="0"/>
      <w:marRight w:val="0"/>
      <w:marTop w:val="0"/>
      <w:marBottom w:val="0"/>
      <w:divBdr>
        <w:top w:val="none" w:sz="0" w:space="0" w:color="auto"/>
        <w:left w:val="none" w:sz="0" w:space="0" w:color="auto"/>
        <w:bottom w:val="none" w:sz="0" w:space="0" w:color="auto"/>
        <w:right w:val="none" w:sz="0" w:space="0" w:color="auto"/>
      </w:divBdr>
    </w:div>
    <w:div w:id="1021056079">
      <w:bodyDiv w:val="1"/>
      <w:marLeft w:val="0"/>
      <w:marRight w:val="0"/>
      <w:marTop w:val="0"/>
      <w:marBottom w:val="0"/>
      <w:divBdr>
        <w:top w:val="none" w:sz="0" w:space="0" w:color="auto"/>
        <w:left w:val="none" w:sz="0" w:space="0" w:color="auto"/>
        <w:bottom w:val="none" w:sz="0" w:space="0" w:color="auto"/>
        <w:right w:val="none" w:sz="0" w:space="0" w:color="auto"/>
      </w:divBdr>
    </w:div>
    <w:div w:id="1031878663">
      <w:bodyDiv w:val="1"/>
      <w:marLeft w:val="0"/>
      <w:marRight w:val="0"/>
      <w:marTop w:val="0"/>
      <w:marBottom w:val="0"/>
      <w:divBdr>
        <w:top w:val="none" w:sz="0" w:space="0" w:color="auto"/>
        <w:left w:val="none" w:sz="0" w:space="0" w:color="auto"/>
        <w:bottom w:val="none" w:sz="0" w:space="0" w:color="auto"/>
        <w:right w:val="none" w:sz="0" w:space="0" w:color="auto"/>
      </w:divBdr>
    </w:div>
    <w:div w:id="1032269506">
      <w:bodyDiv w:val="1"/>
      <w:marLeft w:val="0"/>
      <w:marRight w:val="0"/>
      <w:marTop w:val="0"/>
      <w:marBottom w:val="0"/>
      <w:divBdr>
        <w:top w:val="none" w:sz="0" w:space="0" w:color="auto"/>
        <w:left w:val="none" w:sz="0" w:space="0" w:color="auto"/>
        <w:bottom w:val="none" w:sz="0" w:space="0" w:color="auto"/>
        <w:right w:val="none" w:sz="0" w:space="0" w:color="auto"/>
      </w:divBdr>
    </w:div>
    <w:div w:id="1039669228">
      <w:bodyDiv w:val="1"/>
      <w:marLeft w:val="0"/>
      <w:marRight w:val="0"/>
      <w:marTop w:val="0"/>
      <w:marBottom w:val="0"/>
      <w:divBdr>
        <w:top w:val="none" w:sz="0" w:space="0" w:color="auto"/>
        <w:left w:val="none" w:sz="0" w:space="0" w:color="auto"/>
        <w:bottom w:val="none" w:sz="0" w:space="0" w:color="auto"/>
        <w:right w:val="none" w:sz="0" w:space="0" w:color="auto"/>
      </w:divBdr>
    </w:div>
    <w:div w:id="1047068926">
      <w:bodyDiv w:val="1"/>
      <w:marLeft w:val="0"/>
      <w:marRight w:val="0"/>
      <w:marTop w:val="0"/>
      <w:marBottom w:val="0"/>
      <w:divBdr>
        <w:top w:val="none" w:sz="0" w:space="0" w:color="auto"/>
        <w:left w:val="none" w:sz="0" w:space="0" w:color="auto"/>
        <w:bottom w:val="none" w:sz="0" w:space="0" w:color="auto"/>
        <w:right w:val="none" w:sz="0" w:space="0" w:color="auto"/>
      </w:divBdr>
    </w:div>
    <w:div w:id="1052923996">
      <w:bodyDiv w:val="1"/>
      <w:marLeft w:val="0"/>
      <w:marRight w:val="0"/>
      <w:marTop w:val="0"/>
      <w:marBottom w:val="0"/>
      <w:divBdr>
        <w:top w:val="none" w:sz="0" w:space="0" w:color="auto"/>
        <w:left w:val="none" w:sz="0" w:space="0" w:color="auto"/>
        <w:bottom w:val="none" w:sz="0" w:space="0" w:color="auto"/>
        <w:right w:val="none" w:sz="0" w:space="0" w:color="auto"/>
      </w:divBdr>
    </w:div>
    <w:div w:id="1054281999">
      <w:bodyDiv w:val="1"/>
      <w:marLeft w:val="0"/>
      <w:marRight w:val="0"/>
      <w:marTop w:val="0"/>
      <w:marBottom w:val="0"/>
      <w:divBdr>
        <w:top w:val="none" w:sz="0" w:space="0" w:color="auto"/>
        <w:left w:val="none" w:sz="0" w:space="0" w:color="auto"/>
        <w:bottom w:val="none" w:sz="0" w:space="0" w:color="auto"/>
        <w:right w:val="none" w:sz="0" w:space="0" w:color="auto"/>
      </w:divBdr>
    </w:div>
    <w:div w:id="1059861331">
      <w:bodyDiv w:val="1"/>
      <w:marLeft w:val="0"/>
      <w:marRight w:val="0"/>
      <w:marTop w:val="0"/>
      <w:marBottom w:val="0"/>
      <w:divBdr>
        <w:top w:val="none" w:sz="0" w:space="0" w:color="auto"/>
        <w:left w:val="none" w:sz="0" w:space="0" w:color="auto"/>
        <w:bottom w:val="none" w:sz="0" w:space="0" w:color="auto"/>
        <w:right w:val="none" w:sz="0" w:space="0" w:color="auto"/>
      </w:divBdr>
    </w:div>
    <w:div w:id="1064329230">
      <w:bodyDiv w:val="1"/>
      <w:marLeft w:val="0"/>
      <w:marRight w:val="0"/>
      <w:marTop w:val="0"/>
      <w:marBottom w:val="0"/>
      <w:divBdr>
        <w:top w:val="none" w:sz="0" w:space="0" w:color="auto"/>
        <w:left w:val="none" w:sz="0" w:space="0" w:color="auto"/>
        <w:bottom w:val="none" w:sz="0" w:space="0" w:color="auto"/>
        <w:right w:val="none" w:sz="0" w:space="0" w:color="auto"/>
      </w:divBdr>
    </w:div>
    <w:div w:id="1069572856">
      <w:bodyDiv w:val="1"/>
      <w:marLeft w:val="0"/>
      <w:marRight w:val="0"/>
      <w:marTop w:val="0"/>
      <w:marBottom w:val="0"/>
      <w:divBdr>
        <w:top w:val="none" w:sz="0" w:space="0" w:color="auto"/>
        <w:left w:val="none" w:sz="0" w:space="0" w:color="auto"/>
        <w:bottom w:val="none" w:sz="0" w:space="0" w:color="auto"/>
        <w:right w:val="none" w:sz="0" w:space="0" w:color="auto"/>
      </w:divBdr>
    </w:div>
    <w:div w:id="1070734143">
      <w:bodyDiv w:val="1"/>
      <w:marLeft w:val="0"/>
      <w:marRight w:val="0"/>
      <w:marTop w:val="0"/>
      <w:marBottom w:val="0"/>
      <w:divBdr>
        <w:top w:val="none" w:sz="0" w:space="0" w:color="auto"/>
        <w:left w:val="none" w:sz="0" w:space="0" w:color="auto"/>
        <w:bottom w:val="none" w:sz="0" w:space="0" w:color="auto"/>
        <w:right w:val="none" w:sz="0" w:space="0" w:color="auto"/>
      </w:divBdr>
    </w:div>
    <w:div w:id="1079598427">
      <w:bodyDiv w:val="1"/>
      <w:marLeft w:val="0"/>
      <w:marRight w:val="0"/>
      <w:marTop w:val="0"/>
      <w:marBottom w:val="0"/>
      <w:divBdr>
        <w:top w:val="none" w:sz="0" w:space="0" w:color="auto"/>
        <w:left w:val="none" w:sz="0" w:space="0" w:color="auto"/>
        <w:bottom w:val="none" w:sz="0" w:space="0" w:color="auto"/>
        <w:right w:val="none" w:sz="0" w:space="0" w:color="auto"/>
      </w:divBdr>
    </w:div>
    <w:div w:id="1084649500">
      <w:bodyDiv w:val="1"/>
      <w:marLeft w:val="0"/>
      <w:marRight w:val="0"/>
      <w:marTop w:val="0"/>
      <w:marBottom w:val="0"/>
      <w:divBdr>
        <w:top w:val="none" w:sz="0" w:space="0" w:color="auto"/>
        <w:left w:val="none" w:sz="0" w:space="0" w:color="auto"/>
        <w:bottom w:val="none" w:sz="0" w:space="0" w:color="auto"/>
        <w:right w:val="none" w:sz="0" w:space="0" w:color="auto"/>
      </w:divBdr>
    </w:div>
    <w:div w:id="1086341104">
      <w:bodyDiv w:val="1"/>
      <w:marLeft w:val="0"/>
      <w:marRight w:val="0"/>
      <w:marTop w:val="0"/>
      <w:marBottom w:val="0"/>
      <w:divBdr>
        <w:top w:val="none" w:sz="0" w:space="0" w:color="auto"/>
        <w:left w:val="none" w:sz="0" w:space="0" w:color="auto"/>
        <w:bottom w:val="none" w:sz="0" w:space="0" w:color="auto"/>
        <w:right w:val="none" w:sz="0" w:space="0" w:color="auto"/>
      </w:divBdr>
    </w:div>
    <w:div w:id="1092704795">
      <w:bodyDiv w:val="1"/>
      <w:marLeft w:val="0"/>
      <w:marRight w:val="0"/>
      <w:marTop w:val="0"/>
      <w:marBottom w:val="0"/>
      <w:divBdr>
        <w:top w:val="none" w:sz="0" w:space="0" w:color="auto"/>
        <w:left w:val="none" w:sz="0" w:space="0" w:color="auto"/>
        <w:bottom w:val="none" w:sz="0" w:space="0" w:color="auto"/>
        <w:right w:val="none" w:sz="0" w:space="0" w:color="auto"/>
      </w:divBdr>
    </w:div>
    <w:div w:id="1113939594">
      <w:bodyDiv w:val="1"/>
      <w:marLeft w:val="0"/>
      <w:marRight w:val="0"/>
      <w:marTop w:val="0"/>
      <w:marBottom w:val="0"/>
      <w:divBdr>
        <w:top w:val="none" w:sz="0" w:space="0" w:color="auto"/>
        <w:left w:val="none" w:sz="0" w:space="0" w:color="auto"/>
        <w:bottom w:val="none" w:sz="0" w:space="0" w:color="auto"/>
        <w:right w:val="none" w:sz="0" w:space="0" w:color="auto"/>
      </w:divBdr>
    </w:div>
    <w:div w:id="11250832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802346">
      <w:bodyDiv w:val="1"/>
      <w:marLeft w:val="0"/>
      <w:marRight w:val="0"/>
      <w:marTop w:val="0"/>
      <w:marBottom w:val="0"/>
      <w:divBdr>
        <w:top w:val="none" w:sz="0" w:space="0" w:color="auto"/>
        <w:left w:val="none" w:sz="0" w:space="0" w:color="auto"/>
        <w:bottom w:val="none" w:sz="0" w:space="0" w:color="auto"/>
        <w:right w:val="none" w:sz="0" w:space="0" w:color="auto"/>
      </w:divBdr>
    </w:div>
    <w:div w:id="1149861002">
      <w:bodyDiv w:val="1"/>
      <w:marLeft w:val="0"/>
      <w:marRight w:val="0"/>
      <w:marTop w:val="0"/>
      <w:marBottom w:val="0"/>
      <w:divBdr>
        <w:top w:val="none" w:sz="0" w:space="0" w:color="auto"/>
        <w:left w:val="none" w:sz="0" w:space="0" w:color="auto"/>
        <w:bottom w:val="none" w:sz="0" w:space="0" w:color="auto"/>
        <w:right w:val="none" w:sz="0" w:space="0" w:color="auto"/>
      </w:divBdr>
    </w:div>
    <w:div w:id="1155412305">
      <w:bodyDiv w:val="1"/>
      <w:marLeft w:val="0"/>
      <w:marRight w:val="0"/>
      <w:marTop w:val="0"/>
      <w:marBottom w:val="0"/>
      <w:divBdr>
        <w:top w:val="none" w:sz="0" w:space="0" w:color="auto"/>
        <w:left w:val="none" w:sz="0" w:space="0" w:color="auto"/>
        <w:bottom w:val="none" w:sz="0" w:space="0" w:color="auto"/>
        <w:right w:val="none" w:sz="0" w:space="0" w:color="auto"/>
      </w:divBdr>
    </w:div>
    <w:div w:id="1166087940">
      <w:bodyDiv w:val="1"/>
      <w:marLeft w:val="0"/>
      <w:marRight w:val="0"/>
      <w:marTop w:val="0"/>
      <w:marBottom w:val="0"/>
      <w:divBdr>
        <w:top w:val="none" w:sz="0" w:space="0" w:color="auto"/>
        <w:left w:val="none" w:sz="0" w:space="0" w:color="auto"/>
        <w:bottom w:val="none" w:sz="0" w:space="0" w:color="auto"/>
        <w:right w:val="none" w:sz="0" w:space="0" w:color="auto"/>
      </w:divBdr>
    </w:div>
    <w:div w:id="1176530627">
      <w:bodyDiv w:val="1"/>
      <w:marLeft w:val="0"/>
      <w:marRight w:val="0"/>
      <w:marTop w:val="0"/>
      <w:marBottom w:val="0"/>
      <w:divBdr>
        <w:top w:val="none" w:sz="0" w:space="0" w:color="auto"/>
        <w:left w:val="none" w:sz="0" w:space="0" w:color="auto"/>
        <w:bottom w:val="none" w:sz="0" w:space="0" w:color="auto"/>
        <w:right w:val="none" w:sz="0" w:space="0" w:color="auto"/>
      </w:divBdr>
    </w:div>
    <w:div w:id="1176845082">
      <w:bodyDiv w:val="1"/>
      <w:marLeft w:val="0"/>
      <w:marRight w:val="0"/>
      <w:marTop w:val="0"/>
      <w:marBottom w:val="0"/>
      <w:divBdr>
        <w:top w:val="none" w:sz="0" w:space="0" w:color="auto"/>
        <w:left w:val="none" w:sz="0" w:space="0" w:color="auto"/>
        <w:bottom w:val="none" w:sz="0" w:space="0" w:color="auto"/>
        <w:right w:val="none" w:sz="0" w:space="0" w:color="auto"/>
      </w:divBdr>
    </w:div>
    <w:div w:id="1197739505">
      <w:bodyDiv w:val="1"/>
      <w:marLeft w:val="0"/>
      <w:marRight w:val="0"/>
      <w:marTop w:val="0"/>
      <w:marBottom w:val="0"/>
      <w:divBdr>
        <w:top w:val="none" w:sz="0" w:space="0" w:color="auto"/>
        <w:left w:val="none" w:sz="0" w:space="0" w:color="auto"/>
        <w:bottom w:val="none" w:sz="0" w:space="0" w:color="auto"/>
        <w:right w:val="none" w:sz="0" w:space="0" w:color="auto"/>
      </w:divBdr>
    </w:div>
    <w:div w:id="1201164462">
      <w:bodyDiv w:val="1"/>
      <w:marLeft w:val="0"/>
      <w:marRight w:val="0"/>
      <w:marTop w:val="0"/>
      <w:marBottom w:val="0"/>
      <w:divBdr>
        <w:top w:val="none" w:sz="0" w:space="0" w:color="auto"/>
        <w:left w:val="none" w:sz="0" w:space="0" w:color="auto"/>
        <w:bottom w:val="none" w:sz="0" w:space="0" w:color="auto"/>
        <w:right w:val="none" w:sz="0" w:space="0" w:color="auto"/>
      </w:divBdr>
    </w:div>
    <w:div w:id="120209346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599148">
      <w:bodyDiv w:val="1"/>
      <w:marLeft w:val="0"/>
      <w:marRight w:val="0"/>
      <w:marTop w:val="0"/>
      <w:marBottom w:val="0"/>
      <w:divBdr>
        <w:top w:val="none" w:sz="0" w:space="0" w:color="auto"/>
        <w:left w:val="none" w:sz="0" w:space="0" w:color="auto"/>
        <w:bottom w:val="none" w:sz="0" w:space="0" w:color="auto"/>
        <w:right w:val="none" w:sz="0" w:space="0" w:color="auto"/>
      </w:divBdr>
    </w:div>
    <w:div w:id="1208681504">
      <w:bodyDiv w:val="1"/>
      <w:marLeft w:val="0"/>
      <w:marRight w:val="0"/>
      <w:marTop w:val="0"/>
      <w:marBottom w:val="0"/>
      <w:divBdr>
        <w:top w:val="none" w:sz="0" w:space="0" w:color="auto"/>
        <w:left w:val="none" w:sz="0" w:space="0" w:color="auto"/>
        <w:bottom w:val="none" w:sz="0" w:space="0" w:color="auto"/>
        <w:right w:val="none" w:sz="0" w:space="0" w:color="auto"/>
      </w:divBdr>
    </w:div>
    <w:div w:id="1212425010">
      <w:bodyDiv w:val="1"/>
      <w:marLeft w:val="0"/>
      <w:marRight w:val="0"/>
      <w:marTop w:val="0"/>
      <w:marBottom w:val="0"/>
      <w:divBdr>
        <w:top w:val="none" w:sz="0" w:space="0" w:color="auto"/>
        <w:left w:val="none" w:sz="0" w:space="0" w:color="auto"/>
        <w:bottom w:val="none" w:sz="0" w:space="0" w:color="auto"/>
        <w:right w:val="none" w:sz="0" w:space="0" w:color="auto"/>
      </w:divBdr>
    </w:div>
    <w:div w:id="1219249033">
      <w:bodyDiv w:val="1"/>
      <w:marLeft w:val="0"/>
      <w:marRight w:val="0"/>
      <w:marTop w:val="0"/>
      <w:marBottom w:val="0"/>
      <w:divBdr>
        <w:top w:val="none" w:sz="0" w:space="0" w:color="auto"/>
        <w:left w:val="none" w:sz="0" w:space="0" w:color="auto"/>
        <w:bottom w:val="none" w:sz="0" w:space="0" w:color="auto"/>
        <w:right w:val="none" w:sz="0" w:space="0" w:color="auto"/>
      </w:divBdr>
    </w:div>
    <w:div w:id="1221136065">
      <w:bodyDiv w:val="1"/>
      <w:marLeft w:val="0"/>
      <w:marRight w:val="0"/>
      <w:marTop w:val="0"/>
      <w:marBottom w:val="0"/>
      <w:divBdr>
        <w:top w:val="none" w:sz="0" w:space="0" w:color="auto"/>
        <w:left w:val="none" w:sz="0" w:space="0" w:color="auto"/>
        <w:bottom w:val="none" w:sz="0" w:space="0" w:color="auto"/>
        <w:right w:val="none" w:sz="0" w:space="0" w:color="auto"/>
      </w:divBdr>
    </w:div>
    <w:div w:id="1227842592">
      <w:bodyDiv w:val="1"/>
      <w:marLeft w:val="0"/>
      <w:marRight w:val="0"/>
      <w:marTop w:val="0"/>
      <w:marBottom w:val="0"/>
      <w:divBdr>
        <w:top w:val="none" w:sz="0" w:space="0" w:color="auto"/>
        <w:left w:val="none" w:sz="0" w:space="0" w:color="auto"/>
        <w:bottom w:val="none" w:sz="0" w:space="0" w:color="auto"/>
        <w:right w:val="none" w:sz="0" w:space="0" w:color="auto"/>
      </w:divBdr>
    </w:div>
    <w:div w:id="125528808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711572">
      <w:bodyDiv w:val="1"/>
      <w:marLeft w:val="0"/>
      <w:marRight w:val="0"/>
      <w:marTop w:val="0"/>
      <w:marBottom w:val="0"/>
      <w:divBdr>
        <w:top w:val="none" w:sz="0" w:space="0" w:color="auto"/>
        <w:left w:val="none" w:sz="0" w:space="0" w:color="auto"/>
        <w:bottom w:val="none" w:sz="0" w:space="0" w:color="auto"/>
        <w:right w:val="none" w:sz="0" w:space="0" w:color="auto"/>
      </w:divBdr>
    </w:div>
    <w:div w:id="1259019897">
      <w:bodyDiv w:val="1"/>
      <w:marLeft w:val="0"/>
      <w:marRight w:val="0"/>
      <w:marTop w:val="0"/>
      <w:marBottom w:val="0"/>
      <w:divBdr>
        <w:top w:val="none" w:sz="0" w:space="0" w:color="auto"/>
        <w:left w:val="none" w:sz="0" w:space="0" w:color="auto"/>
        <w:bottom w:val="none" w:sz="0" w:space="0" w:color="auto"/>
        <w:right w:val="none" w:sz="0" w:space="0" w:color="auto"/>
      </w:divBdr>
    </w:div>
    <w:div w:id="1286156413">
      <w:bodyDiv w:val="1"/>
      <w:marLeft w:val="0"/>
      <w:marRight w:val="0"/>
      <w:marTop w:val="0"/>
      <w:marBottom w:val="0"/>
      <w:divBdr>
        <w:top w:val="none" w:sz="0" w:space="0" w:color="auto"/>
        <w:left w:val="none" w:sz="0" w:space="0" w:color="auto"/>
        <w:bottom w:val="none" w:sz="0" w:space="0" w:color="auto"/>
        <w:right w:val="none" w:sz="0" w:space="0" w:color="auto"/>
      </w:divBdr>
    </w:div>
    <w:div w:id="1290086623">
      <w:bodyDiv w:val="1"/>
      <w:marLeft w:val="0"/>
      <w:marRight w:val="0"/>
      <w:marTop w:val="0"/>
      <w:marBottom w:val="0"/>
      <w:divBdr>
        <w:top w:val="none" w:sz="0" w:space="0" w:color="auto"/>
        <w:left w:val="none" w:sz="0" w:space="0" w:color="auto"/>
        <w:bottom w:val="none" w:sz="0" w:space="0" w:color="auto"/>
        <w:right w:val="none" w:sz="0" w:space="0" w:color="auto"/>
      </w:divBdr>
    </w:div>
    <w:div w:id="129394897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7006809">
      <w:bodyDiv w:val="1"/>
      <w:marLeft w:val="0"/>
      <w:marRight w:val="0"/>
      <w:marTop w:val="0"/>
      <w:marBottom w:val="0"/>
      <w:divBdr>
        <w:top w:val="none" w:sz="0" w:space="0" w:color="auto"/>
        <w:left w:val="none" w:sz="0" w:space="0" w:color="auto"/>
        <w:bottom w:val="none" w:sz="0" w:space="0" w:color="auto"/>
        <w:right w:val="none" w:sz="0" w:space="0" w:color="auto"/>
      </w:divBdr>
    </w:div>
    <w:div w:id="1324509438">
      <w:bodyDiv w:val="1"/>
      <w:marLeft w:val="0"/>
      <w:marRight w:val="0"/>
      <w:marTop w:val="0"/>
      <w:marBottom w:val="0"/>
      <w:divBdr>
        <w:top w:val="none" w:sz="0" w:space="0" w:color="auto"/>
        <w:left w:val="none" w:sz="0" w:space="0" w:color="auto"/>
        <w:bottom w:val="none" w:sz="0" w:space="0" w:color="auto"/>
        <w:right w:val="none" w:sz="0" w:space="0" w:color="auto"/>
      </w:divBdr>
    </w:div>
    <w:div w:id="1324895950">
      <w:bodyDiv w:val="1"/>
      <w:marLeft w:val="0"/>
      <w:marRight w:val="0"/>
      <w:marTop w:val="0"/>
      <w:marBottom w:val="0"/>
      <w:divBdr>
        <w:top w:val="none" w:sz="0" w:space="0" w:color="auto"/>
        <w:left w:val="none" w:sz="0" w:space="0" w:color="auto"/>
        <w:bottom w:val="none" w:sz="0" w:space="0" w:color="auto"/>
        <w:right w:val="none" w:sz="0" w:space="0" w:color="auto"/>
      </w:divBdr>
    </w:div>
    <w:div w:id="1341083893">
      <w:bodyDiv w:val="1"/>
      <w:marLeft w:val="0"/>
      <w:marRight w:val="0"/>
      <w:marTop w:val="0"/>
      <w:marBottom w:val="0"/>
      <w:divBdr>
        <w:top w:val="none" w:sz="0" w:space="0" w:color="auto"/>
        <w:left w:val="none" w:sz="0" w:space="0" w:color="auto"/>
        <w:bottom w:val="none" w:sz="0" w:space="0" w:color="auto"/>
        <w:right w:val="none" w:sz="0" w:space="0" w:color="auto"/>
      </w:divBdr>
    </w:div>
    <w:div w:id="134285734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6998401">
      <w:bodyDiv w:val="1"/>
      <w:marLeft w:val="0"/>
      <w:marRight w:val="0"/>
      <w:marTop w:val="0"/>
      <w:marBottom w:val="0"/>
      <w:divBdr>
        <w:top w:val="none" w:sz="0" w:space="0" w:color="auto"/>
        <w:left w:val="none" w:sz="0" w:space="0" w:color="auto"/>
        <w:bottom w:val="none" w:sz="0" w:space="0" w:color="auto"/>
        <w:right w:val="none" w:sz="0" w:space="0" w:color="auto"/>
      </w:divBdr>
    </w:div>
    <w:div w:id="1363363278">
      <w:bodyDiv w:val="1"/>
      <w:marLeft w:val="0"/>
      <w:marRight w:val="0"/>
      <w:marTop w:val="0"/>
      <w:marBottom w:val="0"/>
      <w:divBdr>
        <w:top w:val="none" w:sz="0" w:space="0" w:color="auto"/>
        <w:left w:val="none" w:sz="0" w:space="0" w:color="auto"/>
        <w:bottom w:val="none" w:sz="0" w:space="0" w:color="auto"/>
        <w:right w:val="none" w:sz="0" w:space="0" w:color="auto"/>
      </w:divBdr>
    </w:div>
    <w:div w:id="1372798821">
      <w:bodyDiv w:val="1"/>
      <w:marLeft w:val="0"/>
      <w:marRight w:val="0"/>
      <w:marTop w:val="0"/>
      <w:marBottom w:val="0"/>
      <w:divBdr>
        <w:top w:val="none" w:sz="0" w:space="0" w:color="auto"/>
        <w:left w:val="none" w:sz="0" w:space="0" w:color="auto"/>
        <w:bottom w:val="none" w:sz="0" w:space="0" w:color="auto"/>
        <w:right w:val="none" w:sz="0" w:space="0" w:color="auto"/>
      </w:divBdr>
    </w:div>
    <w:div w:id="1374115499">
      <w:bodyDiv w:val="1"/>
      <w:marLeft w:val="0"/>
      <w:marRight w:val="0"/>
      <w:marTop w:val="0"/>
      <w:marBottom w:val="0"/>
      <w:divBdr>
        <w:top w:val="none" w:sz="0" w:space="0" w:color="auto"/>
        <w:left w:val="none" w:sz="0" w:space="0" w:color="auto"/>
        <w:bottom w:val="none" w:sz="0" w:space="0" w:color="auto"/>
        <w:right w:val="none" w:sz="0" w:space="0" w:color="auto"/>
      </w:divBdr>
    </w:div>
    <w:div w:id="1395005854">
      <w:bodyDiv w:val="1"/>
      <w:marLeft w:val="0"/>
      <w:marRight w:val="0"/>
      <w:marTop w:val="0"/>
      <w:marBottom w:val="0"/>
      <w:divBdr>
        <w:top w:val="none" w:sz="0" w:space="0" w:color="auto"/>
        <w:left w:val="none" w:sz="0" w:space="0" w:color="auto"/>
        <w:bottom w:val="none" w:sz="0" w:space="0" w:color="auto"/>
        <w:right w:val="none" w:sz="0" w:space="0" w:color="auto"/>
      </w:divBdr>
    </w:div>
    <w:div w:id="13973596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841496">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8360247">
      <w:bodyDiv w:val="1"/>
      <w:marLeft w:val="0"/>
      <w:marRight w:val="0"/>
      <w:marTop w:val="0"/>
      <w:marBottom w:val="0"/>
      <w:divBdr>
        <w:top w:val="none" w:sz="0" w:space="0" w:color="auto"/>
        <w:left w:val="none" w:sz="0" w:space="0" w:color="auto"/>
        <w:bottom w:val="none" w:sz="0" w:space="0" w:color="auto"/>
        <w:right w:val="none" w:sz="0" w:space="0" w:color="auto"/>
      </w:divBdr>
    </w:div>
    <w:div w:id="1422484426">
      <w:bodyDiv w:val="1"/>
      <w:marLeft w:val="0"/>
      <w:marRight w:val="0"/>
      <w:marTop w:val="0"/>
      <w:marBottom w:val="0"/>
      <w:divBdr>
        <w:top w:val="none" w:sz="0" w:space="0" w:color="auto"/>
        <w:left w:val="none" w:sz="0" w:space="0" w:color="auto"/>
        <w:bottom w:val="none" w:sz="0" w:space="0" w:color="auto"/>
        <w:right w:val="none" w:sz="0" w:space="0" w:color="auto"/>
      </w:divBdr>
    </w:div>
    <w:div w:id="1430082605">
      <w:bodyDiv w:val="1"/>
      <w:marLeft w:val="0"/>
      <w:marRight w:val="0"/>
      <w:marTop w:val="0"/>
      <w:marBottom w:val="0"/>
      <w:divBdr>
        <w:top w:val="none" w:sz="0" w:space="0" w:color="auto"/>
        <w:left w:val="none" w:sz="0" w:space="0" w:color="auto"/>
        <w:bottom w:val="none" w:sz="0" w:space="0" w:color="auto"/>
        <w:right w:val="none" w:sz="0" w:space="0" w:color="auto"/>
      </w:divBdr>
    </w:div>
    <w:div w:id="143393485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2439913">
      <w:bodyDiv w:val="1"/>
      <w:marLeft w:val="0"/>
      <w:marRight w:val="0"/>
      <w:marTop w:val="0"/>
      <w:marBottom w:val="0"/>
      <w:divBdr>
        <w:top w:val="none" w:sz="0" w:space="0" w:color="auto"/>
        <w:left w:val="none" w:sz="0" w:space="0" w:color="auto"/>
        <w:bottom w:val="none" w:sz="0" w:space="0" w:color="auto"/>
        <w:right w:val="none" w:sz="0" w:space="0" w:color="auto"/>
      </w:divBdr>
    </w:div>
    <w:div w:id="1456025165">
      <w:bodyDiv w:val="1"/>
      <w:marLeft w:val="0"/>
      <w:marRight w:val="0"/>
      <w:marTop w:val="0"/>
      <w:marBottom w:val="0"/>
      <w:divBdr>
        <w:top w:val="none" w:sz="0" w:space="0" w:color="auto"/>
        <w:left w:val="none" w:sz="0" w:space="0" w:color="auto"/>
        <w:bottom w:val="none" w:sz="0" w:space="0" w:color="auto"/>
        <w:right w:val="none" w:sz="0" w:space="0" w:color="auto"/>
      </w:divBdr>
    </w:div>
    <w:div w:id="1462576893">
      <w:bodyDiv w:val="1"/>
      <w:marLeft w:val="0"/>
      <w:marRight w:val="0"/>
      <w:marTop w:val="0"/>
      <w:marBottom w:val="0"/>
      <w:divBdr>
        <w:top w:val="none" w:sz="0" w:space="0" w:color="auto"/>
        <w:left w:val="none" w:sz="0" w:space="0" w:color="auto"/>
        <w:bottom w:val="none" w:sz="0" w:space="0" w:color="auto"/>
        <w:right w:val="none" w:sz="0" w:space="0" w:color="auto"/>
      </w:divBdr>
    </w:div>
    <w:div w:id="1467626347">
      <w:bodyDiv w:val="1"/>
      <w:marLeft w:val="0"/>
      <w:marRight w:val="0"/>
      <w:marTop w:val="0"/>
      <w:marBottom w:val="0"/>
      <w:divBdr>
        <w:top w:val="none" w:sz="0" w:space="0" w:color="auto"/>
        <w:left w:val="none" w:sz="0" w:space="0" w:color="auto"/>
        <w:bottom w:val="none" w:sz="0" w:space="0" w:color="auto"/>
        <w:right w:val="none" w:sz="0" w:space="0" w:color="auto"/>
      </w:divBdr>
    </w:div>
    <w:div w:id="1482578513">
      <w:bodyDiv w:val="1"/>
      <w:marLeft w:val="0"/>
      <w:marRight w:val="0"/>
      <w:marTop w:val="0"/>
      <w:marBottom w:val="0"/>
      <w:divBdr>
        <w:top w:val="none" w:sz="0" w:space="0" w:color="auto"/>
        <w:left w:val="none" w:sz="0" w:space="0" w:color="auto"/>
        <w:bottom w:val="none" w:sz="0" w:space="0" w:color="auto"/>
        <w:right w:val="none" w:sz="0" w:space="0" w:color="auto"/>
      </w:divBdr>
    </w:div>
    <w:div w:id="1489906849">
      <w:bodyDiv w:val="1"/>
      <w:marLeft w:val="0"/>
      <w:marRight w:val="0"/>
      <w:marTop w:val="0"/>
      <w:marBottom w:val="0"/>
      <w:divBdr>
        <w:top w:val="none" w:sz="0" w:space="0" w:color="auto"/>
        <w:left w:val="none" w:sz="0" w:space="0" w:color="auto"/>
        <w:bottom w:val="none" w:sz="0" w:space="0" w:color="auto"/>
        <w:right w:val="none" w:sz="0" w:space="0" w:color="auto"/>
      </w:divBdr>
    </w:div>
    <w:div w:id="1496409083">
      <w:bodyDiv w:val="1"/>
      <w:marLeft w:val="0"/>
      <w:marRight w:val="0"/>
      <w:marTop w:val="0"/>
      <w:marBottom w:val="0"/>
      <w:divBdr>
        <w:top w:val="none" w:sz="0" w:space="0" w:color="auto"/>
        <w:left w:val="none" w:sz="0" w:space="0" w:color="auto"/>
        <w:bottom w:val="none" w:sz="0" w:space="0" w:color="auto"/>
        <w:right w:val="none" w:sz="0" w:space="0" w:color="auto"/>
      </w:divBdr>
    </w:div>
    <w:div w:id="1504395568">
      <w:bodyDiv w:val="1"/>
      <w:marLeft w:val="0"/>
      <w:marRight w:val="0"/>
      <w:marTop w:val="0"/>
      <w:marBottom w:val="0"/>
      <w:divBdr>
        <w:top w:val="none" w:sz="0" w:space="0" w:color="auto"/>
        <w:left w:val="none" w:sz="0" w:space="0" w:color="auto"/>
        <w:bottom w:val="none" w:sz="0" w:space="0" w:color="auto"/>
        <w:right w:val="none" w:sz="0" w:space="0" w:color="auto"/>
      </w:divBdr>
    </w:div>
    <w:div w:id="1508328138">
      <w:bodyDiv w:val="1"/>
      <w:marLeft w:val="0"/>
      <w:marRight w:val="0"/>
      <w:marTop w:val="0"/>
      <w:marBottom w:val="0"/>
      <w:divBdr>
        <w:top w:val="none" w:sz="0" w:space="0" w:color="auto"/>
        <w:left w:val="none" w:sz="0" w:space="0" w:color="auto"/>
        <w:bottom w:val="none" w:sz="0" w:space="0" w:color="auto"/>
        <w:right w:val="none" w:sz="0" w:space="0" w:color="auto"/>
      </w:divBdr>
    </w:div>
    <w:div w:id="1523126091">
      <w:bodyDiv w:val="1"/>
      <w:marLeft w:val="0"/>
      <w:marRight w:val="0"/>
      <w:marTop w:val="0"/>
      <w:marBottom w:val="0"/>
      <w:divBdr>
        <w:top w:val="none" w:sz="0" w:space="0" w:color="auto"/>
        <w:left w:val="none" w:sz="0" w:space="0" w:color="auto"/>
        <w:bottom w:val="none" w:sz="0" w:space="0" w:color="auto"/>
        <w:right w:val="none" w:sz="0" w:space="0" w:color="auto"/>
      </w:divBdr>
    </w:div>
    <w:div w:id="1528323746">
      <w:bodyDiv w:val="1"/>
      <w:marLeft w:val="0"/>
      <w:marRight w:val="0"/>
      <w:marTop w:val="0"/>
      <w:marBottom w:val="0"/>
      <w:divBdr>
        <w:top w:val="none" w:sz="0" w:space="0" w:color="auto"/>
        <w:left w:val="none" w:sz="0" w:space="0" w:color="auto"/>
        <w:bottom w:val="none" w:sz="0" w:space="0" w:color="auto"/>
        <w:right w:val="none" w:sz="0" w:space="0" w:color="auto"/>
      </w:divBdr>
    </w:div>
    <w:div w:id="1530020993">
      <w:bodyDiv w:val="1"/>
      <w:marLeft w:val="0"/>
      <w:marRight w:val="0"/>
      <w:marTop w:val="0"/>
      <w:marBottom w:val="0"/>
      <w:divBdr>
        <w:top w:val="none" w:sz="0" w:space="0" w:color="auto"/>
        <w:left w:val="none" w:sz="0" w:space="0" w:color="auto"/>
        <w:bottom w:val="none" w:sz="0" w:space="0" w:color="auto"/>
        <w:right w:val="none" w:sz="0" w:space="0" w:color="auto"/>
      </w:divBdr>
    </w:div>
    <w:div w:id="1530991811">
      <w:bodyDiv w:val="1"/>
      <w:marLeft w:val="0"/>
      <w:marRight w:val="0"/>
      <w:marTop w:val="0"/>
      <w:marBottom w:val="0"/>
      <w:divBdr>
        <w:top w:val="none" w:sz="0" w:space="0" w:color="auto"/>
        <w:left w:val="none" w:sz="0" w:space="0" w:color="auto"/>
        <w:bottom w:val="none" w:sz="0" w:space="0" w:color="auto"/>
        <w:right w:val="none" w:sz="0" w:space="0" w:color="auto"/>
      </w:divBdr>
    </w:div>
    <w:div w:id="1538658201">
      <w:bodyDiv w:val="1"/>
      <w:marLeft w:val="0"/>
      <w:marRight w:val="0"/>
      <w:marTop w:val="0"/>
      <w:marBottom w:val="0"/>
      <w:divBdr>
        <w:top w:val="none" w:sz="0" w:space="0" w:color="auto"/>
        <w:left w:val="none" w:sz="0" w:space="0" w:color="auto"/>
        <w:bottom w:val="none" w:sz="0" w:space="0" w:color="auto"/>
        <w:right w:val="none" w:sz="0" w:space="0" w:color="auto"/>
      </w:divBdr>
    </w:div>
    <w:div w:id="1540586081">
      <w:bodyDiv w:val="1"/>
      <w:marLeft w:val="0"/>
      <w:marRight w:val="0"/>
      <w:marTop w:val="0"/>
      <w:marBottom w:val="0"/>
      <w:divBdr>
        <w:top w:val="none" w:sz="0" w:space="0" w:color="auto"/>
        <w:left w:val="none" w:sz="0" w:space="0" w:color="auto"/>
        <w:bottom w:val="none" w:sz="0" w:space="0" w:color="auto"/>
        <w:right w:val="none" w:sz="0" w:space="0" w:color="auto"/>
      </w:divBdr>
    </w:div>
    <w:div w:id="1547371544">
      <w:bodyDiv w:val="1"/>
      <w:marLeft w:val="0"/>
      <w:marRight w:val="0"/>
      <w:marTop w:val="0"/>
      <w:marBottom w:val="0"/>
      <w:divBdr>
        <w:top w:val="none" w:sz="0" w:space="0" w:color="auto"/>
        <w:left w:val="none" w:sz="0" w:space="0" w:color="auto"/>
        <w:bottom w:val="none" w:sz="0" w:space="0" w:color="auto"/>
        <w:right w:val="none" w:sz="0" w:space="0" w:color="auto"/>
      </w:divBdr>
    </w:div>
    <w:div w:id="1562323518">
      <w:bodyDiv w:val="1"/>
      <w:marLeft w:val="0"/>
      <w:marRight w:val="0"/>
      <w:marTop w:val="0"/>
      <w:marBottom w:val="0"/>
      <w:divBdr>
        <w:top w:val="none" w:sz="0" w:space="0" w:color="auto"/>
        <w:left w:val="none" w:sz="0" w:space="0" w:color="auto"/>
        <w:bottom w:val="none" w:sz="0" w:space="0" w:color="auto"/>
        <w:right w:val="none" w:sz="0" w:space="0" w:color="auto"/>
      </w:divBdr>
    </w:div>
    <w:div w:id="1565330911">
      <w:bodyDiv w:val="1"/>
      <w:marLeft w:val="0"/>
      <w:marRight w:val="0"/>
      <w:marTop w:val="0"/>
      <w:marBottom w:val="0"/>
      <w:divBdr>
        <w:top w:val="none" w:sz="0" w:space="0" w:color="auto"/>
        <w:left w:val="none" w:sz="0" w:space="0" w:color="auto"/>
        <w:bottom w:val="none" w:sz="0" w:space="0" w:color="auto"/>
        <w:right w:val="none" w:sz="0" w:space="0" w:color="auto"/>
      </w:divBdr>
    </w:div>
    <w:div w:id="1566260849">
      <w:bodyDiv w:val="1"/>
      <w:marLeft w:val="0"/>
      <w:marRight w:val="0"/>
      <w:marTop w:val="0"/>
      <w:marBottom w:val="0"/>
      <w:divBdr>
        <w:top w:val="none" w:sz="0" w:space="0" w:color="auto"/>
        <w:left w:val="none" w:sz="0" w:space="0" w:color="auto"/>
        <w:bottom w:val="none" w:sz="0" w:space="0" w:color="auto"/>
        <w:right w:val="none" w:sz="0" w:space="0" w:color="auto"/>
      </w:divBdr>
    </w:div>
    <w:div w:id="1566448158">
      <w:bodyDiv w:val="1"/>
      <w:marLeft w:val="0"/>
      <w:marRight w:val="0"/>
      <w:marTop w:val="0"/>
      <w:marBottom w:val="0"/>
      <w:divBdr>
        <w:top w:val="none" w:sz="0" w:space="0" w:color="auto"/>
        <w:left w:val="none" w:sz="0" w:space="0" w:color="auto"/>
        <w:bottom w:val="none" w:sz="0" w:space="0" w:color="auto"/>
        <w:right w:val="none" w:sz="0" w:space="0" w:color="auto"/>
      </w:divBdr>
    </w:div>
    <w:div w:id="1569144906">
      <w:bodyDiv w:val="1"/>
      <w:marLeft w:val="0"/>
      <w:marRight w:val="0"/>
      <w:marTop w:val="0"/>
      <w:marBottom w:val="0"/>
      <w:divBdr>
        <w:top w:val="none" w:sz="0" w:space="0" w:color="auto"/>
        <w:left w:val="none" w:sz="0" w:space="0" w:color="auto"/>
        <w:bottom w:val="none" w:sz="0" w:space="0" w:color="auto"/>
        <w:right w:val="none" w:sz="0" w:space="0" w:color="auto"/>
      </w:divBdr>
    </w:div>
    <w:div w:id="1581478349">
      <w:bodyDiv w:val="1"/>
      <w:marLeft w:val="0"/>
      <w:marRight w:val="0"/>
      <w:marTop w:val="0"/>
      <w:marBottom w:val="0"/>
      <w:divBdr>
        <w:top w:val="none" w:sz="0" w:space="0" w:color="auto"/>
        <w:left w:val="none" w:sz="0" w:space="0" w:color="auto"/>
        <w:bottom w:val="none" w:sz="0" w:space="0" w:color="auto"/>
        <w:right w:val="none" w:sz="0" w:space="0" w:color="auto"/>
      </w:divBdr>
    </w:div>
    <w:div w:id="1590503355">
      <w:bodyDiv w:val="1"/>
      <w:marLeft w:val="0"/>
      <w:marRight w:val="0"/>
      <w:marTop w:val="0"/>
      <w:marBottom w:val="0"/>
      <w:divBdr>
        <w:top w:val="none" w:sz="0" w:space="0" w:color="auto"/>
        <w:left w:val="none" w:sz="0" w:space="0" w:color="auto"/>
        <w:bottom w:val="none" w:sz="0" w:space="0" w:color="auto"/>
        <w:right w:val="none" w:sz="0" w:space="0" w:color="auto"/>
      </w:divBdr>
    </w:div>
    <w:div w:id="1591504829">
      <w:bodyDiv w:val="1"/>
      <w:marLeft w:val="0"/>
      <w:marRight w:val="0"/>
      <w:marTop w:val="0"/>
      <w:marBottom w:val="0"/>
      <w:divBdr>
        <w:top w:val="none" w:sz="0" w:space="0" w:color="auto"/>
        <w:left w:val="none" w:sz="0" w:space="0" w:color="auto"/>
        <w:bottom w:val="none" w:sz="0" w:space="0" w:color="auto"/>
        <w:right w:val="none" w:sz="0" w:space="0" w:color="auto"/>
      </w:divBdr>
    </w:div>
    <w:div w:id="1599291259">
      <w:bodyDiv w:val="1"/>
      <w:marLeft w:val="0"/>
      <w:marRight w:val="0"/>
      <w:marTop w:val="0"/>
      <w:marBottom w:val="0"/>
      <w:divBdr>
        <w:top w:val="none" w:sz="0" w:space="0" w:color="auto"/>
        <w:left w:val="none" w:sz="0" w:space="0" w:color="auto"/>
        <w:bottom w:val="none" w:sz="0" w:space="0" w:color="auto"/>
        <w:right w:val="none" w:sz="0" w:space="0" w:color="auto"/>
      </w:divBdr>
    </w:div>
    <w:div w:id="1605771607">
      <w:bodyDiv w:val="1"/>
      <w:marLeft w:val="0"/>
      <w:marRight w:val="0"/>
      <w:marTop w:val="0"/>
      <w:marBottom w:val="0"/>
      <w:divBdr>
        <w:top w:val="none" w:sz="0" w:space="0" w:color="auto"/>
        <w:left w:val="none" w:sz="0" w:space="0" w:color="auto"/>
        <w:bottom w:val="none" w:sz="0" w:space="0" w:color="auto"/>
        <w:right w:val="none" w:sz="0" w:space="0" w:color="auto"/>
      </w:divBdr>
    </w:div>
    <w:div w:id="1621111783">
      <w:bodyDiv w:val="1"/>
      <w:marLeft w:val="0"/>
      <w:marRight w:val="0"/>
      <w:marTop w:val="0"/>
      <w:marBottom w:val="0"/>
      <w:divBdr>
        <w:top w:val="none" w:sz="0" w:space="0" w:color="auto"/>
        <w:left w:val="none" w:sz="0" w:space="0" w:color="auto"/>
        <w:bottom w:val="none" w:sz="0" w:space="0" w:color="auto"/>
        <w:right w:val="none" w:sz="0" w:space="0" w:color="auto"/>
      </w:divBdr>
    </w:div>
    <w:div w:id="16245814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656645">
      <w:bodyDiv w:val="1"/>
      <w:marLeft w:val="0"/>
      <w:marRight w:val="0"/>
      <w:marTop w:val="0"/>
      <w:marBottom w:val="0"/>
      <w:divBdr>
        <w:top w:val="none" w:sz="0" w:space="0" w:color="auto"/>
        <w:left w:val="none" w:sz="0" w:space="0" w:color="auto"/>
        <w:bottom w:val="none" w:sz="0" w:space="0" w:color="auto"/>
        <w:right w:val="none" w:sz="0" w:space="0" w:color="auto"/>
      </w:divBdr>
    </w:div>
    <w:div w:id="1630163065">
      <w:bodyDiv w:val="1"/>
      <w:marLeft w:val="0"/>
      <w:marRight w:val="0"/>
      <w:marTop w:val="0"/>
      <w:marBottom w:val="0"/>
      <w:divBdr>
        <w:top w:val="none" w:sz="0" w:space="0" w:color="auto"/>
        <w:left w:val="none" w:sz="0" w:space="0" w:color="auto"/>
        <w:bottom w:val="none" w:sz="0" w:space="0" w:color="auto"/>
        <w:right w:val="none" w:sz="0" w:space="0" w:color="auto"/>
      </w:divBdr>
    </w:div>
    <w:div w:id="1634675390">
      <w:bodyDiv w:val="1"/>
      <w:marLeft w:val="0"/>
      <w:marRight w:val="0"/>
      <w:marTop w:val="0"/>
      <w:marBottom w:val="0"/>
      <w:divBdr>
        <w:top w:val="none" w:sz="0" w:space="0" w:color="auto"/>
        <w:left w:val="none" w:sz="0" w:space="0" w:color="auto"/>
        <w:bottom w:val="none" w:sz="0" w:space="0" w:color="auto"/>
        <w:right w:val="none" w:sz="0" w:space="0" w:color="auto"/>
      </w:divBdr>
    </w:div>
    <w:div w:id="1640845323">
      <w:bodyDiv w:val="1"/>
      <w:marLeft w:val="0"/>
      <w:marRight w:val="0"/>
      <w:marTop w:val="0"/>
      <w:marBottom w:val="0"/>
      <w:divBdr>
        <w:top w:val="none" w:sz="0" w:space="0" w:color="auto"/>
        <w:left w:val="none" w:sz="0" w:space="0" w:color="auto"/>
        <w:bottom w:val="none" w:sz="0" w:space="0" w:color="auto"/>
        <w:right w:val="none" w:sz="0" w:space="0" w:color="auto"/>
      </w:divBdr>
    </w:div>
    <w:div w:id="1649548371">
      <w:bodyDiv w:val="1"/>
      <w:marLeft w:val="0"/>
      <w:marRight w:val="0"/>
      <w:marTop w:val="0"/>
      <w:marBottom w:val="0"/>
      <w:divBdr>
        <w:top w:val="none" w:sz="0" w:space="0" w:color="auto"/>
        <w:left w:val="none" w:sz="0" w:space="0" w:color="auto"/>
        <w:bottom w:val="none" w:sz="0" w:space="0" w:color="auto"/>
        <w:right w:val="none" w:sz="0" w:space="0" w:color="auto"/>
      </w:divBdr>
    </w:div>
    <w:div w:id="1652634262">
      <w:bodyDiv w:val="1"/>
      <w:marLeft w:val="0"/>
      <w:marRight w:val="0"/>
      <w:marTop w:val="0"/>
      <w:marBottom w:val="0"/>
      <w:divBdr>
        <w:top w:val="none" w:sz="0" w:space="0" w:color="auto"/>
        <w:left w:val="none" w:sz="0" w:space="0" w:color="auto"/>
        <w:bottom w:val="none" w:sz="0" w:space="0" w:color="auto"/>
        <w:right w:val="none" w:sz="0" w:space="0" w:color="auto"/>
      </w:divBdr>
    </w:div>
    <w:div w:id="1675374916">
      <w:bodyDiv w:val="1"/>
      <w:marLeft w:val="0"/>
      <w:marRight w:val="0"/>
      <w:marTop w:val="0"/>
      <w:marBottom w:val="0"/>
      <w:divBdr>
        <w:top w:val="none" w:sz="0" w:space="0" w:color="auto"/>
        <w:left w:val="none" w:sz="0" w:space="0" w:color="auto"/>
        <w:bottom w:val="none" w:sz="0" w:space="0" w:color="auto"/>
        <w:right w:val="none" w:sz="0" w:space="0" w:color="auto"/>
      </w:divBdr>
    </w:div>
    <w:div w:id="1681465941">
      <w:bodyDiv w:val="1"/>
      <w:marLeft w:val="0"/>
      <w:marRight w:val="0"/>
      <w:marTop w:val="0"/>
      <w:marBottom w:val="0"/>
      <w:divBdr>
        <w:top w:val="none" w:sz="0" w:space="0" w:color="auto"/>
        <w:left w:val="none" w:sz="0" w:space="0" w:color="auto"/>
        <w:bottom w:val="none" w:sz="0" w:space="0" w:color="auto"/>
        <w:right w:val="none" w:sz="0" w:space="0" w:color="auto"/>
      </w:divBdr>
    </w:div>
    <w:div w:id="1684042182">
      <w:bodyDiv w:val="1"/>
      <w:marLeft w:val="0"/>
      <w:marRight w:val="0"/>
      <w:marTop w:val="0"/>
      <w:marBottom w:val="0"/>
      <w:divBdr>
        <w:top w:val="none" w:sz="0" w:space="0" w:color="auto"/>
        <w:left w:val="none" w:sz="0" w:space="0" w:color="auto"/>
        <w:bottom w:val="none" w:sz="0" w:space="0" w:color="auto"/>
        <w:right w:val="none" w:sz="0" w:space="0" w:color="auto"/>
      </w:divBdr>
    </w:div>
    <w:div w:id="1695763552">
      <w:bodyDiv w:val="1"/>
      <w:marLeft w:val="0"/>
      <w:marRight w:val="0"/>
      <w:marTop w:val="0"/>
      <w:marBottom w:val="0"/>
      <w:divBdr>
        <w:top w:val="none" w:sz="0" w:space="0" w:color="auto"/>
        <w:left w:val="none" w:sz="0" w:space="0" w:color="auto"/>
        <w:bottom w:val="none" w:sz="0" w:space="0" w:color="auto"/>
        <w:right w:val="none" w:sz="0" w:space="0" w:color="auto"/>
      </w:divBdr>
    </w:div>
    <w:div w:id="1704860925">
      <w:bodyDiv w:val="1"/>
      <w:marLeft w:val="0"/>
      <w:marRight w:val="0"/>
      <w:marTop w:val="0"/>
      <w:marBottom w:val="0"/>
      <w:divBdr>
        <w:top w:val="none" w:sz="0" w:space="0" w:color="auto"/>
        <w:left w:val="none" w:sz="0" w:space="0" w:color="auto"/>
        <w:bottom w:val="none" w:sz="0" w:space="0" w:color="auto"/>
        <w:right w:val="none" w:sz="0" w:space="0" w:color="auto"/>
      </w:divBdr>
    </w:div>
    <w:div w:id="1711877766">
      <w:bodyDiv w:val="1"/>
      <w:marLeft w:val="0"/>
      <w:marRight w:val="0"/>
      <w:marTop w:val="0"/>
      <w:marBottom w:val="0"/>
      <w:divBdr>
        <w:top w:val="none" w:sz="0" w:space="0" w:color="auto"/>
        <w:left w:val="none" w:sz="0" w:space="0" w:color="auto"/>
        <w:bottom w:val="none" w:sz="0" w:space="0" w:color="auto"/>
        <w:right w:val="none" w:sz="0" w:space="0" w:color="auto"/>
      </w:divBdr>
    </w:div>
    <w:div w:id="1715502894">
      <w:bodyDiv w:val="1"/>
      <w:marLeft w:val="0"/>
      <w:marRight w:val="0"/>
      <w:marTop w:val="0"/>
      <w:marBottom w:val="0"/>
      <w:divBdr>
        <w:top w:val="none" w:sz="0" w:space="0" w:color="auto"/>
        <w:left w:val="none" w:sz="0" w:space="0" w:color="auto"/>
        <w:bottom w:val="none" w:sz="0" w:space="0" w:color="auto"/>
        <w:right w:val="none" w:sz="0" w:space="0" w:color="auto"/>
      </w:divBdr>
    </w:div>
    <w:div w:id="1717319467">
      <w:bodyDiv w:val="1"/>
      <w:marLeft w:val="0"/>
      <w:marRight w:val="0"/>
      <w:marTop w:val="0"/>
      <w:marBottom w:val="0"/>
      <w:divBdr>
        <w:top w:val="none" w:sz="0" w:space="0" w:color="auto"/>
        <w:left w:val="none" w:sz="0" w:space="0" w:color="auto"/>
        <w:bottom w:val="none" w:sz="0" w:space="0" w:color="auto"/>
        <w:right w:val="none" w:sz="0" w:space="0" w:color="auto"/>
      </w:divBdr>
    </w:div>
    <w:div w:id="1730693370">
      <w:bodyDiv w:val="1"/>
      <w:marLeft w:val="0"/>
      <w:marRight w:val="0"/>
      <w:marTop w:val="0"/>
      <w:marBottom w:val="0"/>
      <w:divBdr>
        <w:top w:val="none" w:sz="0" w:space="0" w:color="auto"/>
        <w:left w:val="none" w:sz="0" w:space="0" w:color="auto"/>
        <w:bottom w:val="none" w:sz="0" w:space="0" w:color="auto"/>
        <w:right w:val="none" w:sz="0" w:space="0" w:color="auto"/>
      </w:divBdr>
    </w:div>
    <w:div w:id="1741557764">
      <w:bodyDiv w:val="1"/>
      <w:marLeft w:val="0"/>
      <w:marRight w:val="0"/>
      <w:marTop w:val="0"/>
      <w:marBottom w:val="0"/>
      <w:divBdr>
        <w:top w:val="none" w:sz="0" w:space="0" w:color="auto"/>
        <w:left w:val="none" w:sz="0" w:space="0" w:color="auto"/>
        <w:bottom w:val="none" w:sz="0" w:space="0" w:color="auto"/>
        <w:right w:val="none" w:sz="0" w:space="0" w:color="auto"/>
      </w:divBdr>
    </w:div>
    <w:div w:id="1741899134">
      <w:bodyDiv w:val="1"/>
      <w:marLeft w:val="0"/>
      <w:marRight w:val="0"/>
      <w:marTop w:val="0"/>
      <w:marBottom w:val="0"/>
      <w:divBdr>
        <w:top w:val="none" w:sz="0" w:space="0" w:color="auto"/>
        <w:left w:val="none" w:sz="0" w:space="0" w:color="auto"/>
        <w:bottom w:val="none" w:sz="0" w:space="0" w:color="auto"/>
        <w:right w:val="none" w:sz="0" w:space="0" w:color="auto"/>
      </w:divBdr>
    </w:div>
    <w:div w:id="1743674990">
      <w:bodyDiv w:val="1"/>
      <w:marLeft w:val="0"/>
      <w:marRight w:val="0"/>
      <w:marTop w:val="0"/>
      <w:marBottom w:val="0"/>
      <w:divBdr>
        <w:top w:val="none" w:sz="0" w:space="0" w:color="auto"/>
        <w:left w:val="none" w:sz="0" w:space="0" w:color="auto"/>
        <w:bottom w:val="none" w:sz="0" w:space="0" w:color="auto"/>
        <w:right w:val="none" w:sz="0" w:space="0" w:color="auto"/>
      </w:divBdr>
    </w:div>
    <w:div w:id="1748377145">
      <w:bodyDiv w:val="1"/>
      <w:marLeft w:val="0"/>
      <w:marRight w:val="0"/>
      <w:marTop w:val="0"/>
      <w:marBottom w:val="0"/>
      <w:divBdr>
        <w:top w:val="none" w:sz="0" w:space="0" w:color="auto"/>
        <w:left w:val="none" w:sz="0" w:space="0" w:color="auto"/>
        <w:bottom w:val="none" w:sz="0" w:space="0" w:color="auto"/>
        <w:right w:val="none" w:sz="0" w:space="0" w:color="auto"/>
      </w:divBdr>
    </w:div>
    <w:div w:id="1767577324">
      <w:bodyDiv w:val="1"/>
      <w:marLeft w:val="0"/>
      <w:marRight w:val="0"/>
      <w:marTop w:val="0"/>
      <w:marBottom w:val="0"/>
      <w:divBdr>
        <w:top w:val="none" w:sz="0" w:space="0" w:color="auto"/>
        <w:left w:val="none" w:sz="0" w:space="0" w:color="auto"/>
        <w:bottom w:val="none" w:sz="0" w:space="0" w:color="auto"/>
        <w:right w:val="none" w:sz="0" w:space="0" w:color="auto"/>
      </w:divBdr>
    </w:div>
    <w:div w:id="1769887947">
      <w:bodyDiv w:val="1"/>
      <w:marLeft w:val="0"/>
      <w:marRight w:val="0"/>
      <w:marTop w:val="0"/>
      <w:marBottom w:val="0"/>
      <w:divBdr>
        <w:top w:val="none" w:sz="0" w:space="0" w:color="auto"/>
        <w:left w:val="none" w:sz="0" w:space="0" w:color="auto"/>
        <w:bottom w:val="none" w:sz="0" w:space="0" w:color="auto"/>
        <w:right w:val="none" w:sz="0" w:space="0" w:color="auto"/>
      </w:divBdr>
    </w:div>
    <w:div w:id="1791170043">
      <w:bodyDiv w:val="1"/>
      <w:marLeft w:val="0"/>
      <w:marRight w:val="0"/>
      <w:marTop w:val="0"/>
      <w:marBottom w:val="0"/>
      <w:divBdr>
        <w:top w:val="none" w:sz="0" w:space="0" w:color="auto"/>
        <w:left w:val="none" w:sz="0" w:space="0" w:color="auto"/>
        <w:bottom w:val="none" w:sz="0" w:space="0" w:color="auto"/>
        <w:right w:val="none" w:sz="0" w:space="0" w:color="auto"/>
      </w:divBdr>
    </w:div>
    <w:div w:id="1793089830">
      <w:bodyDiv w:val="1"/>
      <w:marLeft w:val="0"/>
      <w:marRight w:val="0"/>
      <w:marTop w:val="0"/>
      <w:marBottom w:val="0"/>
      <w:divBdr>
        <w:top w:val="none" w:sz="0" w:space="0" w:color="auto"/>
        <w:left w:val="none" w:sz="0" w:space="0" w:color="auto"/>
        <w:bottom w:val="none" w:sz="0" w:space="0" w:color="auto"/>
        <w:right w:val="none" w:sz="0" w:space="0" w:color="auto"/>
      </w:divBdr>
    </w:div>
    <w:div w:id="17960980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968504">
      <w:bodyDiv w:val="1"/>
      <w:marLeft w:val="0"/>
      <w:marRight w:val="0"/>
      <w:marTop w:val="0"/>
      <w:marBottom w:val="0"/>
      <w:divBdr>
        <w:top w:val="none" w:sz="0" w:space="0" w:color="auto"/>
        <w:left w:val="none" w:sz="0" w:space="0" w:color="auto"/>
        <w:bottom w:val="none" w:sz="0" w:space="0" w:color="auto"/>
        <w:right w:val="none" w:sz="0" w:space="0" w:color="auto"/>
      </w:divBdr>
    </w:div>
    <w:div w:id="1814830159">
      <w:bodyDiv w:val="1"/>
      <w:marLeft w:val="0"/>
      <w:marRight w:val="0"/>
      <w:marTop w:val="0"/>
      <w:marBottom w:val="0"/>
      <w:divBdr>
        <w:top w:val="none" w:sz="0" w:space="0" w:color="auto"/>
        <w:left w:val="none" w:sz="0" w:space="0" w:color="auto"/>
        <w:bottom w:val="none" w:sz="0" w:space="0" w:color="auto"/>
        <w:right w:val="none" w:sz="0" w:space="0" w:color="auto"/>
      </w:divBdr>
    </w:div>
    <w:div w:id="181996082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470191">
      <w:bodyDiv w:val="1"/>
      <w:marLeft w:val="0"/>
      <w:marRight w:val="0"/>
      <w:marTop w:val="0"/>
      <w:marBottom w:val="0"/>
      <w:divBdr>
        <w:top w:val="none" w:sz="0" w:space="0" w:color="auto"/>
        <w:left w:val="none" w:sz="0" w:space="0" w:color="auto"/>
        <w:bottom w:val="none" w:sz="0" w:space="0" w:color="auto"/>
        <w:right w:val="none" w:sz="0" w:space="0" w:color="auto"/>
      </w:divBdr>
    </w:div>
    <w:div w:id="1828083716">
      <w:bodyDiv w:val="1"/>
      <w:marLeft w:val="0"/>
      <w:marRight w:val="0"/>
      <w:marTop w:val="0"/>
      <w:marBottom w:val="0"/>
      <w:divBdr>
        <w:top w:val="none" w:sz="0" w:space="0" w:color="auto"/>
        <w:left w:val="none" w:sz="0" w:space="0" w:color="auto"/>
        <w:bottom w:val="none" w:sz="0" w:space="0" w:color="auto"/>
        <w:right w:val="none" w:sz="0" w:space="0" w:color="auto"/>
      </w:divBdr>
    </w:div>
    <w:div w:id="1832404489">
      <w:bodyDiv w:val="1"/>
      <w:marLeft w:val="0"/>
      <w:marRight w:val="0"/>
      <w:marTop w:val="0"/>
      <w:marBottom w:val="0"/>
      <w:divBdr>
        <w:top w:val="none" w:sz="0" w:space="0" w:color="auto"/>
        <w:left w:val="none" w:sz="0" w:space="0" w:color="auto"/>
        <w:bottom w:val="none" w:sz="0" w:space="0" w:color="auto"/>
        <w:right w:val="none" w:sz="0" w:space="0" w:color="auto"/>
      </w:divBdr>
    </w:div>
    <w:div w:id="1855800885">
      <w:bodyDiv w:val="1"/>
      <w:marLeft w:val="0"/>
      <w:marRight w:val="0"/>
      <w:marTop w:val="0"/>
      <w:marBottom w:val="0"/>
      <w:divBdr>
        <w:top w:val="none" w:sz="0" w:space="0" w:color="auto"/>
        <w:left w:val="none" w:sz="0" w:space="0" w:color="auto"/>
        <w:bottom w:val="none" w:sz="0" w:space="0" w:color="auto"/>
        <w:right w:val="none" w:sz="0" w:space="0" w:color="auto"/>
      </w:divBdr>
    </w:div>
    <w:div w:id="1862669341">
      <w:bodyDiv w:val="1"/>
      <w:marLeft w:val="0"/>
      <w:marRight w:val="0"/>
      <w:marTop w:val="0"/>
      <w:marBottom w:val="0"/>
      <w:divBdr>
        <w:top w:val="none" w:sz="0" w:space="0" w:color="auto"/>
        <w:left w:val="none" w:sz="0" w:space="0" w:color="auto"/>
        <w:bottom w:val="none" w:sz="0" w:space="0" w:color="auto"/>
        <w:right w:val="none" w:sz="0" w:space="0" w:color="auto"/>
      </w:divBdr>
    </w:div>
    <w:div w:id="1865635531">
      <w:bodyDiv w:val="1"/>
      <w:marLeft w:val="0"/>
      <w:marRight w:val="0"/>
      <w:marTop w:val="0"/>
      <w:marBottom w:val="0"/>
      <w:divBdr>
        <w:top w:val="none" w:sz="0" w:space="0" w:color="auto"/>
        <w:left w:val="none" w:sz="0" w:space="0" w:color="auto"/>
        <w:bottom w:val="none" w:sz="0" w:space="0" w:color="auto"/>
        <w:right w:val="none" w:sz="0" w:space="0" w:color="auto"/>
      </w:divBdr>
    </w:div>
    <w:div w:id="1868715971">
      <w:bodyDiv w:val="1"/>
      <w:marLeft w:val="0"/>
      <w:marRight w:val="0"/>
      <w:marTop w:val="0"/>
      <w:marBottom w:val="0"/>
      <w:divBdr>
        <w:top w:val="none" w:sz="0" w:space="0" w:color="auto"/>
        <w:left w:val="none" w:sz="0" w:space="0" w:color="auto"/>
        <w:bottom w:val="none" w:sz="0" w:space="0" w:color="auto"/>
        <w:right w:val="none" w:sz="0" w:space="0" w:color="auto"/>
      </w:divBdr>
    </w:div>
    <w:div w:id="1879318311">
      <w:bodyDiv w:val="1"/>
      <w:marLeft w:val="0"/>
      <w:marRight w:val="0"/>
      <w:marTop w:val="0"/>
      <w:marBottom w:val="0"/>
      <w:divBdr>
        <w:top w:val="none" w:sz="0" w:space="0" w:color="auto"/>
        <w:left w:val="none" w:sz="0" w:space="0" w:color="auto"/>
        <w:bottom w:val="none" w:sz="0" w:space="0" w:color="auto"/>
        <w:right w:val="none" w:sz="0" w:space="0" w:color="auto"/>
      </w:divBdr>
    </w:div>
    <w:div w:id="1879930900">
      <w:bodyDiv w:val="1"/>
      <w:marLeft w:val="0"/>
      <w:marRight w:val="0"/>
      <w:marTop w:val="0"/>
      <w:marBottom w:val="0"/>
      <w:divBdr>
        <w:top w:val="none" w:sz="0" w:space="0" w:color="auto"/>
        <w:left w:val="none" w:sz="0" w:space="0" w:color="auto"/>
        <w:bottom w:val="none" w:sz="0" w:space="0" w:color="auto"/>
        <w:right w:val="none" w:sz="0" w:space="0" w:color="auto"/>
      </w:divBdr>
    </w:div>
    <w:div w:id="1915164707">
      <w:bodyDiv w:val="1"/>
      <w:marLeft w:val="0"/>
      <w:marRight w:val="0"/>
      <w:marTop w:val="0"/>
      <w:marBottom w:val="0"/>
      <w:divBdr>
        <w:top w:val="none" w:sz="0" w:space="0" w:color="auto"/>
        <w:left w:val="none" w:sz="0" w:space="0" w:color="auto"/>
        <w:bottom w:val="none" w:sz="0" w:space="0" w:color="auto"/>
        <w:right w:val="none" w:sz="0" w:space="0" w:color="auto"/>
      </w:divBdr>
    </w:div>
    <w:div w:id="1916276126">
      <w:bodyDiv w:val="1"/>
      <w:marLeft w:val="0"/>
      <w:marRight w:val="0"/>
      <w:marTop w:val="0"/>
      <w:marBottom w:val="0"/>
      <w:divBdr>
        <w:top w:val="none" w:sz="0" w:space="0" w:color="auto"/>
        <w:left w:val="none" w:sz="0" w:space="0" w:color="auto"/>
        <w:bottom w:val="none" w:sz="0" w:space="0" w:color="auto"/>
        <w:right w:val="none" w:sz="0" w:space="0" w:color="auto"/>
      </w:divBdr>
    </w:div>
    <w:div w:id="1930237386">
      <w:bodyDiv w:val="1"/>
      <w:marLeft w:val="0"/>
      <w:marRight w:val="0"/>
      <w:marTop w:val="0"/>
      <w:marBottom w:val="0"/>
      <w:divBdr>
        <w:top w:val="none" w:sz="0" w:space="0" w:color="auto"/>
        <w:left w:val="none" w:sz="0" w:space="0" w:color="auto"/>
        <w:bottom w:val="none" w:sz="0" w:space="0" w:color="auto"/>
        <w:right w:val="none" w:sz="0" w:space="0" w:color="auto"/>
      </w:divBdr>
    </w:div>
    <w:div w:id="1936476133">
      <w:bodyDiv w:val="1"/>
      <w:marLeft w:val="0"/>
      <w:marRight w:val="0"/>
      <w:marTop w:val="0"/>
      <w:marBottom w:val="0"/>
      <w:divBdr>
        <w:top w:val="none" w:sz="0" w:space="0" w:color="auto"/>
        <w:left w:val="none" w:sz="0" w:space="0" w:color="auto"/>
        <w:bottom w:val="none" w:sz="0" w:space="0" w:color="auto"/>
        <w:right w:val="none" w:sz="0" w:space="0" w:color="auto"/>
      </w:divBdr>
    </w:div>
    <w:div w:id="1938754343">
      <w:bodyDiv w:val="1"/>
      <w:marLeft w:val="0"/>
      <w:marRight w:val="0"/>
      <w:marTop w:val="0"/>
      <w:marBottom w:val="0"/>
      <w:divBdr>
        <w:top w:val="none" w:sz="0" w:space="0" w:color="auto"/>
        <w:left w:val="none" w:sz="0" w:space="0" w:color="auto"/>
        <w:bottom w:val="none" w:sz="0" w:space="0" w:color="auto"/>
        <w:right w:val="none" w:sz="0" w:space="0" w:color="auto"/>
      </w:divBdr>
    </w:div>
    <w:div w:id="1946040618">
      <w:bodyDiv w:val="1"/>
      <w:marLeft w:val="0"/>
      <w:marRight w:val="0"/>
      <w:marTop w:val="0"/>
      <w:marBottom w:val="0"/>
      <w:divBdr>
        <w:top w:val="none" w:sz="0" w:space="0" w:color="auto"/>
        <w:left w:val="none" w:sz="0" w:space="0" w:color="auto"/>
        <w:bottom w:val="none" w:sz="0" w:space="0" w:color="auto"/>
        <w:right w:val="none" w:sz="0" w:space="0" w:color="auto"/>
      </w:divBdr>
    </w:div>
    <w:div w:id="1946302141">
      <w:bodyDiv w:val="1"/>
      <w:marLeft w:val="0"/>
      <w:marRight w:val="0"/>
      <w:marTop w:val="0"/>
      <w:marBottom w:val="0"/>
      <w:divBdr>
        <w:top w:val="none" w:sz="0" w:space="0" w:color="auto"/>
        <w:left w:val="none" w:sz="0" w:space="0" w:color="auto"/>
        <w:bottom w:val="none" w:sz="0" w:space="0" w:color="auto"/>
        <w:right w:val="none" w:sz="0" w:space="0" w:color="auto"/>
      </w:divBdr>
    </w:div>
    <w:div w:id="1965117347">
      <w:bodyDiv w:val="1"/>
      <w:marLeft w:val="0"/>
      <w:marRight w:val="0"/>
      <w:marTop w:val="0"/>
      <w:marBottom w:val="0"/>
      <w:divBdr>
        <w:top w:val="none" w:sz="0" w:space="0" w:color="auto"/>
        <w:left w:val="none" w:sz="0" w:space="0" w:color="auto"/>
        <w:bottom w:val="none" w:sz="0" w:space="0" w:color="auto"/>
        <w:right w:val="none" w:sz="0" w:space="0" w:color="auto"/>
      </w:divBdr>
    </w:div>
    <w:div w:id="1974365096">
      <w:bodyDiv w:val="1"/>
      <w:marLeft w:val="0"/>
      <w:marRight w:val="0"/>
      <w:marTop w:val="0"/>
      <w:marBottom w:val="0"/>
      <w:divBdr>
        <w:top w:val="none" w:sz="0" w:space="0" w:color="auto"/>
        <w:left w:val="none" w:sz="0" w:space="0" w:color="auto"/>
        <w:bottom w:val="none" w:sz="0" w:space="0" w:color="auto"/>
        <w:right w:val="none" w:sz="0" w:space="0" w:color="auto"/>
      </w:divBdr>
    </w:div>
    <w:div w:id="1977878808">
      <w:bodyDiv w:val="1"/>
      <w:marLeft w:val="0"/>
      <w:marRight w:val="0"/>
      <w:marTop w:val="0"/>
      <w:marBottom w:val="0"/>
      <w:divBdr>
        <w:top w:val="none" w:sz="0" w:space="0" w:color="auto"/>
        <w:left w:val="none" w:sz="0" w:space="0" w:color="auto"/>
        <w:bottom w:val="none" w:sz="0" w:space="0" w:color="auto"/>
        <w:right w:val="none" w:sz="0" w:space="0" w:color="auto"/>
      </w:divBdr>
    </w:div>
    <w:div w:id="2002151291">
      <w:bodyDiv w:val="1"/>
      <w:marLeft w:val="0"/>
      <w:marRight w:val="0"/>
      <w:marTop w:val="0"/>
      <w:marBottom w:val="0"/>
      <w:divBdr>
        <w:top w:val="none" w:sz="0" w:space="0" w:color="auto"/>
        <w:left w:val="none" w:sz="0" w:space="0" w:color="auto"/>
        <w:bottom w:val="none" w:sz="0" w:space="0" w:color="auto"/>
        <w:right w:val="none" w:sz="0" w:space="0" w:color="auto"/>
      </w:divBdr>
    </w:div>
    <w:div w:id="2010087216">
      <w:bodyDiv w:val="1"/>
      <w:marLeft w:val="0"/>
      <w:marRight w:val="0"/>
      <w:marTop w:val="0"/>
      <w:marBottom w:val="0"/>
      <w:divBdr>
        <w:top w:val="none" w:sz="0" w:space="0" w:color="auto"/>
        <w:left w:val="none" w:sz="0" w:space="0" w:color="auto"/>
        <w:bottom w:val="none" w:sz="0" w:space="0" w:color="auto"/>
        <w:right w:val="none" w:sz="0" w:space="0" w:color="auto"/>
      </w:divBdr>
    </w:div>
    <w:div w:id="201179103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4570524">
      <w:bodyDiv w:val="1"/>
      <w:marLeft w:val="0"/>
      <w:marRight w:val="0"/>
      <w:marTop w:val="0"/>
      <w:marBottom w:val="0"/>
      <w:divBdr>
        <w:top w:val="none" w:sz="0" w:space="0" w:color="auto"/>
        <w:left w:val="none" w:sz="0" w:space="0" w:color="auto"/>
        <w:bottom w:val="none" w:sz="0" w:space="0" w:color="auto"/>
        <w:right w:val="none" w:sz="0" w:space="0" w:color="auto"/>
      </w:divBdr>
    </w:div>
    <w:div w:id="2058815123">
      <w:bodyDiv w:val="1"/>
      <w:marLeft w:val="0"/>
      <w:marRight w:val="0"/>
      <w:marTop w:val="0"/>
      <w:marBottom w:val="0"/>
      <w:divBdr>
        <w:top w:val="none" w:sz="0" w:space="0" w:color="auto"/>
        <w:left w:val="none" w:sz="0" w:space="0" w:color="auto"/>
        <w:bottom w:val="none" w:sz="0" w:space="0" w:color="auto"/>
        <w:right w:val="none" w:sz="0" w:space="0" w:color="auto"/>
      </w:divBdr>
    </w:div>
    <w:div w:id="2059668851">
      <w:bodyDiv w:val="1"/>
      <w:marLeft w:val="0"/>
      <w:marRight w:val="0"/>
      <w:marTop w:val="0"/>
      <w:marBottom w:val="0"/>
      <w:divBdr>
        <w:top w:val="none" w:sz="0" w:space="0" w:color="auto"/>
        <w:left w:val="none" w:sz="0" w:space="0" w:color="auto"/>
        <w:bottom w:val="none" w:sz="0" w:space="0" w:color="auto"/>
        <w:right w:val="none" w:sz="0" w:space="0" w:color="auto"/>
      </w:divBdr>
    </w:div>
    <w:div w:id="20616357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008401">
      <w:bodyDiv w:val="1"/>
      <w:marLeft w:val="0"/>
      <w:marRight w:val="0"/>
      <w:marTop w:val="0"/>
      <w:marBottom w:val="0"/>
      <w:divBdr>
        <w:top w:val="none" w:sz="0" w:space="0" w:color="auto"/>
        <w:left w:val="none" w:sz="0" w:space="0" w:color="auto"/>
        <w:bottom w:val="none" w:sz="0" w:space="0" w:color="auto"/>
        <w:right w:val="none" w:sz="0" w:space="0" w:color="auto"/>
      </w:divBdr>
    </w:div>
    <w:div w:id="210279183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23038">
      <w:bodyDiv w:val="1"/>
      <w:marLeft w:val="0"/>
      <w:marRight w:val="0"/>
      <w:marTop w:val="0"/>
      <w:marBottom w:val="0"/>
      <w:divBdr>
        <w:top w:val="none" w:sz="0" w:space="0" w:color="auto"/>
        <w:left w:val="none" w:sz="0" w:space="0" w:color="auto"/>
        <w:bottom w:val="none" w:sz="0" w:space="0" w:color="auto"/>
        <w:right w:val="none" w:sz="0" w:space="0" w:color="auto"/>
      </w:divBdr>
    </w:div>
    <w:div w:id="212673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se.gov.uk/pubns/priced/l22.pdf"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hse.gov.uk/pubns/priced/hsr25.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onr.org.uk/saps/saps2014.pdf" TargetMode="External"/><Relationship Id="rId25"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hse.gov.uk/pubns/priced/l111.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se.gov.uk/pubns/priced/l122.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hse.gov.uk/pubns/priced/l15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hse.gov.uk/pubns/priced/l113.pdf"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D3697"/>
    <w:rsid w:val="00252452"/>
    <w:rsid w:val="002550FD"/>
    <w:rsid w:val="002563B8"/>
    <w:rsid w:val="00350199"/>
    <w:rsid w:val="00387115"/>
    <w:rsid w:val="003A0C2F"/>
    <w:rsid w:val="004F71EC"/>
    <w:rsid w:val="00597B86"/>
    <w:rsid w:val="005C2B82"/>
    <w:rsid w:val="00650033"/>
    <w:rsid w:val="007154C5"/>
    <w:rsid w:val="00780C80"/>
    <w:rsid w:val="00835E07"/>
    <w:rsid w:val="00846B92"/>
    <w:rsid w:val="00877207"/>
    <w:rsid w:val="00972B41"/>
    <w:rsid w:val="00CA10A9"/>
    <w:rsid w:val="00CD10A9"/>
    <w:rsid w:val="00D75606"/>
    <w:rsid w:val="00DB4022"/>
    <w:rsid w:val="00DD6E09"/>
    <w:rsid w:val="00DD7BA4"/>
    <w:rsid w:val="00E13613"/>
    <w:rsid w:val="00E24D23"/>
    <w:rsid w:val="00E318CE"/>
    <w:rsid w:val="00E646E1"/>
    <w:rsid w:val="00EF5916"/>
    <w:rsid w:val="00F87A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WEN20</b:Tag>
    <b:SourceType>Report</b:SourceType>
    <b:Guid>{9ADA533C-7346-4EA8-AF27-8D86FE91FBAD}</b:Guid>
    <b:Title>Safety Reference Levels for Existing Reactors</b:Title>
    <b:Year>2020</b:Year>
    <b:Author>
      <b:Author>
        <b:Corporate>WENRA</b:Corporate>
      </b:Author>
    </b:Author>
    <b:RefOrder>2</b:RefOrder>
  </b:Source>
  <b:Source>
    <b:Tag>ONR2013</b:Tag>
    <b:SourceType>ElectronicSource</b:SourceType>
    <b:Guid>{2C058929-D291-4F99-BB3E-F3EC94A7F754}</b:Guid>
    <b:Author>
      <b:Author>
        <b:Corporate>ONR</b:Corporate>
      </b:Author>
    </b:Author>
    <b:Title>Safety Assessment Principles (SAPs) for Nuclear Facilities - 2014 Edition (Revision 1)</b:Title>
    <b:Year>2020</b:Year>
    <b:Month>January</b:Month>
    <b:RefOrder>1</b:RefOrder>
  </b:Source>
  <b:Source>
    <b:Tag>IAE1</b:Tag>
    <b:SourceType>ElectronicSource</b:SourceType>
    <b:Guid>{6AD2936D-DAD8-42DB-95FB-465CB6A44FC9}</b:Guid>
    <b:Author>
      <b:Author>
        <b:Corporate>IAEA Safety Standards</b:Corporate>
      </b:Author>
    </b:Author>
    <b:Title>Safety of Nuclear Power Plants: Commissionining and Operation, Specific Safety Requirements No SSR-2/2 (Rev. 1)</b:Title>
    <b:RefOrder>6</b:RefOrder>
  </b:Source>
  <b:Source>
    <b:Tag>IAE</b:Tag>
    <b:SourceType>ElectronicSource</b:SourceType>
    <b:Guid>{E1A79DBB-D5DD-4979-9024-30F19836D085}</b:Guid>
    <b:Author>
      <b:Author>
        <b:Corporate>IAEA Safety Standards</b:Corporate>
      </b:Author>
    </b:Author>
    <b:Title>Safety of Nuclear Power Plants: Design, Specific Safety Requirements No. SSR-2/1 (Rev. 1)</b:Title>
    <b:RefOrder>3</b:RefOrder>
  </b:Source>
  <b:Source>
    <b:Tag>IAE2</b:Tag>
    <b:SourceType>ElectronicSource</b:SourceType>
    <b:Guid>{B2F77D01-331C-4F75-9815-A4B0F20B7B1D}</b:Guid>
    <b:Author>
      <b:Author>
        <b:Corporate>IAEA Safety Standards</b:Corporate>
      </b:Author>
    </b:Author>
    <b:Title>Maintenance, Testing, Surveilance and Inspection in Nuclear Power Plants, Specific Safety Guide No SSG-74</b:Title>
    <b:RefOrder>5</b:RefOrder>
  </b:Source>
  <b:Source>
    <b:Tag>IAE3</b:Tag>
    <b:SourceType>ElectronicSource</b:SourceType>
    <b:Guid>{11383EC7-5476-4634-B644-FF1F530FE18E}</b:Guid>
    <b:Author>
      <b:Author>
        <b:Corporate>IAEA Safety Standards</b:Corporate>
      </b:Author>
    </b:Author>
    <b:Title>Commissioning for Nuclear Power Plants, Specific Safety Guide No. SSG-28</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CFCA-9944-4A6A-9B00-4AE75862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25</Pages>
  <Words>6596</Words>
  <Characters>37603</Characters>
  <Application>Microsoft Office Word</Application>
  <DocSecurity>4</DocSecurity>
  <Lines>313</Lines>
  <Paragraphs>88</Paragraphs>
  <ScaleCrop>false</ScaleCrop>
  <HeadingPairs>
    <vt:vector size="2" baseType="variant">
      <vt:variant>
        <vt:lpstr>Title</vt:lpstr>
      </vt:variant>
      <vt:variant>
        <vt:i4>1</vt:i4>
      </vt:variant>
    </vt:vector>
  </HeadingPairs>
  <TitlesOfParts>
    <vt:vector size="1" baseType="lpstr">
      <vt:lpstr>Examination, Inspection, Maintenance and Testing of items important to Safety</vt:lpstr>
    </vt:vector>
  </TitlesOfParts>
  <Manager>Office for Nuclear Regulation</Manager>
  <Company>Office for Nuclear Regulation</Company>
  <LinksUpToDate>false</LinksUpToDate>
  <CharactersWithSpaces>44111</CharactersWithSpaces>
  <SharedDoc>false</SharedDoc>
  <HLinks>
    <vt:vector size="102" baseType="variant">
      <vt:variant>
        <vt:i4>1572947</vt:i4>
      </vt:variant>
      <vt:variant>
        <vt:i4>93</vt:i4>
      </vt:variant>
      <vt:variant>
        <vt:i4>0</vt:i4>
      </vt:variant>
      <vt:variant>
        <vt:i4>5</vt:i4>
      </vt:variant>
      <vt:variant>
        <vt:lpwstr>https://www.hse.gov.uk/pubns/priced/l122.pdf</vt:lpwstr>
      </vt:variant>
      <vt:variant>
        <vt:lpwstr/>
      </vt:variant>
      <vt:variant>
        <vt:i4>1638480</vt:i4>
      </vt:variant>
      <vt:variant>
        <vt:i4>90</vt:i4>
      </vt:variant>
      <vt:variant>
        <vt:i4>0</vt:i4>
      </vt:variant>
      <vt:variant>
        <vt:i4>5</vt:i4>
      </vt:variant>
      <vt:variant>
        <vt:lpwstr>https://www.hse.gov.uk/pubns/priced/l113.pdf</vt:lpwstr>
      </vt:variant>
      <vt:variant>
        <vt:lpwstr/>
      </vt:variant>
      <vt:variant>
        <vt:i4>393240</vt:i4>
      </vt:variant>
      <vt:variant>
        <vt:i4>87</vt:i4>
      </vt:variant>
      <vt:variant>
        <vt:i4>0</vt:i4>
      </vt:variant>
      <vt:variant>
        <vt:i4>5</vt:i4>
      </vt:variant>
      <vt:variant>
        <vt:lpwstr>https://www.hse.gov.uk/pubns/priced/hsr25.pdf</vt:lpwstr>
      </vt:variant>
      <vt:variant>
        <vt:lpwstr/>
      </vt:variant>
      <vt:variant>
        <vt:i4>1769552</vt:i4>
      </vt:variant>
      <vt:variant>
        <vt:i4>84</vt:i4>
      </vt:variant>
      <vt:variant>
        <vt:i4>0</vt:i4>
      </vt:variant>
      <vt:variant>
        <vt:i4>5</vt:i4>
      </vt:variant>
      <vt:variant>
        <vt:lpwstr>https://www.hse.gov.uk/pubns/priced/l111.pdf</vt:lpwstr>
      </vt:variant>
      <vt:variant>
        <vt:lpwstr/>
      </vt:variant>
      <vt:variant>
        <vt:i4>1638484</vt:i4>
      </vt:variant>
      <vt:variant>
        <vt:i4>81</vt:i4>
      </vt:variant>
      <vt:variant>
        <vt:i4>0</vt:i4>
      </vt:variant>
      <vt:variant>
        <vt:i4>5</vt:i4>
      </vt:variant>
      <vt:variant>
        <vt:lpwstr>https://www.hse.gov.uk/pubns/priced/l153.pdf</vt:lpwstr>
      </vt:variant>
      <vt:variant>
        <vt:lpwstr/>
      </vt:variant>
      <vt:variant>
        <vt:i4>7667817</vt:i4>
      </vt:variant>
      <vt:variant>
        <vt:i4>78</vt:i4>
      </vt:variant>
      <vt:variant>
        <vt:i4>0</vt:i4>
      </vt:variant>
      <vt:variant>
        <vt:i4>5</vt:i4>
      </vt:variant>
      <vt:variant>
        <vt:lpwstr>https://www.hse.gov.uk/pubns/priced/l22.pdf</vt:lpwstr>
      </vt:variant>
      <vt:variant>
        <vt:lpwstr/>
      </vt:variant>
      <vt:variant>
        <vt:i4>3932269</vt:i4>
      </vt:variant>
      <vt:variant>
        <vt:i4>60</vt:i4>
      </vt:variant>
      <vt:variant>
        <vt:i4>0</vt:i4>
      </vt:variant>
      <vt:variant>
        <vt:i4>5</vt:i4>
      </vt:variant>
      <vt:variant>
        <vt:lpwstr>http://www.onr.org.uk/saps/saps2014.pdf</vt:lpwstr>
      </vt:variant>
      <vt:variant>
        <vt:lpwstr/>
      </vt:variant>
      <vt:variant>
        <vt:i4>1966141</vt:i4>
      </vt:variant>
      <vt:variant>
        <vt:i4>53</vt:i4>
      </vt:variant>
      <vt:variant>
        <vt:i4>0</vt:i4>
      </vt:variant>
      <vt:variant>
        <vt:i4>5</vt:i4>
      </vt:variant>
      <vt:variant>
        <vt:lpwstr/>
      </vt:variant>
      <vt:variant>
        <vt:lpwstr>_Toc149226791</vt:lpwstr>
      </vt:variant>
      <vt:variant>
        <vt:i4>1966141</vt:i4>
      </vt:variant>
      <vt:variant>
        <vt:i4>47</vt:i4>
      </vt:variant>
      <vt:variant>
        <vt:i4>0</vt:i4>
      </vt:variant>
      <vt:variant>
        <vt:i4>5</vt:i4>
      </vt:variant>
      <vt:variant>
        <vt:lpwstr/>
      </vt:variant>
      <vt:variant>
        <vt:lpwstr>_Toc149226790</vt:lpwstr>
      </vt:variant>
      <vt:variant>
        <vt:i4>2031677</vt:i4>
      </vt:variant>
      <vt:variant>
        <vt:i4>41</vt:i4>
      </vt:variant>
      <vt:variant>
        <vt:i4>0</vt:i4>
      </vt:variant>
      <vt:variant>
        <vt:i4>5</vt:i4>
      </vt:variant>
      <vt:variant>
        <vt:lpwstr/>
      </vt:variant>
      <vt:variant>
        <vt:lpwstr>_Toc149226789</vt:lpwstr>
      </vt:variant>
      <vt:variant>
        <vt:i4>2031677</vt:i4>
      </vt:variant>
      <vt:variant>
        <vt:i4>35</vt:i4>
      </vt:variant>
      <vt:variant>
        <vt:i4>0</vt:i4>
      </vt:variant>
      <vt:variant>
        <vt:i4>5</vt:i4>
      </vt:variant>
      <vt:variant>
        <vt:lpwstr/>
      </vt:variant>
      <vt:variant>
        <vt:lpwstr>_Toc149226788</vt:lpwstr>
      </vt:variant>
      <vt:variant>
        <vt:i4>2031677</vt:i4>
      </vt:variant>
      <vt:variant>
        <vt:i4>29</vt:i4>
      </vt:variant>
      <vt:variant>
        <vt:i4>0</vt:i4>
      </vt:variant>
      <vt:variant>
        <vt:i4>5</vt:i4>
      </vt:variant>
      <vt:variant>
        <vt:lpwstr/>
      </vt:variant>
      <vt:variant>
        <vt:lpwstr>_Toc149226787</vt:lpwstr>
      </vt:variant>
      <vt:variant>
        <vt:i4>2031677</vt:i4>
      </vt:variant>
      <vt:variant>
        <vt:i4>23</vt:i4>
      </vt:variant>
      <vt:variant>
        <vt:i4>0</vt:i4>
      </vt:variant>
      <vt:variant>
        <vt:i4>5</vt:i4>
      </vt:variant>
      <vt:variant>
        <vt:lpwstr/>
      </vt:variant>
      <vt:variant>
        <vt:lpwstr>_Toc149226785</vt:lpwstr>
      </vt:variant>
      <vt:variant>
        <vt:i4>2031677</vt:i4>
      </vt:variant>
      <vt:variant>
        <vt:i4>17</vt:i4>
      </vt:variant>
      <vt:variant>
        <vt:i4>0</vt:i4>
      </vt:variant>
      <vt:variant>
        <vt:i4>5</vt:i4>
      </vt:variant>
      <vt:variant>
        <vt:lpwstr/>
      </vt:variant>
      <vt:variant>
        <vt:lpwstr>_Toc149226784</vt:lpwstr>
      </vt:variant>
      <vt:variant>
        <vt:i4>2031677</vt:i4>
      </vt:variant>
      <vt:variant>
        <vt:i4>11</vt:i4>
      </vt:variant>
      <vt:variant>
        <vt:i4>0</vt:i4>
      </vt:variant>
      <vt:variant>
        <vt:i4>5</vt:i4>
      </vt:variant>
      <vt:variant>
        <vt:lpwstr/>
      </vt:variant>
      <vt:variant>
        <vt:lpwstr>_Toc149226782</vt:lpwstr>
      </vt:variant>
      <vt:variant>
        <vt:i4>2031677</vt:i4>
      </vt:variant>
      <vt:variant>
        <vt:i4>5</vt:i4>
      </vt:variant>
      <vt:variant>
        <vt:i4>0</vt:i4>
      </vt:variant>
      <vt:variant>
        <vt:i4>5</vt:i4>
      </vt:variant>
      <vt:variant>
        <vt:lpwstr/>
      </vt:variant>
      <vt:variant>
        <vt:lpwstr>_Toc149226781</vt:lpwstr>
      </vt:variant>
      <vt:variant>
        <vt:i4>5701742</vt:i4>
      </vt:variant>
      <vt:variant>
        <vt:i4>0</vt:i4>
      </vt:variant>
      <vt:variant>
        <vt:i4>0</vt:i4>
      </vt:variant>
      <vt:variant>
        <vt:i4>5</vt:i4>
      </vt:variant>
      <vt:variant>
        <vt:lpwstr>mailto:HOW2@onr.gov.uk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Inspection, Maintenance and Testing of items important to Safety</dc:title>
  <dc:subject>[Subtitle or description]</dc:subject>
  <cp:keywords>[Key words separated by commas]</cp:keywords>
  <dc:description/>
  <cp:revision>2</cp:revision>
  <cp:lastPrinted>2016-11-29T03:35:00Z</cp:lastPrinted>
  <dcterms:created xsi:type="dcterms:W3CDTF">2023-11-14T10:40:00Z</dcterms:created>
  <dcterms:modified xsi:type="dcterms:W3CDTF">2023-11-14T10:40:00Z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