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0F98EB3"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E12844">
                      <w:rPr>
                        <w:sz w:val="52"/>
                        <w:szCs w:val="52"/>
                      </w:rPr>
                      <w:t>Preparation for and Response to Cyber Security Incidents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000D6C3"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E12844">
            <w:rPr>
              <w:rStyle w:val="Style2"/>
              <w:sz w:val="36"/>
              <w:szCs w:val="16"/>
            </w:rPr>
            <w:t>Preparation for and Response to Cyber Security Incidents</w:t>
          </w:r>
        </w:sdtContent>
      </w:sdt>
    </w:p>
    <w:p w14:paraId="61A25C0F" w14:textId="77777777" w:rsidR="00004C16" w:rsidRDefault="00004C16" w:rsidP="00004C16">
      <w:pPr>
        <w:rPr>
          <w:sz w:val="28"/>
          <w:szCs w:val="28"/>
        </w:rPr>
      </w:pPr>
    </w:p>
    <w:p w14:paraId="4C7A948F" w14:textId="349EFE10"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C27FE4">
        <w:rPr>
          <w:sz w:val="28"/>
          <w:szCs w:val="28"/>
        </w:rPr>
        <w:t xml:space="preserve">CS&amp;IA Inspector </w:t>
      </w:r>
    </w:p>
    <w:p w14:paraId="15A21CF3" w14:textId="534A96ED"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B744AB">
        <w:rPr>
          <w:sz w:val="28"/>
          <w:szCs w:val="28"/>
        </w:rPr>
        <w:t>CS&amp;IA Professional Lead</w:t>
      </w:r>
    </w:p>
    <w:p w14:paraId="29270FF3" w14:textId="21BF652F" w:rsidR="00CE1DB2" w:rsidRDefault="00CE1DB2" w:rsidP="00245A0D">
      <w:pPr>
        <w:rPr>
          <w:sz w:val="28"/>
          <w:szCs w:val="28"/>
        </w:rPr>
      </w:pPr>
      <w:r>
        <w:rPr>
          <w:sz w:val="28"/>
          <w:szCs w:val="28"/>
        </w:rPr>
        <w:t xml:space="preserve">Professional Lead: </w:t>
      </w:r>
      <w:r w:rsidR="00B744AB">
        <w:rPr>
          <w:sz w:val="28"/>
          <w:szCs w:val="28"/>
        </w:rPr>
        <w:t>CS&amp;IA Professional Lead</w:t>
      </w:r>
    </w:p>
    <w:p w14:paraId="3ADDCB72" w14:textId="77777777" w:rsidR="000950B3" w:rsidRPr="00004C16" w:rsidRDefault="000950B3" w:rsidP="00004C16">
      <w:pPr>
        <w:rPr>
          <w:sz w:val="28"/>
          <w:szCs w:val="28"/>
        </w:rPr>
      </w:pPr>
    </w:p>
    <w:p w14:paraId="247E3769" w14:textId="5030297C"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27FE4">
            <w:rPr>
              <w:sz w:val="28"/>
              <w:szCs w:val="28"/>
            </w:rPr>
            <w:t>4</w:t>
          </w:r>
        </w:sdtContent>
      </w:sdt>
    </w:p>
    <w:p w14:paraId="19206F45" w14:textId="2CDCE220" w:rsidR="00004C16" w:rsidRDefault="00004C16" w:rsidP="00004C16">
      <w:pPr>
        <w:rPr>
          <w:sz w:val="28"/>
          <w:szCs w:val="28"/>
        </w:rPr>
      </w:pPr>
      <w:r w:rsidRPr="00004C16">
        <w:rPr>
          <w:sz w:val="28"/>
          <w:szCs w:val="28"/>
        </w:rPr>
        <w:t xml:space="preserve">Publication Date: </w:t>
      </w:r>
      <w:r w:rsidR="00B744AB">
        <w:rPr>
          <w:sz w:val="28"/>
          <w:szCs w:val="28"/>
        </w:rPr>
        <w:t>Jan</w:t>
      </w:r>
      <w:r w:rsidRPr="00245A0D">
        <w:rPr>
          <w:sz w:val="28"/>
          <w:szCs w:val="28"/>
        </w:rPr>
        <w:t>-</w:t>
      </w:r>
      <w:r w:rsidR="00B744AB">
        <w:rPr>
          <w:sz w:val="28"/>
          <w:szCs w:val="28"/>
        </w:rPr>
        <w:t>24</w:t>
      </w:r>
    </w:p>
    <w:p w14:paraId="06A6B3A5" w14:textId="3CA7EC11" w:rsidR="00E57DB9" w:rsidRDefault="00E57DB9" w:rsidP="00E57DB9">
      <w:pPr>
        <w:rPr>
          <w:sz w:val="28"/>
          <w:szCs w:val="28"/>
        </w:rPr>
      </w:pPr>
      <w:r>
        <w:rPr>
          <w:sz w:val="28"/>
          <w:szCs w:val="28"/>
        </w:rPr>
        <w:t>Next Major Review Date:</w:t>
      </w:r>
      <w:r w:rsidR="00AE4F54">
        <w:rPr>
          <w:sz w:val="28"/>
          <w:szCs w:val="28"/>
        </w:rPr>
        <w:t xml:space="preserve"> </w:t>
      </w:r>
      <w:r w:rsidR="00B744AB">
        <w:rPr>
          <w:sz w:val="28"/>
          <w:szCs w:val="28"/>
        </w:rPr>
        <w:t>Jan</w:t>
      </w:r>
      <w:r>
        <w:rPr>
          <w:sz w:val="28"/>
          <w:szCs w:val="28"/>
        </w:rPr>
        <w:t>-</w:t>
      </w:r>
      <w:r w:rsidR="00B744AB">
        <w:rPr>
          <w:sz w:val="28"/>
          <w:szCs w:val="28"/>
        </w:rPr>
        <w:t>27</w:t>
      </w:r>
    </w:p>
    <w:p w14:paraId="6DA341A1" w14:textId="1A4C992C" w:rsidR="00347CA8" w:rsidRPr="00004C16" w:rsidRDefault="00347CA8" w:rsidP="00E57DB9">
      <w:pPr>
        <w:rPr>
          <w:sz w:val="28"/>
          <w:szCs w:val="28"/>
        </w:rPr>
      </w:pPr>
      <w:r>
        <w:rPr>
          <w:sz w:val="28"/>
          <w:szCs w:val="28"/>
        </w:rPr>
        <w:t xml:space="preserve">Doc. Ref.: </w:t>
      </w:r>
      <w:r w:rsidR="00874D70" w:rsidRPr="00874D70">
        <w:rPr>
          <w:sz w:val="28"/>
          <w:szCs w:val="28"/>
        </w:rPr>
        <w:t>CNSS-TAST-GD-7.5</w:t>
      </w:r>
    </w:p>
    <w:p w14:paraId="55057C62" w14:textId="022FE135" w:rsidR="00004C16" w:rsidRPr="00004C16" w:rsidRDefault="00004C16" w:rsidP="00004C16">
      <w:pPr>
        <w:rPr>
          <w:sz w:val="28"/>
          <w:szCs w:val="28"/>
        </w:rPr>
      </w:pPr>
      <w:r w:rsidRPr="00004C16">
        <w:rPr>
          <w:sz w:val="28"/>
          <w:szCs w:val="28"/>
        </w:rPr>
        <w:t xml:space="preserve">Record Ref. No.: </w:t>
      </w:r>
      <w:r w:rsidR="001404FC">
        <w:rPr>
          <w:sz w:val="28"/>
          <w:szCs w:val="28"/>
        </w:rPr>
        <w:t>2024/652</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1191AE94"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C27FE4">
                  <w:rPr>
                    <w:sz w:val="28"/>
                    <w:szCs w:val="28"/>
                  </w:rPr>
                  <w:t>4</w:t>
                </w:r>
              </w:sdtContent>
            </w:sdt>
          </w:p>
        </w:tc>
        <w:tc>
          <w:tcPr>
            <w:tcW w:w="7466" w:type="dxa"/>
          </w:tcPr>
          <w:p w14:paraId="4D3C2C64" w14:textId="77777777" w:rsidR="00515089" w:rsidRDefault="00543BCD" w:rsidP="009F5938">
            <w:pPr>
              <w:spacing w:before="60" w:after="60"/>
            </w:pPr>
            <w:r>
              <w:t xml:space="preserve">Updates to IAEA guidance and </w:t>
            </w:r>
            <w:r w:rsidR="00C535CB">
              <w:t xml:space="preserve">general additions and updates in line with relevant good practice. </w:t>
            </w:r>
          </w:p>
          <w:p w14:paraId="1C80912E" w14:textId="35EFD7F2" w:rsidR="00595C8C" w:rsidRDefault="00793F50" w:rsidP="009F5938">
            <w:pPr>
              <w:spacing w:before="60" w:after="60"/>
            </w:pPr>
            <w:r>
              <w:t xml:space="preserve">Updated </w:t>
            </w:r>
            <w:r w:rsidR="00515089">
              <w:t xml:space="preserve">document template. </w:t>
            </w:r>
            <w:r w:rsidR="00C535CB">
              <w:t xml:space="preserve"> </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CBA7D97" w14:textId="4A38BA02" w:rsidR="00BF320D"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5256133" w:history="1">
        <w:r w:rsidR="00BF320D" w:rsidRPr="00D71E70">
          <w:rPr>
            <w:rStyle w:val="Hyperlink"/>
          </w:rPr>
          <w:t>1.</w:t>
        </w:r>
        <w:r w:rsidR="00BF320D">
          <w:rPr>
            <w:rFonts w:asciiTheme="minorHAnsi" w:eastAsiaTheme="minorEastAsia" w:hAnsiTheme="minorHAnsi" w:cstheme="minorBidi"/>
            <w:sz w:val="22"/>
            <w:lang w:eastAsia="en-GB" w:bidi="ar-SA"/>
          </w:rPr>
          <w:tab/>
        </w:r>
        <w:r w:rsidR="00BF320D" w:rsidRPr="00D71E70">
          <w:rPr>
            <w:rStyle w:val="Hyperlink"/>
          </w:rPr>
          <w:t>Introduction</w:t>
        </w:r>
        <w:r w:rsidR="00BF320D">
          <w:rPr>
            <w:webHidden/>
          </w:rPr>
          <w:tab/>
        </w:r>
        <w:r w:rsidR="00BF320D">
          <w:rPr>
            <w:webHidden/>
          </w:rPr>
          <w:fldChar w:fldCharType="begin"/>
        </w:r>
        <w:r w:rsidR="00BF320D">
          <w:rPr>
            <w:webHidden/>
          </w:rPr>
          <w:instrText xml:space="preserve"> PAGEREF _Toc155256133 \h </w:instrText>
        </w:r>
        <w:r w:rsidR="00BF320D">
          <w:rPr>
            <w:webHidden/>
          </w:rPr>
        </w:r>
        <w:r w:rsidR="00BF320D">
          <w:rPr>
            <w:webHidden/>
          </w:rPr>
          <w:fldChar w:fldCharType="separate"/>
        </w:r>
        <w:r w:rsidR="00BF320D">
          <w:rPr>
            <w:webHidden/>
          </w:rPr>
          <w:t>4</w:t>
        </w:r>
        <w:r w:rsidR="00BF320D">
          <w:rPr>
            <w:webHidden/>
          </w:rPr>
          <w:fldChar w:fldCharType="end"/>
        </w:r>
      </w:hyperlink>
    </w:p>
    <w:p w14:paraId="3970D53C" w14:textId="311CF251" w:rsidR="00BF320D" w:rsidRDefault="00000000">
      <w:pPr>
        <w:pStyle w:val="TOC1"/>
        <w:tabs>
          <w:tab w:val="left" w:pos="720"/>
        </w:tabs>
        <w:rPr>
          <w:rFonts w:asciiTheme="minorHAnsi" w:eastAsiaTheme="minorEastAsia" w:hAnsiTheme="minorHAnsi" w:cstheme="minorBidi"/>
          <w:sz w:val="22"/>
          <w:lang w:eastAsia="en-GB" w:bidi="ar-SA"/>
        </w:rPr>
      </w:pPr>
      <w:hyperlink w:anchor="_Toc155256134" w:history="1">
        <w:r w:rsidR="00BF320D" w:rsidRPr="00D71E70">
          <w:rPr>
            <w:rStyle w:val="Hyperlink"/>
          </w:rPr>
          <w:t>2.</w:t>
        </w:r>
        <w:r w:rsidR="00BF320D">
          <w:rPr>
            <w:rFonts w:asciiTheme="minorHAnsi" w:eastAsiaTheme="minorEastAsia" w:hAnsiTheme="minorHAnsi" w:cstheme="minorBidi"/>
            <w:sz w:val="22"/>
            <w:lang w:eastAsia="en-GB" w:bidi="ar-SA"/>
          </w:rPr>
          <w:tab/>
        </w:r>
        <w:r w:rsidR="00BF320D" w:rsidRPr="00D71E70">
          <w:rPr>
            <w:rStyle w:val="Hyperlink"/>
          </w:rPr>
          <w:t>Purpose and Scope</w:t>
        </w:r>
        <w:r w:rsidR="00BF320D">
          <w:rPr>
            <w:webHidden/>
          </w:rPr>
          <w:tab/>
        </w:r>
        <w:r w:rsidR="00BF320D">
          <w:rPr>
            <w:webHidden/>
          </w:rPr>
          <w:fldChar w:fldCharType="begin"/>
        </w:r>
        <w:r w:rsidR="00BF320D">
          <w:rPr>
            <w:webHidden/>
          </w:rPr>
          <w:instrText xml:space="preserve"> PAGEREF _Toc155256134 \h </w:instrText>
        </w:r>
        <w:r w:rsidR="00BF320D">
          <w:rPr>
            <w:webHidden/>
          </w:rPr>
        </w:r>
        <w:r w:rsidR="00BF320D">
          <w:rPr>
            <w:webHidden/>
          </w:rPr>
          <w:fldChar w:fldCharType="separate"/>
        </w:r>
        <w:r w:rsidR="00BF320D">
          <w:rPr>
            <w:webHidden/>
          </w:rPr>
          <w:t>4</w:t>
        </w:r>
        <w:r w:rsidR="00BF320D">
          <w:rPr>
            <w:webHidden/>
          </w:rPr>
          <w:fldChar w:fldCharType="end"/>
        </w:r>
      </w:hyperlink>
    </w:p>
    <w:p w14:paraId="38B12E4C" w14:textId="4651109F" w:rsidR="00BF320D" w:rsidRDefault="00000000">
      <w:pPr>
        <w:pStyle w:val="TOC1"/>
        <w:tabs>
          <w:tab w:val="left" w:pos="720"/>
        </w:tabs>
        <w:rPr>
          <w:rFonts w:asciiTheme="minorHAnsi" w:eastAsiaTheme="minorEastAsia" w:hAnsiTheme="minorHAnsi" w:cstheme="minorBidi"/>
          <w:sz w:val="22"/>
          <w:lang w:eastAsia="en-GB" w:bidi="ar-SA"/>
        </w:rPr>
      </w:pPr>
      <w:hyperlink w:anchor="_Toc155256135" w:history="1">
        <w:r w:rsidR="00BF320D" w:rsidRPr="00D71E70">
          <w:rPr>
            <w:rStyle w:val="Hyperlink"/>
          </w:rPr>
          <w:t>3.</w:t>
        </w:r>
        <w:r w:rsidR="00BF320D">
          <w:rPr>
            <w:rFonts w:asciiTheme="minorHAnsi" w:eastAsiaTheme="minorEastAsia" w:hAnsiTheme="minorHAnsi" w:cstheme="minorBidi"/>
            <w:sz w:val="22"/>
            <w:lang w:eastAsia="en-GB" w:bidi="ar-SA"/>
          </w:rPr>
          <w:tab/>
        </w:r>
        <w:r w:rsidR="00BF320D" w:rsidRPr="00D71E70">
          <w:rPr>
            <w:rStyle w:val="Hyperlink"/>
          </w:rPr>
          <w:t>Relationship Relevant Legislation</w:t>
        </w:r>
        <w:r w:rsidR="00BF320D">
          <w:rPr>
            <w:webHidden/>
          </w:rPr>
          <w:tab/>
        </w:r>
        <w:r w:rsidR="00BF320D">
          <w:rPr>
            <w:webHidden/>
          </w:rPr>
          <w:fldChar w:fldCharType="begin"/>
        </w:r>
        <w:r w:rsidR="00BF320D">
          <w:rPr>
            <w:webHidden/>
          </w:rPr>
          <w:instrText xml:space="preserve"> PAGEREF _Toc155256135 \h </w:instrText>
        </w:r>
        <w:r w:rsidR="00BF320D">
          <w:rPr>
            <w:webHidden/>
          </w:rPr>
        </w:r>
        <w:r w:rsidR="00BF320D">
          <w:rPr>
            <w:webHidden/>
          </w:rPr>
          <w:fldChar w:fldCharType="separate"/>
        </w:r>
        <w:r w:rsidR="00BF320D">
          <w:rPr>
            <w:webHidden/>
          </w:rPr>
          <w:t>4</w:t>
        </w:r>
        <w:r w:rsidR="00BF320D">
          <w:rPr>
            <w:webHidden/>
          </w:rPr>
          <w:fldChar w:fldCharType="end"/>
        </w:r>
      </w:hyperlink>
    </w:p>
    <w:p w14:paraId="0049E8BD" w14:textId="6495308A" w:rsidR="00BF320D" w:rsidRDefault="00000000">
      <w:pPr>
        <w:pStyle w:val="TOC1"/>
        <w:tabs>
          <w:tab w:val="left" w:pos="720"/>
        </w:tabs>
        <w:rPr>
          <w:rFonts w:asciiTheme="minorHAnsi" w:eastAsiaTheme="minorEastAsia" w:hAnsiTheme="minorHAnsi" w:cstheme="minorBidi"/>
          <w:sz w:val="22"/>
          <w:lang w:eastAsia="en-GB" w:bidi="ar-SA"/>
        </w:rPr>
      </w:pPr>
      <w:hyperlink w:anchor="_Toc155256136" w:history="1">
        <w:r w:rsidR="00BF320D" w:rsidRPr="00D71E70">
          <w:rPr>
            <w:rStyle w:val="Hyperlink"/>
          </w:rPr>
          <w:t>4.</w:t>
        </w:r>
        <w:r w:rsidR="00BF320D">
          <w:rPr>
            <w:rFonts w:asciiTheme="minorHAnsi" w:eastAsiaTheme="minorEastAsia" w:hAnsiTheme="minorHAnsi" w:cstheme="minorBidi"/>
            <w:sz w:val="22"/>
            <w:lang w:eastAsia="en-GB" w:bidi="ar-SA"/>
          </w:rPr>
          <w:tab/>
        </w:r>
        <w:r w:rsidR="00BF320D" w:rsidRPr="00D71E70">
          <w:rPr>
            <w:rStyle w:val="Hyperlink"/>
          </w:rPr>
          <w:t>Relationship to IAEA Documentation and Guidance</w:t>
        </w:r>
        <w:r w:rsidR="00BF320D">
          <w:rPr>
            <w:webHidden/>
          </w:rPr>
          <w:tab/>
        </w:r>
        <w:r w:rsidR="00BF320D">
          <w:rPr>
            <w:webHidden/>
          </w:rPr>
          <w:fldChar w:fldCharType="begin"/>
        </w:r>
        <w:r w:rsidR="00BF320D">
          <w:rPr>
            <w:webHidden/>
          </w:rPr>
          <w:instrText xml:space="preserve"> PAGEREF _Toc155256136 \h </w:instrText>
        </w:r>
        <w:r w:rsidR="00BF320D">
          <w:rPr>
            <w:webHidden/>
          </w:rPr>
        </w:r>
        <w:r w:rsidR="00BF320D">
          <w:rPr>
            <w:webHidden/>
          </w:rPr>
          <w:fldChar w:fldCharType="separate"/>
        </w:r>
        <w:r w:rsidR="00BF320D">
          <w:rPr>
            <w:webHidden/>
          </w:rPr>
          <w:t>5</w:t>
        </w:r>
        <w:r w:rsidR="00BF320D">
          <w:rPr>
            <w:webHidden/>
          </w:rPr>
          <w:fldChar w:fldCharType="end"/>
        </w:r>
      </w:hyperlink>
    </w:p>
    <w:p w14:paraId="2E7246F2" w14:textId="3E219A19" w:rsidR="00BF320D" w:rsidRDefault="00000000">
      <w:pPr>
        <w:pStyle w:val="TOC1"/>
        <w:tabs>
          <w:tab w:val="left" w:pos="720"/>
        </w:tabs>
        <w:rPr>
          <w:rFonts w:asciiTheme="minorHAnsi" w:eastAsiaTheme="minorEastAsia" w:hAnsiTheme="minorHAnsi" w:cstheme="minorBidi"/>
          <w:sz w:val="22"/>
          <w:lang w:eastAsia="en-GB" w:bidi="ar-SA"/>
        </w:rPr>
      </w:pPr>
      <w:hyperlink w:anchor="_Toc155256137" w:history="1">
        <w:r w:rsidR="00BF320D" w:rsidRPr="00D71E70">
          <w:rPr>
            <w:rStyle w:val="Hyperlink"/>
          </w:rPr>
          <w:t>5.</w:t>
        </w:r>
        <w:r w:rsidR="00BF320D">
          <w:rPr>
            <w:rFonts w:asciiTheme="minorHAnsi" w:eastAsiaTheme="minorEastAsia" w:hAnsiTheme="minorHAnsi" w:cstheme="minorBidi"/>
            <w:sz w:val="22"/>
            <w:lang w:eastAsia="en-GB" w:bidi="ar-SA"/>
          </w:rPr>
          <w:tab/>
        </w:r>
        <w:r w:rsidR="00BF320D" w:rsidRPr="00D71E70">
          <w:rPr>
            <w:rStyle w:val="Hyperlink"/>
          </w:rPr>
          <w:t>Relationship to National Documents</w:t>
        </w:r>
        <w:r w:rsidR="00BF320D">
          <w:rPr>
            <w:webHidden/>
          </w:rPr>
          <w:tab/>
        </w:r>
        <w:r w:rsidR="00BF320D">
          <w:rPr>
            <w:webHidden/>
          </w:rPr>
          <w:fldChar w:fldCharType="begin"/>
        </w:r>
        <w:r w:rsidR="00BF320D">
          <w:rPr>
            <w:webHidden/>
          </w:rPr>
          <w:instrText xml:space="preserve"> PAGEREF _Toc155256137 \h </w:instrText>
        </w:r>
        <w:r w:rsidR="00BF320D">
          <w:rPr>
            <w:webHidden/>
          </w:rPr>
        </w:r>
        <w:r w:rsidR="00BF320D">
          <w:rPr>
            <w:webHidden/>
          </w:rPr>
          <w:fldChar w:fldCharType="separate"/>
        </w:r>
        <w:r w:rsidR="00BF320D">
          <w:rPr>
            <w:webHidden/>
          </w:rPr>
          <w:t>6</w:t>
        </w:r>
        <w:r w:rsidR="00BF320D">
          <w:rPr>
            <w:webHidden/>
          </w:rPr>
          <w:fldChar w:fldCharType="end"/>
        </w:r>
      </w:hyperlink>
    </w:p>
    <w:p w14:paraId="711872CD" w14:textId="42D93BA2" w:rsidR="00BF320D" w:rsidRDefault="00000000">
      <w:pPr>
        <w:pStyle w:val="TOC1"/>
        <w:tabs>
          <w:tab w:val="left" w:pos="720"/>
        </w:tabs>
        <w:rPr>
          <w:rFonts w:asciiTheme="minorHAnsi" w:eastAsiaTheme="minorEastAsia" w:hAnsiTheme="minorHAnsi" w:cstheme="minorBidi"/>
          <w:sz w:val="22"/>
          <w:lang w:eastAsia="en-GB" w:bidi="ar-SA"/>
        </w:rPr>
      </w:pPr>
      <w:hyperlink w:anchor="_Toc155256138" w:history="1">
        <w:r w:rsidR="00BF320D" w:rsidRPr="00D71E70">
          <w:rPr>
            <w:rStyle w:val="Hyperlink"/>
          </w:rPr>
          <w:t>6.</w:t>
        </w:r>
        <w:r w:rsidR="00BF320D">
          <w:rPr>
            <w:rFonts w:asciiTheme="minorHAnsi" w:eastAsiaTheme="minorEastAsia" w:hAnsiTheme="minorHAnsi" w:cstheme="minorBidi"/>
            <w:sz w:val="22"/>
            <w:lang w:eastAsia="en-GB" w:bidi="ar-SA"/>
          </w:rPr>
          <w:tab/>
        </w:r>
        <w:r w:rsidR="00BF320D" w:rsidRPr="00D71E70">
          <w:rPr>
            <w:rStyle w:val="Hyperlink"/>
          </w:rPr>
          <w:t>Advice to Inspectors</w:t>
        </w:r>
        <w:r w:rsidR="00BF320D">
          <w:rPr>
            <w:webHidden/>
          </w:rPr>
          <w:tab/>
        </w:r>
        <w:r w:rsidR="00BF320D">
          <w:rPr>
            <w:webHidden/>
          </w:rPr>
          <w:fldChar w:fldCharType="begin"/>
        </w:r>
        <w:r w:rsidR="00BF320D">
          <w:rPr>
            <w:webHidden/>
          </w:rPr>
          <w:instrText xml:space="preserve"> PAGEREF _Toc155256138 \h </w:instrText>
        </w:r>
        <w:r w:rsidR="00BF320D">
          <w:rPr>
            <w:webHidden/>
          </w:rPr>
        </w:r>
        <w:r w:rsidR="00BF320D">
          <w:rPr>
            <w:webHidden/>
          </w:rPr>
          <w:fldChar w:fldCharType="separate"/>
        </w:r>
        <w:r w:rsidR="00BF320D">
          <w:rPr>
            <w:webHidden/>
          </w:rPr>
          <w:t>6</w:t>
        </w:r>
        <w:r w:rsidR="00BF320D">
          <w:rPr>
            <w:webHidden/>
          </w:rPr>
          <w:fldChar w:fldCharType="end"/>
        </w:r>
      </w:hyperlink>
    </w:p>
    <w:p w14:paraId="51F9163C" w14:textId="01BC5C26" w:rsidR="00BF320D" w:rsidRDefault="00000000">
      <w:pPr>
        <w:pStyle w:val="TOC1"/>
        <w:tabs>
          <w:tab w:val="left" w:pos="720"/>
        </w:tabs>
        <w:rPr>
          <w:rFonts w:asciiTheme="minorHAnsi" w:eastAsiaTheme="minorEastAsia" w:hAnsiTheme="minorHAnsi" w:cstheme="minorBidi"/>
          <w:sz w:val="22"/>
          <w:lang w:eastAsia="en-GB" w:bidi="ar-SA"/>
        </w:rPr>
      </w:pPr>
      <w:hyperlink w:anchor="_Toc155256139" w:history="1">
        <w:r w:rsidR="00BF320D" w:rsidRPr="00D71E70">
          <w:rPr>
            <w:rStyle w:val="Hyperlink"/>
          </w:rPr>
          <w:t>7.</w:t>
        </w:r>
        <w:r w:rsidR="00BF320D">
          <w:rPr>
            <w:rFonts w:asciiTheme="minorHAnsi" w:eastAsiaTheme="minorEastAsia" w:hAnsiTheme="minorHAnsi" w:cstheme="minorBidi"/>
            <w:sz w:val="22"/>
            <w:lang w:eastAsia="en-GB" w:bidi="ar-SA"/>
          </w:rPr>
          <w:tab/>
        </w:r>
        <w:r w:rsidR="00BF320D" w:rsidRPr="00D71E70">
          <w:rPr>
            <w:rStyle w:val="Hyperlink"/>
          </w:rPr>
          <w:t>Preparation</w:t>
        </w:r>
        <w:r w:rsidR="00BF320D">
          <w:rPr>
            <w:webHidden/>
          </w:rPr>
          <w:tab/>
        </w:r>
        <w:r w:rsidR="00BF320D">
          <w:rPr>
            <w:webHidden/>
          </w:rPr>
          <w:fldChar w:fldCharType="begin"/>
        </w:r>
        <w:r w:rsidR="00BF320D">
          <w:rPr>
            <w:webHidden/>
          </w:rPr>
          <w:instrText xml:space="preserve"> PAGEREF _Toc155256139 \h </w:instrText>
        </w:r>
        <w:r w:rsidR="00BF320D">
          <w:rPr>
            <w:webHidden/>
          </w:rPr>
        </w:r>
        <w:r w:rsidR="00BF320D">
          <w:rPr>
            <w:webHidden/>
          </w:rPr>
          <w:fldChar w:fldCharType="separate"/>
        </w:r>
        <w:r w:rsidR="00BF320D">
          <w:rPr>
            <w:webHidden/>
          </w:rPr>
          <w:t>9</w:t>
        </w:r>
        <w:r w:rsidR="00BF320D">
          <w:rPr>
            <w:webHidden/>
          </w:rPr>
          <w:fldChar w:fldCharType="end"/>
        </w:r>
      </w:hyperlink>
    </w:p>
    <w:p w14:paraId="5BD6EE10" w14:textId="29CE91D6" w:rsidR="00BF320D" w:rsidRDefault="00000000">
      <w:pPr>
        <w:pStyle w:val="TOC1"/>
        <w:tabs>
          <w:tab w:val="left" w:pos="720"/>
        </w:tabs>
        <w:rPr>
          <w:rFonts w:asciiTheme="minorHAnsi" w:eastAsiaTheme="minorEastAsia" w:hAnsiTheme="minorHAnsi" w:cstheme="minorBidi"/>
          <w:sz w:val="22"/>
          <w:lang w:eastAsia="en-GB" w:bidi="ar-SA"/>
        </w:rPr>
      </w:pPr>
      <w:hyperlink w:anchor="_Toc155256140" w:history="1">
        <w:r w:rsidR="00BF320D" w:rsidRPr="00D71E70">
          <w:rPr>
            <w:rStyle w:val="Hyperlink"/>
          </w:rPr>
          <w:t>8.</w:t>
        </w:r>
        <w:r w:rsidR="00BF320D">
          <w:rPr>
            <w:rFonts w:asciiTheme="minorHAnsi" w:eastAsiaTheme="minorEastAsia" w:hAnsiTheme="minorHAnsi" w:cstheme="minorBidi"/>
            <w:sz w:val="22"/>
            <w:lang w:eastAsia="en-GB" w:bidi="ar-SA"/>
          </w:rPr>
          <w:tab/>
        </w:r>
        <w:r w:rsidR="00BF320D" w:rsidRPr="00D71E70">
          <w:rPr>
            <w:rStyle w:val="Hyperlink"/>
          </w:rPr>
          <w:t>Identification</w:t>
        </w:r>
        <w:r w:rsidR="00BF320D">
          <w:rPr>
            <w:webHidden/>
          </w:rPr>
          <w:tab/>
        </w:r>
        <w:r w:rsidR="00BF320D">
          <w:rPr>
            <w:webHidden/>
          </w:rPr>
          <w:fldChar w:fldCharType="begin"/>
        </w:r>
        <w:r w:rsidR="00BF320D">
          <w:rPr>
            <w:webHidden/>
          </w:rPr>
          <w:instrText xml:space="preserve"> PAGEREF _Toc155256140 \h </w:instrText>
        </w:r>
        <w:r w:rsidR="00BF320D">
          <w:rPr>
            <w:webHidden/>
          </w:rPr>
        </w:r>
        <w:r w:rsidR="00BF320D">
          <w:rPr>
            <w:webHidden/>
          </w:rPr>
          <w:fldChar w:fldCharType="separate"/>
        </w:r>
        <w:r w:rsidR="00BF320D">
          <w:rPr>
            <w:webHidden/>
          </w:rPr>
          <w:t>16</w:t>
        </w:r>
        <w:r w:rsidR="00BF320D">
          <w:rPr>
            <w:webHidden/>
          </w:rPr>
          <w:fldChar w:fldCharType="end"/>
        </w:r>
      </w:hyperlink>
    </w:p>
    <w:p w14:paraId="5F77B5BA" w14:textId="7D81CF62" w:rsidR="00BF320D" w:rsidRDefault="00000000">
      <w:pPr>
        <w:pStyle w:val="TOC1"/>
        <w:tabs>
          <w:tab w:val="left" w:pos="720"/>
        </w:tabs>
        <w:rPr>
          <w:rFonts w:asciiTheme="minorHAnsi" w:eastAsiaTheme="minorEastAsia" w:hAnsiTheme="minorHAnsi" w:cstheme="minorBidi"/>
          <w:sz w:val="22"/>
          <w:lang w:eastAsia="en-GB" w:bidi="ar-SA"/>
        </w:rPr>
      </w:pPr>
      <w:hyperlink w:anchor="_Toc155256141" w:history="1">
        <w:r w:rsidR="00BF320D" w:rsidRPr="00D71E70">
          <w:rPr>
            <w:rStyle w:val="Hyperlink"/>
          </w:rPr>
          <w:t>9.</w:t>
        </w:r>
        <w:r w:rsidR="00BF320D">
          <w:rPr>
            <w:rFonts w:asciiTheme="minorHAnsi" w:eastAsiaTheme="minorEastAsia" w:hAnsiTheme="minorHAnsi" w:cstheme="minorBidi"/>
            <w:sz w:val="22"/>
            <w:lang w:eastAsia="en-GB" w:bidi="ar-SA"/>
          </w:rPr>
          <w:tab/>
        </w:r>
        <w:r w:rsidR="00BF320D" w:rsidRPr="00D71E70">
          <w:rPr>
            <w:rStyle w:val="Hyperlink"/>
          </w:rPr>
          <w:t>Containment, Eradication and Recovery</w:t>
        </w:r>
        <w:r w:rsidR="00BF320D">
          <w:rPr>
            <w:webHidden/>
          </w:rPr>
          <w:tab/>
        </w:r>
        <w:r w:rsidR="00BF320D">
          <w:rPr>
            <w:webHidden/>
          </w:rPr>
          <w:fldChar w:fldCharType="begin"/>
        </w:r>
        <w:r w:rsidR="00BF320D">
          <w:rPr>
            <w:webHidden/>
          </w:rPr>
          <w:instrText xml:space="preserve"> PAGEREF _Toc155256141 \h </w:instrText>
        </w:r>
        <w:r w:rsidR="00BF320D">
          <w:rPr>
            <w:webHidden/>
          </w:rPr>
        </w:r>
        <w:r w:rsidR="00BF320D">
          <w:rPr>
            <w:webHidden/>
          </w:rPr>
          <w:fldChar w:fldCharType="separate"/>
        </w:r>
        <w:r w:rsidR="00BF320D">
          <w:rPr>
            <w:webHidden/>
          </w:rPr>
          <w:t>22</w:t>
        </w:r>
        <w:r w:rsidR="00BF320D">
          <w:rPr>
            <w:webHidden/>
          </w:rPr>
          <w:fldChar w:fldCharType="end"/>
        </w:r>
      </w:hyperlink>
    </w:p>
    <w:p w14:paraId="0E837937" w14:textId="6DD98EE8" w:rsidR="00BF320D" w:rsidRDefault="00000000">
      <w:pPr>
        <w:pStyle w:val="TOC1"/>
        <w:tabs>
          <w:tab w:val="left" w:pos="720"/>
        </w:tabs>
        <w:rPr>
          <w:rFonts w:asciiTheme="minorHAnsi" w:eastAsiaTheme="minorEastAsia" w:hAnsiTheme="minorHAnsi" w:cstheme="minorBidi"/>
          <w:sz w:val="22"/>
          <w:lang w:eastAsia="en-GB" w:bidi="ar-SA"/>
        </w:rPr>
      </w:pPr>
      <w:hyperlink w:anchor="_Toc155256142" w:history="1">
        <w:r w:rsidR="00BF320D" w:rsidRPr="00D71E70">
          <w:rPr>
            <w:rStyle w:val="Hyperlink"/>
          </w:rPr>
          <w:t>10.</w:t>
        </w:r>
        <w:r w:rsidR="00BF320D">
          <w:rPr>
            <w:rFonts w:asciiTheme="minorHAnsi" w:eastAsiaTheme="minorEastAsia" w:hAnsiTheme="minorHAnsi" w:cstheme="minorBidi"/>
            <w:sz w:val="22"/>
            <w:lang w:eastAsia="en-GB" w:bidi="ar-SA"/>
          </w:rPr>
          <w:tab/>
        </w:r>
        <w:r w:rsidR="00BF320D" w:rsidRPr="00D71E70">
          <w:rPr>
            <w:rStyle w:val="Hyperlink"/>
          </w:rPr>
          <w:t>Lessons Learnt</w:t>
        </w:r>
        <w:r w:rsidR="00BF320D">
          <w:rPr>
            <w:webHidden/>
          </w:rPr>
          <w:tab/>
        </w:r>
        <w:r w:rsidR="00BF320D">
          <w:rPr>
            <w:webHidden/>
          </w:rPr>
          <w:fldChar w:fldCharType="begin"/>
        </w:r>
        <w:r w:rsidR="00BF320D">
          <w:rPr>
            <w:webHidden/>
          </w:rPr>
          <w:instrText xml:space="preserve"> PAGEREF _Toc155256142 \h </w:instrText>
        </w:r>
        <w:r w:rsidR="00BF320D">
          <w:rPr>
            <w:webHidden/>
          </w:rPr>
        </w:r>
        <w:r w:rsidR="00BF320D">
          <w:rPr>
            <w:webHidden/>
          </w:rPr>
          <w:fldChar w:fldCharType="separate"/>
        </w:r>
        <w:r w:rsidR="00BF320D">
          <w:rPr>
            <w:webHidden/>
          </w:rPr>
          <w:t>26</w:t>
        </w:r>
        <w:r w:rsidR="00BF320D">
          <w:rPr>
            <w:webHidden/>
          </w:rPr>
          <w:fldChar w:fldCharType="end"/>
        </w:r>
      </w:hyperlink>
    </w:p>
    <w:p w14:paraId="64CDE1E2" w14:textId="210BC936" w:rsidR="00BF320D" w:rsidRDefault="00000000">
      <w:pPr>
        <w:pStyle w:val="TOC1"/>
        <w:rPr>
          <w:rFonts w:asciiTheme="minorHAnsi" w:eastAsiaTheme="minorEastAsia" w:hAnsiTheme="minorHAnsi" w:cstheme="minorBidi"/>
          <w:sz w:val="22"/>
          <w:lang w:eastAsia="en-GB" w:bidi="ar-SA"/>
        </w:rPr>
      </w:pPr>
      <w:hyperlink w:anchor="_Toc155256143" w:history="1">
        <w:r w:rsidR="00BF320D" w:rsidRPr="00D71E70">
          <w:rPr>
            <w:rStyle w:val="Hyperlink"/>
          </w:rPr>
          <w:t>References</w:t>
        </w:r>
        <w:r w:rsidR="00BF320D">
          <w:rPr>
            <w:webHidden/>
          </w:rPr>
          <w:tab/>
        </w:r>
        <w:r w:rsidR="00BF320D">
          <w:rPr>
            <w:webHidden/>
          </w:rPr>
          <w:fldChar w:fldCharType="begin"/>
        </w:r>
        <w:r w:rsidR="00BF320D">
          <w:rPr>
            <w:webHidden/>
          </w:rPr>
          <w:instrText xml:space="preserve"> PAGEREF _Toc155256143 \h </w:instrText>
        </w:r>
        <w:r w:rsidR="00BF320D">
          <w:rPr>
            <w:webHidden/>
          </w:rPr>
        </w:r>
        <w:r w:rsidR="00BF320D">
          <w:rPr>
            <w:webHidden/>
          </w:rPr>
          <w:fldChar w:fldCharType="separate"/>
        </w:r>
        <w:r w:rsidR="00BF320D">
          <w:rPr>
            <w:webHidden/>
          </w:rPr>
          <w:t>27</w:t>
        </w:r>
        <w:r w:rsidR="00BF320D">
          <w:rPr>
            <w:webHidden/>
          </w:rPr>
          <w:fldChar w:fldCharType="end"/>
        </w:r>
      </w:hyperlink>
    </w:p>
    <w:p w14:paraId="495F9010" w14:textId="70D44CE2" w:rsidR="00BF320D" w:rsidRDefault="00000000">
      <w:pPr>
        <w:pStyle w:val="TOC1"/>
        <w:rPr>
          <w:rFonts w:asciiTheme="minorHAnsi" w:eastAsiaTheme="minorEastAsia" w:hAnsiTheme="minorHAnsi" w:cstheme="minorBidi"/>
          <w:sz w:val="22"/>
          <w:lang w:eastAsia="en-GB" w:bidi="ar-SA"/>
        </w:rPr>
      </w:pPr>
      <w:hyperlink w:anchor="_Toc155256144" w:history="1">
        <w:r w:rsidR="00BF320D" w:rsidRPr="00D71E70">
          <w:rPr>
            <w:rStyle w:val="Hyperlink"/>
          </w:rPr>
          <w:t>Glossary and Abbreviations</w:t>
        </w:r>
        <w:r w:rsidR="00BF320D">
          <w:rPr>
            <w:webHidden/>
          </w:rPr>
          <w:tab/>
        </w:r>
        <w:r w:rsidR="00BF320D">
          <w:rPr>
            <w:webHidden/>
          </w:rPr>
          <w:fldChar w:fldCharType="begin"/>
        </w:r>
        <w:r w:rsidR="00BF320D">
          <w:rPr>
            <w:webHidden/>
          </w:rPr>
          <w:instrText xml:space="preserve"> PAGEREF _Toc155256144 \h </w:instrText>
        </w:r>
        <w:r w:rsidR="00BF320D">
          <w:rPr>
            <w:webHidden/>
          </w:rPr>
        </w:r>
        <w:r w:rsidR="00BF320D">
          <w:rPr>
            <w:webHidden/>
          </w:rPr>
          <w:fldChar w:fldCharType="separate"/>
        </w:r>
        <w:r w:rsidR="00BF320D">
          <w:rPr>
            <w:webHidden/>
          </w:rPr>
          <w:t>29</w:t>
        </w:r>
        <w:r w:rsidR="00BF320D">
          <w:rPr>
            <w:webHidden/>
          </w:rPr>
          <w:fldChar w:fldCharType="end"/>
        </w:r>
      </w:hyperlink>
    </w:p>
    <w:p w14:paraId="0CC4B54A" w14:textId="65D6499E"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46045">
      <w:pPr>
        <w:pStyle w:val="Heading1"/>
        <w:numPr>
          <w:ilvl w:val="0"/>
          <w:numId w:val="4"/>
        </w:numPr>
        <w:ind w:left="851" w:hanging="851"/>
      </w:pPr>
      <w:bookmarkStart w:id="1" w:name="_Toc155256133"/>
      <w:bookmarkEnd w:id="0"/>
      <w:r w:rsidRPr="00E90780">
        <w:lastRenderedPageBreak/>
        <w:t>Introduction</w:t>
      </w:r>
      <w:bookmarkEnd w:id="1"/>
    </w:p>
    <w:p w14:paraId="3456616D" w14:textId="7757969D" w:rsidR="00185A8E" w:rsidRPr="00185A8E" w:rsidRDefault="00185A8E" w:rsidP="00F911DB">
      <w:pPr>
        <w:pStyle w:val="F9-Paragraph"/>
      </w:pPr>
      <w:r w:rsidRPr="00185A8E">
        <w:t>The Office for Nuclear Regulation (ONR) has established a set of Security Assessment Principles (</w:t>
      </w:r>
      <w:proofErr w:type="spellStart"/>
      <w:r w:rsidRPr="00185A8E">
        <w:t>SyAPs</w:t>
      </w:r>
      <w:proofErr w:type="spellEnd"/>
      <w:r w:rsidRPr="00185A8E">
        <w:t xml:space="preserve">) </w:t>
      </w:r>
      <w:r w:rsidR="00F84690">
        <w:t>[1]</w:t>
      </w:r>
      <w:r w:rsidRPr="00185A8E">
        <w:t>. This document contains Fundamental Security Principles (</w:t>
      </w:r>
      <w:proofErr w:type="spellStart"/>
      <w:r w:rsidRPr="00185A8E">
        <w:t>FSyPs</w:t>
      </w:r>
      <w:proofErr w:type="spellEnd"/>
      <w:r w:rsidRPr="00185A8E">
        <w:t xml:space="preserve">) that </w:t>
      </w:r>
      <w:proofErr w:type="spellStart"/>
      <w:r w:rsidRPr="00185A8E">
        <w:t>dutyholders</w:t>
      </w:r>
      <w:proofErr w:type="spellEnd"/>
      <w:r w:rsidRPr="00185A8E">
        <w:t xml:space="preserve"> must demonstrate have been fully taken into account in developing their security arrangements to meet relevant legal obligations. The security regime for meeting these principles is described in security plans prepared by the </w:t>
      </w:r>
      <w:proofErr w:type="spellStart"/>
      <w:r w:rsidRPr="00185A8E">
        <w:t>dutyholders</w:t>
      </w:r>
      <w:proofErr w:type="spellEnd"/>
      <w:r w:rsidRPr="00185A8E">
        <w:t xml:space="preserve">, which are approved by ONR under the Nuclear Industries Security Regulations (NISR) 2003 </w:t>
      </w:r>
      <w:r w:rsidR="00290E1A">
        <w:t>[2]</w:t>
      </w:r>
      <w:r w:rsidRPr="00185A8E">
        <w:t xml:space="preserve">. </w:t>
      </w:r>
    </w:p>
    <w:p w14:paraId="70E452A9" w14:textId="21591F5A" w:rsidR="00185A8E" w:rsidRDefault="00185A8E" w:rsidP="00F911DB">
      <w:pPr>
        <w:pStyle w:val="F9-Paragraph"/>
      </w:pPr>
      <w:r w:rsidRPr="00185A8E">
        <w:t xml:space="preserve">The term ‘security plan’ is used to cover all </w:t>
      </w:r>
      <w:proofErr w:type="spellStart"/>
      <w:r w:rsidRPr="00185A8E">
        <w:t>dutyholder</w:t>
      </w:r>
      <w:proofErr w:type="spellEnd"/>
      <w:r w:rsidRPr="00185A8E">
        <w:t xml:space="preserve"> submissions such as nuclear site security plans, temporary security plans and transport security statements. NISR Regulation 22 </w:t>
      </w:r>
      <w:proofErr w:type="spellStart"/>
      <w:r w:rsidRPr="00185A8E">
        <w:t>dutyholders</w:t>
      </w:r>
      <w:proofErr w:type="spellEnd"/>
      <w:r w:rsidRPr="00185A8E">
        <w:t xml:space="preserve"> may also use the </w:t>
      </w:r>
      <w:proofErr w:type="spellStart"/>
      <w:r w:rsidRPr="00185A8E">
        <w:t>SyAPs</w:t>
      </w:r>
      <w:proofErr w:type="spellEnd"/>
      <w:r w:rsidRPr="00185A8E">
        <w:t xml:space="preserve"> as the basis for Cyber Security and Information Assurance (CS&amp;IA) documentation that helps them demonstrate ongoing legal compliance for the protection of Sensitive Nuclear Information (SNI). The </w:t>
      </w:r>
      <w:proofErr w:type="spellStart"/>
      <w:r w:rsidRPr="00185A8E">
        <w:t>SyAPs</w:t>
      </w:r>
      <w:proofErr w:type="spellEnd"/>
      <w:r w:rsidRPr="00185A8E">
        <w:t xml:space="preserve"> are supported by a suite of guides to assist ONR inspectors in their assessment and inspection work, and in making regulatory judgements and decisions. This Technical Assessment Guidance (TAG) is such a guide.</w:t>
      </w:r>
    </w:p>
    <w:p w14:paraId="7DB54789" w14:textId="77777777" w:rsidR="008057E9" w:rsidRPr="00185A8E" w:rsidRDefault="008057E9" w:rsidP="008057E9">
      <w:pPr>
        <w:pStyle w:val="F9-Paragraph"/>
        <w:numPr>
          <w:ilvl w:val="0"/>
          <w:numId w:val="0"/>
        </w:numPr>
        <w:ind w:left="851"/>
      </w:pPr>
    </w:p>
    <w:p w14:paraId="05AAE39A" w14:textId="62195EFA" w:rsidR="008D49A5" w:rsidRDefault="000950B3" w:rsidP="00E90780">
      <w:pPr>
        <w:pStyle w:val="Heading1"/>
      </w:pPr>
      <w:bookmarkStart w:id="2" w:name="_Toc155256134"/>
      <w:r>
        <w:t>Purpose and Scope</w:t>
      </w:r>
      <w:bookmarkEnd w:id="2"/>
    </w:p>
    <w:p w14:paraId="2CC032ED" w14:textId="77777777" w:rsidR="000A51C3" w:rsidRDefault="00A945A2" w:rsidP="00F911DB">
      <w:pPr>
        <w:pStyle w:val="F9-Paragraph"/>
      </w:pPr>
      <w:r>
        <w:t xml:space="preserve">This </w:t>
      </w:r>
      <w:r w:rsidRPr="00721029">
        <w:rPr>
          <w:szCs w:val="22"/>
        </w:rPr>
        <w:t>TAG contains guidance to advise and inform ON</w:t>
      </w:r>
      <w:r>
        <w:rPr>
          <w:szCs w:val="22"/>
        </w:rPr>
        <w:t xml:space="preserve">R Inspectors in </w:t>
      </w:r>
      <w:r w:rsidRPr="00721029">
        <w:rPr>
          <w:szCs w:val="22"/>
        </w:rPr>
        <w:t>exercis</w:t>
      </w:r>
      <w:r>
        <w:rPr>
          <w:szCs w:val="22"/>
        </w:rPr>
        <w:t>ing</w:t>
      </w:r>
      <w:r w:rsidRPr="00721029">
        <w:rPr>
          <w:szCs w:val="22"/>
        </w:rPr>
        <w:t xml:space="preserve"> their regulatory </w:t>
      </w:r>
      <w:r>
        <w:rPr>
          <w:szCs w:val="22"/>
        </w:rPr>
        <w:t>judgement</w:t>
      </w:r>
      <w:r w:rsidRPr="00721029">
        <w:rPr>
          <w:szCs w:val="22"/>
        </w:rPr>
        <w:t xml:space="preserve"> during </w:t>
      </w:r>
      <w:r>
        <w:rPr>
          <w:szCs w:val="22"/>
        </w:rPr>
        <w:t xml:space="preserve">assessment </w:t>
      </w:r>
      <w:r w:rsidRPr="00721029">
        <w:rPr>
          <w:szCs w:val="22"/>
        </w:rPr>
        <w:t>activities relating to</w:t>
      </w:r>
      <w:r>
        <w:rPr>
          <w:szCs w:val="22"/>
        </w:rPr>
        <w:t xml:space="preserve"> a </w:t>
      </w:r>
      <w:proofErr w:type="spellStart"/>
      <w:r>
        <w:rPr>
          <w:szCs w:val="22"/>
        </w:rPr>
        <w:t>dutyholder’s</w:t>
      </w:r>
      <w:proofErr w:type="spellEnd"/>
      <w:r w:rsidRPr="00721029">
        <w:rPr>
          <w:szCs w:val="22"/>
        </w:rPr>
        <w:t xml:space="preserve"> </w:t>
      </w:r>
      <w:r>
        <w:rPr>
          <w:szCs w:val="22"/>
        </w:rPr>
        <w:t xml:space="preserve">arrangements to prepare for and respond to cyber security incidents. </w:t>
      </w:r>
      <w:r w:rsidRPr="00721029">
        <w:rPr>
          <w:szCs w:val="22"/>
        </w:rPr>
        <w:t>It aims to provide gene</w:t>
      </w:r>
      <w:r>
        <w:rPr>
          <w:szCs w:val="22"/>
        </w:rPr>
        <w:t>ral advice and guidance to ONR i</w:t>
      </w:r>
      <w:r w:rsidRPr="00721029">
        <w:rPr>
          <w:szCs w:val="22"/>
        </w:rPr>
        <w:t xml:space="preserve">nspectors on how this aspect of security should be assessed. It does not set out how ONR regulates the </w:t>
      </w:r>
      <w:proofErr w:type="spellStart"/>
      <w:r>
        <w:rPr>
          <w:szCs w:val="22"/>
        </w:rPr>
        <w:t>dutyholder’</w:t>
      </w:r>
      <w:r w:rsidRPr="00721029">
        <w:rPr>
          <w:szCs w:val="22"/>
        </w:rPr>
        <w:t>s</w:t>
      </w:r>
      <w:proofErr w:type="spellEnd"/>
      <w:r w:rsidRPr="00721029">
        <w:rPr>
          <w:szCs w:val="22"/>
        </w:rPr>
        <w:t xml:space="preserve"> arrangements.  It does not prescribe the detail, targets or methodologies </w:t>
      </w:r>
      <w:r>
        <w:rPr>
          <w:szCs w:val="22"/>
        </w:rPr>
        <w:t xml:space="preserve">for </w:t>
      </w:r>
      <w:proofErr w:type="spellStart"/>
      <w:r>
        <w:rPr>
          <w:szCs w:val="22"/>
        </w:rPr>
        <w:t>dutyholders</w:t>
      </w:r>
      <w:proofErr w:type="spellEnd"/>
      <w:r>
        <w:rPr>
          <w:szCs w:val="22"/>
        </w:rPr>
        <w:t xml:space="preserve"> to follow in</w:t>
      </w:r>
      <w:r w:rsidRPr="00721029">
        <w:rPr>
          <w:szCs w:val="22"/>
        </w:rPr>
        <w:t xml:space="preserve"> demonstrat</w:t>
      </w:r>
      <w:r>
        <w:rPr>
          <w:szCs w:val="22"/>
        </w:rPr>
        <w:t>ing</w:t>
      </w:r>
      <w:r w:rsidRPr="00721029">
        <w:rPr>
          <w:szCs w:val="22"/>
        </w:rPr>
        <w:t xml:space="preserve"> they have addressed the </w:t>
      </w:r>
      <w:proofErr w:type="spellStart"/>
      <w:r w:rsidRPr="00721029">
        <w:rPr>
          <w:szCs w:val="22"/>
        </w:rPr>
        <w:t>SyAPs</w:t>
      </w:r>
      <w:proofErr w:type="spellEnd"/>
      <w:r w:rsidRPr="00721029">
        <w:rPr>
          <w:szCs w:val="22"/>
        </w:rPr>
        <w:t xml:space="preserve">. It is the </w:t>
      </w:r>
      <w:proofErr w:type="spellStart"/>
      <w:r>
        <w:rPr>
          <w:szCs w:val="22"/>
        </w:rPr>
        <w:t>dutyholder’</w:t>
      </w:r>
      <w:r w:rsidRPr="00721029">
        <w:rPr>
          <w:szCs w:val="22"/>
        </w:rPr>
        <w:t>s</w:t>
      </w:r>
      <w:proofErr w:type="spellEnd"/>
      <w:r w:rsidRPr="00721029">
        <w:rPr>
          <w:szCs w:val="22"/>
        </w:rPr>
        <w:t xml:space="preserve"> responsibility to determine and describe this detail and for ONR to assess whether the arrangements are adequate.</w:t>
      </w:r>
      <w:r w:rsidR="00185A8E">
        <w:t xml:space="preserve"> </w:t>
      </w:r>
    </w:p>
    <w:p w14:paraId="01F9B8DF" w14:textId="77777777" w:rsidR="005E7C42" w:rsidRDefault="005E7C42" w:rsidP="005E7C42">
      <w:pPr>
        <w:pStyle w:val="F9-Paragraph"/>
        <w:numPr>
          <w:ilvl w:val="0"/>
          <w:numId w:val="0"/>
        </w:numPr>
        <w:ind w:left="851" w:hanging="851"/>
      </w:pPr>
    </w:p>
    <w:p w14:paraId="6E712D03" w14:textId="39073C30" w:rsidR="009E0E52" w:rsidRDefault="000950B3" w:rsidP="00E90780">
      <w:pPr>
        <w:pStyle w:val="Heading1"/>
      </w:pPr>
      <w:bookmarkStart w:id="3" w:name="_Toc155256135"/>
      <w:r>
        <w:t>Relationship Relevant Legislation</w:t>
      </w:r>
      <w:bookmarkEnd w:id="3"/>
      <w:r>
        <w:t xml:space="preserve"> </w:t>
      </w:r>
    </w:p>
    <w:p w14:paraId="2C05A705" w14:textId="58E5D3E5" w:rsidR="00A945A2" w:rsidRDefault="00A945A2" w:rsidP="00A945A2">
      <w:pPr>
        <w:pStyle w:val="F9-Paragraph"/>
        <w:rPr>
          <w:szCs w:val="22"/>
        </w:rPr>
      </w:pPr>
      <w:r>
        <w:t xml:space="preserve">The </w:t>
      </w:r>
      <w:r w:rsidRPr="00721029">
        <w:rPr>
          <w:szCs w:val="22"/>
        </w:rPr>
        <w:t>term ‘</w:t>
      </w:r>
      <w:proofErr w:type="spellStart"/>
      <w:r>
        <w:rPr>
          <w:szCs w:val="22"/>
        </w:rPr>
        <w:t>dutyholder</w:t>
      </w:r>
      <w:proofErr w:type="spellEnd"/>
      <w:r w:rsidRPr="00721029">
        <w:rPr>
          <w:szCs w:val="22"/>
        </w:rPr>
        <w:t xml:space="preserve">’ mentioned throughout this guide is used to define ‘responsible persons’ on </w:t>
      </w:r>
      <w:r>
        <w:rPr>
          <w:szCs w:val="22"/>
        </w:rPr>
        <w:t xml:space="preserve">civil </w:t>
      </w:r>
      <w:r w:rsidRPr="00721029">
        <w:rPr>
          <w:szCs w:val="22"/>
        </w:rPr>
        <w:t>nu</w:t>
      </w:r>
      <w:r>
        <w:rPr>
          <w:szCs w:val="22"/>
        </w:rPr>
        <w:t xml:space="preserve">clear licensed sites and other </w:t>
      </w:r>
      <w:r w:rsidRPr="00721029">
        <w:rPr>
          <w:szCs w:val="22"/>
        </w:rPr>
        <w:t>nuclear premises su</w:t>
      </w:r>
      <w:r>
        <w:rPr>
          <w:szCs w:val="22"/>
        </w:rPr>
        <w:t xml:space="preserve">bject to security regulation, </w:t>
      </w:r>
      <w:r w:rsidRPr="00721029">
        <w:rPr>
          <w:szCs w:val="22"/>
        </w:rPr>
        <w:t>a ‘developer’ carrying out work</w:t>
      </w:r>
      <w:r>
        <w:rPr>
          <w:szCs w:val="22"/>
        </w:rPr>
        <w:t xml:space="preserve"> on a nuclear construction site and approved carriers, as defined in NISR</w:t>
      </w:r>
      <w:r w:rsidRPr="00721029">
        <w:rPr>
          <w:szCs w:val="22"/>
        </w:rPr>
        <w:t xml:space="preserve">. It is also used to refer to those holding </w:t>
      </w:r>
      <w:r>
        <w:rPr>
          <w:szCs w:val="22"/>
        </w:rPr>
        <w:t xml:space="preserve">SNI. </w:t>
      </w:r>
    </w:p>
    <w:p w14:paraId="7725BED2" w14:textId="77777777" w:rsidR="00216ED2" w:rsidRDefault="00292E15" w:rsidP="00A945A2">
      <w:pPr>
        <w:pStyle w:val="F9-Paragraph"/>
        <w:rPr>
          <w:szCs w:val="22"/>
        </w:rPr>
      </w:pPr>
      <w:r>
        <w:rPr>
          <w:szCs w:val="22"/>
        </w:rPr>
        <w:t xml:space="preserve">NISR </w:t>
      </w:r>
      <w:r w:rsidRPr="00292E15">
        <w:rPr>
          <w:szCs w:val="22"/>
        </w:rPr>
        <w:t xml:space="preserve">defines a ‘nuclear premises’ and requires ‘the responsible person’ as defined to have an approved security plan in accordance with Regulation 4. It further defines approved carriers and requires them to have an approved </w:t>
      </w:r>
      <w:r w:rsidRPr="00292E15">
        <w:rPr>
          <w:szCs w:val="22"/>
        </w:rPr>
        <w:lastRenderedPageBreak/>
        <w:t xml:space="preserve">Transport Security Statement in accordance with Regulation 16. Persons to whom Regulation 22 applies are required to protect SNI. ONR considers CS&amp;IA to be an important component of a </w:t>
      </w:r>
      <w:proofErr w:type="spellStart"/>
      <w:r w:rsidRPr="00292E15">
        <w:rPr>
          <w:szCs w:val="22"/>
        </w:rPr>
        <w:t>dutyholder’s</w:t>
      </w:r>
      <w:proofErr w:type="spellEnd"/>
      <w:r w:rsidRPr="00292E15">
        <w:rPr>
          <w:szCs w:val="22"/>
        </w:rPr>
        <w:t xml:space="preserve"> arrangements in demonstrating compliance with relevant legislation</w:t>
      </w:r>
      <w:r>
        <w:rPr>
          <w:szCs w:val="22"/>
        </w:rPr>
        <w:t>.</w:t>
      </w:r>
    </w:p>
    <w:p w14:paraId="03FEE477" w14:textId="6257E71F" w:rsidR="00292E15" w:rsidRDefault="00216ED2" w:rsidP="00A945A2">
      <w:pPr>
        <w:pStyle w:val="F9-Paragraph"/>
        <w:rPr>
          <w:szCs w:val="22"/>
        </w:rPr>
      </w:pPr>
      <w:r w:rsidRPr="00216ED2">
        <w:rPr>
          <w:szCs w:val="22"/>
        </w:rPr>
        <w:t>The HMG Government Security Classifications (GSC) [</w:t>
      </w:r>
      <w:r>
        <w:rPr>
          <w:szCs w:val="22"/>
        </w:rPr>
        <w:t>3</w:t>
      </w:r>
      <w:r w:rsidRPr="00216ED2">
        <w:rPr>
          <w:szCs w:val="22"/>
        </w:rPr>
        <w:t xml:space="preserve">] document, together with the </w:t>
      </w:r>
      <w:r w:rsidR="00D6011A">
        <w:rPr>
          <w:szCs w:val="22"/>
        </w:rPr>
        <w:t>ONR</w:t>
      </w:r>
      <w:r w:rsidRPr="00216ED2">
        <w:rPr>
          <w:szCs w:val="22"/>
        </w:rPr>
        <w:t xml:space="preserve"> Classification Policy [</w:t>
      </w:r>
      <w:r>
        <w:rPr>
          <w:szCs w:val="22"/>
        </w:rPr>
        <w:t>4</w:t>
      </w:r>
      <w:r w:rsidRPr="00216ED2">
        <w:rPr>
          <w:szCs w:val="22"/>
        </w:rPr>
        <w:t>] describes types of information that contain SNI, the level of security classification that should be applied, and the protective measures that should be implemented throughout its control and carriage.</w:t>
      </w:r>
      <w:r w:rsidR="00292E15">
        <w:rPr>
          <w:szCs w:val="22"/>
        </w:rPr>
        <w:t xml:space="preserve"> </w:t>
      </w:r>
    </w:p>
    <w:p w14:paraId="4041627D" w14:textId="77777777" w:rsidR="008057E9" w:rsidRDefault="008057E9" w:rsidP="008057E9">
      <w:pPr>
        <w:pStyle w:val="F9-Paragraph"/>
        <w:numPr>
          <w:ilvl w:val="0"/>
          <w:numId w:val="0"/>
        </w:numPr>
        <w:ind w:left="851"/>
        <w:rPr>
          <w:szCs w:val="22"/>
        </w:rPr>
      </w:pPr>
    </w:p>
    <w:p w14:paraId="219A98D5" w14:textId="3EF3AB82" w:rsidR="00140E1C" w:rsidRDefault="000950B3" w:rsidP="00E90780">
      <w:pPr>
        <w:pStyle w:val="Heading1"/>
      </w:pPr>
      <w:bookmarkStart w:id="4" w:name="_Toc155256136"/>
      <w:r w:rsidRPr="000950B3">
        <w:t xml:space="preserve">Relationship to </w:t>
      </w:r>
      <w:r w:rsidR="00292E15">
        <w:t>IAEA Documentation and Guidance</w:t>
      </w:r>
      <w:bookmarkEnd w:id="4"/>
    </w:p>
    <w:p w14:paraId="25077D35" w14:textId="529892D9" w:rsidR="00292E15" w:rsidRDefault="00292E15" w:rsidP="00292E15">
      <w:pPr>
        <w:pStyle w:val="F9-Paragraph"/>
      </w:pPr>
      <w:r>
        <w:t xml:space="preserve">The </w:t>
      </w:r>
      <w:r w:rsidRPr="00292E15">
        <w:t xml:space="preserve">essential elements of a national nuclear security regime are set out in the Convention on the Physical Protection of Nuclear Material (CPPNM) and </w:t>
      </w:r>
      <w:r w:rsidR="00626123">
        <w:t xml:space="preserve">its </w:t>
      </w:r>
      <w:r w:rsidR="00C8220A">
        <w:t>amendment</w:t>
      </w:r>
      <w:r w:rsidR="00971378">
        <w:t xml:space="preserve"> [</w:t>
      </w:r>
      <w:r w:rsidR="009F270B">
        <w:t>5</w:t>
      </w:r>
      <w:r w:rsidR="00971378">
        <w:t>]</w:t>
      </w:r>
      <w:r w:rsidR="00DB35D8">
        <w:t xml:space="preserve">. </w:t>
      </w:r>
      <w:r w:rsidRPr="00292E15">
        <w:t>Further guidance is available within IAEA Technical Guidance and Implementing Guides.</w:t>
      </w:r>
    </w:p>
    <w:p w14:paraId="746D865C" w14:textId="59F4B0DD" w:rsidR="00FB1F63" w:rsidRPr="00FB1F63" w:rsidRDefault="00FB1F63" w:rsidP="00FB1F63">
      <w:pPr>
        <w:pStyle w:val="F9-Paragraph"/>
      </w:pPr>
      <w:r w:rsidRPr="00FB1F63">
        <w:t xml:space="preserve">Fundamental Principle K </w:t>
      </w:r>
      <w:r w:rsidR="00DA50E7">
        <w:t>of the CPPNM</w:t>
      </w:r>
      <w:r w:rsidR="0029416E">
        <w:t xml:space="preserve"> amendment </w:t>
      </w:r>
      <w:r w:rsidRPr="00FB1F63">
        <w:t>expects states to establish requirements for contingency plans to respond to unauthori</w:t>
      </w:r>
      <w:r w:rsidR="00920571">
        <w:t>s</w:t>
      </w:r>
      <w:r w:rsidRPr="00FB1F63">
        <w:t xml:space="preserve">ed removal of nuclear material or sabotage of nuclear facilities or nuclear material, or attempts thereof, to be prepared and appropriately exercised by all </w:t>
      </w:r>
      <w:proofErr w:type="spellStart"/>
      <w:r w:rsidRPr="00FB1F63">
        <w:t>dutyholders</w:t>
      </w:r>
      <w:proofErr w:type="spellEnd"/>
      <w:r w:rsidRPr="00FB1F63">
        <w:t>.</w:t>
      </w:r>
      <w:r w:rsidR="003C70CC">
        <w:t xml:space="preserve"> </w:t>
      </w:r>
    </w:p>
    <w:p w14:paraId="559D570A" w14:textId="5F7F1311" w:rsidR="00FB1F63" w:rsidRDefault="00FB1F63" w:rsidP="00FB1F63">
      <w:pPr>
        <w:pStyle w:val="F9-Paragraph"/>
      </w:pPr>
      <w:r w:rsidRPr="00FB1F63">
        <w:t>A more detailed description of the</w:t>
      </w:r>
      <w:r w:rsidR="007A353F">
        <w:t xml:space="preserve"> essential </w:t>
      </w:r>
      <w:r w:rsidRPr="00FB1F63">
        <w:t xml:space="preserve">elements is provided in Recommendations level guidance, specifically Nuclear Security Series (NSS) 13, Recommendations on Physical Protection of Nuclear Material and Nuclear Facilities (INFCIRC/225/Revision 5) </w:t>
      </w:r>
      <w:r w:rsidR="00410A8B">
        <w:t>[</w:t>
      </w:r>
      <w:r w:rsidR="00352A01">
        <w:t>6</w:t>
      </w:r>
      <w:r w:rsidR="00410A8B">
        <w:t>]</w:t>
      </w:r>
      <w:r w:rsidRPr="00FB1F63">
        <w:t xml:space="preserve">. Paragraphs 3.53 to 3.55 specifically </w:t>
      </w:r>
      <w:r w:rsidR="00CF14C8">
        <w:t xml:space="preserve">provide </w:t>
      </w:r>
      <w:r w:rsidR="00E64AD3">
        <w:t xml:space="preserve">implementing guidance relating to </w:t>
      </w:r>
      <w:r w:rsidRPr="00FB1F63">
        <w:t>confidentiality</w:t>
      </w:r>
      <w:r w:rsidR="00D44730" w:rsidRPr="00D44730">
        <w:t xml:space="preserve"> Paragraphs 4.10 and 5.19 refer to protections from compromise of computer based systems used for physical protection, nuclear safety, and</w:t>
      </w:r>
      <w:r w:rsidR="00D44730">
        <w:t xml:space="preserve"> </w:t>
      </w:r>
      <w:r w:rsidR="00D44730" w:rsidRPr="00D44730">
        <w:t xml:space="preserve">nuclear </w:t>
      </w:r>
      <w:r w:rsidR="00D44730">
        <w:t>m</w:t>
      </w:r>
      <w:r w:rsidR="00D44730" w:rsidRPr="00D44730">
        <w:t>aterial accountancy and control</w:t>
      </w:r>
      <w:r w:rsidRPr="00FB1F63">
        <w:t xml:space="preserve">. </w:t>
      </w:r>
    </w:p>
    <w:p w14:paraId="051B0D20" w14:textId="4E29F811" w:rsidR="00845E4E" w:rsidRPr="00FB1F63" w:rsidRDefault="00845E4E" w:rsidP="00845E4E">
      <w:pPr>
        <w:pStyle w:val="F9-Paragraph"/>
      </w:pPr>
      <w:r w:rsidRPr="00FB1F63">
        <w:t xml:space="preserve">The IAEA publishes Implementing Guide NSS No. 23-G ‘Security of Nuclear Information’ </w:t>
      </w:r>
      <w:r>
        <w:t>[</w:t>
      </w:r>
      <w:r w:rsidR="00A34805">
        <w:t>7</w:t>
      </w:r>
      <w:r>
        <w:t>]</w:t>
      </w:r>
      <w:r w:rsidRPr="00FB1F63">
        <w:t>, Technical Guidance NSS No. 17</w:t>
      </w:r>
      <w:r>
        <w:t>-T</w:t>
      </w:r>
      <w:r w:rsidR="00686452">
        <w:t xml:space="preserve"> (Rev1)</w:t>
      </w:r>
      <w:r w:rsidRPr="00FB1F63">
        <w:t xml:space="preserve"> ‘Computer Security at Nuclear Facilities’ </w:t>
      </w:r>
      <w:r>
        <w:t>[</w:t>
      </w:r>
      <w:r w:rsidR="00B86D90">
        <w:t>8</w:t>
      </w:r>
      <w:r>
        <w:t>]</w:t>
      </w:r>
      <w:r w:rsidRPr="00FB1F63">
        <w:t xml:space="preserve"> and NSS 33-T Computer Security of Instrumentation and Control Systems at Nuclear Facilities </w:t>
      </w:r>
      <w:r>
        <w:t>[</w:t>
      </w:r>
      <w:r w:rsidR="00B86D90">
        <w:t>9</w:t>
      </w:r>
      <w:r>
        <w:t>]</w:t>
      </w:r>
      <w:r w:rsidRPr="00FB1F63">
        <w:t>.</w:t>
      </w:r>
    </w:p>
    <w:p w14:paraId="7A15F402" w14:textId="1A961F7C" w:rsidR="00FB1F63" w:rsidRDefault="00FB1F63" w:rsidP="00FB1F63">
      <w:pPr>
        <w:pStyle w:val="F9-Paragraph"/>
      </w:pPr>
      <w:r w:rsidRPr="00FB1F63">
        <w:t xml:space="preserve">The IAEA </w:t>
      </w:r>
      <w:r w:rsidR="00686452">
        <w:t xml:space="preserve">also </w:t>
      </w:r>
      <w:r w:rsidRPr="00FB1F63">
        <w:t xml:space="preserve">publishes </w:t>
      </w:r>
      <w:r w:rsidR="00686452">
        <w:t xml:space="preserve">a non-serial </w:t>
      </w:r>
      <w:r w:rsidRPr="00FB1F63">
        <w:t xml:space="preserve">guidance on Computer Security Incident Response Planning at Nuclear Facilities </w:t>
      </w:r>
      <w:r w:rsidR="00410A8B">
        <w:t>[</w:t>
      </w:r>
      <w:r w:rsidR="008A17E4">
        <w:t>1</w:t>
      </w:r>
      <w:r w:rsidR="00B86D90">
        <w:t>0</w:t>
      </w:r>
      <w:r w:rsidR="00410A8B">
        <w:t>]</w:t>
      </w:r>
      <w:r w:rsidRPr="00FB1F63">
        <w:t xml:space="preserve">. </w:t>
      </w:r>
    </w:p>
    <w:p w14:paraId="41E65A1A" w14:textId="77777777" w:rsidR="008057E9" w:rsidRPr="00FB1F63" w:rsidRDefault="008057E9" w:rsidP="008057E9">
      <w:pPr>
        <w:pStyle w:val="F9-Paragraph"/>
        <w:numPr>
          <w:ilvl w:val="0"/>
          <w:numId w:val="0"/>
        </w:numPr>
        <w:ind w:left="851"/>
      </w:pPr>
    </w:p>
    <w:p w14:paraId="33BED14E" w14:textId="49CB5386" w:rsidR="00292E15" w:rsidRDefault="00FB1F63" w:rsidP="00FB1F63">
      <w:pPr>
        <w:pStyle w:val="Heading1"/>
      </w:pPr>
      <w:bookmarkStart w:id="5" w:name="_Toc155256137"/>
      <w:r>
        <w:lastRenderedPageBreak/>
        <w:t>Relationship to National Documents</w:t>
      </w:r>
      <w:bookmarkEnd w:id="5"/>
    </w:p>
    <w:p w14:paraId="0364A75F" w14:textId="3E50AFC9" w:rsidR="00FB1F63" w:rsidRPr="00FB1F63" w:rsidRDefault="00FB1F63" w:rsidP="00FB1F63">
      <w:pPr>
        <w:pStyle w:val="F9-Paragraph"/>
      </w:pPr>
      <w:r w:rsidRPr="00FB1F63">
        <w:t xml:space="preserve">The </w:t>
      </w:r>
      <w:proofErr w:type="spellStart"/>
      <w:r w:rsidRPr="00FB1F63">
        <w:t>SyAPs</w:t>
      </w:r>
      <w:proofErr w:type="spellEnd"/>
      <w:r w:rsidRPr="00FB1F63">
        <w:t xml:space="preserve"> provide ONR inspectors with a framework for making consistent regulatory judgements on the effectiveness of a </w:t>
      </w:r>
      <w:proofErr w:type="spellStart"/>
      <w:r w:rsidRPr="00FB1F63">
        <w:t>dutyholder’s</w:t>
      </w:r>
      <w:proofErr w:type="spellEnd"/>
      <w:r w:rsidRPr="00FB1F63">
        <w:t xml:space="preserve"> security arrangements.  This TAG provides guidance to ONR inspectors when assessing a </w:t>
      </w:r>
      <w:proofErr w:type="spellStart"/>
      <w:r w:rsidRPr="00FB1F63">
        <w:t>dutyholder’s</w:t>
      </w:r>
      <w:proofErr w:type="spellEnd"/>
      <w:r w:rsidRPr="00FB1F63">
        <w:t xml:space="preserve"> submission </w:t>
      </w:r>
      <w:r w:rsidR="001716A3">
        <w:t xml:space="preserve">or measures in place </w:t>
      </w:r>
      <w:r w:rsidRPr="00FB1F63">
        <w:t>demonstrating they have effective processes in place to achieve Security Delivery Principle (</w:t>
      </w:r>
      <w:proofErr w:type="spellStart"/>
      <w:r w:rsidRPr="00FB1F63">
        <w:t>SyDP</w:t>
      </w:r>
      <w:proofErr w:type="spellEnd"/>
      <w:r w:rsidRPr="00FB1F63">
        <w:t xml:space="preserve">) 7.5 – Preparation for and Response to Cyber Security Incidents in support of </w:t>
      </w:r>
      <w:proofErr w:type="spellStart"/>
      <w:r w:rsidRPr="00FB1F63">
        <w:t>FSyP</w:t>
      </w:r>
      <w:proofErr w:type="spellEnd"/>
      <w:r w:rsidRPr="00FB1F63">
        <w:t xml:space="preserve"> 7 – CS&amp;IA.  The TAG is consistent with other CNSS TAGs and associated guidance and policy documentation.</w:t>
      </w:r>
    </w:p>
    <w:p w14:paraId="428833EE" w14:textId="5AF23627" w:rsidR="00FB1F63" w:rsidRDefault="00FB1F63" w:rsidP="00FB1F63">
      <w:pPr>
        <w:pStyle w:val="F9-Paragraph"/>
      </w:pPr>
      <w:r w:rsidRPr="00FB1F63">
        <w:t xml:space="preserve">The HMG publication Government Functional Standard </w:t>
      </w:r>
      <w:proofErr w:type="spellStart"/>
      <w:r w:rsidRPr="00FB1F63">
        <w:t>GovS</w:t>
      </w:r>
      <w:proofErr w:type="spellEnd"/>
      <w:r w:rsidRPr="00FB1F63">
        <w:t xml:space="preserve"> 007: Security (hereafter termed </w:t>
      </w:r>
      <w:proofErr w:type="spellStart"/>
      <w:r w:rsidRPr="00FB1F63">
        <w:t>GovS</w:t>
      </w:r>
      <w:proofErr w:type="spellEnd"/>
      <w:r w:rsidRPr="00FB1F63">
        <w:t xml:space="preserve"> 007) </w:t>
      </w:r>
      <w:r w:rsidR="00CA57E9">
        <w:t>[1</w:t>
      </w:r>
      <w:r w:rsidR="00166DE3">
        <w:t>1</w:t>
      </w:r>
      <w:r w:rsidR="00CA57E9">
        <w:t>]</w:t>
      </w:r>
      <w:r w:rsidRPr="00FB1F63">
        <w:t xml:space="preserve"> describes expectations for security risk management, planning and response activities for cyber, physical, personnel, technical and incident management. It applies, whether these activities are carried out by, or impact, the operation of government departments, their arm’s length bodies or their contracted third parties. The security principles, governance, life cycle and practices detailed within </w:t>
      </w:r>
      <w:proofErr w:type="spellStart"/>
      <w:r w:rsidRPr="00FB1F63">
        <w:t>GovS</w:t>
      </w:r>
      <w:proofErr w:type="spellEnd"/>
      <w:r w:rsidRPr="00FB1F63">
        <w:t xml:space="preserve"> 007 have been incorporated within </w:t>
      </w:r>
      <w:proofErr w:type="spellStart"/>
      <w:r w:rsidRPr="00FB1F63">
        <w:t>SyAPs</w:t>
      </w:r>
      <w:proofErr w:type="spellEnd"/>
      <w:r w:rsidRPr="00FB1F63">
        <w:t xml:space="preserve">. This ensures that all NISR </w:t>
      </w:r>
      <w:proofErr w:type="spellStart"/>
      <w:r w:rsidRPr="00FB1F63">
        <w:t>dutyholders</w:t>
      </w:r>
      <w:proofErr w:type="spellEnd"/>
      <w:r w:rsidRPr="00FB1F63">
        <w:t xml:space="preserve"> are presented with a coherent and consistent set of regulatory expectations for protective security whether they are related to government or not.  </w:t>
      </w:r>
    </w:p>
    <w:p w14:paraId="4373C68A" w14:textId="77777777" w:rsidR="008057E9" w:rsidRPr="00FB1F63" w:rsidRDefault="008057E9" w:rsidP="008057E9">
      <w:pPr>
        <w:pStyle w:val="F9-Paragraph"/>
        <w:numPr>
          <w:ilvl w:val="0"/>
          <w:numId w:val="0"/>
        </w:numPr>
        <w:ind w:left="851"/>
      </w:pPr>
    </w:p>
    <w:p w14:paraId="5255232C" w14:textId="0B114371" w:rsidR="00F7687C" w:rsidRDefault="00F7687C" w:rsidP="00E90780">
      <w:pPr>
        <w:pStyle w:val="Heading1"/>
      </w:pPr>
      <w:bookmarkStart w:id="6" w:name="_Toc155256138"/>
      <w:r>
        <w:t>Advice to Inspectors</w:t>
      </w:r>
      <w:bookmarkEnd w:id="6"/>
    </w:p>
    <w:p w14:paraId="0665BC7C" w14:textId="42C023DB" w:rsidR="00FB1F63" w:rsidRDefault="00FB1F63" w:rsidP="00FB1F63">
      <w:pPr>
        <w:pStyle w:val="F9-Paragraph"/>
      </w:pPr>
      <w:r w:rsidRPr="00FB1F63">
        <w:t xml:space="preserve">The regulatory expectation is that the </w:t>
      </w:r>
      <w:proofErr w:type="spellStart"/>
      <w:r w:rsidRPr="00FB1F63">
        <w:t>dutyholder</w:t>
      </w:r>
      <w:proofErr w:type="spellEnd"/>
      <w:r w:rsidRPr="00FB1F63">
        <w:t xml:space="preserve"> will ensure that the security plan clearly details their arrangements to prepare for and respond to cyber security incidents in support of maintaining effective CS&amp;IA arrangements.</w:t>
      </w:r>
    </w:p>
    <w:tbl>
      <w:tblPr>
        <w:tblW w:w="830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783"/>
        <w:gridCol w:w="3629"/>
        <w:gridCol w:w="1890"/>
      </w:tblGrid>
      <w:tr w:rsidR="00FB1F63" w:rsidRPr="0041752A" w14:paraId="1A7CA166" w14:textId="77777777" w:rsidTr="00934143">
        <w:tc>
          <w:tcPr>
            <w:tcW w:w="2783" w:type="dxa"/>
            <w:shd w:val="clear" w:color="auto" w:fill="FFCC99"/>
            <w:vAlign w:val="center"/>
          </w:tcPr>
          <w:p w14:paraId="65D2A69B" w14:textId="3A557F8F" w:rsidR="00FB1F63" w:rsidRPr="0041752A" w:rsidRDefault="00FB1F63" w:rsidP="001A40CF">
            <w:pPr>
              <w:keepNext/>
              <w:rPr>
                <w:b/>
              </w:rPr>
            </w:pPr>
            <w:proofErr w:type="spellStart"/>
            <w:r w:rsidRPr="0041752A">
              <w:rPr>
                <w:b/>
              </w:rPr>
              <w:t>FSyP</w:t>
            </w:r>
            <w:proofErr w:type="spellEnd"/>
            <w:r w:rsidRPr="0041752A">
              <w:rPr>
                <w:b/>
              </w:rPr>
              <w:t xml:space="preserve"> 7 - Cyber Security and Information Assurance</w:t>
            </w:r>
          </w:p>
        </w:tc>
        <w:tc>
          <w:tcPr>
            <w:tcW w:w="3629" w:type="dxa"/>
            <w:shd w:val="clear" w:color="auto" w:fill="FFCC99"/>
            <w:vAlign w:val="center"/>
          </w:tcPr>
          <w:p w14:paraId="5D4E630C" w14:textId="77777777" w:rsidR="00FB1F63" w:rsidRPr="0041752A" w:rsidRDefault="00FB1F63" w:rsidP="001A40CF">
            <w:pPr>
              <w:keepNext/>
            </w:pPr>
            <w:r w:rsidRPr="0041752A">
              <w:t xml:space="preserve">Preparation for and </w:t>
            </w:r>
            <w:r>
              <w:t>Response to Cyber Security Incident</w:t>
            </w:r>
            <w:r w:rsidRPr="0041752A">
              <w:t>s</w:t>
            </w:r>
          </w:p>
        </w:tc>
        <w:tc>
          <w:tcPr>
            <w:tcW w:w="1890" w:type="dxa"/>
            <w:shd w:val="clear" w:color="auto" w:fill="FFCC99"/>
            <w:vAlign w:val="center"/>
          </w:tcPr>
          <w:p w14:paraId="233A9BED" w14:textId="77777777" w:rsidR="00FB1F63" w:rsidRPr="0041752A" w:rsidRDefault="00FB1F63" w:rsidP="001A40CF">
            <w:pPr>
              <w:keepNext/>
              <w:jc w:val="center"/>
            </w:pPr>
            <w:proofErr w:type="spellStart"/>
            <w:r w:rsidRPr="0041752A">
              <w:t>SyDP</w:t>
            </w:r>
            <w:proofErr w:type="spellEnd"/>
            <w:r w:rsidRPr="0041752A">
              <w:t xml:space="preserve"> 7.5</w:t>
            </w:r>
          </w:p>
        </w:tc>
      </w:tr>
      <w:tr w:rsidR="00FB1F63" w:rsidRPr="0041752A" w14:paraId="0E19D227" w14:textId="77777777" w:rsidTr="00934143">
        <w:trPr>
          <w:trHeight w:val="955"/>
        </w:trPr>
        <w:tc>
          <w:tcPr>
            <w:tcW w:w="8302" w:type="dxa"/>
            <w:gridSpan w:val="3"/>
            <w:shd w:val="clear" w:color="auto" w:fill="auto"/>
            <w:vAlign w:val="center"/>
          </w:tcPr>
          <w:p w14:paraId="3A4898C7" w14:textId="77777777" w:rsidR="00FB1F63" w:rsidRPr="0041752A" w:rsidRDefault="00FB1F63" w:rsidP="001A40CF">
            <w:pPr>
              <w:keepNext/>
            </w:pPr>
            <w:proofErr w:type="spellStart"/>
            <w:r>
              <w:rPr>
                <w:rFonts w:cs="Helvetica 45 Light"/>
                <w:color w:val="000000"/>
              </w:rPr>
              <w:t>Dutyholders</w:t>
            </w:r>
            <w:proofErr w:type="spellEnd"/>
            <w:r w:rsidRPr="0041752A">
              <w:rPr>
                <w:rFonts w:cs="Helvetica 45 Light"/>
                <w:color w:val="000000"/>
              </w:rPr>
              <w:t xml:space="preserve"> should implement well-tested plans, policies and procedures to reduce their vulner</w:t>
            </w:r>
            <w:r>
              <w:rPr>
                <w:rFonts w:cs="Helvetica 45 Light"/>
                <w:color w:val="000000"/>
              </w:rPr>
              <w:t>ability to cyber security incidents</w:t>
            </w:r>
            <w:r w:rsidRPr="0041752A">
              <w:rPr>
                <w:rFonts w:cs="Helvetica 45 Light"/>
                <w:color w:val="000000"/>
              </w:rPr>
              <w:t xml:space="preserve"> (especially from the most seriou</w:t>
            </w:r>
            <w:r>
              <w:rPr>
                <w:rFonts w:cs="Helvetica 45 Light"/>
                <w:color w:val="000000"/>
              </w:rPr>
              <w:t>s threats of terrorism or cyber-</w:t>
            </w:r>
            <w:r w:rsidRPr="0041752A">
              <w:rPr>
                <w:rFonts w:cs="Helvetica 45 Light"/>
                <w:color w:val="000000"/>
              </w:rPr>
              <w:t>attack), non-malicious leaks and other disruptive challenges.</w:t>
            </w:r>
          </w:p>
        </w:tc>
      </w:tr>
    </w:tbl>
    <w:p w14:paraId="57FB07FE" w14:textId="77777777" w:rsidR="00FB1F63" w:rsidRDefault="00FB1F63" w:rsidP="00FB1F63">
      <w:pPr>
        <w:pStyle w:val="F9-Paragraph"/>
        <w:numPr>
          <w:ilvl w:val="0"/>
          <w:numId w:val="0"/>
        </w:numPr>
        <w:ind w:left="851"/>
      </w:pPr>
    </w:p>
    <w:p w14:paraId="65484A31" w14:textId="72906435" w:rsidR="00F02FE4" w:rsidRDefault="00F02FE4" w:rsidP="00F02FE4">
      <w:pPr>
        <w:pStyle w:val="F9-Paragraph"/>
      </w:pPr>
      <w:r>
        <w:t xml:space="preserve">IAEA Nuclear Safety and Security Glossary, 2022 (Interim Edition) </w:t>
      </w:r>
      <w:r w:rsidR="0096347C">
        <w:t>[</w:t>
      </w:r>
      <w:r w:rsidR="00DF6E7C">
        <w:t>1</w:t>
      </w:r>
      <w:r w:rsidR="00995E4E">
        <w:t>2</w:t>
      </w:r>
      <w:r w:rsidR="0096347C">
        <w:t xml:space="preserve">] </w:t>
      </w:r>
      <w:r>
        <w:t>Glossary definition: “Computer security incident” defines “An occurrence that actually or potentially jeopardizes the confidentiality, integrity or availability of a computer-based system (including information), or that constitutes a violation or imminent risk of violation of security policies.”</w:t>
      </w:r>
    </w:p>
    <w:p w14:paraId="30504D15" w14:textId="1AC8FC58" w:rsidR="00FB1F63" w:rsidRDefault="00FB1F63" w:rsidP="00FB1F63">
      <w:pPr>
        <w:pStyle w:val="F9-Paragraph"/>
      </w:pPr>
      <w:proofErr w:type="spellStart"/>
      <w:r>
        <w:lastRenderedPageBreak/>
        <w:t>SyAPs</w:t>
      </w:r>
      <w:proofErr w:type="spellEnd"/>
      <w:r>
        <w:t xml:space="preserve"> reflects a range of Relevant Good Practice (RGP) (such as the NIST cyber security framework </w:t>
      </w:r>
      <w:r w:rsidR="00A56CA5">
        <w:t>[1</w:t>
      </w:r>
      <w:r w:rsidR="00DF6098">
        <w:t>3</w:t>
      </w:r>
      <w:r w:rsidR="00A56CA5">
        <w:t>]</w:t>
      </w:r>
      <w:r>
        <w:t>) in its approach to define the security posture for sensitive nuclear information and equipment and software used in connection with activities involving nuclear material/other radioactive material. This ensures that defence in depth is provided through the implementation of plans, policies and procedures that define:</w:t>
      </w:r>
    </w:p>
    <w:p w14:paraId="13A9E271" w14:textId="77777777" w:rsidR="00FB1F63" w:rsidRDefault="00FB1F63" w:rsidP="00E46045">
      <w:pPr>
        <w:pStyle w:val="F9-Paragraph"/>
        <w:numPr>
          <w:ilvl w:val="0"/>
          <w:numId w:val="7"/>
        </w:numPr>
      </w:pPr>
      <w:r>
        <w:t xml:space="preserve">how assets should be protected dependent on their categorisation and classification.  </w:t>
      </w:r>
    </w:p>
    <w:p w14:paraId="7760CB49" w14:textId="77777777" w:rsidR="00FB1F63" w:rsidRDefault="00FB1F63" w:rsidP="00E46045">
      <w:pPr>
        <w:pStyle w:val="F9-Paragraph"/>
        <w:numPr>
          <w:ilvl w:val="0"/>
          <w:numId w:val="7"/>
        </w:numPr>
      </w:pPr>
      <w:r>
        <w:t xml:space="preserve">how the organisation should detect and respond to a cyber security incident, and </w:t>
      </w:r>
    </w:p>
    <w:p w14:paraId="57639F3D" w14:textId="77777777" w:rsidR="00FB1F63" w:rsidRDefault="00FB1F63" w:rsidP="00E46045">
      <w:pPr>
        <w:pStyle w:val="F9-Paragraph"/>
        <w:numPr>
          <w:ilvl w:val="0"/>
          <w:numId w:val="7"/>
        </w:numPr>
      </w:pPr>
      <w:r>
        <w:t xml:space="preserve">how the organisation will recover to ensure effective operations are re-established as efficiently as possible. Fundamentally, this Security Delivery Principle establishes an expectation that the </w:t>
      </w:r>
      <w:proofErr w:type="spellStart"/>
      <w:r>
        <w:t>dutyholder</w:t>
      </w:r>
      <w:proofErr w:type="spellEnd"/>
      <w:r>
        <w:t xml:space="preserve"> will make, implement, and test arrangements that enable the organisation to effectively and efficiently respond to cyber security incidents. </w:t>
      </w:r>
    </w:p>
    <w:p w14:paraId="004D953D" w14:textId="2D68A618" w:rsidR="00FB1F63" w:rsidRDefault="00FB1F63" w:rsidP="00FB1F63">
      <w:pPr>
        <w:pStyle w:val="F9-Paragraph"/>
      </w:pPr>
      <w:r w:rsidRPr="00FB1F63">
        <w:t xml:space="preserve">Current RGP described by various organisations, including </w:t>
      </w:r>
      <w:r w:rsidR="00E12844">
        <w:t xml:space="preserve">the </w:t>
      </w:r>
      <w:r w:rsidRPr="00FB1F63">
        <w:t>SANS Institute</w:t>
      </w:r>
      <w:r w:rsidR="00E12844">
        <w:t>,</w:t>
      </w:r>
      <w:r w:rsidRPr="00FB1F63">
        <w:t xml:space="preserve"> </w:t>
      </w:r>
      <w:r w:rsidR="00E12844">
        <w:t>t</w:t>
      </w:r>
      <w:r w:rsidRPr="00FB1F63">
        <w:t>he US Department of Energy, and NIST defines 6 key stages of incident response</w:t>
      </w:r>
      <w:r w:rsidR="00300113">
        <w:t xml:space="preserve"> (IR)</w:t>
      </w:r>
      <w:r w:rsidRPr="00FB1F63">
        <w:t>. Figure 1 summarises the stages, each of which will be considered in greater detail in subsequent sections. However, there are some general principles and considerations that should be recognised during incident response</w:t>
      </w:r>
      <w:r w:rsidR="000A02C0">
        <w:t xml:space="preserve">. </w:t>
      </w:r>
    </w:p>
    <w:p w14:paraId="291473F1" w14:textId="250959CB" w:rsidR="00FB1F63" w:rsidRDefault="000A02C0" w:rsidP="005E7C42">
      <w:pPr>
        <w:pStyle w:val="F9-Paragraph"/>
        <w:numPr>
          <w:ilvl w:val="0"/>
          <w:numId w:val="0"/>
        </w:numPr>
        <w:ind w:left="851"/>
      </w:pPr>
      <w:r w:rsidRPr="000A02C0">
        <w:rPr>
          <w:rFonts w:cs="Times New Roman"/>
          <w:noProof/>
          <w:sz w:val="22"/>
        </w:rPr>
        <mc:AlternateContent>
          <mc:Choice Requires="wpg">
            <w:drawing>
              <wp:anchor distT="0" distB="0" distL="114300" distR="114300" simplePos="0" relativeHeight="251663360" behindDoc="0" locked="0" layoutInCell="1" allowOverlap="1" wp14:anchorId="07EE1013" wp14:editId="1A9EC1C3">
                <wp:simplePos x="0" y="0"/>
                <wp:positionH relativeFrom="column">
                  <wp:posOffset>523875</wp:posOffset>
                </wp:positionH>
                <wp:positionV relativeFrom="paragraph">
                  <wp:posOffset>85725</wp:posOffset>
                </wp:positionV>
                <wp:extent cx="5038725" cy="1781175"/>
                <wp:effectExtent l="0" t="0" r="28575" b="180975"/>
                <wp:wrapNone/>
                <wp:docPr id="4" name="Group 4"/>
                <wp:cNvGraphicFramePr/>
                <a:graphic xmlns:a="http://schemas.openxmlformats.org/drawingml/2006/main">
                  <a:graphicData uri="http://schemas.microsoft.com/office/word/2010/wordprocessingGroup">
                    <wpg:wgp>
                      <wpg:cNvGrpSpPr/>
                      <wpg:grpSpPr>
                        <a:xfrm>
                          <a:off x="0" y="0"/>
                          <a:ext cx="5038725" cy="1781175"/>
                          <a:chOff x="0" y="0"/>
                          <a:chExt cx="7128292" cy="1975782"/>
                        </a:xfrm>
                      </wpg:grpSpPr>
                      <wps:wsp>
                        <wps:cNvPr id="6" name="Right Arrow 24"/>
                        <wps:cNvSpPr/>
                        <wps:spPr>
                          <a:xfrm>
                            <a:off x="2289733" y="1030159"/>
                            <a:ext cx="3731876" cy="45720"/>
                          </a:xfrm>
                          <a:prstGeom prst="rightArrow">
                            <a:avLst/>
                          </a:prstGeom>
                          <a:solidFill>
                            <a:srgbClr val="4F81BD"/>
                          </a:solidFill>
                          <a:ln w="25400" cap="flat" cmpd="sng" algn="ctr">
                            <a:solidFill>
                              <a:srgbClr val="4F81BD">
                                <a:shade val="50000"/>
                              </a:srgbClr>
                            </a:solidFill>
                            <a:prstDash val="solid"/>
                          </a:ln>
                          <a:effectLst/>
                        </wps:spPr>
                        <wps:bodyPr rtlCol="0" anchor="ctr"/>
                      </wps:wsp>
                      <wps:wsp>
                        <wps:cNvPr id="7" name="Rounded Rectangle 22"/>
                        <wps:cNvSpPr/>
                        <wps:spPr>
                          <a:xfrm>
                            <a:off x="1800200" y="331857"/>
                            <a:ext cx="3578736" cy="1440160"/>
                          </a:xfrm>
                          <a:prstGeom prst="roundRect">
                            <a:avLst/>
                          </a:prstGeom>
                          <a:noFill/>
                          <a:ln w="25400" cap="flat" cmpd="sng" algn="ctr">
                            <a:solidFill>
                              <a:srgbClr val="C0504D"/>
                            </a:solidFill>
                            <a:prstDash val="solid"/>
                          </a:ln>
                          <a:effectLst/>
                        </wps:spPr>
                        <wps:bodyPr rtlCol="0" anchor="ctr"/>
                      </wps:wsp>
                      <wps:wsp>
                        <wps:cNvPr id="8" name="TextBox 9"/>
                        <wps:cNvSpPr txBox="1"/>
                        <wps:spPr>
                          <a:xfrm>
                            <a:off x="0" y="845494"/>
                            <a:ext cx="1079623" cy="397940"/>
                          </a:xfrm>
                          <a:prstGeom prst="rect">
                            <a:avLst/>
                          </a:prstGeom>
                          <a:solidFill>
                            <a:sysClr val="window" lastClr="FFFFFF"/>
                          </a:solidFill>
                          <a:ln w="25400">
                            <a:solidFill>
                              <a:srgbClr val="4F81BD"/>
                            </a:solidFill>
                          </a:ln>
                        </wps:spPr>
                        <wps:txbx>
                          <w:txbxContent>
                            <w:p w14:paraId="6701B51F" w14:textId="77777777" w:rsidR="000A02C0" w:rsidRPr="00192E6E" w:rsidRDefault="000A02C0" w:rsidP="000A02C0">
                              <w:pPr>
                                <w:jc w:val="center"/>
                              </w:pPr>
                              <w:r w:rsidRPr="000A02C0">
                                <w:rPr>
                                  <w:rFonts w:ascii="Calibri" w:hAnsi="Calibri" w:cs="Times New Roman"/>
                                  <w:color w:val="000000"/>
                                  <w:kern w:val="24"/>
                                </w:rPr>
                                <w:t>Prepare</w:t>
                              </w:r>
                            </w:p>
                          </w:txbxContent>
                        </wps:txbx>
                        <wps:bodyPr wrap="square" rtlCol="0">
                          <a:noAutofit/>
                        </wps:bodyPr>
                      </wps:wsp>
                      <wps:wsp>
                        <wps:cNvPr id="9" name="TextBox 10"/>
                        <wps:cNvSpPr txBox="1"/>
                        <wps:spPr>
                          <a:xfrm>
                            <a:off x="1209734" y="845494"/>
                            <a:ext cx="1080501" cy="397940"/>
                          </a:xfrm>
                          <a:prstGeom prst="rect">
                            <a:avLst/>
                          </a:prstGeom>
                          <a:solidFill>
                            <a:sysClr val="window" lastClr="FFFFFF"/>
                          </a:solidFill>
                          <a:ln w="25400">
                            <a:solidFill>
                              <a:srgbClr val="4F81BD"/>
                            </a:solidFill>
                          </a:ln>
                        </wps:spPr>
                        <wps:txbx>
                          <w:txbxContent>
                            <w:p w14:paraId="478E4A24" w14:textId="77777777" w:rsidR="000A02C0" w:rsidRPr="00192E6E" w:rsidRDefault="000A02C0" w:rsidP="000A02C0">
                              <w:pPr>
                                <w:jc w:val="center"/>
                              </w:pPr>
                              <w:r w:rsidRPr="000A02C0">
                                <w:rPr>
                                  <w:rFonts w:ascii="Calibri" w:hAnsi="Calibri" w:cs="Times New Roman"/>
                                  <w:color w:val="000000"/>
                                  <w:kern w:val="24"/>
                                </w:rPr>
                                <w:t>Identify</w:t>
                              </w:r>
                            </w:p>
                          </w:txbxContent>
                        </wps:txbx>
                        <wps:bodyPr wrap="square" rtlCol="0">
                          <a:noAutofit/>
                        </wps:bodyPr>
                      </wps:wsp>
                      <wps:wsp>
                        <wps:cNvPr id="10" name="TextBox 11"/>
                        <wps:cNvSpPr txBox="1"/>
                        <wps:spPr>
                          <a:xfrm>
                            <a:off x="2419468" y="845494"/>
                            <a:ext cx="1080501" cy="397940"/>
                          </a:xfrm>
                          <a:prstGeom prst="rect">
                            <a:avLst/>
                          </a:prstGeom>
                          <a:solidFill>
                            <a:sysClr val="window" lastClr="FFFFFF"/>
                          </a:solidFill>
                          <a:ln w="25400">
                            <a:solidFill>
                              <a:srgbClr val="4F81BD"/>
                            </a:solidFill>
                          </a:ln>
                        </wps:spPr>
                        <wps:txbx>
                          <w:txbxContent>
                            <w:p w14:paraId="181980A4" w14:textId="77777777" w:rsidR="000A02C0" w:rsidRPr="00192E6E" w:rsidRDefault="000A02C0" w:rsidP="000A02C0">
                              <w:pPr>
                                <w:jc w:val="center"/>
                              </w:pPr>
                              <w:r w:rsidRPr="000A02C0">
                                <w:rPr>
                                  <w:rFonts w:ascii="Calibri" w:hAnsi="Calibri" w:cs="Times New Roman"/>
                                  <w:color w:val="000000"/>
                                  <w:kern w:val="24"/>
                                </w:rPr>
                                <w:t>Contain</w:t>
                              </w:r>
                            </w:p>
                          </w:txbxContent>
                        </wps:txbx>
                        <wps:bodyPr wrap="square" rtlCol="0">
                          <a:noAutofit/>
                        </wps:bodyPr>
                      </wps:wsp>
                      <wps:wsp>
                        <wps:cNvPr id="11" name="TextBox 12"/>
                        <wps:cNvSpPr txBox="1"/>
                        <wps:spPr>
                          <a:xfrm>
                            <a:off x="3629199" y="845494"/>
                            <a:ext cx="1080501" cy="397940"/>
                          </a:xfrm>
                          <a:prstGeom prst="rect">
                            <a:avLst/>
                          </a:prstGeom>
                          <a:solidFill>
                            <a:sysClr val="window" lastClr="FFFFFF"/>
                          </a:solidFill>
                          <a:ln w="25400">
                            <a:solidFill>
                              <a:srgbClr val="4F81BD"/>
                            </a:solidFill>
                          </a:ln>
                        </wps:spPr>
                        <wps:txbx>
                          <w:txbxContent>
                            <w:p w14:paraId="3FB1D55F" w14:textId="77777777" w:rsidR="000A02C0" w:rsidRPr="00192E6E" w:rsidRDefault="000A02C0" w:rsidP="000A02C0">
                              <w:pPr>
                                <w:jc w:val="center"/>
                              </w:pPr>
                              <w:r w:rsidRPr="000A02C0">
                                <w:rPr>
                                  <w:rFonts w:ascii="Calibri" w:hAnsi="Calibri" w:cs="Times New Roman"/>
                                  <w:color w:val="000000"/>
                                  <w:kern w:val="24"/>
                                </w:rPr>
                                <w:t>Eradicate</w:t>
                              </w:r>
                            </w:p>
                          </w:txbxContent>
                        </wps:txbx>
                        <wps:bodyPr wrap="square" rtlCol="0">
                          <a:noAutofit/>
                        </wps:bodyPr>
                      </wps:wsp>
                      <wps:wsp>
                        <wps:cNvPr id="12" name="TextBox 14"/>
                        <wps:cNvSpPr txBox="1"/>
                        <wps:spPr>
                          <a:xfrm>
                            <a:off x="6048669" y="706995"/>
                            <a:ext cx="1079623" cy="633367"/>
                          </a:xfrm>
                          <a:prstGeom prst="rect">
                            <a:avLst/>
                          </a:prstGeom>
                          <a:solidFill>
                            <a:sysClr val="window" lastClr="FFFFFF"/>
                          </a:solidFill>
                          <a:ln w="25400">
                            <a:solidFill>
                              <a:srgbClr val="4F81BD"/>
                            </a:solidFill>
                          </a:ln>
                        </wps:spPr>
                        <wps:txbx>
                          <w:txbxContent>
                            <w:p w14:paraId="2F2AFF7C" w14:textId="77777777" w:rsidR="000A02C0" w:rsidRPr="00192E6E" w:rsidRDefault="000A02C0" w:rsidP="000A02C0">
                              <w:pPr>
                                <w:jc w:val="center"/>
                              </w:pPr>
                              <w:r w:rsidRPr="000A02C0">
                                <w:rPr>
                                  <w:rFonts w:ascii="Calibri" w:hAnsi="Calibri" w:cs="Times New Roman"/>
                                  <w:color w:val="000000"/>
                                  <w:kern w:val="24"/>
                                </w:rPr>
                                <w:t>Lessons learnt</w:t>
                              </w:r>
                            </w:p>
                          </w:txbxContent>
                        </wps:txbx>
                        <wps:bodyPr wrap="square" rtlCol="0">
                          <a:noAutofit/>
                        </wps:bodyPr>
                      </wps:wsp>
                      <wps:wsp>
                        <wps:cNvPr id="13" name="Curved Connector 16"/>
                        <wps:cNvCnPr/>
                        <wps:spPr>
                          <a:xfrm rot="5400000" flipH="1" flipV="1">
                            <a:off x="1144866" y="240626"/>
                            <a:ext cx="12701" cy="1209735"/>
                          </a:xfrm>
                          <a:prstGeom prst="curvedConnector3">
                            <a:avLst>
                              <a:gd name="adj1" fmla="val 4129417"/>
                            </a:avLst>
                          </a:prstGeom>
                          <a:noFill/>
                          <a:ln w="25400" cap="flat" cmpd="sng" algn="ctr">
                            <a:solidFill>
                              <a:srgbClr val="4F81BD">
                                <a:shade val="95000"/>
                                <a:satMod val="105000"/>
                              </a:srgbClr>
                            </a:solidFill>
                            <a:prstDash val="solid"/>
                            <a:tailEnd type="arrow"/>
                          </a:ln>
                          <a:effectLst/>
                        </wps:spPr>
                        <wps:bodyPr/>
                      </wps:wsp>
                      <wps:wsp>
                        <wps:cNvPr id="14" name="Curved Connector 18"/>
                        <wps:cNvCnPr/>
                        <wps:spPr>
                          <a:xfrm rot="5400000">
                            <a:off x="1144866" y="609958"/>
                            <a:ext cx="12701" cy="1209735"/>
                          </a:xfrm>
                          <a:prstGeom prst="curvedConnector3">
                            <a:avLst>
                              <a:gd name="adj1" fmla="val 4270591"/>
                            </a:avLst>
                          </a:prstGeom>
                          <a:noFill/>
                          <a:ln w="25400" cap="flat" cmpd="sng" algn="ctr">
                            <a:solidFill>
                              <a:srgbClr val="4F81BD">
                                <a:shade val="95000"/>
                                <a:satMod val="105000"/>
                              </a:srgbClr>
                            </a:solidFill>
                            <a:prstDash val="solid"/>
                            <a:tailEnd type="arrow"/>
                          </a:ln>
                          <a:effectLst/>
                        </wps:spPr>
                        <wps:bodyPr/>
                      </wps:wsp>
                      <wps:wsp>
                        <wps:cNvPr id="15" name="TextBox 13"/>
                        <wps:cNvSpPr txBox="1"/>
                        <wps:spPr>
                          <a:xfrm>
                            <a:off x="4838934" y="845494"/>
                            <a:ext cx="1080501" cy="397940"/>
                          </a:xfrm>
                          <a:prstGeom prst="rect">
                            <a:avLst/>
                          </a:prstGeom>
                          <a:solidFill>
                            <a:sysClr val="window" lastClr="FFFFFF"/>
                          </a:solidFill>
                          <a:ln w="25400">
                            <a:solidFill>
                              <a:srgbClr val="4F81BD"/>
                            </a:solidFill>
                          </a:ln>
                        </wps:spPr>
                        <wps:txbx>
                          <w:txbxContent>
                            <w:p w14:paraId="24414DB0" w14:textId="77777777" w:rsidR="000A02C0" w:rsidRPr="00192E6E" w:rsidRDefault="000A02C0" w:rsidP="000A02C0">
                              <w:pPr>
                                <w:jc w:val="center"/>
                              </w:pPr>
                              <w:r w:rsidRPr="000A02C0">
                                <w:rPr>
                                  <w:rFonts w:ascii="Calibri" w:hAnsi="Calibri" w:cs="Times New Roman"/>
                                  <w:color w:val="000000"/>
                                  <w:kern w:val="24"/>
                                </w:rPr>
                                <w:t>Recover</w:t>
                              </w:r>
                            </w:p>
                          </w:txbxContent>
                        </wps:txbx>
                        <wps:bodyPr wrap="square" rtlCol="0">
                          <a:noAutofit/>
                        </wps:bodyPr>
                      </wps:wsp>
                      <wps:wsp>
                        <wps:cNvPr id="16" name="TextBox 23"/>
                        <wps:cNvSpPr txBox="1"/>
                        <wps:spPr>
                          <a:xfrm>
                            <a:off x="1908152" y="0"/>
                            <a:ext cx="3312658" cy="362802"/>
                          </a:xfrm>
                          <a:prstGeom prst="rect">
                            <a:avLst/>
                          </a:prstGeom>
                          <a:noFill/>
                        </wps:spPr>
                        <wps:txbx>
                          <w:txbxContent>
                            <w:p w14:paraId="6724DA52" w14:textId="77777777" w:rsidR="000A02C0" w:rsidRPr="00192E6E" w:rsidRDefault="000A02C0" w:rsidP="000A02C0">
                              <w:pPr>
                                <w:jc w:val="center"/>
                              </w:pPr>
                              <w:r w:rsidRPr="000A02C0">
                                <w:rPr>
                                  <w:rFonts w:ascii="Calibri" w:hAnsi="Calibri" w:cs="Times New Roman"/>
                                  <w:color w:val="000000"/>
                                  <w:kern w:val="24"/>
                                </w:rPr>
                                <w:t>Observe, Orient, Decide, Act</w:t>
                              </w:r>
                            </w:p>
                          </w:txbxContent>
                        </wps:txbx>
                        <wps:bodyPr wrap="square" rtlCol="0">
                          <a:noAutofit/>
                        </wps:bodyPr>
                      </wps:wsp>
                      <wps:wsp>
                        <wps:cNvPr id="17" name="Elbow Connector 26"/>
                        <wps:cNvCnPr/>
                        <wps:spPr>
                          <a:xfrm rot="5400000" flipH="1">
                            <a:off x="3495087" y="-1740261"/>
                            <a:ext cx="138499" cy="6048673"/>
                          </a:xfrm>
                          <a:prstGeom prst="bentConnector3">
                            <a:avLst>
                              <a:gd name="adj1" fmla="val -585780"/>
                            </a:avLst>
                          </a:prstGeom>
                          <a:noFill/>
                          <a:ln w="25400" cap="flat" cmpd="sng" algn="ctr">
                            <a:solidFill>
                              <a:srgbClr val="4F81BD">
                                <a:shade val="95000"/>
                                <a:satMod val="105000"/>
                              </a:srgbClr>
                            </a:solidFill>
                            <a:prstDash val="solid"/>
                            <a:tailEnd type="arrow"/>
                          </a:ln>
                          <a:effectLst/>
                        </wps:spPr>
                        <wps:bodyPr/>
                      </wps:wsp>
                      <wps:wsp>
                        <wps:cNvPr id="18" name="TextBox 31"/>
                        <wps:cNvSpPr txBox="1"/>
                        <wps:spPr>
                          <a:xfrm>
                            <a:off x="1933113" y="1287561"/>
                            <a:ext cx="3312659" cy="688221"/>
                          </a:xfrm>
                          <a:prstGeom prst="rect">
                            <a:avLst/>
                          </a:prstGeom>
                          <a:noFill/>
                        </wps:spPr>
                        <wps:txbx>
                          <w:txbxContent>
                            <w:p w14:paraId="0A281BD0" w14:textId="77777777" w:rsidR="000A02C0" w:rsidRPr="00192E6E" w:rsidRDefault="000A02C0" w:rsidP="000A02C0">
                              <w:pPr>
                                <w:jc w:val="center"/>
                              </w:pPr>
                              <w:r w:rsidRPr="000A02C0">
                                <w:rPr>
                                  <w:rFonts w:ascii="Calibri" w:hAnsi="Calibri" w:cs="Times New Roman"/>
                                  <w:color w:val="000000"/>
                                  <w:kern w:val="24"/>
                                </w:rPr>
                                <w:t>Uncertainty in situational awareness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EE1013" id="Group 4" o:spid="_x0000_s1026" style="position:absolute;left:0;text-align:left;margin-left:41.25pt;margin-top:6.75pt;width:396.75pt;height:140.25pt;z-index:251663360;mso-width-relative:margin;mso-height-relative:margin" coordsize="71282,1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7" type="#_x0000_t13" style="position:absolute;left:22897;top:10301;width:3731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" adj="21468" fillcolor="#4f81bd" strokecolor="#385d8a" strokeweight="2pt"/>
                <v:roundrect id="Rounded Rectangle 22" o:spid="_x0000_s1028" style="position:absolute;left:18002;top:3318;width:35787;height:144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" filled="f" strokecolor="#c0504d" strokeweight="2pt"/>
                <v:shapetype id="_x0000_t202" coordsize="21600,21600" o:spt="202" path="m,l,21600r21600,l21600,xe">
                  <v:stroke joinstyle="miter"/>
                  <v:path gradientshapeok="t" o:connecttype="rect"/>
                </v:shapetype>
                <v:shape id="TextBox 9" o:spid="_x0000_s1029" type="#_x0000_t202" style="position:absolute;top:8454;width:10796;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" fillcolor="window" strokecolor="#4f81bd" strokeweight="2pt">
                  <v:textbox>
                    <w:txbxContent>
                      <w:p w14:paraId="6701B51F" w14:textId="77777777" w:rsidR="000A02C0" w:rsidRPr="00192E6E" w:rsidRDefault="000A02C0" w:rsidP="000A02C0">
                        <w:pPr>
                          <w:jc w:val="center"/>
                        </w:pPr>
                        <w:r w:rsidRPr="000A02C0">
                          <w:rPr>
                            <w:rFonts w:ascii="Calibri" w:hAnsi="Calibri" w:cs="Times New Roman"/>
                            <w:color w:val="000000"/>
                            <w:kern w:val="24"/>
                          </w:rPr>
                          <w:t>Prepare</w:t>
                        </w:r>
                      </w:p>
                    </w:txbxContent>
                  </v:textbox>
                </v:shape>
                <v:shape id="TextBox 10" o:spid="_x0000_s1030" type="#_x0000_t202" style="position:absolute;left:12097;top:8454;width:10805;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" fillcolor="window" strokecolor="#4f81bd" strokeweight="2pt">
                  <v:textbox>
                    <w:txbxContent>
                      <w:p w14:paraId="478E4A24" w14:textId="77777777" w:rsidR="000A02C0" w:rsidRPr="00192E6E" w:rsidRDefault="000A02C0" w:rsidP="000A02C0">
                        <w:pPr>
                          <w:jc w:val="center"/>
                        </w:pPr>
                        <w:r w:rsidRPr="000A02C0">
                          <w:rPr>
                            <w:rFonts w:ascii="Calibri" w:hAnsi="Calibri" w:cs="Times New Roman"/>
                            <w:color w:val="000000"/>
                            <w:kern w:val="24"/>
                          </w:rPr>
                          <w:t>Identify</w:t>
                        </w:r>
                      </w:p>
                    </w:txbxContent>
                  </v:textbox>
                </v:shape>
                <v:shape id="TextBox 11" o:spid="_x0000_s1031" type="#_x0000_t202" style="position:absolute;left:24194;top:8454;width:10805;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" fillcolor="window" strokecolor="#4f81bd" strokeweight="2pt">
                  <v:textbox>
                    <w:txbxContent>
                      <w:p w14:paraId="181980A4" w14:textId="77777777" w:rsidR="000A02C0" w:rsidRPr="00192E6E" w:rsidRDefault="000A02C0" w:rsidP="000A02C0">
                        <w:pPr>
                          <w:jc w:val="center"/>
                        </w:pPr>
                        <w:r w:rsidRPr="000A02C0">
                          <w:rPr>
                            <w:rFonts w:ascii="Calibri" w:hAnsi="Calibri" w:cs="Times New Roman"/>
                            <w:color w:val="000000"/>
                            <w:kern w:val="24"/>
                          </w:rPr>
                          <w:t>Contain</w:t>
                        </w:r>
                      </w:p>
                    </w:txbxContent>
                  </v:textbox>
                </v:shape>
                <v:shape id="TextBox 12" o:spid="_x0000_s1032" type="#_x0000_t202" style="position:absolute;left:36291;top:8454;width:10806;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" fillcolor="window" strokecolor="#4f81bd" strokeweight="2pt">
                  <v:textbox>
                    <w:txbxContent>
                      <w:p w14:paraId="3FB1D55F" w14:textId="77777777" w:rsidR="000A02C0" w:rsidRPr="00192E6E" w:rsidRDefault="000A02C0" w:rsidP="000A02C0">
                        <w:pPr>
                          <w:jc w:val="center"/>
                        </w:pPr>
                        <w:r w:rsidRPr="000A02C0">
                          <w:rPr>
                            <w:rFonts w:ascii="Calibri" w:hAnsi="Calibri" w:cs="Times New Roman"/>
                            <w:color w:val="000000"/>
                            <w:kern w:val="24"/>
                          </w:rPr>
                          <w:t>Eradicate</w:t>
                        </w:r>
                      </w:p>
                    </w:txbxContent>
                  </v:textbox>
                </v:shape>
                <v:shape id="TextBox 14" o:spid="_x0000_s1033" type="#_x0000_t202" style="position:absolute;left:60486;top:7069;width:1079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" fillcolor="window" strokecolor="#4f81bd" strokeweight="2pt">
                  <v:textbox>
                    <w:txbxContent>
                      <w:p w14:paraId="2F2AFF7C" w14:textId="77777777" w:rsidR="000A02C0" w:rsidRPr="00192E6E" w:rsidRDefault="000A02C0" w:rsidP="000A02C0">
                        <w:pPr>
                          <w:jc w:val="center"/>
                        </w:pPr>
                        <w:r w:rsidRPr="000A02C0">
                          <w:rPr>
                            <w:rFonts w:ascii="Calibri" w:hAnsi="Calibri" w:cs="Times New Roman"/>
                            <w:color w:val="000000"/>
                            <w:kern w:val="24"/>
                          </w:rPr>
                          <w:t>Lessons learnt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 o:spid="_x0000_s1034" type="#_x0000_t38" style="position:absolute;left:11448;top:2406;width:127;height:1209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" adj="891954" strokecolor="#4a7ebb" strokeweight="2pt">
                  <v:stroke endarrow="open"/>
                </v:shape>
                <v:shape id="Curved Connector 18" o:spid="_x0000_s1035" type="#_x0000_t38" style="position:absolute;left:11448;top:6099;width:127;height:1209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" adj="922448" strokecolor="#4a7ebb" strokeweight="2pt">
                  <v:stroke endarrow="open"/>
                </v:shape>
                <v:shape id="TextBox 13" o:spid="_x0000_s1036" type="#_x0000_t202" style="position:absolute;left:48389;top:8454;width:10805;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" fillcolor="window" strokecolor="#4f81bd" strokeweight="2pt">
                  <v:textbox>
                    <w:txbxContent>
                      <w:p w14:paraId="24414DB0" w14:textId="77777777" w:rsidR="000A02C0" w:rsidRPr="00192E6E" w:rsidRDefault="000A02C0" w:rsidP="000A02C0">
                        <w:pPr>
                          <w:jc w:val="center"/>
                        </w:pPr>
                        <w:r w:rsidRPr="000A02C0">
                          <w:rPr>
                            <w:rFonts w:ascii="Calibri" w:hAnsi="Calibri" w:cs="Times New Roman"/>
                            <w:color w:val="000000"/>
                            <w:kern w:val="24"/>
                          </w:rPr>
                          <w:t>Recover</w:t>
                        </w:r>
                      </w:p>
                    </w:txbxContent>
                  </v:textbox>
                </v:shape>
                <v:shape id="TextBox 23" o:spid="_x0000_s1037" type="#_x0000_t202" style="position:absolute;left:19081;width:33127;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724DA52" w14:textId="77777777" w:rsidR="000A02C0" w:rsidRPr="00192E6E" w:rsidRDefault="000A02C0" w:rsidP="000A02C0">
                        <w:pPr>
                          <w:jc w:val="center"/>
                        </w:pPr>
                        <w:r w:rsidRPr="000A02C0">
                          <w:rPr>
                            <w:rFonts w:ascii="Calibri" w:hAnsi="Calibri" w:cs="Times New Roman"/>
                            <w:color w:val="000000"/>
                            <w:kern w:val="24"/>
                          </w:rPr>
                          <w:t>Observe, Orient, Decide, Act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38" type="#_x0000_t34" style="position:absolute;left:34950;top:-17402;width:1385;height:604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" adj="-126528" strokecolor="#4a7ebb" strokeweight="2pt">
                  <v:stroke endarrow="open"/>
                </v:shape>
                <v:shape id="TextBox 31" o:spid="_x0000_s1039" type="#_x0000_t202" style="position:absolute;left:19331;top:12875;width:33126;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A281BD0" w14:textId="77777777" w:rsidR="000A02C0" w:rsidRPr="00192E6E" w:rsidRDefault="000A02C0" w:rsidP="000A02C0">
                        <w:pPr>
                          <w:jc w:val="center"/>
                        </w:pPr>
                        <w:r w:rsidRPr="000A02C0">
                          <w:rPr>
                            <w:rFonts w:ascii="Calibri" w:hAnsi="Calibri" w:cs="Times New Roman"/>
                            <w:color w:val="000000"/>
                            <w:kern w:val="24"/>
                          </w:rPr>
                          <w:t>Uncertainty in situational awareness</w:t>
                        </w:r>
                      </w:p>
                    </w:txbxContent>
                  </v:textbox>
                </v:shape>
              </v:group>
            </w:pict>
          </mc:Fallback>
        </mc:AlternateContent>
      </w:r>
    </w:p>
    <w:p w14:paraId="359720D8" w14:textId="77777777" w:rsidR="000A02C0" w:rsidRPr="00FB1F63" w:rsidRDefault="000A02C0" w:rsidP="000A02C0">
      <w:pPr>
        <w:pStyle w:val="F9-Paragraph"/>
        <w:numPr>
          <w:ilvl w:val="0"/>
          <w:numId w:val="0"/>
        </w:numPr>
        <w:ind w:left="851" w:hanging="851"/>
      </w:pPr>
    </w:p>
    <w:p w14:paraId="4C65DEFF" w14:textId="77777777" w:rsidR="00F7687C" w:rsidRDefault="00F7687C" w:rsidP="000A02C0">
      <w:pPr>
        <w:pStyle w:val="F9-Paragraph"/>
        <w:numPr>
          <w:ilvl w:val="0"/>
          <w:numId w:val="0"/>
        </w:numPr>
        <w:ind w:left="851" w:hanging="851"/>
      </w:pPr>
    </w:p>
    <w:p w14:paraId="03066040" w14:textId="77777777" w:rsidR="000A02C0" w:rsidRDefault="000A02C0" w:rsidP="000A02C0">
      <w:pPr>
        <w:pStyle w:val="F9-Paragraph"/>
        <w:numPr>
          <w:ilvl w:val="0"/>
          <w:numId w:val="0"/>
        </w:numPr>
        <w:ind w:left="851" w:hanging="851"/>
      </w:pPr>
    </w:p>
    <w:p w14:paraId="6F66A411" w14:textId="77777777" w:rsidR="00C16CA5" w:rsidRDefault="00C16CA5" w:rsidP="000A02C0">
      <w:pPr>
        <w:pStyle w:val="F9-Paragraph"/>
        <w:numPr>
          <w:ilvl w:val="0"/>
          <w:numId w:val="0"/>
        </w:numPr>
        <w:ind w:left="851" w:hanging="851"/>
      </w:pPr>
    </w:p>
    <w:p w14:paraId="4C4D5C4C" w14:textId="77777777" w:rsidR="003C4CF0" w:rsidRDefault="003C4CF0" w:rsidP="00B9384B">
      <w:pPr>
        <w:pStyle w:val="F9-Paragraph"/>
        <w:numPr>
          <w:ilvl w:val="0"/>
          <w:numId w:val="0"/>
        </w:numPr>
        <w:ind w:left="851" w:hanging="851"/>
        <w:jc w:val="center"/>
      </w:pPr>
    </w:p>
    <w:p w14:paraId="548DF086" w14:textId="668D4D26" w:rsidR="00C16CA5" w:rsidRDefault="00C16CA5" w:rsidP="00B9384B">
      <w:pPr>
        <w:pStyle w:val="F9-Paragraph"/>
        <w:numPr>
          <w:ilvl w:val="0"/>
          <w:numId w:val="0"/>
        </w:numPr>
        <w:ind w:left="851" w:hanging="851"/>
        <w:jc w:val="center"/>
      </w:pPr>
      <w:r>
        <w:t>Fig</w:t>
      </w:r>
      <w:r w:rsidR="00F402D8">
        <w:t>ure</w:t>
      </w:r>
      <w:r>
        <w:t xml:space="preserve"> 1. </w:t>
      </w:r>
      <w:r w:rsidR="00B9384B">
        <w:t>Stages of Incident Response</w:t>
      </w:r>
    </w:p>
    <w:p w14:paraId="25C9F2A8" w14:textId="3D4960AE" w:rsidR="000A02C0" w:rsidRDefault="000A02C0" w:rsidP="000A02C0">
      <w:pPr>
        <w:pStyle w:val="F9-Paragraph"/>
      </w:pPr>
      <w:r w:rsidRPr="000A02C0">
        <w:t xml:space="preserve">Whilst this TAG bases its regulatory expectations on the framework set out in Figure 1, it is to be expected that some </w:t>
      </w:r>
      <w:proofErr w:type="spellStart"/>
      <w:r w:rsidRPr="000A02C0">
        <w:t>dutyholders</w:t>
      </w:r>
      <w:proofErr w:type="spellEnd"/>
      <w:r w:rsidRPr="000A02C0">
        <w:t xml:space="preserve"> may take a different approach. This is entirely reasonable, and inspectors should ensure that judgements are made against the </w:t>
      </w:r>
      <w:proofErr w:type="spellStart"/>
      <w:r w:rsidRPr="000A02C0">
        <w:t>dutyholder’s</w:t>
      </w:r>
      <w:proofErr w:type="spellEnd"/>
      <w:r w:rsidRPr="000A02C0">
        <w:t xml:space="preserve"> ability to achieve the expected security outcome and response</w:t>
      </w:r>
      <w:r w:rsidR="00E12844">
        <w:t xml:space="preserve"> in line with ONR’s outcome focused non-prescriptive approach to regulation</w:t>
      </w:r>
      <w:r>
        <w:t>.</w:t>
      </w:r>
    </w:p>
    <w:p w14:paraId="4028D707" w14:textId="77777777" w:rsidR="000A02C0" w:rsidRPr="000A02C0" w:rsidRDefault="000A02C0" w:rsidP="000A02C0">
      <w:pPr>
        <w:pStyle w:val="F9-Paragraph"/>
      </w:pPr>
      <w:r w:rsidRPr="000A02C0">
        <w:t xml:space="preserve">The Observe, Orient, Decide, Act (OODA) loop represents the period of intensity during incident response, and is intended to prevent spontaneous poorly considered reactions. It promotes a construct that requires the Cyber Incident Response Team (CIRT) to pause, analyse, incorporate information </w:t>
      </w:r>
      <w:r w:rsidRPr="000A02C0">
        <w:lastRenderedPageBreak/>
        <w:t>received from the environment and then integrate new knowledge into the next course of action.</w:t>
      </w:r>
    </w:p>
    <w:p w14:paraId="0CA5C0DC" w14:textId="77777777" w:rsidR="002B1B3F" w:rsidRDefault="002B1B3F" w:rsidP="002B1B3F">
      <w:pPr>
        <w:pStyle w:val="F9-Paragraph"/>
      </w:pPr>
      <w:r>
        <w:t>There is significant uncertainty associated with situational awareness particularly in the early stages of a cyber incident. This is compounded by the needs of a wide range of stakeholders to understand what is happening. A successful CIRT and its leader are responsible for managing the uncertainty by keeping informed and controlling the flow of information to stakeholders but also allowing subject matter experts to focus on their tasks.</w:t>
      </w:r>
    </w:p>
    <w:p w14:paraId="4DE461E2" w14:textId="2D505284" w:rsidR="002B1B3F" w:rsidRDefault="002B1B3F" w:rsidP="002B1B3F">
      <w:pPr>
        <w:pStyle w:val="F9-Paragraph"/>
      </w:pPr>
      <w:r>
        <w:t>It is critical that unity of command is maintained across the entire IR process, from Preparation to Lessons Learnt, that ensures there is a solid, reliable and well-known decision-making process in place.</w:t>
      </w:r>
      <w:r w:rsidR="006F46DC">
        <w:t xml:space="preserve"> Role</w:t>
      </w:r>
      <w:r w:rsidR="00D1671E">
        <w:t>s</w:t>
      </w:r>
      <w:r w:rsidR="006F46DC">
        <w:t xml:space="preserve"> </w:t>
      </w:r>
      <w:r w:rsidR="00D1671E">
        <w:t>and</w:t>
      </w:r>
      <w:r w:rsidR="006F46DC">
        <w:t xml:space="preserve"> </w:t>
      </w:r>
      <w:r w:rsidR="00D1671E">
        <w:t>responsibilities</w:t>
      </w:r>
      <w:r w:rsidR="006F46DC">
        <w:t xml:space="preserve"> </w:t>
      </w:r>
      <w:r w:rsidR="00D1671E">
        <w:t>should</w:t>
      </w:r>
      <w:r w:rsidR="006F46DC">
        <w:t xml:space="preserve"> be </w:t>
      </w:r>
      <w:r w:rsidR="00D1671E">
        <w:t>defined</w:t>
      </w:r>
      <w:r w:rsidR="006F46DC">
        <w:t xml:space="preserve"> through the command </w:t>
      </w:r>
      <w:r w:rsidR="00D1671E">
        <w:t xml:space="preserve">structure. </w:t>
      </w:r>
    </w:p>
    <w:p w14:paraId="4D8BEA27" w14:textId="77777777" w:rsidR="002B1B3F" w:rsidRDefault="002B1B3F" w:rsidP="002B1B3F">
      <w:pPr>
        <w:pStyle w:val="F9-Paragraph"/>
      </w:pPr>
      <w:r>
        <w:t>There are several sources of guidance and advice available, including:</w:t>
      </w:r>
    </w:p>
    <w:p w14:paraId="22512607" w14:textId="7513EA95" w:rsidR="00F02BFE" w:rsidRDefault="00F02BFE" w:rsidP="00E46045">
      <w:pPr>
        <w:pStyle w:val="F9-Paragraph"/>
        <w:numPr>
          <w:ilvl w:val="0"/>
          <w:numId w:val="8"/>
        </w:numPr>
      </w:pPr>
      <w:r w:rsidRPr="00FB1F63">
        <w:t xml:space="preserve">NSS No. 23-G ‘Security of Nuclear Information’ </w:t>
      </w:r>
      <w:r>
        <w:t>[</w:t>
      </w:r>
      <w:r w:rsidR="001F4C19">
        <w:t>7</w:t>
      </w:r>
      <w:r>
        <w:t>]</w:t>
      </w:r>
      <w:r w:rsidRPr="00FB1F63">
        <w:t xml:space="preserve">, </w:t>
      </w:r>
    </w:p>
    <w:p w14:paraId="2E70C611" w14:textId="1AC753F1" w:rsidR="00F02BFE" w:rsidRDefault="00F02BFE" w:rsidP="00E46045">
      <w:pPr>
        <w:pStyle w:val="F9-Paragraph"/>
        <w:numPr>
          <w:ilvl w:val="0"/>
          <w:numId w:val="8"/>
        </w:numPr>
      </w:pPr>
      <w:r w:rsidRPr="00FB1F63">
        <w:t>Technical Guidance NSS No. 17</w:t>
      </w:r>
      <w:r>
        <w:t>-T (Rev1)</w:t>
      </w:r>
      <w:r w:rsidRPr="00FB1F63">
        <w:t xml:space="preserve"> ‘Computer Security at Nuclear Facilities’ </w:t>
      </w:r>
      <w:r>
        <w:t>[</w:t>
      </w:r>
      <w:r w:rsidR="004C490F">
        <w:t>9</w:t>
      </w:r>
      <w:r>
        <w:t>]</w:t>
      </w:r>
      <w:r w:rsidRPr="00FB1F63">
        <w:t xml:space="preserve"> </w:t>
      </w:r>
    </w:p>
    <w:p w14:paraId="50D55FAF" w14:textId="2D7C9A66" w:rsidR="00C81CBB" w:rsidRDefault="00F02BFE" w:rsidP="00E46045">
      <w:pPr>
        <w:pStyle w:val="F9-Paragraph"/>
        <w:numPr>
          <w:ilvl w:val="0"/>
          <w:numId w:val="8"/>
        </w:numPr>
      </w:pPr>
      <w:r w:rsidRPr="00FB1F63">
        <w:t>NSS 33-T Computer Security of Instrumentation and Control Systems at Nuclear Facilities</w:t>
      </w:r>
      <w:r w:rsidR="00454477">
        <w:t xml:space="preserve"> [</w:t>
      </w:r>
      <w:r w:rsidR="00801046">
        <w:t>9</w:t>
      </w:r>
      <w:r w:rsidR="00454477">
        <w:t>]</w:t>
      </w:r>
    </w:p>
    <w:p w14:paraId="0BA2A5D9" w14:textId="36E03D3E" w:rsidR="002B1B3F" w:rsidRDefault="002B1B3F" w:rsidP="00E46045">
      <w:pPr>
        <w:pStyle w:val="F9-Paragraph"/>
        <w:numPr>
          <w:ilvl w:val="0"/>
          <w:numId w:val="8"/>
        </w:numPr>
      </w:pPr>
      <w:r>
        <w:t xml:space="preserve">Good Practice Guide for Incident Management – ENISA </w:t>
      </w:r>
      <w:r w:rsidR="00C733DD">
        <w:t>[1</w:t>
      </w:r>
      <w:r w:rsidR="00B6317E">
        <w:t>4</w:t>
      </w:r>
      <w:r w:rsidR="00C733DD">
        <w:t>]</w:t>
      </w:r>
    </w:p>
    <w:p w14:paraId="79C13AD6" w14:textId="5DD0E5E9" w:rsidR="002B1B3F" w:rsidRDefault="002B1B3F" w:rsidP="00E46045">
      <w:pPr>
        <w:pStyle w:val="F9-Paragraph"/>
        <w:numPr>
          <w:ilvl w:val="0"/>
          <w:numId w:val="8"/>
        </w:numPr>
      </w:pPr>
      <w:r>
        <w:t xml:space="preserve">Guide to Incident Management – CERT </w:t>
      </w:r>
      <w:r w:rsidR="00C733DD">
        <w:t>[1</w:t>
      </w:r>
      <w:r w:rsidR="00B6317E">
        <w:t>5</w:t>
      </w:r>
      <w:r w:rsidR="00C733DD">
        <w:t>]</w:t>
      </w:r>
    </w:p>
    <w:p w14:paraId="04FB2F1D" w14:textId="501F2249" w:rsidR="002B1B3F" w:rsidRDefault="002B1B3F" w:rsidP="00E46045">
      <w:pPr>
        <w:pStyle w:val="F9-Paragraph"/>
        <w:numPr>
          <w:ilvl w:val="0"/>
          <w:numId w:val="8"/>
        </w:numPr>
      </w:pPr>
      <w:r>
        <w:t xml:space="preserve">Incident Handler’s Handbook – SANS </w:t>
      </w:r>
      <w:r w:rsidR="00C733DD">
        <w:t>[1</w:t>
      </w:r>
      <w:r w:rsidR="00B6317E">
        <w:t>6</w:t>
      </w:r>
      <w:r w:rsidR="00C733DD">
        <w:t>]</w:t>
      </w:r>
    </w:p>
    <w:p w14:paraId="334B1951" w14:textId="40040F8A" w:rsidR="002B1B3F" w:rsidRDefault="002B1B3F" w:rsidP="00E46045">
      <w:pPr>
        <w:pStyle w:val="F9-Paragraph"/>
        <w:numPr>
          <w:ilvl w:val="0"/>
          <w:numId w:val="8"/>
        </w:numPr>
      </w:pPr>
      <w:r>
        <w:t xml:space="preserve">Computer Security Incident Handling Guide – NIST </w:t>
      </w:r>
      <w:r w:rsidR="00C733DD">
        <w:t>[1</w:t>
      </w:r>
      <w:r w:rsidR="00B6317E">
        <w:t>7</w:t>
      </w:r>
      <w:r w:rsidR="00C733DD">
        <w:t>]</w:t>
      </w:r>
    </w:p>
    <w:p w14:paraId="63171197" w14:textId="626542DF" w:rsidR="002B1B3F" w:rsidRDefault="002B1B3F" w:rsidP="00E46045">
      <w:pPr>
        <w:pStyle w:val="F9-Paragraph"/>
        <w:numPr>
          <w:ilvl w:val="0"/>
          <w:numId w:val="8"/>
        </w:numPr>
      </w:pPr>
      <w:r>
        <w:t xml:space="preserve">Incident Management guidance - NCSC </w:t>
      </w:r>
      <w:r w:rsidR="00C733DD">
        <w:t>[1</w:t>
      </w:r>
      <w:r w:rsidR="00B6317E">
        <w:t>8</w:t>
      </w:r>
      <w:r w:rsidR="00C733DD">
        <w:t>]</w:t>
      </w:r>
      <w:r>
        <w:t xml:space="preserve"> </w:t>
      </w:r>
    </w:p>
    <w:p w14:paraId="070AAD8B" w14:textId="1232F673" w:rsidR="002B1B3F" w:rsidRDefault="002B1B3F" w:rsidP="00E46045">
      <w:pPr>
        <w:pStyle w:val="F9-Paragraph"/>
        <w:numPr>
          <w:ilvl w:val="0"/>
          <w:numId w:val="8"/>
        </w:numPr>
      </w:pPr>
      <w:r>
        <w:t xml:space="preserve">Computer Security Incident Response Planning at Nuclear Facilities - IAEA </w:t>
      </w:r>
      <w:r w:rsidR="00C733DD">
        <w:t>[</w:t>
      </w:r>
      <w:r w:rsidR="00DD1EC2">
        <w:t>10</w:t>
      </w:r>
      <w:r w:rsidR="00C733DD">
        <w:t>]</w:t>
      </w:r>
      <w:r>
        <w:t xml:space="preserve"> </w:t>
      </w:r>
    </w:p>
    <w:p w14:paraId="5DA248CE" w14:textId="598B5E30" w:rsidR="004942E0" w:rsidRPr="00312364" w:rsidRDefault="00A7383A" w:rsidP="00E46045">
      <w:pPr>
        <w:pStyle w:val="F9-Paragraph"/>
        <w:numPr>
          <w:ilvl w:val="0"/>
          <w:numId w:val="8"/>
        </w:numPr>
        <w:rPr>
          <w:lang w:val="fr-FR"/>
        </w:rPr>
      </w:pPr>
      <w:r w:rsidRPr="00312364">
        <w:rPr>
          <w:lang w:val="fr-FR"/>
        </w:rPr>
        <w:t>ISO</w:t>
      </w:r>
      <w:r w:rsidR="00312364" w:rsidRPr="00312364">
        <w:rPr>
          <w:lang w:val="fr-FR"/>
        </w:rPr>
        <w:t>/IEC</w:t>
      </w:r>
      <w:r w:rsidRPr="00312364">
        <w:rPr>
          <w:lang w:val="fr-FR"/>
        </w:rPr>
        <w:t xml:space="preserve"> </w:t>
      </w:r>
      <w:r w:rsidR="00231C16" w:rsidRPr="00312364">
        <w:rPr>
          <w:lang w:val="fr-FR"/>
        </w:rPr>
        <w:t>2</w:t>
      </w:r>
      <w:r w:rsidRPr="00312364">
        <w:rPr>
          <w:lang w:val="fr-FR"/>
        </w:rPr>
        <w:t>7</w:t>
      </w:r>
      <w:r w:rsidR="00245756" w:rsidRPr="00312364">
        <w:rPr>
          <w:lang w:val="fr-FR"/>
        </w:rPr>
        <w:t xml:space="preserve">035 </w:t>
      </w:r>
      <w:r w:rsidR="00312364" w:rsidRPr="00312364">
        <w:rPr>
          <w:lang w:val="fr-FR"/>
        </w:rPr>
        <w:t>–</w:t>
      </w:r>
      <w:r w:rsidR="00245756" w:rsidRPr="00312364">
        <w:rPr>
          <w:lang w:val="fr-FR"/>
        </w:rPr>
        <w:t xml:space="preserve"> </w:t>
      </w:r>
      <w:proofErr w:type="spellStart"/>
      <w:r w:rsidR="00312364" w:rsidRPr="00312364">
        <w:rPr>
          <w:lang w:val="fr-FR"/>
        </w:rPr>
        <w:t>Infosec</w:t>
      </w:r>
      <w:proofErr w:type="spellEnd"/>
      <w:r w:rsidR="00312364" w:rsidRPr="00312364">
        <w:rPr>
          <w:lang w:val="fr-FR"/>
        </w:rPr>
        <w:t xml:space="preserve"> Incident </w:t>
      </w:r>
      <w:r w:rsidR="00312364">
        <w:rPr>
          <w:lang w:val="fr-FR"/>
        </w:rPr>
        <w:t>M</w:t>
      </w:r>
      <w:r w:rsidR="00312364" w:rsidRPr="00312364">
        <w:rPr>
          <w:lang w:val="fr-FR"/>
        </w:rPr>
        <w:t xml:space="preserve">anagement </w:t>
      </w:r>
      <w:r w:rsidR="002E5F92">
        <w:rPr>
          <w:lang w:val="fr-FR"/>
        </w:rPr>
        <w:t>[</w:t>
      </w:r>
      <w:r w:rsidR="00B6317E">
        <w:rPr>
          <w:lang w:val="fr-FR"/>
        </w:rPr>
        <w:t>19</w:t>
      </w:r>
      <w:r w:rsidR="002E5F92">
        <w:rPr>
          <w:lang w:val="fr-FR"/>
        </w:rPr>
        <w:t>]</w:t>
      </w:r>
    </w:p>
    <w:p w14:paraId="3FB05F40" w14:textId="77777777" w:rsidR="002B1B3F" w:rsidRPr="00312364" w:rsidRDefault="002B1B3F" w:rsidP="002B1B3F">
      <w:pPr>
        <w:pStyle w:val="F9-Paragraph"/>
        <w:numPr>
          <w:ilvl w:val="0"/>
          <w:numId w:val="0"/>
        </w:numPr>
        <w:ind w:left="851"/>
        <w:rPr>
          <w:lang w:val="fr-FR"/>
        </w:rPr>
      </w:pPr>
    </w:p>
    <w:p w14:paraId="6C42E51A" w14:textId="57789905" w:rsidR="002B1B3F" w:rsidRDefault="002B1B3F" w:rsidP="002B1B3F">
      <w:pPr>
        <w:pStyle w:val="F9-Paragraph"/>
      </w:pPr>
      <w:r>
        <w:t xml:space="preserve">As with all regulatory activity, when assessing </w:t>
      </w:r>
      <w:proofErr w:type="spellStart"/>
      <w:r>
        <w:t>dutyholder</w:t>
      </w:r>
      <w:proofErr w:type="spellEnd"/>
      <w:r>
        <w:t xml:space="preserve"> arrangements for cyber IR, activity should be proportionate to the potential impact. Many </w:t>
      </w:r>
      <w:proofErr w:type="spellStart"/>
      <w:r>
        <w:t>dutyholders</w:t>
      </w:r>
      <w:proofErr w:type="spellEnd"/>
      <w:r>
        <w:t xml:space="preserve"> will outsource large parts of their IR capability to a third party. In such cases, regulatory activity should focus around </w:t>
      </w:r>
      <w:r w:rsidRPr="00CD6F7D">
        <w:rPr>
          <w:color w:val="000000" w:themeColor="text1"/>
        </w:rPr>
        <w:t xml:space="preserve">the </w:t>
      </w:r>
      <w:r w:rsidR="00FF0C80" w:rsidRPr="00CD6F7D">
        <w:rPr>
          <w:color w:val="000000" w:themeColor="text1"/>
        </w:rPr>
        <w:t xml:space="preserve">due diligence </w:t>
      </w:r>
      <w:r w:rsidR="001626B4" w:rsidRPr="00CD6F7D">
        <w:rPr>
          <w:color w:val="000000" w:themeColor="text1"/>
        </w:rPr>
        <w:t xml:space="preserve">the </w:t>
      </w:r>
      <w:proofErr w:type="spellStart"/>
      <w:r w:rsidR="001626B4" w:rsidRPr="00CD6F7D">
        <w:rPr>
          <w:color w:val="000000" w:themeColor="text1"/>
        </w:rPr>
        <w:t>duytholder</w:t>
      </w:r>
      <w:proofErr w:type="spellEnd"/>
      <w:r w:rsidR="001626B4" w:rsidRPr="00CD6F7D">
        <w:rPr>
          <w:color w:val="000000" w:themeColor="text1"/>
        </w:rPr>
        <w:t xml:space="preserve"> has undertaken to ensure the third party provider </w:t>
      </w:r>
      <w:r w:rsidR="00F070BB" w:rsidRPr="00CD6F7D">
        <w:rPr>
          <w:color w:val="000000" w:themeColor="text1"/>
        </w:rPr>
        <w:t xml:space="preserve">can provide a </w:t>
      </w:r>
      <w:r w:rsidR="00A9623B" w:rsidRPr="00CD6F7D">
        <w:rPr>
          <w:color w:val="000000" w:themeColor="text1"/>
        </w:rPr>
        <w:t xml:space="preserve">suitable service that </w:t>
      </w:r>
      <w:r w:rsidR="000869A3" w:rsidRPr="00CD6F7D">
        <w:rPr>
          <w:color w:val="000000" w:themeColor="text1"/>
        </w:rPr>
        <w:t xml:space="preserve">meets </w:t>
      </w:r>
      <w:r w:rsidR="00A9623B" w:rsidRPr="00CD6F7D">
        <w:rPr>
          <w:color w:val="000000" w:themeColor="text1"/>
        </w:rPr>
        <w:t>regulatory expectations</w:t>
      </w:r>
      <w:r w:rsidR="003311E3" w:rsidRPr="00CD6F7D">
        <w:rPr>
          <w:color w:val="000000" w:themeColor="text1"/>
        </w:rPr>
        <w:t xml:space="preserve">. </w:t>
      </w:r>
      <w:r w:rsidR="006E4CD2" w:rsidRPr="00CD6F7D">
        <w:rPr>
          <w:color w:val="000000" w:themeColor="text1"/>
        </w:rPr>
        <w:t xml:space="preserve">In addition, </w:t>
      </w:r>
      <w:r w:rsidR="0061488B" w:rsidRPr="00CD6F7D">
        <w:rPr>
          <w:color w:val="000000" w:themeColor="text1"/>
        </w:rPr>
        <w:t xml:space="preserve">consider </w:t>
      </w:r>
      <w:r w:rsidR="002225B4">
        <w:rPr>
          <w:color w:val="000000" w:themeColor="text1"/>
        </w:rPr>
        <w:t xml:space="preserve">the </w:t>
      </w:r>
      <w:r>
        <w:t xml:space="preserve">control the </w:t>
      </w:r>
      <w:proofErr w:type="spellStart"/>
      <w:r>
        <w:t>dutyholder</w:t>
      </w:r>
      <w:proofErr w:type="spellEnd"/>
      <w:r>
        <w:t xml:space="preserve"> has over that contract, the separation of responsibilities as well as interfacing activities such as providing access to digital systems and assets.</w:t>
      </w:r>
    </w:p>
    <w:p w14:paraId="5D5C01E4" w14:textId="77777777" w:rsidR="002B1B3F" w:rsidRDefault="002B1B3F" w:rsidP="002B1B3F">
      <w:pPr>
        <w:pStyle w:val="F9-Paragraph"/>
      </w:pPr>
      <w:r>
        <w:lastRenderedPageBreak/>
        <w:t xml:space="preserve">Inspectors should also be cognisant of ONR’s regulatory vires in this area. </w:t>
      </w:r>
      <w:proofErr w:type="spellStart"/>
      <w:r>
        <w:t>Dutyholders</w:t>
      </w:r>
      <w:proofErr w:type="spellEnd"/>
      <w:r>
        <w:t xml:space="preserve"> will conduct IR for a variety of reasons, but an inspector’s focus should be on achieving security outcomes associated with ensuring nuclear safety and security. It is also important to keep in mind that many IR activities are associated with business continuity and disaster recovery, which will only be within regulatory scope where they are required to maintain safety or security, or to facilitate hazard and risk reduction.</w:t>
      </w:r>
    </w:p>
    <w:p w14:paraId="2DC173F3" w14:textId="42BD8556" w:rsidR="002B1B3F" w:rsidRDefault="002B1B3F" w:rsidP="002B1B3F">
      <w:pPr>
        <w:pStyle w:val="F9-Paragraph"/>
      </w:pPr>
      <w:r>
        <w:t xml:space="preserve">The UK’s nuclear estate is complex and includes aged facilities where there are many legacy systems that present challenges to conducting IR. However, this does not serve as an excuse nor abdicate the </w:t>
      </w:r>
      <w:proofErr w:type="spellStart"/>
      <w:r>
        <w:t>dutyholder</w:t>
      </w:r>
      <w:proofErr w:type="spellEnd"/>
      <w:r>
        <w:t xml:space="preserve"> of responsibility for conducting effective IR. Inspectors should seek assurances, that the expected security outcome and response can be achieved despite the challenges presented by legacy systems, albeit by potentially different means.</w:t>
      </w:r>
      <w:r w:rsidR="00E12844">
        <w:t xml:space="preserve">  Such assurance arrangements should be clearly detailed within </w:t>
      </w:r>
      <w:proofErr w:type="spellStart"/>
      <w:r w:rsidR="00E12844">
        <w:t>dutyholder’s</w:t>
      </w:r>
      <w:proofErr w:type="spellEnd"/>
      <w:r w:rsidR="00E12844">
        <w:t xml:space="preserve"> security plans.</w:t>
      </w:r>
    </w:p>
    <w:p w14:paraId="09FAF8A3" w14:textId="77777777" w:rsidR="008057E9" w:rsidRDefault="008057E9" w:rsidP="008057E9">
      <w:pPr>
        <w:pStyle w:val="F9-Paragraph"/>
        <w:numPr>
          <w:ilvl w:val="0"/>
          <w:numId w:val="0"/>
        </w:numPr>
        <w:ind w:left="851"/>
      </w:pPr>
    </w:p>
    <w:p w14:paraId="2BF53DB1" w14:textId="797D2F67" w:rsidR="000A02C0" w:rsidRDefault="002B1B3F" w:rsidP="002B1B3F">
      <w:pPr>
        <w:pStyle w:val="Heading1"/>
      </w:pPr>
      <w:bookmarkStart w:id="7" w:name="_Toc155256139"/>
      <w:r>
        <w:t>Preparation</w:t>
      </w:r>
      <w:bookmarkEnd w:id="7"/>
    </w:p>
    <w:p w14:paraId="35C7EAAA" w14:textId="1FA74DE7" w:rsidR="00C913C5" w:rsidRPr="00C913C5" w:rsidRDefault="00C913C5" w:rsidP="00E46045">
      <w:pPr>
        <w:pStyle w:val="F9-Paragraph"/>
      </w:pPr>
      <w:r w:rsidRPr="00C913C5">
        <w:t>Preparation is about readying the CIRT to handle an incident at short notice and under any reasonable conditions. An incident can range from a phishing attempt to more extreme incidents such as a violation of organisational policy by disgruntled employees</w:t>
      </w:r>
      <w:r w:rsidR="00E12844">
        <w:t xml:space="preserve"> (insiders)</w:t>
      </w:r>
      <w:r w:rsidRPr="00C913C5">
        <w:t xml:space="preserve"> or networks being infiltrated by state sponsored adversaries. Regardless of the cause, preparation is arguably the most important phase, as it will determine how well the CIRT will be able to respond in the event of a crisis.</w:t>
      </w:r>
    </w:p>
    <w:p w14:paraId="51824197" w14:textId="77777777" w:rsidR="00C913C5" w:rsidRPr="00C913C5" w:rsidRDefault="00C913C5" w:rsidP="00E46045">
      <w:pPr>
        <w:pStyle w:val="F9-Paragraph"/>
      </w:pPr>
      <w:r w:rsidRPr="00C913C5">
        <w:t>There are several key considerations in this phase that will help to mitigate any potential issues that could hinder the CIRT’s ability to handle an incident.</w:t>
      </w:r>
    </w:p>
    <w:p w14:paraId="0D1B22CA" w14:textId="77777777" w:rsidR="00C913C5" w:rsidRPr="00C913C5" w:rsidRDefault="00C913C5" w:rsidP="00C913C5">
      <w:pPr>
        <w:pStyle w:val="F9-Paragraph"/>
        <w:numPr>
          <w:ilvl w:val="0"/>
          <w:numId w:val="0"/>
        </w:numPr>
        <w:ind w:left="851"/>
      </w:pPr>
      <w:r w:rsidRPr="00C913C5">
        <w:rPr>
          <w:b/>
          <w:bCs/>
        </w:rPr>
        <w:t>Incident response policies and plans</w:t>
      </w:r>
    </w:p>
    <w:p w14:paraId="65124632" w14:textId="34813DC6" w:rsidR="00C913C5" w:rsidRPr="00C913C5" w:rsidRDefault="00C913C5" w:rsidP="00E46045">
      <w:pPr>
        <w:pStyle w:val="F9-Paragraph"/>
      </w:pPr>
      <w:proofErr w:type="spellStart"/>
      <w:r w:rsidRPr="00C913C5">
        <w:t>Dutyholders</w:t>
      </w:r>
      <w:proofErr w:type="spellEnd"/>
      <w:r w:rsidRPr="00C913C5">
        <w:t xml:space="preserve"> should develop a sound and clear incident response policy</w:t>
      </w:r>
      <w:r w:rsidR="00BA363F">
        <w:t xml:space="preserve"> and supporting documentation</w:t>
      </w:r>
      <w:r w:rsidRPr="00C913C5">
        <w:t xml:space="preserve">. Shaping a workable policy involves creating a set of written principles, rules and processes that act as a guide, setting out the correct actions, responsibilities and practices individuals across the organisation need to adhere to in order to maintain the risk appetite and cyber security posture the company has decided on. </w:t>
      </w:r>
    </w:p>
    <w:p w14:paraId="091BC974" w14:textId="6B7B9BCA" w:rsidR="00C913C5" w:rsidRPr="00C913C5" w:rsidRDefault="00C913C5" w:rsidP="00E46045">
      <w:pPr>
        <w:pStyle w:val="F9-Paragraph"/>
      </w:pPr>
      <w:r w:rsidRPr="00C913C5">
        <w:t xml:space="preserve">Along with creating and maintaining a policy, developing a response plan is one of the very first steps organisations should take in the initial phase of the incident response methodology. An effective response plan should typically prioritise incidents by level of impact on nuclear safety and security as well as the wider business impact, and clearly define the most appropriate actions to deal with them. The 2022 Civil </w:t>
      </w:r>
      <w:r w:rsidR="00E12844">
        <w:t>N</w:t>
      </w:r>
      <w:r w:rsidRPr="00C913C5">
        <w:t xml:space="preserve">uclear </w:t>
      </w:r>
      <w:r w:rsidR="00E12844">
        <w:t>C</w:t>
      </w:r>
      <w:r w:rsidRPr="00C913C5">
        <w:t xml:space="preserve">yber </w:t>
      </w:r>
      <w:r w:rsidR="00E12844">
        <w:t>S</w:t>
      </w:r>
      <w:r w:rsidRPr="00C913C5">
        <w:t xml:space="preserve">ecurity </w:t>
      </w:r>
      <w:r w:rsidR="00E12844">
        <w:t>S</w:t>
      </w:r>
      <w:r w:rsidRPr="00C913C5">
        <w:t xml:space="preserve">trategy </w:t>
      </w:r>
      <w:r w:rsidR="000A30F7">
        <w:t>[</w:t>
      </w:r>
      <w:r w:rsidR="00156610">
        <w:t>2</w:t>
      </w:r>
      <w:r w:rsidR="002A6878">
        <w:t>0</w:t>
      </w:r>
      <w:r w:rsidR="000A30F7">
        <w:t>]</w:t>
      </w:r>
      <w:r w:rsidRPr="00C913C5">
        <w:t xml:space="preserve"> sets out that </w:t>
      </w:r>
      <w:proofErr w:type="spellStart"/>
      <w:r w:rsidRPr="00C913C5">
        <w:t>dutyholders</w:t>
      </w:r>
      <w:proofErr w:type="spellEnd"/>
      <w:r w:rsidRPr="00C913C5">
        <w:t xml:space="preserve"> should ensure that incident response plans are in place for both IT and OT. </w:t>
      </w:r>
      <w:r w:rsidR="009A00E5">
        <w:t xml:space="preserve">This can be one plan detailing both IT and OT or </w:t>
      </w:r>
      <w:r w:rsidR="009A00E5">
        <w:lastRenderedPageBreak/>
        <w:t>two sperate plans</w:t>
      </w:r>
      <w:r w:rsidR="00E12844">
        <w:t xml:space="preserve"> with appropriate interfaces and cross referencing</w:t>
      </w:r>
      <w:r w:rsidR="009A00E5">
        <w:t xml:space="preserve">. </w:t>
      </w:r>
      <w:r w:rsidRPr="00C913C5">
        <w:t xml:space="preserve">There will be different risks associated with information and operational technologies which the </w:t>
      </w:r>
      <w:proofErr w:type="spellStart"/>
      <w:r w:rsidRPr="00C913C5">
        <w:t>dutyholder</w:t>
      </w:r>
      <w:proofErr w:type="spellEnd"/>
      <w:r w:rsidRPr="00C913C5">
        <w:t xml:space="preserve"> must take account of</w:t>
      </w:r>
      <w:r w:rsidR="00E12844">
        <w:t>, and likewise different personnel involved in IR,</w:t>
      </w:r>
      <w:r w:rsidRPr="00C913C5">
        <w:t xml:space="preserve"> therefore requiring a different response.   </w:t>
      </w:r>
    </w:p>
    <w:p w14:paraId="0A0C2017" w14:textId="415D49A2" w:rsidR="00C913C5" w:rsidRPr="00C913C5" w:rsidRDefault="00C913C5" w:rsidP="00E46045">
      <w:pPr>
        <w:pStyle w:val="F9-Paragraph"/>
      </w:pPr>
      <w:r w:rsidRPr="00C913C5">
        <w:t xml:space="preserve">The response plan should determine the CIRT team membership and rotation and should clearly articulate the command and control structure. While IR team membership will vary depending on the </w:t>
      </w:r>
      <w:proofErr w:type="spellStart"/>
      <w:r w:rsidRPr="00C913C5">
        <w:t>dutyholder</w:t>
      </w:r>
      <w:proofErr w:type="spellEnd"/>
      <w:r w:rsidRPr="00C913C5">
        <w:t xml:space="preserve"> expertise the following roles are typical in an incident response: analyst, senior analyst, IR lead and IR manager. Other roles may form part of the team dependent on the incident. In particular, this may include interface with nuclear safety and communications. The size of the team that is stood up should be proportionate to the significance of the event or incident.</w:t>
      </w:r>
      <w:r w:rsidR="00A42CA7">
        <w:t xml:space="preserve"> The </w:t>
      </w:r>
      <w:r w:rsidR="00147E37">
        <w:t>response plan should also detail roles and responsibilities of senior</w:t>
      </w:r>
      <w:r w:rsidR="00F97C43">
        <w:t xml:space="preserve"> leadership.</w:t>
      </w:r>
      <w:r w:rsidR="00147E37">
        <w:t xml:space="preserve"> </w:t>
      </w:r>
    </w:p>
    <w:p w14:paraId="0E37C7A2" w14:textId="60D98522" w:rsidR="00C913C5" w:rsidRPr="00C913C5" w:rsidRDefault="00C913C5" w:rsidP="00E46045">
      <w:pPr>
        <w:pStyle w:val="F9-Paragraph"/>
        <w:rPr>
          <w:iCs/>
        </w:rPr>
      </w:pPr>
      <w:r w:rsidRPr="00C913C5">
        <w:rPr>
          <w:iCs/>
        </w:rPr>
        <w:t xml:space="preserve">ONR TAG </w:t>
      </w:r>
      <w:r w:rsidRPr="00C913C5">
        <w:t xml:space="preserve">CNS-TAST-GD-11.4.2 </w:t>
      </w:r>
      <w:r w:rsidR="00ED0AE3">
        <w:t>[</w:t>
      </w:r>
      <w:r w:rsidR="00CE1B96">
        <w:t>2</w:t>
      </w:r>
      <w:r w:rsidR="002A6878">
        <w:t>1</w:t>
      </w:r>
      <w:r w:rsidR="00ED0AE3">
        <w:t>]</w:t>
      </w:r>
      <w:r w:rsidRPr="00C913C5">
        <w:t xml:space="preserve"> </w:t>
      </w:r>
      <w:r w:rsidRPr="00C913C5">
        <w:rPr>
          <w:iCs/>
        </w:rPr>
        <w:t xml:space="preserve">sets out regulatory expectations for the use of threat information against which the security regime should be designed, evaluated, and tested. </w:t>
      </w:r>
      <w:r w:rsidRPr="00C913C5">
        <w:t xml:space="preserve">Incident response plans should therefore </w:t>
      </w:r>
      <w:r w:rsidRPr="00C913C5">
        <w:rPr>
          <w:iCs/>
        </w:rPr>
        <w:t xml:space="preserve">be informed by threat assessment information from organisations such as the National Cyber Security Centre (NCSC). </w:t>
      </w:r>
    </w:p>
    <w:p w14:paraId="0CF24AF3" w14:textId="77777777" w:rsidR="00C913C5" w:rsidRPr="00C913C5" w:rsidRDefault="00C913C5" w:rsidP="00E46045">
      <w:pPr>
        <w:pStyle w:val="F9-Paragraph"/>
      </w:pPr>
      <w:r w:rsidRPr="00C913C5">
        <w:t>If an incident response retainer exists, knowing when to use internal teams or when to ‘break glass’ and engage an external CIRT provider is essential. This can and should be defined ahead of time and be documented in the incident response policy.</w:t>
      </w:r>
    </w:p>
    <w:p w14:paraId="46320F7D" w14:textId="785E4D55" w:rsidR="00C913C5" w:rsidRPr="00C913C5" w:rsidRDefault="00C913C5" w:rsidP="00E46045">
      <w:pPr>
        <w:pStyle w:val="F9-Paragraph"/>
      </w:pPr>
      <w:r w:rsidRPr="00C913C5">
        <w:t xml:space="preserve">A system of independent testing should be designed and documented within the approved security plan. Independent testing may be performed using methods such as penetration testing, purple team testing, cyber-attack simulation, or a combination thereof. When designing the organisations testing arrangements, the frequency and level of assurance required should be commensurate to the categorisation and classification of the associated assets and system functions, to provide confidence that CPS outcomes can be achieved. Any shortfalls identified in such testing should be logged, risk assessed and if necessary, mitigated in line with risk appetite.  </w:t>
      </w:r>
      <w:r w:rsidR="00635D59">
        <w:t xml:space="preserve">In all instances the frequency and level of assurance should be clearly detailed in the </w:t>
      </w:r>
      <w:proofErr w:type="spellStart"/>
      <w:r w:rsidR="00635D59">
        <w:t>dutyholder’s</w:t>
      </w:r>
      <w:proofErr w:type="spellEnd"/>
      <w:r w:rsidR="00635D59">
        <w:t xml:space="preserve"> security plan.</w:t>
      </w:r>
    </w:p>
    <w:p w14:paraId="098905A1" w14:textId="77777777" w:rsidR="00C913C5" w:rsidRDefault="00C913C5" w:rsidP="00E46045">
      <w:pPr>
        <w:pStyle w:val="F9-Paragraph"/>
      </w:pPr>
      <w:r w:rsidRPr="00C913C5">
        <w:t xml:space="preserve">The </w:t>
      </w:r>
      <w:proofErr w:type="spellStart"/>
      <w:r w:rsidRPr="00C913C5">
        <w:t>dutyholder</w:t>
      </w:r>
      <w:proofErr w:type="spellEnd"/>
      <w:r w:rsidRPr="00C913C5">
        <w:t xml:space="preserve"> should have policies in place whereby a </w:t>
      </w:r>
      <w:proofErr w:type="spellStart"/>
      <w:r w:rsidRPr="00C913C5">
        <w:t>cyber attack</w:t>
      </w:r>
      <w:proofErr w:type="spellEnd"/>
      <w:r w:rsidRPr="00C913C5">
        <w:t xml:space="preserve"> may involve decision making from senior leadership and legal teams. An example would be a ransomware policy so there is no delay in decision making during a live incident. A ransomware policy will allow the </w:t>
      </w:r>
      <w:proofErr w:type="spellStart"/>
      <w:r w:rsidRPr="00C913C5">
        <w:t>dutyholder</w:t>
      </w:r>
      <w:proofErr w:type="spellEnd"/>
      <w:r w:rsidRPr="00C913C5">
        <w:t xml:space="preserve"> to have risk assessed all options should a payment be demanded by the threat actor.  </w:t>
      </w:r>
    </w:p>
    <w:p w14:paraId="68A9B572" w14:textId="77777777" w:rsidR="00C913C5" w:rsidRPr="00C913C5" w:rsidRDefault="00C913C5" w:rsidP="00C913C5">
      <w:pPr>
        <w:pStyle w:val="F9-Paragraph"/>
        <w:numPr>
          <w:ilvl w:val="0"/>
          <w:numId w:val="0"/>
        </w:numPr>
        <w:ind w:left="851"/>
        <w:rPr>
          <w:b/>
          <w:bCs/>
        </w:rPr>
      </w:pPr>
      <w:r w:rsidRPr="00C913C5">
        <w:rPr>
          <w:b/>
          <w:bCs/>
        </w:rPr>
        <w:t>Inspectors should consider</w:t>
      </w:r>
    </w:p>
    <w:p w14:paraId="6D9D6DC0" w14:textId="255CD57D" w:rsidR="00C913C5" w:rsidRPr="00C913C5" w:rsidRDefault="00C913C5" w:rsidP="00E46045">
      <w:pPr>
        <w:pStyle w:val="F9-Paragraph"/>
        <w:numPr>
          <w:ilvl w:val="0"/>
          <w:numId w:val="9"/>
        </w:numPr>
      </w:pPr>
      <w:r w:rsidRPr="00C913C5">
        <w:t xml:space="preserve">Is the incident response plan based on a clear understanding of the security risks to the networks and information </w:t>
      </w:r>
      <w:r w:rsidR="00635D59">
        <w:t xml:space="preserve">(IT/OT) </w:t>
      </w:r>
      <w:r w:rsidRPr="00C913C5">
        <w:t>systems supporting their essential function?</w:t>
      </w:r>
    </w:p>
    <w:p w14:paraId="4B885908" w14:textId="77777777" w:rsidR="00C913C5" w:rsidRDefault="00C913C5" w:rsidP="00E46045">
      <w:pPr>
        <w:pStyle w:val="F9-Paragraph"/>
        <w:numPr>
          <w:ilvl w:val="0"/>
          <w:numId w:val="9"/>
        </w:numPr>
      </w:pPr>
      <w:r w:rsidRPr="00C913C5">
        <w:lastRenderedPageBreak/>
        <w:t>Is the incident response plan comprehensive (i.e. covers the complete lifecycle of an incident, roles and responsibilities, and reporting) and covers likely impacts of both known attack patterns and of possible attacks, previously unseen?</w:t>
      </w:r>
    </w:p>
    <w:p w14:paraId="2535D269" w14:textId="6F4F16BB" w:rsidR="005676FD" w:rsidRPr="00C913C5" w:rsidRDefault="005676FD" w:rsidP="00E46045">
      <w:pPr>
        <w:pStyle w:val="F9-Paragraph"/>
        <w:numPr>
          <w:ilvl w:val="0"/>
          <w:numId w:val="9"/>
        </w:numPr>
      </w:pPr>
      <w:r>
        <w:t xml:space="preserve">Does the incident response plan consider the </w:t>
      </w:r>
      <w:r w:rsidR="00C72071">
        <w:t xml:space="preserve">risk from supply chain and customers </w:t>
      </w:r>
      <w:r w:rsidR="00147254">
        <w:t>and have supporting documentation</w:t>
      </w:r>
      <w:r w:rsidR="00697384">
        <w:t xml:space="preserve"> to deal with </w:t>
      </w:r>
      <w:r w:rsidR="00B458A3">
        <w:t xml:space="preserve">such an incident? </w:t>
      </w:r>
    </w:p>
    <w:p w14:paraId="48CC7287" w14:textId="77777777" w:rsidR="00C913C5" w:rsidRPr="00C913C5" w:rsidRDefault="00C913C5" w:rsidP="00E46045">
      <w:pPr>
        <w:pStyle w:val="F9-Paragraph"/>
        <w:numPr>
          <w:ilvl w:val="0"/>
          <w:numId w:val="9"/>
        </w:numPr>
      </w:pPr>
      <w:r w:rsidRPr="00C913C5">
        <w:t>Does the incident response plan have senior management sponsorship, including the necessary approvals, authorities, and</w:t>
      </w:r>
      <w:r w:rsidRPr="00C913C5">
        <w:rPr>
          <w:b/>
        </w:rPr>
        <w:t xml:space="preserve"> </w:t>
      </w:r>
      <w:r w:rsidRPr="00C913C5">
        <w:t>resources to execute the plan?</w:t>
      </w:r>
    </w:p>
    <w:p w14:paraId="66529116" w14:textId="2B996EDD" w:rsidR="00C913C5" w:rsidRDefault="00C913C5" w:rsidP="00E46045">
      <w:pPr>
        <w:pStyle w:val="F9-Paragraph"/>
        <w:numPr>
          <w:ilvl w:val="0"/>
          <w:numId w:val="9"/>
        </w:numPr>
      </w:pPr>
      <w:r w:rsidRPr="00C913C5">
        <w:t xml:space="preserve">Is there sufficient cover for each IR team role? </w:t>
      </w:r>
    </w:p>
    <w:p w14:paraId="383EE821" w14:textId="4ABBCD55" w:rsidR="00635D59" w:rsidRPr="00C913C5" w:rsidRDefault="00635D59" w:rsidP="00E46045">
      <w:pPr>
        <w:pStyle w:val="F9-Paragraph"/>
        <w:numPr>
          <w:ilvl w:val="0"/>
          <w:numId w:val="9"/>
        </w:numPr>
      </w:pPr>
      <w:r>
        <w:t>Does the plan cover the relevant personnel required to inform the IR team for niche functions, e.g. OT specialists?</w:t>
      </w:r>
    </w:p>
    <w:p w14:paraId="0894F65A" w14:textId="77777777" w:rsidR="00C913C5" w:rsidRPr="00C913C5" w:rsidRDefault="00C913C5" w:rsidP="00E46045">
      <w:pPr>
        <w:pStyle w:val="F9-Paragraph"/>
        <w:numPr>
          <w:ilvl w:val="0"/>
          <w:numId w:val="9"/>
        </w:numPr>
      </w:pPr>
      <w:r w:rsidRPr="00C913C5">
        <w:t>Is the incident response plan documented and integrated with wider organisational business and supply chain response plans?</w:t>
      </w:r>
    </w:p>
    <w:p w14:paraId="55BB89C0" w14:textId="77777777" w:rsidR="00C913C5" w:rsidRPr="00C913C5" w:rsidRDefault="00C913C5" w:rsidP="00E46045">
      <w:pPr>
        <w:pStyle w:val="F9-Paragraph"/>
        <w:numPr>
          <w:ilvl w:val="0"/>
          <w:numId w:val="9"/>
        </w:numPr>
      </w:pPr>
      <w:r w:rsidRPr="00C913C5">
        <w:t>Is the incident response plan communicated and understood by the business areas involved with the operation of their essential functions?</w:t>
      </w:r>
    </w:p>
    <w:p w14:paraId="16A0674A" w14:textId="77777777" w:rsidR="00C913C5" w:rsidRPr="00C913C5" w:rsidRDefault="00C913C5" w:rsidP="00E46045">
      <w:pPr>
        <w:pStyle w:val="F9-Paragraph"/>
        <w:numPr>
          <w:ilvl w:val="0"/>
          <w:numId w:val="9"/>
        </w:numPr>
      </w:pPr>
      <w:r w:rsidRPr="00C913C5">
        <w:t>Are there offline copies of the incident response plan and policies (e.g. in the event of a ransomware incident)?</w:t>
      </w:r>
    </w:p>
    <w:p w14:paraId="22A741E0" w14:textId="396373D8" w:rsidR="00C913C5" w:rsidRPr="00C913C5" w:rsidRDefault="00C913C5" w:rsidP="00E46045">
      <w:pPr>
        <w:pStyle w:val="F9-Paragraph"/>
        <w:numPr>
          <w:ilvl w:val="0"/>
          <w:numId w:val="9"/>
        </w:numPr>
      </w:pPr>
      <w:r w:rsidRPr="00C913C5">
        <w:t>Is the response plan reviewed on a periodic basis</w:t>
      </w:r>
      <w:r w:rsidR="00190C69">
        <w:t xml:space="preserve"> or when there is a significant </w:t>
      </w:r>
      <w:r w:rsidR="00DD487F">
        <w:t>change to the threat landscape?</w:t>
      </w:r>
    </w:p>
    <w:p w14:paraId="0596E680" w14:textId="77777777" w:rsidR="00C913C5" w:rsidRPr="00C913C5" w:rsidRDefault="00C913C5" w:rsidP="00E46045">
      <w:pPr>
        <w:pStyle w:val="F9-Paragraph"/>
        <w:numPr>
          <w:ilvl w:val="0"/>
          <w:numId w:val="9"/>
        </w:numPr>
      </w:pPr>
      <w:r w:rsidRPr="00C913C5">
        <w:t>Are arrangements for engaging external support documented in the incident response policy?</w:t>
      </w:r>
    </w:p>
    <w:p w14:paraId="091571DA" w14:textId="00E01E12" w:rsidR="00C913C5" w:rsidRPr="00C913C5" w:rsidRDefault="00C913C5" w:rsidP="00E46045">
      <w:pPr>
        <w:pStyle w:val="F9-Paragraph"/>
        <w:numPr>
          <w:ilvl w:val="0"/>
          <w:numId w:val="9"/>
        </w:numPr>
      </w:pPr>
      <w:r w:rsidRPr="00C913C5">
        <w:t xml:space="preserve">Are assets </w:t>
      </w:r>
      <w:r w:rsidR="006A44AF">
        <w:t xml:space="preserve">periodically </w:t>
      </w:r>
      <w:r w:rsidRPr="00C913C5">
        <w:t>categorised and/or classified so decisions on containment or isolation can be quickly made during an incident?</w:t>
      </w:r>
    </w:p>
    <w:p w14:paraId="16BD7843" w14:textId="77777777" w:rsidR="00C913C5" w:rsidRPr="00C913C5" w:rsidRDefault="00C913C5" w:rsidP="00E46045">
      <w:pPr>
        <w:pStyle w:val="F9-Paragraph"/>
        <w:numPr>
          <w:ilvl w:val="0"/>
          <w:numId w:val="9"/>
        </w:numPr>
      </w:pPr>
      <w:r w:rsidRPr="00C913C5">
        <w:t xml:space="preserve">Is there regular testing of the environment which simulates a threat actor such as pen testing, purple team testing or attack simulation? </w:t>
      </w:r>
    </w:p>
    <w:p w14:paraId="7DBB616D" w14:textId="77777777" w:rsidR="00C913C5" w:rsidRPr="00C913C5" w:rsidRDefault="00C913C5" w:rsidP="00E46045">
      <w:pPr>
        <w:pStyle w:val="F9-Paragraph"/>
        <w:numPr>
          <w:ilvl w:val="0"/>
          <w:numId w:val="9"/>
        </w:numPr>
      </w:pPr>
      <w:r w:rsidRPr="00C913C5">
        <w:t xml:space="preserve">Is frequency of testing adequately defined in the approved security plan? </w:t>
      </w:r>
    </w:p>
    <w:p w14:paraId="1895908E" w14:textId="4FFA352A" w:rsidR="00C913C5" w:rsidRPr="00C913C5" w:rsidRDefault="00C913C5" w:rsidP="00E46045">
      <w:pPr>
        <w:pStyle w:val="F9-Paragraph"/>
        <w:numPr>
          <w:ilvl w:val="0"/>
          <w:numId w:val="9"/>
        </w:numPr>
      </w:pPr>
      <w:r w:rsidRPr="00C913C5">
        <w:t xml:space="preserve">Is assurance activity of the highest category systems completed at least annually or is appropriate justification provided </w:t>
      </w:r>
      <w:r w:rsidR="00635D59">
        <w:t xml:space="preserve">for alternative frequencies </w:t>
      </w:r>
      <w:r w:rsidRPr="00C913C5">
        <w:t>in the security plan</w:t>
      </w:r>
      <w:r w:rsidR="00635D59">
        <w:t>?</w:t>
      </w:r>
    </w:p>
    <w:p w14:paraId="3CD7581A" w14:textId="57CDF9AC" w:rsidR="00C913C5" w:rsidRDefault="00C913C5" w:rsidP="00E46045">
      <w:pPr>
        <w:pStyle w:val="F9-Paragraph"/>
        <w:numPr>
          <w:ilvl w:val="0"/>
          <w:numId w:val="9"/>
        </w:numPr>
      </w:pPr>
      <w:r w:rsidRPr="00C913C5">
        <w:t xml:space="preserve">Has the </w:t>
      </w:r>
      <w:proofErr w:type="spellStart"/>
      <w:r w:rsidRPr="00C913C5">
        <w:t>dutyholder</w:t>
      </w:r>
      <w:proofErr w:type="spellEnd"/>
      <w:r w:rsidRPr="00C913C5">
        <w:t xml:space="preserve"> considered the guidance or advice from HMG or NCSC with respect to paying ransomware</w:t>
      </w:r>
      <w:r w:rsidR="00635D59">
        <w:t>?</w:t>
      </w:r>
    </w:p>
    <w:p w14:paraId="26A74507" w14:textId="77777777" w:rsidR="00C929E0" w:rsidRPr="00C913C5" w:rsidRDefault="00C929E0" w:rsidP="00C929E0">
      <w:pPr>
        <w:pStyle w:val="F9-Paragraph"/>
        <w:numPr>
          <w:ilvl w:val="0"/>
          <w:numId w:val="0"/>
        </w:numPr>
        <w:ind w:left="1211"/>
      </w:pPr>
    </w:p>
    <w:p w14:paraId="2C5B9FFC" w14:textId="77777777" w:rsidR="00C913C5" w:rsidRPr="00C913C5" w:rsidRDefault="00C913C5" w:rsidP="00C913C5">
      <w:pPr>
        <w:pStyle w:val="F9-Paragraph"/>
        <w:numPr>
          <w:ilvl w:val="0"/>
          <w:numId w:val="0"/>
        </w:numPr>
        <w:ind w:left="851"/>
      </w:pPr>
      <w:r w:rsidRPr="00C913C5">
        <w:rPr>
          <w:b/>
          <w:bCs/>
        </w:rPr>
        <w:t>Incident reporting</w:t>
      </w:r>
    </w:p>
    <w:p w14:paraId="52154569" w14:textId="77777777" w:rsidR="00C913C5" w:rsidRPr="00C913C5" w:rsidRDefault="00C913C5" w:rsidP="00E46045">
      <w:pPr>
        <w:pStyle w:val="F9-Paragraph"/>
      </w:pPr>
      <w:r w:rsidRPr="00C913C5">
        <w:lastRenderedPageBreak/>
        <w:t>A formal cyber incident reporting system for staff and external security researchers aids with the identification of incidents.</w:t>
      </w:r>
    </w:p>
    <w:p w14:paraId="1514B632" w14:textId="77777777" w:rsidR="00C913C5" w:rsidRPr="00C913C5" w:rsidRDefault="00C913C5" w:rsidP="00C913C5">
      <w:pPr>
        <w:pStyle w:val="F9-Paragraph"/>
        <w:numPr>
          <w:ilvl w:val="0"/>
          <w:numId w:val="0"/>
        </w:numPr>
        <w:ind w:left="851"/>
      </w:pPr>
      <w:r w:rsidRPr="00C913C5">
        <w:rPr>
          <w:b/>
        </w:rPr>
        <w:t>Inspectors should consider</w:t>
      </w:r>
      <w:r w:rsidRPr="00C913C5">
        <w:t>:</w:t>
      </w:r>
    </w:p>
    <w:p w14:paraId="569E68F7" w14:textId="77777777" w:rsidR="00C913C5" w:rsidRPr="00C913C5" w:rsidRDefault="00C913C5" w:rsidP="00E46045">
      <w:pPr>
        <w:pStyle w:val="F9-Paragraph"/>
        <w:numPr>
          <w:ilvl w:val="0"/>
          <w:numId w:val="10"/>
        </w:numPr>
      </w:pPr>
      <w:r w:rsidRPr="00C913C5">
        <w:t xml:space="preserve">Does the </w:t>
      </w:r>
      <w:proofErr w:type="spellStart"/>
      <w:r w:rsidRPr="00C913C5">
        <w:t>dutyholder</w:t>
      </w:r>
      <w:proofErr w:type="spellEnd"/>
      <w:r w:rsidRPr="00C913C5">
        <w:t xml:space="preserve"> have a process that details when and how to inform relevant regulatory authorities and how to engage the National Technical Authority?</w:t>
      </w:r>
    </w:p>
    <w:p w14:paraId="7140F7AE" w14:textId="024A00E5" w:rsidR="00C913C5" w:rsidRPr="00C913C5" w:rsidRDefault="00C913C5" w:rsidP="00E46045">
      <w:pPr>
        <w:pStyle w:val="F9-Paragraph"/>
        <w:numPr>
          <w:ilvl w:val="0"/>
          <w:numId w:val="10"/>
        </w:numPr>
      </w:pPr>
      <w:r w:rsidRPr="00C913C5">
        <w:t xml:space="preserve">Do the </w:t>
      </w:r>
      <w:proofErr w:type="spellStart"/>
      <w:r w:rsidRPr="00C913C5">
        <w:t>dutyholder’s</w:t>
      </w:r>
      <w:proofErr w:type="spellEnd"/>
      <w:r w:rsidRPr="00C913C5">
        <w:t xml:space="preserve"> staff know the process to report a suspected cyber security incident?</w:t>
      </w:r>
    </w:p>
    <w:p w14:paraId="646ACE56" w14:textId="77777777" w:rsidR="00C913C5" w:rsidRPr="00C913C5" w:rsidRDefault="00C913C5" w:rsidP="00C913C5">
      <w:pPr>
        <w:pStyle w:val="F9-Paragraph"/>
        <w:numPr>
          <w:ilvl w:val="0"/>
          <w:numId w:val="0"/>
        </w:numPr>
        <w:ind w:left="851"/>
      </w:pPr>
      <w:r w:rsidRPr="00C913C5">
        <w:rPr>
          <w:b/>
          <w:bCs/>
        </w:rPr>
        <w:t>Training</w:t>
      </w:r>
      <w:r w:rsidRPr="00C913C5">
        <w:t xml:space="preserve"> </w:t>
      </w:r>
      <w:r w:rsidRPr="00C913C5">
        <w:rPr>
          <w:b/>
          <w:bCs/>
        </w:rPr>
        <w:t>and exercising</w:t>
      </w:r>
    </w:p>
    <w:p w14:paraId="707AAA75" w14:textId="1313CD0E" w:rsidR="00C913C5" w:rsidRPr="00C913C5" w:rsidRDefault="00C913C5" w:rsidP="00E46045">
      <w:pPr>
        <w:pStyle w:val="F9-Paragraph"/>
      </w:pPr>
      <w:r w:rsidRPr="00C913C5">
        <w:t>Regular practice is essential to staying calm and collected during an incident. Cyber security exercising tests roles and responsibilities of those involved in incident</w:t>
      </w:r>
      <w:r w:rsidR="00C0522A">
        <w:t xml:space="preserve"> response</w:t>
      </w:r>
      <w:r w:rsidRPr="00C913C5">
        <w:t>. It also tests the arrangements in place with third party providers, parent body and other stakeholders. Ongoing cyber security training and information sessions should be a central pillar supporting any cyber security regime.</w:t>
      </w:r>
    </w:p>
    <w:p w14:paraId="2CEA35F4" w14:textId="1576FBF7" w:rsidR="00C913C5" w:rsidRPr="00C913C5" w:rsidRDefault="00C913C5" w:rsidP="00E46045">
      <w:pPr>
        <w:pStyle w:val="F9-Paragraph"/>
      </w:pPr>
      <w:r w:rsidRPr="00C913C5">
        <w:t xml:space="preserve">Training and exercising should not be limited to technical skills; media and Public Relations (PR), privacy and legal all require specific training for an organisation and its people to be ready for an incident. </w:t>
      </w:r>
      <w:proofErr w:type="spellStart"/>
      <w:r w:rsidRPr="00C913C5">
        <w:t>Dutyholder</w:t>
      </w:r>
      <w:proofErr w:type="spellEnd"/>
      <w:r w:rsidRPr="00C913C5">
        <w:t xml:space="preserve"> organisations should also consider incident response retainers to augment their teams where certain skills are hard to find. </w:t>
      </w:r>
      <w:r w:rsidR="002F6829">
        <w:t xml:space="preserve"> Where third parties</w:t>
      </w:r>
      <w:r w:rsidR="00EE2832">
        <w:t>,</w:t>
      </w:r>
      <w:r w:rsidR="002F6829">
        <w:t xml:space="preserve"> parent</w:t>
      </w:r>
      <w:r w:rsidR="00EE2832">
        <w:t xml:space="preserve"> body organisations or other stakeholders are used as part of response efforts their roles and responsibilities should be clearly understood, exercised and documented as part of overall IR arrangements.</w:t>
      </w:r>
    </w:p>
    <w:p w14:paraId="30249766" w14:textId="77777777" w:rsidR="00C913C5" w:rsidRPr="00C913C5" w:rsidRDefault="00C913C5" w:rsidP="00E46045">
      <w:pPr>
        <w:pStyle w:val="F9-Paragraph"/>
      </w:pPr>
      <w:r w:rsidRPr="00C913C5">
        <w:t>Organisations should also periodically involve senior managers and executives in their incident response training and exercises. Although they do not have to participate as frequently as the Incident Response team, it is prudent to have them participate on occasion to ensure they are familiar with their roles and the decisions they would be expected to make during an incident.</w:t>
      </w:r>
    </w:p>
    <w:p w14:paraId="06D10205" w14:textId="77777777" w:rsidR="00C913C5" w:rsidRPr="00C913C5" w:rsidRDefault="00C913C5" w:rsidP="00E46045">
      <w:pPr>
        <w:pStyle w:val="F9-Paragraph"/>
      </w:pPr>
      <w:proofErr w:type="spellStart"/>
      <w:r w:rsidRPr="00C913C5">
        <w:t>Dutyholders</w:t>
      </w:r>
      <w:proofErr w:type="spellEnd"/>
      <w:r w:rsidRPr="00C913C5">
        <w:t xml:space="preserve"> should carry out exercises to test response plans, using past incidents that affected their (and other) organisation, and scenarios that draw on threat intelligence and their risk assessment.</w:t>
      </w:r>
    </w:p>
    <w:p w14:paraId="1B4724C1" w14:textId="77777777" w:rsidR="00C913C5" w:rsidRPr="00C913C5" w:rsidRDefault="00C913C5" w:rsidP="00C913C5">
      <w:pPr>
        <w:pStyle w:val="F9-Paragraph"/>
        <w:numPr>
          <w:ilvl w:val="0"/>
          <w:numId w:val="0"/>
        </w:numPr>
        <w:ind w:left="851"/>
      </w:pPr>
      <w:r w:rsidRPr="00C913C5">
        <w:rPr>
          <w:b/>
        </w:rPr>
        <w:t>Inspectors should consider</w:t>
      </w:r>
      <w:r w:rsidRPr="00C913C5">
        <w:t>:</w:t>
      </w:r>
    </w:p>
    <w:p w14:paraId="1359B6AA" w14:textId="77777777" w:rsidR="00C913C5" w:rsidRPr="00C913C5" w:rsidRDefault="00C913C5" w:rsidP="00E46045">
      <w:pPr>
        <w:pStyle w:val="F9-Paragraph"/>
        <w:numPr>
          <w:ilvl w:val="0"/>
          <w:numId w:val="11"/>
        </w:numPr>
      </w:pPr>
      <w:r w:rsidRPr="00C913C5">
        <w:t xml:space="preserve">Can the </w:t>
      </w:r>
      <w:proofErr w:type="spellStart"/>
      <w:r w:rsidRPr="00C913C5">
        <w:t>dutyholder</w:t>
      </w:r>
      <w:proofErr w:type="spellEnd"/>
      <w:r w:rsidRPr="00C913C5">
        <w:t xml:space="preserve"> evidence that CIRT staff have received recent and relevant response training?  </w:t>
      </w:r>
    </w:p>
    <w:p w14:paraId="73C15439" w14:textId="77777777" w:rsidR="00C913C5" w:rsidRPr="00C913C5" w:rsidRDefault="00C913C5" w:rsidP="00E46045">
      <w:pPr>
        <w:pStyle w:val="F9-Paragraph"/>
        <w:numPr>
          <w:ilvl w:val="0"/>
          <w:numId w:val="11"/>
        </w:numPr>
      </w:pPr>
      <w:r w:rsidRPr="00C913C5">
        <w:t xml:space="preserve">How often is training provided and how often is a training needs analysis conducted? </w:t>
      </w:r>
    </w:p>
    <w:p w14:paraId="5AC8FEF3" w14:textId="77777777" w:rsidR="00C913C5" w:rsidRPr="00C913C5" w:rsidRDefault="00C913C5" w:rsidP="00E46045">
      <w:pPr>
        <w:pStyle w:val="F9-Paragraph"/>
        <w:numPr>
          <w:ilvl w:val="0"/>
          <w:numId w:val="11"/>
        </w:numPr>
      </w:pPr>
      <w:r w:rsidRPr="00C913C5">
        <w:t xml:space="preserve">Are the </w:t>
      </w:r>
      <w:proofErr w:type="spellStart"/>
      <w:r w:rsidRPr="00C913C5">
        <w:t>dutyholder’s</w:t>
      </w:r>
      <w:proofErr w:type="spellEnd"/>
      <w:r w:rsidRPr="00C913C5">
        <w:t xml:space="preserve"> exercise scenarios based on experience and/or composed using relevant threat intelligence?</w:t>
      </w:r>
    </w:p>
    <w:p w14:paraId="6BE98E03" w14:textId="77777777" w:rsidR="00C913C5" w:rsidRPr="00C913C5" w:rsidRDefault="00C913C5" w:rsidP="00E46045">
      <w:pPr>
        <w:pStyle w:val="F9-Paragraph"/>
        <w:numPr>
          <w:ilvl w:val="0"/>
          <w:numId w:val="11"/>
        </w:numPr>
      </w:pPr>
      <w:r w:rsidRPr="00C913C5">
        <w:lastRenderedPageBreak/>
        <w:t>Are exercise scenarios documented, regularly reviewed, and validated?</w:t>
      </w:r>
    </w:p>
    <w:p w14:paraId="79F9EBD8" w14:textId="77777777" w:rsidR="00C913C5" w:rsidRPr="00C913C5" w:rsidRDefault="00C913C5" w:rsidP="00E46045">
      <w:pPr>
        <w:pStyle w:val="F9-Paragraph"/>
        <w:numPr>
          <w:ilvl w:val="0"/>
          <w:numId w:val="11"/>
        </w:numPr>
        <w:rPr>
          <w:b/>
        </w:rPr>
      </w:pPr>
      <w:r w:rsidRPr="00C913C5">
        <w:t xml:space="preserve">Does the </w:t>
      </w:r>
      <w:proofErr w:type="spellStart"/>
      <w:r w:rsidRPr="00C913C5">
        <w:t>dutyholder</w:t>
      </w:r>
      <w:proofErr w:type="spellEnd"/>
      <w:r w:rsidRPr="00C913C5">
        <w:t xml:space="preserve"> ensure that exercises are routinely run, with the findings documented and used to refine incident response plans and protective security, in line with the lessons learnt?</w:t>
      </w:r>
    </w:p>
    <w:p w14:paraId="03D9A6E6" w14:textId="77777777" w:rsidR="00C913C5" w:rsidRPr="003514D0" w:rsidRDefault="00C913C5" w:rsidP="00E46045">
      <w:pPr>
        <w:pStyle w:val="F9-Paragraph"/>
        <w:numPr>
          <w:ilvl w:val="0"/>
          <w:numId w:val="11"/>
        </w:numPr>
        <w:rPr>
          <w:b/>
        </w:rPr>
      </w:pPr>
      <w:r w:rsidRPr="00C913C5">
        <w:t xml:space="preserve">Do the </w:t>
      </w:r>
      <w:proofErr w:type="spellStart"/>
      <w:r w:rsidRPr="00C913C5">
        <w:t>dutyholder’s</w:t>
      </w:r>
      <w:proofErr w:type="spellEnd"/>
      <w:r w:rsidRPr="00C913C5">
        <w:t xml:space="preserve"> exercises test all parts of their response cycle relating to their essential functions (e.g. Restoration of normal function levels)?</w:t>
      </w:r>
    </w:p>
    <w:p w14:paraId="1D0D0ECB" w14:textId="47891499" w:rsidR="00201B4D" w:rsidRPr="00C913C5" w:rsidRDefault="00B6359C" w:rsidP="00E46045">
      <w:pPr>
        <w:pStyle w:val="F9-Paragraph"/>
        <w:numPr>
          <w:ilvl w:val="0"/>
          <w:numId w:val="11"/>
        </w:numPr>
        <w:rPr>
          <w:b/>
        </w:rPr>
      </w:pPr>
      <w:r>
        <w:t>Are</w:t>
      </w:r>
      <w:r w:rsidR="00201B4D">
        <w:t xml:space="preserve"> third part</w:t>
      </w:r>
      <w:r>
        <w:t>y</w:t>
      </w:r>
      <w:r w:rsidR="00201B4D">
        <w:t xml:space="preserve">, parent body organisations </w:t>
      </w:r>
      <w:r>
        <w:t>and</w:t>
      </w:r>
      <w:r w:rsidR="00201B4D">
        <w:t xml:space="preserve"> other stakeholder</w:t>
      </w:r>
      <w:r>
        <w:t>s</w:t>
      </w:r>
      <w:r w:rsidR="00201B4D">
        <w:t xml:space="preserve"> roles and responsibilities clearly understood, exercised and documented</w:t>
      </w:r>
      <w:r>
        <w:t>?</w:t>
      </w:r>
    </w:p>
    <w:p w14:paraId="4FE4688C" w14:textId="77777777" w:rsidR="00C913C5" w:rsidRPr="00C913C5" w:rsidRDefault="00C913C5" w:rsidP="00E46045">
      <w:pPr>
        <w:pStyle w:val="F9-Paragraph"/>
        <w:numPr>
          <w:ilvl w:val="0"/>
          <w:numId w:val="11"/>
        </w:numPr>
        <w:rPr>
          <w:b/>
        </w:rPr>
      </w:pPr>
      <w:r w:rsidRPr="00C913C5">
        <w:t xml:space="preserve">Does the </w:t>
      </w:r>
      <w:proofErr w:type="spellStart"/>
      <w:r w:rsidRPr="00C913C5">
        <w:t>dutyholder</w:t>
      </w:r>
      <w:proofErr w:type="spellEnd"/>
      <w:r w:rsidRPr="00C913C5">
        <w:t xml:space="preserve"> have a schedule for cyber exercising and have they invited the inspector to observe? </w:t>
      </w:r>
    </w:p>
    <w:p w14:paraId="088B9609" w14:textId="7EF331DB" w:rsidR="00C913C5" w:rsidRPr="00C913C5" w:rsidRDefault="001F0C07" w:rsidP="00C913C5">
      <w:pPr>
        <w:pStyle w:val="F9-Paragraph"/>
        <w:numPr>
          <w:ilvl w:val="0"/>
          <w:numId w:val="0"/>
        </w:numPr>
        <w:ind w:left="851"/>
      </w:pPr>
      <w:r>
        <w:rPr>
          <w:b/>
          <w:bCs/>
        </w:rPr>
        <w:t xml:space="preserve">Digital Forensic investigation </w:t>
      </w:r>
      <w:r w:rsidR="00C913C5" w:rsidRPr="00C913C5">
        <w:rPr>
          <w:b/>
          <w:bCs/>
        </w:rPr>
        <w:t>Tooling</w:t>
      </w:r>
    </w:p>
    <w:p w14:paraId="6E077C35" w14:textId="57E63E34" w:rsidR="00C913C5" w:rsidRPr="00C913C5" w:rsidRDefault="00C913C5" w:rsidP="00E46045">
      <w:pPr>
        <w:pStyle w:val="F9-Paragraph"/>
      </w:pPr>
      <w:r w:rsidRPr="00C913C5">
        <w:t xml:space="preserve">Ensuring the response team </w:t>
      </w:r>
      <w:r w:rsidR="007C7F7F">
        <w:t xml:space="preserve">or third party </w:t>
      </w:r>
      <w:r w:rsidRPr="00C913C5">
        <w:t>has the appropriate hardware, software and licensing is essential. These elements will likely involve a mixture of open source and licensed software, such as forensic tools, memory analysis, log parsers, scripts to interact with cloud services and something to generate a timeline. All tooling should have the appropriate hours of training invested.</w:t>
      </w:r>
      <w:r w:rsidR="003C55DF">
        <w:t xml:space="preserve"> Law enforcement may perform this role for </w:t>
      </w:r>
      <w:r w:rsidR="007C40D2">
        <w:t xml:space="preserve">criminal cases. </w:t>
      </w:r>
    </w:p>
    <w:p w14:paraId="47730603" w14:textId="7CEA9272" w:rsidR="00625C91" w:rsidRDefault="00985EFA" w:rsidP="00625C91">
      <w:pPr>
        <w:pStyle w:val="F9-Paragraph"/>
      </w:pPr>
      <w:r>
        <w:t xml:space="preserve">Examples of </w:t>
      </w:r>
      <w:r w:rsidR="00C913C5" w:rsidRPr="00017C47">
        <w:t>hardware can include USB hard drives, up-to-date anti-malware applications, write blocker devices, evidence bags, and an appropriate secure storage location to maintain the chain of custody. More specialised equipment can be employed for specific cases. This might include Field Programmable Gate Arrays (FPGA)-based devices that may be used together with Direct Memory Access (DMA) attack toolkits.</w:t>
      </w:r>
    </w:p>
    <w:p w14:paraId="7954410C" w14:textId="77777777" w:rsidR="00C913C5" w:rsidRPr="00C913C5" w:rsidRDefault="00C913C5" w:rsidP="00C913C5">
      <w:pPr>
        <w:pStyle w:val="F9-Paragraph"/>
        <w:numPr>
          <w:ilvl w:val="0"/>
          <w:numId w:val="0"/>
        </w:numPr>
        <w:ind w:left="851"/>
      </w:pPr>
      <w:r w:rsidRPr="00C913C5">
        <w:rPr>
          <w:b/>
          <w:bCs/>
        </w:rPr>
        <w:t>Inspectors should consider</w:t>
      </w:r>
      <w:r w:rsidRPr="00C913C5">
        <w:t>:</w:t>
      </w:r>
    </w:p>
    <w:p w14:paraId="305061FF" w14:textId="569507EF" w:rsidR="00C913C5" w:rsidRPr="00C913C5" w:rsidRDefault="00C913C5" w:rsidP="00E46045">
      <w:pPr>
        <w:pStyle w:val="F9-Paragraph"/>
        <w:numPr>
          <w:ilvl w:val="0"/>
          <w:numId w:val="12"/>
        </w:numPr>
        <w:rPr>
          <w:b/>
        </w:rPr>
      </w:pPr>
      <w:r w:rsidRPr="00C913C5">
        <w:t xml:space="preserve">Has the </w:t>
      </w:r>
      <w:proofErr w:type="spellStart"/>
      <w:r w:rsidRPr="00C913C5">
        <w:t>dutyholder</w:t>
      </w:r>
      <w:proofErr w:type="spellEnd"/>
      <w:r w:rsidRPr="00C913C5">
        <w:t xml:space="preserve"> identified </w:t>
      </w:r>
      <w:r w:rsidR="00A46B8F">
        <w:t xml:space="preserve">digital forensic </w:t>
      </w:r>
      <w:r w:rsidRPr="00C913C5">
        <w:t xml:space="preserve">tools needed for use in a computer security incident response and ensured their availability? </w:t>
      </w:r>
    </w:p>
    <w:p w14:paraId="16CC3833" w14:textId="71972ABC" w:rsidR="00C913C5" w:rsidRPr="00C913C5" w:rsidRDefault="00C913C5" w:rsidP="00E46045">
      <w:pPr>
        <w:pStyle w:val="F9-Paragraph"/>
        <w:numPr>
          <w:ilvl w:val="0"/>
          <w:numId w:val="12"/>
        </w:numPr>
        <w:rPr>
          <w:b/>
        </w:rPr>
      </w:pPr>
      <w:r w:rsidRPr="00C913C5">
        <w:t xml:space="preserve">Are </w:t>
      </w:r>
      <w:r w:rsidR="00AC6B0F">
        <w:t xml:space="preserve">digital forensic </w:t>
      </w:r>
      <w:r w:rsidRPr="00C913C5">
        <w:t>tools and supplies audited on a periodic basis to ensure kits are up to date and complete?</w:t>
      </w:r>
    </w:p>
    <w:p w14:paraId="3394B7B9" w14:textId="1C802682" w:rsidR="00C913C5" w:rsidRPr="00C913C5" w:rsidRDefault="00C913C5" w:rsidP="00E46045">
      <w:pPr>
        <w:pStyle w:val="F9-Paragraph"/>
        <w:numPr>
          <w:ilvl w:val="0"/>
          <w:numId w:val="12"/>
        </w:numPr>
        <w:rPr>
          <w:b/>
        </w:rPr>
      </w:pPr>
      <w:r w:rsidRPr="00C913C5">
        <w:t xml:space="preserve">Are </w:t>
      </w:r>
      <w:r w:rsidR="00132CC4">
        <w:t xml:space="preserve">digital forensic </w:t>
      </w:r>
      <w:r w:rsidRPr="00C913C5">
        <w:t>tools and supplies refreshed after use?</w:t>
      </w:r>
    </w:p>
    <w:p w14:paraId="6B58FAB6" w14:textId="77777777" w:rsidR="00C913C5" w:rsidRPr="00C913C5" w:rsidRDefault="00C913C5" w:rsidP="00E46045">
      <w:pPr>
        <w:pStyle w:val="F9-Paragraph"/>
        <w:numPr>
          <w:ilvl w:val="0"/>
          <w:numId w:val="12"/>
        </w:numPr>
        <w:rPr>
          <w:b/>
        </w:rPr>
      </w:pPr>
      <w:r w:rsidRPr="00C913C5">
        <w:t xml:space="preserve">Do incident response tools and supplies include an incident journal, evidence forms, evidence bags etc? </w:t>
      </w:r>
    </w:p>
    <w:p w14:paraId="4F971566" w14:textId="095D6A1D" w:rsidR="00C913C5" w:rsidRPr="00625C91" w:rsidRDefault="00C913C5" w:rsidP="00E46045">
      <w:pPr>
        <w:pStyle w:val="F9-Paragraph"/>
        <w:numPr>
          <w:ilvl w:val="0"/>
          <w:numId w:val="12"/>
        </w:numPr>
        <w:rPr>
          <w:b/>
        </w:rPr>
      </w:pPr>
      <w:r w:rsidRPr="00C913C5">
        <w:t xml:space="preserve">Has the </w:t>
      </w:r>
      <w:proofErr w:type="spellStart"/>
      <w:r w:rsidRPr="00C913C5">
        <w:t>dutyholder</w:t>
      </w:r>
      <w:proofErr w:type="spellEnd"/>
      <w:r w:rsidRPr="00C913C5">
        <w:t xml:space="preserve"> performed the appropriate assurance activities (e.g. audit) for the </w:t>
      </w:r>
      <w:r w:rsidR="006624CD">
        <w:t>digital forensic</w:t>
      </w:r>
      <w:r w:rsidRPr="00C913C5">
        <w:t xml:space="preserve"> tools held by the third party?</w:t>
      </w:r>
    </w:p>
    <w:p w14:paraId="1D68B3AA" w14:textId="1933403D" w:rsidR="00625C91" w:rsidRPr="00C913C5" w:rsidRDefault="00B56196" w:rsidP="00E46045">
      <w:pPr>
        <w:pStyle w:val="F9-Paragraph"/>
        <w:numPr>
          <w:ilvl w:val="0"/>
          <w:numId w:val="12"/>
        </w:numPr>
        <w:rPr>
          <w:b/>
        </w:rPr>
      </w:pPr>
      <w:r>
        <w:t xml:space="preserve">Has the </w:t>
      </w:r>
      <w:proofErr w:type="spellStart"/>
      <w:r>
        <w:t>dutyholder</w:t>
      </w:r>
      <w:proofErr w:type="spellEnd"/>
      <w:r>
        <w:t xml:space="preserve"> considered when law enforcement </w:t>
      </w:r>
      <w:r w:rsidR="001D69B9">
        <w:t xml:space="preserve">would be contacted and </w:t>
      </w:r>
      <w:r w:rsidR="003C55DF">
        <w:t>is this recorded in relevant procedures</w:t>
      </w:r>
      <w:r w:rsidR="009C31A1">
        <w:t>?</w:t>
      </w:r>
    </w:p>
    <w:p w14:paraId="721CB880" w14:textId="77777777" w:rsidR="00C913C5" w:rsidRPr="00C913C5" w:rsidRDefault="00C913C5" w:rsidP="008B76E2">
      <w:pPr>
        <w:pStyle w:val="F9-Paragraph"/>
        <w:numPr>
          <w:ilvl w:val="0"/>
          <w:numId w:val="0"/>
        </w:numPr>
        <w:ind w:left="851"/>
      </w:pPr>
      <w:r w:rsidRPr="00C913C5">
        <w:rPr>
          <w:b/>
          <w:bCs/>
        </w:rPr>
        <w:lastRenderedPageBreak/>
        <w:t>Communication</w:t>
      </w:r>
    </w:p>
    <w:p w14:paraId="52DF0D85" w14:textId="749DD9AE" w:rsidR="00C913C5" w:rsidRPr="00C913C5" w:rsidRDefault="00C913C5" w:rsidP="00E46045">
      <w:pPr>
        <w:pStyle w:val="F9-Paragraph"/>
      </w:pPr>
      <w:r w:rsidRPr="00C913C5">
        <w:t xml:space="preserve">There are </w:t>
      </w:r>
      <w:r w:rsidR="007D775D">
        <w:t xml:space="preserve">a number of different types </w:t>
      </w:r>
      <w:r w:rsidRPr="00C913C5">
        <w:t>of communication that are important in the event of a cyber incident</w:t>
      </w:r>
      <w:r w:rsidR="00D6713C">
        <w:t xml:space="preserve">. All should be </w:t>
      </w:r>
      <w:r w:rsidRPr="00C913C5">
        <w:t xml:space="preserve">included in a communications plan. Internal communication processes are essential to handling the incident itself. IR teams need a secure communication capability that cannot be monitored by an attacker or insider. </w:t>
      </w:r>
      <w:r w:rsidR="007640B1">
        <w:t xml:space="preserve">External communication plan for </w:t>
      </w:r>
      <w:r w:rsidR="00EA4789">
        <w:t>communicating the incident</w:t>
      </w:r>
      <w:r w:rsidR="00000005">
        <w:t xml:space="preserve"> to external agencies, </w:t>
      </w:r>
      <w:r w:rsidR="00813B38">
        <w:t xml:space="preserve">supply chain, customers etc. </w:t>
      </w:r>
      <w:r w:rsidRPr="00C913C5">
        <w:t xml:space="preserve">For example, everyone on the IR team should have a </w:t>
      </w:r>
      <w:r w:rsidR="00824671">
        <w:t xml:space="preserve">work </w:t>
      </w:r>
      <w:r w:rsidRPr="00C913C5">
        <w:t>mobile phone and a secondary external email account. The IR team should know the correct people within the business to help triage an incident.</w:t>
      </w:r>
    </w:p>
    <w:p w14:paraId="52168D71" w14:textId="77777777" w:rsidR="00C913C5" w:rsidRPr="00C913C5" w:rsidRDefault="00C913C5" w:rsidP="00E46045">
      <w:pPr>
        <w:pStyle w:val="F9-Paragraph"/>
      </w:pPr>
      <w:r w:rsidRPr="00C913C5">
        <w:t>External activities such as public relations require clear and timely communications. Dealing with media enquiries requires experience and should be limited to those with proper training. Any staff with public relations responsibilities should have appropriate crisis training.</w:t>
      </w:r>
    </w:p>
    <w:p w14:paraId="30CE535A" w14:textId="77777777" w:rsidR="00C913C5" w:rsidRPr="00C913C5" w:rsidRDefault="00C913C5" w:rsidP="00C913C5">
      <w:pPr>
        <w:pStyle w:val="F9-Paragraph"/>
        <w:numPr>
          <w:ilvl w:val="0"/>
          <w:numId w:val="0"/>
        </w:numPr>
        <w:ind w:left="851"/>
      </w:pPr>
      <w:r w:rsidRPr="00C913C5">
        <w:rPr>
          <w:b/>
          <w:bCs/>
        </w:rPr>
        <w:t>Inspectors should consider</w:t>
      </w:r>
      <w:r w:rsidRPr="00C913C5">
        <w:t>:</w:t>
      </w:r>
    </w:p>
    <w:p w14:paraId="766062A2" w14:textId="77777777" w:rsidR="00C913C5" w:rsidRPr="00C913C5" w:rsidRDefault="00C913C5" w:rsidP="00E46045">
      <w:pPr>
        <w:pStyle w:val="F9-Paragraph"/>
        <w:numPr>
          <w:ilvl w:val="0"/>
          <w:numId w:val="13"/>
        </w:numPr>
      </w:pPr>
      <w:r w:rsidRPr="00C913C5">
        <w:t>Has an out-of-band communications capability been established?</w:t>
      </w:r>
    </w:p>
    <w:p w14:paraId="6AB4D0DE" w14:textId="77777777" w:rsidR="00C913C5" w:rsidRPr="00C913C5" w:rsidRDefault="00C913C5" w:rsidP="00E46045">
      <w:pPr>
        <w:pStyle w:val="F9-Paragraph"/>
        <w:numPr>
          <w:ilvl w:val="0"/>
          <w:numId w:val="13"/>
        </w:numPr>
      </w:pPr>
      <w:r w:rsidRPr="00C913C5">
        <w:t>Have internal and external communications plans been established?</w:t>
      </w:r>
    </w:p>
    <w:p w14:paraId="4C0C1E5A" w14:textId="1D311461" w:rsidR="00C913C5" w:rsidRPr="00C913C5" w:rsidRDefault="00C913C5" w:rsidP="00E46045">
      <w:pPr>
        <w:pStyle w:val="F9-Paragraph"/>
        <w:numPr>
          <w:ilvl w:val="0"/>
          <w:numId w:val="13"/>
        </w:numPr>
      </w:pPr>
      <w:r w:rsidRPr="00C913C5">
        <w:t xml:space="preserve">Does the </w:t>
      </w:r>
      <w:proofErr w:type="spellStart"/>
      <w:r w:rsidRPr="00C913C5">
        <w:t>dutyholder</w:t>
      </w:r>
      <w:proofErr w:type="spellEnd"/>
      <w:r w:rsidRPr="00C913C5">
        <w:t xml:space="preserve"> have a mechanism for sharing a journal of the incident status?</w:t>
      </w:r>
    </w:p>
    <w:p w14:paraId="07F54EF8" w14:textId="77777777" w:rsidR="00C913C5" w:rsidRPr="00C913C5" w:rsidRDefault="00C913C5" w:rsidP="00C913C5">
      <w:pPr>
        <w:pStyle w:val="F9-Paragraph"/>
        <w:numPr>
          <w:ilvl w:val="0"/>
          <w:numId w:val="0"/>
        </w:numPr>
        <w:ind w:left="851"/>
      </w:pPr>
      <w:r w:rsidRPr="00C913C5">
        <w:rPr>
          <w:b/>
          <w:bCs/>
        </w:rPr>
        <w:t>Environment preparation</w:t>
      </w:r>
    </w:p>
    <w:p w14:paraId="0795C351" w14:textId="77777777" w:rsidR="006055CB" w:rsidRPr="00C913C5" w:rsidRDefault="006055CB" w:rsidP="006055CB">
      <w:pPr>
        <w:pStyle w:val="F9-Paragraph"/>
      </w:pPr>
      <w:r w:rsidRPr="00C913C5">
        <w:t xml:space="preserve">An incident journal to track the who, what, where, when and why of an incident can aid with internal communication of incident status and later review as part of lessons learnt. </w:t>
      </w:r>
    </w:p>
    <w:p w14:paraId="68E345A0" w14:textId="77777777" w:rsidR="00C913C5" w:rsidRPr="00C913C5" w:rsidRDefault="00C913C5" w:rsidP="00E46045">
      <w:pPr>
        <w:pStyle w:val="F9-Paragraph"/>
      </w:pPr>
      <w:r w:rsidRPr="00C913C5">
        <w:t xml:space="preserve">There are several technical measures that can be established ahead of time that will support and facilitate efficient and timely incident resolution. Examples include, but not limited to, ensuring Network Time Protocol (NTP) is enabled for all networked devices, appropriate network segregation is in place to aid the containment phase and network redundancy for the recovery phase.  </w:t>
      </w:r>
    </w:p>
    <w:p w14:paraId="71F2FA8A" w14:textId="77777777" w:rsidR="00C913C5" w:rsidRPr="00C913C5" w:rsidRDefault="00C913C5" w:rsidP="00E46045">
      <w:pPr>
        <w:pStyle w:val="F9-Paragraph"/>
      </w:pPr>
      <w:r w:rsidRPr="00C913C5">
        <w:t>A protected logging aggregation point that has multiple terabytes of storage should be established. All systems should be instrumented to detect an incident and report both locally and to the central server.</w:t>
      </w:r>
    </w:p>
    <w:p w14:paraId="11828429" w14:textId="72ECAE11" w:rsidR="00C913C5" w:rsidRPr="00C913C5" w:rsidRDefault="00C913C5" w:rsidP="00E46045">
      <w:pPr>
        <w:pStyle w:val="F9-Paragraph"/>
      </w:pPr>
      <w:r w:rsidRPr="00C913C5">
        <w:t xml:space="preserve">An accurate asset inventory is essential for IR teams to receive timely information about the assets on the network, such as operating system patch level, purpose, app usage, configuration, backup status, </w:t>
      </w:r>
      <w:r w:rsidR="001C3C15">
        <w:t>c</w:t>
      </w:r>
      <w:r w:rsidRPr="00C913C5">
        <w:t xml:space="preserve">riticality/importance, access rules and other key data. Ownership for all generic, shared service and system accounts should be established ahead of time. </w:t>
      </w:r>
    </w:p>
    <w:p w14:paraId="5714CE78" w14:textId="77777777" w:rsidR="00C913C5" w:rsidRPr="00C913C5" w:rsidRDefault="00C913C5" w:rsidP="00C913C5">
      <w:pPr>
        <w:pStyle w:val="F9-Paragraph"/>
        <w:numPr>
          <w:ilvl w:val="0"/>
          <w:numId w:val="0"/>
        </w:numPr>
        <w:ind w:left="851"/>
      </w:pPr>
      <w:r w:rsidRPr="00C913C5">
        <w:rPr>
          <w:b/>
          <w:bCs/>
        </w:rPr>
        <w:t>Inspectors should consider</w:t>
      </w:r>
      <w:r w:rsidRPr="00C913C5">
        <w:t>:</w:t>
      </w:r>
    </w:p>
    <w:p w14:paraId="5441A690" w14:textId="77777777" w:rsidR="00C913C5" w:rsidRPr="00C913C5" w:rsidRDefault="00C913C5" w:rsidP="00E46045">
      <w:pPr>
        <w:pStyle w:val="F9-Paragraph"/>
        <w:numPr>
          <w:ilvl w:val="0"/>
          <w:numId w:val="14"/>
        </w:numPr>
      </w:pPr>
      <w:r w:rsidRPr="00C913C5">
        <w:lastRenderedPageBreak/>
        <w:t xml:space="preserve">Can the </w:t>
      </w:r>
      <w:proofErr w:type="spellStart"/>
      <w:r w:rsidRPr="00C913C5">
        <w:t>dutyholder</w:t>
      </w:r>
      <w:proofErr w:type="spellEnd"/>
      <w:r w:rsidRPr="00C913C5">
        <w:t xml:space="preserve"> identify the data, personnel, software applications, devices, systems, and facilities that enable the organisation to achieve business purposes and are managed consistent with their relative importance to organisational objectives and risk strategy?</w:t>
      </w:r>
    </w:p>
    <w:p w14:paraId="759FBB66" w14:textId="423364DE" w:rsidR="00C913C5" w:rsidRPr="00C913C5" w:rsidRDefault="00C913C5" w:rsidP="00E46045">
      <w:pPr>
        <w:pStyle w:val="F9-Paragraph"/>
        <w:numPr>
          <w:ilvl w:val="0"/>
          <w:numId w:val="14"/>
        </w:numPr>
      </w:pPr>
      <w:r w:rsidRPr="00C913C5">
        <w:t>Has a central logging capability been established, are networked systems instrumented to detect an incident and are they configured to report locally and to the central server</w:t>
      </w:r>
      <w:r w:rsidR="0094297F">
        <w:t xml:space="preserve"> and is the logging capability resilient</w:t>
      </w:r>
      <w:r w:rsidRPr="00C913C5">
        <w:t>?</w:t>
      </w:r>
    </w:p>
    <w:p w14:paraId="0BE53723" w14:textId="22CEC6E1" w:rsidR="00C913C5" w:rsidRPr="00C913C5" w:rsidRDefault="00C913C5" w:rsidP="00E46045">
      <w:pPr>
        <w:pStyle w:val="F9-Paragraph"/>
        <w:numPr>
          <w:ilvl w:val="0"/>
          <w:numId w:val="14"/>
        </w:numPr>
      </w:pPr>
      <w:r w:rsidRPr="00C913C5">
        <w:t>Is NTP enabled on all networked devices, synchronised across the estate and, in the corporate environment, are all windows clients synchronised with A</w:t>
      </w:r>
      <w:r w:rsidR="00EF0CF7">
        <w:t xml:space="preserve">ctive </w:t>
      </w:r>
      <w:r w:rsidRPr="00C913C5">
        <w:t>D</w:t>
      </w:r>
      <w:r w:rsidR="00EF0CF7">
        <w:t>irectory</w:t>
      </w:r>
      <w:r w:rsidRPr="00C913C5">
        <w:t xml:space="preserve">? </w:t>
      </w:r>
    </w:p>
    <w:p w14:paraId="7380EF96" w14:textId="77777777" w:rsidR="00C913C5" w:rsidRPr="00C913C5" w:rsidRDefault="00C913C5" w:rsidP="00E46045">
      <w:pPr>
        <w:pStyle w:val="F9-Paragraph"/>
        <w:numPr>
          <w:ilvl w:val="0"/>
          <w:numId w:val="14"/>
        </w:numPr>
      </w:pPr>
      <w:r w:rsidRPr="00C913C5">
        <w:t>Have potential key decisions been identified and worked through in advance, for example, have system changes that may need to be made during an incident been pre-negotiated?</w:t>
      </w:r>
    </w:p>
    <w:p w14:paraId="34743E56" w14:textId="77777777" w:rsidR="00C913C5" w:rsidRPr="00C913C5" w:rsidRDefault="00C913C5" w:rsidP="00E46045">
      <w:pPr>
        <w:pStyle w:val="F9-Paragraph"/>
        <w:numPr>
          <w:ilvl w:val="0"/>
          <w:numId w:val="14"/>
        </w:numPr>
      </w:pPr>
      <w:r w:rsidRPr="00C913C5">
        <w:t>Is there an accurate asset inventory and has ownership of all generic, shared, service and system accounts been established?</w:t>
      </w:r>
    </w:p>
    <w:p w14:paraId="6A8831FF" w14:textId="77777777" w:rsidR="00C913C5" w:rsidRPr="00C913C5" w:rsidRDefault="00C913C5" w:rsidP="00C913C5">
      <w:pPr>
        <w:pStyle w:val="F9-Paragraph"/>
        <w:numPr>
          <w:ilvl w:val="0"/>
          <w:numId w:val="0"/>
        </w:numPr>
        <w:ind w:left="851"/>
      </w:pPr>
      <w:r w:rsidRPr="00C913C5">
        <w:rPr>
          <w:b/>
          <w:bCs/>
        </w:rPr>
        <w:t>Response and recovery capability</w:t>
      </w:r>
    </w:p>
    <w:p w14:paraId="05F2EBCA" w14:textId="79879378" w:rsidR="00C913C5" w:rsidRPr="00C913C5" w:rsidRDefault="00C913C5" w:rsidP="00E46045">
      <w:pPr>
        <w:pStyle w:val="F9-Paragraph"/>
      </w:pPr>
      <w:proofErr w:type="spellStart"/>
      <w:r w:rsidRPr="00C913C5">
        <w:t>Dutyholders</w:t>
      </w:r>
      <w:proofErr w:type="spellEnd"/>
      <w:r w:rsidRPr="00C913C5">
        <w:t xml:space="preserve"> should have the capability </w:t>
      </w:r>
      <w:r w:rsidR="001F636C">
        <w:t xml:space="preserve">and resources </w:t>
      </w:r>
      <w:r w:rsidRPr="00C913C5">
        <w:t>to enact their incident response plan, including effective limitation of impact on the operation of their essential function. During an incident, they should have access to timely information on which to base their response decisions.</w:t>
      </w:r>
    </w:p>
    <w:p w14:paraId="534C6A4A" w14:textId="77777777" w:rsidR="00C913C5" w:rsidRPr="00C913C5" w:rsidRDefault="00C913C5" w:rsidP="00C913C5">
      <w:pPr>
        <w:pStyle w:val="F9-Paragraph"/>
        <w:numPr>
          <w:ilvl w:val="0"/>
          <w:numId w:val="0"/>
        </w:numPr>
        <w:ind w:left="851"/>
      </w:pPr>
      <w:r w:rsidRPr="00C913C5">
        <w:rPr>
          <w:b/>
        </w:rPr>
        <w:t>Inspectors should consider</w:t>
      </w:r>
      <w:r w:rsidRPr="00C913C5">
        <w:t>:</w:t>
      </w:r>
    </w:p>
    <w:p w14:paraId="359684C8" w14:textId="77777777" w:rsidR="00C913C5" w:rsidRPr="00C913C5" w:rsidRDefault="00C913C5" w:rsidP="00E46045">
      <w:pPr>
        <w:pStyle w:val="F9-Paragraph"/>
        <w:numPr>
          <w:ilvl w:val="0"/>
          <w:numId w:val="15"/>
        </w:numPr>
      </w:pPr>
      <w:r w:rsidRPr="00C913C5">
        <w:t xml:space="preserve">Does the </w:t>
      </w:r>
      <w:proofErr w:type="spellStart"/>
      <w:r w:rsidRPr="00C913C5">
        <w:t>dutyholder</w:t>
      </w:r>
      <w:proofErr w:type="spellEnd"/>
      <w:r w:rsidRPr="00C913C5">
        <w:t xml:space="preserve"> understand the resources that will likely be needed to carry out any required response activities, and ensure that arrangements are in place to make these resources available?</w:t>
      </w:r>
    </w:p>
    <w:p w14:paraId="6A70B5B6" w14:textId="77777777" w:rsidR="00C913C5" w:rsidRPr="00C913C5" w:rsidRDefault="00C913C5" w:rsidP="00E46045">
      <w:pPr>
        <w:pStyle w:val="F9-Paragraph"/>
        <w:numPr>
          <w:ilvl w:val="0"/>
          <w:numId w:val="15"/>
        </w:numPr>
      </w:pPr>
      <w:r w:rsidRPr="00C913C5">
        <w:t>Do they understand the types of information that will likely be needed to inform response decisions and ensure that arrangements are in place to make this information available?</w:t>
      </w:r>
    </w:p>
    <w:p w14:paraId="00F7E4C8" w14:textId="77777777" w:rsidR="00C913C5" w:rsidRPr="00C913C5" w:rsidRDefault="00C913C5" w:rsidP="00E46045">
      <w:pPr>
        <w:pStyle w:val="F9-Paragraph"/>
        <w:numPr>
          <w:ilvl w:val="0"/>
          <w:numId w:val="15"/>
        </w:numPr>
      </w:pPr>
      <w:r w:rsidRPr="00C913C5">
        <w:t>Do their response team members have the skills and knowledge required to decide on the response actions necessary to limit harm, and do they have the authority to carry them out?</w:t>
      </w:r>
    </w:p>
    <w:p w14:paraId="41108215" w14:textId="77777777" w:rsidR="00C913C5" w:rsidRDefault="00C913C5" w:rsidP="00E46045">
      <w:pPr>
        <w:pStyle w:val="F9-Paragraph"/>
        <w:numPr>
          <w:ilvl w:val="0"/>
          <w:numId w:val="15"/>
        </w:numPr>
      </w:pPr>
      <w:r w:rsidRPr="00C913C5">
        <w:t xml:space="preserve">Does the </w:t>
      </w:r>
      <w:proofErr w:type="spellStart"/>
      <w:r w:rsidRPr="00C913C5">
        <w:t>dutyholder</w:t>
      </w:r>
      <w:proofErr w:type="spellEnd"/>
      <w:r w:rsidRPr="00C913C5">
        <w:t xml:space="preserve"> have a defined methodology for the prioritisation of recovery of services? Have systems been prioritised based on their importance? </w:t>
      </w:r>
    </w:p>
    <w:p w14:paraId="59B64B8A" w14:textId="6D4CAAF7" w:rsidR="00665D81" w:rsidRPr="00C913C5" w:rsidRDefault="00665D81" w:rsidP="00E46045">
      <w:pPr>
        <w:pStyle w:val="F9-Paragraph"/>
        <w:numPr>
          <w:ilvl w:val="0"/>
          <w:numId w:val="15"/>
        </w:numPr>
      </w:pPr>
      <w:r>
        <w:t xml:space="preserve">Does the </w:t>
      </w:r>
      <w:proofErr w:type="spellStart"/>
      <w:r>
        <w:t>dutyholder</w:t>
      </w:r>
      <w:proofErr w:type="spellEnd"/>
      <w:r>
        <w:t xml:space="preserve"> have the capability to deal with a protracted incident</w:t>
      </w:r>
      <w:r w:rsidR="00E41100">
        <w:t xml:space="preserve"> which may extend beyond a few days into weeks?</w:t>
      </w:r>
    </w:p>
    <w:p w14:paraId="315B26AA" w14:textId="77777777" w:rsidR="00C913C5" w:rsidRPr="00C913C5" w:rsidRDefault="00C913C5" w:rsidP="00E46045">
      <w:pPr>
        <w:pStyle w:val="F9-Paragraph"/>
        <w:numPr>
          <w:ilvl w:val="0"/>
          <w:numId w:val="15"/>
        </w:numPr>
      </w:pPr>
      <w:r w:rsidRPr="00C913C5">
        <w:t xml:space="preserve">Are fail-over mechanisms available that can be readily activated to allow continued operation of their essential function (although possibly at a </w:t>
      </w:r>
      <w:r w:rsidRPr="00C913C5">
        <w:lastRenderedPageBreak/>
        <w:t>reduced level) if primary networks and information systems fail or are unavailable?</w:t>
      </w:r>
    </w:p>
    <w:p w14:paraId="0B183DC1" w14:textId="742B7D40" w:rsidR="00C913C5" w:rsidRPr="00C913C5" w:rsidRDefault="00C913C5" w:rsidP="0081734E">
      <w:pPr>
        <w:pStyle w:val="F9-Paragraph"/>
        <w:numPr>
          <w:ilvl w:val="0"/>
          <w:numId w:val="15"/>
        </w:numPr>
      </w:pPr>
      <w:r w:rsidRPr="00C913C5">
        <w:t xml:space="preserve">Do arrangements exist to augment the </w:t>
      </w:r>
      <w:proofErr w:type="spellStart"/>
      <w:r w:rsidRPr="00C913C5">
        <w:t>dutyholder’s</w:t>
      </w:r>
      <w:proofErr w:type="spellEnd"/>
      <w:r w:rsidRPr="00C913C5">
        <w:t xml:space="preserve"> incident response capabilities with external support if necessary (e.g. specialist cyber incident responders)</w:t>
      </w:r>
      <w:r w:rsidR="003648E6">
        <w:t xml:space="preserve"> and have such arrangements been tested?</w:t>
      </w:r>
    </w:p>
    <w:p w14:paraId="3C05C152" w14:textId="77777777" w:rsidR="00C913C5" w:rsidRPr="00C913C5" w:rsidRDefault="00C913C5" w:rsidP="00E46045">
      <w:pPr>
        <w:pStyle w:val="F9-Paragraph"/>
      </w:pPr>
      <w:r w:rsidRPr="00C913C5">
        <w:t xml:space="preserve">In the event of a cyber incident, backups will be required to restore systems to a known good state. To support recovery, </w:t>
      </w:r>
      <w:proofErr w:type="spellStart"/>
      <w:r w:rsidRPr="00C913C5">
        <w:t>dutyholders</w:t>
      </w:r>
      <w:proofErr w:type="spellEnd"/>
      <w:r w:rsidRPr="00C913C5">
        <w:t xml:space="preserve"> should have adequate backups of systems with agreed Recovery Time Objectives (RTOs) and Recovery Point Objectives (RPOs). A common principle is the 3-2-1 backup strategy that states there should be 3 copies of data (production data and 2 backup copies) on two different media with one copy off-site for disaster recovery.</w:t>
      </w:r>
    </w:p>
    <w:p w14:paraId="43D64712" w14:textId="77777777" w:rsidR="00C913C5" w:rsidRPr="00C913C5" w:rsidRDefault="00C913C5" w:rsidP="008B76E2">
      <w:pPr>
        <w:pStyle w:val="F9-Paragraph"/>
        <w:numPr>
          <w:ilvl w:val="0"/>
          <w:numId w:val="0"/>
        </w:numPr>
        <w:ind w:left="851"/>
      </w:pPr>
      <w:r w:rsidRPr="00C913C5">
        <w:rPr>
          <w:b/>
        </w:rPr>
        <w:t>Inspectors should consider</w:t>
      </w:r>
      <w:r w:rsidRPr="00C913C5">
        <w:t>:</w:t>
      </w:r>
    </w:p>
    <w:p w14:paraId="0E71670B" w14:textId="77777777" w:rsidR="00C913C5" w:rsidRPr="00C913C5" w:rsidRDefault="00C913C5" w:rsidP="00E46045">
      <w:pPr>
        <w:pStyle w:val="F9-Paragraph"/>
        <w:numPr>
          <w:ilvl w:val="0"/>
          <w:numId w:val="16"/>
        </w:numPr>
      </w:pPr>
      <w:r w:rsidRPr="00C913C5">
        <w:t xml:space="preserve">Does the </w:t>
      </w:r>
      <w:proofErr w:type="spellStart"/>
      <w:r w:rsidRPr="00C913C5">
        <w:t>dutyholder</w:t>
      </w:r>
      <w:proofErr w:type="spellEnd"/>
      <w:r w:rsidRPr="00C913C5">
        <w:t xml:space="preserve"> have a policy for testing IT and OT backup systems?</w:t>
      </w:r>
    </w:p>
    <w:p w14:paraId="2F8ABAE2" w14:textId="77777777" w:rsidR="00C913C5" w:rsidRPr="00C913C5" w:rsidRDefault="00C913C5" w:rsidP="00E46045">
      <w:pPr>
        <w:pStyle w:val="F9-Paragraph"/>
        <w:numPr>
          <w:ilvl w:val="0"/>
          <w:numId w:val="16"/>
        </w:numPr>
      </w:pPr>
      <w:r w:rsidRPr="00C913C5">
        <w:t xml:space="preserve">Does the </w:t>
      </w:r>
      <w:proofErr w:type="spellStart"/>
      <w:r w:rsidRPr="00C913C5">
        <w:t>dutyholder</w:t>
      </w:r>
      <w:proofErr w:type="spellEnd"/>
      <w:r w:rsidRPr="00C913C5">
        <w:t xml:space="preserve"> backup and test the recovery of key IT and OT systems?</w:t>
      </w:r>
    </w:p>
    <w:p w14:paraId="7830382E" w14:textId="77777777" w:rsidR="00C913C5" w:rsidRPr="00C913C5" w:rsidRDefault="00C913C5" w:rsidP="00E46045">
      <w:pPr>
        <w:pStyle w:val="F9-Paragraph"/>
        <w:numPr>
          <w:ilvl w:val="0"/>
          <w:numId w:val="16"/>
        </w:numPr>
      </w:pPr>
      <w:r w:rsidRPr="00C913C5">
        <w:t>Does the recovery process include data integrity checks at completion of the recovery activity?</w:t>
      </w:r>
    </w:p>
    <w:p w14:paraId="6CE832DF" w14:textId="77777777" w:rsidR="00C913C5" w:rsidRPr="00C913C5" w:rsidRDefault="00C913C5" w:rsidP="00E46045">
      <w:pPr>
        <w:pStyle w:val="F9-Paragraph"/>
        <w:numPr>
          <w:ilvl w:val="0"/>
          <w:numId w:val="16"/>
        </w:numPr>
      </w:pPr>
      <w:r w:rsidRPr="00C913C5">
        <w:t>What is the backup strategy, plan and testing regime for cloud systems?</w:t>
      </w:r>
    </w:p>
    <w:p w14:paraId="52908744" w14:textId="3075BD7C" w:rsidR="002B1B3F" w:rsidRDefault="002B1B3F" w:rsidP="008B76E2">
      <w:pPr>
        <w:pStyle w:val="F9-Paragraph"/>
        <w:numPr>
          <w:ilvl w:val="0"/>
          <w:numId w:val="0"/>
        </w:numPr>
        <w:ind w:left="1211"/>
      </w:pPr>
    </w:p>
    <w:p w14:paraId="2FF31291" w14:textId="0097C654" w:rsidR="008B76E2" w:rsidRDefault="008B76E2" w:rsidP="008B76E2">
      <w:pPr>
        <w:pStyle w:val="Heading1"/>
      </w:pPr>
      <w:bookmarkStart w:id="8" w:name="_Toc155256140"/>
      <w:r>
        <w:t>Identification</w:t>
      </w:r>
      <w:bookmarkEnd w:id="8"/>
      <w:r>
        <w:t xml:space="preserve"> </w:t>
      </w:r>
    </w:p>
    <w:p w14:paraId="34065203" w14:textId="05BE115D" w:rsidR="008B76E2" w:rsidRPr="008B76E2" w:rsidRDefault="008B76E2" w:rsidP="00E46045">
      <w:pPr>
        <w:pStyle w:val="F9-Paragraph"/>
      </w:pPr>
      <w:proofErr w:type="spellStart"/>
      <w:r w:rsidRPr="008B76E2">
        <w:t>Dutyholders</w:t>
      </w:r>
      <w:proofErr w:type="spellEnd"/>
      <w:r w:rsidRPr="008B76E2">
        <w:t xml:space="preserve"> should ensure that capabilities exist to detect/identify cyber security </w:t>
      </w:r>
      <w:r w:rsidR="002E2016">
        <w:t>incidents</w:t>
      </w:r>
      <w:r w:rsidRPr="008B76E2">
        <w:t xml:space="preserve"> affecting, or with the potential to affect, categorised functions defined within </w:t>
      </w:r>
      <w:proofErr w:type="spellStart"/>
      <w:r w:rsidRPr="008B76E2">
        <w:t>SyAPs</w:t>
      </w:r>
      <w:proofErr w:type="spellEnd"/>
      <w:r w:rsidRPr="008B76E2">
        <w:t>. This would include those systems affecting the protection of SNI.</w:t>
      </w:r>
    </w:p>
    <w:p w14:paraId="7184FC8D" w14:textId="77777777" w:rsidR="008B76E2" w:rsidRPr="008B76E2" w:rsidRDefault="008B76E2" w:rsidP="008B76E2">
      <w:pPr>
        <w:pStyle w:val="F9-Paragraph"/>
        <w:numPr>
          <w:ilvl w:val="0"/>
          <w:numId w:val="0"/>
        </w:numPr>
        <w:ind w:left="851"/>
        <w:rPr>
          <w:b/>
        </w:rPr>
      </w:pPr>
      <w:r w:rsidRPr="008B76E2">
        <w:rPr>
          <w:b/>
        </w:rPr>
        <w:t>Security Monitoring</w:t>
      </w:r>
    </w:p>
    <w:p w14:paraId="15D9A7A9" w14:textId="0F129A56" w:rsidR="008B76E2" w:rsidRDefault="008B76E2" w:rsidP="00E46045">
      <w:pPr>
        <w:pStyle w:val="F9-Paragraph"/>
        <w:rPr>
          <w:bCs/>
        </w:rPr>
      </w:pPr>
      <w:r w:rsidRPr="008B76E2">
        <w:rPr>
          <w:bCs/>
        </w:rPr>
        <w:t xml:space="preserve">The organisation </w:t>
      </w:r>
      <w:r w:rsidR="00B43B8E">
        <w:rPr>
          <w:bCs/>
        </w:rPr>
        <w:t xml:space="preserve">or third party </w:t>
      </w:r>
      <w:r w:rsidR="00991F5A">
        <w:rPr>
          <w:bCs/>
        </w:rPr>
        <w:t xml:space="preserve">provider </w:t>
      </w:r>
      <w:r w:rsidRPr="008B76E2">
        <w:rPr>
          <w:bCs/>
        </w:rPr>
        <w:t xml:space="preserve">should monitor the security status of networks and systems supporting the operation of categorised functions, in order to detect potential security problems and to track the ongoing effectiveness of protective security measures. The data sources that </w:t>
      </w:r>
      <w:proofErr w:type="spellStart"/>
      <w:r w:rsidRPr="008B76E2">
        <w:rPr>
          <w:bCs/>
        </w:rPr>
        <w:t>dutyholders</w:t>
      </w:r>
      <w:proofErr w:type="spellEnd"/>
      <w:r w:rsidRPr="008B76E2">
        <w:rPr>
          <w:bCs/>
        </w:rPr>
        <w:t xml:space="preserve"> include in their monitoring should allow for timely identification of security events in order to achieve the associated cps outcome identified for a particular system.</w:t>
      </w:r>
    </w:p>
    <w:p w14:paraId="5A01AA60" w14:textId="77777777" w:rsidR="008B76E2" w:rsidRPr="008B76E2" w:rsidRDefault="008B76E2" w:rsidP="008B76E2">
      <w:pPr>
        <w:pStyle w:val="F9-Paragraph"/>
        <w:numPr>
          <w:ilvl w:val="0"/>
          <w:numId w:val="0"/>
        </w:numPr>
        <w:ind w:left="851"/>
      </w:pPr>
      <w:r w:rsidRPr="008B76E2">
        <w:rPr>
          <w:b/>
        </w:rPr>
        <w:t>Inspectors should consider</w:t>
      </w:r>
      <w:r w:rsidRPr="008B76E2">
        <w:t>:</w:t>
      </w:r>
    </w:p>
    <w:p w14:paraId="0CF2169F" w14:textId="77777777" w:rsidR="008B76E2" w:rsidRDefault="008B76E2" w:rsidP="00E46045">
      <w:pPr>
        <w:pStyle w:val="F9-Paragraph"/>
        <w:numPr>
          <w:ilvl w:val="0"/>
          <w:numId w:val="17"/>
        </w:numPr>
      </w:pPr>
      <w:r w:rsidRPr="008B76E2">
        <w:t xml:space="preserve">Is the </w:t>
      </w:r>
      <w:proofErr w:type="spellStart"/>
      <w:r w:rsidRPr="008B76E2">
        <w:t>dutyholder’s</w:t>
      </w:r>
      <w:proofErr w:type="spellEnd"/>
      <w:r w:rsidRPr="008B76E2">
        <w:t xml:space="preserve"> monitoring based on an understanding of their network’s baseline characteristics, common cyber-attack methods and </w:t>
      </w:r>
      <w:r w:rsidRPr="008B76E2">
        <w:lastRenderedPageBreak/>
        <w:t>what they need awareness of in order to detect potential security incidents that could affect the operation of their essential function (e.g. presence of malware, malicious emails, and user policy violations.)?</w:t>
      </w:r>
    </w:p>
    <w:p w14:paraId="0D2C90E6" w14:textId="7A842A78" w:rsidR="00411B79" w:rsidRPr="008B76E2" w:rsidRDefault="00411B79" w:rsidP="00E46045">
      <w:pPr>
        <w:pStyle w:val="F9-Paragraph"/>
        <w:numPr>
          <w:ilvl w:val="0"/>
          <w:numId w:val="17"/>
        </w:numPr>
      </w:pPr>
      <w:r>
        <w:t xml:space="preserve">If monitoring is provided by a third party then </w:t>
      </w:r>
      <w:r w:rsidR="00252E61">
        <w:t xml:space="preserve">does the </w:t>
      </w:r>
      <w:proofErr w:type="spellStart"/>
      <w:r w:rsidR="00252E61">
        <w:t>dutyholder</w:t>
      </w:r>
      <w:proofErr w:type="spellEnd"/>
      <w:r w:rsidR="00252E61">
        <w:t xml:space="preserve"> have the p</w:t>
      </w:r>
      <w:r w:rsidR="00D23737">
        <w:t>eople, processes and technology</w:t>
      </w:r>
      <w:r w:rsidR="00252E61">
        <w:t xml:space="preserve"> in place to adequately respond to the incident</w:t>
      </w:r>
      <w:r w:rsidR="00631351">
        <w:t>?</w:t>
      </w:r>
    </w:p>
    <w:p w14:paraId="3E5A7AE6" w14:textId="55FE7D18" w:rsidR="008B76E2" w:rsidRPr="008B76E2" w:rsidRDefault="008B76E2" w:rsidP="00E46045">
      <w:pPr>
        <w:pStyle w:val="F9-Paragraph"/>
        <w:numPr>
          <w:ilvl w:val="0"/>
          <w:numId w:val="17"/>
        </w:numPr>
      </w:pPr>
      <w:r w:rsidRPr="008B76E2">
        <w:t>Does the</w:t>
      </w:r>
      <w:r w:rsidR="000D38AA">
        <w:t xml:space="preserve"> </w:t>
      </w:r>
      <w:r w:rsidRPr="008B76E2">
        <w:t>monitoring data provide enough detail to reliably detect security incidents that could affect the operation of their essential function?</w:t>
      </w:r>
    </w:p>
    <w:p w14:paraId="302998AE" w14:textId="77777777" w:rsidR="008B76E2" w:rsidRPr="008B76E2" w:rsidRDefault="008B76E2" w:rsidP="00E46045">
      <w:pPr>
        <w:pStyle w:val="F9-Paragraph"/>
        <w:numPr>
          <w:ilvl w:val="0"/>
          <w:numId w:val="17"/>
        </w:numPr>
      </w:pPr>
      <w:r w:rsidRPr="008B76E2">
        <w:t xml:space="preserve">Can the </w:t>
      </w:r>
      <w:proofErr w:type="spellStart"/>
      <w:r w:rsidRPr="008B76E2">
        <w:t>dutyholder</w:t>
      </w:r>
      <w:proofErr w:type="spellEnd"/>
      <w:r w:rsidRPr="008B76E2">
        <w:t xml:space="preserve"> detect the presence or absence of indicators of compromise on systems delivering or supporting essential functions?</w:t>
      </w:r>
    </w:p>
    <w:p w14:paraId="46D31DDB" w14:textId="77777777" w:rsidR="008B76E2" w:rsidRPr="008B76E2" w:rsidRDefault="008B76E2" w:rsidP="00E46045">
      <w:pPr>
        <w:pStyle w:val="F9-Paragraph"/>
        <w:numPr>
          <w:ilvl w:val="0"/>
          <w:numId w:val="17"/>
        </w:numPr>
      </w:pPr>
      <w:r w:rsidRPr="008B76E2">
        <w:t xml:space="preserve">Does extensive monitoring of user activity in relation to the operation of essential functions enable the </w:t>
      </w:r>
      <w:proofErr w:type="spellStart"/>
      <w:r w:rsidRPr="008B76E2">
        <w:t>dutyholder</w:t>
      </w:r>
      <w:proofErr w:type="spellEnd"/>
      <w:r w:rsidRPr="008B76E2">
        <w:t xml:space="preserve"> to detect policy violations and an agreed list of suspicious or undesirable behaviour?</w:t>
      </w:r>
    </w:p>
    <w:p w14:paraId="2C2D41D0" w14:textId="77777777" w:rsidR="008B76E2" w:rsidRPr="008B76E2" w:rsidRDefault="008B76E2" w:rsidP="00E46045">
      <w:pPr>
        <w:pStyle w:val="F9-Paragraph"/>
        <w:numPr>
          <w:ilvl w:val="0"/>
          <w:numId w:val="17"/>
        </w:numPr>
      </w:pPr>
      <w:r w:rsidRPr="008B76E2">
        <w:t xml:space="preserve">Does the </w:t>
      </w:r>
      <w:proofErr w:type="spellStart"/>
      <w:r w:rsidRPr="008B76E2">
        <w:t>dutyholder</w:t>
      </w:r>
      <w:proofErr w:type="spellEnd"/>
      <w:r w:rsidRPr="008B76E2">
        <w:t xml:space="preserve"> have multi-layer monitoring coverage that includes host-based monitoring and network gateways?</w:t>
      </w:r>
      <w:r w:rsidRPr="008B76E2">
        <w:rPr>
          <w:b/>
        </w:rPr>
        <w:t xml:space="preserve"> </w:t>
      </w:r>
    </w:p>
    <w:p w14:paraId="5F428793" w14:textId="77777777" w:rsidR="008B76E2" w:rsidRPr="008B76E2" w:rsidRDefault="008B76E2" w:rsidP="00E46045">
      <w:pPr>
        <w:pStyle w:val="F9-Paragraph"/>
        <w:numPr>
          <w:ilvl w:val="0"/>
          <w:numId w:val="17"/>
        </w:numPr>
      </w:pPr>
      <w:r w:rsidRPr="008B76E2">
        <w:t>Are new systems considered as potential monitoring data sources to maintain a comprehensive monitoring capability?</w:t>
      </w:r>
    </w:p>
    <w:p w14:paraId="16580964" w14:textId="77777777" w:rsidR="008B76E2" w:rsidRPr="008B76E2" w:rsidRDefault="008B76E2" w:rsidP="00E46045">
      <w:pPr>
        <w:pStyle w:val="F9-Paragraph"/>
        <w:numPr>
          <w:ilvl w:val="0"/>
          <w:numId w:val="17"/>
        </w:numPr>
      </w:pPr>
      <w:r w:rsidRPr="008B76E2">
        <w:t xml:space="preserve">Does the </w:t>
      </w:r>
      <w:proofErr w:type="spellStart"/>
      <w:r w:rsidRPr="008B76E2">
        <w:t>dutyholder</w:t>
      </w:r>
      <w:proofErr w:type="spellEnd"/>
      <w:r w:rsidRPr="008B76E2">
        <w:t xml:space="preserve"> provide appropriate security monitoring measures if the systems for essential functions cannot provide host-based security monitoring functions or security data?</w:t>
      </w:r>
    </w:p>
    <w:p w14:paraId="4A6D05E3" w14:textId="77777777" w:rsidR="008B76E2" w:rsidRPr="008B76E2" w:rsidRDefault="008B76E2" w:rsidP="00E46045">
      <w:pPr>
        <w:pStyle w:val="F9-Paragraph"/>
        <w:numPr>
          <w:ilvl w:val="0"/>
          <w:numId w:val="17"/>
        </w:numPr>
      </w:pPr>
      <w:r w:rsidRPr="008B76E2">
        <w:t xml:space="preserve">Does the </w:t>
      </w:r>
      <w:proofErr w:type="spellStart"/>
      <w:r w:rsidRPr="008B76E2">
        <w:t>dutyholder</w:t>
      </w:r>
      <w:proofErr w:type="spellEnd"/>
      <w:r w:rsidRPr="008B76E2">
        <w:t xml:space="preserve"> have arrangements in place for out of hours monitoring and incident escalation?</w:t>
      </w:r>
    </w:p>
    <w:p w14:paraId="188527B1" w14:textId="77777777" w:rsidR="008B76E2" w:rsidRPr="008B76E2" w:rsidRDefault="008B76E2" w:rsidP="008B76E2">
      <w:pPr>
        <w:pStyle w:val="F9-Paragraph"/>
        <w:numPr>
          <w:ilvl w:val="0"/>
          <w:numId w:val="0"/>
        </w:numPr>
        <w:ind w:left="851"/>
        <w:rPr>
          <w:b/>
        </w:rPr>
      </w:pPr>
      <w:r w:rsidRPr="008B76E2">
        <w:rPr>
          <w:b/>
        </w:rPr>
        <w:t>Securing logs</w:t>
      </w:r>
    </w:p>
    <w:p w14:paraId="475061DB" w14:textId="77777777" w:rsidR="008B76E2" w:rsidRPr="008B76E2" w:rsidRDefault="008B76E2" w:rsidP="00E46045">
      <w:pPr>
        <w:pStyle w:val="F9-Paragraph"/>
      </w:pPr>
      <w:proofErr w:type="spellStart"/>
      <w:r w:rsidRPr="008B76E2">
        <w:t>Dutyholders</w:t>
      </w:r>
      <w:proofErr w:type="spellEnd"/>
      <w:r w:rsidRPr="008B76E2">
        <w:t xml:space="preserve"> should hold logging data securely and grant read only access to accounts with business need. No staff should ever need to modify or delete logging data within an agreed retention period, after which it should be deleted.</w:t>
      </w:r>
    </w:p>
    <w:p w14:paraId="71C6DD01" w14:textId="77777777" w:rsidR="008B76E2" w:rsidRPr="008B76E2" w:rsidRDefault="008B76E2" w:rsidP="00E46045">
      <w:pPr>
        <w:pStyle w:val="F9-Paragraph"/>
      </w:pPr>
      <w:r w:rsidRPr="008B76E2">
        <w:rPr>
          <w:b/>
        </w:rPr>
        <w:t>Inspectors should consider</w:t>
      </w:r>
      <w:r w:rsidRPr="008B76E2">
        <w:t>:</w:t>
      </w:r>
    </w:p>
    <w:p w14:paraId="75197662" w14:textId="77777777" w:rsidR="008B76E2" w:rsidRPr="008B76E2" w:rsidRDefault="008B76E2" w:rsidP="00E46045">
      <w:pPr>
        <w:pStyle w:val="F9-Paragraph"/>
        <w:numPr>
          <w:ilvl w:val="0"/>
          <w:numId w:val="18"/>
        </w:numPr>
      </w:pPr>
      <w:r w:rsidRPr="008B76E2">
        <w:t>Is the integrity of logging data protected, or is any modification detected and attributed?</w:t>
      </w:r>
    </w:p>
    <w:p w14:paraId="6CDF73BA" w14:textId="77777777" w:rsidR="008B76E2" w:rsidRPr="008B76E2" w:rsidRDefault="008B76E2" w:rsidP="00E46045">
      <w:pPr>
        <w:pStyle w:val="F9-Paragraph"/>
        <w:numPr>
          <w:ilvl w:val="0"/>
          <w:numId w:val="18"/>
        </w:numPr>
      </w:pPr>
      <w:r w:rsidRPr="008B76E2">
        <w:t>Does the logging architecture have mechanisms, processes and procedures to ensure that it can protect itself from threats comparable to those it is trying to identify? This should include protecting the function itself, and the data within it.</w:t>
      </w:r>
    </w:p>
    <w:p w14:paraId="53679696" w14:textId="77777777" w:rsidR="008B76E2" w:rsidRPr="008B76E2" w:rsidRDefault="008B76E2" w:rsidP="00E46045">
      <w:pPr>
        <w:pStyle w:val="F9-Paragraph"/>
        <w:numPr>
          <w:ilvl w:val="0"/>
          <w:numId w:val="18"/>
        </w:numPr>
      </w:pPr>
      <w:r w:rsidRPr="008B76E2">
        <w:t>Is log data analysis and normalisation only performed on copies of the data keeping the master copy unaltered?</w:t>
      </w:r>
    </w:p>
    <w:p w14:paraId="4808E79C" w14:textId="77777777" w:rsidR="008B76E2" w:rsidRPr="008B76E2" w:rsidRDefault="008B76E2" w:rsidP="00E46045">
      <w:pPr>
        <w:pStyle w:val="F9-Paragraph"/>
        <w:numPr>
          <w:ilvl w:val="0"/>
          <w:numId w:val="18"/>
        </w:numPr>
      </w:pPr>
      <w:r w:rsidRPr="008B76E2">
        <w:lastRenderedPageBreak/>
        <w:t>Are logging datasets synchronised, using an accurate common time source, so separate datasets can be correlated in different ways?</w:t>
      </w:r>
    </w:p>
    <w:p w14:paraId="18AA33D3" w14:textId="77777777" w:rsidR="008B76E2" w:rsidRPr="008B76E2" w:rsidRDefault="008B76E2" w:rsidP="00E46045">
      <w:pPr>
        <w:pStyle w:val="F9-Paragraph"/>
        <w:numPr>
          <w:ilvl w:val="0"/>
          <w:numId w:val="18"/>
        </w:numPr>
      </w:pPr>
      <w:r w:rsidRPr="008B76E2">
        <w:t>Is access to logging data limited to those with business need and no others?</w:t>
      </w:r>
    </w:p>
    <w:p w14:paraId="5492EB8F" w14:textId="77777777" w:rsidR="008B76E2" w:rsidRPr="008B76E2" w:rsidRDefault="008B76E2" w:rsidP="00E46045">
      <w:pPr>
        <w:pStyle w:val="F9-Paragraph"/>
        <w:numPr>
          <w:ilvl w:val="0"/>
          <w:numId w:val="18"/>
        </w:numPr>
      </w:pPr>
      <w:r w:rsidRPr="008B76E2">
        <w:t>Can all actions involving all logging data (e.g. copying, deleting or modification, or even viewing) be traced back to a unique user?</w:t>
      </w:r>
    </w:p>
    <w:p w14:paraId="2363B8D9" w14:textId="77777777" w:rsidR="008B76E2" w:rsidRPr="008B76E2" w:rsidRDefault="008B76E2" w:rsidP="00E46045">
      <w:pPr>
        <w:pStyle w:val="F9-Paragraph"/>
        <w:numPr>
          <w:ilvl w:val="0"/>
          <w:numId w:val="18"/>
        </w:numPr>
      </w:pPr>
      <w:r w:rsidRPr="008B76E2">
        <w:t>Are legitimate reasons for accessing logging data given in use policies?</w:t>
      </w:r>
    </w:p>
    <w:p w14:paraId="43B725E3" w14:textId="77777777" w:rsidR="008B76E2" w:rsidRPr="008B76E2" w:rsidRDefault="008B76E2" w:rsidP="00E46045">
      <w:pPr>
        <w:pStyle w:val="F9-Paragraph"/>
        <w:numPr>
          <w:ilvl w:val="0"/>
          <w:numId w:val="18"/>
        </w:numPr>
      </w:pPr>
      <w:r w:rsidRPr="008B76E2">
        <w:t xml:space="preserve">Are logs retained long enough for incident response analysts to inspect during an incident? </w:t>
      </w:r>
    </w:p>
    <w:p w14:paraId="6CC2CE69" w14:textId="24F6DA1C" w:rsidR="008B76E2" w:rsidRDefault="008B76E2" w:rsidP="00E46045">
      <w:pPr>
        <w:pStyle w:val="F9-Paragraph"/>
        <w:numPr>
          <w:ilvl w:val="0"/>
          <w:numId w:val="18"/>
        </w:numPr>
      </w:pPr>
      <w:r w:rsidRPr="008B76E2">
        <w:t>Are logs easily accessible for the analyst during an incident?</w:t>
      </w:r>
    </w:p>
    <w:p w14:paraId="08757F8B" w14:textId="77777777" w:rsidR="008B76E2" w:rsidRPr="008B76E2" w:rsidRDefault="008B76E2" w:rsidP="008B76E2">
      <w:pPr>
        <w:pStyle w:val="F9-Paragraph"/>
        <w:numPr>
          <w:ilvl w:val="0"/>
          <w:numId w:val="0"/>
        </w:numPr>
        <w:ind w:left="851"/>
        <w:rPr>
          <w:b/>
        </w:rPr>
      </w:pPr>
      <w:r w:rsidRPr="008B76E2">
        <w:rPr>
          <w:b/>
        </w:rPr>
        <w:t>Generating alerts</w:t>
      </w:r>
    </w:p>
    <w:p w14:paraId="1EAAB278" w14:textId="77777777" w:rsidR="008B76E2" w:rsidRPr="008B76E2" w:rsidRDefault="008B76E2" w:rsidP="00E46045">
      <w:pPr>
        <w:pStyle w:val="F9-Paragraph"/>
        <w:rPr>
          <w:bCs/>
        </w:rPr>
      </w:pPr>
      <w:proofErr w:type="spellStart"/>
      <w:r w:rsidRPr="008B76E2">
        <w:rPr>
          <w:bCs/>
        </w:rPr>
        <w:t>Dutyholders</w:t>
      </w:r>
      <w:proofErr w:type="spellEnd"/>
      <w:r w:rsidRPr="008B76E2">
        <w:rPr>
          <w:bCs/>
        </w:rPr>
        <w:t xml:space="preserve"> should ensure that evidence of potential security incidents contained in their monitoring data is reliably identified and triggers alerts. </w:t>
      </w:r>
    </w:p>
    <w:p w14:paraId="158D5733" w14:textId="77777777" w:rsidR="008B76E2" w:rsidRPr="008B76E2" w:rsidRDefault="008B76E2" w:rsidP="008B76E2">
      <w:pPr>
        <w:pStyle w:val="F9-Paragraph"/>
        <w:numPr>
          <w:ilvl w:val="0"/>
          <w:numId w:val="0"/>
        </w:numPr>
        <w:ind w:left="851"/>
      </w:pPr>
      <w:r w:rsidRPr="008B76E2">
        <w:rPr>
          <w:b/>
        </w:rPr>
        <w:t>Inspectors should consider</w:t>
      </w:r>
      <w:r w:rsidRPr="008B76E2">
        <w:t>:</w:t>
      </w:r>
    </w:p>
    <w:p w14:paraId="6A56FC71" w14:textId="77777777" w:rsidR="008B76E2" w:rsidRPr="008B76E2" w:rsidRDefault="008B76E2" w:rsidP="00E46045">
      <w:pPr>
        <w:pStyle w:val="F9-Paragraph"/>
        <w:numPr>
          <w:ilvl w:val="0"/>
          <w:numId w:val="19"/>
        </w:numPr>
      </w:pPr>
      <w:r w:rsidRPr="008B76E2">
        <w:t>Is logging data enriched with other network knowledge and data when investigating certain suspicious activity or alerts?</w:t>
      </w:r>
    </w:p>
    <w:p w14:paraId="261F6EBE" w14:textId="77777777" w:rsidR="008B76E2" w:rsidRPr="008B76E2" w:rsidRDefault="008B76E2" w:rsidP="00E46045">
      <w:pPr>
        <w:pStyle w:val="F9-Paragraph"/>
        <w:numPr>
          <w:ilvl w:val="0"/>
          <w:numId w:val="19"/>
        </w:numPr>
      </w:pPr>
      <w:r w:rsidRPr="008B76E2">
        <w:t>Are a wide range of signatures and indicators of compromise used for investigations of suspicious activity and alerts?</w:t>
      </w:r>
    </w:p>
    <w:p w14:paraId="1EE833E3" w14:textId="77777777" w:rsidR="008B76E2" w:rsidRPr="008B76E2" w:rsidRDefault="008B76E2" w:rsidP="00E46045">
      <w:pPr>
        <w:pStyle w:val="F9-Paragraph"/>
        <w:numPr>
          <w:ilvl w:val="0"/>
          <w:numId w:val="19"/>
        </w:numPr>
      </w:pPr>
      <w:r w:rsidRPr="008B76E2">
        <w:t>Can alerts be easily resolved to network assets using knowledge of networks and systems?</w:t>
      </w:r>
    </w:p>
    <w:p w14:paraId="4D1B3C2B" w14:textId="77777777" w:rsidR="008B76E2" w:rsidRPr="008B76E2" w:rsidRDefault="008B76E2" w:rsidP="00E46045">
      <w:pPr>
        <w:pStyle w:val="F9-Paragraph"/>
        <w:numPr>
          <w:ilvl w:val="0"/>
          <w:numId w:val="19"/>
        </w:numPr>
      </w:pPr>
      <w:r w:rsidRPr="008B76E2">
        <w:t>Are security alerts relating to all essential functions prioritised and this information is used to support incident management?</w:t>
      </w:r>
    </w:p>
    <w:p w14:paraId="28E01A02" w14:textId="77777777" w:rsidR="008B76E2" w:rsidRPr="008B76E2" w:rsidRDefault="008B76E2" w:rsidP="00E46045">
      <w:pPr>
        <w:pStyle w:val="F9-Paragraph"/>
        <w:numPr>
          <w:ilvl w:val="0"/>
          <w:numId w:val="19"/>
        </w:numPr>
      </w:pPr>
      <w:r w:rsidRPr="008B76E2">
        <w:t>Are logs reviewed almost continuously, in real time?</w:t>
      </w:r>
    </w:p>
    <w:p w14:paraId="38529725" w14:textId="77777777" w:rsidR="008B76E2" w:rsidRPr="008B76E2" w:rsidRDefault="008B76E2" w:rsidP="00E46045">
      <w:pPr>
        <w:pStyle w:val="F9-Paragraph"/>
        <w:numPr>
          <w:ilvl w:val="0"/>
          <w:numId w:val="19"/>
        </w:numPr>
      </w:pPr>
      <w:r w:rsidRPr="008B76E2">
        <w:t>Are alerts tested to ensure that they are generated reliably and that it is possible to distinguish</w:t>
      </w:r>
      <w:r w:rsidRPr="008B76E2">
        <w:rPr>
          <w:b/>
        </w:rPr>
        <w:t xml:space="preserve"> </w:t>
      </w:r>
      <w:r w:rsidRPr="008B76E2">
        <w:t>genuine security incidents from false alarms?</w:t>
      </w:r>
    </w:p>
    <w:p w14:paraId="537D26CE" w14:textId="3AF852FC" w:rsidR="008B76E2" w:rsidRPr="008B76E2" w:rsidRDefault="008B76E2" w:rsidP="00E46045">
      <w:pPr>
        <w:pStyle w:val="F9-Paragraph"/>
        <w:numPr>
          <w:ilvl w:val="0"/>
          <w:numId w:val="19"/>
        </w:numPr>
      </w:pPr>
      <w:r w:rsidRPr="008B76E2">
        <w:t xml:space="preserve">Are rules reviewed on a regular basis to ensure they are effectively able to identify malicious tactics, techniques and procedures (TTP’s) aligned with the MITRE ATT&amp;CK framework </w:t>
      </w:r>
      <w:r w:rsidR="00914F22">
        <w:t xml:space="preserve">or other applicable frameworks </w:t>
      </w:r>
      <w:r w:rsidRPr="008B76E2">
        <w:t>and the evolving threat landscape?</w:t>
      </w:r>
    </w:p>
    <w:p w14:paraId="034687CE" w14:textId="77777777" w:rsidR="008B76E2" w:rsidRDefault="008B76E2" w:rsidP="00E46045">
      <w:pPr>
        <w:pStyle w:val="F9-Paragraph"/>
        <w:numPr>
          <w:ilvl w:val="0"/>
          <w:numId w:val="19"/>
        </w:numPr>
      </w:pPr>
      <w:r w:rsidRPr="008B76E2">
        <w:t xml:space="preserve">Is relevant threat intelligence utilised to aid efficient alerting? </w:t>
      </w:r>
    </w:p>
    <w:p w14:paraId="1BB3DF7D" w14:textId="419E9625" w:rsidR="00243636" w:rsidRDefault="004121DB" w:rsidP="00E46045">
      <w:pPr>
        <w:pStyle w:val="F9-Paragraph"/>
        <w:numPr>
          <w:ilvl w:val="0"/>
          <w:numId w:val="19"/>
        </w:numPr>
      </w:pPr>
      <w:r>
        <w:t xml:space="preserve">Is the </w:t>
      </w:r>
      <w:proofErr w:type="spellStart"/>
      <w:r>
        <w:t>dutyholder</w:t>
      </w:r>
      <w:proofErr w:type="spellEnd"/>
      <w:r>
        <w:t xml:space="preserve"> aware of critical devices that cannot generate logs or pass logs to the SIEM and </w:t>
      </w:r>
      <w:r w:rsidR="009F6518">
        <w:t>have compensatory measures for them?</w:t>
      </w:r>
    </w:p>
    <w:p w14:paraId="23F2913B" w14:textId="01742050" w:rsidR="00542556" w:rsidRPr="008B76E2" w:rsidRDefault="00932A88" w:rsidP="00E46045">
      <w:pPr>
        <w:pStyle w:val="F9-Paragraph"/>
        <w:numPr>
          <w:ilvl w:val="0"/>
          <w:numId w:val="19"/>
        </w:numPr>
      </w:pPr>
      <w:r w:rsidRPr="00932A88">
        <w:lastRenderedPageBreak/>
        <w:t xml:space="preserve">If logs from a network or single host stop being received, does the </w:t>
      </w:r>
      <w:proofErr w:type="spellStart"/>
      <w:r w:rsidRPr="00932A88">
        <w:t>dutyholder</w:t>
      </w:r>
      <w:proofErr w:type="spellEnd"/>
      <w:r w:rsidRPr="00932A88">
        <w:t xml:space="preserve"> have sufficient monitoring in place</w:t>
      </w:r>
      <w:r>
        <w:t>?</w:t>
      </w:r>
    </w:p>
    <w:p w14:paraId="4BD53811" w14:textId="77777777" w:rsidR="008B76E2" w:rsidRPr="008B76E2" w:rsidRDefault="008B76E2" w:rsidP="008B76E2">
      <w:pPr>
        <w:pStyle w:val="F9-Paragraph"/>
        <w:numPr>
          <w:ilvl w:val="0"/>
          <w:numId w:val="0"/>
        </w:numPr>
        <w:ind w:left="851"/>
        <w:rPr>
          <w:b/>
        </w:rPr>
      </w:pPr>
      <w:r w:rsidRPr="008B76E2">
        <w:rPr>
          <w:b/>
        </w:rPr>
        <w:t>Identifying security incidents</w:t>
      </w:r>
    </w:p>
    <w:p w14:paraId="2768E8CA" w14:textId="77777777" w:rsidR="00940B69" w:rsidRDefault="008B76E2" w:rsidP="00BC78E9">
      <w:pPr>
        <w:pStyle w:val="F9-Paragraph"/>
        <w:numPr>
          <w:ilvl w:val="0"/>
          <w:numId w:val="0"/>
        </w:numPr>
        <w:ind w:left="851"/>
        <w:rPr>
          <w:bCs/>
        </w:rPr>
      </w:pPr>
      <w:proofErr w:type="spellStart"/>
      <w:r w:rsidRPr="00940B69">
        <w:rPr>
          <w:bCs/>
        </w:rPr>
        <w:t>Dutyholders</w:t>
      </w:r>
      <w:proofErr w:type="spellEnd"/>
      <w:r w:rsidRPr="00940B69">
        <w:rPr>
          <w:bCs/>
        </w:rPr>
        <w:t xml:space="preserve"> should contextualise alerts with knowledge of the threat and their systems, to identify those security incidents that require some form of response. </w:t>
      </w:r>
      <w:proofErr w:type="spellStart"/>
      <w:r w:rsidRPr="00940B69">
        <w:rPr>
          <w:bCs/>
        </w:rPr>
        <w:t>Dutyholders</w:t>
      </w:r>
      <w:proofErr w:type="spellEnd"/>
      <w:r w:rsidRPr="00940B69">
        <w:rPr>
          <w:bCs/>
        </w:rPr>
        <w:t xml:space="preserve"> should have a process of categorisation based on the type and severity (impact on confidentiality, integrity and availability) to allow quick and efficient triaging of incidents. This will help to determine the urgency and escalation thresholds to support </w:t>
      </w:r>
      <w:proofErr w:type="spellStart"/>
      <w:r w:rsidRPr="00940B69">
        <w:rPr>
          <w:bCs/>
        </w:rPr>
        <w:t>dutyholder</w:t>
      </w:r>
      <w:proofErr w:type="spellEnd"/>
      <w:r w:rsidRPr="00940B69">
        <w:rPr>
          <w:bCs/>
        </w:rPr>
        <w:t xml:space="preserve"> response. A useful resource for establishing such a framework is the NCSC incident Management Guidance severity matrix and categorisation table </w:t>
      </w:r>
      <w:r w:rsidR="00AE1566" w:rsidRPr="00940B69">
        <w:rPr>
          <w:bCs/>
        </w:rPr>
        <w:t>[22]</w:t>
      </w:r>
      <w:r w:rsidR="00940B69">
        <w:rPr>
          <w:bCs/>
        </w:rPr>
        <w:t>.</w:t>
      </w:r>
    </w:p>
    <w:p w14:paraId="7816F3C4" w14:textId="5CD6618B" w:rsidR="008B76E2" w:rsidRPr="008B76E2" w:rsidRDefault="008B76E2" w:rsidP="00BC78E9">
      <w:pPr>
        <w:pStyle w:val="F9-Paragraph"/>
        <w:numPr>
          <w:ilvl w:val="0"/>
          <w:numId w:val="0"/>
        </w:numPr>
        <w:ind w:left="851"/>
      </w:pPr>
      <w:r w:rsidRPr="00940B69">
        <w:rPr>
          <w:b/>
        </w:rPr>
        <w:t>Inspectors should consider</w:t>
      </w:r>
      <w:r w:rsidRPr="008B76E2">
        <w:t>:</w:t>
      </w:r>
    </w:p>
    <w:p w14:paraId="23929732" w14:textId="77777777" w:rsidR="008B76E2" w:rsidRPr="008B76E2" w:rsidRDefault="008B76E2" w:rsidP="00E46045">
      <w:pPr>
        <w:pStyle w:val="F9-Paragraph"/>
        <w:numPr>
          <w:ilvl w:val="0"/>
          <w:numId w:val="20"/>
        </w:numPr>
      </w:pPr>
      <w:r w:rsidRPr="008B76E2">
        <w:t xml:space="preserve">Does the </w:t>
      </w:r>
      <w:proofErr w:type="spellStart"/>
      <w:r w:rsidRPr="008B76E2">
        <w:t>dutyholder</w:t>
      </w:r>
      <w:proofErr w:type="spellEnd"/>
      <w:r w:rsidRPr="008B76E2">
        <w:t xml:space="preserve"> gauge the severity of impact of the incident in order to deliver a proportionate response?</w:t>
      </w:r>
    </w:p>
    <w:p w14:paraId="49BF2FB5" w14:textId="77777777" w:rsidR="008B76E2" w:rsidRPr="008B76E2" w:rsidRDefault="008B76E2" w:rsidP="00E46045">
      <w:pPr>
        <w:pStyle w:val="F9-Paragraph"/>
        <w:numPr>
          <w:ilvl w:val="0"/>
          <w:numId w:val="20"/>
        </w:numPr>
      </w:pPr>
      <w:r w:rsidRPr="008B76E2">
        <w:t xml:space="preserve">Has the </w:t>
      </w:r>
      <w:proofErr w:type="spellStart"/>
      <w:r w:rsidRPr="008B76E2">
        <w:t>dutyholder</w:t>
      </w:r>
      <w:proofErr w:type="spellEnd"/>
      <w:r w:rsidRPr="008B76E2">
        <w:t xml:space="preserve"> selected threat intelligence feeds using risk-based and threat-informed decisions based on their business needs and sector (e.g. Vendor reporting and patching, anti-virus providers, sector and sector-based information sharing)?</w:t>
      </w:r>
    </w:p>
    <w:p w14:paraId="469604BA" w14:textId="77777777" w:rsidR="008B76E2" w:rsidRPr="008B76E2" w:rsidRDefault="008B76E2" w:rsidP="00E46045">
      <w:pPr>
        <w:pStyle w:val="F9-Paragraph"/>
        <w:numPr>
          <w:ilvl w:val="0"/>
          <w:numId w:val="20"/>
        </w:numPr>
      </w:pPr>
      <w:r w:rsidRPr="008B76E2">
        <w:t>Have they applied all new signatures and indicators of compromise within a reasonable (risk-based) time of receiving them?</w:t>
      </w:r>
    </w:p>
    <w:p w14:paraId="04402279" w14:textId="77777777" w:rsidR="008B76E2" w:rsidRPr="008B76E2" w:rsidRDefault="008B76E2" w:rsidP="00E46045">
      <w:pPr>
        <w:pStyle w:val="F9-Paragraph"/>
        <w:numPr>
          <w:ilvl w:val="0"/>
          <w:numId w:val="20"/>
        </w:numPr>
      </w:pPr>
      <w:r w:rsidRPr="008B76E2">
        <w:t xml:space="preserve">Does the </w:t>
      </w:r>
      <w:proofErr w:type="spellStart"/>
      <w:r w:rsidRPr="008B76E2">
        <w:t>dutyholder</w:t>
      </w:r>
      <w:proofErr w:type="spellEnd"/>
      <w:r w:rsidRPr="008B76E2">
        <w:t xml:space="preserve"> receive signature updates for all their protective technologies (e.g. anti-virus, IDS)?</w:t>
      </w:r>
    </w:p>
    <w:p w14:paraId="2B7739B3" w14:textId="77777777" w:rsidR="008B76E2" w:rsidRPr="008B76E2" w:rsidRDefault="008B76E2" w:rsidP="00E46045">
      <w:pPr>
        <w:pStyle w:val="F9-Paragraph"/>
        <w:numPr>
          <w:ilvl w:val="0"/>
          <w:numId w:val="20"/>
        </w:numPr>
      </w:pPr>
      <w:r w:rsidRPr="008B76E2">
        <w:t xml:space="preserve">Does the </w:t>
      </w:r>
      <w:proofErr w:type="spellStart"/>
      <w:r w:rsidRPr="008B76E2">
        <w:t>dutyholder</w:t>
      </w:r>
      <w:proofErr w:type="spellEnd"/>
      <w:r w:rsidRPr="008B76E2">
        <w:t xml:space="preserve"> track the effectiveness of its intelligence feeds and actively share feedback on the usefulness of indicators of compromise and any other indicators with the threat community (e.g. civil nuclear sector, threat intelligence providers, government agencies)?</w:t>
      </w:r>
    </w:p>
    <w:p w14:paraId="17ED5548" w14:textId="77777777" w:rsidR="008B76E2" w:rsidRPr="008B76E2" w:rsidRDefault="008B76E2" w:rsidP="00E46045">
      <w:pPr>
        <w:pStyle w:val="F9-Paragraph"/>
        <w:numPr>
          <w:ilvl w:val="0"/>
          <w:numId w:val="20"/>
        </w:numPr>
      </w:pPr>
      <w:r w:rsidRPr="008B76E2">
        <w:t>Is there a process for initial determination i.e. who declares an incident based on observable events?</w:t>
      </w:r>
    </w:p>
    <w:p w14:paraId="06ED690D" w14:textId="77777777" w:rsidR="008B76E2" w:rsidRPr="008B76E2" w:rsidRDefault="008B76E2" w:rsidP="00E46045">
      <w:pPr>
        <w:pStyle w:val="F9-Paragraph"/>
        <w:numPr>
          <w:ilvl w:val="0"/>
          <w:numId w:val="20"/>
        </w:numPr>
      </w:pPr>
      <w:r w:rsidRPr="008B76E2">
        <w:t>Is there a process for assigning an initial handler and assigning responders?</w:t>
      </w:r>
    </w:p>
    <w:p w14:paraId="5CE3CC8C" w14:textId="77777777" w:rsidR="008B76E2" w:rsidRPr="008B76E2" w:rsidRDefault="008B76E2" w:rsidP="00E46045">
      <w:pPr>
        <w:pStyle w:val="F9-Paragraph"/>
        <w:numPr>
          <w:ilvl w:val="0"/>
          <w:numId w:val="20"/>
        </w:numPr>
      </w:pPr>
      <w:r w:rsidRPr="008B76E2">
        <w:t>Have survey identification points been pre-determined?</w:t>
      </w:r>
    </w:p>
    <w:p w14:paraId="2A2AF2DF" w14:textId="77777777" w:rsidR="008B76E2" w:rsidRPr="008B76E2" w:rsidRDefault="008B76E2" w:rsidP="00E46045">
      <w:pPr>
        <w:pStyle w:val="F9-Paragraph"/>
        <w:numPr>
          <w:ilvl w:val="0"/>
          <w:numId w:val="20"/>
        </w:numPr>
      </w:pPr>
      <w:r w:rsidRPr="008B76E2">
        <w:t>Is there an understanding of the limitations of the incident response capability? (knowing when to call in others)</w:t>
      </w:r>
    </w:p>
    <w:p w14:paraId="4CB430F3" w14:textId="77777777" w:rsidR="008B76E2" w:rsidRPr="008B76E2" w:rsidRDefault="008B76E2" w:rsidP="00E46045">
      <w:pPr>
        <w:pStyle w:val="F9-Paragraph"/>
        <w:numPr>
          <w:ilvl w:val="0"/>
          <w:numId w:val="20"/>
        </w:numPr>
      </w:pPr>
      <w:r w:rsidRPr="008B76E2">
        <w:t>Have checklists been pre-prepared, for example, to check asset state against a known good baseline?</w:t>
      </w:r>
    </w:p>
    <w:p w14:paraId="37C6AF3F" w14:textId="77777777" w:rsidR="008B76E2" w:rsidRPr="008B76E2" w:rsidRDefault="008B76E2" w:rsidP="00E46045">
      <w:pPr>
        <w:pStyle w:val="F9-Paragraph"/>
        <w:numPr>
          <w:ilvl w:val="0"/>
          <w:numId w:val="20"/>
        </w:numPr>
      </w:pPr>
      <w:r w:rsidRPr="008B76E2">
        <w:t>Does the IR team have up to date network architecture diagrams?</w:t>
      </w:r>
    </w:p>
    <w:p w14:paraId="5C3DDCFA" w14:textId="77777777" w:rsidR="008B76E2" w:rsidRPr="008B76E2" w:rsidRDefault="008B76E2" w:rsidP="00E46045">
      <w:pPr>
        <w:pStyle w:val="F9-Paragraph"/>
        <w:numPr>
          <w:ilvl w:val="0"/>
          <w:numId w:val="20"/>
        </w:numPr>
      </w:pPr>
      <w:r w:rsidRPr="008B76E2">
        <w:lastRenderedPageBreak/>
        <w:t>Is there a process for performing system and network activity consistency/baselining checks?</w:t>
      </w:r>
    </w:p>
    <w:p w14:paraId="4C533B89" w14:textId="77777777" w:rsidR="008B76E2" w:rsidRDefault="008B76E2" w:rsidP="00E46045">
      <w:pPr>
        <w:pStyle w:val="F9-Paragraph"/>
        <w:numPr>
          <w:ilvl w:val="0"/>
          <w:numId w:val="21"/>
        </w:numPr>
      </w:pPr>
      <w:r w:rsidRPr="008B76E2">
        <w:t>Have potential key decisions been identified and worked through in advance?</w:t>
      </w:r>
    </w:p>
    <w:p w14:paraId="24DD5A05" w14:textId="77777777" w:rsidR="00F52B43" w:rsidRPr="008B76E2" w:rsidRDefault="00F52B43" w:rsidP="005C2A7F">
      <w:pPr>
        <w:pStyle w:val="F9-Paragraph"/>
        <w:numPr>
          <w:ilvl w:val="0"/>
          <w:numId w:val="0"/>
        </w:numPr>
        <w:ind w:left="1211"/>
      </w:pPr>
    </w:p>
    <w:p w14:paraId="4FEEBE34" w14:textId="77777777" w:rsidR="008B76E2" w:rsidRPr="008B76E2" w:rsidRDefault="008B76E2" w:rsidP="008B76E2">
      <w:pPr>
        <w:pStyle w:val="F9-Paragraph"/>
        <w:numPr>
          <w:ilvl w:val="0"/>
          <w:numId w:val="0"/>
        </w:numPr>
        <w:ind w:left="851"/>
      </w:pPr>
      <w:r w:rsidRPr="008B76E2">
        <w:rPr>
          <w:b/>
          <w:bCs/>
        </w:rPr>
        <w:t>Incident Notification</w:t>
      </w:r>
    </w:p>
    <w:p w14:paraId="1503BFDD" w14:textId="77777777" w:rsidR="008B76E2" w:rsidRPr="008B76E2" w:rsidRDefault="008B76E2" w:rsidP="00E46045">
      <w:pPr>
        <w:pStyle w:val="F9-Paragraph"/>
      </w:pPr>
      <w:r w:rsidRPr="008B76E2">
        <w:t xml:space="preserve">When an incident is identified, the incident response team must make notifications both within the </w:t>
      </w:r>
      <w:proofErr w:type="spellStart"/>
      <w:r w:rsidRPr="008B76E2">
        <w:t>dutyholder</w:t>
      </w:r>
      <w:proofErr w:type="spellEnd"/>
      <w:r w:rsidRPr="008B76E2">
        <w:t xml:space="preserve"> organisation, and external to it. Incident response policies should include provisions for incident reporting - at a minimum, what must be reported, to whom and at what times (e.g. initial notification, regular status updates). In some cases, there are time critical legislative reporting requirements. The exact reporting requirements will vary among </w:t>
      </w:r>
      <w:proofErr w:type="spellStart"/>
      <w:r w:rsidRPr="008B76E2">
        <w:t>dutyholder</w:t>
      </w:r>
      <w:proofErr w:type="spellEnd"/>
      <w:r w:rsidRPr="008B76E2">
        <w:t xml:space="preserve"> organisations, but parties that are typically notified include:</w:t>
      </w:r>
    </w:p>
    <w:p w14:paraId="4BE43523" w14:textId="77777777" w:rsidR="008B76E2" w:rsidRPr="008B76E2" w:rsidRDefault="008B76E2" w:rsidP="00E46045">
      <w:pPr>
        <w:pStyle w:val="F9-Paragraph"/>
        <w:numPr>
          <w:ilvl w:val="0"/>
          <w:numId w:val="22"/>
        </w:numPr>
      </w:pPr>
      <w:r w:rsidRPr="008B76E2">
        <w:t>Individuals in the organisation’s security vertical and relevant executives</w:t>
      </w:r>
    </w:p>
    <w:p w14:paraId="0CD74DDE" w14:textId="77777777" w:rsidR="008B76E2" w:rsidRPr="008B76E2" w:rsidRDefault="008B76E2" w:rsidP="00E46045">
      <w:pPr>
        <w:pStyle w:val="F9-Paragraph"/>
        <w:numPr>
          <w:ilvl w:val="0"/>
          <w:numId w:val="22"/>
        </w:numPr>
      </w:pPr>
      <w:r w:rsidRPr="008B76E2">
        <w:t>Other internal incident response team members</w:t>
      </w:r>
    </w:p>
    <w:p w14:paraId="3AD3026F" w14:textId="77777777" w:rsidR="008B76E2" w:rsidRPr="008B76E2" w:rsidRDefault="008B76E2" w:rsidP="00E46045">
      <w:pPr>
        <w:pStyle w:val="F9-Paragraph"/>
        <w:numPr>
          <w:ilvl w:val="0"/>
          <w:numId w:val="22"/>
        </w:numPr>
      </w:pPr>
      <w:r w:rsidRPr="008B76E2">
        <w:t>External incident response support resource</w:t>
      </w:r>
    </w:p>
    <w:p w14:paraId="4C112C6C" w14:textId="77777777" w:rsidR="008B76E2" w:rsidRPr="008B76E2" w:rsidRDefault="008B76E2" w:rsidP="00E46045">
      <w:pPr>
        <w:pStyle w:val="F9-Paragraph"/>
        <w:numPr>
          <w:ilvl w:val="0"/>
          <w:numId w:val="22"/>
        </w:numPr>
      </w:pPr>
      <w:r w:rsidRPr="008B76E2">
        <w:t>System owner</w:t>
      </w:r>
    </w:p>
    <w:p w14:paraId="49E20BBE" w14:textId="77777777" w:rsidR="008B76E2" w:rsidRPr="008B76E2" w:rsidRDefault="008B76E2" w:rsidP="00E46045">
      <w:pPr>
        <w:pStyle w:val="F9-Paragraph"/>
        <w:numPr>
          <w:ilvl w:val="0"/>
          <w:numId w:val="22"/>
        </w:numPr>
      </w:pPr>
      <w:r w:rsidRPr="008B76E2">
        <w:t>Communications team</w:t>
      </w:r>
    </w:p>
    <w:p w14:paraId="7FE95010" w14:textId="77777777" w:rsidR="008B76E2" w:rsidRPr="008B76E2" w:rsidRDefault="008B76E2" w:rsidP="00E46045">
      <w:pPr>
        <w:pStyle w:val="F9-Paragraph"/>
        <w:numPr>
          <w:ilvl w:val="0"/>
          <w:numId w:val="22"/>
        </w:numPr>
      </w:pPr>
      <w:r w:rsidRPr="008B76E2">
        <w:t>National Cyber Security Centre</w:t>
      </w:r>
    </w:p>
    <w:p w14:paraId="34B16010" w14:textId="03FC6FAF" w:rsidR="008B76E2" w:rsidRPr="008B76E2" w:rsidRDefault="008B76E2" w:rsidP="00E46045">
      <w:pPr>
        <w:pStyle w:val="F9-Paragraph"/>
        <w:numPr>
          <w:ilvl w:val="0"/>
          <w:numId w:val="22"/>
        </w:numPr>
      </w:pPr>
      <w:r w:rsidRPr="008B76E2">
        <w:t xml:space="preserve">ONR and/or other regulators </w:t>
      </w:r>
      <w:r w:rsidR="008126DA">
        <w:t xml:space="preserve">(e.g. ICO) </w:t>
      </w:r>
      <w:r w:rsidRPr="008B76E2">
        <w:t>as appropriate</w:t>
      </w:r>
    </w:p>
    <w:p w14:paraId="13BF0F2C" w14:textId="175B7868" w:rsidR="008B76E2" w:rsidRPr="008B76E2" w:rsidRDefault="008B76E2" w:rsidP="00E46045">
      <w:pPr>
        <w:pStyle w:val="F9-Paragraph"/>
        <w:numPr>
          <w:ilvl w:val="0"/>
          <w:numId w:val="22"/>
        </w:numPr>
      </w:pPr>
      <w:r w:rsidRPr="008B76E2">
        <w:t>National Cyber Crime Unit/</w:t>
      </w:r>
      <w:r>
        <w:t xml:space="preserve"> </w:t>
      </w:r>
      <w:r w:rsidRPr="008B76E2">
        <w:t>Police</w:t>
      </w:r>
    </w:p>
    <w:p w14:paraId="23B5B7CB" w14:textId="0DC04564" w:rsidR="008B76E2" w:rsidRPr="008B76E2" w:rsidRDefault="008B76E2" w:rsidP="00E46045">
      <w:pPr>
        <w:pStyle w:val="F9-Paragraph"/>
        <w:numPr>
          <w:ilvl w:val="0"/>
          <w:numId w:val="22"/>
        </w:numPr>
      </w:pPr>
      <w:r w:rsidRPr="008B76E2">
        <w:t>Anyone with whom a contractual arrangement</w:t>
      </w:r>
      <w:r w:rsidR="0037631B">
        <w:t xml:space="preserve"> or</w:t>
      </w:r>
      <w:r w:rsidR="0066362B">
        <w:t xml:space="preserve"> parent body</w:t>
      </w:r>
      <w:r w:rsidRPr="008B76E2">
        <w:t xml:space="preserve"> </w:t>
      </w:r>
      <w:r w:rsidR="0037631B">
        <w:t xml:space="preserve">organisation ownership arrangement </w:t>
      </w:r>
      <w:r w:rsidRPr="008B76E2">
        <w:t>exists e.g. a Contracting Authority</w:t>
      </w:r>
      <w:r w:rsidR="0037631B">
        <w:t>, Group Headquarters</w:t>
      </w:r>
      <w:r w:rsidR="00D84084">
        <w:t xml:space="preserve"> or </w:t>
      </w:r>
      <w:r w:rsidR="0037631B">
        <w:t xml:space="preserve">Government Department e.g. </w:t>
      </w:r>
      <w:r w:rsidR="00D84084">
        <w:t xml:space="preserve">Department </w:t>
      </w:r>
      <w:r w:rsidR="0037631B">
        <w:t xml:space="preserve">for </w:t>
      </w:r>
      <w:r w:rsidR="00D84084">
        <w:t xml:space="preserve">Energy Security </w:t>
      </w:r>
      <w:r w:rsidR="008121FC">
        <w:t>and Net Zero (</w:t>
      </w:r>
      <w:r w:rsidR="00D84084">
        <w:t>DESNZ</w:t>
      </w:r>
      <w:r w:rsidR="008121FC">
        <w:t>)</w:t>
      </w:r>
      <w:r w:rsidR="00D84084">
        <w:t xml:space="preserve">. </w:t>
      </w:r>
    </w:p>
    <w:p w14:paraId="1EB36541" w14:textId="77777777" w:rsidR="008B76E2" w:rsidRPr="008B76E2" w:rsidRDefault="008B76E2" w:rsidP="008B76E2">
      <w:pPr>
        <w:pStyle w:val="F9-Paragraph"/>
        <w:numPr>
          <w:ilvl w:val="0"/>
          <w:numId w:val="0"/>
        </w:numPr>
        <w:ind w:left="851"/>
      </w:pPr>
      <w:r w:rsidRPr="008B76E2">
        <w:rPr>
          <w:b/>
          <w:bCs/>
        </w:rPr>
        <w:t>Inspectors should consider</w:t>
      </w:r>
      <w:r w:rsidRPr="008B76E2">
        <w:t>:</w:t>
      </w:r>
    </w:p>
    <w:p w14:paraId="634041DB" w14:textId="77777777" w:rsidR="008B76E2" w:rsidRPr="008B76E2" w:rsidRDefault="008B76E2" w:rsidP="00E46045">
      <w:pPr>
        <w:pStyle w:val="F9-Paragraph"/>
      </w:pPr>
      <w:r w:rsidRPr="008B76E2">
        <w:t xml:space="preserve">Is the </w:t>
      </w:r>
      <w:proofErr w:type="spellStart"/>
      <w:r w:rsidRPr="008B76E2">
        <w:t>dutyholder</w:t>
      </w:r>
      <w:proofErr w:type="spellEnd"/>
      <w:r w:rsidRPr="008B76E2">
        <w:t xml:space="preserve"> familiar with the incident reporting requirements and processes to inform regulators and third parties?</w:t>
      </w:r>
    </w:p>
    <w:p w14:paraId="2322AD93" w14:textId="77777777" w:rsidR="008B76E2" w:rsidRPr="008B76E2" w:rsidRDefault="008B76E2" w:rsidP="008B76E2">
      <w:pPr>
        <w:pStyle w:val="F9-Paragraph"/>
        <w:numPr>
          <w:ilvl w:val="0"/>
          <w:numId w:val="0"/>
        </w:numPr>
        <w:ind w:left="851"/>
        <w:rPr>
          <w:b/>
        </w:rPr>
      </w:pPr>
      <w:r w:rsidRPr="008B76E2">
        <w:rPr>
          <w:b/>
        </w:rPr>
        <w:t>Monitoring tools and skills</w:t>
      </w:r>
    </w:p>
    <w:p w14:paraId="0469B407" w14:textId="77777777" w:rsidR="008B76E2" w:rsidRPr="008B76E2" w:rsidRDefault="008B76E2" w:rsidP="00E46045">
      <w:pPr>
        <w:pStyle w:val="F9-Paragraph"/>
      </w:pPr>
      <w:r w:rsidRPr="008B76E2">
        <w:t xml:space="preserve">A </w:t>
      </w:r>
      <w:proofErr w:type="spellStart"/>
      <w:r w:rsidRPr="008B76E2">
        <w:t>dutyholder’s</w:t>
      </w:r>
      <w:proofErr w:type="spellEnd"/>
      <w:r w:rsidRPr="008B76E2">
        <w:t xml:space="preserve"> monitoring staff must have skills, tools, and roles that reflect governance and reporting requirements, expected threats and the complexities of the network or system data they need to use. Monitoring staff must have knowledge of the essential functions and data they need to protect.</w:t>
      </w:r>
    </w:p>
    <w:p w14:paraId="662C18ED" w14:textId="77777777" w:rsidR="008B76E2" w:rsidRPr="008B76E2" w:rsidRDefault="008B76E2" w:rsidP="00E46045">
      <w:pPr>
        <w:pStyle w:val="F9-Paragraph"/>
      </w:pPr>
      <w:r w:rsidRPr="008B76E2">
        <w:rPr>
          <w:b/>
        </w:rPr>
        <w:lastRenderedPageBreak/>
        <w:t>Inspectors should consider</w:t>
      </w:r>
      <w:r w:rsidRPr="008B76E2">
        <w:t>:</w:t>
      </w:r>
    </w:p>
    <w:p w14:paraId="44C538A1" w14:textId="77777777" w:rsidR="008B76E2" w:rsidRPr="008B76E2" w:rsidRDefault="008B76E2" w:rsidP="00E46045">
      <w:pPr>
        <w:pStyle w:val="F9-Paragraph"/>
        <w:numPr>
          <w:ilvl w:val="0"/>
          <w:numId w:val="23"/>
        </w:numPr>
      </w:pPr>
      <w:r w:rsidRPr="008B76E2">
        <w:t xml:space="preserve">Does the </w:t>
      </w:r>
      <w:proofErr w:type="spellStart"/>
      <w:r w:rsidRPr="008B76E2">
        <w:t>dutyholder</w:t>
      </w:r>
      <w:proofErr w:type="spellEnd"/>
      <w:r w:rsidRPr="008B76E2">
        <w:t xml:space="preserve"> have monitoring staff, who are responsible for the analysis, investigation and reporting of monitoring alerts covering both security and performance?</w:t>
      </w:r>
    </w:p>
    <w:p w14:paraId="5D1A4DFB" w14:textId="77777777" w:rsidR="008B76E2" w:rsidRPr="008B76E2" w:rsidRDefault="008B76E2" w:rsidP="00E46045">
      <w:pPr>
        <w:pStyle w:val="F9-Paragraph"/>
        <w:numPr>
          <w:ilvl w:val="0"/>
          <w:numId w:val="23"/>
        </w:numPr>
      </w:pPr>
      <w:r w:rsidRPr="008B76E2">
        <w:t>Do monitoring staff have defined roles and skills that cover all parts of the monitoring and investigation process?</w:t>
      </w:r>
    </w:p>
    <w:p w14:paraId="552E79B0" w14:textId="77777777" w:rsidR="008B76E2" w:rsidRPr="008B76E2" w:rsidRDefault="008B76E2" w:rsidP="00E46045">
      <w:pPr>
        <w:pStyle w:val="F9-Paragraph"/>
        <w:numPr>
          <w:ilvl w:val="0"/>
          <w:numId w:val="23"/>
        </w:numPr>
      </w:pPr>
      <w:r w:rsidRPr="008B76E2">
        <w:t>Are there playbooks to ensure consistency and to enable monitoring staff to make the determination regarding the initial validity of the alert in front of them as quickly as possible?</w:t>
      </w:r>
    </w:p>
    <w:p w14:paraId="72FF372A" w14:textId="77777777" w:rsidR="008B76E2" w:rsidRPr="008B76E2" w:rsidRDefault="008B76E2" w:rsidP="00E46045">
      <w:pPr>
        <w:pStyle w:val="F9-Paragraph"/>
        <w:numPr>
          <w:ilvl w:val="0"/>
          <w:numId w:val="23"/>
        </w:numPr>
      </w:pPr>
      <w:r w:rsidRPr="008B76E2">
        <w:t>Do monitoring staff follow processes and procedures that address all governance reporting requirements, internal and external?</w:t>
      </w:r>
    </w:p>
    <w:p w14:paraId="43F44B7B" w14:textId="77777777" w:rsidR="008B76E2" w:rsidRPr="008B76E2" w:rsidRDefault="008B76E2" w:rsidP="00E46045">
      <w:pPr>
        <w:pStyle w:val="F9-Paragraph"/>
        <w:numPr>
          <w:ilvl w:val="0"/>
          <w:numId w:val="23"/>
        </w:numPr>
      </w:pPr>
      <w:r w:rsidRPr="008B76E2">
        <w:t>Are monitoring staff empowered to look beyond the fixed process to investigate and understand non-standard threats, by developing their own investigative techniques and making new use of data?</w:t>
      </w:r>
    </w:p>
    <w:p w14:paraId="0E008607" w14:textId="77777777" w:rsidR="008B76E2" w:rsidRPr="008B76E2" w:rsidRDefault="008B76E2" w:rsidP="00E46045">
      <w:pPr>
        <w:pStyle w:val="F9-Paragraph"/>
        <w:numPr>
          <w:ilvl w:val="0"/>
          <w:numId w:val="23"/>
        </w:numPr>
      </w:pPr>
      <w:r w:rsidRPr="008B76E2">
        <w:t>Do their monitoring tools make use of all logging data collected to pinpoint activity within an incident?</w:t>
      </w:r>
    </w:p>
    <w:p w14:paraId="452273F0" w14:textId="77777777" w:rsidR="008B76E2" w:rsidRPr="008B76E2" w:rsidRDefault="008B76E2" w:rsidP="00E46045">
      <w:pPr>
        <w:pStyle w:val="F9-Paragraph"/>
        <w:numPr>
          <w:ilvl w:val="0"/>
          <w:numId w:val="23"/>
        </w:numPr>
      </w:pPr>
      <w:r w:rsidRPr="008B76E2">
        <w:t>Can their monitoring staff and tools drive and shape new log data collection and make wide use of it?</w:t>
      </w:r>
    </w:p>
    <w:p w14:paraId="55C69D45" w14:textId="77777777" w:rsidR="008B76E2" w:rsidRPr="008B76E2" w:rsidRDefault="008B76E2" w:rsidP="00E46045">
      <w:pPr>
        <w:pStyle w:val="F9-Paragraph"/>
        <w:numPr>
          <w:ilvl w:val="0"/>
          <w:numId w:val="23"/>
        </w:numPr>
      </w:pPr>
      <w:r w:rsidRPr="008B76E2">
        <w:t>Are monitoring staff aware of the operation of essential functions and related assets and can identify and prioritise alerts or investigations that relate to them?</w:t>
      </w:r>
    </w:p>
    <w:p w14:paraId="3F8C4D2A" w14:textId="77777777" w:rsidR="008B76E2" w:rsidRPr="008B76E2" w:rsidRDefault="008B76E2" w:rsidP="008B76E2">
      <w:pPr>
        <w:pStyle w:val="F9-Paragraph"/>
        <w:numPr>
          <w:ilvl w:val="0"/>
          <w:numId w:val="0"/>
        </w:numPr>
        <w:ind w:left="851"/>
      </w:pPr>
      <w:r w:rsidRPr="008B76E2">
        <w:rPr>
          <w:b/>
        </w:rPr>
        <w:t>Proactive security event and abnormality discovery</w:t>
      </w:r>
    </w:p>
    <w:p w14:paraId="047909B8" w14:textId="77777777" w:rsidR="008B76E2" w:rsidRPr="008B76E2" w:rsidRDefault="008B76E2" w:rsidP="00E46045">
      <w:pPr>
        <w:pStyle w:val="F9-Paragraph"/>
      </w:pPr>
      <w:r w:rsidRPr="008B76E2">
        <w:t xml:space="preserve">The </w:t>
      </w:r>
      <w:proofErr w:type="spellStart"/>
      <w:r w:rsidRPr="008B76E2">
        <w:t>dutyholder</w:t>
      </w:r>
      <w:proofErr w:type="spellEnd"/>
      <w:r w:rsidRPr="008B76E2">
        <w:t xml:space="preserve"> should detect, within networks and information systems, malicious activity affecting, or with the potential to affect, the operation of essential functions even when the activity evades standard signature based security prevent/detect solutions (or when standard solutions are not deployable).</w:t>
      </w:r>
    </w:p>
    <w:p w14:paraId="327699EF" w14:textId="77777777" w:rsidR="008B76E2" w:rsidRPr="008B76E2" w:rsidRDefault="008B76E2" w:rsidP="00E46045">
      <w:pPr>
        <w:pStyle w:val="F9-Paragraph"/>
      </w:pPr>
      <w:r w:rsidRPr="008B76E2">
        <w:t xml:space="preserve">The </w:t>
      </w:r>
      <w:proofErr w:type="spellStart"/>
      <w:r w:rsidRPr="008B76E2">
        <w:t>dutyholder</w:t>
      </w:r>
      <w:proofErr w:type="spellEnd"/>
      <w:r w:rsidRPr="008B76E2">
        <w:t xml:space="preserve"> should define examples of abnormalities in system behaviour that provide practical ways of detecting malicious activity that is otherwise hard to identify.</w:t>
      </w:r>
    </w:p>
    <w:p w14:paraId="0AFC213F" w14:textId="77777777" w:rsidR="008B76E2" w:rsidRPr="008B76E2" w:rsidRDefault="008B76E2" w:rsidP="00E46045">
      <w:pPr>
        <w:pStyle w:val="F9-Paragraph"/>
      </w:pPr>
      <w:r w:rsidRPr="008B76E2">
        <w:rPr>
          <w:b/>
        </w:rPr>
        <w:t>Inspectors should consider</w:t>
      </w:r>
      <w:r w:rsidRPr="008B76E2">
        <w:t>:</w:t>
      </w:r>
    </w:p>
    <w:p w14:paraId="059422F1" w14:textId="14E8A1A2" w:rsidR="008B76E2" w:rsidRPr="008B76E2" w:rsidRDefault="008B76E2" w:rsidP="00E46045">
      <w:pPr>
        <w:pStyle w:val="F9-Paragraph"/>
        <w:numPr>
          <w:ilvl w:val="0"/>
          <w:numId w:val="24"/>
        </w:numPr>
      </w:pPr>
      <w:r w:rsidRPr="008B76E2">
        <w:t xml:space="preserve">Does the </w:t>
      </w:r>
      <w:proofErr w:type="spellStart"/>
      <w:r w:rsidRPr="008B76E2">
        <w:t>dutyholder</w:t>
      </w:r>
      <w:proofErr w:type="spellEnd"/>
      <w:r w:rsidRPr="008B76E2">
        <w:t xml:space="preserve"> fully understand normal system behaviour to such an extent that searching for system abnormalities is a potentially effective way of detecting malicious activity (i.e. do they fully understand which systems should and should not communicate and when)?</w:t>
      </w:r>
    </w:p>
    <w:p w14:paraId="1F0D1BBE" w14:textId="77777777" w:rsidR="008B76E2" w:rsidRPr="008B76E2" w:rsidRDefault="008B76E2" w:rsidP="00E46045">
      <w:pPr>
        <w:pStyle w:val="F9-Paragraph"/>
        <w:numPr>
          <w:ilvl w:val="0"/>
          <w:numId w:val="24"/>
        </w:numPr>
      </w:pPr>
      <w:r w:rsidRPr="008B76E2">
        <w:lastRenderedPageBreak/>
        <w:t xml:space="preserve">Are system abnormality descriptions from past attacks and threat intelligence, on </w:t>
      </w:r>
      <w:proofErr w:type="spellStart"/>
      <w:r w:rsidRPr="008B76E2">
        <w:t>dutyholder</w:t>
      </w:r>
      <w:proofErr w:type="spellEnd"/>
      <w:r w:rsidRPr="008B76E2">
        <w:t xml:space="preserve"> and other networks, used to signify malicious activity?</w:t>
      </w:r>
    </w:p>
    <w:p w14:paraId="54EE1799" w14:textId="77777777" w:rsidR="008B76E2" w:rsidRPr="008B76E2" w:rsidRDefault="008B76E2" w:rsidP="00E46045">
      <w:pPr>
        <w:pStyle w:val="F9-Paragraph"/>
        <w:numPr>
          <w:ilvl w:val="0"/>
          <w:numId w:val="24"/>
        </w:numPr>
      </w:pPr>
      <w:r w:rsidRPr="008B76E2">
        <w:t>Do the system abnormalities they search for consider the nature of attacks likely to impact on the networks and information systems supporting the operation of essential functions?</w:t>
      </w:r>
    </w:p>
    <w:p w14:paraId="4D0C1EAD" w14:textId="77777777" w:rsidR="008B76E2" w:rsidRDefault="008B76E2" w:rsidP="00E46045">
      <w:pPr>
        <w:pStyle w:val="F9-Paragraph"/>
        <w:numPr>
          <w:ilvl w:val="0"/>
          <w:numId w:val="24"/>
        </w:numPr>
      </w:pPr>
      <w:r w:rsidRPr="008B76E2">
        <w:t>Are the system abnormality descriptions they use updated to reflect changes in their networks and information systems and current threat intelligence?</w:t>
      </w:r>
    </w:p>
    <w:p w14:paraId="0A98A124" w14:textId="77777777" w:rsidR="008B76E2" w:rsidRPr="008B76E2" w:rsidRDefault="008B76E2" w:rsidP="008B76E2">
      <w:pPr>
        <w:pStyle w:val="F9-Paragraph"/>
        <w:numPr>
          <w:ilvl w:val="0"/>
          <w:numId w:val="0"/>
        </w:numPr>
        <w:ind w:left="851"/>
        <w:rPr>
          <w:b/>
        </w:rPr>
      </w:pPr>
      <w:r w:rsidRPr="008B76E2">
        <w:rPr>
          <w:b/>
        </w:rPr>
        <w:t>Proactive attack discovery</w:t>
      </w:r>
    </w:p>
    <w:p w14:paraId="1C6A9D93" w14:textId="77777777" w:rsidR="008B76E2" w:rsidRPr="008B76E2" w:rsidRDefault="008B76E2" w:rsidP="00E46045">
      <w:pPr>
        <w:pStyle w:val="F9-Paragraph"/>
        <w:rPr>
          <w:bCs/>
        </w:rPr>
      </w:pPr>
      <w:proofErr w:type="spellStart"/>
      <w:r w:rsidRPr="008B76E2">
        <w:rPr>
          <w:bCs/>
        </w:rPr>
        <w:t>Dutyholders</w:t>
      </w:r>
      <w:proofErr w:type="spellEnd"/>
      <w:r w:rsidRPr="008B76E2">
        <w:rPr>
          <w:bCs/>
        </w:rPr>
        <w:t xml:space="preserve"> should use an informed understanding of more sophisticated attack methods and of normal system behaviour to monitor proactively for malicious activity.</w:t>
      </w:r>
    </w:p>
    <w:p w14:paraId="412BCC6C" w14:textId="77777777" w:rsidR="008B76E2" w:rsidRPr="008B76E2" w:rsidRDefault="008B76E2" w:rsidP="008B76E2">
      <w:pPr>
        <w:pStyle w:val="F9-Paragraph"/>
        <w:numPr>
          <w:ilvl w:val="0"/>
          <w:numId w:val="0"/>
        </w:numPr>
        <w:ind w:left="851"/>
      </w:pPr>
      <w:r w:rsidRPr="008B76E2">
        <w:rPr>
          <w:b/>
        </w:rPr>
        <w:t>Inspectors should consider</w:t>
      </w:r>
      <w:r w:rsidRPr="008B76E2">
        <w:t>:</w:t>
      </w:r>
    </w:p>
    <w:p w14:paraId="484E11AB" w14:textId="77777777" w:rsidR="008B76E2" w:rsidRPr="008B76E2" w:rsidRDefault="008B76E2" w:rsidP="00E46045">
      <w:pPr>
        <w:pStyle w:val="F9-Paragraph"/>
        <w:numPr>
          <w:ilvl w:val="0"/>
          <w:numId w:val="25"/>
        </w:numPr>
      </w:pPr>
      <w:r w:rsidRPr="008B76E2">
        <w:t xml:space="preserve">Does the </w:t>
      </w:r>
      <w:proofErr w:type="spellStart"/>
      <w:r w:rsidRPr="008B76E2">
        <w:t>dutyholder</w:t>
      </w:r>
      <w:proofErr w:type="spellEnd"/>
      <w:r w:rsidRPr="008B76E2">
        <w:t xml:space="preserve"> routinely search for system abnormalities indicative of malicious activity on the networks and information systems supporting the operation of their essential function, generating alerts based on the results of such searches?</w:t>
      </w:r>
    </w:p>
    <w:p w14:paraId="76089D11" w14:textId="77777777" w:rsidR="008B76E2" w:rsidRPr="008B76E2" w:rsidRDefault="008B76E2" w:rsidP="00E46045">
      <w:pPr>
        <w:pStyle w:val="F9-Paragraph"/>
        <w:numPr>
          <w:ilvl w:val="0"/>
          <w:numId w:val="25"/>
        </w:numPr>
      </w:pPr>
      <w:r w:rsidRPr="008B76E2">
        <w:t xml:space="preserve">Does the </w:t>
      </w:r>
      <w:proofErr w:type="spellStart"/>
      <w:r w:rsidRPr="008B76E2">
        <w:t>dutyholder</w:t>
      </w:r>
      <w:proofErr w:type="spellEnd"/>
      <w:r w:rsidRPr="008B76E2">
        <w:t xml:space="preserve"> have justified confidence in the effectiveness of their searches for system abnormalities indicative of malicious activity?</w:t>
      </w:r>
    </w:p>
    <w:p w14:paraId="437E8E1C" w14:textId="77777777" w:rsidR="008B76E2" w:rsidRDefault="008B76E2" w:rsidP="00E46045">
      <w:pPr>
        <w:pStyle w:val="F9-Paragraph"/>
        <w:numPr>
          <w:ilvl w:val="0"/>
          <w:numId w:val="25"/>
        </w:numPr>
      </w:pPr>
      <w:r w:rsidRPr="008B76E2">
        <w:t xml:space="preserve">Does the </w:t>
      </w:r>
      <w:proofErr w:type="spellStart"/>
      <w:r w:rsidRPr="008B76E2">
        <w:t>dutyholder</w:t>
      </w:r>
      <w:proofErr w:type="spellEnd"/>
      <w:r w:rsidRPr="008B76E2">
        <w:t xml:space="preserve"> routinely test the capability of the monitoring service to detect cyber incidents based on new and existing threats? </w:t>
      </w:r>
    </w:p>
    <w:p w14:paraId="02501705" w14:textId="77777777" w:rsidR="008057E9" w:rsidRPr="008B76E2" w:rsidRDefault="008057E9" w:rsidP="008057E9">
      <w:pPr>
        <w:pStyle w:val="F9-Paragraph"/>
        <w:numPr>
          <w:ilvl w:val="0"/>
          <w:numId w:val="0"/>
        </w:numPr>
        <w:ind w:left="1211"/>
      </w:pPr>
    </w:p>
    <w:p w14:paraId="59A036B7" w14:textId="16D24614" w:rsidR="008B76E2" w:rsidRDefault="008B76E2" w:rsidP="008B76E2">
      <w:pPr>
        <w:pStyle w:val="Heading1"/>
      </w:pPr>
      <w:bookmarkStart w:id="9" w:name="_Toc155256141"/>
      <w:r>
        <w:t>Containment, Eradication and Recovery</w:t>
      </w:r>
      <w:bookmarkEnd w:id="9"/>
      <w:r>
        <w:t xml:space="preserve"> </w:t>
      </w:r>
    </w:p>
    <w:p w14:paraId="152AB159" w14:textId="77777777" w:rsidR="008B76E2" w:rsidRPr="008B76E2" w:rsidRDefault="008B76E2" w:rsidP="00E46045">
      <w:pPr>
        <w:pStyle w:val="F9-Paragraph"/>
      </w:pPr>
      <w:r w:rsidRPr="008B76E2">
        <w:t xml:space="preserve">In line with RGP this TAG combines the Containment, Eradication and Recovery phase as there is a degree of overlap and iteration between each. </w:t>
      </w:r>
    </w:p>
    <w:p w14:paraId="0692ED8F" w14:textId="29905FD6" w:rsidR="008B76E2" w:rsidRDefault="008B76E2" w:rsidP="008B76E2">
      <w:pPr>
        <w:pStyle w:val="F9-Paragraph"/>
      </w:pPr>
      <w:r w:rsidRPr="008B76E2">
        <w:t xml:space="preserve">The containment phase sees responders work to limit any system damage caused by an incident and take measures to prevent further damage occurring. </w:t>
      </w:r>
    </w:p>
    <w:p w14:paraId="4DB0472A" w14:textId="77777777" w:rsidR="008B76E2" w:rsidRPr="008B76E2" w:rsidRDefault="008B76E2" w:rsidP="008B76E2">
      <w:pPr>
        <w:pStyle w:val="F9-Paragraph"/>
        <w:numPr>
          <w:ilvl w:val="0"/>
          <w:numId w:val="0"/>
        </w:numPr>
        <w:ind w:left="851"/>
      </w:pPr>
      <w:r w:rsidRPr="008B76E2">
        <w:rPr>
          <w:b/>
          <w:bCs/>
        </w:rPr>
        <w:t>Incident characterisation and containment strategy</w:t>
      </w:r>
    </w:p>
    <w:p w14:paraId="7EA6E348" w14:textId="77777777" w:rsidR="008B76E2" w:rsidRPr="008B76E2" w:rsidRDefault="008B76E2" w:rsidP="00E46045">
      <w:pPr>
        <w:pStyle w:val="F9-Paragraph"/>
      </w:pPr>
      <w:r w:rsidRPr="008B76E2">
        <w:t xml:space="preserve">Containment provides time for developing a tailored remediation strategy. An essential part of containment is decision-making (e.g. isolate an endpoint, shut down a system, disconnect it from a network, disable certain functions). </w:t>
      </w:r>
      <w:r w:rsidRPr="008B76E2">
        <w:lastRenderedPageBreak/>
        <w:t xml:space="preserve">Such decisions are much easier to make if there are predetermined strategies and procedures for containing the incident. </w:t>
      </w:r>
    </w:p>
    <w:p w14:paraId="636A36DE" w14:textId="77777777" w:rsidR="008B76E2" w:rsidRPr="008B76E2" w:rsidRDefault="008B76E2" w:rsidP="00E46045">
      <w:pPr>
        <w:pStyle w:val="F9-Paragraph"/>
      </w:pPr>
      <w:r w:rsidRPr="008B76E2">
        <w:t xml:space="preserve">Containment strategies vary based on the type of incident. For example, the strategy for containing an email-borne malware infection is quite different from that of a network-based DDoS attack. </w:t>
      </w:r>
    </w:p>
    <w:p w14:paraId="7CC7CA45" w14:textId="77777777" w:rsidR="008B76E2" w:rsidRPr="008B76E2" w:rsidRDefault="008B76E2" w:rsidP="008B76E2">
      <w:pPr>
        <w:pStyle w:val="F9-Paragraph"/>
        <w:numPr>
          <w:ilvl w:val="0"/>
          <w:numId w:val="0"/>
        </w:numPr>
        <w:ind w:left="851"/>
      </w:pPr>
      <w:r w:rsidRPr="008B76E2">
        <w:rPr>
          <w:b/>
          <w:bCs/>
        </w:rPr>
        <w:t>Inspectors should consider</w:t>
      </w:r>
      <w:r w:rsidRPr="008B76E2">
        <w:t>:</w:t>
      </w:r>
    </w:p>
    <w:p w14:paraId="17A7C14A" w14:textId="77777777" w:rsidR="008B76E2" w:rsidRPr="008B76E2" w:rsidRDefault="008B76E2" w:rsidP="00E46045">
      <w:pPr>
        <w:pStyle w:val="F9-Paragraph"/>
        <w:numPr>
          <w:ilvl w:val="0"/>
          <w:numId w:val="26"/>
        </w:numPr>
      </w:pPr>
      <w:r w:rsidRPr="008B76E2">
        <w:t xml:space="preserve">Has the </w:t>
      </w:r>
      <w:proofErr w:type="spellStart"/>
      <w:r w:rsidRPr="008B76E2">
        <w:t>dutyholder</w:t>
      </w:r>
      <w:proofErr w:type="spellEnd"/>
      <w:r w:rsidRPr="008B76E2">
        <w:t xml:space="preserve"> identified the major incident types that could impact its operations?</w:t>
      </w:r>
    </w:p>
    <w:p w14:paraId="19AEF00E" w14:textId="77777777" w:rsidR="008B76E2" w:rsidRPr="008B76E2" w:rsidRDefault="008B76E2" w:rsidP="00E46045">
      <w:pPr>
        <w:pStyle w:val="F9-Paragraph"/>
        <w:numPr>
          <w:ilvl w:val="0"/>
          <w:numId w:val="26"/>
        </w:numPr>
      </w:pPr>
      <w:r w:rsidRPr="008B76E2">
        <w:t xml:space="preserve">Has the </w:t>
      </w:r>
      <w:proofErr w:type="spellStart"/>
      <w:r w:rsidRPr="008B76E2">
        <w:t>dutyholder</w:t>
      </w:r>
      <w:proofErr w:type="spellEnd"/>
      <w:r w:rsidRPr="008B76E2">
        <w:t xml:space="preserve"> created separate containment strategies for each major incident type, with criteria documented clearly to facilitate decision-making?</w:t>
      </w:r>
    </w:p>
    <w:p w14:paraId="673BF717" w14:textId="77777777" w:rsidR="008B76E2" w:rsidRPr="008B76E2" w:rsidRDefault="008B76E2" w:rsidP="00E46045">
      <w:pPr>
        <w:pStyle w:val="F9-Paragraph"/>
        <w:numPr>
          <w:ilvl w:val="0"/>
          <w:numId w:val="26"/>
        </w:numPr>
      </w:pPr>
      <w:r w:rsidRPr="008B76E2">
        <w:t xml:space="preserve">Has the </w:t>
      </w:r>
      <w:proofErr w:type="spellStart"/>
      <w:r w:rsidRPr="008B76E2">
        <w:t>dutyholder</w:t>
      </w:r>
      <w:proofErr w:type="spellEnd"/>
      <w:r w:rsidRPr="008B76E2">
        <w:t xml:space="preserve"> defined risk appetite for incident handling? </w:t>
      </w:r>
    </w:p>
    <w:p w14:paraId="02831B6E" w14:textId="77777777" w:rsidR="008B76E2" w:rsidRDefault="008B76E2" w:rsidP="00E46045">
      <w:pPr>
        <w:pStyle w:val="F9-Paragraph"/>
        <w:numPr>
          <w:ilvl w:val="0"/>
          <w:numId w:val="26"/>
        </w:numPr>
      </w:pPr>
      <w:r w:rsidRPr="008B76E2">
        <w:t>Do the containment strategies enable the organisation to remain within that risk tolerance?</w:t>
      </w:r>
    </w:p>
    <w:p w14:paraId="12B78AA5" w14:textId="5E304159" w:rsidR="00032CA1" w:rsidRPr="008B76E2" w:rsidRDefault="00EB2643" w:rsidP="00E46045">
      <w:pPr>
        <w:pStyle w:val="F9-Paragraph"/>
        <w:numPr>
          <w:ilvl w:val="0"/>
          <w:numId w:val="26"/>
        </w:numPr>
      </w:pPr>
      <w:r w:rsidRPr="00EB2643">
        <w:t xml:space="preserve">Does the </w:t>
      </w:r>
      <w:proofErr w:type="spellStart"/>
      <w:r w:rsidRPr="00EB2643">
        <w:t>dutyhold</w:t>
      </w:r>
      <w:r w:rsidR="008A5B60">
        <w:t>er</w:t>
      </w:r>
      <w:proofErr w:type="spellEnd"/>
      <w:r w:rsidRPr="00EB2643">
        <w:t xml:space="preserve"> have means to monitor for potential re-infection during the containment, eradication and recovery phase</w:t>
      </w:r>
      <w:r w:rsidR="00470C56">
        <w:t>?</w:t>
      </w:r>
    </w:p>
    <w:p w14:paraId="3196CB9D" w14:textId="77777777" w:rsidR="008B76E2" w:rsidRPr="008B76E2" w:rsidRDefault="008B76E2" w:rsidP="008B76E2">
      <w:pPr>
        <w:pStyle w:val="F9-Paragraph"/>
        <w:numPr>
          <w:ilvl w:val="0"/>
          <w:numId w:val="0"/>
        </w:numPr>
        <w:ind w:left="851"/>
      </w:pPr>
      <w:r w:rsidRPr="008B76E2">
        <w:rPr>
          <w:b/>
          <w:bCs/>
        </w:rPr>
        <w:t>Evidence gathering and handling</w:t>
      </w:r>
    </w:p>
    <w:p w14:paraId="010E1D55" w14:textId="77777777" w:rsidR="008B76E2" w:rsidRPr="008B76E2" w:rsidRDefault="008B76E2" w:rsidP="00E46045">
      <w:pPr>
        <w:pStyle w:val="F9-Paragraph"/>
      </w:pPr>
      <w:r w:rsidRPr="008B76E2">
        <w:t xml:space="preserve">Although the primary reason for gathering evidence during an incident is to resolve the incident, it may also be needed for legal proceedings. In such cases, it is important to clearly document how all evidence, including compromised systems, has been preserved. </w:t>
      </w:r>
    </w:p>
    <w:p w14:paraId="1587EA72" w14:textId="77777777" w:rsidR="008B76E2" w:rsidRPr="008B76E2" w:rsidRDefault="008B76E2" w:rsidP="00E46045">
      <w:pPr>
        <w:pStyle w:val="F9-Paragraph"/>
      </w:pPr>
      <w:r w:rsidRPr="008B76E2">
        <w:t>Computer based digital evidence is fragile in nature and may be altered or destroyed through improper handling or examination. Forensic processes should ensure the use of a write blocker to ensure that data is not inadvertently changed.</w:t>
      </w:r>
    </w:p>
    <w:p w14:paraId="1A39E378" w14:textId="77777777" w:rsidR="008B76E2" w:rsidRPr="008B76E2" w:rsidRDefault="008B76E2" w:rsidP="00E46045">
      <w:pPr>
        <w:pStyle w:val="F9-Paragraph"/>
      </w:pPr>
      <w:r w:rsidRPr="008B76E2">
        <w:t>Evidence should be collected according to procedures that meet all applicable laws and regulations that have been developed from previous discussions with legal staff and appropriate law enforcement agencies so that any evidence can be admissible in court. In particular, a master copy and a working copy of the imaged data should be made in line with best forensic practice. Any forensic services provider should be accredited to ISO17025, the legal standard for admissible evidence, as a minimum.</w:t>
      </w:r>
    </w:p>
    <w:p w14:paraId="39D83F95" w14:textId="77777777" w:rsidR="008B76E2" w:rsidRPr="008B76E2" w:rsidRDefault="008B76E2" w:rsidP="00E46045">
      <w:pPr>
        <w:pStyle w:val="F9-Paragraph"/>
      </w:pPr>
      <w:r w:rsidRPr="008B76E2">
        <w:t>Whenever evidence is transferred from person to person, chain of custody forms should detail the transfer and include each party’s signature. A detailed log should be kept for all evidence, including the following:</w:t>
      </w:r>
    </w:p>
    <w:p w14:paraId="380C162D" w14:textId="77777777" w:rsidR="008B76E2" w:rsidRPr="008B76E2" w:rsidRDefault="008B76E2" w:rsidP="00E46045">
      <w:pPr>
        <w:pStyle w:val="F9-Paragraph"/>
        <w:numPr>
          <w:ilvl w:val="0"/>
          <w:numId w:val="27"/>
        </w:numPr>
      </w:pPr>
      <w:r w:rsidRPr="008B76E2">
        <w:t>Identifying information (e.g., the location, serial number, model number, hostname, media access control (MAC) addresses, and IP addresses of a computer).</w:t>
      </w:r>
    </w:p>
    <w:p w14:paraId="42BB92D1" w14:textId="77777777" w:rsidR="008B76E2" w:rsidRPr="008B76E2" w:rsidRDefault="008B76E2" w:rsidP="00E46045">
      <w:pPr>
        <w:pStyle w:val="F9-Paragraph"/>
        <w:numPr>
          <w:ilvl w:val="0"/>
          <w:numId w:val="27"/>
        </w:numPr>
      </w:pPr>
      <w:r w:rsidRPr="008B76E2">
        <w:lastRenderedPageBreak/>
        <w:t>Name, title, and phone number of each individual who collected or handled the evidence during the investigation.</w:t>
      </w:r>
    </w:p>
    <w:p w14:paraId="30FC26EE" w14:textId="77777777" w:rsidR="008B76E2" w:rsidRPr="008B76E2" w:rsidRDefault="008B76E2" w:rsidP="00E46045">
      <w:pPr>
        <w:pStyle w:val="F9-Paragraph"/>
        <w:numPr>
          <w:ilvl w:val="0"/>
          <w:numId w:val="27"/>
        </w:numPr>
      </w:pPr>
      <w:r w:rsidRPr="008B76E2">
        <w:t>Time and date (including time zone) of each occurrence of evidence handling.</w:t>
      </w:r>
    </w:p>
    <w:p w14:paraId="546E4B7B" w14:textId="77777777" w:rsidR="008B76E2" w:rsidRDefault="008B76E2" w:rsidP="00E46045">
      <w:pPr>
        <w:pStyle w:val="F9-Paragraph"/>
        <w:numPr>
          <w:ilvl w:val="0"/>
          <w:numId w:val="27"/>
        </w:numPr>
      </w:pPr>
      <w:r w:rsidRPr="008B76E2">
        <w:t>Locations where the evidence was stored.</w:t>
      </w:r>
      <w:r w:rsidRPr="008B76E2">
        <w:cr/>
      </w:r>
    </w:p>
    <w:p w14:paraId="2652916A" w14:textId="77777777" w:rsidR="008B76E2" w:rsidRPr="008B76E2" w:rsidRDefault="008B76E2" w:rsidP="008B76E2">
      <w:pPr>
        <w:pStyle w:val="F9-Paragraph"/>
        <w:numPr>
          <w:ilvl w:val="0"/>
          <w:numId w:val="0"/>
        </w:numPr>
        <w:ind w:left="851"/>
      </w:pPr>
      <w:r w:rsidRPr="008B76E2">
        <w:rPr>
          <w:b/>
          <w:bCs/>
        </w:rPr>
        <w:t>Inspectors should consider</w:t>
      </w:r>
      <w:r w:rsidRPr="008B76E2">
        <w:t>:</w:t>
      </w:r>
    </w:p>
    <w:p w14:paraId="48A16048" w14:textId="3E5B9FEC" w:rsidR="008B76E2" w:rsidRPr="008B76E2" w:rsidRDefault="008B76E2" w:rsidP="00E46045">
      <w:pPr>
        <w:pStyle w:val="F9-Paragraph"/>
        <w:numPr>
          <w:ilvl w:val="0"/>
          <w:numId w:val="28"/>
        </w:numPr>
      </w:pPr>
      <w:r w:rsidRPr="008B76E2">
        <w:t xml:space="preserve">Are </w:t>
      </w:r>
      <w:proofErr w:type="spellStart"/>
      <w:r w:rsidRPr="008B76E2">
        <w:t>dutyholder</w:t>
      </w:r>
      <w:proofErr w:type="spellEnd"/>
      <w:r w:rsidRPr="008B76E2">
        <w:t xml:space="preserve"> staff suitably qualified and experienced for preserving evidence in line with the four principles in the ACPO Good Practice Guide for Digital Evidence</w:t>
      </w:r>
      <w:r w:rsidR="00075FCC">
        <w:t xml:space="preserve"> [2</w:t>
      </w:r>
      <w:r w:rsidR="00AE6773">
        <w:t>2</w:t>
      </w:r>
      <w:r w:rsidR="00075FCC">
        <w:t>]</w:t>
      </w:r>
      <w:r w:rsidR="00051BCC">
        <w:t>.</w:t>
      </w:r>
      <w:r w:rsidRPr="008B76E2">
        <w:t xml:space="preserve"> </w:t>
      </w:r>
    </w:p>
    <w:p w14:paraId="4CEAE9CE" w14:textId="77777777" w:rsidR="008B76E2" w:rsidRPr="008B76E2" w:rsidRDefault="008B76E2" w:rsidP="00E46045">
      <w:pPr>
        <w:pStyle w:val="F9-Paragraph"/>
        <w:numPr>
          <w:ilvl w:val="0"/>
          <w:numId w:val="0"/>
        </w:numPr>
        <w:ind w:left="851"/>
      </w:pPr>
      <w:r w:rsidRPr="008B76E2">
        <w:rPr>
          <w:b/>
          <w:bCs/>
        </w:rPr>
        <w:t>Short-term containment</w:t>
      </w:r>
    </w:p>
    <w:p w14:paraId="6B1853B5" w14:textId="56B0A9E3" w:rsidR="008B76E2" w:rsidRPr="008B76E2" w:rsidRDefault="008B76E2" w:rsidP="00E46045">
      <w:pPr>
        <w:pStyle w:val="F9-Paragraph"/>
      </w:pPr>
      <w:r w:rsidRPr="008B76E2">
        <w:t>The focus of this step is to limit the damage as soon as possible. Short-term containment can be as straightforward as isolating a network segment of infected workstations to taking down production servers that were hacked and having all traffic routed to failover servers. Short-term containment is not intended to be a long-term solution to the problem; it is only intended to limit the incident before it gets worse</w:t>
      </w:r>
      <w:r w:rsidR="00DF12F3">
        <w:t xml:space="preserve">. </w:t>
      </w:r>
    </w:p>
    <w:p w14:paraId="1F5038B9" w14:textId="77777777" w:rsidR="008B76E2" w:rsidRPr="008B76E2" w:rsidRDefault="008B76E2" w:rsidP="00E46045">
      <w:pPr>
        <w:pStyle w:val="F9-Paragraph"/>
        <w:numPr>
          <w:ilvl w:val="0"/>
          <w:numId w:val="0"/>
        </w:numPr>
        <w:ind w:left="851"/>
      </w:pPr>
      <w:r w:rsidRPr="008B76E2">
        <w:rPr>
          <w:b/>
          <w:bCs/>
        </w:rPr>
        <w:t>Inspectors should consider</w:t>
      </w:r>
      <w:r w:rsidRPr="008B76E2">
        <w:t>:</w:t>
      </w:r>
    </w:p>
    <w:p w14:paraId="639CCF52" w14:textId="7EEDC865" w:rsidR="008B76E2" w:rsidRPr="008B76E2" w:rsidRDefault="008B76E2" w:rsidP="00E46045">
      <w:pPr>
        <w:pStyle w:val="F9-Paragraph"/>
        <w:numPr>
          <w:ilvl w:val="0"/>
          <w:numId w:val="29"/>
        </w:numPr>
      </w:pPr>
      <w:r w:rsidRPr="008B76E2">
        <w:t xml:space="preserve">Does the </w:t>
      </w:r>
      <w:proofErr w:type="spellStart"/>
      <w:r w:rsidRPr="008B76E2">
        <w:t>dutyholder</w:t>
      </w:r>
      <w:proofErr w:type="spellEnd"/>
      <w:r w:rsidRPr="008B76E2">
        <w:t xml:space="preserve"> have pre-agreed </w:t>
      </w:r>
      <w:r w:rsidR="00051BCC">
        <w:t>procedures</w:t>
      </w:r>
      <w:r w:rsidR="00FA6C54">
        <w:t xml:space="preserve"> for</w:t>
      </w:r>
      <w:r w:rsidRPr="008B76E2">
        <w:t xml:space="preserve"> containment (e.g. disconnecting networks)?</w:t>
      </w:r>
    </w:p>
    <w:p w14:paraId="11CA6CE3" w14:textId="77777777" w:rsidR="008B76E2" w:rsidRPr="008B76E2" w:rsidRDefault="008B76E2" w:rsidP="00E46045">
      <w:pPr>
        <w:pStyle w:val="F9-Paragraph"/>
        <w:numPr>
          <w:ilvl w:val="0"/>
          <w:numId w:val="29"/>
        </w:numPr>
      </w:pPr>
      <w:r w:rsidRPr="008B76E2">
        <w:t xml:space="preserve">Does the </w:t>
      </w:r>
      <w:proofErr w:type="spellStart"/>
      <w:r w:rsidRPr="008B76E2">
        <w:t>dutyholder</w:t>
      </w:r>
      <w:proofErr w:type="spellEnd"/>
      <w:r w:rsidRPr="008B76E2">
        <w:t xml:space="preserve"> have a process to record temporary changes?</w:t>
      </w:r>
    </w:p>
    <w:p w14:paraId="1DBFE9C1" w14:textId="77777777" w:rsidR="008B76E2" w:rsidRPr="008B76E2" w:rsidRDefault="008B76E2" w:rsidP="00E46045">
      <w:pPr>
        <w:pStyle w:val="F9-Paragraph"/>
        <w:numPr>
          <w:ilvl w:val="0"/>
          <w:numId w:val="0"/>
        </w:numPr>
        <w:ind w:left="851"/>
      </w:pPr>
      <w:r w:rsidRPr="008B76E2">
        <w:rPr>
          <w:b/>
          <w:bCs/>
        </w:rPr>
        <w:t>System forensics</w:t>
      </w:r>
    </w:p>
    <w:p w14:paraId="667747CF" w14:textId="77777777" w:rsidR="008B76E2" w:rsidRPr="008B76E2" w:rsidRDefault="008B76E2" w:rsidP="00E46045">
      <w:pPr>
        <w:pStyle w:val="F9-Paragraph"/>
      </w:pPr>
      <w:r w:rsidRPr="008B76E2">
        <w:t>Before wiping and reimaging any system it is necessary to take a forensic image of the affected system(s) with tools that are well known in the computer forensics community such as Forensic Tool Kit (FTK), EnCase, et al. The reason behind this is that the forensic software will capture the affected system(s) as they were during the incident and thereby preserving evidence in the event that the incident resulted from a criminal act or to be used for observing how the system(s) were compromised during the lessons learnt phase.</w:t>
      </w:r>
    </w:p>
    <w:p w14:paraId="090AC0F8" w14:textId="77777777" w:rsidR="008B76E2" w:rsidRPr="008B76E2" w:rsidRDefault="008B76E2" w:rsidP="00E46045">
      <w:pPr>
        <w:pStyle w:val="F9-Paragraph"/>
        <w:numPr>
          <w:ilvl w:val="0"/>
          <w:numId w:val="0"/>
        </w:numPr>
        <w:ind w:left="851"/>
      </w:pPr>
      <w:r w:rsidRPr="008B76E2">
        <w:rPr>
          <w:b/>
          <w:bCs/>
        </w:rPr>
        <w:t>Inspectors should consider</w:t>
      </w:r>
      <w:r w:rsidRPr="008B76E2">
        <w:t>:</w:t>
      </w:r>
    </w:p>
    <w:p w14:paraId="7C99ABBA" w14:textId="77777777" w:rsidR="008B76E2" w:rsidRPr="008B76E2" w:rsidRDefault="008B76E2" w:rsidP="00E46045">
      <w:pPr>
        <w:pStyle w:val="F9-Paragraph"/>
      </w:pPr>
      <w:r w:rsidRPr="008B76E2">
        <w:t xml:space="preserve">Do </w:t>
      </w:r>
      <w:proofErr w:type="spellStart"/>
      <w:r w:rsidRPr="008B76E2">
        <w:t>dutyholders</w:t>
      </w:r>
      <w:proofErr w:type="spellEnd"/>
      <w:r w:rsidRPr="008B76E2">
        <w:t xml:space="preserve"> have forensic capability or arrangements to call on a third party?</w:t>
      </w:r>
    </w:p>
    <w:p w14:paraId="67B03BEA" w14:textId="75C7C07E" w:rsidR="008B76E2" w:rsidRPr="008B76E2" w:rsidRDefault="00417026" w:rsidP="00595680">
      <w:pPr>
        <w:pStyle w:val="F9-Paragraph"/>
        <w:numPr>
          <w:ilvl w:val="0"/>
          <w:numId w:val="0"/>
        </w:numPr>
        <w:ind w:left="851"/>
      </w:pPr>
      <w:r>
        <w:rPr>
          <w:b/>
          <w:bCs/>
        </w:rPr>
        <w:t>Recovery</w:t>
      </w:r>
    </w:p>
    <w:p w14:paraId="6EF775A5" w14:textId="258351EA" w:rsidR="008B76E2" w:rsidRPr="008B76E2" w:rsidRDefault="008B76E2" w:rsidP="00E46045">
      <w:pPr>
        <w:pStyle w:val="F9-Paragraph"/>
      </w:pPr>
      <w:r w:rsidRPr="008B76E2">
        <w:t xml:space="preserve">In this step affected systems should be rebuilt to remove any malware such as a logic bomb which can activate at a time of choosing by the threat actor. other activities may </w:t>
      </w:r>
      <w:r w:rsidR="00871FC5" w:rsidRPr="008B76E2">
        <w:t>include removing</w:t>
      </w:r>
      <w:r w:rsidRPr="008B76E2">
        <w:t xml:space="preserve"> accounts and/or backdoors left by </w:t>
      </w:r>
      <w:r w:rsidRPr="008B76E2">
        <w:lastRenderedPageBreak/>
        <w:t>attackers on affected systems, installing security patches on both affected and neighbouring systems, and doing other work to limit any further escalation of the incident while allowing normal business operations to continue.</w:t>
      </w:r>
    </w:p>
    <w:p w14:paraId="26691B87" w14:textId="77777777" w:rsidR="008B76E2" w:rsidRPr="008B76E2" w:rsidRDefault="008B76E2" w:rsidP="00E46045">
      <w:pPr>
        <w:pStyle w:val="F9-Paragraph"/>
      </w:pPr>
      <w:r w:rsidRPr="008B76E2">
        <w:t>Eradication is usually necessary to eliminate components of the incident, such as deleting malware and disabling breached user accounts, as well as identifying and mitigating all vulnerabilities that were exploited. Often threat actors will attempt to maintain persistence on systems beyond the scope of the initial incident. During eradication, it is therefore important to identify all affected hosts within the organization so that they can be remediated. For some incidents, eradication is either not necessary or is performed during recovery.</w:t>
      </w:r>
    </w:p>
    <w:p w14:paraId="2951C2C4" w14:textId="77777777" w:rsidR="008B76E2" w:rsidRPr="008B76E2" w:rsidRDefault="008B76E2" w:rsidP="00E46045">
      <w:pPr>
        <w:pStyle w:val="F9-Paragraph"/>
      </w:pPr>
      <w:r w:rsidRPr="008B76E2">
        <w:t xml:space="preserve">The purpose of recovery is to bring affected systems back into the production environment in a controlled way to ensure that further outbreaks do not occur. It is essential that </w:t>
      </w:r>
      <w:proofErr w:type="spellStart"/>
      <w:r w:rsidRPr="008B76E2">
        <w:t>dutyholders</w:t>
      </w:r>
      <w:proofErr w:type="spellEnd"/>
      <w:r w:rsidRPr="008B76E2">
        <w:t xml:space="preserve"> test, monitor, and validate the systems that are being put back into production to verify that they are not being re-infected or compromised by some other means. </w:t>
      </w:r>
    </w:p>
    <w:p w14:paraId="40A99FF0" w14:textId="77777777" w:rsidR="008B76E2" w:rsidRPr="008B76E2" w:rsidRDefault="008B76E2" w:rsidP="00E46045">
      <w:pPr>
        <w:pStyle w:val="F9-Paragraph"/>
      </w:pPr>
      <w:r w:rsidRPr="008B76E2">
        <w:t>Eradication and recovery may involve restoring systems from clean backups, rebuilding systems from scratch, replacing compromised files with clean versions, installing patches, changing passwords, and tightening network perimeter security (e.g., firewall rulesets, boundary router access control lists).</w:t>
      </w:r>
    </w:p>
    <w:p w14:paraId="46697FA5" w14:textId="1667FA57" w:rsidR="008B76E2" w:rsidRPr="008B76E2" w:rsidRDefault="008B76E2" w:rsidP="00E46045">
      <w:pPr>
        <w:pStyle w:val="F9-Paragraph"/>
      </w:pPr>
      <w:r w:rsidRPr="008B76E2">
        <w:t xml:space="preserve">RGP would be to use disk images that were created prior to a system being deployed into production to restore the system, and then installing patches and disabling unused services to harden the system against further attacks. </w:t>
      </w:r>
      <w:proofErr w:type="spellStart"/>
      <w:r w:rsidRPr="008B76E2">
        <w:t>Dutyholders</w:t>
      </w:r>
      <w:proofErr w:type="spellEnd"/>
      <w:r w:rsidRPr="008B76E2">
        <w:t xml:space="preserve"> should also scan affected systems and/or files with anti-malware software to ensure any latent malware is removed. </w:t>
      </w:r>
    </w:p>
    <w:p w14:paraId="5852C564" w14:textId="77777777" w:rsidR="008B76E2" w:rsidRPr="008B76E2" w:rsidRDefault="008B76E2" w:rsidP="00E46045">
      <w:pPr>
        <w:pStyle w:val="F9-Paragraph"/>
        <w:numPr>
          <w:ilvl w:val="0"/>
          <w:numId w:val="0"/>
        </w:numPr>
        <w:ind w:left="851"/>
      </w:pPr>
      <w:r w:rsidRPr="008B76E2">
        <w:rPr>
          <w:b/>
          <w:bCs/>
        </w:rPr>
        <w:t>Inspectors should consider</w:t>
      </w:r>
      <w:r w:rsidRPr="008B76E2">
        <w:t>:</w:t>
      </w:r>
    </w:p>
    <w:p w14:paraId="7A6B6F1B" w14:textId="77777777" w:rsidR="008B76E2" w:rsidRPr="008B76E2" w:rsidRDefault="008B76E2" w:rsidP="00E46045">
      <w:pPr>
        <w:pStyle w:val="F9-Paragraph"/>
        <w:numPr>
          <w:ilvl w:val="0"/>
          <w:numId w:val="30"/>
        </w:numPr>
      </w:pPr>
      <w:r w:rsidRPr="008B76E2">
        <w:t xml:space="preserve">Does the </w:t>
      </w:r>
      <w:proofErr w:type="spellStart"/>
      <w:r w:rsidRPr="008B76E2">
        <w:t>dutyholder</w:t>
      </w:r>
      <w:proofErr w:type="spellEnd"/>
      <w:r w:rsidRPr="008B76E2">
        <w:t xml:space="preserve"> have in place arrangements to ensure the continuity of critical operations during a prolonged containment stage?</w:t>
      </w:r>
    </w:p>
    <w:p w14:paraId="06926097" w14:textId="77777777" w:rsidR="008B76E2" w:rsidRPr="008B76E2" w:rsidRDefault="008B76E2" w:rsidP="00E46045">
      <w:pPr>
        <w:pStyle w:val="F9-Paragraph"/>
        <w:numPr>
          <w:ilvl w:val="0"/>
          <w:numId w:val="30"/>
        </w:numPr>
      </w:pPr>
      <w:r w:rsidRPr="008B76E2">
        <w:t xml:space="preserve">Does the </w:t>
      </w:r>
      <w:proofErr w:type="spellStart"/>
      <w:r w:rsidRPr="008B76E2">
        <w:t>dutyholder</w:t>
      </w:r>
      <w:proofErr w:type="spellEnd"/>
      <w:r w:rsidRPr="008B76E2">
        <w:t xml:space="preserve"> have a contemporary asset inventory that identifies the system and asset categorisation?</w:t>
      </w:r>
    </w:p>
    <w:p w14:paraId="3890250C" w14:textId="77777777" w:rsidR="008B76E2" w:rsidRPr="008B76E2" w:rsidRDefault="008B76E2" w:rsidP="00E46045">
      <w:pPr>
        <w:pStyle w:val="F9-Paragraph"/>
        <w:numPr>
          <w:ilvl w:val="0"/>
          <w:numId w:val="30"/>
        </w:numPr>
      </w:pPr>
      <w:r w:rsidRPr="008B76E2">
        <w:t xml:space="preserve">Does the </w:t>
      </w:r>
      <w:proofErr w:type="spellStart"/>
      <w:r w:rsidRPr="008B76E2">
        <w:t>dutyholder</w:t>
      </w:r>
      <w:proofErr w:type="spellEnd"/>
      <w:r w:rsidRPr="008B76E2">
        <w:t xml:space="preserve"> have pre-prepared plans for rebuilding critical systems to a known good state and returning them to service in appropriate timescales?</w:t>
      </w:r>
    </w:p>
    <w:p w14:paraId="0CEA0CF0" w14:textId="77777777" w:rsidR="008B76E2" w:rsidRPr="008B76E2" w:rsidRDefault="008B76E2" w:rsidP="00E46045">
      <w:pPr>
        <w:pStyle w:val="F9-Paragraph"/>
        <w:numPr>
          <w:ilvl w:val="0"/>
          <w:numId w:val="30"/>
        </w:numPr>
      </w:pPr>
      <w:r w:rsidRPr="008B76E2">
        <w:t xml:space="preserve">Does the </w:t>
      </w:r>
      <w:proofErr w:type="spellStart"/>
      <w:r w:rsidRPr="008B76E2">
        <w:t>dutyholder</w:t>
      </w:r>
      <w:proofErr w:type="spellEnd"/>
      <w:r w:rsidRPr="008B76E2">
        <w:t xml:space="preserve"> have long-term containment plans that identify network segregation options, system and asset isolation strategies etc?</w:t>
      </w:r>
    </w:p>
    <w:p w14:paraId="09FF02EC" w14:textId="77777777" w:rsidR="008B76E2" w:rsidRPr="008B76E2" w:rsidRDefault="008B76E2" w:rsidP="00E46045">
      <w:pPr>
        <w:pStyle w:val="F9-Paragraph"/>
        <w:numPr>
          <w:ilvl w:val="0"/>
          <w:numId w:val="30"/>
        </w:numPr>
      </w:pPr>
      <w:r w:rsidRPr="008B76E2">
        <w:t xml:space="preserve">Does the </w:t>
      </w:r>
      <w:proofErr w:type="spellStart"/>
      <w:r w:rsidRPr="008B76E2">
        <w:t>dutyholder</w:t>
      </w:r>
      <w:proofErr w:type="spellEnd"/>
      <w:r w:rsidRPr="008B76E2">
        <w:t xml:space="preserve"> have procedures in place for restoring key systems to a known good state?</w:t>
      </w:r>
    </w:p>
    <w:p w14:paraId="171FBFE6" w14:textId="77777777" w:rsidR="008B76E2" w:rsidRDefault="008B76E2" w:rsidP="00E46045">
      <w:pPr>
        <w:pStyle w:val="F9-Paragraph"/>
        <w:numPr>
          <w:ilvl w:val="0"/>
          <w:numId w:val="30"/>
        </w:numPr>
      </w:pPr>
      <w:r w:rsidRPr="008B76E2">
        <w:lastRenderedPageBreak/>
        <w:t xml:space="preserve">Where third party system vendors are involved does the </w:t>
      </w:r>
      <w:proofErr w:type="spellStart"/>
      <w:r w:rsidRPr="008B76E2">
        <w:t>dutyholder</w:t>
      </w:r>
      <w:proofErr w:type="spellEnd"/>
      <w:r w:rsidRPr="008B76E2">
        <w:t xml:space="preserve"> have SLAs in place to recover systems?</w:t>
      </w:r>
    </w:p>
    <w:p w14:paraId="13CF07E9" w14:textId="77777777" w:rsidR="005C2A7F" w:rsidRPr="008B76E2" w:rsidRDefault="005C2A7F" w:rsidP="005C2A7F">
      <w:pPr>
        <w:pStyle w:val="F9-Paragraph"/>
        <w:numPr>
          <w:ilvl w:val="0"/>
          <w:numId w:val="0"/>
        </w:numPr>
        <w:ind w:left="1211"/>
      </w:pPr>
    </w:p>
    <w:p w14:paraId="1BD72ED5" w14:textId="45A8B921" w:rsidR="008B76E2" w:rsidRDefault="00E46045" w:rsidP="00E46045">
      <w:pPr>
        <w:pStyle w:val="Heading1"/>
      </w:pPr>
      <w:bookmarkStart w:id="10" w:name="_Toc155256142"/>
      <w:r>
        <w:t>Lessons Learnt</w:t>
      </w:r>
      <w:bookmarkEnd w:id="10"/>
    </w:p>
    <w:p w14:paraId="2B0DC09F" w14:textId="77777777" w:rsidR="00E46045" w:rsidRPr="00E46045" w:rsidRDefault="00E46045" w:rsidP="00E46045">
      <w:pPr>
        <w:pStyle w:val="F9-Paragraph"/>
        <w:rPr>
          <w:bCs/>
        </w:rPr>
      </w:pPr>
      <w:proofErr w:type="spellStart"/>
      <w:r w:rsidRPr="00E46045">
        <w:rPr>
          <w:bCs/>
        </w:rPr>
        <w:t>Dutyholders</w:t>
      </w:r>
      <w:proofErr w:type="spellEnd"/>
      <w:r w:rsidRPr="00E46045">
        <w:rPr>
          <w:bCs/>
        </w:rPr>
        <w:t xml:space="preserve"> should ensure that when an incident occurs, steps are taken to understand its root causes and to ensure appropriate remediating action is taken to protect against future incidents.</w:t>
      </w:r>
    </w:p>
    <w:p w14:paraId="49A35B8B" w14:textId="54BB6F83" w:rsidR="00E46045" w:rsidRDefault="00E46045" w:rsidP="00E46045">
      <w:pPr>
        <w:pStyle w:val="F9-Paragraph"/>
        <w:rPr>
          <w:bCs/>
        </w:rPr>
      </w:pPr>
      <w:proofErr w:type="spellStart"/>
      <w:r w:rsidRPr="00E46045">
        <w:rPr>
          <w:bCs/>
        </w:rPr>
        <w:t>Dutyholders</w:t>
      </w:r>
      <w:proofErr w:type="spellEnd"/>
      <w:r w:rsidRPr="00E46045">
        <w:rPr>
          <w:bCs/>
        </w:rPr>
        <w:t xml:space="preserve"> should use lessons learnt from incidents to improve their security measures.</w:t>
      </w:r>
      <w:r w:rsidR="00496D0A" w:rsidRPr="00496D0A">
        <w:t xml:space="preserve"> </w:t>
      </w:r>
      <w:r w:rsidR="00496D0A" w:rsidRPr="00496D0A">
        <w:rPr>
          <w:bCs/>
        </w:rPr>
        <w:t>This can be during an incident to inform the containment and eradication phase or post incident to improve security controls.</w:t>
      </w:r>
    </w:p>
    <w:p w14:paraId="7849BE9C" w14:textId="77777777" w:rsidR="008057E9" w:rsidRPr="00E46045" w:rsidRDefault="008057E9" w:rsidP="008057E9">
      <w:pPr>
        <w:pStyle w:val="F9-Paragraph"/>
        <w:numPr>
          <w:ilvl w:val="0"/>
          <w:numId w:val="0"/>
        </w:numPr>
        <w:ind w:left="851"/>
        <w:rPr>
          <w:bCs/>
        </w:rPr>
      </w:pPr>
    </w:p>
    <w:p w14:paraId="1AFBBDCA" w14:textId="77777777" w:rsidR="00E46045" w:rsidRPr="00E46045" w:rsidRDefault="00E46045" w:rsidP="00E46045">
      <w:pPr>
        <w:pStyle w:val="F9-Paragraph"/>
        <w:numPr>
          <w:ilvl w:val="0"/>
          <w:numId w:val="0"/>
        </w:numPr>
        <w:ind w:left="851"/>
      </w:pPr>
      <w:r w:rsidRPr="00E46045">
        <w:rPr>
          <w:b/>
        </w:rPr>
        <w:t>Inspectors should consider</w:t>
      </w:r>
      <w:r w:rsidRPr="00E46045">
        <w:t>:</w:t>
      </w:r>
    </w:p>
    <w:p w14:paraId="46AC9D23" w14:textId="77777777" w:rsidR="00E46045" w:rsidRPr="00E46045" w:rsidRDefault="00E46045" w:rsidP="00E46045">
      <w:pPr>
        <w:pStyle w:val="F9-Paragraph"/>
        <w:numPr>
          <w:ilvl w:val="0"/>
          <w:numId w:val="31"/>
        </w:numPr>
      </w:pPr>
      <w:r w:rsidRPr="00E46045">
        <w:t xml:space="preserve">Does the </w:t>
      </w:r>
      <w:proofErr w:type="spellStart"/>
      <w:r w:rsidRPr="00E46045">
        <w:t>dutyholder</w:t>
      </w:r>
      <w:proofErr w:type="spellEnd"/>
      <w:r w:rsidRPr="00E46045">
        <w:t xml:space="preserve"> ensure that root cause analysis is conducted routinely as a key part of their lessons learnt activities following an incident?</w:t>
      </w:r>
    </w:p>
    <w:p w14:paraId="67152EBD" w14:textId="77777777" w:rsidR="00E46045" w:rsidRPr="00E46045" w:rsidRDefault="00E46045" w:rsidP="00E46045">
      <w:pPr>
        <w:pStyle w:val="F9-Paragraph"/>
        <w:numPr>
          <w:ilvl w:val="0"/>
          <w:numId w:val="31"/>
        </w:numPr>
        <w:rPr>
          <w:b/>
          <w:bCs/>
        </w:rPr>
      </w:pPr>
      <w:r w:rsidRPr="00E46045">
        <w:t>Is the root cause analysis comprehensive, covering organisational process issue, as well as vulnerabilities in their networks, systems or software?</w:t>
      </w:r>
    </w:p>
    <w:p w14:paraId="32AEFF7F" w14:textId="77777777" w:rsidR="00E46045" w:rsidRPr="00E46045" w:rsidRDefault="00E46045" w:rsidP="00E46045">
      <w:pPr>
        <w:pStyle w:val="F9-Paragraph"/>
        <w:numPr>
          <w:ilvl w:val="0"/>
          <w:numId w:val="31"/>
        </w:numPr>
        <w:rPr>
          <w:b/>
          <w:bCs/>
        </w:rPr>
      </w:pPr>
      <w:r w:rsidRPr="00E46045">
        <w:t xml:space="preserve">Is all relevant incident data made available to the analysis team to perform root </w:t>
      </w:r>
      <w:r w:rsidRPr="00E46045">
        <w:rPr>
          <w:bCs/>
        </w:rPr>
        <w:t>cause analysis?</w:t>
      </w:r>
    </w:p>
    <w:p w14:paraId="7E8C881F" w14:textId="77777777" w:rsidR="00E46045" w:rsidRPr="00E46045" w:rsidRDefault="00E46045" w:rsidP="00E46045">
      <w:pPr>
        <w:pStyle w:val="F9-Paragraph"/>
        <w:numPr>
          <w:ilvl w:val="0"/>
          <w:numId w:val="31"/>
        </w:numPr>
      </w:pPr>
      <w:r w:rsidRPr="00E46045">
        <w:t xml:space="preserve">Does the </w:t>
      </w:r>
      <w:proofErr w:type="spellStart"/>
      <w:r w:rsidRPr="00E46045">
        <w:t>dutyholder</w:t>
      </w:r>
      <w:proofErr w:type="spellEnd"/>
      <w:r w:rsidRPr="00E46045">
        <w:t xml:space="preserve"> have a documented incident review process/policy which ensures that lessons learnt from each incident are identified, captured, and acted upon?</w:t>
      </w:r>
    </w:p>
    <w:p w14:paraId="704EF70F" w14:textId="77777777" w:rsidR="00E46045" w:rsidRPr="00E46045" w:rsidRDefault="00E46045" w:rsidP="00E46045">
      <w:pPr>
        <w:pStyle w:val="F9-Paragraph"/>
        <w:numPr>
          <w:ilvl w:val="0"/>
          <w:numId w:val="31"/>
        </w:numPr>
      </w:pPr>
      <w:r w:rsidRPr="00E46045">
        <w:t xml:space="preserve">Does the </w:t>
      </w:r>
      <w:proofErr w:type="spellStart"/>
      <w:r w:rsidRPr="00E46045">
        <w:t>dutyholder’s</w:t>
      </w:r>
      <w:proofErr w:type="spellEnd"/>
      <w:r w:rsidRPr="00E46045">
        <w:t xml:space="preserve"> lessons learnt process/policy cover issues with reporting, roles, governance, skills and organisational processes as well as technical aspects of networks and information systems?</w:t>
      </w:r>
    </w:p>
    <w:p w14:paraId="2068E693" w14:textId="77777777" w:rsidR="00E46045" w:rsidRPr="00E46045" w:rsidRDefault="00E46045" w:rsidP="00E46045">
      <w:pPr>
        <w:pStyle w:val="F9-Paragraph"/>
        <w:numPr>
          <w:ilvl w:val="0"/>
          <w:numId w:val="31"/>
        </w:numPr>
      </w:pPr>
      <w:r w:rsidRPr="00E46045">
        <w:t>Do they use lessons learnt to improve security measures, including updating and retesting response plans when necessary?</w:t>
      </w:r>
    </w:p>
    <w:p w14:paraId="73624D12" w14:textId="77777777" w:rsidR="00E46045" w:rsidRDefault="00E46045" w:rsidP="00E46045">
      <w:pPr>
        <w:pStyle w:val="F9-Paragraph"/>
        <w:numPr>
          <w:ilvl w:val="0"/>
          <w:numId w:val="31"/>
        </w:numPr>
      </w:pPr>
      <w:r w:rsidRPr="00E46045">
        <w:t>Are security improvements identified as a result of lessons learnt prioritised, with the highest priority improvements completed quickly?</w:t>
      </w:r>
    </w:p>
    <w:p w14:paraId="4BB8DD0A" w14:textId="1A8EF2D3" w:rsidR="00BA28A2" w:rsidRPr="00E46045" w:rsidRDefault="00EA7B9D" w:rsidP="00E46045">
      <w:pPr>
        <w:pStyle w:val="F9-Paragraph"/>
        <w:numPr>
          <w:ilvl w:val="0"/>
          <w:numId w:val="31"/>
        </w:numPr>
      </w:pPr>
      <w:r>
        <w:t xml:space="preserve">The lessons learnt may reveal </w:t>
      </w:r>
      <w:r w:rsidR="00E2060F">
        <w:t xml:space="preserve">vulnerabilities in the system. Is </w:t>
      </w:r>
      <w:r w:rsidR="00300044">
        <w:t xml:space="preserve">lessons learnt </w:t>
      </w:r>
      <w:r w:rsidR="008226AD">
        <w:t xml:space="preserve">on a </w:t>
      </w:r>
      <w:r w:rsidR="00BA28A2">
        <w:t xml:space="preserve">“need </w:t>
      </w:r>
      <w:r w:rsidR="00D40696">
        <w:t>to know”</w:t>
      </w:r>
      <w:r w:rsidR="008226AD">
        <w:t xml:space="preserve"> basis and part of</w:t>
      </w:r>
      <w:r w:rsidR="00D40696">
        <w:t xml:space="preserve"> policy</w:t>
      </w:r>
      <w:r>
        <w:t>?</w:t>
      </w:r>
    </w:p>
    <w:p w14:paraId="4CFED90E" w14:textId="77777777" w:rsidR="00EB0201" w:rsidRDefault="00EB0201" w:rsidP="00EB0201"/>
    <w:p w14:paraId="7ED772E8" w14:textId="77777777" w:rsidR="00CB59BB" w:rsidRDefault="00CB59BB" w:rsidP="00EB0201"/>
    <w:bookmarkStart w:id="11" w:name="_Toc155256143" w:displacedByCustomXml="next"/>
    <w:sdt>
      <w:sdtPr>
        <w:rPr>
          <w:color w:val="auto"/>
          <w:sz w:val="24"/>
        </w:rPr>
        <w:id w:val="1148793097"/>
        <w:docPartObj>
          <w:docPartGallery w:val="Bibliographies"/>
          <w:docPartUnique/>
        </w:docPartObj>
      </w:sdtPr>
      <w:sdtContent>
        <w:bookmarkStart w:id="12" w:name="_Toc142391159" w:displacedByCustomXml="next"/>
        <w:sdt>
          <w:sdtPr>
            <w:rPr>
              <w:color w:val="auto"/>
              <w:sz w:val="24"/>
            </w:rPr>
            <w:id w:val="1107082297"/>
            <w:docPartObj>
              <w:docPartGallery w:val="Bibliographies"/>
              <w:docPartUnique/>
            </w:docPartObj>
          </w:sdtPr>
          <w:sdtContent>
            <w:p w14:paraId="01C530CC" w14:textId="77777777" w:rsidR="00B9404F" w:rsidRDefault="00B9404F" w:rsidP="00B9404F">
              <w:pPr>
                <w:pStyle w:val="Heading1"/>
                <w:numPr>
                  <w:ilvl w:val="0"/>
                  <w:numId w:val="0"/>
                </w:numPr>
                <w:ind w:left="851" w:hanging="851"/>
              </w:pPr>
              <w:r>
                <w:t>References</w:t>
              </w:r>
              <w:bookmarkEnd w:id="11"/>
              <w:bookmarkEnd w:id="12"/>
            </w:p>
            <w:sdt>
              <w:sdtPr>
                <w:id w:val="491922283"/>
                <w:bibliography/>
              </w:sdtPr>
              <w:sdtContent>
                <w:p w14:paraId="04EDB7D6" w14:textId="77777777" w:rsidR="00B9404F" w:rsidRDefault="00B9404F" w:rsidP="00B9404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B9404F" w14:paraId="3DB479F0" w14:textId="77777777" w:rsidTr="00F2035B">
                    <w:trPr>
                      <w:tblCellSpacing w:w="15" w:type="dxa"/>
                    </w:trPr>
                    <w:tc>
                      <w:tcPr>
                        <w:tcW w:w="368" w:type="pct"/>
                        <w:hideMark/>
                      </w:tcPr>
                      <w:p w14:paraId="2EB2494A" w14:textId="77777777" w:rsidR="00B9404F" w:rsidRDefault="00B9404F" w:rsidP="00711837">
                        <w:pPr>
                          <w:pStyle w:val="Bibliography"/>
                          <w:rPr>
                            <w:noProof/>
                            <w:szCs w:val="24"/>
                          </w:rPr>
                        </w:pPr>
                        <w:r>
                          <w:rPr>
                            <w:noProof/>
                          </w:rPr>
                          <w:t xml:space="preserve">[1] </w:t>
                        </w:r>
                      </w:p>
                    </w:tc>
                    <w:tc>
                      <w:tcPr>
                        <w:tcW w:w="4582" w:type="pct"/>
                        <w:hideMark/>
                      </w:tcPr>
                      <w:p w14:paraId="08B25D5D" w14:textId="77777777" w:rsidR="00B9404F" w:rsidRDefault="00B9404F" w:rsidP="00711837">
                        <w:pPr>
                          <w:pStyle w:val="Bibliography"/>
                          <w:rPr>
                            <w:noProof/>
                          </w:rPr>
                        </w:pPr>
                        <w:r>
                          <w:rPr>
                            <w:noProof/>
                          </w:rPr>
                          <w:t>ONR, “Security Assessment Principles (SyAPs) for the Civil Nuclear Industry,” 2017.</w:t>
                        </w:r>
                      </w:p>
                    </w:tc>
                  </w:tr>
                  <w:tr w:rsidR="00B9404F" w14:paraId="78694DD9" w14:textId="77777777" w:rsidTr="00F2035B">
                    <w:trPr>
                      <w:tblCellSpacing w:w="15" w:type="dxa"/>
                    </w:trPr>
                    <w:tc>
                      <w:tcPr>
                        <w:tcW w:w="368" w:type="pct"/>
                        <w:hideMark/>
                      </w:tcPr>
                      <w:p w14:paraId="4FB6B069" w14:textId="77777777" w:rsidR="00B9404F" w:rsidRDefault="00B9404F" w:rsidP="00711837">
                        <w:pPr>
                          <w:pStyle w:val="Bibliography"/>
                          <w:rPr>
                            <w:noProof/>
                          </w:rPr>
                        </w:pPr>
                        <w:r>
                          <w:rPr>
                            <w:noProof/>
                          </w:rPr>
                          <w:t xml:space="preserve">[2] </w:t>
                        </w:r>
                      </w:p>
                    </w:tc>
                    <w:tc>
                      <w:tcPr>
                        <w:tcW w:w="4582" w:type="pct"/>
                        <w:hideMark/>
                      </w:tcPr>
                      <w:p w14:paraId="2E9A8190" w14:textId="77777777" w:rsidR="00B9404F" w:rsidRDefault="00B9404F" w:rsidP="00711837">
                        <w:pPr>
                          <w:pStyle w:val="Bibliography"/>
                          <w:rPr>
                            <w:noProof/>
                          </w:rPr>
                        </w:pPr>
                        <w:r>
                          <w:rPr>
                            <w:noProof/>
                          </w:rPr>
                          <w:t>HM Government, “The Nuclear Industries Security Regulations 2003 (NISR),” 2003.</w:t>
                        </w:r>
                      </w:p>
                    </w:tc>
                  </w:tr>
                  <w:tr w:rsidR="00592D5B" w:rsidRPr="00E52DD7" w14:paraId="2ED8327B" w14:textId="77777777" w:rsidTr="00F2035B">
                    <w:trPr>
                      <w:tblCellSpacing w:w="15" w:type="dxa"/>
                    </w:trPr>
                    <w:tc>
                      <w:tcPr>
                        <w:tcW w:w="368" w:type="pct"/>
                        <w:hideMark/>
                      </w:tcPr>
                      <w:p w14:paraId="7ADC642E" w14:textId="77777777" w:rsidR="00592D5B" w:rsidRDefault="00592D5B" w:rsidP="00592D5B">
                        <w:pPr>
                          <w:pStyle w:val="Bibliography"/>
                          <w:rPr>
                            <w:noProof/>
                          </w:rPr>
                        </w:pPr>
                        <w:r>
                          <w:rPr>
                            <w:noProof/>
                          </w:rPr>
                          <w:t xml:space="preserve">[3] </w:t>
                        </w:r>
                      </w:p>
                    </w:tc>
                    <w:tc>
                      <w:tcPr>
                        <w:tcW w:w="4582" w:type="pct"/>
                        <w:hideMark/>
                      </w:tcPr>
                      <w:p w14:paraId="1E21B323" w14:textId="0DE20ED9" w:rsidR="00151354" w:rsidRPr="00151354" w:rsidRDefault="00151354" w:rsidP="00592D5B">
                        <w:pPr>
                          <w:pStyle w:val="Bibliography"/>
                          <w:rPr>
                            <w:noProof/>
                            <w:lang w:val="fr-FR"/>
                          </w:rPr>
                        </w:pPr>
                        <w:r w:rsidRPr="00023386">
                          <w:t>HM Government, "Government Security Classification Policy"</w:t>
                        </w:r>
                        <w:r>
                          <w:t xml:space="preserve"> 2023. </w:t>
                        </w:r>
                        <w:r w:rsidRPr="009102E1">
                          <w:rPr>
                            <w:lang w:val="fr-FR"/>
                          </w:rPr>
                          <w:t>[Online]. Available:  https://assets.publishing.service.gov.uk/media/649c38e006179b00113f745b/Government_Security_Classifications_Policy_June_2023.pdf</w:t>
                        </w:r>
                      </w:p>
                      <w:p w14:paraId="73FC3DB5" w14:textId="2B8D6ECC" w:rsidR="00592D5B" w:rsidRPr="00C929E0" w:rsidRDefault="00592D5B" w:rsidP="00592D5B">
                        <w:pPr>
                          <w:pStyle w:val="Bibliography"/>
                          <w:rPr>
                            <w:noProof/>
                            <w:lang w:val="fr-FR"/>
                          </w:rPr>
                        </w:pPr>
                      </w:p>
                    </w:tc>
                  </w:tr>
                  <w:tr w:rsidR="00592D5B" w14:paraId="682D7D72" w14:textId="77777777" w:rsidTr="00F2035B">
                    <w:trPr>
                      <w:tblCellSpacing w:w="15" w:type="dxa"/>
                    </w:trPr>
                    <w:tc>
                      <w:tcPr>
                        <w:tcW w:w="368" w:type="pct"/>
                        <w:hideMark/>
                      </w:tcPr>
                      <w:p w14:paraId="3715578D" w14:textId="77777777" w:rsidR="00592D5B" w:rsidRDefault="00592D5B" w:rsidP="00592D5B">
                        <w:pPr>
                          <w:pStyle w:val="Bibliography"/>
                          <w:rPr>
                            <w:noProof/>
                          </w:rPr>
                        </w:pPr>
                        <w:r>
                          <w:rPr>
                            <w:noProof/>
                          </w:rPr>
                          <w:t xml:space="preserve">[4] </w:t>
                        </w:r>
                      </w:p>
                    </w:tc>
                    <w:tc>
                      <w:tcPr>
                        <w:tcW w:w="4582" w:type="pct"/>
                        <w:hideMark/>
                      </w:tcPr>
                      <w:p w14:paraId="48CC7EE9" w14:textId="384D1405" w:rsidR="00592D5B" w:rsidRDefault="00D1704F" w:rsidP="00FC5154">
                        <w:pPr>
                          <w:pStyle w:val="Bibliography"/>
                          <w:rPr>
                            <w:noProof/>
                          </w:rPr>
                        </w:pPr>
                        <w:r>
                          <w:rPr>
                            <w:noProof/>
                          </w:rPr>
                          <w:t>ONR, "NISR 2003 Classification Policy", 2021. [Online]. Available: https://www.onr.org.uk/documents/classification-policy.pdf</w:t>
                        </w:r>
                      </w:p>
                    </w:tc>
                  </w:tr>
                  <w:tr w:rsidR="00592D5B" w14:paraId="29974CBE" w14:textId="77777777" w:rsidTr="00F2035B">
                    <w:trPr>
                      <w:tblCellSpacing w:w="15" w:type="dxa"/>
                    </w:trPr>
                    <w:tc>
                      <w:tcPr>
                        <w:tcW w:w="368" w:type="pct"/>
                        <w:hideMark/>
                      </w:tcPr>
                      <w:p w14:paraId="34325F39" w14:textId="77777777" w:rsidR="00592D5B" w:rsidRDefault="00592D5B" w:rsidP="00592D5B">
                        <w:pPr>
                          <w:pStyle w:val="Bibliography"/>
                          <w:rPr>
                            <w:noProof/>
                          </w:rPr>
                        </w:pPr>
                        <w:r>
                          <w:rPr>
                            <w:noProof/>
                          </w:rPr>
                          <w:t xml:space="preserve">[5] </w:t>
                        </w:r>
                      </w:p>
                    </w:tc>
                    <w:tc>
                      <w:tcPr>
                        <w:tcW w:w="4582" w:type="pct"/>
                        <w:hideMark/>
                      </w:tcPr>
                      <w:p w14:paraId="0B7BDB43" w14:textId="18DC2ACD" w:rsidR="00592D5B" w:rsidRDefault="0095729C" w:rsidP="00D15453">
                        <w:pPr>
                          <w:pStyle w:val="Bibliography"/>
                          <w:rPr>
                            <w:noProof/>
                          </w:rPr>
                        </w:pPr>
                        <w:r>
                          <w:rPr>
                            <w:noProof/>
                          </w:rPr>
                          <w:t>IAEA, “Convention on the Physical Protection of Nuclear Material (CPPNM)</w:t>
                        </w:r>
                        <w:r w:rsidR="009F270B">
                          <w:rPr>
                            <w:noProof/>
                          </w:rPr>
                          <w:t xml:space="preserve"> and its amendment</w:t>
                        </w:r>
                        <w:r>
                          <w:rPr>
                            <w:noProof/>
                          </w:rPr>
                          <w:t>”.</w:t>
                        </w:r>
                      </w:p>
                    </w:tc>
                  </w:tr>
                  <w:tr w:rsidR="00592D5B" w:rsidRPr="0012100F" w14:paraId="731BB37A" w14:textId="77777777" w:rsidTr="00F2035B">
                    <w:trPr>
                      <w:tblCellSpacing w:w="15" w:type="dxa"/>
                    </w:trPr>
                    <w:tc>
                      <w:tcPr>
                        <w:tcW w:w="368" w:type="pct"/>
                        <w:hideMark/>
                      </w:tcPr>
                      <w:p w14:paraId="2C67DFBA" w14:textId="77777777" w:rsidR="00592D5B" w:rsidRDefault="00592D5B" w:rsidP="00592D5B">
                        <w:pPr>
                          <w:pStyle w:val="Bibliography"/>
                          <w:rPr>
                            <w:noProof/>
                          </w:rPr>
                        </w:pPr>
                        <w:r>
                          <w:rPr>
                            <w:noProof/>
                          </w:rPr>
                          <w:t xml:space="preserve">[6] </w:t>
                        </w:r>
                      </w:p>
                    </w:tc>
                    <w:tc>
                      <w:tcPr>
                        <w:tcW w:w="4582" w:type="pct"/>
                        <w:hideMark/>
                      </w:tcPr>
                      <w:p w14:paraId="46EC5F6B" w14:textId="75156269" w:rsidR="00D15453" w:rsidRDefault="00D15453" w:rsidP="0004727E">
                        <w:pPr>
                          <w:spacing w:after="0" w:line="240" w:lineRule="auto"/>
                          <w:rPr>
                            <w:noProof/>
                          </w:rPr>
                        </w:pPr>
                        <w:r>
                          <w:rPr>
                            <w:noProof/>
                          </w:rPr>
                          <w:t>IAEA, “Nuclear Security Series No. 13 - Nuclear Security Recommendations on the Physical Protection of Nuclear Material and Nuclear Facilities (INFCIRC/225/Revision 5),” 2011.</w:t>
                        </w:r>
                      </w:p>
                      <w:p w14:paraId="48E339EE" w14:textId="239DE8A6" w:rsidR="008C4680" w:rsidRPr="00C929E0" w:rsidRDefault="008C4680" w:rsidP="0004727E">
                        <w:pPr>
                          <w:pStyle w:val="ListParagraph"/>
                          <w:spacing w:after="0" w:line="240" w:lineRule="auto"/>
                          <w:ind w:left="360"/>
                          <w:contextualSpacing w:val="0"/>
                        </w:pPr>
                      </w:p>
                      <w:p w14:paraId="27FEC015" w14:textId="50322D9C" w:rsidR="00592D5B" w:rsidRPr="00C929E0" w:rsidRDefault="00592D5B" w:rsidP="00592D5B">
                        <w:pPr>
                          <w:pStyle w:val="Bibliography"/>
                          <w:rPr>
                            <w:noProof/>
                          </w:rPr>
                        </w:pPr>
                      </w:p>
                    </w:tc>
                  </w:tr>
                  <w:tr w:rsidR="00592D5B" w:rsidRPr="00E52DD7" w14:paraId="2389583F" w14:textId="77777777" w:rsidTr="00F2035B">
                    <w:trPr>
                      <w:tblCellSpacing w:w="15" w:type="dxa"/>
                    </w:trPr>
                    <w:tc>
                      <w:tcPr>
                        <w:tcW w:w="368" w:type="pct"/>
                        <w:hideMark/>
                      </w:tcPr>
                      <w:p w14:paraId="08C144F6" w14:textId="77777777" w:rsidR="00592D5B" w:rsidRDefault="00592D5B" w:rsidP="00592D5B">
                        <w:pPr>
                          <w:pStyle w:val="Bibliography"/>
                          <w:rPr>
                            <w:noProof/>
                          </w:rPr>
                        </w:pPr>
                        <w:r>
                          <w:rPr>
                            <w:noProof/>
                          </w:rPr>
                          <w:t xml:space="preserve">[7] </w:t>
                        </w:r>
                      </w:p>
                    </w:tc>
                    <w:tc>
                      <w:tcPr>
                        <w:tcW w:w="4582" w:type="pct"/>
                      </w:tcPr>
                      <w:p w14:paraId="797F4BBC" w14:textId="6C09A9A4" w:rsidR="00592D5B" w:rsidRPr="009E083E" w:rsidRDefault="007265C1" w:rsidP="00592D5B">
                        <w:pPr>
                          <w:pStyle w:val="Bibliography"/>
                          <w:rPr>
                            <w:noProof/>
                            <w:lang w:val="fr-FR"/>
                          </w:rPr>
                        </w:pPr>
                        <w:r>
                          <w:rPr>
                            <w:noProof/>
                          </w:rPr>
                          <w:t xml:space="preserve">IAEA, “Nuclear Security Series No. 23-G IAEA Implementing Guide: Security of Nuclear Information,” 2015. </w:t>
                        </w:r>
                        <w:r w:rsidRPr="009E083E">
                          <w:rPr>
                            <w:noProof/>
                            <w:lang w:val="fr-FR"/>
                          </w:rPr>
                          <w:t>[Online]. Available: https://www-pub.iaea.org/MTCD/Publications/PDF/Pub1677web-32045715.pdf.</w:t>
                        </w:r>
                      </w:p>
                    </w:tc>
                  </w:tr>
                  <w:tr w:rsidR="00592D5B" w:rsidRPr="00E52DD7" w14:paraId="0B48A4C6" w14:textId="77777777" w:rsidTr="00F2035B">
                    <w:trPr>
                      <w:tblCellSpacing w:w="15" w:type="dxa"/>
                    </w:trPr>
                    <w:tc>
                      <w:tcPr>
                        <w:tcW w:w="368" w:type="pct"/>
                        <w:hideMark/>
                      </w:tcPr>
                      <w:p w14:paraId="670B208E" w14:textId="77777777" w:rsidR="00592D5B" w:rsidRDefault="00592D5B" w:rsidP="00592D5B">
                        <w:pPr>
                          <w:pStyle w:val="Bibliography"/>
                          <w:rPr>
                            <w:noProof/>
                          </w:rPr>
                        </w:pPr>
                        <w:r>
                          <w:rPr>
                            <w:noProof/>
                          </w:rPr>
                          <w:t xml:space="preserve">[8] </w:t>
                        </w:r>
                      </w:p>
                    </w:tc>
                    <w:tc>
                      <w:tcPr>
                        <w:tcW w:w="4582" w:type="pct"/>
                        <w:hideMark/>
                      </w:tcPr>
                      <w:p w14:paraId="7E69ED36" w14:textId="77777777" w:rsidR="00592D5B" w:rsidRPr="009E083E" w:rsidRDefault="00F319C9" w:rsidP="000A4A7E">
                        <w:pPr>
                          <w:spacing w:after="0" w:line="240" w:lineRule="auto"/>
                          <w:rPr>
                            <w:lang w:val="fr-FR"/>
                          </w:rPr>
                        </w:pPr>
                        <w:r w:rsidRPr="00D87EC0">
                          <w:rPr>
                            <w:bCs/>
                          </w:rPr>
                          <w:t>IAEA, "Nuclear Security Series No. 17-T (Rev. 1).  Computer Security Techniques for Nuclear Facilities"</w:t>
                        </w:r>
                        <w:r w:rsidR="00B65D26" w:rsidRPr="00D87EC0">
                          <w:rPr>
                            <w:bCs/>
                          </w:rPr>
                          <w:t xml:space="preserve">, 2021. </w:t>
                        </w:r>
                        <w:r w:rsidR="00B65D26" w:rsidRPr="009E083E">
                          <w:rPr>
                            <w:bCs/>
                            <w:lang w:val="fr-FR"/>
                          </w:rPr>
                          <w:t>[Online]</w:t>
                        </w:r>
                        <w:r w:rsidR="00FA737D" w:rsidRPr="009E083E">
                          <w:rPr>
                            <w:bCs/>
                            <w:lang w:val="fr-FR"/>
                          </w:rPr>
                          <w:t xml:space="preserve">. Available: </w:t>
                        </w:r>
                        <w:r w:rsidR="00483DFB" w:rsidRPr="009E083E">
                          <w:rPr>
                            <w:lang w:val="fr-FR"/>
                          </w:rPr>
                          <w:t>https://www-pub.iaea.org/MTCD/Publications/PDF/Pub1921</w:t>
                        </w:r>
                        <w:r w:rsidR="004B4C43" w:rsidRPr="009E083E">
                          <w:rPr>
                            <w:lang w:val="fr-FR"/>
                          </w:rPr>
                          <w:t>_</w:t>
                        </w:r>
                        <w:r w:rsidR="00483DFB" w:rsidRPr="009E083E">
                          <w:rPr>
                            <w:lang w:val="fr-FR"/>
                          </w:rPr>
                          <w:t>web.pdf</w:t>
                        </w:r>
                      </w:p>
                      <w:p w14:paraId="5B1217A7" w14:textId="77777777" w:rsidR="007B65DE" w:rsidRPr="009E083E" w:rsidRDefault="007B65DE" w:rsidP="000A4A7E">
                        <w:pPr>
                          <w:spacing w:after="0" w:line="240" w:lineRule="auto"/>
                          <w:rPr>
                            <w:lang w:val="fr-FR"/>
                          </w:rPr>
                        </w:pPr>
                      </w:p>
                      <w:p w14:paraId="30ECE637" w14:textId="32944D65" w:rsidR="000A4A7E" w:rsidRPr="009E083E" w:rsidRDefault="000A4A7E" w:rsidP="000A4A7E">
                        <w:pPr>
                          <w:spacing w:after="0" w:line="240" w:lineRule="auto"/>
                          <w:rPr>
                            <w:bCs/>
                            <w:noProof/>
                            <w:lang w:val="fr-FR"/>
                          </w:rPr>
                        </w:pPr>
                      </w:p>
                    </w:tc>
                  </w:tr>
                  <w:tr w:rsidR="00592D5B" w14:paraId="260E25F1" w14:textId="77777777" w:rsidTr="00F2035B">
                    <w:trPr>
                      <w:tblCellSpacing w:w="15" w:type="dxa"/>
                    </w:trPr>
                    <w:tc>
                      <w:tcPr>
                        <w:tcW w:w="368" w:type="pct"/>
                        <w:hideMark/>
                      </w:tcPr>
                      <w:p w14:paraId="7CE5FCC5" w14:textId="77777777" w:rsidR="00592D5B" w:rsidRDefault="00592D5B" w:rsidP="00592D5B">
                        <w:pPr>
                          <w:pStyle w:val="Bibliography"/>
                          <w:rPr>
                            <w:noProof/>
                          </w:rPr>
                        </w:pPr>
                        <w:r>
                          <w:rPr>
                            <w:noProof/>
                          </w:rPr>
                          <w:t xml:space="preserve">[9] </w:t>
                        </w:r>
                      </w:p>
                    </w:tc>
                    <w:tc>
                      <w:tcPr>
                        <w:tcW w:w="4582" w:type="pct"/>
                        <w:hideMark/>
                      </w:tcPr>
                      <w:p w14:paraId="1E1EFE4A" w14:textId="767C5CAC" w:rsidR="00592D5B" w:rsidRDefault="00D3060E" w:rsidP="00592D5B">
                        <w:pPr>
                          <w:pStyle w:val="Bibliography"/>
                          <w:rPr>
                            <w:noProof/>
                          </w:rPr>
                        </w:pPr>
                        <w:r w:rsidRPr="00247690">
                          <w:rPr>
                            <w:b/>
                            <w:bCs/>
                          </w:rPr>
                          <w:t>I</w:t>
                        </w:r>
                        <w:r w:rsidRPr="00D3060E">
                          <w:t>AEA</w:t>
                        </w:r>
                        <w:r>
                          <w:t>, "</w:t>
                        </w:r>
                        <w:r w:rsidRPr="00D3060E">
                          <w:t>Nuclear Security Series No. 33-T.</w:t>
                        </w:r>
                        <w:r w:rsidRPr="00396A41">
                          <w:t xml:space="preserve"> Computer Security of Instrumentation and Control Systems at Nuclear Facilities</w:t>
                        </w:r>
                        <w:r>
                          <w:t>"</w:t>
                        </w:r>
                        <w:r w:rsidR="00F90D2D">
                          <w:t xml:space="preserve">. </w:t>
                        </w:r>
                      </w:p>
                    </w:tc>
                  </w:tr>
                  <w:tr w:rsidR="00592D5B" w:rsidRPr="00E52DD7" w14:paraId="12E9A7CC" w14:textId="77777777" w:rsidTr="00F2035B">
                    <w:trPr>
                      <w:tblCellSpacing w:w="15" w:type="dxa"/>
                    </w:trPr>
                    <w:tc>
                      <w:tcPr>
                        <w:tcW w:w="368" w:type="pct"/>
                        <w:hideMark/>
                      </w:tcPr>
                      <w:p w14:paraId="0276F4DC" w14:textId="77777777" w:rsidR="00592D5B" w:rsidRDefault="00592D5B" w:rsidP="00592D5B">
                        <w:pPr>
                          <w:pStyle w:val="Bibliography"/>
                          <w:rPr>
                            <w:noProof/>
                          </w:rPr>
                        </w:pPr>
                        <w:r>
                          <w:rPr>
                            <w:noProof/>
                          </w:rPr>
                          <w:t xml:space="preserve">[10] </w:t>
                        </w:r>
                      </w:p>
                      <w:p w14:paraId="05BCCCF8" w14:textId="77777777" w:rsidR="00D823F0" w:rsidRDefault="00D823F0" w:rsidP="00D823F0"/>
                      <w:p w14:paraId="07D245DA" w14:textId="7CCA8A6E" w:rsidR="009102E1" w:rsidRPr="00D823F0" w:rsidRDefault="009102E1" w:rsidP="00D823F0"/>
                    </w:tc>
                    <w:tc>
                      <w:tcPr>
                        <w:tcW w:w="4582" w:type="pct"/>
                        <w:hideMark/>
                      </w:tcPr>
                      <w:p w14:paraId="28CE719F" w14:textId="48F79BBA" w:rsidR="00BE48AB" w:rsidRPr="009E083E" w:rsidRDefault="000E5807" w:rsidP="00981F0C">
                        <w:pPr>
                          <w:spacing w:after="0" w:line="240" w:lineRule="auto"/>
                          <w:rPr>
                            <w:lang w:val="fr-FR"/>
                          </w:rPr>
                        </w:pPr>
                        <w:r w:rsidRPr="00813EA6">
                          <w:t>IAEA</w:t>
                        </w:r>
                        <w:r>
                          <w:t>,</w:t>
                        </w:r>
                        <w:r w:rsidRPr="00813EA6">
                          <w:t xml:space="preserve"> </w:t>
                        </w:r>
                        <w:r>
                          <w:t>"</w:t>
                        </w:r>
                        <w:r w:rsidRPr="00813EA6">
                          <w:t>Computer Security Incident Response Planning at Nuclear Facilities</w:t>
                        </w:r>
                        <w:r>
                          <w:t xml:space="preserve">", 2016. </w:t>
                        </w:r>
                        <w:r w:rsidRPr="009E083E">
                          <w:rPr>
                            <w:lang w:val="fr-FR"/>
                          </w:rPr>
                          <w:t>[Online]. Available: https://www.iaea.org/publications/10998/computer-security-incident-response-planning-at-nuclear-facilities</w:t>
                        </w:r>
                        <w:r w:rsidR="00F90D2D">
                          <w:rPr>
                            <w:lang w:val="fr-FR"/>
                          </w:rPr>
                          <w:t xml:space="preserve">. </w:t>
                        </w:r>
                      </w:p>
                    </w:tc>
                  </w:tr>
                  <w:tr w:rsidR="00592D5B" w:rsidRPr="00E52DD7" w14:paraId="17A18DB7" w14:textId="77777777" w:rsidTr="00F2035B">
                    <w:trPr>
                      <w:tblCellSpacing w:w="15" w:type="dxa"/>
                    </w:trPr>
                    <w:tc>
                      <w:tcPr>
                        <w:tcW w:w="368" w:type="pct"/>
                        <w:hideMark/>
                      </w:tcPr>
                      <w:p w14:paraId="28D6F814" w14:textId="77777777" w:rsidR="00592D5B" w:rsidRDefault="00592D5B" w:rsidP="00592D5B">
                        <w:pPr>
                          <w:pStyle w:val="Bibliography"/>
                          <w:rPr>
                            <w:noProof/>
                          </w:rPr>
                        </w:pPr>
                        <w:r>
                          <w:rPr>
                            <w:noProof/>
                          </w:rPr>
                          <w:t xml:space="preserve">[11] </w:t>
                        </w:r>
                      </w:p>
                    </w:tc>
                    <w:tc>
                      <w:tcPr>
                        <w:tcW w:w="4582" w:type="pct"/>
                        <w:hideMark/>
                      </w:tcPr>
                      <w:p w14:paraId="3445FBEC" w14:textId="77777777" w:rsidR="00981F0C" w:rsidRDefault="00981F0C" w:rsidP="00981F0C">
                        <w:pPr>
                          <w:pStyle w:val="Bibliography"/>
                          <w:rPr>
                            <w:color w:val="000000"/>
                            <w:szCs w:val="24"/>
                            <w:lang w:val="fr-FR"/>
                          </w:rPr>
                        </w:pPr>
                        <w:r w:rsidRPr="00F77280">
                          <w:rPr>
                            <w:color w:val="000000"/>
                            <w:szCs w:val="24"/>
                          </w:rPr>
                          <w:t xml:space="preserve">HM Government, “Government Functional Standard GovS 007: Security,” 2021. </w:t>
                        </w:r>
                        <w:r w:rsidRPr="009E083E">
                          <w:rPr>
                            <w:color w:val="000000"/>
                            <w:szCs w:val="24"/>
                            <w:lang w:val="fr-FR"/>
                          </w:rPr>
                          <w:t>[Online]. Available: https://assets.publishing.service.gov.uk/government/uploads/system/uploads/attachment_data/file/1016424/GovS_007-_Security.pdf.</w:t>
                        </w:r>
                      </w:p>
                      <w:p w14:paraId="59F7EF3B" w14:textId="7CBF6219" w:rsidR="00592D5B" w:rsidRPr="00981F0C" w:rsidRDefault="00592D5B" w:rsidP="00592D5B">
                        <w:pPr>
                          <w:pStyle w:val="Bibliography"/>
                          <w:rPr>
                            <w:noProof/>
                            <w:lang w:val="fr-FR"/>
                          </w:rPr>
                        </w:pPr>
                      </w:p>
                    </w:tc>
                  </w:tr>
                  <w:tr w:rsidR="00592D5B" w:rsidRPr="00E52DD7" w14:paraId="68ECFA84" w14:textId="77777777" w:rsidTr="00F2035B">
                    <w:trPr>
                      <w:tblCellSpacing w:w="15" w:type="dxa"/>
                    </w:trPr>
                    <w:tc>
                      <w:tcPr>
                        <w:tcW w:w="368" w:type="pct"/>
                        <w:hideMark/>
                      </w:tcPr>
                      <w:p w14:paraId="2BC672CF" w14:textId="77777777" w:rsidR="00592D5B" w:rsidRDefault="00592D5B" w:rsidP="00592D5B">
                        <w:pPr>
                          <w:pStyle w:val="Bibliography"/>
                          <w:rPr>
                            <w:noProof/>
                          </w:rPr>
                        </w:pPr>
                        <w:r>
                          <w:rPr>
                            <w:noProof/>
                          </w:rPr>
                          <w:lastRenderedPageBreak/>
                          <w:t xml:space="preserve">[12] </w:t>
                        </w:r>
                      </w:p>
                    </w:tc>
                    <w:tc>
                      <w:tcPr>
                        <w:tcW w:w="4582" w:type="pct"/>
                        <w:hideMark/>
                      </w:tcPr>
                      <w:p w14:paraId="772F340E" w14:textId="5FC204AE" w:rsidR="00592D5B" w:rsidRPr="009E083E" w:rsidRDefault="003E0888" w:rsidP="00CA2F6C">
                        <w:pPr>
                          <w:pStyle w:val="Bibliography"/>
                          <w:rPr>
                            <w:noProof/>
                            <w:lang w:val="fr-FR"/>
                          </w:rPr>
                        </w:pPr>
                        <w:r>
                          <w:rPr>
                            <w:noProof/>
                          </w:rPr>
                          <w:t>IA</w:t>
                        </w:r>
                        <w:r w:rsidR="00AC5AFA">
                          <w:rPr>
                            <w:noProof/>
                          </w:rPr>
                          <w:t>EA, "Nuclear Security Safet and Security Glossary"</w:t>
                        </w:r>
                        <w:r w:rsidR="00530CA1">
                          <w:rPr>
                            <w:noProof/>
                          </w:rPr>
                          <w:t xml:space="preserve">, 2022.[Online]. </w:t>
                        </w:r>
                        <w:r w:rsidR="00530CA1" w:rsidRPr="00C929E0">
                          <w:rPr>
                            <w:noProof/>
                            <w:lang w:val="fr-FR"/>
                          </w:rPr>
                          <w:t>Available</w:t>
                        </w:r>
                        <w:r w:rsidR="00DF6098" w:rsidRPr="00C929E0">
                          <w:rPr>
                            <w:noProof/>
                            <w:lang w:val="fr-FR"/>
                          </w:rPr>
                          <w:t>: https://www.iaea.org/resources/publications/iaea-nuclear-safety-and-security-glossary</w:t>
                        </w:r>
                      </w:p>
                    </w:tc>
                  </w:tr>
                  <w:tr w:rsidR="00592D5B" w:rsidRPr="00E52DD7" w14:paraId="27333A54" w14:textId="77777777" w:rsidTr="00F2035B">
                    <w:trPr>
                      <w:tblCellSpacing w:w="15" w:type="dxa"/>
                    </w:trPr>
                    <w:tc>
                      <w:tcPr>
                        <w:tcW w:w="368" w:type="pct"/>
                        <w:hideMark/>
                      </w:tcPr>
                      <w:p w14:paraId="6653767D" w14:textId="77777777" w:rsidR="00592D5B" w:rsidRDefault="00592D5B" w:rsidP="00592D5B">
                        <w:pPr>
                          <w:pStyle w:val="Bibliography"/>
                          <w:rPr>
                            <w:noProof/>
                          </w:rPr>
                        </w:pPr>
                        <w:r>
                          <w:rPr>
                            <w:noProof/>
                          </w:rPr>
                          <w:t xml:space="preserve">[13] </w:t>
                        </w:r>
                      </w:p>
                    </w:tc>
                    <w:tc>
                      <w:tcPr>
                        <w:tcW w:w="4582" w:type="pct"/>
                        <w:hideMark/>
                      </w:tcPr>
                      <w:p w14:paraId="75F676AE" w14:textId="075CB4AD" w:rsidR="00CA2F6C" w:rsidRDefault="00CA2F6C" w:rsidP="00F90D2D">
                        <w:pPr>
                          <w:spacing w:after="0" w:line="240" w:lineRule="auto"/>
                          <w:rPr>
                            <w:noProof/>
                            <w:lang w:val="fr-FR"/>
                          </w:rPr>
                        </w:pPr>
                        <w:r>
                          <w:rPr>
                            <w:noProof/>
                          </w:rPr>
                          <w:t>NIST, "</w:t>
                        </w:r>
                        <w:r w:rsidRPr="00512395">
                          <w:rPr>
                            <w:noProof/>
                          </w:rPr>
                          <w:t>Framework for Improving Critical Infrastructure Cybersecurity, Version 1.1</w:t>
                        </w:r>
                        <w:r>
                          <w:rPr>
                            <w:noProof/>
                          </w:rPr>
                          <w:t xml:space="preserve">", 2018. </w:t>
                        </w:r>
                        <w:r w:rsidRPr="009E083E">
                          <w:rPr>
                            <w:noProof/>
                            <w:lang w:val="fr-FR"/>
                          </w:rPr>
                          <w:t>[Online]. Available: https://nvlpubs.nist.gov/nistpubs/CSWP/NIST.CSWP.04162018.pdf</w:t>
                        </w:r>
                      </w:p>
                      <w:p w14:paraId="2AD49CED" w14:textId="77777777" w:rsidR="00CA2F6C" w:rsidRPr="00CA2F6C" w:rsidRDefault="00CA2F6C" w:rsidP="00F90D2D">
                        <w:pPr>
                          <w:spacing w:after="0" w:line="240" w:lineRule="auto"/>
                          <w:rPr>
                            <w:bCs/>
                            <w:color w:val="000000" w:themeColor="text1"/>
                            <w:lang w:val="fr-FR"/>
                          </w:rPr>
                        </w:pPr>
                      </w:p>
                      <w:p w14:paraId="2AF57FC4" w14:textId="23591F38" w:rsidR="00F90D2D" w:rsidRPr="00F90D2D" w:rsidRDefault="00F90D2D" w:rsidP="004C6EE6">
                        <w:pPr>
                          <w:spacing w:after="0" w:line="240" w:lineRule="auto"/>
                          <w:rPr>
                            <w:noProof/>
                            <w:lang w:val="fr-FR"/>
                          </w:rPr>
                        </w:pPr>
                      </w:p>
                    </w:tc>
                  </w:tr>
                  <w:tr w:rsidR="00592D5B" w:rsidRPr="00E52DD7" w14:paraId="4F02A4A5" w14:textId="77777777" w:rsidTr="00F2035B">
                    <w:trPr>
                      <w:tblCellSpacing w:w="15" w:type="dxa"/>
                    </w:trPr>
                    <w:tc>
                      <w:tcPr>
                        <w:tcW w:w="368" w:type="pct"/>
                        <w:hideMark/>
                      </w:tcPr>
                      <w:p w14:paraId="73515DDD" w14:textId="77777777" w:rsidR="00592D5B" w:rsidRDefault="00592D5B" w:rsidP="00592D5B">
                        <w:pPr>
                          <w:pStyle w:val="Bibliography"/>
                          <w:rPr>
                            <w:noProof/>
                          </w:rPr>
                        </w:pPr>
                        <w:r>
                          <w:rPr>
                            <w:noProof/>
                          </w:rPr>
                          <w:t xml:space="preserve">[14] </w:t>
                        </w:r>
                      </w:p>
                    </w:tc>
                    <w:tc>
                      <w:tcPr>
                        <w:tcW w:w="4582" w:type="pct"/>
                        <w:hideMark/>
                      </w:tcPr>
                      <w:p w14:paraId="28398327" w14:textId="77777777" w:rsidR="004C6EE6" w:rsidRDefault="004C6EE6" w:rsidP="004C6EE6">
                        <w:pPr>
                          <w:spacing w:after="0" w:line="240" w:lineRule="auto"/>
                          <w:rPr>
                            <w:bCs/>
                            <w:color w:val="000000" w:themeColor="text1"/>
                            <w:lang w:val="fr-FR"/>
                          </w:rPr>
                        </w:pPr>
                        <w:r>
                          <w:rPr>
                            <w:bCs/>
                            <w:color w:val="000000" w:themeColor="text1"/>
                          </w:rPr>
                          <w:t>ENISA, 2010 "</w:t>
                        </w:r>
                        <w:r w:rsidRPr="00134728">
                          <w:rPr>
                            <w:bCs/>
                            <w:color w:val="000000" w:themeColor="text1"/>
                          </w:rPr>
                          <w:t>Good Practice Guide for Incident Management.</w:t>
                        </w:r>
                        <w:r>
                          <w:rPr>
                            <w:bCs/>
                            <w:color w:val="000000" w:themeColor="text1"/>
                          </w:rPr>
                          <w:t xml:space="preserve">" </w:t>
                        </w:r>
                        <w:r w:rsidRPr="009E083E">
                          <w:rPr>
                            <w:bCs/>
                            <w:color w:val="000000" w:themeColor="text1"/>
                            <w:lang w:val="fr-FR"/>
                          </w:rPr>
                          <w:t>[online]. Available:  https://www.enisa.europa.eu/publications/good-practice-guide-for-incident-management</w:t>
                        </w:r>
                        <w:r>
                          <w:rPr>
                            <w:bCs/>
                            <w:color w:val="000000" w:themeColor="text1"/>
                            <w:lang w:val="fr-FR"/>
                          </w:rPr>
                          <w:t>.</w:t>
                        </w:r>
                      </w:p>
                      <w:p w14:paraId="493D5722" w14:textId="77777777" w:rsidR="008A0D4C" w:rsidRPr="009E083E" w:rsidRDefault="008A0D4C" w:rsidP="00E66898">
                        <w:pPr>
                          <w:spacing w:after="0" w:line="240" w:lineRule="auto"/>
                          <w:rPr>
                            <w:bCs/>
                            <w:color w:val="000000" w:themeColor="text1"/>
                            <w:lang w:val="fr-FR"/>
                          </w:rPr>
                        </w:pPr>
                      </w:p>
                      <w:p w14:paraId="138ACDB7" w14:textId="1B6CBA9D" w:rsidR="00592D5B" w:rsidRPr="009E083E" w:rsidRDefault="00592D5B" w:rsidP="00592D5B">
                        <w:pPr>
                          <w:pStyle w:val="Bibliography"/>
                          <w:rPr>
                            <w:noProof/>
                            <w:lang w:val="fr-FR"/>
                          </w:rPr>
                        </w:pPr>
                      </w:p>
                    </w:tc>
                  </w:tr>
                  <w:tr w:rsidR="00592D5B" w:rsidRPr="00E52DD7" w14:paraId="79298004" w14:textId="77777777" w:rsidTr="00F2035B">
                    <w:trPr>
                      <w:tblCellSpacing w:w="15" w:type="dxa"/>
                    </w:trPr>
                    <w:tc>
                      <w:tcPr>
                        <w:tcW w:w="368" w:type="pct"/>
                        <w:hideMark/>
                      </w:tcPr>
                      <w:p w14:paraId="33732C81" w14:textId="77777777" w:rsidR="00592D5B" w:rsidRDefault="00592D5B" w:rsidP="00592D5B">
                        <w:pPr>
                          <w:pStyle w:val="Bibliography"/>
                          <w:rPr>
                            <w:noProof/>
                          </w:rPr>
                        </w:pPr>
                        <w:r>
                          <w:rPr>
                            <w:noProof/>
                          </w:rPr>
                          <w:t xml:space="preserve">[15] </w:t>
                        </w:r>
                      </w:p>
                    </w:tc>
                    <w:tc>
                      <w:tcPr>
                        <w:tcW w:w="4582" w:type="pct"/>
                        <w:hideMark/>
                      </w:tcPr>
                      <w:p w14:paraId="25C469D3" w14:textId="77777777" w:rsidR="00EF7431" w:rsidRDefault="00EF7431" w:rsidP="00EF7431">
                        <w:pPr>
                          <w:spacing w:after="0" w:line="240" w:lineRule="auto"/>
                          <w:rPr>
                            <w:bCs/>
                            <w:lang w:val="fr-FR"/>
                          </w:rPr>
                        </w:pPr>
                        <w:r w:rsidRPr="009E083E">
                          <w:rPr>
                            <w:bCs/>
                            <w:color w:val="000000" w:themeColor="text1"/>
                            <w:lang w:val="fr-FR"/>
                          </w:rPr>
                          <w:t xml:space="preserve">CISA, 2016 "Volume 5 Incident Management". [Online]. Available: </w:t>
                        </w:r>
                        <w:r w:rsidRPr="009E083E">
                          <w:rPr>
                            <w:bCs/>
                            <w:lang w:val="fr-FR"/>
                          </w:rPr>
                          <w:t>https://us-cert.cisa.gov/sites/default/files/c3vp/crr_resources_guides/CRR_Resource_Guide-IM.pdf</w:t>
                        </w:r>
                      </w:p>
                      <w:p w14:paraId="574BA230" w14:textId="77777777" w:rsidR="00975CA1" w:rsidRPr="00C929E0" w:rsidRDefault="00975CA1" w:rsidP="00B31B6C">
                        <w:pPr>
                          <w:spacing w:after="0" w:line="240" w:lineRule="auto"/>
                          <w:rPr>
                            <w:rStyle w:val="Hyperlink"/>
                            <w:bCs/>
                            <w:color w:val="auto"/>
                            <w:lang w:val="fr-FR"/>
                          </w:rPr>
                        </w:pPr>
                      </w:p>
                      <w:p w14:paraId="647F0D2E" w14:textId="175E5487" w:rsidR="00592D5B" w:rsidRPr="00C929E0" w:rsidRDefault="00592D5B" w:rsidP="00592D5B">
                        <w:pPr>
                          <w:pStyle w:val="Bibliography"/>
                          <w:rPr>
                            <w:noProof/>
                            <w:lang w:val="fr-FR"/>
                          </w:rPr>
                        </w:pPr>
                      </w:p>
                    </w:tc>
                  </w:tr>
                  <w:tr w:rsidR="00592D5B" w:rsidRPr="0012100F" w14:paraId="334C0023" w14:textId="77777777" w:rsidTr="00F2035B">
                    <w:trPr>
                      <w:tblCellSpacing w:w="15" w:type="dxa"/>
                    </w:trPr>
                    <w:tc>
                      <w:tcPr>
                        <w:tcW w:w="368" w:type="pct"/>
                        <w:hideMark/>
                      </w:tcPr>
                      <w:p w14:paraId="4820FF48" w14:textId="77777777" w:rsidR="00592D5B" w:rsidRDefault="00592D5B" w:rsidP="00592D5B">
                        <w:pPr>
                          <w:pStyle w:val="Bibliography"/>
                          <w:rPr>
                            <w:noProof/>
                          </w:rPr>
                        </w:pPr>
                        <w:r>
                          <w:rPr>
                            <w:noProof/>
                          </w:rPr>
                          <w:t xml:space="preserve">[16] </w:t>
                        </w:r>
                      </w:p>
                    </w:tc>
                    <w:tc>
                      <w:tcPr>
                        <w:tcW w:w="4582" w:type="pct"/>
                        <w:hideMark/>
                      </w:tcPr>
                      <w:p w14:paraId="06B645A1" w14:textId="77777777" w:rsidR="00EF7431" w:rsidRDefault="00EF7431" w:rsidP="00EF7431">
                        <w:pPr>
                          <w:spacing w:after="0" w:line="240" w:lineRule="auto"/>
                          <w:rPr>
                            <w:bCs/>
                            <w:color w:val="000000" w:themeColor="text1"/>
                          </w:rPr>
                        </w:pPr>
                        <w:r w:rsidRPr="00B31B6C">
                          <w:rPr>
                            <w:bCs/>
                            <w:color w:val="000000" w:themeColor="text1"/>
                          </w:rPr>
                          <w:t xml:space="preserve">SANS, </w:t>
                        </w:r>
                        <w:r>
                          <w:rPr>
                            <w:bCs/>
                            <w:color w:val="000000" w:themeColor="text1"/>
                          </w:rPr>
                          <w:t>2012 "</w:t>
                        </w:r>
                        <w:r w:rsidRPr="00B31B6C">
                          <w:rPr>
                            <w:bCs/>
                            <w:color w:val="000000" w:themeColor="text1"/>
                          </w:rPr>
                          <w:t>Incident Handler’s Handbook</w:t>
                        </w:r>
                        <w:r>
                          <w:rPr>
                            <w:bCs/>
                            <w:color w:val="000000" w:themeColor="text1"/>
                          </w:rPr>
                          <w:t>"</w:t>
                        </w:r>
                        <w:r w:rsidRPr="00B31B6C">
                          <w:rPr>
                            <w:bCs/>
                            <w:color w:val="000000" w:themeColor="text1"/>
                          </w:rPr>
                          <w:t xml:space="preserve">. </w:t>
                        </w:r>
                        <w:r>
                          <w:rPr>
                            <w:bCs/>
                            <w:color w:val="000000" w:themeColor="text1"/>
                          </w:rPr>
                          <w:t xml:space="preserve">[Online]. Available: </w:t>
                        </w:r>
                        <w:r w:rsidRPr="001A7491">
                          <w:rPr>
                            <w:bCs/>
                            <w:color w:val="000000" w:themeColor="text1"/>
                          </w:rPr>
                          <w:t>https://www.sans.org/reading-room/whitepapers/incident/incident-handlers-handbook-33901</w:t>
                        </w:r>
                      </w:p>
                      <w:p w14:paraId="5E05691C" w14:textId="77777777" w:rsidR="00EF7431" w:rsidRDefault="00EF7431" w:rsidP="00EF7431">
                        <w:pPr>
                          <w:spacing w:after="0" w:line="240" w:lineRule="auto"/>
                          <w:rPr>
                            <w:rStyle w:val="Hyperlink"/>
                            <w:bCs/>
                            <w:color w:val="000000" w:themeColor="text1"/>
                          </w:rPr>
                        </w:pPr>
                      </w:p>
                      <w:p w14:paraId="34EE414D" w14:textId="7EDBE12B" w:rsidR="00592D5B" w:rsidRPr="009E083E" w:rsidRDefault="00592D5B" w:rsidP="00975CA1">
                        <w:pPr>
                          <w:spacing w:line="240" w:lineRule="auto"/>
                          <w:rPr>
                            <w:bCs/>
                            <w:color w:val="000000" w:themeColor="text1"/>
                            <w:lang w:val="fr-FR"/>
                          </w:rPr>
                        </w:pPr>
                      </w:p>
                    </w:tc>
                  </w:tr>
                  <w:tr w:rsidR="00592D5B" w:rsidRPr="00E52DD7" w14:paraId="050CEDD7" w14:textId="77777777" w:rsidTr="00F2035B">
                    <w:trPr>
                      <w:tblCellSpacing w:w="15" w:type="dxa"/>
                    </w:trPr>
                    <w:tc>
                      <w:tcPr>
                        <w:tcW w:w="368" w:type="pct"/>
                        <w:hideMark/>
                      </w:tcPr>
                      <w:p w14:paraId="05AE1E67" w14:textId="77777777" w:rsidR="00592D5B" w:rsidRDefault="00592D5B" w:rsidP="00592D5B">
                        <w:pPr>
                          <w:pStyle w:val="Bibliography"/>
                          <w:rPr>
                            <w:noProof/>
                          </w:rPr>
                        </w:pPr>
                        <w:r>
                          <w:rPr>
                            <w:noProof/>
                          </w:rPr>
                          <w:t xml:space="preserve">[17] </w:t>
                        </w:r>
                      </w:p>
                    </w:tc>
                    <w:tc>
                      <w:tcPr>
                        <w:tcW w:w="4582" w:type="pct"/>
                        <w:hideMark/>
                      </w:tcPr>
                      <w:p w14:paraId="5837F2B3" w14:textId="77777777" w:rsidR="0045769D" w:rsidRDefault="0045769D" w:rsidP="00DF4A01">
                        <w:pPr>
                          <w:spacing w:line="240" w:lineRule="auto"/>
                          <w:rPr>
                            <w:color w:val="000000" w:themeColor="text1"/>
                            <w:lang w:val="fr-FR"/>
                          </w:rPr>
                        </w:pPr>
                        <w:r>
                          <w:rPr>
                            <w:bCs/>
                            <w:color w:val="000000" w:themeColor="text1"/>
                          </w:rPr>
                          <w:t>N</w:t>
                        </w:r>
                        <w:r>
                          <w:t>IST, 2012 "</w:t>
                        </w:r>
                        <w:r w:rsidRPr="00975CA1">
                          <w:rPr>
                            <w:bCs/>
                            <w:color w:val="000000" w:themeColor="text1"/>
                          </w:rPr>
                          <w:t>Computer Security Incident Handling Guide</w:t>
                        </w:r>
                        <w:r>
                          <w:rPr>
                            <w:bCs/>
                            <w:color w:val="000000" w:themeColor="text1"/>
                          </w:rPr>
                          <w:t xml:space="preserve">". </w:t>
                        </w:r>
                        <w:r w:rsidRPr="009E083E">
                          <w:rPr>
                            <w:bCs/>
                            <w:color w:val="000000" w:themeColor="text1"/>
                            <w:lang w:val="fr-FR"/>
                          </w:rPr>
                          <w:t>[Online]. Available: http://nvlpubs.nist.gov/nistpubs/SpecialPublications/NIST.SP.800-61r2.pdf</w:t>
                        </w:r>
                        <w:r w:rsidRPr="0045769D">
                          <w:rPr>
                            <w:color w:val="000000" w:themeColor="text1"/>
                            <w:lang w:val="fr-FR"/>
                          </w:rPr>
                          <w:t xml:space="preserve"> </w:t>
                        </w:r>
                      </w:p>
                      <w:p w14:paraId="03D1072D" w14:textId="77BB38FC" w:rsidR="00592D5B" w:rsidRPr="0045769D" w:rsidRDefault="00592D5B" w:rsidP="0045769D">
                        <w:pPr>
                          <w:spacing w:line="240" w:lineRule="auto"/>
                          <w:rPr>
                            <w:noProof/>
                            <w:lang w:val="fr-FR"/>
                          </w:rPr>
                        </w:pPr>
                      </w:p>
                    </w:tc>
                  </w:tr>
                  <w:tr w:rsidR="00592D5B" w:rsidRPr="0012100F" w14:paraId="473D5B2B" w14:textId="77777777" w:rsidTr="00F2035B">
                    <w:trPr>
                      <w:tblCellSpacing w:w="15" w:type="dxa"/>
                    </w:trPr>
                    <w:tc>
                      <w:tcPr>
                        <w:tcW w:w="368" w:type="pct"/>
                        <w:hideMark/>
                      </w:tcPr>
                      <w:p w14:paraId="5C0D1630" w14:textId="77777777" w:rsidR="00592D5B" w:rsidRDefault="00592D5B" w:rsidP="00592D5B">
                        <w:pPr>
                          <w:pStyle w:val="Bibliography"/>
                          <w:rPr>
                            <w:noProof/>
                          </w:rPr>
                        </w:pPr>
                        <w:r>
                          <w:rPr>
                            <w:noProof/>
                          </w:rPr>
                          <w:t xml:space="preserve">[18] </w:t>
                        </w:r>
                      </w:p>
                    </w:tc>
                    <w:tc>
                      <w:tcPr>
                        <w:tcW w:w="4582" w:type="pct"/>
                        <w:hideMark/>
                      </w:tcPr>
                      <w:p w14:paraId="788A5B7D" w14:textId="77777777" w:rsidR="0045769D" w:rsidRPr="0045769D" w:rsidRDefault="0045769D" w:rsidP="0045769D">
                        <w:pPr>
                          <w:spacing w:line="240" w:lineRule="auto"/>
                          <w:rPr>
                            <w:rStyle w:val="Hyperlink"/>
                            <w:color w:val="000000" w:themeColor="text1"/>
                          </w:rPr>
                        </w:pPr>
                        <w:r w:rsidRPr="0045769D">
                          <w:rPr>
                            <w:color w:val="000000" w:themeColor="text1"/>
                          </w:rPr>
                          <w:t>NCSC, 2019 "Incident Management Guidance".</w:t>
                        </w:r>
                        <w:r w:rsidRPr="0045769D">
                          <w:rPr>
                            <w:bCs/>
                            <w:color w:val="000000" w:themeColor="text1"/>
                          </w:rPr>
                          <w:t xml:space="preserve"> [Online]. Available: </w:t>
                        </w:r>
                        <w:r w:rsidRPr="0045769D">
                          <w:rPr>
                            <w:color w:val="000000" w:themeColor="text1"/>
                          </w:rPr>
                          <w:t xml:space="preserve"> https://www.ncsc.gov.uk/collection/incident-management</w:t>
                        </w:r>
                      </w:p>
                      <w:p w14:paraId="7D191B68" w14:textId="18BCFC07" w:rsidR="00592D5B" w:rsidRPr="009E083E" w:rsidRDefault="00592D5B" w:rsidP="002A6878">
                        <w:pPr>
                          <w:spacing w:line="240" w:lineRule="auto"/>
                          <w:rPr>
                            <w:noProof/>
                            <w:lang w:val="fr-FR"/>
                          </w:rPr>
                        </w:pPr>
                      </w:p>
                    </w:tc>
                  </w:tr>
                  <w:tr w:rsidR="00592D5B" w:rsidRPr="0012100F" w14:paraId="0CEC09F7" w14:textId="77777777" w:rsidTr="00F2035B">
                    <w:trPr>
                      <w:tblCellSpacing w:w="15" w:type="dxa"/>
                    </w:trPr>
                    <w:tc>
                      <w:tcPr>
                        <w:tcW w:w="368" w:type="pct"/>
                        <w:hideMark/>
                      </w:tcPr>
                      <w:p w14:paraId="17DF5A2A" w14:textId="77777777" w:rsidR="00592D5B" w:rsidRDefault="00592D5B" w:rsidP="00592D5B">
                        <w:pPr>
                          <w:pStyle w:val="Bibliography"/>
                          <w:rPr>
                            <w:noProof/>
                          </w:rPr>
                        </w:pPr>
                        <w:r>
                          <w:rPr>
                            <w:noProof/>
                          </w:rPr>
                          <w:t xml:space="preserve">[19] </w:t>
                        </w:r>
                      </w:p>
                    </w:tc>
                    <w:tc>
                      <w:tcPr>
                        <w:tcW w:w="4582" w:type="pct"/>
                        <w:hideMark/>
                      </w:tcPr>
                      <w:p w14:paraId="5632B780" w14:textId="3B4984B8" w:rsidR="006D1364" w:rsidRDefault="006D1364" w:rsidP="00592D5B">
                        <w:pPr>
                          <w:pStyle w:val="Bibliography"/>
                          <w:rPr>
                            <w:noProof/>
                          </w:rPr>
                        </w:pPr>
                        <w:r>
                          <w:rPr>
                            <w:noProof/>
                          </w:rPr>
                          <w:t>ISO/IEC 27035-1:2023</w:t>
                        </w:r>
                        <w:r w:rsidR="00884B52">
                          <w:rPr>
                            <w:noProof/>
                          </w:rPr>
                          <w:t xml:space="preserve"> Information Security Incident Management</w:t>
                        </w:r>
                      </w:p>
                      <w:p w14:paraId="6E92B30E" w14:textId="7BAFB03B" w:rsidR="00592D5B" w:rsidRPr="009E083E" w:rsidRDefault="00592D5B" w:rsidP="00592D5B">
                        <w:pPr>
                          <w:pStyle w:val="Bibliography"/>
                          <w:rPr>
                            <w:noProof/>
                            <w:lang w:val="fr-FR"/>
                          </w:rPr>
                        </w:pPr>
                      </w:p>
                    </w:tc>
                  </w:tr>
                  <w:tr w:rsidR="00592D5B" w:rsidRPr="00E52DD7" w14:paraId="3C72BA83" w14:textId="77777777" w:rsidTr="00F2035B">
                    <w:trPr>
                      <w:tblCellSpacing w:w="15" w:type="dxa"/>
                    </w:trPr>
                    <w:tc>
                      <w:tcPr>
                        <w:tcW w:w="368" w:type="pct"/>
                        <w:hideMark/>
                      </w:tcPr>
                      <w:p w14:paraId="3288020D" w14:textId="77777777" w:rsidR="00592D5B" w:rsidRDefault="00592D5B" w:rsidP="00592D5B">
                        <w:pPr>
                          <w:pStyle w:val="Bibliography"/>
                          <w:rPr>
                            <w:noProof/>
                          </w:rPr>
                        </w:pPr>
                        <w:r>
                          <w:rPr>
                            <w:noProof/>
                          </w:rPr>
                          <w:t xml:space="preserve">[20] </w:t>
                        </w:r>
                      </w:p>
                      <w:p w14:paraId="330BB6A5" w14:textId="77777777" w:rsidR="002A6878" w:rsidRDefault="002A6878" w:rsidP="002A6878"/>
                      <w:p w14:paraId="535FDB84" w14:textId="77777777" w:rsidR="002A6878" w:rsidRDefault="00857D62" w:rsidP="002A6878">
                        <w:r>
                          <w:t>[21]</w:t>
                        </w:r>
                      </w:p>
                      <w:p w14:paraId="71C040AB" w14:textId="77777777" w:rsidR="00857D62" w:rsidRDefault="00857D62" w:rsidP="002A6878"/>
                      <w:p w14:paraId="5646EF2B" w14:textId="0A28EC55" w:rsidR="00857D62" w:rsidRPr="002A6878" w:rsidRDefault="00857D62" w:rsidP="002A6878">
                        <w:r>
                          <w:t>[22]</w:t>
                        </w:r>
                      </w:p>
                    </w:tc>
                    <w:tc>
                      <w:tcPr>
                        <w:tcW w:w="4582" w:type="pct"/>
                        <w:hideMark/>
                      </w:tcPr>
                      <w:p w14:paraId="5A2C85C0" w14:textId="77777777" w:rsidR="002A6878" w:rsidRDefault="002A6878" w:rsidP="002A6878">
                        <w:pPr>
                          <w:spacing w:line="240" w:lineRule="auto"/>
                          <w:rPr>
                            <w:color w:val="000000" w:themeColor="text1"/>
                            <w:lang w:val="fr-FR"/>
                          </w:rPr>
                        </w:pPr>
                        <w:r>
                          <w:rPr>
                            <w:color w:val="000000" w:themeColor="text1"/>
                          </w:rPr>
                          <w:t>HM Government, 2022 "</w:t>
                        </w:r>
                        <w:r w:rsidRPr="000D24F0">
                          <w:rPr>
                            <w:color w:val="000000" w:themeColor="text1"/>
                          </w:rPr>
                          <w:t>Civil nuclear cyber security strategy 2022</w:t>
                        </w:r>
                        <w:r>
                          <w:rPr>
                            <w:color w:val="000000" w:themeColor="text1"/>
                          </w:rPr>
                          <w:t>"</w:t>
                        </w:r>
                        <w:r w:rsidRPr="000D24F0">
                          <w:rPr>
                            <w:color w:val="000000" w:themeColor="text1"/>
                          </w:rPr>
                          <w:t xml:space="preserve">. </w:t>
                        </w:r>
                        <w:r w:rsidRPr="009E083E">
                          <w:rPr>
                            <w:bCs/>
                            <w:color w:val="000000" w:themeColor="text1"/>
                            <w:lang w:val="fr-FR"/>
                          </w:rPr>
                          <w:t>[Online]. Available:</w:t>
                        </w:r>
                        <w:r w:rsidRPr="009E083E">
                          <w:rPr>
                            <w:color w:val="000000" w:themeColor="text1"/>
                            <w:lang w:val="fr-FR"/>
                          </w:rPr>
                          <w:t xml:space="preserve"> https://www.gov.uk/government/publications/civil-nuclear-cyber-security-strategy-2022</w:t>
                        </w:r>
                      </w:p>
                      <w:p w14:paraId="5169AF57" w14:textId="5E786D14" w:rsidR="002A6878" w:rsidRPr="009E083E" w:rsidRDefault="002A6878" w:rsidP="002A6878">
                        <w:pPr>
                          <w:spacing w:line="240" w:lineRule="auto"/>
                          <w:rPr>
                            <w:rStyle w:val="Hyperlink"/>
                            <w:color w:val="000000" w:themeColor="text1"/>
                            <w:lang w:val="fr-FR"/>
                          </w:rPr>
                        </w:pPr>
                        <w:r>
                          <w:rPr>
                            <w:noProof/>
                          </w:rPr>
                          <w:t xml:space="preserve">ONR, 2022 "CNS-TAST-GD 11.4.2- Threat". </w:t>
                        </w:r>
                        <w:r w:rsidRPr="009E083E">
                          <w:rPr>
                            <w:noProof/>
                            <w:lang w:val="fr-FR"/>
                          </w:rPr>
                          <w:t xml:space="preserve">[Online]. Available: </w:t>
                        </w:r>
                        <w:r w:rsidRPr="009E083E">
                          <w:rPr>
                            <w:lang w:val="fr-FR"/>
                          </w:rPr>
                          <w:t>https://www.onr.org.uk/operational/tech_asst_guides/cns-tast-gd-11.4.2.pdfnr.org.uk)</w:t>
                        </w:r>
                      </w:p>
                      <w:p w14:paraId="7A52256D" w14:textId="72114894" w:rsidR="00592D5B" w:rsidRPr="009E083E" w:rsidRDefault="00FB5061" w:rsidP="00945539">
                        <w:pPr>
                          <w:spacing w:line="240" w:lineRule="auto"/>
                          <w:rPr>
                            <w:noProof/>
                            <w:lang w:val="fr-FR"/>
                          </w:rPr>
                        </w:pPr>
                        <w:r w:rsidRPr="00FB5061">
                          <w:rPr>
                            <w:color w:val="000000" w:themeColor="text1"/>
                          </w:rPr>
                          <w:t>ACPO</w:t>
                        </w:r>
                        <w:r>
                          <w:rPr>
                            <w:color w:val="000000" w:themeColor="text1"/>
                          </w:rPr>
                          <w:t>,</w:t>
                        </w:r>
                        <w:r w:rsidRPr="00FB5061">
                          <w:rPr>
                            <w:color w:val="000000" w:themeColor="text1"/>
                          </w:rPr>
                          <w:t xml:space="preserve"> 2012 </w:t>
                        </w:r>
                        <w:r>
                          <w:rPr>
                            <w:color w:val="000000" w:themeColor="text1"/>
                          </w:rPr>
                          <w:t>"</w:t>
                        </w:r>
                        <w:r w:rsidRPr="00FB5061">
                          <w:rPr>
                            <w:color w:val="000000" w:themeColor="text1"/>
                          </w:rPr>
                          <w:t>Good Practice Guide for Digital Evidence.</w:t>
                        </w:r>
                        <w:r w:rsidR="000832A4">
                          <w:rPr>
                            <w:color w:val="000000" w:themeColor="text1"/>
                          </w:rPr>
                          <w:t>"</w:t>
                        </w:r>
                        <w:r w:rsidRPr="00FB5061">
                          <w:rPr>
                            <w:color w:val="000000" w:themeColor="text1"/>
                          </w:rPr>
                          <w:t xml:space="preserve"> </w:t>
                        </w:r>
                        <w:r w:rsidR="000832A4" w:rsidRPr="009E083E">
                          <w:rPr>
                            <w:color w:val="000000" w:themeColor="text1"/>
                            <w:lang w:val="fr-FR"/>
                          </w:rPr>
                          <w:t>[Online]. Available:</w:t>
                        </w:r>
                        <w:r w:rsidR="00B96D6D" w:rsidRPr="009E083E">
                          <w:rPr>
                            <w:lang w:val="fr-FR"/>
                          </w:rPr>
                          <w:t xml:space="preserve"> </w:t>
                        </w:r>
                        <w:r w:rsidR="00B96D6D" w:rsidRPr="009E083E">
                          <w:rPr>
                            <w:color w:val="000000" w:themeColor="text1"/>
                            <w:lang w:val="fr-FR"/>
                          </w:rPr>
                          <w:t xml:space="preserve">https://library.college.police.uk/docs/acpo/digital-evidence-2012.pdf </w:t>
                        </w:r>
                        <w:r w:rsidR="000832A4" w:rsidRPr="009E083E">
                          <w:rPr>
                            <w:color w:val="000000" w:themeColor="text1"/>
                            <w:lang w:val="fr-FR"/>
                          </w:rPr>
                          <w:t xml:space="preserve"> </w:t>
                        </w:r>
                      </w:p>
                    </w:tc>
                  </w:tr>
                </w:tbl>
                <w:p w14:paraId="407B37E1" w14:textId="150B2B29" w:rsidR="00B9404F" w:rsidRDefault="00B9404F" w:rsidP="00B9404F">
                  <w:r>
                    <w:rPr>
                      <w:b/>
                      <w:bCs/>
                      <w:noProof/>
                    </w:rPr>
                    <w:fldChar w:fldCharType="end"/>
                  </w:r>
                </w:p>
              </w:sdtContent>
            </w:sdt>
          </w:sdtContent>
        </w:sdt>
      </w:sdtContent>
    </w:sdt>
    <w:p w14:paraId="6DC4C9F8" w14:textId="626894F3" w:rsidR="00EB0201" w:rsidRDefault="00EB0201"/>
    <w:p w14:paraId="3F23F80C" w14:textId="77777777" w:rsidR="00B239E3" w:rsidRDefault="00B239E3" w:rsidP="00904152">
      <w:pPr>
        <w:pStyle w:val="Heading1"/>
        <w:numPr>
          <w:ilvl w:val="0"/>
          <w:numId w:val="0"/>
        </w:numPr>
        <w:ind w:left="851" w:hanging="851"/>
      </w:pPr>
      <w:bookmarkStart w:id="13" w:name="_Toc89268373"/>
      <w:bookmarkStart w:id="14" w:name="_Toc155256144"/>
    </w:p>
    <w:p w14:paraId="4323F5E0" w14:textId="72EB1225" w:rsidR="00F7687C" w:rsidRPr="003B4701" w:rsidRDefault="00F7687C" w:rsidP="00904152">
      <w:pPr>
        <w:pStyle w:val="Heading1"/>
        <w:numPr>
          <w:ilvl w:val="0"/>
          <w:numId w:val="0"/>
        </w:numPr>
        <w:ind w:left="851" w:hanging="851"/>
      </w:pPr>
      <w:r w:rsidRPr="003B4701">
        <w:t>Glossary and Abbreviations</w:t>
      </w:r>
      <w:bookmarkEnd w:id="13"/>
      <w:bookmarkEnd w:id="14"/>
    </w:p>
    <w:tbl>
      <w:tblPr>
        <w:tblW w:w="0" w:type="auto"/>
        <w:tblInd w:w="709" w:type="dxa"/>
        <w:tblCellMar>
          <w:top w:w="57" w:type="dxa"/>
          <w:left w:w="0" w:type="dxa"/>
          <w:bottom w:w="57" w:type="dxa"/>
          <w:right w:w="0" w:type="dxa"/>
        </w:tblCellMar>
        <w:tblLook w:val="04A0" w:firstRow="1" w:lastRow="0" w:firstColumn="1" w:lastColumn="0" w:noHBand="0" w:noVBand="1"/>
      </w:tblPr>
      <w:tblGrid>
        <w:gridCol w:w="1843"/>
        <w:gridCol w:w="6461"/>
      </w:tblGrid>
      <w:tr w:rsidR="00544891" w:rsidRPr="00544891" w14:paraId="6C951845" w14:textId="77777777" w:rsidTr="003E2190">
        <w:tc>
          <w:tcPr>
            <w:tcW w:w="1843" w:type="dxa"/>
            <w:hideMark/>
          </w:tcPr>
          <w:p w14:paraId="69E03D54" w14:textId="77777777" w:rsidR="00544891" w:rsidRPr="00544891" w:rsidRDefault="00544891" w:rsidP="00600C0C">
            <w:pPr>
              <w:tabs>
                <w:tab w:val="left" w:pos="1440"/>
              </w:tabs>
              <w:spacing w:line="240" w:lineRule="auto"/>
              <w:contextualSpacing/>
            </w:pPr>
            <w:r w:rsidRPr="00544891">
              <w:t>BC&amp;DR</w:t>
            </w:r>
          </w:p>
        </w:tc>
        <w:tc>
          <w:tcPr>
            <w:tcW w:w="6461" w:type="dxa"/>
            <w:hideMark/>
          </w:tcPr>
          <w:p w14:paraId="5A9DA378" w14:textId="77777777" w:rsidR="00544891" w:rsidRPr="00544891" w:rsidRDefault="00544891" w:rsidP="00600C0C">
            <w:pPr>
              <w:tabs>
                <w:tab w:val="left" w:pos="1440"/>
              </w:tabs>
              <w:spacing w:line="240" w:lineRule="auto"/>
              <w:contextualSpacing/>
            </w:pPr>
            <w:r w:rsidRPr="00544891">
              <w:t>Business Continuity and Disaster Recovery</w:t>
            </w:r>
          </w:p>
        </w:tc>
      </w:tr>
      <w:tr w:rsidR="00544891" w:rsidRPr="00544891" w14:paraId="6363B1CE" w14:textId="77777777" w:rsidTr="003E2190">
        <w:tc>
          <w:tcPr>
            <w:tcW w:w="1843" w:type="dxa"/>
            <w:hideMark/>
          </w:tcPr>
          <w:p w14:paraId="2ED0FB90" w14:textId="77777777" w:rsidR="00544891" w:rsidRPr="00544891" w:rsidRDefault="00544891" w:rsidP="00600C0C">
            <w:pPr>
              <w:tabs>
                <w:tab w:val="left" w:pos="1440"/>
              </w:tabs>
              <w:spacing w:line="240" w:lineRule="auto"/>
              <w:contextualSpacing/>
            </w:pPr>
            <w:r w:rsidRPr="00544891">
              <w:t>CERT</w:t>
            </w:r>
          </w:p>
        </w:tc>
        <w:tc>
          <w:tcPr>
            <w:tcW w:w="6461" w:type="dxa"/>
            <w:hideMark/>
          </w:tcPr>
          <w:p w14:paraId="224F9DC1" w14:textId="77777777" w:rsidR="00544891" w:rsidRPr="00544891" w:rsidRDefault="00544891" w:rsidP="00600C0C">
            <w:pPr>
              <w:tabs>
                <w:tab w:val="left" w:pos="1440"/>
              </w:tabs>
              <w:spacing w:line="240" w:lineRule="auto"/>
              <w:contextualSpacing/>
            </w:pPr>
            <w:r w:rsidRPr="00544891">
              <w:t>Computer Emergency Response Team</w:t>
            </w:r>
          </w:p>
        </w:tc>
      </w:tr>
      <w:tr w:rsidR="00544891" w:rsidRPr="00544891" w14:paraId="40F5077E" w14:textId="77777777" w:rsidTr="003E2190">
        <w:tc>
          <w:tcPr>
            <w:tcW w:w="1843" w:type="dxa"/>
            <w:hideMark/>
          </w:tcPr>
          <w:p w14:paraId="3923BB9A" w14:textId="77777777" w:rsidR="00544891" w:rsidRDefault="00544891" w:rsidP="00600C0C">
            <w:pPr>
              <w:tabs>
                <w:tab w:val="left" w:pos="1440"/>
              </w:tabs>
              <w:spacing w:line="240" w:lineRule="auto"/>
              <w:contextualSpacing/>
            </w:pPr>
            <w:r w:rsidRPr="00544891">
              <w:t>CPPNM</w:t>
            </w:r>
          </w:p>
          <w:p w14:paraId="02A90AA0" w14:textId="63D0B62A" w:rsidR="003E2190" w:rsidRPr="00544891" w:rsidRDefault="003E2190" w:rsidP="00600C0C">
            <w:pPr>
              <w:tabs>
                <w:tab w:val="left" w:pos="1440"/>
              </w:tabs>
              <w:spacing w:line="240" w:lineRule="auto"/>
              <w:contextualSpacing/>
            </w:pPr>
          </w:p>
        </w:tc>
        <w:tc>
          <w:tcPr>
            <w:tcW w:w="6461" w:type="dxa"/>
            <w:hideMark/>
          </w:tcPr>
          <w:p w14:paraId="2A0946FC" w14:textId="1B23EDA3" w:rsidR="00330575" w:rsidRPr="00544891" w:rsidRDefault="00544891" w:rsidP="00DF242D">
            <w:pPr>
              <w:tabs>
                <w:tab w:val="left" w:pos="1440"/>
              </w:tabs>
              <w:spacing w:line="240" w:lineRule="auto"/>
              <w:contextualSpacing/>
            </w:pPr>
            <w:r w:rsidRPr="00544891">
              <w:t>Convention on the Physical Protection of Nuclear Material</w:t>
            </w:r>
          </w:p>
        </w:tc>
      </w:tr>
      <w:tr w:rsidR="008057E9" w:rsidRPr="00544891" w14:paraId="5F06AC2E" w14:textId="77777777" w:rsidTr="003E2190">
        <w:tc>
          <w:tcPr>
            <w:tcW w:w="1843" w:type="dxa"/>
          </w:tcPr>
          <w:p w14:paraId="682FDC21" w14:textId="4B70A7C9" w:rsidR="008057E9" w:rsidRPr="00544891" w:rsidRDefault="008057E9" w:rsidP="00600C0C">
            <w:pPr>
              <w:tabs>
                <w:tab w:val="left" w:pos="1440"/>
              </w:tabs>
              <w:spacing w:line="240" w:lineRule="auto"/>
              <w:contextualSpacing/>
            </w:pPr>
            <w:r>
              <w:t>CPS</w:t>
            </w:r>
          </w:p>
        </w:tc>
        <w:tc>
          <w:tcPr>
            <w:tcW w:w="6461" w:type="dxa"/>
          </w:tcPr>
          <w:p w14:paraId="0F1CCD8F" w14:textId="3CB44DB7" w:rsidR="008057E9" w:rsidRPr="00544891" w:rsidRDefault="008057E9" w:rsidP="00DF242D">
            <w:pPr>
              <w:tabs>
                <w:tab w:val="left" w:pos="1440"/>
              </w:tabs>
              <w:spacing w:line="240" w:lineRule="auto"/>
              <w:contextualSpacing/>
            </w:pPr>
            <w:r>
              <w:t>Cyber Protection System</w:t>
            </w:r>
          </w:p>
        </w:tc>
      </w:tr>
      <w:tr w:rsidR="00544891" w:rsidRPr="00544891" w14:paraId="25657E6D" w14:textId="77777777" w:rsidTr="003E2190">
        <w:tc>
          <w:tcPr>
            <w:tcW w:w="1843" w:type="dxa"/>
            <w:hideMark/>
          </w:tcPr>
          <w:p w14:paraId="132D445E" w14:textId="77777777" w:rsidR="00544891" w:rsidRPr="00544891" w:rsidRDefault="00544891" w:rsidP="00600C0C">
            <w:pPr>
              <w:tabs>
                <w:tab w:val="left" w:pos="1440"/>
              </w:tabs>
              <w:spacing w:line="240" w:lineRule="auto"/>
              <w:contextualSpacing/>
            </w:pPr>
            <w:r w:rsidRPr="00544891">
              <w:t>CS&amp;IA</w:t>
            </w:r>
          </w:p>
        </w:tc>
        <w:tc>
          <w:tcPr>
            <w:tcW w:w="6461" w:type="dxa"/>
            <w:hideMark/>
          </w:tcPr>
          <w:p w14:paraId="4AA48A96" w14:textId="77777777" w:rsidR="00544891" w:rsidRPr="00544891" w:rsidRDefault="00544891" w:rsidP="00600C0C">
            <w:pPr>
              <w:tabs>
                <w:tab w:val="left" w:pos="1440"/>
              </w:tabs>
              <w:spacing w:line="240" w:lineRule="auto"/>
              <w:contextualSpacing/>
            </w:pPr>
            <w:r w:rsidRPr="00544891">
              <w:t>Cyber Security and Information Assurance</w:t>
            </w:r>
          </w:p>
        </w:tc>
      </w:tr>
      <w:tr w:rsidR="00544891" w:rsidRPr="00544891" w14:paraId="3DDBC929" w14:textId="77777777" w:rsidTr="003E2190">
        <w:tc>
          <w:tcPr>
            <w:tcW w:w="1843" w:type="dxa"/>
            <w:hideMark/>
          </w:tcPr>
          <w:p w14:paraId="41AFDE95" w14:textId="77777777" w:rsidR="00544891" w:rsidRPr="00544891" w:rsidRDefault="00544891" w:rsidP="00600C0C">
            <w:pPr>
              <w:tabs>
                <w:tab w:val="left" w:pos="1440"/>
              </w:tabs>
              <w:spacing w:line="240" w:lineRule="auto"/>
              <w:contextualSpacing/>
            </w:pPr>
            <w:r w:rsidRPr="00544891">
              <w:t>CIRT</w:t>
            </w:r>
          </w:p>
        </w:tc>
        <w:tc>
          <w:tcPr>
            <w:tcW w:w="6461" w:type="dxa"/>
            <w:hideMark/>
          </w:tcPr>
          <w:p w14:paraId="12FAE2CF" w14:textId="77777777" w:rsidR="00544891" w:rsidRPr="00544891" w:rsidRDefault="00544891" w:rsidP="00600C0C">
            <w:pPr>
              <w:tabs>
                <w:tab w:val="left" w:pos="1440"/>
              </w:tabs>
              <w:spacing w:line="240" w:lineRule="auto"/>
              <w:contextualSpacing/>
            </w:pPr>
            <w:r w:rsidRPr="00544891">
              <w:t>Cyber Incident Response Team</w:t>
            </w:r>
          </w:p>
        </w:tc>
      </w:tr>
      <w:tr w:rsidR="00544891" w:rsidRPr="00544891" w14:paraId="65CAB73A" w14:textId="77777777" w:rsidTr="003E2190">
        <w:tc>
          <w:tcPr>
            <w:tcW w:w="1843" w:type="dxa"/>
            <w:hideMark/>
          </w:tcPr>
          <w:p w14:paraId="33C0F8F2" w14:textId="77777777" w:rsidR="00544891" w:rsidRPr="00544891" w:rsidRDefault="00544891" w:rsidP="00600C0C">
            <w:pPr>
              <w:tabs>
                <w:tab w:val="left" w:pos="1440"/>
              </w:tabs>
              <w:spacing w:line="240" w:lineRule="auto"/>
              <w:contextualSpacing/>
            </w:pPr>
            <w:r w:rsidRPr="00544891">
              <w:t>CAF</w:t>
            </w:r>
          </w:p>
        </w:tc>
        <w:tc>
          <w:tcPr>
            <w:tcW w:w="6461" w:type="dxa"/>
            <w:hideMark/>
          </w:tcPr>
          <w:p w14:paraId="0D1B2798" w14:textId="77777777" w:rsidR="00544891" w:rsidRPr="00544891" w:rsidRDefault="00544891" w:rsidP="00600C0C">
            <w:pPr>
              <w:tabs>
                <w:tab w:val="left" w:pos="1440"/>
              </w:tabs>
              <w:spacing w:line="240" w:lineRule="auto"/>
              <w:contextualSpacing/>
            </w:pPr>
            <w:r w:rsidRPr="00544891">
              <w:t>Cyber Assessment Framework</w:t>
            </w:r>
          </w:p>
        </w:tc>
      </w:tr>
      <w:tr w:rsidR="00AD12C2" w:rsidRPr="00544891" w14:paraId="098E4F43" w14:textId="77777777" w:rsidTr="003E2190">
        <w:tc>
          <w:tcPr>
            <w:tcW w:w="1843" w:type="dxa"/>
          </w:tcPr>
          <w:p w14:paraId="4B008C57" w14:textId="3F3AFB70" w:rsidR="00AD12C2" w:rsidRPr="00544891" w:rsidRDefault="00AD12C2" w:rsidP="00600C0C">
            <w:pPr>
              <w:tabs>
                <w:tab w:val="left" w:pos="1440"/>
              </w:tabs>
              <w:spacing w:line="240" w:lineRule="auto"/>
              <w:contextualSpacing/>
            </w:pPr>
            <w:r>
              <w:t>DESNZ</w:t>
            </w:r>
          </w:p>
        </w:tc>
        <w:tc>
          <w:tcPr>
            <w:tcW w:w="6461" w:type="dxa"/>
          </w:tcPr>
          <w:p w14:paraId="6F14BC72" w14:textId="40076EC7" w:rsidR="00AD12C2" w:rsidRPr="00544891" w:rsidRDefault="00AD12C2" w:rsidP="00600C0C">
            <w:pPr>
              <w:tabs>
                <w:tab w:val="left" w:pos="1440"/>
              </w:tabs>
              <w:spacing w:line="240" w:lineRule="auto"/>
              <w:contextualSpacing/>
            </w:pPr>
            <w:r>
              <w:t>Department for Energy Security and Net Zero</w:t>
            </w:r>
          </w:p>
        </w:tc>
      </w:tr>
      <w:tr w:rsidR="00544891" w:rsidRPr="00544891" w14:paraId="120CD787" w14:textId="77777777" w:rsidTr="003E2190">
        <w:tc>
          <w:tcPr>
            <w:tcW w:w="1843" w:type="dxa"/>
            <w:hideMark/>
          </w:tcPr>
          <w:p w14:paraId="2CE41113" w14:textId="77777777" w:rsidR="00544891" w:rsidRPr="00544891" w:rsidRDefault="00544891" w:rsidP="00600C0C">
            <w:pPr>
              <w:tabs>
                <w:tab w:val="left" w:pos="1440"/>
              </w:tabs>
              <w:spacing w:line="240" w:lineRule="auto"/>
              <w:contextualSpacing/>
            </w:pPr>
            <w:r w:rsidRPr="00544891">
              <w:t>DMZ</w:t>
            </w:r>
          </w:p>
        </w:tc>
        <w:tc>
          <w:tcPr>
            <w:tcW w:w="6461" w:type="dxa"/>
            <w:hideMark/>
          </w:tcPr>
          <w:p w14:paraId="446FDA0C" w14:textId="77777777" w:rsidR="00544891" w:rsidRPr="00544891" w:rsidRDefault="00544891" w:rsidP="00600C0C">
            <w:pPr>
              <w:tabs>
                <w:tab w:val="left" w:pos="1440"/>
              </w:tabs>
              <w:spacing w:line="240" w:lineRule="auto"/>
              <w:contextualSpacing/>
            </w:pPr>
            <w:r w:rsidRPr="00544891">
              <w:t>De-militarised Zone</w:t>
            </w:r>
          </w:p>
        </w:tc>
      </w:tr>
      <w:tr w:rsidR="00544891" w:rsidRPr="00544891" w14:paraId="31AF7AC6" w14:textId="77777777" w:rsidTr="003E2190">
        <w:tc>
          <w:tcPr>
            <w:tcW w:w="1843" w:type="dxa"/>
            <w:hideMark/>
          </w:tcPr>
          <w:p w14:paraId="11B50F5E" w14:textId="77777777" w:rsidR="00544891" w:rsidRPr="00544891" w:rsidRDefault="00544891" w:rsidP="00600C0C">
            <w:pPr>
              <w:tabs>
                <w:tab w:val="left" w:pos="1440"/>
              </w:tabs>
              <w:spacing w:line="240" w:lineRule="auto"/>
              <w:contextualSpacing/>
            </w:pPr>
            <w:r w:rsidRPr="00544891">
              <w:t>ENISA</w:t>
            </w:r>
          </w:p>
        </w:tc>
        <w:tc>
          <w:tcPr>
            <w:tcW w:w="6461" w:type="dxa"/>
            <w:hideMark/>
          </w:tcPr>
          <w:p w14:paraId="6A1B3AE6" w14:textId="77777777" w:rsidR="00544891" w:rsidRPr="00544891" w:rsidRDefault="00544891" w:rsidP="00600C0C">
            <w:pPr>
              <w:tabs>
                <w:tab w:val="left" w:pos="1440"/>
              </w:tabs>
              <w:spacing w:line="240" w:lineRule="auto"/>
              <w:contextualSpacing/>
            </w:pPr>
            <w:r w:rsidRPr="00544891">
              <w:t>European Network and International Security Agency</w:t>
            </w:r>
          </w:p>
        </w:tc>
      </w:tr>
      <w:tr w:rsidR="00544891" w:rsidRPr="00544891" w14:paraId="0181D3D7" w14:textId="77777777" w:rsidTr="003E2190">
        <w:tc>
          <w:tcPr>
            <w:tcW w:w="1843" w:type="dxa"/>
            <w:hideMark/>
          </w:tcPr>
          <w:p w14:paraId="3405C304" w14:textId="77777777" w:rsidR="00544891" w:rsidRPr="00544891" w:rsidRDefault="00544891" w:rsidP="00600C0C">
            <w:pPr>
              <w:tabs>
                <w:tab w:val="left" w:pos="1440"/>
              </w:tabs>
              <w:spacing w:line="240" w:lineRule="auto"/>
              <w:contextualSpacing/>
            </w:pPr>
            <w:proofErr w:type="spellStart"/>
            <w:r w:rsidRPr="00544891">
              <w:t>FSyP</w:t>
            </w:r>
            <w:proofErr w:type="spellEnd"/>
          </w:p>
        </w:tc>
        <w:tc>
          <w:tcPr>
            <w:tcW w:w="6461" w:type="dxa"/>
            <w:hideMark/>
          </w:tcPr>
          <w:p w14:paraId="5C17360F" w14:textId="77777777" w:rsidR="00544891" w:rsidRPr="00544891" w:rsidRDefault="00544891" w:rsidP="00600C0C">
            <w:pPr>
              <w:tabs>
                <w:tab w:val="left" w:pos="1440"/>
              </w:tabs>
              <w:spacing w:line="240" w:lineRule="auto"/>
              <w:contextualSpacing/>
            </w:pPr>
            <w:r w:rsidRPr="00544891">
              <w:t>Fundamental Security Principle</w:t>
            </w:r>
          </w:p>
        </w:tc>
      </w:tr>
      <w:tr w:rsidR="00544891" w:rsidRPr="00544891" w14:paraId="277908D7" w14:textId="77777777" w:rsidTr="003E2190">
        <w:tc>
          <w:tcPr>
            <w:tcW w:w="1843" w:type="dxa"/>
            <w:hideMark/>
          </w:tcPr>
          <w:p w14:paraId="6CA89247" w14:textId="77777777" w:rsidR="00544891" w:rsidRPr="00544891" w:rsidRDefault="00544891" w:rsidP="00600C0C">
            <w:pPr>
              <w:tabs>
                <w:tab w:val="left" w:pos="1440"/>
              </w:tabs>
              <w:spacing w:line="240" w:lineRule="auto"/>
              <w:contextualSpacing/>
            </w:pPr>
            <w:r w:rsidRPr="00544891">
              <w:t>HMG</w:t>
            </w:r>
          </w:p>
        </w:tc>
        <w:tc>
          <w:tcPr>
            <w:tcW w:w="6461" w:type="dxa"/>
            <w:hideMark/>
          </w:tcPr>
          <w:p w14:paraId="1A00B052" w14:textId="05501EE0" w:rsidR="00544891" w:rsidRPr="00544891" w:rsidRDefault="00544891" w:rsidP="00600C0C">
            <w:pPr>
              <w:tabs>
                <w:tab w:val="left" w:pos="1440"/>
              </w:tabs>
              <w:spacing w:line="240" w:lineRule="auto"/>
              <w:contextualSpacing/>
            </w:pPr>
            <w:r w:rsidRPr="00544891">
              <w:t>H</w:t>
            </w:r>
            <w:r w:rsidR="00F72CB9">
              <w:t>is</w:t>
            </w:r>
            <w:r w:rsidRPr="00544891">
              <w:t xml:space="preserve"> Majesty’s Government</w:t>
            </w:r>
          </w:p>
        </w:tc>
      </w:tr>
      <w:tr w:rsidR="00F72CB9" w:rsidRPr="00544891" w14:paraId="051948CA" w14:textId="77777777" w:rsidTr="003E2190">
        <w:tc>
          <w:tcPr>
            <w:tcW w:w="1843" w:type="dxa"/>
          </w:tcPr>
          <w:p w14:paraId="00705500" w14:textId="673CB21E" w:rsidR="00F72CB9" w:rsidRPr="00544891" w:rsidRDefault="00F72CB9" w:rsidP="00600C0C">
            <w:pPr>
              <w:tabs>
                <w:tab w:val="left" w:pos="1440"/>
              </w:tabs>
              <w:spacing w:line="240" w:lineRule="auto"/>
              <w:contextualSpacing/>
            </w:pPr>
            <w:r>
              <w:t>ICO</w:t>
            </w:r>
          </w:p>
        </w:tc>
        <w:tc>
          <w:tcPr>
            <w:tcW w:w="6461" w:type="dxa"/>
          </w:tcPr>
          <w:p w14:paraId="7079A0C3" w14:textId="126B0DF0" w:rsidR="00F72CB9" w:rsidRPr="00544891" w:rsidRDefault="00F72CB9" w:rsidP="00600C0C">
            <w:pPr>
              <w:tabs>
                <w:tab w:val="left" w:pos="1440"/>
              </w:tabs>
              <w:spacing w:line="240" w:lineRule="auto"/>
              <w:contextualSpacing/>
            </w:pPr>
            <w:r>
              <w:t>Information Commissioner’s Office</w:t>
            </w:r>
          </w:p>
        </w:tc>
      </w:tr>
      <w:tr w:rsidR="00544891" w:rsidRPr="00544891" w14:paraId="11A6488D" w14:textId="77777777" w:rsidTr="003E2190">
        <w:tc>
          <w:tcPr>
            <w:tcW w:w="1843" w:type="dxa"/>
            <w:hideMark/>
          </w:tcPr>
          <w:p w14:paraId="6954EBC8" w14:textId="77777777" w:rsidR="00544891" w:rsidRPr="00544891" w:rsidRDefault="00544891" w:rsidP="00600C0C">
            <w:pPr>
              <w:tabs>
                <w:tab w:val="left" w:pos="1440"/>
              </w:tabs>
              <w:spacing w:line="240" w:lineRule="auto"/>
              <w:contextualSpacing/>
            </w:pPr>
            <w:r w:rsidRPr="00544891">
              <w:t>IAEA</w:t>
            </w:r>
          </w:p>
        </w:tc>
        <w:tc>
          <w:tcPr>
            <w:tcW w:w="6461" w:type="dxa"/>
            <w:hideMark/>
          </w:tcPr>
          <w:p w14:paraId="79E64306" w14:textId="77777777" w:rsidR="00544891" w:rsidRPr="00544891" w:rsidRDefault="00544891" w:rsidP="00600C0C">
            <w:pPr>
              <w:tabs>
                <w:tab w:val="left" w:pos="1440"/>
              </w:tabs>
              <w:spacing w:line="240" w:lineRule="auto"/>
              <w:contextualSpacing/>
            </w:pPr>
            <w:r w:rsidRPr="00544891">
              <w:t>International Atomic Energy Agency</w:t>
            </w:r>
          </w:p>
        </w:tc>
      </w:tr>
      <w:tr w:rsidR="00544891" w:rsidRPr="00E52DD7" w14:paraId="2991ACBA" w14:textId="77777777" w:rsidTr="003E2190">
        <w:tc>
          <w:tcPr>
            <w:tcW w:w="1843" w:type="dxa"/>
            <w:hideMark/>
          </w:tcPr>
          <w:p w14:paraId="3339F701" w14:textId="77777777" w:rsidR="00544891" w:rsidRPr="00544891" w:rsidRDefault="00544891" w:rsidP="00600C0C">
            <w:pPr>
              <w:tabs>
                <w:tab w:val="left" w:pos="1440"/>
              </w:tabs>
              <w:spacing w:line="240" w:lineRule="auto"/>
              <w:contextualSpacing/>
            </w:pPr>
            <w:r w:rsidRPr="00544891">
              <w:t>IDS/IPS</w:t>
            </w:r>
          </w:p>
        </w:tc>
        <w:tc>
          <w:tcPr>
            <w:tcW w:w="6461" w:type="dxa"/>
            <w:hideMark/>
          </w:tcPr>
          <w:p w14:paraId="51C5BA87" w14:textId="77777777" w:rsidR="00544891" w:rsidRPr="00C81CBB" w:rsidRDefault="00544891" w:rsidP="00600C0C">
            <w:pPr>
              <w:tabs>
                <w:tab w:val="left" w:pos="1440"/>
              </w:tabs>
              <w:spacing w:line="240" w:lineRule="auto"/>
              <w:contextualSpacing/>
              <w:rPr>
                <w:lang w:val="sv-SE"/>
              </w:rPr>
            </w:pPr>
            <w:proofErr w:type="spellStart"/>
            <w:r w:rsidRPr="00C81CBB">
              <w:rPr>
                <w:lang w:val="sv-SE"/>
              </w:rPr>
              <w:t>Intruder</w:t>
            </w:r>
            <w:proofErr w:type="spellEnd"/>
            <w:r w:rsidRPr="00C81CBB">
              <w:rPr>
                <w:lang w:val="sv-SE"/>
              </w:rPr>
              <w:t xml:space="preserve"> </w:t>
            </w:r>
            <w:proofErr w:type="spellStart"/>
            <w:r w:rsidRPr="00C81CBB">
              <w:rPr>
                <w:lang w:val="sv-SE"/>
              </w:rPr>
              <w:t>Detection</w:t>
            </w:r>
            <w:proofErr w:type="spellEnd"/>
            <w:r w:rsidRPr="00C81CBB">
              <w:rPr>
                <w:lang w:val="sv-SE"/>
              </w:rPr>
              <w:t xml:space="preserve"> System / </w:t>
            </w:r>
            <w:proofErr w:type="spellStart"/>
            <w:r w:rsidRPr="00C81CBB">
              <w:rPr>
                <w:lang w:val="sv-SE"/>
              </w:rPr>
              <w:t>Intruder</w:t>
            </w:r>
            <w:proofErr w:type="spellEnd"/>
            <w:r w:rsidRPr="00C81CBB">
              <w:rPr>
                <w:lang w:val="sv-SE"/>
              </w:rPr>
              <w:t xml:space="preserve"> Protection System</w:t>
            </w:r>
          </w:p>
        </w:tc>
      </w:tr>
      <w:tr w:rsidR="00544891" w:rsidRPr="00544891" w14:paraId="15EC7DD5" w14:textId="77777777" w:rsidTr="003E2190">
        <w:tc>
          <w:tcPr>
            <w:tcW w:w="1843" w:type="dxa"/>
            <w:hideMark/>
          </w:tcPr>
          <w:p w14:paraId="549C33AF" w14:textId="77777777" w:rsidR="00544891" w:rsidRPr="00544891" w:rsidRDefault="00544891" w:rsidP="00600C0C">
            <w:pPr>
              <w:tabs>
                <w:tab w:val="left" w:pos="1440"/>
              </w:tabs>
              <w:spacing w:line="240" w:lineRule="auto"/>
              <w:contextualSpacing/>
            </w:pPr>
            <w:r w:rsidRPr="00544891">
              <w:t>IMP</w:t>
            </w:r>
          </w:p>
        </w:tc>
        <w:tc>
          <w:tcPr>
            <w:tcW w:w="6461" w:type="dxa"/>
            <w:hideMark/>
          </w:tcPr>
          <w:p w14:paraId="0777B1CB" w14:textId="77777777" w:rsidR="00544891" w:rsidRPr="00544891" w:rsidRDefault="00544891" w:rsidP="00600C0C">
            <w:pPr>
              <w:tabs>
                <w:tab w:val="left" w:pos="1440"/>
              </w:tabs>
              <w:spacing w:line="240" w:lineRule="auto"/>
              <w:contextualSpacing/>
            </w:pPr>
            <w:r w:rsidRPr="00544891">
              <w:t>Incident Management Plan</w:t>
            </w:r>
          </w:p>
        </w:tc>
      </w:tr>
      <w:tr w:rsidR="00544891" w:rsidRPr="00544891" w14:paraId="5E60805D" w14:textId="77777777" w:rsidTr="003E2190">
        <w:tc>
          <w:tcPr>
            <w:tcW w:w="1843" w:type="dxa"/>
            <w:hideMark/>
          </w:tcPr>
          <w:p w14:paraId="7164036C" w14:textId="77777777" w:rsidR="00544891" w:rsidRDefault="00544891" w:rsidP="00600C0C">
            <w:pPr>
              <w:tabs>
                <w:tab w:val="left" w:pos="1440"/>
              </w:tabs>
              <w:spacing w:line="240" w:lineRule="auto"/>
              <w:contextualSpacing/>
            </w:pPr>
            <w:r w:rsidRPr="00544891">
              <w:t>IMS</w:t>
            </w:r>
          </w:p>
          <w:p w14:paraId="2CA419FD" w14:textId="2D8D92B2" w:rsidR="007D2BCD" w:rsidRPr="00544891" w:rsidRDefault="007D2BCD" w:rsidP="00600C0C">
            <w:pPr>
              <w:tabs>
                <w:tab w:val="left" w:pos="1440"/>
              </w:tabs>
              <w:spacing w:line="240" w:lineRule="auto"/>
              <w:contextualSpacing/>
            </w:pPr>
          </w:p>
        </w:tc>
        <w:tc>
          <w:tcPr>
            <w:tcW w:w="6461" w:type="dxa"/>
            <w:hideMark/>
          </w:tcPr>
          <w:p w14:paraId="2E85CEEF" w14:textId="5746680A" w:rsidR="00300113" w:rsidRPr="00544891" w:rsidRDefault="00544891" w:rsidP="008057E9">
            <w:pPr>
              <w:tabs>
                <w:tab w:val="left" w:pos="1440"/>
              </w:tabs>
              <w:spacing w:line="240" w:lineRule="auto"/>
              <w:contextualSpacing/>
            </w:pPr>
            <w:r w:rsidRPr="00544891">
              <w:t>Incident Management Strategy</w:t>
            </w:r>
          </w:p>
        </w:tc>
      </w:tr>
      <w:tr w:rsidR="008057E9" w:rsidRPr="00544891" w14:paraId="4BA83E47" w14:textId="77777777" w:rsidTr="003E2190">
        <w:tc>
          <w:tcPr>
            <w:tcW w:w="1843" w:type="dxa"/>
          </w:tcPr>
          <w:p w14:paraId="0E2BA2D4" w14:textId="4EACC8ED" w:rsidR="008057E9" w:rsidRPr="00544891" w:rsidRDefault="008057E9" w:rsidP="00600C0C">
            <w:pPr>
              <w:tabs>
                <w:tab w:val="left" w:pos="1440"/>
              </w:tabs>
              <w:spacing w:line="240" w:lineRule="auto"/>
              <w:contextualSpacing/>
            </w:pPr>
            <w:r>
              <w:t>IR</w:t>
            </w:r>
          </w:p>
        </w:tc>
        <w:tc>
          <w:tcPr>
            <w:tcW w:w="6461" w:type="dxa"/>
          </w:tcPr>
          <w:p w14:paraId="3B12648D" w14:textId="46378723" w:rsidR="008057E9" w:rsidRPr="00544891" w:rsidRDefault="008057E9" w:rsidP="008057E9">
            <w:pPr>
              <w:tabs>
                <w:tab w:val="left" w:pos="1440"/>
              </w:tabs>
              <w:spacing w:line="240" w:lineRule="auto"/>
              <w:contextualSpacing/>
            </w:pPr>
            <w:r>
              <w:t>Incident Response</w:t>
            </w:r>
          </w:p>
        </w:tc>
      </w:tr>
      <w:tr w:rsidR="00544891" w:rsidRPr="00544891" w14:paraId="09814E1D" w14:textId="77777777" w:rsidTr="003E2190">
        <w:tc>
          <w:tcPr>
            <w:tcW w:w="1843" w:type="dxa"/>
            <w:hideMark/>
          </w:tcPr>
          <w:p w14:paraId="37294BF3" w14:textId="77777777" w:rsidR="00544891" w:rsidRPr="00544891" w:rsidRDefault="00544891" w:rsidP="00600C0C">
            <w:pPr>
              <w:tabs>
                <w:tab w:val="left" w:pos="1440"/>
              </w:tabs>
              <w:spacing w:line="240" w:lineRule="auto"/>
              <w:contextualSpacing/>
            </w:pPr>
            <w:r w:rsidRPr="00544891">
              <w:t>NAC</w:t>
            </w:r>
          </w:p>
        </w:tc>
        <w:tc>
          <w:tcPr>
            <w:tcW w:w="6461" w:type="dxa"/>
            <w:hideMark/>
          </w:tcPr>
          <w:p w14:paraId="46536CCA" w14:textId="77777777" w:rsidR="00544891" w:rsidRPr="00544891" w:rsidRDefault="00544891" w:rsidP="00600C0C">
            <w:pPr>
              <w:tabs>
                <w:tab w:val="left" w:pos="1440"/>
              </w:tabs>
              <w:spacing w:line="240" w:lineRule="auto"/>
              <w:contextualSpacing/>
            </w:pPr>
            <w:r w:rsidRPr="00544891">
              <w:t>Network Access Controls</w:t>
            </w:r>
          </w:p>
        </w:tc>
      </w:tr>
      <w:tr w:rsidR="00544891" w:rsidRPr="00544891" w14:paraId="2FC8B83B" w14:textId="77777777" w:rsidTr="003E2190">
        <w:tc>
          <w:tcPr>
            <w:tcW w:w="1843" w:type="dxa"/>
            <w:hideMark/>
          </w:tcPr>
          <w:p w14:paraId="409E6203" w14:textId="77777777" w:rsidR="00544891" w:rsidRPr="00544891" w:rsidRDefault="00544891" w:rsidP="00600C0C">
            <w:pPr>
              <w:tabs>
                <w:tab w:val="left" w:pos="1440"/>
              </w:tabs>
              <w:spacing w:line="240" w:lineRule="auto"/>
              <w:contextualSpacing/>
            </w:pPr>
            <w:r w:rsidRPr="00544891">
              <w:t>NCSC</w:t>
            </w:r>
          </w:p>
        </w:tc>
        <w:tc>
          <w:tcPr>
            <w:tcW w:w="6461" w:type="dxa"/>
            <w:hideMark/>
          </w:tcPr>
          <w:p w14:paraId="1722DEC4" w14:textId="77777777" w:rsidR="00544891" w:rsidRPr="00544891" w:rsidRDefault="00544891" w:rsidP="00600C0C">
            <w:pPr>
              <w:tabs>
                <w:tab w:val="left" w:pos="1440"/>
              </w:tabs>
              <w:spacing w:line="240" w:lineRule="auto"/>
              <w:contextualSpacing/>
            </w:pPr>
            <w:r w:rsidRPr="00544891">
              <w:t>National Cyber Security Centre</w:t>
            </w:r>
          </w:p>
        </w:tc>
      </w:tr>
      <w:tr w:rsidR="00544891" w:rsidRPr="00544891" w14:paraId="6100E5C8" w14:textId="77777777" w:rsidTr="003E2190">
        <w:tc>
          <w:tcPr>
            <w:tcW w:w="1843" w:type="dxa"/>
            <w:hideMark/>
          </w:tcPr>
          <w:p w14:paraId="42507DA9" w14:textId="77777777" w:rsidR="00544891" w:rsidRPr="00544891" w:rsidRDefault="00544891" w:rsidP="00600C0C">
            <w:pPr>
              <w:tabs>
                <w:tab w:val="left" w:pos="1440"/>
              </w:tabs>
              <w:spacing w:line="240" w:lineRule="auto"/>
              <w:contextualSpacing/>
            </w:pPr>
            <w:r w:rsidRPr="00544891">
              <w:t>NISR</w:t>
            </w:r>
          </w:p>
        </w:tc>
        <w:tc>
          <w:tcPr>
            <w:tcW w:w="6461" w:type="dxa"/>
            <w:hideMark/>
          </w:tcPr>
          <w:p w14:paraId="24F18826" w14:textId="77777777" w:rsidR="00544891" w:rsidRPr="00544891" w:rsidRDefault="00544891" w:rsidP="00600C0C">
            <w:pPr>
              <w:tabs>
                <w:tab w:val="left" w:pos="1440"/>
              </w:tabs>
              <w:spacing w:line="240" w:lineRule="auto"/>
              <w:contextualSpacing/>
            </w:pPr>
            <w:r w:rsidRPr="00544891">
              <w:t>Nuclear Industries Security Regulations</w:t>
            </w:r>
          </w:p>
        </w:tc>
      </w:tr>
      <w:tr w:rsidR="00544891" w:rsidRPr="00544891" w14:paraId="2463F050" w14:textId="77777777" w:rsidTr="003E2190">
        <w:tc>
          <w:tcPr>
            <w:tcW w:w="1843" w:type="dxa"/>
            <w:hideMark/>
          </w:tcPr>
          <w:p w14:paraId="7A7C0A89" w14:textId="77777777" w:rsidR="00544891" w:rsidRPr="00544891" w:rsidRDefault="00544891" w:rsidP="00600C0C">
            <w:pPr>
              <w:tabs>
                <w:tab w:val="left" w:pos="1440"/>
              </w:tabs>
              <w:spacing w:line="240" w:lineRule="auto"/>
              <w:contextualSpacing/>
            </w:pPr>
            <w:r w:rsidRPr="00544891">
              <w:t>NOC</w:t>
            </w:r>
          </w:p>
        </w:tc>
        <w:tc>
          <w:tcPr>
            <w:tcW w:w="6461" w:type="dxa"/>
            <w:hideMark/>
          </w:tcPr>
          <w:p w14:paraId="03AD24A8" w14:textId="77777777" w:rsidR="00544891" w:rsidRPr="00544891" w:rsidRDefault="00544891" w:rsidP="00600C0C">
            <w:pPr>
              <w:tabs>
                <w:tab w:val="left" w:pos="1440"/>
              </w:tabs>
              <w:spacing w:line="240" w:lineRule="auto"/>
              <w:contextualSpacing/>
            </w:pPr>
            <w:r w:rsidRPr="00544891">
              <w:t>Network Operations Centre</w:t>
            </w:r>
          </w:p>
        </w:tc>
      </w:tr>
      <w:tr w:rsidR="00544891" w:rsidRPr="00544891" w14:paraId="099B06CA" w14:textId="77777777" w:rsidTr="003E2190">
        <w:tc>
          <w:tcPr>
            <w:tcW w:w="1843" w:type="dxa"/>
            <w:hideMark/>
          </w:tcPr>
          <w:p w14:paraId="2906F824" w14:textId="77777777" w:rsidR="00544891" w:rsidRPr="00544891" w:rsidRDefault="00544891" w:rsidP="00600C0C">
            <w:pPr>
              <w:tabs>
                <w:tab w:val="left" w:pos="1440"/>
              </w:tabs>
              <w:spacing w:line="240" w:lineRule="auto"/>
              <w:contextualSpacing/>
            </w:pPr>
            <w:r w:rsidRPr="00544891">
              <w:t>NSS</w:t>
            </w:r>
          </w:p>
        </w:tc>
        <w:tc>
          <w:tcPr>
            <w:tcW w:w="6461" w:type="dxa"/>
            <w:hideMark/>
          </w:tcPr>
          <w:p w14:paraId="0B6A5712" w14:textId="77777777" w:rsidR="00544891" w:rsidRPr="00544891" w:rsidRDefault="00544891" w:rsidP="00600C0C">
            <w:pPr>
              <w:tabs>
                <w:tab w:val="left" w:pos="1440"/>
              </w:tabs>
              <w:spacing w:line="240" w:lineRule="auto"/>
              <w:contextualSpacing/>
            </w:pPr>
            <w:r w:rsidRPr="00544891">
              <w:t>Nuclear Security Series</w:t>
            </w:r>
          </w:p>
        </w:tc>
      </w:tr>
      <w:tr w:rsidR="00544891" w:rsidRPr="00544891" w14:paraId="233F804B" w14:textId="77777777" w:rsidTr="003E2190">
        <w:tc>
          <w:tcPr>
            <w:tcW w:w="1843" w:type="dxa"/>
            <w:hideMark/>
          </w:tcPr>
          <w:p w14:paraId="1B601E2B" w14:textId="77777777" w:rsidR="00544891" w:rsidRPr="00544891" w:rsidRDefault="00544891" w:rsidP="00600C0C">
            <w:pPr>
              <w:tabs>
                <w:tab w:val="left" w:pos="1440"/>
              </w:tabs>
              <w:spacing w:line="240" w:lineRule="auto"/>
              <w:contextualSpacing/>
            </w:pPr>
            <w:r w:rsidRPr="00544891">
              <w:t>ONR</w:t>
            </w:r>
          </w:p>
        </w:tc>
        <w:tc>
          <w:tcPr>
            <w:tcW w:w="6461" w:type="dxa"/>
            <w:hideMark/>
          </w:tcPr>
          <w:p w14:paraId="51722698" w14:textId="77777777" w:rsidR="00544891" w:rsidRPr="00544891" w:rsidRDefault="00544891" w:rsidP="00600C0C">
            <w:pPr>
              <w:tabs>
                <w:tab w:val="left" w:pos="1440"/>
              </w:tabs>
              <w:spacing w:line="240" w:lineRule="auto"/>
              <w:contextualSpacing/>
            </w:pPr>
            <w:r w:rsidRPr="00544891">
              <w:t>Office for Nuclear Regulation</w:t>
            </w:r>
          </w:p>
        </w:tc>
      </w:tr>
      <w:tr w:rsidR="00544891" w:rsidRPr="00544891" w14:paraId="491B2D87" w14:textId="77777777" w:rsidTr="003E2190">
        <w:tc>
          <w:tcPr>
            <w:tcW w:w="1843" w:type="dxa"/>
            <w:hideMark/>
          </w:tcPr>
          <w:p w14:paraId="56298660" w14:textId="77777777" w:rsidR="00544891" w:rsidRPr="00544891" w:rsidRDefault="00544891" w:rsidP="00600C0C">
            <w:pPr>
              <w:tabs>
                <w:tab w:val="left" w:pos="1440"/>
              </w:tabs>
              <w:spacing w:line="240" w:lineRule="auto"/>
              <w:contextualSpacing/>
            </w:pPr>
            <w:r w:rsidRPr="00544891">
              <w:t>RGP</w:t>
            </w:r>
          </w:p>
        </w:tc>
        <w:tc>
          <w:tcPr>
            <w:tcW w:w="6461" w:type="dxa"/>
            <w:hideMark/>
          </w:tcPr>
          <w:p w14:paraId="1214F582" w14:textId="77777777" w:rsidR="00544891" w:rsidRPr="00544891" w:rsidRDefault="00544891" w:rsidP="00600C0C">
            <w:pPr>
              <w:tabs>
                <w:tab w:val="left" w:pos="1440"/>
              </w:tabs>
              <w:spacing w:line="240" w:lineRule="auto"/>
              <w:contextualSpacing/>
            </w:pPr>
            <w:r w:rsidRPr="00544891">
              <w:t>Relevant Good Practice</w:t>
            </w:r>
          </w:p>
        </w:tc>
      </w:tr>
      <w:tr w:rsidR="00544891" w:rsidRPr="00544891" w14:paraId="62B0B43C" w14:textId="77777777" w:rsidTr="003E2190">
        <w:tc>
          <w:tcPr>
            <w:tcW w:w="1843" w:type="dxa"/>
            <w:hideMark/>
          </w:tcPr>
          <w:p w14:paraId="32AE81D0" w14:textId="77777777" w:rsidR="00544891" w:rsidRPr="00544891" w:rsidRDefault="00544891" w:rsidP="00600C0C">
            <w:pPr>
              <w:tabs>
                <w:tab w:val="left" w:pos="1440"/>
              </w:tabs>
              <w:spacing w:line="240" w:lineRule="auto"/>
              <w:contextualSpacing/>
            </w:pPr>
            <w:r w:rsidRPr="00544891">
              <w:t>SIEM</w:t>
            </w:r>
          </w:p>
        </w:tc>
        <w:tc>
          <w:tcPr>
            <w:tcW w:w="6461" w:type="dxa"/>
            <w:hideMark/>
          </w:tcPr>
          <w:p w14:paraId="6BB6E65F" w14:textId="77777777" w:rsidR="00544891" w:rsidRPr="00544891" w:rsidRDefault="00544891" w:rsidP="00600C0C">
            <w:pPr>
              <w:tabs>
                <w:tab w:val="left" w:pos="1440"/>
              </w:tabs>
              <w:spacing w:line="240" w:lineRule="auto"/>
              <w:contextualSpacing/>
            </w:pPr>
            <w:r w:rsidRPr="00544891">
              <w:t>Security Information and Event Manager</w:t>
            </w:r>
          </w:p>
        </w:tc>
      </w:tr>
      <w:tr w:rsidR="00544891" w:rsidRPr="00544891" w14:paraId="1BAD963D" w14:textId="77777777" w:rsidTr="003E2190">
        <w:tc>
          <w:tcPr>
            <w:tcW w:w="1843" w:type="dxa"/>
            <w:hideMark/>
          </w:tcPr>
          <w:p w14:paraId="2FFF4707" w14:textId="77777777" w:rsidR="00544891" w:rsidRPr="00544891" w:rsidRDefault="00544891" w:rsidP="00600C0C">
            <w:pPr>
              <w:tabs>
                <w:tab w:val="left" w:pos="1440"/>
              </w:tabs>
              <w:spacing w:line="240" w:lineRule="auto"/>
              <w:contextualSpacing/>
            </w:pPr>
            <w:r w:rsidRPr="00544891">
              <w:t>SNI</w:t>
            </w:r>
          </w:p>
        </w:tc>
        <w:tc>
          <w:tcPr>
            <w:tcW w:w="6461" w:type="dxa"/>
            <w:hideMark/>
          </w:tcPr>
          <w:p w14:paraId="6F549A3A" w14:textId="77777777" w:rsidR="00544891" w:rsidRPr="00544891" w:rsidRDefault="00544891" w:rsidP="00600C0C">
            <w:pPr>
              <w:tabs>
                <w:tab w:val="left" w:pos="1440"/>
              </w:tabs>
              <w:spacing w:line="240" w:lineRule="auto"/>
              <w:contextualSpacing/>
            </w:pPr>
            <w:r w:rsidRPr="00544891">
              <w:t>Sensitive Nuclear Information</w:t>
            </w:r>
          </w:p>
        </w:tc>
      </w:tr>
      <w:tr w:rsidR="00544891" w:rsidRPr="00544891" w14:paraId="133A0294" w14:textId="77777777" w:rsidTr="003E2190">
        <w:tc>
          <w:tcPr>
            <w:tcW w:w="1843" w:type="dxa"/>
            <w:hideMark/>
          </w:tcPr>
          <w:p w14:paraId="6D695CAD" w14:textId="77777777" w:rsidR="00544891" w:rsidRPr="00544891" w:rsidRDefault="00544891" w:rsidP="00600C0C">
            <w:pPr>
              <w:tabs>
                <w:tab w:val="left" w:pos="1440"/>
              </w:tabs>
              <w:spacing w:line="240" w:lineRule="auto"/>
              <w:contextualSpacing/>
            </w:pPr>
            <w:r w:rsidRPr="00544891">
              <w:t>SOC</w:t>
            </w:r>
          </w:p>
        </w:tc>
        <w:tc>
          <w:tcPr>
            <w:tcW w:w="6461" w:type="dxa"/>
            <w:hideMark/>
          </w:tcPr>
          <w:p w14:paraId="7E1553BA" w14:textId="77777777" w:rsidR="00544891" w:rsidRPr="00544891" w:rsidRDefault="00544891" w:rsidP="00600C0C">
            <w:pPr>
              <w:tabs>
                <w:tab w:val="left" w:pos="1440"/>
              </w:tabs>
              <w:spacing w:line="240" w:lineRule="auto"/>
              <w:contextualSpacing/>
            </w:pPr>
            <w:r w:rsidRPr="00544891">
              <w:t>Security Operations Centre</w:t>
            </w:r>
          </w:p>
        </w:tc>
      </w:tr>
      <w:tr w:rsidR="00544891" w:rsidRPr="00544891" w14:paraId="1E60EC01" w14:textId="77777777" w:rsidTr="003E2190">
        <w:tc>
          <w:tcPr>
            <w:tcW w:w="1843" w:type="dxa"/>
            <w:hideMark/>
          </w:tcPr>
          <w:p w14:paraId="3381B2EB" w14:textId="77777777" w:rsidR="00544891" w:rsidRPr="00544891" w:rsidRDefault="00544891" w:rsidP="00600C0C">
            <w:pPr>
              <w:tabs>
                <w:tab w:val="left" w:pos="1440"/>
              </w:tabs>
              <w:spacing w:line="240" w:lineRule="auto"/>
              <w:contextualSpacing/>
            </w:pPr>
            <w:r w:rsidRPr="00544891">
              <w:t>SPF</w:t>
            </w:r>
          </w:p>
        </w:tc>
        <w:tc>
          <w:tcPr>
            <w:tcW w:w="6461" w:type="dxa"/>
            <w:hideMark/>
          </w:tcPr>
          <w:p w14:paraId="11B9C255" w14:textId="77777777" w:rsidR="00544891" w:rsidRPr="00544891" w:rsidRDefault="00544891" w:rsidP="00600C0C">
            <w:pPr>
              <w:tabs>
                <w:tab w:val="left" w:pos="1440"/>
              </w:tabs>
              <w:spacing w:line="240" w:lineRule="auto"/>
              <w:contextualSpacing/>
            </w:pPr>
            <w:r w:rsidRPr="00544891">
              <w:t>Security Policy Framework</w:t>
            </w:r>
          </w:p>
        </w:tc>
      </w:tr>
      <w:tr w:rsidR="00544891" w:rsidRPr="00544891" w14:paraId="5AB8CBD6" w14:textId="77777777" w:rsidTr="003E2190">
        <w:trPr>
          <w:trHeight w:val="17"/>
        </w:trPr>
        <w:tc>
          <w:tcPr>
            <w:tcW w:w="1843" w:type="dxa"/>
            <w:hideMark/>
          </w:tcPr>
          <w:p w14:paraId="074AB3E4" w14:textId="77777777" w:rsidR="00544891" w:rsidRPr="00544891" w:rsidRDefault="00544891" w:rsidP="00600C0C">
            <w:pPr>
              <w:tabs>
                <w:tab w:val="left" w:pos="1440"/>
              </w:tabs>
              <w:spacing w:line="240" w:lineRule="auto"/>
              <w:contextualSpacing/>
            </w:pPr>
            <w:r w:rsidRPr="00544891">
              <w:t>SQEP</w:t>
            </w:r>
          </w:p>
        </w:tc>
        <w:tc>
          <w:tcPr>
            <w:tcW w:w="6461" w:type="dxa"/>
            <w:hideMark/>
          </w:tcPr>
          <w:p w14:paraId="57E3D6EB" w14:textId="77777777" w:rsidR="00544891" w:rsidRPr="00544891" w:rsidRDefault="00544891" w:rsidP="00600C0C">
            <w:pPr>
              <w:tabs>
                <w:tab w:val="left" w:pos="1440"/>
              </w:tabs>
              <w:spacing w:line="240" w:lineRule="auto"/>
              <w:contextualSpacing/>
            </w:pPr>
            <w:r w:rsidRPr="00544891">
              <w:t>Suitably Qualified and Experienced</w:t>
            </w:r>
          </w:p>
        </w:tc>
      </w:tr>
      <w:tr w:rsidR="00544891" w:rsidRPr="00544891" w14:paraId="3AC35E88" w14:textId="77777777" w:rsidTr="003E2190">
        <w:tc>
          <w:tcPr>
            <w:tcW w:w="1843" w:type="dxa"/>
            <w:hideMark/>
          </w:tcPr>
          <w:p w14:paraId="7E70C21B" w14:textId="77777777" w:rsidR="00544891" w:rsidRPr="00544891" w:rsidRDefault="00544891" w:rsidP="00600C0C">
            <w:pPr>
              <w:tabs>
                <w:tab w:val="left" w:pos="1440"/>
              </w:tabs>
              <w:spacing w:line="240" w:lineRule="auto"/>
              <w:contextualSpacing/>
            </w:pPr>
            <w:proofErr w:type="spellStart"/>
            <w:r w:rsidRPr="00544891">
              <w:t>SyAP</w:t>
            </w:r>
            <w:proofErr w:type="spellEnd"/>
          </w:p>
        </w:tc>
        <w:tc>
          <w:tcPr>
            <w:tcW w:w="6461" w:type="dxa"/>
            <w:hideMark/>
          </w:tcPr>
          <w:p w14:paraId="46D37F31" w14:textId="77777777" w:rsidR="00544891" w:rsidRPr="00544891" w:rsidRDefault="00544891" w:rsidP="00600C0C">
            <w:pPr>
              <w:tabs>
                <w:tab w:val="left" w:pos="1440"/>
              </w:tabs>
              <w:spacing w:line="240" w:lineRule="auto"/>
              <w:contextualSpacing/>
            </w:pPr>
            <w:r w:rsidRPr="00544891">
              <w:t>Security Assessment Principle</w:t>
            </w:r>
          </w:p>
        </w:tc>
      </w:tr>
      <w:tr w:rsidR="00544891" w:rsidRPr="00544891" w14:paraId="3CA35DA5" w14:textId="77777777" w:rsidTr="003E2190">
        <w:tc>
          <w:tcPr>
            <w:tcW w:w="1843" w:type="dxa"/>
            <w:hideMark/>
          </w:tcPr>
          <w:p w14:paraId="740E582D" w14:textId="77777777" w:rsidR="00544891" w:rsidRPr="00544891" w:rsidRDefault="00544891" w:rsidP="00600C0C">
            <w:pPr>
              <w:tabs>
                <w:tab w:val="left" w:pos="1440"/>
              </w:tabs>
              <w:spacing w:line="240" w:lineRule="auto"/>
              <w:contextualSpacing/>
            </w:pPr>
            <w:proofErr w:type="spellStart"/>
            <w:r w:rsidRPr="00544891">
              <w:lastRenderedPageBreak/>
              <w:t>SyDP</w:t>
            </w:r>
            <w:proofErr w:type="spellEnd"/>
          </w:p>
        </w:tc>
        <w:tc>
          <w:tcPr>
            <w:tcW w:w="6461" w:type="dxa"/>
            <w:hideMark/>
          </w:tcPr>
          <w:p w14:paraId="6559AF34" w14:textId="77777777" w:rsidR="00544891" w:rsidRPr="00544891" w:rsidRDefault="00544891" w:rsidP="00600C0C">
            <w:pPr>
              <w:tabs>
                <w:tab w:val="left" w:pos="1440"/>
              </w:tabs>
              <w:spacing w:line="240" w:lineRule="auto"/>
              <w:contextualSpacing/>
            </w:pPr>
            <w:r w:rsidRPr="00544891">
              <w:t>Security Delivery Principle</w:t>
            </w:r>
          </w:p>
        </w:tc>
      </w:tr>
      <w:tr w:rsidR="00544891" w:rsidRPr="00544891" w14:paraId="40DEF0DA" w14:textId="77777777" w:rsidTr="003E2190">
        <w:tc>
          <w:tcPr>
            <w:tcW w:w="1843" w:type="dxa"/>
            <w:hideMark/>
          </w:tcPr>
          <w:p w14:paraId="624C512A" w14:textId="77777777" w:rsidR="00544891" w:rsidRPr="00544891" w:rsidRDefault="00544891" w:rsidP="00600C0C">
            <w:pPr>
              <w:tabs>
                <w:tab w:val="left" w:pos="1440"/>
              </w:tabs>
              <w:spacing w:line="240" w:lineRule="auto"/>
              <w:contextualSpacing/>
            </w:pPr>
            <w:r w:rsidRPr="00544891">
              <w:t>TAG</w:t>
            </w:r>
          </w:p>
        </w:tc>
        <w:tc>
          <w:tcPr>
            <w:tcW w:w="6461" w:type="dxa"/>
            <w:hideMark/>
          </w:tcPr>
          <w:p w14:paraId="24D2AA60" w14:textId="77777777" w:rsidR="00544891" w:rsidRPr="00544891" w:rsidRDefault="00544891" w:rsidP="00600C0C">
            <w:pPr>
              <w:tabs>
                <w:tab w:val="left" w:pos="1440"/>
              </w:tabs>
              <w:spacing w:line="240" w:lineRule="auto"/>
              <w:contextualSpacing/>
            </w:pPr>
            <w:r w:rsidRPr="00544891">
              <w:t>Technical Assessment Guide</w:t>
            </w:r>
          </w:p>
        </w:tc>
      </w:tr>
      <w:tr w:rsidR="00544891" w:rsidRPr="00544891" w14:paraId="743637A9" w14:textId="77777777" w:rsidTr="003E2190">
        <w:tc>
          <w:tcPr>
            <w:tcW w:w="1843" w:type="dxa"/>
            <w:hideMark/>
          </w:tcPr>
          <w:p w14:paraId="43CABC14" w14:textId="77777777" w:rsidR="00544891" w:rsidRPr="00544891" w:rsidRDefault="00544891" w:rsidP="00600C0C">
            <w:pPr>
              <w:tabs>
                <w:tab w:val="left" w:pos="1440"/>
              </w:tabs>
              <w:spacing w:line="240" w:lineRule="auto"/>
              <w:contextualSpacing/>
            </w:pPr>
            <w:r w:rsidRPr="00544891">
              <w:t>TMG</w:t>
            </w:r>
          </w:p>
        </w:tc>
        <w:tc>
          <w:tcPr>
            <w:tcW w:w="6461" w:type="dxa"/>
            <w:hideMark/>
          </w:tcPr>
          <w:p w14:paraId="539E1FC9" w14:textId="77777777" w:rsidR="00544891" w:rsidRPr="00544891" w:rsidRDefault="00544891" w:rsidP="00600C0C">
            <w:pPr>
              <w:tabs>
                <w:tab w:val="left" w:pos="1440"/>
              </w:tabs>
              <w:spacing w:line="240" w:lineRule="auto"/>
              <w:contextualSpacing/>
            </w:pPr>
            <w:r w:rsidRPr="00544891">
              <w:t>Threat Management Gateway</w:t>
            </w:r>
          </w:p>
        </w:tc>
      </w:tr>
      <w:tr w:rsidR="00544891" w:rsidRPr="00544891" w14:paraId="67A87B48" w14:textId="77777777" w:rsidTr="003E2190">
        <w:tc>
          <w:tcPr>
            <w:tcW w:w="1843" w:type="dxa"/>
            <w:hideMark/>
          </w:tcPr>
          <w:p w14:paraId="5F023FD6" w14:textId="77777777" w:rsidR="00544891" w:rsidRPr="00544891" w:rsidRDefault="00544891" w:rsidP="00600C0C">
            <w:pPr>
              <w:tabs>
                <w:tab w:val="left" w:pos="1440"/>
              </w:tabs>
              <w:spacing w:line="240" w:lineRule="auto"/>
              <w:contextualSpacing/>
            </w:pPr>
            <w:r w:rsidRPr="00544891">
              <w:t>VLAN</w:t>
            </w:r>
          </w:p>
        </w:tc>
        <w:tc>
          <w:tcPr>
            <w:tcW w:w="6461" w:type="dxa"/>
            <w:hideMark/>
          </w:tcPr>
          <w:p w14:paraId="7457CEE1" w14:textId="77777777" w:rsidR="00544891" w:rsidRPr="00544891" w:rsidRDefault="00544891" w:rsidP="00600C0C">
            <w:pPr>
              <w:tabs>
                <w:tab w:val="left" w:pos="1440"/>
              </w:tabs>
              <w:spacing w:line="240" w:lineRule="auto"/>
              <w:contextualSpacing/>
            </w:pPr>
            <w:r w:rsidRPr="00544891">
              <w:t>Virtual Local Area Network</w:t>
            </w:r>
          </w:p>
        </w:tc>
      </w:tr>
      <w:tr w:rsidR="00DF242D" w:rsidRPr="00544891" w14:paraId="62BCDCC3" w14:textId="77777777" w:rsidTr="003E2190">
        <w:tc>
          <w:tcPr>
            <w:tcW w:w="1843" w:type="dxa"/>
          </w:tcPr>
          <w:p w14:paraId="0AF10CCB" w14:textId="77777777" w:rsidR="00DF242D" w:rsidRPr="00544891" w:rsidRDefault="00DF242D" w:rsidP="00600C0C">
            <w:pPr>
              <w:tabs>
                <w:tab w:val="left" w:pos="1440"/>
              </w:tabs>
              <w:spacing w:line="240" w:lineRule="auto"/>
              <w:contextualSpacing/>
            </w:pPr>
          </w:p>
        </w:tc>
        <w:tc>
          <w:tcPr>
            <w:tcW w:w="6461" w:type="dxa"/>
          </w:tcPr>
          <w:p w14:paraId="5C8483B0" w14:textId="77777777" w:rsidR="00DF242D" w:rsidRPr="00544891" w:rsidRDefault="00DF242D" w:rsidP="00600C0C">
            <w:pPr>
              <w:tabs>
                <w:tab w:val="left" w:pos="1440"/>
              </w:tabs>
              <w:spacing w:line="240" w:lineRule="auto"/>
              <w:contextualSpacing/>
            </w:pPr>
          </w:p>
        </w:tc>
      </w:tr>
      <w:tr w:rsidR="00DF242D" w:rsidRPr="00544891" w14:paraId="3EAFE7EF" w14:textId="77777777" w:rsidTr="003E2190">
        <w:tc>
          <w:tcPr>
            <w:tcW w:w="1843" w:type="dxa"/>
          </w:tcPr>
          <w:p w14:paraId="026E1F47" w14:textId="77777777" w:rsidR="00DF242D" w:rsidRPr="00544891" w:rsidRDefault="00DF242D" w:rsidP="00600C0C">
            <w:pPr>
              <w:tabs>
                <w:tab w:val="left" w:pos="1440"/>
              </w:tabs>
              <w:spacing w:line="240" w:lineRule="auto"/>
              <w:contextualSpacing/>
            </w:pPr>
          </w:p>
        </w:tc>
        <w:tc>
          <w:tcPr>
            <w:tcW w:w="6461" w:type="dxa"/>
          </w:tcPr>
          <w:p w14:paraId="55B292A0" w14:textId="77777777" w:rsidR="00DF242D" w:rsidRPr="00544891" w:rsidRDefault="00DF242D" w:rsidP="00600C0C">
            <w:pPr>
              <w:tabs>
                <w:tab w:val="left" w:pos="1440"/>
              </w:tabs>
              <w:spacing w:line="240" w:lineRule="auto"/>
              <w:contextualSpacing/>
            </w:pPr>
          </w:p>
        </w:tc>
      </w:tr>
      <w:tr w:rsidR="00DF242D" w:rsidRPr="00544891" w14:paraId="70B130E6" w14:textId="77777777" w:rsidTr="003E2190">
        <w:tc>
          <w:tcPr>
            <w:tcW w:w="1843" w:type="dxa"/>
          </w:tcPr>
          <w:p w14:paraId="7D618434" w14:textId="77777777" w:rsidR="00DF242D" w:rsidRPr="00544891" w:rsidRDefault="00DF242D" w:rsidP="00600C0C">
            <w:pPr>
              <w:tabs>
                <w:tab w:val="left" w:pos="1440"/>
              </w:tabs>
              <w:spacing w:line="240" w:lineRule="auto"/>
              <w:contextualSpacing/>
            </w:pPr>
          </w:p>
        </w:tc>
        <w:tc>
          <w:tcPr>
            <w:tcW w:w="6461" w:type="dxa"/>
          </w:tcPr>
          <w:p w14:paraId="2119AA91" w14:textId="77777777" w:rsidR="00DF242D" w:rsidRPr="00544891" w:rsidRDefault="00DF242D" w:rsidP="00600C0C">
            <w:pPr>
              <w:tabs>
                <w:tab w:val="left" w:pos="1440"/>
              </w:tabs>
              <w:spacing w:line="240" w:lineRule="auto"/>
              <w:contextualSpacing/>
            </w:pPr>
          </w:p>
        </w:tc>
      </w:tr>
      <w:tr w:rsidR="00DF242D" w:rsidRPr="00544891" w14:paraId="1C61C664" w14:textId="77777777" w:rsidTr="003E2190">
        <w:tc>
          <w:tcPr>
            <w:tcW w:w="1843" w:type="dxa"/>
          </w:tcPr>
          <w:p w14:paraId="58ADD88C" w14:textId="77777777" w:rsidR="00DF242D" w:rsidRPr="00544891" w:rsidRDefault="00DF242D" w:rsidP="00600C0C">
            <w:pPr>
              <w:tabs>
                <w:tab w:val="left" w:pos="1440"/>
              </w:tabs>
              <w:spacing w:line="240" w:lineRule="auto"/>
              <w:contextualSpacing/>
            </w:pPr>
          </w:p>
        </w:tc>
        <w:tc>
          <w:tcPr>
            <w:tcW w:w="6461" w:type="dxa"/>
          </w:tcPr>
          <w:p w14:paraId="20594967" w14:textId="77777777" w:rsidR="00DF242D" w:rsidRPr="00544891" w:rsidRDefault="00DF242D" w:rsidP="00600C0C">
            <w:pPr>
              <w:tabs>
                <w:tab w:val="left" w:pos="1440"/>
              </w:tabs>
              <w:spacing w:line="240" w:lineRule="auto"/>
              <w:contextualSpacing/>
            </w:pPr>
          </w:p>
        </w:tc>
      </w:tr>
      <w:tr w:rsidR="00DF242D" w:rsidRPr="00544891" w14:paraId="0B52ED9A" w14:textId="77777777" w:rsidTr="003E2190">
        <w:tc>
          <w:tcPr>
            <w:tcW w:w="1843" w:type="dxa"/>
          </w:tcPr>
          <w:p w14:paraId="6E04B93A" w14:textId="77777777" w:rsidR="00DF242D" w:rsidRPr="00544891" w:rsidRDefault="00DF242D" w:rsidP="00600C0C">
            <w:pPr>
              <w:tabs>
                <w:tab w:val="left" w:pos="1440"/>
              </w:tabs>
              <w:spacing w:line="240" w:lineRule="auto"/>
              <w:contextualSpacing/>
            </w:pPr>
          </w:p>
        </w:tc>
        <w:tc>
          <w:tcPr>
            <w:tcW w:w="6461" w:type="dxa"/>
          </w:tcPr>
          <w:p w14:paraId="4642CA2D" w14:textId="77777777" w:rsidR="00DF242D" w:rsidRPr="00544891" w:rsidRDefault="00DF242D" w:rsidP="00600C0C">
            <w:pPr>
              <w:tabs>
                <w:tab w:val="left" w:pos="1440"/>
              </w:tabs>
              <w:spacing w:line="240" w:lineRule="auto"/>
              <w:contextualSpacing/>
            </w:pPr>
          </w:p>
        </w:tc>
      </w:tr>
      <w:tr w:rsidR="00DF242D" w:rsidRPr="00544891" w14:paraId="2DBCFC79" w14:textId="77777777" w:rsidTr="003E2190">
        <w:tc>
          <w:tcPr>
            <w:tcW w:w="1843" w:type="dxa"/>
          </w:tcPr>
          <w:p w14:paraId="0771EAD7" w14:textId="77777777" w:rsidR="00DF242D" w:rsidRPr="00544891" w:rsidRDefault="00DF242D" w:rsidP="00600C0C">
            <w:pPr>
              <w:tabs>
                <w:tab w:val="left" w:pos="1440"/>
              </w:tabs>
              <w:spacing w:line="240" w:lineRule="auto"/>
              <w:contextualSpacing/>
            </w:pPr>
          </w:p>
        </w:tc>
        <w:tc>
          <w:tcPr>
            <w:tcW w:w="6461" w:type="dxa"/>
          </w:tcPr>
          <w:p w14:paraId="384AEEEE" w14:textId="77777777" w:rsidR="00DF242D" w:rsidRPr="00544891" w:rsidRDefault="00DF242D" w:rsidP="00600C0C">
            <w:pPr>
              <w:tabs>
                <w:tab w:val="left" w:pos="1440"/>
              </w:tabs>
              <w:spacing w:line="240" w:lineRule="auto"/>
              <w:contextualSpacing/>
            </w:pPr>
          </w:p>
        </w:tc>
      </w:tr>
      <w:tr w:rsidR="00DF242D" w:rsidRPr="00544891" w14:paraId="27865CFC" w14:textId="77777777" w:rsidTr="003E2190">
        <w:tc>
          <w:tcPr>
            <w:tcW w:w="1843" w:type="dxa"/>
          </w:tcPr>
          <w:p w14:paraId="462E89E5" w14:textId="77777777" w:rsidR="00DF242D" w:rsidRPr="00544891" w:rsidRDefault="00DF242D" w:rsidP="00600C0C">
            <w:pPr>
              <w:tabs>
                <w:tab w:val="left" w:pos="1440"/>
              </w:tabs>
              <w:spacing w:line="240" w:lineRule="auto"/>
              <w:contextualSpacing/>
            </w:pPr>
          </w:p>
        </w:tc>
        <w:tc>
          <w:tcPr>
            <w:tcW w:w="6461" w:type="dxa"/>
          </w:tcPr>
          <w:p w14:paraId="026CEB2A" w14:textId="77777777" w:rsidR="00DF242D" w:rsidRPr="00544891" w:rsidRDefault="00DF242D" w:rsidP="00600C0C">
            <w:pPr>
              <w:tabs>
                <w:tab w:val="left" w:pos="1440"/>
              </w:tabs>
              <w:spacing w:line="240" w:lineRule="auto"/>
              <w:contextualSpacing/>
            </w:pPr>
          </w:p>
        </w:tc>
      </w:tr>
      <w:tr w:rsidR="00DF242D" w:rsidRPr="00544891" w14:paraId="0973468C" w14:textId="77777777" w:rsidTr="003E2190">
        <w:tc>
          <w:tcPr>
            <w:tcW w:w="1843" w:type="dxa"/>
          </w:tcPr>
          <w:p w14:paraId="68AA0843" w14:textId="77777777" w:rsidR="00DF242D" w:rsidRPr="00544891" w:rsidRDefault="00DF242D" w:rsidP="00600C0C">
            <w:pPr>
              <w:tabs>
                <w:tab w:val="left" w:pos="1440"/>
              </w:tabs>
              <w:spacing w:line="240" w:lineRule="auto"/>
              <w:contextualSpacing/>
            </w:pPr>
          </w:p>
        </w:tc>
        <w:tc>
          <w:tcPr>
            <w:tcW w:w="6461" w:type="dxa"/>
          </w:tcPr>
          <w:p w14:paraId="5E0BE594" w14:textId="77777777" w:rsidR="00DF242D" w:rsidRPr="00544891" w:rsidRDefault="00DF242D" w:rsidP="00600C0C">
            <w:pPr>
              <w:tabs>
                <w:tab w:val="left" w:pos="1440"/>
              </w:tabs>
              <w:spacing w:line="240" w:lineRule="auto"/>
              <w:contextualSpacing/>
            </w:pPr>
          </w:p>
        </w:tc>
      </w:tr>
      <w:tr w:rsidR="00DF242D" w:rsidRPr="00544891" w14:paraId="5AD9B457" w14:textId="77777777" w:rsidTr="003E2190">
        <w:tc>
          <w:tcPr>
            <w:tcW w:w="1843" w:type="dxa"/>
          </w:tcPr>
          <w:p w14:paraId="26660BED" w14:textId="77777777" w:rsidR="00DF242D" w:rsidRPr="00544891" w:rsidRDefault="00DF242D" w:rsidP="00600C0C">
            <w:pPr>
              <w:tabs>
                <w:tab w:val="left" w:pos="1440"/>
              </w:tabs>
              <w:spacing w:line="240" w:lineRule="auto"/>
              <w:contextualSpacing/>
            </w:pPr>
          </w:p>
        </w:tc>
        <w:tc>
          <w:tcPr>
            <w:tcW w:w="6461" w:type="dxa"/>
          </w:tcPr>
          <w:p w14:paraId="33E45D3D" w14:textId="77777777" w:rsidR="00DF242D" w:rsidRPr="00544891" w:rsidRDefault="00DF242D" w:rsidP="00600C0C">
            <w:pPr>
              <w:tabs>
                <w:tab w:val="left" w:pos="1440"/>
              </w:tabs>
              <w:spacing w:line="240" w:lineRule="auto"/>
              <w:contextualSpacing/>
            </w:pPr>
          </w:p>
        </w:tc>
      </w:tr>
      <w:tr w:rsidR="00DF242D" w:rsidRPr="00544891" w14:paraId="0FAC1C1D" w14:textId="77777777" w:rsidTr="003E2190">
        <w:tc>
          <w:tcPr>
            <w:tcW w:w="1843" w:type="dxa"/>
          </w:tcPr>
          <w:p w14:paraId="6CE85CDF" w14:textId="77777777" w:rsidR="00DF242D" w:rsidRPr="00544891" w:rsidRDefault="00DF242D" w:rsidP="00600C0C">
            <w:pPr>
              <w:tabs>
                <w:tab w:val="left" w:pos="1440"/>
              </w:tabs>
              <w:spacing w:line="240" w:lineRule="auto"/>
              <w:contextualSpacing/>
            </w:pPr>
          </w:p>
        </w:tc>
        <w:tc>
          <w:tcPr>
            <w:tcW w:w="6461" w:type="dxa"/>
          </w:tcPr>
          <w:p w14:paraId="293FCD1A" w14:textId="77777777" w:rsidR="00DF242D" w:rsidRPr="00544891" w:rsidRDefault="00DF242D" w:rsidP="00600C0C">
            <w:pPr>
              <w:tabs>
                <w:tab w:val="left" w:pos="1440"/>
              </w:tabs>
              <w:spacing w:line="240" w:lineRule="auto"/>
              <w:contextualSpacing/>
            </w:pPr>
          </w:p>
        </w:tc>
      </w:tr>
      <w:tr w:rsidR="00DF242D" w:rsidRPr="00544891" w14:paraId="289890CA" w14:textId="77777777" w:rsidTr="003E2190">
        <w:tc>
          <w:tcPr>
            <w:tcW w:w="1843" w:type="dxa"/>
          </w:tcPr>
          <w:p w14:paraId="58BF4AD1" w14:textId="77777777" w:rsidR="00DF242D" w:rsidRPr="00544891" w:rsidRDefault="00DF242D" w:rsidP="00600C0C">
            <w:pPr>
              <w:tabs>
                <w:tab w:val="left" w:pos="1440"/>
              </w:tabs>
              <w:spacing w:line="240" w:lineRule="auto"/>
              <w:contextualSpacing/>
            </w:pPr>
          </w:p>
        </w:tc>
        <w:tc>
          <w:tcPr>
            <w:tcW w:w="6461" w:type="dxa"/>
          </w:tcPr>
          <w:p w14:paraId="3DA61C4D" w14:textId="77777777" w:rsidR="00DF242D" w:rsidRPr="00544891" w:rsidRDefault="00DF242D" w:rsidP="00600C0C">
            <w:pPr>
              <w:tabs>
                <w:tab w:val="left" w:pos="1440"/>
              </w:tabs>
              <w:spacing w:line="240" w:lineRule="auto"/>
              <w:contextualSpacing/>
            </w:pPr>
          </w:p>
        </w:tc>
      </w:tr>
      <w:tr w:rsidR="00DF242D" w:rsidRPr="00544891" w14:paraId="44D29D73" w14:textId="77777777" w:rsidTr="003E2190">
        <w:tc>
          <w:tcPr>
            <w:tcW w:w="1843" w:type="dxa"/>
          </w:tcPr>
          <w:p w14:paraId="7FF74E8D" w14:textId="77777777" w:rsidR="00DF242D" w:rsidRPr="00544891" w:rsidRDefault="00DF242D" w:rsidP="00600C0C">
            <w:pPr>
              <w:tabs>
                <w:tab w:val="left" w:pos="1440"/>
              </w:tabs>
              <w:spacing w:line="240" w:lineRule="auto"/>
              <w:contextualSpacing/>
            </w:pPr>
          </w:p>
        </w:tc>
        <w:tc>
          <w:tcPr>
            <w:tcW w:w="6461" w:type="dxa"/>
          </w:tcPr>
          <w:p w14:paraId="4D8D67C4" w14:textId="77777777" w:rsidR="00DF242D" w:rsidRPr="00544891" w:rsidRDefault="00DF242D" w:rsidP="00600C0C">
            <w:pPr>
              <w:tabs>
                <w:tab w:val="left" w:pos="1440"/>
              </w:tabs>
              <w:spacing w:line="240" w:lineRule="auto"/>
              <w:contextualSpacing/>
            </w:pPr>
          </w:p>
        </w:tc>
      </w:tr>
      <w:tr w:rsidR="00DF242D" w:rsidRPr="00544891" w14:paraId="554875F8" w14:textId="77777777" w:rsidTr="003E2190">
        <w:tc>
          <w:tcPr>
            <w:tcW w:w="1843" w:type="dxa"/>
          </w:tcPr>
          <w:p w14:paraId="5EEF170C" w14:textId="77777777" w:rsidR="00DF242D" w:rsidRPr="00544891" w:rsidRDefault="00DF242D" w:rsidP="00600C0C">
            <w:pPr>
              <w:tabs>
                <w:tab w:val="left" w:pos="1440"/>
              </w:tabs>
              <w:spacing w:line="240" w:lineRule="auto"/>
              <w:contextualSpacing/>
            </w:pPr>
          </w:p>
        </w:tc>
        <w:tc>
          <w:tcPr>
            <w:tcW w:w="6461" w:type="dxa"/>
          </w:tcPr>
          <w:p w14:paraId="15541223" w14:textId="77777777" w:rsidR="00DF242D" w:rsidRPr="00544891" w:rsidRDefault="00DF242D" w:rsidP="00600C0C">
            <w:pPr>
              <w:tabs>
                <w:tab w:val="left" w:pos="1440"/>
              </w:tabs>
              <w:spacing w:line="240" w:lineRule="auto"/>
              <w:contextualSpacing/>
            </w:pPr>
          </w:p>
        </w:tc>
      </w:tr>
      <w:tr w:rsidR="00DF242D" w:rsidRPr="00544891" w14:paraId="3842EFBA" w14:textId="77777777" w:rsidTr="003E2190">
        <w:tc>
          <w:tcPr>
            <w:tcW w:w="1843" w:type="dxa"/>
          </w:tcPr>
          <w:p w14:paraId="57E2A035" w14:textId="77777777" w:rsidR="00DF242D" w:rsidRPr="00544891" w:rsidRDefault="00DF242D" w:rsidP="00600C0C">
            <w:pPr>
              <w:tabs>
                <w:tab w:val="left" w:pos="1440"/>
              </w:tabs>
              <w:spacing w:line="240" w:lineRule="auto"/>
              <w:contextualSpacing/>
            </w:pPr>
          </w:p>
        </w:tc>
        <w:tc>
          <w:tcPr>
            <w:tcW w:w="6461" w:type="dxa"/>
          </w:tcPr>
          <w:p w14:paraId="2C28E76C" w14:textId="77777777" w:rsidR="00DF242D" w:rsidRPr="00544891" w:rsidRDefault="00DF242D" w:rsidP="00600C0C">
            <w:pPr>
              <w:tabs>
                <w:tab w:val="left" w:pos="1440"/>
              </w:tabs>
              <w:spacing w:line="240" w:lineRule="auto"/>
              <w:contextualSpacing/>
            </w:pPr>
          </w:p>
        </w:tc>
      </w:tr>
      <w:tr w:rsidR="00DF242D" w:rsidRPr="00544891" w14:paraId="0E89AC4A" w14:textId="77777777" w:rsidTr="003E2190">
        <w:tc>
          <w:tcPr>
            <w:tcW w:w="1843" w:type="dxa"/>
          </w:tcPr>
          <w:p w14:paraId="7AF39612" w14:textId="77777777" w:rsidR="00DF242D" w:rsidRPr="00544891" w:rsidRDefault="00DF242D" w:rsidP="00600C0C">
            <w:pPr>
              <w:tabs>
                <w:tab w:val="left" w:pos="1440"/>
              </w:tabs>
              <w:spacing w:line="240" w:lineRule="auto"/>
              <w:contextualSpacing/>
            </w:pPr>
          </w:p>
        </w:tc>
        <w:tc>
          <w:tcPr>
            <w:tcW w:w="6461" w:type="dxa"/>
          </w:tcPr>
          <w:p w14:paraId="6DD13922" w14:textId="77777777" w:rsidR="00DF242D" w:rsidRPr="00544891" w:rsidRDefault="00DF242D" w:rsidP="00600C0C">
            <w:pPr>
              <w:tabs>
                <w:tab w:val="left" w:pos="1440"/>
              </w:tabs>
              <w:spacing w:line="240" w:lineRule="auto"/>
              <w:contextualSpacing/>
            </w:pPr>
          </w:p>
        </w:tc>
      </w:tr>
      <w:tr w:rsidR="00DF242D" w:rsidRPr="00544891" w14:paraId="116A7F3D" w14:textId="77777777" w:rsidTr="003E2190">
        <w:tc>
          <w:tcPr>
            <w:tcW w:w="1843" w:type="dxa"/>
          </w:tcPr>
          <w:p w14:paraId="52A34BC1" w14:textId="77777777" w:rsidR="00DF242D" w:rsidRPr="00544891" w:rsidRDefault="00DF242D" w:rsidP="00600C0C">
            <w:pPr>
              <w:tabs>
                <w:tab w:val="left" w:pos="1440"/>
              </w:tabs>
              <w:spacing w:line="240" w:lineRule="auto"/>
              <w:contextualSpacing/>
            </w:pPr>
          </w:p>
        </w:tc>
        <w:tc>
          <w:tcPr>
            <w:tcW w:w="6461" w:type="dxa"/>
          </w:tcPr>
          <w:p w14:paraId="5D9DFFC8" w14:textId="77777777" w:rsidR="00DF242D" w:rsidRPr="00544891" w:rsidRDefault="00DF242D" w:rsidP="00600C0C">
            <w:pPr>
              <w:tabs>
                <w:tab w:val="left" w:pos="1440"/>
              </w:tabs>
              <w:spacing w:line="240" w:lineRule="auto"/>
              <w:contextualSpacing/>
            </w:pPr>
          </w:p>
        </w:tc>
      </w:tr>
      <w:tr w:rsidR="00DF242D" w:rsidRPr="00544891" w14:paraId="517A7971" w14:textId="77777777" w:rsidTr="003E2190">
        <w:tc>
          <w:tcPr>
            <w:tcW w:w="1843" w:type="dxa"/>
          </w:tcPr>
          <w:p w14:paraId="3DA009FF" w14:textId="77777777" w:rsidR="00DF242D" w:rsidRPr="00544891" w:rsidRDefault="00DF242D" w:rsidP="00600C0C">
            <w:pPr>
              <w:tabs>
                <w:tab w:val="left" w:pos="1440"/>
              </w:tabs>
              <w:spacing w:line="240" w:lineRule="auto"/>
              <w:contextualSpacing/>
            </w:pPr>
          </w:p>
        </w:tc>
        <w:tc>
          <w:tcPr>
            <w:tcW w:w="6461" w:type="dxa"/>
          </w:tcPr>
          <w:p w14:paraId="3FAC5660" w14:textId="77777777" w:rsidR="00DF242D" w:rsidRPr="00544891" w:rsidRDefault="00DF242D" w:rsidP="00600C0C">
            <w:pPr>
              <w:tabs>
                <w:tab w:val="left" w:pos="1440"/>
              </w:tabs>
              <w:spacing w:line="240" w:lineRule="auto"/>
              <w:contextualSpacing/>
            </w:pPr>
          </w:p>
        </w:tc>
      </w:tr>
      <w:tr w:rsidR="00DF242D" w:rsidRPr="00544891" w14:paraId="1E3445BB" w14:textId="77777777" w:rsidTr="003E2190">
        <w:tc>
          <w:tcPr>
            <w:tcW w:w="1843" w:type="dxa"/>
          </w:tcPr>
          <w:p w14:paraId="6291B259" w14:textId="77777777" w:rsidR="00DF242D" w:rsidRPr="00544891" w:rsidRDefault="00DF242D" w:rsidP="00600C0C">
            <w:pPr>
              <w:tabs>
                <w:tab w:val="left" w:pos="1440"/>
              </w:tabs>
              <w:spacing w:line="240" w:lineRule="auto"/>
              <w:contextualSpacing/>
            </w:pPr>
          </w:p>
        </w:tc>
        <w:tc>
          <w:tcPr>
            <w:tcW w:w="6461" w:type="dxa"/>
          </w:tcPr>
          <w:p w14:paraId="0A73F96B" w14:textId="77777777" w:rsidR="00DF242D" w:rsidRPr="00544891" w:rsidRDefault="00DF242D" w:rsidP="00600C0C">
            <w:pPr>
              <w:tabs>
                <w:tab w:val="left" w:pos="1440"/>
              </w:tabs>
              <w:spacing w:line="240" w:lineRule="auto"/>
              <w:contextualSpacing/>
            </w:pPr>
          </w:p>
        </w:tc>
      </w:tr>
      <w:tr w:rsidR="00DF242D" w:rsidRPr="00544891" w14:paraId="0D2FF17F" w14:textId="77777777" w:rsidTr="003E2190">
        <w:tc>
          <w:tcPr>
            <w:tcW w:w="1843" w:type="dxa"/>
          </w:tcPr>
          <w:p w14:paraId="5663D1D4" w14:textId="77777777" w:rsidR="00DF242D" w:rsidRPr="00544891" w:rsidRDefault="00DF242D" w:rsidP="00600C0C">
            <w:pPr>
              <w:tabs>
                <w:tab w:val="left" w:pos="1440"/>
              </w:tabs>
              <w:spacing w:line="240" w:lineRule="auto"/>
              <w:contextualSpacing/>
            </w:pPr>
          </w:p>
        </w:tc>
        <w:tc>
          <w:tcPr>
            <w:tcW w:w="6461" w:type="dxa"/>
          </w:tcPr>
          <w:p w14:paraId="4E758303" w14:textId="77777777" w:rsidR="00DF242D" w:rsidRPr="00544891" w:rsidRDefault="00DF242D" w:rsidP="00600C0C">
            <w:pPr>
              <w:tabs>
                <w:tab w:val="left" w:pos="1440"/>
              </w:tabs>
              <w:spacing w:line="240" w:lineRule="auto"/>
              <w:contextualSpacing/>
            </w:pPr>
          </w:p>
        </w:tc>
      </w:tr>
      <w:tr w:rsidR="00DF242D" w:rsidRPr="00544891" w14:paraId="5C4D53F3" w14:textId="77777777" w:rsidTr="003E2190">
        <w:tc>
          <w:tcPr>
            <w:tcW w:w="1843" w:type="dxa"/>
          </w:tcPr>
          <w:p w14:paraId="03503BBB" w14:textId="77777777" w:rsidR="00DF242D" w:rsidRPr="00544891" w:rsidRDefault="00DF242D" w:rsidP="00600C0C">
            <w:pPr>
              <w:tabs>
                <w:tab w:val="left" w:pos="1440"/>
              </w:tabs>
              <w:spacing w:line="240" w:lineRule="auto"/>
              <w:contextualSpacing/>
            </w:pPr>
          </w:p>
        </w:tc>
        <w:tc>
          <w:tcPr>
            <w:tcW w:w="6461" w:type="dxa"/>
          </w:tcPr>
          <w:p w14:paraId="381016F4" w14:textId="77777777" w:rsidR="00DF242D" w:rsidRPr="00544891" w:rsidRDefault="00DF242D" w:rsidP="00600C0C">
            <w:pPr>
              <w:tabs>
                <w:tab w:val="left" w:pos="1440"/>
              </w:tabs>
              <w:spacing w:line="240" w:lineRule="auto"/>
              <w:contextualSpacing/>
            </w:pPr>
          </w:p>
        </w:tc>
      </w:tr>
      <w:tr w:rsidR="00DF242D" w:rsidRPr="00544891" w14:paraId="357482E1" w14:textId="77777777" w:rsidTr="003E2190">
        <w:tc>
          <w:tcPr>
            <w:tcW w:w="1843" w:type="dxa"/>
          </w:tcPr>
          <w:p w14:paraId="1D9A82CC" w14:textId="77777777" w:rsidR="00DF242D" w:rsidRPr="00544891" w:rsidRDefault="00DF242D" w:rsidP="00600C0C">
            <w:pPr>
              <w:tabs>
                <w:tab w:val="left" w:pos="1440"/>
              </w:tabs>
              <w:spacing w:line="240" w:lineRule="auto"/>
              <w:contextualSpacing/>
            </w:pPr>
          </w:p>
        </w:tc>
        <w:tc>
          <w:tcPr>
            <w:tcW w:w="6461" w:type="dxa"/>
          </w:tcPr>
          <w:p w14:paraId="4B9886B4" w14:textId="77777777" w:rsidR="00DF242D" w:rsidRPr="00544891" w:rsidRDefault="00DF242D" w:rsidP="00600C0C">
            <w:pPr>
              <w:tabs>
                <w:tab w:val="left" w:pos="1440"/>
              </w:tabs>
              <w:spacing w:line="240" w:lineRule="auto"/>
              <w:contextualSpacing/>
            </w:pPr>
          </w:p>
        </w:tc>
      </w:tr>
      <w:tr w:rsidR="00DF242D" w:rsidRPr="00544891" w14:paraId="7699BE36" w14:textId="77777777" w:rsidTr="003E2190">
        <w:tc>
          <w:tcPr>
            <w:tcW w:w="1843" w:type="dxa"/>
          </w:tcPr>
          <w:p w14:paraId="51CDC342" w14:textId="77777777" w:rsidR="00DF242D" w:rsidRPr="00544891" w:rsidRDefault="00DF242D" w:rsidP="00600C0C">
            <w:pPr>
              <w:tabs>
                <w:tab w:val="left" w:pos="1440"/>
              </w:tabs>
              <w:spacing w:line="240" w:lineRule="auto"/>
              <w:contextualSpacing/>
            </w:pPr>
          </w:p>
        </w:tc>
        <w:tc>
          <w:tcPr>
            <w:tcW w:w="6461" w:type="dxa"/>
          </w:tcPr>
          <w:p w14:paraId="5DC8ACCB" w14:textId="77777777" w:rsidR="00DF242D" w:rsidRPr="00544891" w:rsidRDefault="00DF242D" w:rsidP="00600C0C">
            <w:pPr>
              <w:tabs>
                <w:tab w:val="left" w:pos="1440"/>
              </w:tabs>
              <w:spacing w:line="240" w:lineRule="auto"/>
              <w:contextualSpacing/>
            </w:pPr>
          </w:p>
        </w:tc>
      </w:tr>
      <w:tr w:rsidR="00DF242D" w:rsidRPr="00544891" w14:paraId="48A5FA47" w14:textId="77777777" w:rsidTr="003E2190">
        <w:tc>
          <w:tcPr>
            <w:tcW w:w="1843" w:type="dxa"/>
          </w:tcPr>
          <w:p w14:paraId="03230EFD" w14:textId="77777777" w:rsidR="00DF242D" w:rsidRPr="00544891" w:rsidRDefault="00DF242D" w:rsidP="00600C0C">
            <w:pPr>
              <w:tabs>
                <w:tab w:val="left" w:pos="1440"/>
              </w:tabs>
              <w:spacing w:line="240" w:lineRule="auto"/>
              <w:contextualSpacing/>
            </w:pPr>
          </w:p>
        </w:tc>
        <w:tc>
          <w:tcPr>
            <w:tcW w:w="6461" w:type="dxa"/>
          </w:tcPr>
          <w:p w14:paraId="7302ACA4" w14:textId="77777777" w:rsidR="00DF242D" w:rsidRPr="00544891" w:rsidRDefault="00DF242D" w:rsidP="00600C0C">
            <w:pPr>
              <w:tabs>
                <w:tab w:val="left" w:pos="1440"/>
              </w:tabs>
              <w:spacing w:line="240" w:lineRule="auto"/>
              <w:contextualSpacing/>
            </w:pPr>
          </w:p>
        </w:tc>
      </w:tr>
      <w:tr w:rsidR="00DF242D" w:rsidRPr="00544891" w14:paraId="59C146A3" w14:textId="77777777" w:rsidTr="003E2190">
        <w:tc>
          <w:tcPr>
            <w:tcW w:w="1843" w:type="dxa"/>
          </w:tcPr>
          <w:p w14:paraId="227F5986" w14:textId="77777777" w:rsidR="00DF242D" w:rsidRPr="00544891" w:rsidRDefault="00DF242D" w:rsidP="00600C0C">
            <w:pPr>
              <w:tabs>
                <w:tab w:val="left" w:pos="1440"/>
              </w:tabs>
              <w:spacing w:line="240" w:lineRule="auto"/>
              <w:contextualSpacing/>
            </w:pPr>
          </w:p>
        </w:tc>
        <w:tc>
          <w:tcPr>
            <w:tcW w:w="6461" w:type="dxa"/>
          </w:tcPr>
          <w:p w14:paraId="0A9A3A75" w14:textId="77777777" w:rsidR="00DF242D" w:rsidRPr="00544891" w:rsidRDefault="00DF242D" w:rsidP="00600C0C">
            <w:pPr>
              <w:tabs>
                <w:tab w:val="left" w:pos="1440"/>
              </w:tabs>
              <w:spacing w:line="240" w:lineRule="auto"/>
              <w:contextualSpacing/>
            </w:pPr>
          </w:p>
        </w:tc>
      </w:tr>
      <w:tr w:rsidR="00DF242D" w:rsidRPr="00544891" w14:paraId="628A25A1" w14:textId="77777777" w:rsidTr="003E2190">
        <w:tc>
          <w:tcPr>
            <w:tcW w:w="1843" w:type="dxa"/>
          </w:tcPr>
          <w:p w14:paraId="66BFB487" w14:textId="77777777" w:rsidR="00DF242D" w:rsidRPr="00544891" w:rsidRDefault="00DF242D" w:rsidP="00600C0C">
            <w:pPr>
              <w:tabs>
                <w:tab w:val="left" w:pos="1440"/>
              </w:tabs>
              <w:spacing w:line="240" w:lineRule="auto"/>
              <w:contextualSpacing/>
            </w:pPr>
          </w:p>
        </w:tc>
        <w:tc>
          <w:tcPr>
            <w:tcW w:w="6461" w:type="dxa"/>
          </w:tcPr>
          <w:p w14:paraId="637D8CA9" w14:textId="77777777" w:rsidR="00DF242D" w:rsidRPr="00544891" w:rsidRDefault="00DF242D" w:rsidP="00600C0C">
            <w:pPr>
              <w:tabs>
                <w:tab w:val="left" w:pos="1440"/>
              </w:tabs>
              <w:spacing w:line="240" w:lineRule="auto"/>
              <w:contextualSpacing/>
            </w:pPr>
          </w:p>
        </w:tc>
      </w:tr>
      <w:tr w:rsidR="00DF242D" w:rsidRPr="00544891" w14:paraId="6885069E" w14:textId="77777777" w:rsidTr="003E2190">
        <w:tc>
          <w:tcPr>
            <w:tcW w:w="1843" w:type="dxa"/>
          </w:tcPr>
          <w:p w14:paraId="68D28374" w14:textId="77777777" w:rsidR="00DF242D" w:rsidRPr="00544891" w:rsidRDefault="00DF242D" w:rsidP="00600C0C">
            <w:pPr>
              <w:tabs>
                <w:tab w:val="left" w:pos="1440"/>
              </w:tabs>
              <w:spacing w:line="240" w:lineRule="auto"/>
              <w:contextualSpacing/>
            </w:pPr>
          </w:p>
        </w:tc>
        <w:tc>
          <w:tcPr>
            <w:tcW w:w="6461" w:type="dxa"/>
          </w:tcPr>
          <w:p w14:paraId="6F09DD8B" w14:textId="77777777" w:rsidR="00DF242D" w:rsidRPr="00544891" w:rsidRDefault="00DF242D" w:rsidP="00600C0C">
            <w:pPr>
              <w:tabs>
                <w:tab w:val="left" w:pos="1440"/>
              </w:tabs>
              <w:spacing w:line="240" w:lineRule="auto"/>
              <w:contextualSpacing/>
            </w:pPr>
          </w:p>
        </w:tc>
      </w:tr>
      <w:tr w:rsidR="00DF242D" w:rsidRPr="00544891" w14:paraId="34F99389" w14:textId="77777777" w:rsidTr="003E2190">
        <w:tc>
          <w:tcPr>
            <w:tcW w:w="1843" w:type="dxa"/>
          </w:tcPr>
          <w:p w14:paraId="525BD59B" w14:textId="77777777" w:rsidR="00DF242D" w:rsidRPr="00544891" w:rsidRDefault="00DF242D" w:rsidP="00600C0C">
            <w:pPr>
              <w:tabs>
                <w:tab w:val="left" w:pos="1440"/>
              </w:tabs>
              <w:spacing w:line="240" w:lineRule="auto"/>
              <w:contextualSpacing/>
            </w:pPr>
          </w:p>
        </w:tc>
        <w:tc>
          <w:tcPr>
            <w:tcW w:w="6461" w:type="dxa"/>
          </w:tcPr>
          <w:p w14:paraId="281E7EF7" w14:textId="77777777" w:rsidR="00DF242D" w:rsidRPr="00544891" w:rsidRDefault="00DF242D" w:rsidP="00600C0C">
            <w:pPr>
              <w:tabs>
                <w:tab w:val="left" w:pos="1440"/>
              </w:tabs>
              <w:spacing w:line="240" w:lineRule="auto"/>
              <w:contextualSpacing/>
            </w:pPr>
          </w:p>
        </w:tc>
      </w:tr>
      <w:tr w:rsidR="00DF242D" w:rsidRPr="00544891" w14:paraId="4E62720F" w14:textId="77777777" w:rsidTr="003E2190">
        <w:tc>
          <w:tcPr>
            <w:tcW w:w="1843" w:type="dxa"/>
          </w:tcPr>
          <w:p w14:paraId="659DC562" w14:textId="77777777" w:rsidR="00DF242D" w:rsidRPr="00544891" w:rsidRDefault="00DF242D" w:rsidP="00600C0C">
            <w:pPr>
              <w:tabs>
                <w:tab w:val="left" w:pos="1440"/>
              </w:tabs>
              <w:spacing w:line="240" w:lineRule="auto"/>
              <w:contextualSpacing/>
            </w:pPr>
          </w:p>
        </w:tc>
        <w:tc>
          <w:tcPr>
            <w:tcW w:w="6461" w:type="dxa"/>
          </w:tcPr>
          <w:p w14:paraId="70AA3FE7" w14:textId="77777777" w:rsidR="00DF242D" w:rsidRPr="00544891" w:rsidRDefault="00DF242D" w:rsidP="00600C0C">
            <w:pPr>
              <w:tabs>
                <w:tab w:val="left" w:pos="1440"/>
              </w:tabs>
              <w:spacing w:line="240" w:lineRule="auto"/>
              <w:contextualSpacing/>
            </w:pPr>
          </w:p>
        </w:tc>
      </w:tr>
      <w:tr w:rsidR="00DF242D" w:rsidRPr="00544891" w14:paraId="7928D43A" w14:textId="77777777" w:rsidTr="003E2190">
        <w:tc>
          <w:tcPr>
            <w:tcW w:w="1843" w:type="dxa"/>
          </w:tcPr>
          <w:p w14:paraId="31BE8E14" w14:textId="77777777" w:rsidR="00DF242D" w:rsidRPr="00544891" w:rsidRDefault="00DF242D" w:rsidP="00600C0C">
            <w:pPr>
              <w:tabs>
                <w:tab w:val="left" w:pos="1440"/>
              </w:tabs>
              <w:spacing w:line="240" w:lineRule="auto"/>
              <w:contextualSpacing/>
            </w:pPr>
          </w:p>
        </w:tc>
        <w:tc>
          <w:tcPr>
            <w:tcW w:w="6461" w:type="dxa"/>
          </w:tcPr>
          <w:p w14:paraId="765D6CEE" w14:textId="77777777" w:rsidR="00DF242D" w:rsidRPr="00544891" w:rsidRDefault="00DF242D" w:rsidP="00600C0C">
            <w:pPr>
              <w:tabs>
                <w:tab w:val="left" w:pos="1440"/>
              </w:tabs>
              <w:spacing w:line="240" w:lineRule="auto"/>
              <w:contextualSpacing/>
            </w:pPr>
          </w:p>
        </w:tc>
      </w:tr>
      <w:tr w:rsidR="00DF242D" w:rsidRPr="00544891" w14:paraId="0140C4CE" w14:textId="77777777" w:rsidTr="003E2190">
        <w:tc>
          <w:tcPr>
            <w:tcW w:w="1843" w:type="dxa"/>
          </w:tcPr>
          <w:p w14:paraId="2E62B952" w14:textId="77777777" w:rsidR="00DF242D" w:rsidRPr="00544891" w:rsidRDefault="00DF242D" w:rsidP="00600C0C">
            <w:pPr>
              <w:tabs>
                <w:tab w:val="left" w:pos="1440"/>
              </w:tabs>
              <w:spacing w:line="240" w:lineRule="auto"/>
              <w:contextualSpacing/>
            </w:pPr>
          </w:p>
        </w:tc>
        <w:tc>
          <w:tcPr>
            <w:tcW w:w="6461" w:type="dxa"/>
          </w:tcPr>
          <w:p w14:paraId="1C6C4932" w14:textId="77777777" w:rsidR="00DF242D" w:rsidRPr="00544891" w:rsidRDefault="00DF242D" w:rsidP="00600C0C">
            <w:pPr>
              <w:tabs>
                <w:tab w:val="left" w:pos="1440"/>
              </w:tabs>
              <w:spacing w:line="240" w:lineRule="auto"/>
              <w:contextualSpacing/>
            </w:pPr>
          </w:p>
        </w:tc>
      </w:tr>
      <w:tr w:rsidR="00DF242D" w:rsidRPr="00544891" w14:paraId="13A42EA1" w14:textId="77777777" w:rsidTr="003E2190">
        <w:tc>
          <w:tcPr>
            <w:tcW w:w="1843" w:type="dxa"/>
          </w:tcPr>
          <w:p w14:paraId="2CCACACF" w14:textId="77777777" w:rsidR="00DF242D" w:rsidRPr="00544891" w:rsidRDefault="00DF242D" w:rsidP="00600C0C">
            <w:pPr>
              <w:tabs>
                <w:tab w:val="left" w:pos="1440"/>
              </w:tabs>
              <w:spacing w:line="240" w:lineRule="auto"/>
              <w:contextualSpacing/>
            </w:pPr>
          </w:p>
        </w:tc>
        <w:tc>
          <w:tcPr>
            <w:tcW w:w="6461" w:type="dxa"/>
          </w:tcPr>
          <w:p w14:paraId="7AD334F9" w14:textId="77777777" w:rsidR="00DF242D" w:rsidRPr="00544891" w:rsidRDefault="00DF242D" w:rsidP="00600C0C">
            <w:pPr>
              <w:tabs>
                <w:tab w:val="left" w:pos="1440"/>
              </w:tabs>
              <w:spacing w:line="240" w:lineRule="auto"/>
              <w:contextualSpacing/>
            </w:pPr>
          </w:p>
        </w:tc>
      </w:tr>
    </w:tbl>
    <w:p w14:paraId="14BAA3E0" w14:textId="4329A6F9" w:rsidR="00F7687C" w:rsidRDefault="00F7687C" w:rsidP="00F7687C">
      <w:pPr>
        <w:tabs>
          <w:tab w:val="left" w:pos="1440"/>
        </w:tabs>
        <w:spacing w:line="240" w:lineRule="auto"/>
        <w:contextualSpacing/>
      </w:pPr>
    </w:p>
    <w:sectPr w:rsidR="00F7687C" w:rsidSect="000B2BCD">
      <w:headerReference w:type="default" r:id="rId21"/>
      <w:footerReference w:type="default" r:id="rId2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AC72D" w14:textId="77777777" w:rsidR="00A37EF0" w:rsidRDefault="00A37EF0" w:rsidP="007D199A">
      <w:pPr>
        <w:spacing w:after="0"/>
      </w:pPr>
      <w:r>
        <w:separator/>
      </w:r>
    </w:p>
    <w:p w14:paraId="0627E909" w14:textId="77777777" w:rsidR="00A37EF0" w:rsidRDefault="00A37EF0"/>
    <w:p w14:paraId="4423B006" w14:textId="77777777" w:rsidR="00A37EF0" w:rsidRDefault="00A37EF0"/>
  </w:endnote>
  <w:endnote w:type="continuationSeparator" w:id="0">
    <w:p w14:paraId="20429B5B" w14:textId="77777777" w:rsidR="00A37EF0" w:rsidRDefault="00A37EF0" w:rsidP="007D199A">
      <w:pPr>
        <w:spacing w:after="0"/>
      </w:pPr>
      <w:r>
        <w:continuationSeparator/>
      </w:r>
    </w:p>
    <w:p w14:paraId="364EB7AB" w14:textId="77777777" w:rsidR="00A37EF0" w:rsidRDefault="00A37EF0"/>
    <w:p w14:paraId="04E8EB26" w14:textId="77777777" w:rsidR="00A37EF0" w:rsidRDefault="00A37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0BE35" w14:textId="77777777" w:rsidR="00A37EF0" w:rsidRPr="005E0344" w:rsidRDefault="00A37EF0" w:rsidP="005E0344">
      <w:pPr>
        <w:spacing w:after="120"/>
        <w:rPr>
          <w:color w:val="000000" w:themeColor="text2"/>
        </w:rPr>
      </w:pPr>
      <w:r w:rsidRPr="005E0344">
        <w:rPr>
          <w:color w:val="000000" w:themeColor="text2"/>
        </w:rPr>
        <w:separator/>
      </w:r>
    </w:p>
    <w:p w14:paraId="1D4DAE07" w14:textId="77777777" w:rsidR="00A37EF0" w:rsidRDefault="00A37EF0"/>
  </w:footnote>
  <w:footnote w:type="continuationSeparator" w:id="0">
    <w:p w14:paraId="2B7ADBE4" w14:textId="77777777" w:rsidR="00A37EF0" w:rsidRPr="005E0344" w:rsidRDefault="00A37EF0" w:rsidP="0090581D">
      <w:pPr>
        <w:spacing w:after="120"/>
        <w:rPr>
          <w:color w:val="000000" w:themeColor="text2"/>
        </w:rPr>
      </w:pPr>
      <w:r w:rsidRPr="005E0344">
        <w:rPr>
          <w:color w:val="000000" w:themeColor="text2"/>
        </w:rPr>
        <w:continuationSeparator/>
      </w:r>
    </w:p>
    <w:p w14:paraId="2352722D" w14:textId="77777777" w:rsidR="00A37EF0" w:rsidRDefault="00A37EF0"/>
    <w:p w14:paraId="2CF2F29A" w14:textId="77777777" w:rsidR="00A37EF0" w:rsidRDefault="00A37EF0"/>
  </w:footnote>
  <w:footnote w:type="continuationNotice" w:id="1">
    <w:p w14:paraId="01D8AB4F" w14:textId="77777777" w:rsidR="00A37EF0" w:rsidRDefault="00A37EF0">
      <w:pPr>
        <w:spacing w:after="0"/>
      </w:pPr>
    </w:p>
    <w:p w14:paraId="70309C6F" w14:textId="77777777" w:rsidR="00A37EF0" w:rsidRDefault="00A37EF0"/>
    <w:p w14:paraId="13EE4B03" w14:textId="77777777" w:rsidR="00A37EF0" w:rsidRDefault="00A37E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0E4658E"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E12844">
          <w:rPr>
            <w:sz w:val="20"/>
            <w:szCs w:val="24"/>
          </w:rPr>
          <w:t>Preparation for and Response to Cyber Security Incidents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C27FE4">
          <w:rPr>
            <w:sz w:val="20"/>
            <w:szCs w:val="24"/>
          </w:rPr>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FB9680F"/>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 w15:restartNumberingAfterBreak="0">
    <w:nsid w:val="11080FB7"/>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3" w15:restartNumberingAfterBreak="0">
    <w:nsid w:val="1507581F"/>
    <w:multiLevelType w:val="hybridMultilevel"/>
    <w:tmpl w:val="C7B2AC40"/>
    <w:lvl w:ilvl="0" w:tplc="877C176E">
      <w:start w:val="1"/>
      <w:numFmt w:val="decimal"/>
      <w:lvlText w:val="%1."/>
      <w:lvlJc w:val="left"/>
      <w:pPr>
        <w:ind w:left="360" w:hanging="360"/>
      </w:pPr>
      <w:rPr>
        <w:rFonts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2C5CF5"/>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5" w15:restartNumberingAfterBreak="0">
    <w:nsid w:val="27D8340F"/>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6" w15:restartNumberingAfterBreak="0">
    <w:nsid w:val="2D9725C9"/>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7" w15:restartNumberingAfterBreak="0">
    <w:nsid w:val="2EFA69B4"/>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8" w15:restartNumberingAfterBreak="0">
    <w:nsid w:val="39A65868"/>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9" w15:restartNumberingAfterBreak="0">
    <w:nsid w:val="3B2B2C0A"/>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0" w15:restartNumberingAfterBreak="0">
    <w:nsid w:val="3BBF4004"/>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1" w15:restartNumberingAfterBreak="0">
    <w:nsid w:val="403860B3"/>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2" w15:restartNumberingAfterBreak="0">
    <w:nsid w:val="44AF3306"/>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3" w15:restartNumberingAfterBreak="0">
    <w:nsid w:val="492F446A"/>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4" w15:restartNumberingAfterBreak="0">
    <w:nsid w:val="4E0A21C5"/>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5" w15:restartNumberingAfterBreak="0">
    <w:nsid w:val="4E722E2E"/>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6" w15:restartNumberingAfterBreak="0">
    <w:nsid w:val="522B00DA"/>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7"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AD243B"/>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9" w15:restartNumberingAfterBreak="0">
    <w:nsid w:val="5E250AD3"/>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0" w15:restartNumberingAfterBreak="0">
    <w:nsid w:val="69541676"/>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1" w15:restartNumberingAfterBreak="0">
    <w:nsid w:val="6CDC7BD1"/>
    <w:multiLevelType w:val="multilevel"/>
    <w:tmpl w:val="3B80F1F8"/>
    <w:lvl w:ilvl="0">
      <w:start w:val="1"/>
      <w:numFmt w:val="lowerRoman"/>
      <w:lvlText w:val="%1)"/>
      <w:lvlJc w:val="left"/>
      <w:pPr>
        <w:ind w:left="1211" w:hanging="360"/>
      </w:pPr>
      <w:rPr>
        <w:rFonts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2" w15:restartNumberingAfterBreak="0">
    <w:nsid w:val="70ED7C2D"/>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3" w15:restartNumberingAfterBreak="0">
    <w:nsid w:val="717B41CA"/>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4" w15:restartNumberingAfterBreak="0">
    <w:nsid w:val="745E0E69"/>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5" w15:restartNumberingAfterBreak="0">
    <w:nsid w:val="75D11FD4"/>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2E0604CA"/>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B2D3B73"/>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9" w15:restartNumberingAfterBreak="0">
    <w:nsid w:val="7CF5115A"/>
    <w:multiLevelType w:val="multilevel"/>
    <w:tmpl w:val="4964F53C"/>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3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6"/>
  </w:num>
  <w:num w:numId="2" w16cid:durableId="399718409">
    <w:abstractNumId w:val="27"/>
  </w:num>
  <w:num w:numId="3" w16cid:durableId="999388671">
    <w:abstractNumId w:val="17"/>
  </w:num>
  <w:num w:numId="4" w16cid:durableId="20966315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30"/>
  </w:num>
  <w:num w:numId="6" w16cid:durableId="391512796">
    <w:abstractNumId w:val="0"/>
  </w:num>
  <w:num w:numId="7" w16cid:durableId="1215462495">
    <w:abstractNumId w:val="21"/>
  </w:num>
  <w:num w:numId="8" w16cid:durableId="1739400668">
    <w:abstractNumId w:val="20"/>
  </w:num>
  <w:num w:numId="9" w16cid:durableId="1808743308">
    <w:abstractNumId w:val="7"/>
  </w:num>
  <w:num w:numId="10" w16cid:durableId="579948216">
    <w:abstractNumId w:val="6"/>
  </w:num>
  <w:num w:numId="11" w16cid:durableId="1426417870">
    <w:abstractNumId w:val="24"/>
  </w:num>
  <w:num w:numId="12" w16cid:durableId="1809466847">
    <w:abstractNumId w:val="8"/>
  </w:num>
  <w:num w:numId="13" w16cid:durableId="2096508642">
    <w:abstractNumId w:val="15"/>
  </w:num>
  <w:num w:numId="14" w16cid:durableId="826551083">
    <w:abstractNumId w:val="19"/>
  </w:num>
  <w:num w:numId="15" w16cid:durableId="323825945">
    <w:abstractNumId w:val="13"/>
  </w:num>
  <w:num w:numId="16" w16cid:durableId="1933586905">
    <w:abstractNumId w:val="2"/>
  </w:num>
  <w:num w:numId="17" w16cid:durableId="630551789">
    <w:abstractNumId w:val="28"/>
  </w:num>
  <w:num w:numId="18" w16cid:durableId="234752774">
    <w:abstractNumId w:val="1"/>
  </w:num>
  <w:num w:numId="19" w16cid:durableId="234972960">
    <w:abstractNumId w:val="29"/>
  </w:num>
  <w:num w:numId="20" w16cid:durableId="503476255">
    <w:abstractNumId w:val="4"/>
  </w:num>
  <w:num w:numId="21" w16cid:durableId="1443299486">
    <w:abstractNumId w:val="18"/>
  </w:num>
  <w:num w:numId="22" w16cid:durableId="1125929160">
    <w:abstractNumId w:val="14"/>
  </w:num>
  <w:num w:numId="23" w16cid:durableId="302081612">
    <w:abstractNumId w:val="11"/>
  </w:num>
  <w:num w:numId="24" w16cid:durableId="1699698953">
    <w:abstractNumId w:val="22"/>
  </w:num>
  <w:num w:numId="25" w16cid:durableId="762263823">
    <w:abstractNumId w:val="5"/>
  </w:num>
  <w:num w:numId="26" w16cid:durableId="320084711">
    <w:abstractNumId w:val="10"/>
  </w:num>
  <w:num w:numId="27" w16cid:durableId="222564328">
    <w:abstractNumId w:val="25"/>
  </w:num>
  <w:num w:numId="28" w16cid:durableId="1069839001">
    <w:abstractNumId w:val="9"/>
  </w:num>
  <w:num w:numId="29" w16cid:durableId="232930837">
    <w:abstractNumId w:val="23"/>
  </w:num>
  <w:num w:numId="30" w16cid:durableId="1686832723">
    <w:abstractNumId w:val="16"/>
  </w:num>
  <w:num w:numId="31" w16cid:durableId="347484247">
    <w:abstractNumId w:val="12"/>
  </w:num>
  <w:num w:numId="32" w16cid:durableId="2108622896">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05"/>
    <w:rsid w:val="00001E90"/>
    <w:rsid w:val="00002F03"/>
    <w:rsid w:val="000032C9"/>
    <w:rsid w:val="00004C16"/>
    <w:rsid w:val="00011177"/>
    <w:rsid w:val="00014814"/>
    <w:rsid w:val="00017C47"/>
    <w:rsid w:val="00023386"/>
    <w:rsid w:val="00024522"/>
    <w:rsid w:val="00024B2E"/>
    <w:rsid w:val="000271D9"/>
    <w:rsid w:val="00027F4F"/>
    <w:rsid w:val="00030430"/>
    <w:rsid w:val="0003078E"/>
    <w:rsid w:val="00031B89"/>
    <w:rsid w:val="00032CA1"/>
    <w:rsid w:val="00033019"/>
    <w:rsid w:val="0003693D"/>
    <w:rsid w:val="00037EE2"/>
    <w:rsid w:val="0004440F"/>
    <w:rsid w:val="00046936"/>
    <w:rsid w:val="0004727E"/>
    <w:rsid w:val="00047845"/>
    <w:rsid w:val="00051BCC"/>
    <w:rsid w:val="00052C8A"/>
    <w:rsid w:val="000548C8"/>
    <w:rsid w:val="00055898"/>
    <w:rsid w:val="00075605"/>
    <w:rsid w:val="00075C66"/>
    <w:rsid w:val="00075FCC"/>
    <w:rsid w:val="00081114"/>
    <w:rsid w:val="00082879"/>
    <w:rsid w:val="000832A4"/>
    <w:rsid w:val="000869A3"/>
    <w:rsid w:val="00091EEA"/>
    <w:rsid w:val="000950B3"/>
    <w:rsid w:val="000A02C0"/>
    <w:rsid w:val="000A30F7"/>
    <w:rsid w:val="000A4A7E"/>
    <w:rsid w:val="000A51C3"/>
    <w:rsid w:val="000B2BCD"/>
    <w:rsid w:val="000C2DDC"/>
    <w:rsid w:val="000D24F0"/>
    <w:rsid w:val="000D2FD4"/>
    <w:rsid w:val="000D38AA"/>
    <w:rsid w:val="000E5807"/>
    <w:rsid w:val="000F1B7B"/>
    <w:rsid w:val="000F2ED4"/>
    <w:rsid w:val="000F3932"/>
    <w:rsid w:val="000F76AF"/>
    <w:rsid w:val="001028E8"/>
    <w:rsid w:val="00104342"/>
    <w:rsid w:val="00104472"/>
    <w:rsid w:val="0012100F"/>
    <w:rsid w:val="00122FCC"/>
    <w:rsid w:val="00126752"/>
    <w:rsid w:val="00130B30"/>
    <w:rsid w:val="00131E06"/>
    <w:rsid w:val="001321E2"/>
    <w:rsid w:val="00132CC4"/>
    <w:rsid w:val="00134728"/>
    <w:rsid w:val="00136064"/>
    <w:rsid w:val="001368D0"/>
    <w:rsid w:val="001404FC"/>
    <w:rsid w:val="00140E1C"/>
    <w:rsid w:val="001447A9"/>
    <w:rsid w:val="00147254"/>
    <w:rsid w:val="00147AE4"/>
    <w:rsid w:val="00147E37"/>
    <w:rsid w:val="00151354"/>
    <w:rsid w:val="0015407B"/>
    <w:rsid w:val="00156610"/>
    <w:rsid w:val="001571E5"/>
    <w:rsid w:val="001626B4"/>
    <w:rsid w:val="00166D88"/>
    <w:rsid w:val="00166DE3"/>
    <w:rsid w:val="001716A3"/>
    <w:rsid w:val="00177666"/>
    <w:rsid w:val="001849CA"/>
    <w:rsid w:val="00185410"/>
    <w:rsid w:val="00185A8E"/>
    <w:rsid w:val="00190C69"/>
    <w:rsid w:val="00192352"/>
    <w:rsid w:val="001933B9"/>
    <w:rsid w:val="001A0905"/>
    <w:rsid w:val="001A5E83"/>
    <w:rsid w:val="001A7491"/>
    <w:rsid w:val="001B20E2"/>
    <w:rsid w:val="001C3C15"/>
    <w:rsid w:val="001C4BB5"/>
    <w:rsid w:val="001C4D63"/>
    <w:rsid w:val="001D0DE0"/>
    <w:rsid w:val="001D4787"/>
    <w:rsid w:val="001D5AFF"/>
    <w:rsid w:val="001D69B9"/>
    <w:rsid w:val="001D74B4"/>
    <w:rsid w:val="001E03E1"/>
    <w:rsid w:val="001E48CE"/>
    <w:rsid w:val="001F059F"/>
    <w:rsid w:val="001F0C07"/>
    <w:rsid w:val="001F4C19"/>
    <w:rsid w:val="001F636C"/>
    <w:rsid w:val="001F7A91"/>
    <w:rsid w:val="00200811"/>
    <w:rsid w:val="00200CA1"/>
    <w:rsid w:val="00201B4D"/>
    <w:rsid w:val="0021338D"/>
    <w:rsid w:val="00214D43"/>
    <w:rsid w:val="00215D3E"/>
    <w:rsid w:val="00216ED2"/>
    <w:rsid w:val="00221ED0"/>
    <w:rsid w:val="002225B4"/>
    <w:rsid w:val="002238B4"/>
    <w:rsid w:val="00227252"/>
    <w:rsid w:val="002319AB"/>
    <w:rsid w:val="002319AC"/>
    <w:rsid w:val="00231C16"/>
    <w:rsid w:val="00232DA7"/>
    <w:rsid w:val="00234342"/>
    <w:rsid w:val="0024040D"/>
    <w:rsid w:val="00243636"/>
    <w:rsid w:val="00245756"/>
    <w:rsid w:val="00245916"/>
    <w:rsid w:val="00245A0D"/>
    <w:rsid w:val="00252E61"/>
    <w:rsid w:val="00255FA3"/>
    <w:rsid w:val="00257288"/>
    <w:rsid w:val="00261FB6"/>
    <w:rsid w:val="002629F8"/>
    <w:rsid w:val="00263274"/>
    <w:rsid w:val="00263396"/>
    <w:rsid w:val="002659FA"/>
    <w:rsid w:val="00267815"/>
    <w:rsid w:val="002711D1"/>
    <w:rsid w:val="00280DDF"/>
    <w:rsid w:val="00283FEB"/>
    <w:rsid w:val="00290E1A"/>
    <w:rsid w:val="002917FF"/>
    <w:rsid w:val="00292ADF"/>
    <w:rsid w:val="00292E15"/>
    <w:rsid w:val="00293818"/>
    <w:rsid w:val="0029416E"/>
    <w:rsid w:val="002A0DEC"/>
    <w:rsid w:val="002A6878"/>
    <w:rsid w:val="002B1B3F"/>
    <w:rsid w:val="002B1C53"/>
    <w:rsid w:val="002B449C"/>
    <w:rsid w:val="002B7C71"/>
    <w:rsid w:val="002D2E7D"/>
    <w:rsid w:val="002D5E9B"/>
    <w:rsid w:val="002E0BE4"/>
    <w:rsid w:val="002E0D28"/>
    <w:rsid w:val="002E2016"/>
    <w:rsid w:val="002E3B58"/>
    <w:rsid w:val="002E3E8A"/>
    <w:rsid w:val="002E5F92"/>
    <w:rsid w:val="002E6A6A"/>
    <w:rsid w:val="002F3397"/>
    <w:rsid w:val="002F6829"/>
    <w:rsid w:val="00300044"/>
    <w:rsid w:val="00300113"/>
    <w:rsid w:val="00303359"/>
    <w:rsid w:val="0030380D"/>
    <w:rsid w:val="003040C8"/>
    <w:rsid w:val="00304B7B"/>
    <w:rsid w:val="003118E0"/>
    <w:rsid w:val="00312364"/>
    <w:rsid w:val="00312411"/>
    <w:rsid w:val="00323E71"/>
    <w:rsid w:val="00326E19"/>
    <w:rsid w:val="00330575"/>
    <w:rsid w:val="003311E3"/>
    <w:rsid w:val="00345E4A"/>
    <w:rsid w:val="00346C8E"/>
    <w:rsid w:val="00347CA8"/>
    <w:rsid w:val="003514D0"/>
    <w:rsid w:val="00352A01"/>
    <w:rsid w:val="00357A80"/>
    <w:rsid w:val="003648E6"/>
    <w:rsid w:val="00367BD5"/>
    <w:rsid w:val="003716B2"/>
    <w:rsid w:val="0037176F"/>
    <w:rsid w:val="003744D9"/>
    <w:rsid w:val="0037631B"/>
    <w:rsid w:val="003814B2"/>
    <w:rsid w:val="00381EA6"/>
    <w:rsid w:val="00383D4D"/>
    <w:rsid w:val="0038761F"/>
    <w:rsid w:val="00390327"/>
    <w:rsid w:val="003908B2"/>
    <w:rsid w:val="00393B78"/>
    <w:rsid w:val="003970B0"/>
    <w:rsid w:val="003A01E9"/>
    <w:rsid w:val="003A04BD"/>
    <w:rsid w:val="003A22EA"/>
    <w:rsid w:val="003C0306"/>
    <w:rsid w:val="003C0DD8"/>
    <w:rsid w:val="003C114C"/>
    <w:rsid w:val="003C18C4"/>
    <w:rsid w:val="003C465D"/>
    <w:rsid w:val="003C4CF0"/>
    <w:rsid w:val="003C55DF"/>
    <w:rsid w:val="003C70CC"/>
    <w:rsid w:val="003D495D"/>
    <w:rsid w:val="003D63BB"/>
    <w:rsid w:val="003E0888"/>
    <w:rsid w:val="003E098E"/>
    <w:rsid w:val="003E2190"/>
    <w:rsid w:val="003E2837"/>
    <w:rsid w:val="003E2F1A"/>
    <w:rsid w:val="003E2FAE"/>
    <w:rsid w:val="003E4B3A"/>
    <w:rsid w:val="003F1CF2"/>
    <w:rsid w:val="00404B0C"/>
    <w:rsid w:val="00405E9C"/>
    <w:rsid w:val="00407CF7"/>
    <w:rsid w:val="00410A8B"/>
    <w:rsid w:val="00411A28"/>
    <w:rsid w:val="00411B79"/>
    <w:rsid w:val="004121DB"/>
    <w:rsid w:val="00414AC4"/>
    <w:rsid w:val="00415ED6"/>
    <w:rsid w:val="00417026"/>
    <w:rsid w:val="00417CAF"/>
    <w:rsid w:val="00420A11"/>
    <w:rsid w:val="004212AC"/>
    <w:rsid w:val="00422265"/>
    <w:rsid w:val="0042657E"/>
    <w:rsid w:val="004373A7"/>
    <w:rsid w:val="00437D94"/>
    <w:rsid w:val="0044030C"/>
    <w:rsid w:val="00454477"/>
    <w:rsid w:val="0045769D"/>
    <w:rsid w:val="004638C7"/>
    <w:rsid w:val="004648A4"/>
    <w:rsid w:val="00470C56"/>
    <w:rsid w:val="00471380"/>
    <w:rsid w:val="00483DFB"/>
    <w:rsid w:val="004942E0"/>
    <w:rsid w:val="00494F0D"/>
    <w:rsid w:val="00496BFD"/>
    <w:rsid w:val="00496D0A"/>
    <w:rsid w:val="004A3DF2"/>
    <w:rsid w:val="004B01F7"/>
    <w:rsid w:val="004B4C43"/>
    <w:rsid w:val="004C361D"/>
    <w:rsid w:val="004C4891"/>
    <w:rsid w:val="004C490F"/>
    <w:rsid w:val="004C4D58"/>
    <w:rsid w:val="004C6EE6"/>
    <w:rsid w:val="004D1E5E"/>
    <w:rsid w:val="004D2C89"/>
    <w:rsid w:val="004E3932"/>
    <w:rsid w:val="004F1E79"/>
    <w:rsid w:val="004F5F33"/>
    <w:rsid w:val="0050103A"/>
    <w:rsid w:val="00511B0F"/>
    <w:rsid w:val="00512395"/>
    <w:rsid w:val="00515089"/>
    <w:rsid w:val="00530CA1"/>
    <w:rsid w:val="005347D3"/>
    <w:rsid w:val="00536721"/>
    <w:rsid w:val="00542556"/>
    <w:rsid w:val="00543BCD"/>
    <w:rsid w:val="00544891"/>
    <w:rsid w:val="005467BF"/>
    <w:rsid w:val="005504C2"/>
    <w:rsid w:val="0055388E"/>
    <w:rsid w:val="00560C6F"/>
    <w:rsid w:val="005653FD"/>
    <w:rsid w:val="005676FD"/>
    <w:rsid w:val="005754AE"/>
    <w:rsid w:val="005763D7"/>
    <w:rsid w:val="00577FB5"/>
    <w:rsid w:val="00585014"/>
    <w:rsid w:val="005852D1"/>
    <w:rsid w:val="00587A22"/>
    <w:rsid w:val="00587E35"/>
    <w:rsid w:val="00590AC6"/>
    <w:rsid w:val="0059299D"/>
    <w:rsid w:val="00592D5B"/>
    <w:rsid w:val="00595680"/>
    <w:rsid w:val="00595C8C"/>
    <w:rsid w:val="00597747"/>
    <w:rsid w:val="005A36FC"/>
    <w:rsid w:val="005A4CDD"/>
    <w:rsid w:val="005A6B18"/>
    <w:rsid w:val="005B57E4"/>
    <w:rsid w:val="005B580C"/>
    <w:rsid w:val="005B5ABD"/>
    <w:rsid w:val="005B5DD1"/>
    <w:rsid w:val="005B7798"/>
    <w:rsid w:val="005B7FC8"/>
    <w:rsid w:val="005C140A"/>
    <w:rsid w:val="005C2A7F"/>
    <w:rsid w:val="005C36CF"/>
    <w:rsid w:val="005C5BE0"/>
    <w:rsid w:val="005C5E40"/>
    <w:rsid w:val="005C6763"/>
    <w:rsid w:val="005D3164"/>
    <w:rsid w:val="005E0344"/>
    <w:rsid w:val="005E0715"/>
    <w:rsid w:val="005E17B4"/>
    <w:rsid w:val="005E211F"/>
    <w:rsid w:val="005E440B"/>
    <w:rsid w:val="005E7C42"/>
    <w:rsid w:val="005F2C85"/>
    <w:rsid w:val="00600C0C"/>
    <w:rsid w:val="006050CA"/>
    <w:rsid w:val="006055CB"/>
    <w:rsid w:val="00605ADB"/>
    <w:rsid w:val="00611C9F"/>
    <w:rsid w:val="0061488B"/>
    <w:rsid w:val="00621BF6"/>
    <w:rsid w:val="00625C91"/>
    <w:rsid w:val="00626123"/>
    <w:rsid w:val="00627555"/>
    <w:rsid w:val="00627B76"/>
    <w:rsid w:val="00631351"/>
    <w:rsid w:val="006316C4"/>
    <w:rsid w:val="006322A0"/>
    <w:rsid w:val="00635D59"/>
    <w:rsid w:val="006361FD"/>
    <w:rsid w:val="00637B24"/>
    <w:rsid w:val="0064226F"/>
    <w:rsid w:val="0064619B"/>
    <w:rsid w:val="00653298"/>
    <w:rsid w:val="006574C9"/>
    <w:rsid w:val="006624CD"/>
    <w:rsid w:val="0066362B"/>
    <w:rsid w:val="00663A7C"/>
    <w:rsid w:val="00664091"/>
    <w:rsid w:val="00665D81"/>
    <w:rsid w:val="00667DF2"/>
    <w:rsid w:val="00670DF1"/>
    <w:rsid w:val="00671345"/>
    <w:rsid w:val="00672A9B"/>
    <w:rsid w:val="00674646"/>
    <w:rsid w:val="00675884"/>
    <w:rsid w:val="00676DB5"/>
    <w:rsid w:val="00686452"/>
    <w:rsid w:val="006966CA"/>
    <w:rsid w:val="00696D09"/>
    <w:rsid w:val="00696EE0"/>
    <w:rsid w:val="00697384"/>
    <w:rsid w:val="00697980"/>
    <w:rsid w:val="006A19EF"/>
    <w:rsid w:val="006A43D5"/>
    <w:rsid w:val="006A44AF"/>
    <w:rsid w:val="006A525B"/>
    <w:rsid w:val="006B6B60"/>
    <w:rsid w:val="006C045F"/>
    <w:rsid w:val="006C4196"/>
    <w:rsid w:val="006C4856"/>
    <w:rsid w:val="006C63B0"/>
    <w:rsid w:val="006C76A2"/>
    <w:rsid w:val="006C7877"/>
    <w:rsid w:val="006C792E"/>
    <w:rsid w:val="006D116C"/>
    <w:rsid w:val="006D1364"/>
    <w:rsid w:val="006D2988"/>
    <w:rsid w:val="006E200C"/>
    <w:rsid w:val="006E22C1"/>
    <w:rsid w:val="006E4CD2"/>
    <w:rsid w:val="006E7C42"/>
    <w:rsid w:val="006F168A"/>
    <w:rsid w:val="006F1DF6"/>
    <w:rsid w:val="006F46DC"/>
    <w:rsid w:val="006F5076"/>
    <w:rsid w:val="006F6009"/>
    <w:rsid w:val="00700938"/>
    <w:rsid w:val="0070321D"/>
    <w:rsid w:val="007068BA"/>
    <w:rsid w:val="00716AB1"/>
    <w:rsid w:val="00721D63"/>
    <w:rsid w:val="007265C1"/>
    <w:rsid w:val="007327B1"/>
    <w:rsid w:val="00732C7B"/>
    <w:rsid w:val="00734D2B"/>
    <w:rsid w:val="00737705"/>
    <w:rsid w:val="007405B2"/>
    <w:rsid w:val="007408D4"/>
    <w:rsid w:val="007420AC"/>
    <w:rsid w:val="00742617"/>
    <w:rsid w:val="007548C4"/>
    <w:rsid w:val="007640B1"/>
    <w:rsid w:val="00766990"/>
    <w:rsid w:val="00774AEB"/>
    <w:rsid w:val="00783AFA"/>
    <w:rsid w:val="0078520F"/>
    <w:rsid w:val="00785427"/>
    <w:rsid w:val="007854CF"/>
    <w:rsid w:val="00790540"/>
    <w:rsid w:val="00793F50"/>
    <w:rsid w:val="007968CA"/>
    <w:rsid w:val="007A353F"/>
    <w:rsid w:val="007A43FF"/>
    <w:rsid w:val="007B3918"/>
    <w:rsid w:val="007B65DE"/>
    <w:rsid w:val="007C09A9"/>
    <w:rsid w:val="007C0AD9"/>
    <w:rsid w:val="007C3C1D"/>
    <w:rsid w:val="007C40D2"/>
    <w:rsid w:val="007C58BE"/>
    <w:rsid w:val="007C7F7F"/>
    <w:rsid w:val="007D199A"/>
    <w:rsid w:val="007D2BCD"/>
    <w:rsid w:val="007D2EBE"/>
    <w:rsid w:val="007D775D"/>
    <w:rsid w:val="007E1A31"/>
    <w:rsid w:val="007E1C07"/>
    <w:rsid w:val="007E4840"/>
    <w:rsid w:val="007F24B6"/>
    <w:rsid w:val="007F2A70"/>
    <w:rsid w:val="007F5EFE"/>
    <w:rsid w:val="007F6460"/>
    <w:rsid w:val="00801046"/>
    <w:rsid w:val="00803D94"/>
    <w:rsid w:val="008057E9"/>
    <w:rsid w:val="00806D68"/>
    <w:rsid w:val="008121FC"/>
    <w:rsid w:val="008126DA"/>
    <w:rsid w:val="00813B38"/>
    <w:rsid w:val="00813EA6"/>
    <w:rsid w:val="0081734E"/>
    <w:rsid w:val="008226AD"/>
    <w:rsid w:val="008229BA"/>
    <w:rsid w:val="00824671"/>
    <w:rsid w:val="00825E1B"/>
    <w:rsid w:val="00845390"/>
    <w:rsid w:val="00845E4E"/>
    <w:rsid w:val="0084601B"/>
    <w:rsid w:val="00857D62"/>
    <w:rsid w:val="008606F0"/>
    <w:rsid w:val="00865489"/>
    <w:rsid w:val="0086553D"/>
    <w:rsid w:val="00871375"/>
    <w:rsid w:val="00871FC5"/>
    <w:rsid w:val="00874D70"/>
    <w:rsid w:val="00874FEB"/>
    <w:rsid w:val="00881B6F"/>
    <w:rsid w:val="00882AA4"/>
    <w:rsid w:val="00883E22"/>
    <w:rsid w:val="008846C4"/>
    <w:rsid w:val="00884B52"/>
    <w:rsid w:val="00884E43"/>
    <w:rsid w:val="00887EC6"/>
    <w:rsid w:val="00887FF2"/>
    <w:rsid w:val="0089084C"/>
    <w:rsid w:val="00893409"/>
    <w:rsid w:val="00893D9F"/>
    <w:rsid w:val="00894C0E"/>
    <w:rsid w:val="00895C7A"/>
    <w:rsid w:val="008A0D4C"/>
    <w:rsid w:val="008A17E4"/>
    <w:rsid w:val="008A2379"/>
    <w:rsid w:val="008A4329"/>
    <w:rsid w:val="008A578E"/>
    <w:rsid w:val="008A5B60"/>
    <w:rsid w:val="008B1519"/>
    <w:rsid w:val="008B69E3"/>
    <w:rsid w:val="008B76E2"/>
    <w:rsid w:val="008B7BCC"/>
    <w:rsid w:val="008C4680"/>
    <w:rsid w:val="008C50C3"/>
    <w:rsid w:val="008C7094"/>
    <w:rsid w:val="008D2B97"/>
    <w:rsid w:val="008D49A5"/>
    <w:rsid w:val="008D54BE"/>
    <w:rsid w:val="008D5B60"/>
    <w:rsid w:val="008D6C81"/>
    <w:rsid w:val="008E6CF0"/>
    <w:rsid w:val="008F1439"/>
    <w:rsid w:val="008F660E"/>
    <w:rsid w:val="008F7051"/>
    <w:rsid w:val="008F75EF"/>
    <w:rsid w:val="00900A65"/>
    <w:rsid w:val="009033A9"/>
    <w:rsid w:val="009039BE"/>
    <w:rsid w:val="00904152"/>
    <w:rsid w:val="0090581D"/>
    <w:rsid w:val="009102E1"/>
    <w:rsid w:val="0091439C"/>
    <w:rsid w:val="00914F22"/>
    <w:rsid w:val="00920571"/>
    <w:rsid w:val="00920572"/>
    <w:rsid w:val="00920BF2"/>
    <w:rsid w:val="00926DE4"/>
    <w:rsid w:val="009309DA"/>
    <w:rsid w:val="00932A88"/>
    <w:rsid w:val="00934143"/>
    <w:rsid w:val="009349A9"/>
    <w:rsid w:val="00936C52"/>
    <w:rsid w:val="009401B2"/>
    <w:rsid w:val="00940B69"/>
    <w:rsid w:val="0094297F"/>
    <w:rsid w:val="00945539"/>
    <w:rsid w:val="00947BEA"/>
    <w:rsid w:val="0095489B"/>
    <w:rsid w:val="00954C48"/>
    <w:rsid w:val="0095729C"/>
    <w:rsid w:val="0096347C"/>
    <w:rsid w:val="00965B6F"/>
    <w:rsid w:val="00966FB9"/>
    <w:rsid w:val="009671CD"/>
    <w:rsid w:val="00967A5C"/>
    <w:rsid w:val="00970975"/>
    <w:rsid w:val="00971378"/>
    <w:rsid w:val="009733B6"/>
    <w:rsid w:val="009751A9"/>
    <w:rsid w:val="00975CA1"/>
    <w:rsid w:val="00980F9C"/>
    <w:rsid w:val="00981F0C"/>
    <w:rsid w:val="00985EFA"/>
    <w:rsid w:val="0098632B"/>
    <w:rsid w:val="00991F5A"/>
    <w:rsid w:val="00992A4E"/>
    <w:rsid w:val="00994850"/>
    <w:rsid w:val="00994D97"/>
    <w:rsid w:val="00995E4E"/>
    <w:rsid w:val="00997BFB"/>
    <w:rsid w:val="009A00E5"/>
    <w:rsid w:val="009A7348"/>
    <w:rsid w:val="009B0EA8"/>
    <w:rsid w:val="009B462C"/>
    <w:rsid w:val="009C15F3"/>
    <w:rsid w:val="009C31A1"/>
    <w:rsid w:val="009C46AA"/>
    <w:rsid w:val="009E07C2"/>
    <w:rsid w:val="009E083E"/>
    <w:rsid w:val="009E0E52"/>
    <w:rsid w:val="009F270B"/>
    <w:rsid w:val="009F5938"/>
    <w:rsid w:val="009F60EE"/>
    <w:rsid w:val="009F6518"/>
    <w:rsid w:val="009F72F9"/>
    <w:rsid w:val="00A00205"/>
    <w:rsid w:val="00A00AF0"/>
    <w:rsid w:val="00A14B5A"/>
    <w:rsid w:val="00A34805"/>
    <w:rsid w:val="00A3567F"/>
    <w:rsid w:val="00A37698"/>
    <w:rsid w:val="00A37EF0"/>
    <w:rsid w:val="00A41ED3"/>
    <w:rsid w:val="00A42CA7"/>
    <w:rsid w:val="00A46B8F"/>
    <w:rsid w:val="00A56C01"/>
    <w:rsid w:val="00A56CA5"/>
    <w:rsid w:val="00A616A7"/>
    <w:rsid w:val="00A61D3A"/>
    <w:rsid w:val="00A7383A"/>
    <w:rsid w:val="00A81D82"/>
    <w:rsid w:val="00A831C2"/>
    <w:rsid w:val="00A8606E"/>
    <w:rsid w:val="00A93E33"/>
    <w:rsid w:val="00A945A2"/>
    <w:rsid w:val="00A9623B"/>
    <w:rsid w:val="00AA6D10"/>
    <w:rsid w:val="00AB4683"/>
    <w:rsid w:val="00AB6970"/>
    <w:rsid w:val="00AC18CB"/>
    <w:rsid w:val="00AC1939"/>
    <w:rsid w:val="00AC4514"/>
    <w:rsid w:val="00AC5AFA"/>
    <w:rsid w:val="00AC6B0F"/>
    <w:rsid w:val="00AC7C05"/>
    <w:rsid w:val="00AD12C2"/>
    <w:rsid w:val="00AD167C"/>
    <w:rsid w:val="00AD17C7"/>
    <w:rsid w:val="00AD4041"/>
    <w:rsid w:val="00AD78FC"/>
    <w:rsid w:val="00AE1566"/>
    <w:rsid w:val="00AE302B"/>
    <w:rsid w:val="00AE4F54"/>
    <w:rsid w:val="00AE6773"/>
    <w:rsid w:val="00AF31F0"/>
    <w:rsid w:val="00B03CD5"/>
    <w:rsid w:val="00B14ACD"/>
    <w:rsid w:val="00B239E3"/>
    <w:rsid w:val="00B259DF"/>
    <w:rsid w:val="00B31B6C"/>
    <w:rsid w:val="00B32764"/>
    <w:rsid w:val="00B35CF8"/>
    <w:rsid w:val="00B405BB"/>
    <w:rsid w:val="00B43B8E"/>
    <w:rsid w:val="00B44B1F"/>
    <w:rsid w:val="00B458A3"/>
    <w:rsid w:val="00B50450"/>
    <w:rsid w:val="00B52BC5"/>
    <w:rsid w:val="00B56196"/>
    <w:rsid w:val="00B610E4"/>
    <w:rsid w:val="00B6317E"/>
    <w:rsid w:val="00B6359C"/>
    <w:rsid w:val="00B64141"/>
    <w:rsid w:val="00B64E72"/>
    <w:rsid w:val="00B65D26"/>
    <w:rsid w:val="00B73194"/>
    <w:rsid w:val="00B744AB"/>
    <w:rsid w:val="00B77913"/>
    <w:rsid w:val="00B824FB"/>
    <w:rsid w:val="00B82646"/>
    <w:rsid w:val="00B86D90"/>
    <w:rsid w:val="00B90C99"/>
    <w:rsid w:val="00B92E1A"/>
    <w:rsid w:val="00B9384B"/>
    <w:rsid w:val="00B9404F"/>
    <w:rsid w:val="00B96D6D"/>
    <w:rsid w:val="00B97359"/>
    <w:rsid w:val="00B973C3"/>
    <w:rsid w:val="00B97A8F"/>
    <w:rsid w:val="00BA28A2"/>
    <w:rsid w:val="00BA363F"/>
    <w:rsid w:val="00BA4E58"/>
    <w:rsid w:val="00BA7074"/>
    <w:rsid w:val="00BB5EBA"/>
    <w:rsid w:val="00BB7829"/>
    <w:rsid w:val="00BD1457"/>
    <w:rsid w:val="00BD3825"/>
    <w:rsid w:val="00BE2AD9"/>
    <w:rsid w:val="00BE387D"/>
    <w:rsid w:val="00BE48AB"/>
    <w:rsid w:val="00BF27FE"/>
    <w:rsid w:val="00BF320D"/>
    <w:rsid w:val="00BF4526"/>
    <w:rsid w:val="00BF6CD4"/>
    <w:rsid w:val="00C00BA2"/>
    <w:rsid w:val="00C043B3"/>
    <w:rsid w:val="00C0522A"/>
    <w:rsid w:val="00C079AB"/>
    <w:rsid w:val="00C07D52"/>
    <w:rsid w:val="00C10E61"/>
    <w:rsid w:val="00C14787"/>
    <w:rsid w:val="00C1596D"/>
    <w:rsid w:val="00C15B8D"/>
    <w:rsid w:val="00C16CA5"/>
    <w:rsid w:val="00C17010"/>
    <w:rsid w:val="00C17E0B"/>
    <w:rsid w:val="00C20562"/>
    <w:rsid w:val="00C215C3"/>
    <w:rsid w:val="00C23A96"/>
    <w:rsid w:val="00C249C6"/>
    <w:rsid w:val="00C257BA"/>
    <w:rsid w:val="00C27FE4"/>
    <w:rsid w:val="00C32CC1"/>
    <w:rsid w:val="00C35D86"/>
    <w:rsid w:val="00C41935"/>
    <w:rsid w:val="00C421FB"/>
    <w:rsid w:val="00C426EC"/>
    <w:rsid w:val="00C51F1A"/>
    <w:rsid w:val="00C535CB"/>
    <w:rsid w:val="00C53B86"/>
    <w:rsid w:val="00C6483C"/>
    <w:rsid w:val="00C64AE9"/>
    <w:rsid w:val="00C64EAC"/>
    <w:rsid w:val="00C70CFF"/>
    <w:rsid w:val="00C718FE"/>
    <w:rsid w:val="00C72071"/>
    <w:rsid w:val="00C733DD"/>
    <w:rsid w:val="00C81CBB"/>
    <w:rsid w:val="00C8220A"/>
    <w:rsid w:val="00C83CFB"/>
    <w:rsid w:val="00C84E5A"/>
    <w:rsid w:val="00C8773D"/>
    <w:rsid w:val="00C87ABB"/>
    <w:rsid w:val="00C913C5"/>
    <w:rsid w:val="00C91831"/>
    <w:rsid w:val="00C929E0"/>
    <w:rsid w:val="00C9523D"/>
    <w:rsid w:val="00C95248"/>
    <w:rsid w:val="00C953DF"/>
    <w:rsid w:val="00CA2905"/>
    <w:rsid w:val="00CA2F6C"/>
    <w:rsid w:val="00CA57E9"/>
    <w:rsid w:val="00CA7B44"/>
    <w:rsid w:val="00CB56F8"/>
    <w:rsid w:val="00CB59BB"/>
    <w:rsid w:val="00CD48E3"/>
    <w:rsid w:val="00CD6F7D"/>
    <w:rsid w:val="00CE1B96"/>
    <w:rsid w:val="00CE1DB2"/>
    <w:rsid w:val="00CE2709"/>
    <w:rsid w:val="00CE2D64"/>
    <w:rsid w:val="00CE6198"/>
    <w:rsid w:val="00CF14C8"/>
    <w:rsid w:val="00CF6230"/>
    <w:rsid w:val="00D017FC"/>
    <w:rsid w:val="00D0226A"/>
    <w:rsid w:val="00D1256B"/>
    <w:rsid w:val="00D13147"/>
    <w:rsid w:val="00D13347"/>
    <w:rsid w:val="00D15453"/>
    <w:rsid w:val="00D1671E"/>
    <w:rsid w:val="00D1704F"/>
    <w:rsid w:val="00D23737"/>
    <w:rsid w:val="00D3060E"/>
    <w:rsid w:val="00D40696"/>
    <w:rsid w:val="00D40D47"/>
    <w:rsid w:val="00D44730"/>
    <w:rsid w:val="00D560FB"/>
    <w:rsid w:val="00D5715A"/>
    <w:rsid w:val="00D6011A"/>
    <w:rsid w:val="00D63C28"/>
    <w:rsid w:val="00D6407B"/>
    <w:rsid w:val="00D6713C"/>
    <w:rsid w:val="00D71687"/>
    <w:rsid w:val="00D74813"/>
    <w:rsid w:val="00D823F0"/>
    <w:rsid w:val="00D84084"/>
    <w:rsid w:val="00D87EC0"/>
    <w:rsid w:val="00DA246C"/>
    <w:rsid w:val="00DA30BC"/>
    <w:rsid w:val="00DA50E7"/>
    <w:rsid w:val="00DA69C2"/>
    <w:rsid w:val="00DA6D70"/>
    <w:rsid w:val="00DB35D8"/>
    <w:rsid w:val="00DB6050"/>
    <w:rsid w:val="00DC2C34"/>
    <w:rsid w:val="00DC4909"/>
    <w:rsid w:val="00DD1EC2"/>
    <w:rsid w:val="00DD487F"/>
    <w:rsid w:val="00DE2C87"/>
    <w:rsid w:val="00DE3832"/>
    <w:rsid w:val="00DE459A"/>
    <w:rsid w:val="00DF12F3"/>
    <w:rsid w:val="00DF242D"/>
    <w:rsid w:val="00DF27DA"/>
    <w:rsid w:val="00DF4A01"/>
    <w:rsid w:val="00DF4DBE"/>
    <w:rsid w:val="00DF6098"/>
    <w:rsid w:val="00DF6E7C"/>
    <w:rsid w:val="00E01077"/>
    <w:rsid w:val="00E12844"/>
    <w:rsid w:val="00E2060F"/>
    <w:rsid w:val="00E20B32"/>
    <w:rsid w:val="00E221DC"/>
    <w:rsid w:val="00E34607"/>
    <w:rsid w:val="00E40820"/>
    <w:rsid w:val="00E41100"/>
    <w:rsid w:val="00E446F3"/>
    <w:rsid w:val="00E46045"/>
    <w:rsid w:val="00E4658F"/>
    <w:rsid w:val="00E52DD7"/>
    <w:rsid w:val="00E54A67"/>
    <w:rsid w:val="00E57DB9"/>
    <w:rsid w:val="00E61C0D"/>
    <w:rsid w:val="00E63EB4"/>
    <w:rsid w:val="00E64912"/>
    <w:rsid w:val="00E64AD3"/>
    <w:rsid w:val="00E66160"/>
    <w:rsid w:val="00E66898"/>
    <w:rsid w:val="00E67022"/>
    <w:rsid w:val="00E71329"/>
    <w:rsid w:val="00E8363B"/>
    <w:rsid w:val="00E84966"/>
    <w:rsid w:val="00E90780"/>
    <w:rsid w:val="00E92383"/>
    <w:rsid w:val="00E93DCE"/>
    <w:rsid w:val="00E9489D"/>
    <w:rsid w:val="00EA1605"/>
    <w:rsid w:val="00EA1B3A"/>
    <w:rsid w:val="00EA2109"/>
    <w:rsid w:val="00EA4789"/>
    <w:rsid w:val="00EA7B9D"/>
    <w:rsid w:val="00EB0201"/>
    <w:rsid w:val="00EB2643"/>
    <w:rsid w:val="00EC2C17"/>
    <w:rsid w:val="00ED0AE3"/>
    <w:rsid w:val="00ED4D4E"/>
    <w:rsid w:val="00EE0C77"/>
    <w:rsid w:val="00EE2832"/>
    <w:rsid w:val="00EE4E54"/>
    <w:rsid w:val="00EF0CF7"/>
    <w:rsid w:val="00EF7431"/>
    <w:rsid w:val="00F02BFE"/>
    <w:rsid w:val="00F02FE4"/>
    <w:rsid w:val="00F0596B"/>
    <w:rsid w:val="00F070BB"/>
    <w:rsid w:val="00F2035B"/>
    <w:rsid w:val="00F23AED"/>
    <w:rsid w:val="00F319C9"/>
    <w:rsid w:val="00F3284E"/>
    <w:rsid w:val="00F33C34"/>
    <w:rsid w:val="00F37155"/>
    <w:rsid w:val="00F37740"/>
    <w:rsid w:val="00F402D8"/>
    <w:rsid w:val="00F42734"/>
    <w:rsid w:val="00F436BB"/>
    <w:rsid w:val="00F44BEF"/>
    <w:rsid w:val="00F47145"/>
    <w:rsid w:val="00F52B43"/>
    <w:rsid w:val="00F545BF"/>
    <w:rsid w:val="00F5525C"/>
    <w:rsid w:val="00F56152"/>
    <w:rsid w:val="00F60B11"/>
    <w:rsid w:val="00F61B86"/>
    <w:rsid w:val="00F63AA5"/>
    <w:rsid w:val="00F64411"/>
    <w:rsid w:val="00F70699"/>
    <w:rsid w:val="00F71B56"/>
    <w:rsid w:val="00F72CB9"/>
    <w:rsid w:val="00F72D13"/>
    <w:rsid w:val="00F7687C"/>
    <w:rsid w:val="00F77280"/>
    <w:rsid w:val="00F832C8"/>
    <w:rsid w:val="00F84690"/>
    <w:rsid w:val="00F858E7"/>
    <w:rsid w:val="00F873B3"/>
    <w:rsid w:val="00F90D2D"/>
    <w:rsid w:val="00F911DB"/>
    <w:rsid w:val="00F95BA8"/>
    <w:rsid w:val="00F97C43"/>
    <w:rsid w:val="00FA42B9"/>
    <w:rsid w:val="00FA6C54"/>
    <w:rsid w:val="00FA737D"/>
    <w:rsid w:val="00FA755A"/>
    <w:rsid w:val="00FA7DA4"/>
    <w:rsid w:val="00FB1F63"/>
    <w:rsid w:val="00FB2B0F"/>
    <w:rsid w:val="00FB3F53"/>
    <w:rsid w:val="00FB4F6B"/>
    <w:rsid w:val="00FB5061"/>
    <w:rsid w:val="00FB5FE1"/>
    <w:rsid w:val="00FC0E8D"/>
    <w:rsid w:val="00FC19B1"/>
    <w:rsid w:val="00FC46EF"/>
    <w:rsid w:val="00FC5154"/>
    <w:rsid w:val="00FD31B3"/>
    <w:rsid w:val="00FD418B"/>
    <w:rsid w:val="00FD4204"/>
    <w:rsid w:val="00FF0C80"/>
    <w:rsid w:val="00FF22C9"/>
    <w:rsid w:val="00FF2C97"/>
    <w:rsid w:val="00FF2DB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85A8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85A8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85A8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185A8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85A8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85A8E"/>
    <w:rPr>
      <w:rFonts w:ascii="Arial" w:eastAsia="Times New Roman" w:hAnsi="Arial"/>
      <w:sz w:val="22"/>
      <w:szCs w:val="22"/>
      <w:lang w:eastAsia="en-US"/>
    </w:rPr>
  </w:style>
  <w:style w:type="paragraph" w:customStyle="1" w:styleId="TSHeadingNumbered1">
    <w:name w:val="TS Heading Numbered 1"/>
    <w:basedOn w:val="Normal"/>
    <w:rsid w:val="00185A8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85A8E"/>
  </w:style>
  <w:style w:type="paragraph" w:customStyle="1" w:styleId="TSHeadingNumbered111">
    <w:name w:val="TS Heading Numbered 1.1.1"/>
    <w:basedOn w:val="TSHeadingNumbered1"/>
    <w:qFormat/>
    <w:rsid w:val="00185A8E"/>
    <w:pPr>
      <w:tabs>
        <w:tab w:val="clear" w:pos="-31680"/>
        <w:tab w:val="num" w:pos="-31538"/>
      </w:tabs>
      <w:ind w:left="862"/>
    </w:pPr>
  </w:style>
  <w:style w:type="paragraph" w:customStyle="1" w:styleId="TSHeadingNumbered1111">
    <w:name w:val="TS Heading Numbered 1.1.1.1"/>
    <w:basedOn w:val="TSHeadingNumbered1"/>
    <w:qFormat/>
    <w:rsid w:val="00185A8E"/>
  </w:style>
  <w:style w:type="paragraph" w:customStyle="1" w:styleId="TSNumberedParagraph11">
    <w:name w:val="TS Numbered Paragraph 1.1"/>
    <w:basedOn w:val="TSHeadingNumbered11"/>
    <w:rsid w:val="00185A8E"/>
    <w:pPr>
      <w:numPr>
        <w:ilvl w:val="1"/>
      </w:numPr>
      <w:tabs>
        <w:tab w:val="num" w:pos="-31680"/>
      </w:tabs>
      <w:ind w:left="720" w:hanging="720"/>
    </w:pPr>
    <w:rPr>
      <w:rFonts w:ascii="Arial" w:hAnsi="Arial"/>
      <w:b w:val="0"/>
      <w:caps w:val="0"/>
    </w:rPr>
  </w:style>
  <w:style w:type="paragraph" w:styleId="Revision">
    <w:name w:val="Revision"/>
    <w:hidden/>
    <w:uiPriority w:val="99"/>
    <w:semiHidden/>
    <w:rsid w:val="004B01F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17C4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17C47"/>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7086876">
      <w:bodyDiv w:val="1"/>
      <w:marLeft w:val="0"/>
      <w:marRight w:val="0"/>
      <w:marTop w:val="0"/>
      <w:marBottom w:val="0"/>
      <w:divBdr>
        <w:top w:val="none" w:sz="0" w:space="0" w:color="auto"/>
        <w:left w:val="none" w:sz="0" w:space="0" w:color="auto"/>
        <w:bottom w:val="none" w:sz="0" w:space="0" w:color="auto"/>
        <w:right w:val="none" w:sz="0" w:space="0" w:color="auto"/>
      </w:divBdr>
    </w:div>
    <w:div w:id="18140556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2658343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6689889">
      <w:bodyDiv w:val="1"/>
      <w:marLeft w:val="0"/>
      <w:marRight w:val="0"/>
      <w:marTop w:val="0"/>
      <w:marBottom w:val="0"/>
      <w:divBdr>
        <w:top w:val="none" w:sz="0" w:space="0" w:color="auto"/>
        <w:left w:val="none" w:sz="0" w:space="0" w:color="auto"/>
        <w:bottom w:val="none" w:sz="0" w:space="0" w:color="auto"/>
        <w:right w:val="none" w:sz="0" w:space="0" w:color="auto"/>
      </w:divBdr>
    </w:div>
    <w:div w:id="70991379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50335430">
      <w:bodyDiv w:val="1"/>
      <w:marLeft w:val="0"/>
      <w:marRight w:val="0"/>
      <w:marTop w:val="0"/>
      <w:marBottom w:val="0"/>
      <w:divBdr>
        <w:top w:val="none" w:sz="0" w:space="0" w:color="auto"/>
        <w:left w:val="none" w:sz="0" w:space="0" w:color="auto"/>
        <w:bottom w:val="none" w:sz="0" w:space="0" w:color="auto"/>
        <w:right w:val="none" w:sz="0" w:space="0" w:color="auto"/>
      </w:divBdr>
    </w:div>
    <w:div w:id="853424988">
      <w:bodyDiv w:val="1"/>
      <w:marLeft w:val="0"/>
      <w:marRight w:val="0"/>
      <w:marTop w:val="0"/>
      <w:marBottom w:val="0"/>
      <w:divBdr>
        <w:top w:val="none" w:sz="0" w:space="0" w:color="auto"/>
        <w:left w:val="none" w:sz="0" w:space="0" w:color="auto"/>
        <w:bottom w:val="none" w:sz="0" w:space="0" w:color="auto"/>
        <w:right w:val="none" w:sz="0" w:space="0" w:color="auto"/>
      </w:divBdr>
    </w:div>
    <w:div w:id="913507828">
      <w:bodyDiv w:val="1"/>
      <w:marLeft w:val="0"/>
      <w:marRight w:val="0"/>
      <w:marTop w:val="0"/>
      <w:marBottom w:val="0"/>
      <w:divBdr>
        <w:top w:val="none" w:sz="0" w:space="0" w:color="auto"/>
        <w:left w:val="none" w:sz="0" w:space="0" w:color="auto"/>
        <w:bottom w:val="none" w:sz="0" w:space="0" w:color="auto"/>
        <w:right w:val="none" w:sz="0" w:space="0" w:color="auto"/>
      </w:divBdr>
    </w:div>
    <w:div w:id="96049707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2626732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628688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395641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00472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07E7"/>
    <w:rsid w:val="00081D54"/>
    <w:rsid w:val="000A0C3B"/>
    <w:rsid w:val="00164B5A"/>
    <w:rsid w:val="00172CCE"/>
    <w:rsid w:val="001C54D1"/>
    <w:rsid w:val="001F411A"/>
    <w:rsid w:val="00252452"/>
    <w:rsid w:val="002550FD"/>
    <w:rsid w:val="00350199"/>
    <w:rsid w:val="003C6971"/>
    <w:rsid w:val="00437178"/>
    <w:rsid w:val="00603AB9"/>
    <w:rsid w:val="007154C5"/>
    <w:rsid w:val="00780C80"/>
    <w:rsid w:val="00835E07"/>
    <w:rsid w:val="008504DF"/>
    <w:rsid w:val="00861AD0"/>
    <w:rsid w:val="00875307"/>
    <w:rsid w:val="00972B41"/>
    <w:rsid w:val="009C70A7"/>
    <w:rsid w:val="00CA10A9"/>
    <w:rsid w:val="00CD10A9"/>
    <w:rsid w:val="00CF619D"/>
    <w:rsid w:val="00D75606"/>
    <w:rsid w:val="00D93092"/>
    <w:rsid w:val="00DB4022"/>
    <w:rsid w:val="00DD7BA4"/>
    <w:rsid w:val="00E24D23"/>
    <w:rsid w:val="00E318CE"/>
    <w:rsid w:val="00E646E1"/>
    <w:rsid w:val="00FB76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APA"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HMG032</b:Tag>
    <b:SourceType>ElectronicSource</b:SourceType>
    <b:Guid>{7EC35EE7-1E2C-4C63-876E-F35D6DE107A1}</b:Guid>
    <b:Author>
      <b:Author>
        <b:Corporate>HM Government</b:Corporate>
      </b:Author>
    </b:Author>
    <b:Title>The Nuclear Industries Security Regulations 2003 (NISR) </b:Title>
    <b:Year>2003</b:Year>
    <b:RefOrder>2</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3</b:RefOrder>
  </b:Source>
  <b:Source>
    <b:Tag>HMG15</b:Tag>
    <b:SourceType>DocumentFromInternetSite</b:SourceType>
    <b:Guid>{1D9ED54D-9305-4257-8DBC-DEA0E4DCA934}</b:Guid>
    <b:Author>
      <b:Author>
        <b:Corporate>HM Government</b:Corporate>
      </b:Author>
    </b:Author>
    <b:Title>Government Functional Standard GovS 007: Security</b:Title>
    <b:Year>2021</b:Year>
    <b:URL>https://assets.publishing.service.gov.uk/government/uploads/system/uploads/attachment_data/file/1016424/GovS_007-_Security.pdf</b:URL>
    <b:RefOrder>4</b:RefOrder>
  </b:Source>
  <b:Source>
    <b:Tag>Cab18</b:Tag>
    <b:SourceType>ElectronicSource</b:SourceType>
    <b:Guid>{C9C62C77-0710-4FEF-BE86-7C00E0C7CC35}</b:Guid>
    <b:Author>
      <b:Author>
        <b:Corporate>HM Government</b:Corporate>
      </b:Author>
    </b:Author>
    <b:Title>Government Security Classification (Version 1.1)</b:Title>
    <b:Year>2018</b:Year>
    <b:RefOrder>5</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6</b:RefOrder>
  </b:Source>
  <b:Source>
    <b:Tag>IAE19</b:Tag>
    <b:SourceType>ElectronicSource</b:SourceType>
    <b:Guid>{D9761529-3FEF-4142-BD52-988EAA15DBCD}</b:Guid>
    <b:Author>
      <b:Author>
        <b:Corporate>IAEA</b:Corporate>
      </b:Author>
    </b:Author>
    <b:Title>Convention on the Physical Protection of Nuclear Material (CPPNM) </b:Title>
    <b:RefOrder>7</b:RefOrder>
  </b:Source>
  <b:Source>
    <b:Tag>IAE47</b:Tag>
    <b:SourceType>InternetSite</b:SourceType>
    <b:Guid>{F6ED9379-6806-4C64-B74E-48B087CCA8F6}</b:Guid>
    <b:Title>Nuclear Security Series (NSS)</b:Title>
    <b:Author>
      <b:Author>
        <b:Corporate>IAEA</b:Corporate>
      </b:Author>
    </b:Author>
    <b:URL>https://www.iaea.org/resources/nuclear-security-series</b:URL>
    <b:RefOrder>8</b:RefOrder>
  </b:Source>
  <b:Source>
    <b:Tag>IAE1</b:Tag>
    <b:SourceType>ElectronicSource</b:SourceType>
    <b:Guid>{C2E52224-05B4-437A-8362-CD6CD0A3F71D}</b:Guid>
    <b:Title>Nuclear Security Series No. 20 - Nuclear Security Fundamentals: Objective and Essential Elements of a State's Nuclear Security Regime</b:Title>
    <b:Author>
      <b:Author>
        <b:Corporate>IAEA</b:Corporate>
      </b:Author>
    </b:Author>
    <b:Publisher>2013</b:Publisher>
    <b:RefOrder>9</b:RefOrder>
  </b:Source>
  <b:Source>
    <b:Tag>IAE</b:Tag>
    <b:SourceType>ElectronicSource</b:SourceType>
    <b:Guid>{985F7968-BB49-45EB-AAF1-1029046F59CD}</b:Guid>
    <b:Title>Nuclear Security Series No. 13 - Nuclear Security Recommendations on the Physical Protection of NUclear Material and Nuclear Facilities (INFCIRC/225/Revision 5)</b:Title>
    <b:Author>
      <b:Author>
        <b:Corporate>IAEA</b:Corporate>
      </b:Author>
    </b:Author>
    <b:Year>2011</b:Year>
    <b:RefOrder>10</b:RefOrder>
  </b:Source>
  <b:Source>
    <b:Tag>IAE28</b:Tag>
    <b:SourceType>DocumentFromInternetSite</b:SourceType>
    <b:Guid>{2E9647D4-9911-4B5E-8C2D-E1958AA02425}</b:Guid>
    <b:Author>
      <b:Author>
        <b:Corporate>IAEA</b:Corporate>
      </b:Author>
    </b:Author>
    <b:Title>Nuclear Security Series No. 23-G IAEA Implementing Guide: Security of Nuclear Information</b:Title>
    <b:Year>2015</b:Year>
    <b:URL>https://www-pub.iaea.org/MTCD/Publications/PDF/Pub1677web-32045715.pdf</b:URL>
    <b:RefOrder>11</b:RefOrder>
  </b:Source>
  <b:Source>
    <b:Tag>IAE33</b:Tag>
    <b:SourceType>ElectronicSource</b:SourceType>
    <b:Guid>{9EA7C438-CAEE-42BE-8A83-D3A65535E5AC}</b:Guid>
    <b:Author>
      <b:Author>
        <b:Corporate>IAEA</b:Corporate>
      </b:Author>
    </b:Author>
    <b:Title>Nuclear Security Series No. 17 - Computer Security techniques for Nuclear Facilities</b:Title>
    <b:RefOrder>12</b:RefOrder>
  </b:Source>
  <b:Source>
    <b:Tag>ISO1</b:Tag>
    <b:SourceType>ElectronicSource</b:SourceType>
    <b:Guid>{B919C997-2F04-47F5-99D2-C79DCE09EEF5}</b:Guid>
    <b:Author>
      <b:Author>
        <b:Corporate>ISO</b:Corporate>
      </b:Author>
    </b:Author>
    <b:Title>ISO/IEC 27001:2013 - Information technology — Security techniques — Information security management systems — Requirements</b:Title>
    <b:Year>2013</b:Year>
    <b:URL>https://www.iso.org/standard/54534.html</b:URL>
    <b:RefOrder>13</b:RefOrder>
  </b:Source>
  <b:Source>
    <b:Tag>HMG22</b:Tag>
    <b:SourceType>InternetSite</b:SourceType>
    <b:Guid>{A10D5F02-DBB8-42B5-8944-92B427790D5E}</b:Guid>
    <b:Author>
      <b:Author>
        <b:Corporate>HM Government</b:Corporate>
      </b:Author>
    </b:Author>
    <b:Title>Security Policy Framework</b:Title>
    <b:Year>2022</b:Year>
    <b:Month>February</b:Month>
    <b:URL>https://www.gov.uk/government/publications/security-policy-framework/hmg-security-policy-framework</b:URL>
    <b:RefOrder>14</b:RefOrder>
  </b:Source>
  <b:Source>
    <b:Tag>Int2</b:Tag>
    <b:SourceType>InternetSite</b:SourceType>
    <b:Guid>{2FFD50AA-172F-4AD4-8C16-2D82E1C561BB}</b:Guid>
    <b:Author>
      <b:Author>
        <b:Corporate>International Society of Automation/International Electrotechnical Commission (ISA/IEC)</b:Corporate>
      </b:Author>
    </b:Author>
    <b:Title>ISA/IEC 62443 Series of Standards</b:Title>
    <b:URL>https://www.isa.org/standards-and-publications/isa-standards/isa-iec-62443-series-of-standards</b:URL>
    <b:RefOrder>15</b:RefOrder>
  </b:Source>
  <b:Source>
    <b:Tag>NIS1</b:Tag>
    <b:SourceType>InternetSite</b:SourceType>
    <b:Guid>{A2447FE8-942C-4445-A12F-194D7AB807F7}</b:Guid>
    <b:Author>
      <b:Author>
        <b:Corporate>NIST</b:Corporate>
      </b:Author>
    </b:Author>
    <b:Title>Cybersecurity Framework</b:Title>
    <b:URL>https://www.nist.gov/cyberframework</b:URL>
    <b:RefOrder>16</b:RefOrder>
  </b:Source>
  <b:Source>
    <b:Tag>ONR241</b:Tag>
    <b:SourceType>ElectronicSource</b:SourceType>
    <b:Guid>{5E3FB525-0D42-49F7-807D-18F378B7B9C9}</b:Guid>
    <b:Title>CNS-TAST-GD-7.1 - Effective Cyber and Information Risk Management</b:Title>
    <b:Author>
      <b:Author>
        <b:Corporate>ONR</b:Corporate>
      </b:Author>
    </b:Author>
    <b:RefOrder>17</b:RefOrder>
  </b:Source>
  <b:Source>
    <b:Tag>ONR132</b:Tag>
    <b:SourceType>ElectronicSource</b:SourceType>
    <b:Guid>{2185DCA7-3D48-4025-A1FE-6551036FF023}</b:Guid>
    <b:Author>
      <b:Author>
        <b:Corporate>ONR</b:Corporate>
      </b:Author>
    </b:Author>
    <b:Title>CNS-TAST-GD-7.3 - Protection of Nuclear Technology and Operations</b:Title>
    <b:RefOrder>18</b:RefOrder>
  </b:Source>
  <b:Source>
    <b:Tag>ONR97</b:Tag>
    <b:SourceType>ElectronicSource</b:SourceType>
    <b:Guid>{41AD1625-AD7E-4E83-90B9-1F513B2DC30E}</b:Guid>
    <b:Author>
      <b:Author>
        <b:Corporate>ONR</b:Corporate>
      </b:Author>
    </b:Author>
    <b:Title>CNS-TAST-GD-7.4 - Physical Protection of Information</b:Title>
    <b:RefOrder>19</b:RefOrder>
  </b:Source>
  <b:Source>
    <b:Tag>NCS5</b:Tag>
    <b:SourceType>InternetSite</b:SourceType>
    <b:Guid>{3DA1DE4D-1769-42B8-BE6F-59FAF33C38B0}</b:Guid>
    <b:Author>
      <b:Author>
        <b:Corporate>NCSC</b:Corporate>
      </b:Author>
    </b:Author>
    <b:Title>Guidance: 10 Steps to Cyber Security</b:Title>
    <b:URL>https://www.ncsc.gov.uk/collection/10-steps</b:URL>
    <b:RefOrder>20</b:RefOrder>
  </b:Source>
  <b:Source>
    <b:Tag>IAS</b:Tag>
    <b:SourceType>InternetSite</b:SourceType>
    <b:Guid>{9486628B-914E-48DE-9ED2-FF406C85F879}</b:Guid>
    <b:Author>
      <b:Author>
        <b:Corporate>IASME Consortium</b:Corporate>
      </b:Author>
    </b:Author>
    <b:Title>Cyber Essentials</b:Title>
    <b:URL>https://iasme.co.uk/cyber-essentials</b:URL>
    <b:RefOrder>21</b:RefOrder>
  </b:Source>
  <b:Source>
    <b:Tag>Cen1</b:Tag>
    <b:SourceType>InternetSite</b:SourceType>
    <b:Guid>{BD8C48DF-AB5B-4CC5-85FE-574103C5EDDC}</b:Guid>
    <b:Author>
      <b:Author>
        <b:Corporate>Center for Internet Security (CIS)</b:Corporate>
      </b:Author>
    </b:Author>
    <b:Title>The 18 CIS Critical Security Controls</b:Title>
    <b:URL>https://www.cisecurity.org/controls/cis-controls-list</b:URL>
    <b:RefOrder>22</b:RefOrder>
  </b:Source>
  <b:Source>
    <b:Tag>ONR368</b:Tag>
    <b:SourceType>InternetSite</b:SourceType>
    <b:Guid>{52D14778-5735-45C4-805D-C46D4E19FB72}</b:Guid>
    <b:Title>Regulation of Sensitive Nuclear Information (SNI) in the Supply Chain (List N)</b:Title>
    <b:Author>
      <b:Author>
        <b:Corporate>ONR</b:Corporate>
      </b:Author>
    </b:Author>
    <b:URL>https://www.onr.org.uk/cnss/regulation-of-sensitive-nuclear-information-list-n.htm</b:URL>
    <b:RefOrder>23</b:RefOrder>
  </b:Source>
  <b:Source>
    <b:Tag>Nuc</b:Tag>
    <b:SourceType>DocumentFromInternetSite</b:SourceType>
    <b:Guid>{7CFD2B30-0334-4E91-A4B0-406CBC75CF57}</b:Guid>
    <b:Title>Nuclear Industry Security Regulations - Regulation 22 Dutyholder: Inherent Risk Profile Question Set</b:Title>
    <b:URL>https://www.onr.org.uk/cnss/regulation-of-sensitive-nuclear-information-list-n.htm</b:URL>
    <b:Year>2023</b:Year>
    <b:Month>April</b:Month>
    <b:Author>
      <b:Author>
        <b:Corporate>ONR</b:Corporate>
      </b:Author>
    </b:Author>
    <b:RefOrder>24</b:RefOrder>
  </b:Source>
  <b:Source>
    <b:Tag>Cab181</b:Tag>
    <b:SourceType>DocumentFromInternetSite</b:SourceType>
    <b:Guid>{7970096E-FEDA-4EC4-9796-D2183E7CC95B}</b:Guid>
    <b:Author>
      <b:Author>
        <b:Corporate>Cabinet Office</b:Corporate>
      </b:Author>
    </b:Author>
    <b:Title>Contractual Process (Version 7.3)</b:Title>
    <b:Year>2018</b:Year>
    <b:Month>May</b:Month>
    <b:URL>https://assets.publishing.service.gov.uk/government/uploads/system/uploads/attachment_data/file/710891/2018_May_Contractual_process.pdf</b:URL>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97F4D2-15F0-4F65-BC08-B8663FD2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30</Pages>
  <Words>8471</Words>
  <Characters>48290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Preparation For and Response to Cyber Security Incidents</vt:lpstr>
    </vt:vector>
  </TitlesOfParts>
  <Manager>Office for Nuclear Regulation</Manager>
  <Company>Office for Nuclear Regulation</Company>
  <LinksUpToDate>false</LinksUpToDate>
  <CharactersWithSpaces>56648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for and Response to Cyber Security Incidents</dc:title>
  <dc:subject>[Subtitle or description]</dc:subject>
  <dc:creator>Liam Dunning</dc:creator>
  <cp:keywords>[Key words separated by commas]</cp:keywords>
  <dc:description/>
  <cp:lastModifiedBy>Gary Hull</cp:lastModifiedBy>
  <cp:revision>4</cp:revision>
  <cp:lastPrinted>2016-11-28T11:35:00Z</cp:lastPrinted>
  <dcterms:created xsi:type="dcterms:W3CDTF">2024-01-05T11:14:00Z</dcterms:created>
  <dcterms:modified xsi:type="dcterms:W3CDTF">2024-01-05T11:46:00Z</dcterms:modified>
  <cp:contentStatus>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