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0D77A134" w:rsidR="00D0226A" w:rsidRPr="00913A33" w:rsidRDefault="00E1064A" w:rsidP="001E03E1">
            <w:pPr>
              <w:pStyle w:val="CoverTitle"/>
              <w:rPr>
                <w:color w:val="000000" w:themeColor="text1"/>
                <w:szCs w:val="90"/>
              </w:rPr>
            </w:pPr>
            <w:sdt>
              <w:sdtPr>
                <w:rPr>
                  <w:color w:val="000000" w:themeColor="text1"/>
                  <w:sz w:val="52"/>
                  <w:szCs w:val="52"/>
                </w:rPr>
                <w:id w:val="1228188510"/>
                <w:placeholder>
                  <w:docPart w:val="DefaultPlaceholder_-1854013440"/>
                </w:placeholder>
              </w:sdtPr>
              <w:sdtEndPr>
                <w:rPr>
                  <w:sz w:val="72"/>
                  <w:szCs w:val="72"/>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70A79" w:rsidRPr="00F34771">
                      <w:rPr>
                        <w:sz w:val="72"/>
                        <w:szCs w:val="72"/>
                      </w:rPr>
                      <w:t>Categorisation for Theft</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030A944B" w:rsidR="00004C16" w:rsidRPr="00F63AA5" w:rsidRDefault="00E1064A" w:rsidP="00004C16">
      <w:pPr>
        <w:rPr>
          <w:sz w:val="18"/>
          <w:szCs w:val="16"/>
        </w:rPr>
      </w:pPr>
      <w:sdt>
        <w:sdtPr>
          <w:rPr>
            <w:rStyle w:val="Style2"/>
            <w:szCs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570A79" w:rsidRPr="00850A94">
            <w:rPr>
              <w:rStyle w:val="Style2"/>
              <w:szCs w:val="48"/>
            </w:rPr>
            <w:t>Categorisation for Theft</w:t>
          </w:r>
        </w:sdtContent>
      </w:sdt>
    </w:p>
    <w:p w14:paraId="18D2D49D" w14:textId="34525311" w:rsidR="004C0872" w:rsidRPr="0080470E" w:rsidRDefault="004C0872" w:rsidP="004C0872">
      <w:pPr>
        <w:rPr>
          <w:sz w:val="28"/>
          <w:szCs w:val="28"/>
        </w:rPr>
      </w:pPr>
      <w:r w:rsidRPr="0080470E">
        <w:rPr>
          <w:b/>
          <w:bCs/>
          <w:sz w:val="28"/>
          <w:szCs w:val="28"/>
        </w:rPr>
        <w:t>Head of Profession</w:t>
      </w:r>
      <w:r w:rsidRPr="0080470E">
        <w:rPr>
          <w:sz w:val="28"/>
          <w:szCs w:val="28"/>
        </w:rPr>
        <w:t xml:space="preserve">: </w:t>
      </w:r>
      <w:r w:rsidR="00C45913">
        <w:rPr>
          <w:sz w:val="28"/>
          <w:szCs w:val="28"/>
        </w:rPr>
        <w:t>Protective Security</w:t>
      </w:r>
    </w:p>
    <w:p w14:paraId="2F45D79D" w14:textId="6AF416E5" w:rsidR="004C0872" w:rsidRPr="004C0872" w:rsidRDefault="004C0872" w:rsidP="004C0872">
      <w:pPr>
        <w:rPr>
          <w:color w:val="FFFFFF" w:themeColor="background1"/>
          <w:sz w:val="28"/>
          <w:szCs w:val="28"/>
        </w:rPr>
      </w:pPr>
    </w:p>
    <w:p w14:paraId="256D7821" w14:textId="1988E8A9" w:rsidR="004C0872" w:rsidRPr="004C0872" w:rsidRDefault="004C0872" w:rsidP="004C0872">
      <w:r w:rsidRPr="004C0872">
        <w:rPr>
          <w:b/>
          <w:bCs/>
        </w:rPr>
        <w:t>Authored by</w:t>
      </w:r>
      <w:r w:rsidRPr="004C0872">
        <w:t xml:space="preserve">: </w:t>
      </w:r>
      <w:r w:rsidR="00AB74BA">
        <w:t>Inspector</w:t>
      </w:r>
    </w:p>
    <w:p w14:paraId="73A65883" w14:textId="183DE50D" w:rsidR="004C0872" w:rsidRPr="004C0872" w:rsidRDefault="004C0872" w:rsidP="004C0872">
      <w:r w:rsidRPr="004C0872">
        <w:rPr>
          <w:b/>
          <w:bCs/>
        </w:rPr>
        <w:t>Approved by</w:t>
      </w:r>
      <w:r w:rsidRPr="004C0872">
        <w:t xml:space="preserve">: </w:t>
      </w:r>
      <w:r w:rsidR="00C45913">
        <w:t>Head of Profession – Protective Security</w:t>
      </w:r>
    </w:p>
    <w:p w14:paraId="4F9E8137" w14:textId="5553640E" w:rsidR="004C0872" w:rsidRPr="004C0872" w:rsidRDefault="004C0872" w:rsidP="004C0872">
      <w:r w:rsidRPr="004C0872">
        <w:rPr>
          <w:b/>
          <w:bCs/>
        </w:rPr>
        <w:t>Issue</w:t>
      </w:r>
      <w:r w:rsidRPr="004C0872">
        <w:t xml:space="preserve">: </w:t>
      </w:r>
      <w:sdt>
        <w:sdtPr>
          <w:alias w:val="Issue No."/>
          <w:tag w:val=""/>
          <w:id w:val="-102271758"/>
          <w:lock w:val="sdtLocked"/>
          <w:placeholder>
            <w:docPart w:val="4E1D4AEE240844E5951BC06CE9A7A968"/>
          </w:placeholder>
          <w:dataBinding w:prefixMappings="xmlns:ns0='http://purl.org/dc/elements/1.1/' xmlns:ns1='http://schemas.openxmlformats.org/package/2006/metadata/core-properties' " w:xpath="/ns1:coreProperties[1]/ns1:contentStatus[1]" w:storeItemID="{6C3C8BC8-F283-45AE-878A-BAB7291924A1}"/>
          <w:text/>
        </w:sdtPr>
        <w:sdtEndPr/>
        <w:sdtContent>
          <w:r w:rsidR="005D6EF5">
            <w:t>2.1</w:t>
          </w:r>
        </w:sdtContent>
      </w:sdt>
    </w:p>
    <w:p w14:paraId="0ECFFCEA" w14:textId="60529270" w:rsidR="004C0872" w:rsidRPr="004C0872" w:rsidRDefault="004C0872" w:rsidP="004C0872">
      <w:r w:rsidRPr="004C0872">
        <w:rPr>
          <w:b/>
          <w:bCs/>
        </w:rPr>
        <w:t>Published</w:t>
      </w:r>
      <w:r w:rsidRPr="004C0872">
        <w:t>: Mar</w:t>
      </w:r>
      <w:r w:rsidR="00637AFD">
        <w:t xml:space="preserve"> </w:t>
      </w:r>
      <w:r w:rsidRPr="004C0872">
        <w:t>2</w:t>
      </w:r>
      <w:r w:rsidR="00637AFD">
        <w:t>5</w:t>
      </w:r>
    </w:p>
    <w:p w14:paraId="5C265FFE" w14:textId="2312945F" w:rsidR="004C0872" w:rsidRPr="004C0872" w:rsidRDefault="004C0872" w:rsidP="004C0872">
      <w:r w:rsidRPr="004C0872">
        <w:rPr>
          <w:b/>
          <w:bCs/>
        </w:rPr>
        <w:t>Next scheduled review</w:t>
      </w:r>
      <w:r w:rsidRPr="004C0872">
        <w:t>: Mar</w:t>
      </w:r>
      <w:r w:rsidR="00637AFD">
        <w:t xml:space="preserve"> </w:t>
      </w:r>
      <w:r w:rsidR="005D6EF5">
        <w:t>2</w:t>
      </w:r>
      <w:r w:rsidR="00BD019C">
        <w:t>8</w:t>
      </w:r>
    </w:p>
    <w:p w14:paraId="7E1C5720" w14:textId="1F51E16D" w:rsidR="0080470E" w:rsidRPr="002D5F2E" w:rsidRDefault="0080470E" w:rsidP="0080470E">
      <w:pPr>
        <w:rPr>
          <w:szCs w:val="24"/>
        </w:rPr>
      </w:pPr>
      <w:r w:rsidRPr="002D5F2E">
        <w:rPr>
          <w:b/>
          <w:bCs/>
          <w:szCs w:val="24"/>
        </w:rPr>
        <w:t>Doc</w:t>
      </w:r>
      <w:r>
        <w:rPr>
          <w:b/>
          <w:bCs/>
          <w:szCs w:val="24"/>
        </w:rPr>
        <w:t>ument reference</w:t>
      </w:r>
      <w:r w:rsidRPr="002D5F2E">
        <w:rPr>
          <w:szCs w:val="24"/>
        </w:rPr>
        <w:t xml:space="preserve">: </w:t>
      </w:r>
      <w:r w:rsidR="00C45913" w:rsidRPr="00C45913">
        <w:rPr>
          <w:szCs w:val="24"/>
        </w:rPr>
        <w:t>CNS-TAST-GD-6.1</w:t>
      </w:r>
    </w:p>
    <w:p w14:paraId="20475825" w14:textId="24E5B0CB" w:rsidR="0080470E" w:rsidRPr="002D5F2E" w:rsidRDefault="0080470E" w:rsidP="0051630E">
      <w:pPr>
        <w:rPr>
          <w:szCs w:val="24"/>
        </w:rPr>
      </w:pPr>
      <w:r w:rsidRPr="002D5F2E">
        <w:rPr>
          <w:b/>
          <w:bCs/>
          <w:szCs w:val="24"/>
        </w:rPr>
        <w:t xml:space="preserve">Record </w:t>
      </w:r>
      <w:r>
        <w:rPr>
          <w:b/>
          <w:bCs/>
          <w:szCs w:val="24"/>
        </w:rPr>
        <w:t>reference</w:t>
      </w:r>
      <w:r w:rsidRPr="002D5F2E">
        <w:rPr>
          <w:szCs w:val="24"/>
        </w:rPr>
        <w:t>:</w:t>
      </w:r>
      <w:r w:rsidR="0051630E">
        <w:rPr>
          <w:szCs w:val="24"/>
        </w:rPr>
        <w:t xml:space="preserve"> </w:t>
      </w:r>
      <w:hyperlink r:id="rId11" w:tgtFrame="_blank" w:tooltip="ONRHH-822789359-19790" w:history="1">
        <w:r w:rsidR="0051630E" w:rsidRPr="0051630E">
          <w:rPr>
            <w:rStyle w:val="Hyperlink"/>
            <w:szCs w:val="24"/>
          </w:rPr>
          <w:t>ONRHH-822789359-19790</w:t>
        </w:r>
      </w:hyperlink>
      <w:r w:rsidR="0051630E" w:rsidRPr="002D5F2E">
        <w:rPr>
          <w:szCs w:val="24"/>
        </w:rPr>
        <w:t xml:space="preserve"> </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556FC5E5" w:rsidR="00595C8C" w:rsidRDefault="00E1064A" w:rsidP="00595C8C">
            <w:pPr>
              <w:spacing w:before="60" w:after="60"/>
            </w:pPr>
            <w:sdt>
              <w:sdtPr>
                <w:rPr>
                  <w:szCs w:val="24"/>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5D6EF5">
                  <w:rPr>
                    <w:szCs w:val="24"/>
                  </w:rPr>
                  <w:t>2.1</w:t>
                </w:r>
              </w:sdtContent>
            </w:sdt>
          </w:p>
        </w:tc>
        <w:tc>
          <w:tcPr>
            <w:tcW w:w="7466" w:type="dxa"/>
          </w:tcPr>
          <w:p w14:paraId="1C80912E" w14:textId="11E7B746" w:rsidR="00595C8C" w:rsidRDefault="00914AC1" w:rsidP="00595C8C">
            <w:pPr>
              <w:spacing w:before="60" w:after="60"/>
            </w:pPr>
            <w:r>
              <w:t xml:space="preserve">Fit for Purpose Review of Revision </w:t>
            </w:r>
            <w:r w:rsidR="00F27F1D">
              <w:t>2</w:t>
            </w:r>
          </w:p>
        </w:tc>
      </w:tr>
    </w:tbl>
    <w:p w14:paraId="1FDB4B56" w14:textId="6C10B266" w:rsidR="00595C8C" w:rsidRDefault="00595C8C" w:rsidP="00323E71">
      <w:pPr>
        <w:sectPr w:rsidR="00595C8C" w:rsidSect="000B2BCD">
          <w:headerReference w:type="default" r:id="rId12"/>
          <w:footerReference w:type="default" r:id="rId13"/>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7623A60" w14:textId="39DEDFAA" w:rsidR="00150181"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188964100" w:history="1">
        <w:r w:rsidR="00150181" w:rsidRPr="00120596">
          <w:rPr>
            <w:rStyle w:val="Hyperlink"/>
          </w:rPr>
          <w:t>1.</w:t>
        </w:r>
        <w:r w:rsidR="00150181">
          <w:rPr>
            <w:rFonts w:asciiTheme="minorHAnsi" w:eastAsiaTheme="minorEastAsia" w:hAnsiTheme="minorHAnsi" w:cstheme="minorBidi"/>
            <w:kern w:val="2"/>
            <w:szCs w:val="24"/>
            <w:lang w:eastAsia="en-GB" w:bidi="ar-SA"/>
            <w14:ligatures w14:val="standardContextual"/>
          </w:rPr>
          <w:tab/>
        </w:r>
        <w:r w:rsidR="00150181" w:rsidRPr="00120596">
          <w:rPr>
            <w:rStyle w:val="Hyperlink"/>
          </w:rPr>
          <w:t>Introduction</w:t>
        </w:r>
        <w:r w:rsidR="00150181">
          <w:rPr>
            <w:webHidden/>
          </w:rPr>
          <w:tab/>
        </w:r>
        <w:r w:rsidR="00150181">
          <w:rPr>
            <w:webHidden/>
          </w:rPr>
          <w:fldChar w:fldCharType="begin"/>
        </w:r>
        <w:r w:rsidR="00150181">
          <w:rPr>
            <w:webHidden/>
          </w:rPr>
          <w:instrText xml:space="preserve"> PAGEREF _Toc188964100 \h </w:instrText>
        </w:r>
        <w:r w:rsidR="00150181">
          <w:rPr>
            <w:webHidden/>
          </w:rPr>
        </w:r>
        <w:r w:rsidR="00150181">
          <w:rPr>
            <w:webHidden/>
          </w:rPr>
          <w:fldChar w:fldCharType="separate"/>
        </w:r>
        <w:r w:rsidR="00150181">
          <w:rPr>
            <w:webHidden/>
          </w:rPr>
          <w:t>4</w:t>
        </w:r>
        <w:r w:rsidR="00150181">
          <w:rPr>
            <w:webHidden/>
          </w:rPr>
          <w:fldChar w:fldCharType="end"/>
        </w:r>
      </w:hyperlink>
    </w:p>
    <w:p w14:paraId="4E66396F" w14:textId="3B3DAEFA" w:rsidR="00150181" w:rsidRDefault="0015018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4101" w:history="1">
        <w:r w:rsidRPr="00120596">
          <w:rPr>
            <w:rStyle w:val="Hyperlink"/>
          </w:rPr>
          <w:t>2.</w:t>
        </w:r>
        <w:r>
          <w:rPr>
            <w:rFonts w:asciiTheme="minorHAnsi" w:eastAsiaTheme="minorEastAsia" w:hAnsiTheme="minorHAnsi" w:cstheme="minorBidi"/>
            <w:kern w:val="2"/>
            <w:szCs w:val="24"/>
            <w:lang w:eastAsia="en-GB" w:bidi="ar-SA"/>
            <w14:ligatures w14:val="standardContextual"/>
          </w:rPr>
          <w:tab/>
        </w:r>
        <w:r w:rsidRPr="00120596">
          <w:rPr>
            <w:rStyle w:val="Hyperlink"/>
          </w:rPr>
          <w:t>Purpose and Scope</w:t>
        </w:r>
        <w:r>
          <w:rPr>
            <w:webHidden/>
          </w:rPr>
          <w:tab/>
        </w:r>
        <w:r>
          <w:rPr>
            <w:webHidden/>
          </w:rPr>
          <w:fldChar w:fldCharType="begin"/>
        </w:r>
        <w:r>
          <w:rPr>
            <w:webHidden/>
          </w:rPr>
          <w:instrText xml:space="preserve"> PAGEREF _Toc188964101 \h </w:instrText>
        </w:r>
        <w:r>
          <w:rPr>
            <w:webHidden/>
          </w:rPr>
        </w:r>
        <w:r>
          <w:rPr>
            <w:webHidden/>
          </w:rPr>
          <w:fldChar w:fldCharType="separate"/>
        </w:r>
        <w:r>
          <w:rPr>
            <w:webHidden/>
          </w:rPr>
          <w:t>4</w:t>
        </w:r>
        <w:r>
          <w:rPr>
            <w:webHidden/>
          </w:rPr>
          <w:fldChar w:fldCharType="end"/>
        </w:r>
      </w:hyperlink>
    </w:p>
    <w:p w14:paraId="42B638E2" w14:textId="4CD345A9" w:rsidR="00150181" w:rsidRDefault="0015018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4102" w:history="1">
        <w:r w:rsidRPr="00120596">
          <w:rPr>
            <w:rStyle w:val="Hyperlink"/>
          </w:rPr>
          <w:t>3.</w:t>
        </w:r>
        <w:r>
          <w:rPr>
            <w:rFonts w:asciiTheme="minorHAnsi" w:eastAsiaTheme="minorEastAsia" w:hAnsiTheme="minorHAnsi" w:cstheme="minorBidi"/>
            <w:kern w:val="2"/>
            <w:szCs w:val="24"/>
            <w:lang w:eastAsia="en-GB" w:bidi="ar-SA"/>
            <w14:ligatures w14:val="standardContextual"/>
          </w:rPr>
          <w:tab/>
        </w:r>
        <w:r w:rsidRPr="00120596">
          <w:rPr>
            <w:rStyle w:val="Hyperlink"/>
          </w:rPr>
          <w:t>Relationship to Legislation</w:t>
        </w:r>
        <w:r>
          <w:rPr>
            <w:webHidden/>
          </w:rPr>
          <w:tab/>
        </w:r>
        <w:r>
          <w:rPr>
            <w:webHidden/>
          </w:rPr>
          <w:fldChar w:fldCharType="begin"/>
        </w:r>
        <w:r>
          <w:rPr>
            <w:webHidden/>
          </w:rPr>
          <w:instrText xml:space="preserve"> PAGEREF _Toc188964102 \h </w:instrText>
        </w:r>
        <w:r>
          <w:rPr>
            <w:webHidden/>
          </w:rPr>
        </w:r>
        <w:r>
          <w:rPr>
            <w:webHidden/>
          </w:rPr>
          <w:fldChar w:fldCharType="separate"/>
        </w:r>
        <w:r>
          <w:rPr>
            <w:webHidden/>
          </w:rPr>
          <w:t>5</w:t>
        </w:r>
        <w:r>
          <w:rPr>
            <w:webHidden/>
          </w:rPr>
          <w:fldChar w:fldCharType="end"/>
        </w:r>
      </w:hyperlink>
    </w:p>
    <w:p w14:paraId="63B0FC9B" w14:textId="3E36D67F" w:rsidR="00150181" w:rsidRDefault="0015018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4103" w:history="1">
        <w:r w:rsidRPr="00120596">
          <w:rPr>
            <w:rStyle w:val="Hyperlink"/>
          </w:rPr>
          <w:t>4.</w:t>
        </w:r>
        <w:r>
          <w:rPr>
            <w:rFonts w:asciiTheme="minorHAnsi" w:eastAsiaTheme="minorEastAsia" w:hAnsiTheme="minorHAnsi" w:cstheme="minorBidi"/>
            <w:kern w:val="2"/>
            <w:szCs w:val="24"/>
            <w:lang w:eastAsia="en-GB" w:bidi="ar-SA"/>
            <w14:ligatures w14:val="standardContextual"/>
          </w:rPr>
          <w:tab/>
        </w:r>
        <w:r w:rsidRPr="00120596">
          <w:rPr>
            <w:rStyle w:val="Hyperlink"/>
          </w:rPr>
          <w:t>Relationship to IAEA Documentation and Guidance</w:t>
        </w:r>
        <w:r>
          <w:rPr>
            <w:webHidden/>
          </w:rPr>
          <w:tab/>
        </w:r>
        <w:r>
          <w:rPr>
            <w:webHidden/>
          </w:rPr>
          <w:fldChar w:fldCharType="begin"/>
        </w:r>
        <w:r>
          <w:rPr>
            <w:webHidden/>
          </w:rPr>
          <w:instrText xml:space="preserve"> PAGEREF _Toc188964103 \h </w:instrText>
        </w:r>
        <w:r>
          <w:rPr>
            <w:webHidden/>
          </w:rPr>
        </w:r>
        <w:r>
          <w:rPr>
            <w:webHidden/>
          </w:rPr>
          <w:fldChar w:fldCharType="separate"/>
        </w:r>
        <w:r>
          <w:rPr>
            <w:webHidden/>
          </w:rPr>
          <w:t>6</w:t>
        </w:r>
        <w:r>
          <w:rPr>
            <w:webHidden/>
          </w:rPr>
          <w:fldChar w:fldCharType="end"/>
        </w:r>
      </w:hyperlink>
    </w:p>
    <w:p w14:paraId="17D7C397" w14:textId="66B7517F" w:rsidR="00150181" w:rsidRDefault="0015018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4104" w:history="1">
        <w:r w:rsidRPr="00120596">
          <w:rPr>
            <w:rStyle w:val="Hyperlink"/>
          </w:rPr>
          <w:t>5.</w:t>
        </w:r>
        <w:r>
          <w:rPr>
            <w:rFonts w:asciiTheme="minorHAnsi" w:eastAsiaTheme="minorEastAsia" w:hAnsiTheme="minorHAnsi" w:cstheme="minorBidi"/>
            <w:kern w:val="2"/>
            <w:szCs w:val="24"/>
            <w:lang w:eastAsia="en-GB" w:bidi="ar-SA"/>
            <w14:ligatures w14:val="standardContextual"/>
          </w:rPr>
          <w:tab/>
        </w:r>
        <w:r w:rsidRPr="00120596">
          <w:rPr>
            <w:rStyle w:val="Hyperlink"/>
          </w:rPr>
          <w:t>Relationship to National Policy Documents</w:t>
        </w:r>
        <w:r>
          <w:rPr>
            <w:webHidden/>
          </w:rPr>
          <w:tab/>
        </w:r>
        <w:r>
          <w:rPr>
            <w:webHidden/>
          </w:rPr>
          <w:fldChar w:fldCharType="begin"/>
        </w:r>
        <w:r>
          <w:rPr>
            <w:webHidden/>
          </w:rPr>
          <w:instrText xml:space="preserve"> PAGEREF _Toc188964104 \h </w:instrText>
        </w:r>
        <w:r>
          <w:rPr>
            <w:webHidden/>
          </w:rPr>
        </w:r>
        <w:r>
          <w:rPr>
            <w:webHidden/>
          </w:rPr>
          <w:fldChar w:fldCharType="separate"/>
        </w:r>
        <w:r>
          <w:rPr>
            <w:webHidden/>
          </w:rPr>
          <w:t>7</w:t>
        </w:r>
        <w:r>
          <w:rPr>
            <w:webHidden/>
          </w:rPr>
          <w:fldChar w:fldCharType="end"/>
        </w:r>
      </w:hyperlink>
    </w:p>
    <w:p w14:paraId="4B77464E" w14:textId="111D50D8" w:rsidR="00150181" w:rsidRDefault="0015018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4105" w:history="1">
        <w:r w:rsidRPr="00120596">
          <w:rPr>
            <w:rStyle w:val="Hyperlink"/>
          </w:rPr>
          <w:t>6.</w:t>
        </w:r>
        <w:r>
          <w:rPr>
            <w:rFonts w:asciiTheme="minorHAnsi" w:eastAsiaTheme="minorEastAsia" w:hAnsiTheme="minorHAnsi" w:cstheme="minorBidi"/>
            <w:kern w:val="2"/>
            <w:szCs w:val="24"/>
            <w:lang w:eastAsia="en-GB" w:bidi="ar-SA"/>
            <w14:ligatures w14:val="standardContextual"/>
          </w:rPr>
          <w:tab/>
        </w:r>
        <w:r w:rsidRPr="00120596">
          <w:rPr>
            <w:rStyle w:val="Hyperlink"/>
          </w:rPr>
          <w:t>Advice to Inspectors</w:t>
        </w:r>
        <w:r>
          <w:rPr>
            <w:webHidden/>
          </w:rPr>
          <w:tab/>
        </w:r>
        <w:r>
          <w:rPr>
            <w:webHidden/>
          </w:rPr>
          <w:fldChar w:fldCharType="begin"/>
        </w:r>
        <w:r>
          <w:rPr>
            <w:webHidden/>
          </w:rPr>
          <w:instrText xml:space="preserve"> PAGEREF _Toc188964105 \h </w:instrText>
        </w:r>
        <w:r>
          <w:rPr>
            <w:webHidden/>
          </w:rPr>
        </w:r>
        <w:r>
          <w:rPr>
            <w:webHidden/>
          </w:rPr>
          <w:fldChar w:fldCharType="separate"/>
        </w:r>
        <w:r>
          <w:rPr>
            <w:webHidden/>
          </w:rPr>
          <w:t>8</w:t>
        </w:r>
        <w:r>
          <w:rPr>
            <w:webHidden/>
          </w:rPr>
          <w:fldChar w:fldCharType="end"/>
        </w:r>
      </w:hyperlink>
    </w:p>
    <w:p w14:paraId="39D0FEFE" w14:textId="10CAE732" w:rsidR="00150181" w:rsidRDefault="0015018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4106" w:history="1">
        <w:r w:rsidRPr="00120596">
          <w:rPr>
            <w:rStyle w:val="Hyperlink"/>
          </w:rPr>
          <w:t>7.</w:t>
        </w:r>
        <w:r>
          <w:rPr>
            <w:rFonts w:asciiTheme="minorHAnsi" w:eastAsiaTheme="minorEastAsia" w:hAnsiTheme="minorHAnsi" w:cstheme="minorBidi"/>
            <w:kern w:val="2"/>
            <w:szCs w:val="24"/>
            <w:lang w:eastAsia="en-GB" w:bidi="ar-SA"/>
            <w14:ligatures w14:val="standardContextual"/>
          </w:rPr>
          <w:tab/>
        </w:r>
        <w:r w:rsidRPr="00120596">
          <w:rPr>
            <w:rStyle w:val="Hyperlink"/>
          </w:rPr>
          <w:t>Categorisation Overview</w:t>
        </w:r>
        <w:r>
          <w:rPr>
            <w:webHidden/>
          </w:rPr>
          <w:tab/>
        </w:r>
        <w:r>
          <w:rPr>
            <w:webHidden/>
          </w:rPr>
          <w:fldChar w:fldCharType="begin"/>
        </w:r>
        <w:r>
          <w:rPr>
            <w:webHidden/>
          </w:rPr>
          <w:instrText xml:space="preserve"> PAGEREF _Toc188964106 \h </w:instrText>
        </w:r>
        <w:r>
          <w:rPr>
            <w:webHidden/>
          </w:rPr>
        </w:r>
        <w:r>
          <w:rPr>
            <w:webHidden/>
          </w:rPr>
          <w:fldChar w:fldCharType="separate"/>
        </w:r>
        <w:r>
          <w:rPr>
            <w:webHidden/>
          </w:rPr>
          <w:t>10</w:t>
        </w:r>
        <w:r>
          <w:rPr>
            <w:webHidden/>
          </w:rPr>
          <w:fldChar w:fldCharType="end"/>
        </w:r>
      </w:hyperlink>
    </w:p>
    <w:p w14:paraId="21D33C41" w14:textId="5A17610E" w:rsidR="00150181" w:rsidRDefault="0015018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4107" w:history="1">
        <w:r w:rsidRPr="00120596">
          <w:rPr>
            <w:rStyle w:val="Hyperlink"/>
          </w:rPr>
          <w:t>8.</w:t>
        </w:r>
        <w:r>
          <w:rPr>
            <w:rFonts w:asciiTheme="minorHAnsi" w:eastAsiaTheme="minorEastAsia" w:hAnsiTheme="minorHAnsi" w:cstheme="minorBidi"/>
            <w:kern w:val="2"/>
            <w:szCs w:val="24"/>
            <w:lang w:eastAsia="en-GB" w:bidi="ar-SA"/>
            <w14:ligatures w14:val="standardContextual"/>
          </w:rPr>
          <w:tab/>
        </w:r>
        <w:r w:rsidRPr="00120596">
          <w:rPr>
            <w:rStyle w:val="Hyperlink"/>
          </w:rPr>
          <w:t>Considerations in Setting Graded Protection Requirements Based on Material Form</w:t>
        </w:r>
        <w:r>
          <w:rPr>
            <w:webHidden/>
          </w:rPr>
          <w:tab/>
        </w:r>
        <w:r>
          <w:rPr>
            <w:webHidden/>
          </w:rPr>
          <w:fldChar w:fldCharType="begin"/>
        </w:r>
        <w:r>
          <w:rPr>
            <w:webHidden/>
          </w:rPr>
          <w:instrText xml:space="preserve"> PAGEREF _Toc188964107 \h </w:instrText>
        </w:r>
        <w:r>
          <w:rPr>
            <w:webHidden/>
          </w:rPr>
        </w:r>
        <w:r>
          <w:rPr>
            <w:webHidden/>
          </w:rPr>
          <w:fldChar w:fldCharType="separate"/>
        </w:r>
        <w:r>
          <w:rPr>
            <w:webHidden/>
          </w:rPr>
          <w:t>11</w:t>
        </w:r>
        <w:r>
          <w:rPr>
            <w:webHidden/>
          </w:rPr>
          <w:fldChar w:fldCharType="end"/>
        </w:r>
      </w:hyperlink>
    </w:p>
    <w:p w14:paraId="3FBB4542" w14:textId="6E84CAF3" w:rsidR="00150181" w:rsidRDefault="0015018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4108" w:history="1">
        <w:r w:rsidRPr="00120596">
          <w:rPr>
            <w:rStyle w:val="Hyperlink"/>
          </w:rPr>
          <w:t>9.</w:t>
        </w:r>
        <w:r>
          <w:rPr>
            <w:rFonts w:asciiTheme="minorHAnsi" w:eastAsiaTheme="minorEastAsia" w:hAnsiTheme="minorHAnsi" w:cstheme="minorBidi"/>
            <w:kern w:val="2"/>
            <w:szCs w:val="24"/>
            <w:lang w:eastAsia="en-GB" w:bidi="ar-SA"/>
            <w14:ligatures w14:val="standardContextual"/>
          </w:rPr>
          <w:tab/>
        </w:r>
        <w:r w:rsidRPr="00120596">
          <w:rPr>
            <w:rStyle w:val="Hyperlink"/>
          </w:rPr>
          <w:t>Additional Considerations Based on Aggregation of Nuclear Material</w:t>
        </w:r>
        <w:r>
          <w:rPr>
            <w:webHidden/>
          </w:rPr>
          <w:tab/>
        </w:r>
        <w:r>
          <w:rPr>
            <w:webHidden/>
          </w:rPr>
          <w:fldChar w:fldCharType="begin"/>
        </w:r>
        <w:r>
          <w:rPr>
            <w:webHidden/>
          </w:rPr>
          <w:instrText xml:space="preserve"> PAGEREF _Toc188964108 \h </w:instrText>
        </w:r>
        <w:r>
          <w:rPr>
            <w:webHidden/>
          </w:rPr>
        </w:r>
        <w:r>
          <w:rPr>
            <w:webHidden/>
          </w:rPr>
          <w:fldChar w:fldCharType="separate"/>
        </w:r>
        <w:r>
          <w:rPr>
            <w:webHidden/>
          </w:rPr>
          <w:t>13</w:t>
        </w:r>
        <w:r>
          <w:rPr>
            <w:webHidden/>
          </w:rPr>
          <w:fldChar w:fldCharType="end"/>
        </w:r>
      </w:hyperlink>
    </w:p>
    <w:p w14:paraId="0E5CBEEF" w14:textId="53058743" w:rsidR="00150181" w:rsidRDefault="0015018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4109" w:history="1">
        <w:r w:rsidRPr="00120596">
          <w:rPr>
            <w:rStyle w:val="Hyperlink"/>
          </w:rPr>
          <w:t>10.</w:t>
        </w:r>
        <w:r>
          <w:rPr>
            <w:rFonts w:asciiTheme="minorHAnsi" w:eastAsiaTheme="minorEastAsia" w:hAnsiTheme="minorHAnsi" w:cstheme="minorBidi"/>
            <w:kern w:val="2"/>
            <w:szCs w:val="24"/>
            <w:lang w:eastAsia="en-GB" w:bidi="ar-SA"/>
            <w14:ligatures w14:val="standardContextual"/>
          </w:rPr>
          <w:tab/>
        </w:r>
        <w:r w:rsidRPr="00120596">
          <w:rPr>
            <w:rStyle w:val="Hyperlink"/>
          </w:rPr>
          <w:t>Notes on Physical Protection and Categorisation of Nuclear Material</w:t>
        </w:r>
        <w:r>
          <w:rPr>
            <w:webHidden/>
          </w:rPr>
          <w:tab/>
        </w:r>
        <w:r>
          <w:rPr>
            <w:webHidden/>
          </w:rPr>
          <w:fldChar w:fldCharType="begin"/>
        </w:r>
        <w:r>
          <w:rPr>
            <w:webHidden/>
          </w:rPr>
          <w:instrText xml:space="preserve"> PAGEREF _Toc188964109 \h </w:instrText>
        </w:r>
        <w:r>
          <w:rPr>
            <w:webHidden/>
          </w:rPr>
        </w:r>
        <w:r>
          <w:rPr>
            <w:webHidden/>
          </w:rPr>
          <w:fldChar w:fldCharType="separate"/>
        </w:r>
        <w:r>
          <w:rPr>
            <w:webHidden/>
          </w:rPr>
          <w:t>14</w:t>
        </w:r>
        <w:r>
          <w:rPr>
            <w:webHidden/>
          </w:rPr>
          <w:fldChar w:fldCharType="end"/>
        </w:r>
      </w:hyperlink>
    </w:p>
    <w:p w14:paraId="17159504" w14:textId="2399332C" w:rsidR="00150181" w:rsidRDefault="0015018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4110" w:history="1">
        <w:r w:rsidRPr="00120596">
          <w:rPr>
            <w:rStyle w:val="Hyperlink"/>
            <w:lang w:val="en-US"/>
          </w:rPr>
          <w:t>11.</w:t>
        </w:r>
        <w:r>
          <w:rPr>
            <w:rFonts w:asciiTheme="minorHAnsi" w:eastAsiaTheme="minorEastAsia" w:hAnsiTheme="minorHAnsi" w:cstheme="minorBidi"/>
            <w:kern w:val="2"/>
            <w:szCs w:val="24"/>
            <w:lang w:eastAsia="en-GB" w:bidi="ar-SA"/>
            <w14:ligatures w14:val="standardContextual"/>
          </w:rPr>
          <w:tab/>
        </w:r>
        <w:r w:rsidRPr="00120596">
          <w:rPr>
            <w:rStyle w:val="Hyperlink"/>
          </w:rPr>
          <w:t>Categorisation of Radioactive Sources</w:t>
        </w:r>
        <w:r>
          <w:rPr>
            <w:webHidden/>
          </w:rPr>
          <w:tab/>
        </w:r>
        <w:r>
          <w:rPr>
            <w:webHidden/>
          </w:rPr>
          <w:fldChar w:fldCharType="begin"/>
        </w:r>
        <w:r>
          <w:rPr>
            <w:webHidden/>
          </w:rPr>
          <w:instrText xml:space="preserve"> PAGEREF _Toc188964110 \h </w:instrText>
        </w:r>
        <w:r>
          <w:rPr>
            <w:webHidden/>
          </w:rPr>
        </w:r>
        <w:r>
          <w:rPr>
            <w:webHidden/>
          </w:rPr>
          <w:fldChar w:fldCharType="separate"/>
        </w:r>
        <w:r>
          <w:rPr>
            <w:webHidden/>
          </w:rPr>
          <w:t>15</w:t>
        </w:r>
        <w:r>
          <w:rPr>
            <w:webHidden/>
          </w:rPr>
          <w:fldChar w:fldCharType="end"/>
        </w:r>
      </w:hyperlink>
    </w:p>
    <w:p w14:paraId="32028B27" w14:textId="754A7E5A" w:rsidR="00150181" w:rsidRDefault="0015018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4111" w:history="1">
        <w:r w:rsidRPr="00120596">
          <w:rPr>
            <w:rStyle w:val="Hyperlink"/>
            <w:lang w:val="en-US"/>
          </w:rPr>
          <w:t>12.</w:t>
        </w:r>
        <w:r>
          <w:rPr>
            <w:rFonts w:asciiTheme="minorHAnsi" w:eastAsiaTheme="minorEastAsia" w:hAnsiTheme="minorHAnsi" w:cstheme="minorBidi"/>
            <w:kern w:val="2"/>
            <w:szCs w:val="24"/>
            <w:lang w:eastAsia="en-GB" w:bidi="ar-SA"/>
            <w14:ligatures w14:val="standardContextual"/>
          </w:rPr>
          <w:tab/>
        </w:r>
        <w:r w:rsidRPr="00120596">
          <w:rPr>
            <w:rStyle w:val="Hyperlink"/>
          </w:rPr>
          <w:t>Categorisation of Other Radioactive Material</w:t>
        </w:r>
        <w:r>
          <w:rPr>
            <w:webHidden/>
          </w:rPr>
          <w:tab/>
        </w:r>
        <w:r>
          <w:rPr>
            <w:webHidden/>
          </w:rPr>
          <w:fldChar w:fldCharType="begin"/>
        </w:r>
        <w:r>
          <w:rPr>
            <w:webHidden/>
          </w:rPr>
          <w:instrText xml:space="preserve"> PAGEREF _Toc188964111 \h </w:instrText>
        </w:r>
        <w:r>
          <w:rPr>
            <w:webHidden/>
          </w:rPr>
        </w:r>
        <w:r>
          <w:rPr>
            <w:webHidden/>
          </w:rPr>
          <w:fldChar w:fldCharType="separate"/>
        </w:r>
        <w:r>
          <w:rPr>
            <w:webHidden/>
          </w:rPr>
          <w:t>16</w:t>
        </w:r>
        <w:r>
          <w:rPr>
            <w:webHidden/>
          </w:rPr>
          <w:fldChar w:fldCharType="end"/>
        </w:r>
      </w:hyperlink>
    </w:p>
    <w:p w14:paraId="26A122B3" w14:textId="15790E3A" w:rsidR="00150181" w:rsidRDefault="0015018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4112" w:history="1">
        <w:r w:rsidRPr="00120596">
          <w:rPr>
            <w:rStyle w:val="Hyperlink"/>
            <w:lang w:val="en-US"/>
          </w:rPr>
          <w:t>13.</w:t>
        </w:r>
        <w:r>
          <w:rPr>
            <w:rFonts w:asciiTheme="minorHAnsi" w:eastAsiaTheme="minorEastAsia" w:hAnsiTheme="minorHAnsi" w:cstheme="minorBidi"/>
            <w:kern w:val="2"/>
            <w:szCs w:val="24"/>
            <w:lang w:eastAsia="en-GB" w:bidi="ar-SA"/>
            <w14:ligatures w14:val="standardContextual"/>
          </w:rPr>
          <w:tab/>
        </w:r>
        <w:r w:rsidRPr="00120596">
          <w:rPr>
            <w:rStyle w:val="Hyperlink"/>
          </w:rPr>
          <w:t>Inventory Changes</w:t>
        </w:r>
        <w:r>
          <w:rPr>
            <w:webHidden/>
          </w:rPr>
          <w:tab/>
        </w:r>
        <w:r>
          <w:rPr>
            <w:webHidden/>
          </w:rPr>
          <w:fldChar w:fldCharType="begin"/>
        </w:r>
        <w:r>
          <w:rPr>
            <w:webHidden/>
          </w:rPr>
          <w:instrText xml:space="preserve"> PAGEREF _Toc188964112 \h </w:instrText>
        </w:r>
        <w:r>
          <w:rPr>
            <w:webHidden/>
          </w:rPr>
        </w:r>
        <w:r>
          <w:rPr>
            <w:webHidden/>
          </w:rPr>
          <w:fldChar w:fldCharType="separate"/>
        </w:r>
        <w:r>
          <w:rPr>
            <w:webHidden/>
          </w:rPr>
          <w:t>16</w:t>
        </w:r>
        <w:r>
          <w:rPr>
            <w:webHidden/>
          </w:rPr>
          <w:fldChar w:fldCharType="end"/>
        </w:r>
      </w:hyperlink>
    </w:p>
    <w:p w14:paraId="0EBCE41A" w14:textId="64CFE44B" w:rsidR="00150181" w:rsidRDefault="00150181">
      <w:pPr>
        <w:pStyle w:val="TOC1"/>
        <w:rPr>
          <w:rFonts w:asciiTheme="minorHAnsi" w:eastAsiaTheme="minorEastAsia" w:hAnsiTheme="minorHAnsi" w:cstheme="minorBidi"/>
          <w:kern w:val="2"/>
          <w:szCs w:val="24"/>
          <w:lang w:eastAsia="en-GB" w:bidi="ar-SA"/>
          <w14:ligatures w14:val="standardContextual"/>
        </w:rPr>
      </w:pPr>
      <w:hyperlink w:anchor="_Toc188964113" w:history="1">
        <w:r w:rsidRPr="00120596">
          <w:rPr>
            <w:rStyle w:val="Hyperlink"/>
          </w:rPr>
          <w:t>References</w:t>
        </w:r>
        <w:r>
          <w:rPr>
            <w:webHidden/>
          </w:rPr>
          <w:tab/>
        </w:r>
        <w:r>
          <w:rPr>
            <w:webHidden/>
          </w:rPr>
          <w:fldChar w:fldCharType="begin"/>
        </w:r>
        <w:r>
          <w:rPr>
            <w:webHidden/>
          </w:rPr>
          <w:instrText xml:space="preserve"> PAGEREF _Toc188964113 \h </w:instrText>
        </w:r>
        <w:r>
          <w:rPr>
            <w:webHidden/>
          </w:rPr>
        </w:r>
        <w:r>
          <w:rPr>
            <w:webHidden/>
          </w:rPr>
          <w:fldChar w:fldCharType="separate"/>
        </w:r>
        <w:r>
          <w:rPr>
            <w:webHidden/>
          </w:rPr>
          <w:t>17</w:t>
        </w:r>
        <w:r>
          <w:rPr>
            <w:webHidden/>
          </w:rPr>
          <w:fldChar w:fldCharType="end"/>
        </w:r>
      </w:hyperlink>
    </w:p>
    <w:p w14:paraId="7F878053" w14:textId="3692DB9C" w:rsidR="00150181" w:rsidRDefault="00150181">
      <w:pPr>
        <w:pStyle w:val="TOC1"/>
        <w:rPr>
          <w:rFonts w:asciiTheme="minorHAnsi" w:eastAsiaTheme="minorEastAsia" w:hAnsiTheme="minorHAnsi" w:cstheme="minorBidi"/>
          <w:kern w:val="2"/>
          <w:szCs w:val="24"/>
          <w:lang w:eastAsia="en-GB" w:bidi="ar-SA"/>
          <w14:ligatures w14:val="standardContextual"/>
        </w:rPr>
      </w:pPr>
      <w:hyperlink w:anchor="_Toc188964114" w:history="1">
        <w:r w:rsidRPr="00120596">
          <w:rPr>
            <w:rStyle w:val="Hyperlink"/>
          </w:rPr>
          <w:t>Glossary and Abbreviations</w:t>
        </w:r>
        <w:r>
          <w:rPr>
            <w:webHidden/>
          </w:rPr>
          <w:tab/>
        </w:r>
        <w:r>
          <w:rPr>
            <w:webHidden/>
          </w:rPr>
          <w:fldChar w:fldCharType="begin"/>
        </w:r>
        <w:r>
          <w:rPr>
            <w:webHidden/>
          </w:rPr>
          <w:instrText xml:space="preserve"> PAGEREF _Toc188964114 \h </w:instrText>
        </w:r>
        <w:r>
          <w:rPr>
            <w:webHidden/>
          </w:rPr>
        </w:r>
        <w:r>
          <w:rPr>
            <w:webHidden/>
          </w:rPr>
          <w:fldChar w:fldCharType="separate"/>
        </w:r>
        <w:r>
          <w:rPr>
            <w:webHidden/>
          </w:rPr>
          <w:t>18</w:t>
        </w:r>
        <w:r>
          <w:rPr>
            <w:webHidden/>
          </w:rPr>
          <w:fldChar w:fldCharType="end"/>
        </w:r>
      </w:hyperlink>
    </w:p>
    <w:p w14:paraId="0CC4B54A" w14:textId="0C52E9EA" w:rsidR="00267815" w:rsidRDefault="00404B0C" w:rsidP="00267815">
      <w:r>
        <w:fldChar w:fldCharType="end"/>
      </w:r>
    </w:p>
    <w:bookmarkEnd w:id="0"/>
    <w:p w14:paraId="3E742336" w14:textId="789FC32A" w:rsidR="00621BF6" w:rsidRDefault="00621BF6" w:rsidP="00CE1DB2">
      <w:pPr>
        <w:pStyle w:val="Caption"/>
        <w:jc w:val="center"/>
        <w:sectPr w:rsidR="00621BF6" w:rsidSect="000B2BCD">
          <w:headerReference w:type="even" r:id="rId14"/>
          <w:headerReference w:type="default" r:id="rId15"/>
          <w:footerReference w:type="even" r:id="rId16"/>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88964100"/>
      <w:r w:rsidRPr="00E90780">
        <w:lastRenderedPageBreak/>
        <w:t>Introduction</w:t>
      </w:r>
      <w:bookmarkEnd w:id="1"/>
    </w:p>
    <w:p w14:paraId="56D71E00" w14:textId="77D2EB37" w:rsidR="000950B3" w:rsidRPr="00712FD1" w:rsidRDefault="00265CD7" w:rsidP="000A51C3">
      <w:pPr>
        <w:pStyle w:val="F9-Paragraph"/>
        <w:numPr>
          <w:ilvl w:val="0"/>
          <w:numId w:val="29"/>
        </w:numPr>
        <w:ind w:left="851" w:hanging="851"/>
      </w:pPr>
      <w:bookmarkStart w:id="2" w:name="_Hlk64448648"/>
      <w:r w:rsidRPr="00721029">
        <w:rPr>
          <w:szCs w:val="22"/>
        </w:rPr>
        <w:t>The Office for Nuclear Regulation (ONR) has established a set of Security Assessment Principles (</w:t>
      </w:r>
      <w:proofErr w:type="spellStart"/>
      <w:r w:rsidRPr="00721029">
        <w:rPr>
          <w:szCs w:val="22"/>
        </w:rPr>
        <w:t>SyAPs</w:t>
      </w:r>
      <w:proofErr w:type="spellEnd"/>
      <w:r w:rsidRPr="00721029">
        <w:rPr>
          <w:szCs w:val="22"/>
        </w:rPr>
        <w:t>) (</w:t>
      </w:r>
      <w:r w:rsidR="00B36FA4">
        <w:rPr>
          <w:szCs w:val="22"/>
        </w:rPr>
        <w:t>Ref.</w:t>
      </w:r>
      <w:r>
        <w:rPr>
          <w:szCs w:val="22"/>
        </w:rPr>
        <w:t xml:space="preserve"> 1</w:t>
      </w:r>
      <w:r w:rsidRPr="00721029">
        <w:rPr>
          <w:szCs w:val="22"/>
        </w:rPr>
        <w:t>)</w:t>
      </w:r>
      <w:r>
        <w:rPr>
          <w:szCs w:val="22"/>
        </w:rPr>
        <w:t>. This document contains Fundamental Security Principles (</w:t>
      </w:r>
      <w:proofErr w:type="spellStart"/>
      <w:r>
        <w:rPr>
          <w:szCs w:val="22"/>
        </w:rPr>
        <w:t>FSyPs</w:t>
      </w:r>
      <w:proofErr w:type="spellEnd"/>
      <w:r>
        <w:rPr>
          <w:szCs w:val="22"/>
        </w:rPr>
        <w:t>)</w:t>
      </w:r>
      <w:r w:rsidRPr="00721029">
        <w:rPr>
          <w:szCs w:val="22"/>
        </w:rPr>
        <w:t xml:space="preserve"> that </w:t>
      </w:r>
      <w:proofErr w:type="spellStart"/>
      <w:r w:rsidRPr="00721029">
        <w:rPr>
          <w:szCs w:val="22"/>
        </w:rPr>
        <w:t>dutyholders</w:t>
      </w:r>
      <w:proofErr w:type="spellEnd"/>
      <w:r w:rsidRPr="00721029">
        <w:rPr>
          <w:szCs w:val="22"/>
        </w:rPr>
        <w:t xml:space="preserve"> mus</w:t>
      </w:r>
      <w:r>
        <w:rPr>
          <w:szCs w:val="22"/>
        </w:rPr>
        <w:t>t demonstrate</w:t>
      </w:r>
      <w:r w:rsidRPr="00721029">
        <w:rPr>
          <w:szCs w:val="22"/>
        </w:rPr>
        <w:t xml:space="preserve"> have been fully taken into account in </w:t>
      </w:r>
      <w:r>
        <w:rPr>
          <w:szCs w:val="22"/>
        </w:rPr>
        <w:t>developing their security arrangements to meet relevant legal obligations</w:t>
      </w:r>
      <w:r w:rsidRPr="00721029">
        <w:rPr>
          <w:szCs w:val="22"/>
        </w:rPr>
        <w:t xml:space="preserve">. The security regime for meeting these principles is described in security plans prepared by the </w:t>
      </w:r>
      <w:proofErr w:type="spellStart"/>
      <w:r w:rsidRPr="00721029">
        <w:rPr>
          <w:szCs w:val="22"/>
        </w:rPr>
        <w:t>dutyholders</w:t>
      </w:r>
      <w:proofErr w:type="spellEnd"/>
      <w:r w:rsidRPr="00721029">
        <w:rPr>
          <w:szCs w:val="22"/>
        </w:rPr>
        <w:t>, which are approved by ONR under the Nuclear Industries Security Regulations</w:t>
      </w:r>
      <w:r>
        <w:rPr>
          <w:szCs w:val="22"/>
        </w:rPr>
        <w:t xml:space="preserve"> (NISR)</w:t>
      </w:r>
      <w:r w:rsidRPr="00721029">
        <w:rPr>
          <w:szCs w:val="22"/>
        </w:rPr>
        <w:t xml:space="preserve"> 2003</w:t>
      </w:r>
      <w:r>
        <w:rPr>
          <w:szCs w:val="22"/>
        </w:rPr>
        <w:t xml:space="preserve"> (</w:t>
      </w:r>
      <w:r w:rsidR="00B36FA4">
        <w:rPr>
          <w:szCs w:val="22"/>
        </w:rPr>
        <w:t>Ref.</w:t>
      </w:r>
      <w:r>
        <w:rPr>
          <w:szCs w:val="22"/>
        </w:rPr>
        <w:t xml:space="preserve"> 2)</w:t>
      </w:r>
      <w:r w:rsidRPr="00721029">
        <w:rPr>
          <w:szCs w:val="22"/>
        </w:rPr>
        <w:t>.</w:t>
      </w:r>
    </w:p>
    <w:bookmarkEnd w:id="2"/>
    <w:p w14:paraId="24F91E15" w14:textId="4A278532" w:rsidR="0023523C" w:rsidRDefault="00265CD7" w:rsidP="0023523C">
      <w:pPr>
        <w:pStyle w:val="F9-Paragraph"/>
      </w:pPr>
      <w:r w:rsidRPr="00721029">
        <w:rPr>
          <w:szCs w:val="22"/>
        </w:rPr>
        <w:t>The term ‘security pla</w:t>
      </w:r>
      <w:r>
        <w:rPr>
          <w:szCs w:val="22"/>
        </w:rPr>
        <w:t>n’ is used to cover all</w:t>
      </w:r>
      <w:r w:rsidRPr="00721029">
        <w:rPr>
          <w:szCs w:val="22"/>
        </w:rPr>
        <w:t xml:space="preserve"> </w:t>
      </w:r>
      <w:proofErr w:type="spellStart"/>
      <w:r w:rsidRPr="00721029">
        <w:rPr>
          <w:szCs w:val="22"/>
        </w:rPr>
        <w:t>dutyholder</w:t>
      </w:r>
      <w:proofErr w:type="spellEnd"/>
      <w:r w:rsidRPr="00721029">
        <w:rPr>
          <w:szCs w:val="22"/>
        </w:rPr>
        <w:t xml:space="preserve"> submissions such as nuclear site security plans</w:t>
      </w:r>
      <w:r>
        <w:rPr>
          <w:szCs w:val="22"/>
        </w:rPr>
        <w:t xml:space="preserve">, temporary security plans and transport security statements. NISR Regulation 22 </w:t>
      </w:r>
      <w:proofErr w:type="spellStart"/>
      <w:r>
        <w:rPr>
          <w:szCs w:val="22"/>
        </w:rPr>
        <w:t>dutyholders</w:t>
      </w:r>
      <w:proofErr w:type="spellEnd"/>
      <w:r>
        <w:rPr>
          <w:szCs w:val="22"/>
        </w:rPr>
        <w:t xml:space="preserve"> may also use the </w:t>
      </w:r>
      <w:proofErr w:type="spellStart"/>
      <w:r>
        <w:rPr>
          <w:szCs w:val="22"/>
        </w:rPr>
        <w:t>SyAPs</w:t>
      </w:r>
      <w:proofErr w:type="spellEnd"/>
      <w:r>
        <w:rPr>
          <w:szCs w:val="22"/>
        </w:rPr>
        <w:t xml:space="preserve"> as the basis for Cyber Security and Information Assurance (CS&amp;IA) documentation that helps them demonstrate ongoing legal compliance for the protection of Sensitive Nuclear Information (SNI). </w:t>
      </w:r>
      <w:r w:rsidRPr="00721029">
        <w:rPr>
          <w:szCs w:val="22"/>
        </w:rPr>
        <w:t xml:space="preserve">The </w:t>
      </w:r>
      <w:proofErr w:type="spellStart"/>
      <w:r w:rsidRPr="00721029">
        <w:rPr>
          <w:szCs w:val="22"/>
        </w:rPr>
        <w:t>SyAPs</w:t>
      </w:r>
      <w:proofErr w:type="spellEnd"/>
      <w:r w:rsidRPr="00721029">
        <w:rPr>
          <w:szCs w:val="22"/>
        </w:rPr>
        <w:t xml:space="preserve"> are supported by a suite of guides to assist ONR inspectors in their assessment and inspection work, and in making regulatory judgements and decisions</w:t>
      </w:r>
      <w:r w:rsidR="00AB74BA">
        <w:rPr>
          <w:szCs w:val="22"/>
        </w:rPr>
        <w:t xml:space="preserve">. </w:t>
      </w:r>
      <w:r w:rsidRPr="00721029">
        <w:rPr>
          <w:szCs w:val="22"/>
        </w:rPr>
        <w:t>This Technical Assessment Guidance (TAG) is such a guide.</w:t>
      </w:r>
    </w:p>
    <w:p w14:paraId="05AAE39A" w14:textId="6D4A609A" w:rsidR="008D49A5" w:rsidRDefault="000950B3" w:rsidP="00E90780">
      <w:pPr>
        <w:pStyle w:val="Heading1"/>
      </w:pPr>
      <w:bookmarkStart w:id="3" w:name="_Toc188964101"/>
      <w:r>
        <w:t>Purpose and Scope</w:t>
      </w:r>
      <w:bookmarkEnd w:id="3"/>
    </w:p>
    <w:p w14:paraId="47D8A8E0" w14:textId="2FA50814" w:rsidR="000A51C3" w:rsidRPr="00265CD7" w:rsidRDefault="00265CD7" w:rsidP="00046936">
      <w:pPr>
        <w:pStyle w:val="F9-Paragraph"/>
      </w:pPr>
      <w:r w:rsidRPr="00721029">
        <w:rPr>
          <w:szCs w:val="22"/>
        </w:rPr>
        <w:t>This TAG contains guidance to advise and inform ON</w:t>
      </w:r>
      <w:r>
        <w:rPr>
          <w:szCs w:val="22"/>
        </w:rPr>
        <w:t xml:space="preserve">R inspectors in </w:t>
      </w:r>
      <w:r w:rsidRPr="00721029">
        <w:rPr>
          <w:szCs w:val="22"/>
        </w:rPr>
        <w:t>exercis</w:t>
      </w:r>
      <w:r>
        <w:rPr>
          <w:szCs w:val="22"/>
        </w:rPr>
        <w:t>ing</w:t>
      </w:r>
      <w:r w:rsidRPr="00721029">
        <w:rPr>
          <w:szCs w:val="22"/>
        </w:rPr>
        <w:t xml:space="preserve"> their regulatory judgment during </w:t>
      </w:r>
      <w:r>
        <w:rPr>
          <w:szCs w:val="22"/>
        </w:rPr>
        <w:t xml:space="preserve">assessment </w:t>
      </w:r>
      <w:r w:rsidRPr="00721029">
        <w:rPr>
          <w:szCs w:val="22"/>
        </w:rPr>
        <w:t>activities relating to</w:t>
      </w:r>
      <w:r>
        <w:rPr>
          <w:szCs w:val="22"/>
        </w:rPr>
        <w:t xml:space="preserve"> a </w:t>
      </w:r>
      <w:proofErr w:type="spellStart"/>
      <w:r>
        <w:rPr>
          <w:szCs w:val="22"/>
        </w:rPr>
        <w:t>dutyholder’s</w:t>
      </w:r>
      <w:proofErr w:type="spellEnd"/>
      <w:r w:rsidRPr="00721029">
        <w:rPr>
          <w:szCs w:val="22"/>
        </w:rPr>
        <w:t xml:space="preserve"> </w:t>
      </w:r>
      <w:r>
        <w:rPr>
          <w:szCs w:val="22"/>
        </w:rPr>
        <w:t>processes to identify theft targets through the categorisation of its inventory of Nuclear Material and Other Radioactive Material (NM/ORM)</w:t>
      </w:r>
      <w:r w:rsidR="00AB74BA">
        <w:rPr>
          <w:szCs w:val="22"/>
        </w:rPr>
        <w:t xml:space="preserve">. </w:t>
      </w:r>
      <w:r w:rsidRPr="00721029">
        <w:rPr>
          <w:szCs w:val="22"/>
        </w:rPr>
        <w:t>It aims to provide gene</w:t>
      </w:r>
      <w:r>
        <w:rPr>
          <w:szCs w:val="22"/>
        </w:rPr>
        <w:t>ral advice and guidance to ONR i</w:t>
      </w:r>
      <w:r w:rsidRPr="00721029">
        <w:rPr>
          <w:szCs w:val="22"/>
        </w:rPr>
        <w:t xml:space="preserve">nspectors on how this aspect of security should be assessed. It does not set out how ONR regulates the </w:t>
      </w:r>
      <w:proofErr w:type="spellStart"/>
      <w:r w:rsidRPr="00721029">
        <w:rPr>
          <w:szCs w:val="22"/>
        </w:rPr>
        <w:t>dutyholder</w:t>
      </w:r>
      <w:r>
        <w:rPr>
          <w:szCs w:val="22"/>
        </w:rPr>
        <w:t>’</w:t>
      </w:r>
      <w:r w:rsidRPr="00721029">
        <w:rPr>
          <w:szCs w:val="22"/>
        </w:rPr>
        <w:t>s</w:t>
      </w:r>
      <w:proofErr w:type="spellEnd"/>
      <w:r w:rsidRPr="00721029">
        <w:rPr>
          <w:szCs w:val="22"/>
        </w:rPr>
        <w:t xml:space="preserve"> arrangements</w:t>
      </w:r>
      <w:r w:rsidR="00AB74BA">
        <w:rPr>
          <w:szCs w:val="22"/>
        </w:rPr>
        <w:t xml:space="preserve">. </w:t>
      </w:r>
      <w:r w:rsidRPr="00721029">
        <w:rPr>
          <w:szCs w:val="22"/>
        </w:rPr>
        <w:t xml:space="preserve">It does not prescribe the methodologies </w:t>
      </w:r>
      <w:r>
        <w:rPr>
          <w:szCs w:val="22"/>
        </w:rPr>
        <w:t xml:space="preserve">for </w:t>
      </w:r>
      <w:proofErr w:type="spellStart"/>
      <w:r>
        <w:rPr>
          <w:szCs w:val="22"/>
        </w:rPr>
        <w:t>dutyholders</w:t>
      </w:r>
      <w:proofErr w:type="spellEnd"/>
      <w:r>
        <w:rPr>
          <w:szCs w:val="22"/>
        </w:rPr>
        <w:t xml:space="preserve"> to follow in</w:t>
      </w:r>
      <w:r w:rsidRPr="00721029">
        <w:rPr>
          <w:szCs w:val="22"/>
        </w:rPr>
        <w:t xml:space="preserve"> demonstrat</w:t>
      </w:r>
      <w:r>
        <w:rPr>
          <w:szCs w:val="22"/>
        </w:rPr>
        <w:t>ing</w:t>
      </w:r>
      <w:r w:rsidRPr="00721029">
        <w:rPr>
          <w:szCs w:val="22"/>
        </w:rPr>
        <w:t xml:space="preserve"> they have addressed the </w:t>
      </w:r>
      <w:proofErr w:type="spellStart"/>
      <w:r w:rsidRPr="00721029">
        <w:rPr>
          <w:szCs w:val="22"/>
        </w:rPr>
        <w:t>SyAPs</w:t>
      </w:r>
      <w:proofErr w:type="spellEnd"/>
      <w:r w:rsidRPr="00721029">
        <w:rPr>
          <w:szCs w:val="22"/>
        </w:rPr>
        <w:t xml:space="preserve">. It is the </w:t>
      </w:r>
      <w:proofErr w:type="spellStart"/>
      <w:r w:rsidRPr="00721029">
        <w:rPr>
          <w:szCs w:val="22"/>
        </w:rPr>
        <w:t>dutyholder</w:t>
      </w:r>
      <w:r>
        <w:rPr>
          <w:szCs w:val="22"/>
        </w:rPr>
        <w:t>’</w:t>
      </w:r>
      <w:r w:rsidRPr="00721029">
        <w:rPr>
          <w:szCs w:val="22"/>
        </w:rPr>
        <w:t>s</w:t>
      </w:r>
      <w:proofErr w:type="spellEnd"/>
      <w:r w:rsidRPr="00721029">
        <w:rPr>
          <w:szCs w:val="22"/>
        </w:rPr>
        <w:t xml:space="preserve"> responsibility to determine and describe this detail and for ONR to assess whether the arrangements are adequate.</w:t>
      </w:r>
    </w:p>
    <w:p w14:paraId="55308FB6" w14:textId="655636A4" w:rsidR="00265CD7" w:rsidRPr="00265585" w:rsidRDefault="00265CD7" w:rsidP="00046936">
      <w:pPr>
        <w:pStyle w:val="F9-Paragraph"/>
      </w:pPr>
      <w:r>
        <w:rPr>
          <w:szCs w:val="22"/>
        </w:rPr>
        <w:t xml:space="preserve">Inspectors should note that the scope of this TAG is limited to the categorisation of materials where the intent is an act of unauthorised removal for subsequent malicious use. </w:t>
      </w:r>
      <w:proofErr w:type="spellStart"/>
      <w:r>
        <w:rPr>
          <w:szCs w:val="22"/>
        </w:rPr>
        <w:t>Dutyholders</w:t>
      </w:r>
      <w:proofErr w:type="spellEnd"/>
      <w:r>
        <w:rPr>
          <w:szCs w:val="22"/>
        </w:rPr>
        <w:t xml:space="preserve"> are also required to categorise their inventories from the perspective of direct acts of sabotage</w:t>
      </w:r>
      <w:r w:rsidRPr="00721029">
        <w:rPr>
          <w:szCs w:val="22"/>
        </w:rPr>
        <w:t xml:space="preserve"> </w:t>
      </w:r>
      <w:r>
        <w:rPr>
          <w:szCs w:val="22"/>
        </w:rPr>
        <w:t xml:space="preserve">(i.e. attacking the radioactive material or associated facilities). This is known as vital area identification and TAG 6.2 is provided to assist inspectors assessing </w:t>
      </w:r>
      <w:proofErr w:type="spellStart"/>
      <w:r>
        <w:rPr>
          <w:szCs w:val="22"/>
        </w:rPr>
        <w:t>dutyholder</w:t>
      </w:r>
      <w:proofErr w:type="spellEnd"/>
      <w:r>
        <w:rPr>
          <w:szCs w:val="22"/>
        </w:rPr>
        <w:t xml:space="preserve"> vital area identification studies.</w:t>
      </w:r>
    </w:p>
    <w:p w14:paraId="6E712D03" w14:textId="3B905C21" w:rsidR="009E0E52" w:rsidRDefault="000950B3" w:rsidP="00926A94">
      <w:pPr>
        <w:pStyle w:val="Heading1"/>
        <w:keepNext w:val="0"/>
        <w:pageBreakBefore/>
      </w:pPr>
      <w:bookmarkStart w:id="4" w:name="_Toc188964102"/>
      <w:r>
        <w:lastRenderedPageBreak/>
        <w:t>Relationship to Legislation</w:t>
      </w:r>
      <w:bookmarkEnd w:id="4"/>
      <w:r>
        <w:t xml:space="preserve"> </w:t>
      </w:r>
    </w:p>
    <w:p w14:paraId="79BD20CB" w14:textId="1DABD447" w:rsidR="00816657" w:rsidRDefault="00265CD7" w:rsidP="00816657">
      <w:pPr>
        <w:pStyle w:val="F9-Paragraph"/>
      </w:pPr>
      <w:r w:rsidRPr="00721029">
        <w:rPr>
          <w:szCs w:val="22"/>
        </w:rPr>
        <w:t>The term ‘</w:t>
      </w:r>
      <w:proofErr w:type="spellStart"/>
      <w:r w:rsidRPr="00721029">
        <w:rPr>
          <w:szCs w:val="22"/>
        </w:rPr>
        <w:t>dutyholder</w:t>
      </w:r>
      <w:proofErr w:type="spellEnd"/>
      <w:r w:rsidRPr="00721029">
        <w:rPr>
          <w:szCs w:val="22"/>
        </w:rPr>
        <w:t xml:space="preserve">’ mentioned throughout this guide is used to define ‘responsible persons’ on </w:t>
      </w:r>
      <w:r>
        <w:rPr>
          <w:szCs w:val="22"/>
        </w:rPr>
        <w:t xml:space="preserve">civil </w:t>
      </w:r>
      <w:r w:rsidRPr="00721029">
        <w:rPr>
          <w:szCs w:val="22"/>
        </w:rPr>
        <w:t>nu</w:t>
      </w:r>
      <w:r>
        <w:rPr>
          <w:szCs w:val="22"/>
        </w:rPr>
        <w:t xml:space="preserve">clear licensed sites and other </w:t>
      </w:r>
      <w:r w:rsidRPr="00721029">
        <w:rPr>
          <w:szCs w:val="22"/>
        </w:rPr>
        <w:t>nuclear premises su</w:t>
      </w:r>
      <w:r>
        <w:rPr>
          <w:szCs w:val="22"/>
        </w:rPr>
        <w:t xml:space="preserve">bject to security regulation, </w:t>
      </w:r>
      <w:r w:rsidRPr="00721029">
        <w:rPr>
          <w:szCs w:val="22"/>
        </w:rPr>
        <w:t>a ‘developer’ carrying out work</w:t>
      </w:r>
      <w:r>
        <w:rPr>
          <w:szCs w:val="22"/>
        </w:rPr>
        <w:t xml:space="preserve"> on a nuclear construction site and approved carriers, as defined in NISR</w:t>
      </w:r>
      <w:r w:rsidRPr="00721029">
        <w:rPr>
          <w:szCs w:val="22"/>
        </w:rPr>
        <w:t xml:space="preserve">. It is also used to refer to those holding </w:t>
      </w:r>
      <w:r>
        <w:rPr>
          <w:szCs w:val="22"/>
        </w:rPr>
        <w:t>SNI.</w:t>
      </w:r>
    </w:p>
    <w:p w14:paraId="742A9437" w14:textId="740AB316" w:rsidR="000950B3" w:rsidRDefault="00B138CB" w:rsidP="00816657">
      <w:pPr>
        <w:pStyle w:val="F9-Paragraph"/>
      </w:pPr>
      <w:r>
        <w:t xml:space="preserve">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w:t>
      </w:r>
      <w:r>
        <w:rPr>
          <w:szCs w:val="22"/>
        </w:rPr>
        <w:t>ONR considers</w:t>
      </w:r>
      <w:r w:rsidRPr="00721029">
        <w:rPr>
          <w:szCs w:val="22"/>
        </w:rPr>
        <w:t xml:space="preserve"> </w:t>
      </w:r>
      <w:r>
        <w:rPr>
          <w:szCs w:val="22"/>
        </w:rPr>
        <w:t>Physical Protection Systems (PPS)</w:t>
      </w:r>
      <w:r w:rsidRPr="00721029">
        <w:rPr>
          <w:szCs w:val="22"/>
        </w:rPr>
        <w:t xml:space="preserve"> </w:t>
      </w:r>
      <w:r>
        <w:rPr>
          <w:szCs w:val="22"/>
        </w:rPr>
        <w:t xml:space="preserve">to be an important component of a </w:t>
      </w:r>
      <w:proofErr w:type="spellStart"/>
      <w:r>
        <w:rPr>
          <w:szCs w:val="22"/>
        </w:rPr>
        <w:t>dutyholder’s</w:t>
      </w:r>
      <w:proofErr w:type="spellEnd"/>
      <w:r>
        <w:rPr>
          <w:szCs w:val="22"/>
        </w:rPr>
        <w:t xml:space="preserve"> arrangements in demonstrating compliance with relevant legislation.</w:t>
      </w:r>
    </w:p>
    <w:p w14:paraId="219A98D5" w14:textId="09EF1B1A" w:rsidR="00140E1C" w:rsidRDefault="000950B3" w:rsidP="00BE7EBF">
      <w:pPr>
        <w:pStyle w:val="Heading1"/>
        <w:keepNext w:val="0"/>
        <w:pageBreakBefore/>
      </w:pPr>
      <w:bookmarkStart w:id="5" w:name="_Toc188964103"/>
      <w:r w:rsidRPr="000950B3">
        <w:lastRenderedPageBreak/>
        <w:t xml:space="preserve">Relationship to IAEA </w:t>
      </w:r>
      <w:r w:rsidR="00265585" w:rsidRPr="00265585">
        <w:t xml:space="preserve">Documentation and </w:t>
      </w:r>
      <w:r w:rsidR="00265585">
        <w:t>G</w:t>
      </w:r>
      <w:r w:rsidR="00265585" w:rsidRPr="00265585">
        <w:t>uidance</w:t>
      </w:r>
      <w:bookmarkEnd w:id="5"/>
    </w:p>
    <w:p w14:paraId="05611D9C" w14:textId="06FF7292" w:rsidR="00816657" w:rsidRDefault="000D1772" w:rsidP="00816657">
      <w:pPr>
        <w:pStyle w:val="F9-Paragraph"/>
      </w:pPr>
      <w:r w:rsidRPr="00CA3579">
        <w:t>The essential elements of a national nuclear security regime are set out in the Convention on the Physical Protection of Nuclear Material (CPPNM) (</w:t>
      </w:r>
      <w:r w:rsidR="00B36FA4">
        <w:t>Ref.</w:t>
      </w:r>
      <w:r w:rsidRPr="00CA3579">
        <w:t xml:space="preserve"> </w:t>
      </w:r>
      <w:r>
        <w:t>3</w:t>
      </w:r>
      <w:r w:rsidRPr="00CA3579">
        <w:t xml:space="preserve">) and the </w:t>
      </w:r>
      <w:r w:rsidR="00743F7E">
        <w:t>International Atomic Agency (</w:t>
      </w:r>
      <w:r w:rsidRPr="00CA3579">
        <w:t>IAEA</w:t>
      </w:r>
      <w:r w:rsidR="00743F7E">
        <w:t>)</w:t>
      </w:r>
      <w:r w:rsidRPr="00CA3579">
        <w:t xml:space="preserve"> </w:t>
      </w:r>
      <w:r>
        <w:t xml:space="preserve">Nuclear Security Series 20 </w:t>
      </w:r>
      <w:r w:rsidRPr="00CA3579">
        <w:t>Nuclear Security Fundamentals (</w:t>
      </w:r>
      <w:r w:rsidR="00B36FA4">
        <w:t>Ref.</w:t>
      </w:r>
      <w:r w:rsidRPr="00CA3579">
        <w:t xml:space="preserve"> </w:t>
      </w:r>
      <w:r>
        <w:t>4</w:t>
      </w:r>
      <w:r w:rsidRPr="00CA3579">
        <w:t>). Further guidance is available within IAEA Technical Guidance and Implementing Guides.</w:t>
      </w:r>
    </w:p>
    <w:p w14:paraId="03885B41" w14:textId="21217899" w:rsidR="000D1772" w:rsidRDefault="000D1772" w:rsidP="00816657">
      <w:pPr>
        <w:pStyle w:val="F9-Paragraph"/>
      </w:pPr>
      <w:r>
        <w:t xml:space="preserve">Annex II to the CPPNM consists of a table specifying how nuclear materials are to be categorised. The content of this table is reflected and enshrined within UK legislation through the schedule to NISR. It is supplemented by the tables at Annex A to </w:t>
      </w:r>
      <w:proofErr w:type="spellStart"/>
      <w:r>
        <w:t>SyAPs</w:t>
      </w:r>
      <w:proofErr w:type="spellEnd"/>
      <w:r>
        <w:t>.</w:t>
      </w:r>
    </w:p>
    <w:p w14:paraId="79B9A623" w14:textId="5D36DC7A" w:rsidR="00816657" w:rsidRDefault="000D1772" w:rsidP="00816657">
      <w:pPr>
        <w:pStyle w:val="F9-Paragraph"/>
      </w:pPr>
      <w:r>
        <w:t>Fundamental Principle H</w:t>
      </w:r>
      <w:r w:rsidRPr="00CA3579">
        <w:t xml:space="preserve"> of the CPPNM refers to </w:t>
      </w:r>
      <w:r>
        <w:t>the graded approach</w:t>
      </w:r>
      <w:r w:rsidRPr="00CA3579">
        <w:t xml:space="preserve"> and states that </w:t>
      </w:r>
      <w:r>
        <w:t>physical protection requirements should be based on a graded approach, taking into account the current evaluation of the threat, the relative attractiveness, the nature of the material and potential consequences associated with the unauthorised removal of material and with sabotage against the nuclear material or nuclear facilities</w:t>
      </w:r>
      <w:r w:rsidRPr="00CA3579">
        <w:t xml:space="preserve">. </w:t>
      </w:r>
      <w:r w:rsidRPr="00E717F6">
        <w:rPr>
          <w:szCs w:val="22"/>
        </w:rPr>
        <w:t xml:space="preserve">The importance of issues relating </w:t>
      </w:r>
      <w:r>
        <w:rPr>
          <w:szCs w:val="22"/>
        </w:rPr>
        <w:t xml:space="preserve">to identifying targets based on the potential consequences of compromise and the application of risk informed approaches is also recognised </w:t>
      </w:r>
      <w:r w:rsidRPr="00E717F6">
        <w:rPr>
          <w:szCs w:val="22"/>
        </w:rPr>
        <w:t>in the Nuclear Security Fundamentals, specifically:</w:t>
      </w:r>
    </w:p>
    <w:p w14:paraId="62277CF5" w14:textId="5CF179FA" w:rsidR="00816657" w:rsidRDefault="000D1772" w:rsidP="00816657">
      <w:pPr>
        <w:pStyle w:val="Bulletlist1"/>
      </w:pPr>
      <w:r>
        <w:t>Essential Element 8: Identification and Assessment of Targets and Potential Consequences – 3.8 A nuclear security regime ensures that:</w:t>
      </w:r>
    </w:p>
    <w:p w14:paraId="1FF1A0BE" w14:textId="4CBAB590" w:rsidR="00816657" w:rsidRDefault="000D1772" w:rsidP="00816657">
      <w:pPr>
        <w:pStyle w:val="Bulletlist2"/>
      </w:pPr>
      <w:r w:rsidRPr="000D1772">
        <w:t>Targets under the State’s jurisdiction are identified and assessed to determine if they require protection from nuclear security threats;</w:t>
      </w:r>
    </w:p>
    <w:p w14:paraId="13B0556B" w14:textId="7EA518AF" w:rsidR="00816657" w:rsidRDefault="000D1772" w:rsidP="00816657">
      <w:pPr>
        <w:pStyle w:val="Bulletlist2"/>
      </w:pPr>
      <w:r w:rsidRPr="000D1772">
        <w:t>The assessment is based on the potential consequences should the targets be compromised;</w:t>
      </w:r>
    </w:p>
    <w:p w14:paraId="6EC9ACC8" w14:textId="26974A9B" w:rsidR="00816657" w:rsidRDefault="00646D5E" w:rsidP="00816657">
      <w:pPr>
        <w:pStyle w:val="Bulletlist2"/>
      </w:pPr>
      <w:r>
        <w:t>An up to date assessment of such targets is maintained.</w:t>
      </w:r>
    </w:p>
    <w:p w14:paraId="1515F0FB" w14:textId="70E35367" w:rsidR="00646D5E" w:rsidRDefault="00646D5E" w:rsidP="00646D5E">
      <w:pPr>
        <w:pStyle w:val="Bulletlist1"/>
      </w:pPr>
      <w:r w:rsidRPr="00646D5E">
        <w:t>Essential Element 9: Use of Risk Informed Approaches – 3.9 A nuclear security regime uses risk informed approaches, including the allocation of resources for nuclear security systems and nuclear security measures and in the conduct of nuclear security related activities that are based on a graded approach and defence in depth, which take into consideration:</w:t>
      </w:r>
    </w:p>
    <w:p w14:paraId="5C037919" w14:textId="1364F562" w:rsidR="00646D5E" w:rsidRDefault="00646D5E" w:rsidP="00646D5E">
      <w:pPr>
        <w:pStyle w:val="Bulletlist2"/>
      </w:pPr>
      <w:r w:rsidRPr="00646D5E">
        <w:t xml:space="preserve">The State’s current assessment of the </w:t>
      </w:r>
      <w:r w:rsidRPr="00646D5E">
        <w:rPr>
          <w:iCs/>
        </w:rPr>
        <w:t>nuclear security threats</w:t>
      </w:r>
      <w:r w:rsidRPr="00646D5E">
        <w:t>, both internal and external;</w:t>
      </w:r>
    </w:p>
    <w:p w14:paraId="23266042" w14:textId="7524E6F7" w:rsidR="00646D5E" w:rsidRDefault="00646D5E" w:rsidP="00646D5E">
      <w:pPr>
        <w:pStyle w:val="Bulletlist2"/>
      </w:pPr>
      <w:r w:rsidRPr="00646D5E">
        <w:t xml:space="preserve">The relative attractiveness and vulnerability of identified </w:t>
      </w:r>
      <w:r w:rsidRPr="00646D5E">
        <w:rPr>
          <w:iCs/>
        </w:rPr>
        <w:t xml:space="preserve">targets </w:t>
      </w:r>
      <w:r w:rsidRPr="00646D5E">
        <w:t xml:space="preserve">to </w:t>
      </w:r>
      <w:r w:rsidRPr="00646D5E">
        <w:rPr>
          <w:iCs/>
        </w:rPr>
        <w:t>nuclear security threats</w:t>
      </w:r>
      <w:r w:rsidRPr="00646D5E">
        <w:t>;</w:t>
      </w:r>
    </w:p>
    <w:p w14:paraId="23BD7EAE" w14:textId="61ABF6A1" w:rsidR="00646D5E" w:rsidRPr="00646D5E" w:rsidRDefault="00646D5E" w:rsidP="00646D5E">
      <w:pPr>
        <w:pStyle w:val="Bulletlist2"/>
      </w:pPr>
      <w:r w:rsidRPr="00646D5E">
        <w:lastRenderedPageBreak/>
        <w:t xml:space="preserve">Characteristics of the </w:t>
      </w:r>
      <w:r w:rsidRPr="00646D5E">
        <w:rPr>
          <w:iCs/>
        </w:rPr>
        <w:t>nuclear material</w:t>
      </w:r>
      <w:r w:rsidRPr="00646D5E">
        <w:t xml:space="preserve">, </w:t>
      </w:r>
      <w:r w:rsidRPr="00646D5E">
        <w:rPr>
          <w:iCs/>
        </w:rPr>
        <w:t xml:space="preserve">other radioactive material, associated facilities </w:t>
      </w:r>
      <w:r w:rsidRPr="00646D5E">
        <w:t xml:space="preserve">and </w:t>
      </w:r>
      <w:r w:rsidRPr="00646D5E">
        <w:rPr>
          <w:iCs/>
        </w:rPr>
        <w:t>associated activities;</w:t>
      </w:r>
    </w:p>
    <w:p w14:paraId="1D2165BE" w14:textId="1494E728" w:rsidR="00646D5E" w:rsidRDefault="00646D5E" w:rsidP="00646D5E">
      <w:pPr>
        <w:pStyle w:val="Bulletlist2"/>
      </w:pPr>
      <w:r w:rsidRPr="00646D5E">
        <w:t xml:space="preserve">Potential harmful consequences from criminal or intentional unauthorized acts involving or directed at </w:t>
      </w:r>
      <w:r w:rsidRPr="00646D5E">
        <w:rPr>
          <w:iCs/>
        </w:rPr>
        <w:t xml:space="preserve">nuclear material, other radioactive material, associated facilities, associated activities, sensitive information or sensitive information assets, </w:t>
      </w:r>
      <w:r w:rsidRPr="00646D5E">
        <w:t>and other acts determined by the State to have an adverse impact on nuclear security.</w:t>
      </w:r>
    </w:p>
    <w:p w14:paraId="038B08D4" w14:textId="1FFE0756" w:rsidR="004E6CB9" w:rsidRDefault="00646D5E" w:rsidP="007F66F7">
      <w:pPr>
        <w:pStyle w:val="F9-Paragraph"/>
        <w:numPr>
          <w:ilvl w:val="0"/>
          <w:numId w:val="0"/>
        </w:numPr>
        <w:ind w:left="851"/>
      </w:pPr>
      <w:r w:rsidRPr="00646D5E">
        <w:t>A more detailed description of the graded approach is provided in Recommendations level guidance, specifically Nuclear Security Series (NSS) 13, Recommendations on Physical Protection of Nuclear Material and Nuclear Facilities (INFCIRC/225/Revision 5) (</w:t>
      </w:r>
      <w:r w:rsidR="00B36FA4">
        <w:t>Ref.</w:t>
      </w:r>
      <w:r w:rsidRPr="00646D5E">
        <w:t xml:space="preserve"> 5). This document states that a graded approach is used to provide higher levels of protection against events that could result in higher consequences. For protection against unauthorised removal, the State should regulate the categorisation of NM in order to ensure an appropriate relationship between the NM of concern and the physical protection measures.</w:t>
      </w:r>
    </w:p>
    <w:p w14:paraId="3B2BD30E" w14:textId="2DF01B25" w:rsidR="004E6CB9" w:rsidRDefault="004E6CB9" w:rsidP="004E6CB9">
      <w:pPr>
        <w:pStyle w:val="Heading1"/>
      </w:pPr>
      <w:bookmarkStart w:id="6" w:name="_Toc476902171"/>
      <w:bookmarkStart w:id="7" w:name="_Toc188964104"/>
      <w:r>
        <w:t>Relationship to National Policy Documents</w:t>
      </w:r>
      <w:bookmarkEnd w:id="6"/>
      <w:bookmarkEnd w:id="7"/>
    </w:p>
    <w:p w14:paraId="7CD9E500" w14:textId="425BF68B" w:rsidR="004E6CB9" w:rsidRDefault="007C58A0" w:rsidP="00816657">
      <w:pPr>
        <w:pStyle w:val="F9-Paragraph"/>
      </w:pPr>
      <w:r w:rsidRPr="007C58A0">
        <w:rPr>
          <w:szCs w:val="22"/>
        </w:rPr>
        <w:t xml:space="preserve">The </w:t>
      </w:r>
      <w:proofErr w:type="spellStart"/>
      <w:r w:rsidRPr="007C58A0">
        <w:rPr>
          <w:szCs w:val="22"/>
        </w:rPr>
        <w:t>SyAPs</w:t>
      </w:r>
      <w:proofErr w:type="spellEnd"/>
      <w:r w:rsidRPr="007C58A0">
        <w:rPr>
          <w:szCs w:val="22"/>
        </w:rPr>
        <w:t xml:space="preserve"> provide ONR inspectors with a framework for making consistent regulatory judgements on the effectiveness of a </w:t>
      </w:r>
      <w:proofErr w:type="spellStart"/>
      <w:r w:rsidRPr="007C58A0">
        <w:rPr>
          <w:szCs w:val="22"/>
        </w:rPr>
        <w:t>dutyholder’s</w:t>
      </w:r>
      <w:proofErr w:type="spellEnd"/>
      <w:r w:rsidRPr="007C58A0">
        <w:rPr>
          <w:szCs w:val="22"/>
        </w:rPr>
        <w:t xml:space="preserve"> security arrangements.  This TAG provides guidance to ONR inspectors when assessing a </w:t>
      </w:r>
      <w:proofErr w:type="spellStart"/>
      <w:r w:rsidRPr="007C58A0">
        <w:rPr>
          <w:szCs w:val="22"/>
        </w:rPr>
        <w:t>dutyholder’s</w:t>
      </w:r>
      <w:proofErr w:type="spellEnd"/>
      <w:r w:rsidRPr="007C58A0">
        <w:rPr>
          <w:szCs w:val="22"/>
        </w:rPr>
        <w:t xml:space="preserve"> submission demonstrating they have effective processes in place to achieve</w:t>
      </w:r>
      <w:r w:rsidR="007E5BCE">
        <w:rPr>
          <w:szCs w:val="22"/>
        </w:rPr>
        <w:t xml:space="preserve"> Security Delivery Principle</w:t>
      </w:r>
      <w:r w:rsidRPr="007C58A0">
        <w:rPr>
          <w:szCs w:val="22"/>
        </w:rPr>
        <w:t xml:space="preserve"> </w:t>
      </w:r>
      <w:r w:rsidR="000C5416">
        <w:rPr>
          <w:szCs w:val="22"/>
        </w:rPr>
        <w:t>(</w:t>
      </w:r>
      <w:proofErr w:type="spellStart"/>
      <w:r w:rsidRPr="007C58A0">
        <w:rPr>
          <w:szCs w:val="22"/>
        </w:rPr>
        <w:t>SyDP</w:t>
      </w:r>
      <w:proofErr w:type="spellEnd"/>
      <w:r w:rsidR="000C5416">
        <w:rPr>
          <w:szCs w:val="22"/>
        </w:rPr>
        <w:t>)</w:t>
      </w:r>
      <w:r w:rsidRPr="007C58A0">
        <w:rPr>
          <w:szCs w:val="22"/>
        </w:rPr>
        <w:t xml:space="preserve"> 6.1 – Categorisation for Theft, in support of </w:t>
      </w:r>
      <w:proofErr w:type="spellStart"/>
      <w:r w:rsidRPr="007C58A0">
        <w:rPr>
          <w:szCs w:val="22"/>
        </w:rPr>
        <w:t>FSyP</w:t>
      </w:r>
      <w:proofErr w:type="spellEnd"/>
      <w:r w:rsidRPr="007C58A0">
        <w:rPr>
          <w:szCs w:val="22"/>
        </w:rPr>
        <w:t xml:space="preserve"> 6 – Physical Protection Systems</w:t>
      </w:r>
      <w:r w:rsidR="00AB74BA">
        <w:rPr>
          <w:szCs w:val="22"/>
        </w:rPr>
        <w:t xml:space="preserve">. </w:t>
      </w:r>
      <w:r w:rsidRPr="007C58A0">
        <w:rPr>
          <w:szCs w:val="22"/>
        </w:rPr>
        <w:t>The TAG is consistent with other TAGs and associated guidance and policy documentation.</w:t>
      </w:r>
    </w:p>
    <w:p w14:paraId="1AB1A3B6" w14:textId="7F5A9080" w:rsidR="004E6CB9" w:rsidRDefault="00102ECB" w:rsidP="00816657">
      <w:pPr>
        <w:pStyle w:val="F9-Paragraph"/>
      </w:pPr>
      <w:r w:rsidRPr="00102ECB">
        <w:rPr>
          <w:lang w:bidi="he-IL"/>
        </w:rPr>
        <w:t>Government Functional Standard</w:t>
      </w:r>
      <w:r w:rsidR="008B1E71">
        <w:rPr>
          <w:lang w:bidi="he-IL"/>
        </w:rPr>
        <w:t xml:space="preserve"> 007: Security</w:t>
      </w:r>
      <w:r w:rsidRPr="00102ECB">
        <w:rPr>
          <w:lang w:bidi="he-IL"/>
        </w:rPr>
        <w:t xml:space="preserve"> (</w:t>
      </w:r>
      <w:proofErr w:type="spellStart"/>
      <w:r w:rsidRPr="00102ECB">
        <w:rPr>
          <w:lang w:bidi="he-IL"/>
        </w:rPr>
        <w:t>GovS</w:t>
      </w:r>
      <w:proofErr w:type="spellEnd"/>
      <w:r w:rsidRPr="00102ECB">
        <w:rPr>
          <w:lang w:bidi="he-IL"/>
        </w:rPr>
        <w:t xml:space="preserve"> 007)</w:t>
      </w:r>
      <w:r w:rsidR="00B36FA4">
        <w:rPr>
          <w:lang w:bidi="he-IL"/>
        </w:rPr>
        <w:t xml:space="preserve"> </w:t>
      </w:r>
      <w:r w:rsidR="007C58A0" w:rsidRPr="00721029">
        <w:rPr>
          <w:szCs w:val="22"/>
        </w:rPr>
        <w:t>(</w:t>
      </w:r>
      <w:r w:rsidR="00B36FA4">
        <w:rPr>
          <w:szCs w:val="22"/>
        </w:rPr>
        <w:t>Ref.</w:t>
      </w:r>
      <w:r w:rsidR="007C58A0" w:rsidRPr="00721029">
        <w:rPr>
          <w:szCs w:val="22"/>
        </w:rPr>
        <w:t xml:space="preserve"> </w:t>
      </w:r>
      <w:r w:rsidR="007C58A0">
        <w:rPr>
          <w:szCs w:val="22"/>
        </w:rPr>
        <w:t>6</w:t>
      </w:r>
      <w:r w:rsidR="007C58A0" w:rsidRPr="00721029">
        <w:rPr>
          <w:szCs w:val="22"/>
        </w:rPr>
        <w:t>) describes the Cabinet Secretary’s expectations of how HMG organisations and third parties handling HMG information and other assets will apply protective security to ensure HMG can function effectively, efficiently and securely. The sec</w:t>
      </w:r>
      <w:r w:rsidR="007C58A0">
        <w:rPr>
          <w:szCs w:val="22"/>
        </w:rPr>
        <w:t xml:space="preserve">urity outcomes and requirements </w:t>
      </w:r>
      <w:r w:rsidR="007C58A0" w:rsidRPr="00721029">
        <w:rPr>
          <w:szCs w:val="22"/>
        </w:rPr>
        <w:t xml:space="preserve">detailed in </w:t>
      </w:r>
      <w:proofErr w:type="spellStart"/>
      <w:r w:rsidR="001A1BC4">
        <w:rPr>
          <w:szCs w:val="22"/>
        </w:rPr>
        <w:t>GovS</w:t>
      </w:r>
      <w:proofErr w:type="spellEnd"/>
      <w:r w:rsidR="001A1BC4">
        <w:rPr>
          <w:szCs w:val="22"/>
        </w:rPr>
        <w:t xml:space="preserve"> 007</w:t>
      </w:r>
      <w:r w:rsidR="007C58A0" w:rsidRPr="00721029">
        <w:rPr>
          <w:szCs w:val="22"/>
        </w:rPr>
        <w:t xml:space="preserve"> have been incorporated within the </w:t>
      </w:r>
      <w:proofErr w:type="spellStart"/>
      <w:r w:rsidR="007C58A0" w:rsidRPr="00721029">
        <w:rPr>
          <w:szCs w:val="22"/>
        </w:rPr>
        <w:t>SyAPs</w:t>
      </w:r>
      <w:proofErr w:type="spellEnd"/>
      <w:r w:rsidR="007C58A0">
        <w:rPr>
          <w:szCs w:val="22"/>
        </w:rPr>
        <w:t>. This</w:t>
      </w:r>
      <w:r w:rsidR="007C58A0" w:rsidRPr="00721029">
        <w:rPr>
          <w:szCs w:val="22"/>
        </w:rPr>
        <w:t xml:space="preserve"> ensure</w:t>
      </w:r>
      <w:r w:rsidR="007C58A0">
        <w:rPr>
          <w:szCs w:val="22"/>
        </w:rPr>
        <w:t>s that</w:t>
      </w:r>
      <w:r w:rsidR="007C58A0" w:rsidRPr="00721029">
        <w:rPr>
          <w:szCs w:val="22"/>
        </w:rPr>
        <w:t xml:space="preserve"> </w:t>
      </w:r>
      <w:proofErr w:type="spellStart"/>
      <w:r w:rsidR="007C58A0" w:rsidRPr="00721029">
        <w:rPr>
          <w:szCs w:val="22"/>
        </w:rPr>
        <w:t>dutyholders</w:t>
      </w:r>
      <w:proofErr w:type="spellEnd"/>
      <w:r w:rsidR="007C58A0" w:rsidRPr="00721029">
        <w:rPr>
          <w:szCs w:val="22"/>
        </w:rPr>
        <w:t xml:space="preserve"> are presented with a coherent set of expectations for the protection of nuclear premises, </w:t>
      </w:r>
      <w:r w:rsidR="007C58A0">
        <w:rPr>
          <w:szCs w:val="22"/>
        </w:rPr>
        <w:t xml:space="preserve">SNI </w:t>
      </w:r>
      <w:r w:rsidR="007C58A0" w:rsidRPr="00721029">
        <w:rPr>
          <w:szCs w:val="22"/>
        </w:rPr>
        <w:t>and the employment of appropriate personnel security controls both on and off nuclear premises</w:t>
      </w:r>
      <w:r w:rsidR="007C58A0">
        <w:rPr>
          <w:szCs w:val="22"/>
        </w:rPr>
        <w:t>.</w:t>
      </w:r>
    </w:p>
    <w:p w14:paraId="1C21D31E" w14:textId="62837BCC" w:rsidR="00F7687C" w:rsidRDefault="007C58A0" w:rsidP="00816657">
      <w:pPr>
        <w:pStyle w:val="F9-Paragraph"/>
      </w:pPr>
      <w:r w:rsidRPr="00721029">
        <w:rPr>
          <w:szCs w:val="22"/>
        </w:rPr>
        <w:t>The Classification Policy (</w:t>
      </w:r>
      <w:r w:rsidR="00B36FA4">
        <w:rPr>
          <w:szCs w:val="22"/>
        </w:rPr>
        <w:t>Ref.</w:t>
      </w:r>
      <w:r w:rsidRPr="00721029">
        <w:rPr>
          <w:szCs w:val="22"/>
        </w:rPr>
        <w:t xml:space="preserve"> </w:t>
      </w:r>
      <w:r>
        <w:rPr>
          <w:szCs w:val="22"/>
        </w:rPr>
        <w:t>7</w:t>
      </w:r>
      <w:r w:rsidRPr="00721029">
        <w:rPr>
          <w:szCs w:val="22"/>
        </w:rPr>
        <w:t>) ind</w:t>
      </w:r>
      <w:r>
        <w:rPr>
          <w:szCs w:val="22"/>
        </w:rPr>
        <w:t xml:space="preserve">icates those categories of SNI, which </w:t>
      </w:r>
      <w:r w:rsidRPr="00721029">
        <w:rPr>
          <w:szCs w:val="22"/>
        </w:rPr>
        <w:t xml:space="preserve">require protection and the level of </w:t>
      </w:r>
      <w:r>
        <w:rPr>
          <w:szCs w:val="22"/>
        </w:rPr>
        <w:t>security classification</w:t>
      </w:r>
      <w:r w:rsidRPr="00721029">
        <w:rPr>
          <w:szCs w:val="22"/>
        </w:rPr>
        <w:t xml:space="preserve"> to be applied.</w:t>
      </w:r>
    </w:p>
    <w:p w14:paraId="5255232C" w14:textId="0B114371" w:rsidR="00F7687C" w:rsidRDefault="00F7687C" w:rsidP="00E90780">
      <w:pPr>
        <w:pStyle w:val="Heading1"/>
      </w:pPr>
      <w:bookmarkStart w:id="8" w:name="_Toc188964105"/>
      <w:r>
        <w:lastRenderedPageBreak/>
        <w:t>Advice to Inspectors</w:t>
      </w:r>
      <w:bookmarkEnd w:id="8"/>
    </w:p>
    <w:p w14:paraId="6718FEBE" w14:textId="6457C1D2" w:rsidR="00593B7D" w:rsidRDefault="00EB2026" w:rsidP="000A51C3">
      <w:pPr>
        <w:pStyle w:val="F9-Paragraph"/>
      </w:pPr>
      <w:proofErr w:type="spellStart"/>
      <w:r w:rsidRPr="00EB2026">
        <w:t>Dutyholders</w:t>
      </w:r>
      <w:proofErr w:type="spellEnd"/>
      <w:r w:rsidRPr="00EB2026">
        <w:t xml:space="preserve"> should categorise their site and facilities for theft in accordance with the quantities of all NM and ORM. For some </w:t>
      </w:r>
      <w:proofErr w:type="spellStart"/>
      <w:r w:rsidRPr="00EB2026">
        <w:t>dutyholders</w:t>
      </w:r>
      <w:proofErr w:type="spellEnd"/>
      <w:r w:rsidRPr="00EB2026">
        <w:t xml:space="preserve"> this may be a relatively simple task but for others, with a large and varied inventory that may also change over time, requires suitable access to specific knowledge and expertise. Physical protection requirements should be based on a graded approach, taking into account the current evaluation of the threat, the relative attractiveness, the nature of the nuclear material and potential consequences associated with its unauthorised removal. Table 1 in Annex A to the </w:t>
      </w:r>
      <w:proofErr w:type="spellStart"/>
      <w:r w:rsidRPr="00EB2026">
        <w:t>SyAPs</w:t>
      </w:r>
      <w:proofErr w:type="spellEnd"/>
      <w:r w:rsidRPr="00EB2026">
        <w:t xml:space="preserve"> reflects the schedule to NISR that defines categories of nuclear material based on isotope (and enrichment for uranium) and weight but provides more granularity to facilitate application of the graded approach. Table 2 provides an alternative scheme for categorisation that takes dilution, dispersion, type and form into account. Table 3 and Table 4 are to be used for the categorisation of radioactive sources and Other Radioactive Material (ORM).</w:t>
      </w:r>
    </w:p>
    <w:p w14:paraId="05BE2E3A" w14:textId="679D3645" w:rsidR="00593B7D" w:rsidRDefault="00EB2026" w:rsidP="000A51C3">
      <w:pPr>
        <w:pStyle w:val="F9-Paragraph"/>
      </w:pPr>
      <w:r>
        <w:t>It is essential that radioactive m</w:t>
      </w:r>
      <w:r w:rsidRPr="00A91CC8">
        <w:t xml:space="preserve">aterials are allocated to the appropriate categories </w:t>
      </w:r>
      <w:r>
        <w:t>in order to identify the correct security outcome to be achieved in applying the graded approach</w:t>
      </w:r>
      <w:r w:rsidRPr="00A91CC8">
        <w:t xml:space="preserve">. </w:t>
      </w:r>
      <w:r>
        <w:t xml:space="preserve">Both Table 1 and Table 2 grade materials based on their utility from a proliferation perspective and are not appropriate when considering malicious acts other than constructing a Nuclear Explosive Device (NED), for example the improvisation of a Radiological Dispersal Device (RDD) or Radiological Exposure Device (RED). The security groups within Table 3 and Table 4 are provided for the purpose of grading the risk to human health posed by exposure to radioactive materials (and hence utility in the construction of an RDD or RED) and similarly, these tables are not appropriate for consideration of proliferation. Therefore, where categorisation for theft is being applied to radioactive material that is also nuclear material (for example a radioactive source comprising of plutonium), it will require a nuclear material category under Table 1 or Table 2 </w:t>
      </w:r>
      <w:r w:rsidRPr="0074127C">
        <w:rPr>
          <w:b/>
        </w:rPr>
        <w:t>and</w:t>
      </w:r>
      <w:r>
        <w:t xml:space="preserve"> a security group against Table 3 or Table 4. However, in application this is only necessary where the nuclear material falls below Category III because at this quantity and above, the security outcome </w:t>
      </w:r>
      <w:proofErr w:type="spellStart"/>
      <w:r>
        <w:t>dutyholders</w:t>
      </w:r>
      <w:proofErr w:type="spellEnd"/>
      <w:r>
        <w:t xml:space="preserve"> need to achieve will be driven by the proliferation categorisation. Allocation of categories is explained in more detail later.</w:t>
      </w:r>
    </w:p>
    <w:p w14:paraId="58CB3844" w14:textId="584B8FFC" w:rsidR="00593B7D" w:rsidRDefault="00EB2026" w:rsidP="000A51C3">
      <w:pPr>
        <w:pStyle w:val="F9-Paragraph"/>
      </w:pPr>
      <w:r>
        <w:t xml:space="preserve">Wherever cases regarding categorisation for theft presented by a </w:t>
      </w:r>
      <w:proofErr w:type="spellStart"/>
      <w:r>
        <w:t>d</w:t>
      </w:r>
      <w:r w:rsidRPr="003D25C7">
        <w:t>utyholder</w:t>
      </w:r>
      <w:proofErr w:type="spellEnd"/>
      <w:r w:rsidRPr="003D25C7">
        <w:t xml:space="preserve"> </w:t>
      </w:r>
      <w:r>
        <w:t xml:space="preserve">are </w:t>
      </w:r>
      <w:r w:rsidRPr="003D25C7">
        <w:t>challe</w:t>
      </w:r>
      <w:r>
        <w:t>ngingly technical and complex, i</w:t>
      </w:r>
      <w:r w:rsidRPr="003D25C7">
        <w:t xml:space="preserve">nspectors should seek advice from the ONR </w:t>
      </w:r>
      <w:r w:rsidR="004C798E">
        <w:t xml:space="preserve">Sabotage, </w:t>
      </w:r>
      <w:r w:rsidR="004F2EB1">
        <w:t>T</w:t>
      </w:r>
      <w:r w:rsidR="004C798E">
        <w:t>arget Analysis</w:t>
      </w:r>
      <w:r w:rsidR="004F2EB1">
        <w:t>, Review</w:t>
      </w:r>
      <w:r w:rsidRPr="003D25C7">
        <w:t xml:space="preserve"> (</w:t>
      </w:r>
      <w:r w:rsidR="004F2EB1">
        <w:t>STAR</w:t>
      </w:r>
      <w:r w:rsidRPr="003D25C7">
        <w:t xml:space="preserve">) team. </w:t>
      </w:r>
      <w:r>
        <w:t xml:space="preserve">When arriving at any judgement on the </w:t>
      </w:r>
      <w:proofErr w:type="spellStart"/>
      <w:r>
        <w:t>dutyholder’s</w:t>
      </w:r>
      <w:proofErr w:type="spellEnd"/>
      <w:r>
        <w:t xml:space="preserve"> case, they might also seek appropriate peer review.</w:t>
      </w:r>
    </w:p>
    <w:p w14:paraId="67FFA7DA" w14:textId="57F8D473" w:rsidR="00593B7D" w:rsidRDefault="002709A3" w:rsidP="002709A3">
      <w:pPr>
        <w:pStyle w:val="F9-Paragraph"/>
        <w:numPr>
          <w:ilvl w:val="0"/>
          <w:numId w:val="0"/>
        </w:numPr>
        <w:ind w:left="851"/>
      </w:pPr>
      <w:r w:rsidRPr="002709A3">
        <w:rPr>
          <w:b/>
        </w:rPr>
        <w:t>Regulatory Expectation</w:t>
      </w:r>
    </w:p>
    <w:p w14:paraId="1BA48BBF" w14:textId="70F16E05" w:rsidR="00F034BF" w:rsidRPr="004C7374" w:rsidRDefault="004C7374" w:rsidP="00625964">
      <w:pPr>
        <w:pStyle w:val="F9-Paragraph"/>
        <w:numPr>
          <w:ilvl w:val="0"/>
          <w:numId w:val="0"/>
        </w:numPr>
        <w:spacing w:after="0"/>
        <w:ind w:left="851"/>
        <w:rPr>
          <w:b/>
          <w:bCs/>
          <w:sz w:val="22"/>
          <w:szCs w:val="22"/>
        </w:rPr>
      </w:pPr>
      <w:r>
        <w:t xml:space="preserve">The regulatory expectation placed on the </w:t>
      </w:r>
      <w:proofErr w:type="spellStart"/>
      <w:r>
        <w:t>dutyholder</w:t>
      </w:r>
      <w:proofErr w:type="spellEnd"/>
      <w:r>
        <w:t xml:space="preserve"> is that they should demonstrate within their security plan</w:t>
      </w:r>
      <w:r w:rsidRPr="00514648">
        <w:t xml:space="preserve"> how</w:t>
      </w:r>
      <w:r w:rsidRPr="00480D10">
        <w:t xml:space="preserve"> site or facility </w:t>
      </w:r>
      <w:r w:rsidRPr="000E0654">
        <w:t>categorisation for theft has been implemented according to the quantities and forms of all NM and ORM held or used.</w:t>
      </w:r>
      <w:r>
        <w:t xml:space="preserve"> They should also d</w:t>
      </w:r>
      <w:r w:rsidRPr="000E0654">
        <w:t xml:space="preserve">emonstrate how they identify and </w:t>
      </w:r>
      <w:r w:rsidRPr="000E0654">
        <w:lastRenderedPageBreak/>
        <w:t xml:space="preserve">manage planned or </w:t>
      </w:r>
      <w:r>
        <w:t xml:space="preserve">potentially </w:t>
      </w:r>
      <w:r w:rsidRPr="000E0654">
        <w:t>unplanned changes to</w:t>
      </w:r>
      <w:r>
        <w:t xml:space="preserve"> the inventory and/or operations at a</w:t>
      </w:r>
      <w:r w:rsidRPr="000E0654">
        <w:t xml:space="preserve"> site/facility </w:t>
      </w:r>
      <w:r>
        <w:t xml:space="preserve">that might affect its </w:t>
      </w:r>
      <w:r w:rsidRPr="000E0654">
        <w:t>categorisation</w:t>
      </w:r>
      <w:r>
        <w:t>, in order</w:t>
      </w:r>
      <w:r w:rsidRPr="000E0654">
        <w:t xml:space="preserve"> to ensure </w:t>
      </w:r>
      <w:r>
        <w:t>an</w:t>
      </w:r>
      <w:r w:rsidRPr="000E0654">
        <w:t xml:space="preserve"> appropriate PPS </w:t>
      </w:r>
      <w:r>
        <w:t xml:space="preserve">and the associated </w:t>
      </w:r>
      <w:r w:rsidRPr="000E0654">
        <w:t>outcome</w:t>
      </w:r>
      <w:r>
        <w:t>s are</w:t>
      </w:r>
      <w:r w:rsidRPr="000E0654">
        <w:t xml:space="preserve"> maintained at all times.</w:t>
      </w:r>
    </w:p>
    <w:p w14:paraId="5D19A316" w14:textId="2AB40D0F" w:rsidR="00CD5C5D" w:rsidRPr="00BE7EBF" w:rsidRDefault="00BE7EBF" w:rsidP="003A7720">
      <w:pPr>
        <w:pStyle w:val="F9-Paragraph"/>
        <w:numPr>
          <w:ilvl w:val="0"/>
          <w:numId w:val="0"/>
        </w:numPr>
        <w:ind w:left="851" w:hanging="851"/>
        <w:rPr>
          <w:b/>
          <w:bCs/>
          <w:sz w:val="22"/>
          <w:szCs w:val="22"/>
        </w:rPr>
      </w:pPr>
      <w:r w:rsidRPr="00BE7EBF">
        <w:rPr>
          <w:b/>
          <w:bCs/>
          <w:sz w:val="22"/>
          <w:szCs w:val="22"/>
        </w:rPr>
        <w:t xml:space="preserve">Table 1: </w:t>
      </w:r>
      <w:proofErr w:type="spellStart"/>
      <w:r w:rsidRPr="00BE7EBF">
        <w:rPr>
          <w:b/>
          <w:bCs/>
          <w:sz w:val="22"/>
          <w:szCs w:val="22"/>
        </w:rPr>
        <w:t>FSyP</w:t>
      </w:r>
      <w:proofErr w:type="spellEnd"/>
      <w:r w:rsidRPr="00BE7EBF">
        <w:rPr>
          <w:b/>
          <w:bCs/>
          <w:sz w:val="22"/>
          <w:szCs w:val="22"/>
        </w:rPr>
        <w:t xml:space="preserve"> 6 - Physical Protection Systems</w:t>
      </w:r>
    </w:p>
    <w:tbl>
      <w:tblPr>
        <w:tblStyle w:val="ONRTable1"/>
        <w:tblW w:w="8931" w:type="dxa"/>
        <w:tblInd w:w="0" w:type="dxa"/>
        <w:tblLook w:val="04A0" w:firstRow="1" w:lastRow="0" w:firstColumn="1" w:lastColumn="0" w:noHBand="0" w:noVBand="1"/>
      </w:tblPr>
      <w:tblGrid>
        <w:gridCol w:w="3544"/>
        <w:gridCol w:w="3260"/>
        <w:gridCol w:w="2127"/>
      </w:tblGrid>
      <w:tr w:rsidR="00CD5C5D" w:rsidRPr="000A51C3" w14:paraId="7ABEA302" w14:textId="77777777" w:rsidTr="003A7720">
        <w:trPr>
          <w:cnfStyle w:val="100000000000" w:firstRow="1" w:lastRow="0" w:firstColumn="0" w:lastColumn="0" w:oddVBand="0" w:evenVBand="0" w:oddHBand="0" w:evenHBand="0" w:firstRowFirstColumn="0" w:firstRowLastColumn="0" w:lastRowFirstColumn="0" w:lastRowLastColumn="0"/>
        </w:trPr>
        <w:tc>
          <w:tcPr>
            <w:tcW w:w="3544" w:type="dxa"/>
            <w:vAlign w:val="center"/>
            <w:hideMark/>
          </w:tcPr>
          <w:p w14:paraId="3B925E68" w14:textId="37EBF095" w:rsidR="00CD5C5D" w:rsidRPr="000A51C3" w:rsidRDefault="00B16E8D" w:rsidP="00D253A7">
            <w:pPr>
              <w:pStyle w:val="TableText"/>
              <w:keepNext/>
              <w:rPr>
                <w:b w:val="0"/>
                <w:bCs/>
              </w:rPr>
            </w:pPr>
            <w:proofErr w:type="spellStart"/>
            <w:r w:rsidRPr="003D25C7">
              <w:t>FSyP</w:t>
            </w:r>
            <w:proofErr w:type="spellEnd"/>
            <w:r w:rsidRPr="003D25C7">
              <w:t xml:space="preserve"> 6 - Physical Protection Systems</w:t>
            </w:r>
          </w:p>
        </w:tc>
        <w:tc>
          <w:tcPr>
            <w:tcW w:w="3260" w:type="dxa"/>
            <w:vAlign w:val="center"/>
          </w:tcPr>
          <w:p w14:paraId="793C8655" w14:textId="3BEAEB0F" w:rsidR="00CD5C5D" w:rsidRPr="000A51C3" w:rsidRDefault="00B16E8D" w:rsidP="00D253A7">
            <w:pPr>
              <w:pStyle w:val="TableText"/>
              <w:keepNext/>
              <w:rPr>
                <w:b w:val="0"/>
                <w:bCs/>
              </w:rPr>
            </w:pPr>
            <w:r w:rsidRPr="00B16E8D">
              <w:rPr>
                <w:b w:val="0"/>
                <w:bCs/>
              </w:rPr>
              <w:t>Categorisation for Theft</w:t>
            </w:r>
          </w:p>
        </w:tc>
        <w:tc>
          <w:tcPr>
            <w:tcW w:w="2127" w:type="dxa"/>
            <w:vAlign w:val="center"/>
          </w:tcPr>
          <w:p w14:paraId="21FA60D1" w14:textId="2A03F000" w:rsidR="00CD5C5D" w:rsidRPr="000A51C3" w:rsidRDefault="00CD5C5D" w:rsidP="00D253A7">
            <w:pPr>
              <w:pStyle w:val="TableText"/>
              <w:keepNext/>
              <w:rPr>
                <w:b w:val="0"/>
                <w:bCs/>
              </w:rPr>
            </w:pPr>
            <w:proofErr w:type="spellStart"/>
            <w:r w:rsidRPr="00CD5C5D">
              <w:rPr>
                <w:b w:val="0"/>
                <w:bCs/>
              </w:rPr>
              <w:t>SyDP</w:t>
            </w:r>
            <w:proofErr w:type="spellEnd"/>
            <w:r w:rsidRPr="00CD5C5D">
              <w:rPr>
                <w:b w:val="0"/>
                <w:bCs/>
              </w:rPr>
              <w:t xml:space="preserve"> </w:t>
            </w:r>
            <w:r w:rsidR="00B16E8D">
              <w:rPr>
                <w:b w:val="0"/>
                <w:bCs/>
              </w:rPr>
              <w:t>6</w:t>
            </w:r>
            <w:r w:rsidRPr="00CD5C5D">
              <w:rPr>
                <w:b w:val="0"/>
                <w:bCs/>
              </w:rPr>
              <w:t>.1</w:t>
            </w:r>
          </w:p>
        </w:tc>
      </w:tr>
      <w:tr w:rsidR="0000105B" w14:paraId="0F05C49A" w14:textId="77777777" w:rsidTr="003A7720">
        <w:trPr>
          <w:trHeight w:val="677"/>
        </w:trPr>
        <w:tc>
          <w:tcPr>
            <w:tcW w:w="8931" w:type="dxa"/>
            <w:gridSpan w:val="3"/>
            <w:hideMark/>
          </w:tcPr>
          <w:p w14:paraId="04E33E07" w14:textId="333B05FC" w:rsidR="0000105B" w:rsidRPr="00BE1C41" w:rsidRDefault="00B16E8D" w:rsidP="00D253A7">
            <w:pPr>
              <w:pStyle w:val="TableText"/>
              <w:rPr>
                <w:sz w:val="22"/>
              </w:rPr>
            </w:pPr>
            <w:proofErr w:type="spellStart"/>
            <w:r w:rsidRPr="00BE1C41">
              <w:rPr>
                <w:sz w:val="22"/>
              </w:rPr>
              <w:t>Dutyholders</w:t>
            </w:r>
            <w:proofErr w:type="spellEnd"/>
            <w:r w:rsidRPr="00BE1C41">
              <w:rPr>
                <w:sz w:val="22"/>
              </w:rPr>
              <w:t xml:space="preserve"> should undertake a characterisation of their site and facilities in order to determine the categorisation for theft.</w:t>
            </w:r>
          </w:p>
        </w:tc>
      </w:tr>
    </w:tbl>
    <w:p w14:paraId="042B833F" w14:textId="3FCE5263" w:rsidR="00CD5C5D" w:rsidRDefault="00CD5C5D" w:rsidP="004E6CB9">
      <w:pPr>
        <w:pStyle w:val="F9-Paragraph"/>
        <w:numPr>
          <w:ilvl w:val="0"/>
          <w:numId w:val="0"/>
        </w:numPr>
        <w:ind w:left="851" w:hanging="851"/>
      </w:pPr>
    </w:p>
    <w:p w14:paraId="3FE9A66F" w14:textId="6310574C" w:rsidR="00593B7D" w:rsidRDefault="002E5A1C" w:rsidP="00BA3681">
      <w:pPr>
        <w:pStyle w:val="Heading1"/>
        <w:keepNext w:val="0"/>
        <w:pageBreakBefore/>
      </w:pPr>
      <w:bookmarkStart w:id="9" w:name="_Toc38029224"/>
      <w:bookmarkStart w:id="10" w:name="_Toc188964106"/>
      <w:r w:rsidRPr="002E5A1C">
        <w:lastRenderedPageBreak/>
        <w:t xml:space="preserve">Categorisation </w:t>
      </w:r>
      <w:bookmarkEnd w:id="9"/>
      <w:r w:rsidRPr="002E5A1C">
        <w:t>Overview</w:t>
      </w:r>
      <w:bookmarkEnd w:id="10"/>
    </w:p>
    <w:p w14:paraId="51A0CFD8" w14:textId="6B169CF9" w:rsidR="00593B7D" w:rsidRDefault="002E5A1C" w:rsidP="000A51C3">
      <w:pPr>
        <w:pStyle w:val="F9-Paragraph"/>
      </w:pPr>
      <w:r w:rsidRPr="002E5A1C">
        <w:t xml:space="preserve">Table 1 (with notes) of Annex A to </w:t>
      </w:r>
      <w:proofErr w:type="spellStart"/>
      <w:r w:rsidRPr="002E5A1C">
        <w:t>SyAPs</w:t>
      </w:r>
      <w:proofErr w:type="spellEnd"/>
      <w:r w:rsidRPr="002E5A1C">
        <w:t xml:space="preserve"> details the categorisation of NM. It reflects the schedule to NISR and the table in the extant versions of INFCIRC/225, the Nuclear Suppliers Group Guidelines, the CPPNM and the contents of the Guidelines for the Management of Plutonium. However, Table 1 is not identical with the schedule or these international tables/documents and should not be referenced outside the UK.</w:t>
      </w:r>
    </w:p>
    <w:p w14:paraId="738974BF" w14:textId="357ADE72" w:rsidR="00593B7D" w:rsidRDefault="002E5A1C" w:rsidP="000A51C3">
      <w:pPr>
        <w:pStyle w:val="F9-Paragraph"/>
      </w:pPr>
      <w:r w:rsidRPr="002E5A1C">
        <w:t xml:space="preserve">Intermediate and </w:t>
      </w:r>
      <w:r w:rsidR="00154241" w:rsidRPr="002E5A1C">
        <w:t>low-level</w:t>
      </w:r>
      <w:r w:rsidRPr="002E5A1C">
        <w:t xml:space="preserve"> waste containing NM may be categorised in accordance with Table 2 where specific criteria are met.  This table provides an alternative scheme for categorisation that makes allowances for considerations of dilution, dispersion, type and form. For example, waste may</w:t>
      </w:r>
      <w:r w:rsidR="007D6DDA">
        <w:t xml:space="preserve"> </w:t>
      </w:r>
      <w:r w:rsidRPr="002E5A1C">
        <w:t>be in the form of a sludge</w:t>
      </w:r>
      <w:r w:rsidR="0088154A">
        <w:t>,</w:t>
      </w:r>
      <w:r w:rsidRPr="002E5A1C">
        <w:t xml:space="preserve"> and NM </w:t>
      </w:r>
      <w:r w:rsidR="0088154A">
        <w:t xml:space="preserve">is </w:t>
      </w:r>
      <w:r w:rsidRPr="002E5A1C">
        <w:t xml:space="preserve">not easily recoverable because it might be highly dispersed and not readily separated. </w:t>
      </w:r>
      <w:proofErr w:type="spellStart"/>
      <w:r w:rsidRPr="002E5A1C">
        <w:t>Dutyholders</w:t>
      </w:r>
      <w:proofErr w:type="spellEnd"/>
      <w:r w:rsidRPr="002E5A1C">
        <w:t xml:space="preserve"> may also be able to make a case for materials to be categorised in accordance with Table 2 under special arrangements where the characteristics do not meet every aspect, but are broadly comparable to, the specific criteria.</w:t>
      </w:r>
    </w:p>
    <w:p w14:paraId="7BE585C6" w14:textId="3A5B7E69" w:rsidR="002E5A1C" w:rsidRDefault="002E5A1C" w:rsidP="000A51C3">
      <w:pPr>
        <w:pStyle w:val="F9-Paragraph"/>
      </w:pPr>
      <w:r>
        <w:t>Radioactive sources and ORM should be assigned a security group in accordance with Table 3 and Table 4 respectively. This categoris</w:t>
      </w:r>
      <w:r w:rsidRPr="00093ECA">
        <w:t xml:space="preserve">ation system </w:t>
      </w:r>
      <w:r>
        <w:t xml:space="preserve">is taken from the IAEA Safety Guide RS-G-1.9 Categorisation of Radioactive Sources and is </w:t>
      </w:r>
      <w:r w:rsidRPr="00093ECA">
        <w:t xml:space="preserve">based on the </w:t>
      </w:r>
      <w:r>
        <w:t>concept of ‘dangerous sources’, which is</w:t>
      </w:r>
      <w:r w:rsidRPr="00093ECA">
        <w:t xml:space="preserve"> quantified</w:t>
      </w:r>
      <w:r>
        <w:t xml:space="preserve"> </w:t>
      </w:r>
      <w:r w:rsidRPr="00093ECA">
        <w:t>in terms of ‘</w:t>
      </w:r>
      <w:r w:rsidRPr="00AB0302">
        <w:rPr>
          <w:i/>
          <w:iCs/>
        </w:rPr>
        <w:t xml:space="preserve">D </w:t>
      </w:r>
      <w:r w:rsidRPr="00093ECA">
        <w:t>values’</w:t>
      </w:r>
      <w:r>
        <w:t xml:space="preserve">. </w:t>
      </w:r>
      <w:r w:rsidRPr="00093ECA">
        <w:t xml:space="preserve">The </w:t>
      </w:r>
      <w:r w:rsidRPr="00AB0302">
        <w:rPr>
          <w:i/>
          <w:iCs/>
        </w:rPr>
        <w:t xml:space="preserve">D </w:t>
      </w:r>
      <w:r w:rsidRPr="00093ECA">
        <w:t>value is the radionuclide specific activity of a</w:t>
      </w:r>
      <w:r>
        <w:t xml:space="preserve"> </w:t>
      </w:r>
      <w:r w:rsidRPr="00093ECA">
        <w:t>source which, if not under control, could cause severe deterministic effects for</w:t>
      </w:r>
      <w:r>
        <w:t xml:space="preserve"> </w:t>
      </w:r>
      <w:r w:rsidRPr="00093ECA">
        <w:t>a range of scenarios that include both external exposure from an unshielded</w:t>
      </w:r>
      <w:r>
        <w:t xml:space="preserve"> </w:t>
      </w:r>
      <w:r w:rsidRPr="00093ECA">
        <w:t>source and internal exposure following dispersal of the source material</w:t>
      </w:r>
      <w:r>
        <w:t>.</w:t>
      </w:r>
    </w:p>
    <w:p w14:paraId="630D431B" w14:textId="0F08E435" w:rsidR="002E5A1C" w:rsidRDefault="002E5A1C" w:rsidP="000A51C3">
      <w:pPr>
        <w:pStyle w:val="F9-Paragraph"/>
      </w:pPr>
      <w:r>
        <w:t xml:space="preserve">Inspectors should note that Table 1 and Table 2 both categorise materials solely based on the attractiveness of the material from a proliferation perspective (i.e. the ease with which it could be used to fashion an improvised nuclear device). Hence, the categorisations are derived from the quantities, isotopes and enrichments of fissile materials. Table 3 and Table 4 are based </w:t>
      </w:r>
      <w:r w:rsidRPr="00093ECA">
        <w:t>primarily on the potential for radioactive</w:t>
      </w:r>
      <w:r>
        <w:t xml:space="preserve"> material</w:t>
      </w:r>
      <w:r w:rsidRPr="00093ECA">
        <w:t xml:space="preserve"> to cause d</w:t>
      </w:r>
      <w:r>
        <w:t>eterministic health effects and considerations therefore relate to the attractiveness of material in terms of theft in order to fashion a RDD or RED. In many cases (e.g. where a radioactive source is comprised of plutonium), it will be appropriate for material to be categorised against one of either Table 1 or Table 2 and one of either Table 3 or Table 4. Where this is the case, the categorisation resulting in the highest security outcome should be used as the basis for physical protection system design</w:t>
      </w:r>
    </w:p>
    <w:p w14:paraId="631958AA" w14:textId="02932FE1" w:rsidR="001D0427" w:rsidRDefault="00CE53BF" w:rsidP="000334DD">
      <w:pPr>
        <w:pStyle w:val="Heading1"/>
      </w:pPr>
      <w:bookmarkStart w:id="11" w:name="_Toc38029225"/>
      <w:bookmarkStart w:id="12" w:name="_Toc188964107"/>
      <w:r>
        <w:lastRenderedPageBreak/>
        <w:t>Considerations in Setting Graded Protection Requirements Based on Material Form</w:t>
      </w:r>
      <w:bookmarkEnd w:id="11"/>
      <w:bookmarkEnd w:id="12"/>
    </w:p>
    <w:p w14:paraId="464D52C0" w14:textId="0C175D7B" w:rsidR="00CE53BF" w:rsidRPr="00CE53BF" w:rsidRDefault="00CE53BF" w:rsidP="000A51C3">
      <w:pPr>
        <w:pStyle w:val="F9-Paragraph"/>
      </w:pPr>
      <w:r>
        <w:t xml:space="preserve">A </w:t>
      </w:r>
      <w:r w:rsidRPr="000E0654">
        <w:rPr>
          <w:szCs w:val="22"/>
        </w:rPr>
        <w:t xml:space="preserve">three-factor methodology is </w:t>
      </w:r>
      <w:r>
        <w:rPr>
          <w:szCs w:val="22"/>
        </w:rPr>
        <w:t xml:space="preserve">initially </w:t>
      </w:r>
      <w:r w:rsidRPr="000E0654">
        <w:rPr>
          <w:szCs w:val="22"/>
        </w:rPr>
        <w:t>used to categorise un</w:t>
      </w:r>
      <w:r>
        <w:rPr>
          <w:szCs w:val="22"/>
        </w:rPr>
        <w:t>-</w:t>
      </w:r>
      <w:r w:rsidRPr="000E0654">
        <w:rPr>
          <w:szCs w:val="22"/>
        </w:rPr>
        <w:t xml:space="preserve">irradiated NM </w:t>
      </w:r>
      <w:r>
        <w:rPr>
          <w:szCs w:val="22"/>
        </w:rPr>
        <w:t>in order to determine the</w:t>
      </w:r>
      <w:r w:rsidRPr="008C60FF">
        <w:rPr>
          <w:szCs w:val="22"/>
        </w:rPr>
        <w:t xml:space="preserve"> appropriate physical protection against theft. With this methodology, for any </w:t>
      </w:r>
      <w:r w:rsidRPr="00480D10">
        <w:rPr>
          <w:szCs w:val="22"/>
        </w:rPr>
        <w:t>NM</w:t>
      </w:r>
      <w:r w:rsidRPr="000E0654">
        <w:rPr>
          <w:szCs w:val="22"/>
        </w:rPr>
        <w:t>, the element, the isotopic composition</w:t>
      </w:r>
      <w:r>
        <w:rPr>
          <w:szCs w:val="22"/>
        </w:rPr>
        <w:t>,</w:t>
      </w:r>
      <w:r w:rsidRPr="000E0654">
        <w:rPr>
          <w:szCs w:val="22"/>
        </w:rPr>
        <w:t xml:space="preserve"> and the quantity</w:t>
      </w:r>
      <w:r>
        <w:rPr>
          <w:szCs w:val="22"/>
        </w:rPr>
        <w:t>,</w:t>
      </w:r>
      <w:r w:rsidRPr="000E0654">
        <w:rPr>
          <w:szCs w:val="22"/>
        </w:rPr>
        <w:t xml:space="preserve"> are the three factors considered</w:t>
      </w:r>
      <w:r>
        <w:rPr>
          <w:szCs w:val="22"/>
        </w:rPr>
        <w:t xml:space="preserve"> to initially </w:t>
      </w:r>
      <w:r w:rsidRPr="000E0654">
        <w:rPr>
          <w:szCs w:val="22"/>
        </w:rPr>
        <w:t>determin</w:t>
      </w:r>
      <w:r>
        <w:rPr>
          <w:szCs w:val="22"/>
        </w:rPr>
        <w:t xml:space="preserve">e </w:t>
      </w:r>
      <w:r w:rsidRPr="000E0654">
        <w:rPr>
          <w:szCs w:val="22"/>
        </w:rPr>
        <w:t>the level of physical protection required to protect against the</w:t>
      </w:r>
      <w:r>
        <w:rPr>
          <w:szCs w:val="22"/>
        </w:rPr>
        <w:t>ft</w:t>
      </w:r>
      <w:r w:rsidR="00AB74BA">
        <w:rPr>
          <w:szCs w:val="22"/>
        </w:rPr>
        <w:t xml:space="preserve">. </w:t>
      </w:r>
      <w:r>
        <w:rPr>
          <w:szCs w:val="22"/>
        </w:rPr>
        <w:t>This methodology is simple</w:t>
      </w:r>
      <w:r w:rsidRPr="000E0654">
        <w:rPr>
          <w:szCs w:val="22"/>
        </w:rPr>
        <w:t xml:space="preserve">, but there are situations </w:t>
      </w:r>
      <w:r>
        <w:rPr>
          <w:szCs w:val="22"/>
        </w:rPr>
        <w:t>when</w:t>
      </w:r>
      <w:r w:rsidRPr="000E0654">
        <w:rPr>
          <w:szCs w:val="22"/>
        </w:rPr>
        <w:t xml:space="preserve"> it may result in overly conservative protection requirements for the material being protected</w:t>
      </w:r>
      <w:r>
        <w:rPr>
          <w:szCs w:val="22"/>
        </w:rPr>
        <w:t xml:space="preserve"> and the form of the material also needs to be considered</w:t>
      </w:r>
      <w:r w:rsidRPr="000E0654">
        <w:rPr>
          <w:szCs w:val="22"/>
        </w:rPr>
        <w:t xml:space="preserve">. </w:t>
      </w:r>
      <w:r>
        <w:rPr>
          <w:szCs w:val="22"/>
        </w:rPr>
        <w:t xml:space="preserve">In light of this, Table 2 of Annex A to </w:t>
      </w:r>
      <w:proofErr w:type="spellStart"/>
      <w:r>
        <w:rPr>
          <w:szCs w:val="22"/>
        </w:rPr>
        <w:t>SyAPs</w:t>
      </w:r>
      <w:proofErr w:type="spellEnd"/>
      <w:r>
        <w:rPr>
          <w:szCs w:val="22"/>
        </w:rPr>
        <w:t xml:space="preserve"> describes an alternative categorisation scheme that </w:t>
      </w:r>
      <w:r w:rsidRPr="000E0654">
        <w:rPr>
          <w:szCs w:val="22"/>
        </w:rPr>
        <w:t>consider</w:t>
      </w:r>
      <w:r>
        <w:rPr>
          <w:szCs w:val="22"/>
        </w:rPr>
        <w:t>s</w:t>
      </w:r>
      <w:r w:rsidRPr="000E0654">
        <w:rPr>
          <w:szCs w:val="22"/>
        </w:rPr>
        <w:t xml:space="preserve"> other attributes of the material which might provide additional impediments to an adversary </w:t>
      </w:r>
      <w:r>
        <w:rPr>
          <w:szCs w:val="22"/>
        </w:rPr>
        <w:t>aspiring to develop a NED</w:t>
      </w:r>
      <w:r w:rsidRPr="000E0654">
        <w:rPr>
          <w:szCs w:val="22"/>
        </w:rPr>
        <w:t xml:space="preserve">, </w:t>
      </w:r>
      <w:r>
        <w:rPr>
          <w:szCs w:val="22"/>
        </w:rPr>
        <w:t>such as</w:t>
      </w:r>
      <w:r w:rsidRPr="000E0654">
        <w:rPr>
          <w:szCs w:val="22"/>
        </w:rPr>
        <w:t xml:space="preserve"> dilution or extensive material separation issues. </w:t>
      </w:r>
      <w:proofErr w:type="spellStart"/>
      <w:r>
        <w:rPr>
          <w:szCs w:val="22"/>
        </w:rPr>
        <w:t>Dutyholders</w:t>
      </w:r>
      <w:proofErr w:type="spellEnd"/>
      <w:r>
        <w:rPr>
          <w:szCs w:val="22"/>
        </w:rPr>
        <w:t xml:space="preserve"> may make a case for their inventory to be categorised according to this scheme where the associated criteria are fulfilled, noting that a degree of flexibility may be catered for under special arrangements as detailed above.</w:t>
      </w:r>
    </w:p>
    <w:p w14:paraId="568A8F61" w14:textId="5171AAFF" w:rsidR="001D0427" w:rsidRPr="00CE53BF" w:rsidRDefault="00CE53BF" w:rsidP="000A51C3">
      <w:pPr>
        <w:pStyle w:val="F9-Paragraph"/>
      </w:pPr>
      <w:r>
        <w:rPr>
          <w:color w:val="000000"/>
          <w:szCs w:val="22"/>
        </w:rPr>
        <w:t xml:space="preserve">The </w:t>
      </w:r>
      <w:r w:rsidRPr="00935935">
        <w:rPr>
          <w:color w:val="000000"/>
          <w:szCs w:val="22"/>
        </w:rPr>
        <w:t>IAEA recommendations recognise the need for consideration of other factors:</w:t>
      </w:r>
    </w:p>
    <w:p w14:paraId="10B9CDD5" w14:textId="35DA3F42" w:rsidR="00CE53BF" w:rsidRPr="001C0B57" w:rsidRDefault="001C0B57" w:rsidP="00CE53BF">
      <w:pPr>
        <w:pStyle w:val="Bulletlist1"/>
      </w:pPr>
      <w:r w:rsidRPr="00935935">
        <w:rPr>
          <w:color w:val="000000"/>
        </w:rPr>
        <w:t xml:space="preserve">For NM in general, </w:t>
      </w:r>
      <w:r>
        <w:rPr>
          <w:color w:val="000000"/>
        </w:rPr>
        <w:t>“</w:t>
      </w:r>
      <w:r w:rsidRPr="00935935">
        <w:rPr>
          <w:color w:val="000000"/>
        </w:rPr>
        <w:t>the categorisation is the basis for a graded approach for protection against unauthorised removal of nuclear material that could be used in a nuclear explosive device, which itself depends upon:</w:t>
      </w:r>
      <w:r>
        <w:rPr>
          <w:color w:val="000000"/>
        </w:rPr>
        <w:t xml:space="preserve"> the type of NM (e.g. Pu and U),</w:t>
      </w:r>
      <w:r w:rsidRPr="00935935">
        <w:rPr>
          <w:color w:val="000000"/>
        </w:rPr>
        <w:t xml:space="preserve"> isotopic composition (i.e. content of fissile isotopes)</w:t>
      </w:r>
      <w:r>
        <w:rPr>
          <w:color w:val="000000"/>
        </w:rPr>
        <w:t>,</w:t>
      </w:r>
      <w:r w:rsidRPr="00935935">
        <w:rPr>
          <w:color w:val="000000"/>
        </w:rPr>
        <w:t xml:space="preserve"> physical and chemical form</w:t>
      </w:r>
      <w:r>
        <w:rPr>
          <w:color w:val="000000"/>
        </w:rPr>
        <w:t>,</w:t>
      </w:r>
      <w:r w:rsidRPr="00935935">
        <w:rPr>
          <w:color w:val="000000"/>
        </w:rPr>
        <w:t xml:space="preserve"> degree of dilution</w:t>
      </w:r>
      <w:r>
        <w:rPr>
          <w:color w:val="000000"/>
        </w:rPr>
        <w:t>,</w:t>
      </w:r>
      <w:r w:rsidRPr="00935935">
        <w:rPr>
          <w:color w:val="000000"/>
        </w:rPr>
        <w:t xml:space="preserve"> radiation level</w:t>
      </w:r>
      <w:r>
        <w:rPr>
          <w:color w:val="000000"/>
        </w:rPr>
        <w:t>,</w:t>
      </w:r>
      <w:r w:rsidRPr="00935935">
        <w:rPr>
          <w:color w:val="000000"/>
        </w:rPr>
        <w:t xml:space="preserve"> and quantity</w:t>
      </w:r>
      <w:r>
        <w:rPr>
          <w:color w:val="000000"/>
        </w:rPr>
        <w:t>.”</w:t>
      </w:r>
    </w:p>
    <w:p w14:paraId="10B9A756" w14:textId="27FAF131" w:rsidR="001C0B57" w:rsidRPr="001C0B57" w:rsidRDefault="001C0B57" w:rsidP="00CE53BF">
      <w:pPr>
        <w:pStyle w:val="Bulletlist1"/>
      </w:pPr>
      <w:r w:rsidRPr="00935935">
        <w:rPr>
          <w:color w:val="000000"/>
        </w:rPr>
        <w:t>For waste</w:t>
      </w:r>
      <w:r>
        <w:rPr>
          <w:color w:val="000000"/>
        </w:rPr>
        <w:t>,</w:t>
      </w:r>
      <w:r w:rsidRPr="00935935">
        <w:rPr>
          <w:color w:val="000000"/>
        </w:rPr>
        <w:t xml:space="preserve"> “Nuclear material which is in a form that is no longer usable for any nuclear activity, minimises environmental dispersal and is practically irrecoverable, may be protected against unauthorised removal in accordance with prudent management practice.”</w:t>
      </w:r>
    </w:p>
    <w:p w14:paraId="61039A26" w14:textId="1D802204" w:rsidR="001C0B57" w:rsidRPr="001C0B57" w:rsidRDefault="001C0B57" w:rsidP="00CE53BF">
      <w:pPr>
        <w:pStyle w:val="Bulletlist1"/>
      </w:pPr>
      <w:r w:rsidRPr="00935935">
        <w:rPr>
          <w:color w:val="000000"/>
        </w:rPr>
        <w:t xml:space="preserve">For irradiated fuel, </w:t>
      </w:r>
      <w:r>
        <w:rPr>
          <w:color w:val="000000"/>
        </w:rPr>
        <w:t xml:space="preserve">the IAEA guidance </w:t>
      </w:r>
      <w:r w:rsidRPr="00935935">
        <w:rPr>
          <w:color w:val="000000"/>
        </w:rPr>
        <w:t>allow</w:t>
      </w:r>
      <w:r>
        <w:rPr>
          <w:color w:val="000000"/>
        </w:rPr>
        <w:t>s</w:t>
      </w:r>
      <w:r w:rsidRPr="00935935">
        <w:rPr>
          <w:color w:val="000000"/>
        </w:rPr>
        <w:t xml:space="preserve"> reduction of category based on radiation level.</w:t>
      </w:r>
    </w:p>
    <w:p w14:paraId="57A5C4D3" w14:textId="57B65F7D" w:rsidR="001C0B57" w:rsidRPr="001C0B57" w:rsidRDefault="001C0B57" w:rsidP="001C0B57">
      <w:pPr>
        <w:pStyle w:val="F9-Paragraph"/>
      </w:pPr>
      <w:r w:rsidRPr="000439DE">
        <w:rPr>
          <w:b/>
          <w:color w:val="000000"/>
          <w:szCs w:val="22"/>
        </w:rPr>
        <w:t>Dilution -</w:t>
      </w:r>
      <w:r>
        <w:rPr>
          <w:color w:val="000000"/>
          <w:szCs w:val="22"/>
        </w:rPr>
        <w:t xml:space="preserve"> Material </w:t>
      </w:r>
      <w:r w:rsidRPr="000E0654">
        <w:rPr>
          <w:szCs w:val="22"/>
        </w:rPr>
        <w:t xml:space="preserve">that is in a dilute form will force an adversary to acquire much larger volumes and masses of material to obtain a significant quantity of NM. The adversary may also be faced with </w:t>
      </w:r>
      <w:r>
        <w:rPr>
          <w:szCs w:val="22"/>
        </w:rPr>
        <w:t>greater</w:t>
      </w:r>
      <w:r w:rsidRPr="000E0654">
        <w:rPr>
          <w:szCs w:val="22"/>
        </w:rPr>
        <w:t xml:space="preserve"> difficult</w:t>
      </w:r>
      <w:r>
        <w:rPr>
          <w:szCs w:val="22"/>
        </w:rPr>
        <w:t>y</w:t>
      </w:r>
      <w:r w:rsidRPr="000E0654">
        <w:rPr>
          <w:szCs w:val="22"/>
        </w:rPr>
        <w:t xml:space="preserve"> in recovering the NM</w:t>
      </w:r>
      <w:r>
        <w:rPr>
          <w:szCs w:val="22"/>
        </w:rPr>
        <w:t xml:space="preserve"> such as a need</w:t>
      </w:r>
      <w:r w:rsidRPr="008C60FF">
        <w:rPr>
          <w:szCs w:val="22"/>
        </w:rPr>
        <w:t xml:space="preserve"> to perform </w:t>
      </w:r>
      <w:r>
        <w:rPr>
          <w:szCs w:val="22"/>
        </w:rPr>
        <w:t>extensive</w:t>
      </w:r>
      <w:r w:rsidRPr="008C60FF">
        <w:rPr>
          <w:szCs w:val="22"/>
        </w:rPr>
        <w:t xml:space="preserve"> processing to convert the NM to a form usable </w:t>
      </w:r>
      <w:r>
        <w:rPr>
          <w:szCs w:val="22"/>
        </w:rPr>
        <w:t>in</w:t>
      </w:r>
      <w:r w:rsidRPr="008C60FF">
        <w:rPr>
          <w:szCs w:val="22"/>
        </w:rPr>
        <w:t xml:space="preserve"> a </w:t>
      </w:r>
      <w:r>
        <w:rPr>
          <w:szCs w:val="22"/>
        </w:rPr>
        <w:t>NED</w:t>
      </w:r>
      <w:r w:rsidRPr="008C60FF">
        <w:rPr>
          <w:szCs w:val="22"/>
        </w:rPr>
        <w:t xml:space="preserve">. </w:t>
      </w:r>
      <w:r>
        <w:rPr>
          <w:szCs w:val="22"/>
        </w:rPr>
        <w:t>P</w:t>
      </w:r>
      <w:r w:rsidRPr="008C60FF">
        <w:rPr>
          <w:szCs w:val="22"/>
        </w:rPr>
        <w:t xml:space="preserve">ossible additional </w:t>
      </w:r>
      <w:r>
        <w:rPr>
          <w:szCs w:val="22"/>
        </w:rPr>
        <w:t>factors</w:t>
      </w:r>
      <w:r w:rsidRPr="008C60FF">
        <w:rPr>
          <w:szCs w:val="22"/>
        </w:rPr>
        <w:t xml:space="preserve"> could be t</w:t>
      </w:r>
      <w:r w:rsidRPr="00480D10">
        <w:rPr>
          <w:szCs w:val="22"/>
        </w:rPr>
        <w:t xml:space="preserve">he concentration </w:t>
      </w:r>
      <w:r w:rsidRPr="000E0654">
        <w:rPr>
          <w:szCs w:val="22"/>
        </w:rPr>
        <w:t>of NM and the homogeneity of the concentration within the material.</w:t>
      </w:r>
    </w:p>
    <w:p w14:paraId="0A7A19E7" w14:textId="6172747F" w:rsidR="001C0B57" w:rsidRPr="001C0B57" w:rsidRDefault="001C0B57" w:rsidP="001C0B57">
      <w:pPr>
        <w:pStyle w:val="F9-Paragraph"/>
      </w:pPr>
      <w:r w:rsidRPr="000439DE">
        <w:rPr>
          <w:b/>
          <w:szCs w:val="22"/>
        </w:rPr>
        <w:t>Dispersion -</w:t>
      </w:r>
      <w:r>
        <w:rPr>
          <w:szCs w:val="22"/>
        </w:rPr>
        <w:t xml:space="preserve"> Material which is widely dispersed within a store, either in individual containers, or as part of a homogenous mass, will force an </w:t>
      </w:r>
      <w:r>
        <w:rPr>
          <w:szCs w:val="22"/>
        </w:rPr>
        <w:lastRenderedPageBreak/>
        <w:t xml:space="preserve">adversary to acquire larger volumes and masses of material to obtain a significant quantity of NM. The adversary then has greater difficulty in identifying and separating the NM from the other less attractive materials. These considerations form the basis of the criteria against which a </w:t>
      </w:r>
      <w:proofErr w:type="spellStart"/>
      <w:r>
        <w:rPr>
          <w:szCs w:val="22"/>
        </w:rPr>
        <w:t>dutyholder</w:t>
      </w:r>
      <w:proofErr w:type="spellEnd"/>
      <w:r>
        <w:rPr>
          <w:szCs w:val="22"/>
        </w:rPr>
        <w:t xml:space="preserve"> may make a case for their inventory to be categorised against Table 2 of Annex A to </w:t>
      </w:r>
      <w:proofErr w:type="spellStart"/>
      <w:r>
        <w:rPr>
          <w:szCs w:val="22"/>
        </w:rPr>
        <w:t>SyAPs</w:t>
      </w:r>
      <w:proofErr w:type="spellEnd"/>
    </w:p>
    <w:p w14:paraId="7EEC2152" w14:textId="0E4032C5" w:rsidR="001C0B57" w:rsidRPr="001C0B57" w:rsidRDefault="001C0B57" w:rsidP="001C0B57">
      <w:pPr>
        <w:pStyle w:val="F9-Paragraph"/>
      </w:pPr>
      <w:r w:rsidRPr="002C4D0E">
        <w:rPr>
          <w:b/>
          <w:szCs w:val="22"/>
        </w:rPr>
        <w:t>Form -</w:t>
      </w:r>
      <w:r>
        <w:rPr>
          <w:szCs w:val="22"/>
        </w:rPr>
        <w:t xml:space="preserve"> T</w:t>
      </w:r>
      <w:r w:rsidRPr="000E0654">
        <w:rPr>
          <w:szCs w:val="22"/>
        </w:rPr>
        <w:t xml:space="preserve">he processing and storage of NM </w:t>
      </w:r>
      <w:r>
        <w:rPr>
          <w:szCs w:val="22"/>
        </w:rPr>
        <w:t>may be beneficial as a control measure because the chemical and physical form of the material may have a significant impact on the attractiveness for theft. For example, materials that are bound into immobile matrices, such as cementitious grout or a vitrified product, will also create difficulties for adversaries. Table 2 incorporates these considerations by limiting the highest possible categorisation where the chemical and physical form is appropriate.</w:t>
      </w:r>
    </w:p>
    <w:p w14:paraId="4FE87600" w14:textId="189E667B" w:rsidR="001C0B57" w:rsidRPr="001C0B57" w:rsidRDefault="001C0B57" w:rsidP="001C0B57">
      <w:pPr>
        <w:pStyle w:val="F9-Paragraph"/>
      </w:pPr>
      <w:r w:rsidRPr="008A30BD">
        <w:rPr>
          <w:b/>
          <w:szCs w:val="22"/>
        </w:rPr>
        <w:t>Irradiation -</w:t>
      </w:r>
      <w:r>
        <w:rPr>
          <w:szCs w:val="22"/>
        </w:rPr>
        <w:t xml:space="preserve"> </w:t>
      </w:r>
      <w:r w:rsidRPr="007C62B5">
        <w:rPr>
          <w:szCs w:val="22"/>
        </w:rPr>
        <w:t xml:space="preserve">The CPPNM and NISR Schedule defines the term ‘irradiated’, in relation to any kind of material, means that </w:t>
      </w:r>
      <w:r w:rsidRPr="0074127C">
        <w:rPr>
          <w:szCs w:val="22"/>
        </w:rPr>
        <w:t>the material has a total radiation output giving a dose rate exceeding 1 Gray per hour at one metre from the unshielded surface</w:t>
      </w:r>
      <w:r>
        <w:rPr>
          <w:szCs w:val="22"/>
        </w:rPr>
        <w:t xml:space="preserve"> </w:t>
      </w:r>
      <w:r w:rsidRPr="007C62B5">
        <w:rPr>
          <w:szCs w:val="22"/>
        </w:rPr>
        <w:t>of the material</w:t>
      </w:r>
      <w:r>
        <w:rPr>
          <w:szCs w:val="22"/>
        </w:rPr>
        <w:t xml:space="preserve">. The categorisation of material meeting these criteria may be reduced based on the reduced attractiveness because of the high dose rate and hence danger to life. However, this rate may be insufficiently high to deter (neither will it incapacitate) modern threats where adversaries are unconcerned about preservation of their health. Therefore, inspectors should be cautious about </w:t>
      </w:r>
      <w:proofErr w:type="spellStart"/>
      <w:r>
        <w:rPr>
          <w:szCs w:val="22"/>
        </w:rPr>
        <w:t>dutyholder</w:t>
      </w:r>
      <w:proofErr w:type="spellEnd"/>
      <w:r>
        <w:rPr>
          <w:szCs w:val="22"/>
        </w:rPr>
        <w:t xml:space="preserve"> claims for reduced NM categorisation based on the irradiated criteria where the dose rate is close to the threshold. This is especially the case where the half-life of the material is relatively short in comparison to the life of the facility in which it is to be stored or processed. Further advice should be sought from specialists in </w:t>
      </w:r>
      <w:r w:rsidR="00956B64">
        <w:rPr>
          <w:szCs w:val="22"/>
        </w:rPr>
        <w:t>STAR</w:t>
      </w:r>
      <w:r>
        <w:rPr>
          <w:szCs w:val="22"/>
        </w:rPr>
        <w:t>, health physics and/or radiation protection specialists as required.</w:t>
      </w:r>
    </w:p>
    <w:p w14:paraId="2E7D2833" w14:textId="2EC15DE0" w:rsidR="001C0B57" w:rsidRDefault="001C0B57" w:rsidP="001C0B57">
      <w:pPr>
        <w:pStyle w:val="F9-Paragraph"/>
      </w:pPr>
      <w:r>
        <w:rPr>
          <w:szCs w:val="22"/>
        </w:rPr>
        <w:t xml:space="preserve">The </w:t>
      </w:r>
      <w:proofErr w:type="spellStart"/>
      <w:r>
        <w:rPr>
          <w:szCs w:val="22"/>
        </w:rPr>
        <w:t>dutyholder</w:t>
      </w:r>
      <w:proofErr w:type="spellEnd"/>
      <w:r>
        <w:rPr>
          <w:szCs w:val="22"/>
        </w:rPr>
        <w:t xml:space="preserve"> should develop a fully </w:t>
      </w:r>
      <w:r w:rsidRPr="000E0654">
        <w:rPr>
          <w:szCs w:val="22"/>
        </w:rPr>
        <w:t>documented</w:t>
      </w:r>
      <w:r>
        <w:rPr>
          <w:szCs w:val="22"/>
        </w:rPr>
        <w:t xml:space="preserve"> characterisation</w:t>
      </w:r>
      <w:r w:rsidRPr="000E0654">
        <w:rPr>
          <w:szCs w:val="22"/>
        </w:rPr>
        <w:t xml:space="preserve"> </w:t>
      </w:r>
      <w:r>
        <w:rPr>
          <w:szCs w:val="22"/>
        </w:rPr>
        <w:t xml:space="preserve">of their NM inventory and make a case to categorise for theft against either Table 1 or Table 2 of Annex A to </w:t>
      </w:r>
      <w:proofErr w:type="spellStart"/>
      <w:r>
        <w:rPr>
          <w:szCs w:val="22"/>
        </w:rPr>
        <w:t>SyAPs</w:t>
      </w:r>
      <w:proofErr w:type="spellEnd"/>
      <w:r>
        <w:rPr>
          <w:szCs w:val="22"/>
        </w:rPr>
        <w:t xml:space="preserve">. This will ensure that the basic </w:t>
      </w:r>
      <w:r w:rsidRPr="000E0654">
        <w:rPr>
          <w:szCs w:val="22"/>
        </w:rPr>
        <w:t>thre</w:t>
      </w:r>
      <w:r>
        <w:rPr>
          <w:szCs w:val="22"/>
        </w:rPr>
        <w:t>e-factor methodology and other factors considered above are appropriately incorporated within the categorisation case.</w:t>
      </w:r>
    </w:p>
    <w:p w14:paraId="77B844E7" w14:textId="5C3A5C9A" w:rsidR="001D0427" w:rsidRDefault="001C0B57" w:rsidP="00BA3681">
      <w:pPr>
        <w:pStyle w:val="Heading1"/>
        <w:keepNext w:val="0"/>
        <w:pageBreakBefore/>
      </w:pPr>
      <w:bookmarkStart w:id="13" w:name="_Toc38029226"/>
      <w:bookmarkStart w:id="14" w:name="_Toc188964108"/>
      <w:r>
        <w:lastRenderedPageBreak/>
        <w:t>Additional Considerations Based on Aggregation of Nuclear Material</w:t>
      </w:r>
      <w:bookmarkEnd w:id="13"/>
      <w:bookmarkEnd w:id="14"/>
    </w:p>
    <w:p w14:paraId="53235C0A" w14:textId="1759AD78" w:rsidR="001D0427" w:rsidRPr="00DC27D7" w:rsidRDefault="001C0B57" w:rsidP="000A51C3">
      <w:pPr>
        <w:pStyle w:val="F9-Paragraph"/>
      </w:pPr>
      <w:r>
        <w:t xml:space="preserve">Regulation 3(5) of NISR states that in determining the categorisation of material used or stored on nuclear premises, the quantities of all material of the kind in question (i.e. materials as specified in column 1 of the Schedule to NISR) that is being used or stored on the nuclear premises are to be aggregated. Therefore, careful consideration </w:t>
      </w:r>
      <w:r w:rsidRPr="0088731B">
        <w:rPr>
          <w:szCs w:val="22"/>
        </w:rPr>
        <w:t>will need to be given to adding together, or aggregating, the total amount of NM contained within a nuclear facility, group of buildings o</w:t>
      </w:r>
      <w:r w:rsidRPr="0074127C">
        <w:rPr>
          <w:szCs w:val="22"/>
        </w:rPr>
        <w:t>r group of rooms when categorising nuclear material. The principle of aggregation is an important element in deciding (</w:t>
      </w:r>
      <w:r>
        <w:rPr>
          <w:szCs w:val="22"/>
        </w:rPr>
        <w:t xml:space="preserve">and </w:t>
      </w:r>
      <w:r w:rsidRPr="0074127C">
        <w:rPr>
          <w:szCs w:val="22"/>
        </w:rPr>
        <w:t>potentially increasing) the appropriate categorisation on a site and facility basis.</w:t>
      </w:r>
    </w:p>
    <w:p w14:paraId="66607FE6" w14:textId="64E09D06" w:rsidR="00DC27D7" w:rsidRPr="00DC27D7" w:rsidRDefault="00DC27D7" w:rsidP="000A51C3">
      <w:pPr>
        <w:pStyle w:val="F9-Paragraph"/>
      </w:pPr>
      <w:r>
        <w:rPr>
          <w:color w:val="000000"/>
        </w:rPr>
        <w:t xml:space="preserve">In some </w:t>
      </w:r>
      <w:r w:rsidRPr="000E0654">
        <w:t>facilities, NM of the same type may be located in several different buildings, for different purposes or at different stages of process</w:t>
      </w:r>
      <w:r>
        <w:t>ing</w:t>
      </w:r>
      <w:r w:rsidRPr="000E0654">
        <w:t xml:space="preserve">. For example, there may be </w:t>
      </w:r>
      <w:r>
        <w:t xml:space="preserve">Category II quantities </w:t>
      </w:r>
      <w:r w:rsidRPr="000E0654">
        <w:t xml:space="preserve">of </w:t>
      </w:r>
      <w:r>
        <w:t xml:space="preserve">specific </w:t>
      </w:r>
      <w:r w:rsidRPr="000E0654">
        <w:t xml:space="preserve">material in one building and </w:t>
      </w:r>
      <w:r>
        <w:t xml:space="preserve">a Category II quantity </w:t>
      </w:r>
      <w:r w:rsidRPr="000E0654">
        <w:t xml:space="preserve">of similar material in another building within the same </w:t>
      </w:r>
      <w:r>
        <w:t>P</w:t>
      </w:r>
      <w:r w:rsidRPr="000E0654">
        <w:t xml:space="preserve">rotected </w:t>
      </w:r>
      <w:r>
        <w:t>A</w:t>
      </w:r>
      <w:r w:rsidRPr="000E0654">
        <w:t>rea</w:t>
      </w:r>
      <w:r w:rsidRPr="00480D10">
        <w:t xml:space="preserve">. Considered individually, each quantity of material is Category </w:t>
      </w:r>
      <w:r>
        <w:t xml:space="preserve">II. However, if all the material </w:t>
      </w:r>
      <w:r w:rsidRPr="00480D10">
        <w:t xml:space="preserve">could be taken during a single adversary attack, the material </w:t>
      </w:r>
      <w:r>
        <w:t>sh</w:t>
      </w:r>
      <w:r w:rsidRPr="00480D10">
        <w:t xml:space="preserve">ould be designated as Category </w:t>
      </w:r>
      <w:r>
        <w:t>I</w:t>
      </w:r>
      <w:r w:rsidRPr="00480D10">
        <w:t>.</w:t>
      </w:r>
      <w:r w:rsidRPr="00826E68">
        <w:t xml:space="preserve"> </w:t>
      </w:r>
      <w:r w:rsidRPr="00826E68">
        <w:rPr>
          <w:szCs w:val="22"/>
        </w:rPr>
        <w:t xml:space="preserve">Consideration should also cover the possibility that quantities of NM may be removed by a single adversary from several locations or buildings (e.g. by an insider), which may include </w:t>
      </w:r>
      <w:r>
        <w:rPr>
          <w:szCs w:val="22"/>
        </w:rPr>
        <w:t>small</w:t>
      </w:r>
      <w:r w:rsidRPr="00826E68">
        <w:rPr>
          <w:szCs w:val="22"/>
        </w:rPr>
        <w:t xml:space="preserve"> quantities over an extended period of time.</w:t>
      </w:r>
    </w:p>
    <w:p w14:paraId="17F4E68B" w14:textId="4E581E0A" w:rsidR="00DC27D7" w:rsidRPr="00DC27D7" w:rsidRDefault="00DC27D7" w:rsidP="000A51C3">
      <w:pPr>
        <w:pStyle w:val="F9-Paragraph"/>
      </w:pPr>
      <w:r>
        <w:t xml:space="preserve">NM of </w:t>
      </w:r>
      <w:r w:rsidRPr="000E0654">
        <w:rPr>
          <w:szCs w:val="22"/>
        </w:rPr>
        <w:t>different types (e.g. Pu</w:t>
      </w:r>
      <w:r>
        <w:rPr>
          <w:szCs w:val="22"/>
        </w:rPr>
        <w:t>, Np</w:t>
      </w:r>
      <w:r w:rsidRPr="000E0654">
        <w:rPr>
          <w:szCs w:val="22"/>
        </w:rPr>
        <w:t xml:space="preserve"> and U with different levels of enrichment) may be co-located in the same nuclear facility. The total amount of NM in the facility should be considered in determining the categori</w:t>
      </w:r>
      <w:r>
        <w:rPr>
          <w:szCs w:val="22"/>
        </w:rPr>
        <w:t>s</w:t>
      </w:r>
      <w:r w:rsidRPr="00480D10">
        <w:rPr>
          <w:szCs w:val="22"/>
        </w:rPr>
        <w:t>ation of the NM in any specific location</w:t>
      </w:r>
      <w:r w:rsidRPr="000E0654">
        <w:rPr>
          <w:szCs w:val="22"/>
        </w:rPr>
        <w:t xml:space="preserve">. There are several mathematical approaches for calculating the category for aggregated quantities of different NM, and the </w:t>
      </w:r>
      <w:proofErr w:type="spellStart"/>
      <w:r w:rsidRPr="000E0654">
        <w:rPr>
          <w:szCs w:val="22"/>
        </w:rPr>
        <w:t>dutyholder</w:t>
      </w:r>
      <w:proofErr w:type="spellEnd"/>
      <w:r w:rsidRPr="000E0654">
        <w:rPr>
          <w:szCs w:val="22"/>
        </w:rPr>
        <w:t xml:space="preserve"> should decide which approach i</w:t>
      </w:r>
      <w:r>
        <w:rPr>
          <w:szCs w:val="22"/>
        </w:rPr>
        <w:t>s appropriate</w:t>
      </w:r>
      <w:r w:rsidRPr="00480D10">
        <w:rPr>
          <w:szCs w:val="22"/>
        </w:rPr>
        <w:t xml:space="preserve">. </w:t>
      </w:r>
      <w:r>
        <w:rPr>
          <w:szCs w:val="22"/>
        </w:rPr>
        <w:t xml:space="preserve">The ONR </w:t>
      </w:r>
      <w:r w:rsidR="004758B1">
        <w:rPr>
          <w:szCs w:val="22"/>
        </w:rPr>
        <w:t xml:space="preserve">STAR </w:t>
      </w:r>
      <w:r>
        <w:rPr>
          <w:szCs w:val="22"/>
        </w:rPr>
        <w:t xml:space="preserve">team can provide advice on the adequacy of the methodology adopted by the </w:t>
      </w:r>
      <w:proofErr w:type="spellStart"/>
      <w:r>
        <w:rPr>
          <w:szCs w:val="22"/>
        </w:rPr>
        <w:t>dutyholder</w:t>
      </w:r>
      <w:proofErr w:type="spellEnd"/>
      <w:r>
        <w:rPr>
          <w:szCs w:val="22"/>
        </w:rPr>
        <w:t>.</w:t>
      </w:r>
    </w:p>
    <w:p w14:paraId="0D6B3893" w14:textId="0A1CE660" w:rsidR="00DC27D7" w:rsidRDefault="00DC27D7" w:rsidP="00BA3681">
      <w:pPr>
        <w:pStyle w:val="Heading1"/>
        <w:keepNext w:val="0"/>
        <w:pageBreakBefore/>
      </w:pPr>
      <w:bookmarkStart w:id="15" w:name="_Toc38029227"/>
      <w:bookmarkStart w:id="16" w:name="_Toc188964109"/>
      <w:r>
        <w:lastRenderedPageBreak/>
        <w:t>Notes on Physical Protection and Categorisation of Nuclear Material</w:t>
      </w:r>
      <w:bookmarkEnd w:id="15"/>
      <w:bookmarkEnd w:id="16"/>
    </w:p>
    <w:p w14:paraId="5BA80BDD" w14:textId="2A7C9F56" w:rsidR="00DC27D7" w:rsidRPr="00DC27D7" w:rsidRDefault="00DC27D7" w:rsidP="00DC27D7">
      <w:pPr>
        <w:pStyle w:val="F9-Paragraph"/>
        <w:rPr>
          <w:lang w:val="en-US"/>
        </w:rPr>
      </w:pPr>
      <w:r w:rsidRPr="00D478D7">
        <w:t>Inspectors should note</w:t>
      </w:r>
      <w:r>
        <w:t xml:space="preserve"> that prior to the publication of </w:t>
      </w:r>
      <w:proofErr w:type="spellStart"/>
      <w:r>
        <w:t>SyAPs</w:t>
      </w:r>
      <w:proofErr w:type="spellEnd"/>
      <w:r>
        <w:t xml:space="preserve"> and the associated adoption of outcome focused security regulation, it was acceptable for </w:t>
      </w:r>
      <w:proofErr w:type="spellStart"/>
      <w:r>
        <w:t>dutyholders</w:t>
      </w:r>
      <w:proofErr w:type="spellEnd"/>
      <w:r>
        <w:t xml:space="preserve"> to make a case for reducing the categorisation of NM to take into account aspects of attack scenarios and physical protection. For example, cases were made for a Category III NM inventory to be protected as Category IV because of its location within robust vaults combined with the sheer volume and mass that would need to be removed. This was entirely appropriate under the previous prescriptive approach to regulation in order to avoid the application of disproportionate security measures driven by model standards, which were based on a worst</w:t>
      </w:r>
      <w:r w:rsidR="00B24F63">
        <w:t>-</w:t>
      </w:r>
      <w:r>
        <w:t>case scenario of material attractiveness. Conversely, such an approach is not appropriate in an outcome focused regulatory regime where, in the absence of model standards, the previous motivation is no longer relevant and can lead to inadequate protective security.</w:t>
      </w:r>
    </w:p>
    <w:p w14:paraId="3CC99FF9" w14:textId="0C1F0BEC" w:rsidR="00DC27D7" w:rsidRPr="00DC27D7" w:rsidRDefault="00DC27D7" w:rsidP="00BA3681">
      <w:pPr>
        <w:pStyle w:val="Heading1"/>
        <w:keepNext w:val="0"/>
        <w:pageBreakBefore/>
        <w:rPr>
          <w:lang w:val="en-US"/>
        </w:rPr>
      </w:pPr>
      <w:bookmarkStart w:id="17" w:name="_Toc38029228"/>
      <w:bookmarkStart w:id="18" w:name="_Toc188964110"/>
      <w:r>
        <w:lastRenderedPageBreak/>
        <w:t>Categorisation of Radioactive Sources</w:t>
      </w:r>
      <w:bookmarkEnd w:id="17"/>
      <w:bookmarkEnd w:id="18"/>
    </w:p>
    <w:p w14:paraId="49F01699" w14:textId="3DEC5AE0" w:rsidR="00DC27D7" w:rsidRPr="00DC27D7" w:rsidRDefault="00DC27D7" w:rsidP="00DC27D7">
      <w:pPr>
        <w:pStyle w:val="F9-Paragraph"/>
        <w:rPr>
          <w:lang w:val="en-US"/>
        </w:rPr>
      </w:pPr>
      <w:r>
        <w:t xml:space="preserve">Radioactive </w:t>
      </w:r>
      <w:r w:rsidRPr="000E0654">
        <w:rPr>
          <w:szCs w:val="22"/>
        </w:rPr>
        <w:t xml:space="preserve">sources are placed in security groups according to guidance issued by the IAEA. For the purposes of determining security protection these groups and categories of source are set out in </w:t>
      </w:r>
      <w:r>
        <w:rPr>
          <w:szCs w:val="22"/>
        </w:rPr>
        <w:t>T</w:t>
      </w:r>
      <w:r w:rsidRPr="000E0654">
        <w:rPr>
          <w:szCs w:val="22"/>
        </w:rPr>
        <w:t xml:space="preserve">able </w:t>
      </w:r>
      <w:r>
        <w:rPr>
          <w:szCs w:val="22"/>
        </w:rPr>
        <w:t>3 of</w:t>
      </w:r>
      <w:r w:rsidRPr="000E0654">
        <w:rPr>
          <w:szCs w:val="22"/>
        </w:rPr>
        <w:t xml:space="preserve"> Annex A</w:t>
      </w:r>
      <w:r>
        <w:rPr>
          <w:szCs w:val="22"/>
        </w:rPr>
        <w:t xml:space="preserve"> of the </w:t>
      </w:r>
      <w:proofErr w:type="spellStart"/>
      <w:r>
        <w:rPr>
          <w:szCs w:val="22"/>
        </w:rPr>
        <w:t>SyAPs</w:t>
      </w:r>
      <w:proofErr w:type="spellEnd"/>
      <w:r w:rsidR="00AB74BA">
        <w:rPr>
          <w:szCs w:val="22"/>
        </w:rPr>
        <w:t xml:space="preserve">. </w:t>
      </w:r>
      <w:r w:rsidRPr="000E0654">
        <w:rPr>
          <w:szCs w:val="22"/>
        </w:rPr>
        <w:t xml:space="preserve">Many of the sources referred to are typically used in medical or industrial applications, and the examples given here are intended to serve as a guide to source types and categorisation. The IAEA methodology for categorising radioactive sources, </w:t>
      </w:r>
      <w:r>
        <w:rPr>
          <w:szCs w:val="22"/>
        </w:rPr>
        <w:t>based on</w:t>
      </w:r>
      <w:r w:rsidRPr="000E0654">
        <w:rPr>
          <w:szCs w:val="22"/>
        </w:rPr>
        <w:t xml:space="preserve"> the A/D activity ratio, is set out in IAEA Safety Guide Ref RS-G-1.9</w:t>
      </w:r>
      <w:r>
        <w:rPr>
          <w:szCs w:val="22"/>
        </w:rPr>
        <w:t xml:space="preserve"> (</w:t>
      </w:r>
      <w:r w:rsidR="00B36FA4">
        <w:rPr>
          <w:szCs w:val="22"/>
        </w:rPr>
        <w:t>Ref.</w:t>
      </w:r>
      <w:r>
        <w:rPr>
          <w:szCs w:val="22"/>
        </w:rPr>
        <w:t xml:space="preserve"> 8)</w:t>
      </w:r>
      <w:r w:rsidRPr="000E0654">
        <w:rPr>
          <w:szCs w:val="22"/>
        </w:rPr>
        <w:t>.</w:t>
      </w:r>
      <w:r>
        <w:rPr>
          <w:szCs w:val="22"/>
        </w:rPr>
        <w:t xml:space="preserve"> Whilst the methodology is based on the A/D ratio, factors such as the physical and chemical forms, the type of shielding or containment employed, the circumstances of use and accident case histories are also taken into consideration within the categorisation for sources of specified types and practices in Table 3. Where a </w:t>
      </w:r>
      <w:proofErr w:type="spellStart"/>
      <w:r>
        <w:rPr>
          <w:szCs w:val="22"/>
        </w:rPr>
        <w:t>dutyholder</w:t>
      </w:r>
      <w:proofErr w:type="spellEnd"/>
      <w:r>
        <w:rPr>
          <w:szCs w:val="22"/>
        </w:rPr>
        <w:t xml:space="preserve"> possesses a source that does not fit within the specified types or practices, then it would be reasonable for categorisation to be based solely on the A/D ratio</w:t>
      </w:r>
      <w:r>
        <w:t>.</w:t>
      </w:r>
    </w:p>
    <w:p w14:paraId="1F4FF6DD" w14:textId="22078440" w:rsidR="00DC27D7" w:rsidRPr="00DC27D7" w:rsidRDefault="00DC27D7" w:rsidP="00DC27D7">
      <w:pPr>
        <w:pStyle w:val="F9-Paragraph"/>
        <w:rPr>
          <w:lang w:val="en-US"/>
        </w:rPr>
      </w:pPr>
      <w:r>
        <w:t xml:space="preserve">The </w:t>
      </w:r>
      <w:r w:rsidRPr="000E0654">
        <w:rPr>
          <w:szCs w:val="22"/>
        </w:rPr>
        <w:t>categori</w:t>
      </w:r>
      <w:r>
        <w:rPr>
          <w:szCs w:val="22"/>
        </w:rPr>
        <w:t>s</w:t>
      </w:r>
      <w:r w:rsidRPr="00480D10">
        <w:rPr>
          <w:szCs w:val="22"/>
        </w:rPr>
        <w:t xml:space="preserve">ation system has five categories. Within this, sources in Category 1 are considered to be the most </w:t>
      </w:r>
      <w:r>
        <w:rPr>
          <w:szCs w:val="22"/>
        </w:rPr>
        <w:t>harmful</w:t>
      </w:r>
      <w:r w:rsidRPr="00480D10">
        <w:rPr>
          <w:szCs w:val="22"/>
        </w:rPr>
        <w:t xml:space="preserve"> because they can pose a very high risk to human health if not managed safely and securely. An</w:t>
      </w:r>
      <w:r w:rsidRPr="000E0654">
        <w:rPr>
          <w:szCs w:val="22"/>
        </w:rPr>
        <w:t xml:space="preserve"> exposure of only a few minutes to an unshielded Category 1 source may be fatal. At the lower end of the categori</w:t>
      </w:r>
      <w:r>
        <w:rPr>
          <w:szCs w:val="22"/>
        </w:rPr>
        <w:t>s</w:t>
      </w:r>
      <w:r w:rsidRPr="000E0654">
        <w:rPr>
          <w:szCs w:val="22"/>
        </w:rPr>
        <w:t>ation system, sources in Category 5 are the least dangerous; however, even these sources should be kept under appropriate control</w:t>
      </w:r>
      <w:r>
        <w:t>.</w:t>
      </w:r>
    </w:p>
    <w:p w14:paraId="6D13ADC6" w14:textId="4C6BD4EF" w:rsidR="00DC27D7" w:rsidRPr="00DC27D7" w:rsidRDefault="00DC27D7" w:rsidP="00DC27D7">
      <w:pPr>
        <w:pStyle w:val="F9-Paragraph"/>
        <w:rPr>
          <w:lang w:val="en-US"/>
        </w:rPr>
      </w:pPr>
      <w:r>
        <w:rPr>
          <w:color w:val="000000"/>
          <w:szCs w:val="22"/>
        </w:rPr>
        <w:t xml:space="preserve">Where </w:t>
      </w:r>
      <w:r w:rsidRPr="000E0654">
        <w:rPr>
          <w:szCs w:val="22"/>
        </w:rPr>
        <w:t xml:space="preserve">a number of radioactive sources are regularly used or stored together, or are in close proximity, their aggregation </w:t>
      </w:r>
      <w:r>
        <w:rPr>
          <w:szCs w:val="22"/>
        </w:rPr>
        <w:t>should</w:t>
      </w:r>
      <w:r w:rsidRPr="000E0654">
        <w:rPr>
          <w:szCs w:val="22"/>
        </w:rPr>
        <w:t xml:space="preserve"> be </w:t>
      </w:r>
      <w:r>
        <w:rPr>
          <w:szCs w:val="22"/>
        </w:rPr>
        <w:t>applied by summing the A/D values</w:t>
      </w:r>
      <w:r w:rsidR="00AB74BA">
        <w:rPr>
          <w:szCs w:val="22"/>
        </w:rPr>
        <w:t xml:space="preserve">. </w:t>
      </w:r>
      <w:r w:rsidRPr="000E0654">
        <w:rPr>
          <w:szCs w:val="22"/>
        </w:rPr>
        <w:t xml:space="preserve">Thus, the total </w:t>
      </w:r>
      <w:r>
        <w:rPr>
          <w:szCs w:val="22"/>
        </w:rPr>
        <w:t>radio</w:t>
      </w:r>
      <w:r w:rsidRPr="000E0654">
        <w:rPr>
          <w:szCs w:val="22"/>
        </w:rPr>
        <w:t xml:space="preserve">activity of the sources </w:t>
      </w:r>
      <w:r>
        <w:rPr>
          <w:szCs w:val="22"/>
        </w:rPr>
        <w:t>should</w:t>
      </w:r>
      <w:r w:rsidRPr="000E0654">
        <w:rPr>
          <w:szCs w:val="22"/>
        </w:rPr>
        <w:t xml:space="preserve"> be assessed using the IAEA methodology </w:t>
      </w:r>
      <w:r>
        <w:rPr>
          <w:szCs w:val="22"/>
        </w:rPr>
        <w:t>(</w:t>
      </w:r>
      <w:r w:rsidR="00B36FA4">
        <w:rPr>
          <w:szCs w:val="22"/>
        </w:rPr>
        <w:t>Ref.</w:t>
      </w:r>
      <w:r>
        <w:rPr>
          <w:szCs w:val="22"/>
        </w:rPr>
        <w:t xml:space="preserve"> 8) </w:t>
      </w:r>
      <w:r w:rsidRPr="000E0654">
        <w:rPr>
          <w:szCs w:val="22"/>
        </w:rPr>
        <w:t>to identify the security grouping and level of security protection needed.</w:t>
      </w:r>
      <w:r>
        <w:rPr>
          <w:szCs w:val="22"/>
        </w:rPr>
        <w:t xml:space="preserve"> Inspectors should take particular note of sources in IAEA Category 3, where aggregation of just two may cross a threshold resulting in a higher </w:t>
      </w:r>
      <w:proofErr w:type="spellStart"/>
      <w:r>
        <w:rPr>
          <w:szCs w:val="22"/>
        </w:rPr>
        <w:t>SyAPs</w:t>
      </w:r>
      <w:proofErr w:type="spellEnd"/>
      <w:r>
        <w:rPr>
          <w:szCs w:val="22"/>
        </w:rPr>
        <w:t xml:space="preserve"> security outcome to be achieved, which may not be possible with a physical protection system designed to achieve the lower outcome</w:t>
      </w:r>
      <w:r>
        <w:t>.</w:t>
      </w:r>
    </w:p>
    <w:p w14:paraId="255FF8C4" w14:textId="6C1B0B39" w:rsidR="00DC27D7" w:rsidRPr="00DC27D7" w:rsidRDefault="00DC27D7" w:rsidP="00DC27D7">
      <w:pPr>
        <w:pStyle w:val="F9-Paragraph"/>
        <w:rPr>
          <w:lang w:val="en-US"/>
        </w:rPr>
      </w:pPr>
      <w:proofErr w:type="spellStart"/>
      <w:r>
        <w:t>Dutyholders</w:t>
      </w:r>
      <w:proofErr w:type="spellEnd"/>
      <w:r>
        <w:t xml:space="preserve"> should</w:t>
      </w:r>
      <w:r w:rsidRPr="000E0654">
        <w:t xml:space="preserve"> also be able to demonstrate how they identify and manage potential planned or unplanned changes to</w:t>
      </w:r>
      <w:r>
        <w:t xml:space="preserve"> operations at a</w:t>
      </w:r>
      <w:r w:rsidRPr="000E0654">
        <w:t xml:space="preserve"> site/facility </w:t>
      </w:r>
      <w:r>
        <w:t xml:space="preserve">that might affect its </w:t>
      </w:r>
      <w:r w:rsidRPr="000E0654">
        <w:t xml:space="preserve">categorisation to ensure </w:t>
      </w:r>
      <w:r>
        <w:t>an</w:t>
      </w:r>
      <w:r w:rsidRPr="000E0654">
        <w:t xml:space="preserve"> appropriate PPS </w:t>
      </w:r>
      <w:r>
        <w:t xml:space="preserve">and </w:t>
      </w:r>
      <w:r w:rsidRPr="000E0654">
        <w:t>outcome</w:t>
      </w:r>
      <w:r>
        <w:t>s are</w:t>
      </w:r>
      <w:r w:rsidRPr="000E0654">
        <w:t xml:space="preserve"> maintained at all times</w:t>
      </w:r>
      <w:r>
        <w:t>.</w:t>
      </w:r>
    </w:p>
    <w:p w14:paraId="648A8988" w14:textId="549AA867" w:rsidR="00DC27D7" w:rsidRPr="00DC27D7" w:rsidRDefault="00940726" w:rsidP="00BA3681">
      <w:pPr>
        <w:pStyle w:val="Heading1"/>
        <w:keepNext w:val="0"/>
        <w:pageBreakBefore/>
        <w:rPr>
          <w:lang w:val="en-US"/>
        </w:rPr>
      </w:pPr>
      <w:bookmarkStart w:id="19" w:name="_Toc38029229"/>
      <w:bookmarkStart w:id="20" w:name="_Toc188964111"/>
      <w:r w:rsidRPr="00631493">
        <w:lastRenderedPageBreak/>
        <w:t xml:space="preserve">Categorisation </w:t>
      </w:r>
      <w:r>
        <w:t>o</w:t>
      </w:r>
      <w:r w:rsidRPr="00631493">
        <w:t>f Other Radioactive Material</w:t>
      </w:r>
      <w:bookmarkEnd w:id="19"/>
      <w:bookmarkEnd w:id="20"/>
    </w:p>
    <w:p w14:paraId="6BBA37EB" w14:textId="09F9609D" w:rsidR="00DC27D7" w:rsidRPr="00DC27D7" w:rsidRDefault="00CF18BF" w:rsidP="00DC27D7">
      <w:pPr>
        <w:pStyle w:val="F9-Paragraph"/>
        <w:rPr>
          <w:lang w:val="en-US"/>
        </w:rPr>
      </w:pPr>
      <w:r w:rsidRPr="0074127C">
        <w:t xml:space="preserve">In addition to radioactive sources, </w:t>
      </w:r>
      <w:proofErr w:type="spellStart"/>
      <w:r w:rsidRPr="0074127C">
        <w:t>dutyholders</w:t>
      </w:r>
      <w:proofErr w:type="spellEnd"/>
      <w:r w:rsidRPr="0074127C">
        <w:t xml:space="preserve"> may have inventories of ORM, which should also be categorised because it may </w:t>
      </w:r>
      <w:r>
        <w:t>similarly</w:t>
      </w:r>
      <w:r w:rsidRPr="0074127C">
        <w:t xml:space="preserve"> be of use to </w:t>
      </w:r>
      <w:r w:rsidRPr="00631493">
        <w:t>adversary</w:t>
      </w:r>
      <w:r w:rsidRPr="0074127C">
        <w:t xml:space="preserve"> wishing to construct </w:t>
      </w:r>
      <w:r>
        <w:t xml:space="preserve">an </w:t>
      </w:r>
      <w:r w:rsidRPr="0074127C">
        <w:t>RDD</w:t>
      </w:r>
      <w:r>
        <w:t xml:space="preserve"> or RED</w:t>
      </w:r>
      <w:r w:rsidRPr="0074127C">
        <w:t xml:space="preserve">. </w:t>
      </w:r>
      <w:r>
        <w:t xml:space="preserve">Given this similarity, </w:t>
      </w:r>
      <w:r w:rsidRPr="0074127C">
        <w:t xml:space="preserve">Table 4 of the </w:t>
      </w:r>
      <w:proofErr w:type="spellStart"/>
      <w:r w:rsidRPr="0074127C">
        <w:t>SyAPs</w:t>
      </w:r>
      <w:proofErr w:type="spellEnd"/>
      <w:r w:rsidRPr="0074127C">
        <w:t xml:space="preserve"> annexes provides a categorisation scheme for ORM </w:t>
      </w:r>
      <w:r>
        <w:t xml:space="preserve">that reflects the radioactive source methodology. </w:t>
      </w:r>
      <w:proofErr w:type="spellStart"/>
      <w:r>
        <w:t>Dutyholders</w:t>
      </w:r>
      <w:proofErr w:type="spellEnd"/>
      <w:r>
        <w:t xml:space="preserve"> should determine the A/D value of any inventory of ORM to determine the appropriate security group. However, certain inventories of ORM may have extremely low concentrations of activity and in these cases</w:t>
      </w:r>
      <w:r w:rsidR="00B24F63">
        <w:t>,</w:t>
      </w:r>
      <w:r>
        <w:t xml:space="preserve"> it may be appropriate for </w:t>
      </w:r>
      <w:proofErr w:type="spellStart"/>
      <w:r>
        <w:t>dutyholders</w:t>
      </w:r>
      <w:proofErr w:type="spellEnd"/>
      <w:r>
        <w:t xml:space="preserve"> to make alternative cases for categorisation.</w:t>
      </w:r>
    </w:p>
    <w:p w14:paraId="3CE3E735" w14:textId="7926DF33" w:rsidR="00CF18BF" w:rsidRPr="00CF18BF" w:rsidRDefault="00CF18BF" w:rsidP="00CF18BF">
      <w:pPr>
        <w:pStyle w:val="Heading1"/>
        <w:rPr>
          <w:lang w:val="en-US"/>
        </w:rPr>
      </w:pPr>
      <w:bookmarkStart w:id="21" w:name="_Toc38029230"/>
      <w:bookmarkStart w:id="22" w:name="_Toc188964112"/>
      <w:r>
        <w:t>Inventory Changes</w:t>
      </w:r>
      <w:bookmarkEnd w:id="21"/>
      <w:bookmarkEnd w:id="22"/>
    </w:p>
    <w:p w14:paraId="41D7D0AA" w14:textId="3C18FA82" w:rsidR="00DC27D7" w:rsidRPr="00CF18BF" w:rsidRDefault="00CF18BF" w:rsidP="00B55AAA">
      <w:pPr>
        <w:pStyle w:val="F9-Paragraph"/>
        <w:rPr>
          <w:lang w:val="en-US"/>
        </w:rPr>
      </w:pPr>
      <w:r>
        <w:t xml:space="preserve">In many cases, site inventories may be subject to change, particularly during commissioning and decommissioning. Therefore, </w:t>
      </w:r>
      <w:proofErr w:type="spellStart"/>
      <w:r>
        <w:t>d</w:t>
      </w:r>
      <w:r w:rsidRPr="00D21972">
        <w:t>utyholders</w:t>
      </w:r>
      <w:proofErr w:type="spellEnd"/>
      <w:r w:rsidRPr="00D21972">
        <w:t xml:space="preserve"> should also be able to demonstrate how they identify and manage </w:t>
      </w:r>
      <w:r>
        <w:t xml:space="preserve">both </w:t>
      </w:r>
      <w:r w:rsidRPr="00D21972">
        <w:t xml:space="preserve">planned or unplanned changes to operations at a site/facility that might affect its categorisation to ensure an appropriate PPS and </w:t>
      </w:r>
      <w:r>
        <w:t xml:space="preserve">security </w:t>
      </w:r>
      <w:r w:rsidRPr="00D21972">
        <w:t>outcomes are maintained at all times.</w:t>
      </w:r>
    </w:p>
    <w:p w14:paraId="172BF9C5" w14:textId="11BEB164" w:rsidR="001D0427" w:rsidRDefault="00F866F2" w:rsidP="00F866F2">
      <w:pPr>
        <w:pStyle w:val="F9-Paragraph"/>
        <w:numPr>
          <w:ilvl w:val="0"/>
          <w:numId w:val="0"/>
        </w:numPr>
        <w:ind w:left="851"/>
      </w:pPr>
      <w:r w:rsidRPr="00F866F2">
        <w:rPr>
          <w:b/>
          <w:lang w:val="en-US"/>
        </w:rPr>
        <w:t>Inspectors should consider:</w:t>
      </w:r>
    </w:p>
    <w:p w14:paraId="5E353E7F" w14:textId="10560277" w:rsidR="00F866F2" w:rsidRDefault="00CF18BF" w:rsidP="00F866F2">
      <w:pPr>
        <w:pStyle w:val="Bulletlist1"/>
      </w:pPr>
      <w:r>
        <w:t>Has the dutyholder categorised all nuclear material in accordance with Table 1 and/or 2 of the SyAPs Annexes</w:t>
      </w:r>
      <w:r w:rsidRPr="00A928FA">
        <w:t>?</w:t>
      </w:r>
    </w:p>
    <w:p w14:paraId="4EA95909" w14:textId="6B63B747" w:rsidR="00CF18BF" w:rsidRDefault="00CF18BF" w:rsidP="00F866F2">
      <w:pPr>
        <w:pStyle w:val="Bulletlist1"/>
      </w:pPr>
      <w:r>
        <w:t>Where Table 2 of the SyAPs Annexes is used, has the dutyholder made a sufficient case against the criteria</w:t>
      </w:r>
      <w:r w:rsidRPr="00A928FA">
        <w:t>?</w:t>
      </w:r>
    </w:p>
    <w:p w14:paraId="6B7B1939" w14:textId="00CB157D" w:rsidR="00CF18BF" w:rsidRDefault="00CF18BF" w:rsidP="00F866F2">
      <w:pPr>
        <w:pStyle w:val="Bulletlist1"/>
      </w:pPr>
      <w:r>
        <w:t>Have all sources been categorised in accordance with Table 3 of the SyAPs Annexes?</w:t>
      </w:r>
    </w:p>
    <w:p w14:paraId="0A03FA3C" w14:textId="11B52492" w:rsidR="00CF18BF" w:rsidRDefault="00CF18BF" w:rsidP="00F866F2">
      <w:pPr>
        <w:pStyle w:val="Bulletlist1"/>
      </w:pPr>
      <w:r>
        <w:t>Has all ORM been categorised in accordance with Table 4 of the SyAPs Annexes?</w:t>
      </w:r>
    </w:p>
    <w:p w14:paraId="6D48AE5C" w14:textId="484BF6DB" w:rsidR="00CF18BF" w:rsidRDefault="00CF18BF" w:rsidP="00F866F2">
      <w:pPr>
        <w:pStyle w:val="Bulletlist1"/>
      </w:pPr>
      <w:r>
        <w:t>Where material has been categorised against both Table 1 or Table 2 and Table 3 or Table 4 of the SyAPs Annexes, has the correct overall category and security outcome been identified?</w:t>
      </w:r>
    </w:p>
    <w:p w14:paraId="254A03C8" w14:textId="6E366DB9" w:rsidR="00CF18BF" w:rsidRDefault="00CF18BF" w:rsidP="00F866F2">
      <w:pPr>
        <w:pStyle w:val="Bulletlist1"/>
      </w:pPr>
      <w:r w:rsidRPr="00BA418C">
        <w:t>Has the dutyholder given appropriate consideration to aggregation within their categorisation methodology?</w:t>
      </w:r>
    </w:p>
    <w:p w14:paraId="391C3F74" w14:textId="06C97023" w:rsidR="00CF18BF" w:rsidRDefault="00CF18BF" w:rsidP="00F866F2">
      <w:pPr>
        <w:pStyle w:val="Bulletlist1"/>
      </w:pPr>
      <w:r w:rsidRPr="00BA418C">
        <w:t>Are there processes in place to identify and manage planned or unplanned changes to inventory and/or operations at a site/facility that might affect its categorisation?</w:t>
      </w:r>
    </w:p>
    <w:p w14:paraId="08F0172B" w14:textId="11B2ABDC" w:rsidR="00593B7D" w:rsidRDefault="00593B7D" w:rsidP="00CF18BF">
      <w:pPr>
        <w:pStyle w:val="Bulletlist1"/>
        <w:sectPr w:rsidR="00593B7D" w:rsidSect="000B2BCD">
          <w:headerReference w:type="default" r:id="rId17"/>
          <w:footerReference w:type="default" r:id="rId18"/>
          <w:pgSz w:w="11906" w:h="16838" w:code="9"/>
          <w:pgMar w:top="1440" w:right="1440" w:bottom="1440" w:left="1440" w:header="397" w:footer="397" w:gutter="0"/>
          <w:cols w:space="312"/>
          <w:docGrid w:linePitch="360"/>
        </w:sectPr>
      </w:pPr>
    </w:p>
    <w:bookmarkStart w:id="23" w:name="_Toc188964113"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BA3681">
          <w:pPr>
            <w:pStyle w:val="Heading1"/>
            <w:numPr>
              <w:ilvl w:val="0"/>
              <w:numId w:val="0"/>
            </w:numPr>
            <w:spacing w:after="0"/>
            <w:ind w:left="851" w:hanging="851"/>
          </w:pPr>
          <w:r>
            <w:t>References</w:t>
          </w:r>
          <w:bookmarkEnd w:id="23"/>
        </w:p>
        <w:sdt>
          <w:sdtPr>
            <w:id w:val="-573587230"/>
            <w:bibliography/>
          </w:sdtPr>
          <w:sdtEndPr/>
          <w:sdtContent>
            <w:p w14:paraId="41182670" w14:textId="77777777" w:rsidR="00A94E59"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A94E59" w:rsidRPr="00597265" w14:paraId="08A6C17A" w14:textId="77777777">
                <w:trPr>
                  <w:divId w:val="796025969"/>
                  <w:tblCellSpacing w:w="15" w:type="dxa"/>
                </w:trPr>
                <w:tc>
                  <w:tcPr>
                    <w:tcW w:w="50" w:type="pct"/>
                    <w:hideMark/>
                  </w:tcPr>
                  <w:p w14:paraId="5952F9B3" w14:textId="07AE3446" w:rsidR="00A94E59" w:rsidRDefault="00A94E59">
                    <w:pPr>
                      <w:pStyle w:val="Bibliography"/>
                      <w:rPr>
                        <w:noProof/>
                        <w:szCs w:val="24"/>
                      </w:rPr>
                    </w:pPr>
                    <w:r>
                      <w:rPr>
                        <w:noProof/>
                      </w:rPr>
                      <w:t xml:space="preserve">[1] </w:t>
                    </w:r>
                  </w:p>
                </w:tc>
                <w:tc>
                  <w:tcPr>
                    <w:tcW w:w="0" w:type="auto"/>
                    <w:hideMark/>
                  </w:tcPr>
                  <w:p w14:paraId="5F422C34" w14:textId="24837912" w:rsidR="00A94E59" w:rsidRPr="00597265" w:rsidRDefault="00A94E59">
                    <w:pPr>
                      <w:pStyle w:val="Bibliography"/>
                      <w:rPr>
                        <w:noProof/>
                      </w:rPr>
                    </w:pPr>
                    <w:r>
                      <w:rPr>
                        <w:noProof/>
                      </w:rPr>
                      <w:t xml:space="preserve">“Security Assessment Principles for the Civil Nuclear Industry. ONR.,” [Online]. </w:t>
                    </w:r>
                    <w:r w:rsidRPr="00597265">
                      <w:rPr>
                        <w:noProof/>
                      </w:rPr>
                      <w:t xml:space="preserve">Available: </w:t>
                    </w:r>
                    <w:r w:rsidR="00597265" w:rsidRPr="009327D7">
                      <w:rPr>
                        <w:noProof/>
                      </w:rPr>
                      <w:t xml:space="preserve">“Security Assessment Principles for the Civil Nuclear Industry (Mar 2022). ONR.,” [Online]. Available: </w:t>
                    </w:r>
                    <w:hyperlink r:id="rId19" w:history="1">
                      <w:r w:rsidR="00597265" w:rsidRPr="00BB6A42">
                        <w:rPr>
                          <w:rStyle w:val="Hyperlink"/>
                          <w:noProof/>
                        </w:rPr>
                        <w:t>https://www.onr.org.uk/publications/regulatory-guidance/regulatory-assessment-and-permissioning/security-assessment-principles-syaps/security-assessment-principles-syaps/</w:t>
                      </w:r>
                    </w:hyperlink>
                    <w:r w:rsidR="00597265" w:rsidRPr="009327D7">
                      <w:rPr>
                        <w:noProof/>
                      </w:rPr>
                      <w:t>.</w:t>
                    </w:r>
                    <w:r w:rsidR="00597265" w:rsidRPr="009327D7" w:rsidDel="00597265">
                      <w:rPr>
                        <w:noProof/>
                      </w:rPr>
                      <w:t xml:space="preserve"> </w:t>
                    </w:r>
                  </w:p>
                </w:tc>
              </w:tr>
              <w:tr w:rsidR="00A94E59" w14:paraId="0E665FDE" w14:textId="77777777">
                <w:trPr>
                  <w:divId w:val="796025969"/>
                  <w:tblCellSpacing w:w="15" w:type="dxa"/>
                </w:trPr>
                <w:tc>
                  <w:tcPr>
                    <w:tcW w:w="50" w:type="pct"/>
                    <w:hideMark/>
                  </w:tcPr>
                  <w:p w14:paraId="00591F18" w14:textId="77777777" w:rsidR="00A94E59" w:rsidRDefault="00A94E59">
                    <w:pPr>
                      <w:pStyle w:val="Bibliography"/>
                      <w:rPr>
                        <w:noProof/>
                      </w:rPr>
                    </w:pPr>
                    <w:r>
                      <w:rPr>
                        <w:noProof/>
                      </w:rPr>
                      <w:t xml:space="preserve">[2] </w:t>
                    </w:r>
                  </w:p>
                </w:tc>
                <w:tc>
                  <w:tcPr>
                    <w:tcW w:w="0" w:type="auto"/>
                    <w:hideMark/>
                  </w:tcPr>
                  <w:p w14:paraId="760A90EA" w14:textId="77777777" w:rsidR="00A94E59" w:rsidRDefault="00A94E59">
                    <w:pPr>
                      <w:pStyle w:val="Bibliography"/>
                      <w:rPr>
                        <w:noProof/>
                      </w:rPr>
                    </w:pPr>
                    <w:r>
                      <w:rPr>
                        <w:noProof/>
                      </w:rPr>
                      <w:t xml:space="preserve">Nuclear Industries Security Regulations 2003. Statutory Instrument 2003 No. 403. </w:t>
                    </w:r>
                  </w:p>
                </w:tc>
              </w:tr>
              <w:tr w:rsidR="00A94E59" w:rsidRPr="00DC47E0" w14:paraId="295982E8" w14:textId="77777777">
                <w:trPr>
                  <w:divId w:val="796025969"/>
                  <w:tblCellSpacing w:w="15" w:type="dxa"/>
                </w:trPr>
                <w:tc>
                  <w:tcPr>
                    <w:tcW w:w="50" w:type="pct"/>
                    <w:hideMark/>
                  </w:tcPr>
                  <w:p w14:paraId="08787715" w14:textId="77777777" w:rsidR="00A94E59" w:rsidRDefault="00A94E59">
                    <w:pPr>
                      <w:pStyle w:val="Bibliography"/>
                      <w:rPr>
                        <w:noProof/>
                      </w:rPr>
                    </w:pPr>
                    <w:r>
                      <w:rPr>
                        <w:noProof/>
                      </w:rPr>
                      <w:t xml:space="preserve">[3] </w:t>
                    </w:r>
                  </w:p>
                </w:tc>
                <w:tc>
                  <w:tcPr>
                    <w:tcW w:w="0" w:type="auto"/>
                    <w:hideMark/>
                  </w:tcPr>
                  <w:p w14:paraId="107D1349" w14:textId="6FE9629F" w:rsidR="00A94E59" w:rsidRPr="004C0872" w:rsidRDefault="00597265">
                    <w:pPr>
                      <w:pStyle w:val="Bibliography"/>
                      <w:rPr>
                        <w:noProof/>
                        <w:lang w:val="fr-FR"/>
                      </w:rPr>
                    </w:pPr>
                    <w:r w:rsidRPr="00597265">
                      <w:rPr>
                        <w:noProof/>
                      </w:rPr>
                      <w:t xml:space="preserve">“Convention on the Physical Protection of Nuclear Material (CPPNM),” [Online]. </w:t>
                    </w:r>
                    <w:r w:rsidRPr="00DC47E0">
                      <w:rPr>
                        <w:noProof/>
                        <w:lang w:val="fr-FR"/>
                      </w:rPr>
                      <w:t xml:space="preserve">Available: </w:t>
                    </w:r>
                    <w:hyperlink r:id="rId20" w:history="1">
                      <w:r w:rsidRPr="00BB6A42">
                        <w:rPr>
                          <w:rStyle w:val="Hyperlink"/>
                          <w:noProof/>
                          <w:lang w:val="fr-FR"/>
                        </w:rPr>
                        <w:t>https://www.iaea.org/publications/documents/conventions/convention-physical-protection-nuclear-material-and-its-amendment</w:t>
                      </w:r>
                    </w:hyperlink>
                    <w:r w:rsidRPr="00DC47E0">
                      <w:rPr>
                        <w:noProof/>
                        <w:lang w:val="fr-FR"/>
                      </w:rPr>
                      <w:t>.</w:t>
                    </w:r>
                  </w:p>
                </w:tc>
              </w:tr>
              <w:tr w:rsidR="00A94E59" w:rsidRPr="00DC47E0" w14:paraId="397F54AF" w14:textId="77777777">
                <w:trPr>
                  <w:divId w:val="796025969"/>
                  <w:tblCellSpacing w:w="15" w:type="dxa"/>
                </w:trPr>
                <w:tc>
                  <w:tcPr>
                    <w:tcW w:w="50" w:type="pct"/>
                    <w:hideMark/>
                  </w:tcPr>
                  <w:p w14:paraId="69FFB846" w14:textId="77777777" w:rsidR="00A94E59" w:rsidRDefault="00A94E59">
                    <w:pPr>
                      <w:pStyle w:val="Bibliography"/>
                      <w:rPr>
                        <w:noProof/>
                      </w:rPr>
                    </w:pPr>
                    <w:r>
                      <w:rPr>
                        <w:noProof/>
                      </w:rPr>
                      <w:t xml:space="preserve">[4] </w:t>
                    </w:r>
                  </w:p>
                </w:tc>
                <w:tc>
                  <w:tcPr>
                    <w:tcW w:w="0" w:type="auto"/>
                    <w:hideMark/>
                  </w:tcPr>
                  <w:p w14:paraId="124D45E6" w14:textId="463C2DE1" w:rsidR="00A94E59" w:rsidRPr="004C0872" w:rsidRDefault="00A94E59">
                    <w:pPr>
                      <w:pStyle w:val="Bibliography"/>
                      <w:rPr>
                        <w:noProof/>
                        <w:lang w:val="fr-FR"/>
                      </w:rPr>
                    </w:pPr>
                    <w:r>
                      <w:rPr>
                        <w:noProof/>
                      </w:rPr>
                      <w:t xml:space="preserve">“IAEA Nuclear Security Series No. 20. Objective and Essential Elements of a State’s Nuclear Security Regime.,” [Online]. </w:t>
                    </w:r>
                    <w:r w:rsidRPr="004C0872">
                      <w:rPr>
                        <w:noProof/>
                        <w:lang w:val="fr-FR"/>
                      </w:rPr>
                      <w:t xml:space="preserve">Available: </w:t>
                    </w:r>
                    <w:hyperlink r:id="rId21" w:history="1">
                      <w:r w:rsidRPr="00BB6A42">
                        <w:rPr>
                          <w:rStyle w:val="Hyperlink"/>
                          <w:noProof/>
                          <w:lang w:val="fr-FR"/>
                        </w:rPr>
                        <w:t>http://www-pub.iaea.org/MTCD/Publications/PDF/Pub1590_web.pdf</w:t>
                      </w:r>
                    </w:hyperlink>
                    <w:r w:rsidRPr="004C0872">
                      <w:rPr>
                        <w:noProof/>
                        <w:lang w:val="fr-FR"/>
                      </w:rPr>
                      <w:t>.</w:t>
                    </w:r>
                  </w:p>
                </w:tc>
              </w:tr>
              <w:tr w:rsidR="00A94E59" w14:paraId="743ABA77" w14:textId="77777777">
                <w:trPr>
                  <w:divId w:val="796025969"/>
                  <w:tblCellSpacing w:w="15" w:type="dxa"/>
                </w:trPr>
                <w:tc>
                  <w:tcPr>
                    <w:tcW w:w="50" w:type="pct"/>
                    <w:hideMark/>
                  </w:tcPr>
                  <w:p w14:paraId="64E08607" w14:textId="77777777" w:rsidR="00A94E59" w:rsidRDefault="00A94E59">
                    <w:pPr>
                      <w:pStyle w:val="Bibliography"/>
                      <w:rPr>
                        <w:noProof/>
                      </w:rPr>
                    </w:pPr>
                    <w:r>
                      <w:rPr>
                        <w:noProof/>
                      </w:rPr>
                      <w:t xml:space="preserve">[5] </w:t>
                    </w:r>
                  </w:p>
                </w:tc>
                <w:tc>
                  <w:tcPr>
                    <w:tcW w:w="0" w:type="auto"/>
                    <w:hideMark/>
                  </w:tcPr>
                  <w:p w14:paraId="1482AD30" w14:textId="2DD9CADC" w:rsidR="00A94E59" w:rsidRDefault="00A94E59">
                    <w:pPr>
                      <w:pStyle w:val="Bibliography"/>
                      <w:rPr>
                        <w:noProof/>
                      </w:rPr>
                    </w:pPr>
                    <w:r>
                      <w:rPr>
                        <w:noProof/>
                      </w:rPr>
                      <w:t xml:space="preserve">“IAEA Nuclear Security Series No. 13. Nuclear Security Recommendations on Physical Protection of Nuclear Material and Nuclear Facilities (INFCIRC/225/Revision 5). January 2011.,” [Online]. Available: </w:t>
                    </w:r>
                    <w:hyperlink r:id="rId22" w:history="1">
                      <w:r w:rsidRPr="00BB6A42">
                        <w:rPr>
                          <w:rStyle w:val="Hyperlink"/>
                          <w:noProof/>
                        </w:rPr>
                        <w:t>www-pub.iaea.org/MTCD/Publications/PDF/Pub1481_web.pdf</w:t>
                      </w:r>
                    </w:hyperlink>
                    <w:r>
                      <w:rPr>
                        <w:noProof/>
                      </w:rPr>
                      <w:t>.</w:t>
                    </w:r>
                  </w:p>
                </w:tc>
              </w:tr>
              <w:tr w:rsidR="00A94E59" w:rsidRPr="00DC47E0" w14:paraId="67D957D7" w14:textId="77777777">
                <w:trPr>
                  <w:divId w:val="796025969"/>
                  <w:tblCellSpacing w:w="15" w:type="dxa"/>
                </w:trPr>
                <w:tc>
                  <w:tcPr>
                    <w:tcW w:w="50" w:type="pct"/>
                    <w:hideMark/>
                  </w:tcPr>
                  <w:p w14:paraId="0C1051A2" w14:textId="77777777" w:rsidR="00A94E59" w:rsidRDefault="00A94E59">
                    <w:pPr>
                      <w:pStyle w:val="Bibliography"/>
                      <w:rPr>
                        <w:noProof/>
                      </w:rPr>
                    </w:pPr>
                    <w:r>
                      <w:rPr>
                        <w:noProof/>
                      </w:rPr>
                      <w:t xml:space="preserve">[6] </w:t>
                    </w:r>
                  </w:p>
                </w:tc>
                <w:tc>
                  <w:tcPr>
                    <w:tcW w:w="0" w:type="auto"/>
                    <w:hideMark/>
                  </w:tcPr>
                  <w:p w14:paraId="691864A1" w14:textId="0D618E0C" w:rsidR="00A94E59" w:rsidRPr="00B830AD" w:rsidRDefault="00102ECB">
                    <w:pPr>
                      <w:pStyle w:val="Bibliography"/>
                      <w:rPr>
                        <w:noProof/>
                      </w:rPr>
                    </w:pPr>
                    <w:r w:rsidRPr="00102ECB">
                      <w:rPr>
                        <w:rFonts w:eastAsia="Times New Roman"/>
                        <w:szCs w:val="24"/>
                      </w:rPr>
                      <w:t xml:space="preserve">“Government Functional Standard 007: Security" </w:t>
                    </w:r>
                    <w:r w:rsidR="00B830AD">
                      <w:rPr>
                        <w:rFonts w:eastAsia="Times New Roman"/>
                        <w:szCs w:val="24"/>
                      </w:rPr>
                      <w:t xml:space="preserve">(GovS 007) </w:t>
                    </w:r>
                    <w:r w:rsidRPr="00102ECB">
                      <w:rPr>
                        <w:rFonts w:eastAsia="Times New Roman"/>
                        <w:szCs w:val="24"/>
                      </w:rPr>
                      <w:t xml:space="preserve">[Online]. </w:t>
                    </w:r>
                    <w:r w:rsidRPr="00B830AD">
                      <w:rPr>
                        <w:rFonts w:eastAsia="Times New Roman"/>
                        <w:szCs w:val="24"/>
                      </w:rPr>
                      <w:t xml:space="preserve">Available: </w:t>
                    </w:r>
                    <w:hyperlink r:id="rId23" w:history="1">
                      <w:r w:rsidRPr="00B830AD">
                        <w:rPr>
                          <w:rFonts w:eastAsia="Times New Roman"/>
                          <w:color w:val="0563C1"/>
                          <w:szCs w:val="24"/>
                          <w:u w:val="single"/>
                        </w:rPr>
                        <w:t>https://www.gov.uk/government/publications/government-functional-standard-govs-007-security</w:t>
                      </w:r>
                    </w:hyperlink>
                  </w:p>
                </w:tc>
              </w:tr>
              <w:tr w:rsidR="00A94E59" w:rsidRPr="00DC47E0" w14:paraId="44B52CFE" w14:textId="77777777">
                <w:trPr>
                  <w:divId w:val="796025969"/>
                  <w:tblCellSpacing w:w="15" w:type="dxa"/>
                </w:trPr>
                <w:tc>
                  <w:tcPr>
                    <w:tcW w:w="50" w:type="pct"/>
                    <w:hideMark/>
                  </w:tcPr>
                  <w:p w14:paraId="180BCDC4" w14:textId="77777777" w:rsidR="00A94E59" w:rsidRDefault="00A94E59">
                    <w:pPr>
                      <w:pStyle w:val="Bibliography"/>
                      <w:rPr>
                        <w:noProof/>
                      </w:rPr>
                    </w:pPr>
                    <w:r>
                      <w:rPr>
                        <w:noProof/>
                      </w:rPr>
                      <w:t xml:space="preserve">[7] </w:t>
                    </w:r>
                  </w:p>
                </w:tc>
                <w:tc>
                  <w:tcPr>
                    <w:tcW w:w="0" w:type="auto"/>
                    <w:hideMark/>
                  </w:tcPr>
                  <w:p w14:paraId="17E198F2" w14:textId="4F7B887E" w:rsidR="00A94E59" w:rsidRPr="00DC47E0" w:rsidRDefault="007D5B5A">
                    <w:pPr>
                      <w:pStyle w:val="Bibliography"/>
                      <w:rPr>
                        <w:noProof/>
                        <w:lang w:val="fr-FR"/>
                      </w:rPr>
                    </w:pPr>
                    <w:r w:rsidRPr="007D5B5A">
                      <w:rPr>
                        <w:noProof/>
                      </w:rPr>
                      <w:t xml:space="preserve">“Classification Policy for the Civil Nuclear Industry (Oct 2024),” [Online]. </w:t>
                    </w:r>
                    <w:r w:rsidRPr="00DC47E0">
                      <w:rPr>
                        <w:noProof/>
                        <w:lang w:val="fr-FR"/>
                      </w:rPr>
                      <w:t xml:space="preserve">Available: </w:t>
                    </w:r>
                    <w:hyperlink r:id="rId24" w:history="1">
                      <w:r w:rsidRPr="00BB6A42">
                        <w:rPr>
                          <w:rStyle w:val="Hyperlink"/>
                          <w:noProof/>
                          <w:lang w:val="fr-FR"/>
                        </w:rPr>
                        <w:t>https://www.onr.org.uk/publications/corporate-publications/other-corporate-publications/policy/classification-policy-for-the-civil-nuclear-industry/</w:t>
                      </w:r>
                    </w:hyperlink>
                    <w:r w:rsidRPr="00DC47E0">
                      <w:rPr>
                        <w:noProof/>
                        <w:lang w:val="fr-FR"/>
                      </w:rPr>
                      <w:t>.</w:t>
                    </w:r>
                  </w:p>
                </w:tc>
              </w:tr>
              <w:tr w:rsidR="00A94E59" w:rsidRPr="00DC47E0" w14:paraId="109F4225" w14:textId="77777777">
                <w:trPr>
                  <w:divId w:val="796025969"/>
                  <w:tblCellSpacing w:w="15" w:type="dxa"/>
                </w:trPr>
                <w:tc>
                  <w:tcPr>
                    <w:tcW w:w="50" w:type="pct"/>
                    <w:hideMark/>
                  </w:tcPr>
                  <w:p w14:paraId="758BE523" w14:textId="77777777" w:rsidR="00A94E59" w:rsidRDefault="00A94E59">
                    <w:pPr>
                      <w:pStyle w:val="Bibliography"/>
                      <w:rPr>
                        <w:noProof/>
                      </w:rPr>
                    </w:pPr>
                    <w:r>
                      <w:rPr>
                        <w:noProof/>
                      </w:rPr>
                      <w:t xml:space="preserve">[8] </w:t>
                    </w:r>
                  </w:p>
                </w:tc>
                <w:tc>
                  <w:tcPr>
                    <w:tcW w:w="0" w:type="auto"/>
                    <w:hideMark/>
                  </w:tcPr>
                  <w:p w14:paraId="12E259E4" w14:textId="4F73A154" w:rsidR="00A94E59" w:rsidRPr="004C0872" w:rsidRDefault="00A94E59">
                    <w:pPr>
                      <w:pStyle w:val="Bibliography"/>
                      <w:rPr>
                        <w:noProof/>
                        <w:lang w:val="fr-FR"/>
                      </w:rPr>
                    </w:pPr>
                    <w:r>
                      <w:rPr>
                        <w:noProof/>
                      </w:rPr>
                      <w:t xml:space="preserve">“IAEA Safety Guide Ref RS-G-1.9. Categorisation of Radioactive Sources.,” [Online]. </w:t>
                    </w:r>
                    <w:r w:rsidRPr="004C0872">
                      <w:rPr>
                        <w:noProof/>
                        <w:lang w:val="fr-FR"/>
                      </w:rPr>
                      <w:t xml:space="preserve">Available: </w:t>
                    </w:r>
                    <w:hyperlink r:id="rId25" w:history="1">
                      <w:r w:rsidRPr="00BB6A42">
                        <w:rPr>
                          <w:rStyle w:val="Hyperlink"/>
                          <w:noProof/>
                          <w:lang w:val="fr-FR"/>
                        </w:rPr>
                        <w:t>http://www-pub.iaea.org/books/IAEABooks/7237/Categorization-of-Radioactive-Sources</w:t>
                      </w:r>
                    </w:hyperlink>
                    <w:r w:rsidRPr="004C0872">
                      <w:rPr>
                        <w:noProof/>
                        <w:lang w:val="fr-FR"/>
                      </w:rPr>
                      <w:t>.</w:t>
                    </w:r>
                  </w:p>
                </w:tc>
              </w:tr>
            </w:tbl>
            <w:p w14:paraId="7D4FF22D" w14:textId="61BA1E8C" w:rsidR="00FB385A" w:rsidRDefault="00FB385A" w:rsidP="00836C85">
              <w:pPr>
                <w:spacing w:after="0"/>
              </w:pPr>
              <w:r>
                <w:rPr>
                  <w:b/>
                  <w:bCs/>
                  <w:noProof/>
                </w:rPr>
                <w:fldChar w:fldCharType="end"/>
              </w:r>
            </w:p>
          </w:sdtContent>
        </w:sdt>
      </w:sdtContent>
    </w:sdt>
    <w:p w14:paraId="219D2C71" w14:textId="77777777" w:rsidR="007B1D15" w:rsidRDefault="007B1D15" w:rsidP="007B1D15">
      <w:pPr>
        <w:spacing w:after="0"/>
      </w:pPr>
    </w:p>
    <w:p w14:paraId="235BFFB2" w14:textId="77777777" w:rsidR="00110879" w:rsidRPr="00110879" w:rsidRDefault="00110879" w:rsidP="00110879">
      <w:pPr>
        <w:rPr>
          <w:i/>
          <w:iCs/>
        </w:rPr>
      </w:pPr>
      <w:r w:rsidRPr="00110879">
        <w:rPr>
          <w:i/>
          <w:iCs/>
          <w:sz w:val="22"/>
          <w:szCs w:val="20"/>
        </w:rPr>
        <w:t>Note: ONR staff should access the above internal ONR references via the How2 Business Management System.</w:t>
      </w:r>
    </w:p>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790C18C6" w:rsidR="00F7687C" w:rsidRPr="003B4701" w:rsidRDefault="00F7687C" w:rsidP="00BA3681">
      <w:pPr>
        <w:pStyle w:val="Heading1"/>
        <w:numPr>
          <w:ilvl w:val="0"/>
          <w:numId w:val="0"/>
        </w:numPr>
        <w:ind w:left="851" w:hanging="851"/>
      </w:pPr>
      <w:bookmarkStart w:id="24" w:name="_Toc89268373"/>
      <w:bookmarkStart w:id="25" w:name="_Toc188964114"/>
      <w:r w:rsidRPr="003B4701">
        <w:lastRenderedPageBreak/>
        <w:t>Glossary and Abbreviations</w:t>
      </w:r>
      <w:bookmarkEnd w:id="24"/>
      <w:bookmarkEnd w:id="25"/>
    </w:p>
    <w:p w14:paraId="0D847910" w14:textId="77777777" w:rsidR="00B05165" w:rsidRDefault="00B05165" w:rsidP="00B05165">
      <w:pPr>
        <w:tabs>
          <w:tab w:val="left" w:pos="1440"/>
        </w:tabs>
        <w:spacing w:line="240" w:lineRule="auto"/>
        <w:contextualSpacing/>
      </w:pPr>
      <w:r>
        <w:t>CPPNM</w:t>
      </w:r>
      <w:r>
        <w:tab/>
        <w:t>Convention on the Physical Protection of Nuclear Material</w:t>
      </w:r>
    </w:p>
    <w:p w14:paraId="2E250A05" w14:textId="77777777" w:rsidR="00B05165" w:rsidRDefault="00B05165" w:rsidP="00B05165">
      <w:pPr>
        <w:tabs>
          <w:tab w:val="left" w:pos="1440"/>
        </w:tabs>
        <w:spacing w:line="240" w:lineRule="auto"/>
        <w:contextualSpacing/>
      </w:pPr>
      <w:r>
        <w:t>CS&amp;IA</w:t>
      </w:r>
      <w:r>
        <w:tab/>
        <w:t>Cyber Security and Information Assurance</w:t>
      </w:r>
    </w:p>
    <w:p w14:paraId="5DFE25ED" w14:textId="49D123CE" w:rsidR="00B05165" w:rsidRDefault="00B05165" w:rsidP="00B05165">
      <w:pPr>
        <w:tabs>
          <w:tab w:val="left" w:pos="1440"/>
        </w:tabs>
        <w:spacing w:line="240" w:lineRule="auto"/>
        <w:contextualSpacing/>
      </w:pPr>
      <w:proofErr w:type="spellStart"/>
      <w:r>
        <w:t>FSyP</w:t>
      </w:r>
      <w:proofErr w:type="spellEnd"/>
      <w:r>
        <w:tab/>
        <w:t>Fundamental Security Principle</w:t>
      </w:r>
    </w:p>
    <w:p w14:paraId="77577E48" w14:textId="259B0DF8" w:rsidR="00CD0E9A" w:rsidRDefault="00CD0E9A" w:rsidP="00B05165">
      <w:pPr>
        <w:tabs>
          <w:tab w:val="left" w:pos="1440"/>
        </w:tabs>
        <w:spacing w:line="240" w:lineRule="auto"/>
        <w:contextualSpacing/>
      </w:pPr>
      <w:r>
        <w:t>HMG</w:t>
      </w:r>
      <w:r>
        <w:tab/>
        <w:t>His Majesty’s Government</w:t>
      </w:r>
    </w:p>
    <w:p w14:paraId="7A01D334" w14:textId="77777777" w:rsidR="00B05165" w:rsidRDefault="00B05165" w:rsidP="00B05165">
      <w:pPr>
        <w:tabs>
          <w:tab w:val="left" w:pos="1440"/>
        </w:tabs>
        <w:spacing w:line="240" w:lineRule="auto"/>
        <w:contextualSpacing/>
      </w:pPr>
      <w:r>
        <w:t>IAEA</w:t>
      </w:r>
      <w:r>
        <w:tab/>
        <w:t>International Atomic Energy Agency</w:t>
      </w:r>
    </w:p>
    <w:p w14:paraId="3310777D" w14:textId="77777777" w:rsidR="00B05165" w:rsidRDefault="00B05165" w:rsidP="00B05165">
      <w:pPr>
        <w:tabs>
          <w:tab w:val="left" w:pos="1440"/>
        </w:tabs>
        <w:spacing w:line="240" w:lineRule="auto"/>
        <w:contextualSpacing/>
      </w:pPr>
      <w:r>
        <w:t>NED</w:t>
      </w:r>
      <w:r>
        <w:tab/>
        <w:t>Nuclear Explosive Device</w:t>
      </w:r>
    </w:p>
    <w:p w14:paraId="19C4CB28" w14:textId="77777777" w:rsidR="00B05165" w:rsidRDefault="00B05165" w:rsidP="00B05165">
      <w:pPr>
        <w:tabs>
          <w:tab w:val="left" w:pos="1440"/>
        </w:tabs>
        <w:spacing w:line="240" w:lineRule="auto"/>
        <w:contextualSpacing/>
      </w:pPr>
      <w:r>
        <w:t>NISR</w:t>
      </w:r>
      <w:r>
        <w:tab/>
        <w:t>Nuclear Industries Security Regulations</w:t>
      </w:r>
    </w:p>
    <w:p w14:paraId="2DB281B8" w14:textId="77777777" w:rsidR="00B05165" w:rsidRDefault="00B05165" w:rsidP="00B05165">
      <w:pPr>
        <w:tabs>
          <w:tab w:val="left" w:pos="1440"/>
        </w:tabs>
        <w:spacing w:line="240" w:lineRule="auto"/>
        <w:contextualSpacing/>
      </w:pPr>
      <w:r>
        <w:t>NM</w:t>
      </w:r>
      <w:r>
        <w:tab/>
        <w:t>Nuclear Material</w:t>
      </w:r>
    </w:p>
    <w:p w14:paraId="34272E8F" w14:textId="77777777" w:rsidR="00B05165" w:rsidRDefault="00B05165" w:rsidP="00B05165">
      <w:pPr>
        <w:tabs>
          <w:tab w:val="left" w:pos="1440"/>
        </w:tabs>
        <w:spacing w:line="240" w:lineRule="auto"/>
        <w:contextualSpacing/>
      </w:pPr>
      <w:r>
        <w:t>NSS</w:t>
      </w:r>
      <w:r>
        <w:tab/>
        <w:t>Nuclear Security Series</w:t>
      </w:r>
    </w:p>
    <w:p w14:paraId="5E31FF0F" w14:textId="77777777" w:rsidR="00B05165" w:rsidRDefault="00B05165" w:rsidP="00B05165">
      <w:pPr>
        <w:tabs>
          <w:tab w:val="left" w:pos="1440"/>
        </w:tabs>
        <w:spacing w:line="240" w:lineRule="auto"/>
        <w:contextualSpacing/>
      </w:pPr>
      <w:r>
        <w:t>ONR</w:t>
      </w:r>
      <w:r>
        <w:tab/>
        <w:t>Office for Nuclear Regulation</w:t>
      </w:r>
    </w:p>
    <w:p w14:paraId="3F12DDDB" w14:textId="77777777" w:rsidR="00B05165" w:rsidRDefault="00B05165" w:rsidP="00B05165">
      <w:pPr>
        <w:tabs>
          <w:tab w:val="left" w:pos="1440"/>
        </w:tabs>
        <w:spacing w:line="240" w:lineRule="auto"/>
        <w:contextualSpacing/>
      </w:pPr>
      <w:r>
        <w:t>ORM</w:t>
      </w:r>
      <w:r>
        <w:tab/>
        <w:t>Other Radioactive Material</w:t>
      </w:r>
    </w:p>
    <w:p w14:paraId="51D5FA9E" w14:textId="77777777" w:rsidR="00B05165" w:rsidRDefault="00B05165" w:rsidP="00B05165">
      <w:pPr>
        <w:tabs>
          <w:tab w:val="left" w:pos="1440"/>
        </w:tabs>
        <w:spacing w:line="240" w:lineRule="auto"/>
        <w:contextualSpacing/>
      </w:pPr>
      <w:r>
        <w:t>PPS</w:t>
      </w:r>
      <w:r>
        <w:tab/>
        <w:t>Physical Protection System</w:t>
      </w:r>
    </w:p>
    <w:p w14:paraId="18FC53FF" w14:textId="77777777" w:rsidR="00B05165" w:rsidRDefault="00B05165" w:rsidP="00B05165">
      <w:pPr>
        <w:tabs>
          <w:tab w:val="left" w:pos="1440"/>
        </w:tabs>
        <w:spacing w:line="240" w:lineRule="auto"/>
        <w:contextualSpacing/>
      </w:pPr>
      <w:r>
        <w:t>RDD</w:t>
      </w:r>
      <w:r>
        <w:tab/>
        <w:t>Radiological Dispersal Device</w:t>
      </w:r>
    </w:p>
    <w:p w14:paraId="232F13E3" w14:textId="77777777" w:rsidR="00B05165" w:rsidRDefault="00B05165" w:rsidP="00B05165">
      <w:pPr>
        <w:tabs>
          <w:tab w:val="left" w:pos="1440"/>
        </w:tabs>
        <w:spacing w:line="240" w:lineRule="auto"/>
        <w:contextualSpacing/>
      </w:pPr>
      <w:r>
        <w:t>RED</w:t>
      </w:r>
      <w:r>
        <w:tab/>
        <w:t>Radiological Exposure Device</w:t>
      </w:r>
    </w:p>
    <w:p w14:paraId="7B3BB398" w14:textId="77777777" w:rsidR="00B05165" w:rsidRDefault="00B05165" w:rsidP="00B05165">
      <w:pPr>
        <w:tabs>
          <w:tab w:val="left" w:pos="1440"/>
        </w:tabs>
        <w:spacing w:line="240" w:lineRule="auto"/>
        <w:contextualSpacing/>
      </w:pPr>
      <w:r>
        <w:t>SNI</w:t>
      </w:r>
      <w:r>
        <w:tab/>
        <w:t>Sensitive Nuclear Information</w:t>
      </w:r>
    </w:p>
    <w:p w14:paraId="3C65D0AB" w14:textId="29EA364B" w:rsidR="00B05165" w:rsidRDefault="00B05165" w:rsidP="00B05165">
      <w:pPr>
        <w:tabs>
          <w:tab w:val="left" w:pos="1440"/>
        </w:tabs>
        <w:spacing w:line="240" w:lineRule="auto"/>
        <w:contextualSpacing/>
      </w:pPr>
      <w:r>
        <w:t>SPF</w:t>
      </w:r>
      <w:r>
        <w:tab/>
        <w:t>Security Policy Framework</w:t>
      </w:r>
    </w:p>
    <w:p w14:paraId="19319A6A" w14:textId="3963C49B" w:rsidR="00E86112" w:rsidRDefault="00E86112" w:rsidP="00B05165">
      <w:pPr>
        <w:tabs>
          <w:tab w:val="left" w:pos="1440"/>
        </w:tabs>
        <w:spacing w:line="240" w:lineRule="auto"/>
        <w:contextualSpacing/>
      </w:pPr>
      <w:r>
        <w:t>STAR</w:t>
      </w:r>
      <w:r>
        <w:tab/>
        <w:t>Sabotage, Target Analysis</w:t>
      </w:r>
      <w:r w:rsidR="00BA3605">
        <w:t>, Review</w:t>
      </w:r>
    </w:p>
    <w:p w14:paraId="2903131A" w14:textId="77777777" w:rsidR="00B05165" w:rsidRDefault="00B05165" w:rsidP="00B05165">
      <w:pPr>
        <w:tabs>
          <w:tab w:val="left" w:pos="1440"/>
        </w:tabs>
        <w:spacing w:line="240" w:lineRule="auto"/>
        <w:contextualSpacing/>
      </w:pPr>
      <w:proofErr w:type="spellStart"/>
      <w:r>
        <w:t>SyAP</w:t>
      </w:r>
      <w:proofErr w:type="spellEnd"/>
      <w:r>
        <w:tab/>
        <w:t>Security Assessment Principle</w:t>
      </w:r>
    </w:p>
    <w:p w14:paraId="7600A442" w14:textId="77777777" w:rsidR="00B05165" w:rsidRDefault="00B05165" w:rsidP="00B05165">
      <w:pPr>
        <w:tabs>
          <w:tab w:val="left" w:pos="1440"/>
        </w:tabs>
        <w:spacing w:line="240" w:lineRule="auto"/>
        <w:contextualSpacing/>
      </w:pPr>
      <w:proofErr w:type="spellStart"/>
      <w:r>
        <w:t>SyDP</w:t>
      </w:r>
      <w:proofErr w:type="spellEnd"/>
      <w:r>
        <w:tab/>
        <w:t>Security Delivery Principle</w:t>
      </w:r>
    </w:p>
    <w:p w14:paraId="0C0493EB" w14:textId="11AA73B0" w:rsidR="007B1D15" w:rsidRDefault="00B05165" w:rsidP="00B05165">
      <w:pPr>
        <w:tabs>
          <w:tab w:val="left" w:pos="1440"/>
        </w:tabs>
        <w:spacing w:line="240" w:lineRule="auto"/>
        <w:contextualSpacing/>
      </w:pPr>
      <w:r>
        <w:t>TAG</w:t>
      </w:r>
      <w:r>
        <w:tab/>
        <w:t>Technical Assessment Guide</w:t>
      </w:r>
    </w:p>
    <w:sectPr w:rsidR="007B1D15"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60088" w14:textId="77777777" w:rsidR="00495151" w:rsidRDefault="00495151" w:rsidP="007D199A">
      <w:pPr>
        <w:spacing w:after="0"/>
      </w:pPr>
      <w:r>
        <w:separator/>
      </w:r>
    </w:p>
    <w:p w14:paraId="571F3EC4" w14:textId="77777777" w:rsidR="00495151" w:rsidRDefault="00495151"/>
    <w:p w14:paraId="64B7CB7A" w14:textId="77777777" w:rsidR="00495151" w:rsidRDefault="00495151"/>
  </w:endnote>
  <w:endnote w:type="continuationSeparator" w:id="0">
    <w:p w14:paraId="5402555C" w14:textId="77777777" w:rsidR="00495151" w:rsidRDefault="00495151" w:rsidP="007D199A">
      <w:pPr>
        <w:spacing w:after="0"/>
      </w:pPr>
      <w:r>
        <w:continuationSeparator/>
      </w:r>
    </w:p>
    <w:p w14:paraId="7891908C" w14:textId="77777777" w:rsidR="00495151" w:rsidRDefault="00495151"/>
    <w:p w14:paraId="03633ACE" w14:textId="77777777" w:rsidR="00495151" w:rsidRDefault="004951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4FE97" w14:textId="547B1FEF" w:rsidR="00F34771" w:rsidRPr="006A525B" w:rsidRDefault="00F34771" w:rsidP="00F34771">
    <w:pPr>
      <w:pStyle w:val="Footer"/>
      <w:jc w:val="left"/>
      <w:rPr>
        <w:szCs w:val="24"/>
      </w:rPr>
    </w:pPr>
    <w:r w:rsidRPr="006A525B">
      <w:rPr>
        <w:szCs w:val="24"/>
      </w:rPr>
      <w:t>ONR-DOC-TEMP-</w:t>
    </w:r>
    <w:r>
      <w:rPr>
        <w:szCs w:val="24"/>
      </w:rPr>
      <w:t>002</w:t>
    </w:r>
    <w:r w:rsidRPr="006A525B">
      <w:rPr>
        <w:szCs w:val="24"/>
      </w:rPr>
      <w:t xml:space="preserve"> (Issue </w:t>
    </w:r>
    <w:r>
      <w:rPr>
        <w:szCs w:val="24"/>
      </w:rPr>
      <w:t>5.</w:t>
    </w:r>
    <w:r w:rsidR="004C0872">
      <w:rPr>
        <w:szCs w:val="24"/>
      </w:rPr>
      <w:t>6</w:t>
    </w:r>
    <w:r w:rsidRPr="006A525B">
      <w:rPr>
        <w:szCs w:val="24"/>
      </w:rPr>
      <w:t>)</w:t>
    </w:r>
  </w:p>
  <w:p w14:paraId="5714E96E" w14:textId="6D5F2395" w:rsidR="007C3C1D" w:rsidRPr="00F34771" w:rsidRDefault="007C3C1D" w:rsidP="00F347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400F0" w14:textId="77777777" w:rsidR="00495151" w:rsidRPr="005E0344" w:rsidRDefault="00495151" w:rsidP="005E0344">
      <w:pPr>
        <w:spacing w:after="120"/>
        <w:rPr>
          <w:color w:val="000000" w:themeColor="text2"/>
        </w:rPr>
      </w:pPr>
      <w:r w:rsidRPr="005E0344">
        <w:rPr>
          <w:color w:val="000000" w:themeColor="text2"/>
        </w:rPr>
        <w:separator/>
      </w:r>
    </w:p>
    <w:p w14:paraId="7694E002" w14:textId="77777777" w:rsidR="00495151" w:rsidRDefault="00495151"/>
  </w:footnote>
  <w:footnote w:type="continuationSeparator" w:id="0">
    <w:p w14:paraId="0D3A90A8" w14:textId="77777777" w:rsidR="00495151" w:rsidRPr="005E0344" w:rsidRDefault="00495151" w:rsidP="0090581D">
      <w:pPr>
        <w:spacing w:after="120"/>
        <w:rPr>
          <w:color w:val="000000" w:themeColor="text2"/>
        </w:rPr>
      </w:pPr>
      <w:r w:rsidRPr="005E0344">
        <w:rPr>
          <w:color w:val="000000" w:themeColor="text2"/>
        </w:rPr>
        <w:continuationSeparator/>
      </w:r>
    </w:p>
    <w:p w14:paraId="1ACC3109" w14:textId="77777777" w:rsidR="00495151" w:rsidRDefault="00495151"/>
    <w:p w14:paraId="2681DBFF" w14:textId="77777777" w:rsidR="00495151" w:rsidRDefault="00495151"/>
  </w:footnote>
  <w:footnote w:type="continuationNotice" w:id="1">
    <w:p w14:paraId="0C4BEF90" w14:textId="77777777" w:rsidR="00495151" w:rsidRDefault="00495151">
      <w:pPr>
        <w:spacing w:after="0"/>
      </w:pPr>
    </w:p>
    <w:p w14:paraId="58321A6A" w14:textId="77777777" w:rsidR="00495151" w:rsidRDefault="00495151"/>
    <w:p w14:paraId="152C29B4" w14:textId="77777777" w:rsidR="00495151" w:rsidRDefault="004951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10C804F1" w:rsidR="00177666" w:rsidRPr="00046936" w:rsidRDefault="00E1064A"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70A79">
          <w:rPr>
            <w:sz w:val="20"/>
            <w:szCs w:val="24"/>
          </w:rPr>
          <w:t>Categorisation for Theft</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D6EF5">
          <w:rPr>
            <w:sz w:val="20"/>
            <w:szCs w:val="24"/>
          </w:rPr>
          <w:t>2.1</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5B1" w14:textId="10A65A02" w:rsidR="000B2BCD" w:rsidRPr="00046936" w:rsidRDefault="00E1064A"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570A79">
          <w:rPr>
            <w:sz w:val="20"/>
            <w:szCs w:val="24"/>
          </w:rPr>
          <w:t>Categorisation for Theft</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5D6EF5">
          <w:rPr>
            <w:sz w:val="20"/>
            <w:szCs w:val="24"/>
          </w:rPr>
          <w:t>2.1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957587"/>
    <w:multiLevelType w:val="multilevel"/>
    <w:tmpl w:val="270A36F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A3127A1C"/>
    <w:lvl w:ilvl="0" w:tplc="FC865146">
      <w:start w:val="1"/>
      <w:numFmt w:val="bullet"/>
      <w:pStyle w:val="Bulletlist1"/>
      <w:lvlText w:val=""/>
      <w:lvlJc w:val="left"/>
      <w:pPr>
        <w:ind w:left="360" w:hanging="360"/>
      </w:pPr>
      <w:rPr>
        <w:rFonts w:ascii="Symbol" w:hAnsi="Symbol" w:hint="default"/>
        <w:strike w:val="0"/>
        <w:dstrike w:val="0"/>
        <w:color w:val="auto"/>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3"/>
  </w:num>
  <w:num w:numId="13" w16cid:durableId="1367565994">
    <w:abstractNumId w:val="16"/>
  </w:num>
  <w:num w:numId="14" w16cid:durableId="1174225926">
    <w:abstractNumId w:val="14"/>
  </w:num>
  <w:num w:numId="15" w16cid:durableId="150562503">
    <w:abstractNumId w:val="23"/>
    <w:lvlOverride w:ilvl="0">
      <w:startOverride w:val="1"/>
    </w:lvlOverride>
  </w:num>
  <w:num w:numId="16" w16cid:durableId="708191280">
    <w:abstractNumId w:val="16"/>
    <w:lvlOverride w:ilvl="0">
      <w:startOverride w:val="1"/>
    </w:lvlOverride>
  </w:num>
  <w:num w:numId="17" w16cid:durableId="735981639">
    <w:abstractNumId w:val="14"/>
    <w:lvlOverride w:ilvl="0">
      <w:startOverride w:val="1"/>
    </w:lvlOverride>
  </w:num>
  <w:num w:numId="18" w16cid:durableId="966933876">
    <w:abstractNumId w:val="22"/>
  </w:num>
  <w:num w:numId="19" w16cid:durableId="985626502">
    <w:abstractNumId w:val="20"/>
  </w:num>
  <w:num w:numId="20" w16cid:durableId="2086879214">
    <w:abstractNumId w:val="13"/>
  </w:num>
  <w:num w:numId="21" w16cid:durableId="399718409">
    <w:abstractNumId w:val="25"/>
  </w:num>
  <w:num w:numId="22" w16cid:durableId="999388671">
    <w:abstractNumId w:val="19"/>
  </w:num>
  <w:num w:numId="23" w16cid:durableId="14912149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19"/>
  </w:num>
  <w:num w:numId="25" w16cid:durableId="20966315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6"/>
  </w:num>
  <w:num w:numId="27" w16cid:durableId="561334936">
    <w:abstractNumId w:val="11"/>
  </w:num>
  <w:num w:numId="28" w16cid:durableId="391512796">
    <w:abstractNumId w:val="10"/>
  </w:num>
  <w:num w:numId="29" w16cid:durableId="1960188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7"/>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8"/>
  </w:num>
  <w:num w:numId="33" w16cid:durableId="7413421">
    <w:abstractNumId w:val="24"/>
  </w:num>
  <w:num w:numId="34" w16cid:durableId="377974685">
    <w:abstractNumId w:val="21"/>
  </w:num>
  <w:num w:numId="35" w16cid:durableId="9220300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11177"/>
    <w:rsid w:val="00014814"/>
    <w:rsid w:val="00021569"/>
    <w:rsid w:val="00024522"/>
    <w:rsid w:val="00024B2E"/>
    <w:rsid w:val="00027F4F"/>
    <w:rsid w:val="00030430"/>
    <w:rsid w:val="0003078E"/>
    <w:rsid w:val="00031B89"/>
    <w:rsid w:val="000324ED"/>
    <w:rsid w:val="000334DD"/>
    <w:rsid w:val="0003693D"/>
    <w:rsid w:val="000375A2"/>
    <w:rsid w:val="00037EE2"/>
    <w:rsid w:val="0004440F"/>
    <w:rsid w:val="0004610E"/>
    <w:rsid w:val="00046936"/>
    <w:rsid w:val="00052C8A"/>
    <w:rsid w:val="000548C8"/>
    <w:rsid w:val="00055898"/>
    <w:rsid w:val="00075605"/>
    <w:rsid w:val="00075C66"/>
    <w:rsid w:val="00081114"/>
    <w:rsid w:val="00082879"/>
    <w:rsid w:val="00091EEA"/>
    <w:rsid w:val="000950B3"/>
    <w:rsid w:val="000958F7"/>
    <w:rsid w:val="000A2914"/>
    <w:rsid w:val="000A51C3"/>
    <w:rsid w:val="000B2BCD"/>
    <w:rsid w:val="000C2DDC"/>
    <w:rsid w:val="000C5416"/>
    <w:rsid w:val="000D1772"/>
    <w:rsid w:val="000D2FD4"/>
    <w:rsid w:val="000F1B7B"/>
    <w:rsid w:val="000F2ED4"/>
    <w:rsid w:val="000F3932"/>
    <w:rsid w:val="001028E8"/>
    <w:rsid w:val="00102ECB"/>
    <w:rsid w:val="00110879"/>
    <w:rsid w:val="00122FCC"/>
    <w:rsid w:val="00126752"/>
    <w:rsid w:val="001305C8"/>
    <w:rsid w:val="00130B30"/>
    <w:rsid w:val="00131E06"/>
    <w:rsid w:val="001321E2"/>
    <w:rsid w:val="00136064"/>
    <w:rsid w:val="00140E1C"/>
    <w:rsid w:val="001447A9"/>
    <w:rsid w:val="00147AE4"/>
    <w:rsid w:val="00150181"/>
    <w:rsid w:val="0015407B"/>
    <w:rsid w:val="00154241"/>
    <w:rsid w:val="0015432B"/>
    <w:rsid w:val="001571E5"/>
    <w:rsid w:val="00171C15"/>
    <w:rsid w:val="00177666"/>
    <w:rsid w:val="001849CA"/>
    <w:rsid w:val="00185410"/>
    <w:rsid w:val="00192352"/>
    <w:rsid w:val="001A0905"/>
    <w:rsid w:val="001A1BC4"/>
    <w:rsid w:val="001B08E7"/>
    <w:rsid w:val="001C0B57"/>
    <w:rsid w:val="001C4BB5"/>
    <w:rsid w:val="001C4D63"/>
    <w:rsid w:val="001D0427"/>
    <w:rsid w:val="001D0DE0"/>
    <w:rsid w:val="001D5AFF"/>
    <w:rsid w:val="001D74B4"/>
    <w:rsid w:val="001E03E1"/>
    <w:rsid w:val="001F059F"/>
    <w:rsid w:val="00200811"/>
    <w:rsid w:val="00200CA1"/>
    <w:rsid w:val="002103A2"/>
    <w:rsid w:val="0021338D"/>
    <w:rsid w:val="00214D43"/>
    <w:rsid w:val="00221ED0"/>
    <w:rsid w:val="002238B4"/>
    <w:rsid w:val="002319AB"/>
    <w:rsid w:val="002319AC"/>
    <w:rsid w:val="00234342"/>
    <w:rsid w:val="0023523C"/>
    <w:rsid w:val="0024040D"/>
    <w:rsid w:val="00245A0D"/>
    <w:rsid w:val="00255FA3"/>
    <w:rsid w:val="00257288"/>
    <w:rsid w:val="00261FB6"/>
    <w:rsid w:val="002629F8"/>
    <w:rsid w:val="00263396"/>
    <w:rsid w:val="00265585"/>
    <w:rsid w:val="002659FA"/>
    <w:rsid w:val="00265CD7"/>
    <w:rsid w:val="00267815"/>
    <w:rsid w:val="002709A3"/>
    <w:rsid w:val="00280DDF"/>
    <w:rsid w:val="00283FEB"/>
    <w:rsid w:val="002917FF"/>
    <w:rsid w:val="00292ADF"/>
    <w:rsid w:val="002A0095"/>
    <w:rsid w:val="002A0DEC"/>
    <w:rsid w:val="002A4490"/>
    <w:rsid w:val="002B1C53"/>
    <w:rsid w:val="002C273F"/>
    <w:rsid w:val="002C62C8"/>
    <w:rsid w:val="002E0BE4"/>
    <w:rsid w:val="002E24EF"/>
    <w:rsid w:val="002E3B58"/>
    <w:rsid w:val="002E3E8A"/>
    <w:rsid w:val="002E5A1C"/>
    <w:rsid w:val="002E6A6A"/>
    <w:rsid w:val="002F3397"/>
    <w:rsid w:val="0030380D"/>
    <w:rsid w:val="003040C8"/>
    <w:rsid w:val="00312411"/>
    <w:rsid w:val="0032250D"/>
    <w:rsid w:val="00323E71"/>
    <w:rsid w:val="00325EA6"/>
    <w:rsid w:val="0034187D"/>
    <w:rsid w:val="00346C8E"/>
    <w:rsid w:val="00347CA8"/>
    <w:rsid w:val="0035003D"/>
    <w:rsid w:val="00351414"/>
    <w:rsid w:val="00357A80"/>
    <w:rsid w:val="003616F3"/>
    <w:rsid w:val="00367BD5"/>
    <w:rsid w:val="0037176F"/>
    <w:rsid w:val="00382FBA"/>
    <w:rsid w:val="0038761F"/>
    <w:rsid w:val="00390327"/>
    <w:rsid w:val="00393B78"/>
    <w:rsid w:val="00396267"/>
    <w:rsid w:val="003970B0"/>
    <w:rsid w:val="003A01E9"/>
    <w:rsid w:val="003A165C"/>
    <w:rsid w:val="003A7720"/>
    <w:rsid w:val="003C0306"/>
    <w:rsid w:val="003C0DD8"/>
    <w:rsid w:val="003C114C"/>
    <w:rsid w:val="003C18C4"/>
    <w:rsid w:val="003C465D"/>
    <w:rsid w:val="003D495D"/>
    <w:rsid w:val="003E098E"/>
    <w:rsid w:val="003E2F1A"/>
    <w:rsid w:val="003E2FAE"/>
    <w:rsid w:val="003E4A30"/>
    <w:rsid w:val="00404B0C"/>
    <w:rsid w:val="00405E9C"/>
    <w:rsid w:val="00407CF7"/>
    <w:rsid w:val="00415ED6"/>
    <w:rsid w:val="00417CAF"/>
    <w:rsid w:val="00420A11"/>
    <w:rsid w:val="00422265"/>
    <w:rsid w:val="0042657E"/>
    <w:rsid w:val="004317FE"/>
    <w:rsid w:val="004344E4"/>
    <w:rsid w:val="00436793"/>
    <w:rsid w:val="004373A7"/>
    <w:rsid w:val="00437D94"/>
    <w:rsid w:val="0044030C"/>
    <w:rsid w:val="004633B6"/>
    <w:rsid w:val="00463529"/>
    <w:rsid w:val="004638C7"/>
    <w:rsid w:val="004648A4"/>
    <w:rsid w:val="00471380"/>
    <w:rsid w:val="00474081"/>
    <w:rsid w:val="004758B1"/>
    <w:rsid w:val="00477254"/>
    <w:rsid w:val="004845A6"/>
    <w:rsid w:val="00485126"/>
    <w:rsid w:val="00494F0D"/>
    <w:rsid w:val="00495151"/>
    <w:rsid w:val="00496BFD"/>
    <w:rsid w:val="004A3DF2"/>
    <w:rsid w:val="004B4A91"/>
    <w:rsid w:val="004C0872"/>
    <w:rsid w:val="004C361D"/>
    <w:rsid w:val="004C4891"/>
    <w:rsid w:val="004C7374"/>
    <w:rsid w:val="004C798E"/>
    <w:rsid w:val="004D2C89"/>
    <w:rsid w:val="004E3932"/>
    <w:rsid w:val="004E6CB9"/>
    <w:rsid w:val="004F1E79"/>
    <w:rsid w:val="004F2EB1"/>
    <w:rsid w:val="004F311B"/>
    <w:rsid w:val="004F5F33"/>
    <w:rsid w:val="0050103A"/>
    <w:rsid w:val="00511B0F"/>
    <w:rsid w:val="0051630E"/>
    <w:rsid w:val="00536721"/>
    <w:rsid w:val="005467CE"/>
    <w:rsid w:val="00547EDB"/>
    <w:rsid w:val="005504C2"/>
    <w:rsid w:val="0055388E"/>
    <w:rsid w:val="00554C09"/>
    <w:rsid w:val="0056347C"/>
    <w:rsid w:val="00570A79"/>
    <w:rsid w:val="005754AE"/>
    <w:rsid w:val="005763D7"/>
    <w:rsid w:val="00577FB5"/>
    <w:rsid w:val="005852D1"/>
    <w:rsid w:val="00587A22"/>
    <w:rsid w:val="00587E35"/>
    <w:rsid w:val="00590AC6"/>
    <w:rsid w:val="0059299D"/>
    <w:rsid w:val="00593B7D"/>
    <w:rsid w:val="00595C8C"/>
    <w:rsid w:val="00597265"/>
    <w:rsid w:val="00597747"/>
    <w:rsid w:val="005A4CDD"/>
    <w:rsid w:val="005B57E4"/>
    <w:rsid w:val="005B5ABD"/>
    <w:rsid w:val="005B5DD1"/>
    <w:rsid w:val="005B6E8C"/>
    <w:rsid w:val="005B7798"/>
    <w:rsid w:val="005B7FC8"/>
    <w:rsid w:val="005C140A"/>
    <w:rsid w:val="005C50E5"/>
    <w:rsid w:val="005C6763"/>
    <w:rsid w:val="005D3164"/>
    <w:rsid w:val="005D6EF5"/>
    <w:rsid w:val="005E0344"/>
    <w:rsid w:val="005E17B4"/>
    <w:rsid w:val="005E211F"/>
    <w:rsid w:val="005E440B"/>
    <w:rsid w:val="005F2C85"/>
    <w:rsid w:val="00605ADB"/>
    <w:rsid w:val="00611C9F"/>
    <w:rsid w:val="00615395"/>
    <w:rsid w:val="00621BF6"/>
    <w:rsid w:val="00627555"/>
    <w:rsid w:val="00627B76"/>
    <w:rsid w:val="006316C4"/>
    <w:rsid w:val="006322A0"/>
    <w:rsid w:val="006361FD"/>
    <w:rsid w:val="00637AFD"/>
    <w:rsid w:val="00637B24"/>
    <w:rsid w:val="0064226F"/>
    <w:rsid w:val="00646D5E"/>
    <w:rsid w:val="00653298"/>
    <w:rsid w:val="00663A7C"/>
    <w:rsid w:val="00667DF2"/>
    <w:rsid w:val="00670DF1"/>
    <w:rsid w:val="00671345"/>
    <w:rsid w:val="00672A9B"/>
    <w:rsid w:val="00674646"/>
    <w:rsid w:val="00675884"/>
    <w:rsid w:val="00683FA7"/>
    <w:rsid w:val="006966CA"/>
    <w:rsid w:val="00696D09"/>
    <w:rsid w:val="00696EE0"/>
    <w:rsid w:val="00697980"/>
    <w:rsid w:val="00697FE8"/>
    <w:rsid w:val="006A19EF"/>
    <w:rsid w:val="006A43D5"/>
    <w:rsid w:val="006A525B"/>
    <w:rsid w:val="006C045F"/>
    <w:rsid w:val="006C4196"/>
    <w:rsid w:val="006C63B0"/>
    <w:rsid w:val="006C76A2"/>
    <w:rsid w:val="006C792E"/>
    <w:rsid w:val="006D0577"/>
    <w:rsid w:val="006D116C"/>
    <w:rsid w:val="006E200C"/>
    <w:rsid w:val="006E22C1"/>
    <w:rsid w:val="006E7C42"/>
    <w:rsid w:val="006F168A"/>
    <w:rsid w:val="006F5076"/>
    <w:rsid w:val="006F6009"/>
    <w:rsid w:val="006F6D5C"/>
    <w:rsid w:val="0070321D"/>
    <w:rsid w:val="007068BA"/>
    <w:rsid w:val="00716AB1"/>
    <w:rsid w:val="007171A7"/>
    <w:rsid w:val="00721D63"/>
    <w:rsid w:val="00732C7B"/>
    <w:rsid w:val="00734D2B"/>
    <w:rsid w:val="00737705"/>
    <w:rsid w:val="007405B2"/>
    <w:rsid w:val="007408D4"/>
    <w:rsid w:val="007420AC"/>
    <w:rsid w:val="00742617"/>
    <w:rsid w:val="00743F7E"/>
    <w:rsid w:val="00751FBD"/>
    <w:rsid w:val="007723BD"/>
    <w:rsid w:val="00783AFA"/>
    <w:rsid w:val="00785427"/>
    <w:rsid w:val="00790540"/>
    <w:rsid w:val="007968CA"/>
    <w:rsid w:val="007A43FF"/>
    <w:rsid w:val="007B1D15"/>
    <w:rsid w:val="007B3918"/>
    <w:rsid w:val="007C09A9"/>
    <w:rsid w:val="007C0AD9"/>
    <w:rsid w:val="007C3C1D"/>
    <w:rsid w:val="007C58A0"/>
    <w:rsid w:val="007D199A"/>
    <w:rsid w:val="007D2BD6"/>
    <w:rsid w:val="007D2EBE"/>
    <w:rsid w:val="007D39A1"/>
    <w:rsid w:val="007D5B5A"/>
    <w:rsid w:val="007D6DDA"/>
    <w:rsid w:val="007E1A31"/>
    <w:rsid w:val="007E1C07"/>
    <w:rsid w:val="007E5BCE"/>
    <w:rsid w:val="007F0536"/>
    <w:rsid w:val="007F24B6"/>
    <w:rsid w:val="007F2A70"/>
    <w:rsid w:val="007F5EFE"/>
    <w:rsid w:val="007F6460"/>
    <w:rsid w:val="007F710B"/>
    <w:rsid w:val="00803D94"/>
    <w:rsid w:val="0080470E"/>
    <w:rsid w:val="00806D68"/>
    <w:rsid w:val="00816657"/>
    <w:rsid w:val="00817C0C"/>
    <w:rsid w:val="008229BA"/>
    <w:rsid w:val="00832B98"/>
    <w:rsid w:val="008364AD"/>
    <w:rsid w:val="00836C85"/>
    <w:rsid w:val="00840C46"/>
    <w:rsid w:val="00845390"/>
    <w:rsid w:val="0084601B"/>
    <w:rsid w:val="00850A94"/>
    <w:rsid w:val="008606F0"/>
    <w:rsid w:val="00865489"/>
    <w:rsid w:val="0086553D"/>
    <w:rsid w:val="00874FEB"/>
    <w:rsid w:val="0088154A"/>
    <w:rsid w:val="00881B6F"/>
    <w:rsid w:val="00882AA4"/>
    <w:rsid w:val="00883E22"/>
    <w:rsid w:val="00884E43"/>
    <w:rsid w:val="00887EC6"/>
    <w:rsid w:val="0089084C"/>
    <w:rsid w:val="00893409"/>
    <w:rsid w:val="00893D9F"/>
    <w:rsid w:val="008A2379"/>
    <w:rsid w:val="008A4329"/>
    <w:rsid w:val="008A578E"/>
    <w:rsid w:val="008B1519"/>
    <w:rsid w:val="008B1E71"/>
    <w:rsid w:val="008B37A2"/>
    <w:rsid w:val="008B69E3"/>
    <w:rsid w:val="008B7BCC"/>
    <w:rsid w:val="008C50C3"/>
    <w:rsid w:val="008C7094"/>
    <w:rsid w:val="008C79EA"/>
    <w:rsid w:val="008D2B97"/>
    <w:rsid w:val="008D49A5"/>
    <w:rsid w:val="008D54BE"/>
    <w:rsid w:val="008D6C81"/>
    <w:rsid w:val="008D7E03"/>
    <w:rsid w:val="008E3044"/>
    <w:rsid w:val="008E62E3"/>
    <w:rsid w:val="008E6CF0"/>
    <w:rsid w:val="008F1439"/>
    <w:rsid w:val="008F3424"/>
    <w:rsid w:val="008F660E"/>
    <w:rsid w:val="008F7051"/>
    <w:rsid w:val="008F75EF"/>
    <w:rsid w:val="009033A9"/>
    <w:rsid w:val="00904152"/>
    <w:rsid w:val="0090581D"/>
    <w:rsid w:val="00913A33"/>
    <w:rsid w:val="0091439C"/>
    <w:rsid w:val="00914745"/>
    <w:rsid w:val="00914AC1"/>
    <w:rsid w:val="00920572"/>
    <w:rsid w:val="00920BF2"/>
    <w:rsid w:val="00926A94"/>
    <w:rsid w:val="00926DE4"/>
    <w:rsid w:val="00927379"/>
    <w:rsid w:val="009327D7"/>
    <w:rsid w:val="009349A9"/>
    <w:rsid w:val="00936C52"/>
    <w:rsid w:val="00940726"/>
    <w:rsid w:val="0095489B"/>
    <w:rsid w:val="00956B64"/>
    <w:rsid w:val="00966FB9"/>
    <w:rsid w:val="009671CD"/>
    <w:rsid w:val="009751A9"/>
    <w:rsid w:val="00980F9C"/>
    <w:rsid w:val="0098632B"/>
    <w:rsid w:val="009917F5"/>
    <w:rsid w:val="00997BFB"/>
    <w:rsid w:val="009A7348"/>
    <w:rsid w:val="009B462C"/>
    <w:rsid w:val="009C15F3"/>
    <w:rsid w:val="009E07C2"/>
    <w:rsid w:val="009E0E52"/>
    <w:rsid w:val="009E19AD"/>
    <w:rsid w:val="009F72F9"/>
    <w:rsid w:val="00A00205"/>
    <w:rsid w:val="00A00AF0"/>
    <w:rsid w:val="00A11091"/>
    <w:rsid w:val="00A14B5A"/>
    <w:rsid w:val="00A3567F"/>
    <w:rsid w:val="00A37698"/>
    <w:rsid w:val="00A41ED3"/>
    <w:rsid w:val="00A479EF"/>
    <w:rsid w:val="00A5351A"/>
    <w:rsid w:val="00A56C01"/>
    <w:rsid w:val="00A63A23"/>
    <w:rsid w:val="00A70952"/>
    <w:rsid w:val="00A81D82"/>
    <w:rsid w:val="00A8606E"/>
    <w:rsid w:val="00A934AA"/>
    <w:rsid w:val="00A93E33"/>
    <w:rsid w:val="00A94E59"/>
    <w:rsid w:val="00AA6D10"/>
    <w:rsid w:val="00AB4683"/>
    <w:rsid w:val="00AB6970"/>
    <w:rsid w:val="00AB74BA"/>
    <w:rsid w:val="00AC1939"/>
    <w:rsid w:val="00AC4514"/>
    <w:rsid w:val="00AC7C05"/>
    <w:rsid w:val="00AC7CAA"/>
    <w:rsid w:val="00AD167C"/>
    <w:rsid w:val="00AD17C7"/>
    <w:rsid w:val="00AD4041"/>
    <w:rsid w:val="00AD78FC"/>
    <w:rsid w:val="00AE302B"/>
    <w:rsid w:val="00AE4F54"/>
    <w:rsid w:val="00AF31F0"/>
    <w:rsid w:val="00B05165"/>
    <w:rsid w:val="00B138CB"/>
    <w:rsid w:val="00B16E8D"/>
    <w:rsid w:val="00B24F63"/>
    <w:rsid w:val="00B25337"/>
    <w:rsid w:val="00B259DF"/>
    <w:rsid w:val="00B36FA4"/>
    <w:rsid w:val="00B4458F"/>
    <w:rsid w:val="00B44B1F"/>
    <w:rsid w:val="00B50450"/>
    <w:rsid w:val="00B615F5"/>
    <w:rsid w:val="00B64141"/>
    <w:rsid w:val="00B64E72"/>
    <w:rsid w:val="00B73194"/>
    <w:rsid w:val="00B75A0A"/>
    <w:rsid w:val="00B77913"/>
    <w:rsid w:val="00B824FB"/>
    <w:rsid w:val="00B82646"/>
    <w:rsid w:val="00B830AD"/>
    <w:rsid w:val="00B8495A"/>
    <w:rsid w:val="00B92E1A"/>
    <w:rsid w:val="00B97359"/>
    <w:rsid w:val="00B97A8F"/>
    <w:rsid w:val="00BA3605"/>
    <w:rsid w:val="00BA3681"/>
    <w:rsid w:val="00BA4E58"/>
    <w:rsid w:val="00BA7074"/>
    <w:rsid w:val="00BB2239"/>
    <w:rsid w:val="00BB5EBA"/>
    <w:rsid w:val="00BB6A42"/>
    <w:rsid w:val="00BB7829"/>
    <w:rsid w:val="00BD019C"/>
    <w:rsid w:val="00BD1457"/>
    <w:rsid w:val="00BD3825"/>
    <w:rsid w:val="00BE1C41"/>
    <w:rsid w:val="00BE2AD9"/>
    <w:rsid w:val="00BE7EBF"/>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D86"/>
    <w:rsid w:val="00C426EC"/>
    <w:rsid w:val="00C45913"/>
    <w:rsid w:val="00C53B86"/>
    <w:rsid w:val="00C54F6C"/>
    <w:rsid w:val="00C57F95"/>
    <w:rsid w:val="00C6483C"/>
    <w:rsid w:val="00C64AE9"/>
    <w:rsid w:val="00C70CFF"/>
    <w:rsid w:val="00C718FE"/>
    <w:rsid w:val="00C8773D"/>
    <w:rsid w:val="00C87ABB"/>
    <w:rsid w:val="00C91831"/>
    <w:rsid w:val="00C953DF"/>
    <w:rsid w:val="00C96905"/>
    <w:rsid w:val="00CA2905"/>
    <w:rsid w:val="00CA6FA5"/>
    <w:rsid w:val="00CA7B44"/>
    <w:rsid w:val="00CD0E9A"/>
    <w:rsid w:val="00CD48E3"/>
    <w:rsid w:val="00CD5C5D"/>
    <w:rsid w:val="00CE1DB2"/>
    <w:rsid w:val="00CE2709"/>
    <w:rsid w:val="00CE2D64"/>
    <w:rsid w:val="00CE53BF"/>
    <w:rsid w:val="00CE6198"/>
    <w:rsid w:val="00CF18BF"/>
    <w:rsid w:val="00CF6230"/>
    <w:rsid w:val="00CF7771"/>
    <w:rsid w:val="00D017FC"/>
    <w:rsid w:val="00D0226A"/>
    <w:rsid w:val="00D1256B"/>
    <w:rsid w:val="00D13147"/>
    <w:rsid w:val="00D353E8"/>
    <w:rsid w:val="00D568F8"/>
    <w:rsid w:val="00D5715A"/>
    <w:rsid w:val="00D578B2"/>
    <w:rsid w:val="00D71687"/>
    <w:rsid w:val="00D74813"/>
    <w:rsid w:val="00D762CE"/>
    <w:rsid w:val="00DA30BC"/>
    <w:rsid w:val="00DA69C2"/>
    <w:rsid w:val="00DA6D70"/>
    <w:rsid w:val="00DB6050"/>
    <w:rsid w:val="00DB6CF4"/>
    <w:rsid w:val="00DC27D7"/>
    <w:rsid w:val="00DC2C34"/>
    <w:rsid w:val="00DC47E0"/>
    <w:rsid w:val="00DC4909"/>
    <w:rsid w:val="00DD446F"/>
    <w:rsid w:val="00DE2C87"/>
    <w:rsid w:val="00DE459A"/>
    <w:rsid w:val="00DF0CF5"/>
    <w:rsid w:val="00DF27DA"/>
    <w:rsid w:val="00DF4DBE"/>
    <w:rsid w:val="00E01077"/>
    <w:rsid w:val="00E1064A"/>
    <w:rsid w:val="00E20B32"/>
    <w:rsid w:val="00E221DC"/>
    <w:rsid w:val="00E34607"/>
    <w:rsid w:val="00E40820"/>
    <w:rsid w:val="00E4658F"/>
    <w:rsid w:val="00E54A67"/>
    <w:rsid w:val="00E57DB9"/>
    <w:rsid w:val="00E61C0D"/>
    <w:rsid w:val="00E63EB4"/>
    <w:rsid w:val="00E64912"/>
    <w:rsid w:val="00E66160"/>
    <w:rsid w:val="00E67022"/>
    <w:rsid w:val="00E71329"/>
    <w:rsid w:val="00E8363B"/>
    <w:rsid w:val="00E84966"/>
    <w:rsid w:val="00E86112"/>
    <w:rsid w:val="00E90780"/>
    <w:rsid w:val="00E92383"/>
    <w:rsid w:val="00E9489D"/>
    <w:rsid w:val="00EA1605"/>
    <w:rsid w:val="00EA1B3A"/>
    <w:rsid w:val="00EA2109"/>
    <w:rsid w:val="00EB2026"/>
    <w:rsid w:val="00EC409A"/>
    <w:rsid w:val="00EC66EC"/>
    <w:rsid w:val="00EC75DD"/>
    <w:rsid w:val="00ED4D4E"/>
    <w:rsid w:val="00EE0C77"/>
    <w:rsid w:val="00EE4E54"/>
    <w:rsid w:val="00F034BF"/>
    <w:rsid w:val="00F11A8E"/>
    <w:rsid w:val="00F153BB"/>
    <w:rsid w:val="00F246AF"/>
    <w:rsid w:val="00F27F1D"/>
    <w:rsid w:val="00F3284E"/>
    <w:rsid w:val="00F34771"/>
    <w:rsid w:val="00F37740"/>
    <w:rsid w:val="00F436BB"/>
    <w:rsid w:val="00F44BEF"/>
    <w:rsid w:val="00F47145"/>
    <w:rsid w:val="00F5198F"/>
    <w:rsid w:val="00F545BF"/>
    <w:rsid w:val="00F56152"/>
    <w:rsid w:val="00F61B86"/>
    <w:rsid w:val="00F63AA5"/>
    <w:rsid w:val="00F67404"/>
    <w:rsid w:val="00F71B56"/>
    <w:rsid w:val="00F7687C"/>
    <w:rsid w:val="00F832C8"/>
    <w:rsid w:val="00F866F2"/>
    <w:rsid w:val="00F873B3"/>
    <w:rsid w:val="00FA42B9"/>
    <w:rsid w:val="00FA755A"/>
    <w:rsid w:val="00FB2B0F"/>
    <w:rsid w:val="00FB385A"/>
    <w:rsid w:val="00FB3F53"/>
    <w:rsid w:val="00FB4F6B"/>
    <w:rsid w:val="00FB5FE1"/>
    <w:rsid w:val="00FC0E8D"/>
    <w:rsid w:val="00FC1AE3"/>
    <w:rsid w:val="00FC1D62"/>
    <w:rsid w:val="00FC46EF"/>
    <w:rsid w:val="00FD31B3"/>
    <w:rsid w:val="00FD418B"/>
    <w:rsid w:val="00FD4204"/>
    <w:rsid w:val="00FE72C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styleId="Revision">
    <w:name w:val="Revision"/>
    <w:hidden/>
    <w:uiPriority w:val="99"/>
    <w:semiHidden/>
    <w:rsid w:val="00474081"/>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296837471">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386413319">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619453024">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693655052">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7344618">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796025969">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50333673">
      <w:bodyDiv w:val="1"/>
      <w:marLeft w:val="0"/>
      <w:marRight w:val="0"/>
      <w:marTop w:val="0"/>
      <w:marBottom w:val="0"/>
      <w:divBdr>
        <w:top w:val="none" w:sz="0" w:space="0" w:color="auto"/>
        <w:left w:val="none" w:sz="0" w:space="0" w:color="auto"/>
        <w:bottom w:val="none" w:sz="0" w:space="0" w:color="auto"/>
        <w:right w:val="none" w:sz="0" w:space="0" w:color="auto"/>
      </w:divBdr>
    </w:div>
    <w:div w:id="94072235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7470252">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89731475">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0003816">
      <w:bodyDiv w:val="1"/>
      <w:marLeft w:val="0"/>
      <w:marRight w:val="0"/>
      <w:marTop w:val="0"/>
      <w:marBottom w:val="0"/>
      <w:divBdr>
        <w:top w:val="none" w:sz="0" w:space="0" w:color="auto"/>
        <w:left w:val="none" w:sz="0" w:space="0" w:color="auto"/>
        <w:bottom w:val="none" w:sz="0" w:space="0" w:color="auto"/>
        <w:right w:val="none" w:sz="0" w:space="0" w:color="auto"/>
      </w:divBdr>
    </w:div>
    <w:div w:id="1983844593">
      <w:bodyDiv w:val="1"/>
      <w:marLeft w:val="0"/>
      <w:marRight w:val="0"/>
      <w:marTop w:val="0"/>
      <w:marBottom w:val="0"/>
      <w:divBdr>
        <w:top w:val="none" w:sz="0" w:space="0" w:color="auto"/>
        <w:left w:val="none" w:sz="0" w:space="0" w:color="auto"/>
        <w:bottom w:val="none" w:sz="0" w:space="0" w:color="auto"/>
        <w:right w:val="none" w:sz="0" w:space="0" w:color="auto"/>
      </w:divBdr>
    </w:div>
    <w:div w:id="201329778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http://www-pub.iaea.org/MTCD/Publications/PDF/Pub1590_web.pdf"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www-pub.iaea.org/books/IAEABooks/7237/Categorization-of-Radioactive-Sources" TargetMode="Externa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yperlink" Target="https://www.iaea.org/publications/documents/conventions/convention-physical-protection-nuclear-material-and-its-amendmen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prodonrgov.sharepoint.com/sites/HOW2Hub/_layouts/15/DocIdRedir.aspx?ID=ONRHH-822789359-19790" TargetMode="External"/><Relationship Id="rId24" Type="http://schemas.openxmlformats.org/officeDocument/2006/relationships/hyperlink" Target="https://www.onr.org.uk/publications/corporate-publications/other-corporate-publications/policy/classification-policy-for-the-civil-nuclear-industry/"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gov.uk/government/publications/government-functional-standard-govs-007-security"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onr.org.uk/publications/regulatory-guidance/regulatory-assessment-and-permissioning/security-assessment-principles-syaps/security-assessment-principles-syap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file:///C:\Users\ldunning\AppData\Local\Microsoft\Windows\INetCache\Content.Outlook\GB4OVQLW\www-pub.iaea.org\MTCD\Publications\PDF\Pub1481_web.pdf"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
      <w:docPartPr>
        <w:name w:val="4E1D4AEE240844E5951BC06CE9A7A968"/>
        <w:category>
          <w:name w:val="General"/>
          <w:gallery w:val="placeholder"/>
        </w:category>
        <w:types>
          <w:type w:val="bbPlcHdr"/>
        </w:types>
        <w:behaviors>
          <w:behavior w:val="content"/>
        </w:behaviors>
        <w:guid w:val="{F2E57688-3DD4-4A0A-867C-CF54ED513D5F}"/>
      </w:docPartPr>
      <w:docPartBody>
        <w:p w:rsidR="00AD152B" w:rsidRDefault="00AD152B" w:rsidP="00AD152B">
          <w:pPr>
            <w:pStyle w:val="4E1D4AEE240844E5951BC06CE9A7A968"/>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0A2914"/>
    <w:rsid w:val="00164B5A"/>
    <w:rsid w:val="002103A2"/>
    <w:rsid w:val="00252452"/>
    <w:rsid w:val="002550FD"/>
    <w:rsid w:val="002E24EF"/>
    <w:rsid w:val="0032250D"/>
    <w:rsid w:val="00350199"/>
    <w:rsid w:val="003616F3"/>
    <w:rsid w:val="00382FBA"/>
    <w:rsid w:val="004344E4"/>
    <w:rsid w:val="004845A6"/>
    <w:rsid w:val="006D3ABB"/>
    <w:rsid w:val="007154C5"/>
    <w:rsid w:val="00780C80"/>
    <w:rsid w:val="007B28CE"/>
    <w:rsid w:val="00832404"/>
    <w:rsid w:val="00835E07"/>
    <w:rsid w:val="00840C46"/>
    <w:rsid w:val="00896ED5"/>
    <w:rsid w:val="008B37A2"/>
    <w:rsid w:val="00972B41"/>
    <w:rsid w:val="00AD152B"/>
    <w:rsid w:val="00B75A0A"/>
    <w:rsid w:val="00CA10A9"/>
    <w:rsid w:val="00CD10A9"/>
    <w:rsid w:val="00D75606"/>
    <w:rsid w:val="00DB4022"/>
    <w:rsid w:val="00DD446F"/>
    <w:rsid w:val="00DD7BA4"/>
    <w:rsid w:val="00E24D23"/>
    <w:rsid w:val="00E318CE"/>
    <w:rsid w:val="00E646E1"/>
    <w:rsid w:val="00F153B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 w:type="paragraph" w:customStyle="1" w:styleId="4E1D4AEE240844E5951BC06CE9A7A968">
    <w:name w:val="4E1D4AEE240844E5951BC06CE9A7A968"/>
    <w:rsid w:val="00AD152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Sec</b:Tag>
    <b:SourceType>DocumentFromInternetSite</b:SourceType>
    <b:Guid>{E919906C-2AE6-45E7-BB57-D4F922B189A4}</b:Guid>
    <b:Title>Security Assessment Principles for the Civil Nuclear Industry. ONR.</b:Title>
    <b:URL>http://www.onr.org.uk/syaps/security-assessment-principles-2017.pdf</b:URL>
    <b:RefOrder>1</b:RefOrder>
  </b:Source>
  <b:Source>
    <b:Tag>Nuc</b:Tag>
    <b:SourceType>Book</b:SourceType>
    <b:Guid>{62B9907D-B1DF-4D48-8507-80343D4A1E00}</b:Guid>
    <b:Title>Nuclear Industries Security Regulations 2003.  Statutory Instrument 2003 No. 403</b:Title>
    <b:RefOrder>2</b:RefOrder>
  </b:Source>
  <b:Source>
    <b:Tag>Con</b:Tag>
    <b:SourceType>DocumentFromInternetSite</b:SourceType>
    <b:Guid>{AEE9A5DB-B25F-43A0-BE2C-3DB4AB328833}</b:Guid>
    <b:Title>Convention on the Physical Protection of Nuclear Material (CPPNM) </b:Title>
    <b:URL>https://ola.iaea.org/ola/treaties/documents/FullText.pdf</b:URL>
    <b:RefOrder>3</b:RefOrder>
  </b:Source>
  <b:Source>
    <b:Tag>IAE1</b:Tag>
    <b:SourceType>DocumentFromInternetSite</b:SourceType>
    <b:Guid>{B6A6E1B2-669B-4D1D-B895-9506A0B861AE}</b:Guid>
    <b:Title>IAEA Nuclear Security Series No. 20.  Objective and Essential Elements of a State’s Nuclear Security Regime. </b:Title>
    <b:URL>http://www-pub.iaea.org/MTCD/Publications/PDF/Pub1590_web.pdf</b:URL>
    <b:RefOrder>4</b:RefOrder>
  </b:Source>
  <b:Source>
    <b:Tag>IAE</b:Tag>
    <b:SourceType>DocumentFromInternetSite</b:SourceType>
    <b:Guid>{51B5E0E2-1AF5-470F-A783-947B75A00F54}</b:Guid>
    <b:Title>IAEA Nuclear Security Series No. 13.  Nuclear Security Recommendations on Physical Protection of Nuclear Material and Nuclear Facilities (INFCIRC/225/Revision 5).  January 2011.</b:Title>
    <b:URL>www-pub.iaea.org/MTCD/Publications/PDF/Pub1481_web.pdf.</b:URL>
    <b:RefOrder>5</b:RefOrder>
  </b:Source>
  <b:Source>
    <b:Tag>HMG1</b:Tag>
    <b:SourceType>DocumentFromInternetSite</b:SourceType>
    <b:Guid>{0FEC8A4B-F535-4908-B6D7-FB618F884830}</b:Guid>
    <b:Title>HMG Security Policy Framework. Cabinet Office.</b:Title>
    <b:URL>https://www.gov.uk/government/publications/security-policy-framework/hmg-security-policy-framework</b:URL>
    <b:RefOrder>6</b:RefOrder>
  </b:Source>
  <b:Source>
    <b:Tag>Cla</b:Tag>
    <b:SourceType>DocumentFromInternetSite</b:SourceType>
    <b:Guid>{67EC7B10-0984-4D9B-9B42-15C2D267C651}</b:Guid>
    <b:Title>Classification Policy for the Civil Nuclear Industry. ONR.</b:Title>
    <b:URL>http://www.onr.org.uk/documents/classification-policy.pdf</b:URL>
    <b:RefOrder>7</b:RefOrder>
  </b:Source>
  <b:Source>
    <b:Tag>IAE6</b:Tag>
    <b:SourceType>InternetSite</b:SourceType>
    <b:Guid>{BE780B5D-D9CF-4CA7-B7A0-4C276586C57B}</b:Guid>
    <b:Title>IAEA Safety Guide Ref RS-G-1.9. Categorisation of Radioactive Sources.</b:Title>
    <b:URL>http://www-pub.iaea.org/books/IAEABooks/7237/Categorization-of-Radioactive-Sources</b:URL>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F17CA6-87CB-4570-B84F-3785ED28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18</Pages>
  <Words>4836</Words>
  <Characters>27568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Categorisation for Theft</vt:lpstr>
    </vt:vector>
  </TitlesOfParts>
  <Manager>Office for Nuclear Regulation</Manager>
  <Company>Office for Nuclear Regulation</Company>
  <LinksUpToDate>false</LinksUpToDate>
  <CharactersWithSpaces>32340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Categorisation for Theft</dc:title>
  <dc:subject>[Subtitle or description]</dc:subject>
  <cp:keywords>[Key words separated by commas]</cp:keywords>
  <dc:description/>
  <cp:revision>2</cp:revision>
  <cp:lastPrinted>2016-11-28T11:35:00Z</cp:lastPrinted>
  <dcterms:created xsi:type="dcterms:W3CDTF">2025-04-04T10:44:00Z</dcterms:created>
  <dcterms:modified xsi:type="dcterms:W3CDTF">2025-04-04T10:44:00Z</dcterms:modified>
  <cp:contentStatus>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