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027B12">
        <w:trPr>
          <w:trHeight w:hRule="exact" w:val="4459"/>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832CDB2" w:rsidR="00595C8C" w:rsidRPr="00595C8C" w:rsidRDefault="00595C8C" w:rsidP="00595C8C">
            <w:pPr>
              <w:pStyle w:val="InnerCoverTitle"/>
              <w:rPr>
                <w:sz w:val="36"/>
                <w:szCs w:val="36"/>
              </w:rPr>
            </w:pPr>
            <w:r w:rsidRPr="00595C8C">
              <w:rPr>
                <w:sz w:val="36"/>
                <w:szCs w:val="36"/>
              </w:rPr>
              <w:t xml:space="preserve">ONR </w:t>
            </w:r>
            <w:r w:rsidR="000950B3">
              <w:rPr>
                <w:sz w:val="36"/>
                <w:szCs w:val="36"/>
              </w:rPr>
              <w:t>Technical Assessment Guide</w:t>
            </w:r>
          </w:p>
          <w:p w14:paraId="7C4EA414" w14:textId="449D0E92" w:rsidR="00D0226A" w:rsidRPr="00027B12" w:rsidRDefault="004E70B7" w:rsidP="001E03E1">
            <w:pPr>
              <w:pStyle w:val="CoverTitle"/>
              <w:rPr>
                <w:color w:val="000000" w:themeColor="text1"/>
                <w:sz w:val="60"/>
                <w:szCs w:val="60"/>
              </w:rPr>
            </w:pPr>
            <w:sdt>
              <w:sdtPr>
                <w:rPr>
                  <w:color w:val="000000" w:themeColor="text1"/>
                  <w:sz w:val="60"/>
                  <w:szCs w:val="60"/>
                </w:rPr>
                <w:id w:val="1228188510"/>
                <w:placeholder>
                  <w:docPart w:val="DefaultPlaceholder_-1854013440"/>
                </w:placeholder>
              </w:sdtPr>
              <w:sdtEndPr/>
              <w:sdtContent>
                <w:sdt>
                  <w:sdtPr>
                    <w:rPr>
                      <w:sz w:val="60"/>
                      <w:szCs w:val="60"/>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906A19" w:rsidRPr="00027B12">
                      <w:rPr>
                        <w:sz w:val="60"/>
                        <w:szCs w:val="60"/>
                      </w:rPr>
                      <w:t>Counter terrorism (CT) measures and emergency preparedness and response (EP&amp;R) planning arrangements</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FC2DA37" w:rsidR="00004C16" w:rsidRPr="00136064" w:rsidRDefault="00004C16" w:rsidP="00004C16">
      <w:pPr>
        <w:rPr>
          <w:color w:val="22413A"/>
          <w:sz w:val="36"/>
          <w:szCs w:val="36"/>
        </w:rPr>
      </w:pPr>
      <w:r w:rsidRPr="00136064">
        <w:rPr>
          <w:color w:val="22413A"/>
          <w:sz w:val="36"/>
          <w:szCs w:val="36"/>
        </w:rPr>
        <w:lastRenderedPageBreak/>
        <w:t xml:space="preserve">ONR </w:t>
      </w:r>
      <w:r w:rsidR="000950B3" w:rsidRPr="00136064">
        <w:rPr>
          <w:color w:val="22413A"/>
          <w:sz w:val="36"/>
          <w:szCs w:val="36"/>
        </w:rPr>
        <w:t>Technical Assessment Guide</w:t>
      </w:r>
      <w:r w:rsidR="007C0AD9" w:rsidRPr="00136064">
        <w:rPr>
          <w:color w:val="22413A"/>
          <w:sz w:val="36"/>
          <w:szCs w:val="36"/>
        </w:rPr>
        <w:t xml:space="preserve"> (TAG)</w:t>
      </w:r>
    </w:p>
    <w:p w14:paraId="297D790E" w14:textId="670D4B76" w:rsidR="00004C16" w:rsidRPr="00F63AA5" w:rsidRDefault="004E70B7" w:rsidP="00004C16">
      <w:pPr>
        <w:rPr>
          <w:sz w:val="18"/>
          <w:szCs w:val="16"/>
        </w:rPr>
      </w:pPr>
      <w:sdt>
        <w:sdtPr>
          <w:rPr>
            <w:sz w:val="36"/>
            <w:szCs w:val="16"/>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sdtContent>
          <w:r w:rsidR="00906A19">
            <w:rPr>
              <w:sz w:val="36"/>
              <w:szCs w:val="16"/>
            </w:rPr>
            <w:t>Counter terrorism (CT) measures and emergency preparedness and response (EP&amp;R) planning arrangements</w:t>
          </w:r>
        </w:sdtContent>
      </w:sdt>
    </w:p>
    <w:p w14:paraId="2092E882" w14:textId="33D272B8" w:rsidR="00906A19" w:rsidRPr="00906A19" w:rsidRDefault="00906A19" w:rsidP="00906A19">
      <w:pPr>
        <w:rPr>
          <w:sz w:val="28"/>
          <w:szCs w:val="28"/>
        </w:rPr>
      </w:pPr>
      <w:r w:rsidRPr="00906A19">
        <w:rPr>
          <w:b/>
          <w:bCs/>
          <w:sz w:val="28"/>
          <w:szCs w:val="28"/>
        </w:rPr>
        <w:t>Head of Profession</w:t>
      </w:r>
      <w:r w:rsidRPr="00906A19">
        <w:rPr>
          <w:sz w:val="28"/>
          <w:szCs w:val="28"/>
        </w:rPr>
        <w:t xml:space="preserve">: Head of Profession </w:t>
      </w:r>
      <w:r>
        <w:rPr>
          <w:sz w:val="28"/>
          <w:szCs w:val="28"/>
        </w:rPr>
        <w:t xml:space="preserve">- </w:t>
      </w:r>
      <w:r w:rsidRPr="00906A19">
        <w:rPr>
          <w:sz w:val="28"/>
          <w:szCs w:val="28"/>
        </w:rPr>
        <w:t>Protective Security</w:t>
      </w:r>
      <w:r w:rsidR="000B2605">
        <w:rPr>
          <w:sz w:val="28"/>
          <w:szCs w:val="28"/>
        </w:rPr>
        <w:t xml:space="preserve"> </w:t>
      </w:r>
    </w:p>
    <w:p w14:paraId="61A25C0F" w14:textId="77777777" w:rsidR="00004C16" w:rsidRDefault="00004C16" w:rsidP="00004C16">
      <w:pPr>
        <w:rPr>
          <w:sz w:val="28"/>
          <w:szCs w:val="28"/>
        </w:rPr>
      </w:pPr>
    </w:p>
    <w:p w14:paraId="4C7A948F" w14:textId="614F23FE" w:rsidR="00245A0D" w:rsidRPr="00906A19" w:rsidRDefault="00245A0D" w:rsidP="006E6C1B">
      <w:pPr>
        <w:rPr>
          <w:szCs w:val="24"/>
        </w:rPr>
      </w:pPr>
      <w:r w:rsidRPr="00906A19">
        <w:rPr>
          <w:b/>
          <w:bCs/>
          <w:szCs w:val="24"/>
        </w:rPr>
        <w:t>Authored by</w:t>
      </w:r>
      <w:r w:rsidR="00CE1DB2" w:rsidRPr="00906A19">
        <w:rPr>
          <w:szCs w:val="24"/>
        </w:rPr>
        <w:t>:</w:t>
      </w:r>
      <w:r w:rsidRPr="00906A19">
        <w:rPr>
          <w:szCs w:val="24"/>
        </w:rPr>
        <w:t xml:space="preserve"> </w:t>
      </w:r>
      <w:r w:rsidR="00584841" w:rsidRPr="00906A19">
        <w:rPr>
          <w:szCs w:val="24"/>
        </w:rPr>
        <w:t>Deputy Head of Profession</w:t>
      </w:r>
    </w:p>
    <w:p w14:paraId="15A21CF3" w14:textId="3DF721E8" w:rsidR="00245A0D" w:rsidRPr="00906A19" w:rsidRDefault="00245A0D" w:rsidP="00245A0D">
      <w:pPr>
        <w:rPr>
          <w:szCs w:val="24"/>
        </w:rPr>
      </w:pPr>
      <w:r w:rsidRPr="00906A19">
        <w:rPr>
          <w:b/>
          <w:bCs/>
          <w:szCs w:val="24"/>
        </w:rPr>
        <w:t>Approved by</w:t>
      </w:r>
      <w:r w:rsidR="00CE1DB2" w:rsidRPr="00906A19">
        <w:rPr>
          <w:szCs w:val="24"/>
        </w:rPr>
        <w:t>:</w:t>
      </w:r>
      <w:r w:rsidRPr="00906A19">
        <w:rPr>
          <w:szCs w:val="24"/>
        </w:rPr>
        <w:t xml:space="preserve"> </w:t>
      </w:r>
      <w:r w:rsidR="00584841" w:rsidRPr="00906A19">
        <w:rPr>
          <w:szCs w:val="24"/>
        </w:rPr>
        <w:t xml:space="preserve">Head of </w:t>
      </w:r>
      <w:r w:rsidR="00913A33" w:rsidRPr="00906A19">
        <w:rPr>
          <w:szCs w:val="24"/>
        </w:rPr>
        <w:t>Profession</w:t>
      </w:r>
    </w:p>
    <w:p w14:paraId="247E3769" w14:textId="061AF6E5" w:rsidR="00004C16" w:rsidRPr="00906A19" w:rsidRDefault="00004C16" w:rsidP="00004C16">
      <w:pPr>
        <w:rPr>
          <w:szCs w:val="24"/>
        </w:rPr>
      </w:pPr>
      <w:r w:rsidRPr="00906A19">
        <w:rPr>
          <w:b/>
          <w:bCs/>
          <w:szCs w:val="24"/>
        </w:rPr>
        <w:t>Issue</w:t>
      </w:r>
      <w:r w:rsidRPr="00906A19">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906A19">
            <w:rPr>
              <w:szCs w:val="24"/>
            </w:rPr>
            <w:t>3</w:t>
          </w:r>
        </w:sdtContent>
      </w:sdt>
    </w:p>
    <w:p w14:paraId="19206F45" w14:textId="5D30B5EE" w:rsidR="00004C16" w:rsidRPr="00906A19" w:rsidRDefault="00906A19" w:rsidP="00004C16">
      <w:pPr>
        <w:rPr>
          <w:szCs w:val="24"/>
        </w:rPr>
      </w:pPr>
      <w:r w:rsidRPr="00906A19">
        <w:rPr>
          <w:b/>
          <w:bCs/>
          <w:szCs w:val="24"/>
        </w:rPr>
        <w:t>Published</w:t>
      </w:r>
      <w:r w:rsidR="00004C16" w:rsidRPr="00906A19">
        <w:rPr>
          <w:szCs w:val="24"/>
        </w:rPr>
        <w:t xml:space="preserve">: </w:t>
      </w:r>
      <w:r>
        <w:rPr>
          <w:szCs w:val="24"/>
        </w:rPr>
        <w:t xml:space="preserve">September </w:t>
      </w:r>
      <w:r w:rsidR="008429BC" w:rsidRPr="00906A19">
        <w:rPr>
          <w:szCs w:val="24"/>
        </w:rPr>
        <w:t>2</w:t>
      </w:r>
      <w:r w:rsidR="00381948" w:rsidRPr="00906A19">
        <w:rPr>
          <w:szCs w:val="24"/>
        </w:rPr>
        <w:t>0</w:t>
      </w:r>
      <w:r w:rsidR="00F94EA3" w:rsidRPr="00906A19">
        <w:rPr>
          <w:szCs w:val="24"/>
        </w:rPr>
        <w:t>24</w:t>
      </w:r>
    </w:p>
    <w:p w14:paraId="06A6B3A5" w14:textId="164F2962" w:rsidR="00E57DB9" w:rsidRPr="00906A19" w:rsidRDefault="00906A19" w:rsidP="00E57DB9">
      <w:pPr>
        <w:rPr>
          <w:szCs w:val="24"/>
        </w:rPr>
      </w:pPr>
      <w:r>
        <w:rPr>
          <w:b/>
          <w:bCs/>
          <w:szCs w:val="24"/>
        </w:rPr>
        <w:t>Next scheduled review</w:t>
      </w:r>
      <w:r w:rsidR="00E57DB9" w:rsidRPr="00906A19">
        <w:rPr>
          <w:szCs w:val="24"/>
        </w:rPr>
        <w:t>:</w:t>
      </w:r>
      <w:r w:rsidR="00AE4F54" w:rsidRPr="00906A19">
        <w:rPr>
          <w:szCs w:val="24"/>
        </w:rPr>
        <w:t xml:space="preserve"> </w:t>
      </w:r>
      <w:r>
        <w:rPr>
          <w:szCs w:val="24"/>
        </w:rPr>
        <w:t>September 2028</w:t>
      </w:r>
    </w:p>
    <w:p w14:paraId="6DA341A1" w14:textId="632326D9" w:rsidR="00347CA8" w:rsidRPr="00906A19" w:rsidRDefault="00906A19" w:rsidP="00E57DB9">
      <w:pPr>
        <w:rPr>
          <w:szCs w:val="24"/>
        </w:rPr>
      </w:pPr>
      <w:r w:rsidRPr="00906A19">
        <w:rPr>
          <w:b/>
          <w:bCs/>
          <w:szCs w:val="24"/>
        </w:rPr>
        <w:t>Document reference</w:t>
      </w:r>
      <w:r w:rsidR="00347CA8" w:rsidRPr="00906A19">
        <w:rPr>
          <w:szCs w:val="24"/>
        </w:rPr>
        <w:t xml:space="preserve">: </w:t>
      </w:r>
      <w:r>
        <w:rPr>
          <w:szCs w:val="24"/>
        </w:rPr>
        <w:t>CNS-TAST-GD-10.1</w:t>
      </w:r>
      <w:r w:rsidRPr="00906A19">
        <w:rPr>
          <w:szCs w:val="24"/>
        </w:rPr>
        <w:t xml:space="preserve"> </w:t>
      </w:r>
    </w:p>
    <w:p w14:paraId="55057C62" w14:textId="730ECCB9" w:rsidR="00004C16" w:rsidRPr="00906A19" w:rsidRDefault="00906A19" w:rsidP="00004C16">
      <w:pPr>
        <w:rPr>
          <w:szCs w:val="24"/>
        </w:rPr>
      </w:pPr>
      <w:r w:rsidRPr="00906A19">
        <w:rPr>
          <w:b/>
          <w:bCs/>
          <w:szCs w:val="24"/>
        </w:rPr>
        <w:t>Record reference</w:t>
      </w:r>
      <w:r w:rsidR="00004C16" w:rsidRPr="00906A19">
        <w:rPr>
          <w:szCs w:val="24"/>
        </w:rPr>
        <w:t xml:space="preserve">: </w:t>
      </w:r>
      <w:r w:rsidRPr="00906A19">
        <w:rPr>
          <w:szCs w:val="24"/>
        </w:rPr>
        <w:t>2020/273831</w:t>
      </w:r>
    </w:p>
    <w:p w14:paraId="39BC0EA4" w14:textId="77777777" w:rsidR="00420A11" w:rsidRDefault="00420A11" w:rsidP="00323E71"/>
    <w:p w14:paraId="1921DBD9" w14:textId="65317CBD" w:rsidR="00CE1DB2" w:rsidRDefault="00CE1DB2" w:rsidP="00CE1DB2">
      <w:pPr>
        <w:pStyle w:val="Caption"/>
        <w:keepNext/>
      </w:pPr>
      <w:r>
        <w:t>Revision commentary</w:t>
      </w:r>
    </w:p>
    <w:tbl>
      <w:tblPr>
        <w:tblStyle w:val="ONRTable1"/>
        <w:tblW w:w="0" w:type="auto"/>
        <w:tblInd w:w="10" w:type="dxa"/>
        <w:tblLook w:val="04A0" w:firstRow="1" w:lastRow="0" w:firstColumn="1" w:lastColumn="0" w:noHBand="0" w:noVBand="1"/>
      </w:tblPr>
      <w:tblGrid>
        <w:gridCol w:w="983"/>
        <w:gridCol w:w="8033"/>
      </w:tblGrid>
      <w:tr w:rsidR="00595C8C" w:rsidRPr="00CE1DB2" w14:paraId="116B87DF" w14:textId="77777777" w:rsidTr="00906A19">
        <w:trPr>
          <w:cnfStyle w:val="100000000000" w:firstRow="1" w:lastRow="0" w:firstColumn="0" w:lastColumn="0" w:oddVBand="0" w:evenVBand="0" w:oddHBand="0" w:evenHBand="0" w:firstRowFirstColumn="0" w:firstRowLastColumn="0" w:lastRowFirstColumn="0" w:lastRowLastColumn="0"/>
        </w:trPr>
        <w:tc>
          <w:tcPr>
            <w:tcW w:w="983" w:type="dxa"/>
          </w:tcPr>
          <w:p w14:paraId="72366D01" w14:textId="50F2DA84" w:rsidR="00595C8C" w:rsidRPr="00CE1DB2" w:rsidRDefault="00595C8C" w:rsidP="00595C8C">
            <w:pPr>
              <w:spacing w:before="60" w:after="60"/>
              <w:rPr>
                <w:b w:val="0"/>
                <w:bCs/>
              </w:rPr>
            </w:pPr>
            <w:r w:rsidRPr="00CE1DB2">
              <w:rPr>
                <w:b w:val="0"/>
                <w:bCs/>
              </w:rPr>
              <w:t>Issu</w:t>
            </w:r>
            <w:r w:rsidR="00906A19">
              <w:rPr>
                <w:b w:val="0"/>
                <w:bCs/>
              </w:rPr>
              <w:t>e</w:t>
            </w:r>
          </w:p>
        </w:tc>
        <w:tc>
          <w:tcPr>
            <w:tcW w:w="8033" w:type="dxa"/>
          </w:tcPr>
          <w:p w14:paraId="2D00C3FD" w14:textId="4BB6597F" w:rsidR="00595C8C" w:rsidRPr="00CE1DB2" w:rsidRDefault="00595C8C" w:rsidP="00595C8C">
            <w:pPr>
              <w:spacing w:before="60" w:after="60"/>
              <w:rPr>
                <w:b w:val="0"/>
                <w:bCs/>
              </w:rPr>
            </w:pPr>
            <w:r w:rsidRPr="00CE1DB2">
              <w:rPr>
                <w:b w:val="0"/>
                <w:bCs/>
              </w:rPr>
              <w:t xml:space="preserve">Description of </w:t>
            </w:r>
            <w:r w:rsidR="00906A19">
              <w:rPr>
                <w:b w:val="0"/>
                <w:bCs/>
              </w:rPr>
              <w:t>u</w:t>
            </w:r>
            <w:r w:rsidRPr="00CE1DB2">
              <w:rPr>
                <w:b w:val="0"/>
                <w:bCs/>
              </w:rPr>
              <w:t>pdate(s)</w:t>
            </w:r>
          </w:p>
        </w:tc>
      </w:tr>
      <w:tr w:rsidR="00595C8C" w14:paraId="0B4E4E42" w14:textId="77777777" w:rsidTr="00906A19">
        <w:tc>
          <w:tcPr>
            <w:tcW w:w="983" w:type="dxa"/>
          </w:tcPr>
          <w:p w14:paraId="65482A03" w14:textId="30EA97F2" w:rsidR="00595C8C" w:rsidRDefault="004E70B7" w:rsidP="00595C8C">
            <w:pPr>
              <w:spacing w:before="60" w:after="60"/>
            </w:pPr>
            <w:sdt>
              <w:sdtPr>
                <w:rPr>
                  <w:szCs w:val="24"/>
                </w:rPr>
                <w:alias w:val="Issue No."/>
                <w:tag w:val=""/>
                <w:id w:val="251869044"/>
                <w:placeholder>
                  <w:docPart w:val="7B9BDFF14BD54958B10F73A803ABCB8B"/>
                </w:placeholder>
                <w:dataBinding w:prefixMappings="xmlns:ns0='http://purl.org/dc/elements/1.1/' xmlns:ns1='http://schemas.openxmlformats.org/package/2006/metadata/core-properties' " w:xpath="/ns1:coreProperties[1]/ns1:contentStatus[1]" w:storeItemID="{6C3C8BC8-F283-45AE-878A-BAB7291924A1}"/>
                <w:text/>
              </w:sdtPr>
              <w:sdtEndPr/>
              <w:sdtContent>
                <w:r w:rsidR="00906A19">
                  <w:rPr>
                    <w:szCs w:val="24"/>
                  </w:rPr>
                  <w:t>3</w:t>
                </w:r>
              </w:sdtContent>
            </w:sdt>
          </w:p>
        </w:tc>
        <w:tc>
          <w:tcPr>
            <w:tcW w:w="8033" w:type="dxa"/>
          </w:tcPr>
          <w:p w14:paraId="5E2D03DC" w14:textId="2D01FF31" w:rsidR="00906A19" w:rsidRDefault="00906A19" w:rsidP="00046C5F">
            <w:pPr>
              <w:spacing w:before="60" w:after="60"/>
            </w:pPr>
            <w:r>
              <w:t>Summary of changes to Issue 2:</w:t>
            </w:r>
          </w:p>
          <w:p w14:paraId="5DF01014" w14:textId="77777777" w:rsidR="00906A19" w:rsidRDefault="00906A19" w:rsidP="00906A19">
            <w:pPr>
              <w:pStyle w:val="ListParagraph"/>
              <w:numPr>
                <w:ilvl w:val="0"/>
                <w:numId w:val="29"/>
              </w:numPr>
              <w:spacing w:before="60" w:after="60"/>
            </w:pPr>
            <w:r w:rsidRPr="00906A19">
              <w:t>M</w:t>
            </w:r>
            <w:r w:rsidR="00F9537D" w:rsidRPr="00906A19">
              <w:t>inor te</w:t>
            </w:r>
            <w:r w:rsidR="00A212E1" w:rsidRPr="00906A19">
              <w:t>x</w:t>
            </w:r>
            <w:r w:rsidR="00F9537D" w:rsidRPr="00906A19">
              <w:t xml:space="preserve">t changes to </w:t>
            </w:r>
            <w:r w:rsidR="00A212E1" w:rsidRPr="00906A19">
              <w:t>clarify some paragraphs</w:t>
            </w:r>
            <w:r>
              <w:t>.</w:t>
            </w:r>
          </w:p>
          <w:p w14:paraId="335F3B31" w14:textId="480CFA66" w:rsidR="00906A19" w:rsidRDefault="00906A19" w:rsidP="00906A19">
            <w:pPr>
              <w:pStyle w:val="ListParagraph"/>
              <w:numPr>
                <w:ilvl w:val="0"/>
                <w:numId w:val="29"/>
              </w:numPr>
              <w:spacing w:before="60" w:after="60"/>
            </w:pPr>
            <w:r>
              <w:t>T</w:t>
            </w:r>
            <w:r w:rsidR="005440D5" w:rsidRPr="00906A19">
              <w:t xml:space="preserve">he introduction of the need to consider </w:t>
            </w:r>
            <w:r w:rsidR="0058415B" w:rsidRPr="00906A19">
              <w:t xml:space="preserve">the recovery of </w:t>
            </w:r>
            <w:r w:rsidR="005440D5" w:rsidRPr="00906A19">
              <w:t>CCTV by the police</w:t>
            </w:r>
            <w:r>
              <w:t xml:space="preserve"> and </w:t>
            </w:r>
            <w:r w:rsidR="0058415B" w:rsidRPr="00906A19">
              <w:t xml:space="preserve">the need to consider the need </w:t>
            </w:r>
            <w:r w:rsidR="00046C5F" w:rsidRPr="00906A19">
              <w:t xml:space="preserve">for the </w:t>
            </w:r>
            <w:r w:rsidR="005440D5" w:rsidRPr="00906A19">
              <w:t>repair/</w:t>
            </w:r>
            <w:r w:rsidR="00F77E6B">
              <w:t xml:space="preserve"> </w:t>
            </w:r>
            <w:r w:rsidR="005440D5" w:rsidRPr="00906A19">
              <w:t>replace</w:t>
            </w:r>
            <w:r w:rsidR="00046C5F" w:rsidRPr="00906A19">
              <w:t>ment of</w:t>
            </w:r>
            <w:r w:rsidR="005440D5" w:rsidRPr="00906A19">
              <w:t xml:space="preserve"> damaged/destroyed PPS</w:t>
            </w:r>
            <w:r w:rsidR="00046C5F" w:rsidRPr="00906A19">
              <w:t xml:space="preserve"> in paragraph</w:t>
            </w:r>
            <w:r w:rsidR="003827AC" w:rsidRPr="00906A19">
              <w:t xml:space="preserve"> 56</w:t>
            </w:r>
            <w:r w:rsidR="00046C5F" w:rsidRPr="00906A19">
              <w:t>.</w:t>
            </w:r>
            <w:r w:rsidR="00A212E1" w:rsidRPr="00906A19">
              <w:t xml:space="preserve"> </w:t>
            </w:r>
          </w:p>
          <w:p w14:paraId="1604783F" w14:textId="19FE9D4A" w:rsidR="00906A19" w:rsidRDefault="00906A19" w:rsidP="00906A19">
            <w:pPr>
              <w:pStyle w:val="ListParagraph"/>
              <w:numPr>
                <w:ilvl w:val="0"/>
                <w:numId w:val="29"/>
              </w:numPr>
              <w:spacing w:before="60" w:after="60"/>
            </w:pPr>
            <w:r>
              <w:t>T</w:t>
            </w:r>
            <w:r w:rsidR="00152FF6" w:rsidRPr="00906A19">
              <w:t>he need to consider</w:t>
            </w:r>
            <w:r w:rsidR="001D01FA" w:rsidRPr="00906A19">
              <w:t xml:space="preserve"> if the SCP is supported by appropriate SQEP C2 arrangements and </w:t>
            </w:r>
            <w:r w:rsidR="00EC23F0" w:rsidRPr="00906A19">
              <w:t xml:space="preserve">whether </w:t>
            </w:r>
            <w:r w:rsidR="006F1519" w:rsidRPr="00906A19">
              <w:t xml:space="preserve">site emergency organisation </w:t>
            </w:r>
            <w:r w:rsidR="00EC23F0" w:rsidRPr="00906A19">
              <w:t>personnel</w:t>
            </w:r>
            <w:r w:rsidR="006F1519" w:rsidRPr="00906A19">
              <w:t xml:space="preserve"> are adequately protected and resourced in paragraph </w:t>
            </w:r>
            <w:r w:rsidR="000C172D" w:rsidRPr="00906A19">
              <w:t>57.</w:t>
            </w:r>
          </w:p>
          <w:p w14:paraId="1C80912E" w14:textId="2A70E4F9" w:rsidR="00595C8C" w:rsidRDefault="00D91E33" w:rsidP="00F77E6B">
            <w:pPr>
              <w:pStyle w:val="ListParagraph"/>
              <w:numPr>
                <w:ilvl w:val="0"/>
                <w:numId w:val="28"/>
              </w:numPr>
              <w:spacing w:before="60" w:after="60"/>
            </w:pPr>
            <w:r>
              <w:t xml:space="preserve">Change of terminology from </w:t>
            </w:r>
            <w:r w:rsidR="00F77E6B">
              <w:t>g</w:t>
            </w:r>
            <w:r>
              <w:t>o</w:t>
            </w:r>
            <w:r w:rsidR="00E17010">
              <w:t xml:space="preserve">vernment Response Level </w:t>
            </w:r>
            <w:r w:rsidR="00F77E6B">
              <w:t>(RL) s</w:t>
            </w:r>
            <w:r w:rsidR="00E17010">
              <w:t xml:space="preserve">ystem to </w:t>
            </w:r>
            <w:proofErr w:type="spellStart"/>
            <w:r w:rsidR="00E17010">
              <w:t>NaCTSO</w:t>
            </w:r>
            <w:proofErr w:type="spellEnd"/>
            <w:r w:rsidR="00E17010">
              <w:t xml:space="preserve"> </w:t>
            </w:r>
            <w:r w:rsidR="00F77E6B">
              <w:t>RL and r</w:t>
            </w:r>
            <w:r w:rsidR="00F41437">
              <w:t>evision o</w:t>
            </w:r>
            <w:r w:rsidR="003E2833">
              <w:t>f</w:t>
            </w:r>
            <w:r w:rsidR="00F41437">
              <w:t xml:space="preserve"> wording at </w:t>
            </w:r>
            <w:r w:rsidR="00F77E6B">
              <w:t>Appendix</w:t>
            </w:r>
            <w:r w:rsidR="00F41437">
              <w:t xml:space="preserve"> A to reflect relevant good practice.</w:t>
            </w:r>
          </w:p>
        </w:tc>
      </w:tr>
    </w:tbl>
    <w:p w14:paraId="1FDB4B56" w14:textId="6C10B266" w:rsidR="00595C8C" w:rsidRDefault="00595C8C" w:rsidP="00323E71">
      <w:pPr>
        <w:sectPr w:rsidR="00595C8C" w:rsidSect="000B2BCD">
          <w:headerReference w:type="default" r:id="rId11"/>
          <w:footerReference w:type="default" r:id="rId12"/>
          <w:pgSz w:w="11906" w:h="16838" w:code="9"/>
          <w:pgMar w:top="1440" w:right="1440" w:bottom="1440" w:left="1440" w:header="397" w:footer="397" w:gutter="0"/>
          <w:cols w:space="312"/>
          <w:titlePg/>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5366C081" w14:textId="1C1E6EE1" w:rsidR="00A75685" w:rsidRDefault="00404B0C">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76506418" w:history="1">
        <w:r w:rsidR="00A75685" w:rsidRPr="0052236B">
          <w:rPr>
            <w:rStyle w:val="Hyperlink"/>
          </w:rPr>
          <w:t>1.</w:t>
        </w:r>
        <w:r w:rsidR="00A75685">
          <w:rPr>
            <w:rFonts w:asciiTheme="minorHAnsi" w:eastAsiaTheme="minorEastAsia" w:hAnsiTheme="minorHAnsi" w:cstheme="minorBidi"/>
            <w:kern w:val="2"/>
            <w:sz w:val="22"/>
            <w:lang w:eastAsia="en-GB" w:bidi="ar-SA"/>
            <w14:ligatures w14:val="standardContextual"/>
          </w:rPr>
          <w:tab/>
        </w:r>
        <w:r w:rsidR="00A75685" w:rsidRPr="0052236B">
          <w:rPr>
            <w:rStyle w:val="Hyperlink"/>
          </w:rPr>
          <w:t>Introduction</w:t>
        </w:r>
        <w:r w:rsidR="00A75685">
          <w:rPr>
            <w:webHidden/>
          </w:rPr>
          <w:tab/>
        </w:r>
        <w:r w:rsidR="00A75685">
          <w:rPr>
            <w:webHidden/>
          </w:rPr>
          <w:fldChar w:fldCharType="begin"/>
        </w:r>
        <w:r w:rsidR="00A75685">
          <w:rPr>
            <w:webHidden/>
          </w:rPr>
          <w:instrText xml:space="preserve"> PAGEREF _Toc176506418 \h </w:instrText>
        </w:r>
        <w:r w:rsidR="00A75685">
          <w:rPr>
            <w:webHidden/>
          </w:rPr>
        </w:r>
        <w:r w:rsidR="00A75685">
          <w:rPr>
            <w:webHidden/>
          </w:rPr>
          <w:fldChar w:fldCharType="separate"/>
        </w:r>
        <w:r w:rsidR="00A75685">
          <w:rPr>
            <w:webHidden/>
          </w:rPr>
          <w:t>4</w:t>
        </w:r>
        <w:r w:rsidR="00A75685">
          <w:rPr>
            <w:webHidden/>
          </w:rPr>
          <w:fldChar w:fldCharType="end"/>
        </w:r>
      </w:hyperlink>
    </w:p>
    <w:p w14:paraId="27F4076E" w14:textId="3490ACDA" w:rsidR="00A75685" w:rsidRDefault="004E70B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506419" w:history="1">
        <w:r w:rsidR="00A75685" w:rsidRPr="0052236B">
          <w:rPr>
            <w:rStyle w:val="Hyperlink"/>
          </w:rPr>
          <w:t>2.</w:t>
        </w:r>
        <w:r w:rsidR="00A75685">
          <w:rPr>
            <w:rFonts w:asciiTheme="minorHAnsi" w:eastAsiaTheme="minorEastAsia" w:hAnsiTheme="minorHAnsi" w:cstheme="minorBidi"/>
            <w:kern w:val="2"/>
            <w:sz w:val="22"/>
            <w:lang w:eastAsia="en-GB" w:bidi="ar-SA"/>
            <w14:ligatures w14:val="standardContextual"/>
          </w:rPr>
          <w:tab/>
        </w:r>
        <w:r w:rsidR="00A75685" w:rsidRPr="0052236B">
          <w:rPr>
            <w:rStyle w:val="Hyperlink"/>
          </w:rPr>
          <w:t>Purpose and scope</w:t>
        </w:r>
        <w:r w:rsidR="00A75685">
          <w:rPr>
            <w:webHidden/>
          </w:rPr>
          <w:tab/>
        </w:r>
        <w:r w:rsidR="00A75685">
          <w:rPr>
            <w:webHidden/>
          </w:rPr>
          <w:fldChar w:fldCharType="begin"/>
        </w:r>
        <w:r w:rsidR="00A75685">
          <w:rPr>
            <w:webHidden/>
          </w:rPr>
          <w:instrText xml:space="preserve"> PAGEREF _Toc176506419 \h </w:instrText>
        </w:r>
        <w:r w:rsidR="00A75685">
          <w:rPr>
            <w:webHidden/>
          </w:rPr>
        </w:r>
        <w:r w:rsidR="00A75685">
          <w:rPr>
            <w:webHidden/>
          </w:rPr>
          <w:fldChar w:fldCharType="separate"/>
        </w:r>
        <w:r w:rsidR="00A75685">
          <w:rPr>
            <w:webHidden/>
          </w:rPr>
          <w:t>4</w:t>
        </w:r>
        <w:r w:rsidR="00A75685">
          <w:rPr>
            <w:webHidden/>
          </w:rPr>
          <w:fldChar w:fldCharType="end"/>
        </w:r>
      </w:hyperlink>
    </w:p>
    <w:p w14:paraId="57CDD662" w14:textId="11B2EAB1" w:rsidR="00A75685" w:rsidRDefault="004E70B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506420" w:history="1">
        <w:r w:rsidR="00A75685" w:rsidRPr="0052236B">
          <w:rPr>
            <w:rStyle w:val="Hyperlink"/>
          </w:rPr>
          <w:t>3.</w:t>
        </w:r>
        <w:r w:rsidR="00A75685">
          <w:rPr>
            <w:rFonts w:asciiTheme="minorHAnsi" w:eastAsiaTheme="minorEastAsia" w:hAnsiTheme="minorHAnsi" w:cstheme="minorBidi"/>
            <w:kern w:val="2"/>
            <w:sz w:val="22"/>
            <w:lang w:eastAsia="en-GB" w:bidi="ar-SA"/>
            <w14:ligatures w14:val="standardContextual"/>
          </w:rPr>
          <w:tab/>
        </w:r>
        <w:r w:rsidR="00A75685" w:rsidRPr="0052236B">
          <w:rPr>
            <w:rStyle w:val="Hyperlink"/>
          </w:rPr>
          <w:t>Relationship to relevant legislation</w:t>
        </w:r>
        <w:r w:rsidR="00A75685">
          <w:rPr>
            <w:webHidden/>
          </w:rPr>
          <w:tab/>
        </w:r>
        <w:r w:rsidR="00A75685">
          <w:rPr>
            <w:webHidden/>
          </w:rPr>
          <w:fldChar w:fldCharType="begin"/>
        </w:r>
        <w:r w:rsidR="00A75685">
          <w:rPr>
            <w:webHidden/>
          </w:rPr>
          <w:instrText xml:space="preserve"> PAGEREF _Toc176506420 \h </w:instrText>
        </w:r>
        <w:r w:rsidR="00A75685">
          <w:rPr>
            <w:webHidden/>
          </w:rPr>
        </w:r>
        <w:r w:rsidR="00A75685">
          <w:rPr>
            <w:webHidden/>
          </w:rPr>
          <w:fldChar w:fldCharType="separate"/>
        </w:r>
        <w:r w:rsidR="00A75685">
          <w:rPr>
            <w:webHidden/>
          </w:rPr>
          <w:t>5</w:t>
        </w:r>
        <w:r w:rsidR="00A75685">
          <w:rPr>
            <w:webHidden/>
          </w:rPr>
          <w:fldChar w:fldCharType="end"/>
        </w:r>
      </w:hyperlink>
    </w:p>
    <w:p w14:paraId="0EA65C20" w14:textId="133C9DD3" w:rsidR="00A75685" w:rsidRDefault="004E70B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506421" w:history="1">
        <w:r w:rsidR="00A75685" w:rsidRPr="0052236B">
          <w:rPr>
            <w:rStyle w:val="Hyperlink"/>
          </w:rPr>
          <w:t>4.</w:t>
        </w:r>
        <w:r w:rsidR="00A75685">
          <w:rPr>
            <w:rFonts w:asciiTheme="minorHAnsi" w:eastAsiaTheme="minorEastAsia" w:hAnsiTheme="minorHAnsi" w:cstheme="minorBidi"/>
            <w:kern w:val="2"/>
            <w:sz w:val="22"/>
            <w:lang w:eastAsia="en-GB" w:bidi="ar-SA"/>
            <w14:ligatures w14:val="standardContextual"/>
          </w:rPr>
          <w:tab/>
        </w:r>
        <w:r w:rsidR="00A75685" w:rsidRPr="0052236B">
          <w:rPr>
            <w:rStyle w:val="Hyperlink"/>
          </w:rPr>
          <w:t>Relationship to IAEA documentation and other guidance</w:t>
        </w:r>
        <w:r w:rsidR="00A75685">
          <w:rPr>
            <w:webHidden/>
          </w:rPr>
          <w:tab/>
        </w:r>
        <w:r w:rsidR="00A75685">
          <w:rPr>
            <w:webHidden/>
          </w:rPr>
          <w:fldChar w:fldCharType="begin"/>
        </w:r>
        <w:r w:rsidR="00A75685">
          <w:rPr>
            <w:webHidden/>
          </w:rPr>
          <w:instrText xml:space="preserve"> PAGEREF _Toc176506421 \h </w:instrText>
        </w:r>
        <w:r w:rsidR="00A75685">
          <w:rPr>
            <w:webHidden/>
          </w:rPr>
        </w:r>
        <w:r w:rsidR="00A75685">
          <w:rPr>
            <w:webHidden/>
          </w:rPr>
          <w:fldChar w:fldCharType="separate"/>
        </w:r>
        <w:r w:rsidR="00A75685">
          <w:rPr>
            <w:webHidden/>
          </w:rPr>
          <w:t>6</w:t>
        </w:r>
        <w:r w:rsidR="00A75685">
          <w:rPr>
            <w:webHidden/>
          </w:rPr>
          <w:fldChar w:fldCharType="end"/>
        </w:r>
      </w:hyperlink>
    </w:p>
    <w:p w14:paraId="1F28E808" w14:textId="1CC83343" w:rsidR="00A75685" w:rsidRDefault="004E70B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506422" w:history="1">
        <w:r w:rsidR="00A75685" w:rsidRPr="0052236B">
          <w:rPr>
            <w:rStyle w:val="Hyperlink"/>
          </w:rPr>
          <w:t>5.</w:t>
        </w:r>
        <w:r w:rsidR="00A75685">
          <w:rPr>
            <w:rFonts w:asciiTheme="minorHAnsi" w:eastAsiaTheme="minorEastAsia" w:hAnsiTheme="minorHAnsi" w:cstheme="minorBidi"/>
            <w:kern w:val="2"/>
            <w:sz w:val="22"/>
            <w:lang w:eastAsia="en-GB" w:bidi="ar-SA"/>
            <w14:ligatures w14:val="standardContextual"/>
          </w:rPr>
          <w:tab/>
        </w:r>
        <w:r w:rsidR="00A75685" w:rsidRPr="0052236B">
          <w:rPr>
            <w:rStyle w:val="Hyperlink"/>
          </w:rPr>
          <w:t>Relationship to national policy documents</w:t>
        </w:r>
        <w:r w:rsidR="00A75685">
          <w:rPr>
            <w:webHidden/>
          </w:rPr>
          <w:tab/>
        </w:r>
        <w:r w:rsidR="00A75685">
          <w:rPr>
            <w:webHidden/>
          </w:rPr>
          <w:fldChar w:fldCharType="begin"/>
        </w:r>
        <w:r w:rsidR="00A75685">
          <w:rPr>
            <w:webHidden/>
          </w:rPr>
          <w:instrText xml:space="preserve"> PAGEREF _Toc176506422 \h </w:instrText>
        </w:r>
        <w:r w:rsidR="00A75685">
          <w:rPr>
            <w:webHidden/>
          </w:rPr>
        </w:r>
        <w:r w:rsidR="00A75685">
          <w:rPr>
            <w:webHidden/>
          </w:rPr>
          <w:fldChar w:fldCharType="separate"/>
        </w:r>
        <w:r w:rsidR="00A75685">
          <w:rPr>
            <w:webHidden/>
          </w:rPr>
          <w:t>7</w:t>
        </w:r>
        <w:r w:rsidR="00A75685">
          <w:rPr>
            <w:webHidden/>
          </w:rPr>
          <w:fldChar w:fldCharType="end"/>
        </w:r>
      </w:hyperlink>
    </w:p>
    <w:p w14:paraId="7F5A3B6A" w14:textId="1F56AB46" w:rsidR="00A75685" w:rsidRDefault="004E70B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506423" w:history="1">
        <w:r w:rsidR="00A75685" w:rsidRPr="0052236B">
          <w:rPr>
            <w:rStyle w:val="Hyperlink"/>
          </w:rPr>
          <w:t>6.</w:t>
        </w:r>
        <w:r w:rsidR="00A75685">
          <w:rPr>
            <w:rFonts w:asciiTheme="minorHAnsi" w:eastAsiaTheme="minorEastAsia" w:hAnsiTheme="minorHAnsi" w:cstheme="minorBidi"/>
            <w:kern w:val="2"/>
            <w:sz w:val="22"/>
            <w:lang w:eastAsia="en-GB" w:bidi="ar-SA"/>
            <w14:ligatures w14:val="standardContextual"/>
          </w:rPr>
          <w:tab/>
        </w:r>
        <w:r w:rsidR="00A75685" w:rsidRPr="0052236B">
          <w:rPr>
            <w:rStyle w:val="Hyperlink"/>
          </w:rPr>
          <w:t>Advice to Inspectors</w:t>
        </w:r>
        <w:r w:rsidR="00A75685">
          <w:rPr>
            <w:webHidden/>
          </w:rPr>
          <w:tab/>
        </w:r>
        <w:r w:rsidR="00A75685">
          <w:rPr>
            <w:webHidden/>
          </w:rPr>
          <w:fldChar w:fldCharType="begin"/>
        </w:r>
        <w:r w:rsidR="00A75685">
          <w:rPr>
            <w:webHidden/>
          </w:rPr>
          <w:instrText xml:space="preserve"> PAGEREF _Toc176506423 \h </w:instrText>
        </w:r>
        <w:r w:rsidR="00A75685">
          <w:rPr>
            <w:webHidden/>
          </w:rPr>
        </w:r>
        <w:r w:rsidR="00A75685">
          <w:rPr>
            <w:webHidden/>
          </w:rPr>
          <w:fldChar w:fldCharType="separate"/>
        </w:r>
        <w:r w:rsidR="00A75685">
          <w:rPr>
            <w:webHidden/>
          </w:rPr>
          <w:t>8</w:t>
        </w:r>
        <w:r w:rsidR="00A75685">
          <w:rPr>
            <w:webHidden/>
          </w:rPr>
          <w:fldChar w:fldCharType="end"/>
        </w:r>
      </w:hyperlink>
    </w:p>
    <w:p w14:paraId="43A660C5" w14:textId="5B076378" w:rsidR="00A75685" w:rsidRDefault="004E70B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506424" w:history="1">
        <w:r w:rsidR="00A75685" w:rsidRPr="0052236B">
          <w:rPr>
            <w:rStyle w:val="Hyperlink"/>
          </w:rPr>
          <w:t>7.</w:t>
        </w:r>
        <w:r w:rsidR="00A75685">
          <w:rPr>
            <w:rFonts w:asciiTheme="minorHAnsi" w:eastAsiaTheme="minorEastAsia" w:hAnsiTheme="minorHAnsi" w:cstheme="minorBidi"/>
            <w:kern w:val="2"/>
            <w:sz w:val="22"/>
            <w:lang w:eastAsia="en-GB" w:bidi="ar-SA"/>
            <w14:ligatures w14:val="standardContextual"/>
          </w:rPr>
          <w:tab/>
        </w:r>
        <w:r w:rsidR="00A75685" w:rsidRPr="0052236B">
          <w:rPr>
            <w:rStyle w:val="Hyperlink"/>
          </w:rPr>
          <w:t>CT contingency planning</w:t>
        </w:r>
        <w:r w:rsidR="00A75685">
          <w:rPr>
            <w:webHidden/>
          </w:rPr>
          <w:tab/>
        </w:r>
        <w:r w:rsidR="00A75685">
          <w:rPr>
            <w:webHidden/>
          </w:rPr>
          <w:fldChar w:fldCharType="begin"/>
        </w:r>
        <w:r w:rsidR="00A75685">
          <w:rPr>
            <w:webHidden/>
          </w:rPr>
          <w:instrText xml:space="preserve"> PAGEREF _Toc176506424 \h </w:instrText>
        </w:r>
        <w:r w:rsidR="00A75685">
          <w:rPr>
            <w:webHidden/>
          </w:rPr>
        </w:r>
        <w:r w:rsidR="00A75685">
          <w:rPr>
            <w:webHidden/>
          </w:rPr>
          <w:fldChar w:fldCharType="separate"/>
        </w:r>
        <w:r w:rsidR="00A75685">
          <w:rPr>
            <w:webHidden/>
          </w:rPr>
          <w:t>9</w:t>
        </w:r>
        <w:r w:rsidR="00A75685">
          <w:rPr>
            <w:webHidden/>
          </w:rPr>
          <w:fldChar w:fldCharType="end"/>
        </w:r>
      </w:hyperlink>
    </w:p>
    <w:p w14:paraId="60DB4ACB" w14:textId="68CCFD2C" w:rsidR="00A75685" w:rsidRDefault="004E70B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506425" w:history="1">
        <w:r w:rsidR="00A75685" w:rsidRPr="0052236B">
          <w:rPr>
            <w:rStyle w:val="Hyperlink"/>
          </w:rPr>
          <w:t>8.</w:t>
        </w:r>
        <w:r w:rsidR="00A75685">
          <w:rPr>
            <w:rFonts w:asciiTheme="minorHAnsi" w:eastAsiaTheme="minorEastAsia" w:hAnsiTheme="minorHAnsi" w:cstheme="minorBidi"/>
            <w:kern w:val="2"/>
            <w:sz w:val="22"/>
            <w:lang w:eastAsia="en-GB" w:bidi="ar-SA"/>
            <w14:ligatures w14:val="standardContextual"/>
          </w:rPr>
          <w:tab/>
        </w:r>
        <w:r w:rsidR="00A75685" w:rsidRPr="0052236B">
          <w:rPr>
            <w:rStyle w:val="Hyperlink"/>
          </w:rPr>
          <w:t>Development of the SCP</w:t>
        </w:r>
        <w:r w:rsidR="00A75685">
          <w:rPr>
            <w:webHidden/>
          </w:rPr>
          <w:tab/>
        </w:r>
        <w:r w:rsidR="00A75685">
          <w:rPr>
            <w:webHidden/>
          </w:rPr>
          <w:fldChar w:fldCharType="begin"/>
        </w:r>
        <w:r w:rsidR="00A75685">
          <w:rPr>
            <w:webHidden/>
          </w:rPr>
          <w:instrText xml:space="preserve"> PAGEREF _Toc176506425 \h </w:instrText>
        </w:r>
        <w:r w:rsidR="00A75685">
          <w:rPr>
            <w:webHidden/>
          </w:rPr>
        </w:r>
        <w:r w:rsidR="00A75685">
          <w:rPr>
            <w:webHidden/>
          </w:rPr>
          <w:fldChar w:fldCharType="separate"/>
        </w:r>
        <w:r w:rsidR="00A75685">
          <w:rPr>
            <w:webHidden/>
          </w:rPr>
          <w:t>10</w:t>
        </w:r>
        <w:r w:rsidR="00A75685">
          <w:rPr>
            <w:webHidden/>
          </w:rPr>
          <w:fldChar w:fldCharType="end"/>
        </w:r>
      </w:hyperlink>
    </w:p>
    <w:p w14:paraId="57D136CB" w14:textId="332BA134" w:rsidR="00A75685" w:rsidRDefault="004E70B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506426" w:history="1">
        <w:r w:rsidR="00A75685" w:rsidRPr="0052236B">
          <w:rPr>
            <w:rStyle w:val="Hyperlink"/>
          </w:rPr>
          <w:t>9.</w:t>
        </w:r>
        <w:r w:rsidR="00A75685">
          <w:rPr>
            <w:rFonts w:asciiTheme="minorHAnsi" w:eastAsiaTheme="minorEastAsia" w:hAnsiTheme="minorHAnsi" w:cstheme="minorBidi"/>
            <w:kern w:val="2"/>
            <w:sz w:val="22"/>
            <w:lang w:eastAsia="en-GB" w:bidi="ar-SA"/>
            <w14:ligatures w14:val="standardContextual"/>
          </w:rPr>
          <w:tab/>
        </w:r>
        <w:r w:rsidR="00A75685" w:rsidRPr="0052236B">
          <w:rPr>
            <w:rStyle w:val="Hyperlink"/>
          </w:rPr>
          <w:t>Structure of the SCP</w:t>
        </w:r>
        <w:r w:rsidR="00A75685">
          <w:rPr>
            <w:webHidden/>
          </w:rPr>
          <w:tab/>
        </w:r>
        <w:r w:rsidR="00A75685">
          <w:rPr>
            <w:webHidden/>
          </w:rPr>
          <w:fldChar w:fldCharType="begin"/>
        </w:r>
        <w:r w:rsidR="00A75685">
          <w:rPr>
            <w:webHidden/>
          </w:rPr>
          <w:instrText xml:space="preserve"> PAGEREF _Toc176506426 \h </w:instrText>
        </w:r>
        <w:r w:rsidR="00A75685">
          <w:rPr>
            <w:webHidden/>
          </w:rPr>
        </w:r>
        <w:r w:rsidR="00A75685">
          <w:rPr>
            <w:webHidden/>
          </w:rPr>
          <w:fldChar w:fldCharType="separate"/>
        </w:r>
        <w:r w:rsidR="00A75685">
          <w:rPr>
            <w:webHidden/>
          </w:rPr>
          <w:t>12</w:t>
        </w:r>
        <w:r w:rsidR="00A75685">
          <w:rPr>
            <w:webHidden/>
          </w:rPr>
          <w:fldChar w:fldCharType="end"/>
        </w:r>
      </w:hyperlink>
    </w:p>
    <w:p w14:paraId="102FFCEA" w14:textId="481D26EB" w:rsidR="00A75685" w:rsidRDefault="004E70B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506427" w:history="1">
        <w:r w:rsidR="00A75685" w:rsidRPr="0052236B">
          <w:rPr>
            <w:rStyle w:val="Hyperlink"/>
          </w:rPr>
          <w:t>10.</w:t>
        </w:r>
        <w:r w:rsidR="00A75685">
          <w:rPr>
            <w:rFonts w:asciiTheme="minorHAnsi" w:eastAsiaTheme="minorEastAsia" w:hAnsiTheme="minorHAnsi" w:cstheme="minorBidi"/>
            <w:kern w:val="2"/>
            <w:sz w:val="22"/>
            <w:lang w:eastAsia="en-GB" w:bidi="ar-SA"/>
            <w14:ligatures w14:val="standardContextual"/>
          </w:rPr>
          <w:tab/>
        </w:r>
        <w:r w:rsidR="00A75685" w:rsidRPr="0052236B">
          <w:rPr>
            <w:rStyle w:val="Hyperlink"/>
          </w:rPr>
          <w:t>Ownership of the SCP</w:t>
        </w:r>
        <w:r w:rsidR="00A75685">
          <w:rPr>
            <w:webHidden/>
          </w:rPr>
          <w:tab/>
        </w:r>
        <w:r w:rsidR="00A75685">
          <w:rPr>
            <w:webHidden/>
          </w:rPr>
          <w:fldChar w:fldCharType="begin"/>
        </w:r>
        <w:r w:rsidR="00A75685">
          <w:rPr>
            <w:webHidden/>
          </w:rPr>
          <w:instrText xml:space="preserve"> PAGEREF _Toc176506427 \h </w:instrText>
        </w:r>
        <w:r w:rsidR="00A75685">
          <w:rPr>
            <w:webHidden/>
          </w:rPr>
        </w:r>
        <w:r w:rsidR="00A75685">
          <w:rPr>
            <w:webHidden/>
          </w:rPr>
          <w:fldChar w:fldCharType="separate"/>
        </w:r>
        <w:r w:rsidR="00A75685">
          <w:rPr>
            <w:webHidden/>
          </w:rPr>
          <w:t>14</w:t>
        </w:r>
        <w:r w:rsidR="00A75685">
          <w:rPr>
            <w:webHidden/>
          </w:rPr>
          <w:fldChar w:fldCharType="end"/>
        </w:r>
      </w:hyperlink>
    </w:p>
    <w:p w14:paraId="1C065774" w14:textId="0305FB67" w:rsidR="00A75685" w:rsidRDefault="004E70B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506428" w:history="1">
        <w:r w:rsidR="00A75685" w:rsidRPr="0052236B">
          <w:rPr>
            <w:rStyle w:val="Hyperlink"/>
          </w:rPr>
          <w:t>11.</w:t>
        </w:r>
        <w:r w:rsidR="00A75685">
          <w:rPr>
            <w:rFonts w:asciiTheme="minorHAnsi" w:eastAsiaTheme="minorEastAsia" w:hAnsiTheme="minorHAnsi" w:cstheme="minorBidi"/>
            <w:kern w:val="2"/>
            <w:sz w:val="22"/>
            <w:lang w:eastAsia="en-GB" w:bidi="ar-SA"/>
            <w14:ligatures w14:val="standardContextual"/>
          </w:rPr>
          <w:tab/>
        </w:r>
        <w:r w:rsidR="00A75685" w:rsidRPr="0052236B">
          <w:rPr>
            <w:rStyle w:val="Hyperlink"/>
          </w:rPr>
          <w:t>Application of the DBT, other threats and the robustness of the SCP</w:t>
        </w:r>
        <w:r w:rsidR="00A75685">
          <w:rPr>
            <w:webHidden/>
          </w:rPr>
          <w:tab/>
        </w:r>
        <w:r w:rsidR="00A75685">
          <w:rPr>
            <w:webHidden/>
          </w:rPr>
          <w:fldChar w:fldCharType="begin"/>
        </w:r>
        <w:r w:rsidR="00A75685">
          <w:rPr>
            <w:webHidden/>
          </w:rPr>
          <w:instrText xml:space="preserve"> PAGEREF _Toc176506428 \h </w:instrText>
        </w:r>
        <w:r w:rsidR="00A75685">
          <w:rPr>
            <w:webHidden/>
          </w:rPr>
        </w:r>
        <w:r w:rsidR="00A75685">
          <w:rPr>
            <w:webHidden/>
          </w:rPr>
          <w:fldChar w:fldCharType="separate"/>
        </w:r>
        <w:r w:rsidR="00A75685">
          <w:rPr>
            <w:webHidden/>
          </w:rPr>
          <w:t>15</w:t>
        </w:r>
        <w:r w:rsidR="00A75685">
          <w:rPr>
            <w:webHidden/>
          </w:rPr>
          <w:fldChar w:fldCharType="end"/>
        </w:r>
      </w:hyperlink>
    </w:p>
    <w:p w14:paraId="3A55CAB1" w14:textId="791E7040" w:rsidR="00A75685" w:rsidRDefault="004E70B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506429" w:history="1">
        <w:r w:rsidR="00A75685" w:rsidRPr="0052236B">
          <w:rPr>
            <w:rStyle w:val="Hyperlink"/>
          </w:rPr>
          <w:t>12.</w:t>
        </w:r>
        <w:r w:rsidR="00A75685">
          <w:rPr>
            <w:rFonts w:asciiTheme="minorHAnsi" w:eastAsiaTheme="minorEastAsia" w:hAnsiTheme="minorHAnsi" w:cstheme="minorBidi"/>
            <w:kern w:val="2"/>
            <w:sz w:val="22"/>
            <w:lang w:eastAsia="en-GB" w:bidi="ar-SA"/>
            <w14:ligatures w14:val="standardContextual"/>
          </w:rPr>
          <w:tab/>
        </w:r>
        <w:r w:rsidR="00A75685" w:rsidRPr="0052236B">
          <w:rPr>
            <w:rStyle w:val="Hyperlink"/>
          </w:rPr>
          <w:t>Accountancy of personnel at lockdown</w:t>
        </w:r>
        <w:r w:rsidR="00A75685">
          <w:rPr>
            <w:webHidden/>
          </w:rPr>
          <w:tab/>
        </w:r>
        <w:r w:rsidR="00A75685">
          <w:rPr>
            <w:webHidden/>
          </w:rPr>
          <w:fldChar w:fldCharType="begin"/>
        </w:r>
        <w:r w:rsidR="00A75685">
          <w:rPr>
            <w:webHidden/>
          </w:rPr>
          <w:instrText xml:space="preserve"> PAGEREF _Toc176506429 \h </w:instrText>
        </w:r>
        <w:r w:rsidR="00A75685">
          <w:rPr>
            <w:webHidden/>
          </w:rPr>
        </w:r>
        <w:r w:rsidR="00A75685">
          <w:rPr>
            <w:webHidden/>
          </w:rPr>
          <w:fldChar w:fldCharType="separate"/>
        </w:r>
        <w:r w:rsidR="00A75685">
          <w:rPr>
            <w:webHidden/>
          </w:rPr>
          <w:t>16</w:t>
        </w:r>
        <w:r w:rsidR="00A75685">
          <w:rPr>
            <w:webHidden/>
          </w:rPr>
          <w:fldChar w:fldCharType="end"/>
        </w:r>
      </w:hyperlink>
    </w:p>
    <w:p w14:paraId="084DC212" w14:textId="79C81204" w:rsidR="00A75685" w:rsidRDefault="004E70B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506430" w:history="1">
        <w:r w:rsidR="00A75685" w:rsidRPr="0052236B">
          <w:rPr>
            <w:rStyle w:val="Hyperlink"/>
          </w:rPr>
          <w:t>13.</w:t>
        </w:r>
        <w:r w:rsidR="00A75685">
          <w:rPr>
            <w:rFonts w:asciiTheme="minorHAnsi" w:eastAsiaTheme="minorEastAsia" w:hAnsiTheme="minorHAnsi" w:cstheme="minorBidi"/>
            <w:kern w:val="2"/>
            <w:sz w:val="22"/>
            <w:lang w:eastAsia="en-GB" w:bidi="ar-SA"/>
            <w14:ligatures w14:val="standardContextual"/>
          </w:rPr>
          <w:tab/>
        </w:r>
        <w:r w:rsidR="00A75685" w:rsidRPr="0052236B">
          <w:rPr>
            <w:rStyle w:val="Hyperlink"/>
          </w:rPr>
          <w:t>Casualty management</w:t>
        </w:r>
        <w:r w:rsidR="00A75685">
          <w:rPr>
            <w:webHidden/>
          </w:rPr>
          <w:tab/>
        </w:r>
        <w:r w:rsidR="00A75685">
          <w:rPr>
            <w:webHidden/>
          </w:rPr>
          <w:fldChar w:fldCharType="begin"/>
        </w:r>
        <w:r w:rsidR="00A75685">
          <w:rPr>
            <w:webHidden/>
          </w:rPr>
          <w:instrText xml:space="preserve"> PAGEREF _Toc176506430 \h </w:instrText>
        </w:r>
        <w:r w:rsidR="00A75685">
          <w:rPr>
            <w:webHidden/>
          </w:rPr>
        </w:r>
        <w:r w:rsidR="00A75685">
          <w:rPr>
            <w:webHidden/>
          </w:rPr>
          <w:fldChar w:fldCharType="separate"/>
        </w:r>
        <w:r w:rsidR="00A75685">
          <w:rPr>
            <w:webHidden/>
          </w:rPr>
          <w:t>17</w:t>
        </w:r>
        <w:r w:rsidR="00A75685">
          <w:rPr>
            <w:webHidden/>
          </w:rPr>
          <w:fldChar w:fldCharType="end"/>
        </w:r>
      </w:hyperlink>
    </w:p>
    <w:p w14:paraId="2A1AD0E2" w14:textId="4CE891FB" w:rsidR="00A75685" w:rsidRDefault="004E70B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506431" w:history="1">
        <w:r w:rsidR="00A75685" w:rsidRPr="0052236B">
          <w:rPr>
            <w:rStyle w:val="Hyperlink"/>
          </w:rPr>
          <w:t>14.</w:t>
        </w:r>
        <w:r w:rsidR="00A75685">
          <w:rPr>
            <w:rFonts w:asciiTheme="minorHAnsi" w:eastAsiaTheme="minorEastAsia" w:hAnsiTheme="minorHAnsi" w:cstheme="minorBidi"/>
            <w:kern w:val="2"/>
            <w:sz w:val="22"/>
            <w:lang w:eastAsia="en-GB" w:bidi="ar-SA"/>
            <w14:ligatures w14:val="standardContextual"/>
          </w:rPr>
          <w:tab/>
        </w:r>
        <w:r w:rsidR="00A75685" w:rsidRPr="0052236B">
          <w:rPr>
            <w:rStyle w:val="Hyperlink"/>
          </w:rPr>
          <w:t>Reporting arrangements and media strategy</w:t>
        </w:r>
        <w:r w:rsidR="00A75685">
          <w:rPr>
            <w:webHidden/>
          </w:rPr>
          <w:tab/>
        </w:r>
        <w:r w:rsidR="00A75685">
          <w:rPr>
            <w:webHidden/>
          </w:rPr>
          <w:fldChar w:fldCharType="begin"/>
        </w:r>
        <w:r w:rsidR="00A75685">
          <w:rPr>
            <w:webHidden/>
          </w:rPr>
          <w:instrText xml:space="preserve"> PAGEREF _Toc176506431 \h </w:instrText>
        </w:r>
        <w:r w:rsidR="00A75685">
          <w:rPr>
            <w:webHidden/>
          </w:rPr>
        </w:r>
        <w:r w:rsidR="00A75685">
          <w:rPr>
            <w:webHidden/>
          </w:rPr>
          <w:fldChar w:fldCharType="separate"/>
        </w:r>
        <w:r w:rsidR="00A75685">
          <w:rPr>
            <w:webHidden/>
          </w:rPr>
          <w:t>17</w:t>
        </w:r>
        <w:r w:rsidR="00A75685">
          <w:rPr>
            <w:webHidden/>
          </w:rPr>
          <w:fldChar w:fldCharType="end"/>
        </w:r>
      </w:hyperlink>
    </w:p>
    <w:p w14:paraId="61CC253F" w14:textId="04571E49" w:rsidR="00A75685" w:rsidRDefault="004E70B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506432" w:history="1">
        <w:r w:rsidR="00A75685" w:rsidRPr="0052236B">
          <w:rPr>
            <w:rStyle w:val="Hyperlink"/>
          </w:rPr>
          <w:t>15.</w:t>
        </w:r>
        <w:r w:rsidR="00A75685">
          <w:rPr>
            <w:rFonts w:asciiTheme="minorHAnsi" w:eastAsiaTheme="minorEastAsia" w:hAnsiTheme="minorHAnsi" w:cstheme="minorBidi"/>
            <w:kern w:val="2"/>
            <w:sz w:val="22"/>
            <w:lang w:eastAsia="en-GB" w:bidi="ar-SA"/>
            <w14:ligatures w14:val="standardContextual"/>
          </w:rPr>
          <w:tab/>
        </w:r>
        <w:r w:rsidR="00A75685" w:rsidRPr="0052236B">
          <w:rPr>
            <w:rStyle w:val="Hyperlink"/>
          </w:rPr>
          <w:t>Guidance and supporting information</w:t>
        </w:r>
        <w:r w:rsidR="00A75685">
          <w:rPr>
            <w:webHidden/>
          </w:rPr>
          <w:tab/>
        </w:r>
        <w:r w:rsidR="00A75685">
          <w:rPr>
            <w:webHidden/>
          </w:rPr>
          <w:fldChar w:fldCharType="begin"/>
        </w:r>
        <w:r w:rsidR="00A75685">
          <w:rPr>
            <w:webHidden/>
          </w:rPr>
          <w:instrText xml:space="preserve"> PAGEREF _Toc176506432 \h </w:instrText>
        </w:r>
        <w:r w:rsidR="00A75685">
          <w:rPr>
            <w:webHidden/>
          </w:rPr>
        </w:r>
        <w:r w:rsidR="00A75685">
          <w:rPr>
            <w:webHidden/>
          </w:rPr>
          <w:fldChar w:fldCharType="separate"/>
        </w:r>
        <w:r w:rsidR="00A75685">
          <w:rPr>
            <w:webHidden/>
          </w:rPr>
          <w:t>17</w:t>
        </w:r>
        <w:r w:rsidR="00A75685">
          <w:rPr>
            <w:webHidden/>
          </w:rPr>
          <w:fldChar w:fldCharType="end"/>
        </w:r>
      </w:hyperlink>
    </w:p>
    <w:p w14:paraId="6FBDD619" w14:textId="1F24C17D" w:rsidR="00A75685" w:rsidRDefault="004E70B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506433" w:history="1">
        <w:r w:rsidR="00A75685" w:rsidRPr="0052236B">
          <w:rPr>
            <w:rStyle w:val="Hyperlink"/>
          </w:rPr>
          <w:t>16.</w:t>
        </w:r>
        <w:r w:rsidR="00A75685">
          <w:rPr>
            <w:rFonts w:asciiTheme="minorHAnsi" w:eastAsiaTheme="minorEastAsia" w:hAnsiTheme="minorHAnsi" w:cstheme="minorBidi"/>
            <w:kern w:val="2"/>
            <w:sz w:val="22"/>
            <w:lang w:eastAsia="en-GB" w:bidi="ar-SA"/>
            <w14:ligatures w14:val="standardContextual"/>
          </w:rPr>
          <w:tab/>
        </w:r>
        <w:r w:rsidR="00A75685" w:rsidRPr="0052236B">
          <w:rPr>
            <w:rStyle w:val="Hyperlink"/>
          </w:rPr>
          <w:t>Liaison and response with external agencies (including police, CTSAs)</w:t>
        </w:r>
        <w:r w:rsidR="00A75685">
          <w:rPr>
            <w:webHidden/>
          </w:rPr>
          <w:tab/>
        </w:r>
        <w:r w:rsidR="00A75685">
          <w:rPr>
            <w:webHidden/>
          </w:rPr>
          <w:fldChar w:fldCharType="begin"/>
        </w:r>
        <w:r w:rsidR="00A75685">
          <w:rPr>
            <w:webHidden/>
          </w:rPr>
          <w:instrText xml:space="preserve"> PAGEREF _Toc176506433 \h </w:instrText>
        </w:r>
        <w:r w:rsidR="00A75685">
          <w:rPr>
            <w:webHidden/>
          </w:rPr>
        </w:r>
        <w:r w:rsidR="00A75685">
          <w:rPr>
            <w:webHidden/>
          </w:rPr>
          <w:fldChar w:fldCharType="separate"/>
        </w:r>
        <w:r w:rsidR="00A75685">
          <w:rPr>
            <w:webHidden/>
          </w:rPr>
          <w:t>18</w:t>
        </w:r>
        <w:r w:rsidR="00A75685">
          <w:rPr>
            <w:webHidden/>
          </w:rPr>
          <w:fldChar w:fldCharType="end"/>
        </w:r>
      </w:hyperlink>
    </w:p>
    <w:p w14:paraId="60CB72B8" w14:textId="58320E04" w:rsidR="00A75685" w:rsidRDefault="004E70B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506434" w:history="1">
        <w:r w:rsidR="00A75685" w:rsidRPr="0052236B">
          <w:rPr>
            <w:rStyle w:val="Hyperlink"/>
          </w:rPr>
          <w:t>17.</w:t>
        </w:r>
        <w:r w:rsidR="00A75685">
          <w:rPr>
            <w:rFonts w:asciiTheme="minorHAnsi" w:eastAsiaTheme="minorEastAsia" w:hAnsiTheme="minorHAnsi" w:cstheme="minorBidi"/>
            <w:kern w:val="2"/>
            <w:sz w:val="22"/>
            <w:lang w:eastAsia="en-GB" w:bidi="ar-SA"/>
            <w14:ligatures w14:val="standardContextual"/>
          </w:rPr>
          <w:tab/>
        </w:r>
        <w:r w:rsidR="00A75685" w:rsidRPr="0052236B">
          <w:rPr>
            <w:rStyle w:val="Hyperlink"/>
          </w:rPr>
          <w:t>Training strategy to deliver SQEP</w:t>
        </w:r>
        <w:r w:rsidR="00A75685">
          <w:rPr>
            <w:webHidden/>
          </w:rPr>
          <w:tab/>
        </w:r>
        <w:r w:rsidR="00A75685">
          <w:rPr>
            <w:webHidden/>
          </w:rPr>
          <w:fldChar w:fldCharType="begin"/>
        </w:r>
        <w:r w:rsidR="00A75685">
          <w:rPr>
            <w:webHidden/>
          </w:rPr>
          <w:instrText xml:space="preserve"> PAGEREF _Toc176506434 \h </w:instrText>
        </w:r>
        <w:r w:rsidR="00A75685">
          <w:rPr>
            <w:webHidden/>
          </w:rPr>
        </w:r>
        <w:r w:rsidR="00A75685">
          <w:rPr>
            <w:webHidden/>
          </w:rPr>
          <w:fldChar w:fldCharType="separate"/>
        </w:r>
        <w:r w:rsidR="00A75685">
          <w:rPr>
            <w:webHidden/>
          </w:rPr>
          <w:t>18</w:t>
        </w:r>
        <w:r w:rsidR="00A75685">
          <w:rPr>
            <w:webHidden/>
          </w:rPr>
          <w:fldChar w:fldCharType="end"/>
        </w:r>
      </w:hyperlink>
    </w:p>
    <w:p w14:paraId="77FCDD93" w14:textId="43B53B3F" w:rsidR="00A75685" w:rsidRDefault="004E70B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76506435" w:history="1">
        <w:r w:rsidR="00A75685" w:rsidRPr="0052236B">
          <w:rPr>
            <w:rStyle w:val="Hyperlink"/>
          </w:rPr>
          <w:t>18.</w:t>
        </w:r>
        <w:r w:rsidR="00A75685">
          <w:rPr>
            <w:rFonts w:asciiTheme="minorHAnsi" w:eastAsiaTheme="minorEastAsia" w:hAnsiTheme="minorHAnsi" w:cstheme="minorBidi"/>
            <w:kern w:val="2"/>
            <w:sz w:val="22"/>
            <w:lang w:eastAsia="en-GB" w:bidi="ar-SA"/>
            <w14:ligatures w14:val="standardContextual"/>
          </w:rPr>
          <w:tab/>
        </w:r>
        <w:r w:rsidR="00A75685" w:rsidRPr="0052236B">
          <w:rPr>
            <w:rStyle w:val="Hyperlink"/>
          </w:rPr>
          <w:t>Consequence management</w:t>
        </w:r>
        <w:r w:rsidR="00A75685">
          <w:rPr>
            <w:webHidden/>
          </w:rPr>
          <w:tab/>
        </w:r>
        <w:r w:rsidR="00A75685">
          <w:rPr>
            <w:webHidden/>
          </w:rPr>
          <w:fldChar w:fldCharType="begin"/>
        </w:r>
        <w:r w:rsidR="00A75685">
          <w:rPr>
            <w:webHidden/>
          </w:rPr>
          <w:instrText xml:space="preserve"> PAGEREF _Toc176506435 \h </w:instrText>
        </w:r>
        <w:r w:rsidR="00A75685">
          <w:rPr>
            <w:webHidden/>
          </w:rPr>
        </w:r>
        <w:r w:rsidR="00A75685">
          <w:rPr>
            <w:webHidden/>
          </w:rPr>
          <w:fldChar w:fldCharType="separate"/>
        </w:r>
        <w:r w:rsidR="00A75685">
          <w:rPr>
            <w:webHidden/>
          </w:rPr>
          <w:t>19</w:t>
        </w:r>
        <w:r w:rsidR="00A75685">
          <w:rPr>
            <w:webHidden/>
          </w:rPr>
          <w:fldChar w:fldCharType="end"/>
        </w:r>
      </w:hyperlink>
    </w:p>
    <w:p w14:paraId="3ACD3D59" w14:textId="40E82649" w:rsidR="00A75685" w:rsidRDefault="004E70B7">
      <w:pPr>
        <w:pStyle w:val="TOC1"/>
        <w:rPr>
          <w:rFonts w:asciiTheme="minorHAnsi" w:eastAsiaTheme="minorEastAsia" w:hAnsiTheme="minorHAnsi" w:cstheme="minorBidi"/>
          <w:kern w:val="2"/>
          <w:sz w:val="22"/>
          <w:lang w:eastAsia="en-GB" w:bidi="ar-SA"/>
          <w14:ligatures w14:val="standardContextual"/>
        </w:rPr>
      </w:pPr>
      <w:hyperlink w:anchor="_Toc176506436" w:history="1">
        <w:r w:rsidR="00A75685" w:rsidRPr="0052236B">
          <w:rPr>
            <w:rStyle w:val="Hyperlink"/>
          </w:rPr>
          <w:t>References</w:t>
        </w:r>
        <w:r w:rsidR="00A75685">
          <w:rPr>
            <w:webHidden/>
          </w:rPr>
          <w:tab/>
        </w:r>
        <w:r w:rsidR="00A75685">
          <w:rPr>
            <w:webHidden/>
          </w:rPr>
          <w:fldChar w:fldCharType="begin"/>
        </w:r>
        <w:r w:rsidR="00A75685">
          <w:rPr>
            <w:webHidden/>
          </w:rPr>
          <w:instrText xml:space="preserve"> PAGEREF _Toc176506436 \h </w:instrText>
        </w:r>
        <w:r w:rsidR="00A75685">
          <w:rPr>
            <w:webHidden/>
          </w:rPr>
        </w:r>
        <w:r w:rsidR="00A75685">
          <w:rPr>
            <w:webHidden/>
          </w:rPr>
          <w:fldChar w:fldCharType="separate"/>
        </w:r>
        <w:r w:rsidR="00A75685">
          <w:rPr>
            <w:webHidden/>
          </w:rPr>
          <w:t>22</w:t>
        </w:r>
        <w:r w:rsidR="00A75685">
          <w:rPr>
            <w:webHidden/>
          </w:rPr>
          <w:fldChar w:fldCharType="end"/>
        </w:r>
      </w:hyperlink>
    </w:p>
    <w:p w14:paraId="6EB75D5D" w14:textId="07F409F2" w:rsidR="00A75685" w:rsidRDefault="004E70B7">
      <w:pPr>
        <w:pStyle w:val="TOC1"/>
        <w:rPr>
          <w:rFonts w:asciiTheme="minorHAnsi" w:eastAsiaTheme="minorEastAsia" w:hAnsiTheme="minorHAnsi" w:cstheme="minorBidi"/>
          <w:kern w:val="2"/>
          <w:sz w:val="22"/>
          <w:lang w:eastAsia="en-GB" w:bidi="ar-SA"/>
          <w14:ligatures w14:val="standardContextual"/>
        </w:rPr>
      </w:pPr>
      <w:hyperlink w:anchor="_Toc176506437" w:history="1">
        <w:r w:rsidR="00A75685" w:rsidRPr="0052236B">
          <w:rPr>
            <w:rStyle w:val="Hyperlink"/>
          </w:rPr>
          <w:t>Glossary</w:t>
        </w:r>
        <w:r w:rsidR="00A75685">
          <w:rPr>
            <w:webHidden/>
          </w:rPr>
          <w:tab/>
        </w:r>
        <w:r w:rsidR="00A75685">
          <w:rPr>
            <w:webHidden/>
          </w:rPr>
          <w:fldChar w:fldCharType="begin"/>
        </w:r>
        <w:r w:rsidR="00A75685">
          <w:rPr>
            <w:webHidden/>
          </w:rPr>
          <w:instrText xml:space="preserve"> PAGEREF _Toc176506437 \h </w:instrText>
        </w:r>
        <w:r w:rsidR="00A75685">
          <w:rPr>
            <w:webHidden/>
          </w:rPr>
        </w:r>
        <w:r w:rsidR="00A75685">
          <w:rPr>
            <w:webHidden/>
          </w:rPr>
          <w:fldChar w:fldCharType="separate"/>
        </w:r>
        <w:r w:rsidR="00A75685">
          <w:rPr>
            <w:webHidden/>
          </w:rPr>
          <w:t>23</w:t>
        </w:r>
        <w:r w:rsidR="00A75685">
          <w:rPr>
            <w:webHidden/>
          </w:rPr>
          <w:fldChar w:fldCharType="end"/>
        </w:r>
      </w:hyperlink>
    </w:p>
    <w:p w14:paraId="0B85B76B" w14:textId="6BC89A7C" w:rsidR="00A75685" w:rsidRDefault="004E70B7">
      <w:pPr>
        <w:pStyle w:val="TOC1"/>
        <w:rPr>
          <w:rFonts w:asciiTheme="minorHAnsi" w:eastAsiaTheme="minorEastAsia" w:hAnsiTheme="minorHAnsi" w:cstheme="minorBidi"/>
          <w:kern w:val="2"/>
          <w:sz w:val="22"/>
          <w:lang w:eastAsia="en-GB" w:bidi="ar-SA"/>
          <w14:ligatures w14:val="standardContextual"/>
        </w:rPr>
      </w:pPr>
      <w:hyperlink w:anchor="_Toc176506438" w:history="1">
        <w:r w:rsidR="00A75685" w:rsidRPr="0052236B">
          <w:rPr>
            <w:rStyle w:val="Hyperlink"/>
          </w:rPr>
          <w:t>Appendix A – NaCTSO response levels</w:t>
        </w:r>
        <w:r w:rsidR="00A75685">
          <w:rPr>
            <w:webHidden/>
          </w:rPr>
          <w:tab/>
        </w:r>
        <w:r w:rsidR="00A75685">
          <w:rPr>
            <w:webHidden/>
          </w:rPr>
          <w:fldChar w:fldCharType="begin"/>
        </w:r>
        <w:r w:rsidR="00A75685">
          <w:rPr>
            <w:webHidden/>
          </w:rPr>
          <w:instrText xml:space="preserve"> PAGEREF _Toc176506438 \h </w:instrText>
        </w:r>
        <w:r w:rsidR="00A75685">
          <w:rPr>
            <w:webHidden/>
          </w:rPr>
        </w:r>
        <w:r w:rsidR="00A75685">
          <w:rPr>
            <w:webHidden/>
          </w:rPr>
          <w:fldChar w:fldCharType="separate"/>
        </w:r>
        <w:r w:rsidR="00A75685">
          <w:rPr>
            <w:webHidden/>
          </w:rPr>
          <w:t>24</w:t>
        </w:r>
        <w:r w:rsidR="00A75685">
          <w:rPr>
            <w:webHidden/>
          </w:rPr>
          <w:fldChar w:fldCharType="end"/>
        </w:r>
      </w:hyperlink>
    </w:p>
    <w:p w14:paraId="0CC4B54A" w14:textId="23DA3673" w:rsidR="00267815" w:rsidRDefault="00404B0C" w:rsidP="00267815">
      <w:r>
        <w:fldChar w:fldCharType="end"/>
      </w:r>
    </w:p>
    <w:bookmarkEnd w:id="0"/>
    <w:p w14:paraId="7AB34D20" w14:textId="77777777" w:rsidR="00621BF6" w:rsidRDefault="00621BF6" w:rsidP="00CE1DB2">
      <w:pPr>
        <w:pStyle w:val="Caption"/>
        <w:jc w:val="center"/>
      </w:pPr>
    </w:p>
    <w:p w14:paraId="3C8B802D" w14:textId="123B192A" w:rsidR="00C37DC6" w:rsidRDefault="00C37DC6" w:rsidP="00C37DC6">
      <w:pPr>
        <w:tabs>
          <w:tab w:val="left" w:pos="1845"/>
        </w:tabs>
        <w:rPr>
          <w:b/>
          <w:bCs/>
          <w:color w:val="000000" w:themeColor="text2"/>
          <w:sz w:val="22"/>
        </w:rPr>
      </w:pPr>
      <w:r>
        <w:rPr>
          <w:b/>
          <w:bCs/>
          <w:color w:val="000000" w:themeColor="text2"/>
          <w:sz w:val="22"/>
        </w:rPr>
        <w:tab/>
      </w:r>
    </w:p>
    <w:p w14:paraId="3E742336" w14:textId="50C4353C" w:rsidR="00C37DC6" w:rsidRPr="00C37DC6" w:rsidRDefault="00C37DC6" w:rsidP="00C37DC6">
      <w:pPr>
        <w:tabs>
          <w:tab w:val="left" w:pos="1845"/>
        </w:tabs>
        <w:sectPr w:rsidR="00C37DC6" w:rsidRPr="00C37DC6" w:rsidSect="000B2BCD">
          <w:headerReference w:type="even" r:id="rId13"/>
          <w:headerReference w:type="default" r:id="rId14"/>
          <w:footerReference w:type="even" r:id="rId15"/>
          <w:footerReference w:type="default" r:id="rId16"/>
          <w:pgSz w:w="11906" w:h="16838" w:code="9"/>
          <w:pgMar w:top="1440" w:right="1440" w:bottom="1440" w:left="1440" w:header="397" w:footer="397" w:gutter="0"/>
          <w:cols w:space="312"/>
          <w:docGrid w:linePitch="360"/>
        </w:sectPr>
      </w:pPr>
      <w:r>
        <w:tab/>
      </w:r>
    </w:p>
    <w:p w14:paraId="43A875A4" w14:textId="5DEDA49A" w:rsidR="008D49A5" w:rsidRDefault="008D49A5" w:rsidP="000B2605">
      <w:pPr>
        <w:pStyle w:val="Heading1"/>
        <w:numPr>
          <w:ilvl w:val="0"/>
          <w:numId w:val="4"/>
        </w:numPr>
      </w:pPr>
      <w:bookmarkStart w:id="1" w:name="_Toc176506418"/>
      <w:r w:rsidRPr="00E90780">
        <w:lastRenderedPageBreak/>
        <w:t>Introduction</w:t>
      </w:r>
      <w:bookmarkEnd w:id="1"/>
    </w:p>
    <w:p w14:paraId="56D71E00" w14:textId="0D9F3F72" w:rsidR="000950B3" w:rsidRPr="00292CF9" w:rsidRDefault="00A90B50" w:rsidP="00250515">
      <w:pPr>
        <w:pStyle w:val="F9-Paragraph"/>
        <w:numPr>
          <w:ilvl w:val="0"/>
          <w:numId w:val="7"/>
        </w:numPr>
        <w:ind w:left="851" w:hanging="851"/>
      </w:pPr>
      <w:bookmarkStart w:id="2" w:name="_Hlk64448648"/>
      <w:r w:rsidRPr="00A90B50">
        <w:rPr>
          <w:szCs w:val="22"/>
        </w:rPr>
        <w:t xml:space="preserve">The Office for Nuclear Regulation (ONR) has established a set of Security Assessment Principles (SyAPs) </w:t>
      </w:r>
      <w:sdt>
        <w:sdtPr>
          <w:rPr>
            <w:szCs w:val="22"/>
          </w:rPr>
          <w:id w:val="493846615"/>
          <w:citation/>
        </w:sdtPr>
        <w:sdtEndPr/>
        <w:sdtContent>
          <w:r w:rsidR="00906A19">
            <w:rPr>
              <w:szCs w:val="22"/>
            </w:rPr>
            <w:fldChar w:fldCharType="begin"/>
          </w:r>
          <w:r w:rsidR="00906A19">
            <w:rPr>
              <w:szCs w:val="22"/>
            </w:rPr>
            <w:instrText xml:space="preserve"> CITATION ONR173 \l 2057 </w:instrText>
          </w:r>
          <w:r w:rsidR="00906A19">
            <w:rPr>
              <w:szCs w:val="22"/>
            </w:rPr>
            <w:fldChar w:fldCharType="separate"/>
          </w:r>
          <w:r w:rsidR="00A75685" w:rsidRPr="00A75685">
            <w:rPr>
              <w:noProof/>
              <w:szCs w:val="22"/>
            </w:rPr>
            <w:t>[1]</w:t>
          </w:r>
          <w:r w:rsidR="00906A19">
            <w:rPr>
              <w:szCs w:val="22"/>
            </w:rPr>
            <w:fldChar w:fldCharType="end"/>
          </w:r>
        </w:sdtContent>
      </w:sdt>
      <w:r w:rsidRPr="00A90B50">
        <w:rPr>
          <w:szCs w:val="22"/>
        </w:rPr>
        <w:t xml:space="preserve">. This document contains Fundamental Security Principles (FSyPs) that dutyholders must demonstrate have been fully considered in developing their security arrangements to meet relevant legal obligations. The security regime for meeting these principles is described in security plans prepared by the dutyholders, which are approved by ONR under the Nuclear Industries Security Regulations (NISR) 2003 </w:t>
      </w:r>
      <w:sdt>
        <w:sdtPr>
          <w:rPr>
            <w:szCs w:val="22"/>
          </w:rPr>
          <w:id w:val="266674234"/>
          <w:citation/>
        </w:sdtPr>
        <w:sdtEndPr/>
        <w:sdtContent>
          <w:r w:rsidR="00906A19">
            <w:rPr>
              <w:szCs w:val="22"/>
            </w:rPr>
            <w:fldChar w:fldCharType="begin"/>
          </w:r>
          <w:r w:rsidR="00906A19">
            <w:rPr>
              <w:szCs w:val="22"/>
            </w:rPr>
            <w:instrText xml:space="preserve"> CITATION HMG032 \l 2057 </w:instrText>
          </w:r>
          <w:r w:rsidR="00906A19">
            <w:rPr>
              <w:szCs w:val="22"/>
            </w:rPr>
            <w:fldChar w:fldCharType="separate"/>
          </w:r>
          <w:r w:rsidR="00A75685" w:rsidRPr="00A75685">
            <w:rPr>
              <w:noProof/>
              <w:szCs w:val="22"/>
            </w:rPr>
            <w:t>[2]</w:t>
          </w:r>
          <w:r w:rsidR="00906A19">
            <w:rPr>
              <w:szCs w:val="22"/>
            </w:rPr>
            <w:fldChar w:fldCharType="end"/>
          </w:r>
        </w:sdtContent>
      </w:sdt>
      <w:r w:rsidR="00292CF9" w:rsidRPr="00292CF9">
        <w:rPr>
          <w:szCs w:val="22"/>
        </w:rPr>
        <w:t>.</w:t>
      </w:r>
    </w:p>
    <w:p w14:paraId="688EA0A9" w14:textId="62DDF574" w:rsidR="00292CF9" w:rsidRDefault="00A90B50" w:rsidP="00250515">
      <w:pPr>
        <w:pStyle w:val="F9-Paragraph"/>
        <w:numPr>
          <w:ilvl w:val="0"/>
          <w:numId w:val="7"/>
        </w:numPr>
        <w:ind w:left="851" w:hanging="851"/>
      </w:pPr>
      <w:r w:rsidRPr="00A90B50">
        <w:t>The term ‘security plan’ is used to cover all dutyholder submissions such as nuclear site security plans, temporary security plans and transport security statements. NISR Regulation 22 dutyholders may also use the SyAPs as the basis for Cyber Security and Information Assurance (CS&amp;IA) documentation that helps them demonstrate ongoing legal compliance for the protection of Sensitive Nuclear Information (SNI). The SyAPs are supported by a suite of guides to assist ONR inspectors in their assessment and inspection work, and in making regulatory judgements and decisions.</w:t>
      </w:r>
      <w:r w:rsidR="000B2605">
        <w:t xml:space="preserve"> </w:t>
      </w:r>
      <w:r w:rsidRPr="00A90B50">
        <w:t>This Technical Assessment Guidance (TAG) is such a guide</w:t>
      </w:r>
      <w:r w:rsidR="00292CF9" w:rsidRPr="00292CF9">
        <w:t>.</w:t>
      </w:r>
    </w:p>
    <w:p w14:paraId="785E2DE9" w14:textId="77777777" w:rsidR="00906A19" w:rsidRPr="00292CF9" w:rsidRDefault="00906A19" w:rsidP="00906A19">
      <w:pPr>
        <w:pStyle w:val="F9-Paragraph"/>
        <w:ind w:left="851"/>
      </w:pPr>
    </w:p>
    <w:p w14:paraId="5EF3ABEA" w14:textId="2878A1E7" w:rsidR="00292CF9" w:rsidRPr="00292CF9" w:rsidRDefault="00FC1C76" w:rsidP="000B2605">
      <w:pPr>
        <w:pStyle w:val="Heading1"/>
      </w:pPr>
      <w:bookmarkStart w:id="3" w:name="_Toc176506419"/>
      <w:r>
        <w:t xml:space="preserve">Purpose and </w:t>
      </w:r>
      <w:r w:rsidR="00906A19">
        <w:t>s</w:t>
      </w:r>
      <w:r>
        <w:t>cope</w:t>
      </w:r>
      <w:bookmarkEnd w:id="3"/>
    </w:p>
    <w:p w14:paraId="23D85951" w14:textId="3EF30E5E" w:rsidR="00292CF9" w:rsidRDefault="00A90B50" w:rsidP="00250515">
      <w:pPr>
        <w:pStyle w:val="F9-Paragraph"/>
        <w:numPr>
          <w:ilvl w:val="0"/>
          <w:numId w:val="7"/>
        </w:numPr>
        <w:ind w:left="851" w:hanging="851"/>
      </w:pPr>
      <w:r w:rsidRPr="00A90B50">
        <w:t xml:space="preserve">This TAG contains guidance to advise and inform ONR inspectors in exercising their regulatory judgment during assessment activities relating to a dutyholder’s </w:t>
      </w:r>
      <w:r w:rsidR="000B2605">
        <w:t>c</w:t>
      </w:r>
      <w:r w:rsidRPr="00A90B50">
        <w:t xml:space="preserve">ounter </w:t>
      </w:r>
      <w:r w:rsidR="000B2605">
        <w:t>t</w:t>
      </w:r>
      <w:r w:rsidRPr="00A90B50">
        <w:t xml:space="preserve">errorism (CT) measures and </w:t>
      </w:r>
      <w:r w:rsidR="000B2605">
        <w:t>e</w:t>
      </w:r>
      <w:r w:rsidRPr="00A90B50">
        <w:t xml:space="preserve">mergency </w:t>
      </w:r>
      <w:r w:rsidR="000B2605">
        <w:t>p</w:t>
      </w:r>
      <w:r w:rsidRPr="00A90B50">
        <w:t xml:space="preserve">reparedness </w:t>
      </w:r>
      <w:r w:rsidR="000B2605">
        <w:t>and r</w:t>
      </w:r>
      <w:r w:rsidRPr="00A90B50">
        <w:t>esponse (EP&amp;R) planning arrangements.</w:t>
      </w:r>
      <w:r w:rsidR="000B2605">
        <w:t xml:space="preserve"> </w:t>
      </w:r>
      <w:r w:rsidRPr="00A90B50">
        <w:t>It aims to provide general advice and guidance to ONR inspectors on how this aspect of security should be assessed. It does not set out how ONR regulates the dutyholder’s arrangements.</w:t>
      </w:r>
      <w:r w:rsidR="000B2605">
        <w:t xml:space="preserve"> </w:t>
      </w:r>
      <w:r w:rsidRPr="00A90B50">
        <w:t>It does not prescribe the detail, targets or methodologies for dutyholders to follow in demonstrating they have addressed the SyAPs. It is the dutyholder’s responsibility to determine and describe this detail and for ONR to assess whether the arrangements are adequate</w:t>
      </w:r>
      <w:r w:rsidR="00C771BF" w:rsidRPr="00C771BF">
        <w:t>.</w:t>
      </w:r>
    </w:p>
    <w:p w14:paraId="54ADF47E" w14:textId="77777777" w:rsidR="000B2605" w:rsidRDefault="000B2605" w:rsidP="000B2605">
      <w:pPr>
        <w:pStyle w:val="Heading1"/>
        <w:sectPr w:rsidR="000B2605" w:rsidSect="000B2BCD">
          <w:headerReference w:type="default" r:id="rId17"/>
          <w:footerReference w:type="default" r:id="rId18"/>
          <w:pgSz w:w="11906" w:h="16838" w:code="9"/>
          <w:pgMar w:top="1440" w:right="1440" w:bottom="1440" w:left="1440" w:header="397" w:footer="397" w:gutter="0"/>
          <w:cols w:space="312"/>
          <w:docGrid w:linePitch="360"/>
        </w:sectPr>
      </w:pPr>
      <w:bookmarkStart w:id="4" w:name="_Toc459815827"/>
      <w:bookmarkStart w:id="5" w:name="_Toc459979281"/>
    </w:p>
    <w:p w14:paraId="68CAAFA5" w14:textId="0EF9A560" w:rsidR="007E3DAB" w:rsidRPr="00292CF9" w:rsidRDefault="00274B0E" w:rsidP="000B2605">
      <w:pPr>
        <w:pStyle w:val="Heading1"/>
      </w:pPr>
      <w:bookmarkStart w:id="6" w:name="_Toc176506420"/>
      <w:r w:rsidRPr="00274B0E">
        <w:lastRenderedPageBreak/>
        <w:t xml:space="preserve">Relationship </w:t>
      </w:r>
      <w:r>
        <w:t>t</w:t>
      </w:r>
      <w:r w:rsidRPr="00274B0E">
        <w:t xml:space="preserve">o </w:t>
      </w:r>
      <w:r w:rsidR="000B2605">
        <w:t>r</w:t>
      </w:r>
      <w:r w:rsidRPr="00274B0E">
        <w:t xml:space="preserve">elevant </w:t>
      </w:r>
      <w:r w:rsidR="000B2605">
        <w:t>l</w:t>
      </w:r>
      <w:r w:rsidRPr="00274B0E">
        <w:t>egislation</w:t>
      </w:r>
      <w:bookmarkEnd w:id="4"/>
      <w:bookmarkEnd w:id="5"/>
      <w:bookmarkEnd w:id="6"/>
    </w:p>
    <w:p w14:paraId="10E0056A" w14:textId="7616B683" w:rsidR="007E3DAB" w:rsidRPr="007E3DAB" w:rsidRDefault="009F446E" w:rsidP="00250515">
      <w:pPr>
        <w:pStyle w:val="F9-Paragraph"/>
        <w:numPr>
          <w:ilvl w:val="0"/>
          <w:numId w:val="7"/>
        </w:numPr>
        <w:ind w:left="851" w:hanging="851"/>
      </w:pPr>
      <w:r w:rsidRPr="009F446E">
        <w:rPr>
          <w:szCs w:val="22"/>
        </w:rPr>
        <w:t>The term ‘dutyholder’ mentioned throughout this guide is used to define ‘responsible persons’ on civil nuclear licensed sites and other nuclear premises subject to security regulation, a ‘developer’ carrying out work on a nuclear construction site and approved carriers, as defined in NISR</w:t>
      </w:r>
      <w:r w:rsidR="000B2605">
        <w:rPr>
          <w:szCs w:val="22"/>
        </w:rPr>
        <w:t xml:space="preserve"> </w:t>
      </w:r>
      <w:sdt>
        <w:sdtPr>
          <w:rPr>
            <w:szCs w:val="22"/>
          </w:rPr>
          <w:id w:val="-475609997"/>
          <w:citation/>
        </w:sdtPr>
        <w:sdtEndPr/>
        <w:sdtContent>
          <w:r w:rsidR="000B2605">
            <w:rPr>
              <w:szCs w:val="22"/>
            </w:rPr>
            <w:fldChar w:fldCharType="begin"/>
          </w:r>
          <w:r w:rsidR="000B2605">
            <w:rPr>
              <w:szCs w:val="22"/>
            </w:rPr>
            <w:instrText xml:space="preserve"> CITATION HMG032 \l 2057 </w:instrText>
          </w:r>
          <w:r w:rsidR="000B2605">
            <w:rPr>
              <w:szCs w:val="22"/>
            </w:rPr>
            <w:fldChar w:fldCharType="separate"/>
          </w:r>
          <w:r w:rsidR="00A75685" w:rsidRPr="00A75685">
            <w:rPr>
              <w:noProof/>
              <w:szCs w:val="22"/>
            </w:rPr>
            <w:t>[2]</w:t>
          </w:r>
          <w:r w:rsidR="000B2605">
            <w:rPr>
              <w:szCs w:val="22"/>
            </w:rPr>
            <w:fldChar w:fldCharType="end"/>
          </w:r>
        </w:sdtContent>
      </w:sdt>
      <w:r w:rsidRPr="009F446E">
        <w:rPr>
          <w:szCs w:val="22"/>
        </w:rPr>
        <w:t>. It is also used to refer to those holding SNI</w:t>
      </w:r>
      <w:r w:rsidR="007E3DAB" w:rsidRPr="007E3DAB">
        <w:rPr>
          <w:szCs w:val="22"/>
        </w:rPr>
        <w:t>.</w:t>
      </w:r>
    </w:p>
    <w:p w14:paraId="5775FC9C" w14:textId="7BB9B744" w:rsidR="00594252" w:rsidRPr="00594252" w:rsidRDefault="009F446E" w:rsidP="00250515">
      <w:pPr>
        <w:pStyle w:val="F9-Paragraph"/>
        <w:numPr>
          <w:ilvl w:val="0"/>
          <w:numId w:val="7"/>
        </w:numPr>
        <w:ind w:left="851" w:hanging="851"/>
      </w:pPr>
      <w:r w:rsidRPr="009F446E">
        <w:rPr>
          <w:szCs w:val="22"/>
        </w:rPr>
        <w:t>NISR defines a ‘nuclear premises’ and requires ‘the responsible person’ as defined to have an approved security plan in accordance with Regulation 4. It further defines approved carriers and requires them to have an approved Transport Security Statement in accordance with Regulation 16. Persons to whom Regulation 22 applies are required to protect SNI. ONR considers emergency preparedness and response to be an important component of a dutyholder’s arrangements in demonstrating compliance with relevant legislation</w:t>
      </w:r>
      <w:r w:rsidR="00594252" w:rsidRPr="00594252">
        <w:rPr>
          <w:szCs w:val="22"/>
        </w:rPr>
        <w:t>.</w:t>
      </w:r>
    </w:p>
    <w:p w14:paraId="7CABCDAD" w14:textId="77777777" w:rsidR="000B2605" w:rsidRDefault="000B2605" w:rsidP="000B2605">
      <w:pPr>
        <w:pStyle w:val="Heading1"/>
        <w:sectPr w:rsidR="000B2605" w:rsidSect="000B2BCD">
          <w:pgSz w:w="11906" w:h="16838" w:code="9"/>
          <w:pgMar w:top="1440" w:right="1440" w:bottom="1440" w:left="1440" w:header="397" w:footer="397" w:gutter="0"/>
          <w:cols w:space="312"/>
          <w:docGrid w:linePitch="360"/>
        </w:sectPr>
      </w:pPr>
      <w:bookmarkStart w:id="7" w:name="_Toc459979282"/>
    </w:p>
    <w:p w14:paraId="0A22D322" w14:textId="10A52C0E" w:rsidR="009B480C" w:rsidRPr="000B2605" w:rsidRDefault="00274B0E" w:rsidP="000B2605">
      <w:pPr>
        <w:pStyle w:val="Heading1"/>
      </w:pPr>
      <w:bookmarkStart w:id="8" w:name="_Toc176506421"/>
      <w:r w:rsidRPr="000B2605">
        <w:lastRenderedPageBreak/>
        <w:t xml:space="preserve">Relationship to IAEA </w:t>
      </w:r>
      <w:r w:rsidR="000B2605" w:rsidRPr="000B2605">
        <w:t>d</w:t>
      </w:r>
      <w:r w:rsidRPr="000B2605">
        <w:t xml:space="preserve">ocumentation and </w:t>
      </w:r>
      <w:r w:rsidR="000B2605" w:rsidRPr="000B2605">
        <w:t>o</w:t>
      </w:r>
      <w:r w:rsidRPr="000B2605">
        <w:t xml:space="preserve">ther </w:t>
      </w:r>
      <w:r w:rsidR="000B2605" w:rsidRPr="000B2605">
        <w:t>g</w:t>
      </w:r>
      <w:r w:rsidRPr="000B2605">
        <w:t>uidance</w:t>
      </w:r>
      <w:bookmarkEnd w:id="7"/>
      <w:bookmarkEnd w:id="8"/>
    </w:p>
    <w:p w14:paraId="2CB322E3" w14:textId="69BF5E59" w:rsidR="009B480C" w:rsidRPr="009B480C" w:rsidRDefault="00CC7F7B" w:rsidP="00250515">
      <w:pPr>
        <w:pStyle w:val="F9-Paragraph"/>
        <w:numPr>
          <w:ilvl w:val="0"/>
          <w:numId w:val="7"/>
        </w:numPr>
        <w:ind w:left="851" w:hanging="851"/>
      </w:pPr>
      <w:r w:rsidRPr="00CC7F7B">
        <w:t>The essential elements of a national nuclear security regime are set out in the Convention on the Physical Protection of Nuclear Material (CPPNM)</w:t>
      </w:r>
      <w:r w:rsidR="000B2605">
        <w:t xml:space="preserve"> </w:t>
      </w:r>
      <w:sdt>
        <w:sdtPr>
          <w:id w:val="-726454126"/>
          <w:citation/>
        </w:sdtPr>
        <w:sdtEndPr/>
        <w:sdtContent>
          <w:r w:rsidR="000B2605">
            <w:fldChar w:fldCharType="begin"/>
          </w:r>
          <w:r w:rsidR="000B2605">
            <w:instrText xml:space="preserve"> CITATION IAE19 \l 2057 </w:instrText>
          </w:r>
          <w:r w:rsidR="000B2605">
            <w:fldChar w:fldCharType="separate"/>
          </w:r>
          <w:r w:rsidR="00A75685">
            <w:rPr>
              <w:noProof/>
            </w:rPr>
            <w:t>[3]</w:t>
          </w:r>
          <w:r w:rsidR="000B2605">
            <w:fldChar w:fldCharType="end"/>
          </w:r>
        </w:sdtContent>
      </w:sdt>
      <w:r w:rsidRPr="00CC7F7B">
        <w:t xml:space="preserve"> and the IAEA Nuclear Security Fundamentals </w:t>
      </w:r>
      <w:sdt>
        <w:sdtPr>
          <w:id w:val="-1228687804"/>
          <w:citation/>
        </w:sdtPr>
        <w:sdtEndPr/>
        <w:sdtContent>
          <w:r w:rsidR="000B2605">
            <w:fldChar w:fldCharType="begin"/>
          </w:r>
          <w:r w:rsidR="000B2605">
            <w:instrText xml:space="preserve"> CITATION IAE13 \l 2057 </w:instrText>
          </w:r>
          <w:r w:rsidR="000B2605">
            <w:fldChar w:fldCharType="separate"/>
          </w:r>
          <w:r w:rsidR="00A75685">
            <w:rPr>
              <w:noProof/>
            </w:rPr>
            <w:t>[4]</w:t>
          </w:r>
          <w:r w:rsidR="000B2605">
            <w:fldChar w:fldCharType="end"/>
          </w:r>
        </w:sdtContent>
      </w:sdt>
      <w:r w:rsidRPr="00CC7F7B">
        <w:t>. Further guidance is available within IAEA Technical Guidance and Implementing Guides</w:t>
      </w:r>
      <w:r w:rsidR="009B480C" w:rsidRPr="009B480C">
        <w:t>.</w:t>
      </w:r>
    </w:p>
    <w:p w14:paraId="499BF0E4" w14:textId="77777777" w:rsidR="00CC7F7B" w:rsidRDefault="00CC7F7B" w:rsidP="00250515">
      <w:pPr>
        <w:pStyle w:val="F9-Paragraph"/>
        <w:numPr>
          <w:ilvl w:val="0"/>
          <w:numId w:val="7"/>
        </w:numPr>
        <w:ind w:left="851" w:hanging="851"/>
      </w:pPr>
      <w:r w:rsidRPr="00CC7F7B">
        <w:t>Fundamental Principle K of the CPPNM refers to the production of contingency plans and states that contingency (emergency) plans to respond to unauthorized removal of nuclear material or sabotage of nuclear facilities or nuclear material, or attempts thereof, should be prepared and appropriately exercised by all licence holders and authorities concerned</w:t>
      </w:r>
      <w:r>
        <w:t>.</w:t>
      </w:r>
    </w:p>
    <w:p w14:paraId="25C4A62B" w14:textId="2945EBA9" w:rsidR="009B480C" w:rsidRDefault="00CC7F7B" w:rsidP="00250515">
      <w:pPr>
        <w:pStyle w:val="F9-Paragraph"/>
        <w:numPr>
          <w:ilvl w:val="0"/>
          <w:numId w:val="7"/>
        </w:numPr>
        <w:ind w:left="851" w:hanging="851"/>
      </w:pPr>
      <w:r w:rsidRPr="00CC7F7B">
        <w:t>The importance of issues relating to command and control during Nuclear Security Events (NSEs) is also recognised in the Nuclear Security Fundamentals, specifically Essential Element 11: Planning for, preparedness for, and response to, a nuclear security event, paragraph 3.11 which states that a nuclear security regime ensures that relevant competent authorities and authorised persons are prepared to respond, and respond appropriately, at local, national, and international levels to NSEs by</w:t>
      </w:r>
      <w:r w:rsidR="00636851" w:rsidRPr="00636851">
        <w:t>:</w:t>
      </w:r>
    </w:p>
    <w:p w14:paraId="5304AB2E" w14:textId="6D1A1433" w:rsidR="00636851" w:rsidRDefault="00CC7F7B" w:rsidP="00636851">
      <w:pPr>
        <w:pStyle w:val="Bulletlist1"/>
      </w:pPr>
      <w:r w:rsidRPr="00CC7F7B">
        <w:t>Developing arrangements and response plans for ensuring</w:t>
      </w:r>
      <w:r w:rsidR="00636851" w:rsidRPr="00636851">
        <w:t>:</w:t>
      </w:r>
    </w:p>
    <w:p w14:paraId="62861C2F" w14:textId="40C2C2EF" w:rsidR="00636851" w:rsidRDefault="00CC7F7B" w:rsidP="00636851">
      <w:pPr>
        <w:pStyle w:val="Bulletlist2"/>
      </w:pPr>
      <w:r w:rsidRPr="00CC7F7B">
        <w:t>rapid and effective mobilisation of resources in response to a NSE; and</w:t>
      </w:r>
      <w:r>
        <w:t>,</w:t>
      </w:r>
    </w:p>
    <w:p w14:paraId="153FB696" w14:textId="0E5A7238" w:rsidR="00277829" w:rsidRPr="009B480C" w:rsidRDefault="00CC7F7B" w:rsidP="00756508">
      <w:pPr>
        <w:pStyle w:val="Bulletlist2"/>
      </w:pPr>
      <w:r w:rsidRPr="00CC7F7B">
        <w:t>effective coordination and cooperation during response to a NSE among all those carrying out response functions (including intelligence, law enforcement, crime scene investigation, and nuclear forensics) and between the security and safety aspects of the response</w:t>
      </w:r>
      <w:r>
        <w:t>.</w:t>
      </w:r>
    </w:p>
    <w:p w14:paraId="349EF204" w14:textId="5CFA6DE3" w:rsidR="00277829" w:rsidRPr="002511A0" w:rsidRDefault="002355F1" w:rsidP="00250515">
      <w:pPr>
        <w:pStyle w:val="F9-Paragraph"/>
        <w:numPr>
          <w:ilvl w:val="0"/>
          <w:numId w:val="7"/>
        </w:numPr>
        <w:ind w:left="851" w:hanging="851"/>
      </w:pPr>
      <w:r w:rsidRPr="002355F1">
        <w:rPr>
          <w:szCs w:val="22"/>
        </w:rPr>
        <w:t xml:space="preserve">A more detailed description of the elements is provided in Recommendations level guidance, specifically Nuclear Security Series (NSS) 13, Recommendations on Physical Protection of Nuclear Material and Nuclear Facilities </w:t>
      </w:r>
      <w:sdt>
        <w:sdtPr>
          <w:rPr>
            <w:szCs w:val="22"/>
          </w:rPr>
          <w:id w:val="1129047998"/>
          <w:citation/>
        </w:sdtPr>
        <w:sdtEndPr/>
        <w:sdtContent>
          <w:r w:rsidR="000B2605">
            <w:rPr>
              <w:szCs w:val="22"/>
            </w:rPr>
            <w:fldChar w:fldCharType="begin"/>
          </w:r>
          <w:r w:rsidR="000B2605">
            <w:rPr>
              <w:szCs w:val="22"/>
            </w:rPr>
            <w:instrText xml:space="preserve"> CITATION IAE112 \l 2057 </w:instrText>
          </w:r>
          <w:r w:rsidR="000B2605">
            <w:rPr>
              <w:szCs w:val="22"/>
            </w:rPr>
            <w:fldChar w:fldCharType="separate"/>
          </w:r>
          <w:r w:rsidR="00A75685" w:rsidRPr="00A75685">
            <w:rPr>
              <w:noProof/>
              <w:szCs w:val="22"/>
            </w:rPr>
            <w:t>[5]</w:t>
          </w:r>
          <w:r w:rsidR="000B2605">
            <w:rPr>
              <w:szCs w:val="22"/>
            </w:rPr>
            <w:fldChar w:fldCharType="end"/>
          </w:r>
        </w:sdtContent>
      </w:sdt>
      <w:r w:rsidRPr="002355F1">
        <w:rPr>
          <w:szCs w:val="22"/>
        </w:rPr>
        <w:t>. In relation to contingency plans, this document states that:</w:t>
      </w:r>
    </w:p>
    <w:p w14:paraId="13D51C13" w14:textId="649C6DBD" w:rsidR="002511A0" w:rsidRDefault="002511A0" w:rsidP="002511A0">
      <w:pPr>
        <w:pStyle w:val="Bulletlist1"/>
      </w:pPr>
      <w:r w:rsidRPr="002511A0">
        <w:t>Dutyholders should prepare contingency plans to effectively counter the threat assessment or design basis threat</w:t>
      </w:r>
      <w:r w:rsidR="006E2E32">
        <w:t>,</w:t>
      </w:r>
      <w:r w:rsidRPr="002511A0">
        <w:t xml:space="preserve"> taking actions of the response forces into consideration</w:t>
      </w:r>
      <w:r>
        <w:t>.</w:t>
      </w:r>
    </w:p>
    <w:p w14:paraId="14DEF120" w14:textId="1FB27516" w:rsidR="002511A0" w:rsidRDefault="002511A0" w:rsidP="002511A0">
      <w:pPr>
        <w:pStyle w:val="Bulletlist1"/>
      </w:pPr>
      <w:r w:rsidRPr="002511A0">
        <w:t>The dutyholder’s contingency plan should be approved by the State’s competent authority as a part of the security plan</w:t>
      </w:r>
      <w:r>
        <w:t>.</w:t>
      </w:r>
    </w:p>
    <w:p w14:paraId="40B43155" w14:textId="39711410" w:rsidR="002511A0" w:rsidRDefault="002511A0" w:rsidP="002511A0">
      <w:pPr>
        <w:pStyle w:val="Bulletlist1"/>
      </w:pPr>
      <w:r w:rsidRPr="002511A0">
        <w:t>Arrangements should be made to ensure that during emergency conditions and exercises, the effectiveness of the Physical Protection System (PPS) is maintained</w:t>
      </w:r>
      <w:r>
        <w:t>.</w:t>
      </w:r>
    </w:p>
    <w:p w14:paraId="25C4F4F2" w14:textId="74436BCC" w:rsidR="00277829" w:rsidRDefault="002A76E6" w:rsidP="00D84283">
      <w:pPr>
        <w:pStyle w:val="Bulletlist1"/>
      </w:pPr>
      <w:r w:rsidRPr="002A76E6">
        <w:lastRenderedPageBreak/>
        <w:t>The operator should initiate its contingency plan after detection and assessment of any malicious act</w:t>
      </w:r>
      <w:r>
        <w:t>.</w:t>
      </w:r>
    </w:p>
    <w:p w14:paraId="7C076DE9" w14:textId="77777777" w:rsidR="000B2605" w:rsidRDefault="000B2605" w:rsidP="000B2605">
      <w:pPr>
        <w:pStyle w:val="Bulletlist1"/>
        <w:numPr>
          <w:ilvl w:val="0"/>
          <w:numId w:val="0"/>
        </w:numPr>
        <w:ind w:left="1418"/>
      </w:pPr>
    </w:p>
    <w:p w14:paraId="3D48936D" w14:textId="36F6A045" w:rsidR="002A76E6" w:rsidRPr="00277829" w:rsidRDefault="00872B9C" w:rsidP="000B2605">
      <w:pPr>
        <w:pStyle w:val="Heading1"/>
      </w:pPr>
      <w:bookmarkStart w:id="9" w:name="_Toc176506422"/>
      <w:r w:rsidRPr="00872B9C">
        <w:t xml:space="preserve">Relationship </w:t>
      </w:r>
      <w:r>
        <w:t>t</w:t>
      </w:r>
      <w:r w:rsidRPr="00872B9C">
        <w:t xml:space="preserve">o </w:t>
      </w:r>
      <w:r w:rsidR="000B2605">
        <w:t>n</w:t>
      </w:r>
      <w:r w:rsidRPr="00872B9C">
        <w:t xml:space="preserve">ational </w:t>
      </w:r>
      <w:r w:rsidR="000B2605">
        <w:t>p</w:t>
      </w:r>
      <w:r w:rsidRPr="00872B9C">
        <w:t xml:space="preserve">olicy </w:t>
      </w:r>
      <w:r w:rsidR="000B2605">
        <w:t>d</w:t>
      </w:r>
      <w:r w:rsidRPr="00872B9C">
        <w:t>ocuments</w:t>
      </w:r>
      <w:bookmarkEnd w:id="9"/>
    </w:p>
    <w:p w14:paraId="244C9DDB" w14:textId="0A273F58" w:rsidR="002A76E6" w:rsidRDefault="00872B9C" w:rsidP="002A76E6">
      <w:pPr>
        <w:pStyle w:val="F9-Paragraph"/>
        <w:numPr>
          <w:ilvl w:val="0"/>
          <w:numId w:val="7"/>
        </w:numPr>
        <w:ind w:left="851" w:hanging="851"/>
      </w:pPr>
      <w:r w:rsidRPr="00872B9C">
        <w:t>The SyAPs provide ONR inspectors with a framework for making consistent regulatory judgements on the effectiveness of a dutyholder’s security arrangements.</w:t>
      </w:r>
      <w:r w:rsidR="000B2605">
        <w:t xml:space="preserve"> </w:t>
      </w:r>
      <w:r w:rsidRPr="00872B9C">
        <w:t>This TAG provides guidance to ONR inspectors when assessing a dutyholder’s submission demonstrating they have effective processes in place to achieve SyDP 10.1 – CT Measures, Emergency Preparedness and Response Planning, in support of FSyP 10 – Emergency Preparedness and Response.</w:t>
      </w:r>
      <w:r w:rsidR="000B2605">
        <w:t xml:space="preserve"> </w:t>
      </w:r>
      <w:r w:rsidRPr="00872B9C">
        <w:t>The TAG is consistent with other TAGs and associated guidance and policy documentation</w:t>
      </w:r>
      <w:r w:rsidR="002A76E6" w:rsidRPr="00687852">
        <w:t>.</w:t>
      </w:r>
    </w:p>
    <w:p w14:paraId="2A06B19C" w14:textId="580AD385" w:rsidR="00872B9C" w:rsidRDefault="00872B9C" w:rsidP="002A76E6">
      <w:pPr>
        <w:pStyle w:val="F9-Paragraph"/>
        <w:numPr>
          <w:ilvl w:val="0"/>
          <w:numId w:val="7"/>
        </w:numPr>
        <w:ind w:left="851" w:hanging="851"/>
      </w:pPr>
      <w:r w:rsidRPr="00872B9C">
        <w:t xml:space="preserve">The HMG Security Policy Framework (SPF) </w:t>
      </w:r>
      <w:sdt>
        <w:sdtPr>
          <w:id w:val="1947648979"/>
          <w:citation/>
        </w:sdtPr>
        <w:sdtEndPr/>
        <w:sdtContent>
          <w:r w:rsidR="000B2605">
            <w:fldChar w:fldCharType="begin"/>
          </w:r>
          <w:r w:rsidR="000B2605">
            <w:instrText xml:space="preserve"> CITATION HMG22 \l 2057 </w:instrText>
          </w:r>
          <w:r w:rsidR="000B2605">
            <w:fldChar w:fldCharType="separate"/>
          </w:r>
          <w:r w:rsidR="00A75685">
            <w:rPr>
              <w:noProof/>
            </w:rPr>
            <w:t>[6]</w:t>
          </w:r>
          <w:r w:rsidR="000B2605">
            <w:fldChar w:fldCharType="end"/>
          </w:r>
        </w:sdtContent>
      </w:sdt>
      <w:r w:rsidR="000B2605">
        <w:t xml:space="preserve"> </w:t>
      </w:r>
      <w:r w:rsidRPr="00872B9C">
        <w:t>describes the Cabinet Secretary’s expectations of how HMG organisations and third parties handling HMG information and other assets will apply protective security to ensure HMG can function effectively, efficiently and securely. The security outcomes and requirements detailed in the SPF have been incorporated within SyAPs. This ensures that dutyholders are presented with a coherent set of expectations for the protection of nuclear premises, SNI and the employment of appropriate personnel security controls both on and off nuclear premises</w:t>
      </w:r>
      <w:r>
        <w:t>.</w:t>
      </w:r>
    </w:p>
    <w:p w14:paraId="2348DCBA" w14:textId="3F01C922" w:rsidR="002A76E6" w:rsidRPr="00277829" w:rsidRDefault="00872B9C" w:rsidP="00B364C5">
      <w:pPr>
        <w:pStyle w:val="F9-Paragraph"/>
        <w:numPr>
          <w:ilvl w:val="0"/>
          <w:numId w:val="7"/>
        </w:numPr>
        <w:ind w:left="851" w:hanging="851"/>
      </w:pPr>
      <w:r w:rsidRPr="00872B9C">
        <w:t xml:space="preserve">The </w:t>
      </w:r>
      <w:r w:rsidR="000B2605">
        <w:t xml:space="preserve">NISR </w:t>
      </w:r>
      <w:r w:rsidRPr="00872B9C">
        <w:t>Classification Policy</w:t>
      </w:r>
      <w:r w:rsidR="000B2605">
        <w:t xml:space="preserve"> </w:t>
      </w:r>
      <w:r w:rsidRPr="00872B9C">
        <w:t>indicates those categories of SNI, which require protection and the level of security classification to be applied</w:t>
      </w:r>
      <w:r w:rsidR="000B2605">
        <w:t xml:space="preserve"> </w:t>
      </w:r>
      <w:sdt>
        <w:sdtPr>
          <w:id w:val="-224992044"/>
          <w:citation/>
        </w:sdtPr>
        <w:sdtEndPr/>
        <w:sdtContent>
          <w:r w:rsidR="000B2605">
            <w:fldChar w:fldCharType="begin"/>
          </w:r>
          <w:r w:rsidR="000B2605">
            <w:instrText xml:space="preserve"> CITATION ONR227 \l 2057 </w:instrText>
          </w:r>
          <w:r w:rsidR="000B2605">
            <w:fldChar w:fldCharType="separate"/>
          </w:r>
          <w:r w:rsidR="00A75685">
            <w:rPr>
              <w:noProof/>
            </w:rPr>
            <w:t>[7]</w:t>
          </w:r>
          <w:r w:rsidR="000B2605">
            <w:fldChar w:fldCharType="end"/>
          </w:r>
        </w:sdtContent>
      </w:sdt>
      <w:r w:rsidR="00C0113B">
        <w:t>.</w:t>
      </w:r>
    </w:p>
    <w:p w14:paraId="33549CE9" w14:textId="77777777" w:rsidR="000B2605" w:rsidRDefault="000B2605" w:rsidP="000B2605">
      <w:pPr>
        <w:pStyle w:val="Heading1"/>
        <w:sectPr w:rsidR="000B2605" w:rsidSect="000B2BCD">
          <w:pgSz w:w="11906" w:h="16838" w:code="9"/>
          <w:pgMar w:top="1440" w:right="1440" w:bottom="1440" w:left="1440" w:header="397" w:footer="397" w:gutter="0"/>
          <w:cols w:space="312"/>
          <w:docGrid w:linePitch="360"/>
        </w:sectPr>
      </w:pPr>
      <w:bookmarkStart w:id="10" w:name="_Toc99551665"/>
    </w:p>
    <w:p w14:paraId="5F50DABA" w14:textId="2264E9DC" w:rsidR="00277829" w:rsidRPr="00277829" w:rsidRDefault="0083126A" w:rsidP="000B2605">
      <w:pPr>
        <w:pStyle w:val="Heading1"/>
      </w:pPr>
      <w:bookmarkStart w:id="11" w:name="_Toc176506423"/>
      <w:r w:rsidRPr="0083126A">
        <w:lastRenderedPageBreak/>
        <w:t>Advice to Inspectors</w:t>
      </w:r>
      <w:bookmarkEnd w:id="10"/>
      <w:bookmarkEnd w:id="11"/>
    </w:p>
    <w:p w14:paraId="00256BB0" w14:textId="02DF0F66" w:rsidR="0083126A" w:rsidRDefault="002C04DE" w:rsidP="00250515">
      <w:pPr>
        <w:pStyle w:val="F9-Paragraph"/>
        <w:numPr>
          <w:ilvl w:val="0"/>
          <w:numId w:val="7"/>
        </w:numPr>
        <w:ind w:left="851" w:hanging="851"/>
      </w:pPr>
      <w:r w:rsidRPr="002C04DE">
        <w:t>The national approach to providing CT protection, developed and circulated by the Cabinet Office National Security Secretariat, has been adapted by ONR to meet the requirements of the civil nuclear industry. The approach seeks to protect against malicious incidents directed at Nuclear Material or Other Radioactive Material (NM/ORM) and any associated Vital Areas (VAs)</w:t>
      </w:r>
      <w:r w:rsidR="00687852" w:rsidRPr="00687852">
        <w:t>.</w:t>
      </w:r>
    </w:p>
    <w:p w14:paraId="3B3D0DD7" w14:textId="418D326D" w:rsidR="002C04DE" w:rsidRDefault="002C04DE" w:rsidP="00250515">
      <w:pPr>
        <w:pStyle w:val="F9-Paragraph"/>
        <w:numPr>
          <w:ilvl w:val="0"/>
          <w:numId w:val="7"/>
        </w:numPr>
        <w:ind w:left="851" w:hanging="851"/>
      </w:pPr>
      <w:r w:rsidRPr="002C04DE">
        <w:t>Changes in the threat level will be issued by the Cabinet Office and industry is informed through the Civil Nuclear Constabulary (CNC) Command and Control Centre (CCC) at Culham.</w:t>
      </w:r>
      <w:r w:rsidR="000B2605">
        <w:t xml:space="preserve"> </w:t>
      </w:r>
      <w:r w:rsidRPr="002C04DE">
        <w:t>As part of emergency preparedness planning</w:t>
      </w:r>
      <w:r w:rsidR="00C93733">
        <w:t>,</w:t>
      </w:r>
      <w:r w:rsidRPr="002C04DE">
        <w:t xml:space="preserve"> dutyholders should develop appropriate incremental and escalatory protective and physical security measures that can be quickly implemented in response to increases in threat. These measures should be identified within a dutyholder’s security plan</w:t>
      </w:r>
      <w:r>
        <w:t>.</w:t>
      </w:r>
    </w:p>
    <w:p w14:paraId="740B9705" w14:textId="0A7AC6DB" w:rsidR="002C04DE" w:rsidRDefault="0099767B" w:rsidP="00250515">
      <w:pPr>
        <w:pStyle w:val="F9-Paragraph"/>
        <w:numPr>
          <w:ilvl w:val="0"/>
          <w:numId w:val="7"/>
        </w:numPr>
        <w:ind w:left="851" w:hanging="851"/>
      </w:pPr>
      <w:r w:rsidRPr="0099767B">
        <w:t>A dutyholder’s Security Contingency Plan (SCP) provides a framework for the Site Emergency Organisation (SEO) and supports an effective response to a NSE. The key aspect in relation to a SCP are the ‘steps to be taken’ by the responsible person in directing the response to malicious events.</w:t>
      </w:r>
      <w:r w:rsidR="000B2605">
        <w:t xml:space="preserve"> </w:t>
      </w:r>
      <w:r w:rsidRPr="0099767B">
        <w:t xml:space="preserve"> Additionally, the SCP should reflect the regular practice of the activities required in connection with those steps and the standards, procedures and arrangements contained therein. This expectation seeks to ensure those responding to certain events, including the potential nuclear safety implications of the event, have, and are trained in, the use of, adequate guidance and a framework for decision making. This is so the SEO functions effectively under potentially hostile and adverse conditions throughout the three phases (as described at paragraph </w:t>
      </w:r>
      <w:r w:rsidR="000B2605">
        <w:fldChar w:fldCharType="begin"/>
      </w:r>
      <w:r w:rsidR="000B2605">
        <w:instrText xml:space="preserve"> REF _Ref176505189 \r \h </w:instrText>
      </w:r>
      <w:r w:rsidR="000B2605">
        <w:fldChar w:fldCharType="separate"/>
      </w:r>
      <w:r w:rsidR="000B2605">
        <w:rPr>
          <w:cs/>
        </w:rPr>
        <w:t>‎</w:t>
      </w:r>
      <w:r w:rsidR="000B2605">
        <w:t>31</w:t>
      </w:r>
      <w:r w:rsidR="000B2605">
        <w:fldChar w:fldCharType="end"/>
      </w:r>
      <w:r w:rsidRPr="0099767B">
        <w:t>) of a malicious event</w:t>
      </w:r>
      <w:r w:rsidR="002C04DE">
        <w:t>.</w:t>
      </w:r>
    </w:p>
    <w:p w14:paraId="52CF8A9E" w14:textId="124B248B" w:rsidR="00687852" w:rsidRDefault="0099767B" w:rsidP="00250515">
      <w:pPr>
        <w:pStyle w:val="F9-Paragraph"/>
        <w:numPr>
          <w:ilvl w:val="0"/>
          <w:numId w:val="7"/>
        </w:numPr>
        <w:ind w:left="851" w:hanging="851"/>
      </w:pPr>
      <w:r w:rsidRPr="0099767B">
        <w:t xml:space="preserve">Wherever possible, the considerations in this TAG should be used by inspectors to assess the adequacy of EP&amp;R arrangements for approved carriers. Additional factors will have to be considered in reaching a judgement when material is </w:t>
      </w:r>
      <w:r w:rsidR="008B04C3">
        <w:t>transported</w:t>
      </w:r>
      <w:r w:rsidR="008B04C3" w:rsidRPr="0099767B">
        <w:t xml:space="preserve"> off</w:t>
      </w:r>
      <w:r w:rsidRPr="0099767B">
        <w:t>-site</w:t>
      </w:r>
      <w:r w:rsidR="00687852" w:rsidRPr="00687852">
        <w:t>.</w:t>
      </w:r>
    </w:p>
    <w:p w14:paraId="0665E3E4" w14:textId="7A173FDB" w:rsidR="00687852" w:rsidRPr="00E829BC" w:rsidRDefault="00EB6B36" w:rsidP="00E829BC">
      <w:pPr>
        <w:pStyle w:val="F9-Paragraph"/>
        <w:ind w:left="851"/>
        <w:rPr>
          <w:b/>
          <w:bCs/>
        </w:rPr>
      </w:pPr>
      <w:bookmarkStart w:id="12" w:name="_Toc99551666"/>
      <w:r w:rsidRPr="00E829BC">
        <w:rPr>
          <w:b/>
          <w:bCs/>
        </w:rPr>
        <w:t xml:space="preserve">Regulatory </w:t>
      </w:r>
      <w:r w:rsidR="000B2605" w:rsidRPr="00E829BC">
        <w:rPr>
          <w:b/>
          <w:bCs/>
        </w:rPr>
        <w:t>e</w:t>
      </w:r>
      <w:r w:rsidRPr="00E829BC">
        <w:rPr>
          <w:b/>
          <w:bCs/>
        </w:rPr>
        <w:t>xpectation</w:t>
      </w:r>
      <w:bookmarkEnd w:id="12"/>
    </w:p>
    <w:p w14:paraId="27656EF1" w14:textId="38B6AD6F" w:rsidR="00775FBD" w:rsidRPr="00775FBD" w:rsidRDefault="0061486C" w:rsidP="0061486C">
      <w:pPr>
        <w:pStyle w:val="F9-Paragraph"/>
        <w:numPr>
          <w:ilvl w:val="0"/>
          <w:numId w:val="7"/>
        </w:numPr>
        <w:ind w:left="851" w:hanging="851"/>
      </w:pPr>
      <w:r w:rsidRPr="0061486C">
        <w:rPr>
          <w:szCs w:val="22"/>
        </w:rPr>
        <w:t>The regulatory expectation placed on the dutyholder is that they should demonstrate</w:t>
      </w:r>
      <w:r w:rsidR="003023B9">
        <w:rPr>
          <w:szCs w:val="22"/>
        </w:rPr>
        <w:t>,</w:t>
      </w:r>
      <w:r w:rsidRPr="0061486C">
        <w:rPr>
          <w:szCs w:val="22"/>
        </w:rPr>
        <w:t xml:space="preserve"> within their security plan</w:t>
      </w:r>
      <w:r w:rsidR="003023B9">
        <w:rPr>
          <w:szCs w:val="22"/>
        </w:rPr>
        <w:t>,</w:t>
      </w:r>
      <w:r w:rsidRPr="0061486C">
        <w:rPr>
          <w:szCs w:val="22"/>
        </w:rPr>
        <w:t xml:space="preserve"> how the site adopts incremental security measures in response to changes in threat and implements effective EP&amp;R arrangements in response to an NSE</w:t>
      </w:r>
      <w:r w:rsidR="000B2605">
        <w:rPr>
          <w:szCs w:val="22"/>
        </w:rPr>
        <w:t xml:space="preserve"> (refer to </w:t>
      </w:r>
      <w:r w:rsidR="000B2605">
        <w:rPr>
          <w:szCs w:val="22"/>
        </w:rPr>
        <w:fldChar w:fldCharType="begin"/>
      </w:r>
      <w:r w:rsidR="000B2605">
        <w:rPr>
          <w:szCs w:val="22"/>
        </w:rPr>
        <w:instrText xml:space="preserve"> REF _Ref176505407 \h </w:instrText>
      </w:r>
      <w:r w:rsidR="000B2605">
        <w:rPr>
          <w:szCs w:val="22"/>
        </w:rPr>
      </w:r>
      <w:r w:rsidR="000B2605">
        <w:rPr>
          <w:szCs w:val="22"/>
        </w:rPr>
        <w:fldChar w:fldCharType="separate"/>
      </w:r>
      <w:r w:rsidR="000B2605">
        <w:t xml:space="preserve">Table </w:t>
      </w:r>
      <w:r w:rsidR="000B2605">
        <w:rPr>
          <w:noProof/>
        </w:rPr>
        <w:t>1</w:t>
      </w:r>
      <w:r w:rsidR="000B2605">
        <w:rPr>
          <w:szCs w:val="22"/>
        </w:rPr>
        <w:fldChar w:fldCharType="end"/>
      </w:r>
      <w:r w:rsidR="000B2605">
        <w:rPr>
          <w:szCs w:val="22"/>
        </w:rPr>
        <w:t>)</w:t>
      </w:r>
      <w:r w:rsidRPr="0061486C">
        <w:rPr>
          <w:szCs w:val="22"/>
        </w:rPr>
        <w:t>.</w:t>
      </w:r>
    </w:p>
    <w:p w14:paraId="724D0BB0" w14:textId="408E877B" w:rsidR="000B2605" w:rsidRDefault="000B2605" w:rsidP="000B2605">
      <w:pPr>
        <w:pStyle w:val="Caption"/>
        <w:keepNext/>
        <w:ind w:left="851"/>
      </w:pPr>
      <w:bookmarkStart w:id="13" w:name="_Ref176505407"/>
      <w:r>
        <w:t xml:space="preserve">Table </w:t>
      </w:r>
      <w:r>
        <w:fldChar w:fldCharType="begin"/>
      </w:r>
      <w:r>
        <w:instrText xml:space="preserve"> SEQ Table \* ARABIC </w:instrText>
      </w:r>
      <w:r>
        <w:fldChar w:fldCharType="separate"/>
      </w:r>
      <w:r w:rsidR="00E829BC">
        <w:rPr>
          <w:noProof/>
        </w:rPr>
        <w:t>1</w:t>
      </w:r>
      <w:r>
        <w:fldChar w:fldCharType="end"/>
      </w:r>
      <w:bookmarkEnd w:id="13"/>
      <w:r>
        <w:t xml:space="preserve"> - </w:t>
      </w:r>
      <w:r w:rsidRPr="00E23291">
        <w:t>Fundamental security principle (FSyP) 10.</w:t>
      </w:r>
    </w:p>
    <w:tbl>
      <w:tblPr>
        <w:tblStyle w:val="ONRTable1"/>
        <w:tblW w:w="8221" w:type="dxa"/>
        <w:tblInd w:w="851" w:type="dxa"/>
        <w:tblLook w:val="04A0" w:firstRow="1" w:lastRow="0" w:firstColumn="1" w:lastColumn="0" w:noHBand="0" w:noVBand="1"/>
      </w:tblPr>
      <w:tblGrid>
        <w:gridCol w:w="2835"/>
        <w:gridCol w:w="3685"/>
        <w:gridCol w:w="1701"/>
      </w:tblGrid>
      <w:tr w:rsidR="001C24F8" w:rsidRPr="000A51C3" w14:paraId="06954BFA" w14:textId="77777777" w:rsidTr="00E829BC">
        <w:trPr>
          <w:cnfStyle w:val="100000000000" w:firstRow="1" w:lastRow="0" w:firstColumn="0" w:lastColumn="0" w:oddVBand="0" w:evenVBand="0" w:oddHBand="0" w:evenHBand="0" w:firstRowFirstColumn="0" w:firstRowLastColumn="0" w:lastRowFirstColumn="0" w:lastRowLastColumn="0"/>
        </w:trPr>
        <w:tc>
          <w:tcPr>
            <w:tcW w:w="2835" w:type="dxa"/>
            <w:vAlign w:val="center"/>
            <w:hideMark/>
          </w:tcPr>
          <w:p w14:paraId="538328C9" w14:textId="5195BFB3" w:rsidR="001C24F8" w:rsidRPr="000A51C3" w:rsidRDefault="0061486C" w:rsidP="0061486C">
            <w:pPr>
              <w:pStyle w:val="TableText"/>
              <w:keepNext/>
              <w:rPr>
                <w:b w:val="0"/>
                <w:bCs/>
              </w:rPr>
            </w:pPr>
            <w:r w:rsidRPr="0061486C">
              <w:t>FSyP 10 - Emergency Preparedness and Response</w:t>
            </w:r>
          </w:p>
        </w:tc>
        <w:tc>
          <w:tcPr>
            <w:tcW w:w="3685" w:type="dxa"/>
            <w:vAlign w:val="center"/>
          </w:tcPr>
          <w:p w14:paraId="69C08B92" w14:textId="29C221DC" w:rsidR="001C24F8" w:rsidRPr="000A51C3" w:rsidRDefault="0061486C" w:rsidP="0061486C">
            <w:pPr>
              <w:pStyle w:val="TableText"/>
              <w:keepNext/>
              <w:rPr>
                <w:b w:val="0"/>
                <w:bCs/>
              </w:rPr>
            </w:pPr>
            <w:r w:rsidRPr="0061486C">
              <w:rPr>
                <w:b w:val="0"/>
                <w:bCs/>
              </w:rPr>
              <w:t>CT Measures, Emergency Preparedness and Response Planning</w:t>
            </w:r>
          </w:p>
        </w:tc>
        <w:tc>
          <w:tcPr>
            <w:tcW w:w="1701" w:type="dxa"/>
            <w:vAlign w:val="center"/>
          </w:tcPr>
          <w:p w14:paraId="1AB7571A" w14:textId="21D0E673" w:rsidR="001C24F8" w:rsidRPr="000A51C3" w:rsidRDefault="0061486C" w:rsidP="0061486C">
            <w:pPr>
              <w:pStyle w:val="TableText"/>
              <w:keepNext/>
              <w:rPr>
                <w:b w:val="0"/>
                <w:bCs/>
              </w:rPr>
            </w:pPr>
            <w:r w:rsidRPr="0061486C">
              <w:rPr>
                <w:b w:val="0"/>
                <w:bCs/>
              </w:rPr>
              <w:t>SyDP 10.1</w:t>
            </w:r>
          </w:p>
        </w:tc>
      </w:tr>
      <w:tr w:rsidR="001C24F8" w:rsidRPr="00E829BC" w14:paraId="47AE5413" w14:textId="77777777" w:rsidTr="00E829BC">
        <w:trPr>
          <w:trHeight w:val="217"/>
        </w:trPr>
        <w:tc>
          <w:tcPr>
            <w:tcW w:w="8221" w:type="dxa"/>
            <w:gridSpan w:val="3"/>
            <w:hideMark/>
          </w:tcPr>
          <w:p w14:paraId="28906CE5" w14:textId="2AC3876E" w:rsidR="001C24F8" w:rsidRPr="00E829BC" w:rsidRDefault="0061486C" w:rsidP="0061486C">
            <w:pPr>
              <w:pStyle w:val="TableText"/>
              <w:rPr>
                <w:sz w:val="22"/>
                <w:szCs w:val="20"/>
              </w:rPr>
            </w:pPr>
            <w:r w:rsidRPr="00E829BC">
              <w:rPr>
                <w:sz w:val="22"/>
                <w:szCs w:val="20"/>
              </w:rPr>
              <w:t>Dutyholders should have in place incremental CT measures that can be implemented in response to changes in threat; and EP&amp;R arrangements to deal with any nuclear security event arising on the site and their potential effects</w:t>
            </w:r>
            <w:r w:rsidR="001C24F8" w:rsidRPr="00E829BC">
              <w:rPr>
                <w:sz w:val="22"/>
                <w:szCs w:val="20"/>
              </w:rPr>
              <w:t>.</w:t>
            </w:r>
          </w:p>
        </w:tc>
      </w:tr>
    </w:tbl>
    <w:p w14:paraId="3869604A" w14:textId="77777777" w:rsidR="00E829BC" w:rsidRDefault="00E829BC" w:rsidP="000B2605">
      <w:pPr>
        <w:pStyle w:val="Heading1"/>
        <w:sectPr w:rsidR="00E829BC" w:rsidSect="000B2BCD">
          <w:pgSz w:w="11906" w:h="16838" w:code="9"/>
          <w:pgMar w:top="1440" w:right="1440" w:bottom="1440" w:left="1440" w:header="397" w:footer="397" w:gutter="0"/>
          <w:cols w:space="312"/>
          <w:docGrid w:linePitch="360"/>
        </w:sectPr>
      </w:pPr>
    </w:p>
    <w:p w14:paraId="17BE6EB2" w14:textId="63ECFE16" w:rsidR="00A67BE8" w:rsidRDefault="00E829BC" w:rsidP="000B2605">
      <w:pPr>
        <w:pStyle w:val="Heading1"/>
      </w:pPr>
      <w:bookmarkStart w:id="14" w:name="_Toc176506424"/>
      <w:r>
        <w:lastRenderedPageBreak/>
        <w:t>CT c</w:t>
      </w:r>
      <w:r w:rsidR="00A67BE8" w:rsidRPr="00A67BE8">
        <w:t xml:space="preserve">ontingency </w:t>
      </w:r>
      <w:r>
        <w:t>p</w:t>
      </w:r>
      <w:r w:rsidR="00A67BE8" w:rsidRPr="00A67BE8">
        <w:t>lanning</w:t>
      </w:r>
      <w:bookmarkEnd w:id="14"/>
    </w:p>
    <w:p w14:paraId="0118ED10" w14:textId="77777777" w:rsidR="00A67BE8" w:rsidRDefault="00F66CC5" w:rsidP="00250515">
      <w:pPr>
        <w:pStyle w:val="F9-Paragraph"/>
        <w:numPr>
          <w:ilvl w:val="0"/>
          <w:numId w:val="7"/>
        </w:numPr>
        <w:ind w:left="851" w:hanging="851"/>
      </w:pPr>
      <w:r w:rsidRPr="00F66CC5">
        <w:t>Once accepted, the VAI submissions will provide information which is to be used as a basis for the VA protection detailed in security plans. The security plan should refer to the current VAI submission and list the VA protection supporting assumptions/commitments</w:t>
      </w:r>
      <w:r w:rsidR="00A67BE8">
        <w:t>.</w:t>
      </w:r>
    </w:p>
    <w:p w14:paraId="4237252E" w14:textId="6F360BB1" w:rsidR="00A67BE8" w:rsidRDefault="00A67BE8" w:rsidP="00250515">
      <w:pPr>
        <w:pStyle w:val="F9-Paragraph"/>
        <w:numPr>
          <w:ilvl w:val="0"/>
          <w:numId w:val="7"/>
        </w:numPr>
        <w:ind w:left="851" w:hanging="851"/>
      </w:pPr>
      <w:r w:rsidRPr="00A67BE8">
        <w:t xml:space="preserve">The </w:t>
      </w:r>
      <w:r w:rsidR="00075B97">
        <w:t>Na</w:t>
      </w:r>
      <w:r w:rsidR="00036E90">
        <w:t xml:space="preserve">tional </w:t>
      </w:r>
      <w:r w:rsidR="00075B97">
        <w:t>C</w:t>
      </w:r>
      <w:r w:rsidR="00036E90">
        <w:t xml:space="preserve">ounter </w:t>
      </w:r>
      <w:r w:rsidR="00075B97">
        <w:t>T</w:t>
      </w:r>
      <w:r w:rsidR="00036E90">
        <w:t>errorism Secur</w:t>
      </w:r>
      <w:r w:rsidR="00B76928">
        <w:t>i</w:t>
      </w:r>
      <w:r w:rsidR="00036E90">
        <w:t xml:space="preserve">ty </w:t>
      </w:r>
      <w:r w:rsidR="00075B97">
        <w:t>O</w:t>
      </w:r>
      <w:r w:rsidR="00B76928">
        <w:t>ffice</w:t>
      </w:r>
      <w:r w:rsidR="00036E90">
        <w:t xml:space="preserve"> </w:t>
      </w:r>
      <w:r w:rsidRPr="00A67BE8">
        <w:t>Response Level</w:t>
      </w:r>
      <w:r w:rsidR="00670606">
        <w:t>s</w:t>
      </w:r>
      <w:r w:rsidRPr="00A67BE8">
        <w:t xml:space="preserve"> (RL) comprises three levels each indicating a level of preparedness to counter the commensurate threat of terrorism</w:t>
      </w:r>
      <w:r w:rsidR="00E829BC">
        <w:t xml:space="preserve"> </w:t>
      </w:r>
      <w:r w:rsidR="00E829BC" w:rsidRPr="00A67BE8">
        <w:t>(</w:t>
      </w:r>
      <w:r w:rsidR="00E829BC">
        <w:t>refer to</w:t>
      </w:r>
      <w:r w:rsidR="00E829BC" w:rsidRPr="00A67BE8">
        <w:t xml:space="preserve"> </w:t>
      </w:r>
      <w:hyperlink w:anchor="_Appendix_A_–National" w:history="1">
        <w:r w:rsidR="00E829BC" w:rsidRPr="00E829BC">
          <w:rPr>
            <w:rStyle w:val="Hyperlink"/>
          </w:rPr>
          <w:t>Appendix A</w:t>
        </w:r>
      </w:hyperlink>
      <w:r w:rsidR="00E829BC" w:rsidRPr="00A67BE8">
        <w:t>)</w:t>
      </w:r>
      <w:r w:rsidRPr="00A67BE8">
        <w:t>.</w:t>
      </w:r>
      <w:r w:rsidR="000B2605">
        <w:t xml:space="preserve"> </w:t>
      </w:r>
      <w:r w:rsidRPr="00A67BE8">
        <w:t xml:space="preserve">The </w:t>
      </w:r>
      <w:r w:rsidR="00E829BC">
        <w:t>RL</w:t>
      </w:r>
      <w:r w:rsidRPr="00A67BE8">
        <w:t xml:space="preserve"> for the nuclear industry is confirmed by the Civil Nuclear Security Intelligence Forum having considered direction from the Cabinet Office and/or specific intelligence relating to the nuclear industry.</w:t>
      </w:r>
    </w:p>
    <w:p w14:paraId="4F4E6EBF" w14:textId="068569E5" w:rsidR="00A67BE8" w:rsidRDefault="00A67BE8" w:rsidP="00250515">
      <w:pPr>
        <w:pStyle w:val="F9-Paragraph"/>
        <w:numPr>
          <w:ilvl w:val="0"/>
          <w:numId w:val="7"/>
        </w:numPr>
        <w:ind w:left="851" w:hanging="851"/>
      </w:pPr>
      <w:r w:rsidRPr="00A67BE8">
        <w:t>For off-site office premises and non-nuclear buildings occupied on licensed sites and other non-licensed facilities, particularly those that have an obvious association with the civil nuclear industry, CT contingency measures are strongly recommended.</w:t>
      </w:r>
      <w:r w:rsidR="000B2605">
        <w:t xml:space="preserve"> </w:t>
      </w:r>
      <w:r w:rsidRPr="00A67BE8">
        <w:t>In such cases the degree of protection that is put in place is a matter for company management</w:t>
      </w:r>
      <w:r w:rsidR="004D4A5D">
        <w:t>.</w:t>
      </w:r>
    </w:p>
    <w:p w14:paraId="2CB92609" w14:textId="37C42931" w:rsidR="00A67BE8" w:rsidRDefault="004D4A5D" w:rsidP="00250515">
      <w:pPr>
        <w:pStyle w:val="F9-Paragraph"/>
        <w:numPr>
          <w:ilvl w:val="0"/>
          <w:numId w:val="7"/>
        </w:numPr>
        <w:ind w:left="851" w:hanging="851"/>
      </w:pPr>
      <w:r w:rsidRPr="004D4A5D">
        <w:t xml:space="preserve">The dutyholder’s arrangements should provide robust notification procedures to ensure timely implementation and the mechanism to inform staff of changes in </w:t>
      </w:r>
      <w:r w:rsidR="00E829BC">
        <w:t>t</w:t>
      </w:r>
      <w:r w:rsidRPr="004D4A5D">
        <w:t xml:space="preserve">hreat and </w:t>
      </w:r>
      <w:r w:rsidR="00E829BC">
        <w:t>RL</w:t>
      </w:r>
      <w:r>
        <w:t>.</w:t>
      </w:r>
    </w:p>
    <w:p w14:paraId="3013850E" w14:textId="59577DE2" w:rsidR="00A67BE8" w:rsidRDefault="00F04999" w:rsidP="00250515">
      <w:pPr>
        <w:pStyle w:val="F9-Paragraph"/>
        <w:numPr>
          <w:ilvl w:val="0"/>
          <w:numId w:val="7"/>
        </w:numPr>
        <w:ind w:left="851" w:hanging="851"/>
      </w:pPr>
      <w:r w:rsidRPr="00F04999">
        <w:t xml:space="preserve">Dutyholders should determine how CT protective security measures will interface with the company’s business continuity planning. All relevant parts of the company should be involved in the production and review of </w:t>
      </w:r>
      <w:r w:rsidR="0055542F">
        <w:t>security contingency</w:t>
      </w:r>
      <w:r w:rsidRPr="00F04999">
        <w:t xml:space="preserve"> plans and be aware of them, for example communications groups for media handling in the event of an incident. CT protective security measures including contingency planning and exercising will need to be detailed or comprehensively referenced in security plans</w:t>
      </w:r>
      <w:r>
        <w:t>.</w:t>
      </w:r>
    </w:p>
    <w:p w14:paraId="1D760C26" w14:textId="4160B6CD" w:rsidR="00F04999" w:rsidRDefault="00800562" w:rsidP="00250515">
      <w:pPr>
        <w:pStyle w:val="F9-Paragraph"/>
        <w:numPr>
          <w:ilvl w:val="0"/>
          <w:numId w:val="7"/>
        </w:numPr>
        <w:ind w:left="851" w:hanging="851"/>
      </w:pPr>
      <w:r w:rsidRPr="00800562">
        <w:t>The dutyholder may exceptionally implement an increased response level in response to credible threat advice received directly from an authoritative and verified local or national source, or where the circumstances at the site warrant it. Should this situation arise, the company should immediately inform CNC (CCC) and ONR of the circumstances</w:t>
      </w:r>
      <w:r>
        <w:t>.</w:t>
      </w:r>
    </w:p>
    <w:p w14:paraId="426061BA" w14:textId="77777777" w:rsidR="00E829BC" w:rsidRDefault="00E829BC" w:rsidP="000B2605">
      <w:pPr>
        <w:pStyle w:val="Heading1"/>
        <w:sectPr w:rsidR="00E829BC" w:rsidSect="000B2BCD">
          <w:pgSz w:w="11906" w:h="16838" w:code="9"/>
          <w:pgMar w:top="1440" w:right="1440" w:bottom="1440" w:left="1440" w:header="397" w:footer="397" w:gutter="0"/>
          <w:cols w:space="312"/>
          <w:docGrid w:linePitch="360"/>
        </w:sectPr>
      </w:pPr>
    </w:p>
    <w:p w14:paraId="75984DBC" w14:textId="19313E78" w:rsidR="00800562" w:rsidRDefault="00141CB4" w:rsidP="000B2605">
      <w:pPr>
        <w:pStyle w:val="Heading1"/>
      </w:pPr>
      <w:bookmarkStart w:id="15" w:name="_Toc176506425"/>
      <w:r w:rsidRPr="00141CB4">
        <w:lastRenderedPageBreak/>
        <w:t xml:space="preserve">Development </w:t>
      </w:r>
      <w:r>
        <w:t>o</w:t>
      </w:r>
      <w:r w:rsidRPr="00141CB4">
        <w:t xml:space="preserve">f </w:t>
      </w:r>
      <w:r>
        <w:t>t</w:t>
      </w:r>
      <w:r w:rsidRPr="00141CB4">
        <w:t>he SCP</w:t>
      </w:r>
      <w:bookmarkEnd w:id="15"/>
    </w:p>
    <w:p w14:paraId="0B706860" w14:textId="406044D6" w:rsidR="00A67BE8" w:rsidRDefault="00141CB4" w:rsidP="00250515">
      <w:pPr>
        <w:pStyle w:val="F9-Paragraph"/>
        <w:numPr>
          <w:ilvl w:val="0"/>
          <w:numId w:val="7"/>
        </w:numPr>
        <w:ind w:left="851" w:hanging="851"/>
      </w:pPr>
      <w:r w:rsidRPr="00141CB4">
        <w:t xml:space="preserve">Heads of Site/Site Directors should select </w:t>
      </w:r>
      <w:r w:rsidR="00E829BC">
        <w:t>s</w:t>
      </w:r>
      <w:r w:rsidRPr="00141CB4">
        <w:t xml:space="preserve">uitably </w:t>
      </w:r>
      <w:r w:rsidR="00E829BC">
        <w:t>q</w:t>
      </w:r>
      <w:r w:rsidRPr="00141CB4">
        <w:t xml:space="preserve">ualified and </w:t>
      </w:r>
      <w:r w:rsidR="00E829BC">
        <w:t>e</w:t>
      </w:r>
      <w:r w:rsidRPr="00141CB4">
        <w:t>xperienced (SQEP) staff of appropriate seniority to take responsibility for the preparation, implementation and review of the SCP</w:t>
      </w:r>
      <w:r>
        <w:t>.</w:t>
      </w:r>
    </w:p>
    <w:p w14:paraId="7B5783CE" w14:textId="69CC9A27" w:rsidR="00141CB4" w:rsidRPr="000B340D" w:rsidRDefault="00141CB4" w:rsidP="00141CB4">
      <w:pPr>
        <w:pStyle w:val="F9-Paragraph"/>
        <w:numPr>
          <w:ilvl w:val="0"/>
          <w:numId w:val="7"/>
        </w:numPr>
        <w:ind w:left="851" w:hanging="851"/>
      </w:pPr>
      <w:r w:rsidRPr="00141CB4">
        <w:t>The SCP author will require support and input from a range of staff on a site.</w:t>
      </w:r>
      <w:r w:rsidR="000B2605">
        <w:t xml:space="preserve"> </w:t>
      </w:r>
      <w:r w:rsidRPr="00141CB4">
        <w:t>Liaison with key stakeholders</w:t>
      </w:r>
      <w:r w:rsidRPr="00141CB4">
        <w:rPr>
          <w:vertAlign w:val="superscript"/>
        </w:rPr>
        <w:footnoteReference w:id="2"/>
      </w:r>
      <w:r w:rsidRPr="00141CB4">
        <w:t xml:space="preserve"> is also necessary throughout the drafting and review process. Such activity will ensure the SCP considers, and is complementary to, response plans operated and maintained by each relevant stakeholder. Evidence of such engagement also provides assurance that </w:t>
      </w:r>
      <w:r w:rsidRPr="000B340D">
        <w:t>effective working relationships exist.</w:t>
      </w:r>
    </w:p>
    <w:p w14:paraId="2FAD20E0" w14:textId="483D8B33" w:rsidR="00141CB4" w:rsidRPr="000B340D" w:rsidRDefault="00141CB4" w:rsidP="00141CB4">
      <w:pPr>
        <w:pStyle w:val="F9-Paragraph"/>
        <w:numPr>
          <w:ilvl w:val="0"/>
          <w:numId w:val="7"/>
        </w:numPr>
        <w:ind w:left="851" w:hanging="851"/>
      </w:pPr>
      <w:r w:rsidRPr="000B340D">
        <w:t xml:space="preserve">When developing SCPs at sites where there is a CNC presence, there should be full consultation between the CNC and site stakeholders </w:t>
      </w:r>
      <w:r w:rsidR="00E829BC">
        <w:br/>
      </w:r>
      <w:r w:rsidRPr="000B340D">
        <w:t xml:space="preserve">(including those with responsibilities for Security, Safety and Emergency Preparedness). The consultation process should ensure SCPs are coherent, align with other plans, deliver maximum effect, clarify relationships between the ‘supported and supporting’ commanders and avoid misunderstanding. The CNC </w:t>
      </w:r>
      <w:r w:rsidR="00761B0C">
        <w:t>FIM</w:t>
      </w:r>
      <w:r w:rsidRPr="000B340D">
        <w:t xml:space="preserve"> and Operational Unit Commanders should maintain comprehensive instructions detailing the CNC’s response to counter the threats detailed in the Design Basis Threat (DBT). These response plans are complementary to the SCP and together they must enable interoperability, unified command and a coordinated and effective response to an NSE. There should be evidence that the dutyholder has sought theoretical and physical verification that the site’s SCP, CNC response plans, and plans of all relevant emergency first responders, are mutually supportive and coherent to support delivery of the PPS Response and required effect</w:t>
      </w:r>
      <w:r w:rsidR="00161A9B" w:rsidRPr="000B340D">
        <w:t>.</w:t>
      </w:r>
    </w:p>
    <w:p w14:paraId="7AEE9304" w14:textId="3DCAFBCF" w:rsidR="00161A9B" w:rsidRPr="000B340D" w:rsidRDefault="00161A9B" w:rsidP="00141CB4">
      <w:pPr>
        <w:pStyle w:val="F9-Paragraph"/>
        <w:numPr>
          <w:ilvl w:val="0"/>
          <w:numId w:val="7"/>
        </w:numPr>
        <w:ind w:left="851" w:hanging="851"/>
      </w:pPr>
      <w:r w:rsidRPr="000B340D">
        <w:t>Appropriately sanitised details of CNC actions</w:t>
      </w:r>
      <w:r w:rsidR="00467177" w:rsidRPr="000B340D">
        <w:t>,</w:t>
      </w:r>
      <w:r w:rsidRPr="000B340D">
        <w:t xml:space="preserve"> in support of the SEO response</w:t>
      </w:r>
      <w:r w:rsidR="00467177" w:rsidRPr="000B340D">
        <w:t>,</w:t>
      </w:r>
      <w:r w:rsidRPr="000B340D">
        <w:t xml:space="preserve"> could be included in the SCP. The inclusion of these details will assist SEO decision-makers understand the likely tactics, techniques and procedures that the CNC could deploy in response to a threat.</w:t>
      </w:r>
    </w:p>
    <w:p w14:paraId="7D590E04" w14:textId="77777777" w:rsidR="00E829BC" w:rsidRDefault="00E829BC" w:rsidP="00141CB4">
      <w:pPr>
        <w:pStyle w:val="F9-Paragraph"/>
        <w:numPr>
          <w:ilvl w:val="0"/>
          <w:numId w:val="7"/>
        </w:numPr>
        <w:ind w:left="851" w:hanging="851"/>
        <w:sectPr w:rsidR="00E829BC" w:rsidSect="000B2BCD">
          <w:pgSz w:w="11906" w:h="16838" w:code="9"/>
          <w:pgMar w:top="1440" w:right="1440" w:bottom="1440" w:left="1440" w:header="397" w:footer="397" w:gutter="0"/>
          <w:cols w:space="312"/>
          <w:docGrid w:linePitch="360"/>
        </w:sectPr>
      </w:pPr>
    </w:p>
    <w:p w14:paraId="4EAB7681" w14:textId="610D4D7D" w:rsidR="00161A9B" w:rsidRPr="000B340D" w:rsidRDefault="007E0317" w:rsidP="00141CB4">
      <w:pPr>
        <w:pStyle w:val="F9-Paragraph"/>
        <w:numPr>
          <w:ilvl w:val="0"/>
          <w:numId w:val="7"/>
        </w:numPr>
        <w:ind w:left="851" w:hanging="851"/>
      </w:pPr>
      <w:r w:rsidRPr="000B340D">
        <w:lastRenderedPageBreak/>
        <w:t>In order to enable interoperability, unified command and a coordinated effective response to an NSE, the SCP should be harmonised with other site emergency response plans and arrangements, such as the Emergency Plan, Emergency Handbook and LC</w:t>
      </w:r>
      <w:r w:rsidR="00E829BC">
        <w:t xml:space="preserve"> </w:t>
      </w:r>
      <w:r w:rsidRPr="000B340D">
        <w:t>11 arrangements.</w:t>
      </w:r>
      <w:r w:rsidR="000B2605">
        <w:t xml:space="preserve"> </w:t>
      </w:r>
      <w:r w:rsidRPr="000B340D">
        <w:t xml:space="preserve">The SCP must clearly demonstrate how the decision-maker will interface with the site’s wider safety, emergency and business continuity planning. There should also be evidence that the author of the SCP has worked with the authors of both the Emergency Plan and Handbook to ensure they are complementary. </w:t>
      </w:r>
      <w:r w:rsidR="00E829BC">
        <w:br/>
      </w:r>
      <w:r w:rsidRPr="000B340D">
        <w:t xml:space="preserve">There should also be guidance to assist decision makers in assessing risk when priorities conflict, or if the plans recommend conflicting actions. </w:t>
      </w:r>
      <w:r w:rsidR="00E829BC">
        <w:br/>
      </w:r>
      <w:r w:rsidRPr="000B340D">
        <w:t>For example, there should be clarity in how the SEO measures the benefit of moving personnel around site to repair vital plant, or extract them from a danger area, when the site is in lockdown.</w:t>
      </w:r>
    </w:p>
    <w:p w14:paraId="6CFE991A" w14:textId="44C986F4" w:rsidR="007E0317" w:rsidRPr="000B340D" w:rsidRDefault="000F072F" w:rsidP="00141CB4">
      <w:pPr>
        <w:pStyle w:val="F9-Paragraph"/>
        <w:numPr>
          <w:ilvl w:val="0"/>
          <w:numId w:val="7"/>
        </w:numPr>
        <w:ind w:left="851" w:hanging="851"/>
      </w:pPr>
      <w:r w:rsidRPr="000B340D">
        <w:t>On civil nuclear premises where there is more than one occupier or tenant, and at adjacent nuclear licensed sites, all parties should be aware of the requirement to maintain a SCP. Periodic joint reviews should be carried out to confirm all parties understand their individual and collective responsibilities. Adjacent or multi-occupant site SCPs must be complementary so that actions and responses are managed and coordinated effectively. This is particularly relevant where, for example, a service is provided by a single security force to co-located dutyholders. Evidence of such engagement will demonstrate that good working relationships exist.</w:t>
      </w:r>
    </w:p>
    <w:p w14:paraId="205AF3B0" w14:textId="77777777" w:rsidR="00E829BC" w:rsidRDefault="00E829BC" w:rsidP="000B2605">
      <w:pPr>
        <w:pStyle w:val="Heading1"/>
        <w:sectPr w:rsidR="00E829BC" w:rsidSect="000B2BCD">
          <w:pgSz w:w="11906" w:h="16838" w:code="9"/>
          <w:pgMar w:top="1440" w:right="1440" w:bottom="1440" w:left="1440" w:header="397" w:footer="397" w:gutter="0"/>
          <w:cols w:space="312"/>
          <w:docGrid w:linePitch="360"/>
        </w:sectPr>
      </w:pPr>
    </w:p>
    <w:p w14:paraId="13DD708B" w14:textId="560D3D54" w:rsidR="000F072F" w:rsidRPr="000B340D" w:rsidRDefault="00AE7212" w:rsidP="000B2605">
      <w:pPr>
        <w:pStyle w:val="Heading1"/>
      </w:pPr>
      <w:bookmarkStart w:id="16" w:name="_Toc176506426"/>
      <w:r w:rsidRPr="000B340D">
        <w:lastRenderedPageBreak/>
        <w:t xml:space="preserve">Structure </w:t>
      </w:r>
      <w:r w:rsidR="00E829BC">
        <w:t>o</w:t>
      </w:r>
      <w:r w:rsidRPr="000B340D">
        <w:t xml:space="preserve">f </w:t>
      </w:r>
      <w:r w:rsidR="00E829BC">
        <w:t>t</w:t>
      </w:r>
      <w:r w:rsidRPr="000B340D">
        <w:t xml:space="preserve">he </w:t>
      </w:r>
      <w:r w:rsidR="00E829BC">
        <w:t>SCP</w:t>
      </w:r>
      <w:bookmarkEnd w:id="16"/>
    </w:p>
    <w:p w14:paraId="0F262EBC" w14:textId="5A39BFB4" w:rsidR="00AE7212" w:rsidRPr="000B340D" w:rsidRDefault="00CC5D36" w:rsidP="00250515">
      <w:pPr>
        <w:pStyle w:val="F9-Paragraph"/>
        <w:numPr>
          <w:ilvl w:val="0"/>
          <w:numId w:val="7"/>
        </w:numPr>
        <w:ind w:left="851" w:hanging="851"/>
      </w:pPr>
      <w:r w:rsidRPr="000B340D">
        <w:t>Dutyholders may decide on the content and layout of the SCP.</w:t>
      </w:r>
      <w:r w:rsidR="000B2605">
        <w:t xml:space="preserve"> </w:t>
      </w:r>
      <w:r w:rsidRPr="000B340D">
        <w:t>However, its structure and internal referencing/indexing should:</w:t>
      </w:r>
    </w:p>
    <w:p w14:paraId="7F2562E3" w14:textId="1346D9B1" w:rsidR="00CC5D36" w:rsidRPr="000B340D" w:rsidRDefault="00CC5D36" w:rsidP="00CC5D36">
      <w:pPr>
        <w:pStyle w:val="Bulletlist1"/>
      </w:pPr>
      <w:r w:rsidRPr="000B340D">
        <w:t>enable swift and accurate navigation to deliver a timely and effective response;</w:t>
      </w:r>
    </w:p>
    <w:p w14:paraId="228A9BE8" w14:textId="59690C2B" w:rsidR="00CC5D36" w:rsidRPr="000B340D" w:rsidRDefault="00DD0ACE" w:rsidP="00CC5D36">
      <w:pPr>
        <w:pStyle w:val="Bulletlist1"/>
      </w:pPr>
      <w:r w:rsidRPr="000B340D">
        <w:t>be concise and simple to use (to aid rapid, informed decision making); and,</w:t>
      </w:r>
    </w:p>
    <w:p w14:paraId="0792BDC3" w14:textId="75CAEB25" w:rsidR="00DD0ACE" w:rsidRPr="000B340D" w:rsidRDefault="005C7ACA" w:rsidP="00CC5D36">
      <w:pPr>
        <w:pStyle w:val="Bulletlist1"/>
      </w:pPr>
      <w:r w:rsidRPr="000B340D">
        <w:t>guide the decision-maker on the considerations and actions needed to be taken by the SEO in response to/management of/recovery from, a malicious event.</w:t>
      </w:r>
    </w:p>
    <w:p w14:paraId="70726595" w14:textId="698D74BF" w:rsidR="00AE7212" w:rsidRPr="000B340D" w:rsidRDefault="00ED148D" w:rsidP="00250515">
      <w:pPr>
        <w:pStyle w:val="F9-Paragraph"/>
        <w:numPr>
          <w:ilvl w:val="0"/>
          <w:numId w:val="7"/>
        </w:numPr>
        <w:ind w:left="851" w:hanging="851"/>
      </w:pPr>
      <w:bookmarkStart w:id="17" w:name="_Ref176505189"/>
      <w:r w:rsidRPr="000B340D">
        <w:t>The dutyholder should develop site-specific procedures, as part of the SCP, to be followed during an NSE, or the discovery of something that may cause (or suspected to cause) serious or imminent danger.</w:t>
      </w:r>
      <w:r w:rsidR="000B2605">
        <w:t xml:space="preserve"> </w:t>
      </w:r>
      <w:r w:rsidRPr="000B340D">
        <w:t>Contingencies should be based on a series of activity lists, action checklists or other appropriate forms of decision support matrices to ensure the decision maker understands the actions that need to be considered by the SEO at each phase of the response. These phases should be as follows</w:t>
      </w:r>
      <w:r w:rsidR="00E829BC">
        <w:t xml:space="preserve"> (refer to </w:t>
      </w:r>
      <w:r w:rsidR="00E829BC">
        <w:fldChar w:fldCharType="begin"/>
      </w:r>
      <w:r w:rsidR="00E829BC">
        <w:instrText xml:space="preserve"> REF _Ref176505750 \h </w:instrText>
      </w:r>
      <w:r w:rsidR="00E829BC">
        <w:fldChar w:fldCharType="separate"/>
      </w:r>
      <w:r w:rsidR="00E829BC">
        <w:t xml:space="preserve">Table </w:t>
      </w:r>
      <w:r w:rsidR="00E829BC">
        <w:rPr>
          <w:noProof/>
        </w:rPr>
        <w:t>2</w:t>
      </w:r>
      <w:r w:rsidR="00E829BC">
        <w:fldChar w:fldCharType="end"/>
      </w:r>
      <w:r w:rsidR="00E829BC">
        <w:t>)</w:t>
      </w:r>
      <w:r w:rsidRPr="000B340D">
        <w:t>:</w:t>
      </w:r>
      <w:bookmarkEnd w:id="17"/>
    </w:p>
    <w:p w14:paraId="587768CF" w14:textId="5643FD8A" w:rsidR="00E829BC" w:rsidRDefault="00E829BC" w:rsidP="00E829BC">
      <w:pPr>
        <w:pStyle w:val="Caption"/>
        <w:keepNext/>
        <w:ind w:left="851"/>
      </w:pPr>
      <w:bookmarkStart w:id="18" w:name="_Ref176505750"/>
      <w:r>
        <w:t xml:space="preserve">Table </w:t>
      </w:r>
      <w:r>
        <w:fldChar w:fldCharType="begin"/>
      </w:r>
      <w:r>
        <w:instrText xml:space="preserve"> SEQ Table \* ARABIC </w:instrText>
      </w:r>
      <w:r>
        <w:fldChar w:fldCharType="separate"/>
      </w:r>
      <w:r>
        <w:rPr>
          <w:noProof/>
        </w:rPr>
        <w:t>2</w:t>
      </w:r>
      <w:r>
        <w:fldChar w:fldCharType="end"/>
      </w:r>
      <w:bookmarkEnd w:id="18"/>
      <w:r>
        <w:t xml:space="preserve"> - Phases of the response</w:t>
      </w:r>
    </w:p>
    <w:tbl>
      <w:tblPr>
        <w:tblStyle w:val="ONRTable1"/>
        <w:tblW w:w="4529" w:type="pct"/>
        <w:tblInd w:w="851" w:type="dxa"/>
        <w:tblLook w:val="04A0" w:firstRow="1" w:lastRow="0" w:firstColumn="1" w:lastColumn="0" w:noHBand="0" w:noVBand="1"/>
      </w:tblPr>
      <w:tblGrid>
        <w:gridCol w:w="992"/>
        <w:gridCol w:w="1843"/>
        <w:gridCol w:w="5341"/>
      </w:tblGrid>
      <w:tr w:rsidR="00C52FC8" w:rsidRPr="00E829BC" w14:paraId="7A7277CB" w14:textId="77777777" w:rsidTr="00E829BC">
        <w:trPr>
          <w:cnfStyle w:val="100000000000" w:firstRow="1" w:lastRow="0" w:firstColumn="0" w:lastColumn="0" w:oddVBand="0" w:evenVBand="0" w:oddHBand="0" w:evenHBand="0" w:firstRowFirstColumn="0" w:firstRowLastColumn="0" w:lastRowFirstColumn="0" w:lastRowLastColumn="0"/>
          <w:trHeight w:val="432"/>
        </w:trPr>
        <w:tc>
          <w:tcPr>
            <w:tcW w:w="607" w:type="pct"/>
            <w:vAlign w:val="center"/>
            <w:hideMark/>
          </w:tcPr>
          <w:p w14:paraId="1EDC2DE5" w14:textId="7E8EFABF" w:rsidR="005B30DA" w:rsidRPr="00E829BC" w:rsidRDefault="005B30DA" w:rsidP="00321696">
            <w:pPr>
              <w:pStyle w:val="TableText"/>
              <w:keepNext/>
              <w:rPr>
                <w:b w:val="0"/>
                <w:bCs/>
              </w:rPr>
            </w:pPr>
            <w:r w:rsidRPr="00E829BC">
              <w:rPr>
                <w:b w:val="0"/>
                <w:bCs/>
              </w:rPr>
              <w:t>Phase</w:t>
            </w:r>
          </w:p>
        </w:tc>
        <w:tc>
          <w:tcPr>
            <w:tcW w:w="1127" w:type="pct"/>
            <w:vAlign w:val="center"/>
          </w:tcPr>
          <w:p w14:paraId="7FD9733E" w14:textId="7D370B26" w:rsidR="005B30DA" w:rsidRPr="00E829BC" w:rsidRDefault="005B30DA" w:rsidP="00321696">
            <w:pPr>
              <w:pStyle w:val="TableText"/>
              <w:keepNext/>
              <w:rPr>
                <w:b w:val="0"/>
                <w:bCs/>
              </w:rPr>
            </w:pPr>
            <w:r w:rsidRPr="00E829BC">
              <w:rPr>
                <w:b w:val="0"/>
                <w:bCs/>
              </w:rPr>
              <w:t>Objective</w:t>
            </w:r>
          </w:p>
        </w:tc>
        <w:tc>
          <w:tcPr>
            <w:tcW w:w="3266" w:type="pct"/>
            <w:vAlign w:val="center"/>
          </w:tcPr>
          <w:p w14:paraId="5427158C" w14:textId="5B79551C" w:rsidR="005B30DA" w:rsidRPr="00E829BC" w:rsidRDefault="005B30DA" w:rsidP="00321696">
            <w:pPr>
              <w:pStyle w:val="TableText"/>
              <w:keepNext/>
              <w:rPr>
                <w:b w:val="0"/>
                <w:bCs/>
              </w:rPr>
            </w:pPr>
            <w:r w:rsidRPr="00E829BC">
              <w:rPr>
                <w:b w:val="0"/>
                <w:bCs/>
              </w:rPr>
              <w:t>Effect</w:t>
            </w:r>
          </w:p>
        </w:tc>
      </w:tr>
      <w:tr w:rsidR="005B30DA" w:rsidRPr="000B340D" w14:paraId="7D8C6380" w14:textId="77777777" w:rsidTr="00E829BC">
        <w:trPr>
          <w:trHeight w:val="585"/>
        </w:trPr>
        <w:tc>
          <w:tcPr>
            <w:tcW w:w="607" w:type="pct"/>
          </w:tcPr>
          <w:p w14:paraId="73FE7138" w14:textId="000E283F" w:rsidR="005B30DA" w:rsidRPr="000B340D" w:rsidRDefault="00E829BC" w:rsidP="00321696">
            <w:pPr>
              <w:pStyle w:val="TableText"/>
            </w:pPr>
            <w:r>
              <w:t>One</w:t>
            </w:r>
          </w:p>
        </w:tc>
        <w:tc>
          <w:tcPr>
            <w:tcW w:w="1127" w:type="pct"/>
          </w:tcPr>
          <w:p w14:paraId="034A6D94" w14:textId="020B6154" w:rsidR="005B30DA" w:rsidRPr="000B340D" w:rsidRDefault="005B30DA" w:rsidP="00321696">
            <w:pPr>
              <w:pStyle w:val="TableText"/>
            </w:pPr>
            <w:r w:rsidRPr="000B340D">
              <w:t>Immediate response</w:t>
            </w:r>
          </w:p>
        </w:tc>
        <w:tc>
          <w:tcPr>
            <w:tcW w:w="3266" w:type="pct"/>
          </w:tcPr>
          <w:p w14:paraId="0B4F5569" w14:textId="61934E37" w:rsidR="005B30DA" w:rsidRPr="000B340D" w:rsidRDefault="005B30DA" w:rsidP="005B30DA">
            <w:pPr>
              <w:pStyle w:val="TableText"/>
            </w:pPr>
            <w:r w:rsidRPr="000B340D">
              <w:t>The OPERATIONAL response of site first-responders</w:t>
            </w:r>
            <w:r w:rsidRPr="000B340D">
              <w:rPr>
                <w:vertAlign w:val="superscript"/>
              </w:rPr>
              <w:footnoteReference w:id="3"/>
            </w:r>
            <w:r w:rsidRPr="000B340D">
              <w:t>.</w:t>
            </w:r>
          </w:p>
        </w:tc>
      </w:tr>
      <w:tr w:rsidR="005B30DA" w:rsidRPr="000B340D" w14:paraId="621F4579" w14:textId="77777777" w:rsidTr="00E829BC">
        <w:trPr>
          <w:trHeight w:val="885"/>
        </w:trPr>
        <w:tc>
          <w:tcPr>
            <w:tcW w:w="607" w:type="pct"/>
          </w:tcPr>
          <w:p w14:paraId="4A130553" w14:textId="68C87D45" w:rsidR="005B30DA" w:rsidRPr="000B340D" w:rsidRDefault="00E829BC" w:rsidP="00321696">
            <w:pPr>
              <w:pStyle w:val="TableText"/>
            </w:pPr>
            <w:r>
              <w:t>Two</w:t>
            </w:r>
          </w:p>
        </w:tc>
        <w:tc>
          <w:tcPr>
            <w:tcW w:w="1127" w:type="pct"/>
          </w:tcPr>
          <w:p w14:paraId="56C018D1" w14:textId="5CE838D9" w:rsidR="005B30DA" w:rsidRPr="000B340D" w:rsidRDefault="005B30DA" w:rsidP="00321696">
            <w:pPr>
              <w:pStyle w:val="TableText"/>
            </w:pPr>
            <w:r w:rsidRPr="000B340D">
              <w:t>Event management</w:t>
            </w:r>
          </w:p>
        </w:tc>
        <w:tc>
          <w:tcPr>
            <w:tcW w:w="3266" w:type="pct"/>
          </w:tcPr>
          <w:p w14:paraId="2284F7B3" w14:textId="6C87E416" w:rsidR="005B30DA" w:rsidRPr="000B340D" w:rsidRDefault="00C52FC8" w:rsidP="00321696">
            <w:pPr>
              <w:pStyle w:val="TableText"/>
            </w:pPr>
            <w:r w:rsidRPr="000B340D">
              <w:t>The integrated TACTICAL management of an event up to the threat being neutralised/risk reduced to the same level as at the start. This will likely involve external multi-agency emergency responders.</w:t>
            </w:r>
          </w:p>
        </w:tc>
      </w:tr>
      <w:tr w:rsidR="005B30DA" w:rsidRPr="000B340D" w14:paraId="7F76290F" w14:textId="77777777" w:rsidTr="00E829BC">
        <w:trPr>
          <w:trHeight w:val="885"/>
        </w:trPr>
        <w:tc>
          <w:tcPr>
            <w:tcW w:w="607" w:type="pct"/>
          </w:tcPr>
          <w:p w14:paraId="37204692" w14:textId="7D55669E" w:rsidR="005B30DA" w:rsidRPr="000B340D" w:rsidRDefault="00E829BC" w:rsidP="00321696">
            <w:pPr>
              <w:pStyle w:val="TableText"/>
            </w:pPr>
            <w:r>
              <w:t>Three</w:t>
            </w:r>
          </w:p>
        </w:tc>
        <w:tc>
          <w:tcPr>
            <w:tcW w:w="1127" w:type="pct"/>
          </w:tcPr>
          <w:p w14:paraId="6C402F78" w14:textId="2BF7C651" w:rsidR="005B30DA" w:rsidRPr="000B340D" w:rsidRDefault="00C52FC8" w:rsidP="00321696">
            <w:pPr>
              <w:pStyle w:val="TableText"/>
            </w:pPr>
            <w:r w:rsidRPr="000B340D">
              <w:t>Consequence management</w:t>
            </w:r>
          </w:p>
        </w:tc>
        <w:tc>
          <w:tcPr>
            <w:tcW w:w="3266" w:type="pct"/>
          </w:tcPr>
          <w:p w14:paraId="756A0607" w14:textId="6D63FF65" w:rsidR="005B30DA" w:rsidRPr="000B340D" w:rsidRDefault="00C52FC8" w:rsidP="00321696">
            <w:pPr>
              <w:pStyle w:val="TableText"/>
            </w:pPr>
            <w:r w:rsidRPr="000B340D">
              <w:t xml:space="preserve">The integrated TACTICAL post-incident recovery and management of the security of any crime scene in conjunction with the CNC and/or </w:t>
            </w:r>
            <w:r w:rsidR="00D24D25">
              <w:t>local</w:t>
            </w:r>
            <w:r w:rsidRPr="000B340D">
              <w:t xml:space="preserve"> police forces.</w:t>
            </w:r>
            <w:r w:rsidR="000B2605">
              <w:t xml:space="preserve"> </w:t>
            </w:r>
            <w:r w:rsidRPr="000B340D">
              <w:t>This may include STRATEGIC factors that impact upon the site.</w:t>
            </w:r>
          </w:p>
        </w:tc>
      </w:tr>
    </w:tbl>
    <w:p w14:paraId="4D92ED98" w14:textId="77777777" w:rsidR="00AE7212" w:rsidRPr="000B340D" w:rsidRDefault="00AE7212" w:rsidP="005B30DA">
      <w:pPr>
        <w:pStyle w:val="F9-Paragraph"/>
        <w:ind w:left="851"/>
      </w:pPr>
    </w:p>
    <w:p w14:paraId="73EE321F" w14:textId="3D6278EC" w:rsidR="00AE7212" w:rsidRPr="000B340D" w:rsidRDefault="005865BD" w:rsidP="00250515">
      <w:pPr>
        <w:pStyle w:val="F9-Paragraph"/>
        <w:numPr>
          <w:ilvl w:val="0"/>
          <w:numId w:val="7"/>
        </w:numPr>
        <w:ind w:left="851" w:hanging="851"/>
      </w:pPr>
      <w:r w:rsidRPr="000B340D">
        <w:lastRenderedPageBreak/>
        <w:t>Notwithstanding the style or structure, a dutyholder’s SCP should include the following attributes:</w:t>
      </w:r>
    </w:p>
    <w:p w14:paraId="6A9817C4" w14:textId="24FF6DC0" w:rsidR="00BE144A" w:rsidRPr="000B340D" w:rsidRDefault="00214A2D" w:rsidP="00721416">
      <w:pPr>
        <w:pStyle w:val="Bulletlist1"/>
      </w:pPr>
      <w:r>
        <w:t>Ownership</w:t>
      </w:r>
      <w:r w:rsidR="00BE144A" w:rsidRPr="000B340D">
        <w:t xml:space="preserve"> at Board level or equivalent.</w:t>
      </w:r>
    </w:p>
    <w:p w14:paraId="656AABB0" w14:textId="19083215" w:rsidR="00BE144A" w:rsidRPr="000B340D" w:rsidRDefault="00BE144A" w:rsidP="00721416">
      <w:pPr>
        <w:pStyle w:val="Bulletlist1"/>
      </w:pPr>
      <w:r w:rsidRPr="000B340D">
        <w:t>Development and maintenance in accordance with the site’s quality assurance process.</w:t>
      </w:r>
    </w:p>
    <w:p w14:paraId="4E3C3F24" w14:textId="018D5F18" w:rsidR="00BE144A" w:rsidRPr="000B340D" w:rsidRDefault="007C10C3" w:rsidP="00721416">
      <w:pPr>
        <w:pStyle w:val="Bulletlist1"/>
      </w:pPr>
      <w:r w:rsidRPr="000B340D">
        <w:t>Provision of a rapid response to an NSE by specifying the processes and procedures for the assembly, organisation and deployment of essential personnel.</w:t>
      </w:r>
    </w:p>
    <w:p w14:paraId="5125DCF6" w14:textId="44A8BC4A" w:rsidR="007C10C3" w:rsidRPr="000B340D" w:rsidRDefault="004F1BF0" w:rsidP="00721416">
      <w:pPr>
        <w:pStyle w:val="Bulletlist1"/>
      </w:pPr>
      <w:r w:rsidRPr="000B340D">
        <w:t>Identification of clear lines of responsibility, legal obligations and associated delegated powers as necessary.</w:t>
      </w:r>
    </w:p>
    <w:p w14:paraId="3EC56243" w14:textId="7C293406" w:rsidR="004F1BF0" w:rsidRPr="000B340D" w:rsidRDefault="0052505E" w:rsidP="00721416">
      <w:pPr>
        <w:pStyle w:val="Bulletlist1"/>
      </w:pPr>
      <w:r w:rsidRPr="000B340D">
        <w:t>Identification of the tasks which must be undertaken and achieved.</w:t>
      </w:r>
    </w:p>
    <w:p w14:paraId="331842A1" w14:textId="28B9B572" w:rsidR="0052505E" w:rsidRDefault="00FB751B" w:rsidP="00721416">
      <w:pPr>
        <w:pStyle w:val="Bulletlist1"/>
      </w:pPr>
      <w:r w:rsidRPr="000B340D">
        <w:t>Implementation by SQEP personnel at all levels.</w:t>
      </w:r>
    </w:p>
    <w:p w14:paraId="2FB20FE7" w14:textId="5E21B79D" w:rsidR="009D400F" w:rsidRPr="000B340D" w:rsidRDefault="009D400F" w:rsidP="00721416">
      <w:pPr>
        <w:pStyle w:val="Bulletlist1"/>
      </w:pPr>
      <w:r>
        <w:t>Utilisation of additional SQEP security personnel (if required)</w:t>
      </w:r>
      <w:r w:rsidR="00ED0686">
        <w:t>.</w:t>
      </w:r>
    </w:p>
    <w:p w14:paraId="41A5F30B" w14:textId="4DA7A4AE" w:rsidR="00BE144A" w:rsidRPr="000B340D" w:rsidRDefault="00FB751B" w:rsidP="00721416">
      <w:pPr>
        <w:pStyle w:val="Bulletlist1"/>
      </w:pPr>
      <w:r w:rsidRPr="000B340D">
        <w:t xml:space="preserve">Full integration with all appropriate stakeholders such as CNC and </w:t>
      </w:r>
      <w:r w:rsidR="009D400F">
        <w:t>local</w:t>
      </w:r>
      <w:r w:rsidRPr="000B340D">
        <w:t xml:space="preserve"> police forces.</w:t>
      </w:r>
    </w:p>
    <w:p w14:paraId="17DD3994" w14:textId="590F65C3" w:rsidR="00FB751B" w:rsidRPr="000B340D" w:rsidRDefault="009D400F" w:rsidP="00721416">
      <w:pPr>
        <w:pStyle w:val="Bulletlist1"/>
      </w:pPr>
      <w:r>
        <w:t>Co-ordination</w:t>
      </w:r>
      <w:r w:rsidR="00FB751B" w:rsidRPr="000B340D">
        <w:t xml:space="preserve"> with all other response/emergency plans.</w:t>
      </w:r>
    </w:p>
    <w:p w14:paraId="5B5161A0" w14:textId="77777777" w:rsidR="00E829BC" w:rsidRDefault="00E829BC" w:rsidP="000B2605">
      <w:pPr>
        <w:pStyle w:val="Heading1"/>
        <w:sectPr w:rsidR="00E829BC" w:rsidSect="000B2BCD">
          <w:pgSz w:w="11906" w:h="16838" w:code="9"/>
          <w:pgMar w:top="1440" w:right="1440" w:bottom="1440" w:left="1440" w:header="397" w:footer="397" w:gutter="0"/>
          <w:cols w:space="312"/>
          <w:docGrid w:linePitch="360"/>
        </w:sectPr>
      </w:pPr>
    </w:p>
    <w:p w14:paraId="3ACA3E73" w14:textId="2F68E43E" w:rsidR="00AE7212" w:rsidRPr="000B340D" w:rsidRDefault="005E7F36" w:rsidP="000B2605">
      <w:pPr>
        <w:pStyle w:val="Heading1"/>
      </w:pPr>
      <w:r w:rsidRPr="000B340D">
        <w:lastRenderedPageBreak/>
        <w:t xml:space="preserve"> </w:t>
      </w:r>
      <w:bookmarkStart w:id="19" w:name="_Toc176506427"/>
      <w:r w:rsidRPr="000B340D">
        <w:t>Ownership of the SCP</w:t>
      </w:r>
      <w:bookmarkEnd w:id="19"/>
    </w:p>
    <w:p w14:paraId="6F7BE1BA" w14:textId="6CB3F03C" w:rsidR="005E7F36" w:rsidRPr="000B340D" w:rsidRDefault="0087020B" w:rsidP="00250515">
      <w:pPr>
        <w:pStyle w:val="F9-Paragraph"/>
        <w:numPr>
          <w:ilvl w:val="0"/>
          <w:numId w:val="7"/>
        </w:numPr>
        <w:ind w:left="851" w:hanging="851"/>
      </w:pPr>
      <w:r w:rsidRPr="000B340D">
        <w:t xml:space="preserve">The SCP should be overseen by the Board level member responsible for security. Accordingly, there should be a clear policy statement, endorsed by the Board/Head of Company, which recognises the need for a SCP and acknowledges the requirement for compliance with NISR </w:t>
      </w:r>
      <w:sdt>
        <w:sdtPr>
          <w:id w:val="2073070644"/>
          <w:citation/>
        </w:sdtPr>
        <w:sdtEndPr/>
        <w:sdtContent>
          <w:r w:rsidR="00E829BC">
            <w:fldChar w:fldCharType="begin"/>
          </w:r>
          <w:r w:rsidR="00E829BC">
            <w:instrText xml:space="preserve"> CITATION HMG032 \l 2057 </w:instrText>
          </w:r>
          <w:r w:rsidR="00E829BC">
            <w:fldChar w:fldCharType="separate"/>
          </w:r>
          <w:r w:rsidR="00A75685">
            <w:rPr>
              <w:noProof/>
            </w:rPr>
            <w:t>[2]</w:t>
          </w:r>
          <w:r w:rsidR="00E829BC">
            <w:fldChar w:fldCharType="end"/>
          </w:r>
        </w:sdtContent>
      </w:sdt>
      <w:r w:rsidRPr="000B340D">
        <w:t>, which is the legislative basis for the protection of nuclear premises and the NM/ORM therein. The policy statement should also endorse the need for regular practice of the SCP.</w:t>
      </w:r>
      <w:r w:rsidR="000B2605">
        <w:t xml:space="preserve"> </w:t>
      </w:r>
      <w:r w:rsidRPr="000B340D">
        <w:t xml:space="preserve">A site’s compliance with the standards in the SPF (particularly those associated with implementation and use of the </w:t>
      </w:r>
      <w:r w:rsidR="00E829BC">
        <w:t>RL</w:t>
      </w:r>
      <w:r w:rsidRPr="000B340D">
        <w:t>), will be viewed as good practice</w:t>
      </w:r>
      <w:r w:rsidR="005E7F36" w:rsidRPr="000B340D">
        <w:t>.</w:t>
      </w:r>
    </w:p>
    <w:p w14:paraId="61EF1E2E" w14:textId="44723671" w:rsidR="005E7F36" w:rsidRPr="000B340D" w:rsidRDefault="00704FD6" w:rsidP="00250515">
      <w:pPr>
        <w:pStyle w:val="F9-Paragraph"/>
        <w:numPr>
          <w:ilvl w:val="0"/>
          <w:numId w:val="7"/>
        </w:numPr>
        <w:ind w:left="851" w:hanging="851"/>
      </w:pPr>
      <w:r w:rsidRPr="000B340D">
        <w:t>In order to confirm their enduring relevance and effectiveness, SCPs should be included in the annual security plan review process. This work can be evidenced through the inclusion of a review statement in the security plan. The review statement should include relevant changes to:</w:t>
      </w:r>
    </w:p>
    <w:p w14:paraId="261237A2" w14:textId="415D619A" w:rsidR="00DA1D08" w:rsidRPr="000B340D" w:rsidRDefault="00DA1D08" w:rsidP="00704FD6">
      <w:pPr>
        <w:pStyle w:val="Bulletlist1"/>
      </w:pPr>
      <w:r w:rsidRPr="000B340D">
        <w:t xml:space="preserve">sector/UK threat and/or </w:t>
      </w:r>
      <w:r w:rsidR="00E829BC">
        <w:t>RL</w:t>
      </w:r>
      <w:r w:rsidRPr="000B340D">
        <w:t>s</w:t>
      </w:r>
      <w:r w:rsidR="00D46E20">
        <w:t>;</w:t>
      </w:r>
    </w:p>
    <w:p w14:paraId="0F82A7C1" w14:textId="6620421D" w:rsidR="00D3634D" w:rsidRPr="000B340D" w:rsidRDefault="00DA1D08" w:rsidP="00704FD6">
      <w:pPr>
        <w:pStyle w:val="Bulletlist1"/>
      </w:pPr>
      <w:r w:rsidRPr="000B340D">
        <w:t xml:space="preserve">site built and operational </w:t>
      </w:r>
      <w:r w:rsidR="00790B3B">
        <w:t>surrounding area</w:t>
      </w:r>
      <w:r w:rsidRPr="000B340D">
        <w:t>;</w:t>
      </w:r>
    </w:p>
    <w:p w14:paraId="66234D57" w14:textId="22B499AC" w:rsidR="00D3634D" w:rsidRPr="000B340D" w:rsidRDefault="00DA1D08" w:rsidP="00704FD6">
      <w:pPr>
        <w:pStyle w:val="Bulletlist1"/>
      </w:pPr>
      <w:r w:rsidRPr="000B340D">
        <w:t>changes within the site emergency plan/handbook, or key stakeholders’ plans that are interlinked with the SCP.</w:t>
      </w:r>
    </w:p>
    <w:p w14:paraId="33EA12E8" w14:textId="11EE0877" w:rsidR="005E7F36" w:rsidRPr="000B340D" w:rsidRDefault="0007665E" w:rsidP="00250515">
      <w:pPr>
        <w:pStyle w:val="F9-Paragraph"/>
        <w:numPr>
          <w:ilvl w:val="0"/>
          <w:numId w:val="7"/>
        </w:numPr>
        <w:ind w:left="851" w:hanging="851"/>
      </w:pPr>
      <w:r w:rsidRPr="000B340D">
        <w:t>Improvements and/or amendments to the SCP may be required following exercises, actual events, or compliance inspections and the dutyholder should have procedures to evidence change supported by strong operational experience processes.</w:t>
      </w:r>
    </w:p>
    <w:p w14:paraId="4649D545" w14:textId="7CE51032" w:rsidR="0007665E" w:rsidRPr="006F5D12" w:rsidRDefault="0007665E" w:rsidP="00250515">
      <w:pPr>
        <w:pStyle w:val="F9-Paragraph"/>
        <w:numPr>
          <w:ilvl w:val="0"/>
          <w:numId w:val="7"/>
        </w:numPr>
        <w:ind w:left="851" w:hanging="851"/>
      </w:pPr>
      <w:r w:rsidRPr="000B340D">
        <w:t>The SCP should be maintained in accordance with the dutyholder’s quality assurance policy and applied consistently to all relevant company sites and areas.</w:t>
      </w:r>
      <w:r w:rsidR="000B2605">
        <w:t xml:space="preserve"> </w:t>
      </w:r>
      <w:r w:rsidRPr="000B340D">
        <w:t xml:space="preserve">The SCP should also contain details of the roles, responsibilities and positions of those individuals who have quality assured, managed and endorsed it. Equally, the assurance arrangements for the delivery of SQEP resource and response capability should be in accordance with the dutyholder’s quality assurance policy and applied consistently to all relevant </w:t>
      </w:r>
      <w:r w:rsidRPr="006F5D12">
        <w:t>company sites and areas.</w:t>
      </w:r>
    </w:p>
    <w:p w14:paraId="0560F60E" w14:textId="77777777" w:rsidR="00E829BC" w:rsidRDefault="00E829BC" w:rsidP="000B2605">
      <w:pPr>
        <w:pStyle w:val="Heading1"/>
        <w:sectPr w:rsidR="00E829BC" w:rsidSect="000B2BCD">
          <w:pgSz w:w="11906" w:h="16838" w:code="9"/>
          <w:pgMar w:top="1440" w:right="1440" w:bottom="1440" w:left="1440" w:header="397" w:footer="397" w:gutter="0"/>
          <w:cols w:space="312"/>
          <w:docGrid w:linePitch="360"/>
        </w:sectPr>
      </w:pPr>
    </w:p>
    <w:p w14:paraId="1D285108" w14:textId="74FF4BA5" w:rsidR="0007665E" w:rsidRPr="006F5D12" w:rsidRDefault="00854D4E" w:rsidP="000B2605">
      <w:pPr>
        <w:pStyle w:val="Heading1"/>
      </w:pPr>
      <w:bookmarkStart w:id="20" w:name="_Toc176506428"/>
      <w:r w:rsidRPr="006F5D12">
        <w:lastRenderedPageBreak/>
        <w:t xml:space="preserve">Application of the DBT, </w:t>
      </w:r>
      <w:r w:rsidR="00E829BC">
        <w:t>o</w:t>
      </w:r>
      <w:r w:rsidRPr="006F5D12">
        <w:t xml:space="preserve">ther </w:t>
      </w:r>
      <w:r w:rsidR="00E829BC">
        <w:t>t</w:t>
      </w:r>
      <w:r w:rsidRPr="006F5D12">
        <w:t xml:space="preserve">hreats and </w:t>
      </w:r>
      <w:r w:rsidR="00E829BC">
        <w:t>the r</w:t>
      </w:r>
      <w:r w:rsidRPr="006F5D12">
        <w:t>obustness of the SCP</w:t>
      </w:r>
      <w:bookmarkEnd w:id="20"/>
    </w:p>
    <w:p w14:paraId="0BC48BDF" w14:textId="422E3713" w:rsidR="005E7F36" w:rsidRPr="006F5D12" w:rsidRDefault="006337E2" w:rsidP="00250515">
      <w:pPr>
        <w:pStyle w:val="F9-Paragraph"/>
        <w:numPr>
          <w:ilvl w:val="0"/>
          <w:numId w:val="7"/>
        </w:numPr>
        <w:ind w:left="851" w:hanging="851"/>
      </w:pPr>
      <w:r w:rsidRPr="006F5D12">
        <w:t xml:space="preserve">Rather than tying the SEO to a rigid response process, contingency responses should deliver a framework within which informed, dynamic and rapid decision making can be undertaken to direct and support a progressive response to a threat. However, in all cases, the SCP should ensure the response can achieve the required security response outcome (as defined in Annex C and D of </w:t>
      </w:r>
      <w:r w:rsidR="00E829BC">
        <w:t xml:space="preserve">ONR’s </w:t>
      </w:r>
      <w:r w:rsidRPr="006F5D12">
        <w:t>SyAPs</w:t>
      </w:r>
      <w:r w:rsidR="00E829BC">
        <w:t xml:space="preserve"> </w:t>
      </w:r>
      <w:sdt>
        <w:sdtPr>
          <w:id w:val="-1433040279"/>
          <w:citation/>
        </w:sdtPr>
        <w:sdtEndPr/>
        <w:sdtContent>
          <w:r w:rsidR="00E829BC">
            <w:fldChar w:fldCharType="begin"/>
          </w:r>
          <w:r w:rsidR="00E829BC">
            <w:instrText xml:space="preserve"> CITATION ONR173 \l 2057 </w:instrText>
          </w:r>
          <w:r w:rsidR="00E829BC">
            <w:fldChar w:fldCharType="separate"/>
          </w:r>
          <w:r w:rsidR="00A75685">
            <w:rPr>
              <w:noProof/>
            </w:rPr>
            <w:t>[1]</w:t>
          </w:r>
          <w:r w:rsidR="00E829BC">
            <w:fldChar w:fldCharType="end"/>
          </w:r>
        </w:sdtContent>
      </w:sdt>
      <w:r w:rsidRPr="006F5D12">
        <w:t>) against relevant DBT threats. The SCP should be written in terms which are intelligible to non-security experts, guiding them through the anticipated actions and requirements of responders and outlining relevant secondary hazards.</w:t>
      </w:r>
    </w:p>
    <w:p w14:paraId="5DD79F9A" w14:textId="178B8DAD" w:rsidR="006337E2" w:rsidRPr="00FE548A" w:rsidRDefault="006337E2" w:rsidP="006337E2">
      <w:pPr>
        <w:pStyle w:val="F9-Paragraph"/>
        <w:numPr>
          <w:ilvl w:val="0"/>
          <w:numId w:val="7"/>
        </w:numPr>
        <w:ind w:left="851" w:hanging="851"/>
      </w:pPr>
      <w:r w:rsidRPr="00FE548A">
        <w:t>The SCP must consider contingencies which clearly reflect relevant threat actors to the site, as laid out in the DBT</w:t>
      </w:r>
      <w:r w:rsidRPr="00FE548A">
        <w:rPr>
          <w:vertAlign w:val="superscript"/>
        </w:rPr>
        <w:footnoteReference w:id="4"/>
      </w:r>
      <w:r w:rsidRPr="00FE548A">
        <w:t>. The contingencies in the SCP should take account of facilities or material which is vulnerable to the capabilities outlined in the DBT.</w:t>
      </w:r>
      <w:r w:rsidR="000B2605">
        <w:t xml:space="preserve"> </w:t>
      </w:r>
      <w:r w:rsidRPr="00FE548A">
        <w:t>Plans to deal with attempted and actual theft, and sabotage should be clearly articulated. The SCP should also reflect other relevant current generic terrorist or domestic extremist threats to mainland Great Britain. Such threats, even if deemed outside the DBT, should not be ruled out. There should also be alignment with relevant aspects of the dutyholders CS&amp;IA contingency responses, where there is a need for first responders to undertake actions to support such responses.</w:t>
      </w:r>
    </w:p>
    <w:p w14:paraId="4670E23B" w14:textId="0294F01E" w:rsidR="006337E2" w:rsidRPr="00FE548A" w:rsidRDefault="006337E2" w:rsidP="006337E2">
      <w:pPr>
        <w:pStyle w:val="F9-Paragraph"/>
        <w:numPr>
          <w:ilvl w:val="0"/>
          <w:numId w:val="7"/>
        </w:numPr>
        <w:ind w:left="851" w:hanging="851"/>
      </w:pPr>
      <w:r w:rsidRPr="00FE548A">
        <w:t>To ensure the SEO actions are realistic and achievable across the three phases of response, contingency measures should be fully developed, both theoretically and practically. As a general rule, a SCP which has been validated through tabletop, computer based exercises, or any other form of drill and exercise, and involves all relevant agencies, is more likely to provide effective integrated responses to actual incidents. A SCP which has been developed purely theoretically</w:t>
      </w:r>
      <w:r w:rsidR="006F5D12" w:rsidRPr="005E307E">
        <w:t>,</w:t>
      </w:r>
      <w:r w:rsidRPr="00FE548A">
        <w:t xml:space="preserve"> cannot be expected to provide assurance. </w:t>
      </w:r>
      <w:r w:rsidR="00B32D5C" w:rsidRPr="005E307E">
        <w:t>E</w:t>
      </w:r>
      <w:r w:rsidRPr="00FE548A">
        <w:t>vidence of practical development, validation and resulting refinement</w:t>
      </w:r>
      <w:r w:rsidR="00B32D5C" w:rsidRPr="005E307E">
        <w:t>,</w:t>
      </w:r>
      <w:r w:rsidRPr="00FE548A">
        <w:t xml:space="preserve"> with all relevant stakeholders</w:t>
      </w:r>
      <w:r w:rsidR="00B32D5C" w:rsidRPr="00DA75E0">
        <w:t xml:space="preserve"> should be recorded and retained.</w:t>
      </w:r>
    </w:p>
    <w:p w14:paraId="4B6319CB" w14:textId="77777777" w:rsidR="00E829BC" w:rsidRDefault="00E829BC" w:rsidP="006337E2">
      <w:pPr>
        <w:pStyle w:val="F9-Paragraph"/>
        <w:numPr>
          <w:ilvl w:val="0"/>
          <w:numId w:val="7"/>
        </w:numPr>
        <w:ind w:left="851" w:hanging="851"/>
        <w:sectPr w:rsidR="00E829BC" w:rsidSect="000B2BCD">
          <w:pgSz w:w="11906" w:h="16838" w:code="9"/>
          <w:pgMar w:top="1440" w:right="1440" w:bottom="1440" w:left="1440" w:header="397" w:footer="397" w:gutter="0"/>
          <w:cols w:space="312"/>
          <w:docGrid w:linePitch="360"/>
        </w:sectPr>
      </w:pPr>
    </w:p>
    <w:p w14:paraId="24FA45BC" w14:textId="7075A172" w:rsidR="006337E2" w:rsidRPr="00FE548A" w:rsidRDefault="006337E2" w:rsidP="006337E2">
      <w:pPr>
        <w:pStyle w:val="F9-Paragraph"/>
        <w:numPr>
          <w:ilvl w:val="0"/>
          <w:numId w:val="7"/>
        </w:numPr>
        <w:ind w:left="851" w:hanging="851"/>
      </w:pPr>
      <w:r w:rsidRPr="00FE548A">
        <w:lastRenderedPageBreak/>
        <w:t>The security plan should identify the arrangements for the protection of NM/ORM from theft and sabotage against the DBT.</w:t>
      </w:r>
      <w:r w:rsidR="000B2605">
        <w:t xml:space="preserve"> </w:t>
      </w:r>
      <w:r w:rsidRPr="00FE548A">
        <w:t>There is an expectation</w:t>
      </w:r>
      <w:r w:rsidR="00214A2D" w:rsidRPr="005E307E">
        <w:t xml:space="preserve"> that the appropriate PPS outcome will be achieved</w:t>
      </w:r>
      <w:r w:rsidRPr="00FE548A">
        <w:t>.</w:t>
      </w:r>
      <w:r w:rsidR="000B2605">
        <w:t xml:space="preserve"> </w:t>
      </w:r>
      <w:r w:rsidRPr="00FE548A">
        <w:t xml:space="preserve">The dutyholder should also consider scenarios outside of the DBT or where the PPS has been ineffective in achieving the required security outcome, </w:t>
      </w:r>
      <w:r w:rsidR="00D150D9" w:rsidRPr="00FE548A">
        <w:t>to</w:t>
      </w:r>
      <w:r w:rsidRPr="00FE548A">
        <w:t xml:space="preserve"> mitigate the effects by putting plant or systems in a quiescent state if possible, or ensure that appropriate responders are informed in a timely manner.</w:t>
      </w:r>
      <w:r w:rsidR="000B2605">
        <w:t xml:space="preserve"> </w:t>
      </w:r>
      <w:r w:rsidRPr="00FE548A">
        <w:t>The list below is not exclusive or exhaustive and dutyholders should use judgement on applicability. Scenarios may include</w:t>
      </w:r>
      <w:r w:rsidR="006F42E9">
        <w:t>:</w:t>
      </w:r>
    </w:p>
    <w:p w14:paraId="48E8A997" w14:textId="788C0C40" w:rsidR="006337E2" w:rsidRPr="00FE548A" w:rsidRDefault="000C57E8" w:rsidP="006337E2">
      <w:pPr>
        <w:pStyle w:val="Bulletlist1"/>
      </w:pPr>
      <w:r w:rsidRPr="00FE548A">
        <w:t xml:space="preserve">Threats </w:t>
      </w:r>
      <w:r w:rsidR="009D400F" w:rsidRPr="005C61B2">
        <w:t>beyond</w:t>
      </w:r>
      <w:r w:rsidRPr="00FE548A">
        <w:t xml:space="preserve"> the DB</w:t>
      </w:r>
      <w:r w:rsidR="009D400F" w:rsidRPr="005C61B2">
        <w:t>T.</w:t>
      </w:r>
    </w:p>
    <w:p w14:paraId="2A55F212" w14:textId="163ADBD4" w:rsidR="000C57E8" w:rsidRPr="00FE548A" w:rsidRDefault="009D400F" w:rsidP="006337E2">
      <w:pPr>
        <w:pStyle w:val="Bulletlist1"/>
      </w:pPr>
      <w:r w:rsidRPr="005C61B2">
        <w:t>Adversaries take control of NM but cannot leave the site</w:t>
      </w:r>
    </w:p>
    <w:p w14:paraId="4E8E42B7" w14:textId="3EED80C6" w:rsidR="000C57E8" w:rsidRPr="00FE548A" w:rsidRDefault="000C57E8" w:rsidP="006337E2">
      <w:pPr>
        <w:pStyle w:val="Bulletlist1"/>
      </w:pPr>
      <w:r w:rsidRPr="00FE548A">
        <w:t xml:space="preserve">Nuclear material is </w:t>
      </w:r>
      <w:r w:rsidR="009D400F" w:rsidRPr="005C61B2">
        <w:t xml:space="preserve">successfully removed from </w:t>
      </w:r>
      <w:r w:rsidRPr="00FE548A">
        <w:t>the Site</w:t>
      </w:r>
    </w:p>
    <w:p w14:paraId="113138CA" w14:textId="59D922AF" w:rsidR="000C57E8" w:rsidRPr="00FE548A" w:rsidRDefault="000C57E8" w:rsidP="006337E2">
      <w:pPr>
        <w:pStyle w:val="Bulletlist1"/>
      </w:pPr>
      <w:r w:rsidRPr="00FE548A">
        <w:t>Intruders ar</w:t>
      </w:r>
      <w:r w:rsidR="009D400F" w:rsidRPr="005C61B2">
        <w:t>e contained without achieving their objective</w:t>
      </w:r>
      <w:r w:rsidR="005A4A65">
        <w:t xml:space="preserve"> and the incident </w:t>
      </w:r>
      <w:r w:rsidRPr="00FE548A">
        <w:t>becomes protracted.</w:t>
      </w:r>
    </w:p>
    <w:p w14:paraId="5EB7E7ED" w14:textId="26C54705" w:rsidR="005E7F36" w:rsidRPr="00C77EF6" w:rsidRDefault="00703D68" w:rsidP="00250515">
      <w:pPr>
        <w:pStyle w:val="F9-Paragraph"/>
        <w:numPr>
          <w:ilvl w:val="0"/>
          <w:numId w:val="7"/>
        </w:numPr>
        <w:ind w:left="851" w:hanging="851"/>
      </w:pPr>
      <w:r w:rsidRPr="00C77EF6">
        <w:t xml:space="preserve">Where the CNC is established, the dutyholder should provide assurance that situations outside PPS outcomes are included within CNC </w:t>
      </w:r>
      <w:r w:rsidR="00741179" w:rsidRPr="005C61B2">
        <w:t>o</w:t>
      </w:r>
      <w:r w:rsidRPr="00C77EF6">
        <w:t xml:space="preserve">perating </w:t>
      </w:r>
      <w:r w:rsidR="00741179" w:rsidRPr="005C61B2">
        <w:t>p</w:t>
      </w:r>
      <w:r w:rsidRPr="00C77EF6">
        <w:t xml:space="preserve">rocedures for the site. This will involve supporting planning arrangements with </w:t>
      </w:r>
      <w:r w:rsidR="00E26EB5">
        <w:t>local</w:t>
      </w:r>
      <w:r w:rsidRPr="00C77EF6">
        <w:t xml:space="preserve"> police forces as part of the Coordinated Police Protocol.</w:t>
      </w:r>
    </w:p>
    <w:p w14:paraId="48B9C783" w14:textId="24B94DF2" w:rsidR="00703D68" w:rsidRDefault="00B762B5" w:rsidP="00250515">
      <w:pPr>
        <w:pStyle w:val="F9-Paragraph"/>
        <w:numPr>
          <w:ilvl w:val="0"/>
          <w:numId w:val="7"/>
        </w:numPr>
        <w:ind w:left="851" w:hanging="851"/>
      </w:pPr>
      <w:r w:rsidRPr="00C77EF6">
        <w:t>The dutyholder should consider the implications of operating in a contaminated environment, other hazards or when external cordons are required to maintain the security of NM/ORM during an off-site nuclear emergency and the subsequent recovery phase.</w:t>
      </w:r>
    </w:p>
    <w:p w14:paraId="2A60AE3A" w14:textId="77777777" w:rsidR="00E829BC" w:rsidRPr="00C77EF6" w:rsidRDefault="00E829BC" w:rsidP="00E829BC">
      <w:pPr>
        <w:pStyle w:val="F9-Paragraph"/>
        <w:ind w:left="851"/>
      </w:pPr>
    </w:p>
    <w:p w14:paraId="5A97B373" w14:textId="3B8A8E9A" w:rsidR="00B762B5" w:rsidRPr="00177B15" w:rsidRDefault="002844A2" w:rsidP="000B2605">
      <w:pPr>
        <w:pStyle w:val="Heading1"/>
      </w:pPr>
      <w:bookmarkStart w:id="21" w:name="_Toc176506429"/>
      <w:r w:rsidRPr="00C77EF6">
        <w:t xml:space="preserve">Accountancy of </w:t>
      </w:r>
      <w:r w:rsidR="00E829BC">
        <w:t>p</w:t>
      </w:r>
      <w:r w:rsidRPr="00C77EF6">
        <w:t xml:space="preserve">ersonnel at </w:t>
      </w:r>
      <w:r w:rsidR="00E829BC">
        <w:t>l</w:t>
      </w:r>
      <w:r w:rsidRPr="00177B15">
        <w:t>ockdown</w:t>
      </w:r>
      <w:bookmarkEnd w:id="21"/>
    </w:p>
    <w:p w14:paraId="5862D7E7" w14:textId="769B4591" w:rsidR="002844A2" w:rsidRPr="00177B15" w:rsidRDefault="002844A2" w:rsidP="001D3042">
      <w:pPr>
        <w:pStyle w:val="F9-Paragraph"/>
        <w:numPr>
          <w:ilvl w:val="0"/>
          <w:numId w:val="7"/>
        </w:numPr>
        <w:ind w:left="851" w:hanging="851"/>
      </w:pPr>
      <w:r w:rsidRPr="00177B15">
        <w:t xml:space="preserve">Whilst the primary role of the SCP is the protection of NM/ORM and any associated VAs, there is an expectation that dutyholders should be able to account for personnel during ‘lockdown’ within appropriate timescales in order to ensure that other legislative responsibilities are complied with. Additionally, emergency responders and other supporting agencies </w:t>
      </w:r>
      <w:r w:rsidR="00E829BC">
        <w:br/>
      </w:r>
      <w:r w:rsidRPr="00177B15">
        <w:t>(</w:t>
      </w:r>
      <w:r w:rsidR="00E829BC">
        <w:t xml:space="preserve">for example, </w:t>
      </w:r>
      <w:r w:rsidRPr="00177B15">
        <w:t>Explosive Ordnance Disposal (EOD) teams) may require confirmation of personnel locations before they can fulfil their legal obligations and complete specific tasks that help protect NM/ORM, the public, plant and personnel. Arrangements should be in, or referenced within, the SCP.</w:t>
      </w:r>
    </w:p>
    <w:p w14:paraId="44F8D3E6" w14:textId="77777777" w:rsidR="00E829BC" w:rsidRDefault="00E829BC" w:rsidP="000B2605">
      <w:pPr>
        <w:pStyle w:val="Heading1"/>
        <w:sectPr w:rsidR="00E829BC" w:rsidSect="000B2BCD">
          <w:pgSz w:w="11906" w:h="16838" w:code="9"/>
          <w:pgMar w:top="1440" w:right="1440" w:bottom="1440" w:left="1440" w:header="397" w:footer="397" w:gutter="0"/>
          <w:cols w:space="312"/>
          <w:docGrid w:linePitch="360"/>
        </w:sectPr>
      </w:pPr>
    </w:p>
    <w:p w14:paraId="4E39F038" w14:textId="5A81B113" w:rsidR="002844A2" w:rsidRPr="00177B15" w:rsidRDefault="004D67E0" w:rsidP="000B2605">
      <w:pPr>
        <w:pStyle w:val="Heading1"/>
      </w:pPr>
      <w:bookmarkStart w:id="22" w:name="_Toc176506430"/>
      <w:r w:rsidRPr="00177B15">
        <w:lastRenderedPageBreak/>
        <w:t xml:space="preserve">Casualty </w:t>
      </w:r>
      <w:r w:rsidR="00E829BC">
        <w:t>m</w:t>
      </w:r>
      <w:r w:rsidRPr="00177B15">
        <w:t>anagement</w:t>
      </w:r>
      <w:bookmarkEnd w:id="22"/>
    </w:p>
    <w:p w14:paraId="58FDA625" w14:textId="722EE9E4" w:rsidR="002844A2" w:rsidRDefault="00CF39FA" w:rsidP="00250515">
      <w:pPr>
        <w:pStyle w:val="F9-Paragraph"/>
        <w:numPr>
          <w:ilvl w:val="0"/>
          <w:numId w:val="7"/>
        </w:numPr>
        <w:ind w:left="851" w:hanging="851"/>
      </w:pPr>
      <w:r w:rsidRPr="006B0184">
        <w:t xml:space="preserve">Arrangements for the </w:t>
      </w:r>
      <w:r w:rsidR="00513451" w:rsidRPr="005C61B2">
        <w:t xml:space="preserve">appropriate </w:t>
      </w:r>
      <w:r w:rsidR="00513451" w:rsidRPr="006B0184">
        <w:t>management</w:t>
      </w:r>
      <w:r w:rsidRPr="006B0184">
        <w:t xml:space="preserve"> of casualties arising from a nuclear security event should be in, or referenced in, the SCP</w:t>
      </w:r>
      <w:r w:rsidR="00513451" w:rsidRPr="006B0184">
        <w:t xml:space="preserve">. </w:t>
      </w:r>
      <w:r w:rsidRPr="006B0184">
        <w:t xml:space="preserve">These should identify </w:t>
      </w:r>
      <w:r w:rsidR="00741179" w:rsidRPr="005C61B2">
        <w:t xml:space="preserve">initial </w:t>
      </w:r>
      <w:r w:rsidRPr="006B0184">
        <w:t>casualty treatment</w:t>
      </w:r>
      <w:r w:rsidR="00AF096E" w:rsidRPr="005C61B2">
        <w:t xml:space="preserve"> at the point of injury</w:t>
      </w:r>
      <w:r w:rsidRPr="006B0184">
        <w:t>, triage systems,</w:t>
      </w:r>
      <w:r w:rsidR="00AF096E" w:rsidRPr="005C61B2">
        <w:t xml:space="preserve"> reporting, recording</w:t>
      </w:r>
      <w:r w:rsidR="00F47A7A" w:rsidRPr="005C61B2">
        <w:t>,</w:t>
      </w:r>
      <w:r w:rsidRPr="006B0184">
        <w:t xml:space="preserve"> extraction and the procedures for the handover to the emergency services.</w:t>
      </w:r>
    </w:p>
    <w:p w14:paraId="23DB0169" w14:textId="77777777" w:rsidR="00E829BC" w:rsidRPr="006B0184" w:rsidRDefault="00E829BC" w:rsidP="00E829BC">
      <w:pPr>
        <w:pStyle w:val="F9-Paragraph"/>
        <w:ind w:left="851"/>
      </w:pPr>
    </w:p>
    <w:p w14:paraId="2828A591" w14:textId="1D6D9BDC" w:rsidR="00CF39FA" w:rsidRPr="006B0184" w:rsidRDefault="003407EA" w:rsidP="000B2605">
      <w:pPr>
        <w:pStyle w:val="Heading1"/>
      </w:pPr>
      <w:bookmarkStart w:id="23" w:name="_Toc176506431"/>
      <w:r w:rsidRPr="006B0184">
        <w:t xml:space="preserve">Reporting </w:t>
      </w:r>
      <w:r w:rsidR="00E829BC">
        <w:t>a</w:t>
      </w:r>
      <w:r w:rsidRPr="006B0184">
        <w:t xml:space="preserve">rrangements and </w:t>
      </w:r>
      <w:r w:rsidR="00E829BC">
        <w:t>m</w:t>
      </w:r>
      <w:r w:rsidRPr="006B0184">
        <w:t xml:space="preserve">edia </w:t>
      </w:r>
      <w:r w:rsidR="00E829BC">
        <w:t>s</w:t>
      </w:r>
      <w:r w:rsidRPr="006B0184">
        <w:t>trategy</w:t>
      </w:r>
      <w:bookmarkEnd w:id="23"/>
    </w:p>
    <w:p w14:paraId="3F7A2B20" w14:textId="53D238AA" w:rsidR="004D67E0" w:rsidRPr="006B0184" w:rsidRDefault="00BD01E5" w:rsidP="00250515">
      <w:pPr>
        <w:pStyle w:val="F9-Paragraph"/>
        <w:numPr>
          <w:ilvl w:val="0"/>
          <w:numId w:val="7"/>
        </w:numPr>
        <w:ind w:left="851" w:hanging="851"/>
      </w:pPr>
      <w:r w:rsidRPr="006B0184">
        <w:t>The SCP should detail, in priority order, all mandatory reporting requirements which follow the identification of a NSE. It should be clear who is specifically responsible for reporting, what should be reported and how reports should be made. It could also usefully highlight those notifications by supporting agencies (</w:t>
      </w:r>
      <w:r w:rsidR="00E829BC">
        <w:t xml:space="preserve">for example, </w:t>
      </w:r>
      <w:r w:rsidRPr="006B0184">
        <w:t>CNC) so the SEO can verify completion.</w:t>
      </w:r>
    </w:p>
    <w:p w14:paraId="37398BBD" w14:textId="7B9E409F" w:rsidR="00BD01E5" w:rsidRDefault="007D1CBD" w:rsidP="00250515">
      <w:pPr>
        <w:pStyle w:val="F9-Paragraph"/>
        <w:numPr>
          <w:ilvl w:val="0"/>
          <w:numId w:val="7"/>
        </w:numPr>
        <w:ind w:left="851" w:hanging="851"/>
      </w:pPr>
      <w:r w:rsidRPr="006B0184">
        <w:t xml:space="preserve">To swiftly and proactively manage the reactions of site personnel </w:t>
      </w:r>
      <w:r w:rsidR="00A75685">
        <w:br/>
      </w:r>
      <w:r w:rsidRPr="006B0184">
        <w:t>(warning and informing), the public and the media effectively, a media strategy should be included</w:t>
      </w:r>
      <w:r w:rsidR="00922749" w:rsidRPr="006B0184">
        <w:t xml:space="preserve">. </w:t>
      </w:r>
      <w:r w:rsidRPr="006B0184">
        <w:t xml:space="preserve">The media strategy should be coordinated and agreed with appropriate external stakeholders, principally the </w:t>
      </w:r>
      <w:r w:rsidR="00E26EB5">
        <w:t>local</w:t>
      </w:r>
      <w:r w:rsidRPr="006B0184">
        <w:t xml:space="preserve"> police forces and the government department responsible for nuclear policy.</w:t>
      </w:r>
    </w:p>
    <w:p w14:paraId="732F851B" w14:textId="77777777" w:rsidR="00E829BC" w:rsidRPr="006B0184" w:rsidRDefault="00E829BC" w:rsidP="00E829BC">
      <w:pPr>
        <w:pStyle w:val="F9-Paragraph"/>
        <w:ind w:left="851"/>
      </w:pPr>
    </w:p>
    <w:p w14:paraId="0A4792A1" w14:textId="68155F12" w:rsidR="007D1CBD" w:rsidRPr="00061ED1" w:rsidRDefault="004B6370" w:rsidP="000B2605">
      <w:pPr>
        <w:pStyle w:val="Heading1"/>
      </w:pPr>
      <w:bookmarkStart w:id="24" w:name="_Toc176506432"/>
      <w:r w:rsidRPr="00061ED1">
        <w:t xml:space="preserve">Guidance and </w:t>
      </w:r>
      <w:r w:rsidR="00E829BC">
        <w:t>s</w:t>
      </w:r>
      <w:r w:rsidRPr="00061ED1">
        <w:t xml:space="preserve">upporting </w:t>
      </w:r>
      <w:r w:rsidR="00E829BC">
        <w:t>i</w:t>
      </w:r>
      <w:r w:rsidRPr="00061ED1">
        <w:t>nformation</w:t>
      </w:r>
      <w:bookmarkEnd w:id="24"/>
    </w:p>
    <w:p w14:paraId="295201B4" w14:textId="22CC6CCA" w:rsidR="004D67E0" w:rsidRPr="00061ED1" w:rsidRDefault="001A247C" w:rsidP="00250515">
      <w:pPr>
        <w:pStyle w:val="F9-Paragraph"/>
        <w:numPr>
          <w:ilvl w:val="0"/>
          <w:numId w:val="7"/>
        </w:numPr>
        <w:ind w:left="851" w:hanging="851"/>
      </w:pPr>
      <w:r w:rsidRPr="00061ED1">
        <w:t xml:space="preserve">Guidance and supporting information can be obtained from police Counter Terrorism Security Advisers, the </w:t>
      </w:r>
      <w:r w:rsidR="005735D2" w:rsidRPr="005C61B2">
        <w:t xml:space="preserve">National Protective Security </w:t>
      </w:r>
      <w:r w:rsidR="00061ED1" w:rsidRPr="005C61B2">
        <w:t>Authority</w:t>
      </w:r>
      <w:r w:rsidRPr="00061ED1">
        <w:t>, EOD, CNC (where deployed) and other supporting agencies.</w:t>
      </w:r>
    </w:p>
    <w:p w14:paraId="187B8D19" w14:textId="6DDA041A" w:rsidR="004D67E0" w:rsidRPr="001D689D" w:rsidRDefault="006E64B8" w:rsidP="00250515">
      <w:pPr>
        <w:pStyle w:val="F9-Paragraph"/>
        <w:numPr>
          <w:ilvl w:val="0"/>
          <w:numId w:val="7"/>
        </w:numPr>
        <w:ind w:left="851" w:hanging="851"/>
      </w:pPr>
      <w:r w:rsidRPr="001D689D">
        <w:t>The SCP should support rapid navigation for the user in order that timely informed decisions can be made</w:t>
      </w:r>
      <w:r w:rsidR="00922749" w:rsidRPr="001D689D">
        <w:t xml:space="preserve">. </w:t>
      </w:r>
      <w:r w:rsidRPr="001D689D">
        <w:t>It should not contain an excessive amount of background information or training material that could hinder the operations of the SEO and their subsequent decision making. Key SEO roles and responsibilities should be outlined in the plan.</w:t>
      </w:r>
      <w:r w:rsidR="000B2605">
        <w:t xml:space="preserve"> </w:t>
      </w:r>
      <w:r w:rsidRPr="001D689D">
        <w:t>Assurances that the SEO and responders are qualified and trained in the detail of the plan and their part in specific contingencies</w:t>
      </w:r>
      <w:r w:rsidR="00CA0506">
        <w:t>,</w:t>
      </w:r>
      <w:r w:rsidRPr="001D689D">
        <w:t xml:space="preserve"> should be provided within the dutyholder’s training audit. However, key reference material or aide-memoires which will ensure the correct steps are being taken, </w:t>
      </w:r>
      <w:r w:rsidR="00E829BC">
        <w:t>for example,</w:t>
      </w:r>
      <w:r w:rsidRPr="001D689D">
        <w:t xml:space="preserve"> cordon distances, minimum safety distances, briefing/reporting templates and supporting mapping, should be included and internally referenced within the plan.</w:t>
      </w:r>
    </w:p>
    <w:p w14:paraId="44FEA3D0" w14:textId="3502E6DA" w:rsidR="006E64B8" w:rsidRPr="001D689D" w:rsidRDefault="0086663C" w:rsidP="000B2605">
      <w:pPr>
        <w:pStyle w:val="Heading1"/>
      </w:pPr>
      <w:bookmarkStart w:id="25" w:name="_Toc176506433"/>
      <w:r w:rsidRPr="001D689D">
        <w:lastRenderedPageBreak/>
        <w:t xml:space="preserve">Liaison and </w:t>
      </w:r>
      <w:r w:rsidR="00A75685">
        <w:t>r</w:t>
      </w:r>
      <w:r w:rsidRPr="001D689D">
        <w:t xml:space="preserve">esponse with </w:t>
      </w:r>
      <w:r w:rsidR="00A75685">
        <w:t>e</w:t>
      </w:r>
      <w:r w:rsidRPr="001D689D">
        <w:t xml:space="preserve">xternal </w:t>
      </w:r>
      <w:r w:rsidR="00A75685">
        <w:t>a</w:t>
      </w:r>
      <w:r w:rsidRPr="001D689D">
        <w:t xml:space="preserve">gencies </w:t>
      </w:r>
      <w:r w:rsidR="00A75685">
        <w:t>(i</w:t>
      </w:r>
      <w:r w:rsidRPr="001D689D">
        <w:t xml:space="preserve">ncluding </w:t>
      </w:r>
      <w:r w:rsidR="00A75685">
        <w:t>p</w:t>
      </w:r>
      <w:r w:rsidRPr="001D689D">
        <w:t>olice</w:t>
      </w:r>
      <w:r w:rsidR="00A75685">
        <w:t>,</w:t>
      </w:r>
      <w:r w:rsidRPr="001D689D">
        <w:t xml:space="preserve"> CTSAs</w:t>
      </w:r>
      <w:r w:rsidR="00A75685">
        <w:t>)</w:t>
      </w:r>
      <w:bookmarkEnd w:id="25"/>
    </w:p>
    <w:p w14:paraId="051F533F" w14:textId="10A3D1A7" w:rsidR="004D67E0" w:rsidRPr="001D689D" w:rsidRDefault="0086663C" w:rsidP="00250515">
      <w:pPr>
        <w:pStyle w:val="F9-Paragraph"/>
        <w:numPr>
          <w:ilvl w:val="0"/>
          <w:numId w:val="7"/>
        </w:numPr>
        <w:ind w:left="851" w:hanging="851"/>
      </w:pPr>
      <w:r w:rsidRPr="001D689D">
        <w:t xml:space="preserve">When formulating SCPs, dutyholders should establish and maintain links with the </w:t>
      </w:r>
      <w:r w:rsidR="00E26EB5">
        <w:t xml:space="preserve">local </w:t>
      </w:r>
      <w:r w:rsidRPr="001D689D">
        <w:t>police force and other emergency first-responders. When these agencies arrive at a site, they will require effective security/technical briefs to highlight the nuclear safety and any other secondary hazard considerations, as well as detail of the ongoing situation. Such briefs will inform the actions of those responders and their framework should be included in the SCP. This will help ensure the site identifies and provides whatever is needed for the adequate reception, staging and onward integration of first responders. The plan should reflect that the dutyholder should be prepared to deliver reception briefs to emergency responders at any location on or off site.</w:t>
      </w:r>
    </w:p>
    <w:p w14:paraId="215B0D06" w14:textId="337564DB" w:rsidR="0086663C" w:rsidRPr="001D689D" w:rsidRDefault="0086663C" w:rsidP="00250515">
      <w:pPr>
        <w:pStyle w:val="F9-Paragraph"/>
        <w:numPr>
          <w:ilvl w:val="0"/>
          <w:numId w:val="7"/>
        </w:numPr>
        <w:ind w:left="851" w:hanging="851"/>
      </w:pPr>
      <w:r w:rsidRPr="001D689D">
        <w:t xml:space="preserve">Ultimately, the purpose is to ensure the response is timely, integrated and effective, and that command and control is unified. To underpin this, the plan should reflect relevant aspects of the UKs Joint </w:t>
      </w:r>
      <w:r w:rsidR="00214A2D" w:rsidRPr="005C61B2">
        <w:t>Emergency</w:t>
      </w:r>
      <w:r w:rsidR="005C61B2">
        <w:t xml:space="preserve"> </w:t>
      </w:r>
      <w:r w:rsidRPr="001D689D">
        <w:t>Services Interoperability Programme (JESIP) and Action Counters Terrorism (ACT) initiatives. The plan (and its products) should feature terminology that can be understood by both the SEO and emergency responders.</w:t>
      </w:r>
    </w:p>
    <w:p w14:paraId="752589D1" w14:textId="641C2EC8" w:rsidR="0086663C" w:rsidRDefault="00A76B50" w:rsidP="00250515">
      <w:pPr>
        <w:pStyle w:val="F9-Paragraph"/>
        <w:numPr>
          <w:ilvl w:val="0"/>
          <w:numId w:val="7"/>
        </w:numPr>
        <w:ind w:left="851" w:hanging="851"/>
      </w:pPr>
      <w:r w:rsidRPr="001D689D">
        <w:t xml:space="preserve">CTSAs act as a conduit for </w:t>
      </w:r>
      <w:r w:rsidR="00E26EB5">
        <w:t>local</w:t>
      </w:r>
      <w:r w:rsidRPr="001D689D">
        <w:t xml:space="preserve"> police force engagement with dutyholders, </w:t>
      </w:r>
      <w:r w:rsidR="00CA0506">
        <w:t xml:space="preserve">they </w:t>
      </w:r>
      <w:r w:rsidRPr="001D689D">
        <w:t xml:space="preserve">can contribute to response planning and share good practice on protective and physical security matters. The dutyholder should provide evidence of engagement with CTSAs in order to provide assurance that response planning has been conducted in concert with </w:t>
      </w:r>
      <w:r w:rsidR="00182E2D">
        <w:t>local</w:t>
      </w:r>
      <w:r w:rsidRPr="001D689D">
        <w:t xml:space="preserve"> police forces. Routine CTSA liaison is usually delivered via Operation SHIELDING meetings.</w:t>
      </w:r>
    </w:p>
    <w:p w14:paraId="1A9DA41B" w14:textId="77777777" w:rsidR="00A75685" w:rsidRPr="001D689D" w:rsidRDefault="00A75685" w:rsidP="00A75685">
      <w:pPr>
        <w:pStyle w:val="F9-Paragraph"/>
        <w:ind w:left="851"/>
      </w:pPr>
    </w:p>
    <w:p w14:paraId="4BB0DF3C" w14:textId="34ACAADD" w:rsidR="004D67E0" w:rsidRPr="001D689D" w:rsidRDefault="00A76B50" w:rsidP="000B2605">
      <w:pPr>
        <w:pStyle w:val="Heading1"/>
      </w:pPr>
      <w:bookmarkStart w:id="26" w:name="_Toc176506434"/>
      <w:r w:rsidRPr="001D689D">
        <w:t xml:space="preserve">Training </w:t>
      </w:r>
      <w:r w:rsidR="00A75685">
        <w:t>s</w:t>
      </w:r>
      <w:r w:rsidRPr="001D689D">
        <w:t xml:space="preserve">trategy </w:t>
      </w:r>
      <w:r w:rsidR="00A75685">
        <w:t>t</w:t>
      </w:r>
      <w:r w:rsidRPr="001D689D">
        <w:t xml:space="preserve">o </w:t>
      </w:r>
      <w:r w:rsidR="00A75685">
        <w:t>d</w:t>
      </w:r>
      <w:r w:rsidRPr="001D689D">
        <w:t>eliver SQEP</w:t>
      </w:r>
      <w:bookmarkEnd w:id="26"/>
    </w:p>
    <w:p w14:paraId="16B0CC29" w14:textId="0B1E2F84" w:rsidR="004D67E0" w:rsidRPr="001D689D" w:rsidRDefault="004764A9" w:rsidP="00250515">
      <w:pPr>
        <w:pStyle w:val="F9-Paragraph"/>
        <w:numPr>
          <w:ilvl w:val="0"/>
          <w:numId w:val="7"/>
        </w:numPr>
        <w:ind w:left="851" w:hanging="851"/>
      </w:pPr>
      <w:r w:rsidRPr="001D689D">
        <w:t>The SCP should reference the training strategy to achieve SQEP SEO resource and appropriate site personnel responses to an NSE</w:t>
      </w:r>
      <w:r w:rsidR="00C679AC" w:rsidRPr="001D689D">
        <w:t xml:space="preserve">. </w:t>
      </w:r>
      <w:r w:rsidRPr="001D689D">
        <w:t>The training regime should be maintained in accordance with the dutyholders’ testing and exercising’ policy and applied consistently to all relevant company sites and areas.</w:t>
      </w:r>
    </w:p>
    <w:p w14:paraId="6195BE78" w14:textId="154FD631" w:rsidR="001C24F8" w:rsidRPr="001D689D" w:rsidRDefault="004764A9" w:rsidP="00250515">
      <w:pPr>
        <w:pStyle w:val="F9-Paragraph"/>
        <w:numPr>
          <w:ilvl w:val="0"/>
          <w:numId w:val="7"/>
        </w:numPr>
        <w:ind w:left="851" w:hanging="851"/>
      </w:pPr>
      <w:r w:rsidRPr="001D689D">
        <w:t xml:space="preserve">The inspectors’ considerations for this part of the arrangements are set out in </w:t>
      </w:r>
      <w:r w:rsidR="00A75685">
        <w:t>ONR’s Security TAG on t</w:t>
      </w:r>
      <w:r w:rsidR="00A75685" w:rsidRPr="00A75685">
        <w:t xml:space="preserve">esting and </w:t>
      </w:r>
      <w:r w:rsidR="00A75685">
        <w:t>e</w:t>
      </w:r>
      <w:r w:rsidR="00A75685" w:rsidRPr="00A75685">
        <w:t xml:space="preserve">xercising the </w:t>
      </w:r>
      <w:r w:rsidR="00A75685">
        <w:t>s</w:t>
      </w:r>
      <w:r w:rsidR="00A75685" w:rsidRPr="00A75685">
        <w:t xml:space="preserve">ecurity </w:t>
      </w:r>
      <w:r w:rsidR="00A75685">
        <w:t>r</w:t>
      </w:r>
      <w:r w:rsidR="00A75685" w:rsidRPr="00A75685">
        <w:t>esponse</w:t>
      </w:r>
      <w:r w:rsidR="00A75685">
        <w:t xml:space="preserve"> </w:t>
      </w:r>
      <w:sdt>
        <w:sdtPr>
          <w:id w:val="-1569266284"/>
          <w:citation/>
        </w:sdtPr>
        <w:sdtEndPr/>
        <w:sdtContent>
          <w:r w:rsidR="00A75685">
            <w:fldChar w:fldCharType="begin"/>
          </w:r>
          <w:r w:rsidR="00A75685">
            <w:instrText xml:space="preserve"> CITATION ONR484 \l 2057 </w:instrText>
          </w:r>
          <w:r w:rsidR="00A75685">
            <w:fldChar w:fldCharType="separate"/>
          </w:r>
          <w:r w:rsidR="00A75685">
            <w:rPr>
              <w:noProof/>
            </w:rPr>
            <w:t>[8]</w:t>
          </w:r>
          <w:r w:rsidR="00A75685">
            <w:fldChar w:fldCharType="end"/>
          </w:r>
        </w:sdtContent>
      </w:sdt>
      <w:r w:rsidR="00F66CC5" w:rsidRPr="001D689D">
        <w:t>.</w:t>
      </w:r>
    </w:p>
    <w:p w14:paraId="4FBF1983" w14:textId="77777777" w:rsidR="00A75685" w:rsidRDefault="00A75685" w:rsidP="000B2605">
      <w:pPr>
        <w:pStyle w:val="Heading1"/>
        <w:sectPr w:rsidR="00A75685" w:rsidSect="000B2BCD">
          <w:pgSz w:w="11906" w:h="16838" w:code="9"/>
          <w:pgMar w:top="1440" w:right="1440" w:bottom="1440" w:left="1440" w:header="397" w:footer="397" w:gutter="0"/>
          <w:cols w:space="312"/>
          <w:docGrid w:linePitch="360"/>
        </w:sectPr>
      </w:pPr>
    </w:p>
    <w:p w14:paraId="66C00400" w14:textId="2415A1D4" w:rsidR="00F66CC5" w:rsidRPr="00E53290" w:rsidRDefault="003968E3" w:rsidP="000B2605">
      <w:pPr>
        <w:pStyle w:val="Heading1"/>
      </w:pPr>
      <w:bookmarkStart w:id="27" w:name="_Toc176506435"/>
      <w:r w:rsidRPr="00E53290">
        <w:lastRenderedPageBreak/>
        <w:t xml:space="preserve">Consequence </w:t>
      </w:r>
      <w:r w:rsidR="00A75685">
        <w:t>m</w:t>
      </w:r>
      <w:r w:rsidRPr="00E53290">
        <w:t>anagement</w:t>
      </w:r>
      <w:bookmarkEnd w:id="27"/>
    </w:p>
    <w:p w14:paraId="78E1ED96" w14:textId="6574457A" w:rsidR="00AD04ED" w:rsidRPr="00E53290" w:rsidRDefault="00AD04ED" w:rsidP="00250515">
      <w:pPr>
        <w:pStyle w:val="F9-Paragraph"/>
        <w:numPr>
          <w:ilvl w:val="0"/>
          <w:numId w:val="7"/>
        </w:numPr>
        <w:ind w:left="851" w:hanging="851"/>
      </w:pPr>
      <w:r w:rsidRPr="00E53290">
        <w:t>The site’s primary security consideration post-incident should be the protection of NM/ORM and any associated VAs in accordance with the security plan. Accordingly, an effective post-incident reporting and review processes should be in place.</w:t>
      </w:r>
    </w:p>
    <w:p w14:paraId="6271EECA" w14:textId="3213C5BD" w:rsidR="00A27406" w:rsidRPr="00E53290" w:rsidRDefault="00A27406" w:rsidP="00250515">
      <w:pPr>
        <w:pStyle w:val="F9-Paragraph"/>
        <w:numPr>
          <w:ilvl w:val="0"/>
          <w:numId w:val="7"/>
        </w:numPr>
        <w:ind w:left="851" w:hanging="851"/>
      </w:pPr>
      <w:r w:rsidRPr="00E53290">
        <w:t>Following an incident, the protection of evidence to support legal requirements and provide intelligence for the wider police investigation will be essential.</w:t>
      </w:r>
      <w:r w:rsidR="000B2605">
        <w:t xml:space="preserve"> </w:t>
      </w:r>
      <w:r w:rsidRPr="00E53290">
        <w:t>Accordingly, the SCP should provide guidance to the SEO on the measures that should be taken until police first responders (or CNC if deployed) take responsibility as the lead organisation for the scene. Arrangements for crime scene management should not impede the site’s responsibilities for post-incident recovery that will involve the maintenance of security or the protection of the public, plant, personnel and the environment.</w:t>
      </w:r>
    </w:p>
    <w:p w14:paraId="0DC5A7A7" w14:textId="4347215A" w:rsidR="00A27406" w:rsidRPr="00E53290" w:rsidRDefault="009A3D8F" w:rsidP="00250515">
      <w:pPr>
        <w:pStyle w:val="F9-Paragraph"/>
        <w:numPr>
          <w:ilvl w:val="0"/>
          <w:numId w:val="7"/>
        </w:numPr>
        <w:ind w:left="851" w:hanging="851"/>
      </w:pPr>
      <w:r w:rsidRPr="00E53290">
        <w:t>The site will be guided by the police as to their</w:t>
      </w:r>
      <w:r w:rsidR="00B32D5C" w:rsidRPr="00352192">
        <w:t xml:space="preserve"> investigation</w:t>
      </w:r>
      <w:r w:rsidRPr="00E53290">
        <w:t xml:space="preserve"> requirements</w:t>
      </w:r>
      <w:r w:rsidR="00B32D5C" w:rsidRPr="00352192">
        <w:t>.</w:t>
      </w:r>
      <w:r w:rsidR="000B2605">
        <w:t xml:space="preserve"> </w:t>
      </w:r>
      <w:r w:rsidRPr="00E53290">
        <w:t>The SCP should, however, set out guidance as to the likely considerations that the Command Team will need to address in order to support the Police whilst maintaining safe operations.</w:t>
      </w:r>
      <w:r w:rsidR="000B2605">
        <w:t xml:space="preserve"> </w:t>
      </w:r>
      <w:r w:rsidRPr="00E53290">
        <w:t>This guidance should be based upon:</w:t>
      </w:r>
    </w:p>
    <w:p w14:paraId="710C02FA" w14:textId="6CEE17CE" w:rsidR="008F17A1" w:rsidRPr="00E53290" w:rsidRDefault="008F17A1" w:rsidP="008F17A1">
      <w:pPr>
        <w:pStyle w:val="Bulletlist1"/>
      </w:pPr>
      <w:r w:rsidRPr="00E53290">
        <w:t xml:space="preserve">The need to allow large numbers of police and other emergency responders, vehicles and equipment rapid access to the site </w:t>
      </w:r>
      <w:r w:rsidR="00A75685">
        <w:br/>
      </w:r>
      <w:r w:rsidRPr="00E53290">
        <w:t>(including facilitating associated briefings and health and safety measures)</w:t>
      </w:r>
      <w:r w:rsidR="000F733A">
        <w:t>.</w:t>
      </w:r>
    </w:p>
    <w:p w14:paraId="74DB1452" w14:textId="74B5C388" w:rsidR="008F17A1" w:rsidRPr="00E53290" w:rsidRDefault="008F17A1" w:rsidP="008F17A1">
      <w:pPr>
        <w:pStyle w:val="Bulletlist1"/>
      </w:pPr>
      <w:r w:rsidRPr="00E53290">
        <w:t>The requirement to continue to protect the site when guards and CNC (if deployed) and site personnel that have been involved in the NSE have been removed for investigation purposes</w:t>
      </w:r>
      <w:r w:rsidR="000F733A">
        <w:t>.</w:t>
      </w:r>
    </w:p>
    <w:p w14:paraId="13A79663" w14:textId="7C1B1BC2" w:rsidR="008F17A1" w:rsidRPr="00E53290" w:rsidRDefault="008F17A1" w:rsidP="008F17A1">
      <w:pPr>
        <w:pStyle w:val="Bulletlist1"/>
      </w:pPr>
      <w:r w:rsidRPr="00E53290">
        <w:t>The potential need for large scale searches and recovery operations to be conducted in order that the site can be declared safe</w:t>
      </w:r>
      <w:r w:rsidR="000F733A">
        <w:t>.</w:t>
      </w:r>
    </w:p>
    <w:p w14:paraId="1F410C8A" w14:textId="3704DC49" w:rsidR="008F17A1" w:rsidRPr="00E53290" w:rsidRDefault="008F17A1" w:rsidP="008F17A1">
      <w:pPr>
        <w:pStyle w:val="Bulletlist1"/>
      </w:pPr>
      <w:r w:rsidRPr="00E53290">
        <w:t xml:space="preserve">The likely requirement for the police to obtain witness statements from staff immediately involved with the incident and subsequently, a potentially large proportion of the </w:t>
      </w:r>
      <w:r w:rsidR="006B11C3" w:rsidRPr="00352192">
        <w:t>staff</w:t>
      </w:r>
      <w:r w:rsidR="00352192">
        <w:t xml:space="preserve"> </w:t>
      </w:r>
      <w:r w:rsidRPr="00E53290">
        <w:t>who may have witnessed the event</w:t>
      </w:r>
      <w:r w:rsidR="000F733A">
        <w:t>.</w:t>
      </w:r>
    </w:p>
    <w:p w14:paraId="1D8AC2EE" w14:textId="77777777" w:rsidR="008F17A1" w:rsidRPr="00E53290" w:rsidRDefault="008F17A1" w:rsidP="008F17A1">
      <w:pPr>
        <w:pStyle w:val="Bulletlist1"/>
      </w:pPr>
      <w:r w:rsidRPr="00E53290">
        <w:t>The likelihood that personnel will not be able to leave site unless under police arrangements.</w:t>
      </w:r>
    </w:p>
    <w:p w14:paraId="6F64F229" w14:textId="77777777" w:rsidR="008F17A1" w:rsidRPr="00E53290" w:rsidRDefault="008F17A1" w:rsidP="008F17A1">
      <w:pPr>
        <w:pStyle w:val="Bulletlist1"/>
      </w:pPr>
      <w:r w:rsidRPr="00E53290">
        <w:t>The need to appropriately address any welfare issues of personnel.</w:t>
      </w:r>
    </w:p>
    <w:p w14:paraId="53E0563C" w14:textId="5083AB45" w:rsidR="009A3D8F" w:rsidRPr="00352192" w:rsidRDefault="008F17A1" w:rsidP="00E4554E">
      <w:pPr>
        <w:pStyle w:val="Bulletlist1"/>
      </w:pPr>
      <w:r w:rsidRPr="00E53290">
        <w:t xml:space="preserve">An understanding that an investigation may take </w:t>
      </w:r>
      <w:r w:rsidR="000D4B1E" w:rsidRPr="00352192">
        <w:t>many days</w:t>
      </w:r>
      <w:r w:rsidRPr="00E53290">
        <w:t>depending on the nature of the nuclear security event and the size and complexity of the site or facility</w:t>
      </w:r>
      <w:r w:rsidR="000F733A">
        <w:t>.</w:t>
      </w:r>
    </w:p>
    <w:p w14:paraId="1AA983F6" w14:textId="3905FB5D" w:rsidR="006B11C3" w:rsidRPr="00352192" w:rsidRDefault="006B11C3" w:rsidP="00E4554E">
      <w:pPr>
        <w:pStyle w:val="Bulletlist1"/>
      </w:pPr>
      <w:r w:rsidRPr="00352192">
        <w:t>The recovery of evidence</w:t>
      </w:r>
      <w:r w:rsidR="00221B8E" w:rsidRPr="00352192">
        <w:t xml:space="preserve"> by the police</w:t>
      </w:r>
      <w:r w:rsidRPr="00352192">
        <w:t xml:space="preserve"> from </w:t>
      </w:r>
      <w:r w:rsidR="00221B8E" w:rsidRPr="00352192">
        <w:t>CCTV and other systems.</w:t>
      </w:r>
    </w:p>
    <w:p w14:paraId="3BC78CB3" w14:textId="664E4C3B" w:rsidR="009D400F" w:rsidRPr="00E53290" w:rsidRDefault="009D400F" w:rsidP="00E4554E">
      <w:pPr>
        <w:pStyle w:val="Bulletlist1"/>
      </w:pPr>
      <w:r w:rsidRPr="00352192">
        <w:t>The need to repair/replace damaged/destroyed PPS</w:t>
      </w:r>
      <w:r w:rsidR="000F733A">
        <w:t>.</w:t>
      </w:r>
    </w:p>
    <w:p w14:paraId="40F399D3" w14:textId="4F25BD8A" w:rsidR="00AD04ED" w:rsidRPr="00080695" w:rsidRDefault="008F17A1" w:rsidP="00250515">
      <w:pPr>
        <w:pStyle w:val="F9-Paragraph"/>
        <w:numPr>
          <w:ilvl w:val="0"/>
          <w:numId w:val="7"/>
        </w:numPr>
        <w:ind w:left="851" w:hanging="851"/>
      </w:pPr>
      <w:r w:rsidRPr="00E53290">
        <w:lastRenderedPageBreak/>
        <w:t>The above list is not exhaustive and simply gives an indication of what the inspector should be expecting to see.</w:t>
      </w:r>
      <w:r w:rsidR="000B2605">
        <w:t xml:space="preserve"> </w:t>
      </w:r>
      <w:r w:rsidRPr="00E53290">
        <w:t>If these arrangements are held elsewhere then they should be referenced within the SCP.</w:t>
      </w:r>
    </w:p>
    <w:p w14:paraId="5D34EA14" w14:textId="28D68E78" w:rsidR="00BB4D07" w:rsidRPr="00BC61BC" w:rsidRDefault="00B971C6" w:rsidP="00B971C6">
      <w:pPr>
        <w:pStyle w:val="F9-Paragraph"/>
        <w:ind w:left="851"/>
        <w:rPr>
          <w:b/>
        </w:rPr>
      </w:pPr>
      <w:r w:rsidRPr="00BC61BC">
        <w:rPr>
          <w:b/>
        </w:rPr>
        <w:t>Inspectors should consider</w:t>
      </w:r>
      <w:r w:rsidR="008F17A1" w:rsidRPr="00BC61BC">
        <w:rPr>
          <w:b/>
        </w:rPr>
        <w:t>:</w:t>
      </w:r>
    </w:p>
    <w:p w14:paraId="67A84360" w14:textId="54D794DA" w:rsidR="002C4A7F" w:rsidRPr="00BC61BC" w:rsidRDefault="002C4A7F" w:rsidP="002C4A7F">
      <w:pPr>
        <w:pStyle w:val="Bulletlist1"/>
      </w:pPr>
      <w:r w:rsidRPr="00BC61BC">
        <w:t xml:space="preserve">Does the SCP establish measures to deliver an appropriate, incremental and escalatory response to changes in the threat level aligned to the </w:t>
      </w:r>
      <w:r w:rsidR="00D84431">
        <w:t>Response Level</w:t>
      </w:r>
      <w:r w:rsidRPr="00BC61BC">
        <w:t>? Have all relevant internal and external stakeholders been appropriately consulted during the preparation of the SCP?</w:t>
      </w:r>
    </w:p>
    <w:p w14:paraId="3D2D9C68" w14:textId="4A2C9B0B" w:rsidR="002C4A7F" w:rsidRPr="00BC61BC" w:rsidRDefault="002C4A7F" w:rsidP="002C4A7F">
      <w:pPr>
        <w:pStyle w:val="Bulletlist1"/>
      </w:pPr>
      <w:r w:rsidRPr="00BC61BC">
        <w:t>Is there evidence that contingencies have been validated by all relevant stakeholders?</w:t>
      </w:r>
    </w:p>
    <w:p w14:paraId="19D61627" w14:textId="2A408467" w:rsidR="002C4A7F" w:rsidRPr="00352192" w:rsidRDefault="002C4A7F" w:rsidP="002C4A7F">
      <w:pPr>
        <w:pStyle w:val="Bulletlist1"/>
      </w:pPr>
      <w:r w:rsidRPr="00BC61BC">
        <w:t xml:space="preserve">Is there Board level </w:t>
      </w:r>
      <w:r w:rsidR="009D400F" w:rsidRPr="00352192">
        <w:t>ownership</w:t>
      </w:r>
      <w:r w:rsidR="00352192">
        <w:t xml:space="preserve"> </w:t>
      </w:r>
      <w:r w:rsidRPr="00BC61BC">
        <w:t>of CT protection policy and implementation of the SCP?</w:t>
      </w:r>
    </w:p>
    <w:p w14:paraId="5A1F58F7" w14:textId="73308AC6" w:rsidR="009D400F" w:rsidRPr="00BC61BC" w:rsidRDefault="009D400F" w:rsidP="002C4A7F">
      <w:pPr>
        <w:pStyle w:val="Bulletlist1"/>
      </w:pPr>
      <w:r w:rsidRPr="00352192">
        <w:t>Is the SCP supported by appropriate SQEP C2 arrangements</w:t>
      </w:r>
    </w:p>
    <w:p w14:paraId="451C9DE0" w14:textId="77777777" w:rsidR="002C4A7F" w:rsidRPr="00BC61BC" w:rsidRDefault="002C4A7F" w:rsidP="002C4A7F">
      <w:pPr>
        <w:pStyle w:val="Bulletlist1"/>
      </w:pPr>
      <w:r w:rsidRPr="00BC61BC">
        <w:t>Do communication and information exchange arrangements and procedures provide an immediate notification of an increase in the response level (including staff awareness briefings)?</w:t>
      </w:r>
    </w:p>
    <w:p w14:paraId="75E16DB1" w14:textId="77777777" w:rsidR="002C4A7F" w:rsidRPr="00BC61BC" w:rsidRDefault="002C4A7F" w:rsidP="002C4A7F">
      <w:pPr>
        <w:pStyle w:val="Bulletlist1"/>
      </w:pPr>
      <w:r w:rsidRPr="00BC61BC">
        <w:t>Is the SCP an accessible, integral and well understood component of the security plan?</w:t>
      </w:r>
    </w:p>
    <w:p w14:paraId="643A1EE7" w14:textId="2306C8C3" w:rsidR="002C4A7F" w:rsidRPr="00BC61BC" w:rsidRDefault="002C4A7F" w:rsidP="002C4A7F">
      <w:pPr>
        <w:pStyle w:val="Bulletlist1"/>
      </w:pPr>
      <w:r w:rsidRPr="00BC61BC">
        <w:t xml:space="preserve">Does the SCP address all relevant threats identified within the DBT and </w:t>
      </w:r>
      <w:r w:rsidR="00244B11" w:rsidRPr="00352192">
        <w:t xml:space="preserve">any </w:t>
      </w:r>
      <w:r w:rsidRPr="00BC61BC">
        <w:t>additional threats deemed relevant by the dutyholder?</w:t>
      </w:r>
    </w:p>
    <w:p w14:paraId="24C06AA6" w14:textId="77777777" w:rsidR="002C4A7F" w:rsidRPr="00BC61BC" w:rsidRDefault="002C4A7F" w:rsidP="002C4A7F">
      <w:pPr>
        <w:pStyle w:val="Bulletlist1"/>
      </w:pPr>
      <w:r w:rsidRPr="00BC61BC">
        <w:t>Does the SCP enable the PPS to be incrementally enhanced? For example, using additional patrolling, access control and search arrangements, minimising deliveries and visitors etc.</w:t>
      </w:r>
    </w:p>
    <w:p w14:paraId="04C816E9" w14:textId="7AA19A4E" w:rsidR="002C4A7F" w:rsidRPr="00BC61BC" w:rsidRDefault="002C4A7F" w:rsidP="002C4A7F">
      <w:pPr>
        <w:pStyle w:val="Bulletlist1"/>
      </w:pPr>
      <w:r w:rsidRPr="00BC61BC">
        <w:t>Is the SCP appropriately integrated with other safety and security emergency response arrangements in order to deliver a holistic approach to emergency events</w:t>
      </w:r>
      <w:r w:rsidR="00D00B56" w:rsidRPr="00352192">
        <w:t xml:space="preserve"> (including decisions relating to </w:t>
      </w:r>
      <w:r w:rsidR="00286F5C" w:rsidRPr="00352192">
        <w:t>internal evacuation and ‘shelter in place arrangements)</w:t>
      </w:r>
      <w:r w:rsidRPr="00BC61BC">
        <w:t>?</w:t>
      </w:r>
    </w:p>
    <w:p w14:paraId="0B238964" w14:textId="0C30E55A" w:rsidR="002C4A7F" w:rsidRPr="00BC61BC" w:rsidRDefault="002C4A7F" w:rsidP="002C4A7F">
      <w:pPr>
        <w:pStyle w:val="Bulletlist1"/>
      </w:pPr>
      <w:r w:rsidRPr="00BC61BC">
        <w:t>Are there enough SQEP staff available (including on call staff) within a dutyholder’s emergency organisation to deliver an appropriate response in a timely and effective manner</w:t>
      </w:r>
      <w:r w:rsidR="009D400F" w:rsidRPr="00352192">
        <w:t xml:space="preserve"> and are those staff appropriately equipped</w:t>
      </w:r>
      <w:r w:rsidR="00221B8E" w:rsidRPr="00352192">
        <w:t xml:space="preserve"> and protected</w:t>
      </w:r>
      <w:r w:rsidRPr="00BC61BC">
        <w:t>?</w:t>
      </w:r>
    </w:p>
    <w:p w14:paraId="6D5A8343" w14:textId="318BD7F0" w:rsidR="002C4A7F" w:rsidRPr="00BC61BC" w:rsidRDefault="002C4A7F" w:rsidP="002C4A7F">
      <w:pPr>
        <w:pStyle w:val="Bulletlist1"/>
      </w:pPr>
      <w:r w:rsidRPr="00BC61BC">
        <w:t>Are adequate ‘steps to be taken’ included in the SCP, or appropriately signposted, and are they regularly practised?</w:t>
      </w:r>
      <w:r w:rsidR="000B2605">
        <w:t xml:space="preserve"> </w:t>
      </w:r>
      <w:r w:rsidRPr="00BC61BC">
        <w:t xml:space="preserve">The assessment of testing and exercising emergency arrangements in response to a nuclear security event is covered in </w:t>
      </w:r>
      <w:sdt>
        <w:sdtPr>
          <w:id w:val="-843010789"/>
          <w:citation/>
        </w:sdtPr>
        <w:sdtEndPr/>
        <w:sdtContent>
          <w:r w:rsidR="00A75685">
            <w:fldChar w:fldCharType="begin"/>
          </w:r>
          <w:r w:rsidR="00A75685">
            <w:instrText xml:space="preserve"> CITATION ONR484 \l 2057 </w:instrText>
          </w:r>
          <w:r w:rsidR="00A75685">
            <w:fldChar w:fldCharType="separate"/>
          </w:r>
          <w:r w:rsidR="00A75685" w:rsidRPr="00A75685">
            <w:t>[8]</w:t>
          </w:r>
          <w:r w:rsidR="00A75685">
            <w:fldChar w:fldCharType="end"/>
          </w:r>
        </w:sdtContent>
      </w:sdt>
      <w:r w:rsidRPr="00BC61BC">
        <w:t>.</w:t>
      </w:r>
    </w:p>
    <w:p w14:paraId="446A9B8C" w14:textId="77777777" w:rsidR="002C4A7F" w:rsidRPr="00BC61BC" w:rsidRDefault="002C4A7F" w:rsidP="002C4A7F">
      <w:pPr>
        <w:pStyle w:val="Bulletlist1"/>
      </w:pPr>
      <w:r w:rsidRPr="00BC61BC">
        <w:t>Are there processes to ensure that lessons identified during exercises are incorporated within the SCP?</w:t>
      </w:r>
    </w:p>
    <w:p w14:paraId="48DE2D97" w14:textId="77777777" w:rsidR="002C4A7F" w:rsidRPr="00BC61BC" w:rsidRDefault="002C4A7F" w:rsidP="002C4A7F">
      <w:pPr>
        <w:pStyle w:val="Bulletlist1"/>
      </w:pPr>
      <w:r w:rsidRPr="00BC61BC">
        <w:lastRenderedPageBreak/>
        <w:t>Is development, maintenance and review of the SCP subject to appropriate internal assurance processes?</w:t>
      </w:r>
    </w:p>
    <w:p w14:paraId="0E87CAA2" w14:textId="4F155AC4" w:rsidR="002C4A7F" w:rsidRPr="004149CD" w:rsidRDefault="002C4A7F" w:rsidP="002C4A7F">
      <w:pPr>
        <w:pStyle w:val="Bulletlist1"/>
      </w:pPr>
      <w:r w:rsidRPr="004149CD">
        <w:t xml:space="preserve">Are there arrangements to ensure that </w:t>
      </w:r>
      <w:r w:rsidR="00182E2D">
        <w:t>local</w:t>
      </w:r>
      <w:r w:rsidRPr="004149CD">
        <w:t xml:space="preserve"> police forces and other emergency responders are made fully aware of their part in the SCP?</w:t>
      </w:r>
    </w:p>
    <w:p w14:paraId="0A7554FD" w14:textId="77777777" w:rsidR="002C4A7F" w:rsidRPr="004149CD" w:rsidRDefault="002C4A7F" w:rsidP="002C4A7F">
      <w:pPr>
        <w:pStyle w:val="Bulletlist1"/>
      </w:pPr>
      <w:r w:rsidRPr="004149CD">
        <w:t>Does the SCP adequately address all three phases of an NSE?</w:t>
      </w:r>
    </w:p>
    <w:p w14:paraId="00DB858C" w14:textId="536C8932" w:rsidR="002C4A7F" w:rsidRPr="004149CD" w:rsidRDefault="002C4A7F" w:rsidP="002C4A7F">
      <w:pPr>
        <w:pStyle w:val="Bulletlist1"/>
      </w:pPr>
      <w:r w:rsidRPr="004149CD">
        <w:t xml:space="preserve">Does the SCP adequately address lockdown and </w:t>
      </w:r>
      <w:r w:rsidR="00D06B83" w:rsidRPr="00352192">
        <w:t xml:space="preserve">staff </w:t>
      </w:r>
      <w:r w:rsidRPr="004149CD">
        <w:t xml:space="preserve">accounting </w:t>
      </w:r>
      <w:r w:rsidR="00D06B83" w:rsidRPr="00352192">
        <w:t xml:space="preserve">and welfare </w:t>
      </w:r>
      <w:r w:rsidRPr="004149CD">
        <w:t>arrangements?</w:t>
      </w:r>
    </w:p>
    <w:p w14:paraId="078A1551" w14:textId="009EF560" w:rsidR="002C4A7F" w:rsidRPr="00352192" w:rsidRDefault="002C4A7F" w:rsidP="002C4A7F">
      <w:pPr>
        <w:pStyle w:val="Bulletlist1"/>
      </w:pPr>
      <w:r w:rsidRPr="004149CD">
        <w:t>Does the SCP adequately address the dutyholder’s response to warning and informing site personnel and to dealing with media interest in a NSE?</w:t>
      </w:r>
    </w:p>
    <w:p w14:paraId="159C76CB" w14:textId="22804A54" w:rsidR="009D400F" w:rsidRPr="004149CD" w:rsidRDefault="009D400F" w:rsidP="002C4A7F">
      <w:pPr>
        <w:pStyle w:val="Bulletlist1"/>
      </w:pPr>
      <w:r w:rsidRPr="00352192">
        <w:t>If JESIP principles</w:t>
      </w:r>
      <w:r w:rsidR="00563B35" w:rsidRPr="00352192">
        <w:t>,</w:t>
      </w:r>
      <w:r w:rsidRPr="00352192">
        <w:t xml:space="preserve"> procedures </w:t>
      </w:r>
      <w:r w:rsidR="00563B35" w:rsidRPr="00352192">
        <w:t xml:space="preserve">and lexicon </w:t>
      </w:r>
      <w:r w:rsidRPr="00352192">
        <w:t xml:space="preserve">are not used </w:t>
      </w:r>
      <w:r w:rsidR="00EF1F23" w:rsidRPr="00352192">
        <w:t>are the alternatives appropriate and clearly understood by all first responders?</w:t>
      </w:r>
    </w:p>
    <w:bookmarkEnd w:id="2"/>
    <w:p w14:paraId="6DAAADC0" w14:textId="199D5414" w:rsidR="00593B7D" w:rsidRPr="004149CD" w:rsidRDefault="00593B7D" w:rsidP="00593B7D">
      <w:pPr>
        <w:pStyle w:val="F9-Paragraph"/>
      </w:pPr>
    </w:p>
    <w:p w14:paraId="08F0172B" w14:textId="3DD644D0" w:rsidR="00F07CDE" w:rsidRPr="009870CE" w:rsidRDefault="00F07CDE" w:rsidP="00F07CDE">
      <w:pPr>
        <w:pStyle w:val="F9-Paragraph"/>
        <w:rPr>
          <w:highlight w:val="cyan"/>
        </w:rPr>
        <w:sectPr w:rsidR="00F07CDE" w:rsidRPr="009870CE" w:rsidSect="000B2BCD">
          <w:pgSz w:w="11906" w:h="16838" w:code="9"/>
          <w:pgMar w:top="1440" w:right="1440" w:bottom="1440" w:left="1440" w:header="397" w:footer="397" w:gutter="0"/>
          <w:cols w:space="312"/>
          <w:docGrid w:linePitch="360"/>
        </w:sectPr>
      </w:pPr>
    </w:p>
    <w:bookmarkStart w:id="28" w:name="_Toc176506436" w:displacedByCustomXml="next"/>
    <w:sdt>
      <w:sdtPr>
        <w:rPr>
          <w:color w:val="auto"/>
          <w:sz w:val="24"/>
        </w:rPr>
        <w:id w:val="968394949"/>
        <w:docPartObj>
          <w:docPartGallery w:val="Bibliographies"/>
          <w:docPartUnique/>
        </w:docPartObj>
      </w:sdtPr>
      <w:sdtEndPr/>
      <w:sdtContent>
        <w:p w14:paraId="6F8285B2" w14:textId="086BA7B4" w:rsidR="00FB385A" w:rsidRPr="004149CD" w:rsidRDefault="00FB385A" w:rsidP="00A75685">
          <w:pPr>
            <w:pStyle w:val="Heading1"/>
            <w:numPr>
              <w:ilvl w:val="0"/>
              <w:numId w:val="0"/>
            </w:numPr>
          </w:pPr>
          <w:r w:rsidRPr="004149CD">
            <w:t>References</w:t>
          </w:r>
          <w:bookmarkEnd w:id="28"/>
        </w:p>
        <w:sdt>
          <w:sdtPr>
            <w:id w:val="-573587230"/>
            <w:bibliography/>
          </w:sdtPr>
          <w:sdtEndPr/>
          <w:sdtContent>
            <w:p w14:paraId="0AF209BD" w14:textId="77777777" w:rsidR="00A75685" w:rsidRDefault="00FB385A" w:rsidP="00836C85">
              <w:pPr>
                <w:spacing w:after="0"/>
                <w:rPr>
                  <w:rFonts w:ascii="Calibri" w:hAnsi="Calibri"/>
                  <w:noProof/>
                  <w:sz w:val="20"/>
                  <w:szCs w:val="20"/>
                  <w:lang w:eastAsia="en-GB" w:bidi="ar-SA"/>
                </w:rPr>
              </w:pPr>
              <w:r w:rsidRPr="004149CD">
                <w:fldChar w:fldCharType="begin"/>
              </w:r>
              <w:r w:rsidRPr="004149CD">
                <w:instrText xml:space="preserve"> BIBLIOGRAPHY </w:instrText>
              </w:r>
              <w:r w:rsidRPr="004149CD">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A75685" w14:paraId="229145AF" w14:textId="77777777">
                <w:trPr>
                  <w:divId w:val="1554468060"/>
                  <w:tblCellSpacing w:w="15" w:type="dxa"/>
                </w:trPr>
                <w:tc>
                  <w:tcPr>
                    <w:tcW w:w="50" w:type="pct"/>
                    <w:hideMark/>
                  </w:tcPr>
                  <w:p w14:paraId="3C26A81F" w14:textId="69660C48" w:rsidR="00A75685" w:rsidRDefault="00A75685">
                    <w:pPr>
                      <w:pStyle w:val="Bibliography"/>
                      <w:rPr>
                        <w:noProof/>
                        <w:szCs w:val="24"/>
                      </w:rPr>
                    </w:pPr>
                    <w:r>
                      <w:rPr>
                        <w:noProof/>
                      </w:rPr>
                      <w:t xml:space="preserve">[1] </w:t>
                    </w:r>
                  </w:p>
                </w:tc>
                <w:tc>
                  <w:tcPr>
                    <w:tcW w:w="0" w:type="auto"/>
                    <w:hideMark/>
                  </w:tcPr>
                  <w:p w14:paraId="320C727F" w14:textId="77777777" w:rsidR="00A75685" w:rsidRDefault="00A75685">
                    <w:pPr>
                      <w:pStyle w:val="Bibliography"/>
                      <w:rPr>
                        <w:noProof/>
                      </w:rPr>
                    </w:pPr>
                    <w:r>
                      <w:rPr>
                        <w:noProof/>
                      </w:rPr>
                      <w:t>ONR, “Security Assessment Principles (SyAPs) for the Civil Nuclear Industry,” 2017. [Online]. Available: https://www.onr.org.uk/publications/regulatory-guidance/regulatory-assessment-and-permissioning/security-assessment-principles-syaps/security-assessment-principles-syaps/.</w:t>
                    </w:r>
                  </w:p>
                </w:tc>
              </w:tr>
              <w:tr w:rsidR="00A75685" w14:paraId="4862B673" w14:textId="77777777">
                <w:trPr>
                  <w:divId w:val="1554468060"/>
                  <w:tblCellSpacing w:w="15" w:type="dxa"/>
                </w:trPr>
                <w:tc>
                  <w:tcPr>
                    <w:tcW w:w="50" w:type="pct"/>
                    <w:hideMark/>
                  </w:tcPr>
                  <w:p w14:paraId="3A2B125B" w14:textId="77777777" w:rsidR="00A75685" w:rsidRDefault="00A75685">
                    <w:pPr>
                      <w:pStyle w:val="Bibliography"/>
                      <w:rPr>
                        <w:noProof/>
                      </w:rPr>
                    </w:pPr>
                    <w:r>
                      <w:rPr>
                        <w:noProof/>
                      </w:rPr>
                      <w:t xml:space="preserve">[2] </w:t>
                    </w:r>
                  </w:p>
                </w:tc>
                <w:tc>
                  <w:tcPr>
                    <w:tcW w:w="0" w:type="auto"/>
                    <w:hideMark/>
                  </w:tcPr>
                  <w:p w14:paraId="216C0759" w14:textId="77777777" w:rsidR="00A75685" w:rsidRDefault="00A75685">
                    <w:pPr>
                      <w:pStyle w:val="Bibliography"/>
                      <w:rPr>
                        <w:noProof/>
                      </w:rPr>
                    </w:pPr>
                    <w:r>
                      <w:rPr>
                        <w:noProof/>
                      </w:rPr>
                      <w:t>HM Government, “The Nuclear Industries Security Regulations 2003 (NISR),” 2003. [Online]. Available: https://www.legislation.gov.uk/uksi/2003/403/contents/made.</w:t>
                    </w:r>
                  </w:p>
                </w:tc>
              </w:tr>
              <w:tr w:rsidR="00A75685" w14:paraId="67D186AF" w14:textId="77777777">
                <w:trPr>
                  <w:divId w:val="1554468060"/>
                  <w:tblCellSpacing w:w="15" w:type="dxa"/>
                </w:trPr>
                <w:tc>
                  <w:tcPr>
                    <w:tcW w:w="50" w:type="pct"/>
                    <w:hideMark/>
                  </w:tcPr>
                  <w:p w14:paraId="0DFE40CF" w14:textId="77777777" w:rsidR="00A75685" w:rsidRDefault="00A75685">
                    <w:pPr>
                      <w:pStyle w:val="Bibliography"/>
                      <w:rPr>
                        <w:noProof/>
                      </w:rPr>
                    </w:pPr>
                    <w:r>
                      <w:rPr>
                        <w:noProof/>
                      </w:rPr>
                      <w:t xml:space="preserve">[3] </w:t>
                    </w:r>
                  </w:p>
                </w:tc>
                <w:tc>
                  <w:tcPr>
                    <w:tcW w:w="0" w:type="auto"/>
                    <w:hideMark/>
                  </w:tcPr>
                  <w:p w14:paraId="6E08EF4E" w14:textId="77777777" w:rsidR="00A75685" w:rsidRDefault="00A75685">
                    <w:pPr>
                      <w:pStyle w:val="Bibliography"/>
                      <w:rPr>
                        <w:noProof/>
                      </w:rPr>
                    </w:pPr>
                    <w:r>
                      <w:rPr>
                        <w:noProof/>
                      </w:rPr>
                      <w:t xml:space="preserve">IAEA, </w:t>
                    </w:r>
                    <w:r>
                      <w:rPr>
                        <w:i/>
                        <w:iCs/>
                        <w:noProof/>
                      </w:rPr>
                      <w:t xml:space="preserve">Convention on the Physical Protection of Nuclear Material (CPPNM), </w:t>
                    </w:r>
                    <w:r>
                      <w:rPr>
                        <w:noProof/>
                      </w:rPr>
                      <w:t xml:space="preserve">1979. </w:t>
                    </w:r>
                  </w:p>
                </w:tc>
              </w:tr>
              <w:tr w:rsidR="00A75685" w14:paraId="67922FB3" w14:textId="77777777">
                <w:trPr>
                  <w:divId w:val="1554468060"/>
                  <w:tblCellSpacing w:w="15" w:type="dxa"/>
                </w:trPr>
                <w:tc>
                  <w:tcPr>
                    <w:tcW w:w="50" w:type="pct"/>
                    <w:hideMark/>
                  </w:tcPr>
                  <w:p w14:paraId="6C28D172" w14:textId="77777777" w:rsidR="00A75685" w:rsidRDefault="00A75685">
                    <w:pPr>
                      <w:pStyle w:val="Bibliography"/>
                      <w:rPr>
                        <w:noProof/>
                      </w:rPr>
                    </w:pPr>
                    <w:r>
                      <w:rPr>
                        <w:noProof/>
                      </w:rPr>
                      <w:t xml:space="preserve">[4] </w:t>
                    </w:r>
                  </w:p>
                </w:tc>
                <w:tc>
                  <w:tcPr>
                    <w:tcW w:w="0" w:type="auto"/>
                    <w:hideMark/>
                  </w:tcPr>
                  <w:p w14:paraId="74F7F580" w14:textId="77777777" w:rsidR="00A75685" w:rsidRDefault="00A75685">
                    <w:pPr>
                      <w:pStyle w:val="Bibliography"/>
                      <w:rPr>
                        <w:noProof/>
                      </w:rPr>
                    </w:pPr>
                    <w:r>
                      <w:rPr>
                        <w:noProof/>
                      </w:rPr>
                      <w:t>IAEA, “Nuclear Security Series No. 20 - Objective and Essential Elements of a State’s Nuclear Security Regime, Nuclear Security Fundamentals,” 2013. [Online]. Available: https://www.iaea.org/publications/10353/objective-and-essential-elements-of-a-states-nuclear-security-regime.</w:t>
                    </w:r>
                  </w:p>
                </w:tc>
              </w:tr>
              <w:tr w:rsidR="00A75685" w14:paraId="40EF3428" w14:textId="77777777">
                <w:trPr>
                  <w:divId w:val="1554468060"/>
                  <w:tblCellSpacing w:w="15" w:type="dxa"/>
                </w:trPr>
                <w:tc>
                  <w:tcPr>
                    <w:tcW w:w="50" w:type="pct"/>
                    <w:hideMark/>
                  </w:tcPr>
                  <w:p w14:paraId="6E3CDE23" w14:textId="77777777" w:rsidR="00A75685" w:rsidRDefault="00A75685">
                    <w:pPr>
                      <w:pStyle w:val="Bibliography"/>
                      <w:rPr>
                        <w:noProof/>
                      </w:rPr>
                    </w:pPr>
                    <w:r>
                      <w:rPr>
                        <w:noProof/>
                      </w:rPr>
                      <w:t xml:space="preserve">[5] </w:t>
                    </w:r>
                  </w:p>
                </w:tc>
                <w:tc>
                  <w:tcPr>
                    <w:tcW w:w="0" w:type="auto"/>
                    <w:hideMark/>
                  </w:tcPr>
                  <w:p w14:paraId="3022C513" w14:textId="77777777" w:rsidR="00A75685" w:rsidRDefault="00A75685">
                    <w:pPr>
                      <w:pStyle w:val="Bibliography"/>
                      <w:rPr>
                        <w:noProof/>
                      </w:rPr>
                    </w:pPr>
                    <w:r>
                      <w:rPr>
                        <w:noProof/>
                      </w:rPr>
                      <w:t>IAEA, “Nuclear Security Series No. 13 - Nuclear Security Recommendations on Physical Protection of Nuclear Material and Nuclear Facilities (INFCIRC/225/Revision 5),” 2011. [Online]. Available: https://www-pub.iaea.org/MTCD/Publications/PDF/Pub1481_web.pdf.</w:t>
                    </w:r>
                  </w:p>
                </w:tc>
              </w:tr>
              <w:tr w:rsidR="00A75685" w14:paraId="175ED423" w14:textId="77777777">
                <w:trPr>
                  <w:divId w:val="1554468060"/>
                  <w:tblCellSpacing w:w="15" w:type="dxa"/>
                </w:trPr>
                <w:tc>
                  <w:tcPr>
                    <w:tcW w:w="50" w:type="pct"/>
                    <w:hideMark/>
                  </w:tcPr>
                  <w:p w14:paraId="33B0BC99" w14:textId="77777777" w:rsidR="00A75685" w:rsidRDefault="00A75685">
                    <w:pPr>
                      <w:pStyle w:val="Bibliography"/>
                      <w:rPr>
                        <w:noProof/>
                      </w:rPr>
                    </w:pPr>
                    <w:r>
                      <w:rPr>
                        <w:noProof/>
                      </w:rPr>
                      <w:t xml:space="preserve">[6] </w:t>
                    </w:r>
                  </w:p>
                </w:tc>
                <w:tc>
                  <w:tcPr>
                    <w:tcW w:w="0" w:type="auto"/>
                    <w:hideMark/>
                  </w:tcPr>
                  <w:p w14:paraId="1E3FF9CC" w14:textId="77777777" w:rsidR="00A75685" w:rsidRDefault="00A75685">
                    <w:pPr>
                      <w:pStyle w:val="Bibliography"/>
                      <w:rPr>
                        <w:noProof/>
                      </w:rPr>
                    </w:pPr>
                    <w:r>
                      <w:rPr>
                        <w:noProof/>
                      </w:rPr>
                      <w:t>HM Government, “Security Policy Framework (Issue 1.3),” December 2022. [Online]. Available: https://www.gov.uk/government/publications/security-policy-framework/hmg-security-policy-framework.</w:t>
                    </w:r>
                  </w:p>
                </w:tc>
              </w:tr>
              <w:tr w:rsidR="00A75685" w14:paraId="0314E5AD" w14:textId="77777777">
                <w:trPr>
                  <w:divId w:val="1554468060"/>
                  <w:tblCellSpacing w:w="15" w:type="dxa"/>
                </w:trPr>
                <w:tc>
                  <w:tcPr>
                    <w:tcW w:w="50" w:type="pct"/>
                    <w:hideMark/>
                  </w:tcPr>
                  <w:p w14:paraId="2BFD1211" w14:textId="77777777" w:rsidR="00A75685" w:rsidRDefault="00A75685">
                    <w:pPr>
                      <w:pStyle w:val="Bibliography"/>
                      <w:rPr>
                        <w:noProof/>
                      </w:rPr>
                    </w:pPr>
                    <w:r>
                      <w:rPr>
                        <w:noProof/>
                      </w:rPr>
                      <w:t xml:space="preserve">[7] </w:t>
                    </w:r>
                  </w:p>
                </w:tc>
                <w:tc>
                  <w:tcPr>
                    <w:tcW w:w="0" w:type="auto"/>
                    <w:hideMark/>
                  </w:tcPr>
                  <w:p w14:paraId="26AAD75E" w14:textId="77777777" w:rsidR="00A75685" w:rsidRDefault="00A75685">
                    <w:pPr>
                      <w:pStyle w:val="Bibliography"/>
                      <w:rPr>
                        <w:noProof/>
                      </w:rPr>
                    </w:pPr>
                    <w:r>
                      <w:rPr>
                        <w:noProof/>
                      </w:rPr>
                      <w:t>ONR, “ONR-CNSS-POL-001 - NISR 2013 Classification Policy for the Civl Nuclear Industry,” November 2021. [Online]. Available: https://www.onr.org.uk/documents/classification-policy.pdf.</w:t>
                    </w:r>
                  </w:p>
                </w:tc>
              </w:tr>
              <w:tr w:rsidR="00A75685" w14:paraId="563F2C91" w14:textId="77777777">
                <w:trPr>
                  <w:divId w:val="1554468060"/>
                  <w:tblCellSpacing w:w="15" w:type="dxa"/>
                </w:trPr>
                <w:tc>
                  <w:tcPr>
                    <w:tcW w:w="50" w:type="pct"/>
                    <w:hideMark/>
                  </w:tcPr>
                  <w:p w14:paraId="53BBDDFC" w14:textId="77777777" w:rsidR="00A75685" w:rsidRDefault="00A75685">
                    <w:pPr>
                      <w:pStyle w:val="Bibliography"/>
                      <w:rPr>
                        <w:noProof/>
                      </w:rPr>
                    </w:pPr>
                    <w:r>
                      <w:rPr>
                        <w:noProof/>
                      </w:rPr>
                      <w:t xml:space="preserve">[8] </w:t>
                    </w:r>
                  </w:p>
                </w:tc>
                <w:tc>
                  <w:tcPr>
                    <w:tcW w:w="0" w:type="auto"/>
                    <w:hideMark/>
                  </w:tcPr>
                  <w:p w14:paraId="693FF8F8" w14:textId="77777777" w:rsidR="00A75685" w:rsidRDefault="00A75685">
                    <w:pPr>
                      <w:pStyle w:val="Bibliography"/>
                      <w:rPr>
                        <w:noProof/>
                      </w:rPr>
                    </w:pPr>
                    <w:r>
                      <w:rPr>
                        <w:noProof/>
                      </w:rPr>
                      <w:t>ONR, “CNS-TAST-GD-10.2 - Testing and Exercising the Security Response”.</w:t>
                    </w:r>
                  </w:p>
                </w:tc>
              </w:tr>
            </w:tbl>
            <w:p w14:paraId="509D94C9" w14:textId="77777777" w:rsidR="00A75685" w:rsidRDefault="00A75685">
              <w:pPr>
                <w:divId w:val="1554468060"/>
                <w:rPr>
                  <w:rFonts w:eastAsia="Times New Roman"/>
                  <w:noProof/>
                </w:rPr>
              </w:pPr>
            </w:p>
            <w:p w14:paraId="7D4FF22D" w14:textId="61BA1E8C" w:rsidR="00FB385A" w:rsidRPr="004149CD" w:rsidRDefault="00FB385A" w:rsidP="00836C85">
              <w:pPr>
                <w:spacing w:after="0"/>
              </w:pPr>
              <w:r w:rsidRPr="004149CD">
                <w:rPr>
                  <w:b/>
                  <w:bCs/>
                  <w:noProof/>
                </w:rPr>
                <w:fldChar w:fldCharType="end"/>
              </w:r>
            </w:p>
          </w:sdtContent>
        </w:sdt>
      </w:sdtContent>
    </w:sdt>
    <w:p w14:paraId="219D2C71" w14:textId="77777777" w:rsidR="007B1D15" w:rsidRPr="004149CD" w:rsidRDefault="007B1D15" w:rsidP="007B1D15">
      <w:pPr>
        <w:spacing w:after="0"/>
      </w:pPr>
    </w:p>
    <w:p w14:paraId="3151A05A" w14:textId="77777777" w:rsidR="00A75685" w:rsidRDefault="00A75685" w:rsidP="00A75685">
      <w:pPr>
        <w:pStyle w:val="Heading1"/>
        <w:numPr>
          <w:ilvl w:val="0"/>
          <w:numId w:val="0"/>
        </w:numPr>
        <w:ind w:left="851" w:hanging="851"/>
        <w:sectPr w:rsidR="00A75685" w:rsidSect="000B2BCD">
          <w:pgSz w:w="11906" w:h="16838" w:code="9"/>
          <w:pgMar w:top="1440" w:right="1440" w:bottom="1440" w:left="1440" w:header="397" w:footer="397" w:gutter="0"/>
          <w:cols w:space="312"/>
          <w:docGrid w:linePitch="360"/>
        </w:sectPr>
      </w:pPr>
      <w:bookmarkStart w:id="29" w:name="_Toc89268373"/>
    </w:p>
    <w:p w14:paraId="4323F5E0" w14:textId="379C23BA" w:rsidR="00F7687C" w:rsidRPr="00352192" w:rsidRDefault="00F7687C" w:rsidP="00A75685">
      <w:pPr>
        <w:pStyle w:val="Heading1"/>
        <w:numPr>
          <w:ilvl w:val="0"/>
          <w:numId w:val="0"/>
        </w:numPr>
        <w:ind w:left="851" w:hanging="851"/>
      </w:pPr>
      <w:bookmarkStart w:id="30" w:name="_Toc176506437"/>
      <w:r w:rsidRPr="00352192">
        <w:lastRenderedPageBreak/>
        <w:t>Glossary</w:t>
      </w:r>
      <w:bookmarkEnd w:id="29"/>
      <w:bookmarkEnd w:id="30"/>
    </w:p>
    <w:p w14:paraId="1588E057" w14:textId="7F8C0999" w:rsidR="00641083" w:rsidRPr="00352192" w:rsidRDefault="00641083" w:rsidP="00641083">
      <w:pPr>
        <w:tabs>
          <w:tab w:val="left" w:pos="1440"/>
        </w:tabs>
        <w:spacing w:after="0" w:line="240" w:lineRule="auto"/>
        <w:contextualSpacing/>
      </w:pPr>
      <w:r w:rsidRPr="00352192">
        <w:t>CNC</w:t>
      </w:r>
      <w:r w:rsidRPr="00352192">
        <w:tab/>
        <w:t>Civil Nuclear Constabulary</w:t>
      </w:r>
    </w:p>
    <w:p w14:paraId="3F131AAF" w14:textId="77777777" w:rsidR="00641083" w:rsidRPr="00352192" w:rsidRDefault="00641083" w:rsidP="00641083">
      <w:pPr>
        <w:tabs>
          <w:tab w:val="left" w:pos="1440"/>
        </w:tabs>
        <w:spacing w:after="0" w:line="240" w:lineRule="auto"/>
        <w:contextualSpacing/>
      </w:pPr>
      <w:r w:rsidRPr="00352192">
        <w:t>CPPNM</w:t>
      </w:r>
      <w:r w:rsidRPr="00352192">
        <w:tab/>
        <w:t>Convention on the Physical Protection of Nuclear Material</w:t>
      </w:r>
    </w:p>
    <w:p w14:paraId="5AF38470" w14:textId="77777777" w:rsidR="00641083" w:rsidRPr="00352192" w:rsidRDefault="00641083" w:rsidP="00641083">
      <w:pPr>
        <w:tabs>
          <w:tab w:val="left" w:pos="1440"/>
        </w:tabs>
        <w:spacing w:after="0" w:line="240" w:lineRule="auto"/>
        <w:contextualSpacing/>
      </w:pPr>
      <w:r w:rsidRPr="00352192">
        <w:t>CS&amp;IA</w:t>
      </w:r>
      <w:r w:rsidRPr="00352192">
        <w:tab/>
        <w:t>Cyber Security and Information Assurance</w:t>
      </w:r>
    </w:p>
    <w:p w14:paraId="4B2CA6DC" w14:textId="77777777" w:rsidR="00641083" w:rsidRPr="00352192" w:rsidRDefault="00641083" w:rsidP="00641083">
      <w:pPr>
        <w:tabs>
          <w:tab w:val="left" w:pos="1440"/>
        </w:tabs>
        <w:spacing w:after="0" w:line="240" w:lineRule="auto"/>
        <w:contextualSpacing/>
      </w:pPr>
      <w:r w:rsidRPr="00352192">
        <w:t>CT</w:t>
      </w:r>
      <w:r w:rsidRPr="00352192">
        <w:tab/>
        <w:t>Counter Terrorism</w:t>
      </w:r>
    </w:p>
    <w:p w14:paraId="0B0A2E86" w14:textId="0BBC1253" w:rsidR="00641083" w:rsidRPr="00352192" w:rsidRDefault="00641083" w:rsidP="00641083">
      <w:pPr>
        <w:tabs>
          <w:tab w:val="left" w:pos="1440"/>
        </w:tabs>
        <w:spacing w:after="0" w:line="240" w:lineRule="auto"/>
        <w:contextualSpacing/>
      </w:pPr>
      <w:r w:rsidRPr="00352192">
        <w:t>CTSA</w:t>
      </w:r>
      <w:r w:rsidRPr="00352192">
        <w:tab/>
        <w:t>Counter Terrorism Security Adviser</w:t>
      </w:r>
    </w:p>
    <w:p w14:paraId="57E6F070" w14:textId="03C48FD8" w:rsidR="00641083" w:rsidRPr="00352192" w:rsidRDefault="00641083" w:rsidP="00641083">
      <w:pPr>
        <w:tabs>
          <w:tab w:val="left" w:pos="1440"/>
        </w:tabs>
        <w:spacing w:after="0" w:line="240" w:lineRule="auto"/>
        <w:contextualSpacing/>
      </w:pPr>
      <w:r w:rsidRPr="00352192">
        <w:t>DBT</w:t>
      </w:r>
      <w:r w:rsidRPr="00352192">
        <w:tab/>
        <w:t>Design Basis Threat</w:t>
      </w:r>
    </w:p>
    <w:p w14:paraId="51A2EA5A" w14:textId="77777777" w:rsidR="00641083" w:rsidRPr="00352192" w:rsidRDefault="00641083" w:rsidP="00641083">
      <w:pPr>
        <w:tabs>
          <w:tab w:val="left" w:pos="1440"/>
        </w:tabs>
        <w:spacing w:after="0" w:line="240" w:lineRule="auto"/>
        <w:contextualSpacing/>
      </w:pPr>
      <w:r w:rsidRPr="00352192">
        <w:t>EOD</w:t>
      </w:r>
      <w:r w:rsidRPr="00352192">
        <w:tab/>
        <w:t>Explosive Ordnance Disposal</w:t>
      </w:r>
    </w:p>
    <w:p w14:paraId="1624345A" w14:textId="2EC4C614" w:rsidR="00761B0C" w:rsidRPr="00352192" w:rsidRDefault="00761B0C" w:rsidP="00641083">
      <w:pPr>
        <w:tabs>
          <w:tab w:val="left" w:pos="1440"/>
        </w:tabs>
        <w:spacing w:after="0" w:line="240" w:lineRule="auto"/>
        <w:contextualSpacing/>
      </w:pPr>
      <w:r w:rsidRPr="00352192">
        <w:t>FIM</w:t>
      </w:r>
      <w:r w:rsidRPr="00352192">
        <w:tab/>
        <w:t>For</w:t>
      </w:r>
      <w:r w:rsidR="00F900C5" w:rsidRPr="00352192">
        <w:t>c</w:t>
      </w:r>
      <w:r w:rsidRPr="00352192">
        <w:t>e Incident Manager</w:t>
      </w:r>
    </w:p>
    <w:p w14:paraId="72056D96" w14:textId="77777777" w:rsidR="00641083" w:rsidRPr="00352192" w:rsidRDefault="00641083" w:rsidP="00641083">
      <w:pPr>
        <w:tabs>
          <w:tab w:val="left" w:pos="1440"/>
        </w:tabs>
        <w:spacing w:after="0" w:line="240" w:lineRule="auto"/>
        <w:contextualSpacing/>
      </w:pPr>
      <w:r w:rsidRPr="00352192">
        <w:t>EP&amp;R</w:t>
      </w:r>
      <w:r w:rsidRPr="00352192">
        <w:tab/>
        <w:t>Emergency Preparedness and Response</w:t>
      </w:r>
    </w:p>
    <w:p w14:paraId="554A0D1A" w14:textId="77777777" w:rsidR="00641083" w:rsidRPr="00352192" w:rsidRDefault="00641083" w:rsidP="00641083">
      <w:pPr>
        <w:tabs>
          <w:tab w:val="left" w:pos="1440"/>
        </w:tabs>
        <w:spacing w:after="0" w:line="240" w:lineRule="auto"/>
        <w:contextualSpacing/>
      </w:pPr>
      <w:r w:rsidRPr="00352192">
        <w:t>FSyP</w:t>
      </w:r>
      <w:r w:rsidRPr="00352192">
        <w:tab/>
        <w:t>Fundamental Security Principle</w:t>
      </w:r>
    </w:p>
    <w:p w14:paraId="29010D10" w14:textId="77777777" w:rsidR="00761B0C" w:rsidRPr="00352192" w:rsidRDefault="00641083" w:rsidP="00641083">
      <w:pPr>
        <w:tabs>
          <w:tab w:val="left" w:pos="1440"/>
        </w:tabs>
        <w:spacing w:after="0" w:line="240" w:lineRule="auto"/>
        <w:contextualSpacing/>
      </w:pPr>
      <w:r w:rsidRPr="00352192">
        <w:t>IAEA</w:t>
      </w:r>
      <w:r w:rsidRPr="00352192">
        <w:tab/>
        <w:t>International Atomic Energy Agency</w:t>
      </w:r>
    </w:p>
    <w:p w14:paraId="3FC38620" w14:textId="270AD049" w:rsidR="00641083" w:rsidRPr="00352192" w:rsidRDefault="00761B0C" w:rsidP="00641083">
      <w:pPr>
        <w:tabs>
          <w:tab w:val="left" w:pos="1440"/>
        </w:tabs>
        <w:spacing w:after="0" w:line="240" w:lineRule="auto"/>
        <w:contextualSpacing/>
      </w:pPr>
      <w:r w:rsidRPr="00352192">
        <w:t>JESIP</w:t>
      </w:r>
      <w:r w:rsidRPr="00352192">
        <w:tab/>
        <w:t>Joint Emergency Services Interoperability Principles</w:t>
      </w:r>
      <w:r w:rsidR="00641083" w:rsidRPr="00352192">
        <w:tab/>
      </w:r>
    </w:p>
    <w:p w14:paraId="0B703168" w14:textId="2BAC2B08" w:rsidR="00A75685" w:rsidRDefault="00A75685" w:rsidP="00641083">
      <w:pPr>
        <w:tabs>
          <w:tab w:val="left" w:pos="1440"/>
        </w:tabs>
        <w:spacing w:after="0" w:line="240" w:lineRule="auto"/>
        <w:contextualSpacing/>
      </w:pPr>
      <w:r>
        <w:t>NaCTSO</w:t>
      </w:r>
      <w:r>
        <w:tab/>
      </w:r>
      <w:r w:rsidRPr="00A75685">
        <w:t>National Counter Terrorism Security Office</w:t>
      </w:r>
    </w:p>
    <w:p w14:paraId="4AFD48C0" w14:textId="5EE828C0" w:rsidR="00641083" w:rsidRPr="00352192" w:rsidRDefault="00641083" w:rsidP="00641083">
      <w:pPr>
        <w:tabs>
          <w:tab w:val="left" w:pos="1440"/>
        </w:tabs>
        <w:spacing w:after="0" w:line="240" w:lineRule="auto"/>
        <w:contextualSpacing/>
      </w:pPr>
      <w:r w:rsidRPr="00352192">
        <w:t>NISR</w:t>
      </w:r>
      <w:r w:rsidRPr="00352192">
        <w:tab/>
        <w:t>Nuclear Industries Security Regulations</w:t>
      </w:r>
    </w:p>
    <w:p w14:paraId="71DCC065" w14:textId="77777777" w:rsidR="00641083" w:rsidRPr="00352192" w:rsidRDefault="00641083" w:rsidP="00641083">
      <w:pPr>
        <w:tabs>
          <w:tab w:val="left" w:pos="1440"/>
        </w:tabs>
        <w:spacing w:after="0" w:line="240" w:lineRule="auto"/>
        <w:contextualSpacing/>
      </w:pPr>
      <w:r w:rsidRPr="00352192">
        <w:t>NM</w:t>
      </w:r>
      <w:r w:rsidRPr="00352192">
        <w:tab/>
        <w:t>Nuclear Material</w:t>
      </w:r>
    </w:p>
    <w:p w14:paraId="4A23F41A" w14:textId="41B9B2C1" w:rsidR="005E307E" w:rsidRPr="00352192" w:rsidRDefault="005E307E" w:rsidP="00641083">
      <w:pPr>
        <w:tabs>
          <w:tab w:val="left" w:pos="1440"/>
        </w:tabs>
        <w:spacing w:after="0" w:line="240" w:lineRule="auto"/>
        <w:contextualSpacing/>
      </w:pPr>
      <w:r w:rsidRPr="00352192">
        <w:t>NPSA</w:t>
      </w:r>
      <w:r w:rsidRPr="00352192">
        <w:tab/>
        <w:t>National Protective Security Authority</w:t>
      </w:r>
    </w:p>
    <w:p w14:paraId="3CCDC9F1" w14:textId="77777777" w:rsidR="00641083" w:rsidRPr="00352192" w:rsidRDefault="00641083" w:rsidP="00641083">
      <w:pPr>
        <w:tabs>
          <w:tab w:val="left" w:pos="1440"/>
        </w:tabs>
        <w:spacing w:after="0" w:line="240" w:lineRule="auto"/>
        <w:contextualSpacing/>
      </w:pPr>
      <w:r w:rsidRPr="00352192">
        <w:t>NSE</w:t>
      </w:r>
      <w:r w:rsidRPr="00352192">
        <w:tab/>
        <w:t>Nuclear Security Event</w:t>
      </w:r>
    </w:p>
    <w:p w14:paraId="3DC90814" w14:textId="77777777" w:rsidR="00641083" w:rsidRPr="00352192" w:rsidRDefault="00641083" w:rsidP="00641083">
      <w:pPr>
        <w:tabs>
          <w:tab w:val="left" w:pos="1440"/>
        </w:tabs>
        <w:spacing w:after="0" w:line="240" w:lineRule="auto"/>
        <w:contextualSpacing/>
      </w:pPr>
      <w:r w:rsidRPr="00352192">
        <w:t>NSS</w:t>
      </w:r>
      <w:r w:rsidRPr="00352192">
        <w:tab/>
        <w:t>Nuclear Security Series</w:t>
      </w:r>
    </w:p>
    <w:p w14:paraId="6447C5D3" w14:textId="77777777" w:rsidR="00641083" w:rsidRPr="00352192" w:rsidRDefault="00641083" w:rsidP="00641083">
      <w:pPr>
        <w:tabs>
          <w:tab w:val="left" w:pos="1440"/>
        </w:tabs>
        <w:spacing w:after="0" w:line="240" w:lineRule="auto"/>
        <w:contextualSpacing/>
      </w:pPr>
      <w:r w:rsidRPr="00352192">
        <w:t>ONR</w:t>
      </w:r>
      <w:r w:rsidRPr="00352192">
        <w:tab/>
        <w:t>Office for Nuclear Regulation</w:t>
      </w:r>
    </w:p>
    <w:p w14:paraId="307D1256" w14:textId="77777777" w:rsidR="00641083" w:rsidRPr="00352192" w:rsidRDefault="00641083" w:rsidP="00641083">
      <w:pPr>
        <w:tabs>
          <w:tab w:val="left" w:pos="1440"/>
        </w:tabs>
        <w:spacing w:after="0" w:line="240" w:lineRule="auto"/>
        <w:contextualSpacing/>
      </w:pPr>
      <w:r w:rsidRPr="00352192">
        <w:t>ORM</w:t>
      </w:r>
      <w:r w:rsidRPr="00352192">
        <w:tab/>
        <w:t>Other Radioactive Material</w:t>
      </w:r>
    </w:p>
    <w:p w14:paraId="4AA1EAEB" w14:textId="77777777" w:rsidR="00D84431" w:rsidRDefault="00D84431" w:rsidP="00D84431">
      <w:pPr>
        <w:tabs>
          <w:tab w:val="left" w:pos="1440"/>
        </w:tabs>
        <w:spacing w:after="0" w:line="240" w:lineRule="auto"/>
        <w:contextualSpacing/>
      </w:pPr>
      <w:r>
        <w:t>RL</w:t>
      </w:r>
      <w:r>
        <w:tab/>
        <w:t>Response Level</w:t>
      </w:r>
    </w:p>
    <w:p w14:paraId="4935292F" w14:textId="77777777" w:rsidR="00641083" w:rsidRPr="00352192" w:rsidRDefault="00641083" w:rsidP="00641083">
      <w:pPr>
        <w:tabs>
          <w:tab w:val="left" w:pos="1440"/>
        </w:tabs>
        <w:spacing w:after="0" w:line="240" w:lineRule="auto"/>
        <w:contextualSpacing/>
      </w:pPr>
      <w:r w:rsidRPr="00352192">
        <w:t>SCP</w:t>
      </w:r>
      <w:r w:rsidRPr="00352192">
        <w:tab/>
        <w:t>Security Contingency Plan</w:t>
      </w:r>
    </w:p>
    <w:p w14:paraId="1779D5E8" w14:textId="77777777" w:rsidR="00641083" w:rsidRPr="00352192" w:rsidRDefault="00641083" w:rsidP="00641083">
      <w:pPr>
        <w:tabs>
          <w:tab w:val="left" w:pos="1440"/>
        </w:tabs>
        <w:spacing w:after="0" w:line="240" w:lineRule="auto"/>
        <w:contextualSpacing/>
      </w:pPr>
      <w:r w:rsidRPr="00352192">
        <w:t>SEO</w:t>
      </w:r>
      <w:r w:rsidRPr="00352192">
        <w:tab/>
        <w:t>Site Emergency Organisation</w:t>
      </w:r>
    </w:p>
    <w:p w14:paraId="380FD2FD" w14:textId="77777777" w:rsidR="00641083" w:rsidRPr="00352192" w:rsidRDefault="00641083" w:rsidP="00641083">
      <w:pPr>
        <w:tabs>
          <w:tab w:val="left" w:pos="1440"/>
        </w:tabs>
        <w:spacing w:after="0" w:line="240" w:lineRule="auto"/>
        <w:contextualSpacing/>
      </w:pPr>
      <w:r w:rsidRPr="00352192">
        <w:t>SNI</w:t>
      </w:r>
      <w:r w:rsidRPr="00352192">
        <w:tab/>
        <w:t>Sensitive Nuclear Information</w:t>
      </w:r>
    </w:p>
    <w:p w14:paraId="521E061B" w14:textId="77777777" w:rsidR="00641083" w:rsidRPr="00352192" w:rsidRDefault="00641083" w:rsidP="00641083">
      <w:pPr>
        <w:tabs>
          <w:tab w:val="left" w:pos="1440"/>
        </w:tabs>
        <w:spacing w:after="0" w:line="240" w:lineRule="auto"/>
        <w:contextualSpacing/>
      </w:pPr>
      <w:r w:rsidRPr="00352192">
        <w:t>SPF</w:t>
      </w:r>
      <w:r w:rsidRPr="00352192">
        <w:tab/>
        <w:t>Security Policy Framework</w:t>
      </w:r>
    </w:p>
    <w:p w14:paraId="64DD1D9C" w14:textId="77777777" w:rsidR="00641083" w:rsidRPr="00352192" w:rsidRDefault="00641083" w:rsidP="00641083">
      <w:pPr>
        <w:tabs>
          <w:tab w:val="left" w:pos="1440"/>
        </w:tabs>
        <w:spacing w:after="0" w:line="240" w:lineRule="auto"/>
        <w:contextualSpacing/>
      </w:pPr>
      <w:r w:rsidRPr="00352192">
        <w:t>SQEP</w:t>
      </w:r>
      <w:r w:rsidRPr="00352192">
        <w:tab/>
        <w:t>Suitably Qualified and Experienced Person</w:t>
      </w:r>
    </w:p>
    <w:p w14:paraId="11C5E7C8" w14:textId="77777777" w:rsidR="00641083" w:rsidRPr="00352192" w:rsidRDefault="00641083" w:rsidP="00641083">
      <w:pPr>
        <w:tabs>
          <w:tab w:val="left" w:pos="1440"/>
        </w:tabs>
        <w:spacing w:after="0" w:line="240" w:lineRule="auto"/>
        <w:contextualSpacing/>
      </w:pPr>
      <w:r w:rsidRPr="00352192">
        <w:t>SyAP</w:t>
      </w:r>
      <w:r w:rsidRPr="00352192">
        <w:tab/>
        <w:t>Security Assessment Principle</w:t>
      </w:r>
    </w:p>
    <w:p w14:paraId="70598BAA" w14:textId="77777777" w:rsidR="00641083" w:rsidRPr="00352192" w:rsidRDefault="00641083" w:rsidP="00641083">
      <w:pPr>
        <w:tabs>
          <w:tab w:val="left" w:pos="1440"/>
        </w:tabs>
        <w:spacing w:after="0" w:line="240" w:lineRule="auto"/>
        <w:contextualSpacing/>
      </w:pPr>
      <w:r w:rsidRPr="00352192">
        <w:t>SyDP</w:t>
      </w:r>
      <w:r w:rsidRPr="00352192">
        <w:tab/>
        <w:t>Security Delivery Principle</w:t>
      </w:r>
    </w:p>
    <w:p w14:paraId="364FF8D0" w14:textId="77777777" w:rsidR="00641083" w:rsidRPr="00352192" w:rsidRDefault="00641083" w:rsidP="00641083">
      <w:pPr>
        <w:tabs>
          <w:tab w:val="left" w:pos="1440"/>
        </w:tabs>
        <w:spacing w:after="0" w:line="240" w:lineRule="auto"/>
        <w:contextualSpacing/>
      </w:pPr>
      <w:r w:rsidRPr="00352192">
        <w:t>TAG</w:t>
      </w:r>
      <w:r w:rsidRPr="00352192">
        <w:tab/>
        <w:t>Technical Assessment Guide</w:t>
      </w:r>
    </w:p>
    <w:p w14:paraId="0C0493EB" w14:textId="35090760" w:rsidR="007B1D15" w:rsidRPr="00352192" w:rsidRDefault="00641083" w:rsidP="00641083">
      <w:pPr>
        <w:tabs>
          <w:tab w:val="left" w:pos="1440"/>
        </w:tabs>
        <w:spacing w:after="0" w:line="240" w:lineRule="auto"/>
        <w:contextualSpacing/>
      </w:pPr>
      <w:r w:rsidRPr="00352192">
        <w:t>VA</w:t>
      </w:r>
      <w:r w:rsidRPr="00352192">
        <w:tab/>
        <w:t>Vital Area</w:t>
      </w:r>
    </w:p>
    <w:p w14:paraId="21086CE4" w14:textId="5B4632F4" w:rsidR="004F6C62" w:rsidRPr="00352192" w:rsidRDefault="004F6C62" w:rsidP="002C6CB0">
      <w:pPr>
        <w:tabs>
          <w:tab w:val="left" w:pos="1440"/>
        </w:tabs>
        <w:spacing w:after="0" w:line="240" w:lineRule="auto"/>
        <w:contextualSpacing/>
      </w:pPr>
    </w:p>
    <w:p w14:paraId="2F1DA976" w14:textId="1FFAE025" w:rsidR="004F6C62" w:rsidRPr="005E307E" w:rsidRDefault="004F6C62" w:rsidP="002C6CB0">
      <w:pPr>
        <w:tabs>
          <w:tab w:val="left" w:pos="1440"/>
        </w:tabs>
        <w:spacing w:after="0" w:line="240" w:lineRule="auto"/>
        <w:contextualSpacing/>
        <w:rPr>
          <w:highlight w:val="cyan"/>
        </w:rPr>
      </w:pPr>
    </w:p>
    <w:p w14:paraId="7675C1D5" w14:textId="1E99F2C8" w:rsidR="004F6C62" w:rsidRPr="005E307E" w:rsidRDefault="004F6C62" w:rsidP="002C6CB0">
      <w:pPr>
        <w:tabs>
          <w:tab w:val="left" w:pos="1440"/>
        </w:tabs>
        <w:spacing w:after="0" w:line="240" w:lineRule="auto"/>
        <w:contextualSpacing/>
        <w:rPr>
          <w:highlight w:val="cyan"/>
        </w:rPr>
      </w:pPr>
    </w:p>
    <w:p w14:paraId="13039370" w14:textId="0B3BECAF" w:rsidR="004F6C62" w:rsidRPr="005E307E" w:rsidRDefault="004F6C62" w:rsidP="002C6CB0">
      <w:pPr>
        <w:tabs>
          <w:tab w:val="left" w:pos="1440"/>
        </w:tabs>
        <w:spacing w:after="0" w:line="240" w:lineRule="auto"/>
        <w:contextualSpacing/>
        <w:rPr>
          <w:highlight w:val="cyan"/>
        </w:rPr>
      </w:pPr>
    </w:p>
    <w:p w14:paraId="14F3A382" w14:textId="61D472F6" w:rsidR="004F6C62" w:rsidRPr="005E307E" w:rsidRDefault="004F6C62" w:rsidP="002C6CB0">
      <w:pPr>
        <w:tabs>
          <w:tab w:val="left" w:pos="1440"/>
        </w:tabs>
        <w:spacing w:after="0" w:line="240" w:lineRule="auto"/>
        <w:contextualSpacing/>
        <w:rPr>
          <w:highlight w:val="cyan"/>
        </w:rPr>
      </w:pPr>
    </w:p>
    <w:p w14:paraId="2E4B452C" w14:textId="18A981DA" w:rsidR="004F6C62" w:rsidRPr="005E307E" w:rsidRDefault="004F6C62" w:rsidP="002C6CB0">
      <w:pPr>
        <w:tabs>
          <w:tab w:val="left" w:pos="1440"/>
        </w:tabs>
        <w:spacing w:after="0" w:line="240" w:lineRule="auto"/>
        <w:contextualSpacing/>
        <w:rPr>
          <w:highlight w:val="cyan"/>
        </w:rPr>
      </w:pPr>
    </w:p>
    <w:p w14:paraId="39E74C02" w14:textId="795BAAF6" w:rsidR="004F6C62" w:rsidRPr="005E307E" w:rsidRDefault="004F6C62" w:rsidP="002C6CB0">
      <w:pPr>
        <w:tabs>
          <w:tab w:val="left" w:pos="1440"/>
        </w:tabs>
        <w:spacing w:after="0" w:line="240" w:lineRule="auto"/>
        <w:contextualSpacing/>
        <w:rPr>
          <w:highlight w:val="cyan"/>
        </w:rPr>
      </w:pPr>
    </w:p>
    <w:p w14:paraId="4CBA8F16" w14:textId="2C10123D" w:rsidR="004F6C62" w:rsidRPr="005E307E" w:rsidRDefault="004F6C62" w:rsidP="002C6CB0">
      <w:pPr>
        <w:tabs>
          <w:tab w:val="left" w:pos="1440"/>
        </w:tabs>
        <w:spacing w:after="0" w:line="240" w:lineRule="auto"/>
        <w:contextualSpacing/>
        <w:rPr>
          <w:highlight w:val="cyan"/>
        </w:rPr>
      </w:pPr>
    </w:p>
    <w:p w14:paraId="7F98806E" w14:textId="1883E6BD" w:rsidR="004F6C62" w:rsidRPr="005E307E" w:rsidRDefault="004F6C62" w:rsidP="002C6CB0">
      <w:pPr>
        <w:tabs>
          <w:tab w:val="left" w:pos="1440"/>
        </w:tabs>
        <w:spacing w:after="0" w:line="240" w:lineRule="auto"/>
        <w:contextualSpacing/>
        <w:rPr>
          <w:highlight w:val="cyan"/>
        </w:rPr>
      </w:pPr>
    </w:p>
    <w:p w14:paraId="17378DFF" w14:textId="494F1EFE" w:rsidR="004F6C62" w:rsidRPr="005E307E" w:rsidRDefault="004F6C62" w:rsidP="002C6CB0">
      <w:pPr>
        <w:tabs>
          <w:tab w:val="left" w:pos="1440"/>
        </w:tabs>
        <w:spacing w:after="0" w:line="240" w:lineRule="auto"/>
        <w:contextualSpacing/>
        <w:rPr>
          <w:highlight w:val="cyan"/>
        </w:rPr>
      </w:pPr>
    </w:p>
    <w:p w14:paraId="7B64C851" w14:textId="6465C7A8" w:rsidR="004F6C62" w:rsidRPr="005E307E" w:rsidRDefault="004F6C62" w:rsidP="002C6CB0">
      <w:pPr>
        <w:tabs>
          <w:tab w:val="left" w:pos="1440"/>
        </w:tabs>
        <w:spacing w:after="0" w:line="240" w:lineRule="auto"/>
        <w:contextualSpacing/>
        <w:rPr>
          <w:highlight w:val="cyan"/>
        </w:rPr>
      </w:pPr>
    </w:p>
    <w:p w14:paraId="2FA9582A" w14:textId="0EA81ED3" w:rsidR="004F6C62" w:rsidRPr="005E307E" w:rsidRDefault="004F6C62" w:rsidP="002C6CB0">
      <w:pPr>
        <w:tabs>
          <w:tab w:val="left" w:pos="1440"/>
        </w:tabs>
        <w:spacing w:after="0" w:line="240" w:lineRule="auto"/>
        <w:contextualSpacing/>
        <w:rPr>
          <w:highlight w:val="cyan"/>
        </w:rPr>
      </w:pPr>
    </w:p>
    <w:p w14:paraId="62B336C7" w14:textId="10495DFE" w:rsidR="004F6C62" w:rsidRPr="005E307E" w:rsidRDefault="004F6C62" w:rsidP="002C6CB0">
      <w:pPr>
        <w:tabs>
          <w:tab w:val="left" w:pos="1440"/>
        </w:tabs>
        <w:spacing w:after="0" w:line="240" w:lineRule="auto"/>
        <w:contextualSpacing/>
        <w:rPr>
          <w:highlight w:val="cyan"/>
        </w:rPr>
      </w:pPr>
    </w:p>
    <w:p w14:paraId="69A789C0" w14:textId="5B5C7898" w:rsidR="004F6C62" w:rsidRPr="005E307E" w:rsidRDefault="004F6C62" w:rsidP="002C6CB0">
      <w:pPr>
        <w:tabs>
          <w:tab w:val="left" w:pos="1440"/>
        </w:tabs>
        <w:spacing w:after="0" w:line="240" w:lineRule="auto"/>
        <w:contextualSpacing/>
        <w:rPr>
          <w:highlight w:val="cyan"/>
        </w:rPr>
      </w:pPr>
    </w:p>
    <w:p w14:paraId="058B4400" w14:textId="4ABC733D" w:rsidR="004F6C62" w:rsidRPr="005E307E" w:rsidRDefault="004F6C62" w:rsidP="002C6CB0">
      <w:pPr>
        <w:tabs>
          <w:tab w:val="left" w:pos="1440"/>
        </w:tabs>
        <w:spacing w:after="0" w:line="240" w:lineRule="auto"/>
        <w:contextualSpacing/>
        <w:rPr>
          <w:highlight w:val="cyan"/>
        </w:rPr>
      </w:pPr>
    </w:p>
    <w:p w14:paraId="3A9DD0B0" w14:textId="535BCE7F" w:rsidR="004F6C62" w:rsidRPr="005E307E" w:rsidRDefault="004F6C62" w:rsidP="002C6CB0">
      <w:pPr>
        <w:tabs>
          <w:tab w:val="left" w:pos="1440"/>
        </w:tabs>
        <w:spacing w:after="0" w:line="240" w:lineRule="auto"/>
        <w:contextualSpacing/>
        <w:rPr>
          <w:highlight w:val="cyan"/>
        </w:rPr>
      </w:pPr>
    </w:p>
    <w:p w14:paraId="040DC0D2" w14:textId="1EAAF43C" w:rsidR="004F6C62" w:rsidRPr="005E307E" w:rsidRDefault="004F6C62" w:rsidP="002C6CB0">
      <w:pPr>
        <w:tabs>
          <w:tab w:val="left" w:pos="1440"/>
        </w:tabs>
        <w:spacing w:after="0" w:line="240" w:lineRule="auto"/>
        <w:contextualSpacing/>
        <w:rPr>
          <w:highlight w:val="cyan"/>
        </w:rPr>
      </w:pPr>
    </w:p>
    <w:p w14:paraId="30A8DBC9" w14:textId="338E8482" w:rsidR="004F6C62" w:rsidRPr="00352192" w:rsidRDefault="00F224BF" w:rsidP="00A75685">
      <w:pPr>
        <w:pStyle w:val="Heading1"/>
        <w:numPr>
          <w:ilvl w:val="0"/>
          <w:numId w:val="0"/>
        </w:numPr>
      </w:pPr>
      <w:bookmarkStart w:id="31" w:name="_Appendix_A_–"/>
      <w:bookmarkStart w:id="32" w:name="_Appendix_A_–National"/>
      <w:bookmarkStart w:id="33" w:name="_Toc99551670"/>
      <w:bookmarkStart w:id="34" w:name="_Toc176506438"/>
      <w:bookmarkEnd w:id="31"/>
      <w:bookmarkEnd w:id="32"/>
      <w:r w:rsidRPr="00352192">
        <w:lastRenderedPageBreak/>
        <w:t>Appendix A –</w:t>
      </w:r>
      <w:bookmarkEnd w:id="33"/>
      <w:r w:rsidR="00A75685">
        <w:t xml:space="preserve"> NaCTSO</w:t>
      </w:r>
      <w:r w:rsidR="00D745B5" w:rsidRPr="00D745B5">
        <w:t xml:space="preserve"> </w:t>
      </w:r>
      <w:r w:rsidR="00A75685">
        <w:t>r</w:t>
      </w:r>
      <w:r w:rsidR="00D745B5" w:rsidRPr="00D745B5">
        <w:t xml:space="preserve">esponse </w:t>
      </w:r>
      <w:r w:rsidR="00A75685">
        <w:t>l</w:t>
      </w:r>
      <w:r w:rsidR="00D745B5" w:rsidRPr="00D745B5">
        <w:t>evels</w:t>
      </w:r>
      <w:bookmarkEnd w:id="34"/>
    </w:p>
    <w:p w14:paraId="203BAC52" w14:textId="5F1A4BA6" w:rsidR="00685BB8" w:rsidRPr="009061AC" w:rsidRDefault="00757F2A" w:rsidP="00A75685">
      <w:pPr>
        <w:rPr>
          <w:color w:val="0B0C0C"/>
          <w:szCs w:val="24"/>
          <w:shd w:val="clear" w:color="auto" w:fill="FFFFFF"/>
        </w:rPr>
      </w:pPr>
      <w:r w:rsidRPr="009061AC">
        <w:rPr>
          <w:color w:val="0B0C0C"/>
          <w:szCs w:val="24"/>
          <w:shd w:val="clear" w:color="auto" w:fill="FFFFFF"/>
        </w:rPr>
        <w:t>Response levels</w:t>
      </w:r>
      <w:r w:rsidR="00A75685">
        <w:rPr>
          <w:color w:val="0B0C0C"/>
          <w:szCs w:val="24"/>
          <w:shd w:val="clear" w:color="auto" w:fill="FFFFFF"/>
        </w:rPr>
        <w:t xml:space="preserve"> (RLs)</w:t>
      </w:r>
      <w:r w:rsidRPr="009061AC">
        <w:rPr>
          <w:color w:val="0B0C0C"/>
          <w:szCs w:val="24"/>
          <w:shd w:val="clear" w:color="auto" w:fill="FFFFFF"/>
        </w:rPr>
        <w:t xml:space="preserve"> should provide a general indication of the protective security measures that need to be applied at a given time depending on the current UK national threat level and any specific assessments of vulnerability and risk in relation to the event being planned. </w:t>
      </w:r>
      <w:r w:rsidR="00A75685">
        <w:rPr>
          <w:color w:val="0B0C0C"/>
          <w:szCs w:val="24"/>
          <w:shd w:val="clear" w:color="auto" w:fill="FFFFFF"/>
        </w:rPr>
        <w:t>RLs</w:t>
      </w:r>
      <w:r w:rsidRPr="009061AC">
        <w:rPr>
          <w:color w:val="0B0C0C"/>
          <w:szCs w:val="24"/>
          <w:shd w:val="clear" w:color="auto" w:fill="FFFFFF"/>
        </w:rPr>
        <w:t xml:space="preserve"> tend to apply to sites whereas threat levels tend to relate to areas of activity.</w:t>
      </w:r>
    </w:p>
    <w:p w14:paraId="699C2332" w14:textId="77777777" w:rsidR="00A75685" w:rsidRDefault="009061AC" w:rsidP="00A75685">
      <w:pPr>
        <w:keepNext/>
        <w:jc w:val="center"/>
      </w:pPr>
      <w:r w:rsidRPr="009061AC">
        <w:rPr>
          <w:noProof/>
          <w:color w:val="0B0C0C"/>
          <w:sz w:val="29"/>
          <w:szCs w:val="29"/>
          <w:shd w:val="clear" w:color="auto" w:fill="FFFFFF"/>
        </w:rPr>
        <w:drawing>
          <wp:inline distT="0" distB="0" distL="0" distR="0" wp14:anchorId="1789BA40" wp14:editId="54CEC02A">
            <wp:extent cx="5206941" cy="34192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09" t="6461" r="6022" b="8989"/>
                    <a:stretch/>
                  </pic:blipFill>
                  <pic:spPr bwMode="auto">
                    <a:xfrm>
                      <a:off x="0" y="0"/>
                      <a:ext cx="5208200" cy="3420030"/>
                    </a:xfrm>
                    <a:prstGeom prst="rect">
                      <a:avLst/>
                    </a:prstGeom>
                    <a:ln>
                      <a:noFill/>
                    </a:ln>
                    <a:extLst>
                      <a:ext uri="{53640926-AAD7-44D8-BBD7-CCE9431645EC}">
                        <a14:shadowObscured xmlns:a14="http://schemas.microsoft.com/office/drawing/2010/main"/>
                      </a:ext>
                    </a:extLst>
                  </pic:spPr>
                </pic:pic>
              </a:graphicData>
            </a:graphic>
          </wp:inline>
        </w:drawing>
      </w:r>
    </w:p>
    <w:p w14:paraId="456FDD23" w14:textId="0614AF1B" w:rsidR="009061AC" w:rsidRDefault="00A75685" w:rsidP="00A75685">
      <w:pPr>
        <w:pStyle w:val="Caption"/>
        <w:jc w:val="center"/>
        <w:rPr>
          <w:color w:val="0B0C0C"/>
          <w:sz w:val="29"/>
          <w:szCs w:val="29"/>
          <w:shd w:val="clear" w:color="auto" w:fill="FFFFFF"/>
        </w:rPr>
      </w:pPr>
      <w:r>
        <w:t xml:space="preserve">Figure </w:t>
      </w:r>
      <w:r>
        <w:fldChar w:fldCharType="begin"/>
      </w:r>
      <w:r>
        <w:instrText xml:space="preserve"> SEQ Figure \* ARABIC </w:instrText>
      </w:r>
      <w:r>
        <w:fldChar w:fldCharType="separate"/>
      </w:r>
      <w:r>
        <w:rPr>
          <w:noProof/>
        </w:rPr>
        <w:t>1</w:t>
      </w:r>
      <w:r>
        <w:fldChar w:fldCharType="end"/>
      </w:r>
      <w:r>
        <w:t xml:space="preserve"> - NaCTSO RLs</w:t>
      </w:r>
    </w:p>
    <w:p w14:paraId="1EC9872F" w14:textId="77777777" w:rsidR="009061AC" w:rsidRPr="009061AC" w:rsidRDefault="009061AC" w:rsidP="009061AC">
      <w:pPr>
        <w:rPr>
          <w:color w:val="0B0C0C"/>
          <w:sz w:val="29"/>
          <w:szCs w:val="29"/>
          <w:shd w:val="clear" w:color="auto" w:fill="FFFFFF"/>
        </w:rPr>
      </w:pPr>
    </w:p>
    <w:sectPr w:rsidR="009061AC" w:rsidRPr="009061AC" w:rsidSect="000B2BCD">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8"/>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 wne:argValue="AgBGADkAIAAtACAAIwAgAFAAYQByAGEAZwByAGEAcABoAA==" wne:acdName="acd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532EB3" w14:textId="77777777" w:rsidR="00D12FF3" w:rsidRDefault="00D12FF3" w:rsidP="007D199A">
      <w:pPr>
        <w:spacing w:after="0"/>
      </w:pPr>
      <w:r>
        <w:separator/>
      </w:r>
    </w:p>
    <w:p w14:paraId="23335AC7" w14:textId="77777777" w:rsidR="00D12FF3" w:rsidRDefault="00D12FF3"/>
    <w:p w14:paraId="042E3E4B" w14:textId="77777777" w:rsidR="00D12FF3" w:rsidRDefault="00D12FF3"/>
  </w:endnote>
  <w:endnote w:type="continuationSeparator" w:id="0">
    <w:p w14:paraId="2C33C40A" w14:textId="77777777" w:rsidR="00D12FF3" w:rsidRDefault="00D12FF3" w:rsidP="007D199A">
      <w:pPr>
        <w:spacing w:after="0"/>
      </w:pPr>
      <w:r>
        <w:continuationSeparator/>
      </w:r>
    </w:p>
    <w:p w14:paraId="58F47C16" w14:textId="77777777" w:rsidR="00D12FF3" w:rsidRDefault="00D12FF3"/>
    <w:p w14:paraId="36494AA2" w14:textId="77777777" w:rsidR="00D12FF3" w:rsidRDefault="00D12F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71313F3" w:rsidR="007C3C1D" w:rsidRPr="006A525B" w:rsidRDefault="00906A19" w:rsidP="007C3C1D">
    <w:pPr>
      <w:pStyle w:val="Footer"/>
      <w:jc w:val="left"/>
      <w:rPr>
        <w:szCs w:val="24"/>
      </w:rPr>
    </w:pPr>
    <w:r>
      <w:rPr>
        <w:szCs w:val="24"/>
      </w:rPr>
      <w:t>ONR-DOC-TEMP-002 (Issue 5.5)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64EED" w14:textId="500561FC" w:rsidR="00906A19" w:rsidRPr="00906A19" w:rsidRDefault="00906A19" w:rsidP="00906A19">
    <w:pPr>
      <w:pStyle w:val="Footer"/>
    </w:pPr>
    <w:r>
      <w:t xml:space="preserve">Page | </w:t>
    </w:r>
    <w:r>
      <w:fldChar w:fldCharType="begin"/>
    </w:r>
    <w:r>
      <w:instrText>PAGE   \* MERGEFORMAT</w:instrText>
    </w:r>
    <w:r>
      <w:fldChar w:fldCharType="separate"/>
    </w:r>
    <w:r>
      <w:t>1</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C87D4" w14:textId="07FF8408" w:rsidR="000B2BCD" w:rsidRPr="000B2BCD" w:rsidRDefault="00A8606E" w:rsidP="000B2BCD">
    <w:pPr>
      <w:pStyle w:val="Footer"/>
      <w:spacing w:before="240" w:after="0" w:line="240" w:lineRule="auto"/>
      <w:rPr>
        <w:rStyle w:val="PageNumber"/>
        <w:color w:val="22413A"/>
        <w:sz w:val="24"/>
      </w:rPr>
    </w:pPr>
    <w:r w:rsidRPr="00A8606E">
      <w:rPr>
        <w:rStyle w:val="PageNumber"/>
        <w:color w:val="22413A"/>
        <w:sz w:val="24"/>
      </w:rPr>
      <w:t xml:space="preserve">Page | </w:t>
    </w:r>
    <w:r w:rsidRPr="00A8606E">
      <w:rPr>
        <w:rStyle w:val="PageNumber"/>
        <w:color w:val="22413A"/>
        <w:sz w:val="24"/>
      </w:rPr>
      <w:fldChar w:fldCharType="begin"/>
    </w:r>
    <w:r w:rsidRPr="00A8606E">
      <w:rPr>
        <w:rStyle w:val="PageNumber"/>
        <w:color w:val="22413A"/>
        <w:sz w:val="24"/>
      </w:rPr>
      <w:instrText xml:space="preserve"> PAGE   \* MERGEFORMAT </w:instrText>
    </w:r>
    <w:r w:rsidRPr="00A8606E">
      <w:rPr>
        <w:rStyle w:val="PageNumber"/>
        <w:color w:val="22413A"/>
        <w:sz w:val="24"/>
      </w:rPr>
      <w:fldChar w:fldCharType="separate"/>
    </w:r>
    <w:r w:rsidRPr="00A8606E">
      <w:rPr>
        <w:rStyle w:val="PageNumber"/>
        <w:noProof/>
        <w:color w:val="22413A"/>
        <w:sz w:val="24"/>
      </w:rPr>
      <w:t>1</w:t>
    </w:r>
    <w:r w:rsidRPr="00A8606E">
      <w:rPr>
        <w:rStyle w:val="PageNumber"/>
        <w:noProof/>
        <w:color w:val="22413A"/>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F9B6B" w14:textId="77777777" w:rsidR="00D12FF3" w:rsidRPr="005E0344" w:rsidRDefault="00D12FF3" w:rsidP="005E0344">
      <w:pPr>
        <w:spacing w:after="120"/>
        <w:rPr>
          <w:color w:val="000000" w:themeColor="text2"/>
        </w:rPr>
      </w:pPr>
      <w:r w:rsidRPr="005E0344">
        <w:rPr>
          <w:color w:val="000000" w:themeColor="text2"/>
        </w:rPr>
        <w:separator/>
      </w:r>
    </w:p>
    <w:p w14:paraId="7BFA226C" w14:textId="77777777" w:rsidR="00D12FF3" w:rsidRDefault="00D12FF3"/>
  </w:footnote>
  <w:footnote w:type="continuationSeparator" w:id="0">
    <w:p w14:paraId="28A6913B" w14:textId="77777777" w:rsidR="00D12FF3" w:rsidRPr="005E0344" w:rsidRDefault="00D12FF3" w:rsidP="0090581D">
      <w:pPr>
        <w:spacing w:after="120"/>
        <w:rPr>
          <w:color w:val="000000" w:themeColor="text2"/>
        </w:rPr>
      </w:pPr>
      <w:r w:rsidRPr="005E0344">
        <w:rPr>
          <w:color w:val="000000" w:themeColor="text2"/>
        </w:rPr>
        <w:continuationSeparator/>
      </w:r>
    </w:p>
    <w:p w14:paraId="191E3A89" w14:textId="77777777" w:rsidR="00D12FF3" w:rsidRDefault="00D12FF3"/>
    <w:p w14:paraId="37B852CA" w14:textId="77777777" w:rsidR="00D12FF3" w:rsidRDefault="00D12FF3"/>
  </w:footnote>
  <w:footnote w:type="continuationNotice" w:id="1">
    <w:p w14:paraId="63EC523F" w14:textId="77777777" w:rsidR="00D12FF3" w:rsidRDefault="00D12FF3">
      <w:pPr>
        <w:spacing w:after="0"/>
      </w:pPr>
    </w:p>
    <w:p w14:paraId="7C1C24D5" w14:textId="77777777" w:rsidR="00D12FF3" w:rsidRDefault="00D12FF3"/>
    <w:p w14:paraId="5EBDF970" w14:textId="77777777" w:rsidR="00D12FF3" w:rsidRDefault="00D12FF3"/>
  </w:footnote>
  <w:footnote w:id="2">
    <w:p w14:paraId="426C28EE" w14:textId="6D823870" w:rsidR="00141CB4" w:rsidRPr="00E829BC" w:rsidRDefault="00141CB4" w:rsidP="00E829BC">
      <w:pPr>
        <w:pStyle w:val="FootnoteText"/>
        <w:ind w:left="0" w:firstLine="0"/>
        <w:rPr>
          <w:sz w:val="22"/>
          <w:szCs w:val="22"/>
        </w:rPr>
      </w:pPr>
      <w:r w:rsidRPr="00E829BC">
        <w:rPr>
          <w:rStyle w:val="FootnoteReference"/>
        </w:rPr>
        <w:footnoteRef/>
      </w:r>
      <w:r w:rsidRPr="00E829BC">
        <w:t xml:space="preserve"> Key stakeholders are considered to be the CNC (where deployed) and/or </w:t>
      </w:r>
      <w:r w:rsidR="00182E2D" w:rsidRPr="00E829BC">
        <w:t>local</w:t>
      </w:r>
      <w:r w:rsidRPr="00E829BC">
        <w:t xml:space="preserve"> police forces (Home Office Police/Police Scotland), Civilian Guard Force /in-house Guard Force and emergency first responders, i.e. Fire and Rescue and Ambulance Services. Military Explosive Ordnance Disposal (EOD) is also a key responder and should be considered where appropriate.</w:t>
      </w:r>
    </w:p>
  </w:footnote>
  <w:footnote w:id="3">
    <w:p w14:paraId="6B2C79E1" w14:textId="77777777" w:rsidR="005B30DA" w:rsidRPr="00E829BC" w:rsidRDefault="005B30DA" w:rsidP="005B30DA">
      <w:pPr>
        <w:pStyle w:val="FootnoteText"/>
      </w:pPr>
      <w:r w:rsidRPr="00E829BC">
        <w:rPr>
          <w:rStyle w:val="FootnoteReference"/>
        </w:rPr>
        <w:footnoteRef/>
      </w:r>
      <w:r w:rsidRPr="00E829BC">
        <w:t xml:space="preserve"> This can include CNC, guard force or other site personnel.</w:t>
      </w:r>
    </w:p>
  </w:footnote>
  <w:footnote w:id="4">
    <w:p w14:paraId="7CD19F07" w14:textId="77777777" w:rsidR="006337E2" w:rsidRPr="00E829BC" w:rsidRDefault="006337E2" w:rsidP="00E829BC">
      <w:pPr>
        <w:pStyle w:val="FootnoteText"/>
        <w:ind w:left="0" w:firstLine="0"/>
        <w:rPr>
          <w:rFonts w:ascii="Times New Roman" w:hAnsi="Times New Roman"/>
        </w:rPr>
      </w:pPr>
      <w:r w:rsidRPr="00E829BC">
        <w:rPr>
          <w:rStyle w:val="FootnoteReference"/>
        </w:rPr>
        <w:footnoteRef/>
      </w:r>
      <w:r w:rsidRPr="00E829BC">
        <w:t xml:space="preserve"> However unlikely a threat is assessed to be by a dutyholder, it should not be ruled out but should be subsequently planned for, unless there is sound justification for its exclusion.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05251FD3"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1C66F875" w:rsidR="00177666" w:rsidRPr="00046936" w:rsidRDefault="004E70B7"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906A19">
          <w:rPr>
            <w:sz w:val="20"/>
            <w:szCs w:val="24"/>
          </w:rPr>
          <w:t>Counter terrorism (CT) measures and emergency preparedness and response (EP&amp;R) planning arrangements</w:t>
        </w:r>
      </w:sdtContent>
    </w:sdt>
    <w:r w:rsidR="004E3932" w:rsidRPr="00046936">
      <w:rPr>
        <w:sz w:val="20"/>
        <w:szCs w:val="24"/>
      </w:rPr>
      <w:t xml:space="preserve"> | Issue</w:t>
    </w:r>
    <w:r w:rsidR="00906A19">
      <w:rPr>
        <w:sz w:val="20"/>
        <w:szCs w:val="24"/>
      </w:rPr>
      <w:t>:</w:t>
    </w:r>
    <w:r w:rsidR="004E3932" w:rsidRPr="00046936">
      <w:rPr>
        <w:sz w:val="20"/>
        <w:szCs w:val="24"/>
      </w:rPr>
      <w:t xml:space="preserve">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906A19">
          <w:rPr>
            <w:sz w:val="20"/>
            <w:szCs w:val="24"/>
          </w:rPr>
          <w:t>3</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A65B1" w14:textId="62075FF5" w:rsidR="000B2BCD" w:rsidRPr="00046936" w:rsidRDefault="004E70B7" w:rsidP="009E0E52">
    <w:pPr>
      <w:pStyle w:val="Header"/>
      <w:rPr>
        <w:sz w:val="20"/>
        <w:szCs w:val="24"/>
      </w:rPr>
    </w:pPr>
    <w:sdt>
      <w:sdtPr>
        <w:alias w:val="Title"/>
        <w:tag w:val=""/>
        <w:id w:val="2101294540"/>
        <w:placeholder>
          <w:docPart w:val="30CB27CBF28C4D2FBF0903761E9BCFB8"/>
        </w:placeholder>
        <w:dataBinding w:prefixMappings="xmlns:ns0='http://purl.org/dc/elements/1.1/' xmlns:ns1='http://schemas.openxmlformats.org/package/2006/metadata/core-properties' " w:xpath="/ns1:coreProperties[1]/ns0:title[1]" w:storeItemID="{6C3C8BC8-F283-45AE-878A-BAB7291924A1}"/>
        <w:text/>
      </w:sdtPr>
      <w:sdtEndPr/>
      <w:sdtContent>
        <w:r w:rsidR="00906A19" w:rsidRPr="00906A19">
          <w:t xml:space="preserve">Counter terrorism </w:t>
        </w:r>
        <w:r w:rsidR="00906A19">
          <w:t xml:space="preserve">(CT) </w:t>
        </w:r>
        <w:r w:rsidR="00906A19" w:rsidRPr="00906A19">
          <w:t xml:space="preserve">measures and </w:t>
        </w:r>
        <w:r w:rsidR="00906A19">
          <w:t>e</w:t>
        </w:r>
        <w:r w:rsidR="00906A19" w:rsidRPr="00906A19">
          <w:t xml:space="preserve">mergency </w:t>
        </w:r>
        <w:r w:rsidR="00906A19">
          <w:t>p</w:t>
        </w:r>
        <w:r w:rsidR="00906A19" w:rsidRPr="00906A19">
          <w:t xml:space="preserve">reparedness </w:t>
        </w:r>
        <w:r w:rsidR="00906A19">
          <w:t>and r</w:t>
        </w:r>
        <w:r w:rsidR="00906A19" w:rsidRPr="00906A19">
          <w:t>esponse (EP&amp;R) planning arrangements</w:t>
        </w:r>
      </w:sdtContent>
    </w:sdt>
    <w:r w:rsidR="00906A19">
      <w:rPr>
        <w:sz w:val="20"/>
        <w:szCs w:val="24"/>
      </w:rPr>
      <w:br/>
    </w:r>
    <w:r w:rsidR="000B2BCD" w:rsidRPr="00046936">
      <w:rPr>
        <w:sz w:val="20"/>
        <w:szCs w:val="24"/>
      </w:rPr>
      <w:t xml:space="preserve">Issue No.: </w:t>
    </w:r>
    <w:sdt>
      <w:sdtPr>
        <w:rPr>
          <w:sz w:val="20"/>
          <w:szCs w:val="24"/>
        </w:rPr>
        <w:alias w:val="Status"/>
        <w:tag w:val=""/>
        <w:id w:val="801957864"/>
        <w:placeholder>
          <w:docPart w:val="3E5B43D4E703445285DC56911DA95DBF"/>
        </w:placeholder>
        <w:dataBinding w:prefixMappings="xmlns:ns0='http://purl.org/dc/elements/1.1/' xmlns:ns1='http://schemas.openxmlformats.org/package/2006/metadata/core-properties' " w:xpath="/ns1:coreProperties[1]/ns1:contentStatus[1]" w:storeItemID="{6C3C8BC8-F283-45AE-878A-BAB7291924A1}"/>
        <w:text/>
      </w:sdtPr>
      <w:sdtEndPr/>
      <w:sdtContent>
        <w:r w:rsidR="00906A19">
          <w:rPr>
            <w:sz w:val="20"/>
            <w:szCs w:val="24"/>
          </w:rPr>
          <w:t>3</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75CD1"/>
    <w:multiLevelType w:val="multilevel"/>
    <w:tmpl w:val="49E2B3AE"/>
    <w:lvl w:ilvl="0">
      <w:start w:val="1"/>
      <w:numFmt w:val="decimal"/>
      <w:pStyle w:val="NumList1"/>
      <w:lvlText w:val="%1)"/>
      <w:lvlJc w:val="left"/>
      <w:pPr>
        <w:ind w:left="1276" w:hanging="357"/>
      </w:pPr>
      <w:rPr>
        <w:rFonts w:hint="default"/>
      </w:rPr>
    </w:lvl>
    <w:lvl w:ilvl="1">
      <w:start w:val="1"/>
      <w:numFmt w:val="lowerLetter"/>
      <w:pStyle w:val="NumList2"/>
      <w:lvlText w:val="%2)"/>
      <w:lvlJc w:val="left"/>
      <w:pPr>
        <w:ind w:left="1633" w:hanging="357"/>
      </w:pPr>
      <w:rPr>
        <w:rFonts w:hint="default"/>
      </w:rPr>
    </w:lvl>
    <w:lvl w:ilvl="2">
      <w:start w:val="1"/>
      <w:numFmt w:val="lowerRoman"/>
      <w:lvlText w:val="%3)"/>
      <w:lvlJc w:val="left"/>
      <w:pPr>
        <w:ind w:left="1999" w:hanging="360"/>
      </w:pPr>
      <w:rPr>
        <w:rFonts w:hint="default"/>
      </w:rPr>
    </w:lvl>
    <w:lvl w:ilvl="3">
      <w:start w:val="1"/>
      <w:numFmt w:val="decimal"/>
      <w:lvlText w:val="(%4)"/>
      <w:lvlJc w:val="left"/>
      <w:pPr>
        <w:ind w:left="2359" w:hanging="360"/>
      </w:pPr>
      <w:rPr>
        <w:rFonts w:hint="default"/>
      </w:rPr>
    </w:lvl>
    <w:lvl w:ilvl="4">
      <w:start w:val="1"/>
      <w:numFmt w:val="lowerLetter"/>
      <w:lvlText w:val="(%5)"/>
      <w:lvlJc w:val="left"/>
      <w:pPr>
        <w:ind w:left="2719" w:hanging="360"/>
      </w:pPr>
      <w:rPr>
        <w:rFonts w:hint="default"/>
      </w:rPr>
    </w:lvl>
    <w:lvl w:ilvl="5">
      <w:start w:val="1"/>
      <w:numFmt w:val="lowerRoman"/>
      <w:lvlText w:val="(%6)"/>
      <w:lvlJc w:val="left"/>
      <w:pPr>
        <w:ind w:left="3079" w:hanging="360"/>
      </w:pPr>
      <w:rPr>
        <w:rFonts w:hint="default"/>
      </w:rPr>
    </w:lvl>
    <w:lvl w:ilvl="6">
      <w:start w:val="1"/>
      <w:numFmt w:val="decimal"/>
      <w:lvlText w:val="%7."/>
      <w:lvlJc w:val="left"/>
      <w:pPr>
        <w:ind w:left="3439" w:hanging="360"/>
      </w:pPr>
      <w:rPr>
        <w:rFonts w:hint="default"/>
      </w:rPr>
    </w:lvl>
    <w:lvl w:ilvl="7">
      <w:start w:val="1"/>
      <w:numFmt w:val="lowerLetter"/>
      <w:lvlText w:val="%8."/>
      <w:lvlJc w:val="left"/>
      <w:pPr>
        <w:ind w:left="3799" w:hanging="360"/>
      </w:pPr>
      <w:rPr>
        <w:rFonts w:hint="default"/>
      </w:rPr>
    </w:lvl>
    <w:lvl w:ilvl="8">
      <w:start w:val="1"/>
      <w:numFmt w:val="lowerRoman"/>
      <w:lvlText w:val="%9."/>
      <w:lvlJc w:val="left"/>
      <w:pPr>
        <w:ind w:left="4159" w:hanging="360"/>
      </w:pPr>
      <w:rPr>
        <w:rFonts w:hint="default"/>
      </w:rPr>
    </w:lvl>
  </w:abstractNum>
  <w:abstractNum w:abstractNumId="1" w15:restartNumberingAfterBreak="0">
    <w:nsid w:val="06551D5C"/>
    <w:multiLevelType w:val="hybridMultilevel"/>
    <w:tmpl w:val="9F144FEA"/>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67328"/>
    <w:multiLevelType w:val="hybridMultilevel"/>
    <w:tmpl w:val="37BC7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B9607E"/>
    <w:multiLevelType w:val="hybridMultilevel"/>
    <w:tmpl w:val="F23EB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C2494A"/>
    <w:multiLevelType w:val="hybridMultilevel"/>
    <w:tmpl w:val="8D544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117CA9"/>
    <w:multiLevelType w:val="hybridMultilevel"/>
    <w:tmpl w:val="FAFC31CC"/>
    <w:lvl w:ilvl="0" w:tplc="C8783086">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043970"/>
    <w:multiLevelType w:val="hybridMultilevel"/>
    <w:tmpl w:val="FCA4B16E"/>
    <w:lvl w:ilvl="0" w:tplc="A296079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5567DE0"/>
    <w:multiLevelType w:val="hybridMultilevel"/>
    <w:tmpl w:val="BDECB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2C5C94"/>
    <w:multiLevelType w:val="hybridMultilevel"/>
    <w:tmpl w:val="E52C4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6905D3"/>
    <w:multiLevelType w:val="hybridMultilevel"/>
    <w:tmpl w:val="383A5EC4"/>
    <w:lvl w:ilvl="0" w:tplc="7772C68A">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61504D"/>
    <w:multiLevelType w:val="hybridMultilevel"/>
    <w:tmpl w:val="152CAF6A"/>
    <w:lvl w:ilvl="0" w:tplc="08090001">
      <w:start w:val="1"/>
      <w:numFmt w:val="bullet"/>
      <w:lvlText w:val=""/>
      <w:lvlJc w:val="left"/>
      <w:pPr>
        <w:ind w:left="896" w:hanging="360"/>
      </w:pPr>
      <w:rPr>
        <w:rFonts w:ascii="Symbol" w:hAnsi="Symbol" w:hint="default"/>
      </w:rPr>
    </w:lvl>
    <w:lvl w:ilvl="1" w:tplc="08090003" w:tentative="1">
      <w:start w:val="1"/>
      <w:numFmt w:val="bullet"/>
      <w:lvlText w:val="o"/>
      <w:lvlJc w:val="left"/>
      <w:pPr>
        <w:ind w:left="1616" w:hanging="360"/>
      </w:pPr>
      <w:rPr>
        <w:rFonts w:ascii="Courier New" w:hAnsi="Courier New" w:cs="Courier New" w:hint="default"/>
      </w:rPr>
    </w:lvl>
    <w:lvl w:ilvl="2" w:tplc="08090005" w:tentative="1">
      <w:start w:val="1"/>
      <w:numFmt w:val="bullet"/>
      <w:lvlText w:val=""/>
      <w:lvlJc w:val="left"/>
      <w:pPr>
        <w:ind w:left="2336" w:hanging="360"/>
      </w:pPr>
      <w:rPr>
        <w:rFonts w:ascii="Wingdings" w:hAnsi="Wingdings" w:hint="default"/>
      </w:rPr>
    </w:lvl>
    <w:lvl w:ilvl="3" w:tplc="08090001" w:tentative="1">
      <w:start w:val="1"/>
      <w:numFmt w:val="bullet"/>
      <w:lvlText w:val=""/>
      <w:lvlJc w:val="left"/>
      <w:pPr>
        <w:ind w:left="3056" w:hanging="360"/>
      </w:pPr>
      <w:rPr>
        <w:rFonts w:ascii="Symbol" w:hAnsi="Symbol" w:hint="default"/>
      </w:rPr>
    </w:lvl>
    <w:lvl w:ilvl="4" w:tplc="08090003" w:tentative="1">
      <w:start w:val="1"/>
      <w:numFmt w:val="bullet"/>
      <w:lvlText w:val="o"/>
      <w:lvlJc w:val="left"/>
      <w:pPr>
        <w:ind w:left="3776" w:hanging="360"/>
      </w:pPr>
      <w:rPr>
        <w:rFonts w:ascii="Courier New" w:hAnsi="Courier New" w:cs="Courier New" w:hint="default"/>
      </w:rPr>
    </w:lvl>
    <w:lvl w:ilvl="5" w:tplc="08090005" w:tentative="1">
      <w:start w:val="1"/>
      <w:numFmt w:val="bullet"/>
      <w:lvlText w:val=""/>
      <w:lvlJc w:val="left"/>
      <w:pPr>
        <w:ind w:left="4496" w:hanging="360"/>
      </w:pPr>
      <w:rPr>
        <w:rFonts w:ascii="Wingdings" w:hAnsi="Wingdings" w:hint="default"/>
      </w:rPr>
    </w:lvl>
    <w:lvl w:ilvl="6" w:tplc="08090001" w:tentative="1">
      <w:start w:val="1"/>
      <w:numFmt w:val="bullet"/>
      <w:lvlText w:val=""/>
      <w:lvlJc w:val="left"/>
      <w:pPr>
        <w:ind w:left="5216" w:hanging="360"/>
      </w:pPr>
      <w:rPr>
        <w:rFonts w:ascii="Symbol" w:hAnsi="Symbol" w:hint="default"/>
      </w:rPr>
    </w:lvl>
    <w:lvl w:ilvl="7" w:tplc="08090003" w:tentative="1">
      <w:start w:val="1"/>
      <w:numFmt w:val="bullet"/>
      <w:lvlText w:val="o"/>
      <w:lvlJc w:val="left"/>
      <w:pPr>
        <w:ind w:left="5936" w:hanging="360"/>
      </w:pPr>
      <w:rPr>
        <w:rFonts w:ascii="Courier New" w:hAnsi="Courier New" w:cs="Courier New" w:hint="default"/>
      </w:rPr>
    </w:lvl>
    <w:lvl w:ilvl="8" w:tplc="08090005" w:tentative="1">
      <w:start w:val="1"/>
      <w:numFmt w:val="bullet"/>
      <w:lvlText w:val=""/>
      <w:lvlJc w:val="left"/>
      <w:pPr>
        <w:ind w:left="6656" w:hanging="360"/>
      </w:pPr>
      <w:rPr>
        <w:rFonts w:ascii="Wingdings" w:hAnsi="Wingdings" w:hint="default"/>
      </w:rPr>
    </w:lvl>
  </w:abstractNum>
  <w:abstractNum w:abstractNumId="11" w15:restartNumberingAfterBreak="0">
    <w:nsid w:val="3B8E7079"/>
    <w:multiLevelType w:val="hybridMultilevel"/>
    <w:tmpl w:val="0CD0FDEA"/>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347765"/>
    <w:multiLevelType w:val="hybridMultilevel"/>
    <w:tmpl w:val="211A3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7F3CD9"/>
    <w:multiLevelType w:val="hybridMultilevel"/>
    <w:tmpl w:val="0F629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2957587"/>
    <w:multiLevelType w:val="multilevel"/>
    <w:tmpl w:val="E30E1BB0"/>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1224" w:hanging="504"/>
      </w:pPr>
      <w:rPr>
        <w:rFonts w:hint="default"/>
      </w:rPr>
    </w:lvl>
    <w:lvl w:ilvl="3">
      <w:start w:val="1"/>
      <w:numFmt w:val="decimal"/>
      <w:pStyle w:val="Heading4"/>
      <w:lvlText w:val="%4."/>
      <w:lvlJc w:val="left"/>
      <w:pPr>
        <w:ind w:left="1728" w:hanging="648"/>
      </w:pPr>
      <w:rPr>
        <w:rFonts w:hint="default"/>
        <w:b w:val="0"/>
        <w:bCs w:val="0"/>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none"/>
      <w:lvlText w:val="1."/>
      <w:lvlJc w:val="left"/>
      <w:pPr>
        <w:ind w:left="4320" w:hanging="1440"/>
      </w:pPr>
      <w:rPr>
        <w:rFonts w:hint="default"/>
      </w:rPr>
    </w:lvl>
  </w:abstractNum>
  <w:abstractNum w:abstractNumId="15" w15:restartNumberingAfterBreak="0">
    <w:nsid w:val="573147BE"/>
    <w:multiLevelType w:val="hybridMultilevel"/>
    <w:tmpl w:val="29F2B0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8EC30C0"/>
    <w:multiLevelType w:val="hybridMultilevel"/>
    <w:tmpl w:val="F98E5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8D253A"/>
    <w:multiLevelType w:val="hybridMultilevel"/>
    <w:tmpl w:val="A600E9D8"/>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80735D"/>
    <w:multiLevelType w:val="hybridMultilevel"/>
    <w:tmpl w:val="2DA81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BF13F0"/>
    <w:multiLevelType w:val="hybridMultilevel"/>
    <w:tmpl w:val="3B6046BC"/>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2E3541"/>
    <w:multiLevelType w:val="hybridMultilevel"/>
    <w:tmpl w:val="2174C2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1C3760"/>
    <w:multiLevelType w:val="hybridMultilevel"/>
    <w:tmpl w:val="B902FBFE"/>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6A75AC"/>
    <w:multiLevelType w:val="hybridMultilevel"/>
    <w:tmpl w:val="3DE04400"/>
    <w:lvl w:ilvl="0" w:tplc="E9A4C03E">
      <w:start w:val="1"/>
      <w:numFmt w:val="bullet"/>
      <w:lvlText w:val=""/>
      <w:lvlJc w:val="left"/>
      <w:pPr>
        <w:ind w:left="720" w:hanging="360"/>
      </w:pPr>
      <w:rPr>
        <w:rFonts w:ascii="Symbol" w:hAnsi="Symbol" w:hint="default"/>
        <w:b w:val="0"/>
        <w:bCs/>
        <w:sz w:val="24"/>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5F46359"/>
    <w:multiLevelType w:val="hybridMultilevel"/>
    <w:tmpl w:val="C70EF4C0"/>
    <w:lvl w:ilvl="0" w:tplc="16923256">
      <w:start w:val="1"/>
      <w:numFmt w:val="bullet"/>
      <w:pStyle w:val="Bulletlist1"/>
      <w:lvlText w:val=""/>
      <w:lvlJc w:val="left"/>
      <w:pPr>
        <w:ind w:left="360" w:hanging="360"/>
      </w:pPr>
      <w:rPr>
        <w:rFonts w:ascii="Symbol" w:hAnsi="Symbol" w:hint="default"/>
        <w:strike w:val="0"/>
        <w:dstrike w:val="0"/>
        <w:color w:val="07716C" w:themeColor="accent1"/>
        <w:sz w:val="24"/>
      </w:rPr>
    </w:lvl>
    <w:lvl w:ilvl="1" w:tplc="358CA018">
      <w:start w:val="1"/>
      <w:numFmt w:val="bullet"/>
      <w:pStyle w:val="Bulletlist2"/>
      <w:lvlText w:val="o"/>
      <w:lvlJc w:val="left"/>
      <w:pPr>
        <w:ind w:left="1440" w:hanging="360"/>
      </w:pPr>
      <w:rPr>
        <w:rFonts w:ascii="Courier New" w:hAnsi="Courier New" w:cs="Courier New" w:hint="default"/>
      </w:rPr>
    </w:lvl>
    <w:lvl w:ilvl="2" w:tplc="1572F48C">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9447535"/>
    <w:multiLevelType w:val="multilevel"/>
    <w:tmpl w:val="BF6ABE7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E013988"/>
    <w:multiLevelType w:val="hybridMultilevel"/>
    <w:tmpl w:val="448C100A"/>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26" w15:restartNumberingAfterBreak="0">
    <w:nsid w:val="7E7F2150"/>
    <w:multiLevelType w:val="hybridMultilevel"/>
    <w:tmpl w:val="92EC001E"/>
    <w:lvl w:ilvl="0" w:tplc="F3721D86">
      <w:start w:val="1"/>
      <w:numFmt w:val="bullet"/>
      <w:pStyle w:val="BulletPoint"/>
      <w:lvlText w:val=""/>
      <w:lvlJc w:val="left"/>
      <w:pPr>
        <w:ind w:left="1074" w:hanging="360"/>
      </w:pPr>
      <w:rPr>
        <w:rFonts w:ascii="Wingdings" w:hAnsi="Wingdings" w:hint="default"/>
      </w:rPr>
    </w:lvl>
    <w:lvl w:ilvl="1" w:tplc="08090003" w:tentative="1">
      <w:start w:val="1"/>
      <w:numFmt w:val="bullet"/>
      <w:lvlText w:val="o"/>
      <w:lvlJc w:val="left"/>
      <w:pPr>
        <w:ind w:left="1794" w:hanging="360"/>
      </w:pPr>
      <w:rPr>
        <w:rFonts w:ascii="Courier New" w:hAnsi="Courier New" w:cs="Courier New" w:hint="default"/>
      </w:rPr>
    </w:lvl>
    <w:lvl w:ilvl="2" w:tplc="08090005" w:tentative="1">
      <w:start w:val="1"/>
      <w:numFmt w:val="bullet"/>
      <w:lvlText w:val=""/>
      <w:lvlJc w:val="left"/>
      <w:pPr>
        <w:ind w:left="2514" w:hanging="360"/>
      </w:pPr>
      <w:rPr>
        <w:rFonts w:ascii="Wingdings" w:hAnsi="Wingdings" w:hint="default"/>
      </w:rPr>
    </w:lvl>
    <w:lvl w:ilvl="3" w:tplc="08090001" w:tentative="1">
      <w:start w:val="1"/>
      <w:numFmt w:val="bullet"/>
      <w:lvlText w:val=""/>
      <w:lvlJc w:val="left"/>
      <w:pPr>
        <w:ind w:left="3234" w:hanging="360"/>
      </w:pPr>
      <w:rPr>
        <w:rFonts w:ascii="Symbol" w:hAnsi="Symbol" w:hint="default"/>
      </w:rPr>
    </w:lvl>
    <w:lvl w:ilvl="4" w:tplc="08090003" w:tentative="1">
      <w:start w:val="1"/>
      <w:numFmt w:val="bullet"/>
      <w:lvlText w:val="o"/>
      <w:lvlJc w:val="left"/>
      <w:pPr>
        <w:ind w:left="3954" w:hanging="360"/>
      </w:pPr>
      <w:rPr>
        <w:rFonts w:ascii="Courier New" w:hAnsi="Courier New" w:cs="Courier New" w:hint="default"/>
      </w:rPr>
    </w:lvl>
    <w:lvl w:ilvl="5" w:tplc="08090005" w:tentative="1">
      <w:start w:val="1"/>
      <w:numFmt w:val="bullet"/>
      <w:lvlText w:val=""/>
      <w:lvlJc w:val="left"/>
      <w:pPr>
        <w:ind w:left="4674" w:hanging="360"/>
      </w:pPr>
      <w:rPr>
        <w:rFonts w:ascii="Wingdings" w:hAnsi="Wingdings" w:hint="default"/>
      </w:rPr>
    </w:lvl>
    <w:lvl w:ilvl="6" w:tplc="08090001" w:tentative="1">
      <w:start w:val="1"/>
      <w:numFmt w:val="bullet"/>
      <w:lvlText w:val=""/>
      <w:lvlJc w:val="left"/>
      <w:pPr>
        <w:ind w:left="5394" w:hanging="360"/>
      </w:pPr>
      <w:rPr>
        <w:rFonts w:ascii="Symbol" w:hAnsi="Symbol" w:hint="default"/>
      </w:rPr>
    </w:lvl>
    <w:lvl w:ilvl="7" w:tplc="08090003" w:tentative="1">
      <w:start w:val="1"/>
      <w:numFmt w:val="bullet"/>
      <w:lvlText w:val="o"/>
      <w:lvlJc w:val="left"/>
      <w:pPr>
        <w:ind w:left="6114" w:hanging="360"/>
      </w:pPr>
      <w:rPr>
        <w:rFonts w:ascii="Courier New" w:hAnsi="Courier New" w:cs="Courier New" w:hint="default"/>
      </w:rPr>
    </w:lvl>
    <w:lvl w:ilvl="8" w:tplc="08090005" w:tentative="1">
      <w:start w:val="1"/>
      <w:numFmt w:val="bullet"/>
      <w:lvlText w:val=""/>
      <w:lvlJc w:val="left"/>
      <w:pPr>
        <w:ind w:left="6834" w:hanging="360"/>
      </w:pPr>
      <w:rPr>
        <w:rFonts w:ascii="Wingdings" w:hAnsi="Wingdings" w:hint="default"/>
      </w:rPr>
    </w:lvl>
  </w:abstractNum>
  <w:num w:numId="1" w16cid:durableId="783227120">
    <w:abstractNumId w:val="23"/>
  </w:num>
  <w:num w:numId="2" w16cid:durableId="399718409">
    <w:abstractNumId w:val="24"/>
  </w:num>
  <w:num w:numId="3" w16cid:durableId="999388671">
    <w:abstractNumId w:val="14"/>
  </w:num>
  <w:num w:numId="4" w16cid:durableId="209663157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93636562">
    <w:abstractNumId w:val="26"/>
  </w:num>
  <w:num w:numId="6" w16cid:durableId="391512796">
    <w:abstractNumId w:val="0"/>
  </w:num>
  <w:num w:numId="7" w16cid:durableId="196018815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24794422">
    <w:abstractNumId w:val="21"/>
  </w:num>
  <w:num w:numId="9" w16cid:durableId="1571310232">
    <w:abstractNumId w:val="22"/>
  </w:num>
  <w:num w:numId="10" w16cid:durableId="1027872326">
    <w:abstractNumId w:val="11"/>
  </w:num>
  <w:num w:numId="11" w16cid:durableId="960721756">
    <w:abstractNumId w:val="17"/>
  </w:num>
  <w:num w:numId="12" w16cid:durableId="1455556420">
    <w:abstractNumId w:val="19"/>
  </w:num>
  <w:num w:numId="13" w16cid:durableId="1908874611">
    <w:abstractNumId w:val="1"/>
  </w:num>
  <w:num w:numId="14" w16cid:durableId="2017030993">
    <w:abstractNumId w:val="3"/>
  </w:num>
  <w:num w:numId="15" w16cid:durableId="955797249">
    <w:abstractNumId w:val="25"/>
  </w:num>
  <w:num w:numId="16" w16cid:durableId="641934322">
    <w:abstractNumId w:val="4"/>
  </w:num>
  <w:num w:numId="17" w16cid:durableId="1093817535">
    <w:abstractNumId w:val="15"/>
  </w:num>
  <w:num w:numId="18" w16cid:durableId="2028215139">
    <w:abstractNumId w:val="10"/>
  </w:num>
  <w:num w:numId="19" w16cid:durableId="1509372919">
    <w:abstractNumId w:val="20"/>
  </w:num>
  <w:num w:numId="20" w16cid:durableId="1440636705">
    <w:abstractNumId w:val="13"/>
  </w:num>
  <w:num w:numId="21" w16cid:durableId="1457333812">
    <w:abstractNumId w:val="12"/>
  </w:num>
  <w:num w:numId="22" w16cid:durableId="173686166">
    <w:abstractNumId w:val="18"/>
  </w:num>
  <w:num w:numId="23" w16cid:durableId="156187959">
    <w:abstractNumId w:val="8"/>
  </w:num>
  <w:num w:numId="24" w16cid:durableId="579683759">
    <w:abstractNumId w:val="2"/>
  </w:num>
  <w:num w:numId="25" w16cid:durableId="1400834026">
    <w:abstractNumId w:val="6"/>
  </w:num>
  <w:num w:numId="26" w16cid:durableId="1936933760">
    <w:abstractNumId w:val="16"/>
  </w:num>
  <w:num w:numId="27" w16cid:durableId="650672824">
    <w:abstractNumId w:val="7"/>
  </w:num>
  <w:num w:numId="28" w16cid:durableId="1798134338">
    <w:abstractNumId w:val="5"/>
  </w:num>
  <w:num w:numId="29" w16cid:durableId="1267617721">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2D0"/>
    <w:rsid w:val="0000105B"/>
    <w:rsid w:val="00002F03"/>
    <w:rsid w:val="000032C9"/>
    <w:rsid w:val="00004C16"/>
    <w:rsid w:val="00010B42"/>
    <w:rsid w:val="00011177"/>
    <w:rsid w:val="00012E46"/>
    <w:rsid w:val="00014814"/>
    <w:rsid w:val="00021521"/>
    <w:rsid w:val="00024522"/>
    <w:rsid w:val="00024B2E"/>
    <w:rsid w:val="00027B12"/>
    <w:rsid w:val="00027F4F"/>
    <w:rsid w:val="000301CE"/>
    <w:rsid w:val="00030430"/>
    <w:rsid w:val="0003078E"/>
    <w:rsid w:val="00031B89"/>
    <w:rsid w:val="00031FB7"/>
    <w:rsid w:val="000324ED"/>
    <w:rsid w:val="000334DD"/>
    <w:rsid w:val="0003693D"/>
    <w:rsid w:val="00036E90"/>
    <w:rsid w:val="000375A2"/>
    <w:rsid w:val="00037EE2"/>
    <w:rsid w:val="0004440F"/>
    <w:rsid w:val="00044F02"/>
    <w:rsid w:val="00046936"/>
    <w:rsid w:val="00046C5F"/>
    <w:rsid w:val="00050788"/>
    <w:rsid w:val="0005099C"/>
    <w:rsid w:val="00052B9F"/>
    <w:rsid w:val="00052C8A"/>
    <w:rsid w:val="000548C8"/>
    <w:rsid w:val="00055898"/>
    <w:rsid w:val="00061ED1"/>
    <w:rsid w:val="0006386B"/>
    <w:rsid w:val="00067C7D"/>
    <w:rsid w:val="00075605"/>
    <w:rsid w:val="00075B97"/>
    <w:rsid w:val="00075C66"/>
    <w:rsid w:val="0007665E"/>
    <w:rsid w:val="00080695"/>
    <w:rsid w:val="00081114"/>
    <w:rsid w:val="000812A7"/>
    <w:rsid w:val="00082879"/>
    <w:rsid w:val="00091EEA"/>
    <w:rsid w:val="000950B3"/>
    <w:rsid w:val="00097B82"/>
    <w:rsid w:val="000A51C3"/>
    <w:rsid w:val="000A7B0B"/>
    <w:rsid w:val="000B2605"/>
    <w:rsid w:val="000B2BCD"/>
    <w:rsid w:val="000B340D"/>
    <w:rsid w:val="000B3541"/>
    <w:rsid w:val="000C172D"/>
    <w:rsid w:val="000C2DDC"/>
    <w:rsid w:val="000C57E8"/>
    <w:rsid w:val="000C7800"/>
    <w:rsid w:val="000D082E"/>
    <w:rsid w:val="000D2FD4"/>
    <w:rsid w:val="000D4B1E"/>
    <w:rsid w:val="000F072F"/>
    <w:rsid w:val="000F1B7B"/>
    <w:rsid w:val="000F25D3"/>
    <w:rsid w:val="000F2ED4"/>
    <w:rsid w:val="000F3932"/>
    <w:rsid w:val="000F733A"/>
    <w:rsid w:val="001028E8"/>
    <w:rsid w:val="0010602F"/>
    <w:rsid w:val="00110B66"/>
    <w:rsid w:val="001214CE"/>
    <w:rsid w:val="00122FCC"/>
    <w:rsid w:val="00126752"/>
    <w:rsid w:val="001305C8"/>
    <w:rsid w:val="00130B30"/>
    <w:rsid w:val="00131E06"/>
    <w:rsid w:val="001321E2"/>
    <w:rsid w:val="001324BF"/>
    <w:rsid w:val="00133FF7"/>
    <w:rsid w:val="00136064"/>
    <w:rsid w:val="00140E1C"/>
    <w:rsid w:val="00141CB4"/>
    <w:rsid w:val="001447A9"/>
    <w:rsid w:val="001463D2"/>
    <w:rsid w:val="00147AE4"/>
    <w:rsid w:val="00152FF6"/>
    <w:rsid w:val="001539B9"/>
    <w:rsid w:val="0015407B"/>
    <w:rsid w:val="0015432B"/>
    <w:rsid w:val="001571E5"/>
    <w:rsid w:val="00161A9B"/>
    <w:rsid w:val="00173E03"/>
    <w:rsid w:val="00177666"/>
    <w:rsid w:val="00177B15"/>
    <w:rsid w:val="00180551"/>
    <w:rsid w:val="00181A79"/>
    <w:rsid w:val="00182E2D"/>
    <w:rsid w:val="00184467"/>
    <w:rsid w:val="001849CA"/>
    <w:rsid w:val="00185410"/>
    <w:rsid w:val="00192352"/>
    <w:rsid w:val="001A0905"/>
    <w:rsid w:val="001A247C"/>
    <w:rsid w:val="001B2DCD"/>
    <w:rsid w:val="001B5160"/>
    <w:rsid w:val="001B6774"/>
    <w:rsid w:val="001C24F8"/>
    <w:rsid w:val="001C4B68"/>
    <w:rsid w:val="001C4BB5"/>
    <w:rsid w:val="001C4D63"/>
    <w:rsid w:val="001C783B"/>
    <w:rsid w:val="001D01FA"/>
    <w:rsid w:val="001D0427"/>
    <w:rsid w:val="001D0DE0"/>
    <w:rsid w:val="001D2106"/>
    <w:rsid w:val="001D432A"/>
    <w:rsid w:val="001D5AFF"/>
    <w:rsid w:val="001D689D"/>
    <w:rsid w:val="001D74B4"/>
    <w:rsid w:val="001E03E1"/>
    <w:rsid w:val="001F059F"/>
    <w:rsid w:val="001F0BFC"/>
    <w:rsid w:val="001F39E2"/>
    <w:rsid w:val="00200811"/>
    <w:rsid w:val="00200CA1"/>
    <w:rsid w:val="002015F1"/>
    <w:rsid w:val="0021338D"/>
    <w:rsid w:val="00214A2D"/>
    <w:rsid w:val="00214D43"/>
    <w:rsid w:val="0021600C"/>
    <w:rsid w:val="00221B8E"/>
    <w:rsid w:val="00221ED0"/>
    <w:rsid w:val="002238B4"/>
    <w:rsid w:val="00227FCA"/>
    <w:rsid w:val="002319AB"/>
    <w:rsid w:val="002319AC"/>
    <w:rsid w:val="002338C0"/>
    <w:rsid w:val="00234342"/>
    <w:rsid w:val="0023523C"/>
    <w:rsid w:val="002355F1"/>
    <w:rsid w:val="0024040D"/>
    <w:rsid w:val="00241432"/>
    <w:rsid w:val="00243BAE"/>
    <w:rsid w:val="00244B11"/>
    <w:rsid w:val="00245A0D"/>
    <w:rsid w:val="00250515"/>
    <w:rsid w:val="002511A0"/>
    <w:rsid w:val="00255E64"/>
    <w:rsid w:val="00255FA3"/>
    <w:rsid w:val="00257288"/>
    <w:rsid w:val="0025729C"/>
    <w:rsid w:val="00261FB6"/>
    <w:rsid w:val="002629F8"/>
    <w:rsid w:val="00263396"/>
    <w:rsid w:val="00265016"/>
    <w:rsid w:val="00265585"/>
    <w:rsid w:val="002659FA"/>
    <w:rsid w:val="00267815"/>
    <w:rsid w:val="002709A3"/>
    <w:rsid w:val="00271A72"/>
    <w:rsid w:val="00272C5A"/>
    <w:rsid w:val="00274B0E"/>
    <w:rsid w:val="00277829"/>
    <w:rsid w:val="00280DDF"/>
    <w:rsid w:val="00283FEB"/>
    <w:rsid w:val="002844A2"/>
    <w:rsid w:val="00286F5C"/>
    <w:rsid w:val="002917FF"/>
    <w:rsid w:val="00292ADF"/>
    <w:rsid w:val="00292CF9"/>
    <w:rsid w:val="002A0DEC"/>
    <w:rsid w:val="002A3FA6"/>
    <w:rsid w:val="002A4490"/>
    <w:rsid w:val="002A76E6"/>
    <w:rsid w:val="002B1989"/>
    <w:rsid w:val="002B1C53"/>
    <w:rsid w:val="002C04DE"/>
    <w:rsid w:val="002C15FD"/>
    <w:rsid w:val="002C273F"/>
    <w:rsid w:val="002C4A7F"/>
    <w:rsid w:val="002C4D17"/>
    <w:rsid w:val="002C5F28"/>
    <w:rsid w:val="002C62C8"/>
    <w:rsid w:val="002C6CB0"/>
    <w:rsid w:val="002D1E50"/>
    <w:rsid w:val="002D32CD"/>
    <w:rsid w:val="002D3516"/>
    <w:rsid w:val="002D5942"/>
    <w:rsid w:val="002D6843"/>
    <w:rsid w:val="002E0BE4"/>
    <w:rsid w:val="002E1E8D"/>
    <w:rsid w:val="002E23E1"/>
    <w:rsid w:val="002E3B58"/>
    <w:rsid w:val="002E3E8A"/>
    <w:rsid w:val="002E6A6A"/>
    <w:rsid w:val="002F14E6"/>
    <w:rsid w:val="002F3397"/>
    <w:rsid w:val="002F7D74"/>
    <w:rsid w:val="00300A60"/>
    <w:rsid w:val="003023B9"/>
    <w:rsid w:val="003025B6"/>
    <w:rsid w:val="00303159"/>
    <w:rsid w:val="0030380D"/>
    <w:rsid w:val="003040C8"/>
    <w:rsid w:val="00304C9A"/>
    <w:rsid w:val="00312359"/>
    <w:rsid w:val="00312411"/>
    <w:rsid w:val="003204C7"/>
    <w:rsid w:val="00323E71"/>
    <w:rsid w:val="00325EA6"/>
    <w:rsid w:val="003407EA"/>
    <w:rsid w:val="003412F8"/>
    <w:rsid w:val="00346C8E"/>
    <w:rsid w:val="00347CA8"/>
    <w:rsid w:val="00352192"/>
    <w:rsid w:val="00357A80"/>
    <w:rsid w:val="00361D68"/>
    <w:rsid w:val="00362861"/>
    <w:rsid w:val="003651D4"/>
    <w:rsid w:val="00367BD5"/>
    <w:rsid w:val="0037176F"/>
    <w:rsid w:val="00375E71"/>
    <w:rsid w:val="00381948"/>
    <w:rsid w:val="003827AC"/>
    <w:rsid w:val="0038761F"/>
    <w:rsid w:val="0039014D"/>
    <w:rsid w:val="00390327"/>
    <w:rsid w:val="00391A34"/>
    <w:rsid w:val="00393B78"/>
    <w:rsid w:val="003968E3"/>
    <w:rsid w:val="00396B2A"/>
    <w:rsid w:val="003970B0"/>
    <w:rsid w:val="003A01E9"/>
    <w:rsid w:val="003A6C26"/>
    <w:rsid w:val="003B099C"/>
    <w:rsid w:val="003C0306"/>
    <w:rsid w:val="003C0DD8"/>
    <w:rsid w:val="003C114C"/>
    <w:rsid w:val="003C18C4"/>
    <w:rsid w:val="003C25D4"/>
    <w:rsid w:val="003C465D"/>
    <w:rsid w:val="003C6E52"/>
    <w:rsid w:val="003D495D"/>
    <w:rsid w:val="003D4D16"/>
    <w:rsid w:val="003E098E"/>
    <w:rsid w:val="003E2833"/>
    <w:rsid w:val="003E2F1A"/>
    <w:rsid w:val="003E2FAE"/>
    <w:rsid w:val="003F0D1F"/>
    <w:rsid w:val="00404B0C"/>
    <w:rsid w:val="00405E9C"/>
    <w:rsid w:val="00407CF7"/>
    <w:rsid w:val="0041108C"/>
    <w:rsid w:val="004149CD"/>
    <w:rsid w:val="0041535E"/>
    <w:rsid w:val="00415ED6"/>
    <w:rsid w:val="00417CAF"/>
    <w:rsid w:val="00420A11"/>
    <w:rsid w:val="00422265"/>
    <w:rsid w:val="00423AE1"/>
    <w:rsid w:val="0042657E"/>
    <w:rsid w:val="004269A1"/>
    <w:rsid w:val="004317FE"/>
    <w:rsid w:val="004373A7"/>
    <w:rsid w:val="00437D94"/>
    <w:rsid w:val="0044030C"/>
    <w:rsid w:val="0044311A"/>
    <w:rsid w:val="004633B6"/>
    <w:rsid w:val="00463529"/>
    <w:rsid w:val="004638C7"/>
    <w:rsid w:val="004648A4"/>
    <w:rsid w:val="00467177"/>
    <w:rsid w:val="00471380"/>
    <w:rsid w:val="00472BE0"/>
    <w:rsid w:val="004764A9"/>
    <w:rsid w:val="00485126"/>
    <w:rsid w:val="0048636C"/>
    <w:rsid w:val="00494F0D"/>
    <w:rsid w:val="00496600"/>
    <w:rsid w:val="00496BFD"/>
    <w:rsid w:val="004974F5"/>
    <w:rsid w:val="0049796E"/>
    <w:rsid w:val="004A3DF2"/>
    <w:rsid w:val="004A4F46"/>
    <w:rsid w:val="004B4A91"/>
    <w:rsid w:val="004B6370"/>
    <w:rsid w:val="004C361D"/>
    <w:rsid w:val="004C4891"/>
    <w:rsid w:val="004D2143"/>
    <w:rsid w:val="004D284A"/>
    <w:rsid w:val="004D2C89"/>
    <w:rsid w:val="004D4A5D"/>
    <w:rsid w:val="004D65D2"/>
    <w:rsid w:val="004D67E0"/>
    <w:rsid w:val="004E3932"/>
    <w:rsid w:val="004E6CB9"/>
    <w:rsid w:val="004E70B7"/>
    <w:rsid w:val="004F1BF0"/>
    <w:rsid w:val="004F1E79"/>
    <w:rsid w:val="004F311B"/>
    <w:rsid w:val="004F5F33"/>
    <w:rsid w:val="004F6C62"/>
    <w:rsid w:val="0050103A"/>
    <w:rsid w:val="0050338E"/>
    <w:rsid w:val="00503E1B"/>
    <w:rsid w:val="00511B0F"/>
    <w:rsid w:val="00511B18"/>
    <w:rsid w:val="00513451"/>
    <w:rsid w:val="005139B7"/>
    <w:rsid w:val="005151DB"/>
    <w:rsid w:val="00516E5E"/>
    <w:rsid w:val="00523794"/>
    <w:rsid w:val="0052505E"/>
    <w:rsid w:val="0052596A"/>
    <w:rsid w:val="0053430D"/>
    <w:rsid w:val="00536721"/>
    <w:rsid w:val="0053682D"/>
    <w:rsid w:val="00537E2C"/>
    <w:rsid w:val="005440D5"/>
    <w:rsid w:val="00545BAA"/>
    <w:rsid w:val="00546140"/>
    <w:rsid w:val="005463AB"/>
    <w:rsid w:val="005467CE"/>
    <w:rsid w:val="00547D28"/>
    <w:rsid w:val="005504C2"/>
    <w:rsid w:val="0055388E"/>
    <w:rsid w:val="0055542F"/>
    <w:rsid w:val="00555DC4"/>
    <w:rsid w:val="00560573"/>
    <w:rsid w:val="00563B35"/>
    <w:rsid w:val="00564BD2"/>
    <w:rsid w:val="005653D9"/>
    <w:rsid w:val="005721B6"/>
    <w:rsid w:val="005735D2"/>
    <w:rsid w:val="005748FE"/>
    <w:rsid w:val="005754AE"/>
    <w:rsid w:val="005763D7"/>
    <w:rsid w:val="00577FB5"/>
    <w:rsid w:val="00583625"/>
    <w:rsid w:val="0058415B"/>
    <w:rsid w:val="00584841"/>
    <w:rsid w:val="005852D1"/>
    <w:rsid w:val="005865BD"/>
    <w:rsid w:val="00587A22"/>
    <w:rsid w:val="00587E35"/>
    <w:rsid w:val="00590AC6"/>
    <w:rsid w:val="0059299D"/>
    <w:rsid w:val="0059323F"/>
    <w:rsid w:val="00593B7D"/>
    <w:rsid w:val="00594252"/>
    <w:rsid w:val="00595C8C"/>
    <w:rsid w:val="00597747"/>
    <w:rsid w:val="00597D12"/>
    <w:rsid w:val="005A04EB"/>
    <w:rsid w:val="005A4A65"/>
    <w:rsid w:val="005A4CDD"/>
    <w:rsid w:val="005A6C78"/>
    <w:rsid w:val="005B1E87"/>
    <w:rsid w:val="005B30DA"/>
    <w:rsid w:val="005B57E4"/>
    <w:rsid w:val="005B5ABD"/>
    <w:rsid w:val="005B5DD1"/>
    <w:rsid w:val="005B7798"/>
    <w:rsid w:val="005B7FC8"/>
    <w:rsid w:val="005C140A"/>
    <w:rsid w:val="005C3FA8"/>
    <w:rsid w:val="005C61B2"/>
    <w:rsid w:val="005C6763"/>
    <w:rsid w:val="005C7ACA"/>
    <w:rsid w:val="005D3164"/>
    <w:rsid w:val="005D3CB3"/>
    <w:rsid w:val="005D532B"/>
    <w:rsid w:val="005D649D"/>
    <w:rsid w:val="005E0344"/>
    <w:rsid w:val="005E17B4"/>
    <w:rsid w:val="005E211F"/>
    <w:rsid w:val="005E307E"/>
    <w:rsid w:val="005E440B"/>
    <w:rsid w:val="005E47EA"/>
    <w:rsid w:val="005E4BFA"/>
    <w:rsid w:val="005E7F36"/>
    <w:rsid w:val="005F2C85"/>
    <w:rsid w:val="005F5307"/>
    <w:rsid w:val="0060368E"/>
    <w:rsid w:val="00604C93"/>
    <w:rsid w:val="00605737"/>
    <w:rsid w:val="00605ADB"/>
    <w:rsid w:val="00607310"/>
    <w:rsid w:val="006118BF"/>
    <w:rsid w:val="00611C9F"/>
    <w:rsid w:val="0061486C"/>
    <w:rsid w:val="0061742C"/>
    <w:rsid w:val="00621BF6"/>
    <w:rsid w:val="00622435"/>
    <w:rsid w:val="00627555"/>
    <w:rsid w:val="00627B76"/>
    <w:rsid w:val="00630CD0"/>
    <w:rsid w:val="006316C4"/>
    <w:rsid w:val="006322A0"/>
    <w:rsid w:val="006337E2"/>
    <w:rsid w:val="006361FD"/>
    <w:rsid w:val="00636851"/>
    <w:rsid w:val="00637B24"/>
    <w:rsid w:val="00641083"/>
    <w:rsid w:val="0064226F"/>
    <w:rsid w:val="00653298"/>
    <w:rsid w:val="00653F9A"/>
    <w:rsid w:val="006564B0"/>
    <w:rsid w:val="0066150C"/>
    <w:rsid w:val="00663A7C"/>
    <w:rsid w:val="00665029"/>
    <w:rsid w:val="006672E3"/>
    <w:rsid w:val="00667DF2"/>
    <w:rsid w:val="00670606"/>
    <w:rsid w:val="00670DF1"/>
    <w:rsid w:val="00671345"/>
    <w:rsid w:val="00672A9B"/>
    <w:rsid w:val="0067417C"/>
    <w:rsid w:val="00674646"/>
    <w:rsid w:val="00675884"/>
    <w:rsid w:val="00685BB8"/>
    <w:rsid w:val="00687852"/>
    <w:rsid w:val="00691200"/>
    <w:rsid w:val="006966CA"/>
    <w:rsid w:val="00696D09"/>
    <w:rsid w:val="00696EE0"/>
    <w:rsid w:val="00697980"/>
    <w:rsid w:val="006A19EF"/>
    <w:rsid w:val="006A3417"/>
    <w:rsid w:val="006A377B"/>
    <w:rsid w:val="006A43D5"/>
    <w:rsid w:val="006A50E5"/>
    <w:rsid w:val="006A525B"/>
    <w:rsid w:val="006A688B"/>
    <w:rsid w:val="006B0004"/>
    <w:rsid w:val="006B0184"/>
    <w:rsid w:val="006B11C3"/>
    <w:rsid w:val="006C045F"/>
    <w:rsid w:val="006C4196"/>
    <w:rsid w:val="006C63B0"/>
    <w:rsid w:val="006C76A2"/>
    <w:rsid w:val="006C792E"/>
    <w:rsid w:val="006D108F"/>
    <w:rsid w:val="006D116C"/>
    <w:rsid w:val="006E12EE"/>
    <w:rsid w:val="006E200C"/>
    <w:rsid w:val="006E22C1"/>
    <w:rsid w:val="006E2E32"/>
    <w:rsid w:val="006E5C23"/>
    <w:rsid w:val="006E64B8"/>
    <w:rsid w:val="006E6C1B"/>
    <w:rsid w:val="006E7C42"/>
    <w:rsid w:val="006F1519"/>
    <w:rsid w:val="006F168A"/>
    <w:rsid w:val="006F42E9"/>
    <w:rsid w:val="006F5076"/>
    <w:rsid w:val="006F5D12"/>
    <w:rsid w:val="006F6009"/>
    <w:rsid w:val="006F6D5C"/>
    <w:rsid w:val="0070321D"/>
    <w:rsid w:val="00703D68"/>
    <w:rsid w:val="00704976"/>
    <w:rsid w:val="00704FD6"/>
    <w:rsid w:val="007068BA"/>
    <w:rsid w:val="00716AB1"/>
    <w:rsid w:val="007171A7"/>
    <w:rsid w:val="00721416"/>
    <w:rsid w:val="00721D63"/>
    <w:rsid w:val="00730593"/>
    <w:rsid w:val="00730FCC"/>
    <w:rsid w:val="00732C7B"/>
    <w:rsid w:val="007330D9"/>
    <w:rsid w:val="00734D2B"/>
    <w:rsid w:val="00737705"/>
    <w:rsid w:val="00737B97"/>
    <w:rsid w:val="007405B2"/>
    <w:rsid w:val="007408D4"/>
    <w:rsid w:val="00741179"/>
    <w:rsid w:val="007420AC"/>
    <w:rsid w:val="00742617"/>
    <w:rsid w:val="0074397C"/>
    <w:rsid w:val="00751FBD"/>
    <w:rsid w:val="00757F2A"/>
    <w:rsid w:val="00760E89"/>
    <w:rsid w:val="00761B0C"/>
    <w:rsid w:val="00765822"/>
    <w:rsid w:val="00766D0E"/>
    <w:rsid w:val="007714D4"/>
    <w:rsid w:val="007723BD"/>
    <w:rsid w:val="00772EBD"/>
    <w:rsid w:val="00775FBD"/>
    <w:rsid w:val="00783AFA"/>
    <w:rsid w:val="00784821"/>
    <w:rsid w:val="00785427"/>
    <w:rsid w:val="00787542"/>
    <w:rsid w:val="00790540"/>
    <w:rsid w:val="00790B3B"/>
    <w:rsid w:val="007968CA"/>
    <w:rsid w:val="007A1045"/>
    <w:rsid w:val="007A285D"/>
    <w:rsid w:val="007A43FF"/>
    <w:rsid w:val="007A76B8"/>
    <w:rsid w:val="007B1D15"/>
    <w:rsid w:val="007B1DD2"/>
    <w:rsid w:val="007B3918"/>
    <w:rsid w:val="007C09A9"/>
    <w:rsid w:val="007C0AD9"/>
    <w:rsid w:val="007C10C3"/>
    <w:rsid w:val="007C148E"/>
    <w:rsid w:val="007C24C7"/>
    <w:rsid w:val="007C3C1D"/>
    <w:rsid w:val="007D1718"/>
    <w:rsid w:val="007D199A"/>
    <w:rsid w:val="007D1CBD"/>
    <w:rsid w:val="007D2EBE"/>
    <w:rsid w:val="007D764F"/>
    <w:rsid w:val="007E0317"/>
    <w:rsid w:val="007E1A31"/>
    <w:rsid w:val="007E1C07"/>
    <w:rsid w:val="007E25CD"/>
    <w:rsid w:val="007E3DAB"/>
    <w:rsid w:val="007F24B6"/>
    <w:rsid w:val="007F2A70"/>
    <w:rsid w:val="007F5EFE"/>
    <w:rsid w:val="007F6460"/>
    <w:rsid w:val="00800562"/>
    <w:rsid w:val="00802D34"/>
    <w:rsid w:val="00803240"/>
    <w:rsid w:val="00803D94"/>
    <w:rsid w:val="00806036"/>
    <w:rsid w:val="00806D68"/>
    <w:rsid w:val="00814D22"/>
    <w:rsid w:val="00814DC4"/>
    <w:rsid w:val="00816657"/>
    <w:rsid w:val="00817C0C"/>
    <w:rsid w:val="008229BA"/>
    <w:rsid w:val="00823D3A"/>
    <w:rsid w:val="00825D5B"/>
    <w:rsid w:val="0083126A"/>
    <w:rsid w:val="00836C85"/>
    <w:rsid w:val="00841364"/>
    <w:rsid w:val="008429BC"/>
    <w:rsid w:val="00842EF4"/>
    <w:rsid w:val="008434CA"/>
    <w:rsid w:val="00845390"/>
    <w:rsid w:val="0084601B"/>
    <w:rsid w:val="00854D4E"/>
    <w:rsid w:val="008606F0"/>
    <w:rsid w:val="00861E39"/>
    <w:rsid w:val="00865489"/>
    <w:rsid w:val="0086553D"/>
    <w:rsid w:val="0086663C"/>
    <w:rsid w:val="0087020B"/>
    <w:rsid w:val="00872B9C"/>
    <w:rsid w:val="00874FEB"/>
    <w:rsid w:val="00881B6F"/>
    <w:rsid w:val="00882AA4"/>
    <w:rsid w:val="00883E22"/>
    <w:rsid w:val="00884E43"/>
    <w:rsid w:val="00887EC6"/>
    <w:rsid w:val="00887FE4"/>
    <w:rsid w:val="0089029B"/>
    <w:rsid w:val="008906D5"/>
    <w:rsid w:val="0089084C"/>
    <w:rsid w:val="00891354"/>
    <w:rsid w:val="00893409"/>
    <w:rsid w:val="00893C5A"/>
    <w:rsid w:val="00893D9F"/>
    <w:rsid w:val="00893E7F"/>
    <w:rsid w:val="008A2379"/>
    <w:rsid w:val="008A4329"/>
    <w:rsid w:val="008A578E"/>
    <w:rsid w:val="008B04C3"/>
    <w:rsid w:val="008B1519"/>
    <w:rsid w:val="008B69E3"/>
    <w:rsid w:val="008B7BCC"/>
    <w:rsid w:val="008C3772"/>
    <w:rsid w:val="008C50C3"/>
    <w:rsid w:val="008C7094"/>
    <w:rsid w:val="008D2B97"/>
    <w:rsid w:val="008D3B07"/>
    <w:rsid w:val="008D49A5"/>
    <w:rsid w:val="008D54BE"/>
    <w:rsid w:val="008D6C81"/>
    <w:rsid w:val="008E3044"/>
    <w:rsid w:val="008E62E3"/>
    <w:rsid w:val="008E6CF0"/>
    <w:rsid w:val="008F1439"/>
    <w:rsid w:val="008F17A1"/>
    <w:rsid w:val="008F3424"/>
    <w:rsid w:val="008F5379"/>
    <w:rsid w:val="008F660E"/>
    <w:rsid w:val="008F7051"/>
    <w:rsid w:val="008F75EF"/>
    <w:rsid w:val="00900553"/>
    <w:rsid w:val="00902732"/>
    <w:rsid w:val="009033A9"/>
    <w:rsid w:val="00904152"/>
    <w:rsid w:val="0090581D"/>
    <w:rsid w:val="00906038"/>
    <w:rsid w:val="009061AC"/>
    <w:rsid w:val="00906A19"/>
    <w:rsid w:val="00913A33"/>
    <w:rsid w:val="0091439C"/>
    <w:rsid w:val="00920572"/>
    <w:rsid w:val="00920BF2"/>
    <w:rsid w:val="00922749"/>
    <w:rsid w:val="00926DE4"/>
    <w:rsid w:val="00927379"/>
    <w:rsid w:val="009349A9"/>
    <w:rsid w:val="00936C52"/>
    <w:rsid w:val="0095489B"/>
    <w:rsid w:val="00955142"/>
    <w:rsid w:val="009564F1"/>
    <w:rsid w:val="00960BBD"/>
    <w:rsid w:val="00966FB9"/>
    <w:rsid w:val="009671CD"/>
    <w:rsid w:val="009706C4"/>
    <w:rsid w:val="00973138"/>
    <w:rsid w:val="009751A9"/>
    <w:rsid w:val="00980F9C"/>
    <w:rsid w:val="0098632B"/>
    <w:rsid w:val="009870CE"/>
    <w:rsid w:val="00991388"/>
    <w:rsid w:val="0099767B"/>
    <w:rsid w:val="0099775A"/>
    <w:rsid w:val="00997BFB"/>
    <w:rsid w:val="009A3D8F"/>
    <w:rsid w:val="009A7348"/>
    <w:rsid w:val="009B462C"/>
    <w:rsid w:val="009B480C"/>
    <w:rsid w:val="009C15F3"/>
    <w:rsid w:val="009C1A13"/>
    <w:rsid w:val="009C2084"/>
    <w:rsid w:val="009D400F"/>
    <w:rsid w:val="009E07C2"/>
    <w:rsid w:val="009E0E52"/>
    <w:rsid w:val="009E228F"/>
    <w:rsid w:val="009F446E"/>
    <w:rsid w:val="009F647D"/>
    <w:rsid w:val="009F72F9"/>
    <w:rsid w:val="00A000D6"/>
    <w:rsid w:val="00A00205"/>
    <w:rsid w:val="00A00AF0"/>
    <w:rsid w:val="00A018C3"/>
    <w:rsid w:val="00A07F3F"/>
    <w:rsid w:val="00A11091"/>
    <w:rsid w:val="00A142F4"/>
    <w:rsid w:val="00A14B5A"/>
    <w:rsid w:val="00A20CD0"/>
    <w:rsid w:val="00A212E1"/>
    <w:rsid w:val="00A25B29"/>
    <w:rsid w:val="00A27406"/>
    <w:rsid w:val="00A3567F"/>
    <w:rsid w:val="00A3748C"/>
    <w:rsid w:val="00A37698"/>
    <w:rsid w:val="00A37760"/>
    <w:rsid w:val="00A41ED3"/>
    <w:rsid w:val="00A479EF"/>
    <w:rsid w:val="00A566F8"/>
    <w:rsid w:val="00A56BB5"/>
    <w:rsid w:val="00A56C01"/>
    <w:rsid w:val="00A67815"/>
    <w:rsid w:val="00A67BE8"/>
    <w:rsid w:val="00A70952"/>
    <w:rsid w:val="00A75685"/>
    <w:rsid w:val="00A76B50"/>
    <w:rsid w:val="00A804D4"/>
    <w:rsid w:val="00A81D82"/>
    <w:rsid w:val="00A8606E"/>
    <w:rsid w:val="00A90B50"/>
    <w:rsid w:val="00A934AA"/>
    <w:rsid w:val="00A93E33"/>
    <w:rsid w:val="00AA59DB"/>
    <w:rsid w:val="00AA6D10"/>
    <w:rsid w:val="00AB23D2"/>
    <w:rsid w:val="00AB4683"/>
    <w:rsid w:val="00AB6970"/>
    <w:rsid w:val="00AC1939"/>
    <w:rsid w:val="00AC2C1E"/>
    <w:rsid w:val="00AC3864"/>
    <w:rsid w:val="00AC3C75"/>
    <w:rsid w:val="00AC4514"/>
    <w:rsid w:val="00AC7C05"/>
    <w:rsid w:val="00AC7CAA"/>
    <w:rsid w:val="00AD04ED"/>
    <w:rsid w:val="00AD167C"/>
    <w:rsid w:val="00AD17C7"/>
    <w:rsid w:val="00AD303D"/>
    <w:rsid w:val="00AD4041"/>
    <w:rsid w:val="00AD5062"/>
    <w:rsid w:val="00AD78FC"/>
    <w:rsid w:val="00AE302B"/>
    <w:rsid w:val="00AE4F54"/>
    <w:rsid w:val="00AE7212"/>
    <w:rsid w:val="00AF096E"/>
    <w:rsid w:val="00AF2072"/>
    <w:rsid w:val="00AF31F0"/>
    <w:rsid w:val="00AF3307"/>
    <w:rsid w:val="00AF58FA"/>
    <w:rsid w:val="00B07981"/>
    <w:rsid w:val="00B1219E"/>
    <w:rsid w:val="00B15BCF"/>
    <w:rsid w:val="00B259DF"/>
    <w:rsid w:val="00B32D5C"/>
    <w:rsid w:val="00B32D6E"/>
    <w:rsid w:val="00B366D0"/>
    <w:rsid w:val="00B44B1F"/>
    <w:rsid w:val="00B5008D"/>
    <w:rsid w:val="00B50450"/>
    <w:rsid w:val="00B528BE"/>
    <w:rsid w:val="00B55584"/>
    <w:rsid w:val="00B56978"/>
    <w:rsid w:val="00B615F5"/>
    <w:rsid w:val="00B64141"/>
    <w:rsid w:val="00B64E72"/>
    <w:rsid w:val="00B72672"/>
    <w:rsid w:val="00B73194"/>
    <w:rsid w:val="00B762B5"/>
    <w:rsid w:val="00B76928"/>
    <w:rsid w:val="00B77913"/>
    <w:rsid w:val="00B80DFA"/>
    <w:rsid w:val="00B824FB"/>
    <w:rsid w:val="00B82646"/>
    <w:rsid w:val="00B8495A"/>
    <w:rsid w:val="00B9166B"/>
    <w:rsid w:val="00B92E1A"/>
    <w:rsid w:val="00B94835"/>
    <w:rsid w:val="00B94CCB"/>
    <w:rsid w:val="00B971C6"/>
    <w:rsid w:val="00B97359"/>
    <w:rsid w:val="00B97A8F"/>
    <w:rsid w:val="00BA4E58"/>
    <w:rsid w:val="00BA7074"/>
    <w:rsid w:val="00BB4D07"/>
    <w:rsid w:val="00BB580E"/>
    <w:rsid w:val="00BB5EBA"/>
    <w:rsid w:val="00BB7829"/>
    <w:rsid w:val="00BC08F7"/>
    <w:rsid w:val="00BC3ECA"/>
    <w:rsid w:val="00BC4473"/>
    <w:rsid w:val="00BC61BC"/>
    <w:rsid w:val="00BD01E5"/>
    <w:rsid w:val="00BD05AA"/>
    <w:rsid w:val="00BD1457"/>
    <w:rsid w:val="00BD1827"/>
    <w:rsid w:val="00BD21CD"/>
    <w:rsid w:val="00BD3825"/>
    <w:rsid w:val="00BE144A"/>
    <w:rsid w:val="00BE2AD9"/>
    <w:rsid w:val="00BE56D5"/>
    <w:rsid w:val="00BF27FE"/>
    <w:rsid w:val="00BF4526"/>
    <w:rsid w:val="00C0113B"/>
    <w:rsid w:val="00C043B3"/>
    <w:rsid w:val="00C079AB"/>
    <w:rsid w:val="00C10E61"/>
    <w:rsid w:val="00C11825"/>
    <w:rsid w:val="00C14787"/>
    <w:rsid w:val="00C1596D"/>
    <w:rsid w:val="00C15B8D"/>
    <w:rsid w:val="00C17010"/>
    <w:rsid w:val="00C20562"/>
    <w:rsid w:val="00C215C3"/>
    <w:rsid w:val="00C23A96"/>
    <w:rsid w:val="00C249C6"/>
    <w:rsid w:val="00C32CC1"/>
    <w:rsid w:val="00C35D86"/>
    <w:rsid w:val="00C368AA"/>
    <w:rsid w:val="00C37DC6"/>
    <w:rsid w:val="00C4152A"/>
    <w:rsid w:val="00C426EC"/>
    <w:rsid w:val="00C513C4"/>
    <w:rsid w:val="00C52FC8"/>
    <w:rsid w:val="00C53B86"/>
    <w:rsid w:val="00C57F95"/>
    <w:rsid w:val="00C6483C"/>
    <w:rsid w:val="00C64AE9"/>
    <w:rsid w:val="00C679AC"/>
    <w:rsid w:val="00C70CFF"/>
    <w:rsid w:val="00C718FE"/>
    <w:rsid w:val="00C771BF"/>
    <w:rsid w:val="00C77EF6"/>
    <w:rsid w:val="00C80222"/>
    <w:rsid w:val="00C84677"/>
    <w:rsid w:val="00C8773D"/>
    <w:rsid w:val="00C87ABB"/>
    <w:rsid w:val="00C91831"/>
    <w:rsid w:val="00C93733"/>
    <w:rsid w:val="00C93F01"/>
    <w:rsid w:val="00C953DF"/>
    <w:rsid w:val="00C96905"/>
    <w:rsid w:val="00CA0506"/>
    <w:rsid w:val="00CA0B2A"/>
    <w:rsid w:val="00CA0FD9"/>
    <w:rsid w:val="00CA2905"/>
    <w:rsid w:val="00CA4BF5"/>
    <w:rsid w:val="00CA6DB2"/>
    <w:rsid w:val="00CA7B44"/>
    <w:rsid w:val="00CB3E12"/>
    <w:rsid w:val="00CB4DBF"/>
    <w:rsid w:val="00CC5D36"/>
    <w:rsid w:val="00CC7F7B"/>
    <w:rsid w:val="00CD48E3"/>
    <w:rsid w:val="00CD5C5D"/>
    <w:rsid w:val="00CE1DB2"/>
    <w:rsid w:val="00CE2709"/>
    <w:rsid w:val="00CE2D64"/>
    <w:rsid w:val="00CE6198"/>
    <w:rsid w:val="00CF1A82"/>
    <w:rsid w:val="00CF39FA"/>
    <w:rsid w:val="00CF3DA6"/>
    <w:rsid w:val="00CF4250"/>
    <w:rsid w:val="00CF4340"/>
    <w:rsid w:val="00CF468D"/>
    <w:rsid w:val="00CF5B10"/>
    <w:rsid w:val="00CF6230"/>
    <w:rsid w:val="00D00B56"/>
    <w:rsid w:val="00D017FC"/>
    <w:rsid w:val="00D01E51"/>
    <w:rsid w:val="00D0226A"/>
    <w:rsid w:val="00D059AE"/>
    <w:rsid w:val="00D06B83"/>
    <w:rsid w:val="00D11F4E"/>
    <w:rsid w:val="00D1256B"/>
    <w:rsid w:val="00D12FF3"/>
    <w:rsid w:val="00D13147"/>
    <w:rsid w:val="00D150D9"/>
    <w:rsid w:val="00D240F4"/>
    <w:rsid w:val="00D24D25"/>
    <w:rsid w:val="00D353E8"/>
    <w:rsid w:val="00D3634D"/>
    <w:rsid w:val="00D46E20"/>
    <w:rsid w:val="00D4774A"/>
    <w:rsid w:val="00D5715A"/>
    <w:rsid w:val="00D71687"/>
    <w:rsid w:val="00D72194"/>
    <w:rsid w:val="00D745B5"/>
    <w:rsid w:val="00D74813"/>
    <w:rsid w:val="00D84283"/>
    <w:rsid w:val="00D84431"/>
    <w:rsid w:val="00D91E33"/>
    <w:rsid w:val="00DA1D08"/>
    <w:rsid w:val="00DA1FE6"/>
    <w:rsid w:val="00DA30BC"/>
    <w:rsid w:val="00DA69C2"/>
    <w:rsid w:val="00DA6D70"/>
    <w:rsid w:val="00DA75E0"/>
    <w:rsid w:val="00DB6050"/>
    <w:rsid w:val="00DC2C34"/>
    <w:rsid w:val="00DC4909"/>
    <w:rsid w:val="00DC4C56"/>
    <w:rsid w:val="00DC7E88"/>
    <w:rsid w:val="00DD0ACE"/>
    <w:rsid w:val="00DD3808"/>
    <w:rsid w:val="00DE2C87"/>
    <w:rsid w:val="00DE459A"/>
    <w:rsid w:val="00DE7871"/>
    <w:rsid w:val="00DF042B"/>
    <w:rsid w:val="00DF27DA"/>
    <w:rsid w:val="00DF2AE8"/>
    <w:rsid w:val="00DF4DBE"/>
    <w:rsid w:val="00E00E7F"/>
    <w:rsid w:val="00E01077"/>
    <w:rsid w:val="00E10DEB"/>
    <w:rsid w:val="00E11683"/>
    <w:rsid w:val="00E161D1"/>
    <w:rsid w:val="00E17010"/>
    <w:rsid w:val="00E17AD3"/>
    <w:rsid w:val="00E200B4"/>
    <w:rsid w:val="00E20218"/>
    <w:rsid w:val="00E20B32"/>
    <w:rsid w:val="00E221DC"/>
    <w:rsid w:val="00E24693"/>
    <w:rsid w:val="00E26EB5"/>
    <w:rsid w:val="00E34607"/>
    <w:rsid w:val="00E40820"/>
    <w:rsid w:val="00E41A99"/>
    <w:rsid w:val="00E44DF4"/>
    <w:rsid w:val="00E4658F"/>
    <w:rsid w:val="00E53290"/>
    <w:rsid w:val="00E54A67"/>
    <w:rsid w:val="00E55658"/>
    <w:rsid w:val="00E57DB9"/>
    <w:rsid w:val="00E60851"/>
    <w:rsid w:val="00E61C0D"/>
    <w:rsid w:val="00E63EB4"/>
    <w:rsid w:val="00E64912"/>
    <w:rsid w:val="00E66160"/>
    <w:rsid w:val="00E67022"/>
    <w:rsid w:val="00E671D1"/>
    <w:rsid w:val="00E71329"/>
    <w:rsid w:val="00E750FB"/>
    <w:rsid w:val="00E829BC"/>
    <w:rsid w:val="00E8363B"/>
    <w:rsid w:val="00E84966"/>
    <w:rsid w:val="00E86CE5"/>
    <w:rsid w:val="00E873FB"/>
    <w:rsid w:val="00E90780"/>
    <w:rsid w:val="00E92383"/>
    <w:rsid w:val="00E9247E"/>
    <w:rsid w:val="00E9489D"/>
    <w:rsid w:val="00EA1605"/>
    <w:rsid w:val="00EA1B3A"/>
    <w:rsid w:val="00EA2109"/>
    <w:rsid w:val="00EA6F37"/>
    <w:rsid w:val="00EB6B36"/>
    <w:rsid w:val="00EC0C47"/>
    <w:rsid w:val="00EC1D25"/>
    <w:rsid w:val="00EC23F0"/>
    <w:rsid w:val="00EC66EC"/>
    <w:rsid w:val="00ED0686"/>
    <w:rsid w:val="00ED08A0"/>
    <w:rsid w:val="00ED0F75"/>
    <w:rsid w:val="00ED148D"/>
    <w:rsid w:val="00ED4D4E"/>
    <w:rsid w:val="00EE0C77"/>
    <w:rsid w:val="00EE0CC4"/>
    <w:rsid w:val="00EE13EC"/>
    <w:rsid w:val="00EE2D16"/>
    <w:rsid w:val="00EE4E54"/>
    <w:rsid w:val="00EF0742"/>
    <w:rsid w:val="00EF1F23"/>
    <w:rsid w:val="00F034BF"/>
    <w:rsid w:val="00F04999"/>
    <w:rsid w:val="00F07CDE"/>
    <w:rsid w:val="00F126AA"/>
    <w:rsid w:val="00F16580"/>
    <w:rsid w:val="00F224BF"/>
    <w:rsid w:val="00F246AF"/>
    <w:rsid w:val="00F3284E"/>
    <w:rsid w:val="00F347FC"/>
    <w:rsid w:val="00F37740"/>
    <w:rsid w:val="00F41437"/>
    <w:rsid w:val="00F42A86"/>
    <w:rsid w:val="00F436BB"/>
    <w:rsid w:val="00F436F9"/>
    <w:rsid w:val="00F44BEF"/>
    <w:rsid w:val="00F47145"/>
    <w:rsid w:val="00F47A7A"/>
    <w:rsid w:val="00F50C15"/>
    <w:rsid w:val="00F5198F"/>
    <w:rsid w:val="00F53CCE"/>
    <w:rsid w:val="00F545BF"/>
    <w:rsid w:val="00F56152"/>
    <w:rsid w:val="00F564E7"/>
    <w:rsid w:val="00F61B86"/>
    <w:rsid w:val="00F63AA5"/>
    <w:rsid w:val="00F66CC5"/>
    <w:rsid w:val="00F71B56"/>
    <w:rsid w:val="00F7687C"/>
    <w:rsid w:val="00F77E6B"/>
    <w:rsid w:val="00F832C8"/>
    <w:rsid w:val="00F84F87"/>
    <w:rsid w:val="00F866F2"/>
    <w:rsid w:val="00F873B3"/>
    <w:rsid w:val="00F900C5"/>
    <w:rsid w:val="00F94EA3"/>
    <w:rsid w:val="00F94FE9"/>
    <w:rsid w:val="00F9537D"/>
    <w:rsid w:val="00FA42B9"/>
    <w:rsid w:val="00FA755A"/>
    <w:rsid w:val="00FB2B0F"/>
    <w:rsid w:val="00FB385A"/>
    <w:rsid w:val="00FB3F53"/>
    <w:rsid w:val="00FB4F6B"/>
    <w:rsid w:val="00FB5FE1"/>
    <w:rsid w:val="00FB6076"/>
    <w:rsid w:val="00FB751B"/>
    <w:rsid w:val="00FB7825"/>
    <w:rsid w:val="00FC0E8D"/>
    <w:rsid w:val="00FC1C76"/>
    <w:rsid w:val="00FC3ED9"/>
    <w:rsid w:val="00FC46EF"/>
    <w:rsid w:val="00FC6910"/>
    <w:rsid w:val="00FD31B3"/>
    <w:rsid w:val="00FD418B"/>
    <w:rsid w:val="00FD4204"/>
    <w:rsid w:val="00FE178D"/>
    <w:rsid w:val="00FE548A"/>
    <w:rsid w:val="00FE72C3"/>
    <w:rsid w:val="00FF2C97"/>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0B2605"/>
    <w:pPr>
      <w:keepNext/>
      <w:numPr>
        <w:numId w:val="3"/>
      </w:numPr>
      <w:spacing w:before="240"/>
      <w:ind w:left="851" w:hanging="851"/>
      <w:outlineLvl w:val="0"/>
    </w:pPr>
    <w:rPr>
      <w:color w:val="22413A"/>
      <w:sz w:val="48"/>
    </w:rPr>
  </w:style>
  <w:style w:type="paragraph" w:styleId="Heading2">
    <w:name w:val="heading 2"/>
    <w:basedOn w:val="Heading1"/>
    <w:next w:val="Normal"/>
    <w:link w:val="Heading2Char"/>
    <w:qFormat/>
    <w:rsid w:val="00037EE2"/>
    <w:pPr>
      <w:numPr>
        <w:ilvl w:val="1"/>
      </w:numPr>
      <w:ind w:left="851" w:hanging="851"/>
      <w:outlineLvl w:val="1"/>
    </w:pPr>
    <w:rPr>
      <w:sz w:val="36"/>
    </w:rPr>
  </w:style>
  <w:style w:type="paragraph" w:styleId="Heading3">
    <w:name w:val="heading 3"/>
    <w:basedOn w:val="Heading1"/>
    <w:next w:val="Normal"/>
    <w:link w:val="Heading3Char"/>
    <w:qFormat/>
    <w:rsid w:val="00037EE2"/>
    <w:pPr>
      <w:numPr>
        <w:ilvl w:val="2"/>
      </w:numPr>
      <w:ind w:left="851" w:hanging="851"/>
      <w:outlineLvl w:val="2"/>
    </w:pPr>
    <w:rPr>
      <w:sz w:val="28"/>
      <w:szCs w:val="12"/>
    </w:rPr>
  </w:style>
  <w:style w:type="paragraph" w:styleId="Heading4">
    <w:name w:val="heading 4"/>
    <w:basedOn w:val="Heading3"/>
    <w:next w:val="Normal"/>
    <w:link w:val="Heading4Char"/>
    <w:qFormat/>
    <w:rsid w:val="000A51C3"/>
    <w:pPr>
      <w:numPr>
        <w:ilvl w:val="3"/>
      </w:numPr>
      <w:ind w:left="851" w:hanging="851"/>
      <w:outlineLvl w:val="3"/>
    </w:pPr>
    <w:rPr>
      <w:b/>
      <w:bCs/>
      <w:sz w:val="24"/>
      <w:szCs w:val="10"/>
    </w:rPr>
  </w:style>
  <w:style w:type="paragraph" w:styleId="Heading5">
    <w:name w:val="heading 5"/>
    <w:basedOn w:val="Normal"/>
    <w:next w:val="Normal"/>
    <w:link w:val="Heading5Char"/>
    <w:qFormat/>
    <w:rsid w:val="00F47145"/>
    <w:pPr>
      <w:keepNext/>
      <w:outlineLvl w:val="4"/>
    </w:pPr>
    <w:rPr>
      <w:i/>
      <w:noProof/>
      <w:color w:val="22413A"/>
    </w:rPr>
  </w:style>
  <w:style w:type="paragraph" w:styleId="Heading6">
    <w:name w:val="heading 6"/>
    <w:basedOn w:val="Normal"/>
    <w:next w:val="Normal"/>
    <w:link w:val="Heading6Char"/>
    <w:qFormat/>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qFormat/>
    <w:rsid w:val="005139B7"/>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qFormat/>
    <w:rsid w:val="005139B7"/>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qFormat/>
    <w:rsid w:val="005139B7"/>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037EE2"/>
    <w:rPr>
      <w:rFonts w:ascii="Arial" w:hAnsi="Arial"/>
      <w:color w:val="22413A"/>
      <w:sz w:val="36"/>
      <w:szCs w:val="22"/>
      <w:lang w:eastAsia="en-US" w:bidi="he-IL"/>
    </w:rPr>
  </w:style>
  <w:style w:type="character" w:customStyle="1" w:styleId="Heading3Char">
    <w:name w:val="Heading 3 Char"/>
    <w:link w:val="Heading3"/>
    <w:rsid w:val="00037EE2"/>
    <w:rPr>
      <w:rFonts w:ascii="Arial" w:hAnsi="Arial"/>
      <w:color w:val="22413A"/>
      <w:sz w:val="28"/>
      <w:szCs w:val="12"/>
      <w:lang w:eastAsia="en-US" w:bidi="he-IL"/>
    </w:rPr>
  </w:style>
  <w:style w:type="character" w:customStyle="1" w:styleId="Heading4Char">
    <w:name w:val="Heading 4 Char"/>
    <w:link w:val="Heading4"/>
    <w:rsid w:val="000A51C3"/>
    <w:rPr>
      <w:rFonts w:ascii="Arial" w:hAnsi="Arial"/>
      <w:b/>
      <w:bCs/>
      <w:color w:val="22413A"/>
      <w:sz w:val="24"/>
      <w:szCs w:val="10"/>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0B2605"/>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C35D86"/>
    <w:pPr>
      <w:numPr>
        <w:numId w:val="1"/>
      </w:numPr>
      <w:spacing w:before="240" w:after="120" w:line="240" w:lineRule="auto"/>
      <w:ind w:left="1418" w:hanging="357"/>
    </w:pPr>
    <w:rPr>
      <w:bCs/>
      <w:noProof/>
    </w:rPr>
  </w:style>
  <w:style w:type="paragraph" w:customStyle="1" w:styleId="Bulletlist2">
    <w:name w:val="Bullet list 2"/>
    <w:basedOn w:val="Bulletlist1"/>
    <w:uiPriority w:val="1"/>
    <w:qFormat/>
    <w:rsid w:val="00C35D86"/>
    <w:pPr>
      <w:numPr>
        <w:ilvl w:val="1"/>
      </w:numPr>
      <w:ind w:left="1843"/>
    </w:pPr>
    <w:rPr>
      <w:bCs w:val="0"/>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884E43"/>
    <w:pPr>
      <w:spacing w:before="60" w:after="60"/>
    </w:p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rsid w:val="00C32CC1"/>
    <w:rPr>
      <w:lang w:eastAsia="en-US" w:bidi="he-IL"/>
    </w:rPr>
  </w:style>
  <w:style w:type="character" w:styleId="FootnoteReference">
    <w:name w:val="footnote reference"/>
    <w:basedOn w:val="DefaultParagraphFont"/>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CE1DB2"/>
    <w:pPr>
      <w:pBdr>
        <w:top w:val="single" w:sz="4" w:space="6" w:color="22413A"/>
        <w:bottom w:val="single" w:sz="4" w:space="6" w:color="22413A"/>
      </w:pBdr>
      <w:spacing w:before="240"/>
      <w:ind w:left="851"/>
    </w:pPr>
    <w:rPr>
      <w:rFonts w:asciiTheme="minorHAnsi" w:eastAsiaTheme="minorHAnsi" w:hAnsiTheme="minorHAnsi" w:cstheme="minorBidi"/>
      <w:sz w:val="28"/>
      <w:szCs w:val="30"/>
      <w:lang w:bidi="ar-SA"/>
    </w:rPr>
  </w:style>
  <w:style w:type="paragraph" w:customStyle="1" w:styleId="NumList1">
    <w:name w:val="Num List 1"/>
    <w:basedOn w:val="Normal"/>
    <w:uiPriority w:val="1"/>
    <w:qFormat/>
    <w:rsid w:val="000A51C3"/>
    <w:pPr>
      <w:numPr>
        <w:numId w:val="6"/>
      </w:numPr>
      <w:spacing w:before="240" w:after="120" w:line="240" w:lineRule="auto"/>
    </w:pPr>
    <w:rPr>
      <w:rFonts w:asciiTheme="minorHAnsi" w:eastAsiaTheme="minorHAnsi" w:hAnsiTheme="minorHAnsi" w:cstheme="minorBidi"/>
      <w:bCs/>
      <w:noProof/>
      <w:lang w:bidi="ar-SA"/>
    </w:rPr>
  </w:style>
  <w:style w:type="paragraph" w:customStyle="1" w:styleId="NumList2">
    <w:name w:val="Num List 2"/>
    <w:basedOn w:val="NumList1"/>
    <w:uiPriority w:val="1"/>
    <w:qFormat/>
    <w:rsid w:val="000A51C3"/>
    <w:pPr>
      <w:numPr>
        <w:ilvl w:val="1"/>
      </w:numPr>
      <w:ind w:left="1701"/>
    </w:pPr>
  </w:style>
  <w:style w:type="paragraph" w:customStyle="1" w:styleId="BulletList3">
    <w:name w:val="Bullet List 3"/>
    <w:basedOn w:val="Bulletlist2"/>
    <w:uiPriority w:val="1"/>
    <w:qFormat/>
    <w:rsid w:val="00C35D86"/>
    <w:pPr>
      <w:numPr>
        <w:ilvl w:val="2"/>
      </w:numPr>
      <w:ind w:left="226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404B0C"/>
    <w:pPr>
      <w:keepLines/>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F9-Paragraph">
    <w:name w:val="F9 - # Paragraph"/>
    <w:basedOn w:val="Normal"/>
    <w:link w:val="F9-ParagraphChar"/>
    <w:qFormat/>
    <w:rsid w:val="005504C2"/>
    <w:pPr>
      <w:spacing w:before="240" w:after="120" w:line="240" w:lineRule="auto"/>
    </w:pPr>
    <w:rPr>
      <w:rFonts w:eastAsia="Times New Roman"/>
      <w:szCs w:val="24"/>
      <w:lang w:bidi="ar-SA"/>
    </w:rPr>
  </w:style>
  <w:style w:type="character" w:customStyle="1" w:styleId="F9-ParagraphChar">
    <w:name w:val="F9 - # Paragraph Char"/>
    <w:basedOn w:val="DefaultParagraphFont"/>
    <w:link w:val="F9-Paragraph"/>
    <w:rsid w:val="005504C2"/>
    <w:rPr>
      <w:rFonts w:ascii="Arial" w:eastAsia="Times New Roman" w:hAnsi="Arial"/>
      <w:sz w:val="24"/>
      <w:szCs w:val="24"/>
      <w:lang w:eastAsia="en-US"/>
    </w:rPr>
  </w:style>
  <w:style w:type="paragraph" w:customStyle="1" w:styleId="BulletPoint">
    <w:name w:val="Bullet Point"/>
    <w:basedOn w:val="ListParagraph"/>
    <w:link w:val="BulletPointChar"/>
    <w:qFormat/>
    <w:rsid w:val="00587E35"/>
    <w:pPr>
      <w:numPr>
        <w:numId w:val="5"/>
      </w:numPr>
      <w:spacing w:before="240" w:after="120" w:line="264" w:lineRule="auto"/>
    </w:pPr>
    <w:rPr>
      <w:rFonts w:eastAsia="Times New Roman" w:cs="Times New Roman"/>
      <w:sz w:val="22"/>
      <w:szCs w:val="24"/>
      <w:lang w:bidi="ar-SA"/>
    </w:rPr>
  </w:style>
  <w:style w:type="character" w:customStyle="1" w:styleId="BulletPointChar">
    <w:name w:val="Bullet Point Char"/>
    <w:basedOn w:val="DefaultParagraphFont"/>
    <w:link w:val="BulletPoint"/>
    <w:rsid w:val="00587E35"/>
    <w:rPr>
      <w:rFonts w:ascii="Arial" w:eastAsia="Times New Roman" w:hAnsi="Arial" w:cs="Times New Roman"/>
      <w:sz w:val="22"/>
      <w:szCs w:val="24"/>
      <w:lang w:eastAsia="en-US"/>
    </w:rPr>
  </w:style>
  <w:style w:type="character" w:styleId="FollowedHyperlink">
    <w:name w:val="FollowedHyperlink"/>
    <w:basedOn w:val="DefaultParagraphFont"/>
    <w:uiPriority w:val="99"/>
    <w:semiHidden/>
    <w:unhideWhenUsed/>
    <w:rsid w:val="00F61B86"/>
    <w:rPr>
      <w:color w:val="AA1C76" w:themeColor="followedHyperlink"/>
      <w:u w:val="single"/>
    </w:rPr>
  </w:style>
  <w:style w:type="paragraph" w:styleId="NormalWeb">
    <w:name w:val="Normal (Web)"/>
    <w:basedOn w:val="Normal"/>
    <w:unhideWhenUsed/>
    <w:rsid w:val="00AA6D10"/>
    <w:pPr>
      <w:spacing w:before="100" w:beforeAutospacing="1" w:after="100" w:afterAutospacing="1" w:line="240" w:lineRule="auto"/>
    </w:pPr>
    <w:rPr>
      <w:rFonts w:eastAsia="Times New Roman"/>
      <w:szCs w:val="24"/>
      <w:lang w:eastAsia="en-GB" w:bidi="ar-SA"/>
    </w:rPr>
  </w:style>
  <w:style w:type="character" w:customStyle="1" w:styleId="Heading7Char">
    <w:name w:val="Heading 7 Char"/>
    <w:basedOn w:val="DefaultParagraphFont"/>
    <w:link w:val="Heading7"/>
    <w:rsid w:val="005139B7"/>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5139B7"/>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5139B7"/>
    <w:rPr>
      <w:rFonts w:ascii="Arial" w:eastAsia="Times New Roman" w:hAnsi="Arial"/>
      <w:sz w:val="22"/>
      <w:szCs w:val="22"/>
      <w:lang w:eastAsia="en-US"/>
    </w:rPr>
  </w:style>
  <w:style w:type="paragraph" w:customStyle="1" w:styleId="TSHeadingNumbered1">
    <w:name w:val="TS Heading Numbered 1"/>
    <w:basedOn w:val="Normal"/>
    <w:rsid w:val="005139B7"/>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5139B7"/>
  </w:style>
  <w:style w:type="paragraph" w:customStyle="1" w:styleId="TSHeadingNumbered111">
    <w:name w:val="TS Heading Numbered 1.1.1"/>
    <w:basedOn w:val="TSHeadingNumbered1"/>
    <w:rsid w:val="005139B7"/>
  </w:style>
  <w:style w:type="paragraph" w:customStyle="1" w:styleId="TSHeadingNumbered1111">
    <w:name w:val="TS Heading Numbered 1.1.1.1"/>
    <w:basedOn w:val="TSHeadingNumbered1"/>
    <w:rsid w:val="005139B7"/>
  </w:style>
  <w:style w:type="paragraph" w:customStyle="1" w:styleId="TSNumberedParagraph11">
    <w:name w:val="TS Numbered Paragraph 1.1"/>
    <w:basedOn w:val="TSHeadingNumbered11"/>
    <w:rsid w:val="005139B7"/>
    <w:pPr>
      <w:numPr>
        <w:ilvl w:val="1"/>
      </w:numPr>
      <w:tabs>
        <w:tab w:val="num" w:pos="-31680"/>
      </w:tabs>
      <w:ind w:left="720" w:hanging="720"/>
    </w:pPr>
    <w:rPr>
      <w:rFonts w:ascii="Arial" w:hAnsi="Arial"/>
      <w:b w:val="0"/>
      <w:caps w:val="0"/>
    </w:rPr>
  </w:style>
  <w:style w:type="paragraph" w:styleId="Revision">
    <w:name w:val="Revision"/>
    <w:hidden/>
    <w:uiPriority w:val="99"/>
    <w:semiHidden/>
    <w:rsid w:val="00C368AA"/>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1057">
      <w:bodyDiv w:val="1"/>
      <w:marLeft w:val="0"/>
      <w:marRight w:val="0"/>
      <w:marTop w:val="0"/>
      <w:marBottom w:val="0"/>
      <w:divBdr>
        <w:top w:val="none" w:sz="0" w:space="0" w:color="auto"/>
        <w:left w:val="none" w:sz="0" w:space="0" w:color="auto"/>
        <w:bottom w:val="none" w:sz="0" w:space="0" w:color="auto"/>
        <w:right w:val="none" w:sz="0" w:space="0" w:color="auto"/>
      </w:divBdr>
    </w:div>
    <w:div w:id="3672167">
      <w:bodyDiv w:val="1"/>
      <w:marLeft w:val="0"/>
      <w:marRight w:val="0"/>
      <w:marTop w:val="0"/>
      <w:marBottom w:val="0"/>
      <w:divBdr>
        <w:top w:val="none" w:sz="0" w:space="0" w:color="auto"/>
        <w:left w:val="none" w:sz="0" w:space="0" w:color="auto"/>
        <w:bottom w:val="none" w:sz="0" w:space="0" w:color="auto"/>
        <w:right w:val="none" w:sz="0" w:space="0" w:color="auto"/>
      </w:divBdr>
    </w:div>
    <w:div w:id="8531951">
      <w:bodyDiv w:val="1"/>
      <w:marLeft w:val="0"/>
      <w:marRight w:val="0"/>
      <w:marTop w:val="0"/>
      <w:marBottom w:val="0"/>
      <w:divBdr>
        <w:top w:val="none" w:sz="0" w:space="0" w:color="auto"/>
        <w:left w:val="none" w:sz="0" w:space="0" w:color="auto"/>
        <w:bottom w:val="none" w:sz="0" w:space="0" w:color="auto"/>
        <w:right w:val="none" w:sz="0" w:space="0" w:color="auto"/>
      </w:divBdr>
    </w:div>
    <w:div w:id="12341865">
      <w:bodyDiv w:val="1"/>
      <w:marLeft w:val="0"/>
      <w:marRight w:val="0"/>
      <w:marTop w:val="0"/>
      <w:marBottom w:val="0"/>
      <w:divBdr>
        <w:top w:val="none" w:sz="0" w:space="0" w:color="auto"/>
        <w:left w:val="none" w:sz="0" w:space="0" w:color="auto"/>
        <w:bottom w:val="none" w:sz="0" w:space="0" w:color="auto"/>
        <w:right w:val="none" w:sz="0" w:space="0" w:color="auto"/>
      </w:divBdr>
    </w:div>
    <w:div w:id="33776299">
      <w:bodyDiv w:val="1"/>
      <w:marLeft w:val="0"/>
      <w:marRight w:val="0"/>
      <w:marTop w:val="0"/>
      <w:marBottom w:val="0"/>
      <w:divBdr>
        <w:top w:val="none" w:sz="0" w:space="0" w:color="auto"/>
        <w:left w:val="none" w:sz="0" w:space="0" w:color="auto"/>
        <w:bottom w:val="none" w:sz="0" w:space="0" w:color="auto"/>
        <w:right w:val="none" w:sz="0" w:space="0" w:color="auto"/>
      </w:divBdr>
    </w:div>
    <w:div w:id="60446362">
      <w:bodyDiv w:val="1"/>
      <w:marLeft w:val="0"/>
      <w:marRight w:val="0"/>
      <w:marTop w:val="0"/>
      <w:marBottom w:val="0"/>
      <w:divBdr>
        <w:top w:val="none" w:sz="0" w:space="0" w:color="auto"/>
        <w:left w:val="none" w:sz="0" w:space="0" w:color="auto"/>
        <w:bottom w:val="none" w:sz="0" w:space="0" w:color="auto"/>
        <w:right w:val="none" w:sz="0" w:space="0" w:color="auto"/>
      </w:divBdr>
    </w:div>
    <w:div w:id="78528754">
      <w:bodyDiv w:val="1"/>
      <w:marLeft w:val="0"/>
      <w:marRight w:val="0"/>
      <w:marTop w:val="0"/>
      <w:marBottom w:val="0"/>
      <w:divBdr>
        <w:top w:val="none" w:sz="0" w:space="0" w:color="auto"/>
        <w:left w:val="none" w:sz="0" w:space="0" w:color="auto"/>
        <w:bottom w:val="none" w:sz="0" w:space="0" w:color="auto"/>
        <w:right w:val="none" w:sz="0" w:space="0" w:color="auto"/>
      </w:divBdr>
    </w:div>
    <w:div w:id="86922722">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2827468">
      <w:bodyDiv w:val="1"/>
      <w:marLeft w:val="0"/>
      <w:marRight w:val="0"/>
      <w:marTop w:val="0"/>
      <w:marBottom w:val="0"/>
      <w:divBdr>
        <w:top w:val="none" w:sz="0" w:space="0" w:color="auto"/>
        <w:left w:val="none" w:sz="0" w:space="0" w:color="auto"/>
        <w:bottom w:val="none" w:sz="0" w:space="0" w:color="auto"/>
        <w:right w:val="none" w:sz="0" w:space="0" w:color="auto"/>
      </w:divBdr>
    </w:div>
    <w:div w:id="98916854">
      <w:bodyDiv w:val="1"/>
      <w:marLeft w:val="0"/>
      <w:marRight w:val="0"/>
      <w:marTop w:val="0"/>
      <w:marBottom w:val="0"/>
      <w:divBdr>
        <w:top w:val="none" w:sz="0" w:space="0" w:color="auto"/>
        <w:left w:val="none" w:sz="0" w:space="0" w:color="auto"/>
        <w:bottom w:val="none" w:sz="0" w:space="0" w:color="auto"/>
        <w:right w:val="none" w:sz="0" w:space="0" w:color="auto"/>
      </w:divBdr>
    </w:div>
    <w:div w:id="123624026">
      <w:bodyDiv w:val="1"/>
      <w:marLeft w:val="0"/>
      <w:marRight w:val="0"/>
      <w:marTop w:val="0"/>
      <w:marBottom w:val="0"/>
      <w:divBdr>
        <w:top w:val="none" w:sz="0" w:space="0" w:color="auto"/>
        <w:left w:val="none" w:sz="0" w:space="0" w:color="auto"/>
        <w:bottom w:val="none" w:sz="0" w:space="0" w:color="auto"/>
        <w:right w:val="none" w:sz="0" w:space="0" w:color="auto"/>
      </w:divBdr>
    </w:div>
    <w:div w:id="126628605">
      <w:bodyDiv w:val="1"/>
      <w:marLeft w:val="0"/>
      <w:marRight w:val="0"/>
      <w:marTop w:val="0"/>
      <w:marBottom w:val="0"/>
      <w:divBdr>
        <w:top w:val="none" w:sz="0" w:space="0" w:color="auto"/>
        <w:left w:val="none" w:sz="0" w:space="0" w:color="auto"/>
        <w:bottom w:val="none" w:sz="0" w:space="0" w:color="auto"/>
        <w:right w:val="none" w:sz="0" w:space="0" w:color="auto"/>
      </w:divBdr>
    </w:div>
    <w:div w:id="132988366">
      <w:bodyDiv w:val="1"/>
      <w:marLeft w:val="0"/>
      <w:marRight w:val="0"/>
      <w:marTop w:val="0"/>
      <w:marBottom w:val="0"/>
      <w:divBdr>
        <w:top w:val="none" w:sz="0" w:space="0" w:color="auto"/>
        <w:left w:val="none" w:sz="0" w:space="0" w:color="auto"/>
        <w:bottom w:val="none" w:sz="0" w:space="0" w:color="auto"/>
        <w:right w:val="none" w:sz="0" w:space="0" w:color="auto"/>
      </w:divBdr>
    </w:div>
    <w:div w:id="137114031">
      <w:bodyDiv w:val="1"/>
      <w:marLeft w:val="0"/>
      <w:marRight w:val="0"/>
      <w:marTop w:val="0"/>
      <w:marBottom w:val="0"/>
      <w:divBdr>
        <w:top w:val="none" w:sz="0" w:space="0" w:color="auto"/>
        <w:left w:val="none" w:sz="0" w:space="0" w:color="auto"/>
        <w:bottom w:val="none" w:sz="0" w:space="0" w:color="auto"/>
        <w:right w:val="none" w:sz="0" w:space="0" w:color="auto"/>
      </w:divBdr>
    </w:div>
    <w:div w:id="141970281">
      <w:bodyDiv w:val="1"/>
      <w:marLeft w:val="0"/>
      <w:marRight w:val="0"/>
      <w:marTop w:val="0"/>
      <w:marBottom w:val="0"/>
      <w:divBdr>
        <w:top w:val="none" w:sz="0" w:space="0" w:color="auto"/>
        <w:left w:val="none" w:sz="0" w:space="0" w:color="auto"/>
        <w:bottom w:val="none" w:sz="0" w:space="0" w:color="auto"/>
        <w:right w:val="none" w:sz="0" w:space="0" w:color="auto"/>
      </w:divBdr>
    </w:div>
    <w:div w:id="142043556">
      <w:bodyDiv w:val="1"/>
      <w:marLeft w:val="0"/>
      <w:marRight w:val="0"/>
      <w:marTop w:val="0"/>
      <w:marBottom w:val="0"/>
      <w:divBdr>
        <w:top w:val="none" w:sz="0" w:space="0" w:color="auto"/>
        <w:left w:val="none" w:sz="0" w:space="0" w:color="auto"/>
        <w:bottom w:val="none" w:sz="0" w:space="0" w:color="auto"/>
        <w:right w:val="none" w:sz="0" w:space="0" w:color="auto"/>
      </w:divBdr>
    </w:div>
    <w:div w:id="152067326">
      <w:bodyDiv w:val="1"/>
      <w:marLeft w:val="0"/>
      <w:marRight w:val="0"/>
      <w:marTop w:val="0"/>
      <w:marBottom w:val="0"/>
      <w:divBdr>
        <w:top w:val="none" w:sz="0" w:space="0" w:color="auto"/>
        <w:left w:val="none" w:sz="0" w:space="0" w:color="auto"/>
        <w:bottom w:val="none" w:sz="0" w:space="0" w:color="auto"/>
        <w:right w:val="none" w:sz="0" w:space="0" w:color="auto"/>
      </w:divBdr>
    </w:div>
    <w:div w:id="173232784">
      <w:bodyDiv w:val="1"/>
      <w:marLeft w:val="0"/>
      <w:marRight w:val="0"/>
      <w:marTop w:val="0"/>
      <w:marBottom w:val="0"/>
      <w:divBdr>
        <w:top w:val="none" w:sz="0" w:space="0" w:color="auto"/>
        <w:left w:val="none" w:sz="0" w:space="0" w:color="auto"/>
        <w:bottom w:val="none" w:sz="0" w:space="0" w:color="auto"/>
        <w:right w:val="none" w:sz="0" w:space="0" w:color="auto"/>
      </w:divBdr>
    </w:div>
    <w:div w:id="187523943">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8421675">
      <w:bodyDiv w:val="1"/>
      <w:marLeft w:val="0"/>
      <w:marRight w:val="0"/>
      <w:marTop w:val="0"/>
      <w:marBottom w:val="0"/>
      <w:divBdr>
        <w:top w:val="none" w:sz="0" w:space="0" w:color="auto"/>
        <w:left w:val="none" w:sz="0" w:space="0" w:color="auto"/>
        <w:bottom w:val="none" w:sz="0" w:space="0" w:color="auto"/>
        <w:right w:val="none" w:sz="0" w:space="0" w:color="auto"/>
      </w:divBdr>
    </w:div>
    <w:div w:id="240527544">
      <w:bodyDiv w:val="1"/>
      <w:marLeft w:val="0"/>
      <w:marRight w:val="0"/>
      <w:marTop w:val="0"/>
      <w:marBottom w:val="0"/>
      <w:divBdr>
        <w:top w:val="none" w:sz="0" w:space="0" w:color="auto"/>
        <w:left w:val="none" w:sz="0" w:space="0" w:color="auto"/>
        <w:bottom w:val="none" w:sz="0" w:space="0" w:color="auto"/>
        <w:right w:val="none" w:sz="0" w:space="0" w:color="auto"/>
      </w:divBdr>
    </w:div>
    <w:div w:id="256641876">
      <w:bodyDiv w:val="1"/>
      <w:marLeft w:val="0"/>
      <w:marRight w:val="0"/>
      <w:marTop w:val="0"/>
      <w:marBottom w:val="0"/>
      <w:divBdr>
        <w:top w:val="none" w:sz="0" w:space="0" w:color="auto"/>
        <w:left w:val="none" w:sz="0" w:space="0" w:color="auto"/>
        <w:bottom w:val="none" w:sz="0" w:space="0" w:color="auto"/>
        <w:right w:val="none" w:sz="0" w:space="0" w:color="auto"/>
      </w:divBdr>
    </w:div>
    <w:div w:id="268316748">
      <w:bodyDiv w:val="1"/>
      <w:marLeft w:val="0"/>
      <w:marRight w:val="0"/>
      <w:marTop w:val="0"/>
      <w:marBottom w:val="0"/>
      <w:divBdr>
        <w:top w:val="none" w:sz="0" w:space="0" w:color="auto"/>
        <w:left w:val="none" w:sz="0" w:space="0" w:color="auto"/>
        <w:bottom w:val="none" w:sz="0" w:space="0" w:color="auto"/>
        <w:right w:val="none" w:sz="0" w:space="0" w:color="auto"/>
      </w:divBdr>
    </w:div>
    <w:div w:id="271593734">
      <w:bodyDiv w:val="1"/>
      <w:marLeft w:val="0"/>
      <w:marRight w:val="0"/>
      <w:marTop w:val="0"/>
      <w:marBottom w:val="0"/>
      <w:divBdr>
        <w:top w:val="none" w:sz="0" w:space="0" w:color="auto"/>
        <w:left w:val="none" w:sz="0" w:space="0" w:color="auto"/>
        <w:bottom w:val="none" w:sz="0" w:space="0" w:color="auto"/>
        <w:right w:val="none" w:sz="0" w:space="0" w:color="auto"/>
      </w:divBdr>
    </w:div>
    <w:div w:id="282616784">
      <w:bodyDiv w:val="1"/>
      <w:marLeft w:val="0"/>
      <w:marRight w:val="0"/>
      <w:marTop w:val="0"/>
      <w:marBottom w:val="0"/>
      <w:divBdr>
        <w:top w:val="none" w:sz="0" w:space="0" w:color="auto"/>
        <w:left w:val="none" w:sz="0" w:space="0" w:color="auto"/>
        <w:bottom w:val="none" w:sz="0" w:space="0" w:color="auto"/>
        <w:right w:val="none" w:sz="0" w:space="0" w:color="auto"/>
      </w:divBdr>
    </w:div>
    <w:div w:id="290599563">
      <w:bodyDiv w:val="1"/>
      <w:marLeft w:val="0"/>
      <w:marRight w:val="0"/>
      <w:marTop w:val="0"/>
      <w:marBottom w:val="0"/>
      <w:divBdr>
        <w:top w:val="none" w:sz="0" w:space="0" w:color="auto"/>
        <w:left w:val="none" w:sz="0" w:space="0" w:color="auto"/>
        <w:bottom w:val="none" w:sz="0" w:space="0" w:color="auto"/>
        <w:right w:val="none" w:sz="0" w:space="0" w:color="auto"/>
      </w:divBdr>
    </w:div>
    <w:div w:id="305092624">
      <w:bodyDiv w:val="1"/>
      <w:marLeft w:val="0"/>
      <w:marRight w:val="0"/>
      <w:marTop w:val="0"/>
      <w:marBottom w:val="0"/>
      <w:divBdr>
        <w:top w:val="none" w:sz="0" w:space="0" w:color="auto"/>
        <w:left w:val="none" w:sz="0" w:space="0" w:color="auto"/>
        <w:bottom w:val="none" w:sz="0" w:space="0" w:color="auto"/>
        <w:right w:val="none" w:sz="0" w:space="0" w:color="auto"/>
      </w:divBdr>
    </w:div>
    <w:div w:id="310445573">
      <w:bodyDiv w:val="1"/>
      <w:marLeft w:val="0"/>
      <w:marRight w:val="0"/>
      <w:marTop w:val="0"/>
      <w:marBottom w:val="0"/>
      <w:divBdr>
        <w:top w:val="none" w:sz="0" w:space="0" w:color="auto"/>
        <w:left w:val="none" w:sz="0" w:space="0" w:color="auto"/>
        <w:bottom w:val="none" w:sz="0" w:space="0" w:color="auto"/>
        <w:right w:val="none" w:sz="0" w:space="0" w:color="auto"/>
      </w:divBdr>
    </w:div>
    <w:div w:id="315037745">
      <w:bodyDiv w:val="1"/>
      <w:marLeft w:val="0"/>
      <w:marRight w:val="0"/>
      <w:marTop w:val="0"/>
      <w:marBottom w:val="0"/>
      <w:divBdr>
        <w:top w:val="none" w:sz="0" w:space="0" w:color="auto"/>
        <w:left w:val="none" w:sz="0" w:space="0" w:color="auto"/>
        <w:bottom w:val="none" w:sz="0" w:space="0" w:color="auto"/>
        <w:right w:val="none" w:sz="0" w:space="0" w:color="auto"/>
      </w:divBdr>
    </w:div>
    <w:div w:id="322634308">
      <w:bodyDiv w:val="1"/>
      <w:marLeft w:val="0"/>
      <w:marRight w:val="0"/>
      <w:marTop w:val="0"/>
      <w:marBottom w:val="0"/>
      <w:divBdr>
        <w:top w:val="none" w:sz="0" w:space="0" w:color="auto"/>
        <w:left w:val="none" w:sz="0" w:space="0" w:color="auto"/>
        <w:bottom w:val="none" w:sz="0" w:space="0" w:color="auto"/>
        <w:right w:val="none" w:sz="0" w:space="0" w:color="auto"/>
      </w:divBdr>
    </w:div>
    <w:div w:id="32840663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44022084">
      <w:bodyDiv w:val="1"/>
      <w:marLeft w:val="0"/>
      <w:marRight w:val="0"/>
      <w:marTop w:val="0"/>
      <w:marBottom w:val="0"/>
      <w:divBdr>
        <w:top w:val="none" w:sz="0" w:space="0" w:color="auto"/>
        <w:left w:val="none" w:sz="0" w:space="0" w:color="auto"/>
        <w:bottom w:val="none" w:sz="0" w:space="0" w:color="auto"/>
        <w:right w:val="none" w:sz="0" w:space="0" w:color="auto"/>
      </w:divBdr>
    </w:div>
    <w:div w:id="346640009">
      <w:bodyDiv w:val="1"/>
      <w:marLeft w:val="0"/>
      <w:marRight w:val="0"/>
      <w:marTop w:val="0"/>
      <w:marBottom w:val="0"/>
      <w:divBdr>
        <w:top w:val="none" w:sz="0" w:space="0" w:color="auto"/>
        <w:left w:val="none" w:sz="0" w:space="0" w:color="auto"/>
        <w:bottom w:val="none" w:sz="0" w:space="0" w:color="auto"/>
        <w:right w:val="none" w:sz="0" w:space="0" w:color="auto"/>
      </w:divBdr>
    </w:div>
    <w:div w:id="348065442">
      <w:bodyDiv w:val="1"/>
      <w:marLeft w:val="0"/>
      <w:marRight w:val="0"/>
      <w:marTop w:val="0"/>
      <w:marBottom w:val="0"/>
      <w:divBdr>
        <w:top w:val="none" w:sz="0" w:space="0" w:color="auto"/>
        <w:left w:val="none" w:sz="0" w:space="0" w:color="auto"/>
        <w:bottom w:val="none" w:sz="0" w:space="0" w:color="auto"/>
        <w:right w:val="none" w:sz="0" w:space="0" w:color="auto"/>
      </w:divBdr>
    </w:div>
    <w:div w:id="354769611">
      <w:bodyDiv w:val="1"/>
      <w:marLeft w:val="0"/>
      <w:marRight w:val="0"/>
      <w:marTop w:val="0"/>
      <w:marBottom w:val="0"/>
      <w:divBdr>
        <w:top w:val="none" w:sz="0" w:space="0" w:color="auto"/>
        <w:left w:val="none" w:sz="0" w:space="0" w:color="auto"/>
        <w:bottom w:val="none" w:sz="0" w:space="0" w:color="auto"/>
        <w:right w:val="none" w:sz="0" w:space="0" w:color="auto"/>
      </w:divBdr>
    </w:div>
    <w:div w:id="368340898">
      <w:bodyDiv w:val="1"/>
      <w:marLeft w:val="0"/>
      <w:marRight w:val="0"/>
      <w:marTop w:val="0"/>
      <w:marBottom w:val="0"/>
      <w:divBdr>
        <w:top w:val="none" w:sz="0" w:space="0" w:color="auto"/>
        <w:left w:val="none" w:sz="0" w:space="0" w:color="auto"/>
        <w:bottom w:val="none" w:sz="0" w:space="0" w:color="auto"/>
        <w:right w:val="none" w:sz="0" w:space="0" w:color="auto"/>
      </w:divBdr>
    </w:div>
    <w:div w:id="369382586">
      <w:bodyDiv w:val="1"/>
      <w:marLeft w:val="0"/>
      <w:marRight w:val="0"/>
      <w:marTop w:val="0"/>
      <w:marBottom w:val="0"/>
      <w:divBdr>
        <w:top w:val="none" w:sz="0" w:space="0" w:color="auto"/>
        <w:left w:val="none" w:sz="0" w:space="0" w:color="auto"/>
        <w:bottom w:val="none" w:sz="0" w:space="0" w:color="auto"/>
        <w:right w:val="none" w:sz="0" w:space="0" w:color="auto"/>
      </w:divBdr>
    </w:div>
    <w:div w:id="370956525">
      <w:bodyDiv w:val="1"/>
      <w:marLeft w:val="0"/>
      <w:marRight w:val="0"/>
      <w:marTop w:val="0"/>
      <w:marBottom w:val="0"/>
      <w:divBdr>
        <w:top w:val="none" w:sz="0" w:space="0" w:color="auto"/>
        <w:left w:val="none" w:sz="0" w:space="0" w:color="auto"/>
        <w:bottom w:val="none" w:sz="0" w:space="0" w:color="auto"/>
        <w:right w:val="none" w:sz="0" w:space="0" w:color="auto"/>
      </w:divBdr>
    </w:div>
    <w:div w:id="383334768">
      <w:bodyDiv w:val="1"/>
      <w:marLeft w:val="0"/>
      <w:marRight w:val="0"/>
      <w:marTop w:val="0"/>
      <w:marBottom w:val="0"/>
      <w:divBdr>
        <w:top w:val="none" w:sz="0" w:space="0" w:color="auto"/>
        <w:left w:val="none" w:sz="0" w:space="0" w:color="auto"/>
        <w:bottom w:val="none" w:sz="0" w:space="0" w:color="auto"/>
        <w:right w:val="none" w:sz="0" w:space="0" w:color="auto"/>
      </w:divBdr>
    </w:div>
    <w:div w:id="389695971">
      <w:bodyDiv w:val="1"/>
      <w:marLeft w:val="0"/>
      <w:marRight w:val="0"/>
      <w:marTop w:val="0"/>
      <w:marBottom w:val="0"/>
      <w:divBdr>
        <w:top w:val="none" w:sz="0" w:space="0" w:color="auto"/>
        <w:left w:val="none" w:sz="0" w:space="0" w:color="auto"/>
        <w:bottom w:val="none" w:sz="0" w:space="0" w:color="auto"/>
        <w:right w:val="none" w:sz="0" w:space="0" w:color="auto"/>
      </w:divBdr>
    </w:div>
    <w:div w:id="438717687">
      <w:bodyDiv w:val="1"/>
      <w:marLeft w:val="0"/>
      <w:marRight w:val="0"/>
      <w:marTop w:val="0"/>
      <w:marBottom w:val="0"/>
      <w:divBdr>
        <w:top w:val="none" w:sz="0" w:space="0" w:color="auto"/>
        <w:left w:val="none" w:sz="0" w:space="0" w:color="auto"/>
        <w:bottom w:val="none" w:sz="0" w:space="0" w:color="auto"/>
        <w:right w:val="none" w:sz="0" w:space="0" w:color="auto"/>
      </w:divBdr>
    </w:div>
    <w:div w:id="454258825">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5002446">
      <w:bodyDiv w:val="1"/>
      <w:marLeft w:val="0"/>
      <w:marRight w:val="0"/>
      <w:marTop w:val="0"/>
      <w:marBottom w:val="0"/>
      <w:divBdr>
        <w:top w:val="none" w:sz="0" w:space="0" w:color="auto"/>
        <w:left w:val="none" w:sz="0" w:space="0" w:color="auto"/>
        <w:bottom w:val="none" w:sz="0" w:space="0" w:color="auto"/>
        <w:right w:val="none" w:sz="0" w:space="0" w:color="auto"/>
      </w:divBdr>
    </w:div>
    <w:div w:id="466552406">
      <w:bodyDiv w:val="1"/>
      <w:marLeft w:val="0"/>
      <w:marRight w:val="0"/>
      <w:marTop w:val="0"/>
      <w:marBottom w:val="0"/>
      <w:divBdr>
        <w:top w:val="none" w:sz="0" w:space="0" w:color="auto"/>
        <w:left w:val="none" w:sz="0" w:space="0" w:color="auto"/>
        <w:bottom w:val="none" w:sz="0" w:space="0" w:color="auto"/>
        <w:right w:val="none" w:sz="0" w:space="0" w:color="auto"/>
      </w:divBdr>
    </w:div>
    <w:div w:id="472674993">
      <w:bodyDiv w:val="1"/>
      <w:marLeft w:val="0"/>
      <w:marRight w:val="0"/>
      <w:marTop w:val="0"/>
      <w:marBottom w:val="0"/>
      <w:divBdr>
        <w:top w:val="none" w:sz="0" w:space="0" w:color="auto"/>
        <w:left w:val="none" w:sz="0" w:space="0" w:color="auto"/>
        <w:bottom w:val="none" w:sz="0" w:space="0" w:color="auto"/>
        <w:right w:val="none" w:sz="0" w:space="0" w:color="auto"/>
      </w:divBdr>
    </w:div>
    <w:div w:id="487945082">
      <w:bodyDiv w:val="1"/>
      <w:marLeft w:val="0"/>
      <w:marRight w:val="0"/>
      <w:marTop w:val="0"/>
      <w:marBottom w:val="0"/>
      <w:divBdr>
        <w:top w:val="none" w:sz="0" w:space="0" w:color="auto"/>
        <w:left w:val="none" w:sz="0" w:space="0" w:color="auto"/>
        <w:bottom w:val="none" w:sz="0" w:space="0" w:color="auto"/>
        <w:right w:val="none" w:sz="0" w:space="0" w:color="auto"/>
      </w:divBdr>
    </w:div>
    <w:div w:id="499850976">
      <w:bodyDiv w:val="1"/>
      <w:marLeft w:val="0"/>
      <w:marRight w:val="0"/>
      <w:marTop w:val="0"/>
      <w:marBottom w:val="0"/>
      <w:divBdr>
        <w:top w:val="none" w:sz="0" w:space="0" w:color="auto"/>
        <w:left w:val="none" w:sz="0" w:space="0" w:color="auto"/>
        <w:bottom w:val="none" w:sz="0" w:space="0" w:color="auto"/>
        <w:right w:val="none" w:sz="0" w:space="0" w:color="auto"/>
      </w:divBdr>
    </w:div>
    <w:div w:id="500851336">
      <w:bodyDiv w:val="1"/>
      <w:marLeft w:val="0"/>
      <w:marRight w:val="0"/>
      <w:marTop w:val="0"/>
      <w:marBottom w:val="0"/>
      <w:divBdr>
        <w:top w:val="none" w:sz="0" w:space="0" w:color="auto"/>
        <w:left w:val="none" w:sz="0" w:space="0" w:color="auto"/>
        <w:bottom w:val="none" w:sz="0" w:space="0" w:color="auto"/>
        <w:right w:val="none" w:sz="0" w:space="0" w:color="auto"/>
      </w:divBdr>
    </w:div>
    <w:div w:id="524638171">
      <w:bodyDiv w:val="1"/>
      <w:marLeft w:val="0"/>
      <w:marRight w:val="0"/>
      <w:marTop w:val="0"/>
      <w:marBottom w:val="0"/>
      <w:divBdr>
        <w:top w:val="none" w:sz="0" w:space="0" w:color="auto"/>
        <w:left w:val="none" w:sz="0" w:space="0" w:color="auto"/>
        <w:bottom w:val="none" w:sz="0" w:space="0" w:color="auto"/>
        <w:right w:val="none" w:sz="0" w:space="0" w:color="auto"/>
      </w:divBdr>
    </w:div>
    <w:div w:id="532306650">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585710">
      <w:bodyDiv w:val="1"/>
      <w:marLeft w:val="0"/>
      <w:marRight w:val="0"/>
      <w:marTop w:val="0"/>
      <w:marBottom w:val="0"/>
      <w:divBdr>
        <w:top w:val="none" w:sz="0" w:space="0" w:color="auto"/>
        <w:left w:val="none" w:sz="0" w:space="0" w:color="auto"/>
        <w:bottom w:val="none" w:sz="0" w:space="0" w:color="auto"/>
        <w:right w:val="none" w:sz="0" w:space="0" w:color="auto"/>
      </w:divBdr>
    </w:div>
    <w:div w:id="562327316">
      <w:bodyDiv w:val="1"/>
      <w:marLeft w:val="0"/>
      <w:marRight w:val="0"/>
      <w:marTop w:val="0"/>
      <w:marBottom w:val="0"/>
      <w:divBdr>
        <w:top w:val="none" w:sz="0" w:space="0" w:color="auto"/>
        <w:left w:val="none" w:sz="0" w:space="0" w:color="auto"/>
        <w:bottom w:val="none" w:sz="0" w:space="0" w:color="auto"/>
        <w:right w:val="none" w:sz="0" w:space="0" w:color="auto"/>
      </w:divBdr>
    </w:div>
    <w:div w:id="577250215">
      <w:bodyDiv w:val="1"/>
      <w:marLeft w:val="0"/>
      <w:marRight w:val="0"/>
      <w:marTop w:val="0"/>
      <w:marBottom w:val="0"/>
      <w:divBdr>
        <w:top w:val="none" w:sz="0" w:space="0" w:color="auto"/>
        <w:left w:val="none" w:sz="0" w:space="0" w:color="auto"/>
        <w:bottom w:val="none" w:sz="0" w:space="0" w:color="auto"/>
        <w:right w:val="none" w:sz="0" w:space="0" w:color="auto"/>
      </w:divBdr>
    </w:div>
    <w:div w:id="606695616">
      <w:bodyDiv w:val="1"/>
      <w:marLeft w:val="0"/>
      <w:marRight w:val="0"/>
      <w:marTop w:val="0"/>
      <w:marBottom w:val="0"/>
      <w:divBdr>
        <w:top w:val="none" w:sz="0" w:space="0" w:color="auto"/>
        <w:left w:val="none" w:sz="0" w:space="0" w:color="auto"/>
        <w:bottom w:val="none" w:sz="0" w:space="0" w:color="auto"/>
        <w:right w:val="none" w:sz="0" w:space="0" w:color="auto"/>
      </w:divBdr>
    </w:div>
    <w:div w:id="608127021">
      <w:bodyDiv w:val="1"/>
      <w:marLeft w:val="0"/>
      <w:marRight w:val="0"/>
      <w:marTop w:val="0"/>
      <w:marBottom w:val="0"/>
      <w:divBdr>
        <w:top w:val="none" w:sz="0" w:space="0" w:color="auto"/>
        <w:left w:val="none" w:sz="0" w:space="0" w:color="auto"/>
        <w:bottom w:val="none" w:sz="0" w:space="0" w:color="auto"/>
        <w:right w:val="none" w:sz="0" w:space="0" w:color="auto"/>
      </w:divBdr>
    </w:div>
    <w:div w:id="612328933">
      <w:bodyDiv w:val="1"/>
      <w:marLeft w:val="0"/>
      <w:marRight w:val="0"/>
      <w:marTop w:val="0"/>
      <w:marBottom w:val="0"/>
      <w:divBdr>
        <w:top w:val="none" w:sz="0" w:space="0" w:color="auto"/>
        <w:left w:val="none" w:sz="0" w:space="0" w:color="auto"/>
        <w:bottom w:val="none" w:sz="0" w:space="0" w:color="auto"/>
        <w:right w:val="none" w:sz="0" w:space="0" w:color="auto"/>
      </w:divBdr>
    </w:div>
    <w:div w:id="613023906">
      <w:bodyDiv w:val="1"/>
      <w:marLeft w:val="0"/>
      <w:marRight w:val="0"/>
      <w:marTop w:val="0"/>
      <w:marBottom w:val="0"/>
      <w:divBdr>
        <w:top w:val="none" w:sz="0" w:space="0" w:color="auto"/>
        <w:left w:val="none" w:sz="0" w:space="0" w:color="auto"/>
        <w:bottom w:val="none" w:sz="0" w:space="0" w:color="auto"/>
        <w:right w:val="none" w:sz="0" w:space="0" w:color="auto"/>
      </w:divBdr>
    </w:div>
    <w:div w:id="665061027">
      <w:bodyDiv w:val="1"/>
      <w:marLeft w:val="0"/>
      <w:marRight w:val="0"/>
      <w:marTop w:val="0"/>
      <w:marBottom w:val="0"/>
      <w:divBdr>
        <w:top w:val="none" w:sz="0" w:space="0" w:color="auto"/>
        <w:left w:val="none" w:sz="0" w:space="0" w:color="auto"/>
        <w:bottom w:val="none" w:sz="0" w:space="0" w:color="auto"/>
        <w:right w:val="none" w:sz="0" w:space="0" w:color="auto"/>
      </w:divBdr>
    </w:div>
    <w:div w:id="679310667">
      <w:bodyDiv w:val="1"/>
      <w:marLeft w:val="0"/>
      <w:marRight w:val="0"/>
      <w:marTop w:val="0"/>
      <w:marBottom w:val="0"/>
      <w:divBdr>
        <w:top w:val="none" w:sz="0" w:space="0" w:color="auto"/>
        <w:left w:val="none" w:sz="0" w:space="0" w:color="auto"/>
        <w:bottom w:val="none" w:sz="0" w:space="0" w:color="auto"/>
        <w:right w:val="none" w:sz="0" w:space="0" w:color="auto"/>
      </w:divBdr>
    </w:div>
    <w:div w:id="687020789">
      <w:bodyDiv w:val="1"/>
      <w:marLeft w:val="0"/>
      <w:marRight w:val="0"/>
      <w:marTop w:val="0"/>
      <w:marBottom w:val="0"/>
      <w:divBdr>
        <w:top w:val="none" w:sz="0" w:space="0" w:color="auto"/>
        <w:left w:val="none" w:sz="0" w:space="0" w:color="auto"/>
        <w:bottom w:val="none" w:sz="0" w:space="0" w:color="auto"/>
        <w:right w:val="none" w:sz="0" w:space="0" w:color="auto"/>
      </w:divBdr>
    </w:div>
    <w:div w:id="689457946">
      <w:bodyDiv w:val="1"/>
      <w:marLeft w:val="0"/>
      <w:marRight w:val="0"/>
      <w:marTop w:val="0"/>
      <w:marBottom w:val="0"/>
      <w:divBdr>
        <w:top w:val="none" w:sz="0" w:space="0" w:color="auto"/>
        <w:left w:val="none" w:sz="0" w:space="0" w:color="auto"/>
        <w:bottom w:val="none" w:sz="0" w:space="0" w:color="auto"/>
        <w:right w:val="none" w:sz="0" w:space="0" w:color="auto"/>
      </w:divBdr>
    </w:div>
    <w:div w:id="701590734">
      <w:bodyDiv w:val="1"/>
      <w:marLeft w:val="0"/>
      <w:marRight w:val="0"/>
      <w:marTop w:val="0"/>
      <w:marBottom w:val="0"/>
      <w:divBdr>
        <w:top w:val="none" w:sz="0" w:space="0" w:color="auto"/>
        <w:left w:val="none" w:sz="0" w:space="0" w:color="auto"/>
        <w:bottom w:val="none" w:sz="0" w:space="0" w:color="auto"/>
        <w:right w:val="none" w:sz="0" w:space="0" w:color="auto"/>
      </w:divBdr>
    </w:div>
    <w:div w:id="713430310">
      <w:bodyDiv w:val="1"/>
      <w:marLeft w:val="0"/>
      <w:marRight w:val="0"/>
      <w:marTop w:val="0"/>
      <w:marBottom w:val="0"/>
      <w:divBdr>
        <w:top w:val="none" w:sz="0" w:space="0" w:color="auto"/>
        <w:left w:val="none" w:sz="0" w:space="0" w:color="auto"/>
        <w:bottom w:val="none" w:sz="0" w:space="0" w:color="auto"/>
        <w:right w:val="none" w:sz="0" w:space="0" w:color="auto"/>
      </w:divBdr>
    </w:div>
    <w:div w:id="722871574">
      <w:bodyDiv w:val="1"/>
      <w:marLeft w:val="0"/>
      <w:marRight w:val="0"/>
      <w:marTop w:val="0"/>
      <w:marBottom w:val="0"/>
      <w:divBdr>
        <w:top w:val="none" w:sz="0" w:space="0" w:color="auto"/>
        <w:left w:val="none" w:sz="0" w:space="0" w:color="auto"/>
        <w:bottom w:val="none" w:sz="0" w:space="0" w:color="auto"/>
        <w:right w:val="none" w:sz="0" w:space="0" w:color="auto"/>
      </w:divBdr>
    </w:div>
    <w:div w:id="724573577">
      <w:bodyDiv w:val="1"/>
      <w:marLeft w:val="0"/>
      <w:marRight w:val="0"/>
      <w:marTop w:val="0"/>
      <w:marBottom w:val="0"/>
      <w:divBdr>
        <w:top w:val="none" w:sz="0" w:space="0" w:color="auto"/>
        <w:left w:val="none" w:sz="0" w:space="0" w:color="auto"/>
        <w:bottom w:val="none" w:sz="0" w:space="0" w:color="auto"/>
        <w:right w:val="none" w:sz="0" w:space="0" w:color="auto"/>
      </w:divBdr>
    </w:div>
    <w:div w:id="728263775">
      <w:bodyDiv w:val="1"/>
      <w:marLeft w:val="0"/>
      <w:marRight w:val="0"/>
      <w:marTop w:val="0"/>
      <w:marBottom w:val="0"/>
      <w:divBdr>
        <w:top w:val="none" w:sz="0" w:space="0" w:color="auto"/>
        <w:left w:val="none" w:sz="0" w:space="0" w:color="auto"/>
        <w:bottom w:val="none" w:sz="0" w:space="0" w:color="auto"/>
        <w:right w:val="none" w:sz="0" w:space="0" w:color="auto"/>
      </w:divBdr>
    </w:div>
    <w:div w:id="750389825">
      <w:bodyDiv w:val="1"/>
      <w:marLeft w:val="0"/>
      <w:marRight w:val="0"/>
      <w:marTop w:val="0"/>
      <w:marBottom w:val="0"/>
      <w:divBdr>
        <w:top w:val="none" w:sz="0" w:space="0" w:color="auto"/>
        <w:left w:val="none" w:sz="0" w:space="0" w:color="auto"/>
        <w:bottom w:val="none" w:sz="0" w:space="0" w:color="auto"/>
        <w:right w:val="none" w:sz="0" w:space="0" w:color="auto"/>
      </w:divBdr>
    </w:div>
    <w:div w:id="757487288">
      <w:bodyDiv w:val="1"/>
      <w:marLeft w:val="0"/>
      <w:marRight w:val="0"/>
      <w:marTop w:val="0"/>
      <w:marBottom w:val="0"/>
      <w:divBdr>
        <w:top w:val="none" w:sz="0" w:space="0" w:color="auto"/>
        <w:left w:val="none" w:sz="0" w:space="0" w:color="auto"/>
        <w:bottom w:val="none" w:sz="0" w:space="0" w:color="auto"/>
        <w:right w:val="none" w:sz="0" w:space="0" w:color="auto"/>
      </w:divBdr>
    </w:div>
    <w:div w:id="763380675">
      <w:bodyDiv w:val="1"/>
      <w:marLeft w:val="0"/>
      <w:marRight w:val="0"/>
      <w:marTop w:val="0"/>
      <w:marBottom w:val="0"/>
      <w:divBdr>
        <w:top w:val="none" w:sz="0" w:space="0" w:color="auto"/>
        <w:left w:val="none" w:sz="0" w:space="0" w:color="auto"/>
        <w:bottom w:val="none" w:sz="0" w:space="0" w:color="auto"/>
        <w:right w:val="none" w:sz="0" w:space="0" w:color="auto"/>
      </w:divBdr>
    </w:div>
    <w:div w:id="769933670">
      <w:bodyDiv w:val="1"/>
      <w:marLeft w:val="0"/>
      <w:marRight w:val="0"/>
      <w:marTop w:val="0"/>
      <w:marBottom w:val="0"/>
      <w:divBdr>
        <w:top w:val="none" w:sz="0" w:space="0" w:color="auto"/>
        <w:left w:val="none" w:sz="0" w:space="0" w:color="auto"/>
        <w:bottom w:val="none" w:sz="0" w:space="0" w:color="auto"/>
        <w:right w:val="none" w:sz="0" w:space="0" w:color="auto"/>
      </w:divBdr>
    </w:div>
    <w:div w:id="773482174">
      <w:bodyDiv w:val="1"/>
      <w:marLeft w:val="0"/>
      <w:marRight w:val="0"/>
      <w:marTop w:val="0"/>
      <w:marBottom w:val="0"/>
      <w:divBdr>
        <w:top w:val="none" w:sz="0" w:space="0" w:color="auto"/>
        <w:left w:val="none" w:sz="0" w:space="0" w:color="auto"/>
        <w:bottom w:val="none" w:sz="0" w:space="0" w:color="auto"/>
        <w:right w:val="none" w:sz="0" w:space="0" w:color="auto"/>
      </w:divBdr>
    </w:div>
    <w:div w:id="781648819">
      <w:bodyDiv w:val="1"/>
      <w:marLeft w:val="0"/>
      <w:marRight w:val="0"/>
      <w:marTop w:val="0"/>
      <w:marBottom w:val="0"/>
      <w:divBdr>
        <w:top w:val="none" w:sz="0" w:space="0" w:color="auto"/>
        <w:left w:val="none" w:sz="0" w:space="0" w:color="auto"/>
        <w:bottom w:val="none" w:sz="0" w:space="0" w:color="auto"/>
        <w:right w:val="none" w:sz="0" w:space="0" w:color="auto"/>
      </w:divBdr>
    </w:div>
    <w:div w:id="791826000">
      <w:bodyDiv w:val="1"/>
      <w:marLeft w:val="0"/>
      <w:marRight w:val="0"/>
      <w:marTop w:val="0"/>
      <w:marBottom w:val="0"/>
      <w:divBdr>
        <w:top w:val="none" w:sz="0" w:space="0" w:color="auto"/>
        <w:left w:val="none" w:sz="0" w:space="0" w:color="auto"/>
        <w:bottom w:val="none" w:sz="0" w:space="0" w:color="auto"/>
        <w:right w:val="none" w:sz="0" w:space="0" w:color="auto"/>
      </w:divBdr>
    </w:div>
    <w:div w:id="801654615">
      <w:bodyDiv w:val="1"/>
      <w:marLeft w:val="0"/>
      <w:marRight w:val="0"/>
      <w:marTop w:val="0"/>
      <w:marBottom w:val="0"/>
      <w:divBdr>
        <w:top w:val="none" w:sz="0" w:space="0" w:color="auto"/>
        <w:left w:val="none" w:sz="0" w:space="0" w:color="auto"/>
        <w:bottom w:val="none" w:sz="0" w:space="0" w:color="auto"/>
        <w:right w:val="none" w:sz="0" w:space="0" w:color="auto"/>
      </w:divBdr>
    </w:div>
    <w:div w:id="804857150">
      <w:bodyDiv w:val="1"/>
      <w:marLeft w:val="0"/>
      <w:marRight w:val="0"/>
      <w:marTop w:val="0"/>
      <w:marBottom w:val="0"/>
      <w:divBdr>
        <w:top w:val="none" w:sz="0" w:space="0" w:color="auto"/>
        <w:left w:val="none" w:sz="0" w:space="0" w:color="auto"/>
        <w:bottom w:val="none" w:sz="0" w:space="0" w:color="auto"/>
        <w:right w:val="none" w:sz="0" w:space="0" w:color="auto"/>
      </w:divBdr>
    </w:div>
    <w:div w:id="845242417">
      <w:bodyDiv w:val="1"/>
      <w:marLeft w:val="0"/>
      <w:marRight w:val="0"/>
      <w:marTop w:val="0"/>
      <w:marBottom w:val="0"/>
      <w:divBdr>
        <w:top w:val="none" w:sz="0" w:space="0" w:color="auto"/>
        <w:left w:val="none" w:sz="0" w:space="0" w:color="auto"/>
        <w:bottom w:val="none" w:sz="0" w:space="0" w:color="auto"/>
        <w:right w:val="none" w:sz="0" w:space="0" w:color="auto"/>
      </w:divBdr>
    </w:div>
    <w:div w:id="853033689">
      <w:bodyDiv w:val="1"/>
      <w:marLeft w:val="0"/>
      <w:marRight w:val="0"/>
      <w:marTop w:val="0"/>
      <w:marBottom w:val="0"/>
      <w:divBdr>
        <w:top w:val="none" w:sz="0" w:space="0" w:color="auto"/>
        <w:left w:val="none" w:sz="0" w:space="0" w:color="auto"/>
        <w:bottom w:val="none" w:sz="0" w:space="0" w:color="auto"/>
        <w:right w:val="none" w:sz="0" w:space="0" w:color="auto"/>
      </w:divBdr>
    </w:div>
    <w:div w:id="865824766">
      <w:bodyDiv w:val="1"/>
      <w:marLeft w:val="0"/>
      <w:marRight w:val="0"/>
      <w:marTop w:val="0"/>
      <w:marBottom w:val="0"/>
      <w:divBdr>
        <w:top w:val="none" w:sz="0" w:space="0" w:color="auto"/>
        <w:left w:val="none" w:sz="0" w:space="0" w:color="auto"/>
        <w:bottom w:val="none" w:sz="0" w:space="0" w:color="auto"/>
        <w:right w:val="none" w:sz="0" w:space="0" w:color="auto"/>
      </w:divBdr>
    </w:div>
    <w:div w:id="876544163">
      <w:bodyDiv w:val="1"/>
      <w:marLeft w:val="0"/>
      <w:marRight w:val="0"/>
      <w:marTop w:val="0"/>
      <w:marBottom w:val="0"/>
      <w:divBdr>
        <w:top w:val="none" w:sz="0" w:space="0" w:color="auto"/>
        <w:left w:val="none" w:sz="0" w:space="0" w:color="auto"/>
        <w:bottom w:val="none" w:sz="0" w:space="0" w:color="auto"/>
        <w:right w:val="none" w:sz="0" w:space="0" w:color="auto"/>
      </w:divBdr>
    </w:div>
    <w:div w:id="906064645">
      <w:bodyDiv w:val="1"/>
      <w:marLeft w:val="0"/>
      <w:marRight w:val="0"/>
      <w:marTop w:val="0"/>
      <w:marBottom w:val="0"/>
      <w:divBdr>
        <w:top w:val="none" w:sz="0" w:space="0" w:color="auto"/>
        <w:left w:val="none" w:sz="0" w:space="0" w:color="auto"/>
        <w:bottom w:val="none" w:sz="0" w:space="0" w:color="auto"/>
        <w:right w:val="none" w:sz="0" w:space="0" w:color="auto"/>
      </w:divBdr>
    </w:div>
    <w:div w:id="923877767">
      <w:bodyDiv w:val="1"/>
      <w:marLeft w:val="0"/>
      <w:marRight w:val="0"/>
      <w:marTop w:val="0"/>
      <w:marBottom w:val="0"/>
      <w:divBdr>
        <w:top w:val="none" w:sz="0" w:space="0" w:color="auto"/>
        <w:left w:val="none" w:sz="0" w:space="0" w:color="auto"/>
        <w:bottom w:val="none" w:sz="0" w:space="0" w:color="auto"/>
        <w:right w:val="none" w:sz="0" w:space="0" w:color="auto"/>
      </w:divBdr>
    </w:div>
    <w:div w:id="961687932">
      <w:bodyDiv w:val="1"/>
      <w:marLeft w:val="0"/>
      <w:marRight w:val="0"/>
      <w:marTop w:val="0"/>
      <w:marBottom w:val="0"/>
      <w:divBdr>
        <w:top w:val="none" w:sz="0" w:space="0" w:color="auto"/>
        <w:left w:val="none" w:sz="0" w:space="0" w:color="auto"/>
        <w:bottom w:val="none" w:sz="0" w:space="0" w:color="auto"/>
        <w:right w:val="none" w:sz="0" w:space="0" w:color="auto"/>
      </w:divBdr>
    </w:div>
    <w:div w:id="97225042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003820950">
      <w:bodyDiv w:val="1"/>
      <w:marLeft w:val="0"/>
      <w:marRight w:val="0"/>
      <w:marTop w:val="0"/>
      <w:marBottom w:val="0"/>
      <w:divBdr>
        <w:top w:val="none" w:sz="0" w:space="0" w:color="auto"/>
        <w:left w:val="none" w:sz="0" w:space="0" w:color="auto"/>
        <w:bottom w:val="none" w:sz="0" w:space="0" w:color="auto"/>
        <w:right w:val="none" w:sz="0" w:space="0" w:color="auto"/>
      </w:divBdr>
    </w:div>
    <w:div w:id="1006786623">
      <w:bodyDiv w:val="1"/>
      <w:marLeft w:val="0"/>
      <w:marRight w:val="0"/>
      <w:marTop w:val="0"/>
      <w:marBottom w:val="0"/>
      <w:divBdr>
        <w:top w:val="none" w:sz="0" w:space="0" w:color="auto"/>
        <w:left w:val="none" w:sz="0" w:space="0" w:color="auto"/>
        <w:bottom w:val="none" w:sz="0" w:space="0" w:color="auto"/>
        <w:right w:val="none" w:sz="0" w:space="0" w:color="auto"/>
      </w:divBdr>
    </w:div>
    <w:div w:id="1006857426">
      <w:bodyDiv w:val="1"/>
      <w:marLeft w:val="0"/>
      <w:marRight w:val="0"/>
      <w:marTop w:val="0"/>
      <w:marBottom w:val="0"/>
      <w:divBdr>
        <w:top w:val="none" w:sz="0" w:space="0" w:color="auto"/>
        <w:left w:val="none" w:sz="0" w:space="0" w:color="auto"/>
        <w:bottom w:val="none" w:sz="0" w:space="0" w:color="auto"/>
        <w:right w:val="none" w:sz="0" w:space="0" w:color="auto"/>
      </w:divBdr>
    </w:div>
    <w:div w:id="1013915098">
      <w:bodyDiv w:val="1"/>
      <w:marLeft w:val="0"/>
      <w:marRight w:val="0"/>
      <w:marTop w:val="0"/>
      <w:marBottom w:val="0"/>
      <w:divBdr>
        <w:top w:val="none" w:sz="0" w:space="0" w:color="auto"/>
        <w:left w:val="none" w:sz="0" w:space="0" w:color="auto"/>
        <w:bottom w:val="none" w:sz="0" w:space="0" w:color="auto"/>
        <w:right w:val="none" w:sz="0" w:space="0" w:color="auto"/>
      </w:divBdr>
    </w:div>
    <w:div w:id="1025247743">
      <w:bodyDiv w:val="1"/>
      <w:marLeft w:val="0"/>
      <w:marRight w:val="0"/>
      <w:marTop w:val="0"/>
      <w:marBottom w:val="0"/>
      <w:divBdr>
        <w:top w:val="none" w:sz="0" w:space="0" w:color="auto"/>
        <w:left w:val="none" w:sz="0" w:space="0" w:color="auto"/>
        <w:bottom w:val="none" w:sz="0" w:space="0" w:color="auto"/>
        <w:right w:val="none" w:sz="0" w:space="0" w:color="auto"/>
      </w:divBdr>
    </w:div>
    <w:div w:id="1031342464">
      <w:bodyDiv w:val="1"/>
      <w:marLeft w:val="0"/>
      <w:marRight w:val="0"/>
      <w:marTop w:val="0"/>
      <w:marBottom w:val="0"/>
      <w:divBdr>
        <w:top w:val="none" w:sz="0" w:space="0" w:color="auto"/>
        <w:left w:val="none" w:sz="0" w:space="0" w:color="auto"/>
        <w:bottom w:val="none" w:sz="0" w:space="0" w:color="auto"/>
        <w:right w:val="none" w:sz="0" w:space="0" w:color="auto"/>
      </w:divBdr>
    </w:div>
    <w:div w:id="1048645380">
      <w:bodyDiv w:val="1"/>
      <w:marLeft w:val="0"/>
      <w:marRight w:val="0"/>
      <w:marTop w:val="0"/>
      <w:marBottom w:val="0"/>
      <w:divBdr>
        <w:top w:val="none" w:sz="0" w:space="0" w:color="auto"/>
        <w:left w:val="none" w:sz="0" w:space="0" w:color="auto"/>
        <w:bottom w:val="none" w:sz="0" w:space="0" w:color="auto"/>
        <w:right w:val="none" w:sz="0" w:space="0" w:color="auto"/>
      </w:divBdr>
    </w:div>
    <w:div w:id="1054041594">
      <w:bodyDiv w:val="1"/>
      <w:marLeft w:val="0"/>
      <w:marRight w:val="0"/>
      <w:marTop w:val="0"/>
      <w:marBottom w:val="0"/>
      <w:divBdr>
        <w:top w:val="none" w:sz="0" w:space="0" w:color="auto"/>
        <w:left w:val="none" w:sz="0" w:space="0" w:color="auto"/>
        <w:bottom w:val="none" w:sz="0" w:space="0" w:color="auto"/>
        <w:right w:val="none" w:sz="0" w:space="0" w:color="auto"/>
      </w:divBdr>
    </w:div>
    <w:div w:id="1077749007">
      <w:bodyDiv w:val="1"/>
      <w:marLeft w:val="0"/>
      <w:marRight w:val="0"/>
      <w:marTop w:val="0"/>
      <w:marBottom w:val="0"/>
      <w:divBdr>
        <w:top w:val="none" w:sz="0" w:space="0" w:color="auto"/>
        <w:left w:val="none" w:sz="0" w:space="0" w:color="auto"/>
        <w:bottom w:val="none" w:sz="0" w:space="0" w:color="auto"/>
        <w:right w:val="none" w:sz="0" w:space="0" w:color="auto"/>
      </w:divBdr>
    </w:div>
    <w:div w:id="1091850712">
      <w:bodyDiv w:val="1"/>
      <w:marLeft w:val="0"/>
      <w:marRight w:val="0"/>
      <w:marTop w:val="0"/>
      <w:marBottom w:val="0"/>
      <w:divBdr>
        <w:top w:val="none" w:sz="0" w:space="0" w:color="auto"/>
        <w:left w:val="none" w:sz="0" w:space="0" w:color="auto"/>
        <w:bottom w:val="none" w:sz="0" w:space="0" w:color="auto"/>
        <w:right w:val="none" w:sz="0" w:space="0" w:color="auto"/>
      </w:divBdr>
    </w:div>
    <w:div w:id="1092162363">
      <w:bodyDiv w:val="1"/>
      <w:marLeft w:val="0"/>
      <w:marRight w:val="0"/>
      <w:marTop w:val="0"/>
      <w:marBottom w:val="0"/>
      <w:divBdr>
        <w:top w:val="none" w:sz="0" w:space="0" w:color="auto"/>
        <w:left w:val="none" w:sz="0" w:space="0" w:color="auto"/>
        <w:bottom w:val="none" w:sz="0" w:space="0" w:color="auto"/>
        <w:right w:val="none" w:sz="0" w:space="0" w:color="auto"/>
      </w:divBdr>
    </w:div>
    <w:div w:id="1116560378">
      <w:bodyDiv w:val="1"/>
      <w:marLeft w:val="0"/>
      <w:marRight w:val="0"/>
      <w:marTop w:val="0"/>
      <w:marBottom w:val="0"/>
      <w:divBdr>
        <w:top w:val="none" w:sz="0" w:space="0" w:color="auto"/>
        <w:left w:val="none" w:sz="0" w:space="0" w:color="auto"/>
        <w:bottom w:val="none" w:sz="0" w:space="0" w:color="auto"/>
        <w:right w:val="none" w:sz="0" w:space="0" w:color="auto"/>
      </w:divBdr>
    </w:div>
    <w:div w:id="1120685437">
      <w:bodyDiv w:val="1"/>
      <w:marLeft w:val="0"/>
      <w:marRight w:val="0"/>
      <w:marTop w:val="0"/>
      <w:marBottom w:val="0"/>
      <w:divBdr>
        <w:top w:val="none" w:sz="0" w:space="0" w:color="auto"/>
        <w:left w:val="none" w:sz="0" w:space="0" w:color="auto"/>
        <w:bottom w:val="none" w:sz="0" w:space="0" w:color="auto"/>
        <w:right w:val="none" w:sz="0" w:space="0" w:color="auto"/>
      </w:divBdr>
    </w:div>
    <w:div w:id="1120879126">
      <w:bodyDiv w:val="1"/>
      <w:marLeft w:val="0"/>
      <w:marRight w:val="0"/>
      <w:marTop w:val="0"/>
      <w:marBottom w:val="0"/>
      <w:divBdr>
        <w:top w:val="none" w:sz="0" w:space="0" w:color="auto"/>
        <w:left w:val="none" w:sz="0" w:space="0" w:color="auto"/>
        <w:bottom w:val="none" w:sz="0" w:space="0" w:color="auto"/>
        <w:right w:val="none" w:sz="0" w:space="0" w:color="auto"/>
      </w:divBdr>
    </w:div>
    <w:div w:id="112211396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722168">
      <w:bodyDiv w:val="1"/>
      <w:marLeft w:val="0"/>
      <w:marRight w:val="0"/>
      <w:marTop w:val="0"/>
      <w:marBottom w:val="0"/>
      <w:divBdr>
        <w:top w:val="none" w:sz="0" w:space="0" w:color="auto"/>
        <w:left w:val="none" w:sz="0" w:space="0" w:color="auto"/>
        <w:bottom w:val="none" w:sz="0" w:space="0" w:color="auto"/>
        <w:right w:val="none" w:sz="0" w:space="0" w:color="auto"/>
      </w:divBdr>
    </w:div>
    <w:div w:id="1163669582">
      <w:bodyDiv w:val="1"/>
      <w:marLeft w:val="0"/>
      <w:marRight w:val="0"/>
      <w:marTop w:val="0"/>
      <w:marBottom w:val="0"/>
      <w:divBdr>
        <w:top w:val="none" w:sz="0" w:space="0" w:color="auto"/>
        <w:left w:val="none" w:sz="0" w:space="0" w:color="auto"/>
        <w:bottom w:val="none" w:sz="0" w:space="0" w:color="auto"/>
        <w:right w:val="none" w:sz="0" w:space="0" w:color="auto"/>
      </w:divBdr>
    </w:div>
    <w:div w:id="1186484820">
      <w:bodyDiv w:val="1"/>
      <w:marLeft w:val="0"/>
      <w:marRight w:val="0"/>
      <w:marTop w:val="0"/>
      <w:marBottom w:val="0"/>
      <w:divBdr>
        <w:top w:val="none" w:sz="0" w:space="0" w:color="auto"/>
        <w:left w:val="none" w:sz="0" w:space="0" w:color="auto"/>
        <w:bottom w:val="none" w:sz="0" w:space="0" w:color="auto"/>
        <w:right w:val="none" w:sz="0" w:space="0" w:color="auto"/>
      </w:divBdr>
    </w:div>
    <w:div w:id="1191912991">
      <w:bodyDiv w:val="1"/>
      <w:marLeft w:val="0"/>
      <w:marRight w:val="0"/>
      <w:marTop w:val="0"/>
      <w:marBottom w:val="0"/>
      <w:divBdr>
        <w:top w:val="none" w:sz="0" w:space="0" w:color="auto"/>
        <w:left w:val="none" w:sz="0" w:space="0" w:color="auto"/>
        <w:bottom w:val="none" w:sz="0" w:space="0" w:color="auto"/>
        <w:right w:val="none" w:sz="0" w:space="0" w:color="auto"/>
      </w:divBdr>
    </w:div>
    <w:div w:id="1197427378">
      <w:bodyDiv w:val="1"/>
      <w:marLeft w:val="0"/>
      <w:marRight w:val="0"/>
      <w:marTop w:val="0"/>
      <w:marBottom w:val="0"/>
      <w:divBdr>
        <w:top w:val="none" w:sz="0" w:space="0" w:color="auto"/>
        <w:left w:val="none" w:sz="0" w:space="0" w:color="auto"/>
        <w:bottom w:val="none" w:sz="0" w:space="0" w:color="auto"/>
        <w:right w:val="none" w:sz="0" w:space="0" w:color="auto"/>
      </w:divBdr>
    </w:div>
    <w:div w:id="1202129619">
      <w:bodyDiv w:val="1"/>
      <w:marLeft w:val="0"/>
      <w:marRight w:val="0"/>
      <w:marTop w:val="0"/>
      <w:marBottom w:val="0"/>
      <w:divBdr>
        <w:top w:val="none" w:sz="0" w:space="0" w:color="auto"/>
        <w:left w:val="none" w:sz="0" w:space="0" w:color="auto"/>
        <w:bottom w:val="none" w:sz="0" w:space="0" w:color="auto"/>
        <w:right w:val="none" w:sz="0" w:space="0" w:color="auto"/>
      </w:divBdr>
    </w:div>
    <w:div w:id="1212765236">
      <w:bodyDiv w:val="1"/>
      <w:marLeft w:val="0"/>
      <w:marRight w:val="0"/>
      <w:marTop w:val="0"/>
      <w:marBottom w:val="0"/>
      <w:divBdr>
        <w:top w:val="none" w:sz="0" w:space="0" w:color="auto"/>
        <w:left w:val="none" w:sz="0" w:space="0" w:color="auto"/>
        <w:bottom w:val="none" w:sz="0" w:space="0" w:color="auto"/>
        <w:right w:val="none" w:sz="0" w:space="0" w:color="auto"/>
      </w:divBdr>
    </w:div>
    <w:div w:id="1247694704">
      <w:bodyDiv w:val="1"/>
      <w:marLeft w:val="0"/>
      <w:marRight w:val="0"/>
      <w:marTop w:val="0"/>
      <w:marBottom w:val="0"/>
      <w:divBdr>
        <w:top w:val="none" w:sz="0" w:space="0" w:color="auto"/>
        <w:left w:val="none" w:sz="0" w:space="0" w:color="auto"/>
        <w:bottom w:val="none" w:sz="0" w:space="0" w:color="auto"/>
        <w:right w:val="none" w:sz="0" w:space="0" w:color="auto"/>
      </w:divBdr>
    </w:div>
    <w:div w:id="1252852727">
      <w:bodyDiv w:val="1"/>
      <w:marLeft w:val="0"/>
      <w:marRight w:val="0"/>
      <w:marTop w:val="0"/>
      <w:marBottom w:val="0"/>
      <w:divBdr>
        <w:top w:val="none" w:sz="0" w:space="0" w:color="auto"/>
        <w:left w:val="none" w:sz="0" w:space="0" w:color="auto"/>
        <w:bottom w:val="none" w:sz="0" w:space="0" w:color="auto"/>
        <w:right w:val="none" w:sz="0" w:space="0" w:color="auto"/>
      </w:divBdr>
    </w:div>
    <w:div w:id="1256547887">
      <w:bodyDiv w:val="1"/>
      <w:marLeft w:val="0"/>
      <w:marRight w:val="0"/>
      <w:marTop w:val="0"/>
      <w:marBottom w:val="0"/>
      <w:divBdr>
        <w:top w:val="none" w:sz="0" w:space="0" w:color="auto"/>
        <w:left w:val="none" w:sz="0" w:space="0" w:color="auto"/>
        <w:bottom w:val="none" w:sz="0" w:space="0" w:color="auto"/>
        <w:right w:val="none" w:sz="0" w:space="0" w:color="auto"/>
      </w:divBdr>
    </w:div>
    <w:div w:id="1288049424">
      <w:bodyDiv w:val="1"/>
      <w:marLeft w:val="0"/>
      <w:marRight w:val="0"/>
      <w:marTop w:val="0"/>
      <w:marBottom w:val="0"/>
      <w:divBdr>
        <w:top w:val="none" w:sz="0" w:space="0" w:color="auto"/>
        <w:left w:val="none" w:sz="0" w:space="0" w:color="auto"/>
        <w:bottom w:val="none" w:sz="0" w:space="0" w:color="auto"/>
        <w:right w:val="none" w:sz="0" w:space="0" w:color="auto"/>
      </w:divBdr>
    </w:div>
    <w:div w:id="1296060725">
      <w:bodyDiv w:val="1"/>
      <w:marLeft w:val="0"/>
      <w:marRight w:val="0"/>
      <w:marTop w:val="0"/>
      <w:marBottom w:val="0"/>
      <w:divBdr>
        <w:top w:val="none" w:sz="0" w:space="0" w:color="auto"/>
        <w:left w:val="none" w:sz="0" w:space="0" w:color="auto"/>
        <w:bottom w:val="none" w:sz="0" w:space="0" w:color="auto"/>
        <w:right w:val="none" w:sz="0" w:space="0" w:color="auto"/>
      </w:divBdr>
    </w:div>
    <w:div w:id="1297488118">
      <w:bodyDiv w:val="1"/>
      <w:marLeft w:val="0"/>
      <w:marRight w:val="0"/>
      <w:marTop w:val="0"/>
      <w:marBottom w:val="0"/>
      <w:divBdr>
        <w:top w:val="none" w:sz="0" w:space="0" w:color="auto"/>
        <w:left w:val="none" w:sz="0" w:space="0" w:color="auto"/>
        <w:bottom w:val="none" w:sz="0" w:space="0" w:color="auto"/>
        <w:right w:val="none" w:sz="0" w:space="0" w:color="auto"/>
      </w:divBdr>
    </w:div>
    <w:div w:id="1309897606">
      <w:bodyDiv w:val="1"/>
      <w:marLeft w:val="0"/>
      <w:marRight w:val="0"/>
      <w:marTop w:val="0"/>
      <w:marBottom w:val="0"/>
      <w:divBdr>
        <w:top w:val="none" w:sz="0" w:space="0" w:color="auto"/>
        <w:left w:val="none" w:sz="0" w:space="0" w:color="auto"/>
        <w:bottom w:val="none" w:sz="0" w:space="0" w:color="auto"/>
        <w:right w:val="none" w:sz="0" w:space="0" w:color="auto"/>
      </w:divBdr>
    </w:div>
    <w:div w:id="1319961283">
      <w:bodyDiv w:val="1"/>
      <w:marLeft w:val="0"/>
      <w:marRight w:val="0"/>
      <w:marTop w:val="0"/>
      <w:marBottom w:val="0"/>
      <w:divBdr>
        <w:top w:val="none" w:sz="0" w:space="0" w:color="auto"/>
        <w:left w:val="none" w:sz="0" w:space="0" w:color="auto"/>
        <w:bottom w:val="none" w:sz="0" w:space="0" w:color="auto"/>
        <w:right w:val="none" w:sz="0" w:space="0" w:color="auto"/>
      </w:divBdr>
    </w:div>
    <w:div w:id="1323238911">
      <w:bodyDiv w:val="1"/>
      <w:marLeft w:val="0"/>
      <w:marRight w:val="0"/>
      <w:marTop w:val="0"/>
      <w:marBottom w:val="0"/>
      <w:divBdr>
        <w:top w:val="none" w:sz="0" w:space="0" w:color="auto"/>
        <w:left w:val="none" w:sz="0" w:space="0" w:color="auto"/>
        <w:bottom w:val="none" w:sz="0" w:space="0" w:color="auto"/>
        <w:right w:val="none" w:sz="0" w:space="0" w:color="auto"/>
      </w:divBdr>
    </w:div>
    <w:div w:id="1326323900">
      <w:bodyDiv w:val="1"/>
      <w:marLeft w:val="0"/>
      <w:marRight w:val="0"/>
      <w:marTop w:val="0"/>
      <w:marBottom w:val="0"/>
      <w:divBdr>
        <w:top w:val="none" w:sz="0" w:space="0" w:color="auto"/>
        <w:left w:val="none" w:sz="0" w:space="0" w:color="auto"/>
        <w:bottom w:val="none" w:sz="0" w:space="0" w:color="auto"/>
        <w:right w:val="none" w:sz="0" w:space="0" w:color="auto"/>
      </w:divBdr>
    </w:div>
    <w:div w:id="1326327086">
      <w:bodyDiv w:val="1"/>
      <w:marLeft w:val="0"/>
      <w:marRight w:val="0"/>
      <w:marTop w:val="0"/>
      <w:marBottom w:val="0"/>
      <w:divBdr>
        <w:top w:val="none" w:sz="0" w:space="0" w:color="auto"/>
        <w:left w:val="none" w:sz="0" w:space="0" w:color="auto"/>
        <w:bottom w:val="none" w:sz="0" w:space="0" w:color="auto"/>
        <w:right w:val="none" w:sz="0" w:space="0" w:color="auto"/>
      </w:divBdr>
    </w:div>
    <w:div w:id="1329671469">
      <w:bodyDiv w:val="1"/>
      <w:marLeft w:val="0"/>
      <w:marRight w:val="0"/>
      <w:marTop w:val="0"/>
      <w:marBottom w:val="0"/>
      <w:divBdr>
        <w:top w:val="none" w:sz="0" w:space="0" w:color="auto"/>
        <w:left w:val="none" w:sz="0" w:space="0" w:color="auto"/>
        <w:bottom w:val="none" w:sz="0" w:space="0" w:color="auto"/>
        <w:right w:val="none" w:sz="0" w:space="0" w:color="auto"/>
      </w:divBdr>
    </w:div>
    <w:div w:id="1338116192">
      <w:bodyDiv w:val="1"/>
      <w:marLeft w:val="0"/>
      <w:marRight w:val="0"/>
      <w:marTop w:val="0"/>
      <w:marBottom w:val="0"/>
      <w:divBdr>
        <w:top w:val="none" w:sz="0" w:space="0" w:color="auto"/>
        <w:left w:val="none" w:sz="0" w:space="0" w:color="auto"/>
        <w:bottom w:val="none" w:sz="0" w:space="0" w:color="auto"/>
        <w:right w:val="none" w:sz="0" w:space="0" w:color="auto"/>
      </w:divBdr>
    </w:div>
    <w:div w:id="1344669518">
      <w:bodyDiv w:val="1"/>
      <w:marLeft w:val="0"/>
      <w:marRight w:val="0"/>
      <w:marTop w:val="0"/>
      <w:marBottom w:val="0"/>
      <w:divBdr>
        <w:top w:val="none" w:sz="0" w:space="0" w:color="auto"/>
        <w:left w:val="none" w:sz="0" w:space="0" w:color="auto"/>
        <w:bottom w:val="none" w:sz="0" w:space="0" w:color="auto"/>
        <w:right w:val="none" w:sz="0" w:space="0" w:color="auto"/>
      </w:divBdr>
    </w:div>
    <w:div w:id="1349675931">
      <w:bodyDiv w:val="1"/>
      <w:marLeft w:val="0"/>
      <w:marRight w:val="0"/>
      <w:marTop w:val="0"/>
      <w:marBottom w:val="0"/>
      <w:divBdr>
        <w:top w:val="none" w:sz="0" w:space="0" w:color="auto"/>
        <w:left w:val="none" w:sz="0" w:space="0" w:color="auto"/>
        <w:bottom w:val="none" w:sz="0" w:space="0" w:color="auto"/>
        <w:right w:val="none" w:sz="0" w:space="0" w:color="auto"/>
      </w:divBdr>
    </w:div>
    <w:div w:id="1356617707">
      <w:bodyDiv w:val="1"/>
      <w:marLeft w:val="0"/>
      <w:marRight w:val="0"/>
      <w:marTop w:val="0"/>
      <w:marBottom w:val="0"/>
      <w:divBdr>
        <w:top w:val="none" w:sz="0" w:space="0" w:color="auto"/>
        <w:left w:val="none" w:sz="0" w:space="0" w:color="auto"/>
        <w:bottom w:val="none" w:sz="0" w:space="0" w:color="auto"/>
        <w:right w:val="none" w:sz="0" w:space="0" w:color="auto"/>
      </w:divBdr>
    </w:div>
    <w:div w:id="1357654143">
      <w:bodyDiv w:val="1"/>
      <w:marLeft w:val="0"/>
      <w:marRight w:val="0"/>
      <w:marTop w:val="0"/>
      <w:marBottom w:val="0"/>
      <w:divBdr>
        <w:top w:val="none" w:sz="0" w:space="0" w:color="auto"/>
        <w:left w:val="none" w:sz="0" w:space="0" w:color="auto"/>
        <w:bottom w:val="none" w:sz="0" w:space="0" w:color="auto"/>
        <w:right w:val="none" w:sz="0" w:space="0" w:color="auto"/>
      </w:divBdr>
    </w:div>
    <w:div w:id="1363752242">
      <w:bodyDiv w:val="1"/>
      <w:marLeft w:val="0"/>
      <w:marRight w:val="0"/>
      <w:marTop w:val="0"/>
      <w:marBottom w:val="0"/>
      <w:divBdr>
        <w:top w:val="none" w:sz="0" w:space="0" w:color="auto"/>
        <w:left w:val="none" w:sz="0" w:space="0" w:color="auto"/>
        <w:bottom w:val="none" w:sz="0" w:space="0" w:color="auto"/>
        <w:right w:val="none" w:sz="0" w:space="0" w:color="auto"/>
      </w:divBdr>
    </w:div>
    <w:div w:id="1365013363">
      <w:bodyDiv w:val="1"/>
      <w:marLeft w:val="0"/>
      <w:marRight w:val="0"/>
      <w:marTop w:val="0"/>
      <w:marBottom w:val="0"/>
      <w:divBdr>
        <w:top w:val="none" w:sz="0" w:space="0" w:color="auto"/>
        <w:left w:val="none" w:sz="0" w:space="0" w:color="auto"/>
        <w:bottom w:val="none" w:sz="0" w:space="0" w:color="auto"/>
        <w:right w:val="none" w:sz="0" w:space="0" w:color="auto"/>
      </w:divBdr>
    </w:div>
    <w:div w:id="1378235578">
      <w:bodyDiv w:val="1"/>
      <w:marLeft w:val="0"/>
      <w:marRight w:val="0"/>
      <w:marTop w:val="0"/>
      <w:marBottom w:val="0"/>
      <w:divBdr>
        <w:top w:val="none" w:sz="0" w:space="0" w:color="auto"/>
        <w:left w:val="none" w:sz="0" w:space="0" w:color="auto"/>
        <w:bottom w:val="none" w:sz="0" w:space="0" w:color="auto"/>
        <w:right w:val="none" w:sz="0" w:space="0" w:color="auto"/>
      </w:divBdr>
    </w:div>
    <w:div w:id="1389838710">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9956503">
      <w:bodyDiv w:val="1"/>
      <w:marLeft w:val="0"/>
      <w:marRight w:val="0"/>
      <w:marTop w:val="0"/>
      <w:marBottom w:val="0"/>
      <w:divBdr>
        <w:top w:val="none" w:sz="0" w:space="0" w:color="auto"/>
        <w:left w:val="none" w:sz="0" w:space="0" w:color="auto"/>
        <w:bottom w:val="none" w:sz="0" w:space="0" w:color="auto"/>
        <w:right w:val="none" w:sz="0" w:space="0" w:color="auto"/>
      </w:divBdr>
    </w:div>
    <w:div w:id="1419593963">
      <w:bodyDiv w:val="1"/>
      <w:marLeft w:val="0"/>
      <w:marRight w:val="0"/>
      <w:marTop w:val="0"/>
      <w:marBottom w:val="0"/>
      <w:divBdr>
        <w:top w:val="none" w:sz="0" w:space="0" w:color="auto"/>
        <w:left w:val="none" w:sz="0" w:space="0" w:color="auto"/>
        <w:bottom w:val="none" w:sz="0" w:space="0" w:color="auto"/>
        <w:right w:val="none" w:sz="0" w:space="0" w:color="auto"/>
      </w:divBdr>
    </w:div>
    <w:div w:id="1425107843">
      <w:bodyDiv w:val="1"/>
      <w:marLeft w:val="0"/>
      <w:marRight w:val="0"/>
      <w:marTop w:val="0"/>
      <w:marBottom w:val="0"/>
      <w:divBdr>
        <w:top w:val="none" w:sz="0" w:space="0" w:color="auto"/>
        <w:left w:val="none" w:sz="0" w:space="0" w:color="auto"/>
        <w:bottom w:val="none" w:sz="0" w:space="0" w:color="auto"/>
        <w:right w:val="none" w:sz="0" w:space="0" w:color="auto"/>
      </w:divBdr>
    </w:div>
    <w:div w:id="1436944715">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9621681">
      <w:bodyDiv w:val="1"/>
      <w:marLeft w:val="0"/>
      <w:marRight w:val="0"/>
      <w:marTop w:val="0"/>
      <w:marBottom w:val="0"/>
      <w:divBdr>
        <w:top w:val="none" w:sz="0" w:space="0" w:color="auto"/>
        <w:left w:val="none" w:sz="0" w:space="0" w:color="auto"/>
        <w:bottom w:val="none" w:sz="0" w:space="0" w:color="auto"/>
        <w:right w:val="none" w:sz="0" w:space="0" w:color="auto"/>
      </w:divBdr>
    </w:div>
    <w:div w:id="1452550605">
      <w:bodyDiv w:val="1"/>
      <w:marLeft w:val="0"/>
      <w:marRight w:val="0"/>
      <w:marTop w:val="0"/>
      <w:marBottom w:val="0"/>
      <w:divBdr>
        <w:top w:val="none" w:sz="0" w:space="0" w:color="auto"/>
        <w:left w:val="none" w:sz="0" w:space="0" w:color="auto"/>
        <w:bottom w:val="none" w:sz="0" w:space="0" w:color="auto"/>
        <w:right w:val="none" w:sz="0" w:space="0" w:color="auto"/>
      </w:divBdr>
    </w:div>
    <w:div w:id="1459639002">
      <w:bodyDiv w:val="1"/>
      <w:marLeft w:val="0"/>
      <w:marRight w:val="0"/>
      <w:marTop w:val="0"/>
      <w:marBottom w:val="0"/>
      <w:divBdr>
        <w:top w:val="none" w:sz="0" w:space="0" w:color="auto"/>
        <w:left w:val="none" w:sz="0" w:space="0" w:color="auto"/>
        <w:bottom w:val="none" w:sz="0" w:space="0" w:color="auto"/>
        <w:right w:val="none" w:sz="0" w:space="0" w:color="auto"/>
      </w:divBdr>
    </w:div>
    <w:div w:id="1463428943">
      <w:bodyDiv w:val="1"/>
      <w:marLeft w:val="0"/>
      <w:marRight w:val="0"/>
      <w:marTop w:val="0"/>
      <w:marBottom w:val="0"/>
      <w:divBdr>
        <w:top w:val="none" w:sz="0" w:space="0" w:color="auto"/>
        <w:left w:val="none" w:sz="0" w:space="0" w:color="auto"/>
        <w:bottom w:val="none" w:sz="0" w:space="0" w:color="auto"/>
        <w:right w:val="none" w:sz="0" w:space="0" w:color="auto"/>
      </w:divBdr>
    </w:div>
    <w:div w:id="1481456888">
      <w:bodyDiv w:val="1"/>
      <w:marLeft w:val="0"/>
      <w:marRight w:val="0"/>
      <w:marTop w:val="0"/>
      <w:marBottom w:val="0"/>
      <w:divBdr>
        <w:top w:val="none" w:sz="0" w:space="0" w:color="auto"/>
        <w:left w:val="none" w:sz="0" w:space="0" w:color="auto"/>
        <w:bottom w:val="none" w:sz="0" w:space="0" w:color="auto"/>
        <w:right w:val="none" w:sz="0" w:space="0" w:color="auto"/>
      </w:divBdr>
    </w:div>
    <w:div w:id="1498305060">
      <w:bodyDiv w:val="1"/>
      <w:marLeft w:val="0"/>
      <w:marRight w:val="0"/>
      <w:marTop w:val="0"/>
      <w:marBottom w:val="0"/>
      <w:divBdr>
        <w:top w:val="none" w:sz="0" w:space="0" w:color="auto"/>
        <w:left w:val="none" w:sz="0" w:space="0" w:color="auto"/>
        <w:bottom w:val="none" w:sz="0" w:space="0" w:color="auto"/>
        <w:right w:val="none" w:sz="0" w:space="0" w:color="auto"/>
      </w:divBdr>
    </w:div>
    <w:div w:id="1503274297">
      <w:bodyDiv w:val="1"/>
      <w:marLeft w:val="0"/>
      <w:marRight w:val="0"/>
      <w:marTop w:val="0"/>
      <w:marBottom w:val="0"/>
      <w:divBdr>
        <w:top w:val="none" w:sz="0" w:space="0" w:color="auto"/>
        <w:left w:val="none" w:sz="0" w:space="0" w:color="auto"/>
        <w:bottom w:val="none" w:sz="0" w:space="0" w:color="auto"/>
        <w:right w:val="none" w:sz="0" w:space="0" w:color="auto"/>
      </w:divBdr>
    </w:div>
    <w:div w:id="1508906446">
      <w:bodyDiv w:val="1"/>
      <w:marLeft w:val="0"/>
      <w:marRight w:val="0"/>
      <w:marTop w:val="0"/>
      <w:marBottom w:val="0"/>
      <w:divBdr>
        <w:top w:val="none" w:sz="0" w:space="0" w:color="auto"/>
        <w:left w:val="none" w:sz="0" w:space="0" w:color="auto"/>
        <w:bottom w:val="none" w:sz="0" w:space="0" w:color="auto"/>
        <w:right w:val="none" w:sz="0" w:space="0" w:color="auto"/>
      </w:divBdr>
    </w:div>
    <w:div w:id="1509977674">
      <w:bodyDiv w:val="1"/>
      <w:marLeft w:val="0"/>
      <w:marRight w:val="0"/>
      <w:marTop w:val="0"/>
      <w:marBottom w:val="0"/>
      <w:divBdr>
        <w:top w:val="none" w:sz="0" w:space="0" w:color="auto"/>
        <w:left w:val="none" w:sz="0" w:space="0" w:color="auto"/>
        <w:bottom w:val="none" w:sz="0" w:space="0" w:color="auto"/>
        <w:right w:val="none" w:sz="0" w:space="0" w:color="auto"/>
      </w:divBdr>
    </w:div>
    <w:div w:id="1519925162">
      <w:bodyDiv w:val="1"/>
      <w:marLeft w:val="0"/>
      <w:marRight w:val="0"/>
      <w:marTop w:val="0"/>
      <w:marBottom w:val="0"/>
      <w:divBdr>
        <w:top w:val="none" w:sz="0" w:space="0" w:color="auto"/>
        <w:left w:val="none" w:sz="0" w:space="0" w:color="auto"/>
        <w:bottom w:val="none" w:sz="0" w:space="0" w:color="auto"/>
        <w:right w:val="none" w:sz="0" w:space="0" w:color="auto"/>
      </w:divBdr>
    </w:div>
    <w:div w:id="1523009603">
      <w:bodyDiv w:val="1"/>
      <w:marLeft w:val="0"/>
      <w:marRight w:val="0"/>
      <w:marTop w:val="0"/>
      <w:marBottom w:val="0"/>
      <w:divBdr>
        <w:top w:val="none" w:sz="0" w:space="0" w:color="auto"/>
        <w:left w:val="none" w:sz="0" w:space="0" w:color="auto"/>
        <w:bottom w:val="none" w:sz="0" w:space="0" w:color="auto"/>
        <w:right w:val="none" w:sz="0" w:space="0" w:color="auto"/>
      </w:divBdr>
    </w:div>
    <w:div w:id="1524591704">
      <w:bodyDiv w:val="1"/>
      <w:marLeft w:val="0"/>
      <w:marRight w:val="0"/>
      <w:marTop w:val="0"/>
      <w:marBottom w:val="0"/>
      <w:divBdr>
        <w:top w:val="none" w:sz="0" w:space="0" w:color="auto"/>
        <w:left w:val="none" w:sz="0" w:space="0" w:color="auto"/>
        <w:bottom w:val="none" w:sz="0" w:space="0" w:color="auto"/>
        <w:right w:val="none" w:sz="0" w:space="0" w:color="auto"/>
      </w:divBdr>
    </w:div>
    <w:div w:id="1526871782">
      <w:bodyDiv w:val="1"/>
      <w:marLeft w:val="0"/>
      <w:marRight w:val="0"/>
      <w:marTop w:val="0"/>
      <w:marBottom w:val="0"/>
      <w:divBdr>
        <w:top w:val="none" w:sz="0" w:space="0" w:color="auto"/>
        <w:left w:val="none" w:sz="0" w:space="0" w:color="auto"/>
        <w:bottom w:val="none" w:sz="0" w:space="0" w:color="auto"/>
        <w:right w:val="none" w:sz="0" w:space="0" w:color="auto"/>
      </w:divBdr>
    </w:div>
    <w:div w:id="1554468060">
      <w:bodyDiv w:val="1"/>
      <w:marLeft w:val="0"/>
      <w:marRight w:val="0"/>
      <w:marTop w:val="0"/>
      <w:marBottom w:val="0"/>
      <w:divBdr>
        <w:top w:val="none" w:sz="0" w:space="0" w:color="auto"/>
        <w:left w:val="none" w:sz="0" w:space="0" w:color="auto"/>
        <w:bottom w:val="none" w:sz="0" w:space="0" w:color="auto"/>
        <w:right w:val="none" w:sz="0" w:space="0" w:color="auto"/>
      </w:divBdr>
    </w:div>
    <w:div w:id="1558660844">
      <w:bodyDiv w:val="1"/>
      <w:marLeft w:val="0"/>
      <w:marRight w:val="0"/>
      <w:marTop w:val="0"/>
      <w:marBottom w:val="0"/>
      <w:divBdr>
        <w:top w:val="none" w:sz="0" w:space="0" w:color="auto"/>
        <w:left w:val="none" w:sz="0" w:space="0" w:color="auto"/>
        <w:bottom w:val="none" w:sz="0" w:space="0" w:color="auto"/>
        <w:right w:val="none" w:sz="0" w:space="0" w:color="auto"/>
      </w:divBdr>
    </w:div>
    <w:div w:id="1573543773">
      <w:bodyDiv w:val="1"/>
      <w:marLeft w:val="0"/>
      <w:marRight w:val="0"/>
      <w:marTop w:val="0"/>
      <w:marBottom w:val="0"/>
      <w:divBdr>
        <w:top w:val="none" w:sz="0" w:space="0" w:color="auto"/>
        <w:left w:val="none" w:sz="0" w:space="0" w:color="auto"/>
        <w:bottom w:val="none" w:sz="0" w:space="0" w:color="auto"/>
        <w:right w:val="none" w:sz="0" w:space="0" w:color="auto"/>
      </w:divBdr>
    </w:div>
    <w:div w:id="1577589758">
      <w:bodyDiv w:val="1"/>
      <w:marLeft w:val="0"/>
      <w:marRight w:val="0"/>
      <w:marTop w:val="0"/>
      <w:marBottom w:val="0"/>
      <w:divBdr>
        <w:top w:val="none" w:sz="0" w:space="0" w:color="auto"/>
        <w:left w:val="none" w:sz="0" w:space="0" w:color="auto"/>
        <w:bottom w:val="none" w:sz="0" w:space="0" w:color="auto"/>
        <w:right w:val="none" w:sz="0" w:space="0" w:color="auto"/>
      </w:divBdr>
    </w:div>
    <w:div w:id="1584798229">
      <w:bodyDiv w:val="1"/>
      <w:marLeft w:val="0"/>
      <w:marRight w:val="0"/>
      <w:marTop w:val="0"/>
      <w:marBottom w:val="0"/>
      <w:divBdr>
        <w:top w:val="none" w:sz="0" w:space="0" w:color="auto"/>
        <w:left w:val="none" w:sz="0" w:space="0" w:color="auto"/>
        <w:bottom w:val="none" w:sz="0" w:space="0" w:color="auto"/>
        <w:right w:val="none" w:sz="0" w:space="0" w:color="auto"/>
      </w:divBdr>
    </w:div>
    <w:div w:id="1585533032">
      <w:bodyDiv w:val="1"/>
      <w:marLeft w:val="0"/>
      <w:marRight w:val="0"/>
      <w:marTop w:val="0"/>
      <w:marBottom w:val="0"/>
      <w:divBdr>
        <w:top w:val="none" w:sz="0" w:space="0" w:color="auto"/>
        <w:left w:val="none" w:sz="0" w:space="0" w:color="auto"/>
        <w:bottom w:val="none" w:sz="0" w:space="0" w:color="auto"/>
        <w:right w:val="none" w:sz="0" w:space="0" w:color="auto"/>
      </w:divBdr>
    </w:div>
    <w:div w:id="1609047130">
      <w:bodyDiv w:val="1"/>
      <w:marLeft w:val="0"/>
      <w:marRight w:val="0"/>
      <w:marTop w:val="0"/>
      <w:marBottom w:val="0"/>
      <w:divBdr>
        <w:top w:val="none" w:sz="0" w:space="0" w:color="auto"/>
        <w:left w:val="none" w:sz="0" w:space="0" w:color="auto"/>
        <w:bottom w:val="none" w:sz="0" w:space="0" w:color="auto"/>
        <w:right w:val="none" w:sz="0" w:space="0" w:color="auto"/>
      </w:divBdr>
    </w:div>
    <w:div w:id="1614705500">
      <w:bodyDiv w:val="1"/>
      <w:marLeft w:val="0"/>
      <w:marRight w:val="0"/>
      <w:marTop w:val="0"/>
      <w:marBottom w:val="0"/>
      <w:divBdr>
        <w:top w:val="none" w:sz="0" w:space="0" w:color="auto"/>
        <w:left w:val="none" w:sz="0" w:space="0" w:color="auto"/>
        <w:bottom w:val="none" w:sz="0" w:space="0" w:color="auto"/>
        <w:right w:val="none" w:sz="0" w:space="0" w:color="auto"/>
      </w:divBdr>
    </w:div>
    <w:div w:id="1615477431">
      <w:bodyDiv w:val="1"/>
      <w:marLeft w:val="0"/>
      <w:marRight w:val="0"/>
      <w:marTop w:val="0"/>
      <w:marBottom w:val="0"/>
      <w:divBdr>
        <w:top w:val="none" w:sz="0" w:space="0" w:color="auto"/>
        <w:left w:val="none" w:sz="0" w:space="0" w:color="auto"/>
        <w:bottom w:val="none" w:sz="0" w:space="0" w:color="auto"/>
        <w:right w:val="none" w:sz="0" w:space="0" w:color="auto"/>
      </w:divBdr>
    </w:div>
    <w:div w:id="1617105606">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35286288">
      <w:bodyDiv w:val="1"/>
      <w:marLeft w:val="0"/>
      <w:marRight w:val="0"/>
      <w:marTop w:val="0"/>
      <w:marBottom w:val="0"/>
      <w:divBdr>
        <w:top w:val="none" w:sz="0" w:space="0" w:color="auto"/>
        <w:left w:val="none" w:sz="0" w:space="0" w:color="auto"/>
        <w:bottom w:val="none" w:sz="0" w:space="0" w:color="auto"/>
        <w:right w:val="none" w:sz="0" w:space="0" w:color="auto"/>
      </w:divBdr>
    </w:div>
    <w:div w:id="1678772412">
      <w:bodyDiv w:val="1"/>
      <w:marLeft w:val="0"/>
      <w:marRight w:val="0"/>
      <w:marTop w:val="0"/>
      <w:marBottom w:val="0"/>
      <w:divBdr>
        <w:top w:val="none" w:sz="0" w:space="0" w:color="auto"/>
        <w:left w:val="none" w:sz="0" w:space="0" w:color="auto"/>
        <w:bottom w:val="none" w:sz="0" w:space="0" w:color="auto"/>
        <w:right w:val="none" w:sz="0" w:space="0" w:color="auto"/>
      </w:divBdr>
    </w:div>
    <w:div w:id="1689720762">
      <w:bodyDiv w:val="1"/>
      <w:marLeft w:val="0"/>
      <w:marRight w:val="0"/>
      <w:marTop w:val="0"/>
      <w:marBottom w:val="0"/>
      <w:divBdr>
        <w:top w:val="none" w:sz="0" w:space="0" w:color="auto"/>
        <w:left w:val="none" w:sz="0" w:space="0" w:color="auto"/>
        <w:bottom w:val="none" w:sz="0" w:space="0" w:color="auto"/>
        <w:right w:val="none" w:sz="0" w:space="0" w:color="auto"/>
      </w:divBdr>
    </w:div>
    <w:div w:id="1712614459">
      <w:bodyDiv w:val="1"/>
      <w:marLeft w:val="0"/>
      <w:marRight w:val="0"/>
      <w:marTop w:val="0"/>
      <w:marBottom w:val="0"/>
      <w:divBdr>
        <w:top w:val="none" w:sz="0" w:space="0" w:color="auto"/>
        <w:left w:val="none" w:sz="0" w:space="0" w:color="auto"/>
        <w:bottom w:val="none" w:sz="0" w:space="0" w:color="auto"/>
        <w:right w:val="none" w:sz="0" w:space="0" w:color="auto"/>
      </w:divBdr>
    </w:div>
    <w:div w:id="1760831840">
      <w:bodyDiv w:val="1"/>
      <w:marLeft w:val="0"/>
      <w:marRight w:val="0"/>
      <w:marTop w:val="0"/>
      <w:marBottom w:val="0"/>
      <w:divBdr>
        <w:top w:val="none" w:sz="0" w:space="0" w:color="auto"/>
        <w:left w:val="none" w:sz="0" w:space="0" w:color="auto"/>
        <w:bottom w:val="none" w:sz="0" w:space="0" w:color="auto"/>
        <w:right w:val="none" w:sz="0" w:space="0" w:color="auto"/>
      </w:divBdr>
    </w:div>
    <w:div w:id="1761176176">
      <w:bodyDiv w:val="1"/>
      <w:marLeft w:val="0"/>
      <w:marRight w:val="0"/>
      <w:marTop w:val="0"/>
      <w:marBottom w:val="0"/>
      <w:divBdr>
        <w:top w:val="none" w:sz="0" w:space="0" w:color="auto"/>
        <w:left w:val="none" w:sz="0" w:space="0" w:color="auto"/>
        <w:bottom w:val="none" w:sz="0" w:space="0" w:color="auto"/>
        <w:right w:val="none" w:sz="0" w:space="0" w:color="auto"/>
      </w:divBdr>
    </w:div>
    <w:div w:id="1762292735">
      <w:bodyDiv w:val="1"/>
      <w:marLeft w:val="0"/>
      <w:marRight w:val="0"/>
      <w:marTop w:val="0"/>
      <w:marBottom w:val="0"/>
      <w:divBdr>
        <w:top w:val="none" w:sz="0" w:space="0" w:color="auto"/>
        <w:left w:val="none" w:sz="0" w:space="0" w:color="auto"/>
        <w:bottom w:val="none" w:sz="0" w:space="0" w:color="auto"/>
        <w:right w:val="none" w:sz="0" w:space="0" w:color="auto"/>
      </w:divBdr>
    </w:div>
    <w:div w:id="1769814923">
      <w:bodyDiv w:val="1"/>
      <w:marLeft w:val="0"/>
      <w:marRight w:val="0"/>
      <w:marTop w:val="0"/>
      <w:marBottom w:val="0"/>
      <w:divBdr>
        <w:top w:val="none" w:sz="0" w:space="0" w:color="auto"/>
        <w:left w:val="none" w:sz="0" w:space="0" w:color="auto"/>
        <w:bottom w:val="none" w:sz="0" w:space="0" w:color="auto"/>
        <w:right w:val="none" w:sz="0" w:space="0" w:color="auto"/>
      </w:divBdr>
    </w:div>
    <w:div w:id="1781149056">
      <w:bodyDiv w:val="1"/>
      <w:marLeft w:val="0"/>
      <w:marRight w:val="0"/>
      <w:marTop w:val="0"/>
      <w:marBottom w:val="0"/>
      <w:divBdr>
        <w:top w:val="none" w:sz="0" w:space="0" w:color="auto"/>
        <w:left w:val="none" w:sz="0" w:space="0" w:color="auto"/>
        <w:bottom w:val="none" w:sz="0" w:space="0" w:color="auto"/>
        <w:right w:val="none" w:sz="0" w:space="0" w:color="auto"/>
      </w:divBdr>
    </w:div>
    <w:div w:id="1795978245">
      <w:bodyDiv w:val="1"/>
      <w:marLeft w:val="0"/>
      <w:marRight w:val="0"/>
      <w:marTop w:val="0"/>
      <w:marBottom w:val="0"/>
      <w:divBdr>
        <w:top w:val="none" w:sz="0" w:space="0" w:color="auto"/>
        <w:left w:val="none" w:sz="0" w:space="0" w:color="auto"/>
        <w:bottom w:val="none" w:sz="0" w:space="0" w:color="auto"/>
        <w:right w:val="none" w:sz="0" w:space="0" w:color="auto"/>
      </w:divBdr>
    </w:div>
    <w:div w:id="1797866223">
      <w:bodyDiv w:val="1"/>
      <w:marLeft w:val="0"/>
      <w:marRight w:val="0"/>
      <w:marTop w:val="0"/>
      <w:marBottom w:val="0"/>
      <w:divBdr>
        <w:top w:val="none" w:sz="0" w:space="0" w:color="auto"/>
        <w:left w:val="none" w:sz="0" w:space="0" w:color="auto"/>
        <w:bottom w:val="none" w:sz="0" w:space="0" w:color="auto"/>
        <w:right w:val="none" w:sz="0" w:space="0" w:color="auto"/>
      </w:divBdr>
    </w:div>
    <w:div w:id="1801998752">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039556">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886714">
      <w:bodyDiv w:val="1"/>
      <w:marLeft w:val="0"/>
      <w:marRight w:val="0"/>
      <w:marTop w:val="0"/>
      <w:marBottom w:val="0"/>
      <w:divBdr>
        <w:top w:val="none" w:sz="0" w:space="0" w:color="auto"/>
        <w:left w:val="none" w:sz="0" w:space="0" w:color="auto"/>
        <w:bottom w:val="none" w:sz="0" w:space="0" w:color="auto"/>
        <w:right w:val="none" w:sz="0" w:space="0" w:color="auto"/>
      </w:divBdr>
    </w:div>
    <w:div w:id="1824656884">
      <w:bodyDiv w:val="1"/>
      <w:marLeft w:val="0"/>
      <w:marRight w:val="0"/>
      <w:marTop w:val="0"/>
      <w:marBottom w:val="0"/>
      <w:divBdr>
        <w:top w:val="none" w:sz="0" w:space="0" w:color="auto"/>
        <w:left w:val="none" w:sz="0" w:space="0" w:color="auto"/>
        <w:bottom w:val="none" w:sz="0" w:space="0" w:color="auto"/>
        <w:right w:val="none" w:sz="0" w:space="0" w:color="auto"/>
      </w:divBdr>
    </w:div>
    <w:div w:id="1838303725">
      <w:bodyDiv w:val="1"/>
      <w:marLeft w:val="0"/>
      <w:marRight w:val="0"/>
      <w:marTop w:val="0"/>
      <w:marBottom w:val="0"/>
      <w:divBdr>
        <w:top w:val="none" w:sz="0" w:space="0" w:color="auto"/>
        <w:left w:val="none" w:sz="0" w:space="0" w:color="auto"/>
        <w:bottom w:val="none" w:sz="0" w:space="0" w:color="auto"/>
        <w:right w:val="none" w:sz="0" w:space="0" w:color="auto"/>
      </w:divBdr>
    </w:div>
    <w:div w:id="1839343036">
      <w:bodyDiv w:val="1"/>
      <w:marLeft w:val="0"/>
      <w:marRight w:val="0"/>
      <w:marTop w:val="0"/>
      <w:marBottom w:val="0"/>
      <w:divBdr>
        <w:top w:val="none" w:sz="0" w:space="0" w:color="auto"/>
        <w:left w:val="none" w:sz="0" w:space="0" w:color="auto"/>
        <w:bottom w:val="none" w:sz="0" w:space="0" w:color="auto"/>
        <w:right w:val="none" w:sz="0" w:space="0" w:color="auto"/>
      </w:divBdr>
    </w:div>
    <w:div w:id="1848516997">
      <w:bodyDiv w:val="1"/>
      <w:marLeft w:val="0"/>
      <w:marRight w:val="0"/>
      <w:marTop w:val="0"/>
      <w:marBottom w:val="0"/>
      <w:divBdr>
        <w:top w:val="none" w:sz="0" w:space="0" w:color="auto"/>
        <w:left w:val="none" w:sz="0" w:space="0" w:color="auto"/>
        <w:bottom w:val="none" w:sz="0" w:space="0" w:color="auto"/>
        <w:right w:val="none" w:sz="0" w:space="0" w:color="auto"/>
      </w:divBdr>
    </w:div>
    <w:div w:id="1851482085">
      <w:bodyDiv w:val="1"/>
      <w:marLeft w:val="0"/>
      <w:marRight w:val="0"/>
      <w:marTop w:val="0"/>
      <w:marBottom w:val="0"/>
      <w:divBdr>
        <w:top w:val="none" w:sz="0" w:space="0" w:color="auto"/>
        <w:left w:val="none" w:sz="0" w:space="0" w:color="auto"/>
        <w:bottom w:val="none" w:sz="0" w:space="0" w:color="auto"/>
        <w:right w:val="none" w:sz="0" w:space="0" w:color="auto"/>
      </w:divBdr>
    </w:div>
    <w:div w:id="1874414609">
      <w:bodyDiv w:val="1"/>
      <w:marLeft w:val="0"/>
      <w:marRight w:val="0"/>
      <w:marTop w:val="0"/>
      <w:marBottom w:val="0"/>
      <w:divBdr>
        <w:top w:val="none" w:sz="0" w:space="0" w:color="auto"/>
        <w:left w:val="none" w:sz="0" w:space="0" w:color="auto"/>
        <w:bottom w:val="none" w:sz="0" w:space="0" w:color="auto"/>
        <w:right w:val="none" w:sz="0" w:space="0" w:color="auto"/>
      </w:divBdr>
    </w:div>
    <w:div w:id="1875312789">
      <w:bodyDiv w:val="1"/>
      <w:marLeft w:val="0"/>
      <w:marRight w:val="0"/>
      <w:marTop w:val="0"/>
      <w:marBottom w:val="0"/>
      <w:divBdr>
        <w:top w:val="none" w:sz="0" w:space="0" w:color="auto"/>
        <w:left w:val="none" w:sz="0" w:space="0" w:color="auto"/>
        <w:bottom w:val="none" w:sz="0" w:space="0" w:color="auto"/>
        <w:right w:val="none" w:sz="0" w:space="0" w:color="auto"/>
      </w:divBdr>
    </w:div>
    <w:div w:id="1879270958">
      <w:bodyDiv w:val="1"/>
      <w:marLeft w:val="0"/>
      <w:marRight w:val="0"/>
      <w:marTop w:val="0"/>
      <w:marBottom w:val="0"/>
      <w:divBdr>
        <w:top w:val="none" w:sz="0" w:space="0" w:color="auto"/>
        <w:left w:val="none" w:sz="0" w:space="0" w:color="auto"/>
        <w:bottom w:val="none" w:sz="0" w:space="0" w:color="auto"/>
        <w:right w:val="none" w:sz="0" w:space="0" w:color="auto"/>
      </w:divBdr>
    </w:div>
    <w:div w:id="1893225928">
      <w:bodyDiv w:val="1"/>
      <w:marLeft w:val="0"/>
      <w:marRight w:val="0"/>
      <w:marTop w:val="0"/>
      <w:marBottom w:val="0"/>
      <w:divBdr>
        <w:top w:val="none" w:sz="0" w:space="0" w:color="auto"/>
        <w:left w:val="none" w:sz="0" w:space="0" w:color="auto"/>
        <w:bottom w:val="none" w:sz="0" w:space="0" w:color="auto"/>
        <w:right w:val="none" w:sz="0" w:space="0" w:color="auto"/>
      </w:divBdr>
    </w:div>
    <w:div w:id="1909266836">
      <w:bodyDiv w:val="1"/>
      <w:marLeft w:val="0"/>
      <w:marRight w:val="0"/>
      <w:marTop w:val="0"/>
      <w:marBottom w:val="0"/>
      <w:divBdr>
        <w:top w:val="none" w:sz="0" w:space="0" w:color="auto"/>
        <w:left w:val="none" w:sz="0" w:space="0" w:color="auto"/>
        <w:bottom w:val="none" w:sz="0" w:space="0" w:color="auto"/>
        <w:right w:val="none" w:sz="0" w:space="0" w:color="auto"/>
      </w:divBdr>
    </w:div>
    <w:div w:id="1916547517">
      <w:bodyDiv w:val="1"/>
      <w:marLeft w:val="0"/>
      <w:marRight w:val="0"/>
      <w:marTop w:val="0"/>
      <w:marBottom w:val="0"/>
      <w:divBdr>
        <w:top w:val="none" w:sz="0" w:space="0" w:color="auto"/>
        <w:left w:val="none" w:sz="0" w:space="0" w:color="auto"/>
        <w:bottom w:val="none" w:sz="0" w:space="0" w:color="auto"/>
        <w:right w:val="none" w:sz="0" w:space="0" w:color="auto"/>
      </w:divBdr>
    </w:div>
    <w:div w:id="1939173976">
      <w:bodyDiv w:val="1"/>
      <w:marLeft w:val="0"/>
      <w:marRight w:val="0"/>
      <w:marTop w:val="0"/>
      <w:marBottom w:val="0"/>
      <w:divBdr>
        <w:top w:val="none" w:sz="0" w:space="0" w:color="auto"/>
        <w:left w:val="none" w:sz="0" w:space="0" w:color="auto"/>
        <w:bottom w:val="none" w:sz="0" w:space="0" w:color="auto"/>
        <w:right w:val="none" w:sz="0" w:space="0" w:color="auto"/>
      </w:divBdr>
    </w:div>
    <w:div w:id="1939554999">
      <w:bodyDiv w:val="1"/>
      <w:marLeft w:val="0"/>
      <w:marRight w:val="0"/>
      <w:marTop w:val="0"/>
      <w:marBottom w:val="0"/>
      <w:divBdr>
        <w:top w:val="none" w:sz="0" w:space="0" w:color="auto"/>
        <w:left w:val="none" w:sz="0" w:space="0" w:color="auto"/>
        <w:bottom w:val="none" w:sz="0" w:space="0" w:color="auto"/>
        <w:right w:val="none" w:sz="0" w:space="0" w:color="auto"/>
      </w:divBdr>
    </w:div>
    <w:div w:id="1939678314">
      <w:bodyDiv w:val="1"/>
      <w:marLeft w:val="0"/>
      <w:marRight w:val="0"/>
      <w:marTop w:val="0"/>
      <w:marBottom w:val="0"/>
      <w:divBdr>
        <w:top w:val="none" w:sz="0" w:space="0" w:color="auto"/>
        <w:left w:val="none" w:sz="0" w:space="0" w:color="auto"/>
        <w:bottom w:val="none" w:sz="0" w:space="0" w:color="auto"/>
        <w:right w:val="none" w:sz="0" w:space="0" w:color="auto"/>
      </w:divBdr>
    </w:div>
    <w:div w:id="1942955262">
      <w:bodyDiv w:val="1"/>
      <w:marLeft w:val="0"/>
      <w:marRight w:val="0"/>
      <w:marTop w:val="0"/>
      <w:marBottom w:val="0"/>
      <w:divBdr>
        <w:top w:val="none" w:sz="0" w:space="0" w:color="auto"/>
        <w:left w:val="none" w:sz="0" w:space="0" w:color="auto"/>
        <w:bottom w:val="none" w:sz="0" w:space="0" w:color="auto"/>
        <w:right w:val="none" w:sz="0" w:space="0" w:color="auto"/>
      </w:divBdr>
    </w:div>
    <w:div w:id="1950893120">
      <w:bodyDiv w:val="1"/>
      <w:marLeft w:val="0"/>
      <w:marRight w:val="0"/>
      <w:marTop w:val="0"/>
      <w:marBottom w:val="0"/>
      <w:divBdr>
        <w:top w:val="none" w:sz="0" w:space="0" w:color="auto"/>
        <w:left w:val="none" w:sz="0" w:space="0" w:color="auto"/>
        <w:bottom w:val="none" w:sz="0" w:space="0" w:color="auto"/>
        <w:right w:val="none" w:sz="0" w:space="0" w:color="auto"/>
      </w:divBdr>
    </w:div>
    <w:div w:id="1978682188">
      <w:bodyDiv w:val="1"/>
      <w:marLeft w:val="0"/>
      <w:marRight w:val="0"/>
      <w:marTop w:val="0"/>
      <w:marBottom w:val="0"/>
      <w:divBdr>
        <w:top w:val="none" w:sz="0" w:space="0" w:color="auto"/>
        <w:left w:val="none" w:sz="0" w:space="0" w:color="auto"/>
        <w:bottom w:val="none" w:sz="0" w:space="0" w:color="auto"/>
        <w:right w:val="none" w:sz="0" w:space="0" w:color="auto"/>
      </w:divBdr>
    </w:div>
    <w:div w:id="1981643564">
      <w:bodyDiv w:val="1"/>
      <w:marLeft w:val="0"/>
      <w:marRight w:val="0"/>
      <w:marTop w:val="0"/>
      <w:marBottom w:val="0"/>
      <w:divBdr>
        <w:top w:val="none" w:sz="0" w:space="0" w:color="auto"/>
        <w:left w:val="none" w:sz="0" w:space="0" w:color="auto"/>
        <w:bottom w:val="none" w:sz="0" w:space="0" w:color="auto"/>
        <w:right w:val="none" w:sz="0" w:space="0" w:color="auto"/>
      </w:divBdr>
    </w:div>
    <w:div w:id="1987852187">
      <w:bodyDiv w:val="1"/>
      <w:marLeft w:val="0"/>
      <w:marRight w:val="0"/>
      <w:marTop w:val="0"/>
      <w:marBottom w:val="0"/>
      <w:divBdr>
        <w:top w:val="none" w:sz="0" w:space="0" w:color="auto"/>
        <w:left w:val="none" w:sz="0" w:space="0" w:color="auto"/>
        <w:bottom w:val="none" w:sz="0" w:space="0" w:color="auto"/>
        <w:right w:val="none" w:sz="0" w:space="0" w:color="auto"/>
      </w:divBdr>
    </w:div>
    <w:div w:id="1993217029">
      <w:bodyDiv w:val="1"/>
      <w:marLeft w:val="0"/>
      <w:marRight w:val="0"/>
      <w:marTop w:val="0"/>
      <w:marBottom w:val="0"/>
      <w:divBdr>
        <w:top w:val="none" w:sz="0" w:space="0" w:color="auto"/>
        <w:left w:val="none" w:sz="0" w:space="0" w:color="auto"/>
        <w:bottom w:val="none" w:sz="0" w:space="0" w:color="auto"/>
        <w:right w:val="none" w:sz="0" w:space="0" w:color="auto"/>
      </w:divBdr>
    </w:div>
    <w:div w:id="2021349816">
      <w:bodyDiv w:val="1"/>
      <w:marLeft w:val="0"/>
      <w:marRight w:val="0"/>
      <w:marTop w:val="0"/>
      <w:marBottom w:val="0"/>
      <w:divBdr>
        <w:top w:val="none" w:sz="0" w:space="0" w:color="auto"/>
        <w:left w:val="none" w:sz="0" w:space="0" w:color="auto"/>
        <w:bottom w:val="none" w:sz="0" w:space="0" w:color="auto"/>
        <w:right w:val="none" w:sz="0" w:space="0" w:color="auto"/>
      </w:divBdr>
    </w:div>
    <w:div w:id="2022588983">
      <w:bodyDiv w:val="1"/>
      <w:marLeft w:val="0"/>
      <w:marRight w:val="0"/>
      <w:marTop w:val="0"/>
      <w:marBottom w:val="0"/>
      <w:divBdr>
        <w:top w:val="none" w:sz="0" w:space="0" w:color="auto"/>
        <w:left w:val="none" w:sz="0" w:space="0" w:color="auto"/>
        <w:bottom w:val="none" w:sz="0" w:space="0" w:color="auto"/>
        <w:right w:val="none" w:sz="0" w:space="0" w:color="auto"/>
      </w:divBdr>
    </w:div>
    <w:div w:id="2038433227">
      <w:bodyDiv w:val="1"/>
      <w:marLeft w:val="0"/>
      <w:marRight w:val="0"/>
      <w:marTop w:val="0"/>
      <w:marBottom w:val="0"/>
      <w:divBdr>
        <w:top w:val="none" w:sz="0" w:space="0" w:color="auto"/>
        <w:left w:val="none" w:sz="0" w:space="0" w:color="auto"/>
        <w:bottom w:val="none" w:sz="0" w:space="0" w:color="auto"/>
        <w:right w:val="none" w:sz="0" w:space="0" w:color="auto"/>
      </w:divBdr>
    </w:div>
    <w:div w:id="2044091798">
      <w:bodyDiv w:val="1"/>
      <w:marLeft w:val="0"/>
      <w:marRight w:val="0"/>
      <w:marTop w:val="0"/>
      <w:marBottom w:val="0"/>
      <w:divBdr>
        <w:top w:val="none" w:sz="0" w:space="0" w:color="auto"/>
        <w:left w:val="none" w:sz="0" w:space="0" w:color="auto"/>
        <w:bottom w:val="none" w:sz="0" w:space="0" w:color="auto"/>
        <w:right w:val="none" w:sz="0" w:space="0" w:color="auto"/>
      </w:divBdr>
    </w:div>
    <w:div w:id="2058890646">
      <w:bodyDiv w:val="1"/>
      <w:marLeft w:val="0"/>
      <w:marRight w:val="0"/>
      <w:marTop w:val="0"/>
      <w:marBottom w:val="0"/>
      <w:divBdr>
        <w:top w:val="none" w:sz="0" w:space="0" w:color="auto"/>
        <w:left w:val="none" w:sz="0" w:space="0" w:color="auto"/>
        <w:bottom w:val="none" w:sz="0" w:space="0" w:color="auto"/>
        <w:right w:val="none" w:sz="0" w:space="0" w:color="auto"/>
      </w:divBdr>
    </w:div>
    <w:div w:id="2059742369">
      <w:bodyDiv w:val="1"/>
      <w:marLeft w:val="0"/>
      <w:marRight w:val="0"/>
      <w:marTop w:val="0"/>
      <w:marBottom w:val="0"/>
      <w:divBdr>
        <w:top w:val="none" w:sz="0" w:space="0" w:color="auto"/>
        <w:left w:val="none" w:sz="0" w:space="0" w:color="auto"/>
        <w:bottom w:val="none" w:sz="0" w:space="0" w:color="auto"/>
        <w:right w:val="none" w:sz="0" w:space="0" w:color="auto"/>
      </w:divBdr>
    </w:div>
    <w:div w:id="2067028542">
      <w:bodyDiv w:val="1"/>
      <w:marLeft w:val="0"/>
      <w:marRight w:val="0"/>
      <w:marTop w:val="0"/>
      <w:marBottom w:val="0"/>
      <w:divBdr>
        <w:top w:val="none" w:sz="0" w:space="0" w:color="auto"/>
        <w:left w:val="none" w:sz="0" w:space="0" w:color="auto"/>
        <w:bottom w:val="none" w:sz="0" w:space="0" w:color="auto"/>
        <w:right w:val="none" w:sz="0" w:space="0" w:color="auto"/>
      </w:divBdr>
    </w:div>
    <w:div w:id="2074935763">
      <w:bodyDiv w:val="1"/>
      <w:marLeft w:val="0"/>
      <w:marRight w:val="0"/>
      <w:marTop w:val="0"/>
      <w:marBottom w:val="0"/>
      <w:divBdr>
        <w:top w:val="none" w:sz="0" w:space="0" w:color="auto"/>
        <w:left w:val="none" w:sz="0" w:space="0" w:color="auto"/>
        <w:bottom w:val="none" w:sz="0" w:space="0" w:color="auto"/>
        <w:right w:val="none" w:sz="0" w:space="0" w:color="auto"/>
      </w:divBdr>
    </w:div>
    <w:div w:id="208387308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2.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r w:rsidRPr="0069507A">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r w:rsidRPr="00561874">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r w:rsidRPr="00D1240B">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0A0C3B" w:rsidRDefault="007154C5">
          <w:r w:rsidRPr="00812B14">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0A0C3B" w:rsidRDefault="007154C5">
          <w:r w:rsidRPr="00812B14">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0A0C3B" w:rsidRDefault="007154C5">
          <w:r w:rsidRPr="00812B14">
            <w:t>[Title]</w:t>
          </w:r>
        </w:p>
      </w:docPartBody>
    </w:docPart>
    <w:docPart>
      <w:docPartPr>
        <w:name w:val="30CB27CBF28C4D2FBF0903761E9BCFB8"/>
        <w:category>
          <w:name w:val="General"/>
          <w:gallery w:val="placeholder"/>
        </w:category>
        <w:types>
          <w:type w:val="bbPlcHdr"/>
        </w:types>
        <w:behaviors>
          <w:behavior w:val="content"/>
        </w:behaviors>
        <w:guid w:val="{14BEFC57-22AC-426B-AFBE-6BACEB08906E}"/>
      </w:docPartPr>
      <w:docPartBody>
        <w:p w:rsidR="00252452" w:rsidRDefault="00972B41" w:rsidP="00972B41">
          <w:pPr>
            <w:pStyle w:val="30CB27CBF28C4D2FBF0903761E9BCFB8"/>
          </w:pPr>
          <w:r w:rsidRPr="00561874">
            <w:t>[Title]</w:t>
          </w:r>
        </w:p>
      </w:docPartBody>
    </w:docPart>
    <w:docPart>
      <w:docPartPr>
        <w:name w:val="3E5B43D4E703445285DC56911DA95DBF"/>
        <w:category>
          <w:name w:val="General"/>
          <w:gallery w:val="placeholder"/>
        </w:category>
        <w:types>
          <w:type w:val="bbPlcHdr"/>
        </w:types>
        <w:behaviors>
          <w:behavior w:val="content"/>
        </w:behaviors>
        <w:guid w:val="{7526907D-2838-43FE-852F-110E4F3111B1}"/>
      </w:docPartPr>
      <w:docPartBody>
        <w:p w:rsidR="00252452" w:rsidRDefault="00972B41" w:rsidP="00972B41">
          <w:pPr>
            <w:pStyle w:val="3E5B43D4E703445285DC56911DA95DBF"/>
          </w:pPr>
          <w:r w:rsidRPr="00D1240B">
            <w:t>[Status]</w:t>
          </w:r>
        </w:p>
      </w:docPartBody>
    </w:docPart>
    <w:docPart>
      <w:docPartPr>
        <w:name w:val="7B9BDFF14BD54958B10F73A803ABCB8B"/>
        <w:category>
          <w:name w:val="General"/>
          <w:gallery w:val="placeholder"/>
        </w:category>
        <w:types>
          <w:type w:val="bbPlcHdr"/>
        </w:types>
        <w:behaviors>
          <w:behavior w:val="content"/>
        </w:behaviors>
        <w:guid w:val="{2779649A-CEF4-4E60-A3A4-75CCBEDC24FA}"/>
      </w:docPartPr>
      <w:docPartBody>
        <w:p w:rsidR="00252452" w:rsidRDefault="00972B41" w:rsidP="00972B41">
          <w:pPr>
            <w:pStyle w:val="7B9BDFF14BD54958B10F73A803ABCB8B"/>
          </w:pPr>
          <w:r w:rsidRPr="00812B14">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0C3B"/>
    <w:rsid w:val="000C66C3"/>
    <w:rsid w:val="00164B5A"/>
    <w:rsid w:val="00252452"/>
    <w:rsid w:val="002550FD"/>
    <w:rsid w:val="00267A76"/>
    <w:rsid w:val="00323ABF"/>
    <w:rsid w:val="00350199"/>
    <w:rsid w:val="00560B37"/>
    <w:rsid w:val="005E3E71"/>
    <w:rsid w:val="007154C5"/>
    <w:rsid w:val="00780C80"/>
    <w:rsid w:val="007816F3"/>
    <w:rsid w:val="007C22DC"/>
    <w:rsid w:val="00835E07"/>
    <w:rsid w:val="009455E4"/>
    <w:rsid w:val="00972B41"/>
    <w:rsid w:val="00CA10A9"/>
    <w:rsid w:val="00CA38B4"/>
    <w:rsid w:val="00CD10A9"/>
    <w:rsid w:val="00D75606"/>
    <w:rsid w:val="00DA3029"/>
    <w:rsid w:val="00DB4022"/>
    <w:rsid w:val="00DD7BA4"/>
    <w:rsid w:val="00E24D23"/>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0C80"/>
    <w:rPr>
      <w:color w:val="808080"/>
    </w:rPr>
  </w:style>
  <w:style w:type="paragraph" w:customStyle="1" w:styleId="30CB27CBF28C4D2FBF0903761E9BCFB8">
    <w:name w:val="30CB27CBF28C4D2FBF0903761E9BCFB8"/>
    <w:rsid w:val="00972B41"/>
  </w:style>
  <w:style w:type="paragraph" w:customStyle="1" w:styleId="3E5B43D4E703445285DC56911DA95DBF">
    <w:name w:val="3E5B43D4E703445285DC56911DA95DBF"/>
    <w:rsid w:val="00972B41"/>
  </w:style>
  <w:style w:type="paragraph" w:customStyle="1" w:styleId="7B9BDFF14BD54958B10F73A803ABCB8B">
    <w:name w:val="7B9BDFF14BD54958B10F73A803ABCB8B"/>
    <w:rsid w:val="00972B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ONR173</b:Tag>
    <b:SourceType>InternetSite</b:SourceType>
    <b:Guid>{7BDAD661-3836-42E1-8B27-5F7641F714A5}</b:Guid>
    <b:Title>Security Assessment Principles (SyAPs) for the Civil Nuclear Industry</b:Title>
    <b:Year>2017</b:Year>
    <b:Author>
      <b:Author>
        <b:Corporate>ONR</b:Corporate>
      </b:Author>
    </b:Author>
    <b:URL>https://www.onr.org.uk/publications/regulatory-guidance/regulatory-assessment-and-permissioning/security-assessment-principles-syaps/security-assessment-principles-syaps/</b:URL>
    <b:RefOrder>1</b:RefOrder>
  </b:Source>
  <b:Source>
    <b:Tag>HMG032</b:Tag>
    <b:SourceType>InternetSite</b:SourceType>
    <b:Guid>{A74F3F71-0738-4894-877C-ECC12B2EF3BB}</b:Guid>
    <b:Author>
      <b:Author>
        <b:Corporate>HM Government</b:Corporate>
      </b:Author>
    </b:Author>
    <b:Title>The Nuclear Industries Security Regulations 2003 (NISR)</b:Title>
    <b:Year>2003</b:Year>
    <b:URL>https://www.legislation.gov.uk/uksi/2003/403/contents/made</b:URL>
    <b:RefOrder>2</b:RefOrder>
  </b:Source>
  <b:Source>
    <b:Tag>IAE19</b:Tag>
    <b:SourceType>Misc</b:SourceType>
    <b:Guid>{9836CB20-8561-420A-8596-CDB6A8103107}</b:Guid>
    <b:Author>
      <b:Author>
        <b:Corporate>IAEA</b:Corporate>
      </b:Author>
    </b:Author>
    <b:Title>Convention on the Physical Protection of Nuclear Material (CPPNM)</b:Title>
    <b:URL>https://www.iaea.org/publications/documents/conventions/convention-physical-protection-nuclear-material-and-its-amendment</b:URL>
    <b:Year>1979</b:Year>
    <b:RefOrder>3</b:RefOrder>
  </b:Source>
  <b:Source>
    <b:Tag>IAE13</b:Tag>
    <b:SourceType>InternetSite</b:SourceType>
    <b:Guid>{20241FB2-2B31-421A-9CAC-98E97EE757BA}</b:Guid>
    <b:Author>
      <b:Author>
        <b:Corporate>IAEA</b:Corporate>
      </b:Author>
    </b:Author>
    <b:Title>Nuclear Security Series No. 20 - Objective and Essential Elements of a State’s Nuclear Security Regime, Nuclear Security Fundamentals</b:Title>
    <b:Year>2013</b:Year>
    <b:URL>https://www.iaea.org/publications/10353/objective-and-essential-elements-of-a-states-nuclear-security-regime</b:URL>
    <b:RefOrder>4</b:RefOrder>
  </b:Source>
  <b:Source>
    <b:Tag>IAE112</b:Tag>
    <b:SourceType>DocumentFromInternetSite</b:SourceType>
    <b:Guid>{163DF816-1EF7-4A06-BBF6-FA1B64C9FD48}</b:Guid>
    <b:Author>
      <b:Author>
        <b:Corporate>IAEA</b:Corporate>
      </b:Author>
    </b:Author>
    <b:Title>Nuclear Security Series No. 13 - Nuclear Security Recommendations on Physical Protection of Nuclear Material and Nuclear Facilities (INFCIRC/225/Revision 5)</b:Title>
    <b:Year>2011</b:Year>
    <b:URL>https://www-pub.iaea.org/MTCD/Publications/PDF/Pub1481_web.pdf</b:URL>
    <b:RefOrder>5</b:RefOrder>
  </b:Source>
  <b:Source>
    <b:Tag>HMG22</b:Tag>
    <b:SourceType>InternetSite</b:SourceType>
    <b:Guid>{A4B07F30-10BB-4385-8ACD-84D407B1FDD4}</b:Guid>
    <b:Author>
      <b:Author>
        <b:Corporate>HM Government</b:Corporate>
      </b:Author>
    </b:Author>
    <b:Title>Security Policy Framework (Issue 1.3)</b:Title>
    <b:Year>2022</b:Year>
    <b:Month>December</b:Month>
    <b:URL>https://www.gov.uk/government/publications/security-policy-framework/hmg-security-policy-framework</b:URL>
    <b:RefOrder>6</b:RefOrder>
  </b:Source>
  <b:Source>
    <b:Tag>ONR227</b:Tag>
    <b:SourceType>DocumentFromInternetSite</b:SourceType>
    <b:Guid>{6729FAD3-91BA-4AEE-9FCF-2A0BBB380716}</b:Guid>
    <b:Author>
      <b:Author>
        <b:Corporate>ONR</b:Corporate>
      </b:Author>
    </b:Author>
    <b:Title>ONR-CNSS-POL-001 - NISR 2013 Classification Policy for the Civl Nuclear Industry</b:Title>
    <b:Year>2021</b:Year>
    <b:Month>November</b:Month>
    <b:URL>https://www.onr.org.uk/documents/classification-policy.pdf</b:URL>
    <b:RefOrder>7</b:RefOrder>
  </b:Source>
  <b:Source>
    <b:Tag>ONR484</b:Tag>
    <b:SourceType>ElectronicSource</b:SourceType>
    <b:Guid>{AC50599D-56A2-4F38-A1CB-DD33E26C8108}</b:Guid>
    <b:Author>
      <b:Author>
        <b:Corporate>ONR</b:Corporate>
      </b:Author>
    </b:Author>
    <b:Title>CNS-TAST-GD-10.2 - Testing and Exercising the Security Response</b:Title>
    <b:RefOrder>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F07A12C-F7D6-47B1-A7A6-B2DFF50B6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24</Pages>
  <Words>6006</Words>
  <Characters>33694</Characters>
  <Application>Microsoft Office Word</Application>
  <DocSecurity>4</DocSecurity>
  <Lines>635</Lines>
  <Paragraphs>307</Paragraphs>
  <ScaleCrop>false</ScaleCrop>
  <HeadingPairs>
    <vt:vector size="2" baseType="variant">
      <vt:variant>
        <vt:lpstr>Title</vt:lpstr>
      </vt:variant>
      <vt:variant>
        <vt:i4>1</vt:i4>
      </vt:variant>
    </vt:vector>
  </HeadingPairs>
  <TitlesOfParts>
    <vt:vector size="1" baseType="lpstr">
      <vt:lpstr>Counter terrorism (CT) measures and emergency preparedness and response (EP&amp;R) planning arrangements</vt:lpstr>
    </vt:vector>
  </TitlesOfParts>
  <Manager>Office for Nuclear Regulation</Manager>
  <Company>Office for Nuclear Regulation</Company>
  <LinksUpToDate>false</LinksUpToDate>
  <CharactersWithSpaces>39393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Counter terrorism (CT) measures and emergency preparedness and response (EP&amp;R) planning arrangements</dc:title>
  <dc:subject>[Subtitle or description]</dc:subject>
  <dc:creator>Liam Dunning</dc:creator>
  <cp:keywords>[Key words separated by commas]</cp:keywords>
  <dc:description/>
  <cp:lastModifiedBy>Steve McCabe</cp:lastModifiedBy>
  <cp:revision>2</cp:revision>
  <cp:lastPrinted>2016-11-28T11:35:00Z</cp:lastPrinted>
  <dcterms:created xsi:type="dcterms:W3CDTF">2024-09-10T09:48:00Z</dcterms:created>
  <dcterms:modified xsi:type="dcterms:W3CDTF">2024-09-10T09:48:00Z</dcterms:modified>
  <cp:contentStatus>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