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CAC96" w14:textId="4C182677" w:rsidR="00763DD5" w:rsidRDefault="00763DD5" w:rsidP="00763DD5">
      <w:pPr>
        <w:pStyle w:val="InnerCoverTitle"/>
        <w:rPr>
          <w:sz w:val="36"/>
          <w:szCs w:val="36"/>
        </w:rPr>
      </w:pPr>
      <w:r>
        <w:rPr>
          <w:noProof/>
        </w:rPr>
        <w:drawing>
          <wp:anchor distT="0" distB="0" distL="114300" distR="114300" simplePos="0" relativeHeight="251659264" behindDoc="1" locked="0" layoutInCell="1" allowOverlap="1" wp14:anchorId="5588756D" wp14:editId="0B39E7F6">
            <wp:simplePos x="0" y="0"/>
            <wp:positionH relativeFrom="page">
              <wp:align>left</wp:align>
            </wp:positionH>
            <wp:positionV relativeFrom="page">
              <wp:posOffset>4763</wp:posOffset>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C005C" w14:textId="77777777" w:rsidR="00763DD5" w:rsidRDefault="00763DD5" w:rsidP="00763DD5">
      <w:pPr>
        <w:pStyle w:val="InnerCoverTitle"/>
        <w:rPr>
          <w:sz w:val="36"/>
          <w:szCs w:val="36"/>
        </w:rPr>
      </w:pPr>
    </w:p>
    <w:p w14:paraId="007EF715" w14:textId="31DD2F73" w:rsidR="00763DD5" w:rsidRDefault="00763DD5" w:rsidP="00763DD5">
      <w:pPr>
        <w:pStyle w:val="InnerCoverTitle"/>
        <w:rPr>
          <w:sz w:val="36"/>
          <w:szCs w:val="36"/>
        </w:rPr>
      </w:pPr>
      <w:r w:rsidRPr="0070097A">
        <w:rPr>
          <w:noProof/>
          <w:color w:val="006666"/>
          <w:sz w:val="36"/>
          <w:szCs w:val="36"/>
          <w14:ligatures w14:val="standardContextual"/>
        </w:rPr>
        <mc:AlternateContent>
          <mc:Choice Requires="wps">
            <w:drawing>
              <wp:anchor distT="0" distB="0" distL="114300" distR="114300" simplePos="0" relativeHeight="251660288" behindDoc="0" locked="0" layoutInCell="1" allowOverlap="1" wp14:anchorId="0D722463" wp14:editId="42B71A26">
                <wp:simplePos x="0" y="0"/>
                <wp:positionH relativeFrom="column">
                  <wp:posOffset>-218758</wp:posOffset>
                </wp:positionH>
                <wp:positionV relativeFrom="paragraph">
                  <wp:posOffset>153035</wp:posOffset>
                </wp:positionV>
                <wp:extent cx="5953125" cy="2271713"/>
                <wp:effectExtent l="19050" t="19050" r="28575" b="14605"/>
                <wp:wrapNone/>
                <wp:docPr id="1717213300" name="Rectangle 1"/>
                <wp:cNvGraphicFramePr/>
                <a:graphic xmlns:a="http://schemas.openxmlformats.org/drawingml/2006/main">
                  <a:graphicData uri="http://schemas.microsoft.com/office/word/2010/wordprocessingShape">
                    <wps:wsp>
                      <wps:cNvSpPr/>
                      <wps:spPr>
                        <a:xfrm>
                          <a:off x="0" y="0"/>
                          <a:ext cx="5953125" cy="2271713"/>
                        </a:xfrm>
                        <a:prstGeom prst="rect">
                          <a:avLst/>
                        </a:prstGeom>
                        <a:noFill/>
                        <a:ln w="38100">
                          <a:solidFill>
                            <a:srgbClr val="00666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9A548" id="Rectangle 1" o:spid="_x0000_s1026" style="position:absolute;margin-left:-17.25pt;margin-top:12.05pt;width:468.75pt;height:178.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" filled="f" strokecolor="#066" strokeweight="3pt"/>
            </w:pict>
          </mc:Fallback>
        </mc:AlternateContent>
      </w:r>
    </w:p>
    <w:p w14:paraId="75D9F67E" w14:textId="6FE6B371" w:rsidR="00763DD5" w:rsidRPr="00595C8C" w:rsidRDefault="00763DD5" w:rsidP="00763DD5">
      <w:pPr>
        <w:pStyle w:val="InnerCoverTitle"/>
        <w:rPr>
          <w:sz w:val="36"/>
          <w:szCs w:val="36"/>
        </w:rPr>
      </w:pPr>
      <w:r w:rsidRPr="00595C8C">
        <w:rPr>
          <w:sz w:val="36"/>
          <w:szCs w:val="36"/>
        </w:rPr>
        <w:t xml:space="preserve">ONR </w:t>
      </w:r>
      <w:r>
        <w:rPr>
          <w:sz w:val="36"/>
          <w:szCs w:val="36"/>
        </w:rPr>
        <w:t>Technical Assessment Guide</w:t>
      </w:r>
    </w:p>
    <w:p w14:paraId="75D4DDD7" w14:textId="6A752DB8" w:rsidR="00763DD5" w:rsidRDefault="00D36697" w:rsidP="00763DD5">
      <w:pPr>
        <w:pStyle w:val="InnerCoverTitle"/>
        <w:rPr>
          <w:sz w:val="36"/>
          <w:szCs w:val="36"/>
        </w:rPr>
      </w:pPr>
      <w:sdt>
        <w:sdtPr>
          <w:rPr>
            <w:sz w:val="52"/>
            <w:szCs w:val="52"/>
          </w:rPr>
          <w:id w:val="-1390414897"/>
          <w:placeholder>
            <w:docPart w:val="867E3D755F8546AFA454268A5D014A97"/>
          </w:placeholder>
        </w:sdtPr>
        <w:sdtEndPr>
          <w:rPr>
            <w:sz w:val="72"/>
            <w:szCs w:val="72"/>
          </w:rPr>
        </w:sdtEndPr>
        <w:sdtContent>
          <w:sdt>
            <w:sdtPr>
              <w:rPr>
                <w:b/>
                <w:bCs/>
                <w:color w:val="auto"/>
                <w:sz w:val="52"/>
                <w:szCs w:val="52"/>
              </w:rPr>
              <w:alias w:val="Document Title"/>
              <w:tag w:val=""/>
              <w:id w:val="-1494330508"/>
              <w:placeholder>
                <w:docPart w:val="3FA8F18F6F35468A8139F446B824BC37"/>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763DD5" w:rsidRPr="00763DD5">
                <w:rPr>
                  <w:b/>
                  <w:bCs/>
                  <w:color w:val="auto"/>
                  <w:sz w:val="52"/>
                  <w:szCs w:val="52"/>
                </w:rPr>
                <w:t>Organisational Learning For Security</w:t>
              </w:r>
            </w:sdtContent>
          </w:sdt>
        </w:sdtContent>
      </w:sdt>
    </w:p>
    <w:p w14:paraId="3D5D39D3" w14:textId="77777777" w:rsidR="00763DD5" w:rsidRDefault="00763DD5" w:rsidP="00763DD5">
      <w:pPr>
        <w:pStyle w:val="InnerCoverTitle"/>
        <w:rPr>
          <w:sz w:val="36"/>
          <w:szCs w:val="36"/>
        </w:rPr>
      </w:pPr>
    </w:p>
    <w:p w14:paraId="424BE38D" w14:textId="77777777" w:rsidR="00763DD5" w:rsidRDefault="00763DD5">
      <w:pPr>
        <w:spacing w:after="160" w:line="259" w:lineRule="auto"/>
        <w:rPr>
          <w:sz w:val="72"/>
          <w:szCs w:val="72"/>
        </w:rPr>
      </w:pPr>
      <w:r>
        <w:rPr>
          <w:sz w:val="72"/>
          <w:szCs w:val="72"/>
        </w:rPr>
        <w:br w:type="page"/>
      </w:r>
    </w:p>
    <w:p w14:paraId="5057A558" w14:textId="77777777" w:rsidR="00763DD5" w:rsidRPr="00136064" w:rsidRDefault="00763DD5" w:rsidP="00763DD5">
      <w:pPr>
        <w:rPr>
          <w:color w:val="22413A"/>
          <w:sz w:val="36"/>
          <w:szCs w:val="36"/>
        </w:rPr>
      </w:pPr>
      <w:r w:rsidRPr="00136064">
        <w:rPr>
          <w:color w:val="22413A"/>
          <w:sz w:val="36"/>
          <w:szCs w:val="36"/>
        </w:rPr>
        <w:lastRenderedPageBreak/>
        <w:t>ONR Technical Assessment Guide (TAG)</w:t>
      </w:r>
    </w:p>
    <w:p w14:paraId="4D6F0BAB" w14:textId="73704F4C" w:rsidR="00763DD5" w:rsidRPr="00F63AA5" w:rsidRDefault="00D36697" w:rsidP="00763DD5">
      <w:pPr>
        <w:rPr>
          <w:sz w:val="18"/>
          <w:szCs w:val="16"/>
        </w:rPr>
      </w:pPr>
      <w:sdt>
        <w:sdtPr>
          <w:rPr>
            <w:rStyle w:val="Style2"/>
          </w:rPr>
          <w:alias w:val="Title"/>
          <w:tag w:val=""/>
          <w:id w:val="1635287648"/>
          <w:placeholder>
            <w:docPart w:val="18DF7211CFFB4F8F89E23820801D21B5"/>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63DD5">
            <w:rPr>
              <w:rStyle w:val="Style2"/>
            </w:rPr>
            <w:t>Organisational Learning For Security</w:t>
          </w:r>
        </w:sdtContent>
      </w:sdt>
    </w:p>
    <w:p w14:paraId="381F6BC6" w14:textId="5A843D4A" w:rsidR="00763DD5" w:rsidRDefault="00763DD5" w:rsidP="00763DD5">
      <w:pPr>
        <w:rPr>
          <w:sz w:val="28"/>
          <w:szCs w:val="28"/>
        </w:rPr>
      </w:pPr>
      <w:r>
        <w:rPr>
          <w:b/>
          <w:bCs/>
          <w:sz w:val="28"/>
          <w:szCs w:val="28"/>
        </w:rPr>
        <w:t>Head of Profession</w:t>
      </w:r>
      <w:r>
        <w:rPr>
          <w:sz w:val="28"/>
          <w:szCs w:val="28"/>
        </w:rPr>
        <w:t xml:space="preserve">: </w:t>
      </w:r>
      <w:r w:rsidR="002A5506">
        <w:rPr>
          <w:sz w:val="28"/>
          <w:szCs w:val="28"/>
        </w:rPr>
        <w:t>Protective Security</w:t>
      </w:r>
      <w:r>
        <w:rPr>
          <w:sz w:val="28"/>
          <w:szCs w:val="28"/>
        </w:rPr>
        <w:t xml:space="preserve"> </w:t>
      </w:r>
    </w:p>
    <w:p w14:paraId="28765DCD" w14:textId="77777777" w:rsidR="00763DD5" w:rsidRDefault="00763DD5" w:rsidP="00763DD5">
      <w:pPr>
        <w:rPr>
          <w:sz w:val="28"/>
          <w:szCs w:val="28"/>
        </w:rPr>
      </w:pPr>
    </w:p>
    <w:p w14:paraId="5FF95744" w14:textId="7B057C15" w:rsidR="00763DD5" w:rsidRPr="002D5F2E" w:rsidRDefault="00763DD5" w:rsidP="00763DD5">
      <w:pPr>
        <w:rPr>
          <w:szCs w:val="24"/>
        </w:rPr>
      </w:pPr>
      <w:r w:rsidRPr="002D5F2E">
        <w:rPr>
          <w:b/>
          <w:bCs/>
          <w:szCs w:val="24"/>
        </w:rPr>
        <w:t>Authored by</w:t>
      </w:r>
      <w:r w:rsidRPr="002D5F2E">
        <w:rPr>
          <w:szCs w:val="24"/>
        </w:rPr>
        <w:t xml:space="preserve">: </w:t>
      </w:r>
      <w:r w:rsidR="00C23B42">
        <w:rPr>
          <w:szCs w:val="24"/>
        </w:rPr>
        <w:t>Inspector</w:t>
      </w:r>
      <w:r w:rsidR="006F4809">
        <w:rPr>
          <w:szCs w:val="24"/>
        </w:rPr>
        <w:t xml:space="preserve"> </w:t>
      </w:r>
    </w:p>
    <w:p w14:paraId="7B95A4B7" w14:textId="4D519940" w:rsidR="00763DD5" w:rsidRPr="002D5F2E" w:rsidRDefault="00763DD5" w:rsidP="00763DD5">
      <w:pPr>
        <w:rPr>
          <w:szCs w:val="24"/>
        </w:rPr>
      </w:pPr>
      <w:r w:rsidRPr="002D5F2E">
        <w:rPr>
          <w:b/>
          <w:bCs/>
          <w:szCs w:val="24"/>
        </w:rPr>
        <w:t>Approved by</w:t>
      </w:r>
      <w:r w:rsidRPr="002D5F2E">
        <w:rPr>
          <w:szCs w:val="24"/>
        </w:rPr>
        <w:t xml:space="preserve">: </w:t>
      </w:r>
      <w:r w:rsidR="004D0BF8">
        <w:rPr>
          <w:szCs w:val="24"/>
        </w:rPr>
        <w:t>Head of Profession</w:t>
      </w:r>
      <w:r w:rsidR="002A5506">
        <w:rPr>
          <w:szCs w:val="24"/>
        </w:rPr>
        <w:t xml:space="preserve"> – Protective Security</w:t>
      </w:r>
    </w:p>
    <w:p w14:paraId="36DCF897" w14:textId="0F21C5D7" w:rsidR="00763DD5" w:rsidRPr="002D5F2E" w:rsidRDefault="00763DD5" w:rsidP="00763DD5">
      <w:pPr>
        <w:rPr>
          <w:szCs w:val="24"/>
        </w:rPr>
      </w:pPr>
      <w:r w:rsidRPr="002D5F2E">
        <w:rPr>
          <w:b/>
          <w:bCs/>
          <w:szCs w:val="24"/>
        </w:rPr>
        <w:t>Issue</w:t>
      </w:r>
      <w:r w:rsidRPr="002D5F2E">
        <w:rPr>
          <w:szCs w:val="24"/>
        </w:rPr>
        <w:t xml:space="preserve">: </w:t>
      </w:r>
      <w:sdt>
        <w:sdtPr>
          <w:rPr>
            <w:szCs w:val="24"/>
          </w:rPr>
          <w:alias w:val="Issue No."/>
          <w:tag w:val=""/>
          <w:id w:val="-894428327"/>
          <w:placeholder>
            <w:docPart w:val="6624F1E9AA814A3AA61150F034FE301D"/>
          </w:placeholder>
          <w:dataBinding w:prefixMappings="xmlns:ns0='http://purl.org/dc/elements/1.1/' xmlns:ns1='http://schemas.openxmlformats.org/package/2006/metadata/core-properties' " w:xpath="/ns1:coreProperties[1]/ns1:contentStatus[1]" w:storeItemID="{6C3C8BC8-F283-45AE-878A-BAB7291924A1}"/>
          <w:text/>
        </w:sdtPr>
        <w:sdtEndPr/>
        <w:sdtContent>
          <w:r w:rsidR="000973A0">
            <w:rPr>
              <w:szCs w:val="24"/>
            </w:rPr>
            <w:t>1.1</w:t>
          </w:r>
        </w:sdtContent>
      </w:sdt>
    </w:p>
    <w:p w14:paraId="5639994A" w14:textId="58C75EE2" w:rsidR="00763DD5" w:rsidRPr="002D5F2E" w:rsidRDefault="00763DD5" w:rsidP="00763DD5">
      <w:pPr>
        <w:rPr>
          <w:szCs w:val="24"/>
        </w:rPr>
      </w:pPr>
      <w:r>
        <w:rPr>
          <w:b/>
          <w:bCs/>
          <w:szCs w:val="24"/>
        </w:rPr>
        <w:t>Published</w:t>
      </w:r>
      <w:r w:rsidRPr="002D5F2E">
        <w:rPr>
          <w:szCs w:val="24"/>
        </w:rPr>
        <w:t xml:space="preserve">: </w:t>
      </w:r>
      <w:r w:rsidR="002A5506">
        <w:rPr>
          <w:szCs w:val="24"/>
        </w:rPr>
        <w:t>Mar 25</w:t>
      </w:r>
    </w:p>
    <w:p w14:paraId="7ABA7CF4" w14:textId="02E3690A" w:rsidR="00763DD5" w:rsidRPr="002D5F2E" w:rsidRDefault="00763DD5" w:rsidP="00763DD5">
      <w:pPr>
        <w:rPr>
          <w:szCs w:val="24"/>
        </w:rPr>
      </w:pPr>
      <w:r w:rsidRPr="002D5F2E">
        <w:rPr>
          <w:b/>
          <w:bCs/>
          <w:szCs w:val="24"/>
        </w:rPr>
        <w:t xml:space="preserve">Next </w:t>
      </w:r>
      <w:r>
        <w:rPr>
          <w:b/>
          <w:bCs/>
          <w:szCs w:val="24"/>
        </w:rPr>
        <w:t>scheduled review</w:t>
      </w:r>
      <w:r w:rsidRPr="002D5F2E">
        <w:rPr>
          <w:szCs w:val="24"/>
        </w:rPr>
        <w:t xml:space="preserve">: </w:t>
      </w:r>
      <w:r w:rsidR="002A5506">
        <w:rPr>
          <w:szCs w:val="24"/>
        </w:rPr>
        <w:t xml:space="preserve">Mar </w:t>
      </w:r>
      <w:r w:rsidR="000973A0">
        <w:rPr>
          <w:szCs w:val="24"/>
        </w:rPr>
        <w:t>2</w:t>
      </w:r>
      <w:r w:rsidR="0015664D">
        <w:rPr>
          <w:szCs w:val="24"/>
        </w:rPr>
        <w:t>8</w:t>
      </w:r>
    </w:p>
    <w:p w14:paraId="5F588B02" w14:textId="2DA8F04C" w:rsidR="00763DD5" w:rsidRPr="002D5F2E" w:rsidRDefault="00763DD5" w:rsidP="00763DD5">
      <w:pPr>
        <w:rPr>
          <w:szCs w:val="24"/>
        </w:rPr>
      </w:pPr>
      <w:r w:rsidRPr="002D5F2E">
        <w:rPr>
          <w:b/>
          <w:bCs/>
          <w:szCs w:val="24"/>
        </w:rPr>
        <w:t>Doc</w:t>
      </w:r>
      <w:r>
        <w:rPr>
          <w:b/>
          <w:bCs/>
          <w:szCs w:val="24"/>
        </w:rPr>
        <w:t>ument reference</w:t>
      </w:r>
      <w:r w:rsidRPr="002D5F2E">
        <w:rPr>
          <w:szCs w:val="24"/>
        </w:rPr>
        <w:t xml:space="preserve">: </w:t>
      </w:r>
      <w:r w:rsidR="001C6DE3" w:rsidRPr="001C6DE3">
        <w:rPr>
          <w:szCs w:val="24"/>
        </w:rPr>
        <w:t>CNSS-TAST-GD-1.4</w:t>
      </w:r>
    </w:p>
    <w:p w14:paraId="55E7985C" w14:textId="1E9FCA46" w:rsidR="00763DD5" w:rsidRDefault="00763DD5" w:rsidP="00B2308D">
      <w:pPr>
        <w:rPr>
          <w:szCs w:val="24"/>
        </w:rPr>
      </w:pPr>
      <w:r w:rsidRPr="00B2308D">
        <w:rPr>
          <w:b/>
          <w:bCs/>
          <w:szCs w:val="24"/>
        </w:rPr>
        <w:t>Record reference</w:t>
      </w:r>
      <w:r w:rsidRPr="00B2308D">
        <w:rPr>
          <w:szCs w:val="24"/>
        </w:rPr>
        <w:t xml:space="preserve">: </w:t>
      </w:r>
      <w:hyperlink r:id="rId9" w:tgtFrame="_blank" w:tooltip="ONRHH-822789359-19565" w:history="1">
        <w:r w:rsidR="00B2308D" w:rsidRPr="00B2308D">
          <w:rPr>
            <w:rStyle w:val="Hyperlink"/>
            <w:szCs w:val="24"/>
          </w:rPr>
          <w:t>ONRHH-822789359-19565</w:t>
        </w:r>
      </w:hyperlink>
    </w:p>
    <w:p w14:paraId="3EC8159C" w14:textId="77777777" w:rsidR="00B2308D" w:rsidRDefault="00B2308D" w:rsidP="00B2308D"/>
    <w:p w14:paraId="30CCE574" w14:textId="77777777" w:rsidR="00763DD5" w:rsidRPr="009D72ED" w:rsidRDefault="00763DD5" w:rsidP="00763DD5">
      <w:pPr>
        <w:pStyle w:val="Caption"/>
        <w:keepNext/>
        <w:rPr>
          <w:color w:val="auto"/>
        </w:rPr>
      </w:pPr>
      <w:r w:rsidRPr="009D72ED">
        <w:rPr>
          <w:color w:val="auto"/>
        </w:rPr>
        <w:t>Revision commentary</w:t>
      </w:r>
    </w:p>
    <w:tbl>
      <w:tblPr>
        <w:tblStyle w:val="ONRTable1"/>
        <w:tblW w:w="0" w:type="auto"/>
        <w:tblInd w:w="10" w:type="dxa"/>
        <w:tblLook w:val="04A0" w:firstRow="1" w:lastRow="0" w:firstColumn="1" w:lastColumn="0" w:noHBand="0" w:noVBand="1"/>
      </w:tblPr>
      <w:tblGrid>
        <w:gridCol w:w="1550"/>
        <w:gridCol w:w="7466"/>
      </w:tblGrid>
      <w:tr w:rsidR="00763DD5" w:rsidRPr="002D5F2E" w14:paraId="723D777B" w14:textId="77777777" w:rsidTr="00FD7D47">
        <w:trPr>
          <w:cnfStyle w:val="100000000000" w:firstRow="1" w:lastRow="0" w:firstColumn="0" w:lastColumn="0" w:oddVBand="0" w:evenVBand="0" w:oddHBand="0" w:evenHBand="0" w:firstRowFirstColumn="0" w:firstRowLastColumn="0" w:lastRowFirstColumn="0" w:lastRowLastColumn="0"/>
        </w:trPr>
        <w:tc>
          <w:tcPr>
            <w:tcW w:w="1550" w:type="dxa"/>
          </w:tcPr>
          <w:p w14:paraId="3F8B596C" w14:textId="77777777" w:rsidR="00763DD5" w:rsidRPr="002D5F2E" w:rsidRDefault="00763DD5" w:rsidP="00FD7D47">
            <w:pPr>
              <w:spacing w:before="60" w:after="60"/>
              <w:rPr>
                <w:b w:val="0"/>
                <w:bCs/>
                <w:szCs w:val="24"/>
              </w:rPr>
            </w:pPr>
            <w:r w:rsidRPr="002D5F2E">
              <w:rPr>
                <w:b w:val="0"/>
                <w:bCs/>
                <w:szCs w:val="24"/>
              </w:rPr>
              <w:t>Issue</w:t>
            </w:r>
          </w:p>
        </w:tc>
        <w:tc>
          <w:tcPr>
            <w:tcW w:w="7466" w:type="dxa"/>
          </w:tcPr>
          <w:p w14:paraId="5FF26C9C" w14:textId="77777777" w:rsidR="00763DD5" w:rsidRPr="002D5F2E" w:rsidRDefault="00763DD5" w:rsidP="00FD7D47">
            <w:pPr>
              <w:spacing w:before="60" w:after="60"/>
              <w:rPr>
                <w:b w:val="0"/>
                <w:bCs/>
                <w:szCs w:val="24"/>
              </w:rPr>
            </w:pPr>
            <w:r w:rsidRPr="002D5F2E">
              <w:rPr>
                <w:b w:val="0"/>
                <w:bCs/>
                <w:szCs w:val="24"/>
              </w:rPr>
              <w:t xml:space="preserve">Description of </w:t>
            </w:r>
            <w:r>
              <w:rPr>
                <w:b w:val="0"/>
                <w:bCs/>
                <w:szCs w:val="24"/>
              </w:rPr>
              <w:t>u</w:t>
            </w:r>
            <w:r w:rsidRPr="002D5F2E">
              <w:rPr>
                <w:b w:val="0"/>
                <w:bCs/>
                <w:szCs w:val="24"/>
              </w:rPr>
              <w:t>pdate(s)</w:t>
            </w:r>
          </w:p>
        </w:tc>
      </w:tr>
      <w:tr w:rsidR="00763DD5" w:rsidRPr="002D5F2E" w14:paraId="3D821E7C" w14:textId="77777777" w:rsidTr="00FD7D47">
        <w:tc>
          <w:tcPr>
            <w:tcW w:w="1550" w:type="dxa"/>
          </w:tcPr>
          <w:p w14:paraId="3B1DAF95" w14:textId="4D78CC27" w:rsidR="00763DD5" w:rsidRPr="002D5F2E" w:rsidRDefault="00D36697" w:rsidP="00FD7D47">
            <w:pPr>
              <w:spacing w:before="60" w:after="60"/>
              <w:rPr>
                <w:szCs w:val="24"/>
              </w:rPr>
            </w:pPr>
            <w:sdt>
              <w:sdtPr>
                <w:rPr>
                  <w:szCs w:val="24"/>
                </w:rPr>
                <w:alias w:val="Issue No."/>
                <w:tag w:val=""/>
                <w:id w:val="1387146289"/>
                <w:placeholder>
                  <w:docPart w:val="7983BBC26E30431EBCF1EC5E5FDCA0CF"/>
                </w:placeholder>
                <w:dataBinding w:prefixMappings="xmlns:ns0='http://purl.org/dc/elements/1.1/' xmlns:ns1='http://schemas.openxmlformats.org/package/2006/metadata/core-properties' " w:xpath="/ns1:coreProperties[1]/ns1:contentStatus[1]" w:storeItemID="{6C3C8BC8-F283-45AE-878A-BAB7291924A1}"/>
                <w:text/>
              </w:sdtPr>
              <w:sdtEndPr/>
              <w:sdtContent>
                <w:r w:rsidR="00440F32">
                  <w:rPr>
                    <w:szCs w:val="24"/>
                  </w:rPr>
                  <w:t>1.1</w:t>
                </w:r>
              </w:sdtContent>
            </w:sdt>
          </w:p>
        </w:tc>
        <w:tc>
          <w:tcPr>
            <w:tcW w:w="7466" w:type="dxa"/>
          </w:tcPr>
          <w:p w14:paraId="12D2D6AB" w14:textId="2841BAFB" w:rsidR="00763DD5" w:rsidRPr="002D5F2E" w:rsidRDefault="002A5506" w:rsidP="00FD7D47">
            <w:pPr>
              <w:spacing w:before="60" w:after="60"/>
              <w:rPr>
                <w:szCs w:val="24"/>
              </w:rPr>
            </w:pPr>
            <w:r>
              <w:rPr>
                <w:szCs w:val="24"/>
              </w:rPr>
              <w:t>Fit for purpose review of Revision 1</w:t>
            </w:r>
            <w:r w:rsidR="00763DD5" w:rsidRPr="002D5F2E">
              <w:rPr>
                <w:szCs w:val="24"/>
              </w:rPr>
              <w:t>.</w:t>
            </w:r>
          </w:p>
        </w:tc>
      </w:tr>
    </w:tbl>
    <w:p w14:paraId="43D85603" w14:textId="77777777" w:rsidR="00763DD5" w:rsidRDefault="00763DD5" w:rsidP="00763DD5">
      <w:pPr>
        <w:sectPr w:rsidR="00763DD5" w:rsidSect="00763DD5">
          <w:headerReference w:type="default" r:id="rId10"/>
          <w:footerReference w:type="default" r:id="rId11"/>
          <w:footerReference w:type="first" r:id="rId12"/>
          <w:pgSz w:w="11906" w:h="16838" w:code="9"/>
          <w:pgMar w:top="1440" w:right="1440" w:bottom="1440" w:left="1440" w:header="397" w:footer="397" w:gutter="0"/>
          <w:cols w:space="312"/>
          <w:titlePg/>
          <w:docGrid w:linePitch="360"/>
        </w:sectPr>
      </w:pPr>
    </w:p>
    <w:p w14:paraId="0F94BF39" w14:textId="77777777" w:rsidR="00763DD5" w:rsidRPr="00EE0C77" w:rsidRDefault="00763DD5" w:rsidP="00763DD5">
      <w:pPr>
        <w:pStyle w:val="ContentsHeading"/>
      </w:pPr>
      <w:r w:rsidRPr="00EE0C77">
        <w:lastRenderedPageBreak/>
        <w:t>Co</w:t>
      </w:r>
      <w:r w:rsidRPr="00257288">
        <w:t>n</w:t>
      </w:r>
      <w:r w:rsidRPr="00420A11">
        <w:t>ten</w:t>
      </w:r>
      <w:r w:rsidRPr="00EE0C77">
        <w:t>ts</w:t>
      </w:r>
    </w:p>
    <w:p w14:paraId="4CCCEDD3" w14:textId="1E41BA6A" w:rsidR="00661A52" w:rsidRDefault="00763DD5">
      <w:pPr>
        <w:pStyle w:val="TOC1"/>
        <w:tabs>
          <w:tab w:val="left" w:pos="44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88607264" w:history="1">
        <w:r w:rsidR="00661A52" w:rsidRPr="00715F76">
          <w:rPr>
            <w:rStyle w:val="Hyperlink"/>
          </w:rPr>
          <w:t>1.</w:t>
        </w:r>
        <w:r w:rsidR="00661A52">
          <w:rPr>
            <w:rFonts w:asciiTheme="minorHAnsi" w:eastAsiaTheme="minorEastAsia" w:hAnsiTheme="minorHAnsi" w:cstheme="minorBidi"/>
            <w:kern w:val="2"/>
            <w:sz w:val="22"/>
            <w:lang w:eastAsia="en-GB" w:bidi="ar-SA"/>
            <w14:ligatures w14:val="standardContextual"/>
          </w:rPr>
          <w:tab/>
        </w:r>
        <w:r w:rsidR="00661A52" w:rsidRPr="00715F76">
          <w:rPr>
            <w:rStyle w:val="Hyperlink"/>
          </w:rPr>
          <w:t>Introduction</w:t>
        </w:r>
        <w:r w:rsidR="00661A52">
          <w:rPr>
            <w:webHidden/>
          </w:rPr>
          <w:tab/>
        </w:r>
        <w:r w:rsidR="00661A52">
          <w:rPr>
            <w:webHidden/>
          </w:rPr>
          <w:fldChar w:fldCharType="begin"/>
        </w:r>
        <w:r w:rsidR="00661A52">
          <w:rPr>
            <w:webHidden/>
          </w:rPr>
          <w:instrText xml:space="preserve"> PAGEREF _Toc188607264 \h </w:instrText>
        </w:r>
        <w:r w:rsidR="00661A52">
          <w:rPr>
            <w:webHidden/>
          </w:rPr>
        </w:r>
        <w:r w:rsidR="00661A52">
          <w:rPr>
            <w:webHidden/>
          </w:rPr>
          <w:fldChar w:fldCharType="separate"/>
        </w:r>
        <w:r w:rsidR="00661A52">
          <w:rPr>
            <w:webHidden/>
          </w:rPr>
          <w:t>4</w:t>
        </w:r>
        <w:r w:rsidR="00661A52">
          <w:rPr>
            <w:webHidden/>
          </w:rPr>
          <w:fldChar w:fldCharType="end"/>
        </w:r>
      </w:hyperlink>
    </w:p>
    <w:p w14:paraId="6CCC9CCE" w14:textId="6476AFAB" w:rsidR="00661A52" w:rsidRDefault="00661A52">
      <w:pPr>
        <w:pStyle w:val="TOC1"/>
        <w:tabs>
          <w:tab w:val="left" w:pos="440"/>
        </w:tabs>
        <w:rPr>
          <w:rFonts w:asciiTheme="minorHAnsi" w:eastAsiaTheme="minorEastAsia" w:hAnsiTheme="minorHAnsi" w:cstheme="minorBidi"/>
          <w:kern w:val="2"/>
          <w:sz w:val="22"/>
          <w:lang w:eastAsia="en-GB" w:bidi="ar-SA"/>
          <w14:ligatures w14:val="standardContextual"/>
        </w:rPr>
      </w:pPr>
      <w:hyperlink w:anchor="_Toc188607265" w:history="1">
        <w:r w:rsidRPr="00715F76">
          <w:rPr>
            <w:rStyle w:val="Hyperlink"/>
          </w:rPr>
          <w:t>2.</w:t>
        </w:r>
        <w:r>
          <w:rPr>
            <w:rFonts w:asciiTheme="minorHAnsi" w:eastAsiaTheme="minorEastAsia" w:hAnsiTheme="minorHAnsi" w:cstheme="minorBidi"/>
            <w:kern w:val="2"/>
            <w:sz w:val="22"/>
            <w:lang w:eastAsia="en-GB" w:bidi="ar-SA"/>
            <w14:ligatures w14:val="standardContextual"/>
          </w:rPr>
          <w:tab/>
        </w:r>
        <w:r w:rsidRPr="00715F76">
          <w:rPr>
            <w:rStyle w:val="Hyperlink"/>
          </w:rPr>
          <w:t>Purpose and Scope</w:t>
        </w:r>
        <w:r>
          <w:rPr>
            <w:webHidden/>
          </w:rPr>
          <w:tab/>
        </w:r>
        <w:r>
          <w:rPr>
            <w:webHidden/>
          </w:rPr>
          <w:fldChar w:fldCharType="begin"/>
        </w:r>
        <w:r>
          <w:rPr>
            <w:webHidden/>
          </w:rPr>
          <w:instrText xml:space="preserve"> PAGEREF _Toc188607265 \h </w:instrText>
        </w:r>
        <w:r>
          <w:rPr>
            <w:webHidden/>
          </w:rPr>
        </w:r>
        <w:r>
          <w:rPr>
            <w:webHidden/>
          </w:rPr>
          <w:fldChar w:fldCharType="separate"/>
        </w:r>
        <w:r>
          <w:rPr>
            <w:webHidden/>
          </w:rPr>
          <w:t>4</w:t>
        </w:r>
        <w:r>
          <w:rPr>
            <w:webHidden/>
          </w:rPr>
          <w:fldChar w:fldCharType="end"/>
        </w:r>
      </w:hyperlink>
    </w:p>
    <w:p w14:paraId="00A86CEC" w14:textId="58C65C99" w:rsidR="00661A52" w:rsidRDefault="00661A52">
      <w:pPr>
        <w:pStyle w:val="TOC1"/>
        <w:tabs>
          <w:tab w:val="left" w:pos="440"/>
        </w:tabs>
        <w:rPr>
          <w:rFonts w:asciiTheme="minorHAnsi" w:eastAsiaTheme="minorEastAsia" w:hAnsiTheme="minorHAnsi" w:cstheme="minorBidi"/>
          <w:kern w:val="2"/>
          <w:sz w:val="22"/>
          <w:lang w:eastAsia="en-GB" w:bidi="ar-SA"/>
          <w14:ligatures w14:val="standardContextual"/>
        </w:rPr>
      </w:pPr>
      <w:hyperlink w:anchor="_Toc188607266" w:history="1">
        <w:r w:rsidRPr="00715F76">
          <w:rPr>
            <w:rStyle w:val="Hyperlink"/>
          </w:rPr>
          <w:t>3.</w:t>
        </w:r>
        <w:r>
          <w:rPr>
            <w:rFonts w:asciiTheme="minorHAnsi" w:eastAsiaTheme="minorEastAsia" w:hAnsiTheme="minorHAnsi" w:cstheme="minorBidi"/>
            <w:kern w:val="2"/>
            <w:sz w:val="22"/>
            <w:lang w:eastAsia="en-GB" w:bidi="ar-SA"/>
            <w14:ligatures w14:val="standardContextual"/>
          </w:rPr>
          <w:tab/>
        </w:r>
        <w:r w:rsidRPr="00715F76">
          <w:rPr>
            <w:rStyle w:val="Hyperlink"/>
          </w:rPr>
          <w:t>Relationship to Relevant Legislation</w:t>
        </w:r>
        <w:r>
          <w:rPr>
            <w:webHidden/>
          </w:rPr>
          <w:tab/>
        </w:r>
        <w:r>
          <w:rPr>
            <w:webHidden/>
          </w:rPr>
          <w:fldChar w:fldCharType="begin"/>
        </w:r>
        <w:r>
          <w:rPr>
            <w:webHidden/>
          </w:rPr>
          <w:instrText xml:space="preserve"> PAGEREF _Toc188607266 \h </w:instrText>
        </w:r>
        <w:r>
          <w:rPr>
            <w:webHidden/>
          </w:rPr>
        </w:r>
        <w:r>
          <w:rPr>
            <w:webHidden/>
          </w:rPr>
          <w:fldChar w:fldCharType="separate"/>
        </w:r>
        <w:r>
          <w:rPr>
            <w:webHidden/>
          </w:rPr>
          <w:t>5</w:t>
        </w:r>
        <w:r>
          <w:rPr>
            <w:webHidden/>
          </w:rPr>
          <w:fldChar w:fldCharType="end"/>
        </w:r>
      </w:hyperlink>
    </w:p>
    <w:p w14:paraId="5867445E" w14:textId="66F34A6E" w:rsidR="00661A52" w:rsidRDefault="00661A52">
      <w:pPr>
        <w:pStyle w:val="TOC1"/>
        <w:tabs>
          <w:tab w:val="left" w:pos="440"/>
        </w:tabs>
        <w:rPr>
          <w:rFonts w:asciiTheme="minorHAnsi" w:eastAsiaTheme="minorEastAsia" w:hAnsiTheme="minorHAnsi" w:cstheme="minorBidi"/>
          <w:kern w:val="2"/>
          <w:sz w:val="22"/>
          <w:lang w:eastAsia="en-GB" w:bidi="ar-SA"/>
          <w14:ligatures w14:val="standardContextual"/>
        </w:rPr>
      </w:pPr>
      <w:hyperlink w:anchor="_Toc188607267" w:history="1">
        <w:r w:rsidRPr="00715F76">
          <w:rPr>
            <w:rStyle w:val="Hyperlink"/>
          </w:rPr>
          <w:t>4.</w:t>
        </w:r>
        <w:r>
          <w:rPr>
            <w:rFonts w:asciiTheme="minorHAnsi" w:eastAsiaTheme="minorEastAsia" w:hAnsiTheme="minorHAnsi" w:cstheme="minorBidi"/>
            <w:kern w:val="2"/>
            <w:sz w:val="22"/>
            <w:lang w:eastAsia="en-GB" w:bidi="ar-SA"/>
            <w14:ligatures w14:val="standardContextual"/>
          </w:rPr>
          <w:tab/>
        </w:r>
        <w:r w:rsidRPr="00715F76">
          <w:rPr>
            <w:rStyle w:val="Hyperlink"/>
          </w:rPr>
          <w:t>Relationship to IAEA Documentation and Guidance</w:t>
        </w:r>
        <w:r>
          <w:rPr>
            <w:webHidden/>
          </w:rPr>
          <w:tab/>
        </w:r>
        <w:r>
          <w:rPr>
            <w:webHidden/>
          </w:rPr>
          <w:fldChar w:fldCharType="begin"/>
        </w:r>
        <w:r>
          <w:rPr>
            <w:webHidden/>
          </w:rPr>
          <w:instrText xml:space="preserve"> PAGEREF _Toc188607267 \h </w:instrText>
        </w:r>
        <w:r>
          <w:rPr>
            <w:webHidden/>
          </w:rPr>
        </w:r>
        <w:r>
          <w:rPr>
            <w:webHidden/>
          </w:rPr>
          <w:fldChar w:fldCharType="separate"/>
        </w:r>
        <w:r>
          <w:rPr>
            <w:webHidden/>
          </w:rPr>
          <w:t>6</w:t>
        </w:r>
        <w:r>
          <w:rPr>
            <w:webHidden/>
          </w:rPr>
          <w:fldChar w:fldCharType="end"/>
        </w:r>
      </w:hyperlink>
    </w:p>
    <w:p w14:paraId="0CB6B18E" w14:textId="491951A2" w:rsidR="00661A52" w:rsidRDefault="00661A52">
      <w:pPr>
        <w:pStyle w:val="TOC1"/>
        <w:tabs>
          <w:tab w:val="left" w:pos="440"/>
        </w:tabs>
        <w:rPr>
          <w:rFonts w:asciiTheme="minorHAnsi" w:eastAsiaTheme="minorEastAsia" w:hAnsiTheme="minorHAnsi" w:cstheme="minorBidi"/>
          <w:kern w:val="2"/>
          <w:sz w:val="22"/>
          <w:lang w:eastAsia="en-GB" w:bidi="ar-SA"/>
          <w14:ligatures w14:val="standardContextual"/>
        </w:rPr>
      </w:pPr>
      <w:hyperlink w:anchor="_Toc188607268" w:history="1">
        <w:r w:rsidRPr="00715F76">
          <w:rPr>
            <w:rStyle w:val="Hyperlink"/>
          </w:rPr>
          <w:t>5.</w:t>
        </w:r>
        <w:r>
          <w:rPr>
            <w:rFonts w:asciiTheme="minorHAnsi" w:eastAsiaTheme="minorEastAsia" w:hAnsiTheme="minorHAnsi" w:cstheme="minorBidi"/>
            <w:kern w:val="2"/>
            <w:sz w:val="22"/>
            <w:lang w:eastAsia="en-GB" w:bidi="ar-SA"/>
            <w14:ligatures w14:val="standardContextual"/>
          </w:rPr>
          <w:tab/>
        </w:r>
        <w:r w:rsidRPr="00715F76">
          <w:rPr>
            <w:rStyle w:val="Hyperlink"/>
          </w:rPr>
          <w:t>Relationship to National Policy Documents</w:t>
        </w:r>
        <w:r>
          <w:rPr>
            <w:webHidden/>
          </w:rPr>
          <w:tab/>
        </w:r>
        <w:r>
          <w:rPr>
            <w:webHidden/>
          </w:rPr>
          <w:fldChar w:fldCharType="begin"/>
        </w:r>
        <w:r>
          <w:rPr>
            <w:webHidden/>
          </w:rPr>
          <w:instrText xml:space="preserve"> PAGEREF _Toc188607268 \h </w:instrText>
        </w:r>
        <w:r>
          <w:rPr>
            <w:webHidden/>
          </w:rPr>
        </w:r>
        <w:r>
          <w:rPr>
            <w:webHidden/>
          </w:rPr>
          <w:fldChar w:fldCharType="separate"/>
        </w:r>
        <w:r>
          <w:rPr>
            <w:webHidden/>
          </w:rPr>
          <w:t>7</w:t>
        </w:r>
        <w:r>
          <w:rPr>
            <w:webHidden/>
          </w:rPr>
          <w:fldChar w:fldCharType="end"/>
        </w:r>
      </w:hyperlink>
    </w:p>
    <w:p w14:paraId="57C646A3" w14:textId="5857E9BD" w:rsidR="00661A52" w:rsidRDefault="00661A52">
      <w:pPr>
        <w:pStyle w:val="TOC1"/>
        <w:tabs>
          <w:tab w:val="left" w:pos="440"/>
        </w:tabs>
        <w:rPr>
          <w:rFonts w:asciiTheme="minorHAnsi" w:eastAsiaTheme="minorEastAsia" w:hAnsiTheme="minorHAnsi" w:cstheme="minorBidi"/>
          <w:kern w:val="2"/>
          <w:sz w:val="22"/>
          <w:lang w:eastAsia="en-GB" w:bidi="ar-SA"/>
          <w14:ligatures w14:val="standardContextual"/>
        </w:rPr>
      </w:pPr>
      <w:hyperlink w:anchor="_Toc188607269" w:history="1">
        <w:r w:rsidRPr="00715F76">
          <w:rPr>
            <w:rStyle w:val="Hyperlink"/>
          </w:rPr>
          <w:t>6.</w:t>
        </w:r>
        <w:r>
          <w:rPr>
            <w:rFonts w:asciiTheme="minorHAnsi" w:eastAsiaTheme="minorEastAsia" w:hAnsiTheme="minorHAnsi" w:cstheme="minorBidi"/>
            <w:kern w:val="2"/>
            <w:sz w:val="22"/>
            <w:lang w:eastAsia="en-GB" w:bidi="ar-SA"/>
            <w14:ligatures w14:val="standardContextual"/>
          </w:rPr>
          <w:tab/>
        </w:r>
        <w:r w:rsidRPr="00715F76">
          <w:rPr>
            <w:rStyle w:val="Hyperlink"/>
          </w:rPr>
          <w:t>Advice to Inspectors</w:t>
        </w:r>
        <w:r>
          <w:rPr>
            <w:webHidden/>
          </w:rPr>
          <w:tab/>
        </w:r>
        <w:r>
          <w:rPr>
            <w:webHidden/>
          </w:rPr>
          <w:fldChar w:fldCharType="begin"/>
        </w:r>
        <w:r>
          <w:rPr>
            <w:webHidden/>
          </w:rPr>
          <w:instrText xml:space="preserve"> PAGEREF _Toc188607269 \h </w:instrText>
        </w:r>
        <w:r>
          <w:rPr>
            <w:webHidden/>
          </w:rPr>
        </w:r>
        <w:r>
          <w:rPr>
            <w:webHidden/>
          </w:rPr>
          <w:fldChar w:fldCharType="separate"/>
        </w:r>
        <w:r>
          <w:rPr>
            <w:webHidden/>
          </w:rPr>
          <w:t>8</w:t>
        </w:r>
        <w:r>
          <w:rPr>
            <w:webHidden/>
          </w:rPr>
          <w:fldChar w:fldCharType="end"/>
        </w:r>
      </w:hyperlink>
    </w:p>
    <w:p w14:paraId="6C90C1F0" w14:textId="71AD85A2" w:rsidR="00661A52" w:rsidRDefault="00661A52">
      <w:pPr>
        <w:pStyle w:val="TOC1"/>
        <w:tabs>
          <w:tab w:val="left" w:pos="440"/>
        </w:tabs>
        <w:rPr>
          <w:rFonts w:asciiTheme="minorHAnsi" w:eastAsiaTheme="minorEastAsia" w:hAnsiTheme="minorHAnsi" w:cstheme="minorBidi"/>
          <w:kern w:val="2"/>
          <w:sz w:val="22"/>
          <w:lang w:eastAsia="en-GB" w:bidi="ar-SA"/>
          <w14:ligatures w14:val="standardContextual"/>
        </w:rPr>
      </w:pPr>
      <w:hyperlink w:anchor="_Toc188607270" w:history="1">
        <w:r w:rsidRPr="00715F76">
          <w:rPr>
            <w:rStyle w:val="Hyperlink"/>
          </w:rPr>
          <w:t>7.</w:t>
        </w:r>
        <w:r>
          <w:rPr>
            <w:rFonts w:asciiTheme="minorHAnsi" w:eastAsiaTheme="minorEastAsia" w:hAnsiTheme="minorHAnsi" w:cstheme="minorBidi"/>
            <w:kern w:val="2"/>
            <w:sz w:val="22"/>
            <w:lang w:eastAsia="en-GB" w:bidi="ar-SA"/>
            <w14:ligatures w14:val="standardContextual"/>
          </w:rPr>
          <w:tab/>
        </w:r>
        <w:r w:rsidRPr="00715F76">
          <w:rPr>
            <w:rStyle w:val="Hyperlink"/>
          </w:rPr>
          <w:t>Framework for Operational Learning</w:t>
        </w:r>
        <w:r>
          <w:rPr>
            <w:webHidden/>
          </w:rPr>
          <w:tab/>
        </w:r>
        <w:r>
          <w:rPr>
            <w:webHidden/>
          </w:rPr>
          <w:fldChar w:fldCharType="begin"/>
        </w:r>
        <w:r>
          <w:rPr>
            <w:webHidden/>
          </w:rPr>
          <w:instrText xml:space="preserve"> PAGEREF _Toc188607270 \h </w:instrText>
        </w:r>
        <w:r>
          <w:rPr>
            <w:webHidden/>
          </w:rPr>
        </w:r>
        <w:r>
          <w:rPr>
            <w:webHidden/>
          </w:rPr>
          <w:fldChar w:fldCharType="separate"/>
        </w:r>
        <w:r>
          <w:rPr>
            <w:webHidden/>
          </w:rPr>
          <w:t>9</w:t>
        </w:r>
        <w:r>
          <w:rPr>
            <w:webHidden/>
          </w:rPr>
          <w:fldChar w:fldCharType="end"/>
        </w:r>
      </w:hyperlink>
    </w:p>
    <w:p w14:paraId="086D1584" w14:textId="1F45B912" w:rsidR="00661A52" w:rsidRDefault="00661A52">
      <w:pPr>
        <w:pStyle w:val="TOC1"/>
        <w:tabs>
          <w:tab w:val="left" w:pos="440"/>
        </w:tabs>
        <w:rPr>
          <w:rFonts w:asciiTheme="minorHAnsi" w:eastAsiaTheme="minorEastAsia" w:hAnsiTheme="minorHAnsi" w:cstheme="minorBidi"/>
          <w:kern w:val="2"/>
          <w:sz w:val="22"/>
          <w:lang w:eastAsia="en-GB" w:bidi="ar-SA"/>
          <w14:ligatures w14:val="standardContextual"/>
        </w:rPr>
      </w:pPr>
      <w:hyperlink w:anchor="_Toc188607271" w:history="1">
        <w:r w:rsidRPr="00715F76">
          <w:rPr>
            <w:rStyle w:val="Hyperlink"/>
          </w:rPr>
          <w:t>8.</w:t>
        </w:r>
        <w:r>
          <w:rPr>
            <w:rFonts w:asciiTheme="minorHAnsi" w:eastAsiaTheme="minorEastAsia" w:hAnsiTheme="minorHAnsi" w:cstheme="minorBidi"/>
            <w:kern w:val="2"/>
            <w:sz w:val="22"/>
            <w:lang w:eastAsia="en-GB" w:bidi="ar-SA"/>
            <w14:ligatures w14:val="standardContextual"/>
          </w:rPr>
          <w:tab/>
        </w:r>
        <w:r w:rsidRPr="00715F76">
          <w:rPr>
            <w:rStyle w:val="Hyperlink"/>
          </w:rPr>
          <w:t>Operational Experience</w:t>
        </w:r>
        <w:r>
          <w:rPr>
            <w:webHidden/>
          </w:rPr>
          <w:tab/>
        </w:r>
        <w:r>
          <w:rPr>
            <w:webHidden/>
          </w:rPr>
          <w:fldChar w:fldCharType="begin"/>
        </w:r>
        <w:r>
          <w:rPr>
            <w:webHidden/>
          </w:rPr>
          <w:instrText xml:space="preserve"> PAGEREF _Toc188607271 \h </w:instrText>
        </w:r>
        <w:r>
          <w:rPr>
            <w:webHidden/>
          </w:rPr>
        </w:r>
        <w:r>
          <w:rPr>
            <w:webHidden/>
          </w:rPr>
          <w:fldChar w:fldCharType="separate"/>
        </w:r>
        <w:r>
          <w:rPr>
            <w:webHidden/>
          </w:rPr>
          <w:t>11</w:t>
        </w:r>
        <w:r>
          <w:rPr>
            <w:webHidden/>
          </w:rPr>
          <w:fldChar w:fldCharType="end"/>
        </w:r>
      </w:hyperlink>
    </w:p>
    <w:p w14:paraId="5BDF3035" w14:textId="4B2E21FF" w:rsidR="00661A52" w:rsidRDefault="00661A52">
      <w:pPr>
        <w:pStyle w:val="TOC1"/>
        <w:tabs>
          <w:tab w:val="left" w:pos="440"/>
        </w:tabs>
        <w:rPr>
          <w:rFonts w:asciiTheme="minorHAnsi" w:eastAsiaTheme="minorEastAsia" w:hAnsiTheme="minorHAnsi" w:cstheme="minorBidi"/>
          <w:kern w:val="2"/>
          <w:sz w:val="22"/>
          <w:lang w:eastAsia="en-GB" w:bidi="ar-SA"/>
          <w14:ligatures w14:val="standardContextual"/>
        </w:rPr>
      </w:pPr>
      <w:hyperlink w:anchor="_Toc188607272" w:history="1">
        <w:r w:rsidRPr="00715F76">
          <w:rPr>
            <w:rStyle w:val="Hyperlink"/>
          </w:rPr>
          <w:t>9.</w:t>
        </w:r>
        <w:r>
          <w:rPr>
            <w:rFonts w:asciiTheme="minorHAnsi" w:eastAsiaTheme="minorEastAsia" w:hAnsiTheme="minorHAnsi" w:cstheme="minorBidi"/>
            <w:kern w:val="2"/>
            <w:sz w:val="22"/>
            <w:lang w:eastAsia="en-GB" w:bidi="ar-SA"/>
            <w14:ligatures w14:val="standardContextual"/>
          </w:rPr>
          <w:tab/>
        </w:r>
        <w:r w:rsidRPr="00715F76">
          <w:rPr>
            <w:rStyle w:val="Hyperlink"/>
          </w:rPr>
          <w:t>Event and Adverse Condition Reporting and Tracking</w:t>
        </w:r>
        <w:r>
          <w:rPr>
            <w:webHidden/>
          </w:rPr>
          <w:tab/>
        </w:r>
        <w:r>
          <w:rPr>
            <w:webHidden/>
          </w:rPr>
          <w:fldChar w:fldCharType="begin"/>
        </w:r>
        <w:r>
          <w:rPr>
            <w:webHidden/>
          </w:rPr>
          <w:instrText xml:space="preserve"> PAGEREF _Toc188607272 \h </w:instrText>
        </w:r>
        <w:r>
          <w:rPr>
            <w:webHidden/>
          </w:rPr>
        </w:r>
        <w:r>
          <w:rPr>
            <w:webHidden/>
          </w:rPr>
          <w:fldChar w:fldCharType="separate"/>
        </w:r>
        <w:r>
          <w:rPr>
            <w:webHidden/>
          </w:rPr>
          <w:t>12</w:t>
        </w:r>
        <w:r>
          <w:rPr>
            <w:webHidden/>
          </w:rPr>
          <w:fldChar w:fldCharType="end"/>
        </w:r>
      </w:hyperlink>
    </w:p>
    <w:p w14:paraId="1C49577E" w14:textId="4E025574" w:rsidR="00661A52" w:rsidRDefault="00661A52">
      <w:pPr>
        <w:pStyle w:val="TOC1"/>
        <w:tabs>
          <w:tab w:val="left" w:pos="660"/>
        </w:tabs>
        <w:rPr>
          <w:rFonts w:asciiTheme="minorHAnsi" w:eastAsiaTheme="minorEastAsia" w:hAnsiTheme="minorHAnsi" w:cstheme="minorBidi"/>
          <w:kern w:val="2"/>
          <w:sz w:val="22"/>
          <w:lang w:eastAsia="en-GB" w:bidi="ar-SA"/>
          <w14:ligatures w14:val="standardContextual"/>
        </w:rPr>
      </w:pPr>
      <w:hyperlink w:anchor="_Toc188607273" w:history="1">
        <w:r w:rsidRPr="00715F76">
          <w:rPr>
            <w:rStyle w:val="Hyperlink"/>
          </w:rPr>
          <w:t>10.</w:t>
        </w:r>
        <w:r>
          <w:rPr>
            <w:rFonts w:asciiTheme="minorHAnsi" w:eastAsiaTheme="minorEastAsia" w:hAnsiTheme="minorHAnsi" w:cstheme="minorBidi"/>
            <w:kern w:val="2"/>
            <w:sz w:val="22"/>
            <w:lang w:eastAsia="en-GB" w:bidi="ar-SA"/>
            <w14:ligatures w14:val="standardContextual"/>
          </w:rPr>
          <w:tab/>
        </w:r>
        <w:r w:rsidRPr="00715F76">
          <w:rPr>
            <w:rStyle w:val="Hyperlink"/>
          </w:rPr>
          <w:t>Screening for Significance</w:t>
        </w:r>
        <w:r>
          <w:rPr>
            <w:webHidden/>
          </w:rPr>
          <w:tab/>
        </w:r>
        <w:r>
          <w:rPr>
            <w:webHidden/>
          </w:rPr>
          <w:fldChar w:fldCharType="begin"/>
        </w:r>
        <w:r>
          <w:rPr>
            <w:webHidden/>
          </w:rPr>
          <w:instrText xml:space="preserve"> PAGEREF _Toc188607273 \h </w:instrText>
        </w:r>
        <w:r>
          <w:rPr>
            <w:webHidden/>
          </w:rPr>
        </w:r>
        <w:r>
          <w:rPr>
            <w:webHidden/>
          </w:rPr>
          <w:fldChar w:fldCharType="separate"/>
        </w:r>
        <w:r>
          <w:rPr>
            <w:webHidden/>
          </w:rPr>
          <w:t>13</w:t>
        </w:r>
        <w:r>
          <w:rPr>
            <w:webHidden/>
          </w:rPr>
          <w:fldChar w:fldCharType="end"/>
        </w:r>
      </w:hyperlink>
    </w:p>
    <w:p w14:paraId="44AE4860" w14:textId="7FABB8E1" w:rsidR="00661A52" w:rsidRDefault="00661A52">
      <w:pPr>
        <w:pStyle w:val="TOC1"/>
        <w:tabs>
          <w:tab w:val="left" w:pos="660"/>
        </w:tabs>
        <w:rPr>
          <w:rFonts w:asciiTheme="minorHAnsi" w:eastAsiaTheme="minorEastAsia" w:hAnsiTheme="minorHAnsi" w:cstheme="minorBidi"/>
          <w:kern w:val="2"/>
          <w:sz w:val="22"/>
          <w:lang w:eastAsia="en-GB" w:bidi="ar-SA"/>
          <w14:ligatures w14:val="standardContextual"/>
        </w:rPr>
      </w:pPr>
      <w:hyperlink w:anchor="_Toc188607274" w:history="1">
        <w:r w:rsidRPr="00715F76">
          <w:rPr>
            <w:rStyle w:val="Hyperlink"/>
          </w:rPr>
          <w:t>11.</w:t>
        </w:r>
        <w:r>
          <w:rPr>
            <w:rFonts w:asciiTheme="minorHAnsi" w:eastAsiaTheme="minorEastAsia" w:hAnsiTheme="minorHAnsi" w:cstheme="minorBidi"/>
            <w:kern w:val="2"/>
            <w:sz w:val="22"/>
            <w:lang w:eastAsia="en-GB" w:bidi="ar-SA"/>
            <w14:ligatures w14:val="standardContextual"/>
          </w:rPr>
          <w:tab/>
        </w:r>
        <w:r w:rsidRPr="00715F76">
          <w:rPr>
            <w:rStyle w:val="Hyperlink"/>
          </w:rPr>
          <w:t>Investigation and Analysis</w:t>
        </w:r>
        <w:r>
          <w:rPr>
            <w:webHidden/>
          </w:rPr>
          <w:tab/>
        </w:r>
        <w:r>
          <w:rPr>
            <w:webHidden/>
          </w:rPr>
          <w:fldChar w:fldCharType="begin"/>
        </w:r>
        <w:r>
          <w:rPr>
            <w:webHidden/>
          </w:rPr>
          <w:instrText xml:space="preserve"> PAGEREF _Toc188607274 \h </w:instrText>
        </w:r>
        <w:r>
          <w:rPr>
            <w:webHidden/>
          </w:rPr>
        </w:r>
        <w:r>
          <w:rPr>
            <w:webHidden/>
          </w:rPr>
          <w:fldChar w:fldCharType="separate"/>
        </w:r>
        <w:r>
          <w:rPr>
            <w:webHidden/>
          </w:rPr>
          <w:t>13</w:t>
        </w:r>
        <w:r>
          <w:rPr>
            <w:webHidden/>
          </w:rPr>
          <w:fldChar w:fldCharType="end"/>
        </w:r>
      </w:hyperlink>
    </w:p>
    <w:p w14:paraId="6D1B6F47" w14:textId="29E8B4D2" w:rsidR="00661A52" w:rsidRDefault="00661A52">
      <w:pPr>
        <w:pStyle w:val="TOC1"/>
        <w:tabs>
          <w:tab w:val="left" w:pos="660"/>
        </w:tabs>
        <w:rPr>
          <w:rFonts w:asciiTheme="minorHAnsi" w:eastAsiaTheme="minorEastAsia" w:hAnsiTheme="minorHAnsi" w:cstheme="minorBidi"/>
          <w:kern w:val="2"/>
          <w:sz w:val="22"/>
          <w:lang w:eastAsia="en-GB" w:bidi="ar-SA"/>
          <w14:ligatures w14:val="standardContextual"/>
        </w:rPr>
      </w:pPr>
      <w:hyperlink w:anchor="_Toc188607275" w:history="1">
        <w:r w:rsidRPr="00715F76">
          <w:rPr>
            <w:rStyle w:val="Hyperlink"/>
          </w:rPr>
          <w:t>12.</w:t>
        </w:r>
        <w:r>
          <w:rPr>
            <w:rFonts w:asciiTheme="minorHAnsi" w:eastAsiaTheme="minorEastAsia" w:hAnsiTheme="minorHAnsi" w:cstheme="minorBidi"/>
            <w:kern w:val="2"/>
            <w:sz w:val="22"/>
            <w:lang w:eastAsia="en-GB" w:bidi="ar-SA"/>
            <w14:ligatures w14:val="standardContextual"/>
          </w:rPr>
          <w:tab/>
        </w:r>
        <w:r w:rsidRPr="00715F76">
          <w:rPr>
            <w:rStyle w:val="Hyperlink"/>
          </w:rPr>
          <w:t>Corrective Action Management</w:t>
        </w:r>
        <w:r>
          <w:rPr>
            <w:webHidden/>
          </w:rPr>
          <w:tab/>
        </w:r>
        <w:r>
          <w:rPr>
            <w:webHidden/>
          </w:rPr>
          <w:fldChar w:fldCharType="begin"/>
        </w:r>
        <w:r>
          <w:rPr>
            <w:webHidden/>
          </w:rPr>
          <w:instrText xml:space="preserve"> PAGEREF _Toc188607275 \h </w:instrText>
        </w:r>
        <w:r>
          <w:rPr>
            <w:webHidden/>
          </w:rPr>
        </w:r>
        <w:r>
          <w:rPr>
            <w:webHidden/>
          </w:rPr>
          <w:fldChar w:fldCharType="separate"/>
        </w:r>
        <w:r>
          <w:rPr>
            <w:webHidden/>
          </w:rPr>
          <w:t>14</w:t>
        </w:r>
        <w:r>
          <w:rPr>
            <w:webHidden/>
          </w:rPr>
          <w:fldChar w:fldCharType="end"/>
        </w:r>
      </w:hyperlink>
    </w:p>
    <w:p w14:paraId="5088DFEB" w14:textId="34C4C5C3" w:rsidR="00661A52" w:rsidRDefault="00661A52">
      <w:pPr>
        <w:pStyle w:val="TOC1"/>
        <w:tabs>
          <w:tab w:val="left" w:pos="660"/>
        </w:tabs>
        <w:rPr>
          <w:rFonts w:asciiTheme="minorHAnsi" w:eastAsiaTheme="minorEastAsia" w:hAnsiTheme="minorHAnsi" w:cstheme="minorBidi"/>
          <w:kern w:val="2"/>
          <w:sz w:val="22"/>
          <w:lang w:eastAsia="en-GB" w:bidi="ar-SA"/>
          <w14:ligatures w14:val="standardContextual"/>
        </w:rPr>
      </w:pPr>
      <w:hyperlink w:anchor="_Toc188607276" w:history="1">
        <w:r w:rsidRPr="00715F76">
          <w:rPr>
            <w:rStyle w:val="Hyperlink"/>
          </w:rPr>
          <w:t>13.</w:t>
        </w:r>
        <w:r>
          <w:rPr>
            <w:rFonts w:asciiTheme="minorHAnsi" w:eastAsiaTheme="minorEastAsia" w:hAnsiTheme="minorHAnsi" w:cstheme="minorBidi"/>
            <w:kern w:val="2"/>
            <w:sz w:val="22"/>
            <w:lang w:eastAsia="en-GB" w:bidi="ar-SA"/>
            <w14:ligatures w14:val="standardContextual"/>
          </w:rPr>
          <w:tab/>
        </w:r>
        <w:r w:rsidRPr="00715F76">
          <w:rPr>
            <w:rStyle w:val="Hyperlink"/>
          </w:rPr>
          <w:t>Use and Dissemination of Information</w:t>
        </w:r>
        <w:r>
          <w:rPr>
            <w:webHidden/>
          </w:rPr>
          <w:tab/>
        </w:r>
        <w:r>
          <w:rPr>
            <w:webHidden/>
          </w:rPr>
          <w:fldChar w:fldCharType="begin"/>
        </w:r>
        <w:r>
          <w:rPr>
            <w:webHidden/>
          </w:rPr>
          <w:instrText xml:space="preserve"> PAGEREF _Toc188607276 \h </w:instrText>
        </w:r>
        <w:r>
          <w:rPr>
            <w:webHidden/>
          </w:rPr>
        </w:r>
        <w:r>
          <w:rPr>
            <w:webHidden/>
          </w:rPr>
          <w:fldChar w:fldCharType="separate"/>
        </w:r>
        <w:r>
          <w:rPr>
            <w:webHidden/>
          </w:rPr>
          <w:t>15</w:t>
        </w:r>
        <w:r>
          <w:rPr>
            <w:webHidden/>
          </w:rPr>
          <w:fldChar w:fldCharType="end"/>
        </w:r>
      </w:hyperlink>
    </w:p>
    <w:p w14:paraId="2E030E38" w14:textId="1AD14583" w:rsidR="00661A52" w:rsidRDefault="00661A52">
      <w:pPr>
        <w:pStyle w:val="TOC1"/>
        <w:rPr>
          <w:rFonts w:asciiTheme="minorHAnsi" w:eastAsiaTheme="minorEastAsia" w:hAnsiTheme="minorHAnsi" w:cstheme="minorBidi"/>
          <w:kern w:val="2"/>
          <w:sz w:val="22"/>
          <w:lang w:eastAsia="en-GB" w:bidi="ar-SA"/>
          <w14:ligatures w14:val="standardContextual"/>
        </w:rPr>
      </w:pPr>
      <w:hyperlink w:anchor="_Toc188607277" w:history="1">
        <w:r w:rsidRPr="00715F76">
          <w:rPr>
            <w:rStyle w:val="Hyperlink"/>
          </w:rPr>
          <w:t>References</w:t>
        </w:r>
        <w:r>
          <w:rPr>
            <w:webHidden/>
          </w:rPr>
          <w:tab/>
        </w:r>
        <w:r>
          <w:rPr>
            <w:webHidden/>
          </w:rPr>
          <w:fldChar w:fldCharType="begin"/>
        </w:r>
        <w:r>
          <w:rPr>
            <w:webHidden/>
          </w:rPr>
          <w:instrText xml:space="preserve"> PAGEREF _Toc188607277 \h </w:instrText>
        </w:r>
        <w:r>
          <w:rPr>
            <w:webHidden/>
          </w:rPr>
        </w:r>
        <w:r>
          <w:rPr>
            <w:webHidden/>
          </w:rPr>
          <w:fldChar w:fldCharType="separate"/>
        </w:r>
        <w:r>
          <w:rPr>
            <w:webHidden/>
          </w:rPr>
          <w:t>17</w:t>
        </w:r>
        <w:r>
          <w:rPr>
            <w:webHidden/>
          </w:rPr>
          <w:fldChar w:fldCharType="end"/>
        </w:r>
      </w:hyperlink>
    </w:p>
    <w:p w14:paraId="464537A3" w14:textId="39D75A39" w:rsidR="00661A52" w:rsidRDefault="00661A52">
      <w:pPr>
        <w:pStyle w:val="TOC1"/>
        <w:rPr>
          <w:rFonts w:asciiTheme="minorHAnsi" w:eastAsiaTheme="minorEastAsia" w:hAnsiTheme="minorHAnsi" w:cstheme="minorBidi"/>
          <w:kern w:val="2"/>
          <w:sz w:val="22"/>
          <w:lang w:eastAsia="en-GB" w:bidi="ar-SA"/>
          <w14:ligatures w14:val="standardContextual"/>
        </w:rPr>
      </w:pPr>
      <w:hyperlink w:anchor="_Toc188607278" w:history="1">
        <w:r w:rsidRPr="00715F76">
          <w:rPr>
            <w:rStyle w:val="Hyperlink"/>
          </w:rPr>
          <w:t>Glossary and Abbreviations</w:t>
        </w:r>
        <w:r>
          <w:rPr>
            <w:webHidden/>
          </w:rPr>
          <w:tab/>
        </w:r>
        <w:r>
          <w:rPr>
            <w:webHidden/>
          </w:rPr>
          <w:fldChar w:fldCharType="begin"/>
        </w:r>
        <w:r>
          <w:rPr>
            <w:webHidden/>
          </w:rPr>
          <w:instrText xml:space="preserve"> PAGEREF _Toc188607278 \h </w:instrText>
        </w:r>
        <w:r>
          <w:rPr>
            <w:webHidden/>
          </w:rPr>
        </w:r>
        <w:r>
          <w:rPr>
            <w:webHidden/>
          </w:rPr>
          <w:fldChar w:fldCharType="separate"/>
        </w:r>
        <w:r>
          <w:rPr>
            <w:webHidden/>
          </w:rPr>
          <w:t>18</w:t>
        </w:r>
        <w:r>
          <w:rPr>
            <w:webHidden/>
          </w:rPr>
          <w:fldChar w:fldCharType="end"/>
        </w:r>
      </w:hyperlink>
    </w:p>
    <w:p w14:paraId="68743204" w14:textId="689CF0A8" w:rsidR="00661A52" w:rsidRDefault="00661A52">
      <w:pPr>
        <w:pStyle w:val="TOC1"/>
        <w:rPr>
          <w:rFonts w:asciiTheme="minorHAnsi" w:eastAsiaTheme="minorEastAsia" w:hAnsiTheme="minorHAnsi" w:cstheme="minorBidi"/>
          <w:kern w:val="2"/>
          <w:sz w:val="22"/>
          <w:lang w:eastAsia="en-GB" w:bidi="ar-SA"/>
          <w14:ligatures w14:val="standardContextual"/>
        </w:rPr>
      </w:pPr>
      <w:hyperlink w:anchor="_Toc188607279" w:history="1">
        <w:r w:rsidRPr="00715F76">
          <w:rPr>
            <w:rStyle w:val="Hyperlink"/>
          </w:rPr>
          <w:t>Appendix 1: Investigation of Events</w:t>
        </w:r>
        <w:r>
          <w:rPr>
            <w:webHidden/>
          </w:rPr>
          <w:tab/>
        </w:r>
        <w:r>
          <w:rPr>
            <w:webHidden/>
          </w:rPr>
          <w:fldChar w:fldCharType="begin"/>
        </w:r>
        <w:r>
          <w:rPr>
            <w:webHidden/>
          </w:rPr>
          <w:instrText xml:space="preserve"> PAGEREF _Toc188607279 \h </w:instrText>
        </w:r>
        <w:r>
          <w:rPr>
            <w:webHidden/>
          </w:rPr>
        </w:r>
        <w:r>
          <w:rPr>
            <w:webHidden/>
          </w:rPr>
          <w:fldChar w:fldCharType="separate"/>
        </w:r>
        <w:r>
          <w:rPr>
            <w:webHidden/>
          </w:rPr>
          <w:t>19</w:t>
        </w:r>
        <w:r>
          <w:rPr>
            <w:webHidden/>
          </w:rPr>
          <w:fldChar w:fldCharType="end"/>
        </w:r>
      </w:hyperlink>
    </w:p>
    <w:p w14:paraId="4CAFC06F" w14:textId="274AEB4E" w:rsidR="00661A52" w:rsidRDefault="00661A52">
      <w:pPr>
        <w:pStyle w:val="TOC1"/>
        <w:rPr>
          <w:rFonts w:asciiTheme="minorHAnsi" w:eastAsiaTheme="minorEastAsia" w:hAnsiTheme="minorHAnsi" w:cstheme="minorBidi"/>
          <w:kern w:val="2"/>
          <w:sz w:val="22"/>
          <w:lang w:eastAsia="en-GB" w:bidi="ar-SA"/>
          <w14:ligatures w14:val="standardContextual"/>
        </w:rPr>
      </w:pPr>
      <w:hyperlink w:anchor="_Toc188607280" w:history="1">
        <w:r w:rsidRPr="00715F76">
          <w:rPr>
            <w:rStyle w:val="Hyperlink"/>
          </w:rPr>
          <w:t>Appendix 2: Analysis of Events</w:t>
        </w:r>
        <w:r>
          <w:rPr>
            <w:webHidden/>
          </w:rPr>
          <w:tab/>
        </w:r>
        <w:r>
          <w:rPr>
            <w:webHidden/>
          </w:rPr>
          <w:fldChar w:fldCharType="begin"/>
        </w:r>
        <w:r>
          <w:rPr>
            <w:webHidden/>
          </w:rPr>
          <w:instrText xml:space="preserve"> PAGEREF _Toc188607280 \h </w:instrText>
        </w:r>
        <w:r>
          <w:rPr>
            <w:webHidden/>
          </w:rPr>
        </w:r>
        <w:r>
          <w:rPr>
            <w:webHidden/>
          </w:rPr>
          <w:fldChar w:fldCharType="separate"/>
        </w:r>
        <w:r>
          <w:rPr>
            <w:webHidden/>
          </w:rPr>
          <w:t>21</w:t>
        </w:r>
        <w:r>
          <w:rPr>
            <w:webHidden/>
          </w:rPr>
          <w:fldChar w:fldCharType="end"/>
        </w:r>
      </w:hyperlink>
    </w:p>
    <w:p w14:paraId="3B9A5201" w14:textId="0D763B44" w:rsidR="00763DD5" w:rsidRDefault="00763DD5" w:rsidP="00763DD5">
      <w:r>
        <w:fldChar w:fldCharType="end"/>
      </w:r>
    </w:p>
    <w:p w14:paraId="18D445DD" w14:textId="72AE2F76" w:rsidR="00763DD5" w:rsidRDefault="00763DD5" w:rsidP="00763DD5"/>
    <w:p w14:paraId="1F5FB230" w14:textId="77777777" w:rsidR="00763DD5" w:rsidRDefault="00763DD5">
      <w:pPr>
        <w:spacing w:after="160" w:line="259" w:lineRule="auto"/>
      </w:pPr>
      <w:r>
        <w:br w:type="page"/>
      </w:r>
    </w:p>
    <w:p w14:paraId="38A12FF3" w14:textId="77777777" w:rsidR="003612BF" w:rsidRDefault="003612BF" w:rsidP="003612BF">
      <w:pPr>
        <w:pStyle w:val="Heading1"/>
        <w:ind w:left="851" w:hanging="851"/>
      </w:pPr>
      <w:bookmarkStart w:id="0" w:name="_Toc188271454"/>
      <w:bookmarkStart w:id="1" w:name="_Toc188607264"/>
      <w:r w:rsidRPr="00E90780">
        <w:lastRenderedPageBreak/>
        <w:t>Introduction</w:t>
      </w:r>
      <w:bookmarkEnd w:id="0"/>
      <w:bookmarkEnd w:id="1"/>
    </w:p>
    <w:p w14:paraId="1AB94BCE" w14:textId="39AABD28" w:rsidR="003612BF" w:rsidRPr="00712FD1" w:rsidRDefault="003612BF" w:rsidP="003612BF">
      <w:pPr>
        <w:pStyle w:val="F9-Paragraph"/>
        <w:numPr>
          <w:ilvl w:val="0"/>
          <w:numId w:val="4"/>
        </w:numPr>
        <w:ind w:left="851" w:hanging="851"/>
      </w:pPr>
      <w:bookmarkStart w:id="2" w:name="_Hlk64448648"/>
      <w:r w:rsidRPr="0026291C">
        <w:t>The Office for Nuclear Regulation (ONR) has established a set of Security Assessment Principles (</w:t>
      </w:r>
      <w:proofErr w:type="spellStart"/>
      <w:r w:rsidRPr="0026291C">
        <w:t>SyAPs</w:t>
      </w:r>
      <w:proofErr w:type="spellEnd"/>
      <w:r w:rsidRPr="0026291C">
        <w:t>) (Ref</w:t>
      </w:r>
      <w:r w:rsidR="00745C07">
        <w:t>.</w:t>
      </w:r>
      <w:r w:rsidR="00696AF6">
        <w:t xml:space="preserve"> </w:t>
      </w:r>
      <w:sdt>
        <w:sdtPr>
          <w:id w:val="-1753120702"/>
          <w:citation/>
        </w:sdtPr>
        <w:sdtEndPr/>
        <w:sdtContent>
          <w:r w:rsidR="00696AF6">
            <w:fldChar w:fldCharType="begin"/>
          </w:r>
          <w:r w:rsidR="00696AF6">
            <w:instrText xml:space="preserve"> CITATION SyAps \l 2057 </w:instrText>
          </w:r>
          <w:r w:rsidR="00696AF6">
            <w:fldChar w:fldCharType="separate"/>
          </w:r>
          <w:r w:rsidR="005C06DF">
            <w:rPr>
              <w:noProof/>
            </w:rPr>
            <w:t>[1]</w:t>
          </w:r>
          <w:r w:rsidR="00696AF6">
            <w:fldChar w:fldCharType="end"/>
          </w:r>
        </w:sdtContent>
      </w:sdt>
      <w:r w:rsidRPr="0026291C">
        <w:t>). This document contains Fundamental Security Principles (</w:t>
      </w:r>
      <w:proofErr w:type="spellStart"/>
      <w:r w:rsidRPr="0026291C">
        <w:t>FSyPs</w:t>
      </w:r>
      <w:proofErr w:type="spellEnd"/>
      <w:r w:rsidRPr="0026291C">
        <w:t xml:space="preserve">) that </w:t>
      </w:r>
      <w:proofErr w:type="spellStart"/>
      <w:r w:rsidRPr="0026291C">
        <w:t>dutyholders</w:t>
      </w:r>
      <w:proofErr w:type="spellEnd"/>
      <w:r w:rsidRPr="0026291C">
        <w:t xml:space="preserve"> must demonstrate have been fully taken into account in developing their security arrangements to meet relevant legal obligations. The security regime for meeting these principles is described in security plans prepared by the </w:t>
      </w:r>
      <w:proofErr w:type="spellStart"/>
      <w:r w:rsidRPr="0026291C">
        <w:t>dutyholders</w:t>
      </w:r>
      <w:proofErr w:type="spellEnd"/>
      <w:r w:rsidRPr="0026291C">
        <w:t>, which are approved by ONR under the Nuclear Industries Security Regulations (NISR) 2003 (Ref</w:t>
      </w:r>
      <w:r w:rsidR="0051216C">
        <w:t>.</w:t>
      </w:r>
      <w:sdt>
        <w:sdtPr>
          <w:id w:val="-1227526290"/>
          <w:citation/>
        </w:sdtPr>
        <w:sdtEndPr/>
        <w:sdtContent>
          <w:r w:rsidR="00696AF6">
            <w:fldChar w:fldCharType="begin"/>
          </w:r>
          <w:r w:rsidR="00696AF6">
            <w:instrText xml:space="preserve"> CITATION NISR \l 2057 </w:instrText>
          </w:r>
          <w:r w:rsidR="00696AF6">
            <w:fldChar w:fldCharType="separate"/>
          </w:r>
          <w:r w:rsidR="005C06DF">
            <w:rPr>
              <w:noProof/>
            </w:rPr>
            <w:t xml:space="preserve"> [2]</w:t>
          </w:r>
          <w:r w:rsidR="00696AF6">
            <w:fldChar w:fldCharType="end"/>
          </w:r>
        </w:sdtContent>
      </w:sdt>
      <w:r w:rsidRPr="0026291C">
        <w:t>).</w:t>
      </w:r>
    </w:p>
    <w:bookmarkEnd w:id="2"/>
    <w:p w14:paraId="519DDF19" w14:textId="456D22D7" w:rsidR="003612BF" w:rsidRDefault="003612BF" w:rsidP="003612BF">
      <w:pPr>
        <w:pStyle w:val="F9-Paragraph"/>
      </w:pPr>
      <w:r w:rsidRPr="00B56B1E">
        <w:t xml:space="preserve">The term ‘security plan’ is used to cover all </w:t>
      </w:r>
      <w:proofErr w:type="spellStart"/>
      <w:r w:rsidRPr="00B56B1E">
        <w:t>dutyholder</w:t>
      </w:r>
      <w:proofErr w:type="spellEnd"/>
      <w:r w:rsidRPr="00B56B1E">
        <w:t xml:space="preserve"> submissions such as nuclear site security plans, temporary security plans and transport security statements. NISR Regulation 22 </w:t>
      </w:r>
      <w:proofErr w:type="spellStart"/>
      <w:r w:rsidRPr="00B56B1E">
        <w:t>dutyholders</w:t>
      </w:r>
      <w:proofErr w:type="spellEnd"/>
      <w:r w:rsidRPr="00B56B1E">
        <w:t xml:space="preserve"> may also use the </w:t>
      </w:r>
      <w:proofErr w:type="spellStart"/>
      <w:r w:rsidRPr="00B56B1E">
        <w:t>SyAPs</w:t>
      </w:r>
      <w:proofErr w:type="spellEnd"/>
      <w:r w:rsidRPr="00B56B1E">
        <w:t xml:space="preserve"> as the basis for Cyber Security and Information Assurance (CS&amp;IA) documentation that helps them demonstrate ongoing legal compliance for the protection of Sensitive Nuclear Information (SNI). The </w:t>
      </w:r>
      <w:proofErr w:type="spellStart"/>
      <w:r w:rsidRPr="00B56B1E">
        <w:t>SyAPs</w:t>
      </w:r>
      <w:proofErr w:type="spellEnd"/>
      <w:r w:rsidRPr="00B56B1E">
        <w:t xml:space="preserve"> are supported by a suite of guides to assist ONR inspectors in their assessment and inspection work, and in making regulatory judgements and decisions. This Technical Assessment Guidance (TAG) is such a guide.</w:t>
      </w:r>
    </w:p>
    <w:p w14:paraId="7CE83109" w14:textId="6F54C64C" w:rsidR="003612BF" w:rsidRDefault="003612BF" w:rsidP="00763DD5"/>
    <w:p w14:paraId="5331E84D" w14:textId="639E6AFB" w:rsidR="003612BF" w:rsidRDefault="003612BF" w:rsidP="00E4211D">
      <w:pPr>
        <w:pStyle w:val="Heading1"/>
        <w:ind w:left="851" w:hanging="851"/>
      </w:pPr>
      <w:bookmarkStart w:id="3" w:name="_Toc188271455"/>
      <w:bookmarkStart w:id="4" w:name="_Toc188607265"/>
      <w:r>
        <w:t>Purpose and Scope</w:t>
      </w:r>
      <w:bookmarkEnd w:id="3"/>
      <w:bookmarkEnd w:id="4"/>
    </w:p>
    <w:p w14:paraId="2B7AE78E" w14:textId="2CD99E57" w:rsidR="003612BF" w:rsidRDefault="003612BF" w:rsidP="00121907">
      <w:pPr>
        <w:pStyle w:val="F9-Paragraph"/>
      </w:pPr>
      <w:r w:rsidRPr="00E42A85">
        <w:t xml:space="preserve">This TAG contains guidance to advise and inform ONR inspectors in exercising their regulatory judgment during assessment activities relating to a </w:t>
      </w:r>
      <w:proofErr w:type="spellStart"/>
      <w:r w:rsidRPr="00E42A85">
        <w:t>dutyholder’s</w:t>
      </w:r>
      <w:proofErr w:type="spellEnd"/>
      <w:r w:rsidRPr="00E42A85">
        <w:t xml:space="preserve"> governance and leadership arrangements. It aims to provide general advice and guidance to ONR inspectors on how this aspect of security should be assessed. It does not set out how ONR regulates the </w:t>
      </w:r>
      <w:proofErr w:type="spellStart"/>
      <w:r w:rsidRPr="00E42A85">
        <w:t>dutyholder’s</w:t>
      </w:r>
      <w:proofErr w:type="spellEnd"/>
      <w:r w:rsidRPr="00E42A85">
        <w:t xml:space="preserve"> arrangements. It does not prescribe the detail, targets or methodologies for </w:t>
      </w:r>
      <w:proofErr w:type="spellStart"/>
      <w:r w:rsidRPr="00E42A85">
        <w:t>dutyholders</w:t>
      </w:r>
      <w:proofErr w:type="spellEnd"/>
      <w:r w:rsidRPr="00E42A85">
        <w:t xml:space="preserve"> to follow in demonstrating they have addressed the </w:t>
      </w:r>
      <w:proofErr w:type="spellStart"/>
      <w:r w:rsidRPr="00E42A85">
        <w:t>SyAPs</w:t>
      </w:r>
      <w:proofErr w:type="spellEnd"/>
      <w:r w:rsidRPr="00E42A85">
        <w:t xml:space="preserve">. It is the </w:t>
      </w:r>
      <w:proofErr w:type="spellStart"/>
      <w:r w:rsidRPr="00E42A85">
        <w:t>dutyholder’s</w:t>
      </w:r>
      <w:proofErr w:type="spellEnd"/>
      <w:r w:rsidRPr="00E42A85">
        <w:t xml:space="preserve"> responsibility to determine and describe this detail and for ONR to assess whether the arrangements are adequate.</w:t>
      </w:r>
    </w:p>
    <w:p w14:paraId="55A73B29" w14:textId="77777777" w:rsidR="00121907" w:rsidRDefault="00121907" w:rsidP="00121907">
      <w:pPr>
        <w:pStyle w:val="F9-Paragraph"/>
        <w:numPr>
          <w:ilvl w:val="0"/>
          <w:numId w:val="0"/>
        </w:numPr>
        <w:ind w:left="851" w:hanging="851"/>
      </w:pPr>
    </w:p>
    <w:p w14:paraId="5DF81BE8" w14:textId="77777777" w:rsidR="00121907" w:rsidRDefault="00121907" w:rsidP="00121907">
      <w:pPr>
        <w:pStyle w:val="F9-Paragraph"/>
        <w:numPr>
          <w:ilvl w:val="0"/>
          <w:numId w:val="0"/>
        </w:numPr>
        <w:ind w:left="851" w:hanging="851"/>
      </w:pPr>
    </w:p>
    <w:p w14:paraId="366A5465" w14:textId="77777777" w:rsidR="00121907" w:rsidRDefault="00121907" w:rsidP="00121907">
      <w:pPr>
        <w:pStyle w:val="F9-Paragraph"/>
        <w:numPr>
          <w:ilvl w:val="0"/>
          <w:numId w:val="0"/>
        </w:numPr>
        <w:ind w:left="851" w:hanging="851"/>
      </w:pPr>
    </w:p>
    <w:p w14:paraId="73B5FE41" w14:textId="77777777" w:rsidR="00121907" w:rsidRDefault="00121907" w:rsidP="00121907">
      <w:pPr>
        <w:pStyle w:val="F9-Paragraph"/>
        <w:numPr>
          <w:ilvl w:val="0"/>
          <w:numId w:val="0"/>
        </w:numPr>
        <w:ind w:left="851" w:hanging="851"/>
      </w:pPr>
    </w:p>
    <w:p w14:paraId="72BDBE4F" w14:textId="76A081E6" w:rsidR="003612BF" w:rsidRDefault="003612BF" w:rsidP="00E4211D">
      <w:pPr>
        <w:pStyle w:val="Heading1"/>
        <w:ind w:left="851" w:hanging="851"/>
      </w:pPr>
      <w:bookmarkStart w:id="5" w:name="_Toc188607266"/>
      <w:r>
        <w:lastRenderedPageBreak/>
        <w:t>Relationship to Relevant Legislation</w:t>
      </w:r>
      <w:bookmarkEnd w:id="5"/>
    </w:p>
    <w:p w14:paraId="28F8467E" w14:textId="77777777" w:rsidR="003612BF" w:rsidRDefault="003612BF" w:rsidP="003612BF">
      <w:pPr>
        <w:pStyle w:val="F9-Paragraph"/>
      </w:pPr>
      <w:r w:rsidRPr="006665D6">
        <w:t>The term ‘</w:t>
      </w:r>
      <w:proofErr w:type="spellStart"/>
      <w:r w:rsidRPr="006665D6">
        <w:t>dutyholder</w:t>
      </w:r>
      <w:proofErr w:type="spellEnd"/>
      <w:r w:rsidRPr="006665D6">
        <w:t>’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p>
    <w:p w14:paraId="57B51C93" w14:textId="77777777" w:rsidR="003612BF" w:rsidRDefault="003612BF" w:rsidP="003612BF">
      <w:pPr>
        <w:pStyle w:val="F9-Paragraph"/>
      </w:pPr>
      <w:r w:rsidRPr="000659ED">
        <w:t xml:space="preserve">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ONR considers leadership and management for security to be an important component of a </w:t>
      </w:r>
      <w:proofErr w:type="spellStart"/>
      <w:r w:rsidRPr="000659ED">
        <w:t>dutyholder’s</w:t>
      </w:r>
      <w:proofErr w:type="spellEnd"/>
      <w:r w:rsidRPr="000659ED">
        <w:t xml:space="preserve"> arrangements in demonstrating compliance with relevant legislation.</w:t>
      </w:r>
    </w:p>
    <w:p w14:paraId="11CD0A84" w14:textId="77777777" w:rsidR="003612BF" w:rsidRPr="003612BF" w:rsidRDefault="003612BF" w:rsidP="003612BF"/>
    <w:p w14:paraId="21D7F039" w14:textId="3D132950" w:rsidR="003612BF" w:rsidRDefault="003612BF" w:rsidP="00763DD5"/>
    <w:p w14:paraId="2324C545" w14:textId="77777777" w:rsidR="003612BF" w:rsidRDefault="003612BF">
      <w:pPr>
        <w:spacing w:after="160" w:line="259" w:lineRule="auto"/>
      </w:pPr>
      <w:r>
        <w:br w:type="page"/>
      </w:r>
    </w:p>
    <w:p w14:paraId="228D6BA9" w14:textId="7607AC96" w:rsidR="003612BF" w:rsidRDefault="003612BF" w:rsidP="00E4211D">
      <w:pPr>
        <w:pStyle w:val="Heading1"/>
        <w:ind w:left="851" w:hanging="851"/>
      </w:pPr>
      <w:bookmarkStart w:id="6" w:name="_Toc188607267"/>
      <w:r>
        <w:lastRenderedPageBreak/>
        <w:t>Relationship to IAEA Documentation and Guidance</w:t>
      </w:r>
      <w:bookmarkEnd w:id="6"/>
    </w:p>
    <w:p w14:paraId="049AF7AD" w14:textId="66D2D8E1" w:rsidR="003612BF" w:rsidRDefault="003612BF" w:rsidP="003612BF">
      <w:pPr>
        <w:pStyle w:val="F9-Paragraph"/>
      </w:pPr>
      <w:r w:rsidRPr="003612BF">
        <w:t>The essential elements of a national nuclear security regime are set out in the Convention on the Physical Protection of Nuclear Material (CPPNM) (</w:t>
      </w:r>
      <w:r w:rsidR="00643C7E">
        <w:t>Ref.</w:t>
      </w:r>
      <w:sdt>
        <w:sdtPr>
          <w:id w:val="453216830"/>
          <w:citation/>
        </w:sdtPr>
        <w:sdtEndPr/>
        <w:sdtContent>
          <w:r w:rsidR="00696AF6">
            <w:fldChar w:fldCharType="begin"/>
          </w:r>
          <w:r w:rsidR="00696AF6">
            <w:instrText xml:space="preserve"> CITATION Con \l 2057 </w:instrText>
          </w:r>
          <w:r w:rsidR="00696AF6">
            <w:fldChar w:fldCharType="separate"/>
          </w:r>
          <w:r w:rsidR="005C06DF">
            <w:rPr>
              <w:noProof/>
            </w:rPr>
            <w:t xml:space="preserve"> [3]</w:t>
          </w:r>
          <w:r w:rsidR="00696AF6">
            <w:fldChar w:fldCharType="end"/>
          </w:r>
        </w:sdtContent>
      </w:sdt>
      <w:r w:rsidRPr="003612BF">
        <w:t>) and the IAEA Nuclear Security Fundamentals (</w:t>
      </w:r>
      <w:r w:rsidR="00696AF6">
        <w:t>Ref</w:t>
      </w:r>
      <w:sdt>
        <w:sdtPr>
          <w:id w:val="1450057925"/>
          <w:citation/>
        </w:sdtPr>
        <w:sdtEndPr/>
        <w:sdtContent>
          <w:r w:rsidR="00EF6270">
            <w:fldChar w:fldCharType="begin"/>
          </w:r>
          <w:r w:rsidR="00EF6270">
            <w:instrText xml:space="preserve"> CITATION IAE1 \l 2057 </w:instrText>
          </w:r>
          <w:r w:rsidR="00EF6270">
            <w:fldChar w:fldCharType="separate"/>
          </w:r>
          <w:r w:rsidR="005C06DF">
            <w:rPr>
              <w:noProof/>
            </w:rPr>
            <w:t xml:space="preserve"> [4]</w:t>
          </w:r>
          <w:r w:rsidR="00EF6270">
            <w:fldChar w:fldCharType="end"/>
          </w:r>
        </w:sdtContent>
      </w:sdt>
      <w:r w:rsidR="0073135A">
        <w:t>)</w:t>
      </w:r>
      <w:r w:rsidR="00696AF6">
        <w:t xml:space="preserve">. </w:t>
      </w:r>
      <w:r w:rsidRPr="003612BF">
        <w:t>Further guidance is available within IAEA Technical Guidance and Implementing Guides.</w:t>
      </w:r>
    </w:p>
    <w:p w14:paraId="65E693E0" w14:textId="1560FD7E" w:rsidR="003612BF" w:rsidRDefault="003612BF" w:rsidP="003612BF">
      <w:pPr>
        <w:pStyle w:val="F9-Paragraph"/>
      </w:pPr>
      <w:r w:rsidRPr="003612BF">
        <w:t>The importance of issues relating to organisational learning are also recognised in the Nuclear Security Fundamentals, specifically:</w:t>
      </w:r>
    </w:p>
    <w:p w14:paraId="724F6BC6" w14:textId="3769F955" w:rsidR="003612BF" w:rsidRPr="003C068B" w:rsidRDefault="003612BF" w:rsidP="009D6D78">
      <w:pPr>
        <w:pStyle w:val="F9-Paragraph"/>
        <w:numPr>
          <w:ilvl w:val="0"/>
          <w:numId w:val="11"/>
        </w:numPr>
      </w:pPr>
      <w:r>
        <w:t>Essential Element 11</w:t>
      </w:r>
      <w:r w:rsidRPr="003C068B">
        <w:t xml:space="preserve">: </w:t>
      </w:r>
      <w:r>
        <w:t>Planning for, Preparedness for, and Response to, a Nuclear Security Event - 3.11 (b) (iii) Feedback into the preparedness process, including into the response plans, the results of exercises and tests of the plans, and of experience; and,</w:t>
      </w:r>
    </w:p>
    <w:p w14:paraId="6BE68429" w14:textId="77777777" w:rsidR="003612BF" w:rsidRPr="009F3F50" w:rsidRDefault="003612BF" w:rsidP="009D6D78">
      <w:pPr>
        <w:pStyle w:val="F9-Paragraph"/>
        <w:numPr>
          <w:ilvl w:val="0"/>
          <w:numId w:val="11"/>
        </w:numPr>
      </w:pPr>
      <w:r w:rsidRPr="003C068B">
        <w:t>Essential Element 12: Sustaining a Nuclear Security Regime</w:t>
      </w:r>
      <w:r>
        <w:t xml:space="preserve"> -</w:t>
      </w:r>
      <w:r w:rsidRPr="003C068B">
        <w:t xml:space="preserve"> 3.12</w:t>
      </w:r>
      <w:r>
        <w:t xml:space="preserve"> (f). Having in place processes for using best practices and lessons learned from experience.</w:t>
      </w:r>
    </w:p>
    <w:p w14:paraId="7CA27973" w14:textId="482CDFA0" w:rsidR="003612BF" w:rsidRPr="003612BF" w:rsidRDefault="003612BF" w:rsidP="003612BF">
      <w:pPr>
        <w:pStyle w:val="F9-Paragraph"/>
      </w:pPr>
      <w:r w:rsidRPr="003612BF">
        <w:t>A more detailed description of the elements is provided in Recommendations level guidance, specifically Nuclear Security Series (NSS) 13, Recommendations on Physical Protection of Nuclear Material and Nuclear Facilities (INFCIRC/225/Revision 5) (Ref</w:t>
      </w:r>
      <w:r w:rsidR="00EF6270">
        <w:t>.</w:t>
      </w:r>
      <w:sdt>
        <w:sdtPr>
          <w:id w:val="-1757894645"/>
          <w:citation/>
        </w:sdtPr>
        <w:sdtEndPr/>
        <w:sdtContent>
          <w:r w:rsidR="00EF6270">
            <w:fldChar w:fldCharType="begin"/>
          </w:r>
          <w:r w:rsidR="00EF6270">
            <w:instrText xml:space="preserve"> CITATION IAE \l 2057 </w:instrText>
          </w:r>
          <w:r w:rsidR="00EF6270">
            <w:fldChar w:fldCharType="separate"/>
          </w:r>
          <w:r w:rsidR="005C06DF">
            <w:rPr>
              <w:noProof/>
            </w:rPr>
            <w:t xml:space="preserve"> [5]</w:t>
          </w:r>
          <w:r w:rsidR="00EF6270">
            <w:fldChar w:fldCharType="end"/>
          </w:r>
        </w:sdtContent>
      </w:sdt>
      <w:r w:rsidRPr="003612BF">
        <w:t>).</w:t>
      </w:r>
    </w:p>
    <w:p w14:paraId="318ACDF0" w14:textId="77777777" w:rsidR="003612BF" w:rsidRPr="003612BF" w:rsidRDefault="003612BF" w:rsidP="003612BF">
      <w:pPr>
        <w:pStyle w:val="F9-Paragraph"/>
      </w:pPr>
      <w:r w:rsidRPr="003612BF">
        <w:t xml:space="preserve">Furthermore, the IAEA defines a near miss as “a potentially significant event that could have occurred as the consequence of a sequence of actual occurrences but did not occur owing to the plant conditions prevailing at the time.” Similarly, it defines a low-level event as a “discovery of a weakness or a deficiency that would have caused an undesirable effect but did not, due to the existence of one (or more) defence in depth barriers.”  Although originating within safety standards, the definition has equal applicability within security. </w:t>
      </w:r>
    </w:p>
    <w:p w14:paraId="507162D2" w14:textId="60C77C85" w:rsidR="003612BF" w:rsidRPr="003612BF" w:rsidRDefault="003612BF" w:rsidP="003612BF">
      <w:pPr>
        <w:pStyle w:val="F9-Paragraph"/>
      </w:pPr>
      <w:r w:rsidRPr="003612BF">
        <w:t xml:space="preserve">Comprehensive guidance on the development of a system for feedback of experience from events in nuclear installations is set out in the IAEA Safety guide on that topic in SSG-50 Operating Experience Feedback for Nuclear Installations – 2018 </w:t>
      </w:r>
      <w:r w:rsidR="00EF6270">
        <w:t xml:space="preserve">(Ref. </w:t>
      </w:r>
      <w:sdt>
        <w:sdtPr>
          <w:id w:val="-1971424213"/>
          <w:citation/>
        </w:sdtPr>
        <w:sdtEndPr/>
        <w:sdtContent>
          <w:r w:rsidR="00EF6270">
            <w:fldChar w:fldCharType="begin"/>
          </w:r>
          <w:r w:rsidR="00EF6270">
            <w:instrText xml:space="preserve"> CITATION IAE2 \l 2057 </w:instrText>
          </w:r>
          <w:r w:rsidR="00EF6270">
            <w:fldChar w:fldCharType="separate"/>
          </w:r>
          <w:r w:rsidR="005C06DF">
            <w:rPr>
              <w:noProof/>
            </w:rPr>
            <w:t>[6]</w:t>
          </w:r>
          <w:r w:rsidR="00EF6270">
            <w:fldChar w:fldCharType="end"/>
          </w:r>
        </w:sdtContent>
      </w:sdt>
      <w:r w:rsidR="00EF6270">
        <w:t>)</w:t>
      </w:r>
      <w:r w:rsidR="0048314F">
        <w:t xml:space="preserve">. </w:t>
      </w:r>
      <w:r w:rsidRPr="003612BF">
        <w:t xml:space="preserve">It focuses on the main components of systems for the feedback of operational experience for gathering relevant information on events and abnormal conditions that have occurred at nuclear sites and investigation and analysis of those events, including corrective actions and learning from experience. Although this guidance has been developed to cover safety events and is not specifically aimed at covering feedback from security events, many of the components in the framework are equally applicable to security events (recognising that the specific requirements </w:t>
      </w:r>
      <w:r w:rsidRPr="003612BF">
        <w:lastRenderedPageBreak/>
        <w:t>covering security events are covered in the IAEA Nuclear Security Series of Guidance such as those at Reference</w:t>
      </w:r>
      <w:r w:rsidR="0048314F">
        <w:t>s</w:t>
      </w:r>
      <w:r w:rsidRPr="003612BF">
        <w:t xml:space="preserve"> </w:t>
      </w:r>
      <w:r w:rsidR="00EF6270">
        <w:t>4</w:t>
      </w:r>
      <w:r w:rsidRPr="003612BF">
        <w:t xml:space="preserve"> and </w:t>
      </w:r>
      <w:r w:rsidR="00EF6270">
        <w:t>5</w:t>
      </w:r>
      <w:r w:rsidRPr="003612BF">
        <w:t>).</w:t>
      </w:r>
    </w:p>
    <w:p w14:paraId="20C47706" w14:textId="01129907" w:rsidR="003612BF" w:rsidRDefault="003612BF" w:rsidP="00E42F48">
      <w:pPr>
        <w:spacing w:after="160" w:line="259" w:lineRule="auto"/>
      </w:pPr>
    </w:p>
    <w:p w14:paraId="43AD7976" w14:textId="303973A5" w:rsidR="003612BF" w:rsidRDefault="003612BF" w:rsidP="00BB1DE8">
      <w:pPr>
        <w:pStyle w:val="Heading1"/>
        <w:ind w:left="851" w:hanging="851"/>
      </w:pPr>
      <w:bookmarkStart w:id="7" w:name="_Toc188607268"/>
      <w:r>
        <w:t>Relationship to National Policy Documents</w:t>
      </w:r>
      <w:bookmarkEnd w:id="7"/>
    </w:p>
    <w:p w14:paraId="44D1DF51" w14:textId="2079E278" w:rsidR="003612BF" w:rsidRPr="003612BF" w:rsidRDefault="003612BF" w:rsidP="003612BF">
      <w:pPr>
        <w:pStyle w:val="F9-Paragraph"/>
      </w:pPr>
      <w:r w:rsidRPr="003612BF">
        <w:t xml:space="preserve">The </w:t>
      </w:r>
      <w:proofErr w:type="spellStart"/>
      <w:r w:rsidRPr="003612BF">
        <w:t>SyAPs</w:t>
      </w:r>
      <w:proofErr w:type="spellEnd"/>
      <w:r w:rsidRPr="003612BF">
        <w:t xml:space="preserve"> provide ONR inspectors with a framework for making consistent regulatory judgements on the effectiveness of a </w:t>
      </w:r>
      <w:proofErr w:type="spellStart"/>
      <w:r w:rsidRPr="003612BF">
        <w:t>dutyholder’s</w:t>
      </w:r>
      <w:proofErr w:type="spellEnd"/>
      <w:r w:rsidRPr="003612BF">
        <w:t xml:space="preserve"> security arrangements. This TAG provides guidance to ONR inspectors when assessing a </w:t>
      </w:r>
      <w:proofErr w:type="spellStart"/>
      <w:r w:rsidRPr="003612BF">
        <w:t>dutyholder’s</w:t>
      </w:r>
      <w:proofErr w:type="spellEnd"/>
      <w:r w:rsidRPr="003612BF">
        <w:t xml:space="preserve"> submission demonstrating they have effective processes in place to achieve </w:t>
      </w:r>
      <w:proofErr w:type="spellStart"/>
      <w:r w:rsidRPr="003612BF">
        <w:t>SyDP</w:t>
      </w:r>
      <w:proofErr w:type="spellEnd"/>
      <w:r w:rsidRPr="003612BF">
        <w:t xml:space="preserve"> 1.4 – Organisational Learning, in support of </w:t>
      </w:r>
      <w:proofErr w:type="spellStart"/>
      <w:r w:rsidRPr="003612BF">
        <w:t>FSyP</w:t>
      </w:r>
      <w:proofErr w:type="spellEnd"/>
      <w:r w:rsidRPr="003612BF">
        <w:t xml:space="preserve"> 1 – Leadership and Management for Security</w:t>
      </w:r>
      <w:r w:rsidR="00796DCA">
        <w:t xml:space="preserve">. </w:t>
      </w:r>
      <w:r w:rsidRPr="003612BF">
        <w:t>The TAG is consistent with other TAGs and associated guidance and policy documentation.</w:t>
      </w:r>
    </w:p>
    <w:p w14:paraId="6EAD91B7" w14:textId="6F92338D" w:rsidR="003612BF" w:rsidRPr="003612BF" w:rsidRDefault="00B94A28" w:rsidP="003612BF">
      <w:pPr>
        <w:pStyle w:val="F9-Paragraph"/>
      </w:pPr>
      <w:r>
        <w:t>Government Functional Standard</w:t>
      </w:r>
      <w:r w:rsidR="001E19EF">
        <w:t xml:space="preserve"> 007: Security</w:t>
      </w:r>
      <w:r>
        <w:t xml:space="preserve"> (</w:t>
      </w:r>
      <w:proofErr w:type="spellStart"/>
      <w:r>
        <w:t>GovS</w:t>
      </w:r>
      <w:proofErr w:type="spellEnd"/>
      <w:r>
        <w:t xml:space="preserve"> 007</w:t>
      </w:r>
      <w:r w:rsidR="001E19EF">
        <w:t>)</w:t>
      </w:r>
      <w:r>
        <w:t xml:space="preserve"> </w:t>
      </w:r>
      <w:r w:rsidR="00E30DA2">
        <w:t>(ref</w:t>
      </w:r>
      <w:r w:rsidR="00EF6270">
        <w:t>.</w:t>
      </w:r>
      <w:r w:rsidR="00E30DA2">
        <w:t xml:space="preserve"> </w:t>
      </w:r>
      <w:sdt>
        <w:sdtPr>
          <w:id w:val="122895123"/>
          <w:citation/>
        </w:sdtPr>
        <w:sdtEndPr/>
        <w:sdtContent>
          <w:r w:rsidR="003F2DD1">
            <w:fldChar w:fldCharType="begin"/>
          </w:r>
          <w:r w:rsidR="003F2DD1">
            <w:instrText xml:space="preserve">CITATION Sec \l 2057 </w:instrText>
          </w:r>
          <w:r w:rsidR="003F2DD1">
            <w:fldChar w:fldCharType="separate"/>
          </w:r>
          <w:r w:rsidR="005C06DF">
            <w:rPr>
              <w:noProof/>
            </w:rPr>
            <w:t>[7]</w:t>
          </w:r>
          <w:r w:rsidR="003F2DD1">
            <w:fldChar w:fldCharType="end"/>
          </w:r>
        </w:sdtContent>
      </w:sdt>
      <w:r w:rsidR="00E30DA2">
        <w:t xml:space="preserve">) </w:t>
      </w:r>
      <w:r>
        <w:t>sets government expectations for protecting government’s assets</w:t>
      </w:r>
      <w:r w:rsidR="00963088">
        <w:t xml:space="preserve"> (people, property and information</w:t>
      </w:r>
      <w:r w:rsidR="00B932DB">
        <w:t>)</w:t>
      </w:r>
      <w:r w:rsidR="00963088">
        <w:t>, visitors to government property and third party suppliers whilst engaged on government business. It replaces the Security Policy Framework (SPF)</w:t>
      </w:r>
      <w:r w:rsidR="00E30DA2">
        <w:t xml:space="preserve"> the policies </w:t>
      </w:r>
      <w:r w:rsidR="00B932DB">
        <w:t>of which</w:t>
      </w:r>
      <w:r w:rsidR="00E30DA2">
        <w:t xml:space="preserve"> remain in effect but are now in support of </w:t>
      </w:r>
      <w:proofErr w:type="spellStart"/>
      <w:r w:rsidR="00E30DA2">
        <w:t>GovS</w:t>
      </w:r>
      <w:proofErr w:type="spellEnd"/>
      <w:r w:rsidR="00E30DA2">
        <w:t xml:space="preserve"> 007. </w:t>
      </w:r>
      <w:r w:rsidR="00103E4F">
        <w:t>The</w:t>
      </w:r>
      <w:r w:rsidR="007C3AE2">
        <w:t xml:space="preserve"> </w:t>
      </w:r>
      <w:r w:rsidR="006F7770">
        <w:t xml:space="preserve">security </w:t>
      </w:r>
      <w:r w:rsidR="003612BF" w:rsidRPr="003612BF">
        <w:t xml:space="preserve">requirements detailed in </w:t>
      </w:r>
      <w:proofErr w:type="spellStart"/>
      <w:r w:rsidR="00103E4F">
        <w:t>GovS</w:t>
      </w:r>
      <w:proofErr w:type="spellEnd"/>
      <w:r w:rsidR="00103E4F">
        <w:t xml:space="preserve"> 00</w:t>
      </w:r>
      <w:r w:rsidR="00D52FF1">
        <w:t>7</w:t>
      </w:r>
      <w:r w:rsidR="007C3AE2">
        <w:t xml:space="preserve"> </w:t>
      </w:r>
      <w:r w:rsidR="003612BF" w:rsidRPr="003612BF">
        <w:t xml:space="preserve">have been incorporated within the </w:t>
      </w:r>
      <w:proofErr w:type="spellStart"/>
      <w:r w:rsidR="003612BF" w:rsidRPr="003612BF">
        <w:t>SyAPs</w:t>
      </w:r>
      <w:proofErr w:type="spellEnd"/>
      <w:r w:rsidR="003612BF" w:rsidRPr="003612BF">
        <w:t xml:space="preserve">. This ensures that </w:t>
      </w:r>
      <w:proofErr w:type="spellStart"/>
      <w:r w:rsidR="003612BF" w:rsidRPr="003612BF">
        <w:t>dutyholders</w:t>
      </w:r>
      <w:proofErr w:type="spellEnd"/>
      <w:r w:rsidR="003612BF" w:rsidRPr="003612BF">
        <w:t xml:space="preserve"> are presented with a coherent set of expectations for the protection of nuclear premises, SNI and the employment of appropriate personnel security controls both on and off nuclear premises.</w:t>
      </w:r>
    </w:p>
    <w:p w14:paraId="6A50DA4D" w14:textId="0B40B8D4" w:rsidR="003612BF" w:rsidRPr="003612BF" w:rsidRDefault="003612BF" w:rsidP="003612BF">
      <w:pPr>
        <w:pStyle w:val="F9-Paragraph"/>
      </w:pPr>
      <w:r w:rsidRPr="003612BF">
        <w:t xml:space="preserve">The </w:t>
      </w:r>
      <w:r w:rsidR="00F049C3">
        <w:t xml:space="preserve">ONR </w:t>
      </w:r>
      <w:r w:rsidRPr="003612BF">
        <w:t xml:space="preserve">Classification Policy </w:t>
      </w:r>
      <w:r w:rsidR="003F2DD1">
        <w:t xml:space="preserve">(Ref. </w:t>
      </w:r>
      <w:sdt>
        <w:sdtPr>
          <w:id w:val="531005356"/>
          <w:citation/>
        </w:sdtPr>
        <w:sdtEndPr/>
        <w:sdtContent>
          <w:r w:rsidR="003F2DD1">
            <w:fldChar w:fldCharType="begin"/>
          </w:r>
          <w:r w:rsidR="003F2DD1">
            <w:instrText xml:space="preserve"> CITATION Nuc \l 2057 </w:instrText>
          </w:r>
          <w:r w:rsidR="003F2DD1">
            <w:fldChar w:fldCharType="separate"/>
          </w:r>
          <w:r w:rsidR="005C06DF">
            <w:rPr>
              <w:noProof/>
            </w:rPr>
            <w:t>[8]</w:t>
          </w:r>
          <w:r w:rsidR="003F2DD1">
            <w:fldChar w:fldCharType="end"/>
          </w:r>
        </w:sdtContent>
      </w:sdt>
      <w:r w:rsidR="003F2DD1">
        <w:t>)</w:t>
      </w:r>
      <w:r w:rsidRPr="003612BF">
        <w:t xml:space="preserve"> indicates those categories of SNI which require protection and the level of security classification to be applied.</w:t>
      </w:r>
    </w:p>
    <w:p w14:paraId="5148C2E6" w14:textId="642DF896" w:rsidR="003612BF" w:rsidRDefault="003612BF" w:rsidP="003612BF">
      <w:pPr>
        <w:pStyle w:val="F9-Paragraph"/>
        <w:numPr>
          <w:ilvl w:val="0"/>
          <w:numId w:val="0"/>
        </w:numPr>
      </w:pPr>
    </w:p>
    <w:p w14:paraId="204C34D4" w14:textId="77777777" w:rsidR="003612BF" w:rsidRPr="003612BF" w:rsidRDefault="003612BF" w:rsidP="003612BF"/>
    <w:p w14:paraId="6DD4D069" w14:textId="77777777" w:rsidR="003612BF" w:rsidRDefault="003612BF">
      <w:pPr>
        <w:spacing w:after="160" w:line="259" w:lineRule="auto"/>
      </w:pPr>
      <w:r>
        <w:br w:type="page"/>
      </w:r>
    </w:p>
    <w:p w14:paraId="19205495" w14:textId="4C4D6203" w:rsidR="003612BF" w:rsidRDefault="003612BF" w:rsidP="0070359B">
      <w:pPr>
        <w:pStyle w:val="Heading1"/>
        <w:ind w:left="851" w:hanging="851"/>
      </w:pPr>
      <w:bookmarkStart w:id="8" w:name="_Toc188607269"/>
      <w:r>
        <w:lastRenderedPageBreak/>
        <w:t>Advice to Inspectors</w:t>
      </w:r>
      <w:bookmarkEnd w:id="8"/>
    </w:p>
    <w:p w14:paraId="1D63F176" w14:textId="4C7BCD67" w:rsidR="003612BF" w:rsidRPr="003612BF" w:rsidRDefault="003612BF" w:rsidP="003612BF">
      <w:pPr>
        <w:pStyle w:val="F9-Paragraph"/>
      </w:pPr>
      <w:r w:rsidRPr="003612BF">
        <w:t xml:space="preserve">An organisational learning programme is an important process which enables a </w:t>
      </w:r>
      <w:proofErr w:type="spellStart"/>
      <w:r w:rsidRPr="003612BF">
        <w:t>dutyholder</w:t>
      </w:r>
      <w:proofErr w:type="spellEnd"/>
      <w:r w:rsidRPr="003612BF">
        <w:t xml:space="preserve"> to maintain and improve efficiency and enhance nuclear security. Furthermore, it is recognised by ONR as a key element of a nuclear industry that has a culture of continuous improvement and sustained excellence in operations.</w:t>
      </w:r>
    </w:p>
    <w:p w14:paraId="7896BE18" w14:textId="11FAE9FF" w:rsidR="003612BF" w:rsidRDefault="003612BF" w:rsidP="003612BF">
      <w:pPr>
        <w:pStyle w:val="F9-Paragraph"/>
      </w:pPr>
      <w:r w:rsidRPr="003612BF">
        <w:t>Organisational Learning is more than just learning from individual events or learning for learning’s sake – it is the engine which drives improvement and is relevant in all business areas and sectors, including nuclear safety. There are two important aspects: an ability to identify learning opportunities and (crucially), the commitment to take action. Both of these aspects are significantly influenced by the working environment and culture in any organisation or team. The culture is set by the leadership within the organisation: setting expectations, leading by example (by applying learning to their own behaviours and activities), driving learning activities, realising learning opportunities through managed change, and recognising and rewarding improvements.</w:t>
      </w:r>
    </w:p>
    <w:p w14:paraId="3E48C9B4" w14:textId="77777777" w:rsidR="00146630" w:rsidRPr="004911FD" w:rsidRDefault="00146630" w:rsidP="00146630">
      <w:pPr>
        <w:pStyle w:val="F9-Paragraph"/>
        <w:numPr>
          <w:ilvl w:val="0"/>
          <w:numId w:val="0"/>
        </w:numPr>
        <w:ind w:left="851"/>
        <w:rPr>
          <w:b/>
          <w:bCs/>
        </w:rPr>
      </w:pPr>
      <w:r w:rsidRPr="004911FD">
        <w:rPr>
          <w:b/>
          <w:bCs/>
        </w:rPr>
        <w:t>Regulatory Expectations</w:t>
      </w:r>
    </w:p>
    <w:p w14:paraId="00B51507" w14:textId="77777777" w:rsidR="00146630" w:rsidRDefault="00146630" w:rsidP="00146630">
      <w:pPr>
        <w:pStyle w:val="F9-Paragraph"/>
      </w:pPr>
      <w:r w:rsidRPr="00146630">
        <w:t xml:space="preserve">The regulatory expectation placed upon the </w:t>
      </w:r>
      <w:proofErr w:type="spellStart"/>
      <w:r w:rsidRPr="00146630">
        <w:t>dutyholder</w:t>
      </w:r>
      <w:proofErr w:type="spellEnd"/>
      <w:r w:rsidRPr="00146630">
        <w:t xml:space="preserve"> is that they will ensure that the security plan identifies a clear structure, framework and processes which supports organisational learning. </w:t>
      </w:r>
    </w:p>
    <w:p w14:paraId="0AAA5AC4" w14:textId="52C82117" w:rsidR="00E44D75" w:rsidRPr="000760C0" w:rsidRDefault="00E44D75" w:rsidP="00E44D75">
      <w:pPr>
        <w:pStyle w:val="F9-Paragraph"/>
        <w:numPr>
          <w:ilvl w:val="0"/>
          <w:numId w:val="0"/>
        </w:numPr>
        <w:rPr>
          <w:b/>
          <w:bCs/>
          <w:sz w:val="22"/>
          <w:szCs w:val="22"/>
        </w:rPr>
      </w:pPr>
      <w:r w:rsidRPr="000760C0">
        <w:rPr>
          <w:b/>
          <w:bCs/>
          <w:sz w:val="22"/>
          <w:szCs w:val="22"/>
        </w:rPr>
        <w:t xml:space="preserve">Table 1: </w:t>
      </w:r>
      <w:proofErr w:type="spellStart"/>
      <w:r w:rsidRPr="000760C0">
        <w:rPr>
          <w:b/>
          <w:bCs/>
          <w:sz w:val="22"/>
          <w:szCs w:val="22"/>
        </w:rPr>
        <w:t>FSyP</w:t>
      </w:r>
      <w:proofErr w:type="spellEnd"/>
      <w:r w:rsidRPr="000760C0">
        <w:rPr>
          <w:b/>
          <w:bCs/>
          <w:sz w:val="22"/>
          <w:szCs w:val="22"/>
        </w:rPr>
        <w:t xml:space="preserve"> 1 - Leadership and Management for Security</w:t>
      </w:r>
    </w:p>
    <w:tbl>
      <w:tblPr>
        <w:tblStyle w:val="ONRTable1"/>
        <w:tblW w:w="9356" w:type="dxa"/>
        <w:tblInd w:w="0" w:type="dxa"/>
        <w:tblLook w:val="04A0" w:firstRow="1" w:lastRow="0" w:firstColumn="1" w:lastColumn="0" w:noHBand="0" w:noVBand="1"/>
      </w:tblPr>
      <w:tblGrid>
        <w:gridCol w:w="3119"/>
        <w:gridCol w:w="4252"/>
        <w:gridCol w:w="1985"/>
      </w:tblGrid>
      <w:tr w:rsidR="00146630" w:rsidRPr="000A51C3" w14:paraId="46E27FB6" w14:textId="77777777" w:rsidTr="00FD7D47">
        <w:trPr>
          <w:cnfStyle w:val="100000000000" w:firstRow="1" w:lastRow="0" w:firstColumn="0" w:lastColumn="0" w:oddVBand="0" w:evenVBand="0" w:oddHBand="0" w:evenHBand="0" w:firstRowFirstColumn="0" w:firstRowLastColumn="0" w:lastRowFirstColumn="0" w:lastRowLastColumn="0"/>
        </w:trPr>
        <w:tc>
          <w:tcPr>
            <w:tcW w:w="3119" w:type="dxa"/>
            <w:hideMark/>
          </w:tcPr>
          <w:p w14:paraId="7EAF1C9E" w14:textId="77777777" w:rsidR="00146630" w:rsidRPr="000A51C3" w:rsidRDefault="00146630" w:rsidP="00FD7D47">
            <w:pPr>
              <w:pStyle w:val="TableText"/>
              <w:keepNext/>
              <w:rPr>
                <w:b w:val="0"/>
                <w:bCs/>
              </w:rPr>
            </w:pPr>
            <w:proofErr w:type="spellStart"/>
            <w:r w:rsidRPr="003D41B6">
              <w:rPr>
                <w:b w:val="0"/>
                <w:bCs/>
              </w:rPr>
              <w:t>FSyP</w:t>
            </w:r>
            <w:proofErr w:type="spellEnd"/>
            <w:r w:rsidRPr="003D41B6">
              <w:rPr>
                <w:b w:val="0"/>
                <w:bCs/>
              </w:rPr>
              <w:t xml:space="preserve"> 1 - Leadership and Management for Security</w:t>
            </w:r>
          </w:p>
        </w:tc>
        <w:tc>
          <w:tcPr>
            <w:tcW w:w="4252" w:type="dxa"/>
            <w:vAlign w:val="center"/>
          </w:tcPr>
          <w:p w14:paraId="1EE9C453" w14:textId="2B3EF9B3" w:rsidR="00146630" w:rsidRPr="000A51C3" w:rsidRDefault="00146630" w:rsidP="00FD7D47">
            <w:pPr>
              <w:pStyle w:val="TableText"/>
              <w:keepNext/>
              <w:rPr>
                <w:b w:val="0"/>
                <w:bCs/>
              </w:rPr>
            </w:pPr>
            <w:r>
              <w:rPr>
                <w:b w:val="0"/>
                <w:bCs/>
              </w:rPr>
              <w:t>Organisational Learning</w:t>
            </w:r>
          </w:p>
        </w:tc>
        <w:tc>
          <w:tcPr>
            <w:tcW w:w="1985" w:type="dxa"/>
            <w:vAlign w:val="center"/>
          </w:tcPr>
          <w:p w14:paraId="091D5F6D" w14:textId="11A8DE64" w:rsidR="00146630" w:rsidRPr="000A51C3" w:rsidRDefault="00146630" w:rsidP="00FD7D47">
            <w:pPr>
              <w:pStyle w:val="TableText"/>
              <w:keepNext/>
              <w:rPr>
                <w:b w:val="0"/>
                <w:bCs/>
              </w:rPr>
            </w:pPr>
            <w:proofErr w:type="spellStart"/>
            <w:r w:rsidRPr="009F5684">
              <w:rPr>
                <w:b w:val="0"/>
                <w:bCs/>
              </w:rPr>
              <w:t>SyDP</w:t>
            </w:r>
            <w:proofErr w:type="spellEnd"/>
            <w:r w:rsidRPr="009F5684">
              <w:rPr>
                <w:b w:val="0"/>
                <w:bCs/>
              </w:rPr>
              <w:t xml:space="preserve"> 1.</w:t>
            </w:r>
            <w:r>
              <w:rPr>
                <w:b w:val="0"/>
                <w:bCs/>
              </w:rPr>
              <w:t>4</w:t>
            </w:r>
          </w:p>
        </w:tc>
      </w:tr>
      <w:tr w:rsidR="00146630" w:rsidRPr="000A51C3" w14:paraId="0CE94ED6" w14:textId="77777777" w:rsidTr="00FD7D47">
        <w:tc>
          <w:tcPr>
            <w:tcW w:w="9356" w:type="dxa"/>
            <w:gridSpan w:val="3"/>
            <w:hideMark/>
          </w:tcPr>
          <w:p w14:paraId="7A4A3BE9" w14:textId="61474D75" w:rsidR="00146630" w:rsidRPr="000A51C3" w:rsidRDefault="00146630" w:rsidP="00FD7D47">
            <w:pPr>
              <w:pStyle w:val="TableText"/>
              <w:rPr>
                <w:sz w:val="22"/>
                <w:szCs w:val="20"/>
              </w:rPr>
            </w:pPr>
            <w:r w:rsidRPr="008F6D93">
              <w:t>Lessons should be learned from internal and external sources to continually improve leadership, organisational capability, the management system, security decision making and security performance.</w:t>
            </w:r>
          </w:p>
        </w:tc>
      </w:tr>
    </w:tbl>
    <w:p w14:paraId="120417A4" w14:textId="1EF1BAFF" w:rsidR="003612BF" w:rsidRPr="003612BF" w:rsidRDefault="003612BF" w:rsidP="00146630">
      <w:pPr>
        <w:pStyle w:val="F9-Paragraph"/>
        <w:numPr>
          <w:ilvl w:val="0"/>
          <w:numId w:val="0"/>
        </w:numPr>
      </w:pPr>
    </w:p>
    <w:p w14:paraId="318D49E7" w14:textId="77777777" w:rsidR="003612BF" w:rsidRDefault="003612BF">
      <w:pPr>
        <w:spacing w:after="160" w:line="259" w:lineRule="auto"/>
      </w:pPr>
      <w:r>
        <w:br w:type="page"/>
      </w:r>
    </w:p>
    <w:p w14:paraId="0D2A2F77" w14:textId="144C6A92" w:rsidR="00146630" w:rsidRDefault="00146630" w:rsidP="00146630">
      <w:pPr>
        <w:pStyle w:val="Heading1"/>
        <w:keepNext w:val="0"/>
        <w:pageBreakBefore/>
        <w:ind w:left="851" w:hanging="851"/>
      </w:pPr>
      <w:bookmarkStart w:id="9" w:name="_Toc188607270"/>
      <w:r>
        <w:lastRenderedPageBreak/>
        <w:t>Framework for Operational Learning</w:t>
      </w:r>
      <w:bookmarkEnd w:id="9"/>
    </w:p>
    <w:p w14:paraId="3D9D1E22" w14:textId="77777777" w:rsidR="00146630" w:rsidRPr="00146630" w:rsidRDefault="00146630" w:rsidP="00146630">
      <w:pPr>
        <w:pStyle w:val="F9-Paragraph"/>
      </w:pPr>
      <w:r w:rsidRPr="00146630">
        <w:t>The diagram below shows a framework and essential components that support operational learning.</w:t>
      </w:r>
    </w:p>
    <w:p w14:paraId="0B595B91" w14:textId="175AE18A" w:rsidR="00146630" w:rsidRDefault="00146630" w:rsidP="00146630">
      <w:pPr>
        <w:pStyle w:val="F9-Paragraph"/>
        <w:numPr>
          <w:ilvl w:val="0"/>
          <w:numId w:val="0"/>
        </w:numPr>
        <w:jc w:val="center"/>
      </w:pPr>
      <w:bookmarkStart w:id="10" w:name="_Toc457309943"/>
      <w:r>
        <w:rPr>
          <w:noProof/>
          <w:lang w:eastAsia="en-GB"/>
        </w:rPr>
        <w:drawing>
          <wp:inline distT="0" distB="0" distL="0" distR="0" wp14:anchorId="74FAEC0C" wp14:editId="59547009">
            <wp:extent cx="5000625" cy="4177030"/>
            <wp:effectExtent l="0" t="0" r="9525" b="0"/>
            <wp:docPr id="328630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4704" t="20201" r="24294" b="26723"/>
                    <a:stretch>
                      <a:fillRect/>
                    </a:stretch>
                  </pic:blipFill>
                  <pic:spPr bwMode="auto">
                    <a:xfrm>
                      <a:off x="0" y="0"/>
                      <a:ext cx="5000625" cy="4177030"/>
                    </a:xfrm>
                    <a:prstGeom prst="rect">
                      <a:avLst/>
                    </a:prstGeom>
                    <a:noFill/>
                    <a:ln>
                      <a:noFill/>
                    </a:ln>
                  </pic:spPr>
                </pic:pic>
              </a:graphicData>
            </a:graphic>
          </wp:inline>
        </w:drawing>
      </w:r>
      <w:bookmarkEnd w:id="10"/>
    </w:p>
    <w:p w14:paraId="37D30124" w14:textId="77777777" w:rsidR="00146630" w:rsidRDefault="00146630" w:rsidP="00146630">
      <w:pPr>
        <w:pStyle w:val="F9-Paragraph"/>
        <w:numPr>
          <w:ilvl w:val="0"/>
          <w:numId w:val="0"/>
        </w:numPr>
        <w:jc w:val="center"/>
      </w:pPr>
    </w:p>
    <w:p w14:paraId="1EECEA5D" w14:textId="52CD453B" w:rsidR="00146630" w:rsidRPr="00146630" w:rsidRDefault="00146630" w:rsidP="00146630">
      <w:pPr>
        <w:pStyle w:val="F9-Paragraph"/>
        <w:numPr>
          <w:ilvl w:val="0"/>
          <w:numId w:val="0"/>
        </w:numPr>
        <w:ind w:left="851" w:hanging="851"/>
        <w:rPr>
          <w:b/>
          <w:bCs/>
          <w:lang w:eastAsia="en-GB"/>
        </w:rPr>
      </w:pPr>
      <w:r>
        <w:rPr>
          <w:lang w:eastAsia="en-GB"/>
        </w:rPr>
        <w:t xml:space="preserve">             </w:t>
      </w:r>
      <w:r w:rsidRPr="00146630">
        <w:rPr>
          <w:b/>
          <w:bCs/>
          <w:lang w:eastAsia="en-GB"/>
        </w:rPr>
        <w:t>Component One – Leadership and Cultural Aspects for Learning in Place</w:t>
      </w:r>
    </w:p>
    <w:p w14:paraId="5AD6D21B" w14:textId="179D092D" w:rsidR="00146630" w:rsidRPr="00146630" w:rsidRDefault="00146630" w:rsidP="00146630">
      <w:pPr>
        <w:pStyle w:val="F9-Paragraph"/>
        <w:rPr>
          <w:lang w:eastAsia="en-GB"/>
        </w:rPr>
      </w:pPr>
      <w:r w:rsidRPr="00146630">
        <w:rPr>
          <w:lang w:eastAsia="en-GB"/>
        </w:rPr>
        <w:t xml:space="preserve">Effective learning involves reviewing and changing processes and behaviours at all levels, starting with the Board and senior management. It is a fundamental requirement that an organisation must learn from its experience by senior management commitment. In the first instance this commitment takes the form of a policy statement which explains clearly the </w:t>
      </w:r>
      <w:proofErr w:type="spellStart"/>
      <w:r w:rsidRPr="00146630">
        <w:rPr>
          <w:lang w:eastAsia="en-GB"/>
        </w:rPr>
        <w:t>dutyholder’s</w:t>
      </w:r>
      <w:proofErr w:type="spellEnd"/>
      <w:r w:rsidRPr="00146630">
        <w:rPr>
          <w:lang w:eastAsia="en-GB"/>
        </w:rPr>
        <w:t xml:space="preserve"> commitment to the prevention of security events by applying lessons learned from previous operating experience, whether internal or external. This commitment should be underpinned by adequate resourcing of the function, management prioritisation of lessons identified and ongoing monitoring of action plans to ensure the issues which have been identified are addressed.</w:t>
      </w:r>
    </w:p>
    <w:p w14:paraId="5976BAB8" w14:textId="77777777" w:rsidR="008757A0" w:rsidRDefault="008757A0">
      <w:pPr>
        <w:spacing w:after="160" w:line="259" w:lineRule="auto"/>
        <w:rPr>
          <w:rFonts w:eastAsia="Times New Roman"/>
          <w:b/>
          <w:bCs/>
          <w:szCs w:val="24"/>
          <w:lang w:eastAsia="en-GB" w:bidi="ar-SA"/>
        </w:rPr>
      </w:pPr>
      <w:r>
        <w:rPr>
          <w:b/>
          <w:bCs/>
          <w:lang w:eastAsia="en-GB"/>
        </w:rPr>
        <w:br w:type="page"/>
      </w:r>
    </w:p>
    <w:p w14:paraId="34ACFC1C" w14:textId="62726417" w:rsidR="00146630" w:rsidRDefault="00146630" w:rsidP="00146630">
      <w:pPr>
        <w:pStyle w:val="F9-Paragraph"/>
        <w:numPr>
          <w:ilvl w:val="0"/>
          <w:numId w:val="0"/>
        </w:numPr>
        <w:ind w:left="851"/>
        <w:rPr>
          <w:b/>
          <w:bCs/>
          <w:lang w:eastAsia="en-GB"/>
        </w:rPr>
      </w:pPr>
      <w:r w:rsidRPr="00146630">
        <w:rPr>
          <w:b/>
          <w:bCs/>
          <w:lang w:eastAsia="en-GB"/>
        </w:rPr>
        <w:lastRenderedPageBreak/>
        <w:t>Component Two – Diverse Sources of Learning Identified and Used</w:t>
      </w:r>
    </w:p>
    <w:p w14:paraId="424A81A4" w14:textId="465BA530" w:rsidR="00146630" w:rsidRPr="00146630" w:rsidRDefault="00146630" w:rsidP="00146630">
      <w:pPr>
        <w:pStyle w:val="F9-Paragraph"/>
        <w:rPr>
          <w:lang w:eastAsia="en-GB"/>
        </w:rPr>
      </w:pPr>
      <w:r w:rsidRPr="00146630">
        <w:rPr>
          <w:lang w:eastAsia="en-GB"/>
        </w:rPr>
        <w:t>Formal processes such as Operational Experience (</w:t>
      </w:r>
      <w:proofErr w:type="spellStart"/>
      <w:r w:rsidRPr="00146630">
        <w:rPr>
          <w:lang w:eastAsia="en-GB"/>
        </w:rPr>
        <w:t>OpEx</w:t>
      </w:r>
      <w:proofErr w:type="spellEnd"/>
      <w:r w:rsidRPr="00146630">
        <w:rPr>
          <w:lang w:eastAsia="en-GB"/>
        </w:rPr>
        <w:t xml:space="preserve">) programmes play an important role in supporting Organisational Learning. However, global experience shows that they form only part of the overall picture. A Learning Organisation also seeks out broader, diverse opportunities for learning from a wide range of sources (internal and external) and brings these together to draw out the learning and make improvements. This </w:t>
      </w:r>
      <w:r w:rsidR="00476CCD" w:rsidRPr="00146630">
        <w:rPr>
          <w:lang w:eastAsia="en-GB"/>
        </w:rPr>
        <w:t>includes</w:t>
      </w:r>
      <w:r w:rsidRPr="00146630">
        <w:rPr>
          <w:lang w:eastAsia="en-GB"/>
        </w:rPr>
        <w:t xml:space="preserve"> tapping into the ideas, energy and concerns of those at all levels in the business, continually scanning across sectors for learning and good practice, and actively seeking advice or benchmarks (e.g. through peer reviews).</w:t>
      </w:r>
    </w:p>
    <w:p w14:paraId="61C64D42" w14:textId="77777777" w:rsidR="00146630" w:rsidRDefault="00146630" w:rsidP="00146630">
      <w:pPr>
        <w:pStyle w:val="F9-Paragraph"/>
        <w:numPr>
          <w:ilvl w:val="0"/>
          <w:numId w:val="0"/>
        </w:numPr>
        <w:ind w:left="851"/>
        <w:rPr>
          <w:b/>
          <w:bCs/>
          <w:lang w:eastAsia="en-GB"/>
        </w:rPr>
      </w:pPr>
      <w:r w:rsidRPr="00146630">
        <w:rPr>
          <w:b/>
          <w:bCs/>
          <w:lang w:eastAsia="en-GB"/>
        </w:rPr>
        <w:t>Component Three – Learning Opportunities Realised Through Managed Change</w:t>
      </w:r>
    </w:p>
    <w:p w14:paraId="3E7C5645" w14:textId="56B486AB" w:rsidR="00146630" w:rsidRPr="00146630" w:rsidRDefault="00146630" w:rsidP="00146630">
      <w:pPr>
        <w:pStyle w:val="F9-Paragraph"/>
        <w:rPr>
          <w:lang w:eastAsia="en-GB"/>
        </w:rPr>
      </w:pPr>
      <w:r w:rsidRPr="00146630">
        <w:rPr>
          <w:lang w:eastAsia="en-GB"/>
        </w:rPr>
        <w:t xml:space="preserve">To complete the cycle, organisations must invest resources necessary to implement changes and then apply the lessons. Having information that can drive learning and then having the willingness and ability to use it effectively are distinctly different attributes. Many organisations, particularly in the nuclear sector, have well established processes for obtaining and disseminating information (e.g. </w:t>
      </w:r>
      <w:proofErr w:type="spellStart"/>
      <w:r w:rsidRPr="00146630">
        <w:rPr>
          <w:lang w:eastAsia="en-GB"/>
        </w:rPr>
        <w:t>OpEx</w:t>
      </w:r>
      <w:proofErr w:type="spellEnd"/>
      <w:r w:rsidRPr="00146630">
        <w:rPr>
          <w:lang w:eastAsia="en-GB"/>
        </w:rPr>
        <w:t>). However, effort is needed to integrate diverse sources of information and define effective and prioritised actions that improve security</w:t>
      </w:r>
      <w:r w:rsidR="00796DCA">
        <w:rPr>
          <w:lang w:eastAsia="en-GB"/>
        </w:rPr>
        <w:t xml:space="preserve">. </w:t>
      </w:r>
      <w:r w:rsidRPr="00146630">
        <w:rPr>
          <w:lang w:eastAsia="en-GB"/>
        </w:rPr>
        <w:t xml:space="preserve">   </w:t>
      </w:r>
    </w:p>
    <w:p w14:paraId="3D52B639" w14:textId="0C89EBCF" w:rsidR="00146630" w:rsidRPr="00146630" w:rsidRDefault="00146630" w:rsidP="00146630">
      <w:pPr>
        <w:pStyle w:val="F9-Paragraph"/>
        <w:numPr>
          <w:ilvl w:val="0"/>
          <w:numId w:val="0"/>
        </w:numPr>
        <w:rPr>
          <w:lang w:eastAsia="en-GB"/>
        </w:rPr>
      </w:pPr>
    </w:p>
    <w:p w14:paraId="37F9DA28" w14:textId="77777777" w:rsidR="00146630" w:rsidRPr="00146630" w:rsidRDefault="00146630" w:rsidP="00146630">
      <w:pPr>
        <w:pStyle w:val="F9-Paragraph"/>
        <w:numPr>
          <w:ilvl w:val="0"/>
          <w:numId w:val="0"/>
        </w:numPr>
      </w:pPr>
    </w:p>
    <w:p w14:paraId="58E615C9" w14:textId="70FE0A58" w:rsidR="003612BF" w:rsidRDefault="003612BF" w:rsidP="00763DD5"/>
    <w:p w14:paraId="5CDFC6B5" w14:textId="77777777" w:rsidR="003612BF" w:rsidRDefault="003612BF">
      <w:pPr>
        <w:spacing w:after="160" w:line="259" w:lineRule="auto"/>
      </w:pPr>
      <w:r>
        <w:br w:type="page"/>
      </w:r>
    </w:p>
    <w:p w14:paraId="444D188F" w14:textId="7638E342" w:rsidR="00146630" w:rsidRDefault="00146630" w:rsidP="0070359B">
      <w:pPr>
        <w:pStyle w:val="Heading1"/>
        <w:ind w:left="851" w:hanging="851"/>
      </w:pPr>
      <w:bookmarkStart w:id="11" w:name="_Toc188607271"/>
      <w:r>
        <w:lastRenderedPageBreak/>
        <w:t>Operational Experience</w:t>
      </w:r>
      <w:bookmarkEnd w:id="11"/>
    </w:p>
    <w:p w14:paraId="193D06A1" w14:textId="1E9082CC" w:rsidR="00146630" w:rsidRPr="00146630" w:rsidRDefault="00146630" w:rsidP="00146630">
      <w:pPr>
        <w:pStyle w:val="F9-Paragraph"/>
      </w:pPr>
      <w:proofErr w:type="spellStart"/>
      <w:r w:rsidRPr="00146630">
        <w:t>OpEx</w:t>
      </w:r>
      <w:proofErr w:type="spellEnd"/>
      <w:r w:rsidRPr="00146630">
        <w:t xml:space="preserve"> is an important part of organisational learning</w:t>
      </w:r>
      <w:r w:rsidR="00796DCA">
        <w:t xml:space="preserve">. </w:t>
      </w:r>
      <w:r w:rsidRPr="00146630">
        <w:t xml:space="preserve">The objective of </w:t>
      </w:r>
      <w:proofErr w:type="spellStart"/>
      <w:r w:rsidRPr="00146630">
        <w:t>OpEx</w:t>
      </w:r>
      <w:proofErr w:type="spellEnd"/>
      <w:r w:rsidRPr="00146630">
        <w:t xml:space="preserve"> is to proactively collect, document, organise, analyse and apply previous learning, whether it relates to equipment, personnel or procedures. Such learning extends from a number of sources, the </w:t>
      </w:r>
      <w:proofErr w:type="spellStart"/>
      <w:r w:rsidRPr="00146630">
        <w:t>dutyholder’s</w:t>
      </w:r>
      <w:proofErr w:type="spellEnd"/>
      <w:r w:rsidRPr="00146630">
        <w:t xml:space="preserve"> organisation, other operators, industry groups, governments and scientific and educational institutions. </w:t>
      </w:r>
    </w:p>
    <w:p w14:paraId="7AEEEDF9" w14:textId="58EAF963" w:rsidR="00146630" w:rsidRPr="00146630" w:rsidRDefault="00146630" w:rsidP="00146630">
      <w:pPr>
        <w:pStyle w:val="F9-Paragraph"/>
      </w:pPr>
      <w:proofErr w:type="spellStart"/>
      <w:r w:rsidRPr="00146630">
        <w:t>Dutyholders</w:t>
      </w:r>
      <w:proofErr w:type="spellEnd"/>
      <w:r w:rsidRPr="00146630">
        <w:t xml:space="preserve"> should have a system that identifies and collects pertinent information on security events and adverse conditions in a timely manner</w:t>
      </w:r>
      <w:r w:rsidR="00796DCA">
        <w:t xml:space="preserve">. </w:t>
      </w:r>
      <w:r w:rsidRPr="00146630">
        <w:t xml:space="preserve">These include any deviation from the site’s security arrangements in the security plan or events that could have led to a security vulnerability developing. Adverse conditions include any deviation (e.g. a noticeable or marked departure from the expected norm), abnormality, equipment/human failure or non-conformity to procedure, and information </w:t>
      </w:r>
      <w:r w:rsidR="00476CCD" w:rsidRPr="00146630">
        <w:t>which</w:t>
      </w:r>
      <w:r w:rsidRPr="00146630">
        <w:t xml:space="preserve"> relates to breakdowns or conditions that resulted in no serious consequences, but reduced the layers of defence. All personnel at the </w:t>
      </w:r>
      <w:proofErr w:type="spellStart"/>
      <w:r w:rsidRPr="00146630">
        <w:t>dutyholder’s</w:t>
      </w:r>
      <w:proofErr w:type="spellEnd"/>
      <w:r w:rsidRPr="00146630">
        <w:t xml:space="preserve"> site (staff, contractors, agency workers) should be expected to report all security events and adverse conditions.</w:t>
      </w:r>
    </w:p>
    <w:p w14:paraId="694754A4" w14:textId="7F510D55" w:rsidR="00146630" w:rsidRPr="00146630" w:rsidRDefault="00146630" w:rsidP="00146630">
      <w:pPr>
        <w:pStyle w:val="F9-Paragraph"/>
      </w:pPr>
      <w:r w:rsidRPr="00146630">
        <w:t xml:space="preserve">To ensure the capture of all events and incidents which could affect security, the </w:t>
      </w:r>
      <w:proofErr w:type="spellStart"/>
      <w:r w:rsidRPr="00146630">
        <w:t>dutyholder</w:t>
      </w:r>
      <w:proofErr w:type="spellEnd"/>
      <w:r w:rsidRPr="00146630">
        <w:t xml:space="preserve"> should establish clear reporting criteria with low tolerability thresholds. The issues should be analysed in sufficient depth to facilitate the identification of root causes and action plans which can be implemented to address the issue. An effective learning organisation will share its experiences, both internally and externally. It is recognised that the sharing of learning from security events will need to be controlled especially where security vulnerabilities are identified. Nevertheless, there are a number of </w:t>
      </w:r>
      <w:r w:rsidR="001A1D63">
        <w:t xml:space="preserve">National Protective Security Authority (NPSA) </w:t>
      </w:r>
      <w:r w:rsidRPr="00146630">
        <w:t>industry forums where this is possible</w:t>
      </w:r>
      <w:r w:rsidR="00796DCA">
        <w:t xml:space="preserve">. </w:t>
      </w:r>
    </w:p>
    <w:p w14:paraId="08DF55A1" w14:textId="7604D3B2" w:rsidR="00146630" w:rsidRPr="00146630" w:rsidRDefault="00146630" w:rsidP="00146630">
      <w:pPr>
        <w:pStyle w:val="F9-Paragraph"/>
        <w:numPr>
          <w:ilvl w:val="0"/>
          <w:numId w:val="0"/>
        </w:numPr>
      </w:pPr>
    </w:p>
    <w:p w14:paraId="33C03D57" w14:textId="7AB545F0" w:rsidR="00146630" w:rsidRDefault="00146630" w:rsidP="00763DD5"/>
    <w:p w14:paraId="17490D0A" w14:textId="77777777" w:rsidR="00146630" w:rsidRDefault="00146630">
      <w:pPr>
        <w:spacing w:after="160" w:line="259" w:lineRule="auto"/>
      </w:pPr>
      <w:r>
        <w:br w:type="page"/>
      </w:r>
    </w:p>
    <w:p w14:paraId="34808984" w14:textId="3926D12B" w:rsidR="00146630" w:rsidRDefault="00146630" w:rsidP="0070359B">
      <w:pPr>
        <w:pStyle w:val="Heading1"/>
        <w:ind w:left="851" w:hanging="851"/>
      </w:pPr>
      <w:bookmarkStart w:id="12" w:name="_Toc188607272"/>
      <w:r>
        <w:lastRenderedPageBreak/>
        <w:t>Event and Adverse Condition Reporting and Tracking</w:t>
      </w:r>
      <w:bookmarkEnd w:id="12"/>
    </w:p>
    <w:p w14:paraId="7B925E66" w14:textId="77777777" w:rsidR="00146630" w:rsidRPr="00146630" w:rsidRDefault="00146630" w:rsidP="00146630">
      <w:pPr>
        <w:pStyle w:val="F9-Paragraph"/>
      </w:pPr>
      <w:r w:rsidRPr="00146630">
        <w:t xml:space="preserve">The </w:t>
      </w:r>
      <w:proofErr w:type="spellStart"/>
      <w:r w:rsidRPr="00146630">
        <w:t>dutyholder</w:t>
      </w:r>
      <w:proofErr w:type="spellEnd"/>
      <w:r w:rsidRPr="00146630">
        <w:t xml:space="preserve"> should establish a process for all employees at the </w:t>
      </w:r>
      <w:proofErr w:type="spellStart"/>
      <w:r w:rsidRPr="00146630">
        <w:t>dutyholder</w:t>
      </w:r>
      <w:proofErr w:type="spellEnd"/>
      <w:r w:rsidRPr="00146630">
        <w:t xml:space="preserve"> site to identify security deficiencies, as well as improvement suggestions. A confidential means should be established for security staff to identify and track events and adverse conditions which might potentially identify an exploitable vulnerability in the security systems or processes. Managers should reinforce the requirement to report all events and adverse conditions that occur within the organisation constantly. All events and adverse conditions that affect security should be reported and tracked, including low-level events and “near misses". </w:t>
      </w:r>
    </w:p>
    <w:p w14:paraId="40896879" w14:textId="50FE0349" w:rsidR="00146630" w:rsidRPr="00146630" w:rsidRDefault="00146630" w:rsidP="00146630">
      <w:pPr>
        <w:pStyle w:val="F9-Paragraph"/>
      </w:pPr>
      <w:r w:rsidRPr="00146630">
        <w:t xml:space="preserve">In addition to having processes and procedures to learn from security events in place, </w:t>
      </w:r>
      <w:proofErr w:type="spellStart"/>
      <w:r w:rsidRPr="00146630">
        <w:t>dutyholders</w:t>
      </w:r>
      <w:proofErr w:type="spellEnd"/>
      <w:r w:rsidRPr="00146630">
        <w:t xml:space="preserve"> have a legal obligation to report security events as required by the NISR 2003 Regulations 10, 18 and 22. ONR therefore expects security events which meet reporting criteria specified in NISR and the ONR Guide on this matter [ONR-</w:t>
      </w:r>
      <w:r w:rsidR="00F53A5D">
        <w:t>RIO-PROC-002</w:t>
      </w:r>
      <w:r w:rsidRPr="00146630">
        <w:t xml:space="preserve">] </w:t>
      </w:r>
      <w:r w:rsidR="003F2DD1">
        <w:t xml:space="preserve">(Ref. </w:t>
      </w:r>
      <w:sdt>
        <w:sdtPr>
          <w:id w:val="309374754"/>
          <w:citation/>
        </w:sdtPr>
        <w:sdtEndPr/>
        <w:sdtContent>
          <w:r w:rsidR="00CC14D0">
            <w:fldChar w:fldCharType="begin"/>
          </w:r>
          <w:r w:rsidR="00CC14D0">
            <w:instrText xml:space="preserve"> CITATION Pro \l 2057 </w:instrText>
          </w:r>
          <w:r w:rsidR="00CC14D0">
            <w:fldChar w:fldCharType="separate"/>
          </w:r>
          <w:r w:rsidR="005C06DF">
            <w:rPr>
              <w:noProof/>
            </w:rPr>
            <w:t>[9]</w:t>
          </w:r>
          <w:r w:rsidR="00CC14D0">
            <w:fldChar w:fldCharType="end"/>
          </w:r>
        </w:sdtContent>
      </w:sdt>
      <w:r w:rsidR="00CC14D0">
        <w:t>)</w:t>
      </w:r>
      <w:r w:rsidRPr="00146630">
        <w:t xml:space="preserve"> to be reported as specified. This includes the findings from </w:t>
      </w:r>
      <w:proofErr w:type="spellStart"/>
      <w:r w:rsidRPr="00146630">
        <w:t>dutyholders</w:t>
      </w:r>
      <w:proofErr w:type="spellEnd"/>
      <w:r w:rsidRPr="00146630">
        <w:t xml:space="preserve"> investigations and Learning from Experience reports. </w:t>
      </w:r>
    </w:p>
    <w:p w14:paraId="42357921" w14:textId="3C9444D9" w:rsidR="00146630" w:rsidRPr="00146630" w:rsidRDefault="00146630" w:rsidP="00146630">
      <w:pPr>
        <w:pStyle w:val="F9-Paragraph"/>
        <w:numPr>
          <w:ilvl w:val="0"/>
          <w:numId w:val="0"/>
        </w:numPr>
      </w:pPr>
    </w:p>
    <w:p w14:paraId="5F5FD683" w14:textId="2E565C04" w:rsidR="00146630" w:rsidRDefault="00146630" w:rsidP="00763DD5"/>
    <w:p w14:paraId="4214DD7E" w14:textId="77777777" w:rsidR="00146630" w:rsidRDefault="00146630">
      <w:pPr>
        <w:spacing w:after="160" w:line="259" w:lineRule="auto"/>
      </w:pPr>
      <w:r>
        <w:br w:type="page"/>
      </w:r>
    </w:p>
    <w:p w14:paraId="242A845D" w14:textId="366DDA21" w:rsidR="00146630" w:rsidRDefault="00146630" w:rsidP="0070359B">
      <w:pPr>
        <w:pStyle w:val="Heading1"/>
        <w:ind w:left="851" w:hanging="851"/>
      </w:pPr>
      <w:bookmarkStart w:id="13" w:name="_Toc188607273"/>
      <w:r>
        <w:lastRenderedPageBreak/>
        <w:t>Screening for Significance</w:t>
      </w:r>
      <w:bookmarkEnd w:id="13"/>
    </w:p>
    <w:p w14:paraId="46824E1A" w14:textId="5565D8C6" w:rsidR="00146630" w:rsidRPr="00146630" w:rsidRDefault="00146630" w:rsidP="00146630">
      <w:pPr>
        <w:pStyle w:val="F9-Paragraph"/>
      </w:pPr>
      <w:r w:rsidRPr="00146630">
        <w:t xml:space="preserve">The </w:t>
      </w:r>
      <w:proofErr w:type="spellStart"/>
      <w:r w:rsidRPr="00146630">
        <w:t>dutyholder</w:t>
      </w:r>
      <w:proofErr w:type="spellEnd"/>
      <w:r w:rsidRPr="00146630">
        <w:t xml:space="preserve"> should screen event information to ensure all security significant matters are considered and that all applicable lessons learned are taken into account. The screening process should be used to select events for detailed investigation and analysis. A categorisation system should be developed which grades events and conditions and prioritises them according to security significance and the identification of adverse trends.</w:t>
      </w:r>
    </w:p>
    <w:p w14:paraId="26A17753" w14:textId="5C58487F" w:rsidR="003612BF" w:rsidRDefault="003612BF" w:rsidP="00AB4961">
      <w:pPr>
        <w:spacing w:after="0" w:line="259" w:lineRule="auto"/>
      </w:pPr>
    </w:p>
    <w:p w14:paraId="5930CD2C" w14:textId="406C9E34" w:rsidR="00146630" w:rsidRDefault="00146630" w:rsidP="0070359B">
      <w:pPr>
        <w:pStyle w:val="Heading1"/>
        <w:ind w:left="851" w:hanging="851"/>
      </w:pPr>
      <w:bookmarkStart w:id="14" w:name="_Toc188607274"/>
      <w:r>
        <w:t>Investigation and Analysis</w:t>
      </w:r>
      <w:bookmarkEnd w:id="14"/>
    </w:p>
    <w:p w14:paraId="0926B0EC" w14:textId="6574215A" w:rsidR="00146630" w:rsidRPr="00146630" w:rsidRDefault="00146630" w:rsidP="00146630">
      <w:pPr>
        <w:pStyle w:val="F9-Paragraph"/>
      </w:pPr>
      <w:proofErr w:type="spellStart"/>
      <w:r w:rsidRPr="00146630">
        <w:t>Dutyholders</w:t>
      </w:r>
      <w:proofErr w:type="spellEnd"/>
      <w:r w:rsidRPr="00146630">
        <w:t xml:space="preserve"> should have a policy and procedures specifying the type of investigation appropriate for an event of a particular category. The policy should typically outline the means of initiating an investigation, its duration, the composition of the investigating team, terms of reference for the investigation team and how it is to report. Investigations are to be performed promptly so that information and physical evidence is not lost or corrupted</w:t>
      </w:r>
      <w:r w:rsidR="00796DCA">
        <w:t xml:space="preserve">. </w:t>
      </w:r>
      <w:r w:rsidRPr="00146630">
        <w:t>Event participants should be interviewed while memories are fresh. A typical outline of the investigation process is at Appendix 1</w:t>
      </w:r>
      <w:r w:rsidR="00796DCA">
        <w:t xml:space="preserve">. </w:t>
      </w:r>
    </w:p>
    <w:p w14:paraId="3E2B99F4" w14:textId="5C8C3E9B" w:rsidR="00146630" w:rsidRPr="00146630" w:rsidRDefault="00146630" w:rsidP="00146630">
      <w:pPr>
        <w:pStyle w:val="F9-Paragraph"/>
      </w:pPr>
      <w:r w:rsidRPr="00146630">
        <w:t>Highly significant events should be evaluated by a formally qualified multi-disciplinary evaluator team, using structured root cause investigation methods. The objective is to identify the root causes so that when they are corrected, the event or condition should not be repeated. Lower significance events or adverse conditions can be assessed with less formality and rigour. For example, individual expert evaluators can be used rather than a multi-disciplinary team. Notwithstanding an acknowledgement that repeat events are still possible, the objective should be to identify likely or apparent causes that, when corrected, would prevent recurrence.</w:t>
      </w:r>
    </w:p>
    <w:p w14:paraId="27CC522E" w14:textId="41F7CEAE" w:rsidR="00146630" w:rsidRDefault="00146630" w:rsidP="00146630">
      <w:pPr>
        <w:pStyle w:val="F9-Paragraph"/>
      </w:pPr>
      <w:r w:rsidRPr="00146630">
        <w:t>The analysis of any event should be performed by an appropriate method. It is common practice that organisations which conduct evaluations regularly use standard methods to achieve a consistent approach for the assessment of events. These standard methods usually involve different techniques and each of these may have its particular advantages for cause analysis, depending on the issue under investigation</w:t>
      </w:r>
      <w:r w:rsidR="00796DCA">
        <w:t xml:space="preserve">. </w:t>
      </w:r>
    </w:p>
    <w:p w14:paraId="64B73D5C" w14:textId="77777777" w:rsidR="00146630" w:rsidRDefault="00146630">
      <w:pPr>
        <w:spacing w:after="160" w:line="259" w:lineRule="auto"/>
        <w:rPr>
          <w:rFonts w:eastAsia="Times New Roman"/>
          <w:szCs w:val="24"/>
          <w:lang w:bidi="ar-SA"/>
        </w:rPr>
      </w:pPr>
      <w:r>
        <w:br w:type="page"/>
      </w:r>
    </w:p>
    <w:p w14:paraId="134D073B" w14:textId="71CAC77B" w:rsidR="00146630" w:rsidRDefault="00146630" w:rsidP="0070359B">
      <w:pPr>
        <w:pStyle w:val="Heading1"/>
        <w:ind w:left="851" w:hanging="851"/>
      </w:pPr>
      <w:bookmarkStart w:id="15" w:name="_Toc188607275"/>
      <w:r>
        <w:lastRenderedPageBreak/>
        <w:t>Corrective Action Management</w:t>
      </w:r>
      <w:bookmarkEnd w:id="15"/>
    </w:p>
    <w:p w14:paraId="04A7DB9C" w14:textId="5990F71E" w:rsidR="00146630" w:rsidRPr="00146630" w:rsidRDefault="00146630" w:rsidP="00146630">
      <w:pPr>
        <w:pStyle w:val="F9-Paragraph"/>
      </w:pPr>
      <w:r w:rsidRPr="00146630">
        <w:t xml:space="preserve">Actions taken in response to events constitute the main basis of the process of feedback of operational experience to enhance security at </w:t>
      </w:r>
      <w:proofErr w:type="spellStart"/>
      <w:r w:rsidRPr="00146630">
        <w:t>dutyholders</w:t>
      </w:r>
      <w:proofErr w:type="spellEnd"/>
      <w:r w:rsidRPr="00146630">
        <w:t>’ sites. Such actions are aimed at correcting a situation, preventing a recurrence or improving the security arrangements. Corrective actions may also be identified to improve security management systems and culture, particularly where there is evidence of complacency.</w:t>
      </w:r>
    </w:p>
    <w:p w14:paraId="2E6C1502" w14:textId="77777777" w:rsidR="00146630" w:rsidRDefault="00146630" w:rsidP="00146630">
      <w:pPr>
        <w:pStyle w:val="F9-Paragraph"/>
      </w:pPr>
      <w:r>
        <w:t>Corrective actions should, as appropriate:</w:t>
      </w:r>
    </w:p>
    <w:p w14:paraId="036EAEFE" w14:textId="77777777" w:rsidR="00146630" w:rsidRDefault="00146630" w:rsidP="009D6D78">
      <w:pPr>
        <w:pStyle w:val="F9-Paragraph"/>
        <w:numPr>
          <w:ilvl w:val="0"/>
          <w:numId w:val="10"/>
        </w:numPr>
      </w:pPr>
      <w:r>
        <w:t>Be specific and practical;</w:t>
      </w:r>
    </w:p>
    <w:p w14:paraId="483C01C4" w14:textId="77777777" w:rsidR="00146630" w:rsidRDefault="00146630" w:rsidP="009D6D78">
      <w:pPr>
        <w:pStyle w:val="F9-Paragraph"/>
        <w:numPr>
          <w:ilvl w:val="0"/>
          <w:numId w:val="10"/>
        </w:numPr>
      </w:pPr>
      <w:r>
        <w:t>Address fundamental causes and not symptoms;</w:t>
      </w:r>
    </w:p>
    <w:p w14:paraId="411C9E96" w14:textId="77777777" w:rsidR="00146630" w:rsidRDefault="00146630" w:rsidP="009D6D78">
      <w:pPr>
        <w:pStyle w:val="F9-Paragraph"/>
        <w:numPr>
          <w:ilvl w:val="0"/>
          <w:numId w:val="10"/>
        </w:numPr>
      </w:pPr>
      <w:r>
        <w:t>Include immediate actions which decrease the risk of a subsequent event or adverse condition;</w:t>
      </w:r>
    </w:p>
    <w:p w14:paraId="01FCA6EE" w14:textId="77777777" w:rsidR="00146630" w:rsidRDefault="00146630" w:rsidP="009D6D78">
      <w:pPr>
        <w:pStyle w:val="F9-Paragraph"/>
        <w:numPr>
          <w:ilvl w:val="0"/>
          <w:numId w:val="10"/>
        </w:numPr>
      </w:pPr>
      <w:r>
        <w:t>Include long term actions that should be taken to achieve a permanent solution; and,</w:t>
      </w:r>
    </w:p>
    <w:p w14:paraId="549CA20C" w14:textId="77777777" w:rsidR="00146630" w:rsidRDefault="00146630" w:rsidP="009D6D78">
      <w:pPr>
        <w:pStyle w:val="F9-Paragraph"/>
        <w:numPr>
          <w:ilvl w:val="0"/>
          <w:numId w:val="10"/>
        </w:numPr>
      </w:pPr>
      <w:r>
        <w:t>Focus on strengthening existing security arrangements, in preference to developing new ones.</w:t>
      </w:r>
    </w:p>
    <w:p w14:paraId="36C82880" w14:textId="6CC5ABED" w:rsidR="009D6D78" w:rsidRPr="009D6D78" w:rsidRDefault="009D6D78" w:rsidP="009D6D78">
      <w:pPr>
        <w:pStyle w:val="F9-Paragraph"/>
      </w:pPr>
      <w:r w:rsidRPr="009D6D78">
        <w:t>Recurring events warrant special attention, such as increasing its significance level. The assessment of root causes should identify why previously-completed corrective actions failed to prevent a recurrence of the event. The reason for the original corrective action’s ineffectiveness should be addressed as part of the follow up</w:t>
      </w:r>
      <w:r w:rsidR="00796DCA">
        <w:t xml:space="preserve">. </w:t>
      </w:r>
    </w:p>
    <w:p w14:paraId="26FAC09C" w14:textId="5A77CD91" w:rsidR="00146630" w:rsidRPr="00146630" w:rsidRDefault="009D6D78" w:rsidP="009D6D78">
      <w:pPr>
        <w:pStyle w:val="F9-Paragraph"/>
      </w:pPr>
      <w:r w:rsidRPr="009D6D78">
        <w:t xml:space="preserve">The </w:t>
      </w:r>
      <w:proofErr w:type="spellStart"/>
      <w:r w:rsidRPr="009D6D78">
        <w:t>dutyholder</w:t>
      </w:r>
      <w:proofErr w:type="spellEnd"/>
      <w:r w:rsidRPr="009D6D78">
        <w:t xml:space="preserve"> should ensure the dates assigned to complete each corrective action are commensurate with the importance of the action, organisational priorities, and consideration of avoiding recurrence</w:t>
      </w:r>
      <w:r w:rsidR="00796DCA">
        <w:t xml:space="preserve">. </w:t>
      </w:r>
      <w:r w:rsidRPr="009D6D78">
        <w:t>Actions should be tracked and the responsible persons held accountable for completing them, according to agreed timescales</w:t>
      </w:r>
      <w:r w:rsidR="00796DCA">
        <w:t xml:space="preserve">. </w:t>
      </w:r>
    </w:p>
    <w:p w14:paraId="090ABB9D" w14:textId="4FD1B82E" w:rsidR="00146630" w:rsidRDefault="00146630" w:rsidP="00146630">
      <w:pPr>
        <w:pStyle w:val="F9-Paragraph"/>
        <w:numPr>
          <w:ilvl w:val="0"/>
          <w:numId w:val="0"/>
        </w:numPr>
        <w:ind w:left="851" w:hanging="851"/>
      </w:pPr>
    </w:p>
    <w:p w14:paraId="3B93943A" w14:textId="77777777" w:rsidR="00146630" w:rsidRDefault="00146630">
      <w:pPr>
        <w:spacing w:after="160" w:line="259" w:lineRule="auto"/>
        <w:rPr>
          <w:rFonts w:eastAsia="Times New Roman"/>
          <w:szCs w:val="24"/>
          <w:lang w:bidi="ar-SA"/>
        </w:rPr>
      </w:pPr>
      <w:r>
        <w:br w:type="page"/>
      </w:r>
    </w:p>
    <w:p w14:paraId="25896BF4" w14:textId="772F4BC9" w:rsidR="009D6D78" w:rsidRDefault="009D6D78" w:rsidP="0070359B">
      <w:pPr>
        <w:pStyle w:val="Heading1"/>
        <w:ind w:left="851" w:hanging="851"/>
      </w:pPr>
      <w:bookmarkStart w:id="16" w:name="_Toc188607276"/>
      <w:r>
        <w:lastRenderedPageBreak/>
        <w:t>Use and Dissemination of Information</w:t>
      </w:r>
      <w:bookmarkEnd w:id="16"/>
    </w:p>
    <w:p w14:paraId="08028CC7" w14:textId="1DCE9E77" w:rsidR="009D6D78" w:rsidRPr="009D6D78" w:rsidRDefault="009D6D78" w:rsidP="009D6D78">
      <w:pPr>
        <w:pStyle w:val="F9-Paragraph"/>
      </w:pPr>
      <w:r w:rsidRPr="009D6D78">
        <w:t>Information on operational experience should be readily accessible to all security staff and - where appropriate - all employees</w:t>
      </w:r>
      <w:r w:rsidR="00796DCA">
        <w:t xml:space="preserve">. </w:t>
      </w:r>
      <w:r w:rsidRPr="009D6D78">
        <w:t xml:space="preserve">This can be done in a number of ways, such as team briefings. Effective use of the feedback from operational experience should be encouraged and reinforced by the management chain. Lessons identified should also be included in the </w:t>
      </w:r>
      <w:proofErr w:type="spellStart"/>
      <w:r w:rsidRPr="009D6D78">
        <w:t>dutyholder’s</w:t>
      </w:r>
      <w:proofErr w:type="spellEnd"/>
      <w:r w:rsidRPr="009D6D78">
        <w:t xml:space="preserve"> refresher training material.</w:t>
      </w:r>
    </w:p>
    <w:p w14:paraId="08D78C45" w14:textId="77777777" w:rsidR="009D6D78" w:rsidRDefault="009D6D78" w:rsidP="009D6D78">
      <w:pPr>
        <w:pStyle w:val="F9-Paragraph"/>
      </w:pPr>
      <w:r>
        <w:t>Where the event has resulted in a reportable event under NISR 2003 (as amended), a follow up report should be sent to ONR.</w:t>
      </w:r>
    </w:p>
    <w:p w14:paraId="502CD5FB" w14:textId="77777777" w:rsidR="009D6D78" w:rsidRDefault="009D6D78" w:rsidP="009D6D78">
      <w:pPr>
        <w:pStyle w:val="F9-Paragraph"/>
        <w:numPr>
          <w:ilvl w:val="0"/>
          <w:numId w:val="0"/>
        </w:numPr>
        <w:ind w:left="851"/>
      </w:pPr>
      <w:r>
        <w:t>Inspectors should consider:</w:t>
      </w:r>
    </w:p>
    <w:p w14:paraId="4A984D13" w14:textId="6E337A61" w:rsidR="00146630" w:rsidRDefault="009D6D78" w:rsidP="009D6D78">
      <w:pPr>
        <w:pStyle w:val="F9-Paragraph"/>
        <w:numPr>
          <w:ilvl w:val="0"/>
          <w:numId w:val="15"/>
        </w:numPr>
      </w:pPr>
      <w:r w:rsidRPr="009D6D78">
        <w:t xml:space="preserve">Whether the </w:t>
      </w:r>
      <w:proofErr w:type="spellStart"/>
      <w:r w:rsidRPr="009D6D78">
        <w:t>dutyholder</w:t>
      </w:r>
      <w:proofErr w:type="spellEnd"/>
      <w:r w:rsidRPr="009D6D78">
        <w:t xml:space="preserve"> has a framework for organisational learning that incorporates the three essential components.</w:t>
      </w:r>
    </w:p>
    <w:p w14:paraId="06C53D43" w14:textId="77777777" w:rsidR="009D6D78" w:rsidRPr="009D6D78" w:rsidRDefault="009D6D78" w:rsidP="009D6D78">
      <w:pPr>
        <w:pStyle w:val="F9-Paragraph"/>
        <w:numPr>
          <w:ilvl w:val="0"/>
          <w:numId w:val="15"/>
        </w:numPr>
      </w:pPr>
      <w:r w:rsidRPr="009D6D78">
        <w:t xml:space="preserve">Whether the </w:t>
      </w:r>
      <w:proofErr w:type="spellStart"/>
      <w:r w:rsidRPr="009D6D78">
        <w:t>dutyholder</w:t>
      </w:r>
      <w:proofErr w:type="spellEnd"/>
      <w:r w:rsidRPr="009D6D78">
        <w:t xml:space="preserve"> has a policy for systematically identifying and correcting deficiencies in security.</w:t>
      </w:r>
    </w:p>
    <w:p w14:paraId="57CBF906" w14:textId="77777777" w:rsidR="009D6D78" w:rsidRPr="009D6D78" w:rsidRDefault="009D6D78" w:rsidP="009D6D78">
      <w:pPr>
        <w:pStyle w:val="F9-Paragraph"/>
        <w:numPr>
          <w:ilvl w:val="0"/>
          <w:numId w:val="15"/>
        </w:numPr>
      </w:pPr>
      <w:r w:rsidRPr="009D6D78">
        <w:t xml:space="preserve">Whether the </w:t>
      </w:r>
      <w:proofErr w:type="spellStart"/>
      <w:r w:rsidRPr="009D6D78">
        <w:t>dutyholder’s</w:t>
      </w:r>
      <w:proofErr w:type="spellEnd"/>
      <w:r w:rsidRPr="009D6D78">
        <w:t xml:space="preserve"> security and safety OPEX policies are effectively aligned.</w:t>
      </w:r>
    </w:p>
    <w:p w14:paraId="471D322C" w14:textId="77777777" w:rsidR="009D6D78" w:rsidRPr="009D6D78" w:rsidRDefault="009D6D78" w:rsidP="009D6D78">
      <w:pPr>
        <w:pStyle w:val="F9-Paragraph"/>
        <w:numPr>
          <w:ilvl w:val="0"/>
          <w:numId w:val="15"/>
        </w:numPr>
      </w:pPr>
      <w:r w:rsidRPr="009D6D78">
        <w:t xml:space="preserve">Whether the </w:t>
      </w:r>
      <w:proofErr w:type="spellStart"/>
      <w:r w:rsidRPr="009D6D78">
        <w:t>dutyholder</w:t>
      </w:r>
      <w:proofErr w:type="spellEnd"/>
      <w:r w:rsidRPr="009D6D78">
        <w:t xml:space="preserve"> encourages staff to report security deficiencies and security improvement opportunities.</w:t>
      </w:r>
    </w:p>
    <w:p w14:paraId="461A9767" w14:textId="77777777" w:rsidR="009D6D78" w:rsidRPr="009D6D78" w:rsidRDefault="009D6D78" w:rsidP="009D6D78">
      <w:pPr>
        <w:pStyle w:val="F9-Paragraph"/>
        <w:numPr>
          <w:ilvl w:val="0"/>
          <w:numId w:val="15"/>
        </w:numPr>
      </w:pPr>
      <w:r w:rsidRPr="009D6D78">
        <w:t xml:space="preserve">Whether the </w:t>
      </w:r>
      <w:proofErr w:type="spellStart"/>
      <w:r w:rsidRPr="009D6D78">
        <w:t>dutyholder’s</w:t>
      </w:r>
      <w:proofErr w:type="spellEnd"/>
      <w:r w:rsidRPr="009D6D78">
        <w:t xml:space="preserve"> policies focus on corrective action, rather than blame of personnel who report security deficiencies.</w:t>
      </w:r>
    </w:p>
    <w:p w14:paraId="052F26F5" w14:textId="77777777" w:rsidR="009D6D78" w:rsidRPr="009D6D78" w:rsidRDefault="009D6D78" w:rsidP="009D6D78">
      <w:pPr>
        <w:pStyle w:val="F9-Paragraph"/>
        <w:numPr>
          <w:ilvl w:val="0"/>
          <w:numId w:val="15"/>
        </w:numPr>
      </w:pPr>
      <w:r w:rsidRPr="009D6D78">
        <w:t xml:space="preserve">Whether the </w:t>
      </w:r>
      <w:proofErr w:type="spellStart"/>
      <w:r w:rsidRPr="009D6D78">
        <w:t>dutyholder</w:t>
      </w:r>
      <w:proofErr w:type="spellEnd"/>
      <w:r w:rsidRPr="009D6D78">
        <w:t xml:space="preserve"> encourages a learning organisation through actively seeking lessons learned from other organisations and, where appropriate, apply them to their organisation.</w:t>
      </w:r>
    </w:p>
    <w:p w14:paraId="7CF644FD" w14:textId="77777777" w:rsidR="009D6D78" w:rsidRPr="009D6D78" w:rsidRDefault="009D6D78" w:rsidP="009D6D78">
      <w:pPr>
        <w:pStyle w:val="F9-Paragraph"/>
        <w:numPr>
          <w:ilvl w:val="0"/>
          <w:numId w:val="15"/>
        </w:numPr>
      </w:pPr>
      <w:r w:rsidRPr="009D6D78">
        <w:t xml:space="preserve">Whether the </w:t>
      </w:r>
      <w:proofErr w:type="spellStart"/>
      <w:r w:rsidRPr="009D6D78">
        <w:t>dutyholder</w:t>
      </w:r>
      <w:proofErr w:type="spellEnd"/>
      <w:r w:rsidRPr="009D6D78">
        <w:t xml:space="preserve"> regularly debriefs staff on recent security issues that have occurred at the facility and draw on lessons identified to refresh staff understanding.</w:t>
      </w:r>
    </w:p>
    <w:p w14:paraId="0EC1A2C3" w14:textId="77777777" w:rsidR="009D6D78" w:rsidRPr="009D6D78" w:rsidRDefault="009D6D78" w:rsidP="009D6D78">
      <w:pPr>
        <w:pStyle w:val="F9-Paragraph"/>
        <w:numPr>
          <w:ilvl w:val="0"/>
          <w:numId w:val="15"/>
        </w:numPr>
      </w:pPr>
      <w:r w:rsidRPr="009D6D78">
        <w:t xml:space="preserve">Whether the </w:t>
      </w:r>
      <w:proofErr w:type="spellStart"/>
      <w:r w:rsidRPr="009D6D78">
        <w:t>dutyholder</w:t>
      </w:r>
      <w:proofErr w:type="spellEnd"/>
      <w:r w:rsidRPr="009D6D78">
        <w:t xml:space="preserve"> has sufficient training for staff and management to recognise and report problems and enough experienced staff trained in root cause analysis to assess all security deficiencies that are reported fully.</w:t>
      </w:r>
    </w:p>
    <w:p w14:paraId="358DC844" w14:textId="77777777" w:rsidR="009D6D78" w:rsidRPr="009D6D78" w:rsidRDefault="009D6D78" w:rsidP="009D6D78">
      <w:pPr>
        <w:pStyle w:val="F9-Paragraph"/>
        <w:numPr>
          <w:ilvl w:val="0"/>
          <w:numId w:val="15"/>
        </w:numPr>
      </w:pPr>
      <w:r w:rsidRPr="009D6D78">
        <w:t xml:space="preserve">Whether the </w:t>
      </w:r>
      <w:proofErr w:type="spellStart"/>
      <w:r w:rsidRPr="009D6D78">
        <w:t>dutyholder</w:t>
      </w:r>
      <w:proofErr w:type="spellEnd"/>
      <w:r w:rsidRPr="009D6D78">
        <w:t xml:space="preserve"> has adequate resources allocated to managing and reporting security deficiencies and whether they are compliant with legislation and the ONR mandated reporting process.</w:t>
      </w:r>
    </w:p>
    <w:p w14:paraId="1B489FBD" w14:textId="77777777" w:rsidR="009D6D78" w:rsidRPr="009D6D78" w:rsidRDefault="009D6D78" w:rsidP="009D6D78">
      <w:pPr>
        <w:pStyle w:val="F9-Paragraph"/>
        <w:numPr>
          <w:ilvl w:val="0"/>
          <w:numId w:val="15"/>
        </w:numPr>
      </w:pPr>
      <w:r w:rsidRPr="009D6D78">
        <w:lastRenderedPageBreak/>
        <w:t xml:space="preserve">Whether the </w:t>
      </w:r>
      <w:proofErr w:type="spellStart"/>
      <w:r w:rsidRPr="009D6D78">
        <w:t>dutyholder’s</w:t>
      </w:r>
      <w:proofErr w:type="spellEnd"/>
      <w:r w:rsidRPr="009D6D78">
        <w:t xml:space="preserve"> process informs their Board on the findings of identified security deficiencies including analysis of the event and emerging trends.</w:t>
      </w:r>
    </w:p>
    <w:p w14:paraId="4C24D0A1" w14:textId="77777777" w:rsidR="009D6D78" w:rsidRPr="009D6D78" w:rsidRDefault="009D6D78" w:rsidP="009D6D78">
      <w:pPr>
        <w:pStyle w:val="F9-Paragraph"/>
        <w:numPr>
          <w:ilvl w:val="0"/>
          <w:numId w:val="15"/>
        </w:numPr>
      </w:pPr>
      <w:r w:rsidRPr="009D6D78">
        <w:t>Whether there are indicators regarding backlogs in event investigations and corrective action closure, looking particularly for adverse trends.</w:t>
      </w:r>
    </w:p>
    <w:p w14:paraId="3B648874" w14:textId="77777777" w:rsidR="009D6D78" w:rsidRPr="009D6D78" w:rsidRDefault="009D6D78" w:rsidP="009D6D78">
      <w:pPr>
        <w:pStyle w:val="F9-Paragraph"/>
        <w:numPr>
          <w:ilvl w:val="0"/>
          <w:numId w:val="0"/>
        </w:numPr>
      </w:pPr>
    </w:p>
    <w:p w14:paraId="45F0F372" w14:textId="49BF1122" w:rsidR="00763DD5" w:rsidRDefault="009D6D78" w:rsidP="009D6D78">
      <w:pPr>
        <w:pStyle w:val="F9-Paragraph"/>
        <w:numPr>
          <w:ilvl w:val="0"/>
          <w:numId w:val="0"/>
        </w:numPr>
        <w:ind w:left="1571"/>
      </w:pPr>
      <w:r w:rsidRPr="009D6D78">
        <w:br w:type="page"/>
      </w:r>
    </w:p>
    <w:bookmarkStart w:id="17" w:name="_Toc179893338" w:displacedByCustomXml="next"/>
    <w:bookmarkStart w:id="18" w:name="_Toc188348224" w:displacedByCustomXml="next"/>
    <w:bookmarkStart w:id="19" w:name="_Toc188607277" w:displacedByCustomXml="next"/>
    <w:sdt>
      <w:sdtPr>
        <w:rPr>
          <w:rFonts w:asciiTheme="minorHAnsi" w:eastAsiaTheme="minorHAnsi" w:hAnsiTheme="minorHAnsi" w:cstheme="minorBidi"/>
          <w:color w:val="auto"/>
          <w:sz w:val="24"/>
          <w:lang w:bidi="ar-SA"/>
        </w:rPr>
        <w:id w:val="-284124854"/>
        <w:docPartObj>
          <w:docPartGallery w:val="Bibliographies"/>
          <w:docPartUnique/>
        </w:docPartObj>
      </w:sdtPr>
      <w:sdtEndPr>
        <w:rPr>
          <w:rFonts w:ascii="Arial" w:eastAsia="Calibri" w:hAnsi="Arial" w:cs="Arial"/>
          <w:szCs w:val="24"/>
          <w:lang w:bidi="he-IL"/>
        </w:rPr>
      </w:sdtEndPr>
      <w:sdtContent>
        <w:bookmarkEnd w:id="17" w:displacedByCustomXml="next"/>
        <w:bookmarkEnd w:id="18" w:displacedByCustomXml="next"/>
        <w:sdt>
          <w:sdtPr>
            <w:rPr>
              <w:color w:val="auto"/>
              <w:sz w:val="24"/>
            </w:rPr>
            <w:id w:val="700524479"/>
            <w:bibliography/>
          </w:sdtPr>
          <w:sdtEndPr>
            <w:rPr>
              <w:szCs w:val="24"/>
            </w:rPr>
          </w:sdtEndPr>
          <w:sdtContent>
            <w:bookmarkStart w:id="20" w:name="_Toc188271462" w:displacedByCustomXml="prev"/>
            <w:p w14:paraId="3E26DD2C" w14:textId="77777777" w:rsidR="009D6D78" w:rsidRDefault="009D6D78" w:rsidP="009D6D78">
              <w:pPr>
                <w:pStyle w:val="Heading1"/>
                <w:numPr>
                  <w:ilvl w:val="0"/>
                  <w:numId w:val="0"/>
                </w:numPr>
              </w:pPr>
              <w:r>
                <w:t>References</w:t>
              </w:r>
              <w:bookmarkEnd w:id="19"/>
              <w:bookmarkEnd w:id="20"/>
            </w:p>
            <w:p w14:paraId="7BF10A49" w14:textId="77777777" w:rsidR="005C06DF" w:rsidRDefault="00763DD5" w:rsidP="00763DD5">
              <w:pPr>
                <w:rPr>
                  <w:rFonts w:asciiTheme="minorHAnsi" w:eastAsiaTheme="minorHAnsi" w:hAnsiTheme="minorHAnsi" w:cstheme="minorBidi"/>
                  <w:noProof/>
                  <w:kern w:val="2"/>
                  <w:sz w:val="22"/>
                  <w:lang w:bidi="ar-SA"/>
                  <w14:ligatures w14:val="standardContextual"/>
                </w:rPr>
              </w:pPr>
              <w:r w:rsidRPr="00763DD5">
                <w:rPr>
                  <w:color w:val="22413A"/>
                  <w:szCs w:val="24"/>
                </w:rPr>
                <w:fldChar w:fldCharType="begin"/>
              </w:r>
              <w:r w:rsidRPr="009D6D78">
                <w:rPr>
                  <w:szCs w:val="24"/>
                </w:rPr>
                <w:instrText xml:space="preserve"> BIBLIOGRAPHY </w:instrText>
              </w:r>
              <w:r w:rsidRPr="00763DD5">
                <w:rPr>
                  <w:color w:val="22413A"/>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5C06DF" w14:paraId="6796246E" w14:textId="77777777">
                <w:trPr>
                  <w:divId w:val="1799643905"/>
                  <w:tblCellSpacing w:w="15" w:type="dxa"/>
                </w:trPr>
                <w:tc>
                  <w:tcPr>
                    <w:tcW w:w="50" w:type="pct"/>
                    <w:hideMark/>
                  </w:tcPr>
                  <w:p w14:paraId="3EDAFDA8" w14:textId="1944B56E" w:rsidR="005C06DF" w:rsidRPr="00AE69E6" w:rsidRDefault="005C06DF">
                    <w:pPr>
                      <w:pStyle w:val="Bibliography"/>
                      <w:rPr>
                        <w:rFonts w:asciiTheme="minorBidi" w:hAnsiTheme="minorBidi"/>
                        <w:noProof/>
                        <w:kern w:val="0"/>
                        <w:sz w:val="24"/>
                        <w:szCs w:val="24"/>
                        <w14:ligatures w14:val="none"/>
                      </w:rPr>
                    </w:pPr>
                    <w:r w:rsidRPr="00000BD6">
                      <w:rPr>
                        <w:rFonts w:asciiTheme="minorBidi" w:hAnsiTheme="minorBidi"/>
                        <w:noProof/>
                        <w:sz w:val="24"/>
                        <w:szCs w:val="24"/>
                      </w:rPr>
                      <w:t xml:space="preserve">[1] </w:t>
                    </w:r>
                  </w:p>
                </w:tc>
                <w:tc>
                  <w:tcPr>
                    <w:tcW w:w="0" w:type="auto"/>
                    <w:hideMark/>
                  </w:tcPr>
                  <w:p w14:paraId="7241F663" w14:textId="24946221" w:rsidR="005C06DF" w:rsidRPr="00000BD6" w:rsidRDefault="005C06DF">
                    <w:pPr>
                      <w:pStyle w:val="Bibliography"/>
                      <w:rPr>
                        <w:rFonts w:asciiTheme="minorBidi" w:hAnsiTheme="minorBidi"/>
                        <w:noProof/>
                        <w:sz w:val="24"/>
                        <w:szCs w:val="24"/>
                      </w:rPr>
                    </w:pPr>
                    <w:r w:rsidRPr="00000BD6">
                      <w:rPr>
                        <w:rFonts w:asciiTheme="minorBidi" w:hAnsiTheme="minorBidi"/>
                        <w:noProof/>
                        <w:sz w:val="24"/>
                        <w:szCs w:val="24"/>
                      </w:rPr>
                      <w:t>Security Assessment Principles (SyAPs) for the Civil Nuclear Industry; 2022 Edition Version 1.1.</w:t>
                    </w:r>
                    <w:r w:rsidR="00E628EB" w:rsidRPr="00000BD6" w:rsidDel="00E628EB">
                      <w:rPr>
                        <w:rFonts w:asciiTheme="minorBidi" w:hAnsiTheme="minorBidi"/>
                        <w:noProof/>
                        <w:sz w:val="24"/>
                        <w:szCs w:val="24"/>
                      </w:rPr>
                      <w:t xml:space="preserve"> </w:t>
                    </w:r>
                    <w:hyperlink r:id="rId14" w:history="1">
                      <w:r w:rsidR="00AA2407" w:rsidRPr="00AE69E6">
                        <w:rPr>
                          <w:rStyle w:val="Hyperlink"/>
                          <w:rFonts w:ascii="Arial" w:eastAsia="Times New Roman" w:hAnsi="Arial" w:cs="Arial"/>
                          <w:sz w:val="24"/>
                          <w:szCs w:val="24"/>
                        </w:rPr>
                        <w:t>https://www.onr.org.uk/publications/regulatory-guidance/regulatory-assessment-and-permissioning/security-assessment-principles-syaps/security-assessment-principles-syaps/</w:t>
                      </w:r>
                    </w:hyperlink>
                    <w:r w:rsidR="00AA2407" w:rsidRPr="00AE69E6">
                      <w:rPr>
                        <w:rFonts w:ascii="Arial" w:eastAsia="Times New Roman" w:hAnsi="Arial" w:cs="Arial"/>
                        <w:sz w:val="24"/>
                        <w:szCs w:val="24"/>
                      </w:rPr>
                      <w:t>.</w:t>
                    </w:r>
                  </w:p>
                </w:tc>
              </w:tr>
              <w:tr w:rsidR="005C06DF" w14:paraId="71FB77BF" w14:textId="77777777">
                <w:trPr>
                  <w:divId w:val="1799643905"/>
                  <w:tblCellSpacing w:w="15" w:type="dxa"/>
                </w:trPr>
                <w:tc>
                  <w:tcPr>
                    <w:tcW w:w="50" w:type="pct"/>
                    <w:hideMark/>
                  </w:tcPr>
                  <w:p w14:paraId="06008288" w14:textId="77777777" w:rsidR="005C06DF" w:rsidRPr="00000BD6" w:rsidRDefault="005C06DF">
                    <w:pPr>
                      <w:pStyle w:val="Bibliography"/>
                      <w:rPr>
                        <w:rFonts w:asciiTheme="minorBidi" w:hAnsiTheme="minorBidi"/>
                        <w:noProof/>
                        <w:sz w:val="24"/>
                        <w:szCs w:val="24"/>
                      </w:rPr>
                    </w:pPr>
                    <w:r w:rsidRPr="00000BD6">
                      <w:rPr>
                        <w:rFonts w:asciiTheme="minorBidi" w:hAnsiTheme="minorBidi"/>
                        <w:noProof/>
                        <w:sz w:val="24"/>
                        <w:szCs w:val="24"/>
                      </w:rPr>
                      <w:t xml:space="preserve">[2] </w:t>
                    </w:r>
                  </w:p>
                </w:tc>
                <w:tc>
                  <w:tcPr>
                    <w:tcW w:w="0" w:type="auto"/>
                    <w:hideMark/>
                  </w:tcPr>
                  <w:p w14:paraId="5C9C4477" w14:textId="23B1447D" w:rsidR="005C06DF" w:rsidRPr="00000BD6" w:rsidRDefault="005C06DF">
                    <w:pPr>
                      <w:pStyle w:val="Bibliography"/>
                      <w:rPr>
                        <w:rFonts w:asciiTheme="minorBidi" w:hAnsiTheme="minorBidi"/>
                        <w:noProof/>
                        <w:sz w:val="24"/>
                        <w:szCs w:val="24"/>
                      </w:rPr>
                    </w:pPr>
                    <w:r w:rsidRPr="00000BD6">
                      <w:rPr>
                        <w:rFonts w:asciiTheme="minorBidi" w:hAnsiTheme="minorBidi"/>
                        <w:noProof/>
                        <w:sz w:val="24"/>
                        <w:szCs w:val="24"/>
                      </w:rPr>
                      <w:t xml:space="preserve">Nuclear Industries Security Regulations (NISR) 2003. </w:t>
                    </w:r>
                    <w:hyperlink r:id="rId15" w:history="1">
                      <w:r w:rsidR="00E628EB" w:rsidRPr="00000BD6">
                        <w:rPr>
                          <w:rFonts w:ascii="Arial" w:eastAsia="Calibri" w:hAnsi="Arial" w:cs="Arial"/>
                          <w:color w:val="0000FF"/>
                          <w:kern w:val="0"/>
                          <w:sz w:val="24"/>
                          <w:szCs w:val="24"/>
                          <w:u w:val="single"/>
                          <w:lang w:bidi="he-IL"/>
                          <w14:ligatures w14:val="none"/>
                        </w:rPr>
                        <w:t>The Nuclear Industries Security Regulations 2003</w:t>
                      </w:r>
                    </w:hyperlink>
                  </w:p>
                </w:tc>
              </w:tr>
              <w:tr w:rsidR="005C06DF" w14:paraId="039E72A9" w14:textId="77777777">
                <w:trPr>
                  <w:divId w:val="1799643905"/>
                  <w:tblCellSpacing w:w="15" w:type="dxa"/>
                </w:trPr>
                <w:tc>
                  <w:tcPr>
                    <w:tcW w:w="50" w:type="pct"/>
                    <w:hideMark/>
                  </w:tcPr>
                  <w:p w14:paraId="572DD784" w14:textId="77777777" w:rsidR="005C06DF" w:rsidRPr="00000BD6" w:rsidRDefault="005C06DF">
                    <w:pPr>
                      <w:pStyle w:val="Bibliography"/>
                      <w:rPr>
                        <w:rFonts w:asciiTheme="minorBidi" w:hAnsiTheme="minorBidi"/>
                        <w:noProof/>
                        <w:sz w:val="24"/>
                        <w:szCs w:val="24"/>
                      </w:rPr>
                    </w:pPr>
                    <w:r w:rsidRPr="00000BD6">
                      <w:rPr>
                        <w:rFonts w:asciiTheme="minorBidi" w:hAnsiTheme="minorBidi"/>
                        <w:noProof/>
                        <w:sz w:val="24"/>
                        <w:szCs w:val="24"/>
                      </w:rPr>
                      <w:t xml:space="preserve">[3] </w:t>
                    </w:r>
                  </w:p>
                </w:tc>
                <w:tc>
                  <w:tcPr>
                    <w:tcW w:w="0" w:type="auto"/>
                    <w:hideMark/>
                  </w:tcPr>
                  <w:p w14:paraId="14B1C9FC" w14:textId="4BEC7B81" w:rsidR="005C06DF" w:rsidRPr="00000BD6" w:rsidRDefault="005C06DF">
                    <w:pPr>
                      <w:pStyle w:val="Bibliography"/>
                      <w:rPr>
                        <w:rFonts w:asciiTheme="minorBidi" w:hAnsiTheme="minorBidi"/>
                        <w:noProof/>
                        <w:sz w:val="24"/>
                        <w:szCs w:val="24"/>
                      </w:rPr>
                    </w:pPr>
                    <w:r w:rsidRPr="00000BD6">
                      <w:rPr>
                        <w:rFonts w:asciiTheme="minorBidi" w:hAnsiTheme="minorBidi"/>
                        <w:noProof/>
                        <w:sz w:val="24"/>
                        <w:szCs w:val="24"/>
                      </w:rPr>
                      <w:t xml:space="preserve">Convention on the Physical Protection of Nuclear Material (CPPNM). </w:t>
                    </w:r>
                    <w:hyperlink r:id="rId16" w:history="1">
                      <w:r w:rsidR="00923E08" w:rsidRPr="00AE69E6">
                        <w:rPr>
                          <w:rStyle w:val="Hyperlink"/>
                          <w:rFonts w:ascii="Arial" w:eastAsia="Times New Roman" w:hAnsi="Arial" w:cs="Arial"/>
                          <w:sz w:val="24"/>
                          <w:szCs w:val="24"/>
                        </w:rPr>
                        <w:t>https://www.iaea.org/publications/documents/conventions/convention-physical-protection-nuclear-material-and-its-amendment</w:t>
                      </w:r>
                    </w:hyperlink>
                  </w:p>
                </w:tc>
              </w:tr>
              <w:tr w:rsidR="005C06DF" w14:paraId="1DD92E60" w14:textId="77777777">
                <w:trPr>
                  <w:divId w:val="1799643905"/>
                  <w:tblCellSpacing w:w="15" w:type="dxa"/>
                </w:trPr>
                <w:tc>
                  <w:tcPr>
                    <w:tcW w:w="50" w:type="pct"/>
                    <w:hideMark/>
                  </w:tcPr>
                  <w:p w14:paraId="70A17404" w14:textId="77777777" w:rsidR="005C06DF" w:rsidRPr="00000BD6" w:rsidRDefault="005C06DF">
                    <w:pPr>
                      <w:pStyle w:val="Bibliography"/>
                      <w:rPr>
                        <w:rFonts w:asciiTheme="minorBidi" w:hAnsiTheme="minorBidi"/>
                        <w:noProof/>
                        <w:sz w:val="24"/>
                        <w:szCs w:val="24"/>
                      </w:rPr>
                    </w:pPr>
                    <w:r w:rsidRPr="00000BD6">
                      <w:rPr>
                        <w:rFonts w:asciiTheme="minorBidi" w:hAnsiTheme="minorBidi"/>
                        <w:noProof/>
                        <w:sz w:val="24"/>
                        <w:szCs w:val="24"/>
                      </w:rPr>
                      <w:t xml:space="preserve">[4] </w:t>
                    </w:r>
                  </w:p>
                </w:tc>
                <w:tc>
                  <w:tcPr>
                    <w:tcW w:w="0" w:type="auto"/>
                    <w:hideMark/>
                  </w:tcPr>
                  <w:p w14:paraId="7CECA740" w14:textId="20A39CF0" w:rsidR="005C06DF" w:rsidRPr="00000BD6" w:rsidRDefault="005C06DF">
                    <w:pPr>
                      <w:pStyle w:val="Bibliography"/>
                      <w:rPr>
                        <w:rFonts w:asciiTheme="minorBidi" w:hAnsiTheme="minorBidi"/>
                        <w:noProof/>
                        <w:sz w:val="24"/>
                        <w:szCs w:val="24"/>
                      </w:rPr>
                    </w:pPr>
                    <w:r w:rsidRPr="00000BD6">
                      <w:rPr>
                        <w:rFonts w:asciiTheme="minorBidi" w:hAnsiTheme="minorBidi"/>
                        <w:noProof/>
                        <w:sz w:val="24"/>
                        <w:szCs w:val="24"/>
                      </w:rPr>
                      <w:t xml:space="preserve">IAEA Nuclear Security Series No 20 "Objective and Essential Elements of a State's Nuclear Security Regime". </w:t>
                    </w:r>
                    <w:hyperlink r:id="rId17" w:history="1">
                      <w:r w:rsidR="00FE020D" w:rsidRPr="00000BD6">
                        <w:rPr>
                          <w:rFonts w:ascii="Arial" w:eastAsia="Calibri" w:hAnsi="Arial" w:cs="Arial"/>
                          <w:color w:val="0000FF"/>
                          <w:kern w:val="0"/>
                          <w:sz w:val="24"/>
                          <w:szCs w:val="24"/>
                          <w:u w:val="single"/>
                          <w:lang w:bidi="he-IL"/>
                          <w14:ligatures w14:val="none"/>
                        </w:rPr>
                        <w:t>Objective and Essential Elements of a State's Nuclear Security Regime | IAEA</w:t>
                      </w:r>
                    </w:hyperlink>
                  </w:p>
                </w:tc>
              </w:tr>
              <w:tr w:rsidR="005C06DF" w14:paraId="57549B6A" w14:textId="77777777">
                <w:trPr>
                  <w:divId w:val="1799643905"/>
                  <w:tblCellSpacing w:w="15" w:type="dxa"/>
                </w:trPr>
                <w:tc>
                  <w:tcPr>
                    <w:tcW w:w="50" w:type="pct"/>
                    <w:hideMark/>
                  </w:tcPr>
                  <w:p w14:paraId="2FD4D08C" w14:textId="77777777" w:rsidR="005C06DF" w:rsidRPr="00000BD6" w:rsidRDefault="005C06DF">
                    <w:pPr>
                      <w:pStyle w:val="Bibliography"/>
                      <w:rPr>
                        <w:rFonts w:asciiTheme="minorBidi" w:hAnsiTheme="minorBidi"/>
                        <w:noProof/>
                        <w:sz w:val="24"/>
                        <w:szCs w:val="24"/>
                      </w:rPr>
                    </w:pPr>
                    <w:r w:rsidRPr="00000BD6">
                      <w:rPr>
                        <w:rFonts w:asciiTheme="minorBidi" w:hAnsiTheme="minorBidi"/>
                        <w:noProof/>
                        <w:sz w:val="24"/>
                        <w:szCs w:val="24"/>
                      </w:rPr>
                      <w:t xml:space="preserve">[5] </w:t>
                    </w:r>
                  </w:p>
                </w:tc>
                <w:tc>
                  <w:tcPr>
                    <w:tcW w:w="0" w:type="auto"/>
                    <w:hideMark/>
                  </w:tcPr>
                  <w:p w14:paraId="12516321" w14:textId="44BE9AB9" w:rsidR="005C06DF" w:rsidRPr="00000BD6" w:rsidRDefault="005C06DF">
                    <w:pPr>
                      <w:pStyle w:val="Bibliography"/>
                      <w:rPr>
                        <w:rFonts w:asciiTheme="minorBidi" w:hAnsiTheme="minorBidi"/>
                        <w:noProof/>
                        <w:sz w:val="24"/>
                        <w:szCs w:val="24"/>
                      </w:rPr>
                    </w:pPr>
                    <w:r w:rsidRPr="00000BD6">
                      <w:rPr>
                        <w:rFonts w:asciiTheme="minorBidi" w:hAnsiTheme="minorBidi"/>
                        <w:noProof/>
                        <w:sz w:val="24"/>
                        <w:szCs w:val="24"/>
                      </w:rPr>
                      <w:t xml:space="preserve">IAEA Nuclear Security Series No 13: "Nuclear Security Recommendations on Physical Protection of Nuclear Material and Nuclear Facilities". </w:t>
                    </w:r>
                    <w:r w:rsidR="00CC5A54" w:rsidRPr="00000BD6">
                      <w:rPr>
                        <w:rFonts w:asciiTheme="minorBidi" w:hAnsiTheme="minorBidi"/>
                        <w:noProof/>
                        <w:sz w:val="24"/>
                        <w:szCs w:val="24"/>
                      </w:rPr>
                      <w:t>https://www.iaea.org/publications/8629/nuclear-security-recommendations-on-physical-protection-of-nuclear-material-and-nuclear-facilities-infcirc225revision-5</w:t>
                    </w:r>
                  </w:p>
                </w:tc>
              </w:tr>
              <w:tr w:rsidR="005C06DF" w14:paraId="00F9DF17" w14:textId="77777777">
                <w:trPr>
                  <w:divId w:val="1799643905"/>
                  <w:tblCellSpacing w:w="15" w:type="dxa"/>
                </w:trPr>
                <w:tc>
                  <w:tcPr>
                    <w:tcW w:w="50" w:type="pct"/>
                    <w:hideMark/>
                  </w:tcPr>
                  <w:p w14:paraId="63DB14B6" w14:textId="77777777" w:rsidR="005C06DF" w:rsidRPr="00000BD6" w:rsidRDefault="005C06DF">
                    <w:pPr>
                      <w:pStyle w:val="Bibliography"/>
                      <w:rPr>
                        <w:rFonts w:asciiTheme="minorBidi" w:hAnsiTheme="minorBidi"/>
                        <w:noProof/>
                        <w:sz w:val="24"/>
                        <w:szCs w:val="24"/>
                      </w:rPr>
                    </w:pPr>
                    <w:r w:rsidRPr="00000BD6">
                      <w:rPr>
                        <w:rFonts w:asciiTheme="minorBidi" w:hAnsiTheme="minorBidi"/>
                        <w:noProof/>
                        <w:sz w:val="24"/>
                        <w:szCs w:val="24"/>
                      </w:rPr>
                      <w:t xml:space="preserve">[6] </w:t>
                    </w:r>
                  </w:p>
                </w:tc>
                <w:tc>
                  <w:tcPr>
                    <w:tcW w:w="0" w:type="auto"/>
                    <w:hideMark/>
                  </w:tcPr>
                  <w:p w14:paraId="66B676D6" w14:textId="1DB1F1BE" w:rsidR="005C06DF" w:rsidRPr="00000BD6" w:rsidRDefault="005C06DF">
                    <w:pPr>
                      <w:pStyle w:val="Bibliography"/>
                      <w:rPr>
                        <w:rFonts w:asciiTheme="minorBidi" w:hAnsiTheme="minorBidi"/>
                        <w:noProof/>
                        <w:sz w:val="24"/>
                        <w:szCs w:val="24"/>
                      </w:rPr>
                    </w:pPr>
                    <w:r w:rsidRPr="00000BD6">
                      <w:rPr>
                        <w:rFonts w:asciiTheme="minorBidi" w:hAnsiTheme="minorBidi"/>
                        <w:noProof/>
                        <w:sz w:val="24"/>
                        <w:szCs w:val="24"/>
                      </w:rPr>
                      <w:t xml:space="preserve">IAEA Operating Experience Feedback for Nuclear Installations. </w:t>
                    </w:r>
                    <w:hyperlink r:id="rId18" w:history="1">
                      <w:r w:rsidR="001626E3" w:rsidRPr="00000BD6">
                        <w:rPr>
                          <w:rFonts w:ascii="Arial" w:eastAsia="Calibri" w:hAnsi="Arial" w:cs="Arial"/>
                          <w:color w:val="0000FF"/>
                          <w:kern w:val="0"/>
                          <w:sz w:val="24"/>
                          <w:szCs w:val="24"/>
                          <w:u w:val="single"/>
                          <w:lang w:bidi="he-IL"/>
                          <w14:ligatures w14:val="none"/>
                        </w:rPr>
                        <w:t>18-03381_PUB1805_book.indb</w:t>
                      </w:r>
                    </w:hyperlink>
                  </w:p>
                </w:tc>
              </w:tr>
              <w:tr w:rsidR="005C06DF" w14:paraId="54E78934" w14:textId="77777777">
                <w:trPr>
                  <w:divId w:val="1799643905"/>
                  <w:tblCellSpacing w:w="15" w:type="dxa"/>
                </w:trPr>
                <w:tc>
                  <w:tcPr>
                    <w:tcW w:w="50" w:type="pct"/>
                    <w:hideMark/>
                  </w:tcPr>
                  <w:p w14:paraId="0CF025B0" w14:textId="77777777" w:rsidR="005C06DF" w:rsidRPr="00000BD6" w:rsidRDefault="005C06DF">
                    <w:pPr>
                      <w:pStyle w:val="Bibliography"/>
                      <w:rPr>
                        <w:rFonts w:asciiTheme="minorBidi" w:hAnsiTheme="minorBidi"/>
                        <w:noProof/>
                        <w:sz w:val="24"/>
                        <w:szCs w:val="24"/>
                      </w:rPr>
                    </w:pPr>
                    <w:r w:rsidRPr="00000BD6">
                      <w:rPr>
                        <w:rFonts w:asciiTheme="minorBidi" w:hAnsiTheme="minorBidi"/>
                        <w:noProof/>
                        <w:sz w:val="24"/>
                        <w:szCs w:val="24"/>
                      </w:rPr>
                      <w:t xml:space="preserve">[7] </w:t>
                    </w:r>
                  </w:p>
                </w:tc>
                <w:tc>
                  <w:tcPr>
                    <w:tcW w:w="0" w:type="auto"/>
                    <w:hideMark/>
                  </w:tcPr>
                  <w:p w14:paraId="73E28A7B" w14:textId="5061598D" w:rsidR="005C06DF" w:rsidRPr="00000BD6" w:rsidRDefault="001E19EF" w:rsidP="001E19EF">
                    <w:pPr>
                      <w:pStyle w:val="Bibliography"/>
                      <w:rPr>
                        <w:rFonts w:asciiTheme="minorBidi" w:hAnsiTheme="minorBidi"/>
                        <w:noProof/>
                        <w:sz w:val="24"/>
                        <w:szCs w:val="24"/>
                      </w:rPr>
                    </w:pPr>
                    <w:r w:rsidRPr="001E19EF">
                      <w:rPr>
                        <w:rFonts w:asciiTheme="minorBidi" w:hAnsiTheme="minorBidi"/>
                        <w:noProof/>
                        <w:sz w:val="24"/>
                        <w:szCs w:val="24"/>
                      </w:rPr>
                      <w:t xml:space="preserve">“Government Functional Standard 007: Security" (GovS 007) [Online]. Available: </w:t>
                    </w:r>
                    <w:hyperlink r:id="rId19" w:history="1">
                      <w:r w:rsidRPr="001E19EF">
                        <w:rPr>
                          <w:rStyle w:val="Hyperlink"/>
                          <w:rFonts w:asciiTheme="minorBidi" w:hAnsiTheme="minorBidi"/>
                          <w:noProof/>
                          <w:sz w:val="24"/>
                          <w:szCs w:val="24"/>
                        </w:rPr>
                        <w:t>https://www.gov.uk/government/publications/government-functional-standard-govs-007-security</w:t>
                      </w:r>
                    </w:hyperlink>
                  </w:p>
                </w:tc>
              </w:tr>
              <w:tr w:rsidR="005C06DF" w14:paraId="0A58EA17" w14:textId="77777777">
                <w:trPr>
                  <w:divId w:val="1799643905"/>
                  <w:tblCellSpacing w:w="15" w:type="dxa"/>
                </w:trPr>
                <w:tc>
                  <w:tcPr>
                    <w:tcW w:w="50" w:type="pct"/>
                    <w:hideMark/>
                  </w:tcPr>
                  <w:p w14:paraId="51878381" w14:textId="77777777" w:rsidR="005C06DF" w:rsidRPr="00000BD6" w:rsidRDefault="005C06DF">
                    <w:pPr>
                      <w:pStyle w:val="Bibliography"/>
                      <w:rPr>
                        <w:rFonts w:asciiTheme="minorBidi" w:hAnsiTheme="minorBidi"/>
                        <w:noProof/>
                        <w:sz w:val="24"/>
                        <w:szCs w:val="24"/>
                      </w:rPr>
                    </w:pPr>
                    <w:r w:rsidRPr="00000BD6">
                      <w:rPr>
                        <w:rFonts w:asciiTheme="minorBidi" w:hAnsiTheme="minorBidi"/>
                        <w:noProof/>
                        <w:sz w:val="24"/>
                        <w:szCs w:val="24"/>
                      </w:rPr>
                      <w:t xml:space="preserve">[8] </w:t>
                    </w:r>
                  </w:p>
                </w:tc>
                <w:tc>
                  <w:tcPr>
                    <w:tcW w:w="0" w:type="auto"/>
                    <w:hideMark/>
                  </w:tcPr>
                  <w:p w14:paraId="56CCD01E" w14:textId="59A36850" w:rsidR="005C06DF" w:rsidRPr="00000BD6" w:rsidRDefault="005C06DF" w:rsidP="00DA540A">
                    <w:pPr>
                      <w:pStyle w:val="Bibliography"/>
                      <w:rPr>
                        <w:rFonts w:asciiTheme="minorBidi" w:hAnsiTheme="minorBidi"/>
                        <w:noProof/>
                        <w:sz w:val="24"/>
                        <w:szCs w:val="24"/>
                      </w:rPr>
                    </w:pPr>
                    <w:r w:rsidRPr="00000BD6">
                      <w:rPr>
                        <w:rFonts w:asciiTheme="minorBidi" w:hAnsiTheme="minorBidi"/>
                        <w:noProof/>
                        <w:sz w:val="24"/>
                        <w:szCs w:val="24"/>
                      </w:rPr>
                      <w:t>Nuclear Industries Security Regulations 2003: Classifica</w:t>
                    </w:r>
                    <w:r w:rsidR="00DA540A" w:rsidRPr="00000BD6">
                      <w:rPr>
                        <w:rFonts w:asciiTheme="minorBidi" w:hAnsiTheme="minorBidi"/>
                        <w:noProof/>
                        <w:sz w:val="24"/>
                        <w:szCs w:val="24"/>
                      </w:rPr>
                      <w:t>ti</w:t>
                    </w:r>
                    <w:r w:rsidRPr="00000BD6">
                      <w:rPr>
                        <w:rFonts w:asciiTheme="minorBidi" w:hAnsiTheme="minorBidi"/>
                        <w:noProof/>
                        <w:sz w:val="24"/>
                        <w:szCs w:val="24"/>
                      </w:rPr>
                      <w:t xml:space="preserve">on Policy for the Civil Nuclear Industry. </w:t>
                    </w:r>
                    <w:hyperlink r:id="rId20" w:history="1">
                      <w:r w:rsidR="00DA3294" w:rsidRPr="00AE69E6">
                        <w:rPr>
                          <w:rStyle w:val="Hyperlink"/>
                          <w:rFonts w:ascii="Arial" w:eastAsia="Times New Roman" w:hAnsi="Arial" w:cs="Arial"/>
                          <w:sz w:val="24"/>
                          <w:szCs w:val="24"/>
                        </w:rPr>
                        <w:t>https://www.onr.org.uk/publications/corporate-publications/other-corporate-publications/policy/classification-policy-for-the-civil-nuclear-industry/</w:t>
                      </w:r>
                    </w:hyperlink>
                  </w:p>
                </w:tc>
              </w:tr>
              <w:tr w:rsidR="005C06DF" w14:paraId="6AE212F0" w14:textId="77777777">
                <w:trPr>
                  <w:divId w:val="1799643905"/>
                  <w:tblCellSpacing w:w="15" w:type="dxa"/>
                </w:trPr>
                <w:tc>
                  <w:tcPr>
                    <w:tcW w:w="50" w:type="pct"/>
                    <w:hideMark/>
                  </w:tcPr>
                  <w:p w14:paraId="10192A02" w14:textId="77777777" w:rsidR="005C06DF" w:rsidRPr="00000BD6" w:rsidRDefault="005C06DF">
                    <w:pPr>
                      <w:pStyle w:val="Bibliography"/>
                      <w:rPr>
                        <w:rFonts w:asciiTheme="minorBidi" w:hAnsiTheme="minorBidi"/>
                        <w:noProof/>
                        <w:sz w:val="24"/>
                        <w:szCs w:val="24"/>
                      </w:rPr>
                    </w:pPr>
                    <w:r w:rsidRPr="00000BD6">
                      <w:rPr>
                        <w:rFonts w:asciiTheme="minorBidi" w:hAnsiTheme="minorBidi"/>
                        <w:noProof/>
                        <w:sz w:val="24"/>
                        <w:szCs w:val="24"/>
                      </w:rPr>
                      <w:t xml:space="preserve">[9] </w:t>
                    </w:r>
                  </w:p>
                </w:tc>
                <w:tc>
                  <w:tcPr>
                    <w:tcW w:w="0" w:type="auto"/>
                    <w:hideMark/>
                  </w:tcPr>
                  <w:p w14:paraId="306D444D" w14:textId="4CB6133E" w:rsidR="005C06DF" w:rsidRPr="00000BD6" w:rsidRDefault="005C06DF">
                    <w:pPr>
                      <w:pStyle w:val="Bibliography"/>
                      <w:rPr>
                        <w:rFonts w:asciiTheme="minorBidi" w:hAnsiTheme="minorBidi"/>
                        <w:noProof/>
                        <w:sz w:val="24"/>
                        <w:szCs w:val="24"/>
                      </w:rPr>
                    </w:pPr>
                    <w:r w:rsidRPr="00000BD6">
                      <w:rPr>
                        <w:rFonts w:asciiTheme="minorBidi" w:hAnsiTheme="minorBidi"/>
                        <w:noProof/>
                        <w:sz w:val="24"/>
                        <w:szCs w:val="24"/>
                      </w:rPr>
                      <w:t xml:space="preserve">Process for Notifying Incidents to ONR. </w:t>
                    </w:r>
                    <w:hyperlink r:id="rId21" w:history="1">
                      <w:r w:rsidR="009131B6" w:rsidRPr="00000BD6">
                        <w:rPr>
                          <w:rFonts w:ascii="Arial" w:eastAsia="Calibri" w:hAnsi="Arial" w:cs="Arial"/>
                          <w:color w:val="0000FF"/>
                          <w:kern w:val="0"/>
                          <w:sz w:val="24"/>
                          <w:szCs w:val="24"/>
                          <w:u w:val="single"/>
                          <w:lang w:bidi="he-IL"/>
                          <w14:ligatures w14:val="none"/>
                        </w:rPr>
                        <w:t>onr-rio-proc-002.docx</w:t>
                      </w:r>
                    </w:hyperlink>
                  </w:p>
                </w:tc>
              </w:tr>
            </w:tbl>
            <w:p w14:paraId="7DFD80A3" w14:textId="77777777" w:rsidR="005C06DF" w:rsidRDefault="005C06DF">
              <w:pPr>
                <w:divId w:val="1799643905"/>
                <w:rPr>
                  <w:rFonts w:eastAsia="Times New Roman"/>
                  <w:noProof/>
                </w:rPr>
              </w:pPr>
            </w:p>
            <w:p w14:paraId="730DF63D" w14:textId="2C0A6C41" w:rsidR="00763DD5" w:rsidRPr="00763DD5" w:rsidRDefault="00763DD5" w:rsidP="00763DD5">
              <w:pPr>
                <w:rPr>
                  <w:rFonts w:eastAsiaTheme="minorHAnsi"/>
                  <w:szCs w:val="24"/>
                </w:rPr>
              </w:pPr>
              <w:r w:rsidRPr="00763DD5">
                <w:rPr>
                  <w:b/>
                  <w:bCs/>
                  <w:noProof/>
                  <w:szCs w:val="24"/>
                </w:rPr>
                <w:fldChar w:fldCharType="end"/>
              </w:r>
            </w:p>
          </w:sdtContent>
        </w:sdt>
      </w:sdtContent>
    </w:sdt>
    <w:p w14:paraId="7D6C660E" w14:textId="48B3882C" w:rsidR="009D6D78" w:rsidRDefault="009D6D78" w:rsidP="00763DD5">
      <w:pPr>
        <w:rPr>
          <w:szCs w:val="24"/>
        </w:rPr>
      </w:pPr>
    </w:p>
    <w:p w14:paraId="2A7BEB6F" w14:textId="77777777" w:rsidR="009D6D78" w:rsidRDefault="009D6D78">
      <w:pPr>
        <w:spacing w:after="160" w:line="259" w:lineRule="auto"/>
        <w:rPr>
          <w:szCs w:val="24"/>
        </w:rPr>
      </w:pPr>
      <w:r>
        <w:rPr>
          <w:szCs w:val="24"/>
        </w:rPr>
        <w:br w:type="page"/>
      </w:r>
    </w:p>
    <w:p w14:paraId="5B9BA70C" w14:textId="77777777" w:rsidR="009D6D78" w:rsidRPr="003B4701" w:rsidRDefault="009D6D78" w:rsidP="009D6D78">
      <w:pPr>
        <w:pStyle w:val="Heading1"/>
        <w:numPr>
          <w:ilvl w:val="0"/>
          <w:numId w:val="0"/>
        </w:numPr>
        <w:ind w:left="851" w:hanging="851"/>
      </w:pPr>
      <w:bookmarkStart w:id="21" w:name="_Toc89268373"/>
      <w:bookmarkStart w:id="22" w:name="_Toc188271463"/>
      <w:bookmarkStart w:id="23" w:name="_Toc188607278"/>
      <w:r w:rsidRPr="003B4701">
        <w:lastRenderedPageBreak/>
        <w:t>Glossary and Abbreviations</w:t>
      </w:r>
      <w:bookmarkEnd w:id="21"/>
      <w:bookmarkEnd w:id="22"/>
      <w:bookmarkEnd w:id="23"/>
    </w:p>
    <w:tbl>
      <w:tblPr>
        <w:tblW w:w="0" w:type="auto"/>
        <w:tblCellMar>
          <w:top w:w="57" w:type="dxa"/>
          <w:left w:w="0" w:type="dxa"/>
          <w:bottom w:w="57" w:type="dxa"/>
          <w:right w:w="0" w:type="dxa"/>
        </w:tblCellMar>
        <w:tblLook w:val="0000" w:firstRow="0" w:lastRow="0" w:firstColumn="0" w:lastColumn="0" w:noHBand="0" w:noVBand="0"/>
      </w:tblPr>
      <w:tblGrid>
        <w:gridCol w:w="1819"/>
        <w:gridCol w:w="6327"/>
      </w:tblGrid>
      <w:tr w:rsidR="009D6D78" w:rsidRPr="00823C64" w14:paraId="1734CF02" w14:textId="77777777" w:rsidTr="000760C0">
        <w:tc>
          <w:tcPr>
            <w:tcW w:w="1819" w:type="dxa"/>
          </w:tcPr>
          <w:p w14:paraId="51B2FD78" w14:textId="77777777" w:rsidR="009D6D78" w:rsidRPr="00823C64" w:rsidRDefault="009D6D78" w:rsidP="000760C0">
            <w:pPr>
              <w:pStyle w:val="NoSpacing"/>
            </w:pPr>
            <w:r>
              <w:t>CPPNM</w:t>
            </w:r>
          </w:p>
        </w:tc>
        <w:tc>
          <w:tcPr>
            <w:tcW w:w="6327" w:type="dxa"/>
          </w:tcPr>
          <w:p w14:paraId="5AB2C4CD" w14:textId="77777777" w:rsidR="009D6D78" w:rsidRPr="00823C64" w:rsidRDefault="009D6D78" w:rsidP="000760C0">
            <w:pPr>
              <w:pStyle w:val="NoSpacing"/>
            </w:pPr>
            <w:r>
              <w:t>Convention on the Physical Protection of Nuclear Material</w:t>
            </w:r>
          </w:p>
        </w:tc>
      </w:tr>
      <w:tr w:rsidR="009D6D78" w:rsidRPr="00823C64" w14:paraId="37A7F2AF" w14:textId="77777777" w:rsidTr="000760C0">
        <w:tc>
          <w:tcPr>
            <w:tcW w:w="1819" w:type="dxa"/>
          </w:tcPr>
          <w:p w14:paraId="5FF62DBB" w14:textId="77777777" w:rsidR="009D6D78" w:rsidRPr="00823C64" w:rsidRDefault="009D6D78" w:rsidP="000760C0">
            <w:pPr>
              <w:pStyle w:val="NoSpacing"/>
            </w:pPr>
            <w:r>
              <w:t>CS&amp;IA</w:t>
            </w:r>
          </w:p>
        </w:tc>
        <w:tc>
          <w:tcPr>
            <w:tcW w:w="6327" w:type="dxa"/>
          </w:tcPr>
          <w:p w14:paraId="02454D02" w14:textId="77777777" w:rsidR="009D6D78" w:rsidRPr="00823C64" w:rsidRDefault="009D6D78" w:rsidP="000760C0">
            <w:pPr>
              <w:pStyle w:val="NoSpacing"/>
            </w:pPr>
            <w:r>
              <w:t>Cyber Security and Information Assurance</w:t>
            </w:r>
          </w:p>
        </w:tc>
      </w:tr>
      <w:tr w:rsidR="009D6D78" w:rsidRPr="00823C64" w14:paraId="6184F045" w14:textId="77777777" w:rsidTr="000760C0">
        <w:tc>
          <w:tcPr>
            <w:tcW w:w="1819" w:type="dxa"/>
          </w:tcPr>
          <w:p w14:paraId="4115FCD1" w14:textId="77777777" w:rsidR="009D6D78" w:rsidRPr="00823C64" w:rsidRDefault="009D6D78" w:rsidP="000760C0">
            <w:pPr>
              <w:pStyle w:val="NoSpacing"/>
            </w:pPr>
            <w:proofErr w:type="spellStart"/>
            <w:r>
              <w:t>FSyP</w:t>
            </w:r>
            <w:proofErr w:type="spellEnd"/>
          </w:p>
        </w:tc>
        <w:tc>
          <w:tcPr>
            <w:tcW w:w="6327" w:type="dxa"/>
          </w:tcPr>
          <w:p w14:paraId="0390B539" w14:textId="77777777" w:rsidR="009D6D78" w:rsidRPr="00823C64" w:rsidRDefault="009D6D78" w:rsidP="000760C0">
            <w:pPr>
              <w:pStyle w:val="NoSpacing"/>
            </w:pPr>
            <w:r>
              <w:t>Fundamental Security Principle</w:t>
            </w:r>
          </w:p>
        </w:tc>
      </w:tr>
      <w:tr w:rsidR="00B932DB" w:rsidRPr="00823C64" w14:paraId="5F1B5DE6" w14:textId="77777777" w:rsidTr="000760C0">
        <w:tc>
          <w:tcPr>
            <w:tcW w:w="1819" w:type="dxa"/>
          </w:tcPr>
          <w:p w14:paraId="6FF078E1" w14:textId="46C3DB06" w:rsidR="00B932DB" w:rsidRPr="00823C64" w:rsidRDefault="00B932DB" w:rsidP="000760C0">
            <w:pPr>
              <w:pStyle w:val="NoSpacing"/>
            </w:pPr>
            <w:proofErr w:type="spellStart"/>
            <w:r>
              <w:t>GovS</w:t>
            </w:r>
            <w:proofErr w:type="spellEnd"/>
          </w:p>
        </w:tc>
        <w:tc>
          <w:tcPr>
            <w:tcW w:w="6327" w:type="dxa"/>
          </w:tcPr>
          <w:p w14:paraId="775A527C" w14:textId="48C207C3" w:rsidR="00B932DB" w:rsidRPr="00823C64" w:rsidRDefault="00B932DB" w:rsidP="000760C0">
            <w:pPr>
              <w:pStyle w:val="NoSpacing"/>
            </w:pPr>
            <w:r>
              <w:t>Government Functional Standard</w:t>
            </w:r>
          </w:p>
        </w:tc>
      </w:tr>
      <w:tr w:rsidR="009D6D78" w:rsidRPr="00823C64" w14:paraId="1C8D972C" w14:textId="77777777" w:rsidTr="000760C0">
        <w:tc>
          <w:tcPr>
            <w:tcW w:w="1819" w:type="dxa"/>
          </w:tcPr>
          <w:p w14:paraId="4402797B" w14:textId="77777777" w:rsidR="009D6D78" w:rsidRPr="00823C64" w:rsidRDefault="009D6D78" w:rsidP="000760C0">
            <w:pPr>
              <w:pStyle w:val="NoSpacing"/>
            </w:pPr>
            <w:r w:rsidRPr="00823C64">
              <w:t>IAEA</w:t>
            </w:r>
          </w:p>
        </w:tc>
        <w:tc>
          <w:tcPr>
            <w:tcW w:w="6327" w:type="dxa"/>
          </w:tcPr>
          <w:p w14:paraId="2DFB4B89" w14:textId="77777777" w:rsidR="009D6D78" w:rsidRPr="00823C64" w:rsidRDefault="009D6D78" w:rsidP="000760C0">
            <w:pPr>
              <w:pStyle w:val="NoSpacing"/>
            </w:pPr>
            <w:r w:rsidRPr="00823C64">
              <w:t>International Atomic Energy Agency</w:t>
            </w:r>
          </w:p>
        </w:tc>
      </w:tr>
      <w:tr w:rsidR="009D6D78" w:rsidRPr="00823C64" w14:paraId="1B6FC52D" w14:textId="77777777" w:rsidTr="000760C0">
        <w:tc>
          <w:tcPr>
            <w:tcW w:w="1819" w:type="dxa"/>
          </w:tcPr>
          <w:p w14:paraId="7EED22A3" w14:textId="77777777" w:rsidR="009D6D78" w:rsidRPr="00823C64" w:rsidRDefault="009D6D78" w:rsidP="000760C0">
            <w:pPr>
              <w:pStyle w:val="NoSpacing"/>
            </w:pPr>
            <w:proofErr w:type="spellStart"/>
            <w:r>
              <w:t>L&amp;MFSy</w:t>
            </w:r>
            <w:proofErr w:type="spellEnd"/>
          </w:p>
        </w:tc>
        <w:tc>
          <w:tcPr>
            <w:tcW w:w="6327" w:type="dxa"/>
          </w:tcPr>
          <w:p w14:paraId="6A56B522" w14:textId="77777777" w:rsidR="009D6D78" w:rsidRPr="00823C64" w:rsidRDefault="009D6D78" w:rsidP="000760C0">
            <w:pPr>
              <w:pStyle w:val="NoSpacing"/>
            </w:pPr>
            <w:r>
              <w:t>Leadership and Management for Security</w:t>
            </w:r>
          </w:p>
        </w:tc>
      </w:tr>
      <w:tr w:rsidR="009D6D78" w:rsidRPr="00823C64" w14:paraId="38483439" w14:textId="77777777" w:rsidTr="000760C0">
        <w:tc>
          <w:tcPr>
            <w:tcW w:w="1819" w:type="dxa"/>
          </w:tcPr>
          <w:p w14:paraId="29EC1170" w14:textId="77777777" w:rsidR="009D6D78" w:rsidRPr="00823C64" w:rsidRDefault="009D6D78" w:rsidP="000760C0">
            <w:pPr>
              <w:pStyle w:val="NoSpacing"/>
            </w:pPr>
            <w:r w:rsidRPr="00823C64">
              <w:t>NISR</w:t>
            </w:r>
          </w:p>
        </w:tc>
        <w:tc>
          <w:tcPr>
            <w:tcW w:w="6327" w:type="dxa"/>
          </w:tcPr>
          <w:p w14:paraId="6065B11B" w14:textId="77777777" w:rsidR="009D6D78" w:rsidRPr="00823C64" w:rsidRDefault="009D6D78" w:rsidP="000760C0">
            <w:pPr>
              <w:pStyle w:val="NoSpacing"/>
            </w:pPr>
            <w:r w:rsidRPr="00823C64">
              <w:t>Nuclear Industries Security Regulations</w:t>
            </w:r>
          </w:p>
        </w:tc>
      </w:tr>
      <w:tr w:rsidR="009F181F" w:rsidRPr="00823C64" w14:paraId="66312D7C" w14:textId="77777777" w:rsidTr="000760C0">
        <w:tc>
          <w:tcPr>
            <w:tcW w:w="1819" w:type="dxa"/>
          </w:tcPr>
          <w:p w14:paraId="07E6BFC9" w14:textId="63FD9741" w:rsidR="009F181F" w:rsidRDefault="009F181F" w:rsidP="000760C0">
            <w:pPr>
              <w:pStyle w:val="NoSpacing"/>
            </w:pPr>
            <w:r>
              <w:t>NPSA</w:t>
            </w:r>
          </w:p>
        </w:tc>
        <w:tc>
          <w:tcPr>
            <w:tcW w:w="6327" w:type="dxa"/>
          </w:tcPr>
          <w:p w14:paraId="3A583D37" w14:textId="63DB6280" w:rsidR="009F181F" w:rsidRDefault="00F477B8" w:rsidP="000760C0">
            <w:pPr>
              <w:pStyle w:val="NoSpacing"/>
            </w:pPr>
            <w:r>
              <w:t>National Protective Security Authority</w:t>
            </w:r>
          </w:p>
        </w:tc>
      </w:tr>
      <w:tr w:rsidR="009D6D78" w:rsidRPr="00823C64" w14:paraId="233C7D1A" w14:textId="77777777" w:rsidTr="000760C0">
        <w:tc>
          <w:tcPr>
            <w:tcW w:w="1819" w:type="dxa"/>
          </w:tcPr>
          <w:p w14:paraId="45083943" w14:textId="77777777" w:rsidR="009D6D78" w:rsidRPr="00823C64" w:rsidRDefault="009D6D78" w:rsidP="000760C0">
            <w:pPr>
              <w:pStyle w:val="NoSpacing"/>
            </w:pPr>
            <w:r>
              <w:t>NSS</w:t>
            </w:r>
          </w:p>
        </w:tc>
        <w:tc>
          <w:tcPr>
            <w:tcW w:w="6327" w:type="dxa"/>
          </w:tcPr>
          <w:p w14:paraId="67898EE9" w14:textId="77777777" w:rsidR="009D6D78" w:rsidRPr="00823C64" w:rsidRDefault="009D6D78" w:rsidP="000760C0">
            <w:pPr>
              <w:pStyle w:val="NoSpacing"/>
            </w:pPr>
            <w:r>
              <w:t>Nuclear Security Series</w:t>
            </w:r>
          </w:p>
        </w:tc>
      </w:tr>
      <w:tr w:rsidR="009D6D78" w:rsidRPr="00823C64" w14:paraId="04F89DB4" w14:textId="77777777" w:rsidTr="000760C0">
        <w:tc>
          <w:tcPr>
            <w:tcW w:w="1819" w:type="dxa"/>
          </w:tcPr>
          <w:p w14:paraId="62981CF8" w14:textId="77777777" w:rsidR="009D6D78" w:rsidRPr="00823C64" w:rsidRDefault="009D6D78" w:rsidP="000760C0">
            <w:pPr>
              <w:pStyle w:val="NoSpacing"/>
            </w:pPr>
            <w:r w:rsidRPr="00823C64">
              <w:t>ONR</w:t>
            </w:r>
          </w:p>
        </w:tc>
        <w:tc>
          <w:tcPr>
            <w:tcW w:w="6327" w:type="dxa"/>
          </w:tcPr>
          <w:p w14:paraId="009C3DB9" w14:textId="77777777" w:rsidR="009D6D78" w:rsidRPr="00823C64" w:rsidRDefault="009D6D78" w:rsidP="000760C0">
            <w:pPr>
              <w:pStyle w:val="NoSpacing"/>
            </w:pPr>
            <w:r w:rsidRPr="00823C64">
              <w:t>Office for Nuclear Regulation</w:t>
            </w:r>
          </w:p>
        </w:tc>
      </w:tr>
      <w:tr w:rsidR="009D6D78" w:rsidRPr="00823C64" w14:paraId="19D473E6" w14:textId="77777777" w:rsidTr="000760C0">
        <w:tc>
          <w:tcPr>
            <w:tcW w:w="1819" w:type="dxa"/>
          </w:tcPr>
          <w:p w14:paraId="50C6BE69" w14:textId="77777777" w:rsidR="009D6D78" w:rsidRPr="00823C64" w:rsidRDefault="009D6D78" w:rsidP="000760C0">
            <w:pPr>
              <w:pStyle w:val="NoSpacing"/>
            </w:pPr>
            <w:proofErr w:type="spellStart"/>
            <w:r>
              <w:t>OpEx</w:t>
            </w:r>
            <w:proofErr w:type="spellEnd"/>
          </w:p>
        </w:tc>
        <w:tc>
          <w:tcPr>
            <w:tcW w:w="6327" w:type="dxa"/>
          </w:tcPr>
          <w:p w14:paraId="73839412" w14:textId="77777777" w:rsidR="009D6D78" w:rsidRPr="00823C64" w:rsidRDefault="009D6D78" w:rsidP="000760C0">
            <w:pPr>
              <w:pStyle w:val="NoSpacing"/>
            </w:pPr>
            <w:r>
              <w:t>Operational Experience</w:t>
            </w:r>
          </w:p>
        </w:tc>
      </w:tr>
      <w:tr w:rsidR="00C01D60" w:rsidRPr="00823C64" w14:paraId="31AB58B6" w14:textId="77777777" w:rsidTr="000760C0">
        <w:tc>
          <w:tcPr>
            <w:tcW w:w="1819" w:type="dxa"/>
          </w:tcPr>
          <w:p w14:paraId="4A398AB8" w14:textId="7035913B" w:rsidR="00C01D60" w:rsidRPr="00823C64" w:rsidRDefault="00C01D60" w:rsidP="000760C0">
            <w:pPr>
              <w:pStyle w:val="NoSpacing"/>
            </w:pPr>
            <w:r>
              <w:t>RIO</w:t>
            </w:r>
          </w:p>
        </w:tc>
        <w:tc>
          <w:tcPr>
            <w:tcW w:w="6327" w:type="dxa"/>
          </w:tcPr>
          <w:p w14:paraId="1C8B93A1" w14:textId="12153300" w:rsidR="00C01D60" w:rsidRPr="00823C64" w:rsidRDefault="00C01D60" w:rsidP="000760C0">
            <w:pPr>
              <w:pStyle w:val="NoSpacing"/>
            </w:pPr>
            <w:r>
              <w:t>Regulatory Intelligence and Oversight</w:t>
            </w:r>
          </w:p>
        </w:tc>
      </w:tr>
      <w:tr w:rsidR="009D6D78" w:rsidRPr="00823C64" w14:paraId="0BA47F80" w14:textId="77777777" w:rsidTr="000760C0">
        <w:tc>
          <w:tcPr>
            <w:tcW w:w="1819" w:type="dxa"/>
          </w:tcPr>
          <w:p w14:paraId="066EEDB0" w14:textId="77777777" w:rsidR="009D6D78" w:rsidRPr="00823C64" w:rsidRDefault="009D6D78" w:rsidP="000760C0">
            <w:pPr>
              <w:pStyle w:val="NoSpacing"/>
            </w:pPr>
            <w:r w:rsidRPr="00823C64">
              <w:t>SNI</w:t>
            </w:r>
          </w:p>
        </w:tc>
        <w:tc>
          <w:tcPr>
            <w:tcW w:w="6327" w:type="dxa"/>
          </w:tcPr>
          <w:p w14:paraId="68A13614" w14:textId="77777777" w:rsidR="009D6D78" w:rsidRPr="00823C64" w:rsidRDefault="009D6D78" w:rsidP="000760C0">
            <w:pPr>
              <w:pStyle w:val="NoSpacing"/>
            </w:pPr>
            <w:r w:rsidRPr="00823C64">
              <w:t>Sensitive Nuclear Information</w:t>
            </w:r>
          </w:p>
        </w:tc>
      </w:tr>
      <w:tr w:rsidR="009D6D78" w:rsidRPr="00823C64" w14:paraId="6E14BDD6" w14:textId="77777777" w:rsidTr="000760C0">
        <w:tc>
          <w:tcPr>
            <w:tcW w:w="1819" w:type="dxa"/>
          </w:tcPr>
          <w:p w14:paraId="40BC09FF" w14:textId="77777777" w:rsidR="009D6D78" w:rsidRPr="00823C64" w:rsidRDefault="009D6D78" w:rsidP="000760C0">
            <w:pPr>
              <w:pStyle w:val="NoSpacing"/>
            </w:pPr>
            <w:r w:rsidRPr="00823C64">
              <w:t>SPF</w:t>
            </w:r>
          </w:p>
        </w:tc>
        <w:tc>
          <w:tcPr>
            <w:tcW w:w="6327" w:type="dxa"/>
          </w:tcPr>
          <w:p w14:paraId="08D853D5" w14:textId="77777777" w:rsidR="009D6D78" w:rsidRPr="00823C64" w:rsidRDefault="009D6D78" w:rsidP="000760C0">
            <w:pPr>
              <w:pStyle w:val="NoSpacing"/>
            </w:pPr>
            <w:r w:rsidRPr="00823C64">
              <w:t>Security Policy Framework</w:t>
            </w:r>
          </w:p>
        </w:tc>
      </w:tr>
      <w:tr w:rsidR="00E306C5" w:rsidRPr="00823C64" w14:paraId="14A05D1B" w14:textId="77777777" w:rsidTr="000760C0">
        <w:tc>
          <w:tcPr>
            <w:tcW w:w="1819" w:type="dxa"/>
          </w:tcPr>
          <w:p w14:paraId="377560F1" w14:textId="6C908528" w:rsidR="00E306C5" w:rsidRPr="00823C64" w:rsidRDefault="00E306C5" w:rsidP="000760C0">
            <w:pPr>
              <w:pStyle w:val="NoSpacing"/>
            </w:pPr>
            <w:r>
              <w:t>SQEP</w:t>
            </w:r>
          </w:p>
        </w:tc>
        <w:tc>
          <w:tcPr>
            <w:tcW w:w="6327" w:type="dxa"/>
          </w:tcPr>
          <w:p w14:paraId="2D14DE49" w14:textId="2038834E" w:rsidR="00E306C5" w:rsidRPr="00823C64" w:rsidRDefault="00E306C5" w:rsidP="000760C0">
            <w:pPr>
              <w:pStyle w:val="NoSpacing"/>
            </w:pPr>
            <w:r>
              <w:t>Suitably Qualified Experienced Person</w:t>
            </w:r>
            <w:r w:rsidR="0001013E">
              <w:t>/Personnel</w:t>
            </w:r>
          </w:p>
        </w:tc>
      </w:tr>
      <w:tr w:rsidR="009D6D78" w:rsidRPr="00823C64" w14:paraId="2DC68B0E" w14:textId="77777777" w:rsidTr="000760C0">
        <w:tc>
          <w:tcPr>
            <w:tcW w:w="1819" w:type="dxa"/>
          </w:tcPr>
          <w:p w14:paraId="2CC3A212" w14:textId="3AB2F403" w:rsidR="009D6D78" w:rsidRPr="00823C64" w:rsidRDefault="009D6D78" w:rsidP="000760C0">
            <w:pPr>
              <w:pStyle w:val="NoSpacing"/>
            </w:pPr>
            <w:proofErr w:type="spellStart"/>
            <w:r>
              <w:t>SyAP</w:t>
            </w:r>
            <w:proofErr w:type="spellEnd"/>
          </w:p>
        </w:tc>
        <w:tc>
          <w:tcPr>
            <w:tcW w:w="6327" w:type="dxa"/>
          </w:tcPr>
          <w:p w14:paraId="682D5298" w14:textId="7E47EF47" w:rsidR="009D6D78" w:rsidRPr="00823C64" w:rsidRDefault="009D6D78" w:rsidP="000760C0">
            <w:pPr>
              <w:pStyle w:val="NoSpacing"/>
            </w:pPr>
            <w:r>
              <w:t>Security Assessment Principle</w:t>
            </w:r>
          </w:p>
        </w:tc>
      </w:tr>
      <w:tr w:rsidR="009D6D78" w:rsidRPr="00823C64" w14:paraId="3057D17A" w14:textId="77777777" w:rsidTr="000760C0">
        <w:tc>
          <w:tcPr>
            <w:tcW w:w="1819" w:type="dxa"/>
          </w:tcPr>
          <w:p w14:paraId="34D158E6" w14:textId="77777777" w:rsidR="009D6D78" w:rsidRPr="00823C64" w:rsidRDefault="009D6D78" w:rsidP="000760C0">
            <w:pPr>
              <w:pStyle w:val="NoSpacing"/>
            </w:pPr>
            <w:proofErr w:type="spellStart"/>
            <w:r>
              <w:t>SyDP</w:t>
            </w:r>
            <w:proofErr w:type="spellEnd"/>
          </w:p>
        </w:tc>
        <w:tc>
          <w:tcPr>
            <w:tcW w:w="6327" w:type="dxa"/>
          </w:tcPr>
          <w:p w14:paraId="5E4C4DF6" w14:textId="77777777" w:rsidR="009D6D78" w:rsidRPr="00823C64" w:rsidRDefault="009D6D78" w:rsidP="000760C0">
            <w:pPr>
              <w:pStyle w:val="NoSpacing"/>
            </w:pPr>
            <w:r>
              <w:t>Security Delivery Principle</w:t>
            </w:r>
          </w:p>
        </w:tc>
      </w:tr>
      <w:tr w:rsidR="009D6D78" w:rsidRPr="00823C64" w14:paraId="39972EAA" w14:textId="77777777" w:rsidTr="000760C0">
        <w:tc>
          <w:tcPr>
            <w:tcW w:w="1819" w:type="dxa"/>
          </w:tcPr>
          <w:p w14:paraId="340BF982" w14:textId="77777777" w:rsidR="009D6D78" w:rsidRPr="00823C64" w:rsidRDefault="009D6D78" w:rsidP="000760C0">
            <w:pPr>
              <w:pStyle w:val="NoSpacing"/>
            </w:pPr>
            <w:r w:rsidRPr="00823C64">
              <w:t>TAG</w:t>
            </w:r>
          </w:p>
        </w:tc>
        <w:tc>
          <w:tcPr>
            <w:tcW w:w="6327" w:type="dxa"/>
          </w:tcPr>
          <w:p w14:paraId="4A6FAEF1" w14:textId="77777777" w:rsidR="009D6D78" w:rsidRPr="00823C64" w:rsidRDefault="009D6D78" w:rsidP="000760C0">
            <w:pPr>
              <w:pStyle w:val="NoSpacing"/>
            </w:pPr>
            <w:r w:rsidRPr="00823C64">
              <w:t>Technical Assessment Guide</w:t>
            </w:r>
          </w:p>
        </w:tc>
      </w:tr>
      <w:tr w:rsidR="009D6D78" w:rsidRPr="00823C64" w14:paraId="63149226" w14:textId="77777777" w:rsidTr="000760C0">
        <w:tc>
          <w:tcPr>
            <w:tcW w:w="1819" w:type="dxa"/>
          </w:tcPr>
          <w:p w14:paraId="77E604CC" w14:textId="77777777" w:rsidR="009D6D78" w:rsidRPr="00823C64" w:rsidRDefault="009D6D78" w:rsidP="000760C0">
            <w:pPr>
              <w:pStyle w:val="NoSpacing"/>
            </w:pPr>
          </w:p>
        </w:tc>
        <w:tc>
          <w:tcPr>
            <w:tcW w:w="6327" w:type="dxa"/>
          </w:tcPr>
          <w:p w14:paraId="4E530C88" w14:textId="77777777" w:rsidR="009D6D78" w:rsidRPr="00823C64" w:rsidRDefault="009D6D78" w:rsidP="000760C0">
            <w:pPr>
              <w:pStyle w:val="NoSpacing"/>
            </w:pPr>
          </w:p>
        </w:tc>
      </w:tr>
    </w:tbl>
    <w:p w14:paraId="1D14F97A" w14:textId="3C47DC3B" w:rsidR="009D6D78" w:rsidRDefault="009D6D78" w:rsidP="000760C0">
      <w:pPr>
        <w:pStyle w:val="NoSpacing"/>
        <w:rPr>
          <w:szCs w:val="24"/>
        </w:rPr>
      </w:pPr>
    </w:p>
    <w:p w14:paraId="2BD88C0A" w14:textId="77777777" w:rsidR="009D6D78" w:rsidRDefault="009D6D78">
      <w:pPr>
        <w:spacing w:after="160" w:line="259" w:lineRule="auto"/>
        <w:rPr>
          <w:szCs w:val="24"/>
        </w:rPr>
      </w:pPr>
      <w:r>
        <w:rPr>
          <w:szCs w:val="24"/>
        </w:rPr>
        <w:br w:type="page"/>
      </w:r>
    </w:p>
    <w:p w14:paraId="10A88CF6" w14:textId="71588271" w:rsidR="007F7D36" w:rsidRDefault="007F7D36" w:rsidP="007F7D36">
      <w:pPr>
        <w:pStyle w:val="Heading1"/>
        <w:numPr>
          <w:ilvl w:val="0"/>
          <w:numId w:val="0"/>
        </w:numPr>
        <w:ind w:left="851" w:hanging="851"/>
      </w:pPr>
      <w:bookmarkStart w:id="24" w:name="_Toc188607279"/>
      <w:r>
        <w:lastRenderedPageBreak/>
        <w:t>Appendix 1: Investigation of Events</w:t>
      </w:r>
      <w:bookmarkEnd w:id="24"/>
    </w:p>
    <w:p w14:paraId="3836135D" w14:textId="7A1BE8D8" w:rsidR="007F7D36" w:rsidRDefault="007F7D36" w:rsidP="00010BE5">
      <w:pPr>
        <w:pStyle w:val="F9-Paragraph"/>
        <w:rPr>
          <w:lang w:eastAsia="en-GB"/>
        </w:rPr>
      </w:pPr>
      <w:r w:rsidRPr="000D3F8A">
        <w:rPr>
          <w:lang w:eastAsia="en-GB"/>
        </w:rPr>
        <w:t xml:space="preserve">The level of management to which investigators report should depend on the severity (or the potential severity) and the frequency of occurrence of the event. </w:t>
      </w:r>
      <w:r>
        <w:rPr>
          <w:lang w:eastAsia="en-GB"/>
        </w:rPr>
        <w:t>A minor event</w:t>
      </w:r>
      <w:r w:rsidRPr="000D3F8A">
        <w:rPr>
          <w:lang w:eastAsia="en-GB"/>
        </w:rPr>
        <w:t xml:space="preserve"> that </w:t>
      </w:r>
      <w:r>
        <w:rPr>
          <w:lang w:eastAsia="en-GB"/>
        </w:rPr>
        <w:t>re</w:t>
      </w:r>
      <w:r w:rsidRPr="000D3F8A">
        <w:rPr>
          <w:lang w:eastAsia="en-GB"/>
        </w:rPr>
        <w:t>cur</w:t>
      </w:r>
      <w:r>
        <w:rPr>
          <w:lang w:eastAsia="en-GB"/>
        </w:rPr>
        <w:t>s</w:t>
      </w:r>
      <w:r w:rsidRPr="000D3F8A">
        <w:rPr>
          <w:lang w:eastAsia="en-GB"/>
        </w:rPr>
        <w:t xml:space="preserve"> should be investigated</w:t>
      </w:r>
      <w:r>
        <w:rPr>
          <w:lang w:eastAsia="en-GB"/>
        </w:rPr>
        <w:t xml:space="preserve"> as if it were a more serious event to determine the root cause</w:t>
      </w:r>
      <w:r w:rsidR="00796DCA">
        <w:rPr>
          <w:lang w:eastAsia="en-GB"/>
        </w:rPr>
        <w:t xml:space="preserve">. </w:t>
      </w:r>
      <w:r w:rsidRPr="000D3F8A">
        <w:rPr>
          <w:lang w:eastAsia="en-GB"/>
        </w:rPr>
        <w:t xml:space="preserve"> </w:t>
      </w:r>
    </w:p>
    <w:p w14:paraId="3CC1D27B" w14:textId="1A2A2ED2" w:rsidR="007F7D36" w:rsidRPr="009B1E14" w:rsidRDefault="007F7D36" w:rsidP="00010BE5">
      <w:pPr>
        <w:pStyle w:val="F9-Paragraph"/>
      </w:pPr>
      <w:r w:rsidRPr="000D3F8A">
        <w:rPr>
          <w:lang w:eastAsia="en-GB"/>
        </w:rPr>
        <w:t xml:space="preserve">The number of investigators and their areas of expertise should be based on the </w:t>
      </w:r>
      <w:r>
        <w:rPr>
          <w:lang w:eastAsia="en-GB"/>
        </w:rPr>
        <w:t>nature of the security incident (e.g. a Human Factors specialist might be involved in access control breaches or a C&amp;I specialist on a security breach on an Operating Technology (OT) system)</w:t>
      </w:r>
      <w:r w:rsidRPr="000D3F8A">
        <w:rPr>
          <w:lang w:eastAsia="en-GB"/>
        </w:rPr>
        <w:t>.</w:t>
      </w:r>
    </w:p>
    <w:p w14:paraId="3C420E80" w14:textId="24AFEA8F" w:rsidR="007F7D36" w:rsidRPr="009B1E14" w:rsidRDefault="007F7D36" w:rsidP="00010BE5">
      <w:pPr>
        <w:pStyle w:val="F9-Paragraph"/>
      </w:pPr>
      <w:r w:rsidRPr="000D3F8A">
        <w:rPr>
          <w:lang w:eastAsia="en-GB"/>
        </w:rPr>
        <w:t xml:space="preserve">Training (both initial and refresher) should be provided for the staff who might take part in an investigation. </w:t>
      </w:r>
      <w:r>
        <w:rPr>
          <w:lang w:eastAsia="en-GB"/>
        </w:rPr>
        <w:t>Such</w:t>
      </w:r>
      <w:r w:rsidRPr="000D3F8A">
        <w:rPr>
          <w:lang w:eastAsia="en-GB"/>
        </w:rPr>
        <w:t xml:space="preserve"> training </w:t>
      </w:r>
      <w:r>
        <w:rPr>
          <w:lang w:eastAsia="en-GB"/>
        </w:rPr>
        <w:t xml:space="preserve">should include </w:t>
      </w:r>
      <w:r w:rsidRPr="000D3F8A">
        <w:rPr>
          <w:lang w:eastAsia="en-GB"/>
        </w:rPr>
        <w:t xml:space="preserve">investigation techniques, documentation needs, witness interviews, conflict resolution and dealing with confidentiality issues. </w:t>
      </w:r>
      <w:r>
        <w:rPr>
          <w:lang w:eastAsia="en-GB"/>
        </w:rPr>
        <w:t>A</w:t>
      </w:r>
      <w:r w:rsidRPr="000D3F8A">
        <w:rPr>
          <w:lang w:eastAsia="en-GB"/>
        </w:rPr>
        <w:t>ll investigators should receive some basic training in event investigation, including root cause analysis</w:t>
      </w:r>
      <w:r>
        <w:rPr>
          <w:lang w:eastAsia="en-GB"/>
        </w:rPr>
        <w:t xml:space="preserve">. However, </w:t>
      </w:r>
      <w:r w:rsidRPr="000D3F8A">
        <w:rPr>
          <w:lang w:eastAsia="en-GB"/>
        </w:rPr>
        <w:t>for more difficult and complex investigations there may need to be at least one expert facilitator who is familiar with such methods.</w:t>
      </w:r>
    </w:p>
    <w:p w14:paraId="7B4ED5CE" w14:textId="1B5298D5" w:rsidR="007F7D36" w:rsidRPr="000D3F8A" w:rsidRDefault="007F7D36" w:rsidP="00062923">
      <w:pPr>
        <w:pStyle w:val="F9-Paragraph"/>
        <w:rPr>
          <w:lang w:eastAsia="en-GB"/>
        </w:rPr>
      </w:pPr>
      <w:r w:rsidRPr="000D3F8A">
        <w:rPr>
          <w:lang w:eastAsia="en-GB"/>
        </w:rPr>
        <w:t>A mandate should be established for the investigation activities. This should set out the format and terms of reference and should typically cover the following areas:</w:t>
      </w:r>
    </w:p>
    <w:p w14:paraId="1A6D352D" w14:textId="77777777" w:rsidR="007F7D36" w:rsidRPr="000D3F8A" w:rsidRDefault="007F7D36" w:rsidP="00634938">
      <w:pPr>
        <w:numPr>
          <w:ilvl w:val="0"/>
          <w:numId w:val="16"/>
        </w:numPr>
        <w:tabs>
          <w:tab w:val="left" w:pos="1701"/>
        </w:tabs>
        <w:autoSpaceDE w:val="0"/>
        <w:autoSpaceDN w:val="0"/>
        <w:adjustRightInd w:val="0"/>
        <w:spacing w:after="120" w:line="240" w:lineRule="auto"/>
        <w:ind w:left="1287" w:hanging="567"/>
        <w:rPr>
          <w:lang w:eastAsia="en-GB"/>
        </w:rPr>
      </w:pPr>
      <w:r>
        <w:rPr>
          <w:lang w:eastAsia="en-GB"/>
        </w:rPr>
        <w:t>C</w:t>
      </w:r>
      <w:r w:rsidRPr="000D3F8A">
        <w:rPr>
          <w:lang w:eastAsia="en-GB"/>
        </w:rPr>
        <w:t>onditions preceding the event;</w:t>
      </w:r>
    </w:p>
    <w:p w14:paraId="6A9DCF98" w14:textId="77777777" w:rsidR="007F7D36" w:rsidRPr="000D3F8A" w:rsidRDefault="007F7D36" w:rsidP="00634938">
      <w:pPr>
        <w:numPr>
          <w:ilvl w:val="0"/>
          <w:numId w:val="16"/>
        </w:numPr>
        <w:tabs>
          <w:tab w:val="left" w:pos="1701"/>
        </w:tabs>
        <w:autoSpaceDE w:val="0"/>
        <w:autoSpaceDN w:val="0"/>
        <w:adjustRightInd w:val="0"/>
        <w:spacing w:after="120" w:line="240" w:lineRule="auto"/>
        <w:ind w:left="1287" w:hanging="567"/>
        <w:rPr>
          <w:lang w:eastAsia="en-GB"/>
        </w:rPr>
      </w:pPr>
      <w:r>
        <w:rPr>
          <w:lang w:eastAsia="en-GB"/>
        </w:rPr>
        <w:t>T</w:t>
      </w:r>
      <w:r w:rsidRPr="000D3F8A">
        <w:rPr>
          <w:lang w:eastAsia="en-GB"/>
        </w:rPr>
        <w:t>he sequence of events;</w:t>
      </w:r>
    </w:p>
    <w:p w14:paraId="4331E8AA" w14:textId="77777777" w:rsidR="007F7D36" w:rsidRPr="000D3F8A" w:rsidRDefault="007F7D36" w:rsidP="00634938">
      <w:pPr>
        <w:numPr>
          <w:ilvl w:val="0"/>
          <w:numId w:val="16"/>
        </w:numPr>
        <w:tabs>
          <w:tab w:val="left" w:pos="1701"/>
        </w:tabs>
        <w:autoSpaceDE w:val="0"/>
        <w:autoSpaceDN w:val="0"/>
        <w:adjustRightInd w:val="0"/>
        <w:spacing w:after="120" w:line="240" w:lineRule="auto"/>
        <w:ind w:left="1287" w:hanging="567"/>
        <w:rPr>
          <w:lang w:eastAsia="en-GB"/>
        </w:rPr>
      </w:pPr>
      <w:r>
        <w:rPr>
          <w:lang w:eastAsia="en-GB"/>
        </w:rPr>
        <w:t>Security e</w:t>
      </w:r>
      <w:r w:rsidRPr="000D3F8A">
        <w:rPr>
          <w:lang w:eastAsia="en-GB"/>
        </w:rPr>
        <w:t>quipment performance and system response;</w:t>
      </w:r>
    </w:p>
    <w:p w14:paraId="6CB7918E" w14:textId="77777777" w:rsidR="007F7D36" w:rsidRPr="000D3F8A" w:rsidRDefault="007F7D36" w:rsidP="00634938">
      <w:pPr>
        <w:numPr>
          <w:ilvl w:val="0"/>
          <w:numId w:val="16"/>
        </w:numPr>
        <w:tabs>
          <w:tab w:val="left" w:pos="1701"/>
        </w:tabs>
        <w:spacing w:after="120" w:line="240" w:lineRule="auto"/>
        <w:ind w:left="1287" w:hanging="567"/>
        <w:rPr>
          <w:lang w:eastAsia="en-GB"/>
        </w:rPr>
      </w:pPr>
      <w:r>
        <w:rPr>
          <w:lang w:eastAsia="en-GB"/>
        </w:rPr>
        <w:t>C</w:t>
      </w:r>
      <w:r w:rsidRPr="000D3F8A">
        <w:rPr>
          <w:lang w:eastAsia="en-GB"/>
        </w:rPr>
        <w:t>onsiderations of human performance;</w:t>
      </w:r>
    </w:p>
    <w:p w14:paraId="5957DF95" w14:textId="77777777" w:rsidR="007F7D36" w:rsidRPr="000D3F8A" w:rsidRDefault="007F7D36" w:rsidP="00634938">
      <w:pPr>
        <w:numPr>
          <w:ilvl w:val="0"/>
          <w:numId w:val="16"/>
        </w:numPr>
        <w:tabs>
          <w:tab w:val="left" w:pos="1701"/>
        </w:tabs>
        <w:autoSpaceDE w:val="0"/>
        <w:autoSpaceDN w:val="0"/>
        <w:adjustRightInd w:val="0"/>
        <w:spacing w:after="120" w:line="240" w:lineRule="auto"/>
        <w:ind w:left="1287" w:hanging="567"/>
        <w:rPr>
          <w:lang w:eastAsia="en-GB"/>
        </w:rPr>
      </w:pPr>
      <w:r>
        <w:rPr>
          <w:lang w:eastAsia="en-GB"/>
        </w:rPr>
        <w:t>E</w:t>
      </w:r>
      <w:r w:rsidRPr="000D3F8A">
        <w:rPr>
          <w:lang w:eastAsia="en-GB"/>
        </w:rPr>
        <w:t>quipment failures;</w:t>
      </w:r>
    </w:p>
    <w:p w14:paraId="1B293FA8" w14:textId="77777777" w:rsidR="007F7D36" w:rsidRPr="000D3F8A" w:rsidRDefault="007F7D36" w:rsidP="00634938">
      <w:pPr>
        <w:numPr>
          <w:ilvl w:val="0"/>
          <w:numId w:val="16"/>
        </w:numPr>
        <w:tabs>
          <w:tab w:val="left" w:pos="1701"/>
        </w:tabs>
        <w:autoSpaceDE w:val="0"/>
        <w:autoSpaceDN w:val="0"/>
        <w:adjustRightInd w:val="0"/>
        <w:spacing w:after="120" w:line="240" w:lineRule="auto"/>
        <w:ind w:left="1287" w:hanging="567"/>
        <w:rPr>
          <w:lang w:eastAsia="en-GB"/>
        </w:rPr>
      </w:pPr>
      <w:r>
        <w:rPr>
          <w:lang w:eastAsia="en-GB"/>
        </w:rPr>
        <w:t>P</w:t>
      </w:r>
      <w:r w:rsidRPr="000D3F8A">
        <w:rPr>
          <w:lang w:eastAsia="en-GB"/>
        </w:rPr>
        <w:t>recursors to the event;</w:t>
      </w:r>
    </w:p>
    <w:p w14:paraId="187BD26C" w14:textId="77777777" w:rsidR="007F7D36" w:rsidRPr="000D3F8A" w:rsidRDefault="007F7D36" w:rsidP="00634938">
      <w:pPr>
        <w:numPr>
          <w:ilvl w:val="0"/>
          <w:numId w:val="16"/>
        </w:numPr>
        <w:tabs>
          <w:tab w:val="left" w:pos="1701"/>
        </w:tabs>
        <w:autoSpaceDE w:val="0"/>
        <w:autoSpaceDN w:val="0"/>
        <w:adjustRightInd w:val="0"/>
        <w:spacing w:after="120" w:line="240" w:lineRule="auto"/>
        <w:ind w:left="1287" w:hanging="567"/>
        <w:rPr>
          <w:lang w:eastAsia="en-GB"/>
        </w:rPr>
      </w:pPr>
      <w:r>
        <w:rPr>
          <w:lang w:eastAsia="en-GB"/>
        </w:rPr>
        <w:t>R</w:t>
      </w:r>
      <w:r w:rsidRPr="000D3F8A">
        <w:rPr>
          <w:lang w:eastAsia="en-GB"/>
        </w:rPr>
        <w:t>esponse and follow-up at the plant;</w:t>
      </w:r>
    </w:p>
    <w:p w14:paraId="61442A29" w14:textId="77777777" w:rsidR="007F7D36" w:rsidRPr="000D3F8A" w:rsidRDefault="007F7D36" w:rsidP="00634938">
      <w:pPr>
        <w:numPr>
          <w:ilvl w:val="0"/>
          <w:numId w:val="16"/>
        </w:numPr>
        <w:tabs>
          <w:tab w:val="left" w:pos="1701"/>
        </w:tabs>
        <w:autoSpaceDE w:val="0"/>
        <w:autoSpaceDN w:val="0"/>
        <w:adjustRightInd w:val="0"/>
        <w:spacing w:after="120" w:line="240" w:lineRule="auto"/>
        <w:ind w:left="1287" w:hanging="567"/>
        <w:rPr>
          <w:lang w:eastAsia="en-GB"/>
        </w:rPr>
      </w:pPr>
      <w:r>
        <w:rPr>
          <w:lang w:eastAsia="en-GB"/>
        </w:rPr>
        <w:t>Threat</w:t>
      </w:r>
      <w:r w:rsidRPr="000D3F8A">
        <w:rPr>
          <w:lang w:eastAsia="en-GB"/>
        </w:rPr>
        <w:t xml:space="preserve"> considerations;</w:t>
      </w:r>
    </w:p>
    <w:p w14:paraId="0F125830" w14:textId="77777777" w:rsidR="007F7D36" w:rsidRPr="000D3F8A" w:rsidRDefault="007F7D36" w:rsidP="00634938">
      <w:pPr>
        <w:numPr>
          <w:ilvl w:val="0"/>
          <w:numId w:val="16"/>
        </w:numPr>
        <w:tabs>
          <w:tab w:val="left" w:pos="1701"/>
        </w:tabs>
        <w:autoSpaceDE w:val="0"/>
        <w:autoSpaceDN w:val="0"/>
        <w:adjustRightInd w:val="0"/>
        <w:spacing w:after="120" w:line="240" w:lineRule="auto"/>
        <w:ind w:left="1287" w:hanging="567"/>
        <w:rPr>
          <w:lang w:eastAsia="en-GB"/>
        </w:rPr>
      </w:pPr>
      <w:r>
        <w:rPr>
          <w:lang w:eastAsia="en-GB"/>
        </w:rPr>
        <w:t>C</w:t>
      </w:r>
      <w:r w:rsidRPr="000D3F8A">
        <w:rPr>
          <w:lang w:eastAsia="en-GB"/>
        </w:rPr>
        <w:t>onsiderations relating to the regulatory process;</w:t>
      </w:r>
      <w:r>
        <w:rPr>
          <w:lang w:eastAsia="en-GB"/>
        </w:rPr>
        <w:t xml:space="preserve"> and</w:t>
      </w:r>
    </w:p>
    <w:p w14:paraId="38842FFB" w14:textId="6FFDFED4" w:rsidR="007F7D36" w:rsidRDefault="007F7D36" w:rsidP="00EB0ABA">
      <w:pPr>
        <w:numPr>
          <w:ilvl w:val="0"/>
          <w:numId w:val="16"/>
        </w:numPr>
        <w:tabs>
          <w:tab w:val="left" w:pos="1701"/>
        </w:tabs>
        <w:autoSpaceDE w:val="0"/>
        <w:autoSpaceDN w:val="0"/>
        <w:adjustRightInd w:val="0"/>
        <w:spacing w:after="120" w:line="240" w:lineRule="auto"/>
        <w:ind w:left="1287" w:hanging="567"/>
      </w:pPr>
      <w:r>
        <w:rPr>
          <w:lang w:eastAsia="en-GB"/>
        </w:rPr>
        <w:t>Security</w:t>
      </w:r>
      <w:r w:rsidRPr="000D3F8A">
        <w:rPr>
          <w:lang w:eastAsia="en-GB"/>
        </w:rPr>
        <w:t xml:space="preserve"> significance.</w:t>
      </w:r>
    </w:p>
    <w:p w14:paraId="0CAA5A4A" w14:textId="47D1BF4A" w:rsidR="007F7D36" w:rsidRPr="009B1E14" w:rsidRDefault="007F7D36" w:rsidP="00062923">
      <w:pPr>
        <w:pStyle w:val="F9-Paragraph"/>
      </w:pPr>
      <w:r w:rsidRPr="000D3F8A">
        <w:rPr>
          <w:lang w:eastAsia="en-GB"/>
        </w:rPr>
        <w:t xml:space="preserve">The mandate should include a review of the </w:t>
      </w:r>
      <w:r>
        <w:rPr>
          <w:lang w:eastAsia="en-GB"/>
        </w:rPr>
        <w:t xml:space="preserve">security plan </w:t>
      </w:r>
      <w:r w:rsidRPr="000D3F8A">
        <w:rPr>
          <w:lang w:eastAsia="en-GB"/>
        </w:rPr>
        <w:t>as part of the assessment of causes of the event under investigation</w:t>
      </w:r>
      <w:r>
        <w:rPr>
          <w:lang w:eastAsia="en-GB"/>
        </w:rPr>
        <w:t>,</w:t>
      </w:r>
      <w:r w:rsidRPr="000D3F8A">
        <w:rPr>
          <w:lang w:eastAsia="en-GB"/>
        </w:rPr>
        <w:t xml:space="preserve"> or to identify a </w:t>
      </w:r>
      <w:r>
        <w:rPr>
          <w:lang w:eastAsia="en-GB"/>
        </w:rPr>
        <w:t xml:space="preserve">security </w:t>
      </w:r>
      <w:r w:rsidRPr="000D3F8A">
        <w:rPr>
          <w:lang w:eastAsia="en-GB"/>
        </w:rPr>
        <w:t xml:space="preserve">response that is beyond </w:t>
      </w:r>
      <w:r>
        <w:rPr>
          <w:lang w:eastAsia="en-GB"/>
        </w:rPr>
        <w:t>that approved in the security plan</w:t>
      </w:r>
      <w:r w:rsidRPr="000D3F8A">
        <w:rPr>
          <w:lang w:eastAsia="en-GB"/>
        </w:rPr>
        <w:t>.</w:t>
      </w:r>
    </w:p>
    <w:p w14:paraId="59B68705" w14:textId="6BD889C1" w:rsidR="007F7D36" w:rsidRPr="009B1E14" w:rsidRDefault="007F7D36" w:rsidP="00062923">
      <w:pPr>
        <w:pStyle w:val="F9-Paragraph"/>
      </w:pPr>
      <w:r w:rsidRPr="000D3F8A">
        <w:rPr>
          <w:lang w:eastAsia="en-GB"/>
        </w:rPr>
        <w:t>The event investigator (or the lead investigator if there is more than one) should be competent in investigation skills</w:t>
      </w:r>
      <w:r>
        <w:rPr>
          <w:lang w:eastAsia="en-GB"/>
        </w:rPr>
        <w:t xml:space="preserve"> and possess relevant </w:t>
      </w:r>
      <w:r w:rsidRPr="000D3F8A">
        <w:rPr>
          <w:lang w:eastAsia="en-GB"/>
        </w:rPr>
        <w:t>technical, administrative and managerial competence.</w:t>
      </w:r>
    </w:p>
    <w:p w14:paraId="60CCFB6C" w14:textId="4B5DC510" w:rsidR="007F7D36" w:rsidRPr="009B1E14" w:rsidRDefault="007F7D36" w:rsidP="00062923">
      <w:pPr>
        <w:pStyle w:val="F9-Paragraph"/>
      </w:pPr>
      <w:r w:rsidRPr="000D3F8A">
        <w:rPr>
          <w:lang w:eastAsia="en-GB"/>
        </w:rPr>
        <w:lastRenderedPageBreak/>
        <w:t xml:space="preserve">The on-site investigation should be commenced as soon as practicable to ensure information is not lost or </w:t>
      </w:r>
      <w:r>
        <w:rPr>
          <w:lang w:eastAsia="en-GB"/>
        </w:rPr>
        <w:t xml:space="preserve">corrupted </w:t>
      </w:r>
      <w:r w:rsidRPr="000D3F8A">
        <w:rPr>
          <w:lang w:eastAsia="en-GB"/>
        </w:rPr>
        <w:t xml:space="preserve">and </w:t>
      </w:r>
      <w:r>
        <w:rPr>
          <w:lang w:eastAsia="en-GB"/>
        </w:rPr>
        <w:t xml:space="preserve">other </w:t>
      </w:r>
      <w:r w:rsidRPr="000D3F8A">
        <w:rPr>
          <w:lang w:eastAsia="en-GB"/>
        </w:rPr>
        <w:t xml:space="preserve">evidence is not </w:t>
      </w:r>
      <w:r>
        <w:rPr>
          <w:lang w:eastAsia="en-GB"/>
        </w:rPr>
        <w:t>degraded</w:t>
      </w:r>
      <w:r w:rsidRPr="000D3F8A">
        <w:rPr>
          <w:lang w:eastAsia="en-GB"/>
        </w:rPr>
        <w:t xml:space="preserve">. It is vital that the on-site investigation </w:t>
      </w:r>
      <w:r>
        <w:rPr>
          <w:lang w:eastAsia="en-GB"/>
        </w:rPr>
        <w:t>does</w:t>
      </w:r>
      <w:r w:rsidRPr="000D3F8A">
        <w:rPr>
          <w:lang w:eastAsia="en-GB"/>
        </w:rPr>
        <w:t xml:space="preserve"> not inhibit operational staff from bringing the plant to a stable state.</w:t>
      </w:r>
    </w:p>
    <w:p w14:paraId="32D6511A" w14:textId="12ACDD5B" w:rsidR="007F7D36" w:rsidRPr="000D3F8A" w:rsidRDefault="007F7D36" w:rsidP="00062923">
      <w:pPr>
        <w:pStyle w:val="F9-Paragraph"/>
        <w:rPr>
          <w:lang w:eastAsia="en-GB"/>
        </w:rPr>
      </w:pPr>
      <w:r w:rsidRPr="000D3F8A">
        <w:rPr>
          <w:lang w:eastAsia="en-GB"/>
        </w:rPr>
        <w:t>Interviews should be conducted with all the staff who were involved in the event or who were witnesses to the event. Interviews should be transcribed</w:t>
      </w:r>
      <w:r w:rsidR="00796DCA">
        <w:rPr>
          <w:lang w:eastAsia="en-GB"/>
        </w:rPr>
        <w:t xml:space="preserve">. </w:t>
      </w:r>
      <w:r w:rsidRPr="000D3F8A">
        <w:rPr>
          <w:lang w:eastAsia="en-GB"/>
        </w:rPr>
        <w:t xml:space="preserve">A </w:t>
      </w:r>
      <w:r>
        <w:rPr>
          <w:lang w:eastAsia="en-GB"/>
        </w:rPr>
        <w:t>“</w:t>
      </w:r>
      <w:r w:rsidRPr="000D3F8A">
        <w:rPr>
          <w:lang w:eastAsia="en-GB"/>
        </w:rPr>
        <w:t>sequence of events listing</w:t>
      </w:r>
      <w:r>
        <w:rPr>
          <w:lang w:eastAsia="en-GB"/>
        </w:rPr>
        <w:t>”</w:t>
      </w:r>
      <w:r w:rsidRPr="000D3F8A">
        <w:rPr>
          <w:lang w:eastAsia="en-GB"/>
        </w:rPr>
        <w:t xml:space="preserve"> (e.g. an event and causal factors chart) should be started immediately and continuously updated as new data </w:t>
      </w:r>
      <w:r>
        <w:rPr>
          <w:lang w:eastAsia="en-GB"/>
        </w:rPr>
        <w:t>is</w:t>
      </w:r>
      <w:r w:rsidRPr="000D3F8A">
        <w:rPr>
          <w:lang w:eastAsia="en-GB"/>
        </w:rPr>
        <w:t xml:space="preserve"> obtained.</w:t>
      </w:r>
    </w:p>
    <w:p w14:paraId="2ED76B8A" w14:textId="19407C7F" w:rsidR="007F7D36" w:rsidRPr="009B1E14" w:rsidRDefault="007F7D36" w:rsidP="00062923">
      <w:pPr>
        <w:pStyle w:val="F9-Paragraph"/>
      </w:pPr>
      <w:r w:rsidRPr="000D3F8A">
        <w:rPr>
          <w:lang w:eastAsia="en-GB"/>
        </w:rPr>
        <w:t xml:space="preserve">Investigators should prepare a written report and present it to the management group that commissioned the investigation. In some cases there </w:t>
      </w:r>
      <w:r>
        <w:rPr>
          <w:lang w:eastAsia="en-GB"/>
        </w:rPr>
        <w:t>may</w:t>
      </w:r>
      <w:r w:rsidRPr="000D3F8A">
        <w:rPr>
          <w:lang w:eastAsia="en-GB"/>
        </w:rPr>
        <w:t xml:space="preserve"> be a request for corrective actions to </w:t>
      </w:r>
      <w:r>
        <w:rPr>
          <w:lang w:eastAsia="en-GB"/>
        </w:rPr>
        <w:t>remedy</w:t>
      </w:r>
      <w:r w:rsidRPr="000D3F8A">
        <w:rPr>
          <w:lang w:eastAsia="en-GB"/>
        </w:rPr>
        <w:t xml:space="preserve"> the identified root causes.</w:t>
      </w:r>
    </w:p>
    <w:p w14:paraId="58E13C10" w14:textId="6C3FB82A" w:rsidR="007F7D36" w:rsidRPr="000D3F8A" w:rsidRDefault="007F7D36" w:rsidP="00062923">
      <w:pPr>
        <w:pStyle w:val="F9-Paragraph"/>
        <w:rPr>
          <w:lang w:eastAsia="en-GB"/>
        </w:rPr>
      </w:pPr>
      <w:r w:rsidRPr="000D3F8A">
        <w:rPr>
          <w:lang w:eastAsia="en-GB"/>
        </w:rPr>
        <w:t>The investigation should include:</w:t>
      </w:r>
    </w:p>
    <w:p w14:paraId="53CA0F52" w14:textId="77777777" w:rsidR="007F7D36" w:rsidRPr="000D3F8A" w:rsidRDefault="007F7D36" w:rsidP="007F7D36">
      <w:pPr>
        <w:numPr>
          <w:ilvl w:val="0"/>
          <w:numId w:val="17"/>
        </w:numPr>
        <w:tabs>
          <w:tab w:val="left" w:pos="1701"/>
        </w:tabs>
        <w:autoSpaceDE w:val="0"/>
        <w:autoSpaceDN w:val="0"/>
        <w:adjustRightInd w:val="0"/>
        <w:spacing w:after="120" w:line="240" w:lineRule="auto"/>
        <w:ind w:left="1701" w:hanging="567"/>
        <w:rPr>
          <w:lang w:eastAsia="en-GB"/>
        </w:rPr>
      </w:pPr>
      <w:r>
        <w:rPr>
          <w:lang w:eastAsia="en-GB"/>
        </w:rPr>
        <w:t>The p</w:t>
      </w:r>
      <w:r w:rsidRPr="000D3F8A">
        <w:rPr>
          <w:lang w:eastAsia="en-GB"/>
        </w:rPr>
        <w:t>repar</w:t>
      </w:r>
      <w:r>
        <w:rPr>
          <w:lang w:eastAsia="en-GB"/>
        </w:rPr>
        <w:t xml:space="preserve">ation of </w:t>
      </w:r>
      <w:r w:rsidRPr="000D3F8A">
        <w:rPr>
          <w:lang w:eastAsia="en-GB"/>
        </w:rPr>
        <w:t>progress reports and other interim reports documenting significant activities, findings and concerns;</w:t>
      </w:r>
    </w:p>
    <w:p w14:paraId="09BAB102" w14:textId="77777777" w:rsidR="007F7D36" w:rsidRPr="000D3F8A" w:rsidRDefault="007F7D36" w:rsidP="007F7D36">
      <w:pPr>
        <w:numPr>
          <w:ilvl w:val="0"/>
          <w:numId w:val="17"/>
        </w:numPr>
        <w:tabs>
          <w:tab w:val="left" w:pos="1701"/>
        </w:tabs>
        <w:autoSpaceDE w:val="0"/>
        <w:autoSpaceDN w:val="0"/>
        <w:adjustRightInd w:val="0"/>
        <w:spacing w:after="120" w:line="240" w:lineRule="auto"/>
        <w:ind w:left="1701" w:hanging="567"/>
        <w:rPr>
          <w:lang w:eastAsia="en-GB"/>
        </w:rPr>
      </w:pPr>
      <w:r>
        <w:rPr>
          <w:lang w:eastAsia="en-GB"/>
        </w:rPr>
        <w:t>E</w:t>
      </w:r>
      <w:r w:rsidRPr="000D3F8A">
        <w:rPr>
          <w:lang w:eastAsia="en-GB"/>
        </w:rPr>
        <w:t>nsuring safety</w:t>
      </w:r>
      <w:r>
        <w:rPr>
          <w:lang w:eastAsia="en-GB"/>
        </w:rPr>
        <w:t xml:space="preserve"> and security</w:t>
      </w:r>
      <w:r w:rsidRPr="000D3F8A">
        <w:rPr>
          <w:lang w:eastAsia="en-GB"/>
        </w:rPr>
        <w:t>, as appropriate, at the scene of the incident;</w:t>
      </w:r>
    </w:p>
    <w:p w14:paraId="5A2542A3" w14:textId="77777777" w:rsidR="007F7D36" w:rsidRDefault="007F7D36" w:rsidP="007F7D36">
      <w:pPr>
        <w:numPr>
          <w:ilvl w:val="0"/>
          <w:numId w:val="17"/>
        </w:numPr>
        <w:tabs>
          <w:tab w:val="left" w:pos="1701"/>
        </w:tabs>
        <w:autoSpaceDE w:val="0"/>
        <w:autoSpaceDN w:val="0"/>
        <w:adjustRightInd w:val="0"/>
        <w:spacing w:after="120" w:line="240" w:lineRule="auto"/>
        <w:ind w:left="1701" w:hanging="567"/>
        <w:rPr>
          <w:lang w:eastAsia="en-GB"/>
        </w:rPr>
      </w:pPr>
      <w:r>
        <w:rPr>
          <w:lang w:eastAsia="en-GB"/>
        </w:rPr>
        <w:t>E</w:t>
      </w:r>
      <w:r w:rsidRPr="000D3F8A">
        <w:rPr>
          <w:lang w:eastAsia="en-GB"/>
        </w:rPr>
        <w:t xml:space="preserve">nsuring investigative activities do not result in adverse </w:t>
      </w:r>
      <w:r>
        <w:rPr>
          <w:lang w:eastAsia="en-GB"/>
        </w:rPr>
        <w:t>impacts on safety or security</w:t>
      </w:r>
      <w:r w:rsidRPr="000D3F8A">
        <w:rPr>
          <w:lang w:eastAsia="en-GB"/>
        </w:rPr>
        <w:t>;</w:t>
      </w:r>
    </w:p>
    <w:p w14:paraId="627A47CC" w14:textId="77777777" w:rsidR="007F7D36" w:rsidRPr="000D3F8A" w:rsidRDefault="007F7D36" w:rsidP="007F7D36">
      <w:pPr>
        <w:numPr>
          <w:ilvl w:val="0"/>
          <w:numId w:val="17"/>
        </w:numPr>
        <w:tabs>
          <w:tab w:val="left" w:pos="1701"/>
        </w:tabs>
        <w:autoSpaceDE w:val="0"/>
        <w:autoSpaceDN w:val="0"/>
        <w:adjustRightInd w:val="0"/>
        <w:spacing w:after="120" w:line="240" w:lineRule="auto"/>
        <w:ind w:left="1701" w:hanging="567"/>
        <w:rPr>
          <w:lang w:eastAsia="en-GB"/>
        </w:rPr>
      </w:pPr>
      <w:r>
        <w:rPr>
          <w:lang w:eastAsia="en-GB"/>
        </w:rPr>
        <w:t>The maintenance of an appropriate chain of custody of any evidence gathered;</w:t>
      </w:r>
    </w:p>
    <w:p w14:paraId="08213C1F" w14:textId="77777777" w:rsidR="007F7D36" w:rsidRPr="000D3F8A" w:rsidRDefault="007F7D36" w:rsidP="007F7D36">
      <w:pPr>
        <w:numPr>
          <w:ilvl w:val="0"/>
          <w:numId w:val="17"/>
        </w:numPr>
        <w:tabs>
          <w:tab w:val="left" w:pos="1701"/>
        </w:tabs>
        <w:autoSpaceDE w:val="0"/>
        <w:autoSpaceDN w:val="0"/>
        <w:adjustRightInd w:val="0"/>
        <w:spacing w:after="120" w:line="240" w:lineRule="auto"/>
        <w:ind w:left="1701" w:hanging="567"/>
        <w:rPr>
          <w:lang w:eastAsia="en-GB"/>
        </w:rPr>
      </w:pPr>
      <w:r>
        <w:rPr>
          <w:lang w:eastAsia="en-GB"/>
        </w:rPr>
        <w:t>E</w:t>
      </w:r>
      <w:r w:rsidRPr="000D3F8A">
        <w:rPr>
          <w:lang w:eastAsia="en-GB"/>
        </w:rPr>
        <w:t xml:space="preserve">nsuring the </w:t>
      </w:r>
      <w:proofErr w:type="spellStart"/>
      <w:r>
        <w:rPr>
          <w:lang w:eastAsia="en-GB"/>
        </w:rPr>
        <w:t>dutyholder</w:t>
      </w:r>
      <w:proofErr w:type="spellEnd"/>
      <w:r w:rsidRPr="000D3F8A">
        <w:rPr>
          <w:lang w:eastAsia="en-GB"/>
        </w:rPr>
        <w:t xml:space="preserve"> management is advised of the status of the investigation and of progress and future plans in relation to it;</w:t>
      </w:r>
      <w:r>
        <w:rPr>
          <w:lang w:eastAsia="en-GB"/>
        </w:rPr>
        <w:t xml:space="preserve"> and, </w:t>
      </w:r>
    </w:p>
    <w:p w14:paraId="4C69064C" w14:textId="06FC3FBC" w:rsidR="007F7D36" w:rsidRDefault="007F7D36" w:rsidP="00C040C0">
      <w:pPr>
        <w:numPr>
          <w:ilvl w:val="0"/>
          <w:numId w:val="17"/>
        </w:numPr>
        <w:tabs>
          <w:tab w:val="left" w:pos="1701"/>
        </w:tabs>
        <w:autoSpaceDE w:val="0"/>
        <w:autoSpaceDN w:val="0"/>
        <w:adjustRightInd w:val="0"/>
        <w:spacing w:after="120" w:line="240" w:lineRule="auto"/>
        <w:ind w:left="1701" w:hanging="567"/>
      </w:pPr>
      <w:r>
        <w:rPr>
          <w:lang w:eastAsia="en-GB"/>
        </w:rPr>
        <w:t>The i</w:t>
      </w:r>
      <w:r w:rsidRPr="000D3F8A">
        <w:rPr>
          <w:lang w:eastAsia="en-GB"/>
        </w:rPr>
        <w:t>nitiati</w:t>
      </w:r>
      <w:r>
        <w:rPr>
          <w:lang w:eastAsia="en-GB"/>
        </w:rPr>
        <w:t>o</w:t>
      </w:r>
      <w:r w:rsidRPr="000D3F8A">
        <w:rPr>
          <w:lang w:eastAsia="en-GB"/>
        </w:rPr>
        <w:t xml:space="preserve">n </w:t>
      </w:r>
      <w:r>
        <w:rPr>
          <w:lang w:eastAsia="en-GB"/>
        </w:rPr>
        <w:t xml:space="preserve">of </w:t>
      </w:r>
      <w:r w:rsidRPr="000D3F8A">
        <w:rPr>
          <w:lang w:eastAsia="en-GB"/>
        </w:rPr>
        <w:t>requests for information, interviews with witnesses, laboratory tests and tech</w:t>
      </w:r>
      <w:r>
        <w:rPr>
          <w:lang w:eastAsia="en-GB"/>
        </w:rPr>
        <w:t>nical or administrative support.</w:t>
      </w:r>
    </w:p>
    <w:p w14:paraId="4F97B776" w14:textId="54B71FEA" w:rsidR="007F7D36" w:rsidRPr="009B1E14" w:rsidRDefault="007F7D36" w:rsidP="00062923">
      <w:pPr>
        <w:pStyle w:val="F9-Paragraph"/>
      </w:pPr>
      <w:r w:rsidRPr="000D3F8A">
        <w:rPr>
          <w:lang w:eastAsia="en-GB"/>
        </w:rPr>
        <w:t>It is not the objective of an event investigation to apportion blame</w:t>
      </w:r>
      <w:r>
        <w:rPr>
          <w:lang w:eastAsia="en-GB"/>
        </w:rPr>
        <w:t xml:space="preserve">, to </w:t>
      </w:r>
      <w:r w:rsidRPr="000D3F8A">
        <w:rPr>
          <w:lang w:eastAsia="en-GB"/>
        </w:rPr>
        <w:t xml:space="preserve">determine fault, or to recommend or dispense disciplinary actions. </w:t>
      </w:r>
      <w:r>
        <w:rPr>
          <w:lang w:eastAsia="en-GB"/>
        </w:rPr>
        <w:t>Indeed, c</w:t>
      </w:r>
      <w:r w:rsidRPr="000D3F8A">
        <w:rPr>
          <w:lang w:eastAsia="en-GB"/>
        </w:rPr>
        <w:t xml:space="preserve">onducting investigations in such a </w:t>
      </w:r>
      <w:r>
        <w:rPr>
          <w:lang w:eastAsia="en-GB"/>
        </w:rPr>
        <w:t>way</w:t>
      </w:r>
      <w:r w:rsidRPr="000D3F8A">
        <w:rPr>
          <w:lang w:eastAsia="en-GB"/>
        </w:rPr>
        <w:t xml:space="preserve"> is not conducive to </w:t>
      </w:r>
      <w:r>
        <w:rPr>
          <w:lang w:eastAsia="en-GB"/>
        </w:rPr>
        <w:t xml:space="preserve">the establishment of </w:t>
      </w:r>
      <w:r w:rsidRPr="000D3F8A">
        <w:rPr>
          <w:lang w:eastAsia="en-GB"/>
        </w:rPr>
        <w:t xml:space="preserve">facts </w:t>
      </w:r>
      <w:r>
        <w:rPr>
          <w:lang w:eastAsia="en-GB"/>
        </w:rPr>
        <w:t xml:space="preserve">which </w:t>
      </w:r>
      <w:r w:rsidRPr="000D3F8A">
        <w:rPr>
          <w:lang w:eastAsia="en-GB"/>
        </w:rPr>
        <w:t>will assist the identification of root causes, and hence lead to the corrective actions necessary to enhance s</w:t>
      </w:r>
      <w:r>
        <w:rPr>
          <w:lang w:eastAsia="en-GB"/>
        </w:rPr>
        <w:t>ecurity</w:t>
      </w:r>
      <w:r w:rsidRPr="000D3F8A">
        <w:rPr>
          <w:lang w:eastAsia="en-GB"/>
        </w:rPr>
        <w:t xml:space="preserve"> and to improve the performance of equipment and human performance.</w:t>
      </w:r>
    </w:p>
    <w:p w14:paraId="0A66111F" w14:textId="49CD1981" w:rsidR="007F7D36" w:rsidRDefault="007F7D36" w:rsidP="00FA6EC9">
      <w:pPr>
        <w:ind w:left="851"/>
      </w:pPr>
    </w:p>
    <w:p w14:paraId="0AB48132" w14:textId="77777777" w:rsidR="00FA6EC9" w:rsidRPr="009B1E14" w:rsidRDefault="00FA6EC9" w:rsidP="007F7D36"/>
    <w:p w14:paraId="4C56C3BD" w14:textId="77777777" w:rsidR="007F7D36" w:rsidRPr="007F7D36" w:rsidRDefault="007F7D36" w:rsidP="007F7D36"/>
    <w:p w14:paraId="4FE323A6" w14:textId="69949E12" w:rsidR="007F7D36" w:rsidRDefault="007F7D36" w:rsidP="007F7D36">
      <w:pPr>
        <w:pStyle w:val="Heading1"/>
        <w:numPr>
          <w:ilvl w:val="0"/>
          <w:numId w:val="0"/>
        </w:numPr>
        <w:ind w:left="851" w:hanging="851"/>
      </w:pPr>
      <w:bookmarkStart w:id="25" w:name="_Toc188607280"/>
      <w:r>
        <w:lastRenderedPageBreak/>
        <w:t>Appendix 2: Analysis of Events</w:t>
      </w:r>
      <w:bookmarkEnd w:id="25"/>
    </w:p>
    <w:p w14:paraId="5AF73375" w14:textId="4DC63544" w:rsidR="007F7D36" w:rsidRPr="000D3F8A" w:rsidRDefault="007F7D36" w:rsidP="0094063D">
      <w:pPr>
        <w:pStyle w:val="F9-Paragraph"/>
        <w:rPr>
          <w:lang w:eastAsia="en-GB"/>
        </w:rPr>
      </w:pPr>
      <w:r w:rsidRPr="000D3F8A">
        <w:rPr>
          <w:lang w:eastAsia="en-GB"/>
        </w:rPr>
        <w:t>In most instances the first step in the analysis of an event and the basis for further evaluation is the establishment of the event sequence. This means the listing</w:t>
      </w:r>
      <w:r>
        <w:rPr>
          <w:lang w:eastAsia="en-GB"/>
        </w:rPr>
        <w:t>,</w:t>
      </w:r>
      <w:r w:rsidRPr="000D3F8A">
        <w:rPr>
          <w:lang w:eastAsia="en-GB"/>
        </w:rPr>
        <w:t xml:space="preserve"> in chronological order</w:t>
      </w:r>
      <w:r>
        <w:rPr>
          <w:lang w:eastAsia="en-GB"/>
        </w:rPr>
        <w:t>,</w:t>
      </w:r>
      <w:r w:rsidRPr="000D3F8A">
        <w:rPr>
          <w:lang w:eastAsia="en-GB"/>
        </w:rPr>
        <w:t xml:space="preserve"> of all relevant occurrences or activities leading to the event and subsequent to it.</w:t>
      </w:r>
    </w:p>
    <w:p w14:paraId="7D77DBD3" w14:textId="63FA2A01" w:rsidR="007F7D36" w:rsidRPr="000D3F8A" w:rsidRDefault="007F7D36" w:rsidP="0094063D">
      <w:pPr>
        <w:pStyle w:val="F9-Paragraph"/>
        <w:rPr>
          <w:lang w:eastAsia="en-GB"/>
        </w:rPr>
      </w:pPr>
      <w:r>
        <w:rPr>
          <w:lang w:eastAsia="en-GB"/>
        </w:rPr>
        <w:t xml:space="preserve">Analysis of </w:t>
      </w:r>
      <w:r w:rsidRPr="00217857">
        <w:rPr>
          <w:lang w:eastAsia="en-GB"/>
        </w:rPr>
        <w:t>relevant occurrences and activities</w:t>
      </w:r>
      <w:r w:rsidRPr="00217857" w:rsidDel="00217857">
        <w:rPr>
          <w:lang w:eastAsia="en-GB"/>
        </w:rPr>
        <w:t xml:space="preserve"> </w:t>
      </w:r>
      <w:r>
        <w:rPr>
          <w:lang w:eastAsia="en-GB"/>
        </w:rPr>
        <w:t>should support the confirmation of d</w:t>
      </w:r>
      <w:r w:rsidRPr="000D3F8A">
        <w:rPr>
          <w:lang w:eastAsia="en-GB"/>
        </w:rPr>
        <w:t xml:space="preserve">eviations from </w:t>
      </w:r>
      <w:r>
        <w:rPr>
          <w:lang w:eastAsia="en-GB"/>
        </w:rPr>
        <w:t>standard event sequence operating procedure or design specification. T</w:t>
      </w:r>
      <w:r w:rsidRPr="000D3F8A">
        <w:rPr>
          <w:lang w:eastAsia="en-GB"/>
        </w:rPr>
        <w:t>he analysis</w:t>
      </w:r>
      <w:r>
        <w:rPr>
          <w:lang w:eastAsia="en-GB"/>
        </w:rPr>
        <w:t xml:space="preserve"> should consider </w:t>
      </w:r>
      <w:r w:rsidRPr="000D3F8A">
        <w:rPr>
          <w:lang w:eastAsia="en-GB"/>
        </w:rPr>
        <w:t>design, organi</w:t>
      </w:r>
      <w:r>
        <w:rPr>
          <w:lang w:eastAsia="en-GB"/>
        </w:rPr>
        <w:t>s</w:t>
      </w:r>
      <w:r w:rsidRPr="000D3F8A">
        <w:rPr>
          <w:lang w:eastAsia="en-GB"/>
        </w:rPr>
        <w:t xml:space="preserve">ation, procedures, human actions, component faults and behaviour of materials. In some cases </w:t>
      </w:r>
      <w:r>
        <w:rPr>
          <w:lang w:eastAsia="en-GB"/>
        </w:rPr>
        <w:t xml:space="preserve">the use of </w:t>
      </w:r>
      <w:r w:rsidRPr="000D3F8A">
        <w:rPr>
          <w:lang w:eastAsia="en-GB"/>
        </w:rPr>
        <w:t xml:space="preserve">additional expertise </w:t>
      </w:r>
      <w:r>
        <w:rPr>
          <w:lang w:eastAsia="en-GB"/>
        </w:rPr>
        <w:t xml:space="preserve">for </w:t>
      </w:r>
      <w:r w:rsidRPr="000D3F8A">
        <w:rPr>
          <w:lang w:eastAsia="en-GB"/>
        </w:rPr>
        <w:t xml:space="preserve">cause analysis </w:t>
      </w:r>
      <w:r>
        <w:rPr>
          <w:lang w:eastAsia="en-GB"/>
        </w:rPr>
        <w:t xml:space="preserve">might </w:t>
      </w:r>
      <w:r w:rsidR="00697B79">
        <w:rPr>
          <w:lang w:eastAsia="en-GB"/>
        </w:rPr>
        <w:t xml:space="preserve">be </w:t>
      </w:r>
      <w:r w:rsidR="00697B79" w:rsidRPr="000D3F8A">
        <w:rPr>
          <w:lang w:eastAsia="en-GB"/>
        </w:rPr>
        <w:t>considered</w:t>
      </w:r>
      <w:r w:rsidRPr="000D3F8A">
        <w:rPr>
          <w:lang w:eastAsia="en-GB"/>
        </w:rPr>
        <w:t xml:space="preserve">. Very often the notions of immediate (direct, observed) causes, root causes and contributing factors are used in the cause analysis. Cause identification should be </w:t>
      </w:r>
      <w:r>
        <w:rPr>
          <w:lang w:eastAsia="en-GB"/>
        </w:rPr>
        <w:t>undertaken</w:t>
      </w:r>
      <w:r w:rsidRPr="000D3F8A">
        <w:rPr>
          <w:lang w:eastAsia="en-GB"/>
        </w:rPr>
        <w:t xml:space="preserve"> for the formulation of corrective actions</w:t>
      </w:r>
      <w:r w:rsidR="00796DCA">
        <w:rPr>
          <w:lang w:eastAsia="en-GB"/>
        </w:rPr>
        <w:t xml:space="preserve">. </w:t>
      </w:r>
      <w:r w:rsidRPr="000D3F8A">
        <w:rPr>
          <w:lang w:eastAsia="en-GB"/>
        </w:rPr>
        <w:t xml:space="preserve">The depth of the causal analysis should be </w:t>
      </w:r>
      <w:r>
        <w:rPr>
          <w:lang w:eastAsia="en-GB"/>
        </w:rPr>
        <w:t xml:space="preserve">sufficiently </w:t>
      </w:r>
      <w:r w:rsidRPr="000D3F8A">
        <w:rPr>
          <w:lang w:eastAsia="en-GB"/>
        </w:rPr>
        <w:t xml:space="preserve">adequate </w:t>
      </w:r>
      <w:r>
        <w:rPr>
          <w:lang w:eastAsia="en-GB"/>
        </w:rPr>
        <w:t>to</w:t>
      </w:r>
      <w:r w:rsidRPr="000D3F8A">
        <w:rPr>
          <w:lang w:eastAsia="en-GB"/>
        </w:rPr>
        <w:t xml:space="preserve"> ensur</w:t>
      </w:r>
      <w:r>
        <w:rPr>
          <w:lang w:eastAsia="en-GB"/>
        </w:rPr>
        <w:t>e</w:t>
      </w:r>
      <w:r w:rsidRPr="000D3F8A">
        <w:rPr>
          <w:lang w:eastAsia="en-GB"/>
        </w:rPr>
        <w:t xml:space="preserve"> the determination of appropriate corrective actions.</w:t>
      </w:r>
    </w:p>
    <w:p w14:paraId="7EFE5BAF" w14:textId="77777777" w:rsidR="0094063D" w:rsidRDefault="007F7D36" w:rsidP="0094063D">
      <w:pPr>
        <w:pStyle w:val="F9-Paragraph"/>
        <w:rPr>
          <w:lang w:eastAsia="en-GB"/>
        </w:rPr>
      </w:pPr>
      <w:r w:rsidRPr="000D3F8A">
        <w:rPr>
          <w:lang w:eastAsia="en-GB"/>
        </w:rPr>
        <w:t xml:space="preserve">Numerous methods of root cause analysis, </w:t>
      </w:r>
      <w:r w:rsidRPr="00217857">
        <w:rPr>
          <w:lang w:eastAsia="en-GB"/>
        </w:rPr>
        <w:t>which address the connection between root causes and corrective actions</w:t>
      </w:r>
      <w:r w:rsidRPr="000D3F8A">
        <w:rPr>
          <w:lang w:eastAsia="en-GB"/>
        </w:rPr>
        <w:t>, have been developed or are under development</w:t>
      </w:r>
      <w:r>
        <w:rPr>
          <w:lang w:eastAsia="en-GB"/>
        </w:rPr>
        <w:t>. As</w:t>
      </w:r>
      <w:r w:rsidRPr="000D3F8A">
        <w:rPr>
          <w:lang w:eastAsia="en-GB"/>
        </w:rPr>
        <w:t xml:space="preserve"> there is no single best technique, the evaluator should select the most appropriate</w:t>
      </w:r>
      <w:r>
        <w:rPr>
          <w:lang w:eastAsia="en-GB"/>
        </w:rPr>
        <w:t xml:space="preserve">. </w:t>
      </w:r>
    </w:p>
    <w:p w14:paraId="2E96975D" w14:textId="77777777" w:rsidR="0094063D" w:rsidRDefault="007F7D36" w:rsidP="0094063D">
      <w:pPr>
        <w:pStyle w:val="F9-Paragraph"/>
        <w:rPr>
          <w:lang w:eastAsia="en-GB"/>
        </w:rPr>
      </w:pPr>
      <w:r w:rsidRPr="000D3F8A">
        <w:rPr>
          <w:lang w:eastAsia="en-GB"/>
        </w:rPr>
        <w:t xml:space="preserve">The analysis of events </w:t>
      </w:r>
      <w:r>
        <w:rPr>
          <w:lang w:eastAsia="en-GB"/>
        </w:rPr>
        <w:t xml:space="preserve">resulting from </w:t>
      </w:r>
      <w:r w:rsidRPr="000D3F8A">
        <w:rPr>
          <w:lang w:eastAsia="en-GB"/>
        </w:rPr>
        <w:t xml:space="preserve">human characteristics should include the causes and circumstances </w:t>
      </w:r>
      <w:r>
        <w:rPr>
          <w:lang w:eastAsia="en-GB"/>
        </w:rPr>
        <w:t>which</w:t>
      </w:r>
      <w:r w:rsidRPr="000D3F8A">
        <w:rPr>
          <w:lang w:eastAsia="en-GB"/>
        </w:rPr>
        <w:t xml:space="preserve"> contributed to the event. Human errors </w:t>
      </w:r>
      <w:r>
        <w:rPr>
          <w:lang w:eastAsia="en-GB"/>
        </w:rPr>
        <w:t>which</w:t>
      </w:r>
      <w:r w:rsidRPr="000D3F8A">
        <w:rPr>
          <w:lang w:eastAsia="en-GB"/>
        </w:rPr>
        <w:t xml:space="preserve"> affected the course of the event may include either errors of commission or errors of omission. There may also have been procedural deficiencies and a combination of human errors and procedural deficiencies. </w:t>
      </w:r>
      <w:r>
        <w:rPr>
          <w:lang w:eastAsia="en-GB"/>
        </w:rPr>
        <w:t>Separately, t</w:t>
      </w:r>
      <w:r w:rsidRPr="000D3F8A">
        <w:rPr>
          <w:lang w:eastAsia="en-GB"/>
        </w:rPr>
        <w:t>here may have been errors and human performance related issues in the areas of procedures, training, communication, engineering for human factors and the human–machine interface, management</w:t>
      </w:r>
      <w:r>
        <w:rPr>
          <w:lang w:eastAsia="en-GB"/>
        </w:rPr>
        <w:t>,</w:t>
      </w:r>
      <w:r w:rsidRPr="000D3F8A">
        <w:rPr>
          <w:lang w:eastAsia="en-GB"/>
        </w:rPr>
        <w:t xml:space="preserve"> and supervision</w:t>
      </w:r>
      <w:r>
        <w:rPr>
          <w:lang w:eastAsia="en-GB"/>
        </w:rPr>
        <w:t>.</w:t>
      </w:r>
      <w:r w:rsidRPr="000D3F8A">
        <w:rPr>
          <w:lang w:eastAsia="en-GB"/>
        </w:rPr>
        <w:t xml:space="preserve"> The analysis s</w:t>
      </w:r>
      <w:r>
        <w:rPr>
          <w:lang w:eastAsia="en-GB"/>
        </w:rPr>
        <w:t>hould be sufficient to categoris</w:t>
      </w:r>
      <w:r w:rsidRPr="000D3F8A">
        <w:rPr>
          <w:lang w:eastAsia="en-GB"/>
        </w:rPr>
        <w:t>e the human performance issues.</w:t>
      </w:r>
    </w:p>
    <w:p w14:paraId="4B341B59" w14:textId="424A11B8" w:rsidR="007F7D36" w:rsidRPr="000D3F8A" w:rsidRDefault="007F7D36" w:rsidP="0094063D">
      <w:pPr>
        <w:pStyle w:val="F9-Paragraph"/>
        <w:rPr>
          <w:lang w:eastAsia="en-GB"/>
        </w:rPr>
      </w:pPr>
      <w:r w:rsidRPr="000D3F8A">
        <w:rPr>
          <w:lang w:eastAsia="en-GB"/>
        </w:rPr>
        <w:t>The analysis should consider and resolve the following issues:</w:t>
      </w:r>
    </w:p>
    <w:p w14:paraId="2909FBE0" w14:textId="77777777" w:rsidR="007F7D36" w:rsidRPr="000D3F8A" w:rsidRDefault="007F7D36" w:rsidP="007F7D36">
      <w:pPr>
        <w:numPr>
          <w:ilvl w:val="0"/>
          <w:numId w:val="18"/>
        </w:numPr>
        <w:tabs>
          <w:tab w:val="left" w:pos="1701"/>
        </w:tabs>
        <w:autoSpaceDE w:val="0"/>
        <w:autoSpaceDN w:val="0"/>
        <w:adjustRightInd w:val="0"/>
        <w:spacing w:after="120" w:line="240" w:lineRule="auto"/>
        <w:ind w:left="1701" w:hanging="567"/>
        <w:rPr>
          <w:lang w:eastAsia="en-GB"/>
        </w:rPr>
      </w:pPr>
      <w:r w:rsidRPr="000D3F8A">
        <w:rPr>
          <w:lang w:eastAsia="en-GB"/>
        </w:rPr>
        <w:t>Whether human errors were cognit</w:t>
      </w:r>
      <w:r>
        <w:rPr>
          <w:lang w:eastAsia="en-GB"/>
        </w:rPr>
        <w:t>ive (such as failure to recognis</w:t>
      </w:r>
      <w:r w:rsidRPr="000D3F8A">
        <w:rPr>
          <w:lang w:eastAsia="en-GB"/>
        </w:rPr>
        <w:t xml:space="preserve">e the actual </w:t>
      </w:r>
      <w:r>
        <w:rPr>
          <w:lang w:eastAsia="en-GB"/>
        </w:rPr>
        <w:t>security event/situation</w:t>
      </w:r>
      <w:r w:rsidRPr="000D3F8A">
        <w:rPr>
          <w:lang w:eastAsia="en-GB"/>
        </w:rPr>
        <w:t>, failure to reali</w:t>
      </w:r>
      <w:r>
        <w:rPr>
          <w:lang w:eastAsia="en-GB"/>
        </w:rPr>
        <w:t>s</w:t>
      </w:r>
      <w:r w:rsidRPr="000D3F8A">
        <w:rPr>
          <w:lang w:eastAsia="en-GB"/>
        </w:rPr>
        <w:t>e which</w:t>
      </w:r>
      <w:r>
        <w:rPr>
          <w:lang w:eastAsia="en-GB"/>
        </w:rPr>
        <w:t xml:space="preserve"> systems should be functioning or failure to recognis</w:t>
      </w:r>
      <w:r w:rsidRPr="000D3F8A">
        <w:rPr>
          <w:lang w:eastAsia="en-GB"/>
        </w:rPr>
        <w:t>e the true nature of the event), or whether there was an error in following procedures;</w:t>
      </w:r>
    </w:p>
    <w:p w14:paraId="7F109258" w14:textId="77777777" w:rsidR="007F7D36" w:rsidRPr="000D3F8A" w:rsidRDefault="007F7D36" w:rsidP="007F7D36">
      <w:pPr>
        <w:numPr>
          <w:ilvl w:val="0"/>
          <w:numId w:val="18"/>
        </w:numPr>
        <w:tabs>
          <w:tab w:val="left" w:pos="1701"/>
        </w:tabs>
        <w:autoSpaceDE w:val="0"/>
        <w:autoSpaceDN w:val="0"/>
        <w:adjustRightInd w:val="0"/>
        <w:spacing w:after="120" w:line="240" w:lineRule="auto"/>
        <w:ind w:left="1701" w:hanging="567"/>
        <w:rPr>
          <w:lang w:eastAsia="en-GB"/>
        </w:rPr>
      </w:pPr>
      <w:r>
        <w:rPr>
          <w:lang w:eastAsia="en-GB"/>
        </w:rPr>
        <w:t>W</w:t>
      </w:r>
      <w:r w:rsidRPr="000D3F8A">
        <w:rPr>
          <w:lang w:eastAsia="en-GB"/>
        </w:rPr>
        <w:t xml:space="preserve">hether human deficiencies </w:t>
      </w:r>
      <w:r>
        <w:rPr>
          <w:lang w:eastAsia="en-GB"/>
        </w:rPr>
        <w:t xml:space="preserve">associated with </w:t>
      </w:r>
      <w:r w:rsidRPr="000D3F8A">
        <w:rPr>
          <w:lang w:eastAsia="en-GB"/>
        </w:rPr>
        <w:t>the us</w:t>
      </w:r>
      <w:r>
        <w:rPr>
          <w:lang w:eastAsia="en-GB"/>
        </w:rPr>
        <w:t>e of procedures were characteris</w:t>
      </w:r>
      <w:r w:rsidRPr="000D3F8A">
        <w:rPr>
          <w:lang w:eastAsia="en-GB"/>
        </w:rPr>
        <w:t>ed by difficulty either in terms of failure to follow an approved procedure, or in the use of a procedure that contained erroneous instructions, or were associated with an activity or task that was not adequately covered by a procedure;</w:t>
      </w:r>
    </w:p>
    <w:p w14:paraId="39CB2F3B" w14:textId="77777777" w:rsidR="007F7D36" w:rsidRPr="000D3F8A" w:rsidRDefault="007F7D36" w:rsidP="007F7D36">
      <w:pPr>
        <w:numPr>
          <w:ilvl w:val="0"/>
          <w:numId w:val="18"/>
        </w:numPr>
        <w:tabs>
          <w:tab w:val="left" w:pos="1701"/>
        </w:tabs>
        <w:autoSpaceDE w:val="0"/>
        <w:autoSpaceDN w:val="0"/>
        <w:adjustRightInd w:val="0"/>
        <w:spacing w:after="120" w:line="240" w:lineRule="auto"/>
        <w:ind w:left="1701" w:hanging="567"/>
        <w:rPr>
          <w:lang w:eastAsia="en-GB"/>
        </w:rPr>
      </w:pPr>
      <w:r>
        <w:rPr>
          <w:lang w:eastAsia="en-GB"/>
        </w:rPr>
        <w:lastRenderedPageBreak/>
        <w:t>W</w:t>
      </w:r>
      <w:r w:rsidRPr="000D3F8A">
        <w:rPr>
          <w:lang w:eastAsia="en-GB"/>
        </w:rPr>
        <w:t>hether unusual characteristic of the working location, such as heat, humidity, noise, radioactivity levels, accessibility or signage contributed to the problem with human performance;</w:t>
      </w:r>
    </w:p>
    <w:p w14:paraId="42DFCE9D" w14:textId="77777777" w:rsidR="007F7D36" w:rsidRPr="000D3F8A" w:rsidRDefault="007F7D36" w:rsidP="007F7D36">
      <w:pPr>
        <w:numPr>
          <w:ilvl w:val="0"/>
          <w:numId w:val="18"/>
        </w:numPr>
        <w:tabs>
          <w:tab w:val="left" w:pos="1701"/>
        </w:tabs>
        <w:autoSpaceDE w:val="0"/>
        <w:autoSpaceDN w:val="0"/>
        <w:adjustRightInd w:val="0"/>
        <w:spacing w:after="120" w:line="240" w:lineRule="auto"/>
        <w:ind w:left="1701" w:hanging="567"/>
        <w:rPr>
          <w:lang w:eastAsia="en-GB"/>
        </w:rPr>
      </w:pPr>
      <w:r>
        <w:rPr>
          <w:lang w:eastAsia="en-GB"/>
        </w:rPr>
        <w:t>W</w:t>
      </w:r>
      <w:r w:rsidRPr="000D3F8A">
        <w:rPr>
          <w:lang w:eastAsia="en-GB"/>
        </w:rPr>
        <w:t>hether there were any ergonomic issues, or issues relating to engineering for human factors;</w:t>
      </w:r>
      <w:r>
        <w:rPr>
          <w:lang w:eastAsia="en-GB"/>
        </w:rPr>
        <w:t xml:space="preserve"> and,</w:t>
      </w:r>
    </w:p>
    <w:p w14:paraId="1F063142" w14:textId="5A9BB15E" w:rsidR="007F7D36" w:rsidRDefault="007F7D36" w:rsidP="007F7D36">
      <w:pPr>
        <w:numPr>
          <w:ilvl w:val="0"/>
          <w:numId w:val="18"/>
        </w:numPr>
        <w:tabs>
          <w:tab w:val="left" w:pos="1701"/>
        </w:tabs>
        <w:spacing w:after="120" w:line="240" w:lineRule="auto"/>
        <w:ind w:left="1701" w:hanging="567"/>
      </w:pPr>
      <w:r>
        <w:rPr>
          <w:lang w:eastAsia="en-GB"/>
        </w:rPr>
        <w:t>Th</w:t>
      </w:r>
      <w:r w:rsidRPr="000D3F8A">
        <w:rPr>
          <w:lang w:eastAsia="en-GB"/>
        </w:rPr>
        <w:t xml:space="preserve">e type of personnel involved (such as a </w:t>
      </w:r>
      <w:r>
        <w:rPr>
          <w:lang w:eastAsia="en-GB"/>
        </w:rPr>
        <w:t xml:space="preserve">security guard, a contractor’s escort, security management – especially to what level were they </w:t>
      </w:r>
      <w:r w:rsidR="0001013E">
        <w:rPr>
          <w:lang w:eastAsia="en-GB"/>
        </w:rPr>
        <w:t>suitably qualified, experienced personnel (</w:t>
      </w:r>
      <w:r>
        <w:rPr>
          <w:lang w:eastAsia="en-GB"/>
        </w:rPr>
        <w:t>SQEP</w:t>
      </w:r>
      <w:r w:rsidRPr="000D3F8A">
        <w:rPr>
          <w:lang w:eastAsia="en-GB"/>
        </w:rPr>
        <w:t>).</w:t>
      </w:r>
    </w:p>
    <w:p w14:paraId="44686527" w14:textId="77777777" w:rsidR="007F7D36" w:rsidRPr="007F7D36" w:rsidRDefault="007F7D36" w:rsidP="007F7D36"/>
    <w:p w14:paraId="259ABCC0" w14:textId="567F23AB" w:rsidR="007F7D36" w:rsidRDefault="007F7D36" w:rsidP="00763DD5">
      <w:pPr>
        <w:rPr>
          <w:szCs w:val="24"/>
        </w:rPr>
      </w:pPr>
    </w:p>
    <w:p w14:paraId="643814B4" w14:textId="121A7ACC" w:rsidR="00763DD5" w:rsidRDefault="00763DD5" w:rsidP="007F7D36">
      <w:pPr>
        <w:spacing w:after="160" w:line="259" w:lineRule="auto"/>
        <w:rPr>
          <w:szCs w:val="24"/>
        </w:rPr>
      </w:pPr>
    </w:p>
    <w:p w14:paraId="78043FD2" w14:textId="77777777" w:rsidR="0094063D" w:rsidRPr="0094063D" w:rsidRDefault="0094063D" w:rsidP="0094063D">
      <w:pPr>
        <w:rPr>
          <w:szCs w:val="24"/>
        </w:rPr>
      </w:pPr>
    </w:p>
    <w:p w14:paraId="7442F342" w14:textId="77777777" w:rsidR="0094063D" w:rsidRPr="0094063D" w:rsidRDefault="0094063D" w:rsidP="0094063D">
      <w:pPr>
        <w:rPr>
          <w:szCs w:val="24"/>
        </w:rPr>
      </w:pPr>
    </w:p>
    <w:p w14:paraId="584BD6E1" w14:textId="77777777" w:rsidR="0094063D" w:rsidRPr="0094063D" w:rsidRDefault="0094063D" w:rsidP="0094063D">
      <w:pPr>
        <w:rPr>
          <w:szCs w:val="24"/>
        </w:rPr>
      </w:pPr>
    </w:p>
    <w:p w14:paraId="5E05DEFB" w14:textId="77777777" w:rsidR="0094063D" w:rsidRPr="0094063D" w:rsidRDefault="0094063D" w:rsidP="0094063D">
      <w:pPr>
        <w:rPr>
          <w:szCs w:val="24"/>
        </w:rPr>
      </w:pPr>
    </w:p>
    <w:p w14:paraId="45E9E5B1" w14:textId="77777777" w:rsidR="0094063D" w:rsidRPr="0094063D" w:rsidRDefault="0094063D" w:rsidP="0094063D">
      <w:pPr>
        <w:rPr>
          <w:szCs w:val="24"/>
        </w:rPr>
      </w:pPr>
    </w:p>
    <w:p w14:paraId="40CE474C" w14:textId="77777777" w:rsidR="0094063D" w:rsidRPr="0094063D" w:rsidRDefault="0094063D" w:rsidP="0094063D">
      <w:pPr>
        <w:rPr>
          <w:szCs w:val="24"/>
        </w:rPr>
      </w:pPr>
    </w:p>
    <w:p w14:paraId="33661DEA" w14:textId="77777777" w:rsidR="0094063D" w:rsidRPr="0094063D" w:rsidRDefault="0094063D" w:rsidP="0094063D">
      <w:pPr>
        <w:rPr>
          <w:szCs w:val="24"/>
        </w:rPr>
      </w:pPr>
    </w:p>
    <w:p w14:paraId="76AB42BF" w14:textId="77777777" w:rsidR="0094063D" w:rsidRPr="0094063D" w:rsidRDefault="0094063D" w:rsidP="0094063D">
      <w:pPr>
        <w:rPr>
          <w:szCs w:val="24"/>
        </w:rPr>
      </w:pPr>
    </w:p>
    <w:p w14:paraId="00A58C43" w14:textId="77777777" w:rsidR="0094063D" w:rsidRPr="0094063D" w:rsidRDefault="0094063D" w:rsidP="0094063D">
      <w:pPr>
        <w:rPr>
          <w:szCs w:val="24"/>
        </w:rPr>
      </w:pPr>
    </w:p>
    <w:p w14:paraId="010A5625" w14:textId="77777777" w:rsidR="0094063D" w:rsidRPr="0094063D" w:rsidRDefault="0094063D" w:rsidP="0094063D">
      <w:pPr>
        <w:rPr>
          <w:szCs w:val="24"/>
        </w:rPr>
      </w:pPr>
    </w:p>
    <w:p w14:paraId="440A44C0" w14:textId="77777777" w:rsidR="0094063D" w:rsidRPr="0094063D" w:rsidRDefault="0094063D" w:rsidP="0094063D">
      <w:pPr>
        <w:rPr>
          <w:szCs w:val="24"/>
        </w:rPr>
      </w:pPr>
    </w:p>
    <w:p w14:paraId="61B3CBEB" w14:textId="77777777" w:rsidR="0094063D" w:rsidRPr="0094063D" w:rsidRDefault="0094063D" w:rsidP="0094063D">
      <w:pPr>
        <w:rPr>
          <w:szCs w:val="24"/>
        </w:rPr>
      </w:pPr>
    </w:p>
    <w:p w14:paraId="06E96FFB" w14:textId="77777777" w:rsidR="0094063D" w:rsidRPr="0094063D" w:rsidRDefault="0094063D" w:rsidP="0094063D">
      <w:pPr>
        <w:rPr>
          <w:szCs w:val="24"/>
        </w:rPr>
      </w:pPr>
    </w:p>
    <w:p w14:paraId="0AFE0B42" w14:textId="77777777" w:rsidR="0094063D" w:rsidRPr="0094063D" w:rsidRDefault="0094063D" w:rsidP="0094063D">
      <w:pPr>
        <w:rPr>
          <w:szCs w:val="24"/>
        </w:rPr>
      </w:pPr>
    </w:p>
    <w:p w14:paraId="31753043" w14:textId="77777777" w:rsidR="0094063D" w:rsidRPr="0094063D" w:rsidRDefault="0094063D" w:rsidP="0094063D">
      <w:pPr>
        <w:rPr>
          <w:szCs w:val="24"/>
        </w:rPr>
      </w:pPr>
    </w:p>
    <w:p w14:paraId="7FF48E4C" w14:textId="77777777" w:rsidR="0094063D" w:rsidRPr="0094063D" w:rsidRDefault="0094063D" w:rsidP="0094063D">
      <w:pPr>
        <w:rPr>
          <w:szCs w:val="24"/>
        </w:rPr>
      </w:pPr>
    </w:p>
    <w:p w14:paraId="04E1915A" w14:textId="77777777" w:rsidR="0094063D" w:rsidRPr="0094063D" w:rsidRDefault="0094063D" w:rsidP="0094063D">
      <w:pPr>
        <w:jc w:val="right"/>
        <w:rPr>
          <w:szCs w:val="24"/>
        </w:rPr>
      </w:pPr>
    </w:p>
    <w:sectPr w:rsidR="0094063D" w:rsidRPr="0094063D" w:rsidSect="007F7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2681C" w14:textId="77777777" w:rsidR="00941EBF" w:rsidRDefault="00941EBF" w:rsidP="009D6D78">
      <w:pPr>
        <w:spacing w:after="0" w:line="240" w:lineRule="auto"/>
      </w:pPr>
      <w:r>
        <w:separator/>
      </w:r>
    </w:p>
  </w:endnote>
  <w:endnote w:type="continuationSeparator" w:id="0">
    <w:p w14:paraId="19D7B7A3" w14:textId="77777777" w:rsidR="00941EBF" w:rsidRDefault="00941EBF" w:rsidP="009D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CA89A" w14:textId="42A002F0" w:rsidR="007F7D36" w:rsidRPr="000B2BCD" w:rsidRDefault="007F7D36" w:rsidP="007F7D36">
    <w:pPr>
      <w:pStyle w:val="Footer"/>
      <w:spacing w:before="240" w:after="0" w:line="240" w:lineRule="auto"/>
      <w:rPr>
        <w:rStyle w:val="PageNumber"/>
      </w:rPr>
    </w:pPr>
    <w:r>
      <w:rPr>
        <w:sz w:val="22"/>
      </w:rPr>
      <w:t xml:space="preserve">                                                                                                                                    </w:t>
    </w:r>
    <w:r w:rsidRPr="00A8606E">
      <w:rPr>
        <w:rStyle w:val="PageNumber"/>
      </w:rPr>
      <w:t xml:space="preserve">Page | </w:t>
    </w:r>
    <w:r w:rsidRPr="00A8606E">
      <w:rPr>
        <w:rStyle w:val="PageNumber"/>
      </w:rPr>
      <w:fldChar w:fldCharType="begin"/>
    </w:r>
    <w:r w:rsidRPr="00A8606E">
      <w:rPr>
        <w:rStyle w:val="PageNumber"/>
      </w:rPr>
      <w:instrText xml:space="preserve"> PAGE   \* MERGEFORMAT </w:instrText>
    </w:r>
    <w:r w:rsidRPr="00A8606E">
      <w:rPr>
        <w:rStyle w:val="PageNumber"/>
      </w:rPr>
      <w:fldChar w:fldCharType="separate"/>
    </w:r>
    <w:r>
      <w:rPr>
        <w:rStyle w:val="PageNumber"/>
      </w:rPr>
      <w:t>4</w:t>
    </w:r>
    <w:r w:rsidRPr="00A8606E">
      <w:rPr>
        <w:rStyle w:val="PageNumber"/>
        <w:noProof/>
      </w:rPr>
      <w:fldChar w:fldCharType="end"/>
    </w:r>
  </w:p>
  <w:p w14:paraId="7849EF12" w14:textId="5F9CE3CD" w:rsidR="00E42F48" w:rsidRPr="002D5F2E" w:rsidRDefault="00E42F48" w:rsidP="007C3C1D">
    <w:pPr>
      <w:pStyle w:val="Footer"/>
      <w:jc w:val="left"/>
      <w:rPr>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9D511" w14:textId="63D28EA3" w:rsidR="009D6D78" w:rsidRDefault="007F7D36">
    <w:pPr>
      <w:pStyle w:val="Footer"/>
    </w:pPr>
    <w:r>
      <w:t>Page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B8A33" w14:textId="77777777" w:rsidR="00941EBF" w:rsidRDefault="00941EBF" w:rsidP="009D6D78">
      <w:pPr>
        <w:spacing w:after="0" w:line="240" w:lineRule="auto"/>
      </w:pPr>
      <w:r>
        <w:separator/>
      </w:r>
    </w:p>
  </w:footnote>
  <w:footnote w:type="continuationSeparator" w:id="0">
    <w:p w14:paraId="14DE09D6" w14:textId="77777777" w:rsidR="00941EBF" w:rsidRDefault="00941EBF" w:rsidP="009D6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1AE68" w14:textId="71C3C0DB" w:rsidR="007F7D36" w:rsidRPr="00046936" w:rsidRDefault="00D36697" w:rsidP="007F7D36">
    <w:pPr>
      <w:pStyle w:val="Header"/>
      <w:rPr>
        <w:sz w:val="20"/>
        <w:szCs w:val="24"/>
      </w:rPr>
    </w:pPr>
    <w:sdt>
      <w:sdtPr>
        <w:rPr>
          <w:sz w:val="20"/>
          <w:szCs w:val="24"/>
        </w:rPr>
        <w:alias w:val="Title"/>
        <w:tag w:val=""/>
        <w:id w:val="2101294540"/>
        <w:placeholder>
          <w:docPart w:val="A51E1ABA5F8B4E4F8599012196050975"/>
        </w:placeholder>
        <w:dataBinding w:prefixMappings="xmlns:ns0='http://purl.org/dc/elements/1.1/' xmlns:ns1='http://schemas.openxmlformats.org/package/2006/metadata/core-properties' " w:xpath="/ns1:coreProperties[1]/ns0:title[1]" w:storeItemID="{6C3C8BC8-F283-45AE-878A-BAB7291924A1}"/>
        <w:text/>
      </w:sdtPr>
      <w:sdtEndPr/>
      <w:sdtContent>
        <w:r w:rsidR="007F7D36">
          <w:rPr>
            <w:sz w:val="20"/>
            <w:szCs w:val="24"/>
          </w:rPr>
          <w:t>Organisational Learning For Security</w:t>
        </w:r>
      </w:sdtContent>
    </w:sdt>
    <w:r w:rsidR="007F7D36" w:rsidRPr="00046936">
      <w:rPr>
        <w:sz w:val="20"/>
        <w:szCs w:val="24"/>
      </w:rPr>
      <w:t xml:space="preserve"> | Issue: </w:t>
    </w:r>
    <w:sdt>
      <w:sdtPr>
        <w:rPr>
          <w:sz w:val="20"/>
          <w:szCs w:val="24"/>
        </w:rPr>
        <w:alias w:val="Status"/>
        <w:tag w:val=""/>
        <w:id w:val="801957864"/>
        <w:placeholder>
          <w:docPart w:val="F6BFC59562B6472B97F8157CB844E19F"/>
        </w:placeholder>
        <w:dataBinding w:prefixMappings="xmlns:ns0='http://purl.org/dc/elements/1.1/' xmlns:ns1='http://schemas.openxmlformats.org/package/2006/metadata/core-properties' " w:xpath="/ns1:coreProperties[1]/ns1:contentStatus[1]" w:storeItemID="{6C3C8BC8-F283-45AE-878A-BAB7291924A1}"/>
        <w:text/>
      </w:sdtPr>
      <w:sdtEndPr/>
      <w:sdtContent>
        <w:r w:rsidR="000973A0">
          <w:rPr>
            <w:sz w:val="20"/>
            <w:szCs w:val="24"/>
          </w:rPr>
          <w:t>1.1</w:t>
        </w:r>
      </w:sdtContent>
    </w:sdt>
  </w:p>
  <w:p w14:paraId="5D687832" w14:textId="77777777" w:rsidR="00E42F48" w:rsidRDefault="00E42F48" w:rsidP="00091EEA">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36369BE"/>
    <w:multiLevelType w:val="hybridMultilevel"/>
    <w:tmpl w:val="E56AC2AC"/>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 w15:restartNumberingAfterBreak="0">
    <w:nsid w:val="163F2E29"/>
    <w:multiLevelType w:val="multilevel"/>
    <w:tmpl w:val="EACE6EF2"/>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3" w15:restartNumberingAfterBreak="0">
    <w:nsid w:val="20AB72E7"/>
    <w:multiLevelType w:val="multilevel"/>
    <w:tmpl w:val="D70EF02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653ADC"/>
    <w:multiLevelType w:val="hybridMultilevel"/>
    <w:tmpl w:val="C26C62DA"/>
    <w:lvl w:ilvl="0" w:tplc="CEBA3500">
      <w:start w:val="1"/>
      <w:numFmt w:val="bullet"/>
      <w:lvlText w:val=""/>
      <w:lvlJc w:val="left"/>
      <w:pPr>
        <w:ind w:left="1463" w:hanging="360"/>
      </w:pPr>
      <w:rPr>
        <w:rFonts w:ascii="Symbol" w:hAnsi="Symbol" w:hint="default"/>
        <w:color w:val="006666"/>
      </w:rPr>
    </w:lvl>
    <w:lvl w:ilvl="1" w:tplc="08090003" w:tentative="1">
      <w:start w:val="1"/>
      <w:numFmt w:val="bullet"/>
      <w:lvlText w:val="o"/>
      <w:lvlJc w:val="left"/>
      <w:pPr>
        <w:ind w:left="2183" w:hanging="360"/>
      </w:pPr>
      <w:rPr>
        <w:rFonts w:ascii="Courier New" w:hAnsi="Courier New" w:cs="Courier New" w:hint="default"/>
      </w:rPr>
    </w:lvl>
    <w:lvl w:ilvl="2" w:tplc="08090005" w:tentative="1">
      <w:start w:val="1"/>
      <w:numFmt w:val="bullet"/>
      <w:lvlText w:val=""/>
      <w:lvlJc w:val="left"/>
      <w:pPr>
        <w:ind w:left="2903" w:hanging="360"/>
      </w:pPr>
      <w:rPr>
        <w:rFonts w:ascii="Wingdings" w:hAnsi="Wingdings" w:hint="default"/>
      </w:rPr>
    </w:lvl>
    <w:lvl w:ilvl="3" w:tplc="08090001" w:tentative="1">
      <w:start w:val="1"/>
      <w:numFmt w:val="bullet"/>
      <w:lvlText w:val=""/>
      <w:lvlJc w:val="left"/>
      <w:pPr>
        <w:ind w:left="3623" w:hanging="360"/>
      </w:pPr>
      <w:rPr>
        <w:rFonts w:ascii="Symbol" w:hAnsi="Symbol" w:hint="default"/>
      </w:rPr>
    </w:lvl>
    <w:lvl w:ilvl="4" w:tplc="08090003" w:tentative="1">
      <w:start w:val="1"/>
      <w:numFmt w:val="bullet"/>
      <w:lvlText w:val="o"/>
      <w:lvlJc w:val="left"/>
      <w:pPr>
        <w:ind w:left="4343" w:hanging="360"/>
      </w:pPr>
      <w:rPr>
        <w:rFonts w:ascii="Courier New" w:hAnsi="Courier New" w:cs="Courier New" w:hint="default"/>
      </w:rPr>
    </w:lvl>
    <w:lvl w:ilvl="5" w:tplc="08090005" w:tentative="1">
      <w:start w:val="1"/>
      <w:numFmt w:val="bullet"/>
      <w:lvlText w:val=""/>
      <w:lvlJc w:val="left"/>
      <w:pPr>
        <w:ind w:left="5063" w:hanging="360"/>
      </w:pPr>
      <w:rPr>
        <w:rFonts w:ascii="Wingdings" w:hAnsi="Wingdings" w:hint="default"/>
      </w:rPr>
    </w:lvl>
    <w:lvl w:ilvl="6" w:tplc="08090001" w:tentative="1">
      <w:start w:val="1"/>
      <w:numFmt w:val="bullet"/>
      <w:lvlText w:val=""/>
      <w:lvlJc w:val="left"/>
      <w:pPr>
        <w:ind w:left="5783" w:hanging="360"/>
      </w:pPr>
      <w:rPr>
        <w:rFonts w:ascii="Symbol" w:hAnsi="Symbol" w:hint="default"/>
      </w:rPr>
    </w:lvl>
    <w:lvl w:ilvl="7" w:tplc="08090003" w:tentative="1">
      <w:start w:val="1"/>
      <w:numFmt w:val="bullet"/>
      <w:lvlText w:val="o"/>
      <w:lvlJc w:val="left"/>
      <w:pPr>
        <w:ind w:left="6503" w:hanging="360"/>
      </w:pPr>
      <w:rPr>
        <w:rFonts w:ascii="Courier New" w:hAnsi="Courier New" w:cs="Courier New" w:hint="default"/>
      </w:rPr>
    </w:lvl>
    <w:lvl w:ilvl="8" w:tplc="08090005" w:tentative="1">
      <w:start w:val="1"/>
      <w:numFmt w:val="bullet"/>
      <w:lvlText w:val=""/>
      <w:lvlJc w:val="left"/>
      <w:pPr>
        <w:ind w:left="7223" w:hanging="360"/>
      </w:pPr>
      <w:rPr>
        <w:rFonts w:ascii="Wingdings" w:hAnsi="Wingdings" w:hint="default"/>
      </w:rPr>
    </w:lvl>
  </w:abstractNum>
  <w:abstractNum w:abstractNumId="5" w15:restartNumberingAfterBreak="0">
    <w:nsid w:val="29706A39"/>
    <w:multiLevelType w:val="multilevel"/>
    <w:tmpl w:val="79205D8A"/>
    <w:lvl w:ilvl="0">
      <w:start w:val="1"/>
      <w:numFmt w:val="decimal"/>
      <w:pStyle w:val="TSHeadingNumbered1"/>
      <w:lvlText w:val="%1."/>
      <w:lvlJc w:val="left"/>
      <w:pPr>
        <w:tabs>
          <w:tab w:val="num" w:pos="-31680"/>
        </w:tabs>
        <w:ind w:left="720" w:hanging="720"/>
      </w:pPr>
      <w:rPr>
        <w:rFonts w:hint="default"/>
        <w:sz w:val="22"/>
      </w:rPr>
    </w:lvl>
    <w:lvl w:ilvl="1">
      <w:start w:val="1"/>
      <w:numFmt w:val="decimal"/>
      <w:pStyle w:val="TSHeadingNumbered11"/>
      <w:lvlText w:val="%1.%2"/>
      <w:lvlJc w:val="left"/>
      <w:pPr>
        <w:tabs>
          <w:tab w:val="num" w:pos="-31538"/>
        </w:tabs>
        <w:ind w:left="862" w:hanging="720"/>
      </w:pPr>
      <w:rPr>
        <w:rFonts w:hint="default"/>
        <w:i w:val="0"/>
        <w:color w:val="auto"/>
        <w:sz w:val="22"/>
      </w:rPr>
    </w:lvl>
    <w:lvl w:ilvl="2">
      <w:start w:val="1"/>
      <w:numFmt w:val="decimal"/>
      <w:pStyle w:val="TSHeadingNumbered111"/>
      <w:lvlText w:val="%1.%2.%3"/>
      <w:lvlJc w:val="left"/>
      <w:pPr>
        <w:tabs>
          <w:tab w:val="num" w:pos="-31680"/>
        </w:tabs>
        <w:ind w:left="720" w:hanging="720"/>
      </w:pPr>
      <w:rPr>
        <w:rFonts w:hint="default"/>
        <w:sz w:val="22"/>
      </w:rPr>
    </w:lvl>
    <w:lvl w:ilvl="3">
      <w:start w:val="1"/>
      <w:numFmt w:val="decimal"/>
      <w:pStyle w:val="TSHeadingNumbered1111"/>
      <w:lvlText w:val="%1.%2.%3.%4"/>
      <w:lvlJc w:val="left"/>
      <w:pPr>
        <w:tabs>
          <w:tab w:val="num" w:pos="-31680"/>
        </w:tabs>
        <w:ind w:left="720" w:hanging="720"/>
      </w:pPr>
      <w:rPr>
        <w:rFonts w:hint="default"/>
        <w:sz w:val="22"/>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357A37E2"/>
    <w:multiLevelType w:val="multilevel"/>
    <w:tmpl w:val="EACE6EF2"/>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7" w15:restartNumberingAfterBreak="0">
    <w:nsid w:val="41DB27ED"/>
    <w:multiLevelType w:val="multilevel"/>
    <w:tmpl w:val="8806B1D8"/>
    <w:lvl w:ilvl="0">
      <w:start w:val="1"/>
      <w:numFmt w:val="bullet"/>
      <w:lvlText w:val=""/>
      <w:lvlJc w:val="left"/>
      <w:pPr>
        <w:ind w:left="1211" w:hanging="360"/>
      </w:pPr>
      <w:rPr>
        <w:rFonts w:ascii="Symbol" w:hAnsi="Symbol" w:hint="default"/>
        <w:color w:val="006666"/>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8" w15:restartNumberingAfterBreak="0">
    <w:nsid w:val="432E7B2D"/>
    <w:multiLevelType w:val="hybridMultilevel"/>
    <w:tmpl w:val="E12C05E2"/>
    <w:lvl w:ilvl="0" w:tplc="2D0C8F6A">
      <w:start w:val="1"/>
      <w:numFmt w:val="bullet"/>
      <w:lvlText w:val=""/>
      <w:lvlJc w:val="left"/>
      <w:pPr>
        <w:ind w:left="1440" w:hanging="360"/>
      </w:pPr>
      <w:rPr>
        <w:rFonts w:ascii="Symbol" w:hAnsi="Symbol" w:hint="default"/>
        <w:color w:val="00666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2957587"/>
    <w:multiLevelType w:val="multilevel"/>
    <w:tmpl w:val="C21C5F9A"/>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24"/>
        <w:szCs w:val="22"/>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B258AB"/>
    <w:multiLevelType w:val="hybridMultilevel"/>
    <w:tmpl w:val="94E6CF7E"/>
    <w:lvl w:ilvl="0" w:tplc="CC1AA306">
      <w:start w:val="1"/>
      <w:numFmt w:val="bullet"/>
      <w:lvlText w:val=""/>
      <w:lvlJc w:val="left"/>
      <w:pPr>
        <w:ind w:left="343" w:hanging="360"/>
      </w:pPr>
      <w:rPr>
        <w:rFonts w:ascii="Symbol" w:hAnsi="Symbol" w:hint="default"/>
        <w:color w:val="006666"/>
      </w:rPr>
    </w:lvl>
    <w:lvl w:ilvl="1" w:tplc="08090003" w:tentative="1">
      <w:start w:val="1"/>
      <w:numFmt w:val="bullet"/>
      <w:lvlText w:val="o"/>
      <w:lvlJc w:val="left"/>
      <w:pPr>
        <w:ind w:left="1063" w:hanging="360"/>
      </w:pPr>
      <w:rPr>
        <w:rFonts w:ascii="Courier New" w:hAnsi="Courier New" w:cs="Courier New" w:hint="default"/>
      </w:rPr>
    </w:lvl>
    <w:lvl w:ilvl="2" w:tplc="08090005" w:tentative="1">
      <w:start w:val="1"/>
      <w:numFmt w:val="bullet"/>
      <w:lvlText w:val=""/>
      <w:lvlJc w:val="left"/>
      <w:pPr>
        <w:ind w:left="1783" w:hanging="360"/>
      </w:pPr>
      <w:rPr>
        <w:rFonts w:ascii="Wingdings" w:hAnsi="Wingdings" w:hint="default"/>
      </w:rPr>
    </w:lvl>
    <w:lvl w:ilvl="3" w:tplc="08090001" w:tentative="1">
      <w:start w:val="1"/>
      <w:numFmt w:val="bullet"/>
      <w:lvlText w:val=""/>
      <w:lvlJc w:val="left"/>
      <w:pPr>
        <w:ind w:left="2503" w:hanging="360"/>
      </w:pPr>
      <w:rPr>
        <w:rFonts w:ascii="Symbol" w:hAnsi="Symbol" w:hint="default"/>
      </w:rPr>
    </w:lvl>
    <w:lvl w:ilvl="4" w:tplc="08090003" w:tentative="1">
      <w:start w:val="1"/>
      <w:numFmt w:val="bullet"/>
      <w:lvlText w:val="o"/>
      <w:lvlJc w:val="left"/>
      <w:pPr>
        <w:ind w:left="3223" w:hanging="360"/>
      </w:pPr>
      <w:rPr>
        <w:rFonts w:ascii="Courier New" w:hAnsi="Courier New" w:cs="Courier New" w:hint="default"/>
      </w:rPr>
    </w:lvl>
    <w:lvl w:ilvl="5" w:tplc="08090005" w:tentative="1">
      <w:start w:val="1"/>
      <w:numFmt w:val="bullet"/>
      <w:lvlText w:val=""/>
      <w:lvlJc w:val="left"/>
      <w:pPr>
        <w:ind w:left="3943" w:hanging="360"/>
      </w:pPr>
      <w:rPr>
        <w:rFonts w:ascii="Wingdings" w:hAnsi="Wingdings" w:hint="default"/>
      </w:rPr>
    </w:lvl>
    <w:lvl w:ilvl="6" w:tplc="08090001" w:tentative="1">
      <w:start w:val="1"/>
      <w:numFmt w:val="bullet"/>
      <w:lvlText w:val=""/>
      <w:lvlJc w:val="left"/>
      <w:pPr>
        <w:ind w:left="4663" w:hanging="360"/>
      </w:pPr>
      <w:rPr>
        <w:rFonts w:ascii="Symbol" w:hAnsi="Symbol" w:hint="default"/>
      </w:rPr>
    </w:lvl>
    <w:lvl w:ilvl="7" w:tplc="08090003" w:tentative="1">
      <w:start w:val="1"/>
      <w:numFmt w:val="bullet"/>
      <w:lvlText w:val="o"/>
      <w:lvlJc w:val="left"/>
      <w:pPr>
        <w:ind w:left="5383" w:hanging="360"/>
      </w:pPr>
      <w:rPr>
        <w:rFonts w:ascii="Courier New" w:hAnsi="Courier New" w:cs="Courier New" w:hint="default"/>
      </w:rPr>
    </w:lvl>
    <w:lvl w:ilvl="8" w:tplc="08090005" w:tentative="1">
      <w:start w:val="1"/>
      <w:numFmt w:val="bullet"/>
      <w:lvlText w:val=""/>
      <w:lvlJc w:val="left"/>
      <w:pPr>
        <w:ind w:left="6103" w:hanging="360"/>
      </w:pPr>
      <w:rPr>
        <w:rFonts w:ascii="Wingdings" w:hAnsi="Wingdings" w:hint="default"/>
      </w:rPr>
    </w:lvl>
  </w:abstractNum>
  <w:abstractNum w:abstractNumId="11" w15:restartNumberingAfterBreak="0">
    <w:nsid w:val="5C2A76E2"/>
    <w:multiLevelType w:val="hybridMultilevel"/>
    <w:tmpl w:val="B212065A"/>
    <w:lvl w:ilvl="0" w:tplc="FFB2E752">
      <w:numFmt w:val="bullet"/>
      <w:lvlText w:val="•"/>
      <w:lvlJc w:val="left"/>
      <w:pPr>
        <w:ind w:left="1444" w:hanging="593"/>
      </w:pPr>
      <w:rPr>
        <w:rFonts w:ascii="Arial" w:eastAsia="Times New Roman"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2" w15:restartNumberingAfterBreak="0">
    <w:nsid w:val="640F70A7"/>
    <w:multiLevelType w:val="hybridMultilevel"/>
    <w:tmpl w:val="F2F68ADE"/>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CE82416"/>
    <w:multiLevelType w:val="multilevel"/>
    <w:tmpl w:val="B79A2E5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D031D33"/>
    <w:multiLevelType w:val="multilevel"/>
    <w:tmpl w:val="965CEF02"/>
    <w:lvl w:ilvl="0">
      <w:start w:val="1"/>
      <w:numFmt w:val="bullet"/>
      <w:lvlText w:val=""/>
      <w:lvlJc w:val="left"/>
      <w:pPr>
        <w:ind w:left="1080" w:hanging="360"/>
      </w:pPr>
      <w:rPr>
        <w:rFonts w:ascii="Symbol" w:hAnsi="Symbol" w:hint="default"/>
        <w:color w:val="006666"/>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16cid:durableId="884374070">
    <w:abstractNumId w:val="9"/>
  </w:num>
  <w:num w:numId="2" w16cid:durableId="399718409">
    <w:abstractNumId w:val="13"/>
  </w:num>
  <w:num w:numId="3" w16cid:durableId="999388671">
    <w:abstractNumId w:val="9"/>
  </w:num>
  <w:num w:numId="4" w16cid:durableId="19601881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31938445">
    <w:abstractNumId w:val="0"/>
  </w:num>
  <w:num w:numId="6" w16cid:durableId="1048722656">
    <w:abstractNumId w:val="5"/>
  </w:num>
  <w:num w:numId="7" w16cid:durableId="776020278">
    <w:abstractNumId w:val="12"/>
  </w:num>
  <w:num w:numId="8" w16cid:durableId="1276211690">
    <w:abstractNumId w:val="3"/>
  </w:num>
  <w:num w:numId="9" w16cid:durableId="652294633">
    <w:abstractNumId w:val="14"/>
  </w:num>
  <w:num w:numId="10" w16cid:durableId="1778669383">
    <w:abstractNumId w:val="7"/>
  </w:num>
  <w:num w:numId="11" w16cid:durableId="971129563">
    <w:abstractNumId w:val="2"/>
  </w:num>
  <w:num w:numId="12" w16cid:durableId="557515252">
    <w:abstractNumId w:val="1"/>
  </w:num>
  <w:num w:numId="13" w16cid:durableId="719089298">
    <w:abstractNumId w:val="6"/>
  </w:num>
  <w:num w:numId="14" w16cid:durableId="1421488614">
    <w:abstractNumId w:val="11"/>
  </w:num>
  <w:num w:numId="15" w16cid:durableId="1514027996">
    <w:abstractNumId w:val="15"/>
  </w:num>
  <w:num w:numId="16" w16cid:durableId="381443492">
    <w:abstractNumId w:val="8"/>
  </w:num>
  <w:num w:numId="17" w16cid:durableId="221336643">
    <w:abstractNumId w:val="10"/>
  </w:num>
  <w:num w:numId="18" w16cid:durableId="1553930468">
    <w:abstractNumId w:val="4"/>
  </w:num>
  <w:num w:numId="19" w16cid:durableId="498153753">
    <w:abstractNumId w:val="9"/>
  </w:num>
  <w:num w:numId="20" w16cid:durableId="1538422563">
    <w:abstractNumId w:val="9"/>
  </w:num>
  <w:num w:numId="21" w16cid:durableId="934553194">
    <w:abstractNumId w:val="9"/>
  </w:num>
  <w:num w:numId="22" w16cid:durableId="479418953">
    <w:abstractNumId w:val="9"/>
  </w:num>
  <w:num w:numId="23" w16cid:durableId="416682317">
    <w:abstractNumId w:val="9"/>
  </w:num>
  <w:num w:numId="24" w16cid:durableId="1017729301">
    <w:abstractNumId w:val="9"/>
  </w:num>
  <w:num w:numId="25" w16cid:durableId="2063824618">
    <w:abstractNumId w:val="9"/>
  </w:num>
  <w:num w:numId="26" w16cid:durableId="232662574">
    <w:abstractNumId w:val="9"/>
  </w:num>
  <w:num w:numId="27" w16cid:durableId="1285578883">
    <w:abstractNumId w:val="9"/>
  </w:num>
  <w:num w:numId="28" w16cid:durableId="533352692">
    <w:abstractNumId w:val="9"/>
  </w:num>
  <w:num w:numId="29" w16cid:durableId="19120837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DD5"/>
    <w:rsid w:val="00000BD6"/>
    <w:rsid w:val="0000590A"/>
    <w:rsid w:val="0001013E"/>
    <w:rsid w:val="00010BE5"/>
    <w:rsid w:val="000150F1"/>
    <w:rsid w:val="00062923"/>
    <w:rsid w:val="000760C0"/>
    <w:rsid w:val="00083891"/>
    <w:rsid w:val="0008592A"/>
    <w:rsid w:val="000973A0"/>
    <w:rsid w:val="000A0764"/>
    <w:rsid w:val="000B20B8"/>
    <w:rsid w:val="001039E6"/>
    <w:rsid w:val="00103E4F"/>
    <w:rsid w:val="00121907"/>
    <w:rsid w:val="00146630"/>
    <w:rsid w:val="0015664D"/>
    <w:rsid w:val="001626E3"/>
    <w:rsid w:val="00165511"/>
    <w:rsid w:val="00195949"/>
    <w:rsid w:val="001A1D63"/>
    <w:rsid w:val="001A41B8"/>
    <w:rsid w:val="001A6841"/>
    <w:rsid w:val="001C6DE3"/>
    <w:rsid w:val="001D1CAF"/>
    <w:rsid w:val="001D23F3"/>
    <w:rsid w:val="001E19EF"/>
    <w:rsid w:val="0021274D"/>
    <w:rsid w:val="0025126C"/>
    <w:rsid w:val="002A5506"/>
    <w:rsid w:val="002E1234"/>
    <w:rsid w:val="002E2422"/>
    <w:rsid w:val="002E51BC"/>
    <w:rsid w:val="002E5337"/>
    <w:rsid w:val="00317C75"/>
    <w:rsid w:val="00337A2B"/>
    <w:rsid w:val="003612BF"/>
    <w:rsid w:val="003A3507"/>
    <w:rsid w:val="003B441F"/>
    <w:rsid w:val="003E6A0B"/>
    <w:rsid w:val="003F2DD1"/>
    <w:rsid w:val="00412B23"/>
    <w:rsid w:val="00440F32"/>
    <w:rsid w:val="0047293D"/>
    <w:rsid w:val="00476CCD"/>
    <w:rsid w:val="00477C6C"/>
    <w:rsid w:val="0048314F"/>
    <w:rsid w:val="004845A6"/>
    <w:rsid w:val="00495167"/>
    <w:rsid w:val="004A7E4E"/>
    <w:rsid w:val="004B5AE2"/>
    <w:rsid w:val="004B7D5A"/>
    <w:rsid w:val="004D0BF8"/>
    <w:rsid w:val="004F380B"/>
    <w:rsid w:val="0051216C"/>
    <w:rsid w:val="005129F6"/>
    <w:rsid w:val="00515639"/>
    <w:rsid w:val="005162B5"/>
    <w:rsid w:val="00544C28"/>
    <w:rsid w:val="005C06DF"/>
    <w:rsid w:val="005D081D"/>
    <w:rsid w:val="005F57AE"/>
    <w:rsid w:val="006119D6"/>
    <w:rsid w:val="00634938"/>
    <w:rsid w:val="00643C7E"/>
    <w:rsid w:val="00647DC6"/>
    <w:rsid w:val="00661A52"/>
    <w:rsid w:val="00672B1E"/>
    <w:rsid w:val="00690C98"/>
    <w:rsid w:val="00692C3C"/>
    <w:rsid w:val="00696AF6"/>
    <w:rsid w:val="00697B79"/>
    <w:rsid w:val="006A397E"/>
    <w:rsid w:val="006C59B5"/>
    <w:rsid w:val="006F1E0A"/>
    <w:rsid w:val="006F4809"/>
    <w:rsid w:val="006F7770"/>
    <w:rsid w:val="006F7E6D"/>
    <w:rsid w:val="0070097A"/>
    <w:rsid w:val="0070359B"/>
    <w:rsid w:val="0072246A"/>
    <w:rsid w:val="0073135A"/>
    <w:rsid w:val="00745C07"/>
    <w:rsid w:val="00763DD5"/>
    <w:rsid w:val="00796DCA"/>
    <w:rsid w:val="007B4EC5"/>
    <w:rsid w:val="007B6603"/>
    <w:rsid w:val="007C3AE2"/>
    <w:rsid w:val="007F7D36"/>
    <w:rsid w:val="00802C4F"/>
    <w:rsid w:val="00836E14"/>
    <w:rsid w:val="00860923"/>
    <w:rsid w:val="008757A0"/>
    <w:rsid w:val="008771D5"/>
    <w:rsid w:val="008B688E"/>
    <w:rsid w:val="008E471C"/>
    <w:rsid w:val="00910199"/>
    <w:rsid w:val="0091296D"/>
    <w:rsid w:val="009131B6"/>
    <w:rsid w:val="00913A98"/>
    <w:rsid w:val="00923E08"/>
    <w:rsid w:val="0094063D"/>
    <w:rsid w:val="00941EBF"/>
    <w:rsid w:val="0094531B"/>
    <w:rsid w:val="00963088"/>
    <w:rsid w:val="00965BC0"/>
    <w:rsid w:val="00966C9D"/>
    <w:rsid w:val="00985B5F"/>
    <w:rsid w:val="009A5FCC"/>
    <w:rsid w:val="009D1A2C"/>
    <w:rsid w:val="009D6D78"/>
    <w:rsid w:val="009D72ED"/>
    <w:rsid w:val="009F181F"/>
    <w:rsid w:val="00AA2407"/>
    <w:rsid w:val="00AB4961"/>
    <w:rsid w:val="00AE69E6"/>
    <w:rsid w:val="00AF1FFD"/>
    <w:rsid w:val="00B11D82"/>
    <w:rsid w:val="00B2308D"/>
    <w:rsid w:val="00B23675"/>
    <w:rsid w:val="00B41569"/>
    <w:rsid w:val="00B44A5A"/>
    <w:rsid w:val="00B91D5A"/>
    <w:rsid w:val="00B932DB"/>
    <w:rsid w:val="00B94A28"/>
    <w:rsid w:val="00BA7ADF"/>
    <w:rsid w:val="00BB1DE8"/>
    <w:rsid w:val="00BB2E39"/>
    <w:rsid w:val="00BC1EC9"/>
    <w:rsid w:val="00BE1B48"/>
    <w:rsid w:val="00C01D60"/>
    <w:rsid w:val="00C040C0"/>
    <w:rsid w:val="00C23B42"/>
    <w:rsid w:val="00C51483"/>
    <w:rsid w:val="00C959F8"/>
    <w:rsid w:val="00CC14D0"/>
    <w:rsid w:val="00CC5A54"/>
    <w:rsid w:val="00CC70ED"/>
    <w:rsid w:val="00CC7ADE"/>
    <w:rsid w:val="00D13BC9"/>
    <w:rsid w:val="00D174FB"/>
    <w:rsid w:val="00D33FEB"/>
    <w:rsid w:val="00D34456"/>
    <w:rsid w:val="00D36697"/>
    <w:rsid w:val="00D40B77"/>
    <w:rsid w:val="00D4249A"/>
    <w:rsid w:val="00D52FF1"/>
    <w:rsid w:val="00D77AD8"/>
    <w:rsid w:val="00D85D3E"/>
    <w:rsid w:val="00D9697B"/>
    <w:rsid w:val="00DA3294"/>
    <w:rsid w:val="00DA540A"/>
    <w:rsid w:val="00DE7A97"/>
    <w:rsid w:val="00E16EB1"/>
    <w:rsid w:val="00E306C5"/>
    <w:rsid w:val="00E30DA2"/>
    <w:rsid w:val="00E4211D"/>
    <w:rsid w:val="00E42F48"/>
    <w:rsid w:val="00E44D75"/>
    <w:rsid w:val="00E628EB"/>
    <w:rsid w:val="00E92743"/>
    <w:rsid w:val="00EA20DF"/>
    <w:rsid w:val="00EB0ABA"/>
    <w:rsid w:val="00EC7F95"/>
    <w:rsid w:val="00ED022F"/>
    <w:rsid w:val="00EE175C"/>
    <w:rsid w:val="00EE21A0"/>
    <w:rsid w:val="00EF066C"/>
    <w:rsid w:val="00EF1633"/>
    <w:rsid w:val="00EF6270"/>
    <w:rsid w:val="00F049C3"/>
    <w:rsid w:val="00F34EA8"/>
    <w:rsid w:val="00F477B8"/>
    <w:rsid w:val="00F53A5D"/>
    <w:rsid w:val="00F91B6F"/>
    <w:rsid w:val="00FA1D0D"/>
    <w:rsid w:val="00FA6EC9"/>
    <w:rsid w:val="00FE020D"/>
    <w:rsid w:val="00FE1456"/>
    <w:rsid w:val="00FF497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BFCF7"/>
  <w15:chartTrackingRefBased/>
  <w15:docId w15:val="{9CE192D1-C0EA-4FAD-9B2E-2B0D1485D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DD5"/>
    <w:pPr>
      <w:spacing w:after="240" w:line="252" w:lineRule="auto"/>
    </w:pPr>
    <w:rPr>
      <w:rFonts w:ascii="Arial" w:eastAsia="Calibri" w:hAnsi="Arial" w:cs="Arial"/>
      <w:kern w:val="0"/>
      <w:sz w:val="24"/>
      <w:lang w:bidi="he-IL"/>
      <w14:ligatures w14:val="none"/>
    </w:rPr>
  </w:style>
  <w:style w:type="paragraph" w:styleId="Heading1">
    <w:name w:val="heading 1"/>
    <w:basedOn w:val="Normal"/>
    <w:next w:val="Normal"/>
    <w:link w:val="Heading1Char"/>
    <w:uiPriority w:val="9"/>
    <w:qFormat/>
    <w:rsid w:val="00763DD5"/>
    <w:pPr>
      <w:keepNext/>
      <w:numPr>
        <w:numId w:val="1"/>
      </w:numPr>
      <w:spacing w:before="240"/>
      <w:outlineLvl w:val="0"/>
    </w:pPr>
    <w:rPr>
      <w:color w:val="22413A"/>
      <w:sz w:val="48"/>
    </w:rPr>
  </w:style>
  <w:style w:type="paragraph" w:styleId="Heading2">
    <w:name w:val="heading 2"/>
    <w:basedOn w:val="Heading1"/>
    <w:next w:val="Normal"/>
    <w:link w:val="Heading2Char"/>
    <w:unhideWhenUsed/>
    <w:qFormat/>
    <w:rsid w:val="00763DD5"/>
    <w:pPr>
      <w:numPr>
        <w:ilvl w:val="1"/>
      </w:numPr>
      <w:outlineLvl w:val="1"/>
    </w:pPr>
    <w:rPr>
      <w:sz w:val="36"/>
    </w:rPr>
  </w:style>
  <w:style w:type="paragraph" w:styleId="Heading3">
    <w:name w:val="heading 3"/>
    <w:basedOn w:val="Heading1"/>
    <w:next w:val="Normal"/>
    <w:link w:val="Heading3Char"/>
    <w:unhideWhenUsed/>
    <w:qFormat/>
    <w:rsid w:val="00763DD5"/>
    <w:pPr>
      <w:numPr>
        <w:ilvl w:val="2"/>
      </w:numPr>
      <w:outlineLvl w:val="2"/>
    </w:pPr>
    <w:rPr>
      <w:sz w:val="28"/>
      <w:szCs w:val="12"/>
    </w:rPr>
  </w:style>
  <w:style w:type="paragraph" w:styleId="Heading4">
    <w:name w:val="heading 4"/>
    <w:basedOn w:val="Heading3"/>
    <w:next w:val="Normal"/>
    <w:link w:val="Heading4Char"/>
    <w:unhideWhenUsed/>
    <w:qFormat/>
    <w:rsid w:val="00763DD5"/>
    <w:pPr>
      <w:numPr>
        <w:ilvl w:val="3"/>
      </w:numPr>
      <w:outlineLvl w:val="3"/>
    </w:pPr>
    <w:rPr>
      <w:b/>
      <w:bCs/>
      <w:sz w:val="24"/>
      <w:szCs w:val="10"/>
    </w:rPr>
  </w:style>
  <w:style w:type="paragraph" w:styleId="Heading5">
    <w:name w:val="heading 5"/>
    <w:basedOn w:val="Normal"/>
    <w:next w:val="Normal"/>
    <w:link w:val="Heading5Char"/>
    <w:qFormat/>
    <w:rsid w:val="003612BF"/>
    <w:pPr>
      <w:numPr>
        <w:ilvl w:val="4"/>
        <w:numId w:val="6"/>
      </w:numPr>
      <w:spacing w:before="240" w:after="60" w:line="240" w:lineRule="auto"/>
      <w:outlineLvl w:val="4"/>
    </w:pPr>
    <w:rPr>
      <w:rFonts w:eastAsia="Times New Roman" w:cs="Times New Roman"/>
      <w:b/>
      <w:bCs/>
      <w:i/>
      <w:iCs/>
      <w:sz w:val="26"/>
      <w:szCs w:val="26"/>
      <w:lang w:bidi="ar-SA"/>
    </w:rPr>
  </w:style>
  <w:style w:type="paragraph" w:styleId="Heading6">
    <w:name w:val="heading 6"/>
    <w:basedOn w:val="Normal"/>
    <w:next w:val="Normal"/>
    <w:link w:val="Heading6Char"/>
    <w:qFormat/>
    <w:rsid w:val="003612BF"/>
    <w:pPr>
      <w:numPr>
        <w:ilvl w:val="5"/>
        <w:numId w:val="6"/>
      </w:numPr>
      <w:spacing w:before="240" w:after="60" w:line="240" w:lineRule="auto"/>
      <w:outlineLvl w:val="5"/>
    </w:pPr>
    <w:rPr>
      <w:rFonts w:ascii="Times New Roman" w:eastAsia="Times New Roman" w:hAnsi="Times New Roman" w:cs="Times New Roman"/>
      <w:b/>
      <w:bCs/>
      <w:sz w:val="22"/>
      <w:lang w:bidi="ar-SA"/>
    </w:rPr>
  </w:style>
  <w:style w:type="paragraph" w:styleId="Heading7">
    <w:name w:val="heading 7"/>
    <w:basedOn w:val="Normal"/>
    <w:next w:val="Normal"/>
    <w:link w:val="Heading7Char"/>
    <w:qFormat/>
    <w:rsid w:val="003612BF"/>
    <w:pPr>
      <w:numPr>
        <w:ilvl w:val="6"/>
        <w:numId w:val="6"/>
      </w:numPr>
      <w:spacing w:before="240" w:after="60" w:line="240" w:lineRule="auto"/>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3612BF"/>
    <w:pPr>
      <w:numPr>
        <w:ilvl w:val="7"/>
        <w:numId w:val="6"/>
      </w:numPr>
      <w:spacing w:before="240" w:after="60" w:line="240" w:lineRule="auto"/>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3612BF"/>
    <w:pPr>
      <w:numPr>
        <w:ilvl w:val="8"/>
        <w:numId w:val="6"/>
      </w:numPr>
      <w:spacing w:before="240" w:after="60" w:line="240" w:lineRule="auto"/>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nerCoverTitle">
    <w:name w:val="Inner Cover Title"/>
    <w:basedOn w:val="Normal"/>
    <w:uiPriority w:val="99"/>
    <w:semiHidden/>
    <w:qFormat/>
    <w:rsid w:val="00763DD5"/>
    <w:rPr>
      <w:color w:val="22413A"/>
      <w:sz w:val="48"/>
    </w:rPr>
  </w:style>
  <w:style w:type="paragraph" w:styleId="Header">
    <w:name w:val="header"/>
    <w:basedOn w:val="Normal"/>
    <w:link w:val="HeaderChar"/>
    <w:uiPriority w:val="99"/>
    <w:semiHidden/>
    <w:rsid w:val="00763DD5"/>
    <w:pPr>
      <w:pBdr>
        <w:bottom w:val="single" w:sz="4" w:space="6" w:color="22413A"/>
      </w:pBdr>
      <w:tabs>
        <w:tab w:val="center" w:pos="4513"/>
        <w:tab w:val="right" w:pos="9026"/>
      </w:tabs>
      <w:jc w:val="right"/>
    </w:pPr>
    <w:rPr>
      <w:color w:val="22413A"/>
      <w:sz w:val="18"/>
    </w:rPr>
  </w:style>
  <w:style w:type="character" w:customStyle="1" w:styleId="HeaderChar">
    <w:name w:val="Header Char"/>
    <w:basedOn w:val="DefaultParagraphFont"/>
    <w:link w:val="Header"/>
    <w:uiPriority w:val="99"/>
    <w:semiHidden/>
    <w:rsid w:val="00763DD5"/>
    <w:rPr>
      <w:rFonts w:ascii="Arial" w:eastAsia="Calibri" w:hAnsi="Arial" w:cs="Arial"/>
      <w:color w:val="22413A"/>
      <w:kern w:val="0"/>
      <w:sz w:val="18"/>
      <w:lang w:bidi="he-IL"/>
      <w14:ligatures w14:val="none"/>
    </w:rPr>
  </w:style>
  <w:style w:type="paragraph" w:styleId="Footer">
    <w:name w:val="footer"/>
    <w:basedOn w:val="Normal"/>
    <w:link w:val="FooterChar"/>
    <w:uiPriority w:val="99"/>
    <w:rsid w:val="00763DD5"/>
    <w:pPr>
      <w:tabs>
        <w:tab w:val="center" w:pos="4513"/>
        <w:tab w:val="right" w:pos="9026"/>
      </w:tabs>
      <w:jc w:val="right"/>
    </w:pPr>
    <w:rPr>
      <w:color w:val="22413A"/>
    </w:rPr>
  </w:style>
  <w:style w:type="character" w:customStyle="1" w:styleId="FooterChar">
    <w:name w:val="Footer Char"/>
    <w:basedOn w:val="DefaultParagraphFont"/>
    <w:link w:val="Footer"/>
    <w:uiPriority w:val="99"/>
    <w:rsid w:val="00763DD5"/>
    <w:rPr>
      <w:rFonts w:ascii="Arial" w:eastAsia="Calibri" w:hAnsi="Arial" w:cs="Arial"/>
      <w:color w:val="22413A"/>
      <w:kern w:val="0"/>
      <w:sz w:val="24"/>
      <w:lang w:bidi="he-IL"/>
      <w14:ligatures w14:val="none"/>
    </w:rPr>
  </w:style>
  <w:style w:type="character" w:styleId="Hyperlink">
    <w:name w:val="Hyperlink"/>
    <w:uiPriority w:val="99"/>
    <w:unhideWhenUsed/>
    <w:rsid w:val="00763DD5"/>
    <w:rPr>
      <w:color w:val="0563C1"/>
      <w:u w:val="single"/>
    </w:rPr>
  </w:style>
  <w:style w:type="character" w:styleId="PlaceholderText">
    <w:name w:val="Placeholder Text"/>
    <w:basedOn w:val="DefaultParagraphFont"/>
    <w:uiPriority w:val="99"/>
    <w:semiHidden/>
    <w:rsid w:val="00763DD5"/>
    <w:rPr>
      <w:color w:val="808080"/>
    </w:rPr>
  </w:style>
  <w:style w:type="table" w:customStyle="1" w:styleId="ONRTable1">
    <w:name w:val="ONR Table 1"/>
    <w:basedOn w:val="TableNormal"/>
    <w:uiPriority w:val="99"/>
    <w:rsid w:val="00763DD5"/>
    <w:pPr>
      <w:spacing w:after="0" w:line="240" w:lineRule="auto"/>
    </w:pPr>
    <w:rPr>
      <w:kern w:val="0"/>
      <w14:ligatures w14:val="none"/>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paragraph" w:styleId="Caption">
    <w:name w:val="caption"/>
    <w:basedOn w:val="Normal"/>
    <w:next w:val="Normal"/>
    <w:uiPriority w:val="35"/>
    <w:unhideWhenUsed/>
    <w:qFormat/>
    <w:rsid w:val="00763DD5"/>
    <w:pPr>
      <w:spacing w:after="200" w:line="240" w:lineRule="auto"/>
    </w:pPr>
    <w:rPr>
      <w:b/>
      <w:bCs/>
      <w:color w:val="44546A" w:themeColor="text2"/>
      <w:sz w:val="22"/>
    </w:rPr>
  </w:style>
  <w:style w:type="character" w:customStyle="1" w:styleId="Style2">
    <w:name w:val="Style2"/>
    <w:basedOn w:val="DefaultParagraphFont"/>
    <w:uiPriority w:val="1"/>
    <w:rsid w:val="00763DD5"/>
    <w:rPr>
      <w:rFonts w:ascii="Arial" w:hAnsi="Arial"/>
      <w:color w:val="auto"/>
      <w:sz w:val="48"/>
    </w:rPr>
  </w:style>
  <w:style w:type="paragraph" w:styleId="TOC1">
    <w:name w:val="toc 1"/>
    <w:basedOn w:val="Normal"/>
    <w:next w:val="Normal"/>
    <w:uiPriority w:val="39"/>
    <w:rsid w:val="00763DD5"/>
    <w:pPr>
      <w:tabs>
        <w:tab w:val="right" w:leader="dot" w:pos="9752"/>
      </w:tabs>
      <w:spacing w:before="240" w:after="0"/>
    </w:pPr>
    <w:rPr>
      <w:noProof/>
    </w:rPr>
  </w:style>
  <w:style w:type="paragraph" w:customStyle="1" w:styleId="ContentsHeading">
    <w:name w:val="Contents Heading"/>
    <w:basedOn w:val="Normal"/>
    <w:uiPriority w:val="99"/>
    <w:semiHidden/>
    <w:qFormat/>
    <w:rsid w:val="00763DD5"/>
    <w:pPr>
      <w:spacing w:before="240" w:after="120"/>
    </w:pPr>
    <w:rPr>
      <w:color w:val="22413A"/>
      <w:sz w:val="48"/>
      <w:szCs w:val="48"/>
    </w:rPr>
  </w:style>
  <w:style w:type="character" w:customStyle="1" w:styleId="Heading1Char">
    <w:name w:val="Heading 1 Char"/>
    <w:basedOn w:val="DefaultParagraphFont"/>
    <w:link w:val="Heading1"/>
    <w:uiPriority w:val="9"/>
    <w:rsid w:val="00763DD5"/>
    <w:rPr>
      <w:rFonts w:ascii="Arial" w:eastAsia="Calibri" w:hAnsi="Arial" w:cs="Arial"/>
      <w:color w:val="22413A"/>
      <w:kern w:val="0"/>
      <w:sz w:val="48"/>
      <w:lang w:bidi="he-IL"/>
      <w14:ligatures w14:val="none"/>
    </w:rPr>
  </w:style>
  <w:style w:type="character" w:customStyle="1" w:styleId="Heading2Char">
    <w:name w:val="Heading 2 Char"/>
    <w:basedOn w:val="DefaultParagraphFont"/>
    <w:link w:val="Heading2"/>
    <w:semiHidden/>
    <w:rsid w:val="00763DD5"/>
    <w:rPr>
      <w:rFonts w:ascii="Arial" w:eastAsia="Calibri" w:hAnsi="Arial" w:cs="Arial"/>
      <w:color w:val="22413A"/>
      <w:kern w:val="0"/>
      <w:sz w:val="36"/>
      <w:lang w:bidi="he-IL"/>
      <w14:ligatures w14:val="none"/>
    </w:rPr>
  </w:style>
  <w:style w:type="character" w:customStyle="1" w:styleId="Heading3Char">
    <w:name w:val="Heading 3 Char"/>
    <w:basedOn w:val="DefaultParagraphFont"/>
    <w:link w:val="Heading3"/>
    <w:semiHidden/>
    <w:rsid w:val="00763DD5"/>
    <w:rPr>
      <w:rFonts w:ascii="Arial" w:eastAsia="Calibri" w:hAnsi="Arial" w:cs="Arial"/>
      <w:color w:val="22413A"/>
      <w:kern w:val="0"/>
      <w:sz w:val="28"/>
      <w:szCs w:val="12"/>
      <w:lang w:bidi="he-IL"/>
      <w14:ligatures w14:val="none"/>
    </w:rPr>
  </w:style>
  <w:style w:type="character" w:customStyle="1" w:styleId="Heading4Char">
    <w:name w:val="Heading 4 Char"/>
    <w:basedOn w:val="DefaultParagraphFont"/>
    <w:link w:val="Heading4"/>
    <w:semiHidden/>
    <w:rsid w:val="00763DD5"/>
    <w:rPr>
      <w:rFonts w:ascii="Arial" w:eastAsia="Calibri" w:hAnsi="Arial" w:cs="Arial"/>
      <w:b/>
      <w:bCs/>
      <w:color w:val="22413A"/>
      <w:kern w:val="0"/>
      <w:sz w:val="24"/>
      <w:szCs w:val="10"/>
      <w:lang w:bidi="he-IL"/>
      <w14:ligatures w14:val="none"/>
    </w:rPr>
  </w:style>
  <w:style w:type="paragraph" w:styleId="Bibliography">
    <w:name w:val="Bibliography"/>
    <w:basedOn w:val="Normal"/>
    <w:next w:val="Normal"/>
    <w:uiPriority w:val="37"/>
    <w:unhideWhenUsed/>
    <w:rsid w:val="00763DD5"/>
    <w:pPr>
      <w:spacing w:after="160" w:line="256" w:lineRule="auto"/>
    </w:pPr>
    <w:rPr>
      <w:rFonts w:asciiTheme="minorHAnsi" w:eastAsiaTheme="minorHAnsi" w:hAnsiTheme="minorHAnsi" w:cstheme="minorBidi"/>
      <w:kern w:val="2"/>
      <w:sz w:val="22"/>
      <w:lang w:bidi="ar-SA"/>
      <w14:ligatures w14:val="standardContextual"/>
    </w:rPr>
  </w:style>
  <w:style w:type="paragraph" w:customStyle="1" w:styleId="F9-Paragraph">
    <w:name w:val="F9 - # Paragraph"/>
    <w:basedOn w:val="Normal"/>
    <w:link w:val="F9-ParagraphChar"/>
    <w:qFormat/>
    <w:rsid w:val="003612BF"/>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3612BF"/>
    <w:rPr>
      <w:rFonts w:ascii="Arial" w:eastAsia="Times New Roman" w:hAnsi="Arial" w:cs="Arial"/>
      <w:kern w:val="0"/>
      <w:sz w:val="24"/>
      <w:szCs w:val="24"/>
      <w14:ligatures w14:val="none"/>
    </w:rPr>
  </w:style>
  <w:style w:type="character" w:customStyle="1" w:styleId="Heading5Char">
    <w:name w:val="Heading 5 Char"/>
    <w:basedOn w:val="DefaultParagraphFont"/>
    <w:link w:val="Heading5"/>
    <w:rsid w:val="003612BF"/>
    <w:rPr>
      <w:rFonts w:ascii="Arial" w:eastAsia="Times New Roman" w:hAnsi="Arial" w:cs="Times New Roman"/>
      <w:b/>
      <w:bCs/>
      <w:i/>
      <w:iCs/>
      <w:kern w:val="0"/>
      <w:sz w:val="26"/>
      <w:szCs w:val="26"/>
      <w14:ligatures w14:val="none"/>
    </w:rPr>
  </w:style>
  <w:style w:type="character" w:customStyle="1" w:styleId="Heading6Char">
    <w:name w:val="Heading 6 Char"/>
    <w:basedOn w:val="DefaultParagraphFont"/>
    <w:link w:val="Heading6"/>
    <w:rsid w:val="003612BF"/>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3612BF"/>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3612BF"/>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3612BF"/>
    <w:rPr>
      <w:rFonts w:ascii="Arial" w:eastAsia="Times New Roman" w:hAnsi="Arial" w:cs="Arial"/>
      <w:kern w:val="0"/>
      <w14:ligatures w14:val="none"/>
    </w:rPr>
  </w:style>
  <w:style w:type="paragraph" w:customStyle="1" w:styleId="TSHeadingNumbered1">
    <w:name w:val="TS Heading Numbered 1"/>
    <w:basedOn w:val="Normal"/>
    <w:rsid w:val="003612BF"/>
    <w:pPr>
      <w:numPr>
        <w:numId w:val="6"/>
      </w:numPr>
      <w:spacing w:after="220" w:line="240" w:lineRule="auto"/>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3612BF"/>
    <w:pPr>
      <w:numPr>
        <w:ilvl w:val="1"/>
      </w:numPr>
    </w:pPr>
  </w:style>
  <w:style w:type="paragraph" w:customStyle="1" w:styleId="TSHeadingNumbered111">
    <w:name w:val="TS Heading Numbered 1.1.1"/>
    <w:basedOn w:val="TSHeadingNumbered1"/>
    <w:rsid w:val="003612BF"/>
    <w:pPr>
      <w:numPr>
        <w:ilvl w:val="2"/>
      </w:numPr>
    </w:pPr>
  </w:style>
  <w:style w:type="paragraph" w:customStyle="1" w:styleId="TSHeadingNumbered1111">
    <w:name w:val="TS Heading Numbered 1.1.1.1"/>
    <w:basedOn w:val="TSHeadingNumbered1"/>
    <w:rsid w:val="003612BF"/>
    <w:pPr>
      <w:numPr>
        <w:ilvl w:val="3"/>
      </w:numPr>
    </w:pPr>
  </w:style>
  <w:style w:type="paragraph" w:customStyle="1" w:styleId="TSNumberedParagraph11">
    <w:name w:val="TS Numbered Paragraph 1.1"/>
    <w:basedOn w:val="TSHeadingNumbered11"/>
    <w:rsid w:val="003612BF"/>
    <w:pPr>
      <w:numPr>
        <w:ilvl w:val="0"/>
        <w:numId w:val="0"/>
      </w:numPr>
      <w:ind w:left="792" w:hanging="432"/>
    </w:pPr>
    <w:rPr>
      <w:rFonts w:ascii="Arial" w:hAnsi="Arial"/>
      <w:b w:val="0"/>
      <w:caps w:val="0"/>
    </w:rPr>
  </w:style>
  <w:style w:type="paragraph" w:customStyle="1" w:styleId="TableText">
    <w:name w:val="Table Text"/>
    <w:basedOn w:val="Normal"/>
    <w:uiPriority w:val="1"/>
    <w:qFormat/>
    <w:rsid w:val="00146630"/>
    <w:pPr>
      <w:spacing w:before="60" w:after="60"/>
    </w:pPr>
  </w:style>
  <w:style w:type="character" w:styleId="PageNumber">
    <w:name w:val="page number"/>
    <w:uiPriority w:val="99"/>
    <w:semiHidden/>
    <w:rsid w:val="007F7D36"/>
    <w:rPr>
      <w:rFonts w:ascii="Arial" w:hAnsi="Arial"/>
      <w:b w:val="0"/>
      <w:color w:val="auto"/>
      <w:sz w:val="22"/>
    </w:rPr>
  </w:style>
  <w:style w:type="paragraph" w:styleId="NoSpacing">
    <w:name w:val="No Spacing"/>
    <w:uiPriority w:val="1"/>
    <w:qFormat/>
    <w:rsid w:val="000760C0"/>
    <w:pPr>
      <w:spacing w:after="0" w:line="240" w:lineRule="auto"/>
    </w:pPr>
    <w:rPr>
      <w:rFonts w:ascii="Arial" w:eastAsia="Calibri" w:hAnsi="Arial" w:cs="Arial"/>
      <w:kern w:val="0"/>
      <w:sz w:val="24"/>
      <w:lang w:bidi="he-IL"/>
      <w14:ligatures w14:val="none"/>
    </w:rPr>
  </w:style>
  <w:style w:type="paragraph" w:styleId="Revision">
    <w:name w:val="Revision"/>
    <w:hidden/>
    <w:uiPriority w:val="99"/>
    <w:semiHidden/>
    <w:rsid w:val="002E5337"/>
    <w:pPr>
      <w:spacing w:after="0" w:line="240" w:lineRule="auto"/>
    </w:pPr>
    <w:rPr>
      <w:rFonts w:ascii="Arial" w:eastAsia="Calibri" w:hAnsi="Arial" w:cs="Arial"/>
      <w:kern w:val="0"/>
      <w:sz w:val="24"/>
      <w:lang w:bidi="he-IL"/>
      <w14:ligatures w14:val="none"/>
    </w:rPr>
  </w:style>
  <w:style w:type="character" w:styleId="FollowedHyperlink">
    <w:name w:val="FollowedHyperlink"/>
    <w:basedOn w:val="DefaultParagraphFont"/>
    <w:uiPriority w:val="99"/>
    <w:semiHidden/>
    <w:unhideWhenUsed/>
    <w:rsid w:val="003A3507"/>
    <w:rPr>
      <w:color w:val="954F72" w:themeColor="followedHyperlink"/>
      <w:u w:val="single"/>
    </w:rPr>
  </w:style>
  <w:style w:type="character" w:styleId="CommentReference">
    <w:name w:val="annotation reference"/>
    <w:basedOn w:val="DefaultParagraphFont"/>
    <w:uiPriority w:val="99"/>
    <w:semiHidden/>
    <w:unhideWhenUsed/>
    <w:rsid w:val="003A3507"/>
    <w:rPr>
      <w:sz w:val="16"/>
      <w:szCs w:val="16"/>
    </w:rPr>
  </w:style>
  <w:style w:type="paragraph" w:styleId="CommentText">
    <w:name w:val="annotation text"/>
    <w:basedOn w:val="Normal"/>
    <w:link w:val="CommentTextChar"/>
    <w:uiPriority w:val="99"/>
    <w:unhideWhenUsed/>
    <w:rsid w:val="003A3507"/>
    <w:pPr>
      <w:spacing w:line="240" w:lineRule="auto"/>
    </w:pPr>
    <w:rPr>
      <w:sz w:val="20"/>
      <w:szCs w:val="20"/>
    </w:rPr>
  </w:style>
  <w:style w:type="character" w:customStyle="1" w:styleId="CommentTextChar">
    <w:name w:val="Comment Text Char"/>
    <w:basedOn w:val="DefaultParagraphFont"/>
    <w:link w:val="CommentText"/>
    <w:uiPriority w:val="99"/>
    <w:rsid w:val="003A3507"/>
    <w:rPr>
      <w:rFonts w:ascii="Arial" w:eastAsia="Calibri" w:hAnsi="Arial" w:cs="Arial"/>
      <w:kern w:val="0"/>
      <w:sz w:val="20"/>
      <w:szCs w:val="20"/>
      <w:lang w:bidi="he-IL"/>
      <w14:ligatures w14:val="none"/>
    </w:rPr>
  </w:style>
  <w:style w:type="paragraph" w:styleId="CommentSubject">
    <w:name w:val="annotation subject"/>
    <w:basedOn w:val="CommentText"/>
    <w:next w:val="CommentText"/>
    <w:link w:val="CommentSubjectChar"/>
    <w:uiPriority w:val="99"/>
    <w:semiHidden/>
    <w:unhideWhenUsed/>
    <w:rsid w:val="003A3507"/>
    <w:rPr>
      <w:b/>
      <w:bCs/>
    </w:rPr>
  </w:style>
  <w:style w:type="character" w:customStyle="1" w:styleId="CommentSubjectChar">
    <w:name w:val="Comment Subject Char"/>
    <w:basedOn w:val="CommentTextChar"/>
    <w:link w:val="CommentSubject"/>
    <w:uiPriority w:val="99"/>
    <w:semiHidden/>
    <w:rsid w:val="003A3507"/>
    <w:rPr>
      <w:rFonts w:ascii="Arial" w:eastAsia="Calibri" w:hAnsi="Arial" w:cs="Arial"/>
      <w:b/>
      <w:bCs/>
      <w:kern w:val="0"/>
      <w:sz w:val="20"/>
      <w:szCs w:val="20"/>
      <w:lang w:bidi="he-IL"/>
      <w14:ligatures w14:val="none"/>
    </w:rPr>
  </w:style>
  <w:style w:type="character" w:styleId="UnresolvedMention">
    <w:name w:val="Unresolved Mention"/>
    <w:basedOn w:val="DefaultParagraphFont"/>
    <w:uiPriority w:val="99"/>
    <w:semiHidden/>
    <w:unhideWhenUsed/>
    <w:rsid w:val="001E1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0650">
      <w:bodyDiv w:val="1"/>
      <w:marLeft w:val="0"/>
      <w:marRight w:val="0"/>
      <w:marTop w:val="0"/>
      <w:marBottom w:val="0"/>
      <w:divBdr>
        <w:top w:val="none" w:sz="0" w:space="0" w:color="auto"/>
        <w:left w:val="none" w:sz="0" w:space="0" w:color="auto"/>
        <w:bottom w:val="none" w:sz="0" w:space="0" w:color="auto"/>
        <w:right w:val="none" w:sz="0" w:space="0" w:color="auto"/>
      </w:divBdr>
    </w:div>
    <w:div w:id="7756696">
      <w:bodyDiv w:val="1"/>
      <w:marLeft w:val="0"/>
      <w:marRight w:val="0"/>
      <w:marTop w:val="0"/>
      <w:marBottom w:val="0"/>
      <w:divBdr>
        <w:top w:val="none" w:sz="0" w:space="0" w:color="auto"/>
        <w:left w:val="none" w:sz="0" w:space="0" w:color="auto"/>
        <w:bottom w:val="none" w:sz="0" w:space="0" w:color="auto"/>
        <w:right w:val="none" w:sz="0" w:space="0" w:color="auto"/>
      </w:divBdr>
    </w:div>
    <w:div w:id="16662484">
      <w:bodyDiv w:val="1"/>
      <w:marLeft w:val="0"/>
      <w:marRight w:val="0"/>
      <w:marTop w:val="0"/>
      <w:marBottom w:val="0"/>
      <w:divBdr>
        <w:top w:val="none" w:sz="0" w:space="0" w:color="auto"/>
        <w:left w:val="none" w:sz="0" w:space="0" w:color="auto"/>
        <w:bottom w:val="none" w:sz="0" w:space="0" w:color="auto"/>
        <w:right w:val="none" w:sz="0" w:space="0" w:color="auto"/>
      </w:divBdr>
    </w:div>
    <w:div w:id="17587004">
      <w:bodyDiv w:val="1"/>
      <w:marLeft w:val="0"/>
      <w:marRight w:val="0"/>
      <w:marTop w:val="0"/>
      <w:marBottom w:val="0"/>
      <w:divBdr>
        <w:top w:val="none" w:sz="0" w:space="0" w:color="auto"/>
        <w:left w:val="none" w:sz="0" w:space="0" w:color="auto"/>
        <w:bottom w:val="none" w:sz="0" w:space="0" w:color="auto"/>
        <w:right w:val="none" w:sz="0" w:space="0" w:color="auto"/>
      </w:divBdr>
    </w:div>
    <w:div w:id="31000978">
      <w:bodyDiv w:val="1"/>
      <w:marLeft w:val="0"/>
      <w:marRight w:val="0"/>
      <w:marTop w:val="0"/>
      <w:marBottom w:val="0"/>
      <w:divBdr>
        <w:top w:val="none" w:sz="0" w:space="0" w:color="auto"/>
        <w:left w:val="none" w:sz="0" w:space="0" w:color="auto"/>
        <w:bottom w:val="none" w:sz="0" w:space="0" w:color="auto"/>
        <w:right w:val="none" w:sz="0" w:space="0" w:color="auto"/>
      </w:divBdr>
    </w:div>
    <w:div w:id="34933189">
      <w:bodyDiv w:val="1"/>
      <w:marLeft w:val="0"/>
      <w:marRight w:val="0"/>
      <w:marTop w:val="0"/>
      <w:marBottom w:val="0"/>
      <w:divBdr>
        <w:top w:val="none" w:sz="0" w:space="0" w:color="auto"/>
        <w:left w:val="none" w:sz="0" w:space="0" w:color="auto"/>
        <w:bottom w:val="none" w:sz="0" w:space="0" w:color="auto"/>
        <w:right w:val="none" w:sz="0" w:space="0" w:color="auto"/>
      </w:divBdr>
    </w:div>
    <w:div w:id="43675641">
      <w:bodyDiv w:val="1"/>
      <w:marLeft w:val="0"/>
      <w:marRight w:val="0"/>
      <w:marTop w:val="0"/>
      <w:marBottom w:val="0"/>
      <w:divBdr>
        <w:top w:val="none" w:sz="0" w:space="0" w:color="auto"/>
        <w:left w:val="none" w:sz="0" w:space="0" w:color="auto"/>
        <w:bottom w:val="none" w:sz="0" w:space="0" w:color="auto"/>
        <w:right w:val="none" w:sz="0" w:space="0" w:color="auto"/>
      </w:divBdr>
    </w:div>
    <w:div w:id="49429769">
      <w:bodyDiv w:val="1"/>
      <w:marLeft w:val="0"/>
      <w:marRight w:val="0"/>
      <w:marTop w:val="0"/>
      <w:marBottom w:val="0"/>
      <w:divBdr>
        <w:top w:val="none" w:sz="0" w:space="0" w:color="auto"/>
        <w:left w:val="none" w:sz="0" w:space="0" w:color="auto"/>
        <w:bottom w:val="none" w:sz="0" w:space="0" w:color="auto"/>
        <w:right w:val="none" w:sz="0" w:space="0" w:color="auto"/>
      </w:divBdr>
    </w:div>
    <w:div w:id="49499650">
      <w:bodyDiv w:val="1"/>
      <w:marLeft w:val="0"/>
      <w:marRight w:val="0"/>
      <w:marTop w:val="0"/>
      <w:marBottom w:val="0"/>
      <w:divBdr>
        <w:top w:val="none" w:sz="0" w:space="0" w:color="auto"/>
        <w:left w:val="none" w:sz="0" w:space="0" w:color="auto"/>
        <w:bottom w:val="none" w:sz="0" w:space="0" w:color="auto"/>
        <w:right w:val="none" w:sz="0" w:space="0" w:color="auto"/>
      </w:divBdr>
    </w:div>
    <w:div w:id="65541883">
      <w:bodyDiv w:val="1"/>
      <w:marLeft w:val="0"/>
      <w:marRight w:val="0"/>
      <w:marTop w:val="0"/>
      <w:marBottom w:val="0"/>
      <w:divBdr>
        <w:top w:val="none" w:sz="0" w:space="0" w:color="auto"/>
        <w:left w:val="none" w:sz="0" w:space="0" w:color="auto"/>
        <w:bottom w:val="none" w:sz="0" w:space="0" w:color="auto"/>
        <w:right w:val="none" w:sz="0" w:space="0" w:color="auto"/>
      </w:divBdr>
    </w:div>
    <w:div w:id="109932689">
      <w:bodyDiv w:val="1"/>
      <w:marLeft w:val="0"/>
      <w:marRight w:val="0"/>
      <w:marTop w:val="0"/>
      <w:marBottom w:val="0"/>
      <w:divBdr>
        <w:top w:val="none" w:sz="0" w:space="0" w:color="auto"/>
        <w:left w:val="none" w:sz="0" w:space="0" w:color="auto"/>
        <w:bottom w:val="none" w:sz="0" w:space="0" w:color="auto"/>
        <w:right w:val="none" w:sz="0" w:space="0" w:color="auto"/>
      </w:divBdr>
    </w:div>
    <w:div w:id="179659570">
      <w:bodyDiv w:val="1"/>
      <w:marLeft w:val="0"/>
      <w:marRight w:val="0"/>
      <w:marTop w:val="0"/>
      <w:marBottom w:val="0"/>
      <w:divBdr>
        <w:top w:val="none" w:sz="0" w:space="0" w:color="auto"/>
        <w:left w:val="none" w:sz="0" w:space="0" w:color="auto"/>
        <w:bottom w:val="none" w:sz="0" w:space="0" w:color="auto"/>
        <w:right w:val="none" w:sz="0" w:space="0" w:color="auto"/>
      </w:divBdr>
    </w:div>
    <w:div w:id="196046602">
      <w:bodyDiv w:val="1"/>
      <w:marLeft w:val="0"/>
      <w:marRight w:val="0"/>
      <w:marTop w:val="0"/>
      <w:marBottom w:val="0"/>
      <w:divBdr>
        <w:top w:val="none" w:sz="0" w:space="0" w:color="auto"/>
        <w:left w:val="none" w:sz="0" w:space="0" w:color="auto"/>
        <w:bottom w:val="none" w:sz="0" w:space="0" w:color="auto"/>
        <w:right w:val="none" w:sz="0" w:space="0" w:color="auto"/>
      </w:divBdr>
    </w:div>
    <w:div w:id="234169758">
      <w:bodyDiv w:val="1"/>
      <w:marLeft w:val="0"/>
      <w:marRight w:val="0"/>
      <w:marTop w:val="0"/>
      <w:marBottom w:val="0"/>
      <w:divBdr>
        <w:top w:val="none" w:sz="0" w:space="0" w:color="auto"/>
        <w:left w:val="none" w:sz="0" w:space="0" w:color="auto"/>
        <w:bottom w:val="none" w:sz="0" w:space="0" w:color="auto"/>
        <w:right w:val="none" w:sz="0" w:space="0" w:color="auto"/>
      </w:divBdr>
    </w:div>
    <w:div w:id="289090737">
      <w:bodyDiv w:val="1"/>
      <w:marLeft w:val="0"/>
      <w:marRight w:val="0"/>
      <w:marTop w:val="0"/>
      <w:marBottom w:val="0"/>
      <w:divBdr>
        <w:top w:val="none" w:sz="0" w:space="0" w:color="auto"/>
        <w:left w:val="none" w:sz="0" w:space="0" w:color="auto"/>
        <w:bottom w:val="none" w:sz="0" w:space="0" w:color="auto"/>
        <w:right w:val="none" w:sz="0" w:space="0" w:color="auto"/>
      </w:divBdr>
    </w:div>
    <w:div w:id="291256293">
      <w:bodyDiv w:val="1"/>
      <w:marLeft w:val="0"/>
      <w:marRight w:val="0"/>
      <w:marTop w:val="0"/>
      <w:marBottom w:val="0"/>
      <w:divBdr>
        <w:top w:val="none" w:sz="0" w:space="0" w:color="auto"/>
        <w:left w:val="none" w:sz="0" w:space="0" w:color="auto"/>
        <w:bottom w:val="none" w:sz="0" w:space="0" w:color="auto"/>
        <w:right w:val="none" w:sz="0" w:space="0" w:color="auto"/>
      </w:divBdr>
    </w:div>
    <w:div w:id="320886385">
      <w:bodyDiv w:val="1"/>
      <w:marLeft w:val="0"/>
      <w:marRight w:val="0"/>
      <w:marTop w:val="0"/>
      <w:marBottom w:val="0"/>
      <w:divBdr>
        <w:top w:val="none" w:sz="0" w:space="0" w:color="auto"/>
        <w:left w:val="none" w:sz="0" w:space="0" w:color="auto"/>
        <w:bottom w:val="none" w:sz="0" w:space="0" w:color="auto"/>
        <w:right w:val="none" w:sz="0" w:space="0" w:color="auto"/>
      </w:divBdr>
    </w:div>
    <w:div w:id="322978608">
      <w:bodyDiv w:val="1"/>
      <w:marLeft w:val="0"/>
      <w:marRight w:val="0"/>
      <w:marTop w:val="0"/>
      <w:marBottom w:val="0"/>
      <w:divBdr>
        <w:top w:val="none" w:sz="0" w:space="0" w:color="auto"/>
        <w:left w:val="none" w:sz="0" w:space="0" w:color="auto"/>
        <w:bottom w:val="none" w:sz="0" w:space="0" w:color="auto"/>
        <w:right w:val="none" w:sz="0" w:space="0" w:color="auto"/>
      </w:divBdr>
    </w:div>
    <w:div w:id="342973109">
      <w:bodyDiv w:val="1"/>
      <w:marLeft w:val="0"/>
      <w:marRight w:val="0"/>
      <w:marTop w:val="0"/>
      <w:marBottom w:val="0"/>
      <w:divBdr>
        <w:top w:val="none" w:sz="0" w:space="0" w:color="auto"/>
        <w:left w:val="none" w:sz="0" w:space="0" w:color="auto"/>
        <w:bottom w:val="none" w:sz="0" w:space="0" w:color="auto"/>
        <w:right w:val="none" w:sz="0" w:space="0" w:color="auto"/>
      </w:divBdr>
    </w:div>
    <w:div w:id="344748670">
      <w:bodyDiv w:val="1"/>
      <w:marLeft w:val="0"/>
      <w:marRight w:val="0"/>
      <w:marTop w:val="0"/>
      <w:marBottom w:val="0"/>
      <w:divBdr>
        <w:top w:val="none" w:sz="0" w:space="0" w:color="auto"/>
        <w:left w:val="none" w:sz="0" w:space="0" w:color="auto"/>
        <w:bottom w:val="none" w:sz="0" w:space="0" w:color="auto"/>
        <w:right w:val="none" w:sz="0" w:space="0" w:color="auto"/>
      </w:divBdr>
    </w:div>
    <w:div w:id="392168482">
      <w:bodyDiv w:val="1"/>
      <w:marLeft w:val="0"/>
      <w:marRight w:val="0"/>
      <w:marTop w:val="0"/>
      <w:marBottom w:val="0"/>
      <w:divBdr>
        <w:top w:val="none" w:sz="0" w:space="0" w:color="auto"/>
        <w:left w:val="none" w:sz="0" w:space="0" w:color="auto"/>
        <w:bottom w:val="none" w:sz="0" w:space="0" w:color="auto"/>
        <w:right w:val="none" w:sz="0" w:space="0" w:color="auto"/>
      </w:divBdr>
    </w:div>
    <w:div w:id="417335076">
      <w:bodyDiv w:val="1"/>
      <w:marLeft w:val="0"/>
      <w:marRight w:val="0"/>
      <w:marTop w:val="0"/>
      <w:marBottom w:val="0"/>
      <w:divBdr>
        <w:top w:val="none" w:sz="0" w:space="0" w:color="auto"/>
        <w:left w:val="none" w:sz="0" w:space="0" w:color="auto"/>
        <w:bottom w:val="none" w:sz="0" w:space="0" w:color="auto"/>
        <w:right w:val="none" w:sz="0" w:space="0" w:color="auto"/>
      </w:divBdr>
    </w:div>
    <w:div w:id="418599780">
      <w:bodyDiv w:val="1"/>
      <w:marLeft w:val="0"/>
      <w:marRight w:val="0"/>
      <w:marTop w:val="0"/>
      <w:marBottom w:val="0"/>
      <w:divBdr>
        <w:top w:val="none" w:sz="0" w:space="0" w:color="auto"/>
        <w:left w:val="none" w:sz="0" w:space="0" w:color="auto"/>
        <w:bottom w:val="none" w:sz="0" w:space="0" w:color="auto"/>
        <w:right w:val="none" w:sz="0" w:space="0" w:color="auto"/>
      </w:divBdr>
    </w:div>
    <w:div w:id="466508809">
      <w:bodyDiv w:val="1"/>
      <w:marLeft w:val="0"/>
      <w:marRight w:val="0"/>
      <w:marTop w:val="0"/>
      <w:marBottom w:val="0"/>
      <w:divBdr>
        <w:top w:val="none" w:sz="0" w:space="0" w:color="auto"/>
        <w:left w:val="none" w:sz="0" w:space="0" w:color="auto"/>
        <w:bottom w:val="none" w:sz="0" w:space="0" w:color="auto"/>
        <w:right w:val="none" w:sz="0" w:space="0" w:color="auto"/>
      </w:divBdr>
    </w:div>
    <w:div w:id="477113971">
      <w:bodyDiv w:val="1"/>
      <w:marLeft w:val="0"/>
      <w:marRight w:val="0"/>
      <w:marTop w:val="0"/>
      <w:marBottom w:val="0"/>
      <w:divBdr>
        <w:top w:val="none" w:sz="0" w:space="0" w:color="auto"/>
        <w:left w:val="none" w:sz="0" w:space="0" w:color="auto"/>
        <w:bottom w:val="none" w:sz="0" w:space="0" w:color="auto"/>
        <w:right w:val="none" w:sz="0" w:space="0" w:color="auto"/>
      </w:divBdr>
    </w:div>
    <w:div w:id="520556271">
      <w:bodyDiv w:val="1"/>
      <w:marLeft w:val="0"/>
      <w:marRight w:val="0"/>
      <w:marTop w:val="0"/>
      <w:marBottom w:val="0"/>
      <w:divBdr>
        <w:top w:val="none" w:sz="0" w:space="0" w:color="auto"/>
        <w:left w:val="none" w:sz="0" w:space="0" w:color="auto"/>
        <w:bottom w:val="none" w:sz="0" w:space="0" w:color="auto"/>
        <w:right w:val="none" w:sz="0" w:space="0" w:color="auto"/>
      </w:divBdr>
    </w:div>
    <w:div w:id="560946175">
      <w:bodyDiv w:val="1"/>
      <w:marLeft w:val="0"/>
      <w:marRight w:val="0"/>
      <w:marTop w:val="0"/>
      <w:marBottom w:val="0"/>
      <w:divBdr>
        <w:top w:val="none" w:sz="0" w:space="0" w:color="auto"/>
        <w:left w:val="none" w:sz="0" w:space="0" w:color="auto"/>
        <w:bottom w:val="none" w:sz="0" w:space="0" w:color="auto"/>
        <w:right w:val="none" w:sz="0" w:space="0" w:color="auto"/>
      </w:divBdr>
    </w:div>
    <w:div w:id="565456436">
      <w:bodyDiv w:val="1"/>
      <w:marLeft w:val="0"/>
      <w:marRight w:val="0"/>
      <w:marTop w:val="0"/>
      <w:marBottom w:val="0"/>
      <w:divBdr>
        <w:top w:val="none" w:sz="0" w:space="0" w:color="auto"/>
        <w:left w:val="none" w:sz="0" w:space="0" w:color="auto"/>
        <w:bottom w:val="none" w:sz="0" w:space="0" w:color="auto"/>
        <w:right w:val="none" w:sz="0" w:space="0" w:color="auto"/>
      </w:divBdr>
    </w:div>
    <w:div w:id="570775374">
      <w:bodyDiv w:val="1"/>
      <w:marLeft w:val="0"/>
      <w:marRight w:val="0"/>
      <w:marTop w:val="0"/>
      <w:marBottom w:val="0"/>
      <w:divBdr>
        <w:top w:val="none" w:sz="0" w:space="0" w:color="auto"/>
        <w:left w:val="none" w:sz="0" w:space="0" w:color="auto"/>
        <w:bottom w:val="none" w:sz="0" w:space="0" w:color="auto"/>
        <w:right w:val="none" w:sz="0" w:space="0" w:color="auto"/>
      </w:divBdr>
    </w:div>
    <w:div w:id="586424936">
      <w:bodyDiv w:val="1"/>
      <w:marLeft w:val="0"/>
      <w:marRight w:val="0"/>
      <w:marTop w:val="0"/>
      <w:marBottom w:val="0"/>
      <w:divBdr>
        <w:top w:val="none" w:sz="0" w:space="0" w:color="auto"/>
        <w:left w:val="none" w:sz="0" w:space="0" w:color="auto"/>
        <w:bottom w:val="none" w:sz="0" w:space="0" w:color="auto"/>
        <w:right w:val="none" w:sz="0" w:space="0" w:color="auto"/>
      </w:divBdr>
    </w:div>
    <w:div w:id="613756269">
      <w:bodyDiv w:val="1"/>
      <w:marLeft w:val="0"/>
      <w:marRight w:val="0"/>
      <w:marTop w:val="0"/>
      <w:marBottom w:val="0"/>
      <w:divBdr>
        <w:top w:val="none" w:sz="0" w:space="0" w:color="auto"/>
        <w:left w:val="none" w:sz="0" w:space="0" w:color="auto"/>
        <w:bottom w:val="none" w:sz="0" w:space="0" w:color="auto"/>
        <w:right w:val="none" w:sz="0" w:space="0" w:color="auto"/>
      </w:divBdr>
    </w:div>
    <w:div w:id="614218345">
      <w:bodyDiv w:val="1"/>
      <w:marLeft w:val="0"/>
      <w:marRight w:val="0"/>
      <w:marTop w:val="0"/>
      <w:marBottom w:val="0"/>
      <w:divBdr>
        <w:top w:val="none" w:sz="0" w:space="0" w:color="auto"/>
        <w:left w:val="none" w:sz="0" w:space="0" w:color="auto"/>
        <w:bottom w:val="none" w:sz="0" w:space="0" w:color="auto"/>
        <w:right w:val="none" w:sz="0" w:space="0" w:color="auto"/>
      </w:divBdr>
    </w:div>
    <w:div w:id="622538738">
      <w:bodyDiv w:val="1"/>
      <w:marLeft w:val="0"/>
      <w:marRight w:val="0"/>
      <w:marTop w:val="0"/>
      <w:marBottom w:val="0"/>
      <w:divBdr>
        <w:top w:val="none" w:sz="0" w:space="0" w:color="auto"/>
        <w:left w:val="none" w:sz="0" w:space="0" w:color="auto"/>
        <w:bottom w:val="none" w:sz="0" w:space="0" w:color="auto"/>
        <w:right w:val="none" w:sz="0" w:space="0" w:color="auto"/>
      </w:divBdr>
    </w:div>
    <w:div w:id="685599078">
      <w:bodyDiv w:val="1"/>
      <w:marLeft w:val="0"/>
      <w:marRight w:val="0"/>
      <w:marTop w:val="0"/>
      <w:marBottom w:val="0"/>
      <w:divBdr>
        <w:top w:val="none" w:sz="0" w:space="0" w:color="auto"/>
        <w:left w:val="none" w:sz="0" w:space="0" w:color="auto"/>
        <w:bottom w:val="none" w:sz="0" w:space="0" w:color="auto"/>
        <w:right w:val="none" w:sz="0" w:space="0" w:color="auto"/>
      </w:divBdr>
    </w:div>
    <w:div w:id="715810440">
      <w:bodyDiv w:val="1"/>
      <w:marLeft w:val="0"/>
      <w:marRight w:val="0"/>
      <w:marTop w:val="0"/>
      <w:marBottom w:val="0"/>
      <w:divBdr>
        <w:top w:val="none" w:sz="0" w:space="0" w:color="auto"/>
        <w:left w:val="none" w:sz="0" w:space="0" w:color="auto"/>
        <w:bottom w:val="none" w:sz="0" w:space="0" w:color="auto"/>
        <w:right w:val="none" w:sz="0" w:space="0" w:color="auto"/>
      </w:divBdr>
    </w:div>
    <w:div w:id="727384900">
      <w:bodyDiv w:val="1"/>
      <w:marLeft w:val="0"/>
      <w:marRight w:val="0"/>
      <w:marTop w:val="0"/>
      <w:marBottom w:val="0"/>
      <w:divBdr>
        <w:top w:val="none" w:sz="0" w:space="0" w:color="auto"/>
        <w:left w:val="none" w:sz="0" w:space="0" w:color="auto"/>
        <w:bottom w:val="none" w:sz="0" w:space="0" w:color="auto"/>
        <w:right w:val="none" w:sz="0" w:space="0" w:color="auto"/>
      </w:divBdr>
    </w:div>
    <w:div w:id="739905862">
      <w:bodyDiv w:val="1"/>
      <w:marLeft w:val="0"/>
      <w:marRight w:val="0"/>
      <w:marTop w:val="0"/>
      <w:marBottom w:val="0"/>
      <w:divBdr>
        <w:top w:val="none" w:sz="0" w:space="0" w:color="auto"/>
        <w:left w:val="none" w:sz="0" w:space="0" w:color="auto"/>
        <w:bottom w:val="none" w:sz="0" w:space="0" w:color="auto"/>
        <w:right w:val="none" w:sz="0" w:space="0" w:color="auto"/>
      </w:divBdr>
    </w:div>
    <w:div w:id="768626320">
      <w:bodyDiv w:val="1"/>
      <w:marLeft w:val="0"/>
      <w:marRight w:val="0"/>
      <w:marTop w:val="0"/>
      <w:marBottom w:val="0"/>
      <w:divBdr>
        <w:top w:val="none" w:sz="0" w:space="0" w:color="auto"/>
        <w:left w:val="none" w:sz="0" w:space="0" w:color="auto"/>
        <w:bottom w:val="none" w:sz="0" w:space="0" w:color="auto"/>
        <w:right w:val="none" w:sz="0" w:space="0" w:color="auto"/>
      </w:divBdr>
    </w:div>
    <w:div w:id="798111416">
      <w:bodyDiv w:val="1"/>
      <w:marLeft w:val="0"/>
      <w:marRight w:val="0"/>
      <w:marTop w:val="0"/>
      <w:marBottom w:val="0"/>
      <w:divBdr>
        <w:top w:val="none" w:sz="0" w:space="0" w:color="auto"/>
        <w:left w:val="none" w:sz="0" w:space="0" w:color="auto"/>
        <w:bottom w:val="none" w:sz="0" w:space="0" w:color="auto"/>
        <w:right w:val="none" w:sz="0" w:space="0" w:color="auto"/>
      </w:divBdr>
    </w:div>
    <w:div w:id="811675287">
      <w:bodyDiv w:val="1"/>
      <w:marLeft w:val="0"/>
      <w:marRight w:val="0"/>
      <w:marTop w:val="0"/>
      <w:marBottom w:val="0"/>
      <w:divBdr>
        <w:top w:val="none" w:sz="0" w:space="0" w:color="auto"/>
        <w:left w:val="none" w:sz="0" w:space="0" w:color="auto"/>
        <w:bottom w:val="none" w:sz="0" w:space="0" w:color="auto"/>
        <w:right w:val="none" w:sz="0" w:space="0" w:color="auto"/>
      </w:divBdr>
    </w:div>
    <w:div w:id="819153772">
      <w:bodyDiv w:val="1"/>
      <w:marLeft w:val="0"/>
      <w:marRight w:val="0"/>
      <w:marTop w:val="0"/>
      <w:marBottom w:val="0"/>
      <w:divBdr>
        <w:top w:val="none" w:sz="0" w:space="0" w:color="auto"/>
        <w:left w:val="none" w:sz="0" w:space="0" w:color="auto"/>
        <w:bottom w:val="none" w:sz="0" w:space="0" w:color="auto"/>
        <w:right w:val="none" w:sz="0" w:space="0" w:color="auto"/>
      </w:divBdr>
    </w:div>
    <w:div w:id="845022002">
      <w:bodyDiv w:val="1"/>
      <w:marLeft w:val="0"/>
      <w:marRight w:val="0"/>
      <w:marTop w:val="0"/>
      <w:marBottom w:val="0"/>
      <w:divBdr>
        <w:top w:val="none" w:sz="0" w:space="0" w:color="auto"/>
        <w:left w:val="none" w:sz="0" w:space="0" w:color="auto"/>
        <w:bottom w:val="none" w:sz="0" w:space="0" w:color="auto"/>
        <w:right w:val="none" w:sz="0" w:space="0" w:color="auto"/>
      </w:divBdr>
    </w:div>
    <w:div w:id="902451735">
      <w:bodyDiv w:val="1"/>
      <w:marLeft w:val="0"/>
      <w:marRight w:val="0"/>
      <w:marTop w:val="0"/>
      <w:marBottom w:val="0"/>
      <w:divBdr>
        <w:top w:val="none" w:sz="0" w:space="0" w:color="auto"/>
        <w:left w:val="none" w:sz="0" w:space="0" w:color="auto"/>
        <w:bottom w:val="none" w:sz="0" w:space="0" w:color="auto"/>
        <w:right w:val="none" w:sz="0" w:space="0" w:color="auto"/>
      </w:divBdr>
    </w:div>
    <w:div w:id="923614541">
      <w:bodyDiv w:val="1"/>
      <w:marLeft w:val="0"/>
      <w:marRight w:val="0"/>
      <w:marTop w:val="0"/>
      <w:marBottom w:val="0"/>
      <w:divBdr>
        <w:top w:val="none" w:sz="0" w:space="0" w:color="auto"/>
        <w:left w:val="none" w:sz="0" w:space="0" w:color="auto"/>
        <w:bottom w:val="none" w:sz="0" w:space="0" w:color="auto"/>
        <w:right w:val="none" w:sz="0" w:space="0" w:color="auto"/>
      </w:divBdr>
    </w:div>
    <w:div w:id="934366440">
      <w:bodyDiv w:val="1"/>
      <w:marLeft w:val="0"/>
      <w:marRight w:val="0"/>
      <w:marTop w:val="0"/>
      <w:marBottom w:val="0"/>
      <w:divBdr>
        <w:top w:val="none" w:sz="0" w:space="0" w:color="auto"/>
        <w:left w:val="none" w:sz="0" w:space="0" w:color="auto"/>
        <w:bottom w:val="none" w:sz="0" w:space="0" w:color="auto"/>
        <w:right w:val="none" w:sz="0" w:space="0" w:color="auto"/>
      </w:divBdr>
    </w:div>
    <w:div w:id="969749018">
      <w:bodyDiv w:val="1"/>
      <w:marLeft w:val="0"/>
      <w:marRight w:val="0"/>
      <w:marTop w:val="0"/>
      <w:marBottom w:val="0"/>
      <w:divBdr>
        <w:top w:val="none" w:sz="0" w:space="0" w:color="auto"/>
        <w:left w:val="none" w:sz="0" w:space="0" w:color="auto"/>
        <w:bottom w:val="none" w:sz="0" w:space="0" w:color="auto"/>
        <w:right w:val="none" w:sz="0" w:space="0" w:color="auto"/>
      </w:divBdr>
    </w:div>
    <w:div w:id="983507648">
      <w:bodyDiv w:val="1"/>
      <w:marLeft w:val="0"/>
      <w:marRight w:val="0"/>
      <w:marTop w:val="0"/>
      <w:marBottom w:val="0"/>
      <w:divBdr>
        <w:top w:val="none" w:sz="0" w:space="0" w:color="auto"/>
        <w:left w:val="none" w:sz="0" w:space="0" w:color="auto"/>
        <w:bottom w:val="none" w:sz="0" w:space="0" w:color="auto"/>
        <w:right w:val="none" w:sz="0" w:space="0" w:color="auto"/>
      </w:divBdr>
    </w:div>
    <w:div w:id="1014502907">
      <w:bodyDiv w:val="1"/>
      <w:marLeft w:val="0"/>
      <w:marRight w:val="0"/>
      <w:marTop w:val="0"/>
      <w:marBottom w:val="0"/>
      <w:divBdr>
        <w:top w:val="none" w:sz="0" w:space="0" w:color="auto"/>
        <w:left w:val="none" w:sz="0" w:space="0" w:color="auto"/>
        <w:bottom w:val="none" w:sz="0" w:space="0" w:color="auto"/>
        <w:right w:val="none" w:sz="0" w:space="0" w:color="auto"/>
      </w:divBdr>
    </w:div>
    <w:div w:id="1025062840">
      <w:bodyDiv w:val="1"/>
      <w:marLeft w:val="0"/>
      <w:marRight w:val="0"/>
      <w:marTop w:val="0"/>
      <w:marBottom w:val="0"/>
      <w:divBdr>
        <w:top w:val="none" w:sz="0" w:space="0" w:color="auto"/>
        <w:left w:val="none" w:sz="0" w:space="0" w:color="auto"/>
        <w:bottom w:val="none" w:sz="0" w:space="0" w:color="auto"/>
        <w:right w:val="none" w:sz="0" w:space="0" w:color="auto"/>
      </w:divBdr>
    </w:div>
    <w:div w:id="1026755882">
      <w:bodyDiv w:val="1"/>
      <w:marLeft w:val="0"/>
      <w:marRight w:val="0"/>
      <w:marTop w:val="0"/>
      <w:marBottom w:val="0"/>
      <w:divBdr>
        <w:top w:val="none" w:sz="0" w:space="0" w:color="auto"/>
        <w:left w:val="none" w:sz="0" w:space="0" w:color="auto"/>
        <w:bottom w:val="none" w:sz="0" w:space="0" w:color="auto"/>
        <w:right w:val="none" w:sz="0" w:space="0" w:color="auto"/>
      </w:divBdr>
    </w:div>
    <w:div w:id="1096441617">
      <w:bodyDiv w:val="1"/>
      <w:marLeft w:val="0"/>
      <w:marRight w:val="0"/>
      <w:marTop w:val="0"/>
      <w:marBottom w:val="0"/>
      <w:divBdr>
        <w:top w:val="none" w:sz="0" w:space="0" w:color="auto"/>
        <w:left w:val="none" w:sz="0" w:space="0" w:color="auto"/>
        <w:bottom w:val="none" w:sz="0" w:space="0" w:color="auto"/>
        <w:right w:val="none" w:sz="0" w:space="0" w:color="auto"/>
      </w:divBdr>
    </w:div>
    <w:div w:id="1130173396">
      <w:bodyDiv w:val="1"/>
      <w:marLeft w:val="0"/>
      <w:marRight w:val="0"/>
      <w:marTop w:val="0"/>
      <w:marBottom w:val="0"/>
      <w:divBdr>
        <w:top w:val="none" w:sz="0" w:space="0" w:color="auto"/>
        <w:left w:val="none" w:sz="0" w:space="0" w:color="auto"/>
        <w:bottom w:val="none" w:sz="0" w:space="0" w:color="auto"/>
        <w:right w:val="none" w:sz="0" w:space="0" w:color="auto"/>
      </w:divBdr>
    </w:div>
    <w:div w:id="1137181859">
      <w:bodyDiv w:val="1"/>
      <w:marLeft w:val="0"/>
      <w:marRight w:val="0"/>
      <w:marTop w:val="0"/>
      <w:marBottom w:val="0"/>
      <w:divBdr>
        <w:top w:val="none" w:sz="0" w:space="0" w:color="auto"/>
        <w:left w:val="none" w:sz="0" w:space="0" w:color="auto"/>
        <w:bottom w:val="none" w:sz="0" w:space="0" w:color="auto"/>
        <w:right w:val="none" w:sz="0" w:space="0" w:color="auto"/>
      </w:divBdr>
    </w:div>
    <w:div w:id="1161000618">
      <w:bodyDiv w:val="1"/>
      <w:marLeft w:val="0"/>
      <w:marRight w:val="0"/>
      <w:marTop w:val="0"/>
      <w:marBottom w:val="0"/>
      <w:divBdr>
        <w:top w:val="none" w:sz="0" w:space="0" w:color="auto"/>
        <w:left w:val="none" w:sz="0" w:space="0" w:color="auto"/>
        <w:bottom w:val="none" w:sz="0" w:space="0" w:color="auto"/>
        <w:right w:val="none" w:sz="0" w:space="0" w:color="auto"/>
      </w:divBdr>
    </w:div>
    <w:div w:id="1209417211">
      <w:bodyDiv w:val="1"/>
      <w:marLeft w:val="0"/>
      <w:marRight w:val="0"/>
      <w:marTop w:val="0"/>
      <w:marBottom w:val="0"/>
      <w:divBdr>
        <w:top w:val="none" w:sz="0" w:space="0" w:color="auto"/>
        <w:left w:val="none" w:sz="0" w:space="0" w:color="auto"/>
        <w:bottom w:val="none" w:sz="0" w:space="0" w:color="auto"/>
        <w:right w:val="none" w:sz="0" w:space="0" w:color="auto"/>
      </w:divBdr>
    </w:div>
    <w:div w:id="1238130998">
      <w:bodyDiv w:val="1"/>
      <w:marLeft w:val="0"/>
      <w:marRight w:val="0"/>
      <w:marTop w:val="0"/>
      <w:marBottom w:val="0"/>
      <w:divBdr>
        <w:top w:val="none" w:sz="0" w:space="0" w:color="auto"/>
        <w:left w:val="none" w:sz="0" w:space="0" w:color="auto"/>
        <w:bottom w:val="none" w:sz="0" w:space="0" w:color="auto"/>
        <w:right w:val="none" w:sz="0" w:space="0" w:color="auto"/>
      </w:divBdr>
    </w:div>
    <w:div w:id="1254168443">
      <w:bodyDiv w:val="1"/>
      <w:marLeft w:val="0"/>
      <w:marRight w:val="0"/>
      <w:marTop w:val="0"/>
      <w:marBottom w:val="0"/>
      <w:divBdr>
        <w:top w:val="none" w:sz="0" w:space="0" w:color="auto"/>
        <w:left w:val="none" w:sz="0" w:space="0" w:color="auto"/>
        <w:bottom w:val="none" w:sz="0" w:space="0" w:color="auto"/>
        <w:right w:val="none" w:sz="0" w:space="0" w:color="auto"/>
      </w:divBdr>
    </w:div>
    <w:div w:id="1306200959">
      <w:bodyDiv w:val="1"/>
      <w:marLeft w:val="0"/>
      <w:marRight w:val="0"/>
      <w:marTop w:val="0"/>
      <w:marBottom w:val="0"/>
      <w:divBdr>
        <w:top w:val="none" w:sz="0" w:space="0" w:color="auto"/>
        <w:left w:val="none" w:sz="0" w:space="0" w:color="auto"/>
        <w:bottom w:val="none" w:sz="0" w:space="0" w:color="auto"/>
        <w:right w:val="none" w:sz="0" w:space="0" w:color="auto"/>
      </w:divBdr>
    </w:div>
    <w:div w:id="1323894505">
      <w:bodyDiv w:val="1"/>
      <w:marLeft w:val="0"/>
      <w:marRight w:val="0"/>
      <w:marTop w:val="0"/>
      <w:marBottom w:val="0"/>
      <w:divBdr>
        <w:top w:val="none" w:sz="0" w:space="0" w:color="auto"/>
        <w:left w:val="none" w:sz="0" w:space="0" w:color="auto"/>
        <w:bottom w:val="none" w:sz="0" w:space="0" w:color="auto"/>
        <w:right w:val="none" w:sz="0" w:space="0" w:color="auto"/>
      </w:divBdr>
    </w:div>
    <w:div w:id="1324502861">
      <w:bodyDiv w:val="1"/>
      <w:marLeft w:val="0"/>
      <w:marRight w:val="0"/>
      <w:marTop w:val="0"/>
      <w:marBottom w:val="0"/>
      <w:divBdr>
        <w:top w:val="none" w:sz="0" w:space="0" w:color="auto"/>
        <w:left w:val="none" w:sz="0" w:space="0" w:color="auto"/>
        <w:bottom w:val="none" w:sz="0" w:space="0" w:color="auto"/>
        <w:right w:val="none" w:sz="0" w:space="0" w:color="auto"/>
      </w:divBdr>
    </w:div>
    <w:div w:id="1337808114">
      <w:bodyDiv w:val="1"/>
      <w:marLeft w:val="0"/>
      <w:marRight w:val="0"/>
      <w:marTop w:val="0"/>
      <w:marBottom w:val="0"/>
      <w:divBdr>
        <w:top w:val="none" w:sz="0" w:space="0" w:color="auto"/>
        <w:left w:val="none" w:sz="0" w:space="0" w:color="auto"/>
        <w:bottom w:val="none" w:sz="0" w:space="0" w:color="auto"/>
        <w:right w:val="none" w:sz="0" w:space="0" w:color="auto"/>
      </w:divBdr>
    </w:div>
    <w:div w:id="1342124837">
      <w:bodyDiv w:val="1"/>
      <w:marLeft w:val="0"/>
      <w:marRight w:val="0"/>
      <w:marTop w:val="0"/>
      <w:marBottom w:val="0"/>
      <w:divBdr>
        <w:top w:val="none" w:sz="0" w:space="0" w:color="auto"/>
        <w:left w:val="none" w:sz="0" w:space="0" w:color="auto"/>
        <w:bottom w:val="none" w:sz="0" w:space="0" w:color="auto"/>
        <w:right w:val="none" w:sz="0" w:space="0" w:color="auto"/>
      </w:divBdr>
    </w:div>
    <w:div w:id="1362171072">
      <w:bodyDiv w:val="1"/>
      <w:marLeft w:val="0"/>
      <w:marRight w:val="0"/>
      <w:marTop w:val="0"/>
      <w:marBottom w:val="0"/>
      <w:divBdr>
        <w:top w:val="none" w:sz="0" w:space="0" w:color="auto"/>
        <w:left w:val="none" w:sz="0" w:space="0" w:color="auto"/>
        <w:bottom w:val="none" w:sz="0" w:space="0" w:color="auto"/>
        <w:right w:val="none" w:sz="0" w:space="0" w:color="auto"/>
      </w:divBdr>
    </w:div>
    <w:div w:id="1437870066">
      <w:bodyDiv w:val="1"/>
      <w:marLeft w:val="0"/>
      <w:marRight w:val="0"/>
      <w:marTop w:val="0"/>
      <w:marBottom w:val="0"/>
      <w:divBdr>
        <w:top w:val="none" w:sz="0" w:space="0" w:color="auto"/>
        <w:left w:val="none" w:sz="0" w:space="0" w:color="auto"/>
        <w:bottom w:val="none" w:sz="0" w:space="0" w:color="auto"/>
        <w:right w:val="none" w:sz="0" w:space="0" w:color="auto"/>
      </w:divBdr>
    </w:div>
    <w:div w:id="1444500459">
      <w:bodyDiv w:val="1"/>
      <w:marLeft w:val="0"/>
      <w:marRight w:val="0"/>
      <w:marTop w:val="0"/>
      <w:marBottom w:val="0"/>
      <w:divBdr>
        <w:top w:val="none" w:sz="0" w:space="0" w:color="auto"/>
        <w:left w:val="none" w:sz="0" w:space="0" w:color="auto"/>
        <w:bottom w:val="none" w:sz="0" w:space="0" w:color="auto"/>
        <w:right w:val="none" w:sz="0" w:space="0" w:color="auto"/>
      </w:divBdr>
    </w:div>
    <w:div w:id="1460148171">
      <w:bodyDiv w:val="1"/>
      <w:marLeft w:val="0"/>
      <w:marRight w:val="0"/>
      <w:marTop w:val="0"/>
      <w:marBottom w:val="0"/>
      <w:divBdr>
        <w:top w:val="none" w:sz="0" w:space="0" w:color="auto"/>
        <w:left w:val="none" w:sz="0" w:space="0" w:color="auto"/>
        <w:bottom w:val="none" w:sz="0" w:space="0" w:color="auto"/>
        <w:right w:val="none" w:sz="0" w:space="0" w:color="auto"/>
      </w:divBdr>
    </w:div>
    <w:div w:id="1482499805">
      <w:bodyDiv w:val="1"/>
      <w:marLeft w:val="0"/>
      <w:marRight w:val="0"/>
      <w:marTop w:val="0"/>
      <w:marBottom w:val="0"/>
      <w:divBdr>
        <w:top w:val="none" w:sz="0" w:space="0" w:color="auto"/>
        <w:left w:val="none" w:sz="0" w:space="0" w:color="auto"/>
        <w:bottom w:val="none" w:sz="0" w:space="0" w:color="auto"/>
        <w:right w:val="none" w:sz="0" w:space="0" w:color="auto"/>
      </w:divBdr>
    </w:div>
    <w:div w:id="1488590167">
      <w:bodyDiv w:val="1"/>
      <w:marLeft w:val="0"/>
      <w:marRight w:val="0"/>
      <w:marTop w:val="0"/>
      <w:marBottom w:val="0"/>
      <w:divBdr>
        <w:top w:val="none" w:sz="0" w:space="0" w:color="auto"/>
        <w:left w:val="none" w:sz="0" w:space="0" w:color="auto"/>
        <w:bottom w:val="none" w:sz="0" w:space="0" w:color="auto"/>
        <w:right w:val="none" w:sz="0" w:space="0" w:color="auto"/>
      </w:divBdr>
    </w:div>
    <w:div w:id="1496649730">
      <w:bodyDiv w:val="1"/>
      <w:marLeft w:val="0"/>
      <w:marRight w:val="0"/>
      <w:marTop w:val="0"/>
      <w:marBottom w:val="0"/>
      <w:divBdr>
        <w:top w:val="none" w:sz="0" w:space="0" w:color="auto"/>
        <w:left w:val="none" w:sz="0" w:space="0" w:color="auto"/>
        <w:bottom w:val="none" w:sz="0" w:space="0" w:color="auto"/>
        <w:right w:val="none" w:sz="0" w:space="0" w:color="auto"/>
      </w:divBdr>
    </w:div>
    <w:div w:id="1500582262">
      <w:bodyDiv w:val="1"/>
      <w:marLeft w:val="0"/>
      <w:marRight w:val="0"/>
      <w:marTop w:val="0"/>
      <w:marBottom w:val="0"/>
      <w:divBdr>
        <w:top w:val="none" w:sz="0" w:space="0" w:color="auto"/>
        <w:left w:val="none" w:sz="0" w:space="0" w:color="auto"/>
        <w:bottom w:val="none" w:sz="0" w:space="0" w:color="auto"/>
        <w:right w:val="none" w:sz="0" w:space="0" w:color="auto"/>
      </w:divBdr>
    </w:div>
    <w:div w:id="1523474300">
      <w:bodyDiv w:val="1"/>
      <w:marLeft w:val="0"/>
      <w:marRight w:val="0"/>
      <w:marTop w:val="0"/>
      <w:marBottom w:val="0"/>
      <w:divBdr>
        <w:top w:val="none" w:sz="0" w:space="0" w:color="auto"/>
        <w:left w:val="none" w:sz="0" w:space="0" w:color="auto"/>
        <w:bottom w:val="none" w:sz="0" w:space="0" w:color="auto"/>
        <w:right w:val="none" w:sz="0" w:space="0" w:color="auto"/>
      </w:divBdr>
    </w:div>
    <w:div w:id="1544173877">
      <w:bodyDiv w:val="1"/>
      <w:marLeft w:val="0"/>
      <w:marRight w:val="0"/>
      <w:marTop w:val="0"/>
      <w:marBottom w:val="0"/>
      <w:divBdr>
        <w:top w:val="none" w:sz="0" w:space="0" w:color="auto"/>
        <w:left w:val="none" w:sz="0" w:space="0" w:color="auto"/>
        <w:bottom w:val="none" w:sz="0" w:space="0" w:color="auto"/>
        <w:right w:val="none" w:sz="0" w:space="0" w:color="auto"/>
      </w:divBdr>
    </w:div>
    <w:div w:id="1567182684">
      <w:bodyDiv w:val="1"/>
      <w:marLeft w:val="0"/>
      <w:marRight w:val="0"/>
      <w:marTop w:val="0"/>
      <w:marBottom w:val="0"/>
      <w:divBdr>
        <w:top w:val="none" w:sz="0" w:space="0" w:color="auto"/>
        <w:left w:val="none" w:sz="0" w:space="0" w:color="auto"/>
        <w:bottom w:val="none" w:sz="0" w:space="0" w:color="auto"/>
        <w:right w:val="none" w:sz="0" w:space="0" w:color="auto"/>
      </w:divBdr>
    </w:div>
    <w:div w:id="1589848163">
      <w:bodyDiv w:val="1"/>
      <w:marLeft w:val="0"/>
      <w:marRight w:val="0"/>
      <w:marTop w:val="0"/>
      <w:marBottom w:val="0"/>
      <w:divBdr>
        <w:top w:val="none" w:sz="0" w:space="0" w:color="auto"/>
        <w:left w:val="none" w:sz="0" w:space="0" w:color="auto"/>
        <w:bottom w:val="none" w:sz="0" w:space="0" w:color="auto"/>
        <w:right w:val="none" w:sz="0" w:space="0" w:color="auto"/>
      </w:divBdr>
    </w:div>
    <w:div w:id="1619532127">
      <w:bodyDiv w:val="1"/>
      <w:marLeft w:val="0"/>
      <w:marRight w:val="0"/>
      <w:marTop w:val="0"/>
      <w:marBottom w:val="0"/>
      <w:divBdr>
        <w:top w:val="none" w:sz="0" w:space="0" w:color="auto"/>
        <w:left w:val="none" w:sz="0" w:space="0" w:color="auto"/>
        <w:bottom w:val="none" w:sz="0" w:space="0" w:color="auto"/>
        <w:right w:val="none" w:sz="0" w:space="0" w:color="auto"/>
      </w:divBdr>
    </w:div>
    <w:div w:id="1631325965">
      <w:bodyDiv w:val="1"/>
      <w:marLeft w:val="0"/>
      <w:marRight w:val="0"/>
      <w:marTop w:val="0"/>
      <w:marBottom w:val="0"/>
      <w:divBdr>
        <w:top w:val="none" w:sz="0" w:space="0" w:color="auto"/>
        <w:left w:val="none" w:sz="0" w:space="0" w:color="auto"/>
        <w:bottom w:val="none" w:sz="0" w:space="0" w:color="auto"/>
        <w:right w:val="none" w:sz="0" w:space="0" w:color="auto"/>
      </w:divBdr>
    </w:div>
    <w:div w:id="1632443649">
      <w:bodyDiv w:val="1"/>
      <w:marLeft w:val="0"/>
      <w:marRight w:val="0"/>
      <w:marTop w:val="0"/>
      <w:marBottom w:val="0"/>
      <w:divBdr>
        <w:top w:val="none" w:sz="0" w:space="0" w:color="auto"/>
        <w:left w:val="none" w:sz="0" w:space="0" w:color="auto"/>
        <w:bottom w:val="none" w:sz="0" w:space="0" w:color="auto"/>
        <w:right w:val="none" w:sz="0" w:space="0" w:color="auto"/>
      </w:divBdr>
    </w:div>
    <w:div w:id="1681227598">
      <w:bodyDiv w:val="1"/>
      <w:marLeft w:val="0"/>
      <w:marRight w:val="0"/>
      <w:marTop w:val="0"/>
      <w:marBottom w:val="0"/>
      <w:divBdr>
        <w:top w:val="none" w:sz="0" w:space="0" w:color="auto"/>
        <w:left w:val="none" w:sz="0" w:space="0" w:color="auto"/>
        <w:bottom w:val="none" w:sz="0" w:space="0" w:color="auto"/>
        <w:right w:val="none" w:sz="0" w:space="0" w:color="auto"/>
      </w:divBdr>
    </w:div>
    <w:div w:id="1687125538">
      <w:bodyDiv w:val="1"/>
      <w:marLeft w:val="0"/>
      <w:marRight w:val="0"/>
      <w:marTop w:val="0"/>
      <w:marBottom w:val="0"/>
      <w:divBdr>
        <w:top w:val="none" w:sz="0" w:space="0" w:color="auto"/>
        <w:left w:val="none" w:sz="0" w:space="0" w:color="auto"/>
        <w:bottom w:val="none" w:sz="0" w:space="0" w:color="auto"/>
        <w:right w:val="none" w:sz="0" w:space="0" w:color="auto"/>
      </w:divBdr>
    </w:div>
    <w:div w:id="1717504005">
      <w:bodyDiv w:val="1"/>
      <w:marLeft w:val="0"/>
      <w:marRight w:val="0"/>
      <w:marTop w:val="0"/>
      <w:marBottom w:val="0"/>
      <w:divBdr>
        <w:top w:val="none" w:sz="0" w:space="0" w:color="auto"/>
        <w:left w:val="none" w:sz="0" w:space="0" w:color="auto"/>
        <w:bottom w:val="none" w:sz="0" w:space="0" w:color="auto"/>
        <w:right w:val="none" w:sz="0" w:space="0" w:color="auto"/>
      </w:divBdr>
    </w:div>
    <w:div w:id="1753158984">
      <w:bodyDiv w:val="1"/>
      <w:marLeft w:val="0"/>
      <w:marRight w:val="0"/>
      <w:marTop w:val="0"/>
      <w:marBottom w:val="0"/>
      <w:divBdr>
        <w:top w:val="none" w:sz="0" w:space="0" w:color="auto"/>
        <w:left w:val="none" w:sz="0" w:space="0" w:color="auto"/>
        <w:bottom w:val="none" w:sz="0" w:space="0" w:color="auto"/>
        <w:right w:val="none" w:sz="0" w:space="0" w:color="auto"/>
      </w:divBdr>
    </w:div>
    <w:div w:id="1789854396">
      <w:bodyDiv w:val="1"/>
      <w:marLeft w:val="0"/>
      <w:marRight w:val="0"/>
      <w:marTop w:val="0"/>
      <w:marBottom w:val="0"/>
      <w:divBdr>
        <w:top w:val="none" w:sz="0" w:space="0" w:color="auto"/>
        <w:left w:val="none" w:sz="0" w:space="0" w:color="auto"/>
        <w:bottom w:val="none" w:sz="0" w:space="0" w:color="auto"/>
        <w:right w:val="none" w:sz="0" w:space="0" w:color="auto"/>
      </w:divBdr>
    </w:div>
    <w:div w:id="1799643905">
      <w:bodyDiv w:val="1"/>
      <w:marLeft w:val="0"/>
      <w:marRight w:val="0"/>
      <w:marTop w:val="0"/>
      <w:marBottom w:val="0"/>
      <w:divBdr>
        <w:top w:val="none" w:sz="0" w:space="0" w:color="auto"/>
        <w:left w:val="none" w:sz="0" w:space="0" w:color="auto"/>
        <w:bottom w:val="none" w:sz="0" w:space="0" w:color="auto"/>
        <w:right w:val="none" w:sz="0" w:space="0" w:color="auto"/>
      </w:divBdr>
    </w:div>
    <w:div w:id="1831172635">
      <w:bodyDiv w:val="1"/>
      <w:marLeft w:val="0"/>
      <w:marRight w:val="0"/>
      <w:marTop w:val="0"/>
      <w:marBottom w:val="0"/>
      <w:divBdr>
        <w:top w:val="none" w:sz="0" w:space="0" w:color="auto"/>
        <w:left w:val="none" w:sz="0" w:space="0" w:color="auto"/>
        <w:bottom w:val="none" w:sz="0" w:space="0" w:color="auto"/>
        <w:right w:val="none" w:sz="0" w:space="0" w:color="auto"/>
      </w:divBdr>
    </w:div>
    <w:div w:id="1834761320">
      <w:bodyDiv w:val="1"/>
      <w:marLeft w:val="0"/>
      <w:marRight w:val="0"/>
      <w:marTop w:val="0"/>
      <w:marBottom w:val="0"/>
      <w:divBdr>
        <w:top w:val="none" w:sz="0" w:space="0" w:color="auto"/>
        <w:left w:val="none" w:sz="0" w:space="0" w:color="auto"/>
        <w:bottom w:val="none" w:sz="0" w:space="0" w:color="auto"/>
        <w:right w:val="none" w:sz="0" w:space="0" w:color="auto"/>
      </w:divBdr>
    </w:div>
    <w:div w:id="1853062344">
      <w:bodyDiv w:val="1"/>
      <w:marLeft w:val="0"/>
      <w:marRight w:val="0"/>
      <w:marTop w:val="0"/>
      <w:marBottom w:val="0"/>
      <w:divBdr>
        <w:top w:val="none" w:sz="0" w:space="0" w:color="auto"/>
        <w:left w:val="none" w:sz="0" w:space="0" w:color="auto"/>
        <w:bottom w:val="none" w:sz="0" w:space="0" w:color="auto"/>
        <w:right w:val="none" w:sz="0" w:space="0" w:color="auto"/>
      </w:divBdr>
    </w:div>
    <w:div w:id="1860046299">
      <w:bodyDiv w:val="1"/>
      <w:marLeft w:val="0"/>
      <w:marRight w:val="0"/>
      <w:marTop w:val="0"/>
      <w:marBottom w:val="0"/>
      <w:divBdr>
        <w:top w:val="none" w:sz="0" w:space="0" w:color="auto"/>
        <w:left w:val="none" w:sz="0" w:space="0" w:color="auto"/>
        <w:bottom w:val="none" w:sz="0" w:space="0" w:color="auto"/>
        <w:right w:val="none" w:sz="0" w:space="0" w:color="auto"/>
      </w:divBdr>
    </w:div>
    <w:div w:id="1895659739">
      <w:bodyDiv w:val="1"/>
      <w:marLeft w:val="0"/>
      <w:marRight w:val="0"/>
      <w:marTop w:val="0"/>
      <w:marBottom w:val="0"/>
      <w:divBdr>
        <w:top w:val="none" w:sz="0" w:space="0" w:color="auto"/>
        <w:left w:val="none" w:sz="0" w:space="0" w:color="auto"/>
        <w:bottom w:val="none" w:sz="0" w:space="0" w:color="auto"/>
        <w:right w:val="none" w:sz="0" w:space="0" w:color="auto"/>
      </w:divBdr>
    </w:div>
    <w:div w:id="1900627964">
      <w:bodyDiv w:val="1"/>
      <w:marLeft w:val="0"/>
      <w:marRight w:val="0"/>
      <w:marTop w:val="0"/>
      <w:marBottom w:val="0"/>
      <w:divBdr>
        <w:top w:val="none" w:sz="0" w:space="0" w:color="auto"/>
        <w:left w:val="none" w:sz="0" w:space="0" w:color="auto"/>
        <w:bottom w:val="none" w:sz="0" w:space="0" w:color="auto"/>
        <w:right w:val="none" w:sz="0" w:space="0" w:color="auto"/>
      </w:divBdr>
    </w:div>
    <w:div w:id="1951623301">
      <w:bodyDiv w:val="1"/>
      <w:marLeft w:val="0"/>
      <w:marRight w:val="0"/>
      <w:marTop w:val="0"/>
      <w:marBottom w:val="0"/>
      <w:divBdr>
        <w:top w:val="none" w:sz="0" w:space="0" w:color="auto"/>
        <w:left w:val="none" w:sz="0" w:space="0" w:color="auto"/>
        <w:bottom w:val="none" w:sz="0" w:space="0" w:color="auto"/>
        <w:right w:val="none" w:sz="0" w:space="0" w:color="auto"/>
      </w:divBdr>
    </w:div>
    <w:div w:id="1972201790">
      <w:bodyDiv w:val="1"/>
      <w:marLeft w:val="0"/>
      <w:marRight w:val="0"/>
      <w:marTop w:val="0"/>
      <w:marBottom w:val="0"/>
      <w:divBdr>
        <w:top w:val="none" w:sz="0" w:space="0" w:color="auto"/>
        <w:left w:val="none" w:sz="0" w:space="0" w:color="auto"/>
        <w:bottom w:val="none" w:sz="0" w:space="0" w:color="auto"/>
        <w:right w:val="none" w:sz="0" w:space="0" w:color="auto"/>
      </w:divBdr>
    </w:div>
    <w:div w:id="1999335059">
      <w:bodyDiv w:val="1"/>
      <w:marLeft w:val="0"/>
      <w:marRight w:val="0"/>
      <w:marTop w:val="0"/>
      <w:marBottom w:val="0"/>
      <w:divBdr>
        <w:top w:val="none" w:sz="0" w:space="0" w:color="auto"/>
        <w:left w:val="none" w:sz="0" w:space="0" w:color="auto"/>
        <w:bottom w:val="none" w:sz="0" w:space="0" w:color="auto"/>
        <w:right w:val="none" w:sz="0" w:space="0" w:color="auto"/>
      </w:divBdr>
    </w:div>
    <w:div w:id="2009745655">
      <w:bodyDiv w:val="1"/>
      <w:marLeft w:val="0"/>
      <w:marRight w:val="0"/>
      <w:marTop w:val="0"/>
      <w:marBottom w:val="0"/>
      <w:divBdr>
        <w:top w:val="none" w:sz="0" w:space="0" w:color="auto"/>
        <w:left w:val="none" w:sz="0" w:space="0" w:color="auto"/>
        <w:bottom w:val="none" w:sz="0" w:space="0" w:color="auto"/>
        <w:right w:val="none" w:sz="0" w:space="0" w:color="auto"/>
      </w:divBdr>
    </w:div>
    <w:div w:id="2014913284">
      <w:bodyDiv w:val="1"/>
      <w:marLeft w:val="0"/>
      <w:marRight w:val="0"/>
      <w:marTop w:val="0"/>
      <w:marBottom w:val="0"/>
      <w:divBdr>
        <w:top w:val="none" w:sz="0" w:space="0" w:color="auto"/>
        <w:left w:val="none" w:sz="0" w:space="0" w:color="auto"/>
        <w:bottom w:val="none" w:sz="0" w:space="0" w:color="auto"/>
        <w:right w:val="none" w:sz="0" w:space="0" w:color="auto"/>
      </w:divBdr>
    </w:div>
    <w:div w:id="2051152043">
      <w:bodyDiv w:val="1"/>
      <w:marLeft w:val="0"/>
      <w:marRight w:val="0"/>
      <w:marTop w:val="0"/>
      <w:marBottom w:val="0"/>
      <w:divBdr>
        <w:top w:val="none" w:sz="0" w:space="0" w:color="auto"/>
        <w:left w:val="none" w:sz="0" w:space="0" w:color="auto"/>
        <w:bottom w:val="none" w:sz="0" w:space="0" w:color="auto"/>
        <w:right w:val="none" w:sz="0" w:space="0" w:color="auto"/>
      </w:divBdr>
    </w:div>
    <w:div w:id="2117215822">
      <w:bodyDiv w:val="1"/>
      <w:marLeft w:val="0"/>
      <w:marRight w:val="0"/>
      <w:marTop w:val="0"/>
      <w:marBottom w:val="0"/>
      <w:divBdr>
        <w:top w:val="none" w:sz="0" w:space="0" w:color="auto"/>
        <w:left w:val="none" w:sz="0" w:space="0" w:color="auto"/>
        <w:bottom w:val="none" w:sz="0" w:space="0" w:color="auto"/>
        <w:right w:val="none" w:sz="0" w:space="0" w:color="auto"/>
      </w:divBdr>
    </w:div>
    <w:div w:id="2140024659">
      <w:bodyDiv w:val="1"/>
      <w:marLeft w:val="0"/>
      <w:marRight w:val="0"/>
      <w:marTop w:val="0"/>
      <w:marBottom w:val="0"/>
      <w:divBdr>
        <w:top w:val="none" w:sz="0" w:space="0" w:color="auto"/>
        <w:left w:val="none" w:sz="0" w:space="0" w:color="auto"/>
        <w:bottom w:val="none" w:sz="0" w:space="0" w:color="auto"/>
        <w:right w:val="none" w:sz="0" w:space="0" w:color="auto"/>
      </w:divBdr>
    </w:div>
    <w:div w:id="2140874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pub.iaea.org/MTCD/Publications/PDF/PUB1805_web.pdf" TargetMode="External"/><Relationship Id="rId3" Type="http://schemas.openxmlformats.org/officeDocument/2006/relationships/styles" Target="styles.xml"/><Relationship Id="rId21" Type="http://schemas.openxmlformats.org/officeDocument/2006/relationships/hyperlink" Target="https://view.officeapps.live.com/op/view.aspx?src=https%3A%2F%2Fwww.onr.org.uk%2Fmedia%2Fi4mjdehc%2Fonr-rio-proc-002.docx&amp;wdOrigin=BROWSELINK"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iaea.org/publications/10353/objective-and-essential-elements-of-a-states-nuclear-security-regime" TargetMode="External"/><Relationship Id="rId2" Type="http://schemas.openxmlformats.org/officeDocument/2006/relationships/numbering" Target="numbering.xml"/><Relationship Id="rId16" Type="http://schemas.openxmlformats.org/officeDocument/2006/relationships/hyperlink" Target="https://gbr01.safelinks.protection.outlook.com/?url=https%3A%2F%2Fwww.iaea.org%2Fpublications%2Fdocuments%2Fconventions%2Fconvention-physical-protection-nuclear-material-and-its-amendment&amp;data=05%7C02%7CDeborah.King%40onr.gov.uk%7C39b6c5d60df8402df33f08dd5a723cdf%7C742775df807748d681d01e82a1f52cb8%7C0%7C0%7C638766168897331755%7CUnknown%7CTWFpbGZsb3d8eyJFbXB0eU1hcGkiOnRydWUsIlYiOiIwLjAuMDAwMCIsIlAiOiJXaW4zMiIsIkFOIjoiTWFpbCIsIldUIjoyfQ%3D%3D%7C0%7C%7C%7C&amp;sdata=0OPnsiALbgnabeAttIGTDmmf9UAGuMKull8JpTJaDNU%3D&amp;reserved=0" TargetMode="External"/><Relationship Id="rId20" Type="http://schemas.openxmlformats.org/officeDocument/2006/relationships/hyperlink" Target="https://gbr01.safelinks.protection.outlook.com/?url=https%3A%2F%2Fwww.onr.org.uk%2Fpublications%2Fcorporate-publications%2Fother-corporate-publications%2Fpolicy%2Fclassification-policy-for-the-civil-nuclear-industry%2F&amp;data=05%7C02%7CDeborah.King%40onr.gov.uk%7C39b6c5d60df8402df33f08dd5a723cdf%7C742775df807748d681d01e82a1f52cb8%7C0%7C0%7C638766168897365958%7CUnknown%7CTWFpbGZsb3d8eyJFbXB0eU1hcGkiOnRydWUsIlYiOiIwLjAuMDAwMCIsIlAiOiJXaW4zMiIsIkFOIjoiTWFpbCIsIldUIjoyfQ%3D%3D%7C0%7C%7C%7C&amp;sdata=GDKuDdEANkn9gQ8hqXq4TIMCT0oxsZVBpdORJlgpWTc%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slation.gov.uk/uksi/2003/403/contents/made" TargetMode="Externa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gbr01.safelinks.protection.outlook.com/?url=https%3A%2F%2Fwww.gov.uk%2Fgovernment%2Fpublications%2Fgovernment-functional-standard-govs-007-security&amp;data=05%7C02%7CNathan.Marsom%40onr.gov.uk%7C39b6c5d60df8402df33f08dd5a723cdf%7C742775df807748d681d01e82a1f52cb8%7C0%7C0%7C638766168896067888%7CUnknown%7CTWFpbGZsb3d8eyJFbXB0eU1hcGkiOnRydWUsIlYiOiIwLjAuMDAwMCIsIlAiOiJXaW4zMiIsIkFOIjoiTWFpbCIsIldUIjoyfQ%3D%3D%7C0%7C%7C%7C&amp;sdata=ectTNBCJQUzzS1Kq%2BO6R2lHBVxfA6n0DFfzJEzeePDI%3D&amp;reserved=0" TargetMode="External"/><Relationship Id="rId4" Type="http://schemas.openxmlformats.org/officeDocument/2006/relationships/settings" Target="settings.xml"/><Relationship Id="rId9" Type="http://schemas.openxmlformats.org/officeDocument/2006/relationships/hyperlink" Target="https://prodonrgov.sharepoint.com/sites/HOW2Hub/_layouts/15/DocIdRedir.aspx?ID=ONRHH-822789359-19565" TargetMode="External"/><Relationship Id="rId14" Type="http://schemas.openxmlformats.org/officeDocument/2006/relationships/hyperlink" Target="https://gbr01.safelinks.protection.outlook.com/?url=https%3A%2F%2Fwww.onr.org.uk%2Fpublications%2Fregulatory-guidance%2Fregulatory-assessment-and-permissioning%2Fsecurity-assessment-principles-syaps%2Fsecurity-assessment-principles-syaps%2F&amp;data=05%7C02%7CDeborah.King%40onr.gov.uk%7C39b6c5d60df8402df33f08dd5a723cdf%7C742775df807748d681d01e82a1f52cb8%7C0%7C0%7C638766168897379642%7CUnknown%7CTWFpbGZsb3d8eyJFbXB0eU1hcGkiOnRydWUsIlYiOiIwLjAuMDAwMCIsIlAiOiJXaW4zMiIsIkFOIjoiTWFpbCIsIldUIjoyfQ%3D%3D%7C0%7C%7C%7C&amp;sdata=SDQ5iPk%2BUSlVgLq6Xu6ydQ%2BmCf%2B6675PD40cHnaPwQk%3D&amp;reserved=0"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67E3D755F8546AFA454268A5D014A97"/>
        <w:category>
          <w:name w:val="General"/>
          <w:gallery w:val="placeholder"/>
        </w:category>
        <w:types>
          <w:type w:val="bbPlcHdr"/>
        </w:types>
        <w:behaviors>
          <w:behavior w:val="content"/>
        </w:behaviors>
        <w:guid w:val="{2D65A3C8-377A-4C51-8E57-CD7992919135}"/>
      </w:docPartPr>
      <w:docPartBody>
        <w:p w:rsidR="00B52341" w:rsidRDefault="00B52341" w:rsidP="00B52341">
          <w:pPr>
            <w:pStyle w:val="867E3D755F8546AFA454268A5D014A97"/>
          </w:pPr>
          <w:r w:rsidRPr="00812B14">
            <w:t>Click or tap here to enter text.</w:t>
          </w:r>
        </w:p>
      </w:docPartBody>
    </w:docPart>
    <w:docPart>
      <w:docPartPr>
        <w:name w:val="3FA8F18F6F35468A8139F446B824BC37"/>
        <w:category>
          <w:name w:val="General"/>
          <w:gallery w:val="placeholder"/>
        </w:category>
        <w:types>
          <w:type w:val="bbPlcHdr"/>
        </w:types>
        <w:behaviors>
          <w:behavior w:val="content"/>
        </w:behaviors>
        <w:guid w:val="{2E72582B-A679-44C4-878D-66B47ADE4D70}"/>
      </w:docPartPr>
      <w:docPartBody>
        <w:p w:rsidR="00B52341" w:rsidRDefault="00B52341" w:rsidP="00B52341">
          <w:pPr>
            <w:pStyle w:val="3FA8F18F6F35468A8139F446B824BC37"/>
          </w:pPr>
          <w:r w:rsidRPr="0069507A">
            <w:t>[Title]</w:t>
          </w:r>
        </w:p>
      </w:docPartBody>
    </w:docPart>
    <w:docPart>
      <w:docPartPr>
        <w:name w:val="18DF7211CFFB4F8F89E23820801D21B5"/>
        <w:category>
          <w:name w:val="General"/>
          <w:gallery w:val="placeholder"/>
        </w:category>
        <w:types>
          <w:type w:val="bbPlcHdr"/>
        </w:types>
        <w:behaviors>
          <w:behavior w:val="content"/>
        </w:behaviors>
        <w:guid w:val="{8EAAC247-7B09-4792-A1F5-D3153537F338}"/>
      </w:docPartPr>
      <w:docPartBody>
        <w:p w:rsidR="00B52341" w:rsidRDefault="00B52341" w:rsidP="00B52341">
          <w:pPr>
            <w:pStyle w:val="18DF7211CFFB4F8F89E23820801D21B5"/>
          </w:pPr>
          <w:r w:rsidRPr="00812B14">
            <w:t>[Title]</w:t>
          </w:r>
        </w:p>
      </w:docPartBody>
    </w:docPart>
    <w:docPart>
      <w:docPartPr>
        <w:name w:val="6624F1E9AA814A3AA61150F034FE301D"/>
        <w:category>
          <w:name w:val="General"/>
          <w:gallery w:val="placeholder"/>
        </w:category>
        <w:types>
          <w:type w:val="bbPlcHdr"/>
        </w:types>
        <w:behaviors>
          <w:behavior w:val="content"/>
        </w:behaviors>
        <w:guid w:val="{B0F993F1-FFF7-478F-AE0F-2CDA129B0744}"/>
      </w:docPartPr>
      <w:docPartBody>
        <w:p w:rsidR="00B52341" w:rsidRDefault="00B52341" w:rsidP="00B52341">
          <w:pPr>
            <w:pStyle w:val="6624F1E9AA814A3AA61150F034FE301D"/>
          </w:pPr>
          <w:r w:rsidRPr="00812B14">
            <w:t>[Status]</w:t>
          </w:r>
        </w:p>
      </w:docPartBody>
    </w:docPart>
    <w:docPart>
      <w:docPartPr>
        <w:name w:val="A51E1ABA5F8B4E4F8599012196050975"/>
        <w:category>
          <w:name w:val="General"/>
          <w:gallery w:val="placeholder"/>
        </w:category>
        <w:types>
          <w:type w:val="bbPlcHdr"/>
        </w:types>
        <w:behaviors>
          <w:behavior w:val="content"/>
        </w:behaviors>
        <w:guid w:val="{F4F7946B-7593-460B-AC29-A63A90B18CF6}"/>
      </w:docPartPr>
      <w:docPartBody>
        <w:p w:rsidR="00B52341" w:rsidRDefault="00B52341" w:rsidP="00B52341">
          <w:pPr>
            <w:pStyle w:val="A51E1ABA5F8B4E4F8599012196050975"/>
          </w:pPr>
          <w:r w:rsidRPr="00561874">
            <w:t>[Title]</w:t>
          </w:r>
        </w:p>
      </w:docPartBody>
    </w:docPart>
    <w:docPart>
      <w:docPartPr>
        <w:name w:val="F6BFC59562B6472B97F8157CB844E19F"/>
        <w:category>
          <w:name w:val="General"/>
          <w:gallery w:val="placeholder"/>
        </w:category>
        <w:types>
          <w:type w:val="bbPlcHdr"/>
        </w:types>
        <w:behaviors>
          <w:behavior w:val="content"/>
        </w:behaviors>
        <w:guid w:val="{CCE7CA94-95CF-4AE5-9F72-DBB4A15F51FA}"/>
      </w:docPartPr>
      <w:docPartBody>
        <w:p w:rsidR="00B52341" w:rsidRDefault="00B52341" w:rsidP="00B52341">
          <w:pPr>
            <w:pStyle w:val="F6BFC59562B6472B97F8157CB844E19F"/>
          </w:pPr>
          <w:r w:rsidRPr="00D1240B">
            <w:t>[Status]</w:t>
          </w:r>
        </w:p>
      </w:docPartBody>
    </w:docPart>
    <w:docPart>
      <w:docPartPr>
        <w:name w:val="7983BBC26E30431EBCF1EC5E5FDCA0CF"/>
        <w:category>
          <w:name w:val="General"/>
          <w:gallery w:val="placeholder"/>
        </w:category>
        <w:types>
          <w:type w:val="bbPlcHdr"/>
        </w:types>
        <w:behaviors>
          <w:behavior w:val="content"/>
        </w:behaviors>
        <w:guid w:val="{A95FCF34-F334-4A00-A92F-58846A4DC1E7}"/>
      </w:docPartPr>
      <w:docPartBody>
        <w:p w:rsidR="00515C96" w:rsidRDefault="00515C96" w:rsidP="00515C96">
          <w:pPr>
            <w:pStyle w:val="7983BBC26E30431EBCF1EC5E5FDCA0CF"/>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341"/>
    <w:rsid w:val="000150F1"/>
    <w:rsid w:val="000846DE"/>
    <w:rsid w:val="00195949"/>
    <w:rsid w:val="002E1234"/>
    <w:rsid w:val="002F4915"/>
    <w:rsid w:val="00451396"/>
    <w:rsid w:val="004845A6"/>
    <w:rsid w:val="00515C96"/>
    <w:rsid w:val="00630447"/>
    <w:rsid w:val="00692C3C"/>
    <w:rsid w:val="006C59B5"/>
    <w:rsid w:val="006F0898"/>
    <w:rsid w:val="00836E14"/>
    <w:rsid w:val="008B688E"/>
    <w:rsid w:val="0094531B"/>
    <w:rsid w:val="00985B5F"/>
    <w:rsid w:val="00B23675"/>
    <w:rsid w:val="00B52341"/>
    <w:rsid w:val="00C51483"/>
    <w:rsid w:val="00D4277D"/>
    <w:rsid w:val="00D77AD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7E3D755F8546AFA454268A5D014A97">
    <w:name w:val="867E3D755F8546AFA454268A5D014A97"/>
    <w:rsid w:val="00B52341"/>
  </w:style>
  <w:style w:type="paragraph" w:customStyle="1" w:styleId="3FA8F18F6F35468A8139F446B824BC37">
    <w:name w:val="3FA8F18F6F35468A8139F446B824BC37"/>
    <w:rsid w:val="00B52341"/>
  </w:style>
  <w:style w:type="paragraph" w:customStyle="1" w:styleId="18DF7211CFFB4F8F89E23820801D21B5">
    <w:name w:val="18DF7211CFFB4F8F89E23820801D21B5"/>
    <w:rsid w:val="00B52341"/>
  </w:style>
  <w:style w:type="paragraph" w:customStyle="1" w:styleId="6624F1E9AA814A3AA61150F034FE301D">
    <w:name w:val="6624F1E9AA814A3AA61150F034FE301D"/>
    <w:rsid w:val="00B52341"/>
  </w:style>
  <w:style w:type="paragraph" w:customStyle="1" w:styleId="A51E1ABA5F8B4E4F8599012196050975">
    <w:name w:val="A51E1ABA5F8B4E4F8599012196050975"/>
    <w:rsid w:val="00B52341"/>
  </w:style>
  <w:style w:type="paragraph" w:customStyle="1" w:styleId="F6BFC59562B6472B97F8157CB844E19F">
    <w:name w:val="F6BFC59562B6472B97F8157CB844E19F"/>
    <w:rsid w:val="00B52341"/>
  </w:style>
  <w:style w:type="paragraph" w:customStyle="1" w:styleId="7983BBC26E30431EBCF1EC5E5FDCA0CF">
    <w:name w:val="7983BBC26E30431EBCF1EC5E5FDCA0CF"/>
    <w:rsid w:val="00515C96"/>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NISR</b:Tag>
    <b:SourceType>Misc</b:SourceType>
    <b:Guid>{74A8DB88-6D9C-4506-B7A6-4764D9C22894}</b:Guid>
    <b:Title>Nuclear Industries Security Regulations (NISR) 2003</b:Title>
    <b:RefOrder>2</b:RefOrder>
  </b:Source>
  <b:Source>
    <b:Tag>IAE</b:Tag>
    <b:SourceType>Book</b:SourceType>
    <b:Guid>{E97363D0-36C5-4700-ABCE-1529E22E2D73}</b:Guid>
    <b:Title>IAEA Nuclear Security Series No 13: "Nuclear Security Recommendations on Physical Protection of Nuclear Material and Nuclear Facilities"</b:Title>
    <b:RefOrder>5</b:RefOrder>
  </b:Source>
  <b:Source>
    <b:Tag>IAE1</b:Tag>
    <b:SourceType>Book</b:SourceType>
    <b:Guid>{8A778FDB-FEDB-4405-9AD4-8EF0F35593D7}</b:Guid>
    <b:Title>IAEA Nuclear Security Series No 20 "Objective and Essential Elements of a State's Nuclear Security Regime".</b:Title>
    <b:RefOrder>4</b:RefOrder>
  </b:Source>
  <b:Source>
    <b:Tag>Con</b:Tag>
    <b:SourceType>Book</b:SourceType>
    <b:Guid>{76879902-C270-4FE5-B82A-67AF26EDA9EC}</b:Guid>
    <b:Title>Convention on the Physical Protection of Nuclear Material (CPPNM)</b:Title>
    <b:RefOrder>3</b:RefOrder>
  </b:Source>
  <b:Source xmlns:b="http://schemas.openxmlformats.org/officeDocument/2006/bibliography">
    <b:Tag>Nuc</b:Tag>
    <b:SourceType>Book</b:SourceType>
    <b:Guid>{CFE0E643-F3EB-4193-97FA-2941DDA194F3}</b:Guid>
    <b:Title>Nuclear Industries Security Regulations 2003: Classificaiton Policy for the Civil Nuclear Industry</b:Title>
    <b:RefOrder>8</b:RefOrder>
  </b:Source>
  <b:Source>
    <b:Tag>SyAps</b:Tag>
    <b:SourceType>Misc</b:SourceType>
    <b:Guid>{60D0A1C5-F5C5-4B9D-9244-66619857479E}</b:Guid>
    <b:Title>Security Assessment Principles (SyAPs) for the Civil Nuclear Industry; 2022 Edition Version 1.1</b:Title>
    <b:RefOrder>1</b:RefOrder>
  </b:Source>
  <b:Source>
    <b:Tag>IAE2</b:Tag>
    <b:SourceType>Book</b:SourceType>
    <b:Guid>{AC1A7EA3-A5F6-49B7-A5F6-CA8D39C64197}</b:Guid>
    <b:Title>IAEA Operating Experience Feedback for Nuclear Installations</b:Title>
    <b:RefOrder>6</b:RefOrder>
  </b:Source>
  <b:Source>
    <b:Tag>Pro</b:Tag>
    <b:SourceType>Book</b:SourceType>
    <b:Guid>{8AAA1C04-8113-407B-86FA-E7E7E497A967}</b:Guid>
    <b:Title>Process for Notifying Incidents to ONR</b:Title>
    <b:RefOrder>9</b:RefOrder>
  </b:Source>
  <b:Source>
    <b:Tag>Sec</b:Tag>
    <b:SourceType>Book</b:SourceType>
    <b:Guid>{CDA603C4-6120-48DF-889A-07886266BCC9}</b:Guid>
    <b:Title>Government Functional Standard 007 (Security)</b:Title>
    <b:RefOrder>7</b:RefOrder>
  </b:Source>
</b:Sources>
</file>

<file path=customXml/itemProps1.xml><?xml version="1.0" encoding="utf-8"?>
<ds:datastoreItem xmlns:ds="http://schemas.openxmlformats.org/officeDocument/2006/customXml" ds:itemID="{37D6288A-4CED-4B22-AB86-11B3C9268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5129</Words>
  <Characters>29238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Organisational Learning For Security</dc:title>
  <dc:subject/>
  <cp:keywords/>
  <dc:description/>
  <cp:revision>2</cp:revision>
  <dcterms:created xsi:type="dcterms:W3CDTF">2025-04-04T12:29:00Z</dcterms:created>
  <dcterms:modified xsi:type="dcterms:W3CDTF">2025-04-04T12:29:00Z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2025-01-23T15:10:29Z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f1eac959-08ba-42c5-ae2a-5a3abd8186da</vt:lpwstr>
  </property>
  <property fmtid="{D5CDD505-2E9C-101B-9397-08002B2CF9AE}" pid="8" name="MSIP_Label_9e5e003a-90eb-47c9-a506-ad47e7a0b281_ContentBits">
    <vt:lpwstr>0</vt:lpwstr>
  </property>
</Properties>
</file>